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C036" w14:textId="77777777" w:rsidR="003366C9" w:rsidRPr="000C33DF" w:rsidRDefault="003366C9" w:rsidP="003366C9">
      <w:pPr>
        <w:jc w:val="center"/>
        <w:outlineLvl w:val="0"/>
        <w:rPr>
          <w:rFonts w:eastAsia="Times New Roman" w:cstheme="minorHAnsi"/>
          <w:b/>
          <w:bCs/>
          <w:lang w:val="en-US"/>
        </w:rPr>
      </w:pPr>
      <w:r w:rsidRPr="000C33DF">
        <w:rPr>
          <w:rFonts w:eastAsia="Times New Roman" w:cstheme="minorHAnsi"/>
          <w:b/>
          <w:bCs/>
          <w:noProof/>
          <w:lang w:val="en-US"/>
        </w:rPr>
        <w:drawing>
          <wp:anchor distT="0" distB="0" distL="114300" distR="114300" simplePos="0" relativeHeight="251659264" behindDoc="0" locked="0" layoutInCell="1" allowOverlap="1" wp14:anchorId="012AFB52" wp14:editId="68F837F4">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descr="A logo with elephants and a suns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sunset&#10;&#10;Description automatically generated with medium confidence"/>
                    <pic:cNvPicPr/>
                  </pic:nvPicPr>
                  <pic:blipFill>
                    <a:blip r:embed="rId11">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E8C3AA" w14:textId="77777777" w:rsidR="003366C9" w:rsidRPr="00CA5940" w:rsidRDefault="003366C9" w:rsidP="003366C9">
      <w:pPr>
        <w:jc w:val="center"/>
        <w:outlineLvl w:val="0"/>
        <w:rPr>
          <w:rFonts w:eastAsia="Times New Roman" w:cstheme="minorHAnsi"/>
          <w:b/>
          <w:bCs/>
        </w:rPr>
      </w:pPr>
      <w:r w:rsidRPr="00CA5940">
        <w:rPr>
          <w:rFonts w:eastAsia="Times New Roman" w:cstheme="minorHAnsi"/>
          <w:b/>
          <w:bCs/>
        </w:rPr>
        <w:t>15</w:t>
      </w:r>
      <w:r>
        <w:rPr>
          <w:rFonts w:eastAsia="Times New Roman" w:cstheme="minorHAnsi"/>
          <w:b/>
          <w:bCs/>
        </w:rPr>
        <w:t>e</w:t>
      </w:r>
      <w:r w:rsidRPr="00CA5940">
        <w:rPr>
          <w:rFonts w:eastAsia="Times New Roman" w:cstheme="minorHAnsi"/>
          <w:b/>
          <w:bCs/>
        </w:rPr>
        <w:t xml:space="preserve"> </w:t>
      </w:r>
      <w:r>
        <w:rPr>
          <w:rFonts w:eastAsia="Times New Roman" w:cstheme="minorHAnsi"/>
          <w:b/>
          <w:bCs/>
        </w:rPr>
        <w:t>S</w:t>
      </w:r>
      <w:r w:rsidRPr="00CA5940">
        <w:rPr>
          <w:rFonts w:eastAsia="Times New Roman" w:cstheme="minorHAnsi"/>
          <w:b/>
          <w:bCs/>
        </w:rPr>
        <w:t>ession de la Conférence des Parties contractantes</w:t>
      </w:r>
    </w:p>
    <w:p w14:paraId="3AA727C0" w14:textId="77777777" w:rsidR="003366C9" w:rsidRPr="00CA5940" w:rsidRDefault="003366C9" w:rsidP="003366C9">
      <w:pPr>
        <w:jc w:val="center"/>
        <w:outlineLvl w:val="0"/>
        <w:rPr>
          <w:rFonts w:eastAsia="Times New Roman" w:cstheme="minorHAnsi"/>
          <w:b/>
          <w:bCs/>
        </w:rPr>
      </w:pPr>
      <w:r w:rsidRPr="00CA5940">
        <w:rPr>
          <w:rFonts w:eastAsia="Times New Roman" w:cstheme="minorHAnsi"/>
          <w:b/>
          <w:bCs/>
        </w:rPr>
        <w:t>à la Convention sur les zones humides</w:t>
      </w:r>
    </w:p>
    <w:p w14:paraId="39ACC62B" w14:textId="77777777" w:rsidR="003366C9" w:rsidRPr="00CA5940" w:rsidRDefault="003366C9" w:rsidP="003366C9">
      <w:pPr>
        <w:jc w:val="center"/>
        <w:outlineLvl w:val="0"/>
        <w:rPr>
          <w:rFonts w:eastAsia="Times New Roman" w:cstheme="minorHAnsi"/>
          <w:b/>
          <w:bCs/>
        </w:rPr>
      </w:pPr>
    </w:p>
    <w:p w14:paraId="343B3C29" w14:textId="77777777" w:rsidR="003366C9" w:rsidRPr="00CA5940" w:rsidRDefault="003366C9" w:rsidP="003366C9">
      <w:pPr>
        <w:jc w:val="center"/>
        <w:outlineLvl w:val="0"/>
        <w:rPr>
          <w:rFonts w:eastAsia="Times New Roman" w:cstheme="minorHAnsi"/>
          <w:b/>
          <w:bCs/>
        </w:rPr>
      </w:pPr>
      <w:r>
        <w:rPr>
          <w:rFonts w:eastAsia="Times New Roman" w:cstheme="minorHAnsi"/>
          <w:b/>
          <w:bCs/>
        </w:rPr>
        <w:t>« </w:t>
      </w:r>
      <w:r w:rsidRPr="00CA5940">
        <w:rPr>
          <w:rFonts w:eastAsia="Times New Roman" w:cstheme="minorHAnsi"/>
          <w:b/>
          <w:bCs/>
        </w:rPr>
        <w:t>Protéger les zones humides pour notre avenir commun</w:t>
      </w:r>
      <w:r>
        <w:rPr>
          <w:rFonts w:eastAsia="Times New Roman" w:cstheme="minorHAnsi"/>
          <w:b/>
          <w:bCs/>
        </w:rPr>
        <w:t> »</w:t>
      </w:r>
    </w:p>
    <w:p w14:paraId="5F7FB0E2" w14:textId="77777777" w:rsidR="003366C9" w:rsidRPr="00CA5940" w:rsidRDefault="003366C9" w:rsidP="003366C9">
      <w:pPr>
        <w:jc w:val="center"/>
        <w:outlineLvl w:val="0"/>
        <w:rPr>
          <w:rFonts w:eastAsia="Times New Roman" w:cstheme="minorHAnsi"/>
          <w:b/>
          <w:bCs/>
        </w:rPr>
      </w:pPr>
      <w:r w:rsidRPr="00CA5940">
        <w:rPr>
          <w:rFonts w:eastAsia="Times New Roman" w:cstheme="minorHAnsi"/>
          <w:b/>
          <w:bCs/>
        </w:rPr>
        <w:t>Victoria Falls, Zimbabwe, 23-31 juillet 2025</w:t>
      </w:r>
    </w:p>
    <w:p w14:paraId="40B1AC96" w14:textId="77777777" w:rsidR="003366C9" w:rsidRPr="00CA5940" w:rsidRDefault="003366C9" w:rsidP="003366C9">
      <w:pPr>
        <w:jc w:val="center"/>
        <w:outlineLvl w:val="0"/>
        <w:rPr>
          <w:rFonts w:eastAsia="Times New Roman" w:cstheme="minorHAnsi"/>
          <w:b/>
          <w:bCs/>
        </w:rPr>
      </w:pPr>
    </w:p>
    <w:p w14:paraId="7B36D233" w14:textId="77777777" w:rsidR="003366C9" w:rsidRPr="00CA5940" w:rsidRDefault="003366C9" w:rsidP="003366C9">
      <w:pPr>
        <w:jc w:val="center"/>
        <w:outlineLvl w:val="0"/>
        <w:rPr>
          <w:rFonts w:eastAsia="Times New Roman" w:cstheme="minorHAnsi"/>
          <w:b/>
          <w:bCs/>
        </w:rPr>
      </w:pPr>
    </w:p>
    <w:p w14:paraId="324E2483" w14:textId="77777777" w:rsidR="009550DF" w:rsidRPr="003366C9" w:rsidRDefault="009550DF" w:rsidP="009550DF">
      <w:pPr>
        <w:jc w:val="center"/>
        <w:outlineLvl w:val="0"/>
        <w:rPr>
          <w:rFonts w:eastAsia="Times New Roman" w:cstheme="majorHAnsi"/>
          <w:b/>
          <w:bCs/>
        </w:rPr>
      </w:pPr>
    </w:p>
    <w:p w14:paraId="1C6919D7" w14:textId="24487046" w:rsidR="006C4071" w:rsidRPr="0098389C" w:rsidRDefault="00210FE2" w:rsidP="006C4071">
      <w:pPr>
        <w:jc w:val="right"/>
        <w:rPr>
          <w:rFonts w:cstheme="minorHAnsi"/>
          <w:b/>
          <w:sz w:val="28"/>
          <w:szCs w:val="28"/>
        </w:rPr>
      </w:pPr>
      <w:r>
        <w:rPr>
          <w:b/>
          <w:sz w:val="28"/>
        </w:rPr>
        <w:t>COP15 Doc.14</w:t>
      </w:r>
    </w:p>
    <w:p w14:paraId="71206A10" w14:textId="419FCB24" w:rsidR="00CF5664" w:rsidRPr="003366C9" w:rsidRDefault="00CF5664" w:rsidP="006C4071">
      <w:pPr>
        <w:pStyle w:val="NormalWeb"/>
        <w:spacing w:before="0" w:beforeAutospacing="0" w:after="0" w:afterAutospacing="0"/>
        <w:jc w:val="center"/>
        <w:rPr>
          <w:rFonts w:asciiTheme="minorHAnsi" w:hAnsiTheme="minorHAnsi" w:cstheme="minorHAnsi"/>
          <w:sz w:val="22"/>
          <w:szCs w:val="22"/>
        </w:rPr>
      </w:pPr>
    </w:p>
    <w:p w14:paraId="6EB806CA" w14:textId="77777777" w:rsidR="00203DF1" w:rsidRPr="003366C9" w:rsidRDefault="00203DF1" w:rsidP="006C4071">
      <w:pPr>
        <w:pStyle w:val="NormalWeb"/>
        <w:spacing w:before="0" w:beforeAutospacing="0" w:after="0" w:afterAutospacing="0"/>
        <w:jc w:val="center"/>
        <w:rPr>
          <w:rFonts w:asciiTheme="minorHAnsi" w:hAnsiTheme="minorHAnsi" w:cstheme="minorHAnsi"/>
          <w:sz w:val="22"/>
          <w:szCs w:val="22"/>
        </w:rPr>
      </w:pPr>
    </w:p>
    <w:p w14:paraId="581372D7" w14:textId="42DF882D" w:rsidR="006C4071" w:rsidRPr="0098389C" w:rsidRDefault="00210FE2" w:rsidP="006C4071">
      <w:pPr>
        <w:pStyle w:val="NormalWeb"/>
        <w:spacing w:before="0" w:beforeAutospacing="0" w:after="0" w:afterAutospacing="0"/>
        <w:jc w:val="center"/>
        <w:rPr>
          <w:rFonts w:asciiTheme="minorHAnsi" w:hAnsiTheme="minorHAnsi" w:cstheme="minorHAnsi"/>
          <w:b/>
          <w:bCs/>
          <w:sz w:val="28"/>
          <w:szCs w:val="28"/>
        </w:rPr>
      </w:pPr>
      <w:r>
        <w:rPr>
          <w:rFonts w:asciiTheme="minorHAnsi" w:hAnsiTheme="minorHAnsi"/>
          <w:b/>
          <w:color w:val="000000"/>
          <w:sz w:val="28"/>
        </w:rPr>
        <w:t xml:space="preserve">Rapport du Secrétariat sur les progrès réalisés en matière </w:t>
      </w:r>
      <w:r w:rsidR="007250A1">
        <w:rPr>
          <w:rFonts w:asciiTheme="minorHAnsi" w:hAnsiTheme="minorHAnsi"/>
          <w:b/>
          <w:color w:val="000000"/>
          <w:sz w:val="28"/>
        </w:rPr>
        <w:br/>
      </w:r>
      <w:r>
        <w:rPr>
          <w:rFonts w:asciiTheme="minorHAnsi" w:hAnsiTheme="minorHAnsi"/>
          <w:b/>
          <w:color w:val="000000"/>
          <w:sz w:val="28"/>
        </w:rPr>
        <w:t>de restauration des zones humides</w:t>
      </w:r>
    </w:p>
    <w:p w14:paraId="1A78CC29" w14:textId="77777777" w:rsidR="002B57D1" w:rsidRPr="003366C9" w:rsidRDefault="002B57D1" w:rsidP="006C4071">
      <w:pPr>
        <w:pStyle w:val="NormalWeb"/>
        <w:spacing w:before="0" w:beforeAutospacing="0" w:after="0" w:afterAutospacing="0"/>
        <w:jc w:val="center"/>
        <w:rPr>
          <w:rFonts w:asciiTheme="minorHAnsi" w:hAnsiTheme="minorHAnsi" w:cstheme="minorHAnsi"/>
          <w:b/>
          <w:bCs/>
          <w:sz w:val="2"/>
          <w:szCs w:val="2"/>
        </w:rPr>
      </w:pPr>
    </w:p>
    <w:p w14:paraId="106475DA" w14:textId="77777777" w:rsidR="00CB50EB" w:rsidRPr="003366C9" w:rsidRDefault="00CB50EB" w:rsidP="00CB50EB"/>
    <w:p w14:paraId="431DF9D5" w14:textId="77777777" w:rsidR="00F8769F" w:rsidRPr="003366C9" w:rsidRDefault="00F8769F" w:rsidP="00CB50EB">
      <w:pPr>
        <w:suppressLineNumbers/>
        <w:suppressAutoHyphens/>
        <w:ind w:left="432" w:hanging="432"/>
        <w:rPr>
          <w:rFonts w:ascii="Calibri" w:eastAsia="Calibri" w:hAnsi="Calibri" w:cs="Arial"/>
          <w:b/>
          <w:sz w:val="22"/>
          <w:szCs w:val="22"/>
        </w:rPr>
      </w:pPr>
    </w:p>
    <w:p w14:paraId="7909EE34" w14:textId="3AB16935" w:rsidR="00CB50EB" w:rsidRPr="00F84F1B" w:rsidRDefault="00CB50EB" w:rsidP="00CB50EB">
      <w:pPr>
        <w:suppressLineNumbers/>
        <w:suppressAutoHyphens/>
        <w:ind w:left="432" w:hanging="432"/>
        <w:rPr>
          <w:rFonts w:ascii="Calibri" w:eastAsia="Calibri" w:hAnsi="Calibri" w:cs="Arial"/>
          <w:b/>
          <w:sz w:val="22"/>
          <w:szCs w:val="22"/>
        </w:rPr>
      </w:pPr>
      <w:r>
        <w:rPr>
          <w:rFonts w:ascii="Calibri" w:hAnsi="Calibri"/>
          <w:b/>
          <w:sz w:val="22"/>
        </w:rPr>
        <w:t>Contexte</w:t>
      </w:r>
    </w:p>
    <w:p w14:paraId="0D044212" w14:textId="77777777" w:rsidR="00CB50EB" w:rsidRPr="003366C9" w:rsidRDefault="00CB50EB" w:rsidP="00CB50EB">
      <w:pPr>
        <w:ind w:left="426" w:hanging="426"/>
        <w:rPr>
          <w:rFonts w:ascii="Calibri" w:eastAsia="Calibri" w:hAnsi="Calibri" w:cs="Times New Roman"/>
          <w:sz w:val="22"/>
          <w:szCs w:val="22"/>
        </w:rPr>
      </w:pPr>
    </w:p>
    <w:p w14:paraId="776765B5" w14:textId="7D733DE9" w:rsidR="00CB50EB" w:rsidRPr="00CA1604" w:rsidRDefault="00CB50EB" w:rsidP="00CB50EB">
      <w:pPr>
        <w:ind w:left="426" w:hanging="426"/>
        <w:rPr>
          <w:rFonts w:ascii="Calibri" w:eastAsia="Calibri" w:hAnsi="Calibri" w:cs="Times New Roman"/>
          <w:sz w:val="22"/>
          <w:szCs w:val="22"/>
        </w:rPr>
      </w:pPr>
      <w:r w:rsidRPr="00CA1604">
        <w:rPr>
          <w:rFonts w:ascii="Calibri" w:hAnsi="Calibri"/>
          <w:sz w:val="22"/>
          <w:szCs w:val="22"/>
        </w:rPr>
        <w:t>1.</w:t>
      </w:r>
      <w:r w:rsidRPr="00CA1604">
        <w:rPr>
          <w:rFonts w:ascii="Calibri" w:hAnsi="Calibri"/>
          <w:sz w:val="22"/>
          <w:szCs w:val="22"/>
        </w:rPr>
        <w:tab/>
        <w:t>Ce rapport a été préparé en réponse à la Résolution XIV.6</w:t>
      </w:r>
      <w:r w:rsidRPr="00CA1604">
        <w:rPr>
          <w:sz w:val="22"/>
          <w:szCs w:val="22"/>
        </w:rPr>
        <w:t xml:space="preserve">, </w:t>
      </w:r>
      <w:r w:rsidRPr="00CA1604">
        <w:rPr>
          <w:i/>
          <w:iCs/>
          <w:sz w:val="22"/>
          <w:szCs w:val="22"/>
        </w:rPr>
        <w:t>Renforcer la visibilité de la Convention et les synergies avec d’autres accords multilatéraux sur l’environnement et institutions internationales</w:t>
      </w:r>
      <w:r w:rsidR="00081776" w:rsidRPr="00CA1604">
        <w:rPr>
          <w:rStyle w:val="FootnoteReference"/>
          <w:i/>
          <w:iCs/>
          <w:sz w:val="22"/>
          <w:szCs w:val="22"/>
          <w:lang w:val="en-GB"/>
        </w:rPr>
        <w:footnoteReference w:id="2"/>
      </w:r>
      <w:r w:rsidRPr="00CA1604">
        <w:rPr>
          <w:i/>
          <w:sz w:val="22"/>
          <w:szCs w:val="22"/>
        </w:rPr>
        <w:t xml:space="preserve">, </w:t>
      </w:r>
      <w:r w:rsidRPr="00CA1604">
        <w:rPr>
          <w:sz w:val="22"/>
          <w:szCs w:val="22"/>
        </w:rPr>
        <w:t>qui</w:t>
      </w:r>
      <w:r w:rsidRPr="00CA1604">
        <w:rPr>
          <w:rFonts w:ascii="Calibri" w:hAnsi="Calibri"/>
          <w:sz w:val="22"/>
          <w:szCs w:val="22"/>
        </w:rPr>
        <w:t>, au paragraphe 35, « charge[ait] le Secrétariat d’évaluer les progrès réalisés en matière de restauration des zones humides et d’en rendre compte à la COP15, et charge[ait] en outre le Secrétariat, sous réserve des ressources disponibles, de renforcer les capacités des Parties contractantes à restaurer les zones humides en offrant des possibilités de formation ou autres moyens. »</w:t>
      </w:r>
    </w:p>
    <w:p w14:paraId="54B5C14C" w14:textId="77777777" w:rsidR="00CB50EB" w:rsidRPr="003366C9" w:rsidRDefault="00CB50EB" w:rsidP="00CB50EB">
      <w:pPr>
        <w:ind w:left="426" w:hanging="426"/>
        <w:rPr>
          <w:rFonts w:ascii="Calibri" w:eastAsia="Calibri" w:hAnsi="Calibri" w:cs="Times New Roman"/>
          <w:sz w:val="22"/>
          <w:szCs w:val="22"/>
        </w:rPr>
      </w:pPr>
    </w:p>
    <w:p w14:paraId="5BC553DA" w14:textId="07466DAF" w:rsidR="00CB50EB" w:rsidRPr="00CA1604" w:rsidRDefault="00CB50EB" w:rsidP="00CB50EB">
      <w:pPr>
        <w:ind w:left="426" w:hanging="426"/>
        <w:rPr>
          <w:rFonts w:ascii="Calibri" w:eastAsia="Calibri" w:hAnsi="Calibri" w:cs="Times New Roman"/>
          <w:sz w:val="22"/>
          <w:szCs w:val="22"/>
        </w:rPr>
      </w:pPr>
      <w:r w:rsidRPr="00CA1604">
        <w:rPr>
          <w:rFonts w:ascii="Calibri" w:hAnsi="Calibri"/>
          <w:sz w:val="22"/>
          <w:szCs w:val="22"/>
        </w:rPr>
        <w:t>2.</w:t>
      </w:r>
      <w:r w:rsidRPr="00CA1604">
        <w:rPr>
          <w:rFonts w:ascii="Calibri" w:hAnsi="Calibri"/>
          <w:sz w:val="22"/>
          <w:szCs w:val="22"/>
        </w:rPr>
        <w:tab/>
        <w:t>Le Secrétariat a recruté deux consultants chargés de mener cette évaluation, avec les conseils d’un groupe consultatif composé de représentants de la Convention des Nations Unies sur la lutte contre la désertification (UNCCD), de l’Organisation des Nations Unies pour l’alimentation et l’agriculture (FAO), du Centre mondial de surveillance pour la conservation du Programme des Nations Unies pour l’environnement (PNUE-WCMC), de la Society for Ecological Restoration (SER), de la Convention sur la diversité biologique (CDB) et du Groupe d’évaluation scientifique et technique (GEST) de la Convention. D’autres partenaires, y compris les organisations internationales partenaires (OIP) de la Convention, ont également apporté leurs contributions et leurs conseils.</w:t>
      </w:r>
    </w:p>
    <w:p w14:paraId="3C2ECAD5" w14:textId="77777777" w:rsidR="00CB50EB" w:rsidRPr="003366C9" w:rsidRDefault="00CB50EB" w:rsidP="00CB50EB">
      <w:pPr>
        <w:ind w:left="426" w:hanging="426"/>
        <w:rPr>
          <w:rFonts w:ascii="Calibri" w:eastAsia="Calibri" w:hAnsi="Calibri" w:cs="Times New Roman"/>
          <w:sz w:val="22"/>
          <w:szCs w:val="22"/>
        </w:rPr>
      </w:pPr>
    </w:p>
    <w:p w14:paraId="6A2811C9" w14:textId="764AE429" w:rsidR="00CB50EB" w:rsidRPr="00CA1604" w:rsidRDefault="00CB50EB" w:rsidP="00CB50EB">
      <w:pPr>
        <w:ind w:left="426" w:hanging="426"/>
        <w:rPr>
          <w:rFonts w:ascii="Calibri" w:eastAsia="Calibri" w:hAnsi="Calibri" w:cs="Times New Roman"/>
          <w:sz w:val="22"/>
          <w:szCs w:val="22"/>
        </w:rPr>
      </w:pPr>
      <w:r w:rsidRPr="00CA1604">
        <w:rPr>
          <w:rFonts w:ascii="Calibri" w:hAnsi="Calibri"/>
          <w:sz w:val="22"/>
          <w:szCs w:val="22"/>
        </w:rPr>
        <w:t>3.</w:t>
      </w:r>
      <w:r w:rsidRPr="00CA1604">
        <w:rPr>
          <w:rFonts w:ascii="Calibri" w:hAnsi="Calibri"/>
          <w:sz w:val="22"/>
          <w:szCs w:val="22"/>
        </w:rPr>
        <w:tab/>
        <w:t>Le rapport d’évaluation complet est publié sous la forme du document d’information COP15</w:t>
      </w:r>
      <w:r w:rsidR="00614EB1" w:rsidRPr="00CA1604">
        <w:rPr>
          <w:rFonts w:ascii="Calibri" w:hAnsi="Calibri"/>
          <w:sz w:val="22"/>
          <w:szCs w:val="22"/>
        </w:rPr>
        <w:t> </w:t>
      </w:r>
      <w:r w:rsidRPr="00CA1604">
        <w:rPr>
          <w:rFonts w:ascii="Calibri" w:hAnsi="Calibri"/>
          <w:sz w:val="22"/>
          <w:szCs w:val="22"/>
        </w:rPr>
        <w:t>Inf.3</w:t>
      </w:r>
      <w:r w:rsidR="00215D62" w:rsidRPr="00CA1604">
        <w:rPr>
          <w:rStyle w:val="FootnoteReference"/>
          <w:rFonts w:ascii="Calibri" w:eastAsia="Calibri" w:hAnsi="Calibri" w:cs="Times New Roman"/>
          <w:sz w:val="22"/>
          <w:szCs w:val="22"/>
          <w:lang w:val="en-GB"/>
        </w:rPr>
        <w:footnoteReference w:id="3"/>
      </w:r>
      <w:r w:rsidRPr="00CA1604">
        <w:rPr>
          <w:rFonts w:ascii="Calibri" w:hAnsi="Calibri"/>
          <w:sz w:val="22"/>
          <w:szCs w:val="22"/>
        </w:rPr>
        <w:t>. Il s’appuie sur la littérature scientifique aussi bien que sur la littérature « grise », sur des ensembles de données de portée mondiale, des études de cas, ainsi que des travaux qui ont été réalisés ou qui sont en train d’être réalisés sous l’égide de la Convention, comme la Note technique de 2018 sur l’état et les tendances des zones humides ou encore les Perspectives mondiales des zones humides (éditions 2018, 2021 et 2025). L’évaluation utilise une approche basée sur des méthodes mixtes, associant données quantitatives et avis d’experts</w:t>
      </w:r>
      <w:r w:rsidRPr="00CA1604">
        <w:rPr>
          <w:rStyle w:val="FootnoteReference"/>
          <w:rFonts w:ascii="Calibri" w:eastAsia="Calibri" w:hAnsi="Calibri" w:cs="Times New Roman"/>
          <w:sz w:val="22"/>
          <w:szCs w:val="22"/>
          <w:lang w:val="en-GB"/>
        </w:rPr>
        <w:footnoteReference w:id="4"/>
      </w:r>
      <w:r w:rsidRPr="00CA1604">
        <w:rPr>
          <w:rFonts w:ascii="Calibri" w:hAnsi="Calibri"/>
          <w:sz w:val="22"/>
          <w:szCs w:val="22"/>
        </w:rPr>
        <w:t xml:space="preserve">. </w:t>
      </w:r>
    </w:p>
    <w:p w14:paraId="1E3F4601" w14:textId="77777777" w:rsidR="00CB50EB" w:rsidRPr="003366C9" w:rsidRDefault="00CB50EB" w:rsidP="00CB50EB">
      <w:pPr>
        <w:ind w:left="426" w:hanging="426"/>
        <w:rPr>
          <w:rFonts w:ascii="Calibri" w:eastAsia="Calibri" w:hAnsi="Calibri" w:cs="Times New Roman"/>
          <w:sz w:val="22"/>
          <w:szCs w:val="22"/>
        </w:rPr>
      </w:pPr>
    </w:p>
    <w:p w14:paraId="7C6D631C" w14:textId="1D5F095B" w:rsidR="00CB50EB" w:rsidRPr="00CA1604" w:rsidRDefault="00CB50EB" w:rsidP="00CB50EB">
      <w:pPr>
        <w:ind w:left="426" w:hanging="426"/>
        <w:rPr>
          <w:rFonts w:ascii="Calibri" w:eastAsia="Calibri" w:hAnsi="Calibri" w:cs="Times New Roman"/>
          <w:sz w:val="22"/>
          <w:szCs w:val="22"/>
        </w:rPr>
      </w:pPr>
      <w:r w:rsidRPr="00CA1604">
        <w:rPr>
          <w:rFonts w:ascii="Calibri" w:hAnsi="Calibri"/>
          <w:sz w:val="22"/>
          <w:szCs w:val="22"/>
        </w:rPr>
        <w:t>4.</w:t>
      </w:r>
      <w:r w:rsidRPr="00CA1604">
        <w:rPr>
          <w:rFonts w:ascii="Calibri" w:hAnsi="Calibri"/>
          <w:sz w:val="22"/>
          <w:szCs w:val="22"/>
        </w:rPr>
        <w:tab/>
        <w:t>Ce présent rapport synthétise les conclusions de l’évaluation, offrant notamment une vue d’ensemble des zones humides dégradées, des engagements pris et des activités menées en faveur de leur restauration, ainsi qu’une évaluation indicative des progrès accomplis dans la réalisation de l’objectif 12 du 4</w:t>
      </w:r>
      <w:r w:rsidRPr="00CA1604">
        <w:rPr>
          <w:rFonts w:ascii="Calibri" w:hAnsi="Calibri"/>
          <w:sz w:val="22"/>
          <w:szCs w:val="22"/>
          <w:vertAlign w:val="superscript"/>
        </w:rPr>
        <w:t>e</w:t>
      </w:r>
      <w:r w:rsidRPr="00CA1604">
        <w:rPr>
          <w:rFonts w:ascii="Calibri" w:hAnsi="Calibri"/>
          <w:sz w:val="22"/>
          <w:szCs w:val="22"/>
        </w:rPr>
        <w:t> Plan stratégique 2016-2024</w:t>
      </w:r>
      <w:r w:rsidR="00F8769F" w:rsidRPr="00CA1604">
        <w:rPr>
          <w:rStyle w:val="FootnoteReference"/>
          <w:rFonts w:ascii="Calibri" w:eastAsia="Calibri" w:hAnsi="Calibri" w:cs="Times New Roman"/>
          <w:sz w:val="22"/>
          <w:szCs w:val="22"/>
          <w:lang w:val="en-GB"/>
        </w:rPr>
        <w:footnoteReference w:id="5"/>
      </w:r>
      <w:r w:rsidRPr="00CA1604">
        <w:rPr>
          <w:rFonts w:ascii="Calibri" w:hAnsi="Calibri"/>
          <w:sz w:val="22"/>
          <w:szCs w:val="22"/>
        </w:rPr>
        <w:t xml:space="preserve"> et de la cible 2 du Cadre mondial de la biodiversité de Kunming-Montréal</w:t>
      </w:r>
      <w:r w:rsidR="00F8769F" w:rsidRPr="00CA1604">
        <w:rPr>
          <w:rStyle w:val="FootnoteReference"/>
          <w:rFonts w:ascii="Calibri" w:eastAsia="Calibri" w:hAnsi="Calibri" w:cs="Times New Roman"/>
          <w:sz w:val="22"/>
          <w:szCs w:val="22"/>
          <w:lang w:val="en-GB"/>
        </w:rPr>
        <w:footnoteReference w:id="6"/>
      </w:r>
      <w:r w:rsidRPr="00CA1604">
        <w:rPr>
          <w:rFonts w:ascii="Calibri" w:hAnsi="Calibri"/>
          <w:sz w:val="22"/>
          <w:szCs w:val="22"/>
        </w:rPr>
        <w:t xml:space="preserve">. Il identifie en outre des recommandations qui permettraient d’accélérer la restauration des zones humides, de soutenir la mise en œuvre de la Convention et de renforcer la contribution de la Convention aux objectifs internationaux de restauration, notamment ceux du Programme de développement durable à l’horizon 2030 et des Objectifs de développement durable (ODD), du Cadre mondial de la biodiversité de Kunming-Montréal et de la Décennie des Nations Unies pour la restauration des écosystèmes. </w:t>
      </w:r>
    </w:p>
    <w:p w14:paraId="3DEE7991" w14:textId="77777777" w:rsidR="00CB4B17" w:rsidRPr="003366C9" w:rsidRDefault="00CB4B17" w:rsidP="00CB4B17">
      <w:pPr>
        <w:ind w:left="426" w:hanging="426"/>
        <w:rPr>
          <w:rFonts w:ascii="Calibri" w:eastAsia="Calibri" w:hAnsi="Calibri" w:cs="Times New Roman"/>
          <w:sz w:val="22"/>
          <w:szCs w:val="22"/>
        </w:rPr>
      </w:pPr>
    </w:p>
    <w:p w14:paraId="00BA9236" w14:textId="77777777" w:rsidR="00CB4B17" w:rsidRPr="00CA1604" w:rsidRDefault="00CB4B17" w:rsidP="00CB4B17">
      <w:pPr>
        <w:suppressLineNumbers/>
        <w:suppressAutoHyphens/>
        <w:ind w:left="432" w:hanging="432"/>
        <w:rPr>
          <w:rFonts w:ascii="Calibri" w:eastAsia="Calibri" w:hAnsi="Calibri" w:cs="Arial"/>
          <w:b/>
          <w:sz w:val="22"/>
          <w:szCs w:val="22"/>
        </w:rPr>
      </w:pPr>
      <w:r w:rsidRPr="00CA1604">
        <w:rPr>
          <w:rFonts w:ascii="Calibri" w:hAnsi="Calibri"/>
          <w:b/>
          <w:sz w:val="22"/>
          <w:szCs w:val="22"/>
        </w:rPr>
        <w:t>La restauration des zones humides est une priorité</w:t>
      </w:r>
    </w:p>
    <w:p w14:paraId="1F2C645A" w14:textId="10F956A5" w:rsidR="00CB50EB" w:rsidRPr="003366C9" w:rsidRDefault="00CB50EB" w:rsidP="00CB50EB">
      <w:pPr>
        <w:ind w:left="426" w:hanging="426"/>
        <w:rPr>
          <w:rFonts w:ascii="Calibri" w:eastAsia="Calibri" w:hAnsi="Calibri" w:cs="Times New Roman"/>
          <w:sz w:val="22"/>
          <w:szCs w:val="22"/>
        </w:rPr>
      </w:pPr>
    </w:p>
    <w:p w14:paraId="05128453" w14:textId="47256607" w:rsidR="00CB50EB" w:rsidRPr="00CA1604" w:rsidRDefault="00CB50EB" w:rsidP="00F52F0F">
      <w:pPr>
        <w:ind w:left="426" w:hanging="426"/>
        <w:rPr>
          <w:rFonts w:ascii="Calibri" w:eastAsia="Calibri" w:hAnsi="Calibri" w:cs="Times New Roman"/>
          <w:sz w:val="22"/>
          <w:szCs w:val="22"/>
        </w:rPr>
      </w:pPr>
      <w:r w:rsidRPr="00CA1604">
        <w:rPr>
          <w:rFonts w:ascii="Calibri" w:hAnsi="Calibri"/>
          <w:sz w:val="22"/>
          <w:szCs w:val="22"/>
        </w:rPr>
        <w:t>5.</w:t>
      </w:r>
      <w:r w:rsidRPr="00CA1604">
        <w:rPr>
          <w:rFonts w:ascii="Calibri" w:hAnsi="Calibri"/>
          <w:sz w:val="22"/>
          <w:szCs w:val="22"/>
        </w:rPr>
        <w:tab/>
        <w:t>Les zones humides, définies par la Convention comme « des étendues de marais, de fagnes, de tourbières ou d’eaux naturelles ou artificielles, permanentes ou temporaires, où l’eau est stagnante ou courante, douce, saumâtre ou salée, y compris des étendues d’eau marine dont la profondeur à marée basse n’excède pas six mètres »</w:t>
      </w:r>
      <w:r w:rsidR="00030A06" w:rsidRPr="00CA1604">
        <w:rPr>
          <w:rStyle w:val="FootnoteReference"/>
          <w:rFonts w:ascii="Calibri" w:eastAsia="Calibri" w:hAnsi="Calibri" w:cs="Times New Roman"/>
          <w:sz w:val="22"/>
          <w:szCs w:val="22"/>
          <w:lang w:val="en-GB"/>
        </w:rPr>
        <w:footnoteReference w:id="7"/>
      </w:r>
      <w:r w:rsidRPr="00CA1604">
        <w:rPr>
          <w:rFonts w:ascii="Calibri" w:hAnsi="Calibri"/>
          <w:sz w:val="22"/>
          <w:szCs w:val="22"/>
        </w:rPr>
        <w:t>, comptent parmi les écosystèmes les plus importants de la planète. Elles abritent une biodiversité extraordinaire et offrent un habitat essentiel à plusieurs centaines de milliers d’espèces, tous taxons confondus, y compris à près de 100 000 espèces d’eau douce</w:t>
      </w:r>
      <w:r w:rsidR="007C3E86" w:rsidRPr="00CA1604">
        <w:rPr>
          <w:rStyle w:val="FootnoteReference"/>
          <w:rFonts w:ascii="Calibri" w:eastAsia="Calibri" w:hAnsi="Calibri" w:cs="Times New Roman"/>
          <w:sz w:val="22"/>
          <w:szCs w:val="22"/>
          <w:lang w:val="en-GB"/>
        </w:rPr>
        <w:footnoteReference w:id="8"/>
      </w:r>
      <w:r w:rsidRPr="00CA1604">
        <w:rPr>
          <w:rFonts w:ascii="Calibri" w:hAnsi="Calibri"/>
          <w:sz w:val="22"/>
          <w:szCs w:val="22"/>
        </w:rPr>
        <w:t>, dont beaucoup sont endémiques, migratrices ou menacées. Elles contribuent également au bien-être humain en régulant les cycles de l’eau, en préservant la résilience des zones côtières et en soutenant les moyens d’existence grâce à la pêche, à l’agriculture et au tourisme.</w:t>
      </w:r>
    </w:p>
    <w:p w14:paraId="326B1D66" w14:textId="77777777" w:rsidR="00CB50EB" w:rsidRPr="003366C9" w:rsidRDefault="00CB50EB" w:rsidP="00CB50EB">
      <w:pPr>
        <w:ind w:left="426" w:hanging="426"/>
        <w:rPr>
          <w:rFonts w:ascii="Calibri" w:eastAsia="Calibri" w:hAnsi="Calibri" w:cs="Times New Roman"/>
          <w:sz w:val="22"/>
          <w:szCs w:val="22"/>
        </w:rPr>
      </w:pPr>
    </w:p>
    <w:p w14:paraId="670E10B9" w14:textId="5CF5454B" w:rsidR="00CB50EB" w:rsidRPr="00CA1604" w:rsidRDefault="0029250E" w:rsidP="000D63DF">
      <w:pPr>
        <w:ind w:left="426" w:hanging="426"/>
        <w:rPr>
          <w:rFonts w:ascii="Calibri" w:eastAsia="Calibri" w:hAnsi="Calibri" w:cs="Times New Roman"/>
          <w:sz w:val="22"/>
          <w:szCs w:val="22"/>
        </w:rPr>
      </w:pPr>
      <w:r w:rsidRPr="00CA1604">
        <w:rPr>
          <w:rFonts w:ascii="Calibri" w:hAnsi="Calibri"/>
          <w:sz w:val="22"/>
          <w:szCs w:val="22"/>
        </w:rPr>
        <w:t>6.</w:t>
      </w:r>
      <w:r w:rsidRPr="00CA1604">
        <w:rPr>
          <w:rFonts w:ascii="Calibri" w:hAnsi="Calibri"/>
          <w:sz w:val="22"/>
          <w:szCs w:val="22"/>
        </w:rPr>
        <w:tab/>
        <w:t>Il reste très difficile de déterminer avec précision l’étendue couverte par les zones humides dans le monde à ce jour. Les Perspectives mondiales des zones humides (2018) estimaient que les zones humides couvraient plus de 12,1 millions de kilomètres carrés, tandis que des études plus récentes suggèrent une fourchette allant de six millions de km</w:t>
      </w:r>
      <w:r w:rsidRPr="00CA1604">
        <w:rPr>
          <w:rFonts w:ascii="Calibri" w:hAnsi="Calibri"/>
          <w:sz w:val="22"/>
          <w:szCs w:val="22"/>
          <w:vertAlign w:val="superscript"/>
        </w:rPr>
        <w:t>2</w:t>
      </w:r>
      <w:r w:rsidRPr="00CA1604">
        <w:rPr>
          <w:rFonts w:ascii="Calibri" w:hAnsi="Calibri"/>
          <w:sz w:val="22"/>
          <w:szCs w:val="22"/>
        </w:rPr>
        <w:t xml:space="preserve"> à 29,8 millions de km</w:t>
      </w:r>
      <w:r w:rsidRPr="00CA1604">
        <w:rPr>
          <w:rFonts w:ascii="Calibri" w:hAnsi="Calibri"/>
          <w:sz w:val="22"/>
          <w:szCs w:val="22"/>
          <w:vertAlign w:val="superscript"/>
        </w:rPr>
        <w:t>2</w:t>
      </w:r>
      <w:r w:rsidR="00CC440E" w:rsidRPr="00CA1604">
        <w:rPr>
          <w:rFonts w:ascii="Calibri" w:hAnsi="Calibri"/>
          <w:sz w:val="22"/>
          <w:szCs w:val="22"/>
          <w:vertAlign w:val="superscript"/>
        </w:rPr>
        <w:t xml:space="preserve"> </w:t>
      </w:r>
      <w:r w:rsidR="00CB50EB" w:rsidRPr="00CA1604">
        <w:rPr>
          <w:rStyle w:val="FootnoteReference"/>
          <w:rFonts w:ascii="Calibri" w:eastAsia="Calibri" w:hAnsi="Calibri" w:cs="Times New Roman"/>
          <w:sz w:val="22"/>
          <w:szCs w:val="22"/>
          <w:lang w:val="en-GB"/>
        </w:rPr>
        <w:footnoteReference w:id="9"/>
      </w:r>
      <w:r w:rsidRPr="00CA1604">
        <w:rPr>
          <w:rFonts w:ascii="Calibri" w:hAnsi="Calibri"/>
          <w:sz w:val="22"/>
          <w:szCs w:val="22"/>
          <w:vertAlign w:val="superscript"/>
        </w:rPr>
        <w:t>,</w:t>
      </w:r>
      <w:r w:rsidR="00CB50EB" w:rsidRPr="00CA1604">
        <w:rPr>
          <w:rStyle w:val="FootnoteReference"/>
          <w:rFonts w:ascii="Calibri" w:eastAsia="Calibri" w:hAnsi="Calibri" w:cs="Times New Roman"/>
          <w:sz w:val="22"/>
          <w:szCs w:val="22"/>
          <w:lang w:val="en-GB"/>
        </w:rPr>
        <w:footnoteReference w:id="10"/>
      </w:r>
      <w:r w:rsidRPr="00CA1604">
        <w:rPr>
          <w:rFonts w:ascii="Calibri" w:hAnsi="Calibri"/>
          <w:sz w:val="22"/>
          <w:szCs w:val="22"/>
        </w:rPr>
        <w:t>. Cette forte variabilité résulte de différences dans les systèmes de classification et les méthodes de cartographie, ainsi que de l’inclusion ou non, par exemple, des zones humides présentes en zone intertidale et subtidale. Ces incohérences nuisent aux efforts de suivi et soulignent la nécessité d’harmoniser les approches utilisées</w:t>
      </w:r>
      <w:r w:rsidR="008C7F7E" w:rsidRPr="00CA1604">
        <w:rPr>
          <w:rStyle w:val="FootnoteReference"/>
          <w:rFonts w:ascii="Calibri" w:eastAsia="Calibri" w:hAnsi="Calibri" w:cs="Times New Roman"/>
          <w:sz w:val="22"/>
          <w:szCs w:val="22"/>
          <w:lang w:val="en-GB"/>
        </w:rPr>
        <w:footnoteReference w:id="11"/>
      </w:r>
      <w:r w:rsidRPr="00CA1604">
        <w:rPr>
          <w:rFonts w:ascii="Calibri" w:hAnsi="Calibri"/>
          <w:sz w:val="22"/>
          <w:szCs w:val="22"/>
        </w:rPr>
        <w:t>. Les zones humides continentales, dont les lacs, les rivières, les marécages et les tourbières, représentent la majeure partie de la superficie totale des zones humides dans le monde, suivies des zones humides côtières et marines. Les zones humides artificielles, telles que les rizières et les retenues, s’ajoutent à ce total mais n’en représentent qu’une toute petite partie.</w:t>
      </w:r>
    </w:p>
    <w:p w14:paraId="21A46B24" w14:textId="77777777" w:rsidR="00CB50EB" w:rsidRPr="003366C9" w:rsidRDefault="00CB50EB" w:rsidP="00CB50EB">
      <w:pPr>
        <w:ind w:left="426" w:hanging="426"/>
        <w:rPr>
          <w:rFonts w:ascii="Calibri" w:eastAsia="Calibri" w:hAnsi="Calibri" w:cs="Times New Roman"/>
          <w:sz w:val="22"/>
          <w:szCs w:val="22"/>
        </w:rPr>
      </w:pPr>
    </w:p>
    <w:p w14:paraId="0A786E47" w14:textId="7DC68298" w:rsidR="00201426" w:rsidRPr="00CA1604" w:rsidRDefault="0029250E" w:rsidP="00201426">
      <w:pPr>
        <w:ind w:left="426" w:hanging="426"/>
        <w:rPr>
          <w:rFonts w:ascii="Calibri" w:eastAsia="Calibri" w:hAnsi="Calibri" w:cs="Times New Roman"/>
          <w:sz w:val="22"/>
          <w:szCs w:val="22"/>
        </w:rPr>
      </w:pPr>
      <w:r w:rsidRPr="00CA1604">
        <w:rPr>
          <w:rFonts w:ascii="Calibri" w:hAnsi="Calibri"/>
          <w:sz w:val="22"/>
          <w:szCs w:val="22"/>
        </w:rPr>
        <w:lastRenderedPageBreak/>
        <w:t>7.</w:t>
      </w:r>
      <w:r w:rsidRPr="00CA1604">
        <w:rPr>
          <w:rFonts w:ascii="Calibri" w:hAnsi="Calibri"/>
          <w:sz w:val="22"/>
          <w:szCs w:val="22"/>
        </w:rPr>
        <w:tab/>
        <w:t>On estime qu’au moins 35 % des zones humides ont disparu depuis 1970</w:t>
      </w:r>
      <w:r w:rsidR="00201426" w:rsidRPr="00CA1604">
        <w:rPr>
          <w:rStyle w:val="FootnoteReference"/>
          <w:rFonts w:ascii="Calibri" w:eastAsia="Calibri" w:hAnsi="Calibri" w:cs="Times New Roman"/>
          <w:sz w:val="22"/>
          <w:szCs w:val="22"/>
          <w:lang w:val="en-GB"/>
        </w:rPr>
        <w:footnoteReference w:id="12"/>
      </w:r>
      <w:r w:rsidRPr="00CA1604">
        <w:rPr>
          <w:rFonts w:ascii="Calibri" w:hAnsi="Calibri"/>
          <w:sz w:val="22"/>
          <w:szCs w:val="22"/>
        </w:rPr>
        <w:t>, et la disparition et la dégradation des zones humides se poursuivent à un rythme alarmant, sous l’effet du changement d’affectation des terres, de la pollution, du prélèvement d’eau, du changement climatique et du développement des infrastructures. Outre ces tendances récentes, les analyses historiques permettent d’estimer que près de 3,4 millions de km</w:t>
      </w:r>
      <w:r w:rsidRPr="00CA1604">
        <w:rPr>
          <w:rFonts w:ascii="Calibri" w:hAnsi="Calibri"/>
          <w:sz w:val="22"/>
          <w:szCs w:val="22"/>
          <w:vertAlign w:val="superscript"/>
        </w:rPr>
        <w:t>2</w:t>
      </w:r>
      <w:r w:rsidRPr="00CA1604">
        <w:rPr>
          <w:rFonts w:ascii="Calibri" w:hAnsi="Calibri"/>
          <w:sz w:val="22"/>
          <w:szCs w:val="22"/>
        </w:rPr>
        <w:t xml:space="preserve"> de zones humides continentales ont disparu depuis 1700</w:t>
      </w:r>
      <w:r w:rsidR="00201426" w:rsidRPr="00CA1604">
        <w:rPr>
          <w:rStyle w:val="FootnoteReference"/>
          <w:rFonts w:ascii="Calibri" w:eastAsia="Calibri" w:hAnsi="Calibri" w:cs="Times New Roman"/>
          <w:sz w:val="22"/>
          <w:szCs w:val="22"/>
          <w:lang w:val="en-GB"/>
        </w:rPr>
        <w:footnoteReference w:id="13"/>
      </w:r>
      <w:r w:rsidRPr="00CA1604">
        <w:rPr>
          <w:rFonts w:ascii="Calibri" w:hAnsi="Calibri"/>
          <w:sz w:val="22"/>
          <w:szCs w:val="22"/>
        </w:rPr>
        <w:t>, bien que ces chiffres à long terme varient selon les définitions et les sources de données utilisées. Les répercussions sont particulièrement graves pour la biodiversité des milieux d’eau douce, puisqu’on estime que près d’un tiers des espèces de poissons d’eau douce sont menacées d’extinction</w:t>
      </w:r>
      <w:r w:rsidR="00201426" w:rsidRPr="00CA1604">
        <w:rPr>
          <w:rStyle w:val="FootnoteReference"/>
          <w:rFonts w:ascii="Calibri" w:eastAsia="Calibri" w:hAnsi="Calibri" w:cs="Times New Roman"/>
          <w:sz w:val="22"/>
          <w:szCs w:val="22"/>
          <w:lang w:val="en-GB"/>
        </w:rPr>
        <w:footnoteReference w:id="14"/>
      </w:r>
      <w:r w:rsidRPr="00CA1604">
        <w:rPr>
          <w:rFonts w:ascii="Calibri" w:hAnsi="Calibri"/>
          <w:sz w:val="22"/>
          <w:szCs w:val="22"/>
        </w:rPr>
        <w:t>.</w:t>
      </w:r>
    </w:p>
    <w:p w14:paraId="492B5BCE" w14:textId="77777777" w:rsidR="00201426" w:rsidRPr="003366C9" w:rsidRDefault="00201426" w:rsidP="00201426">
      <w:pPr>
        <w:ind w:left="426" w:hanging="426"/>
        <w:rPr>
          <w:rFonts w:ascii="Calibri" w:eastAsia="Calibri" w:hAnsi="Calibri" w:cs="Times New Roman"/>
          <w:sz w:val="22"/>
          <w:szCs w:val="22"/>
        </w:rPr>
      </w:pPr>
    </w:p>
    <w:p w14:paraId="02DA60BD" w14:textId="3C6EF675" w:rsidR="00CB50EB" w:rsidRPr="00CA1604" w:rsidRDefault="0087657A" w:rsidP="000A22C2">
      <w:pPr>
        <w:ind w:left="426" w:hanging="426"/>
        <w:rPr>
          <w:rFonts w:ascii="Calibri" w:eastAsia="Calibri" w:hAnsi="Calibri" w:cs="Times New Roman"/>
          <w:sz w:val="22"/>
          <w:szCs w:val="22"/>
        </w:rPr>
      </w:pPr>
      <w:r w:rsidRPr="00CA1604">
        <w:rPr>
          <w:rFonts w:ascii="Calibri" w:hAnsi="Calibri"/>
          <w:sz w:val="22"/>
          <w:szCs w:val="22"/>
        </w:rPr>
        <w:t>8.</w:t>
      </w:r>
      <w:r w:rsidRPr="00CA1604">
        <w:rPr>
          <w:rFonts w:ascii="Calibri" w:hAnsi="Calibri"/>
          <w:sz w:val="22"/>
          <w:szCs w:val="22"/>
        </w:rPr>
        <w:tab/>
        <w:t>De nombreux écosystèmes de zones humides ont subi et continuent de subir fluctuations hydrologiques, accumulation de nutriments, fragmentation</w:t>
      </w:r>
      <w:r w:rsidR="00CC440E" w:rsidRPr="00CA1604">
        <w:rPr>
          <w:rFonts w:ascii="Calibri" w:hAnsi="Calibri"/>
          <w:sz w:val="22"/>
          <w:szCs w:val="22"/>
        </w:rPr>
        <w:t xml:space="preserve"> et d</w:t>
      </w:r>
      <w:r w:rsidRPr="00CA1604">
        <w:rPr>
          <w:rFonts w:ascii="Calibri" w:hAnsi="Calibri"/>
          <w:sz w:val="22"/>
          <w:szCs w:val="22"/>
        </w:rPr>
        <w:t>éclin de leurs fonctions écologiques. Ces évolutions réduisent leur capacité à fournir des services essentiels (p. ex., régulation des crues, stockage du carbone et connectivité des habitats) et mettent en péril leur rôle dans le soutien aux objectifs en matière de climat et de biodiversité. Dans ce contexte, la restauration des zones humides</w:t>
      </w:r>
      <w:r w:rsidR="00C15047" w:rsidRPr="00CA1604">
        <w:rPr>
          <w:rStyle w:val="FootnoteReference"/>
          <w:rFonts w:ascii="Calibri" w:eastAsia="Calibri" w:hAnsi="Calibri" w:cs="Times New Roman"/>
          <w:sz w:val="22"/>
          <w:szCs w:val="22"/>
          <w:lang w:val="en-GB"/>
        </w:rPr>
        <w:footnoteReference w:id="15"/>
      </w:r>
      <w:r w:rsidRPr="00CA1604">
        <w:rPr>
          <w:rFonts w:ascii="Calibri" w:hAnsi="Calibri"/>
          <w:sz w:val="22"/>
          <w:szCs w:val="22"/>
        </w:rPr>
        <w:t xml:space="preserve"> se révèle aussi bien une urgente nécessité qu’une opportunité stratégique d’inverser les dommages écologiques tout en générant d’autres retombées positives, comme la résilience climatique, l’amélioration de la qualité et de la disponibilité de l’eau, le renforcement de la réduction des risques de catastrophe, et l’offre de moyens d’existence durables. </w:t>
      </w:r>
    </w:p>
    <w:p w14:paraId="0EBDDB59" w14:textId="77777777" w:rsidR="00CB50EB" w:rsidRPr="003366C9" w:rsidRDefault="00CB50EB" w:rsidP="00CB50EB">
      <w:pPr>
        <w:ind w:left="426" w:hanging="426"/>
        <w:rPr>
          <w:rFonts w:ascii="Calibri" w:eastAsia="Calibri" w:hAnsi="Calibri" w:cs="Times New Roman"/>
          <w:sz w:val="22"/>
          <w:szCs w:val="22"/>
        </w:rPr>
      </w:pPr>
    </w:p>
    <w:p w14:paraId="2494B104" w14:textId="70C21931" w:rsidR="00CB50EB" w:rsidRPr="00CA1604" w:rsidRDefault="007834B3" w:rsidP="00CB50EB">
      <w:pPr>
        <w:ind w:left="426" w:hanging="426"/>
        <w:rPr>
          <w:rFonts w:ascii="Calibri" w:eastAsia="Calibri" w:hAnsi="Calibri" w:cs="Times New Roman"/>
          <w:sz w:val="22"/>
          <w:szCs w:val="22"/>
        </w:rPr>
      </w:pPr>
      <w:r w:rsidRPr="00CA1604">
        <w:rPr>
          <w:rFonts w:ascii="Calibri" w:hAnsi="Calibri"/>
          <w:sz w:val="22"/>
          <w:szCs w:val="22"/>
        </w:rPr>
        <w:t>9.</w:t>
      </w:r>
      <w:r w:rsidRPr="00CA1604">
        <w:rPr>
          <w:rFonts w:ascii="Calibri" w:hAnsi="Calibri"/>
          <w:sz w:val="22"/>
          <w:szCs w:val="22"/>
        </w:rPr>
        <w:tab/>
        <w:t>La Convention reconnaît ces faits depuis longtemps, intégrant la restauration dans ses plans stratégiques et abordant le sujet dans de nombreuses résolutions (p. ex., les Résolutions VIII.16, XIII.13 et XIV.6</w:t>
      </w:r>
      <w:r w:rsidR="00AE669B" w:rsidRPr="00CA1604">
        <w:rPr>
          <w:rStyle w:val="FootnoteReference"/>
          <w:sz w:val="22"/>
          <w:szCs w:val="22"/>
        </w:rPr>
        <w:footnoteReference w:id="16"/>
      </w:r>
      <w:r w:rsidRPr="00CA1604">
        <w:rPr>
          <w:rFonts w:ascii="Calibri" w:hAnsi="Calibri"/>
          <w:sz w:val="22"/>
          <w:szCs w:val="22"/>
        </w:rPr>
        <w:t>) et directives techniques. Les efforts de restauration sont également essentiels pour mener à bien les engagements internationaux, dont :</w:t>
      </w:r>
    </w:p>
    <w:p w14:paraId="47F47145" w14:textId="614D4FC8" w:rsidR="00D0672E" w:rsidRPr="00170690" w:rsidRDefault="00CB50EB" w:rsidP="005D3D58">
      <w:pPr>
        <w:pStyle w:val="ListParagraph"/>
        <w:numPr>
          <w:ilvl w:val="0"/>
          <w:numId w:val="25"/>
        </w:numPr>
        <w:ind w:left="810"/>
        <w:rPr>
          <w:rFonts w:ascii="Calibri" w:eastAsia="Calibri" w:hAnsi="Calibri" w:cs="Times New Roman"/>
          <w:spacing w:val="-2"/>
          <w:sz w:val="22"/>
          <w:szCs w:val="22"/>
        </w:rPr>
      </w:pPr>
      <w:r w:rsidRPr="00170690">
        <w:rPr>
          <w:rFonts w:ascii="Calibri" w:hAnsi="Calibri"/>
          <w:spacing w:val="-2"/>
          <w:sz w:val="22"/>
          <w:szCs w:val="22"/>
        </w:rPr>
        <w:t>La cible 2 du Cadre mondial de la biodiversité de Kunming-Montréal : « veiller à ce que, d’ici à 2030, au moins 30 % des zones d’écosystèmes terrestres, d’eaux intérieures et d’écosystèmes marins et côtiers dégradés fassent l’objet de mesures de remise en état efficaces » ;</w:t>
      </w:r>
    </w:p>
    <w:p w14:paraId="770C6D61" w14:textId="6DFA838B" w:rsidR="00CB50EB" w:rsidRPr="00CA1604" w:rsidRDefault="00CB50EB" w:rsidP="00CB50EB">
      <w:pPr>
        <w:pStyle w:val="ListParagraph"/>
        <w:numPr>
          <w:ilvl w:val="0"/>
          <w:numId w:val="25"/>
        </w:numPr>
        <w:ind w:left="810"/>
        <w:rPr>
          <w:rFonts w:ascii="Calibri" w:eastAsia="Calibri" w:hAnsi="Calibri" w:cs="Times New Roman"/>
          <w:sz w:val="22"/>
          <w:szCs w:val="22"/>
        </w:rPr>
      </w:pPr>
      <w:r w:rsidRPr="00CA1604">
        <w:rPr>
          <w:rFonts w:ascii="Calibri" w:hAnsi="Calibri"/>
          <w:sz w:val="22"/>
          <w:szCs w:val="22"/>
        </w:rPr>
        <w:t>L’ODD 6.6 : « protéger et restaurer les écosystèmes liés à l’eau » ;</w:t>
      </w:r>
    </w:p>
    <w:p w14:paraId="32CD1DA5" w14:textId="3E956E2C" w:rsidR="00CB50EB" w:rsidRPr="00CA1604" w:rsidRDefault="00CB50EB" w:rsidP="00CB50EB">
      <w:pPr>
        <w:pStyle w:val="ListParagraph"/>
        <w:numPr>
          <w:ilvl w:val="0"/>
          <w:numId w:val="25"/>
        </w:numPr>
        <w:ind w:left="810"/>
        <w:rPr>
          <w:rFonts w:ascii="Calibri" w:eastAsia="Calibri" w:hAnsi="Calibri" w:cs="Times New Roman"/>
          <w:sz w:val="22"/>
          <w:szCs w:val="22"/>
        </w:rPr>
      </w:pPr>
      <w:r w:rsidRPr="00CA1604">
        <w:rPr>
          <w:rFonts w:ascii="Calibri" w:hAnsi="Calibri"/>
          <w:sz w:val="22"/>
          <w:szCs w:val="22"/>
        </w:rPr>
        <w:t>L’ODD 14.2 : « gérer et protéger durablement les écosystèmes marins et côtiers, notamment en renforçant leur résilience et leur restauration pour rétablir la santé et la productivité des océans » ;</w:t>
      </w:r>
    </w:p>
    <w:p w14:paraId="01F72314" w14:textId="05B05F6F" w:rsidR="00CB50EB" w:rsidRPr="00CA1604" w:rsidRDefault="00CB50EB" w:rsidP="00CB50EB">
      <w:pPr>
        <w:pStyle w:val="ListParagraph"/>
        <w:numPr>
          <w:ilvl w:val="0"/>
          <w:numId w:val="25"/>
        </w:numPr>
        <w:ind w:left="810"/>
        <w:rPr>
          <w:rFonts w:ascii="Calibri" w:eastAsia="Calibri" w:hAnsi="Calibri" w:cs="Times New Roman"/>
          <w:sz w:val="22"/>
          <w:szCs w:val="22"/>
        </w:rPr>
      </w:pPr>
      <w:r w:rsidRPr="00CA1604">
        <w:rPr>
          <w:rFonts w:ascii="Calibri" w:hAnsi="Calibri"/>
          <w:sz w:val="22"/>
          <w:szCs w:val="22"/>
        </w:rPr>
        <w:t>L’ODD 15.1 : « garantir la préservation et la restauration des écosystèmes terrestres et des écosystèmes d’eau douce » ; et</w:t>
      </w:r>
    </w:p>
    <w:p w14:paraId="01096B78" w14:textId="29E226D2" w:rsidR="00CB50EB" w:rsidRPr="00CA1604" w:rsidRDefault="00AE669B" w:rsidP="00CB50EB">
      <w:pPr>
        <w:pStyle w:val="ListParagraph"/>
        <w:numPr>
          <w:ilvl w:val="0"/>
          <w:numId w:val="25"/>
        </w:numPr>
        <w:ind w:left="810"/>
        <w:rPr>
          <w:rFonts w:ascii="Calibri" w:eastAsia="Calibri" w:hAnsi="Calibri" w:cs="Times New Roman"/>
          <w:sz w:val="22"/>
          <w:szCs w:val="22"/>
        </w:rPr>
      </w:pPr>
      <w:r w:rsidRPr="00CA1604">
        <w:rPr>
          <w:rFonts w:ascii="Calibri" w:hAnsi="Calibri"/>
          <w:sz w:val="22"/>
          <w:szCs w:val="22"/>
        </w:rPr>
        <w:t xml:space="preserve">L’Accord de Paris sur le climat. </w:t>
      </w:r>
    </w:p>
    <w:p w14:paraId="1C5F738A" w14:textId="77777777" w:rsidR="00CB50EB" w:rsidRPr="003366C9" w:rsidRDefault="00CB50EB" w:rsidP="00CB50EB">
      <w:pPr>
        <w:ind w:left="426" w:hanging="426"/>
        <w:rPr>
          <w:rFonts w:ascii="Calibri" w:eastAsia="Calibri" w:hAnsi="Calibri" w:cs="Times New Roman"/>
          <w:sz w:val="22"/>
          <w:szCs w:val="22"/>
        </w:rPr>
      </w:pPr>
    </w:p>
    <w:p w14:paraId="3DBE0FAF" w14:textId="609B84C9" w:rsidR="00E663D8" w:rsidRPr="00CA1604" w:rsidRDefault="00E663D8" w:rsidP="00E663D8">
      <w:pPr>
        <w:ind w:left="426" w:hanging="426"/>
        <w:rPr>
          <w:rFonts w:ascii="Calibri" w:eastAsia="Calibri" w:hAnsi="Calibri" w:cs="Times New Roman"/>
          <w:sz w:val="22"/>
          <w:szCs w:val="22"/>
        </w:rPr>
      </w:pPr>
      <w:r w:rsidRPr="00CA1604">
        <w:rPr>
          <w:rFonts w:ascii="Calibri" w:hAnsi="Calibri"/>
          <w:sz w:val="22"/>
          <w:szCs w:val="22"/>
        </w:rPr>
        <w:t>10.</w:t>
      </w:r>
      <w:r w:rsidRPr="00CA1604">
        <w:rPr>
          <w:rFonts w:ascii="Calibri" w:hAnsi="Calibri"/>
          <w:sz w:val="22"/>
          <w:szCs w:val="22"/>
        </w:rPr>
        <w:tab/>
        <w:t>La Décennie des Nations Unies pour la restauration des écosystèmes (2021-2030) est une initiative mondiale qui vise à promouvoir et à accélérer la restauration des écosystèmes, y compris des zones humides, en aidant les pays à atteindre les objectifs mondiaux grâce à la sensibilisation, à la mobilisation des partenariats et au renforcement de la mise en œuvre.</w:t>
      </w:r>
    </w:p>
    <w:p w14:paraId="7796ADED" w14:textId="77777777" w:rsidR="00CB50EB" w:rsidRPr="003366C9" w:rsidRDefault="00CB50EB" w:rsidP="00CB50EB">
      <w:pPr>
        <w:ind w:left="426" w:hanging="426"/>
        <w:rPr>
          <w:rFonts w:ascii="Calibri" w:eastAsia="Calibri" w:hAnsi="Calibri" w:cs="Times New Roman"/>
          <w:sz w:val="22"/>
          <w:szCs w:val="22"/>
        </w:rPr>
      </w:pPr>
    </w:p>
    <w:p w14:paraId="6A9B50DC" w14:textId="75CC30F9" w:rsidR="00CB50EB" w:rsidRPr="00CA1604" w:rsidRDefault="008501C4" w:rsidP="008B4E74">
      <w:pPr>
        <w:suppressLineNumbers/>
        <w:suppressAutoHyphens/>
        <w:ind w:left="432" w:hanging="432"/>
        <w:rPr>
          <w:rFonts w:ascii="Calibri" w:eastAsia="Calibri" w:hAnsi="Calibri" w:cs="Arial"/>
          <w:b/>
          <w:sz w:val="22"/>
          <w:szCs w:val="22"/>
        </w:rPr>
      </w:pPr>
      <w:r w:rsidRPr="00CA1604">
        <w:rPr>
          <w:rFonts w:ascii="Calibri" w:hAnsi="Calibri"/>
          <w:b/>
          <w:sz w:val="22"/>
          <w:szCs w:val="22"/>
        </w:rPr>
        <w:t>Efforts déployés dans le cadre de la Convention sur les zones humides</w:t>
      </w:r>
    </w:p>
    <w:p w14:paraId="6379FA30" w14:textId="77777777" w:rsidR="00CB50EB" w:rsidRPr="003366C9" w:rsidRDefault="00CB50EB" w:rsidP="00CB50EB">
      <w:pPr>
        <w:ind w:left="426" w:hanging="426"/>
        <w:rPr>
          <w:rFonts w:ascii="Calibri" w:eastAsia="Calibri" w:hAnsi="Calibri" w:cs="Times New Roman"/>
          <w:sz w:val="22"/>
          <w:szCs w:val="22"/>
        </w:rPr>
      </w:pPr>
    </w:p>
    <w:p w14:paraId="1EC05E1C" w14:textId="785C38B0" w:rsidR="00CB50EB" w:rsidRPr="00CA1604" w:rsidRDefault="00CB50EB" w:rsidP="007A2FD0">
      <w:pPr>
        <w:ind w:left="426" w:hanging="426"/>
        <w:rPr>
          <w:rFonts w:ascii="Calibri" w:eastAsia="Calibri" w:hAnsi="Calibri" w:cs="Times New Roman"/>
          <w:sz w:val="22"/>
          <w:szCs w:val="22"/>
        </w:rPr>
      </w:pPr>
      <w:r w:rsidRPr="00CA1604">
        <w:rPr>
          <w:rFonts w:ascii="Calibri" w:hAnsi="Calibri"/>
          <w:sz w:val="22"/>
          <w:szCs w:val="22"/>
        </w:rPr>
        <w:t>11.</w:t>
      </w:r>
      <w:r w:rsidRPr="00CA1604">
        <w:rPr>
          <w:rFonts w:ascii="Calibri" w:hAnsi="Calibri"/>
          <w:sz w:val="22"/>
          <w:szCs w:val="22"/>
        </w:rPr>
        <w:tab/>
        <w:t xml:space="preserve">Depuis le début des années 1990, la Convention reconnaît que la restauration est au cœur de la conservation et de l’utilisation rationnelle des zones humides. La Recommandation 4.1 (1990) encourage la mise en place de projets de restauration, tandis que la Recommandation 6.15 (1996) appelle à intégrer la restauration dans les politiques environnementales nationales. La Résolution VII.17 (1999) insiste sur le fait que la restauration est un élément clé de la planification nationale des zones humides. Dans la Résolution VIII.16 (2002), les Parties contractantes ont adopté des principes et des lignes directrices pour la restauration des zones humides. Celles-ci ont fourni des orientations structurées et adaptables pour la planification, la mise en œuvre et le suivi, et elles continuent à servir de pierre angulaire aux actions menées au niveau national. </w:t>
      </w:r>
    </w:p>
    <w:p w14:paraId="54E71683" w14:textId="77777777" w:rsidR="00CB50EB" w:rsidRPr="003366C9" w:rsidRDefault="00CB50EB" w:rsidP="00CB50EB">
      <w:pPr>
        <w:ind w:left="426" w:hanging="426"/>
        <w:rPr>
          <w:rFonts w:ascii="Calibri" w:eastAsia="Calibri" w:hAnsi="Calibri" w:cs="Times New Roman"/>
          <w:sz w:val="22"/>
          <w:szCs w:val="22"/>
        </w:rPr>
      </w:pPr>
    </w:p>
    <w:p w14:paraId="25B8DEE7" w14:textId="03F8C110" w:rsidR="00A571DD" w:rsidRPr="00CA1604" w:rsidRDefault="00CB50EB" w:rsidP="00150C87">
      <w:pPr>
        <w:ind w:left="426" w:hanging="426"/>
        <w:rPr>
          <w:rFonts w:ascii="Calibri" w:eastAsia="Calibri" w:hAnsi="Calibri" w:cs="Times New Roman"/>
          <w:sz w:val="22"/>
          <w:szCs w:val="22"/>
        </w:rPr>
      </w:pPr>
      <w:r w:rsidRPr="00CA1604">
        <w:rPr>
          <w:rFonts w:ascii="Calibri" w:hAnsi="Calibri"/>
          <w:sz w:val="22"/>
          <w:szCs w:val="22"/>
        </w:rPr>
        <w:t>12.</w:t>
      </w:r>
      <w:r w:rsidRPr="00CA1604">
        <w:rPr>
          <w:rFonts w:ascii="Calibri" w:hAnsi="Calibri"/>
          <w:sz w:val="22"/>
          <w:szCs w:val="22"/>
        </w:rPr>
        <w:tab/>
        <w:t xml:space="preserve">L’objectif 12 du </w:t>
      </w:r>
      <w:r w:rsidRPr="00CA1604">
        <w:rPr>
          <w:sz w:val="22"/>
          <w:szCs w:val="22"/>
        </w:rPr>
        <w:t>Quatrième</w:t>
      </w:r>
      <w:r w:rsidRPr="00CA1604">
        <w:rPr>
          <w:rFonts w:ascii="Calibri" w:hAnsi="Calibri"/>
          <w:sz w:val="22"/>
          <w:szCs w:val="22"/>
        </w:rPr>
        <w:t xml:space="preserve"> Plan stratégique 2016-2024 (PS4)</w:t>
      </w:r>
      <w:r w:rsidR="00336D02" w:rsidRPr="00CA1604">
        <w:rPr>
          <w:rStyle w:val="FootnoteReference"/>
          <w:rFonts w:ascii="Calibri" w:eastAsia="Calibri" w:hAnsi="Calibri" w:cs="Times New Roman"/>
          <w:sz w:val="22"/>
          <w:szCs w:val="22"/>
          <w:lang w:val="en-GB"/>
        </w:rPr>
        <w:footnoteReference w:id="17"/>
      </w:r>
      <w:r w:rsidRPr="00CA1604">
        <w:rPr>
          <w:rFonts w:ascii="Calibri" w:hAnsi="Calibri"/>
          <w:sz w:val="22"/>
          <w:szCs w:val="22"/>
        </w:rPr>
        <w:t xml:space="preserve"> de la Convention sur les zones humides est axé sur la restauration des zones humides : « 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 »</w:t>
      </w:r>
      <w:r w:rsidRPr="00CA1604">
        <w:rPr>
          <w:rFonts w:ascii="Calibri" w:hAnsi="Calibri"/>
          <w:i/>
          <w:sz w:val="22"/>
          <w:szCs w:val="22"/>
        </w:rPr>
        <w:t xml:space="preserve"> </w:t>
      </w:r>
      <w:r w:rsidRPr="00CA1604">
        <w:rPr>
          <w:rFonts w:ascii="Calibri" w:hAnsi="Calibri"/>
          <w:sz w:val="22"/>
          <w:szCs w:val="22"/>
        </w:rPr>
        <w:t xml:space="preserve">De nombreuses résolutions récentes abordent le sujet de la restauration des zones humides, pour certains types de zones humides en particulier (comme les Résolutions XIII.13 et XIII.14) ou pour certains objectifs spécifiques (comme les Résolutions XIV.16 et XIV.17). Plusieurs produits du GEST préparés dans le cadre du PS4 abordent également le sujet de la restauration. Le tableau 1 ci-dessous résume les principales contributions apportées par la Convention pour faire progresser la restauration des zones humides. </w:t>
      </w:r>
    </w:p>
    <w:p w14:paraId="2A1F4BBF" w14:textId="77777777" w:rsidR="00CB50EB" w:rsidRPr="003366C9" w:rsidRDefault="00CB50EB" w:rsidP="00CB50EB">
      <w:pPr>
        <w:ind w:left="426" w:hanging="426"/>
        <w:rPr>
          <w:rFonts w:ascii="Calibri" w:eastAsia="Calibri" w:hAnsi="Calibri" w:cs="Times New Roman"/>
          <w:sz w:val="22"/>
          <w:szCs w:val="22"/>
        </w:rPr>
      </w:pPr>
    </w:p>
    <w:p w14:paraId="0DA99E14" w14:textId="49A31A75" w:rsidR="00CB50EB" w:rsidRPr="00CA1604" w:rsidRDefault="00CB50EB" w:rsidP="00CB50EB">
      <w:pPr>
        <w:ind w:left="426" w:hanging="426"/>
        <w:rPr>
          <w:rFonts w:ascii="Calibri" w:eastAsia="Calibri" w:hAnsi="Calibri" w:cs="Times New Roman"/>
          <w:sz w:val="22"/>
          <w:szCs w:val="22"/>
        </w:rPr>
      </w:pPr>
      <w:r w:rsidRPr="00CA1604">
        <w:rPr>
          <w:rFonts w:ascii="Calibri" w:hAnsi="Calibri"/>
          <w:sz w:val="22"/>
          <w:szCs w:val="22"/>
        </w:rPr>
        <w:t>13.</w:t>
      </w:r>
      <w:r w:rsidRPr="00CA1604">
        <w:rPr>
          <w:rFonts w:ascii="Calibri" w:hAnsi="Calibri"/>
          <w:sz w:val="22"/>
          <w:szCs w:val="22"/>
        </w:rPr>
        <w:tab/>
        <w:t xml:space="preserve">Les rapports nationaux soumis à la COP15 montrent que des programmes de restauration ont été mis en œuvre dans de nombreux pays mais que, dans l’ensemble, les progrès restent inégaux. Pour la COP15, 54 % des Parties contractantes ayant soumis leur rapport national déclarent avoir mis en œuvre des programmes de restauration, et 45 % déclarent avoir établi des objectifs de restauration au niveau national, mais ce chiffre montre une légère baisse au cours des neuf années couvertes par le PS4. 44 % des Parties ont identifié des sites à restaurer en priorité. </w:t>
      </w:r>
    </w:p>
    <w:p w14:paraId="3F2227E1" w14:textId="77777777" w:rsidR="00CB50EB" w:rsidRPr="003366C9" w:rsidRDefault="00CB50EB" w:rsidP="00CB50EB">
      <w:pPr>
        <w:ind w:left="426" w:hanging="426"/>
        <w:rPr>
          <w:rFonts w:ascii="Calibri" w:eastAsia="Calibri" w:hAnsi="Calibri" w:cs="Times New Roman"/>
          <w:sz w:val="22"/>
          <w:szCs w:val="22"/>
        </w:rPr>
      </w:pPr>
    </w:p>
    <w:p w14:paraId="432FCDF8" w14:textId="1B39B34A" w:rsidR="00CB50EB" w:rsidRPr="00CA1604" w:rsidRDefault="00CB50EB" w:rsidP="006E51BA">
      <w:pPr>
        <w:ind w:left="426" w:hanging="426"/>
        <w:rPr>
          <w:rFonts w:ascii="Calibri" w:eastAsia="Calibri" w:hAnsi="Calibri" w:cs="Times New Roman"/>
          <w:sz w:val="22"/>
          <w:szCs w:val="22"/>
        </w:rPr>
      </w:pPr>
      <w:r w:rsidRPr="00CA1604">
        <w:rPr>
          <w:rFonts w:ascii="Calibri" w:hAnsi="Calibri"/>
          <w:sz w:val="22"/>
          <w:szCs w:val="22"/>
        </w:rPr>
        <w:t>14.</w:t>
      </w:r>
      <w:r w:rsidRPr="00CA1604">
        <w:rPr>
          <w:rFonts w:ascii="Calibri" w:hAnsi="Calibri"/>
          <w:sz w:val="22"/>
          <w:szCs w:val="22"/>
        </w:rPr>
        <w:tab/>
        <w:t xml:space="preserve">Ces tendances montrent bien l’importante contribution de la Convention à la restauration des zones humides, la Convention faisant de la restauration des zones humides une priorité et encourageant la mise en œuvre, le suivi et la préparation de rapports sur la restauration des zones humides dans le monde. Les rapports nationaux mettent également en évidence la nécessité d’un soutien continu, en particulier dans les régions confrontées à des contraintes techniques et financières en matière de ressources. </w:t>
      </w:r>
    </w:p>
    <w:p w14:paraId="64C8E45A" w14:textId="77777777" w:rsidR="00CB50EB" w:rsidRPr="003366C9" w:rsidRDefault="00CB50EB" w:rsidP="00CB50EB">
      <w:pPr>
        <w:rPr>
          <w:rFonts w:ascii="Calibri" w:eastAsia="Calibri" w:hAnsi="Calibri" w:cs="Times New Roman"/>
          <w:sz w:val="22"/>
          <w:szCs w:val="22"/>
        </w:rPr>
      </w:pPr>
    </w:p>
    <w:p w14:paraId="09ED3002" w14:textId="4D1AD733" w:rsidR="00CB50EB" w:rsidRPr="00CA1604" w:rsidRDefault="00CB50EB" w:rsidP="00170690">
      <w:pPr>
        <w:keepNext/>
        <w:rPr>
          <w:rFonts w:ascii="Calibri" w:eastAsia="Calibri" w:hAnsi="Calibri" w:cs="Times New Roman"/>
          <w:i/>
          <w:iCs/>
          <w:sz w:val="22"/>
          <w:szCs w:val="22"/>
        </w:rPr>
      </w:pPr>
      <w:r w:rsidRPr="00CA1604">
        <w:rPr>
          <w:rFonts w:ascii="Calibri" w:hAnsi="Calibri"/>
          <w:i/>
          <w:sz w:val="22"/>
          <w:szCs w:val="22"/>
        </w:rPr>
        <w:lastRenderedPageBreak/>
        <w:t>Tableau 1. Principales contributions de la Convention sur les zones humides à la restauration des zones humides</w:t>
      </w:r>
    </w:p>
    <w:tbl>
      <w:tblPr>
        <w:tblStyle w:val="TableGrid"/>
        <w:tblW w:w="8995" w:type="dxa"/>
        <w:tblLook w:val="04A0" w:firstRow="1" w:lastRow="0" w:firstColumn="1" w:lastColumn="0" w:noHBand="0" w:noVBand="1"/>
      </w:tblPr>
      <w:tblGrid>
        <w:gridCol w:w="1569"/>
        <w:gridCol w:w="4006"/>
        <w:gridCol w:w="3420"/>
      </w:tblGrid>
      <w:tr w:rsidR="00CB50EB" w:rsidRPr="00FE6BB8" w14:paraId="78945138" w14:textId="77777777" w:rsidTr="00357DBA">
        <w:trPr>
          <w:tblHeader/>
        </w:trPr>
        <w:tc>
          <w:tcPr>
            <w:tcW w:w="1569" w:type="dxa"/>
            <w:tcBorders>
              <w:top w:val="single" w:sz="4" w:space="0" w:color="auto"/>
              <w:left w:val="single" w:sz="4" w:space="0" w:color="auto"/>
              <w:bottom w:val="single" w:sz="4" w:space="0" w:color="auto"/>
              <w:right w:val="single" w:sz="4" w:space="0" w:color="auto"/>
            </w:tcBorders>
            <w:vAlign w:val="center"/>
            <w:hideMark/>
          </w:tcPr>
          <w:p w14:paraId="6B577200" w14:textId="77777777" w:rsidR="00CB50EB" w:rsidRPr="00FE6BB8" w:rsidRDefault="00CB50EB" w:rsidP="00357DBA">
            <w:pPr>
              <w:jc w:val="center"/>
              <w:rPr>
                <w:rFonts w:ascii="Calibri" w:eastAsia="Calibri" w:hAnsi="Calibri" w:cs="Calibri"/>
                <w:b/>
                <w:bCs/>
                <w:sz w:val="21"/>
                <w:szCs w:val="21"/>
              </w:rPr>
            </w:pPr>
            <w:r>
              <w:rPr>
                <w:rFonts w:ascii="Calibri" w:hAnsi="Calibri"/>
                <w:b/>
                <w:sz w:val="21"/>
              </w:rPr>
              <w:t>Catégorie</w:t>
            </w:r>
          </w:p>
        </w:tc>
        <w:tc>
          <w:tcPr>
            <w:tcW w:w="4006" w:type="dxa"/>
            <w:tcBorders>
              <w:top w:val="single" w:sz="4" w:space="0" w:color="auto"/>
              <w:left w:val="single" w:sz="4" w:space="0" w:color="auto"/>
              <w:bottom w:val="single" w:sz="4" w:space="0" w:color="auto"/>
              <w:right w:val="single" w:sz="4" w:space="0" w:color="auto"/>
            </w:tcBorders>
            <w:vAlign w:val="center"/>
          </w:tcPr>
          <w:p w14:paraId="14BD4976" w14:textId="77777777" w:rsidR="00CB50EB" w:rsidRPr="00FE6BB8" w:rsidRDefault="00CB50EB" w:rsidP="00357DBA">
            <w:pPr>
              <w:jc w:val="center"/>
              <w:rPr>
                <w:rFonts w:ascii="Calibri" w:eastAsia="Calibri" w:hAnsi="Calibri" w:cs="Calibri"/>
                <w:b/>
                <w:bCs/>
                <w:sz w:val="21"/>
                <w:szCs w:val="21"/>
              </w:rPr>
            </w:pPr>
            <w:r>
              <w:rPr>
                <w:rFonts w:ascii="Calibri" w:hAnsi="Calibri"/>
                <w:b/>
                <w:sz w:val="21"/>
              </w:rPr>
              <w:t>Produit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CB7F73A" w14:textId="28D5F5E6" w:rsidR="00CB50EB" w:rsidRPr="00FE6BB8" w:rsidRDefault="00A451A5" w:rsidP="00357DBA">
            <w:pPr>
              <w:jc w:val="center"/>
              <w:rPr>
                <w:rFonts w:ascii="Calibri" w:eastAsia="Calibri" w:hAnsi="Calibri" w:cs="Calibri"/>
                <w:b/>
                <w:bCs/>
                <w:sz w:val="21"/>
                <w:szCs w:val="21"/>
              </w:rPr>
            </w:pPr>
            <w:r>
              <w:rPr>
                <w:rFonts w:ascii="Calibri" w:hAnsi="Calibri"/>
                <w:b/>
                <w:sz w:val="21"/>
              </w:rPr>
              <w:t>Bref résumé</w:t>
            </w:r>
          </w:p>
        </w:tc>
      </w:tr>
      <w:tr w:rsidR="00331B8C" w:rsidRPr="00151874" w14:paraId="2838C9B7" w14:textId="77777777" w:rsidTr="00676868">
        <w:tc>
          <w:tcPr>
            <w:tcW w:w="1569" w:type="dxa"/>
            <w:vMerge w:val="restart"/>
            <w:tcBorders>
              <w:left w:val="single" w:sz="4" w:space="0" w:color="auto"/>
              <w:right w:val="single" w:sz="4" w:space="0" w:color="auto"/>
            </w:tcBorders>
          </w:tcPr>
          <w:p w14:paraId="6C59CF6F" w14:textId="5BCEA861" w:rsidR="00331B8C" w:rsidRPr="00CA1604" w:rsidRDefault="003A5BAC" w:rsidP="00713A1F">
            <w:pPr>
              <w:rPr>
                <w:rFonts w:ascii="Calibri" w:eastAsia="Calibri" w:hAnsi="Calibri" w:cs="Calibri"/>
                <w:i/>
                <w:iCs/>
                <w:sz w:val="21"/>
                <w:szCs w:val="21"/>
              </w:rPr>
            </w:pPr>
            <w:r w:rsidRPr="00CA1604">
              <w:rPr>
                <w:rFonts w:ascii="Calibri" w:hAnsi="Calibri"/>
                <w:i/>
                <w:sz w:val="21"/>
                <w:szCs w:val="21"/>
              </w:rPr>
              <w:t xml:space="preserve">Priorités, principes et orientations d’ordre général en matière de restauration des zones humides </w:t>
            </w:r>
          </w:p>
        </w:tc>
        <w:tc>
          <w:tcPr>
            <w:tcW w:w="4006" w:type="dxa"/>
            <w:tcBorders>
              <w:left w:val="single" w:sz="4" w:space="0" w:color="auto"/>
              <w:bottom w:val="single" w:sz="4" w:space="0" w:color="auto"/>
              <w:right w:val="single" w:sz="4" w:space="0" w:color="auto"/>
            </w:tcBorders>
          </w:tcPr>
          <w:p w14:paraId="4C77C711" w14:textId="5E0F7F1F" w:rsidR="00331B8C" w:rsidRPr="00CA1604" w:rsidRDefault="00331B8C" w:rsidP="00713A1F">
            <w:pPr>
              <w:rPr>
                <w:rFonts w:ascii="Calibri" w:eastAsia="Calibri" w:hAnsi="Calibri" w:cs="Calibri"/>
                <w:sz w:val="21"/>
                <w:szCs w:val="21"/>
              </w:rPr>
            </w:pPr>
            <w:hyperlink r:id="rId12" w:history="1">
              <w:r w:rsidRPr="00CA1604">
                <w:rPr>
                  <w:rStyle w:val="Hyperlink"/>
                  <w:rFonts w:ascii="Calibri" w:hAnsi="Calibri"/>
                  <w:sz w:val="21"/>
                  <w:szCs w:val="21"/>
                </w:rPr>
                <w:t>Recommandation 4.1</w:t>
              </w:r>
            </w:hyperlink>
            <w:r w:rsidRPr="00CA1604">
              <w:rPr>
                <w:rFonts w:ascii="Calibri" w:hAnsi="Calibri"/>
                <w:sz w:val="21"/>
                <w:szCs w:val="21"/>
              </w:rPr>
              <w:t xml:space="preserve"> : </w:t>
            </w:r>
            <w:r w:rsidRPr="00CA1604">
              <w:rPr>
                <w:rFonts w:ascii="Calibri" w:hAnsi="Calibri"/>
                <w:i/>
                <w:sz w:val="21"/>
                <w:szCs w:val="21"/>
              </w:rPr>
              <w:t>Restauration des zones humides</w:t>
            </w:r>
            <w:r w:rsidRPr="00CA1604">
              <w:rPr>
                <w:rFonts w:ascii="Calibri" w:hAnsi="Calibri"/>
                <w:sz w:val="21"/>
                <w:szCs w:val="21"/>
              </w:rPr>
              <w:t xml:space="preserve"> (COP4, 1990)</w:t>
            </w:r>
          </w:p>
        </w:tc>
        <w:tc>
          <w:tcPr>
            <w:tcW w:w="3420" w:type="dxa"/>
            <w:tcBorders>
              <w:top w:val="single" w:sz="4" w:space="0" w:color="auto"/>
              <w:left w:val="single" w:sz="4" w:space="0" w:color="auto"/>
              <w:bottom w:val="single" w:sz="4" w:space="0" w:color="auto"/>
              <w:right w:val="single" w:sz="4" w:space="0" w:color="auto"/>
            </w:tcBorders>
          </w:tcPr>
          <w:p w14:paraId="2A1CA6D4" w14:textId="37F65617" w:rsidR="00331B8C" w:rsidRPr="00CA1604" w:rsidRDefault="00331B8C" w:rsidP="00713A1F">
            <w:pPr>
              <w:rPr>
                <w:rFonts w:ascii="Calibri" w:eastAsia="Calibri" w:hAnsi="Calibri" w:cs="Calibri"/>
                <w:sz w:val="21"/>
                <w:szCs w:val="21"/>
              </w:rPr>
            </w:pPr>
            <w:r w:rsidRPr="00CA1604">
              <w:rPr>
                <w:rFonts w:ascii="Calibri" w:hAnsi="Calibri"/>
                <w:sz w:val="21"/>
                <w:szCs w:val="21"/>
              </w:rPr>
              <w:t>Prie instamment les Parties de mettre en place des projets de restauration des zones humides et de les rendre opérationnels, en les accompagnant d’engagements de la part des institutions.</w:t>
            </w:r>
          </w:p>
        </w:tc>
      </w:tr>
      <w:tr w:rsidR="00331B8C" w:rsidRPr="00151874" w14:paraId="18C6413F" w14:textId="77777777" w:rsidTr="00676868">
        <w:tc>
          <w:tcPr>
            <w:tcW w:w="1569" w:type="dxa"/>
            <w:vMerge/>
            <w:tcBorders>
              <w:left w:val="single" w:sz="4" w:space="0" w:color="auto"/>
              <w:right w:val="single" w:sz="4" w:space="0" w:color="auto"/>
            </w:tcBorders>
          </w:tcPr>
          <w:p w14:paraId="1522CED9" w14:textId="77777777" w:rsidR="00331B8C" w:rsidRPr="003366C9" w:rsidRDefault="00331B8C"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73661B31" w14:textId="3D160EAA" w:rsidR="00331B8C" w:rsidRPr="00CA1604" w:rsidRDefault="00331B8C" w:rsidP="00713A1F">
            <w:pPr>
              <w:rPr>
                <w:rFonts w:ascii="Calibri" w:eastAsia="Calibri" w:hAnsi="Calibri" w:cs="Calibri"/>
                <w:sz w:val="21"/>
                <w:szCs w:val="21"/>
              </w:rPr>
            </w:pPr>
            <w:hyperlink r:id="rId13" w:history="1">
              <w:r w:rsidRPr="00CA1604">
                <w:rPr>
                  <w:rStyle w:val="Hyperlink"/>
                  <w:rFonts w:ascii="Calibri" w:hAnsi="Calibri"/>
                  <w:sz w:val="21"/>
                  <w:szCs w:val="21"/>
                </w:rPr>
                <w:t>Recommandation 6.15</w:t>
              </w:r>
            </w:hyperlink>
            <w:r w:rsidRPr="00CA1604">
              <w:rPr>
                <w:rFonts w:ascii="Calibri" w:hAnsi="Calibri"/>
                <w:sz w:val="21"/>
                <w:szCs w:val="21"/>
              </w:rPr>
              <w:t xml:space="preserve"> : </w:t>
            </w:r>
            <w:r w:rsidRPr="00CA1604">
              <w:rPr>
                <w:rFonts w:ascii="Calibri" w:hAnsi="Calibri"/>
                <w:i/>
                <w:sz w:val="21"/>
                <w:szCs w:val="21"/>
              </w:rPr>
              <w:t>Restauration des zones humides</w:t>
            </w:r>
            <w:r w:rsidRPr="00CA1604">
              <w:rPr>
                <w:rFonts w:ascii="Calibri" w:hAnsi="Calibri"/>
                <w:sz w:val="21"/>
                <w:szCs w:val="21"/>
              </w:rPr>
              <w:t xml:space="preserve"> (COP6, 1996)</w:t>
            </w:r>
          </w:p>
        </w:tc>
        <w:tc>
          <w:tcPr>
            <w:tcW w:w="3420" w:type="dxa"/>
            <w:tcBorders>
              <w:top w:val="single" w:sz="4" w:space="0" w:color="auto"/>
              <w:left w:val="single" w:sz="4" w:space="0" w:color="auto"/>
              <w:bottom w:val="single" w:sz="4" w:space="0" w:color="auto"/>
              <w:right w:val="single" w:sz="4" w:space="0" w:color="auto"/>
            </w:tcBorders>
          </w:tcPr>
          <w:p w14:paraId="2F2E2821" w14:textId="75E6263D" w:rsidR="00331B8C" w:rsidRPr="00CA1604" w:rsidRDefault="00331B8C" w:rsidP="00713A1F">
            <w:pPr>
              <w:rPr>
                <w:rFonts w:ascii="Calibri" w:eastAsia="Calibri" w:hAnsi="Calibri" w:cs="Calibri"/>
                <w:sz w:val="21"/>
                <w:szCs w:val="21"/>
              </w:rPr>
            </w:pPr>
            <w:r w:rsidRPr="00CA1604">
              <w:rPr>
                <w:rFonts w:ascii="Calibri" w:hAnsi="Calibri"/>
                <w:sz w:val="21"/>
                <w:szCs w:val="21"/>
              </w:rPr>
              <w:t xml:space="preserve">Demande d’intégrer la restauration dans les politiques environnementales nationales et d’identifier </w:t>
            </w:r>
            <w:r w:rsidR="004E4BDB" w:rsidRPr="00CA1604">
              <w:rPr>
                <w:rFonts w:ascii="Calibri" w:hAnsi="Calibri"/>
                <w:sz w:val="21"/>
                <w:szCs w:val="21"/>
              </w:rPr>
              <w:t>l</w:t>
            </w:r>
            <w:r w:rsidRPr="00CA1604">
              <w:rPr>
                <w:rFonts w:ascii="Calibri" w:hAnsi="Calibri"/>
                <w:sz w:val="21"/>
                <w:szCs w:val="21"/>
              </w:rPr>
              <w:t>es sites clés à restaurer.</w:t>
            </w:r>
          </w:p>
        </w:tc>
      </w:tr>
      <w:tr w:rsidR="00331B8C" w:rsidRPr="00151874" w14:paraId="1FC3501A" w14:textId="77777777" w:rsidTr="00676868">
        <w:tc>
          <w:tcPr>
            <w:tcW w:w="1569" w:type="dxa"/>
            <w:vMerge/>
            <w:tcBorders>
              <w:left w:val="single" w:sz="4" w:space="0" w:color="auto"/>
              <w:right w:val="single" w:sz="4" w:space="0" w:color="auto"/>
            </w:tcBorders>
          </w:tcPr>
          <w:p w14:paraId="65C2E842" w14:textId="77777777" w:rsidR="00331B8C" w:rsidRPr="003366C9" w:rsidRDefault="00331B8C"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01552750" w14:textId="502E061B" w:rsidR="00331B8C" w:rsidRPr="00CA1604" w:rsidRDefault="00331B8C" w:rsidP="00713A1F">
            <w:pPr>
              <w:rPr>
                <w:rFonts w:ascii="Calibri" w:eastAsia="Calibri" w:hAnsi="Calibri" w:cs="Calibri"/>
                <w:sz w:val="21"/>
                <w:szCs w:val="21"/>
              </w:rPr>
            </w:pPr>
            <w:hyperlink r:id="rId14" w:history="1">
              <w:r w:rsidRPr="00CA1604">
                <w:rPr>
                  <w:rStyle w:val="Hyperlink"/>
                  <w:rFonts w:ascii="Calibri" w:hAnsi="Calibri"/>
                  <w:sz w:val="21"/>
                  <w:szCs w:val="21"/>
                </w:rPr>
                <w:t>Résolution VII.17</w:t>
              </w:r>
            </w:hyperlink>
            <w:r w:rsidRPr="00CA1604">
              <w:rPr>
                <w:rFonts w:ascii="Calibri" w:hAnsi="Calibri"/>
                <w:sz w:val="21"/>
                <w:szCs w:val="21"/>
              </w:rPr>
              <w:t xml:space="preserve"> : </w:t>
            </w:r>
            <w:r w:rsidRPr="00CA1604">
              <w:rPr>
                <w:rFonts w:ascii="Calibri" w:hAnsi="Calibri"/>
                <w:i/>
                <w:iCs/>
                <w:sz w:val="21"/>
                <w:szCs w:val="21"/>
              </w:rPr>
              <w:t>La restauration comme élément des plans nationaux pour la conservation et l’utilisation rationnelle des zones humides</w:t>
            </w:r>
            <w:r w:rsidRPr="00CA1604">
              <w:rPr>
                <w:rFonts w:ascii="Calibri" w:hAnsi="Calibri"/>
                <w:sz w:val="21"/>
                <w:szCs w:val="21"/>
              </w:rPr>
              <w:t xml:space="preserve"> (COP7, 1999)</w:t>
            </w:r>
          </w:p>
        </w:tc>
        <w:tc>
          <w:tcPr>
            <w:tcW w:w="3420" w:type="dxa"/>
            <w:tcBorders>
              <w:top w:val="single" w:sz="4" w:space="0" w:color="auto"/>
              <w:left w:val="single" w:sz="4" w:space="0" w:color="auto"/>
              <w:bottom w:val="single" w:sz="4" w:space="0" w:color="auto"/>
              <w:right w:val="single" w:sz="4" w:space="0" w:color="auto"/>
            </w:tcBorders>
          </w:tcPr>
          <w:p w14:paraId="3AD1DACA" w14:textId="5629D0D2" w:rsidR="00331B8C" w:rsidRPr="00CA1604" w:rsidRDefault="00331B8C" w:rsidP="00713A1F">
            <w:pPr>
              <w:rPr>
                <w:rFonts w:ascii="Calibri" w:eastAsia="Calibri" w:hAnsi="Calibri" w:cs="Calibri"/>
                <w:sz w:val="21"/>
                <w:szCs w:val="21"/>
              </w:rPr>
            </w:pPr>
            <w:r w:rsidRPr="00CA1604">
              <w:rPr>
                <w:rFonts w:ascii="Calibri" w:hAnsi="Calibri"/>
                <w:sz w:val="21"/>
                <w:szCs w:val="21"/>
              </w:rPr>
              <w:t>Reconnaît que la restauration est essentielle pour les stratégies nationales relatives aux zones humides.</w:t>
            </w:r>
          </w:p>
        </w:tc>
      </w:tr>
      <w:tr w:rsidR="00331B8C" w:rsidRPr="00151874" w14:paraId="730DF119" w14:textId="77777777" w:rsidTr="00676868">
        <w:tc>
          <w:tcPr>
            <w:tcW w:w="1569" w:type="dxa"/>
            <w:vMerge/>
            <w:tcBorders>
              <w:left w:val="single" w:sz="4" w:space="0" w:color="auto"/>
              <w:right w:val="single" w:sz="4" w:space="0" w:color="auto"/>
            </w:tcBorders>
          </w:tcPr>
          <w:p w14:paraId="3F5193E4" w14:textId="77777777" w:rsidR="00331B8C" w:rsidRPr="003366C9" w:rsidRDefault="00331B8C"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37A360BA" w14:textId="2B743F28" w:rsidR="00331B8C" w:rsidRPr="00CA1604" w:rsidRDefault="00331B8C" w:rsidP="00713A1F">
            <w:pPr>
              <w:rPr>
                <w:rFonts w:ascii="Calibri" w:eastAsia="Calibri" w:hAnsi="Calibri" w:cs="Calibri"/>
                <w:sz w:val="21"/>
                <w:szCs w:val="21"/>
              </w:rPr>
            </w:pPr>
            <w:hyperlink r:id="rId15" w:history="1">
              <w:r w:rsidRPr="00CA1604">
                <w:rPr>
                  <w:rStyle w:val="Hyperlink"/>
                  <w:rFonts w:ascii="Calibri" w:hAnsi="Calibri"/>
                  <w:sz w:val="21"/>
                  <w:szCs w:val="21"/>
                </w:rPr>
                <w:t>Résolution VIII.16</w:t>
              </w:r>
            </w:hyperlink>
            <w:r w:rsidRPr="00CA1604">
              <w:rPr>
                <w:rFonts w:ascii="Calibri" w:hAnsi="Calibri"/>
                <w:sz w:val="21"/>
                <w:szCs w:val="21"/>
              </w:rPr>
              <w:t xml:space="preserve"> : </w:t>
            </w:r>
            <w:r w:rsidRPr="00CA1604">
              <w:rPr>
                <w:rFonts w:ascii="Calibri" w:hAnsi="Calibri"/>
                <w:i/>
                <w:iCs/>
                <w:sz w:val="21"/>
                <w:szCs w:val="21"/>
              </w:rPr>
              <w:t>Principes et lignes directrices pour la restauration des zones humides</w:t>
            </w:r>
            <w:r w:rsidRPr="00CA1604">
              <w:rPr>
                <w:rFonts w:ascii="Calibri" w:hAnsi="Calibri"/>
                <w:sz w:val="21"/>
                <w:szCs w:val="21"/>
              </w:rPr>
              <w:t xml:space="preserve"> (COP8, 2002)</w:t>
            </w:r>
          </w:p>
        </w:tc>
        <w:tc>
          <w:tcPr>
            <w:tcW w:w="3420" w:type="dxa"/>
            <w:tcBorders>
              <w:top w:val="single" w:sz="4" w:space="0" w:color="auto"/>
              <w:left w:val="single" w:sz="4" w:space="0" w:color="auto"/>
              <w:bottom w:val="single" w:sz="4" w:space="0" w:color="auto"/>
              <w:right w:val="single" w:sz="4" w:space="0" w:color="auto"/>
            </w:tcBorders>
          </w:tcPr>
          <w:p w14:paraId="11C2A3AD" w14:textId="1B7159CD" w:rsidR="00331B8C" w:rsidRPr="00CA1604" w:rsidRDefault="00331B8C" w:rsidP="00713A1F">
            <w:pPr>
              <w:rPr>
                <w:rFonts w:ascii="Calibri" w:eastAsia="Calibri" w:hAnsi="Calibri" w:cs="Calibri"/>
                <w:sz w:val="21"/>
                <w:szCs w:val="21"/>
              </w:rPr>
            </w:pPr>
            <w:r w:rsidRPr="00CA1604">
              <w:rPr>
                <w:rFonts w:ascii="Calibri" w:hAnsi="Calibri"/>
                <w:sz w:val="21"/>
                <w:szCs w:val="21"/>
              </w:rPr>
              <w:t>Offre des outils, des principes et des méthodes de planification pour la réhabilitation des zones humides.</w:t>
            </w:r>
          </w:p>
        </w:tc>
      </w:tr>
      <w:tr w:rsidR="00000D1F" w:rsidRPr="00151874" w14:paraId="531E8C2D" w14:textId="77777777" w:rsidTr="00676868">
        <w:tc>
          <w:tcPr>
            <w:tcW w:w="1569" w:type="dxa"/>
            <w:vMerge w:val="restart"/>
            <w:tcBorders>
              <w:left w:val="single" w:sz="4" w:space="0" w:color="auto"/>
              <w:right w:val="single" w:sz="4" w:space="0" w:color="auto"/>
            </w:tcBorders>
          </w:tcPr>
          <w:p w14:paraId="010E146C" w14:textId="3231C63F" w:rsidR="00000D1F" w:rsidRPr="00CA1604" w:rsidRDefault="00000D1F" w:rsidP="00713A1F">
            <w:pPr>
              <w:rPr>
                <w:rFonts w:ascii="Calibri" w:eastAsia="Calibri" w:hAnsi="Calibri" w:cs="Calibri"/>
                <w:i/>
                <w:iCs/>
                <w:sz w:val="21"/>
                <w:szCs w:val="21"/>
              </w:rPr>
            </w:pPr>
            <w:r w:rsidRPr="00CA1604">
              <w:rPr>
                <w:rFonts w:ascii="Calibri" w:hAnsi="Calibri"/>
                <w:i/>
                <w:sz w:val="21"/>
                <w:szCs w:val="21"/>
              </w:rPr>
              <w:t>Orientations spécifiques à certains types de zone</w:t>
            </w:r>
            <w:r w:rsidR="00DE37FD" w:rsidRPr="00CA1604">
              <w:rPr>
                <w:rFonts w:ascii="Calibri" w:hAnsi="Calibri"/>
                <w:i/>
                <w:sz w:val="21"/>
                <w:szCs w:val="21"/>
              </w:rPr>
              <w:t>s</w:t>
            </w:r>
            <w:r w:rsidRPr="00CA1604">
              <w:rPr>
                <w:rFonts w:ascii="Calibri" w:hAnsi="Calibri"/>
                <w:i/>
                <w:sz w:val="21"/>
                <w:szCs w:val="21"/>
              </w:rPr>
              <w:t xml:space="preserve"> humide</w:t>
            </w:r>
            <w:r w:rsidR="00DE37FD" w:rsidRPr="00CA1604">
              <w:rPr>
                <w:rFonts w:ascii="Calibri" w:hAnsi="Calibri"/>
                <w:i/>
                <w:sz w:val="21"/>
                <w:szCs w:val="21"/>
              </w:rPr>
              <w:t>s</w:t>
            </w:r>
            <w:r w:rsidRPr="00CA1604">
              <w:rPr>
                <w:rFonts w:ascii="Calibri" w:hAnsi="Calibri"/>
                <w:i/>
                <w:sz w:val="21"/>
                <w:szCs w:val="21"/>
              </w:rPr>
              <w:t xml:space="preserve"> ou à certains objectifs</w:t>
            </w:r>
          </w:p>
        </w:tc>
        <w:tc>
          <w:tcPr>
            <w:tcW w:w="4006" w:type="dxa"/>
            <w:tcBorders>
              <w:left w:val="single" w:sz="4" w:space="0" w:color="auto"/>
              <w:bottom w:val="single" w:sz="4" w:space="0" w:color="auto"/>
              <w:right w:val="single" w:sz="4" w:space="0" w:color="auto"/>
            </w:tcBorders>
          </w:tcPr>
          <w:p w14:paraId="14321DDF" w14:textId="27043629" w:rsidR="00000D1F" w:rsidRPr="00CA1604" w:rsidRDefault="00FA3603" w:rsidP="00713A1F">
            <w:pPr>
              <w:rPr>
                <w:rFonts w:ascii="Calibri" w:eastAsia="Calibri" w:hAnsi="Calibri" w:cs="Calibri"/>
                <w:sz w:val="21"/>
                <w:szCs w:val="21"/>
              </w:rPr>
            </w:pPr>
            <w:hyperlink r:id="rId16" w:history="1">
              <w:r w:rsidRPr="00CA1604">
                <w:rPr>
                  <w:rStyle w:val="Hyperlink"/>
                  <w:rFonts w:ascii="Calibri" w:hAnsi="Calibri"/>
                  <w:sz w:val="21"/>
                  <w:szCs w:val="21"/>
                </w:rPr>
                <w:t>Résolution XIII.13</w:t>
              </w:r>
            </w:hyperlink>
            <w:r w:rsidRPr="00CA1604">
              <w:rPr>
                <w:rFonts w:ascii="Calibri" w:hAnsi="Calibri"/>
                <w:sz w:val="21"/>
                <w:szCs w:val="21"/>
              </w:rPr>
              <w:t xml:space="preserve"> : </w:t>
            </w:r>
            <w:r w:rsidRPr="00CA1604">
              <w:rPr>
                <w:rFonts w:ascii="Calibri" w:hAnsi="Calibri"/>
                <w:i/>
                <w:iCs/>
                <w:sz w:val="21"/>
                <w:szCs w:val="21"/>
              </w:rPr>
              <w:t>Restauration de tourbières dégradées pour atténuer les changements climatiques et s’adapter à ces changements, améliorer la biodiversité et réduire les risques de catastrophe</w:t>
            </w:r>
            <w:r w:rsidRPr="00CA1604">
              <w:rPr>
                <w:rFonts w:ascii="Calibri" w:hAnsi="Calibri"/>
                <w:sz w:val="21"/>
                <w:szCs w:val="21"/>
              </w:rPr>
              <w:t xml:space="preserve"> (COP13, 2018)</w:t>
            </w:r>
          </w:p>
        </w:tc>
        <w:tc>
          <w:tcPr>
            <w:tcW w:w="3420" w:type="dxa"/>
            <w:tcBorders>
              <w:top w:val="single" w:sz="4" w:space="0" w:color="auto"/>
              <w:left w:val="single" w:sz="4" w:space="0" w:color="auto"/>
              <w:bottom w:val="single" w:sz="4" w:space="0" w:color="auto"/>
              <w:right w:val="single" w:sz="4" w:space="0" w:color="auto"/>
            </w:tcBorders>
          </w:tcPr>
          <w:p w14:paraId="61B0B50D" w14:textId="668ECE82" w:rsidR="00000D1F" w:rsidRPr="00CA1604" w:rsidRDefault="00797BB4" w:rsidP="00713A1F">
            <w:pPr>
              <w:rPr>
                <w:rFonts w:ascii="Calibri" w:eastAsia="Calibri" w:hAnsi="Calibri" w:cs="Calibri"/>
                <w:sz w:val="21"/>
                <w:szCs w:val="21"/>
              </w:rPr>
            </w:pPr>
            <w:r w:rsidRPr="00CA1604">
              <w:rPr>
                <w:rFonts w:ascii="Calibri" w:hAnsi="Calibri"/>
                <w:sz w:val="21"/>
                <w:szCs w:val="21"/>
              </w:rPr>
              <w:t>Envisage la restauration des tourbières comme une stratégie pour l’action climatique, la biodiversité et la réduction des risques de catastrophe.</w:t>
            </w:r>
          </w:p>
        </w:tc>
      </w:tr>
      <w:tr w:rsidR="00FA3603" w:rsidRPr="00151874" w14:paraId="7B1AFC5D" w14:textId="77777777" w:rsidTr="00676868">
        <w:tc>
          <w:tcPr>
            <w:tcW w:w="1569" w:type="dxa"/>
            <w:vMerge/>
            <w:tcBorders>
              <w:left w:val="single" w:sz="4" w:space="0" w:color="auto"/>
              <w:right w:val="single" w:sz="4" w:space="0" w:color="auto"/>
            </w:tcBorders>
          </w:tcPr>
          <w:p w14:paraId="7346A61B" w14:textId="77777777" w:rsidR="00FA3603" w:rsidRPr="003366C9" w:rsidRDefault="00FA3603" w:rsidP="00FA3603">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785F621A" w14:textId="068730AF" w:rsidR="00FA3603" w:rsidRPr="00CA1604" w:rsidRDefault="00FA3603" w:rsidP="00FA3603">
            <w:pPr>
              <w:rPr>
                <w:rFonts w:ascii="Calibri" w:eastAsia="Calibri" w:hAnsi="Calibri" w:cs="Calibri"/>
                <w:sz w:val="21"/>
                <w:szCs w:val="21"/>
              </w:rPr>
            </w:pPr>
            <w:hyperlink r:id="rId17" w:history="1">
              <w:r w:rsidRPr="00CA1604">
                <w:rPr>
                  <w:rStyle w:val="Hyperlink"/>
                  <w:rFonts w:ascii="Calibri" w:hAnsi="Calibri"/>
                  <w:sz w:val="21"/>
                  <w:szCs w:val="21"/>
                </w:rPr>
                <w:t>Résolution XIII.14</w:t>
              </w:r>
            </w:hyperlink>
            <w:r w:rsidRPr="00CA1604">
              <w:rPr>
                <w:rFonts w:ascii="Calibri" w:hAnsi="Calibri"/>
                <w:sz w:val="21"/>
                <w:szCs w:val="21"/>
              </w:rPr>
              <w:t xml:space="preserve"> : </w:t>
            </w:r>
            <w:r w:rsidRPr="00CA1604">
              <w:rPr>
                <w:rFonts w:ascii="Calibri" w:hAnsi="Calibri"/>
                <w:i/>
                <w:iCs/>
                <w:sz w:val="21"/>
                <w:szCs w:val="21"/>
              </w:rPr>
              <w:t>Promouvoir la conservation, la restauration et la gestion durable des écosystèmes côtiers de carbone bleu</w:t>
            </w:r>
            <w:r w:rsidRPr="00CA1604">
              <w:rPr>
                <w:rFonts w:ascii="Calibri" w:hAnsi="Calibri"/>
                <w:sz w:val="21"/>
                <w:szCs w:val="21"/>
              </w:rPr>
              <w:t xml:space="preserve"> (COP13, 2018)</w:t>
            </w:r>
          </w:p>
        </w:tc>
        <w:tc>
          <w:tcPr>
            <w:tcW w:w="3420" w:type="dxa"/>
            <w:tcBorders>
              <w:top w:val="single" w:sz="4" w:space="0" w:color="auto"/>
              <w:left w:val="single" w:sz="4" w:space="0" w:color="auto"/>
              <w:bottom w:val="single" w:sz="4" w:space="0" w:color="auto"/>
              <w:right w:val="single" w:sz="4" w:space="0" w:color="auto"/>
            </w:tcBorders>
          </w:tcPr>
          <w:p w14:paraId="7E4368DE" w14:textId="3139096C" w:rsidR="00FA3603" w:rsidRPr="00CA1604" w:rsidRDefault="00FA3603" w:rsidP="00FA3603">
            <w:pPr>
              <w:rPr>
                <w:rFonts w:ascii="Calibri" w:eastAsia="Calibri" w:hAnsi="Calibri" w:cs="Calibri"/>
                <w:sz w:val="21"/>
                <w:szCs w:val="21"/>
              </w:rPr>
            </w:pPr>
            <w:r w:rsidRPr="00CA1604">
              <w:rPr>
                <w:rFonts w:ascii="Calibri" w:hAnsi="Calibri"/>
                <w:sz w:val="21"/>
                <w:szCs w:val="21"/>
              </w:rPr>
              <w:t xml:space="preserve">Aborde le sujet des écosystèmes de carbone bleu, à savoir </w:t>
            </w:r>
            <w:r w:rsidR="004E4BDB" w:rsidRPr="00CA1604">
              <w:rPr>
                <w:rFonts w:ascii="Calibri" w:hAnsi="Calibri"/>
                <w:sz w:val="21"/>
                <w:szCs w:val="21"/>
              </w:rPr>
              <w:t xml:space="preserve">les </w:t>
            </w:r>
            <w:r w:rsidRPr="00CA1604">
              <w:rPr>
                <w:rFonts w:ascii="Calibri" w:hAnsi="Calibri"/>
                <w:sz w:val="21"/>
                <w:szCs w:val="21"/>
              </w:rPr>
              <w:t xml:space="preserve">mangroves, </w:t>
            </w:r>
            <w:r w:rsidR="004E4BDB" w:rsidRPr="00CA1604">
              <w:rPr>
                <w:rFonts w:ascii="Calibri" w:hAnsi="Calibri"/>
                <w:sz w:val="21"/>
                <w:szCs w:val="21"/>
              </w:rPr>
              <w:t xml:space="preserve">les </w:t>
            </w:r>
            <w:r w:rsidRPr="00CA1604">
              <w:rPr>
                <w:rFonts w:ascii="Calibri" w:hAnsi="Calibri"/>
                <w:sz w:val="21"/>
                <w:szCs w:val="21"/>
              </w:rPr>
              <w:t xml:space="preserve">marais salants et </w:t>
            </w:r>
            <w:r w:rsidR="004E4BDB" w:rsidRPr="00CA1604">
              <w:rPr>
                <w:rFonts w:ascii="Calibri" w:hAnsi="Calibri"/>
                <w:sz w:val="21"/>
                <w:szCs w:val="21"/>
              </w:rPr>
              <w:t xml:space="preserve">les </w:t>
            </w:r>
            <w:r w:rsidRPr="00CA1604">
              <w:rPr>
                <w:rFonts w:ascii="Calibri" w:hAnsi="Calibri"/>
                <w:sz w:val="21"/>
                <w:szCs w:val="21"/>
              </w:rPr>
              <w:t>herbiers marins.</w:t>
            </w:r>
          </w:p>
        </w:tc>
      </w:tr>
      <w:tr w:rsidR="00FA3603" w:rsidRPr="00151874" w14:paraId="69F6A9AD" w14:textId="77777777" w:rsidTr="00676868">
        <w:tc>
          <w:tcPr>
            <w:tcW w:w="1569" w:type="dxa"/>
            <w:vMerge/>
            <w:tcBorders>
              <w:left w:val="single" w:sz="4" w:space="0" w:color="auto"/>
              <w:right w:val="single" w:sz="4" w:space="0" w:color="auto"/>
            </w:tcBorders>
          </w:tcPr>
          <w:p w14:paraId="44DF8147" w14:textId="77777777" w:rsidR="00FA3603" w:rsidRPr="003366C9" w:rsidRDefault="00FA3603" w:rsidP="00FA3603">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4D6F5829" w14:textId="003193AA" w:rsidR="00FA3603" w:rsidRPr="00CA1604" w:rsidRDefault="00FA3603" w:rsidP="00FA3603">
            <w:pPr>
              <w:rPr>
                <w:rFonts w:ascii="Calibri" w:eastAsia="Calibri" w:hAnsi="Calibri" w:cs="Calibri"/>
                <w:sz w:val="21"/>
                <w:szCs w:val="21"/>
              </w:rPr>
            </w:pPr>
            <w:hyperlink r:id="rId18" w:history="1">
              <w:r w:rsidRPr="00CA1604">
                <w:rPr>
                  <w:rStyle w:val="Hyperlink"/>
                  <w:rFonts w:ascii="Calibri" w:hAnsi="Calibri"/>
                  <w:sz w:val="21"/>
                  <w:szCs w:val="21"/>
                </w:rPr>
                <w:t>Résolution XIV.15</w:t>
              </w:r>
            </w:hyperlink>
            <w:r w:rsidRPr="00CA1604">
              <w:rPr>
                <w:rFonts w:ascii="Calibri" w:hAnsi="Calibri"/>
                <w:sz w:val="21"/>
                <w:szCs w:val="21"/>
              </w:rPr>
              <w:t xml:space="preserve"> : </w:t>
            </w:r>
            <w:r w:rsidRPr="00CA1604">
              <w:rPr>
                <w:rFonts w:ascii="Calibri" w:hAnsi="Calibri"/>
                <w:i/>
                <w:sz w:val="21"/>
                <w:szCs w:val="21"/>
              </w:rPr>
              <w:t>Améliorer la conservation et la gestion des petites zones humides</w:t>
            </w:r>
            <w:r w:rsidRPr="00CA1604">
              <w:rPr>
                <w:rFonts w:ascii="Calibri" w:hAnsi="Calibri"/>
                <w:sz w:val="21"/>
                <w:szCs w:val="21"/>
              </w:rPr>
              <w:t xml:space="preserve"> (COP14, 2022)</w:t>
            </w:r>
          </w:p>
        </w:tc>
        <w:tc>
          <w:tcPr>
            <w:tcW w:w="3420" w:type="dxa"/>
            <w:tcBorders>
              <w:top w:val="single" w:sz="4" w:space="0" w:color="auto"/>
              <w:left w:val="single" w:sz="4" w:space="0" w:color="auto"/>
              <w:bottom w:val="single" w:sz="4" w:space="0" w:color="auto"/>
              <w:right w:val="single" w:sz="4" w:space="0" w:color="auto"/>
            </w:tcBorders>
          </w:tcPr>
          <w:p w14:paraId="4395EECB" w14:textId="3608F618" w:rsidR="00FA3603" w:rsidRPr="00CA1604" w:rsidRDefault="00FA3603" w:rsidP="00FA3603">
            <w:pPr>
              <w:rPr>
                <w:rFonts w:ascii="Calibri" w:eastAsia="Calibri" w:hAnsi="Calibri" w:cs="Calibri"/>
                <w:sz w:val="21"/>
                <w:szCs w:val="21"/>
              </w:rPr>
            </w:pPr>
            <w:r w:rsidRPr="00CA1604">
              <w:rPr>
                <w:rFonts w:ascii="Calibri" w:hAnsi="Calibri"/>
                <w:sz w:val="21"/>
                <w:szCs w:val="21"/>
              </w:rPr>
              <w:t>Encourage l’élaboration de plans locaux et nationaux qui visent à promouvoir la conservation, la restauration et l’utilisation rationnelle des petites zones humides.</w:t>
            </w:r>
          </w:p>
        </w:tc>
      </w:tr>
      <w:tr w:rsidR="00FA3603" w:rsidRPr="00151874" w14:paraId="402051A5" w14:textId="77777777" w:rsidTr="00676868">
        <w:tc>
          <w:tcPr>
            <w:tcW w:w="1569" w:type="dxa"/>
            <w:vMerge/>
            <w:tcBorders>
              <w:left w:val="single" w:sz="4" w:space="0" w:color="auto"/>
              <w:right w:val="single" w:sz="4" w:space="0" w:color="auto"/>
            </w:tcBorders>
          </w:tcPr>
          <w:p w14:paraId="04CFBEB5" w14:textId="77777777" w:rsidR="00FA3603" w:rsidRPr="003366C9" w:rsidRDefault="00FA3603" w:rsidP="00FA3603">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30D3CB38" w14:textId="0DD98D36" w:rsidR="00FA3603" w:rsidRPr="00CA1604" w:rsidRDefault="00FA3603" w:rsidP="00FA3603">
            <w:pPr>
              <w:rPr>
                <w:rFonts w:ascii="Calibri" w:eastAsia="Calibri" w:hAnsi="Calibri" w:cs="Calibri"/>
                <w:sz w:val="21"/>
                <w:szCs w:val="21"/>
              </w:rPr>
            </w:pPr>
            <w:hyperlink r:id="rId19" w:history="1">
              <w:r w:rsidRPr="00CA1604">
                <w:rPr>
                  <w:rStyle w:val="Hyperlink"/>
                  <w:rFonts w:ascii="Calibri" w:hAnsi="Calibri"/>
                  <w:sz w:val="21"/>
                  <w:szCs w:val="21"/>
                </w:rPr>
                <w:t>Résolution XIV.17</w:t>
              </w:r>
            </w:hyperlink>
            <w:r w:rsidRPr="00CA1604">
              <w:rPr>
                <w:rFonts w:ascii="Calibri" w:hAnsi="Calibri"/>
                <w:sz w:val="21"/>
                <w:szCs w:val="21"/>
              </w:rPr>
              <w:t xml:space="preserve"> : </w:t>
            </w:r>
            <w:r w:rsidRPr="00CA1604">
              <w:rPr>
                <w:rFonts w:ascii="Calibri" w:hAnsi="Calibri"/>
                <w:i/>
                <w:iCs/>
                <w:sz w:val="21"/>
                <w:szCs w:val="21"/>
              </w:rPr>
              <w:t>La protection, la conservation, la restauration, l’utilisation durable et la gestion des zones humides au service de la lutte contre les changements climatiques</w:t>
            </w:r>
            <w:r w:rsidRPr="00CA1604">
              <w:rPr>
                <w:rFonts w:ascii="Calibri" w:hAnsi="Calibri"/>
                <w:sz w:val="21"/>
                <w:szCs w:val="21"/>
              </w:rPr>
              <w:t xml:space="preserve"> (COP14, 2022)</w:t>
            </w:r>
          </w:p>
        </w:tc>
        <w:tc>
          <w:tcPr>
            <w:tcW w:w="3420" w:type="dxa"/>
            <w:tcBorders>
              <w:top w:val="single" w:sz="4" w:space="0" w:color="auto"/>
              <w:left w:val="single" w:sz="4" w:space="0" w:color="auto"/>
              <w:bottom w:val="single" w:sz="4" w:space="0" w:color="auto"/>
              <w:right w:val="single" w:sz="4" w:space="0" w:color="auto"/>
            </w:tcBorders>
          </w:tcPr>
          <w:p w14:paraId="4827F64A" w14:textId="548175A5" w:rsidR="00FA3603" w:rsidRPr="00CA1604" w:rsidRDefault="00FA3603" w:rsidP="00FA3603">
            <w:pPr>
              <w:rPr>
                <w:rFonts w:ascii="Calibri" w:eastAsia="Calibri" w:hAnsi="Calibri" w:cs="Calibri"/>
                <w:sz w:val="21"/>
                <w:szCs w:val="21"/>
              </w:rPr>
            </w:pPr>
            <w:r w:rsidRPr="00CA1604">
              <w:rPr>
                <w:rFonts w:ascii="Calibri" w:hAnsi="Calibri"/>
                <w:sz w:val="21"/>
                <w:szCs w:val="21"/>
              </w:rPr>
              <w:t xml:space="preserve">Souligne le rôle des zones humides dans l’atténuation des changements climatiques et l’adaptation à ces derniers, et demande leur intégration dans les politiques </w:t>
            </w:r>
            <w:r w:rsidR="007E53F9" w:rsidRPr="00CA1604">
              <w:rPr>
                <w:rFonts w:ascii="Calibri" w:hAnsi="Calibri"/>
                <w:sz w:val="21"/>
                <w:szCs w:val="21"/>
              </w:rPr>
              <w:t xml:space="preserve">sur le </w:t>
            </w:r>
            <w:r w:rsidRPr="00CA1604">
              <w:rPr>
                <w:rFonts w:ascii="Calibri" w:hAnsi="Calibri"/>
                <w:sz w:val="21"/>
                <w:szCs w:val="21"/>
              </w:rPr>
              <w:t>climat.</w:t>
            </w:r>
          </w:p>
        </w:tc>
      </w:tr>
      <w:tr w:rsidR="00FA3603" w:rsidRPr="00151874" w14:paraId="68E1C202" w14:textId="77777777" w:rsidTr="00676868">
        <w:tc>
          <w:tcPr>
            <w:tcW w:w="1569" w:type="dxa"/>
            <w:vMerge/>
            <w:tcBorders>
              <w:left w:val="single" w:sz="4" w:space="0" w:color="auto"/>
              <w:right w:val="single" w:sz="4" w:space="0" w:color="auto"/>
            </w:tcBorders>
          </w:tcPr>
          <w:p w14:paraId="40760332" w14:textId="77777777" w:rsidR="00FA3603" w:rsidRPr="003366C9" w:rsidRDefault="00FA3603" w:rsidP="00FA3603">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0A655CF3" w14:textId="20E3F310" w:rsidR="00FA3603" w:rsidRPr="00CA1604" w:rsidRDefault="00FA3603" w:rsidP="00FA3603">
            <w:pPr>
              <w:rPr>
                <w:rFonts w:ascii="Calibri" w:eastAsia="Calibri" w:hAnsi="Calibri" w:cs="Calibri"/>
                <w:sz w:val="21"/>
                <w:szCs w:val="21"/>
              </w:rPr>
            </w:pPr>
            <w:hyperlink r:id="rId20" w:history="1">
              <w:r w:rsidRPr="00CA1604">
                <w:rPr>
                  <w:rStyle w:val="Hyperlink"/>
                  <w:rFonts w:ascii="Calibri" w:hAnsi="Calibri"/>
                  <w:sz w:val="21"/>
                  <w:szCs w:val="21"/>
                </w:rPr>
                <w:t>Rapport technique 11</w:t>
              </w:r>
            </w:hyperlink>
            <w:r w:rsidRPr="00CA1604">
              <w:rPr>
                <w:rFonts w:ascii="Calibri" w:hAnsi="Calibri"/>
                <w:sz w:val="21"/>
                <w:szCs w:val="21"/>
              </w:rPr>
              <w:t xml:space="preserve"> : </w:t>
            </w:r>
            <w:r w:rsidRPr="00CA1604">
              <w:rPr>
                <w:rFonts w:ascii="Calibri" w:hAnsi="Calibri"/>
                <w:i/>
                <w:iCs/>
                <w:sz w:val="21"/>
                <w:szCs w:val="21"/>
              </w:rPr>
              <w:t>Réhumidification et restauration des tourbières : lignes directrices mondiales</w:t>
            </w:r>
            <w:r w:rsidRPr="00CA1604">
              <w:rPr>
                <w:rFonts w:ascii="Calibri" w:hAnsi="Calibri"/>
                <w:sz w:val="21"/>
                <w:szCs w:val="21"/>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6DAB8A33" w14:textId="63F06EF9" w:rsidR="00FA3603" w:rsidRPr="00CA1604" w:rsidRDefault="00FA3603" w:rsidP="00FA3603">
            <w:pPr>
              <w:rPr>
                <w:rFonts w:ascii="Calibri" w:eastAsia="Calibri" w:hAnsi="Calibri" w:cs="Calibri"/>
                <w:sz w:val="21"/>
                <w:szCs w:val="21"/>
              </w:rPr>
            </w:pPr>
            <w:r w:rsidRPr="00CA1604">
              <w:rPr>
                <w:rFonts w:ascii="Calibri" w:hAnsi="Calibri"/>
                <w:sz w:val="21"/>
                <w:szCs w:val="21"/>
              </w:rPr>
              <w:t>Offre des conseils techniques détaillés sur les interventions de restauration des tourbières.</w:t>
            </w:r>
          </w:p>
        </w:tc>
      </w:tr>
      <w:tr w:rsidR="00171696" w:rsidRPr="00151874" w14:paraId="0864F3E0" w14:textId="77777777" w:rsidTr="00676868">
        <w:tc>
          <w:tcPr>
            <w:tcW w:w="1569" w:type="dxa"/>
            <w:vMerge/>
            <w:tcBorders>
              <w:left w:val="single" w:sz="4" w:space="0" w:color="auto"/>
              <w:right w:val="single" w:sz="4" w:space="0" w:color="auto"/>
            </w:tcBorders>
          </w:tcPr>
          <w:p w14:paraId="4774D5A5" w14:textId="77777777" w:rsidR="00171696" w:rsidRPr="003366C9" w:rsidRDefault="00171696"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6834F36E" w14:textId="6547960E" w:rsidR="00171696" w:rsidRPr="00CA1604" w:rsidRDefault="00736EF9" w:rsidP="00713A1F">
            <w:pPr>
              <w:rPr>
                <w:rFonts w:ascii="Calibri" w:eastAsia="Calibri" w:hAnsi="Calibri" w:cs="Calibri"/>
                <w:sz w:val="21"/>
                <w:szCs w:val="21"/>
              </w:rPr>
            </w:pPr>
            <w:hyperlink r:id="rId21" w:history="1">
              <w:r w:rsidRPr="00CA1604">
                <w:rPr>
                  <w:rStyle w:val="Hyperlink"/>
                  <w:rFonts w:ascii="Calibri" w:hAnsi="Calibri"/>
                  <w:sz w:val="21"/>
                  <w:szCs w:val="21"/>
                </w:rPr>
                <w:t>Note d’information 3</w:t>
              </w:r>
            </w:hyperlink>
            <w:r w:rsidRPr="00CA1604">
              <w:rPr>
                <w:rFonts w:ascii="Calibri" w:hAnsi="Calibri"/>
                <w:sz w:val="21"/>
                <w:szCs w:val="21"/>
              </w:rPr>
              <w:t xml:space="preserve"> : </w:t>
            </w:r>
            <w:r w:rsidRPr="00CA1604">
              <w:rPr>
                <w:rFonts w:ascii="Calibri" w:hAnsi="Calibri"/>
                <w:i/>
                <w:iCs/>
                <w:sz w:val="21"/>
                <w:szCs w:val="21"/>
              </w:rPr>
              <w:t>Éviter, atténuer et compenser pour la perte et la dégradation des zones humides dans les lois et les politiques nationales</w:t>
            </w:r>
            <w:r w:rsidRPr="00CA1604">
              <w:rPr>
                <w:rFonts w:ascii="Calibri" w:hAnsi="Calibri"/>
                <w:sz w:val="21"/>
                <w:szCs w:val="21"/>
              </w:rPr>
              <w:t xml:space="preserve"> (2012)</w:t>
            </w:r>
          </w:p>
        </w:tc>
        <w:tc>
          <w:tcPr>
            <w:tcW w:w="3420" w:type="dxa"/>
            <w:tcBorders>
              <w:top w:val="single" w:sz="4" w:space="0" w:color="auto"/>
              <w:left w:val="single" w:sz="4" w:space="0" w:color="auto"/>
              <w:bottom w:val="single" w:sz="4" w:space="0" w:color="auto"/>
              <w:right w:val="single" w:sz="4" w:space="0" w:color="auto"/>
            </w:tcBorders>
          </w:tcPr>
          <w:p w14:paraId="526BB0A8" w14:textId="3888D0E5" w:rsidR="00171696" w:rsidRPr="00CA1604" w:rsidRDefault="00736EF9" w:rsidP="00713A1F">
            <w:pPr>
              <w:rPr>
                <w:rFonts w:ascii="Calibri" w:eastAsia="Calibri" w:hAnsi="Calibri" w:cs="Calibri"/>
                <w:sz w:val="21"/>
                <w:szCs w:val="21"/>
              </w:rPr>
            </w:pPr>
            <w:r w:rsidRPr="00CA1604">
              <w:rPr>
                <w:rFonts w:ascii="Calibri" w:hAnsi="Calibri"/>
                <w:sz w:val="21"/>
                <w:szCs w:val="21"/>
              </w:rPr>
              <w:t>Offre des exemples de lois et de politiques adoptées par les Parties contractantes pour appliquer la séquence « éviter-atténuer-compenser » en vue de minimiser la dégradation et la disparition des zones humides.</w:t>
            </w:r>
          </w:p>
        </w:tc>
      </w:tr>
      <w:tr w:rsidR="00884603" w:rsidRPr="00151874" w14:paraId="4BF776D9" w14:textId="77777777" w:rsidTr="00676868">
        <w:tc>
          <w:tcPr>
            <w:tcW w:w="1569" w:type="dxa"/>
            <w:vMerge/>
            <w:tcBorders>
              <w:left w:val="single" w:sz="4" w:space="0" w:color="auto"/>
              <w:right w:val="single" w:sz="4" w:space="0" w:color="auto"/>
            </w:tcBorders>
          </w:tcPr>
          <w:p w14:paraId="6F86D08F" w14:textId="77777777" w:rsidR="00884603" w:rsidRPr="003366C9" w:rsidRDefault="00884603"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21FC007A" w14:textId="0821C65E" w:rsidR="00884603" w:rsidRPr="00CA1604" w:rsidRDefault="00884603" w:rsidP="00713A1F">
            <w:pPr>
              <w:rPr>
                <w:rFonts w:ascii="Calibri" w:eastAsia="Calibri" w:hAnsi="Calibri" w:cs="Calibri"/>
                <w:sz w:val="21"/>
                <w:szCs w:val="21"/>
              </w:rPr>
            </w:pPr>
            <w:hyperlink r:id="rId22" w:history="1">
              <w:r w:rsidRPr="00CA1604">
                <w:rPr>
                  <w:rStyle w:val="Hyperlink"/>
                  <w:rFonts w:ascii="Calibri" w:hAnsi="Calibri"/>
                  <w:sz w:val="21"/>
                  <w:szCs w:val="21"/>
                </w:rPr>
                <w:t>Note d’information 4</w:t>
              </w:r>
            </w:hyperlink>
            <w:r w:rsidRPr="00CA1604">
              <w:rPr>
                <w:rFonts w:ascii="Calibri" w:hAnsi="Calibri"/>
                <w:sz w:val="21"/>
                <w:szCs w:val="21"/>
              </w:rPr>
              <w:t xml:space="preserve"> : </w:t>
            </w:r>
            <w:r w:rsidRPr="00CA1604">
              <w:rPr>
                <w:rFonts w:ascii="Calibri" w:hAnsi="Calibri"/>
                <w:i/>
                <w:sz w:val="21"/>
                <w:szCs w:val="21"/>
              </w:rPr>
              <w:t>Les avantages de la restauration des zones humides</w:t>
            </w:r>
            <w:r w:rsidRPr="00CA1604">
              <w:rPr>
                <w:rFonts w:ascii="Calibri" w:hAnsi="Calibri"/>
                <w:sz w:val="21"/>
                <w:szCs w:val="21"/>
              </w:rPr>
              <w:t xml:space="preserve"> (2012)</w:t>
            </w:r>
          </w:p>
        </w:tc>
        <w:tc>
          <w:tcPr>
            <w:tcW w:w="3420" w:type="dxa"/>
            <w:tcBorders>
              <w:top w:val="single" w:sz="4" w:space="0" w:color="auto"/>
              <w:left w:val="single" w:sz="4" w:space="0" w:color="auto"/>
              <w:bottom w:val="single" w:sz="4" w:space="0" w:color="auto"/>
              <w:right w:val="single" w:sz="4" w:space="0" w:color="auto"/>
            </w:tcBorders>
          </w:tcPr>
          <w:p w14:paraId="5BAB0BFB" w14:textId="113ADD00" w:rsidR="00884603" w:rsidRPr="00CA1604" w:rsidRDefault="00884603" w:rsidP="00713A1F">
            <w:pPr>
              <w:rPr>
                <w:rFonts w:ascii="Calibri" w:eastAsia="Calibri" w:hAnsi="Calibri" w:cs="Calibri"/>
                <w:sz w:val="21"/>
                <w:szCs w:val="21"/>
              </w:rPr>
            </w:pPr>
            <w:r w:rsidRPr="00CA1604">
              <w:rPr>
                <w:rFonts w:ascii="Calibri" w:hAnsi="Calibri"/>
                <w:sz w:val="21"/>
                <w:szCs w:val="21"/>
              </w:rPr>
              <w:t>Résume les orientations de la Convention et sensibilise le public.</w:t>
            </w:r>
          </w:p>
        </w:tc>
      </w:tr>
      <w:tr w:rsidR="00884603" w:rsidRPr="00151874" w14:paraId="15E4F285" w14:textId="77777777" w:rsidTr="00676868">
        <w:tc>
          <w:tcPr>
            <w:tcW w:w="1569" w:type="dxa"/>
            <w:vMerge/>
            <w:tcBorders>
              <w:left w:val="single" w:sz="4" w:space="0" w:color="auto"/>
              <w:right w:val="single" w:sz="4" w:space="0" w:color="auto"/>
            </w:tcBorders>
          </w:tcPr>
          <w:p w14:paraId="62277B68" w14:textId="77777777" w:rsidR="00884603" w:rsidRPr="003366C9" w:rsidRDefault="00884603"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1FB62DD5" w14:textId="6FBFB134" w:rsidR="00884603" w:rsidRPr="00CA1604" w:rsidRDefault="00884603" w:rsidP="00713A1F">
            <w:pPr>
              <w:rPr>
                <w:rFonts w:ascii="Calibri" w:eastAsia="Calibri" w:hAnsi="Calibri" w:cs="Calibri"/>
                <w:sz w:val="21"/>
                <w:szCs w:val="21"/>
              </w:rPr>
            </w:pPr>
            <w:hyperlink r:id="rId23" w:history="1">
              <w:r w:rsidRPr="00CA1604">
                <w:rPr>
                  <w:rStyle w:val="Hyperlink"/>
                  <w:rFonts w:ascii="Calibri" w:hAnsi="Calibri"/>
                  <w:sz w:val="21"/>
                  <w:szCs w:val="21"/>
                </w:rPr>
                <w:t>Note d’orientation 5</w:t>
              </w:r>
            </w:hyperlink>
            <w:r w:rsidRPr="00CA1604">
              <w:rPr>
                <w:sz w:val="21"/>
                <w:szCs w:val="21"/>
              </w:rPr>
              <w:t> :</w:t>
            </w:r>
            <w:r w:rsidRPr="00CA1604">
              <w:rPr>
                <w:rFonts w:ascii="Calibri" w:hAnsi="Calibri"/>
                <w:sz w:val="21"/>
                <w:szCs w:val="21"/>
              </w:rPr>
              <w:t xml:space="preserve"> </w:t>
            </w:r>
            <w:r w:rsidRPr="00CA1604">
              <w:rPr>
                <w:rFonts w:ascii="Calibri" w:hAnsi="Calibri"/>
                <w:i/>
                <w:sz w:val="21"/>
                <w:szCs w:val="21"/>
              </w:rPr>
              <w:t xml:space="preserve">Restaurer les tourbières drainées : </w:t>
            </w:r>
            <w:r w:rsidRPr="00CA1604">
              <w:rPr>
                <w:rFonts w:ascii="Calibri" w:hAnsi="Calibri"/>
                <w:i/>
                <w:iCs/>
                <w:sz w:val="21"/>
                <w:szCs w:val="21"/>
              </w:rPr>
              <w:t>une étape nécessaire à la réalisation des objectifs climatiques mondiaux</w:t>
            </w:r>
            <w:r w:rsidRPr="00CA1604">
              <w:rPr>
                <w:rFonts w:ascii="Calibri" w:hAnsi="Calibri"/>
                <w:sz w:val="21"/>
                <w:szCs w:val="21"/>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2B09112F" w14:textId="03EBEAAD" w:rsidR="00884603" w:rsidRPr="00CA1604" w:rsidRDefault="00884603" w:rsidP="00713A1F">
            <w:pPr>
              <w:rPr>
                <w:rFonts w:ascii="Calibri" w:eastAsia="Calibri" w:hAnsi="Calibri" w:cs="Calibri"/>
                <w:sz w:val="21"/>
                <w:szCs w:val="21"/>
              </w:rPr>
            </w:pPr>
            <w:r w:rsidRPr="00CA1604">
              <w:rPr>
                <w:rFonts w:ascii="Calibri" w:hAnsi="Calibri"/>
                <w:sz w:val="21"/>
                <w:szCs w:val="21"/>
              </w:rPr>
              <w:t>Fait le lien entre la restauration des tourbières et les objectifs en matière de climat et de biodiversité.</w:t>
            </w:r>
          </w:p>
        </w:tc>
      </w:tr>
      <w:tr w:rsidR="00884603" w:rsidRPr="00151874" w14:paraId="39FA3C64" w14:textId="77777777" w:rsidTr="00676868">
        <w:tc>
          <w:tcPr>
            <w:tcW w:w="1569" w:type="dxa"/>
            <w:vMerge/>
            <w:tcBorders>
              <w:left w:val="single" w:sz="4" w:space="0" w:color="auto"/>
              <w:right w:val="single" w:sz="4" w:space="0" w:color="auto"/>
            </w:tcBorders>
          </w:tcPr>
          <w:p w14:paraId="572DA985" w14:textId="77777777" w:rsidR="00884603" w:rsidRPr="003366C9" w:rsidRDefault="00884603"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0DCD492F" w14:textId="21475EE2" w:rsidR="00884603" w:rsidRPr="00CA1604" w:rsidRDefault="00884603" w:rsidP="00713A1F">
            <w:pPr>
              <w:rPr>
                <w:rFonts w:ascii="Calibri" w:eastAsia="Calibri" w:hAnsi="Calibri" w:cs="Calibri"/>
                <w:sz w:val="21"/>
                <w:szCs w:val="21"/>
              </w:rPr>
            </w:pPr>
            <w:hyperlink r:id="rId24" w:history="1">
              <w:r w:rsidRPr="00CA1604">
                <w:rPr>
                  <w:rStyle w:val="Hyperlink"/>
                  <w:rFonts w:ascii="Calibri" w:hAnsi="Calibri"/>
                  <w:sz w:val="21"/>
                  <w:szCs w:val="21"/>
                </w:rPr>
                <w:t>Note d’information 10</w:t>
              </w:r>
            </w:hyperlink>
            <w:r w:rsidRPr="00CA1604">
              <w:rPr>
                <w:rFonts w:ascii="Calibri" w:hAnsi="Calibri"/>
                <w:sz w:val="21"/>
                <w:szCs w:val="21"/>
              </w:rPr>
              <w:t xml:space="preserve"> : </w:t>
            </w:r>
            <w:r w:rsidRPr="00CA1604">
              <w:rPr>
                <w:rFonts w:ascii="Calibri" w:hAnsi="Calibri"/>
                <w:i/>
                <w:iCs/>
                <w:sz w:val="21"/>
                <w:szCs w:val="21"/>
              </w:rPr>
              <w:t>La restauration des zones humides contribue à la résilience climatique</w:t>
            </w:r>
            <w:r w:rsidRPr="00CA1604">
              <w:rPr>
                <w:rFonts w:ascii="Calibri" w:hAnsi="Calibri"/>
                <w:sz w:val="21"/>
                <w:szCs w:val="21"/>
              </w:rPr>
              <w:t xml:space="preserve"> (2018)</w:t>
            </w:r>
          </w:p>
        </w:tc>
        <w:tc>
          <w:tcPr>
            <w:tcW w:w="3420" w:type="dxa"/>
            <w:tcBorders>
              <w:top w:val="single" w:sz="4" w:space="0" w:color="auto"/>
              <w:left w:val="single" w:sz="4" w:space="0" w:color="auto"/>
              <w:bottom w:val="single" w:sz="4" w:space="0" w:color="auto"/>
              <w:right w:val="single" w:sz="4" w:space="0" w:color="auto"/>
            </w:tcBorders>
          </w:tcPr>
          <w:p w14:paraId="177D38D7" w14:textId="5BC7CB9A" w:rsidR="00884603" w:rsidRPr="00CA1604" w:rsidRDefault="00884603" w:rsidP="00713A1F">
            <w:pPr>
              <w:rPr>
                <w:rFonts w:ascii="Calibri" w:eastAsia="Calibri" w:hAnsi="Calibri" w:cs="Calibri"/>
                <w:sz w:val="21"/>
                <w:szCs w:val="21"/>
              </w:rPr>
            </w:pPr>
            <w:r w:rsidRPr="00CA1604">
              <w:rPr>
                <w:rFonts w:ascii="Calibri" w:hAnsi="Calibri"/>
                <w:sz w:val="21"/>
                <w:szCs w:val="21"/>
              </w:rPr>
              <w:t>Souligne le rôle de la restauration dans les réponses apportées au changement climatique.</w:t>
            </w:r>
          </w:p>
        </w:tc>
      </w:tr>
      <w:tr w:rsidR="00884603" w:rsidRPr="00151874" w14:paraId="2D062F99" w14:textId="77777777" w:rsidTr="00676868">
        <w:tc>
          <w:tcPr>
            <w:tcW w:w="1569" w:type="dxa"/>
            <w:vMerge/>
            <w:tcBorders>
              <w:left w:val="single" w:sz="4" w:space="0" w:color="auto"/>
              <w:right w:val="single" w:sz="4" w:space="0" w:color="auto"/>
            </w:tcBorders>
          </w:tcPr>
          <w:p w14:paraId="57201496" w14:textId="77777777" w:rsidR="00884603" w:rsidRPr="003366C9" w:rsidRDefault="00884603"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04C297A9" w14:textId="16778D72" w:rsidR="00884603" w:rsidRPr="00CA1604" w:rsidRDefault="00884603" w:rsidP="00713A1F">
            <w:pPr>
              <w:rPr>
                <w:rFonts w:ascii="Calibri" w:eastAsia="Calibri" w:hAnsi="Calibri" w:cs="Calibri"/>
                <w:sz w:val="21"/>
                <w:szCs w:val="21"/>
              </w:rPr>
            </w:pPr>
            <w:hyperlink r:id="rId25" w:history="1">
              <w:r w:rsidRPr="00CA1604">
                <w:rPr>
                  <w:rStyle w:val="Hyperlink"/>
                  <w:rFonts w:ascii="Calibri" w:hAnsi="Calibri"/>
                  <w:sz w:val="21"/>
                  <w:szCs w:val="21"/>
                </w:rPr>
                <w:t>Note d’information 11</w:t>
              </w:r>
            </w:hyperlink>
            <w:r w:rsidRPr="00CA1604">
              <w:rPr>
                <w:rFonts w:ascii="Calibri" w:hAnsi="Calibri"/>
                <w:sz w:val="21"/>
                <w:szCs w:val="21"/>
              </w:rPr>
              <w:t xml:space="preserve"> : </w:t>
            </w:r>
            <w:r w:rsidRPr="00CA1604">
              <w:rPr>
                <w:rFonts w:ascii="Calibri" w:hAnsi="Calibri"/>
                <w:i/>
                <w:sz w:val="21"/>
                <w:szCs w:val="21"/>
              </w:rPr>
              <w:t>Restauration pratique des tourbières</w:t>
            </w:r>
            <w:r w:rsidRPr="00CA1604">
              <w:rPr>
                <w:rFonts w:ascii="Calibri" w:hAnsi="Calibri"/>
                <w:sz w:val="21"/>
                <w:szCs w:val="21"/>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3840E7B7" w14:textId="037A1813" w:rsidR="00884603" w:rsidRPr="00CA1604" w:rsidRDefault="00884603" w:rsidP="00713A1F">
            <w:pPr>
              <w:rPr>
                <w:rFonts w:ascii="Calibri" w:eastAsia="Calibri" w:hAnsi="Calibri" w:cs="Calibri"/>
                <w:sz w:val="21"/>
                <w:szCs w:val="21"/>
              </w:rPr>
            </w:pPr>
            <w:r w:rsidRPr="00CA1604">
              <w:rPr>
                <w:rFonts w:ascii="Calibri" w:hAnsi="Calibri"/>
                <w:sz w:val="21"/>
                <w:szCs w:val="21"/>
              </w:rPr>
              <w:t>Fournit des méthodes et des techniques pour assurer la réhumidification et le rétablissement des tourbières.</w:t>
            </w:r>
          </w:p>
        </w:tc>
      </w:tr>
      <w:tr w:rsidR="00676868" w:rsidRPr="00151874" w14:paraId="675BB463" w14:textId="77777777" w:rsidTr="00676868">
        <w:tc>
          <w:tcPr>
            <w:tcW w:w="1569" w:type="dxa"/>
            <w:vMerge w:val="restart"/>
            <w:tcBorders>
              <w:left w:val="single" w:sz="4" w:space="0" w:color="auto"/>
              <w:right w:val="single" w:sz="4" w:space="0" w:color="auto"/>
            </w:tcBorders>
          </w:tcPr>
          <w:p w14:paraId="1EC73254" w14:textId="0B8CD864" w:rsidR="00676868" w:rsidRPr="00CA1604" w:rsidRDefault="00676868" w:rsidP="00713A1F">
            <w:pPr>
              <w:rPr>
                <w:rFonts w:ascii="Calibri" w:eastAsia="Calibri" w:hAnsi="Calibri" w:cs="Calibri"/>
                <w:i/>
                <w:iCs/>
                <w:sz w:val="21"/>
                <w:szCs w:val="21"/>
              </w:rPr>
            </w:pPr>
            <w:r w:rsidRPr="00CA1604">
              <w:rPr>
                <w:rFonts w:ascii="Calibri" w:hAnsi="Calibri"/>
                <w:i/>
                <w:sz w:val="21"/>
                <w:szCs w:val="21"/>
              </w:rPr>
              <w:t>Documents de sensibilisation et de plaidoyer</w:t>
            </w:r>
          </w:p>
        </w:tc>
        <w:tc>
          <w:tcPr>
            <w:tcW w:w="4006" w:type="dxa"/>
            <w:tcBorders>
              <w:left w:val="single" w:sz="4" w:space="0" w:color="auto"/>
              <w:bottom w:val="single" w:sz="4" w:space="0" w:color="auto"/>
              <w:right w:val="single" w:sz="4" w:space="0" w:color="auto"/>
            </w:tcBorders>
          </w:tcPr>
          <w:p w14:paraId="5AE280F4" w14:textId="46A860DB" w:rsidR="00676868" w:rsidRPr="00CA1604" w:rsidRDefault="00676868" w:rsidP="00713A1F">
            <w:pPr>
              <w:rPr>
                <w:rFonts w:ascii="Calibri" w:eastAsia="Calibri" w:hAnsi="Calibri" w:cs="Calibri"/>
                <w:sz w:val="21"/>
                <w:szCs w:val="21"/>
              </w:rPr>
            </w:pPr>
            <w:hyperlink r:id="rId26" w:history="1">
              <w:r w:rsidRPr="00CA1604">
                <w:rPr>
                  <w:rStyle w:val="Hyperlink"/>
                  <w:rFonts w:ascii="Calibri" w:hAnsi="Calibri"/>
                  <w:sz w:val="21"/>
                  <w:szCs w:val="21"/>
                </w:rPr>
                <w:t>Fiche d’information </w:t>
              </w:r>
            </w:hyperlink>
            <w:r w:rsidRPr="00CA1604">
              <w:rPr>
                <w:rFonts w:ascii="Calibri" w:hAnsi="Calibri"/>
                <w:sz w:val="21"/>
                <w:szCs w:val="21"/>
              </w:rPr>
              <w:t xml:space="preserve">: </w:t>
            </w:r>
            <w:r w:rsidRPr="00CA1604">
              <w:rPr>
                <w:rFonts w:ascii="Calibri" w:hAnsi="Calibri"/>
                <w:i/>
                <w:sz w:val="21"/>
                <w:szCs w:val="21"/>
              </w:rPr>
              <w:t xml:space="preserve">Restauration des zones humides : </w:t>
            </w:r>
            <w:r w:rsidRPr="00CA1604">
              <w:rPr>
                <w:rFonts w:ascii="Calibri" w:hAnsi="Calibri"/>
                <w:i/>
                <w:iCs/>
                <w:sz w:val="21"/>
                <w:szCs w:val="21"/>
              </w:rPr>
              <w:t>libérer le potentiel inexploité de l’écosystème le plus précieux de la planète</w:t>
            </w:r>
            <w:r w:rsidRPr="00CA1604">
              <w:rPr>
                <w:rFonts w:ascii="Calibri" w:hAnsi="Calibri"/>
                <w:sz w:val="21"/>
                <w:szCs w:val="21"/>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3E79F293" w14:textId="1A023E02" w:rsidR="00676868" w:rsidRPr="00CA1604" w:rsidRDefault="00676868" w:rsidP="00713A1F">
            <w:pPr>
              <w:rPr>
                <w:rFonts w:ascii="Calibri" w:eastAsia="Calibri" w:hAnsi="Calibri" w:cs="Calibri"/>
                <w:sz w:val="21"/>
                <w:szCs w:val="21"/>
              </w:rPr>
            </w:pPr>
            <w:r w:rsidRPr="00CA1604">
              <w:rPr>
                <w:rFonts w:ascii="Calibri" w:hAnsi="Calibri"/>
                <w:sz w:val="21"/>
                <w:szCs w:val="21"/>
              </w:rPr>
              <w:t>Sensibilise de manière générale aux valeurs et à la restauration des zones humides.</w:t>
            </w:r>
          </w:p>
        </w:tc>
      </w:tr>
      <w:tr w:rsidR="00676868" w:rsidRPr="00151874" w14:paraId="20800C43" w14:textId="77777777" w:rsidTr="00676868">
        <w:tc>
          <w:tcPr>
            <w:tcW w:w="1569" w:type="dxa"/>
            <w:vMerge/>
            <w:tcBorders>
              <w:left w:val="single" w:sz="4" w:space="0" w:color="auto"/>
              <w:right w:val="single" w:sz="4" w:space="0" w:color="auto"/>
            </w:tcBorders>
          </w:tcPr>
          <w:p w14:paraId="5FFDDD30" w14:textId="77777777" w:rsidR="00676868" w:rsidRPr="003366C9" w:rsidRDefault="00676868" w:rsidP="00713A1F">
            <w:pPr>
              <w:rPr>
                <w:rFonts w:ascii="Calibri" w:eastAsia="Calibri" w:hAnsi="Calibri" w:cs="Calibri"/>
                <w:i/>
                <w:iCs/>
                <w:sz w:val="21"/>
                <w:szCs w:val="21"/>
              </w:rPr>
            </w:pPr>
          </w:p>
        </w:tc>
        <w:tc>
          <w:tcPr>
            <w:tcW w:w="4006" w:type="dxa"/>
            <w:tcBorders>
              <w:left w:val="single" w:sz="4" w:space="0" w:color="auto"/>
              <w:bottom w:val="single" w:sz="4" w:space="0" w:color="auto"/>
              <w:right w:val="single" w:sz="4" w:space="0" w:color="auto"/>
            </w:tcBorders>
          </w:tcPr>
          <w:p w14:paraId="291B6F41" w14:textId="75BFD683" w:rsidR="00676868" w:rsidRPr="00CA1604" w:rsidRDefault="00676868" w:rsidP="00713A1F">
            <w:pPr>
              <w:rPr>
                <w:rFonts w:ascii="Calibri" w:eastAsia="Calibri" w:hAnsi="Calibri" w:cs="Calibri"/>
                <w:sz w:val="21"/>
                <w:szCs w:val="21"/>
              </w:rPr>
            </w:pPr>
            <w:hyperlink r:id="rId27" w:history="1">
              <w:r w:rsidRPr="00CA1604">
                <w:rPr>
                  <w:rStyle w:val="Hyperlink"/>
                  <w:rFonts w:ascii="Calibri" w:hAnsi="Calibri"/>
                  <w:sz w:val="21"/>
                  <w:szCs w:val="21"/>
                </w:rPr>
                <w:t>Fiche d’information </w:t>
              </w:r>
            </w:hyperlink>
            <w:r w:rsidRPr="00CA1604">
              <w:rPr>
                <w:rFonts w:ascii="Calibri" w:hAnsi="Calibri"/>
                <w:sz w:val="21"/>
                <w:szCs w:val="21"/>
              </w:rPr>
              <w:t xml:space="preserve">: </w:t>
            </w:r>
            <w:r w:rsidRPr="00CA1604">
              <w:rPr>
                <w:rFonts w:ascii="Calibri" w:hAnsi="Calibri"/>
                <w:i/>
                <w:iCs/>
                <w:sz w:val="21"/>
                <w:szCs w:val="21"/>
              </w:rPr>
              <w:t>Restaurer les tourbières drainées constitue désormais un impératif environnemental</w:t>
            </w:r>
            <w:r w:rsidRPr="00CA1604">
              <w:rPr>
                <w:rFonts w:ascii="Calibri" w:hAnsi="Calibri"/>
                <w:sz w:val="21"/>
                <w:szCs w:val="21"/>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1C87CAE9" w14:textId="2B685196" w:rsidR="00676868" w:rsidRPr="00CA1604" w:rsidRDefault="00676868" w:rsidP="00713A1F">
            <w:pPr>
              <w:rPr>
                <w:rFonts w:ascii="Calibri" w:eastAsia="Calibri" w:hAnsi="Calibri" w:cs="Calibri"/>
                <w:sz w:val="21"/>
                <w:szCs w:val="21"/>
              </w:rPr>
            </w:pPr>
            <w:r w:rsidRPr="00CA1604">
              <w:rPr>
                <w:rFonts w:ascii="Calibri" w:hAnsi="Calibri"/>
                <w:sz w:val="21"/>
                <w:szCs w:val="21"/>
              </w:rPr>
              <w:t>Attire l’attention sur l’importance de la restauration des tourbières, ainsi que sur les approches qui lui sont associées.</w:t>
            </w:r>
          </w:p>
        </w:tc>
      </w:tr>
      <w:tr w:rsidR="00676868" w:rsidRPr="00151874" w14:paraId="261766F3" w14:textId="77777777" w:rsidTr="00676868">
        <w:tc>
          <w:tcPr>
            <w:tcW w:w="1569" w:type="dxa"/>
            <w:vMerge/>
            <w:tcBorders>
              <w:left w:val="single" w:sz="4" w:space="0" w:color="auto"/>
              <w:right w:val="single" w:sz="4" w:space="0" w:color="auto"/>
            </w:tcBorders>
          </w:tcPr>
          <w:p w14:paraId="470BB037" w14:textId="77777777" w:rsidR="00676868" w:rsidRPr="003366C9" w:rsidRDefault="00676868" w:rsidP="00713A1F">
            <w:pPr>
              <w:rPr>
                <w:rFonts w:ascii="Calibri" w:eastAsia="Calibri" w:hAnsi="Calibri" w:cs="Calibri"/>
                <w:i/>
                <w:iCs/>
                <w:sz w:val="21"/>
                <w:szCs w:val="21"/>
              </w:rPr>
            </w:pPr>
          </w:p>
        </w:tc>
        <w:tc>
          <w:tcPr>
            <w:tcW w:w="4006" w:type="dxa"/>
            <w:tcBorders>
              <w:left w:val="single" w:sz="4" w:space="0" w:color="auto"/>
              <w:right w:val="single" w:sz="4" w:space="0" w:color="auto"/>
            </w:tcBorders>
          </w:tcPr>
          <w:p w14:paraId="26740FEA" w14:textId="2AB564C8" w:rsidR="00676868" w:rsidRPr="00CA1604" w:rsidRDefault="00676868" w:rsidP="00713A1F">
            <w:pPr>
              <w:rPr>
                <w:rFonts w:ascii="Calibri" w:eastAsia="Calibri" w:hAnsi="Calibri" w:cs="Calibri"/>
                <w:sz w:val="21"/>
                <w:szCs w:val="21"/>
              </w:rPr>
            </w:pPr>
            <w:hyperlink r:id="rId28" w:history="1">
              <w:r w:rsidRPr="00CA1604">
                <w:rPr>
                  <w:rStyle w:val="Hyperlink"/>
                  <w:rFonts w:ascii="Calibri" w:hAnsi="Calibri"/>
                  <w:sz w:val="21"/>
                  <w:szCs w:val="21"/>
                </w:rPr>
                <w:t>Fiche d’information </w:t>
              </w:r>
            </w:hyperlink>
            <w:r w:rsidRPr="00CA1604">
              <w:rPr>
                <w:rFonts w:ascii="Calibri" w:hAnsi="Calibri"/>
                <w:sz w:val="21"/>
                <w:szCs w:val="21"/>
              </w:rPr>
              <w:t xml:space="preserve">: </w:t>
            </w:r>
            <w:r w:rsidRPr="00CA1604">
              <w:rPr>
                <w:rFonts w:ascii="Calibri" w:hAnsi="Calibri"/>
                <w:i/>
                <w:iCs/>
                <w:sz w:val="21"/>
                <w:szCs w:val="21"/>
              </w:rPr>
              <w:t>Restaurer les zones humides marines et côtières pour qu’elles prospèrent</w:t>
            </w:r>
            <w:r w:rsidRPr="00CA1604">
              <w:rPr>
                <w:rFonts w:ascii="Calibri" w:hAnsi="Calibri"/>
                <w:sz w:val="21"/>
                <w:szCs w:val="21"/>
              </w:rPr>
              <w:t xml:space="preserve"> (2021)</w:t>
            </w:r>
          </w:p>
        </w:tc>
        <w:tc>
          <w:tcPr>
            <w:tcW w:w="3420" w:type="dxa"/>
            <w:tcBorders>
              <w:top w:val="single" w:sz="4" w:space="0" w:color="auto"/>
              <w:left w:val="single" w:sz="4" w:space="0" w:color="auto"/>
              <w:bottom w:val="single" w:sz="4" w:space="0" w:color="auto"/>
              <w:right w:val="single" w:sz="4" w:space="0" w:color="auto"/>
            </w:tcBorders>
          </w:tcPr>
          <w:p w14:paraId="4D9346FE" w14:textId="39F6CFC3" w:rsidR="00676868" w:rsidRPr="00CA1604" w:rsidRDefault="00676868" w:rsidP="00713A1F">
            <w:pPr>
              <w:rPr>
                <w:rFonts w:ascii="Calibri" w:eastAsia="Calibri" w:hAnsi="Calibri" w:cs="Calibri"/>
                <w:sz w:val="21"/>
                <w:szCs w:val="21"/>
              </w:rPr>
            </w:pPr>
            <w:r w:rsidRPr="00CA1604">
              <w:rPr>
                <w:rFonts w:ascii="Calibri" w:hAnsi="Calibri"/>
                <w:sz w:val="21"/>
                <w:szCs w:val="21"/>
              </w:rPr>
              <w:t>Met en évidence les avantages et le potentiel de restauration des zones humides côtières.</w:t>
            </w:r>
          </w:p>
        </w:tc>
      </w:tr>
    </w:tbl>
    <w:p w14:paraId="7EA87E6A" w14:textId="77777777" w:rsidR="00017083" w:rsidRPr="003366C9" w:rsidRDefault="00017083" w:rsidP="00CB50EB">
      <w:pPr>
        <w:ind w:left="426" w:hanging="426"/>
        <w:rPr>
          <w:rFonts w:ascii="Calibri" w:eastAsia="Calibri" w:hAnsi="Calibri" w:cs="Times New Roman"/>
          <w:sz w:val="22"/>
          <w:szCs w:val="22"/>
        </w:rPr>
      </w:pPr>
    </w:p>
    <w:p w14:paraId="3DEF086C" w14:textId="77777777" w:rsidR="00F8769F" w:rsidRPr="003366C9" w:rsidRDefault="00F8769F" w:rsidP="00CB50EB">
      <w:pPr>
        <w:suppressLineNumbers/>
        <w:suppressAutoHyphens/>
        <w:ind w:left="432" w:hanging="432"/>
        <w:rPr>
          <w:rFonts w:ascii="Calibri" w:eastAsia="Calibri" w:hAnsi="Calibri" w:cs="Arial"/>
          <w:b/>
          <w:sz w:val="22"/>
          <w:szCs w:val="22"/>
        </w:rPr>
      </w:pPr>
    </w:p>
    <w:p w14:paraId="11269891" w14:textId="7C7F6267" w:rsidR="00CB50EB" w:rsidRPr="0066068C" w:rsidRDefault="00CB50EB" w:rsidP="00170690">
      <w:pPr>
        <w:suppressLineNumbers/>
        <w:suppressAutoHyphens/>
        <w:rPr>
          <w:rFonts w:ascii="Calibri" w:eastAsia="Calibri" w:hAnsi="Calibri" w:cs="Arial"/>
          <w:b/>
          <w:sz w:val="22"/>
          <w:szCs w:val="22"/>
        </w:rPr>
      </w:pPr>
      <w:r>
        <w:rPr>
          <w:rFonts w:ascii="Calibri" w:hAnsi="Calibri"/>
          <w:b/>
          <w:sz w:val="22"/>
        </w:rPr>
        <w:t>Vue d’ensemble de la dégradation des zones humides, des engagements pris en matière de restauration, de la mise en œuvre et de la soumission de rapports</w:t>
      </w:r>
    </w:p>
    <w:p w14:paraId="0E87BF45" w14:textId="77777777" w:rsidR="00FF62C8" w:rsidRPr="003366C9" w:rsidRDefault="00FF62C8" w:rsidP="00CB50EB">
      <w:pPr>
        <w:ind w:left="426" w:hanging="426"/>
        <w:rPr>
          <w:rFonts w:ascii="Calibri" w:eastAsia="Calibri" w:hAnsi="Calibri" w:cs="Times New Roman"/>
          <w:sz w:val="22"/>
          <w:szCs w:val="22"/>
        </w:rPr>
      </w:pPr>
    </w:p>
    <w:p w14:paraId="4E9558D2" w14:textId="1549D695" w:rsidR="00965051" w:rsidRDefault="00965051" w:rsidP="00965051">
      <w:pPr>
        <w:ind w:left="426" w:hanging="426"/>
        <w:rPr>
          <w:rFonts w:ascii="Calibri" w:eastAsia="Calibri" w:hAnsi="Calibri" w:cs="Times New Roman"/>
          <w:sz w:val="22"/>
          <w:szCs w:val="22"/>
        </w:rPr>
      </w:pPr>
      <w:r>
        <w:rPr>
          <w:rFonts w:ascii="Calibri" w:hAnsi="Calibri"/>
          <w:sz w:val="22"/>
        </w:rPr>
        <w:t>15.</w:t>
      </w:r>
      <w:r>
        <w:rPr>
          <w:rFonts w:ascii="Calibri" w:hAnsi="Calibri"/>
          <w:sz w:val="22"/>
        </w:rPr>
        <w:tab/>
        <w:t>Bien que l’on reconnaisse de plus en plus l’importance revêtue par la restauration des zones humides, la superficie mondiale des zones humides dégradées reste mal quantifiée, en partie en raison de la faible couverture des données et des différences qui persistent dans les définitions et les méthodologies. Les estimations existantes suggèrent toutefois une disparition et une dégradation significatives de nombreux types de zones humides : 20 à 50 % des marais salants</w:t>
      </w:r>
      <w:r w:rsidR="00272DAC">
        <w:rPr>
          <w:rStyle w:val="FootnoteReference"/>
          <w:rFonts w:ascii="Calibri" w:eastAsia="Calibri" w:hAnsi="Calibri" w:cs="Times New Roman"/>
          <w:sz w:val="22"/>
          <w:szCs w:val="22"/>
          <w:lang w:val="en-US"/>
        </w:rPr>
        <w:footnoteReference w:id="18"/>
      </w:r>
      <w:r>
        <w:rPr>
          <w:rFonts w:ascii="Calibri" w:hAnsi="Calibri"/>
          <w:sz w:val="22"/>
        </w:rPr>
        <w:t>, 20 à 35 % des mangroves</w:t>
      </w:r>
      <w:r w:rsidR="00C34AD6">
        <w:rPr>
          <w:rStyle w:val="FootnoteReference"/>
          <w:rFonts w:ascii="Calibri" w:eastAsia="Calibri" w:hAnsi="Calibri" w:cs="Times New Roman"/>
          <w:sz w:val="22"/>
          <w:szCs w:val="22"/>
          <w:lang w:val="en-US"/>
        </w:rPr>
        <w:footnoteReference w:id="19"/>
      </w:r>
      <w:r>
        <w:rPr>
          <w:rFonts w:ascii="Calibri" w:hAnsi="Calibri"/>
          <w:sz w:val="22"/>
        </w:rPr>
        <w:t>, 30 % des herbiers marins</w:t>
      </w:r>
      <w:r w:rsidR="00185300">
        <w:rPr>
          <w:rStyle w:val="FootnoteReference"/>
          <w:rFonts w:ascii="Calibri" w:eastAsia="Calibri" w:hAnsi="Calibri" w:cs="Times New Roman"/>
          <w:sz w:val="22"/>
          <w:szCs w:val="22"/>
          <w:lang w:val="en-US"/>
        </w:rPr>
        <w:footnoteReference w:id="20"/>
      </w:r>
      <w:r>
        <w:rPr>
          <w:rFonts w:ascii="Calibri" w:hAnsi="Calibri"/>
          <w:sz w:val="22"/>
        </w:rPr>
        <w:t xml:space="preserve"> et jusqu’à 50 % des récifs coralliens</w:t>
      </w:r>
      <w:r w:rsidR="00F04BB3">
        <w:rPr>
          <w:rStyle w:val="FootnoteReference"/>
          <w:rFonts w:ascii="Calibri" w:eastAsia="Calibri" w:hAnsi="Calibri" w:cs="Times New Roman"/>
          <w:sz w:val="22"/>
          <w:szCs w:val="22"/>
          <w:lang w:val="en-US"/>
        </w:rPr>
        <w:footnoteReference w:id="21"/>
      </w:r>
      <w:r>
        <w:rPr>
          <w:rFonts w:ascii="Calibri" w:hAnsi="Calibri"/>
          <w:sz w:val="22"/>
        </w:rPr>
        <w:t xml:space="preserve"> ont ainsi disparu. Selon des initiatives mondiales telles que le Cadre de suivi de la restauration des écosystèmes (FERM)</w:t>
      </w:r>
      <w:r w:rsidR="00D73F52">
        <w:rPr>
          <w:rStyle w:val="FootnoteReference"/>
          <w:rFonts w:ascii="Calibri" w:eastAsia="Calibri" w:hAnsi="Calibri" w:cs="Times New Roman"/>
          <w:sz w:val="22"/>
          <w:szCs w:val="22"/>
          <w:lang w:val="en-GB"/>
        </w:rPr>
        <w:footnoteReference w:id="22"/>
      </w:r>
      <w:r>
        <w:rPr>
          <w:rFonts w:ascii="Calibri" w:hAnsi="Calibri"/>
          <w:sz w:val="22"/>
        </w:rPr>
        <w:t> du Programme des Nations Unies pour l’environnement et le Baromètre de la restauration de l’UICN</w:t>
      </w:r>
      <w:r w:rsidR="00D0733C">
        <w:rPr>
          <w:rStyle w:val="FootnoteReference"/>
          <w:rFonts w:ascii="Calibri" w:eastAsia="Calibri" w:hAnsi="Calibri" w:cs="Times New Roman"/>
          <w:sz w:val="22"/>
          <w:szCs w:val="22"/>
          <w:lang w:val="en-US"/>
        </w:rPr>
        <w:footnoteReference w:id="23"/>
      </w:r>
      <w:r>
        <w:rPr>
          <w:rFonts w:ascii="Calibri" w:hAnsi="Calibri"/>
          <w:sz w:val="22"/>
        </w:rPr>
        <w:t xml:space="preserve">, jusqu’à 50 % des différents types d’habitats de </w:t>
      </w:r>
      <w:r>
        <w:rPr>
          <w:rFonts w:ascii="Calibri" w:hAnsi="Calibri"/>
          <w:sz w:val="22"/>
        </w:rPr>
        <w:lastRenderedPageBreak/>
        <w:t>zones humides sont aujourd’hui considérés comme gravement dégradés dans le monde</w:t>
      </w:r>
      <w:r w:rsidR="003F6790">
        <w:rPr>
          <w:rStyle w:val="FootnoteReference"/>
          <w:rFonts w:ascii="Calibri" w:eastAsia="Calibri" w:hAnsi="Calibri" w:cs="Times New Roman"/>
          <w:sz w:val="22"/>
          <w:szCs w:val="22"/>
          <w:lang w:val="en-US"/>
        </w:rPr>
        <w:footnoteReference w:id="24"/>
      </w:r>
      <w:r>
        <w:rPr>
          <w:rFonts w:ascii="Calibri" w:hAnsi="Calibri"/>
          <w:sz w:val="22"/>
        </w:rPr>
        <w:t>. La dégradation des tourbières est également largement généralisée, touchant 11,7 % des tourbières au niveau mondial et plus de 50 % dans certaines parties de l’Europe et de l’Afrique</w:t>
      </w:r>
      <w:r w:rsidR="00C44DA5">
        <w:rPr>
          <w:rStyle w:val="FootnoteReference"/>
          <w:rFonts w:ascii="Calibri" w:eastAsia="Calibri" w:hAnsi="Calibri" w:cs="Times New Roman"/>
          <w:sz w:val="22"/>
          <w:szCs w:val="22"/>
          <w:lang w:val="en-US"/>
        </w:rPr>
        <w:footnoteReference w:id="25"/>
      </w:r>
      <w:r>
        <w:rPr>
          <w:rFonts w:ascii="Calibri" w:hAnsi="Calibri"/>
          <w:sz w:val="22"/>
        </w:rPr>
        <w:t>. Pour réaliser la cible 2 du Cadre mondial de la biodiversité de Kunming-Montréal, au moins 30 % des zones humides intérieures, côtières et marines dégradées devront faire l’objet d’une restauration effective d’ici à 2030. Selon les estimations mondiales disponibles sur la disparition des zones humides, cela pourrait correspondre à 0,9-1,1 million de km</w:t>
      </w:r>
      <w:r>
        <w:rPr>
          <w:rFonts w:ascii="Calibri" w:hAnsi="Calibri"/>
          <w:sz w:val="22"/>
          <w:vertAlign w:val="superscript"/>
        </w:rPr>
        <w:t>2</w:t>
      </w:r>
      <w:r>
        <w:rPr>
          <w:rFonts w:ascii="Calibri" w:hAnsi="Calibri"/>
          <w:sz w:val="22"/>
        </w:rPr>
        <w:t xml:space="preserve"> de zones humides dégradées à restaurer. La réalisation de cet objectif ne repose pas seulement sur l’ambition, mais également sur un meilleur suivi, une meilleure coordination et une action soutenue.</w:t>
      </w:r>
    </w:p>
    <w:p w14:paraId="27F4FC38" w14:textId="19BD430A" w:rsidR="00743F8B" w:rsidRPr="003366C9" w:rsidRDefault="00743F8B" w:rsidP="00CB50EB">
      <w:pPr>
        <w:ind w:left="426" w:hanging="426"/>
        <w:rPr>
          <w:rFonts w:ascii="Calibri" w:eastAsia="Calibri" w:hAnsi="Calibri" w:cs="Times New Roman"/>
          <w:sz w:val="22"/>
          <w:szCs w:val="22"/>
        </w:rPr>
      </w:pPr>
    </w:p>
    <w:p w14:paraId="6EF14343" w14:textId="44449264" w:rsidR="00C5588C" w:rsidRDefault="00004BC7" w:rsidP="00004BC7">
      <w:pPr>
        <w:ind w:left="426" w:hanging="426"/>
        <w:rPr>
          <w:rFonts w:ascii="Calibri" w:eastAsia="Calibri" w:hAnsi="Calibri" w:cs="Times New Roman"/>
          <w:sz w:val="22"/>
          <w:szCs w:val="22"/>
        </w:rPr>
      </w:pPr>
      <w:r>
        <w:rPr>
          <w:rFonts w:ascii="Calibri" w:hAnsi="Calibri"/>
          <w:sz w:val="22"/>
        </w:rPr>
        <w:t>16.</w:t>
      </w:r>
      <w:r>
        <w:rPr>
          <w:rFonts w:ascii="Calibri" w:hAnsi="Calibri"/>
          <w:sz w:val="22"/>
        </w:rPr>
        <w:tab/>
        <w:t>Pour la COP15, près de 66 % des Parties contractantes ayant soumis leur rapport national déclarent avoir établi ou partiellement établi des objectifs nationaux en matière de restauration des zones humides, tandis que 74 % d’entre elles ont identifié ou partiellement identifié des sites à restaurer en priorité. Cela reflète l’importance stratégique croissante accordée à la restauration des zones humides, qui s’appuie sur l’aménagement du territoire et la définition d’objectifs nationaux. Plusieurs pays font également état d’objectifs spécifiques en matière de superficie à restaurer, mais la superficie totale concernée par les engagements pris en matière de restauration dans le cadre de la Convention reste bien en deçà de la cible du Cadre mondial de la biodiversité de Kunming-Montréal.</w:t>
      </w:r>
    </w:p>
    <w:p w14:paraId="1B9BBE37" w14:textId="77777777" w:rsidR="00CB50EB" w:rsidRPr="003366C9" w:rsidRDefault="00CB50EB" w:rsidP="00CB50EB">
      <w:pPr>
        <w:ind w:left="426" w:hanging="426"/>
        <w:rPr>
          <w:rFonts w:ascii="Calibri" w:eastAsia="Calibri" w:hAnsi="Calibri" w:cs="Times New Roman"/>
          <w:sz w:val="22"/>
          <w:szCs w:val="22"/>
        </w:rPr>
      </w:pPr>
    </w:p>
    <w:p w14:paraId="40DD0518" w14:textId="184ABF68" w:rsidR="00CB50EB" w:rsidRPr="007938F3" w:rsidRDefault="00CD240B" w:rsidP="00CB50EB">
      <w:pPr>
        <w:ind w:left="426" w:hanging="426"/>
        <w:rPr>
          <w:rFonts w:ascii="Calibri" w:eastAsia="Calibri" w:hAnsi="Calibri" w:cs="Times New Roman"/>
          <w:sz w:val="22"/>
          <w:szCs w:val="22"/>
        </w:rPr>
      </w:pPr>
      <w:r>
        <w:rPr>
          <w:rFonts w:ascii="Calibri" w:hAnsi="Calibri"/>
          <w:sz w:val="22"/>
        </w:rPr>
        <w:t>17.</w:t>
      </w:r>
      <w:r>
        <w:rPr>
          <w:rFonts w:ascii="Calibri" w:hAnsi="Calibri"/>
          <w:sz w:val="22"/>
        </w:rPr>
        <w:tab/>
        <w:t>Au niveau mondial, les initiatives à grande échelle sont le signe d’une dynamique croissante. Selon le FERM, 20 pays se sont engagés à restaurer plus de 44 millions d’hectares de zones humides au total, avec des contributions majeures du Pakistan (25 millions d’hectares), de la Chine (10 millions d’hectares) et du Kazakhstan (8 millions d’hectares). Le Baromètre de la restauration de l’UICN assure le suivi des engagements pris à l’échelle des écosystèmes, couvrant plus de 50 millions d’hectares dans 18 pays, mais les contributions spécifiques aux zones humides ne sont pas toujours ventilées. Les petits États insulaires en développement (PEID) tels que les Comores et Vanuatu ont également adopté des objectifs relativement ambitieux en matière de restauration des zones humides. Toutefois, la plupart des engagements suivis par le Baromètre concernent principalement des forêts pour le moment, ce qui souligne la nécessité d’améliorer la préparation de rapports sur la restauration spécifique aux zones humides.</w:t>
      </w:r>
    </w:p>
    <w:p w14:paraId="7A193DA3" w14:textId="77777777" w:rsidR="00CB50EB" w:rsidRPr="003366C9" w:rsidRDefault="00CB50EB" w:rsidP="00CB50EB">
      <w:pPr>
        <w:ind w:left="426" w:hanging="426"/>
        <w:rPr>
          <w:rFonts w:ascii="Calibri" w:eastAsia="Calibri" w:hAnsi="Calibri" w:cs="Times New Roman"/>
          <w:sz w:val="22"/>
          <w:szCs w:val="22"/>
        </w:rPr>
      </w:pPr>
    </w:p>
    <w:p w14:paraId="071A49E6" w14:textId="12A0793D" w:rsidR="006719B7" w:rsidRDefault="000C5B70" w:rsidP="00C024DC">
      <w:pPr>
        <w:ind w:left="426" w:hanging="426"/>
        <w:rPr>
          <w:rFonts w:ascii="Calibri" w:eastAsia="Calibri" w:hAnsi="Calibri" w:cs="Times New Roman"/>
          <w:sz w:val="22"/>
          <w:szCs w:val="22"/>
        </w:rPr>
      </w:pPr>
      <w:r>
        <w:rPr>
          <w:rFonts w:ascii="Calibri" w:hAnsi="Calibri"/>
          <w:sz w:val="22"/>
        </w:rPr>
        <w:t>18.</w:t>
      </w:r>
      <w:r>
        <w:rPr>
          <w:rFonts w:ascii="Calibri" w:hAnsi="Calibri"/>
          <w:sz w:val="22"/>
        </w:rPr>
        <w:tab/>
        <w:t>Un écart persiste entre les engagements et leur mise en application. Lors de la COP14, seuls 8 % des Parties contractantes ont déclaré que leurs activités de restauration des zones humides avaient atteint le stade de la mise en œuvre. Pour la COP15, ce chiffre a augmenté, 54 % des Parties déclarant que leurs programmes de restauration ou de réhabilitation sont passés à la phase de mise en œuvre depuis la COP14. Cette augmentation reflète vraisemblablement les progrès accomplis sur le terrain et les améliorations apportées à la préparation des rapports nationaux. Des données complémentaires tirées du Baromètre de la restauration montrent qu</w:t>
      </w:r>
      <w:r w:rsidR="00B1110A">
        <w:rPr>
          <w:rFonts w:ascii="Calibri" w:hAnsi="Calibri"/>
          <w:sz w:val="22"/>
        </w:rPr>
        <w:t>’</w:t>
      </w:r>
      <w:r>
        <w:rPr>
          <w:rFonts w:ascii="Calibri" w:hAnsi="Calibri"/>
          <w:sz w:val="22"/>
        </w:rPr>
        <w:t>e</w:t>
      </w:r>
      <w:r w:rsidR="00B1110A">
        <w:rPr>
          <w:rFonts w:ascii="Calibri" w:hAnsi="Calibri"/>
          <w:sz w:val="22"/>
        </w:rPr>
        <w:t>n 2022</w:t>
      </w:r>
      <w:r>
        <w:rPr>
          <w:rFonts w:ascii="Calibri" w:hAnsi="Calibri"/>
          <w:sz w:val="22"/>
        </w:rPr>
        <w:t xml:space="preserve">, sur les 50 millions d’hectares promis, seuls 14,2 millions d’hectares (28 % de la superficie promise) étaient déclarés comme faisant l’objet d’une restauration active. Dans le cas du FERM, bien que la portée des engagements soit de grande ampleur, les données quantifiées et vérifiées restent limitées quant aux progrès spécifiques aux zones humides, de nombreux </w:t>
      </w:r>
      <w:r>
        <w:rPr>
          <w:rFonts w:ascii="Calibri" w:hAnsi="Calibri"/>
          <w:sz w:val="22"/>
        </w:rPr>
        <w:lastRenderedPageBreak/>
        <w:t xml:space="preserve">projets ne disposant pas de données explicites sur les superficies ou se concentrant sur des interventions très localisées. </w:t>
      </w:r>
    </w:p>
    <w:p w14:paraId="0511D745" w14:textId="77777777" w:rsidR="006719B7" w:rsidRPr="003366C9" w:rsidRDefault="006719B7" w:rsidP="00C024DC">
      <w:pPr>
        <w:ind w:left="426" w:hanging="426"/>
        <w:rPr>
          <w:rFonts w:ascii="Calibri" w:eastAsia="Calibri" w:hAnsi="Calibri" w:cs="Times New Roman"/>
          <w:sz w:val="22"/>
          <w:szCs w:val="22"/>
        </w:rPr>
      </w:pPr>
    </w:p>
    <w:p w14:paraId="55209C0A" w14:textId="32387447" w:rsidR="00DF69D0" w:rsidRDefault="006719B7" w:rsidP="00C024DC">
      <w:pPr>
        <w:ind w:left="426" w:hanging="426"/>
        <w:rPr>
          <w:rFonts w:ascii="Calibri" w:eastAsia="Calibri" w:hAnsi="Calibri" w:cs="Times New Roman"/>
          <w:sz w:val="22"/>
          <w:szCs w:val="22"/>
        </w:rPr>
      </w:pPr>
      <w:r>
        <w:rPr>
          <w:rFonts w:ascii="Calibri" w:hAnsi="Calibri"/>
          <w:sz w:val="22"/>
        </w:rPr>
        <w:t>19.</w:t>
      </w:r>
      <w:r>
        <w:rPr>
          <w:rFonts w:ascii="Calibri" w:hAnsi="Calibri"/>
          <w:sz w:val="22"/>
        </w:rPr>
        <w:tab/>
        <w:t>Parmi les obstacles identifiés, citons les financements inadéquats, une capacité institutionnelle et technique limitée, et un manque d’intégration dans les plans nationaux d’aménagement du territoire, d’infrastructure et de développement. Ces difficultés se retrouvent dans toutes les régions, avec des obstacles évidents propres à chaque contexte dans les pays à revenu faible et intermédiaire, nombre de ces derniers affichant également de faibles taux de soumission de rapports aux cadres et plateformes mondiaux tels que la Convention, le FERM et RESTOR.</w:t>
      </w:r>
    </w:p>
    <w:p w14:paraId="2364B18B" w14:textId="77777777" w:rsidR="00CD240B" w:rsidRPr="003366C9" w:rsidRDefault="00CD240B" w:rsidP="00CB50EB">
      <w:pPr>
        <w:ind w:left="426" w:hanging="426"/>
        <w:rPr>
          <w:rFonts w:ascii="Calibri" w:eastAsia="Calibri" w:hAnsi="Calibri" w:cs="Times New Roman"/>
          <w:sz w:val="22"/>
          <w:szCs w:val="22"/>
        </w:rPr>
      </w:pPr>
    </w:p>
    <w:p w14:paraId="7969C7E5" w14:textId="07914946" w:rsidR="00F62087" w:rsidRDefault="00E95EE2" w:rsidP="00E95EE2">
      <w:pPr>
        <w:ind w:left="426" w:hanging="426"/>
        <w:rPr>
          <w:rFonts w:ascii="Calibri" w:eastAsia="Calibri" w:hAnsi="Calibri" w:cs="Times New Roman"/>
          <w:sz w:val="22"/>
          <w:szCs w:val="22"/>
        </w:rPr>
      </w:pPr>
      <w:r>
        <w:rPr>
          <w:rFonts w:ascii="Calibri" w:hAnsi="Calibri"/>
          <w:sz w:val="22"/>
        </w:rPr>
        <w:t>20.</w:t>
      </w:r>
      <w:r>
        <w:rPr>
          <w:rFonts w:ascii="Calibri" w:hAnsi="Calibri"/>
          <w:sz w:val="22"/>
        </w:rPr>
        <w:tab/>
        <w:t>Plusieurs initiatives et partenariats internationaux soutiennent aujourd’hui les pays en vue de surmonter ces difficultés et d’intensifier les efforts de restauration. Le Défi de l’eau douce</w:t>
      </w:r>
      <w:r w:rsidR="00E4597B">
        <w:rPr>
          <w:rStyle w:val="FootnoteReference"/>
          <w:rFonts w:ascii="Calibri" w:eastAsia="Calibri" w:hAnsi="Calibri" w:cs="Times New Roman"/>
          <w:sz w:val="22"/>
          <w:szCs w:val="22"/>
          <w:lang w:val="en-GB"/>
        </w:rPr>
        <w:footnoteReference w:id="26"/>
      </w:r>
      <w:r>
        <w:rPr>
          <w:rFonts w:ascii="Calibri" w:hAnsi="Calibri"/>
          <w:sz w:val="22"/>
        </w:rPr>
        <w:t xml:space="preserve"> </w:t>
      </w:r>
      <w:r w:rsidR="0019746E">
        <w:rPr>
          <w:rFonts w:ascii="Calibri" w:hAnsi="Calibri"/>
          <w:sz w:val="22"/>
        </w:rPr>
        <w:t>a pour objectif d’</w:t>
      </w:r>
      <w:r>
        <w:rPr>
          <w:rFonts w:ascii="Calibri" w:hAnsi="Calibri"/>
          <w:sz w:val="22"/>
        </w:rPr>
        <w:t>aider les pays à restaurer 350 millions d’hectares de zones humides et 300 000 km de rivières dégradées d’ici à 2030. D’autres initiatives s’intéressent à certains types spécifiques de zones humides, tels que la Global Mangrove Alliance et son initiative Mangrove Breakthrough</w:t>
      </w:r>
      <w:r w:rsidR="00E4597B">
        <w:rPr>
          <w:rStyle w:val="FootnoteReference"/>
          <w:rFonts w:ascii="Calibri" w:eastAsia="Calibri" w:hAnsi="Calibri" w:cs="Times New Roman"/>
          <w:sz w:val="22"/>
          <w:szCs w:val="22"/>
          <w:lang w:val="en-US"/>
        </w:rPr>
        <w:footnoteReference w:id="27"/>
      </w:r>
      <w:r>
        <w:rPr>
          <w:rFonts w:ascii="Calibri" w:hAnsi="Calibri"/>
          <w:sz w:val="22"/>
        </w:rPr>
        <w:t>, la Global Peatlands Initiative</w:t>
      </w:r>
      <w:r w:rsidR="00E4597B">
        <w:rPr>
          <w:rStyle w:val="FootnoteReference"/>
          <w:rFonts w:ascii="Calibri" w:eastAsia="Calibri" w:hAnsi="Calibri" w:cs="Times New Roman"/>
          <w:sz w:val="22"/>
          <w:szCs w:val="22"/>
          <w:lang w:val="en-US"/>
        </w:rPr>
        <w:footnoteReference w:id="28"/>
      </w:r>
      <w:r>
        <w:rPr>
          <w:rFonts w:ascii="Calibri" w:hAnsi="Calibri"/>
          <w:sz w:val="22"/>
        </w:rPr>
        <w:t xml:space="preserve"> et le Kelp Forest Challenge</w:t>
      </w:r>
      <w:r w:rsidR="00E4597B">
        <w:rPr>
          <w:rStyle w:val="FootnoteReference"/>
          <w:rFonts w:ascii="Calibri" w:eastAsia="Calibri" w:hAnsi="Calibri" w:cs="Times New Roman"/>
          <w:sz w:val="22"/>
          <w:szCs w:val="22"/>
          <w:lang w:val="en-US"/>
        </w:rPr>
        <w:footnoteReference w:id="29"/>
      </w:r>
      <w:r>
        <w:rPr>
          <w:rFonts w:ascii="Calibri" w:hAnsi="Calibri"/>
          <w:sz w:val="22"/>
        </w:rPr>
        <w:t xml:space="preserve">. </w:t>
      </w:r>
    </w:p>
    <w:p w14:paraId="3DB08F0D" w14:textId="77777777" w:rsidR="00F62087" w:rsidRPr="003366C9" w:rsidRDefault="00F62087" w:rsidP="00EC474C">
      <w:pPr>
        <w:ind w:left="426" w:hanging="426"/>
        <w:rPr>
          <w:rFonts w:ascii="Calibri" w:eastAsia="Calibri" w:hAnsi="Calibri" w:cs="Times New Roman"/>
          <w:sz w:val="22"/>
          <w:szCs w:val="22"/>
          <w:highlight w:val="yellow"/>
        </w:rPr>
      </w:pPr>
    </w:p>
    <w:p w14:paraId="3FB02306" w14:textId="527C4ED8" w:rsidR="00E95EE2" w:rsidRDefault="0063430A" w:rsidP="00EC474C">
      <w:pPr>
        <w:ind w:left="426" w:hanging="426"/>
        <w:rPr>
          <w:rFonts w:ascii="Calibri" w:eastAsia="Calibri" w:hAnsi="Calibri" w:cs="Times New Roman"/>
          <w:sz w:val="22"/>
          <w:szCs w:val="22"/>
          <w:highlight w:val="yellow"/>
        </w:rPr>
      </w:pPr>
      <w:r>
        <w:rPr>
          <w:rFonts w:ascii="Calibri" w:hAnsi="Calibri"/>
          <w:sz w:val="22"/>
        </w:rPr>
        <w:t>21.</w:t>
      </w:r>
      <w:r>
        <w:rPr>
          <w:rFonts w:ascii="Calibri" w:hAnsi="Calibri"/>
          <w:sz w:val="22"/>
        </w:rPr>
        <w:tab/>
        <w:t>Le suivi et la soumission de rapports sur la restauration des zones humides restent fragmentaires. La ventilation par type de zone humide concerné (p. ex., les tourbières, les herbiers marins et les récifs coralliens) fait souvent défaut, et peu de pays soumettent de rapport sur l’état écologique des zones humides restaurées. La plupart des indicateurs s’intéressent uniquement à la superficie, et l’on dispose de peu de données sur les résultats à long terme, les gains en matière de biodiversité ou les impacts sociaux. Il est donc toujours difficile d’évaluer si les efforts de restauration déclarés contribuent à assurer la régénération écologique ou à mener à bien la cible 2 du Cadre mondial de la biodiversité de Kunming-Montréal.</w:t>
      </w:r>
    </w:p>
    <w:p w14:paraId="595FB7A9" w14:textId="77777777" w:rsidR="002C0F8B" w:rsidRPr="003366C9" w:rsidRDefault="002C0F8B" w:rsidP="00EC474C">
      <w:pPr>
        <w:ind w:left="426" w:hanging="426"/>
        <w:rPr>
          <w:rFonts w:ascii="Calibri" w:eastAsia="Calibri" w:hAnsi="Calibri" w:cs="Times New Roman"/>
          <w:sz w:val="22"/>
          <w:szCs w:val="22"/>
        </w:rPr>
      </w:pPr>
    </w:p>
    <w:p w14:paraId="6DDE78C2" w14:textId="37F2C93E" w:rsidR="004B0A40" w:rsidRDefault="00FC0CED" w:rsidP="007D59DB">
      <w:pPr>
        <w:ind w:left="426" w:hanging="426"/>
        <w:rPr>
          <w:rFonts w:ascii="Calibri" w:eastAsia="Calibri" w:hAnsi="Calibri" w:cs="Times New Roman"/>
          <w:sz w:val="22"/>
          <w:szCs w:val="22"/>
        </w:rPr>
      </w:pPr>
      <w:r>
        <w:rPr>
          <w:rFonts w:ascii="Calibri" w:hAnsi="Calibri"/>
          <w:sz w:val="22"/>
        </w:rPr>
        <w:t>22.</w:t>
      </w:r>
      <w:r>
        <w:rPr>
          <w:rFonts w:ascii="Calibri" w:hAnsi="Calibri"/>
          <w:sz w:val="22"/>
        </w:rPr>
        <w:tab/>
        <w:t xml:space="preserve">Il est de plus en plus reconnu que la superficie </w:t>
      </w:r>
      <w:r w:rsidR="0019746E">
        <w:rPr>
          <w:rFonts w:ascii="Calibri" w:hAnsi="Calibri"/>
          <w:sz w:val="22"/>
        </w:rPr>
        <w:t>concernée</w:t>
      </w:r>
      <w:r>
        <w:rPr>
          <w:rFonts w:ascii="Calibri" w:hAnsi="Calibri"/>
          <w:sz w:val="22"/>
        </w:rPr>
        <w:t xml:space="preserve"> ne suffit pas à elle seule à mesurer le succès d’un projet de restauration. Des unités de mesure plus complètes font l’objet d’une attention croissante, comme l’intégrité écologique, la connectivité, l’amélioration des services écosystémiques et les avantages procurés aux communautés locales, notamment dans le contexte de la Décennie des Nations Unies pour la restauration des écosystèmes et grâce aux lignes directrices de la FAO sur la restauration des écosystèmes d’eau douce, qui sont en cours d’élaboration. Ces indicateurs pourraient permettre de mieux aligner le suivi de la restauration sur les grands objectifs de la Convention et du Cadre mondial de la biodiversité de Kunming-Montréal.</w:t>
      </w:r>
    </w:p>
    <w:p w14:paraId="7D26F32E" w14:textId="77777777" w:rsidR="00CB50EB" w:rsidRPr="003366C9" w:rsidRDefault="00CB50EB" w:rsidP="00C16129">
      <w:pPr>
        <w:rPr>
          <w:rFonts w:ascii="Calibri" w:eastAsia="Calibri" w:hAnsi="Calibri" w:cs="Times New Roman"/>
          <w:sz w:val="22"/>
          <w:szCs w:val="22"/>
        </w:rPr>
      </w:pPr>
    </w:p>
    <w:p w14:paraId="5A4C2EFC" w14:textId="63E56A9B" w:rsidR="00CB50EB" w:rsidRPr="003D7042" w:rsidRDefault="00CB50EB" w:rsidP="00CB50EB">
      <w:pPr>
        <w:ind w:left="426" w:hanging="426"/>
        <w:rPr>
          <w:rFonts w:ascii="Calibri" w:eastAsia="Calibri" w:hAnsi="Calibri" w:cs="Times New Roman"/>
          <w:sz w:val="22"/>
          <w:szCs w:val="22"/>
        </w:rPr>
      </w:pPr>
      <w:r>
        <w:rPr>
          <w:rFonts w:ascii="Calibri" w:hAnsi="Calibri"/>
          <w:sz w:val="22"/>
        </w:rPr>
        <w:t>23.</w:t>
      </w:r>
      <w:r>
        <w:rPr>
          <w:rFonts w:ascii="Calibri" w:hAnsi="Calibri"/>
          <w:sz w:val="22"/>
        </w:rPr>
        <w:tab/>
        <w:t>Entre-temps, il est indispensable de continuer à prévenir toute future dégradation. La restauration ne peut remplacer la protection. L’approche « éviter-atténuer-compenser » de la Convention (approuvée par la Résolution XI.9</w:t>
      </w:r>
      <w:r w:rsidR="009800E7">
        <w:rPr>
          <w:rStyle w:val="FootnoteReference"/>
          <w:rFonts w:ascii="Calibri" w:eastAsia="Calibri" w:hAnsi="Calibri" w:cs="Times New Roman"/>
          <w:sz w:val="22"/>
          <w:szCs w:val="22"/>
          <w:lang w:val="en-US"/>
        </w:rPr>
        <w:footnoteReference w:id="30"/>
      </w:r>
      <w:r>
        <w:rPr>
          <w:rFonts w:ascii="Calibri" w:hAnsi="Calibri"/>
          <w:sz w:val="22"/>
        </w:rPr>
        <w:t>) donne la priorité au maintien du bon état écologique des zones humides. Dans de nombreux cas, notamment là où les activités de restauration coûtent cher ou présentent des complexités techniques, la prévention de la dégradation peut se révéler l’investissement le plus efficace.</w:t>
      </w:r>
    </w:p>
    <w:p w14:paraId="4D0FBF7C" w14:textId="77777777" w:rsidR="00CB50EB" w:rsidRPr="003366C9" w:rsidRDefault="00CB50EB" w:rsidP="00CB50EB">
      <w:pPr>
        <w:ind w:left="426" w:hanging="426"/>
        <w:rPr>
          <w:rFonts w:ascii="Calibri" w:eastAsia="Calibri" w:hAnsi="Calibri" w:cs="Times New Roman"/>
          <w:sz w:val="22"/>
          <w:szCs w:val="22"/>
        </w:rPr>
      </w:pPr>
    </w:p>
    <w:p w14:paraId="4E1CA252" w14:textId="1EFD355B" w:rsidR="00CB50EB" w:rsidRDefault="00CB50EB" w:rsidP="00306778">
      <w:pPr>
        <w:ind w:left="426" w:hanging="426"/>
        <w:rPr>
          <w:rFonts w:ascii="Calibri" w:eastAsia="Calibri" w:hAnsi="Calibri" w:cs="Times New Roman"/>
          <w:sz w:val="22"/>
          <w:szCs w:val="22"/>
        </w:rPr>
      </w:pPr>
      <w:r>
        <w:rPr>
          <w:rFonts w:ascii="Calibri" w:hAnsi="Calibri"/>
          <w:sz w:val="22"/>
        </w:rPr>
        <w:lastRenderedPageBreak/>
        <w:t>24.</w:t>
      </w:r>
      <w:r>
        <w:rPr>
          <w:rFonts w:ascii="Calibri" w:hAnsi="Calibri"/>
          <w:sz w:val="22"/>
        </w:rPr>
        <w:tab/>
        <w:t>Les efforts déployés dans le monde pour restaurer les zones humides s’intensifient, soutenus par des politiques solides, renforçant l’alignement entre les initiatives internationales et les objectifs nationaux. Des progrès notables ont été accomplis en ce qui concerne l’identification des sites prioritaires, la définition d’objectifs de restauration et le lancement de la mise en œuvre. Des difficultés restent toutefois à surmonter pour combler l’écart qui sépare l’ambition du passage à l’acte. Les principaux obstacles sont notamment le financement limité, les lacunes des systèmes de suivi et l’intégration insuffisante de la restauration dans les politiques sectorielles et les cadres d’investissement. Il est essentiel de faire face à ces contraintes pour réaliser la cible 2 du Cadre mondial de la biodiversité de Kunming-Montréal et assurer un véritable rétablissement écologique.</w:t>
      </w:r>
    </w:p>
    <w:p w14:paraId="0D618F92" w14:textId="77777777" w:rsidR="00F8769F" w:rsidRPr="003366C9" w:rsidRDefault="00F8769F" w:rsidP="00CB50EB">
      <w:pPr>
        <w:ind w:left="426" w:hanging="426"/>
        <w:rPr>
          <w:rFonts w:ascii="Calibri" w:eastAsia="Calibri" w:hAnsi="Calibri" w:cs="Arial"/>
          <w:bCs/>
          <w:sz w:val="22"/>
          <w:szCs w:val="22"/>
        </w:rPr>
      </w:pPr>
    </w:p>
    <w:p w14:paraId="3371ED67" w14:textId="77777777" w:rsidR="00CB50EB" w:rsidRPr="00B63D0F" w:rsidRDefault="00CB50EB" w:rsidP="00170690">
      <w:pPr>
        <w:rPr>
          <w:rFonts w:ascii="Calibri" w:eastAsia="Calibri" w:hAnsi="Calibri" w:cs="Arial"/>
          <w:b/>
          <w:sz w:val="22"/>
          <w:szCs w:val="22"/>
        </w:rPr>
      </w:pPr>
      <w:r>
        <w:rPr>
          <w:rFonts w:ascii="Calibri" w:hAnsi="Calibri"/>
          <w:b/>
          <w:sz w:val="22"/>
        </w:rPr>
        <w:t>Recommandations pour accélérer la restauration sous l’égide de la Convention sur les zones humides</w:t>
      </w:r>
    </w:p>
    <w:p w14:paraId="34AD4B08" w14:textId="77777777" w:rsidR="00CB50EB" w:rsidRPr="003366C9" w:rsidRDefault="00CB50EB" w:rsidP="00CB50EB">
      <w:pPr>
        <w:ind w:left="426" w:hanging="426"/>
        <w:rPr>
          <w:rFonts w:ascii="Calibri" w:eastAsia="Calibri" w:hAnsi="Calibri" w:cs="Times New Roman"/>
          <w:sz w:val="22"/>
          <w:szCs w:val="22"/>
        </w:rPr>
      </w:pPr>
    </w:p>
    <w:p w14:paraId="772437BD" w14:textId="59C94958" w:rsidR="00CB50EB" w:rsidRPr="00C42384" w:rsidRDefault="009703E6" w:rsidP="00CB50EB">
      <w:pPr>
        <w:ind w:left="426" w:hanging="426"/>
        <w:rPr>
          <w:rFonts w:ascii="Calibri" w:eastAsia="Calibri" w:hAnsi="Calibri" w:cs="Times New Roman"/>
          <w:sz w:val="22"/>
          <w:szCs w:val="22"/>
        </w:rPr>
      </w:pPr>
      <w:r>
        <w:rPr>
          <w:rFonts w:ascii="Calibri" w:hAnsi="Calibri"/>
          <w:sz w:val="22"/>
        </w:rPr>
        <w:t>25.</w:t>
      </w:r>
      <w:r>
        <w:rPr>
          <w:rFonts w:ascii="Calibri" w:hAnsi="Calibri"/>
          <w:sz w:val="22"/>
        </w:rPr>
        <w:tab/>
        <w:t>Les recommandations suivantes s’appuient sur les résultats de l’évaluation et mettent en lumière les actions à prendre en priorité pour appuyer une restauration plus efficace des zones humides :</w:t>
      </w:r>
    </w:p>
    <w:p w14:paraId="76E8280F" w14:textId="77777777" w:rsidR="00CB50EB" w:rsidRPr="003366C9" w:rsidRDefault="00CB50EB" w:rsidP="00CB50EB">
      <w:pPr>
        <w:ind w:left="426" w:hanging="426"/>
        <w:rPr>
          <w:rFonts w:ascii="Calibri" w:eastAsia="Calibri" w:hAnsi="Calibri" w:cs="Times New Roman"/>
          <w:sz w:val="22"/>
          <w:szCs w:val="22"/>
        </w:rPr>
      </w:pPr>
    </w:p>
    <w:p w14:paraId="4355C900" w14:textId="3D09F37A" w:rsidR="00CB50EB" w:rsidRPr="00F8769F" w:rsidRDefault="00F8769F" w:rsidP="00F8769F">
      <w:pPr>
        <w:ind w:left="851" w:hanging="425"/>
        <w:rPr>
          <w:rFonts w:ascii="Calibri" w:eastAsia="Calibri" w:hAnsi="Calibri" w:cs="Times New Roman"/>
          <w:sz w:val="22"/>
          <w:szCs w:val="22"/>
          <w:u w:val="single"/>
        </w:rPr>
      </w:pPr>
      <w:r>
        <w:rPr>
          <w:rFonts w:ascii="Calibri" w:hAnsi="Calibri"/>
          <w:sz w:val="22"/>
          <w:u w:val="single"/>
        </w:rPr>
        <w:t>i.</w:t>
      </w:r>
      <w:r>
        <w:rPr>
          <w:rFonts w:ascii="Calibri" w:hAnsi="Calibri"/>
          <w:sz w:val="22"/>
          <w:u w:val="single"/>
        </w:rPr>
        <w:tab/>
        <w:t>Restauration et protection :</w:t>
      </w:r>
    </w:p>
    <w:p w14:paraId="22CC3370" w14:textId="63BD4AFE" w:rsidR="00977597" w:rsidRPr="00BE713F" w:rsidRDefault="00977597"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Donner la priorité à la conservation plutôt qu’à la restauration, en reconnaissant que les zones humides intactes sont irremplaçables en termes de fonction et de valeur et que la restauration ne peut être utilisée pour justifier une dégradation continuelle.</w:t>
      </w:r>
    </w:p>
    <w:p w14:paraId="405077B0" w14:textId="4A743AB4" w:rsidR="00E14A6F" w:rsidRDefault="00E14A6F"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Intégrer les principes « pas de perte nette » dans les politiques nationales et les processus de planification afin d’éviter toute dégradation future des zones humides et de diminuer la nécessité d’avoir à les restaurer.</w:t>
      </w:r>
    </w:p>
    <w:p w14:paraId="4D0CE116" w14:textId="6BA1FC14" w:rsidR="00CB50EB" w:rsidRPr="00BE713F"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Renforcer la protection juridique des zones humides et mettre un terme à la disparition et à la dégradation de ces dernières en s’attaquant à des facteurs clés tels que la pollution, l’extraction non durable des ressources, le drainage et la mauvaise planification des infrastructures.</w:t>
      </w:r>
    </w:p>
    <w:p w14:paraId="0223EBE7" w14:textId="457E0095" w:rsidR="00CB50EB" w:rsidRPr="00BE713F"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Étendre et connecter entre eux les réseaux d’aires protégées afin de mieux représenter les zones humides qui présentent une grande importance pour la biodiversité et les services écosystémiques, et veiller à ce que la dynamique des écosystèmes d’eau douce et des écosystèmes côtiers/marins soit pleinement prise en compte dans la conception et la gestion des sites, conformément à la cible 3</w:t>
      </w:r>
      <w:r w:rsidR="009800E7">
        <w:rPr>
          <w:rStyle w:val="FootnoteReference"/>
          <w:rFonts w:ascii="Calibri" w:eastAsia="Calibri" w:hAnsi="Calibri" w:cs="Times New Roman"/>
          <w:sz w:val="22"/>
          <w:szCs w:val="22"/>
          <w:lang w:val="en-GB"/>
        </w:rPr>
        <w:footnoteReference w:id="31"/>
      </w:r>
      <w:r>
        <w:rPr>
          <w:rFonts w:ascii="Calibri" w:hAnsi="Calibri"/>
          <w:sz w:val="22"/>
        </w:rPr>
        <w:t xml:space="preserve"> du Cadre mondial de la biodiversité de Kunming-Montréal.</w:t>
      </w:r>
    </w:p>
    <w:p w14:paraId="07ABF3E3" w14:textId="77777777" w:rsidR="00CB50EB" w:rsidRPr="003366C9" w:rsidRDefault="00CB50EB" w:rsidP="00F8769F">
      <w:pPr>
        <w:rPr>
          <w:rFonts w:ascii="Calibri" w:eastAsia="Calibri" w:hAnsi="Calibri" w:cs="Times New Roman"/>
          <w:sz w:val="22"/>
          <w:szCs w:val="22"/>
          <w:u w:val="single"/>
        </w:rPr>
      </w:pPr>
    </w:p>
    <w:p w14:paraId="6AB8114C" w14:textId="3B9BAC7E" w:rsidR="00CB50EB" w:rsidRPr="00F8769F" w:rsidRDefault="00F8769F" w:rsidP="00F8769F">
      <w:pPr>
        <w:ind w:left="851" w:hanging="425"/>
        <w:rPr>
          <w:rFonts w:ascii="Calibri" w:eastAsia="Calibri" w:hAnsi="Calibri" w:cs="Times New Roman"/>
          <w:sz w:val="22"/>
          <w:szCs w:val="22"/>
          <w:u w:val="single"/>
        </w:rPr>
      </w:pPr>
      <w:r>
        <w:rPr>
          <w:rFonts w:ascii="Calibri" w:hAnsi="Calibri"/>
          <w:sz w:val="22"/>
          <w:u w:val="single"/>
        </w:rPr>
        <w:t>ii.</w:t>
      </w:r>
      <w:r>
        <w:rPr>
          <w:rFonts w:ascii="Calibri" w:hAnsi="Calibri"/>
          <w:sz w:val="22"/>
          <w:u w:val="single"/>
        </w:rPr>
        <w:tab/>
        <w:t>Suivi de la restauration et intégration des données :</w:t>
      </w:r>
    </w:p>
    <w:p w14:paraId="5946687C" w14:textId="13CAEFCC" w:rsidR="00A74410" w:rsidRPr="00BE713F" w:rsidRDefault="00A74410"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 xml:space="preserve">Combler les principales lacunes en matière de données, en menant notamment une évaluation cohérente de la superficie des zones humides dégradées, en ventilant les données par type de zone humide. </w:t>
      </w:r>
    </w:p>
    <w:p w14:paraId="69EAF952" w14:textId="40A4C021" w:rsidR="005B088B" w:rsidRDefault="00F9011F"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Élaborer des orientations claires pour harmoniser les rapports nationaux élaborés dans le cadre des accords multilatéraux sur l’environnement et des plateformes telles que le FERM et RESTOR, notamment en ce qui concerne la ventilation par type de zone humide, l’harmonisation des indicateurs et la compatibilité avec le système de classification des types de zones humides de la Convention sur les zones humides.</w:t>
      </w:r>
    </w:p>
    <w:p w14:paraId="327C758A" w14:textId="79C60BE2" w:rsidR="00CB50EB" w:rsidRPr="00EA0779" w:rsidRDefault="00230613"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Encourager la soumission volontaire de rapports complémentaires au FERM et à RESTOR, tout en maintenant la cohérence et la continuité des rapports nationaux dans le cadre de la Convention sur les zones humides.</w:t>
      </w:r>
    </w:p>
    <w:p w14:paraId="6BB5FC4E" w14:textId="5C92B4F5" w:rsidR="00CB50EB" w:rsidRPr="000F7DC4" w:rsidRDefault="000F7DC4"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lastRenderedPageBreak/>
        <w:t xml:space="preserve">Encourager la soumission de rapports à l’échelle du bassin versant </w:t>
      </w:r>
      <w:r w:rsidR="00B472EA">
        <w:rPr>
          <w:rFonts w:ascii="Calibri" w:hAnsi="Calibri"/>
          <w:sz w:val="22"/>
        </w:rPr>
        <w:t xml:space="preserve">qui s’appuient </w:t>
      </w:r>
      <w:r>
        <w:rPr>
          <w:rFonts w:ascii="Calibri" w:hAnsi="Calibri"/>
          <w:sz w:val="22"/>
        </w:rPr>
        <w:t>sur des unités hydrologiques (par exemple, HydroBASINS), en particulier pour les systèmes fluviaux et lacustres transfrontières, et faire le lien avec les résultats obtenus dans les écosystèmes connectés tels que les récifs coralliens et les plaines d’inondation.</w:t>
      </w:r>
    </w:p>
    <w:p w14:paraId="3F9D3FFC" w14:textId="65B1033D" w:rsidR="00CB50EB" w:rsidRDefault="002C1509"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Mettre en place des systèmes de suivi et de gestion adaptative à long terme qui impliquent les acteurs locaux, en s’appuyant sur des outils tels que le guide de ressources de la FAO sur la cible 2 du Cadre mondial de la biodiversité de Kunming-Montréal, le Cadre de partage de l’information sur les projets de restauration, ou encore les indicateurs de la Décennie des Nations Unies.</w:t>
      </w:r>
    </w:p>
    <w:p w14:paraId="42AF7417" w14:textId="1C16389E" w:rsidR="00962404" w:rsidRDefault="00962404"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Appuyer le renforcement des capacités en vue d’améliorer les systèmes de suivi nationaux, notamment en ce qui concerne l’état écologique des zones humides restaurées, l’efficacité des interventions par type de zone humide, ainsi que les résultats socio-économiques.</w:t>
      </w:r>
    </w:p>
    <w:p w14:paraId="0EAC85EF" w14:textId="23286AF2" w:rsidR="002C1509" w:rsidRPr="003366C9" w:rsidRDefault="002C1509" w:rsidP="00CB50EB">
      <w:pPr>
        <w:ind w:left="426" w:hanging="426"/>
        <w:rPr>
          <w:rFonts w:ascii="Calibri" w:eastAsia="Calibri" w:hAnsi="Calibri" w:cs="Times New Roman"/>
          <w:sz w:val="22"/>
          <w:szCs w:val="22"/>
        </w:rPr>
      </w:pPr>
    </w:p>
    <w:p w14:paraId="0B9ADE12" w14:textId="6DC32CF3" w:rsidR="00CB50EB" w:rsidRPr="00F8769F" w:rsidRDefault="00F8769F" w:rsidP="00F8769F">
      <w:pPr>
        <w:ind w:left="851" w:hanging="425"/>
        <w:rPr>
          <w:rFonts w:ascii="Calibri" w:eastAsia="Calibri" w:hAnsi="Calibri" w:cs="Times New Roman"/>
          <w:sz w:val="22"/>
          <w:szCs w:val="22"/>
          <w:u w:val="single"/>
        </w:rPr>
      </w:pPr>
      <w:r>
        <w:rPr>
          <w:rFonts w:ascii="Calibri" w:hAnsi="Calibri"/>
          <w:sz w:val="22"/>
          <w:u w:val="single"/>
        </w:rPr>
        <w:t>iii.</w:t>
      </w:r>
      <w:r>
        <w:rPr>
          <w:rFonts w:ascii="Calibri" w:hAnsi="Calibri"/>
          <w:sz w:val="22"/>
          <w:u w:val="single"/>
        </w:rPr>
        <w:tab/>
        <w:t>Instruments de politique, de financement et d’habilitation :</w:t>
      </w:r>
    </w:p>
    <w:p w14:paraId="4F460D83" w14:textId="5E352E52" w:rsidR="00CB50EB" w:rsidRPr="00BE713F"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Mobiliser un financement à long terme pour la restauration des zones humides grâce aux budgets nationaux, aux partenariats public-privé et aux mécanismes de financement internationaux pour le climat et la biodiversité.</w:t>
      </w:r>
    </w:p>
    <w:p w14:paraId="4D81448A" w14:textId="6538E7DA" w:rsidR="00CB50EB" w:rsidRPr="00BE713F"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Encourager la restauration des zones humides grâce à des instruments économiques tels que des incitations fiscales, des paiements pour services écosystémiques et des programmes de crédit carbone.</w:t>
      </w:r>
    </w:p>
    <w:p w14:paraId="732F35D3" w14:textId="77777777" w:rsidR="00CB50EB" w:rsidRPr="00FB29E0"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 xml:space="preserve">Intégrer les valeurs des zones humides à la planification du développement et à la prise en compte du capital naturel en vue d’appuyer leur intégration dans la prise de décision économique. </w:t>
      </w:r>
    </w:p>
    <w:p w14:paraId="7530DBBB" w14:textId="3A61B095" w:rsidR="001240D2" w:rsidRPr="003366C9" w:rsidRDefault="001240D2" w:rsidP="00CB50EB">
      <w:pPr>
        <w:ind w:left="426" w:hanging="426"/>
        <w:rPr>
          <w:rFonts w:ascii="Calibri" w:eastAsia="Calibri" w:hAnsi="Calibri" w:cs="Times New Roman"/>
          <w:sz w:val="22"/>
          <w:szCs w:val="22"/>
        </w:rPr>
      </w:pPr>
    </w:p>
    <w:p w14:paraId="6E6A8D57" w14:textId="561C1E9E" w:rsidR="00CB50EB" w:rsidRPr="00F8769F" w:rsidRDefault="00F8769F" w:rsidP="00F8769F">
      <w:pPr>
        <w:ind w:left="851" w:hanging="425"/>
        <w:rPr>
          <w:rFonts w:ascii="Calibri" w:eastAsia="Calibri" w:hAnsi="Calibri" w:cs="Times New Roman"/>
          <w:sz w:val="22"/>
          <w:szCs w:val="22"/>
          <w:u w:val="single"/>
        </w:rPr>
      </w:pPr>
      <w:r>
        <w:rPr>
          <w:rFonts w:ascii="Calibri" w:hAnsi="Calibri"/>
          <w:sz w:val="22"/>
          <w:u w:val="single"/>
        </w:rPr>
        <w:t>iv.</w:t>
      </w:r>
      <w:r>
        <w:rPr>
          <w:rFonts w:ascii="Calibri" w:hAnsi="Calibri"/>
          <w:sz w:val="22"/>
          <w:u w:val="single"/>
        </w:rPr>
        <w:tab/>
        <w:t>Gouvernance et participation :</w:t>
      </w:r>
    </w:p>
    <w:p w14:paraId="08BD3EEA" w14:textId="034F3D9E" w:rsidR="00CB50EB"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Assurer une gouvernance inclusive qui permette aux peuples autochtones, aux communautés locales et aux autres utilisateurs des zones humides de participer activement à la planification de la restauration, à la définition des objectifs et à la mise en œuvre.</w:t>
      </w:r>
    </w:p>
    <w:p w14:paraId="5F2357AB" w14:textId="305BCB65" w:rsidR="00CB50EB"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Renforcer la coordination intersectorielle, en particulier entre les secteurs de l’environnement, de l’eau, de l’agriculture et des infrastructures, et tirer parti des structures existantes telles que les organismes de gestion des bassins.</w:t>
      </w:r>
    </w:p>
    <w:p w14:paraId="396F6E1B" w14:textId="3CE2ADB0" w:rsidR="000C62A9" w:rsidRDefault="00017AF2"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Intégrer la restauration des zones humides dans les stratégies sectorielles et les plans d’investissement, y compris dans l’agriculture, l’irrigation, le développement urbain et la gestion des ressources en eau.</w:t>
      </w:r>
    </w:p>
    <w:p w14:paraId="69E731F5" w14:textId="0C81F20D" w:rsidR="00736AFC" w:rsidRPr="003366C9" w:rsidRDefault="00736AFC" w:rsidP="00CB50EB">
      <w:pPr>
        <w:ind w:left="426" w:hanging="426"/>
        <w:rPr>
          <w:rFonts w:ascii="Calibri" w:eastAsia="Calibri" w:hAnsi="Calibri" w:cs="Times New Roman"/>
          <w:sz w:val="22"/>
          <w:szCs w:val="22"/>
        </w:rPr>
      </w:pPr>
    </w:p>
    <w:p w14:paraId="657460FD" w14:textId="466E4124" w:rsidR="00CB50EB" w:rsidRPr="00F8769F" w:rsidRDefault="00F8769F" w:rsidP="00F8769F">
      <w:pPr>
        <w:ind w:left="851" w:hanging="425"/>
        <w:rPr>
          <w:rFonts w:ascii="Calibri" w:eastAsia="Calibri" w:hAnsi="Calibri" w:cs="Times New Roman"/>
          <w:sz w:val="22"/>
          <w:szCs w:val="22"/>
          <w:u w:val="single"/>
        </w:rPr>
      </w:pPr>
      <w:r>
        <w:rPr>
          <w:rFonts w:ascii="Calibri" w:hAnsi="Calibri"/>
          <w:sz w:val="22"/>
          <w:u w:val="single"/>
        </w:rPr>
        <w:t>v.</w:t>
      </w:r>
      <w:r>
        <w:rPr>
          <w:rFonts w:ascii="Calibri" w:hAnsi="Calibri"/>
          <w:sz w:val="22"/>
          <w:u w:val="single"/>
        </w:rPr>
        <w:tab/>
        <w:t>Solutions fondées sur la nature et innovation :</w:t>
      </w:r>
    </w:p>
    <w:p w14:paraId="3CB9B3B6" w14:textId="10B3C024" w:rsidR="00CB50EB" w:rsidRPr="00261A04"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Développer à plus grande échelle les solutions fondées sur la nature, telles que la restauration des mangroves, la reconnexion des rivières, la réhabilitation des plaines d’inondation et la stabilisation des sols, dans le cadre de stratégies intégrées d’adaptation au changement climatique et de rétablissement de la biodiversité.</w:t>
      </w:r>
    </w:p>
    <w:p w14:paraId="3B3012E0" w14:textId="39EC36A9" w:rsidR="00CB50EB" w:rsidRPr="00261A04"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Utiliser de manière stratégique les zones humides construites selon qu’il convient (p. ex., pour le traitement des eaux urbaines ou l’atténuation des crues), en reconnaissant leur rôle complémentaire et leurs limites par rapport aux zones humides naturelles.</w:t>
      </w:r>
    </w:p>
    <w:p w14:paraId="3E50F956" w14:textId="5ADECC1D" w:rsidR="00CB50EB" w:rsidRPr="00261A04" w:rsidRDefault="00CB50EB" w:rsidP="00BF0098">
      <w:pPr>
        <w:pStyle w:val="ListParagraph"/>
        <w:numPr>
          <w:ilvl w:val="0"/>
          <w:numId w:val="34"/>
        </w:numPr>
        <w:ind w:left="851" w:hanging="425"/>
        <w:rPr>
          <w:rFonts w:ascii="Calibri" w:eastAsia="Calibri" w:hAnsi="Calibri" w:cs="Times New Roman"/>
          <w:sz w:val="22"/>
          <w:szCs w:val="22"/>
        </w:rPr>
      </w:pPr>
      <w:r>
        <w:rPr>
          <w:rFonts w:ascii="Calibri" w:hAnsi="Calibri"/>
          <w:sz w:val="22"/>
        </w:rPr>
        <w:t>Soutenir l’innovation, la recherche appliquée et les systèmes de connaissances traditionnelles qui améliorent l’efficacité de la restauration et la résilience.</w:t>
      </w:r>
    </w:p>
    <w:p w14:paraId="437A298A" w14:textId="77777777" w:rsidR="00CB50EB" w:rsidRPr="003366C9" w:rsidRDefault="00CB50EB" w:rsidP="00CB50EB">
      <w:pPr>
        <w:ind w:left="426" w:hanging="426"/>
        <w:rPr>
          <w:rFonts w:ascii="Calibri" w:eastAsia="Calibri" w:hAnsi="Calibri" w:cs="Times New Roman"/>
          <w:sz w:val="22"/>
          <w:szCs w:val="22"/>
        </w:rPr>
      </w:pPr>
    </w:p>
    <w:p w14:paraId="23063380" w14:textId="44FB2800" w:rsidR="009703E6" w:rsidRPr="009703E6" w:rsidRDefault="009703E6" w:rsidP="009703E6">
      <w:pPr>
        <w:ind w:left="426" w:hanging="426"/>
        <w:rPr>
          <w:rFonts w:ascii="Calibri" w:eastAsia="Calibri" w:hAnsi="Calibri" w:cs="Times New Roman"/>
          <w:sz w:val="22"/>
          <w:szCs w:val="22"/>
        </w:rPr>
      </w:pPr>
      <w:r>
        <w:rPr>
          <w:rFonts w:ascii="Calibri" w:hAnsi="Calibri"/>
          <w:sz w:val="22"/>
        </w:rPr>
        <w:t>26.</w:t>
      </w:r>
      <w:r>
        <w:rPr>
          <w:rFonts w:ascii="Calibri" w:hAnsi="Calibri"/>
          <w:sz w:val="22"/>
        </w:rPr>
        <w:tab/>
        <w:t xml:space="preserve">Il est essentiel de renforcer les connaissances, la sensibilisation et le soutien technique pour accélérer la restauration des zones humides. Grâce au programme de CESP (Communication, renforcement des capacités, éducation, sensibilisation et participation), la Convention peut </w:t>
      </w:r>
      <w:r w:rsidR="00CA1604">
        <w:rPr>
          <w:rFonts w:ascii="Calibri" w:hAnsi="Calibri"/>
          <w:sz w:val="22"/>
        </w:rPr>
        <w:t xml:space="preserve">mieux </w:t>
      </w:r>
      <w:r>
        <w:rPr>
          <w:rFonts w:ascii="Calibri" w:hAnsi="Calibri"/>
          <w:sz w:val="22"/>
        </w:rPr>
        <w:t xml:space="preserve">faire connaître les objectifs nationaux en matière de restauration, promouvoir </w:t>
      </w:r>
      <w:r>
        <w:rPr>
          <w:rFonts w:ascii="Calibri" w:hAnsi="Calibri"/>
          <w:sz w:val="22"/>
        </w:rPr>
        <w:lastRenderedPageBreak/>
        <w:t>l’engagement des communautés et sensibiliser aux avantages connexes de la restauration. En parallèle, le GEST pourrait se voir chargé de faire progresser l’harmonisation de la classification des types de zones humides entre les différentes plateformes, d’améliorer les données sur la superficie des zones humides dégradées ainsi que les priorités et indicateurs en matière de restauration, et de fournir des orientations sur le suivi de l’état écologique. Ensemble, ces activités peuvent combler les lacunes qui persistent en matière de données et assurer un environnement propice à la mise en œuvre.</w:t>
      </w:r>
    </w:p>
    <w:p w14:paraId="561EAF8F" w14:textId="77777777" w:rsidR="009703E6" w:rsidRPr="003366C9" w:rsidRDefault="009703E6" w:rsidP="00CB50EB">
      <w:pPr>
        <w:ind w:left="426" w:hanging="426"/>
        <w:rPr>
          <w:rFonts w:ascii="Calibri" w:eastAsia="Calibri" w:hAnsi="Calibri" w:cs="Times New Roman"/>
          <w:sz w:val="22"/>
          <w:szCs w:val="22"/>
        </w:rPr>
      </w:pPr>
    </w:p>
    <w:p w14:paraId="29C311A7" w14:textId="798D7773" w:rsidR="00F1275A" w:rsidRPr="009A0CB2" w:rsidRDefault="00686099" w:rsidP="009A0CB2">
      <w:pPr>
        <w:ind w:left="426" w:hanging="426"/>
        <w:rPr>
          <w:rFonts w:ascii="Calibri" w:eastAsia="Calibri" w:hAnsi="Calibri" w:cs="Times New Roman"/>
          <w:sz w:val="22"/>
          <w:szCs w:val="22"/>
        </w:rPr>
      </w:pPr>
      <w:r>
        <w:rPr>
          <w:rFonts w:ascii="Calibri" w:hAnsi="Calibri"/>
          <w:sz w:val="22"/>
        </w:rPr>
        <w:t>27.</w:t>
      </w:r>
      <w:r>
        <w:rPr>
          <w:rFonts w:ascii="Calibri" w:hAnsi="Calibri"/>
          <w:sz w:val="22"/>
        </w:rPr>
        <w:tab/>
        <w:t>En renforçant le rôle de courtier du savoir et de plateforme de coordination que joue la Convention – grâce à l’amélioration des orientations techniques, des systèmes de rapports nationaux, des activités de CESP et des produits du GEST, il est possible d’aider les Parties contractantes à traduire leurs ambitions en matière de restauration en progrès mesurables. Une meilleure collaboration avec les partenaires externes (tels que le PNUE et la FAO) et l’alignement sur les divers cadres mondiaux (tels que le Cadre mondial de la biodiversité de Kunming-Montréal et les ODD) viendront également appuyer cet objectif.</w:t>
      </w:r>
    </w:p>
    <w:sectPr w:rsidR="00F1275A" w:rsidRPr="009A0CB2" w:rsidSect="004C6F51">
      <w:footerReference w:type="default" r:id="rId29"/>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85CC9" w14:textId="77777777" w:rsidR="00305363" w:rsidRDefault="00305363">
      <w:r>
        <w:separator/>
      </w:r>
    </w:p>
  </w:endnote>
  <w:endnote w:type="continuationSeparator" w:id="0">
    <w:p w14:paraId="6B93C040" w14:textId="77777777" w:rsidR="00305363" w:rsidRDefault="00305363">
      <w:r>
        <w:continuationSeparator/>
      </w:r>
    </w:p>
  </w:endnote>
  <w:endnote w:type="continuationNotice" w:id="1">
    <w:p w14:paraId="17371DA2" w14:textId="77777777" w:rsidR="00305363" w:rsidRDefault="00305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A5A6" w14:textId="5AD9FBB7" w:rsidR="00F30A19" w:rsidRPr="00F30A19" w:rsidRDefault="00210FE2">
    <w:pPr>
      <w:pStyle w:val="Footer"/>
      <w:rPr>
        <w:sz w:val="20"/>
        <w:szCs w:val="20"/>
      </w:rPr>
    </w:pPr>
    <w:r>
      <w:rPr>
        <w:sz w:val="20"/>
      </w:rPr>
      <w:t>COP15 Doc.14</w:t>
    </w:r>
    <w:r>
      <w:rPr>
        <w:sz w:val="20"/>
      </w:rPr>
      <w:tab/>
    </w:r>
    <w:r>
      <w:rPr>
        <w:sz w:val="20"/>
      </w:rPr>
      <w:tab/>
    </w:r>
    <w:r w:rsidRPr="00F30A19">
      <w:rPr>
        <w:sz w:val="20"/>
      </w:rPr>
      <w:fldChar w:fldCharType="begin"/>
    </w:r>
    <w:r w:rsidRPr="00F30A19">
      <w:rPr>
        <w:sz w:val="20"/>
      </w:rPr>
      <w:instrText xml:space="preserve"> PAGE   \* MERGEFORMAT </w:instrText>
    </w:r>
    <w:r w:rsidRPr="00F30A19">
      <w:rPr>
        <w:sz w:val="20"/>
      </w:rPr>
      <w:fldChar w:fldCharType="separate"/>
    </w:r>
    <w:r w:rsidR="004F78DE">
      <w:rPr>
        <w:sz w:val="20"/>
      </w:rPr>
      <w:t>2</w:t>
    </w:r>
    <w:r w:rsidRPr="00F30A1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6DA0" w14:textId="77777777" w:rsidR="00305363" w:rsidRDefault="00305363" w:rsidP="00625BC9">
      <w:r>
        <w:separator/>
      </w:r>
    </w:p>
  </w:footnote>
  <w:footnote w:type="continuationSeparator" w:id="0">
    <w:p w14:paraId="5D029B3B" w14:textId="77777777" w:rsidR="00305363" w:rsidRDefault="00305363" w:rsidP="00625BC9">
      <w:r>
        <w:continuationSeparator/>
      </w:r>
    </w:p>
  </w:footnote>
  <w:footnote w:type="continuationNotice" w:id="1">
    <w:p w14:paraId="43998504" w14:textId="77777777" w:rsidR="00305363" w:rsidRDefault="00305363"/>
  </w:footnote>
  <w:footnote w:id="2">
    <w:p w14:paraId="2F6E7DAF" w14:textId="04CF3824" w:rsidR="00081776" w:rsidRPr="00F8769F" w:rsidRDefault="00081776" w:rsidP="00F8769F">
      <w:pPr>
        <w:pStyle w:val="FootnoteText"/>
      </w:pPr>
      <w:r>
        <w:rPr>
          <w:rStyle w:val="FootnoteReference"/>
        </w:rPr>
        <w:footnoteRef/>
      </w:r>
      <w:r>
        <w:t xml:space="preserve"> Voir </w:t>
      </w:r>
      <w:hyperlink r:id="rId1" w:history="1">
        <w:r>
          <w:rPr>
            <w:rStyle w:val="Hyperlink"/>
          </w:rPr>
          <w:t>https://www.ramsar.org/fr/document/resolution-xiv6-renforcer-la-visibilite-de-la-convention-et-les-synergies-avec-dautres</w:t>
        </w:r>
      </w:hyperlink>
      <w:r>
        <w:t xml:space="preserve"> </w:t>
      </w:r>
    </w:p>
  </w:footnote>
  <w:footnote w:id="3">
    <w:p w14:paraId="2ED9C27B" w14:textId="3AA476D0" w:rsidR="00215D62" w:rsidRPr="00F8769F" w:rsidRDefault="00215D62" w:rsidP="00F8769F">
      <w:pPr>
        <w:pStyle w:val="FootnoteText"/>
      </w:pPr>
      <w:r>
        <w:rPr>
          <w:rStyle w:val="FootnoteReference"/>
        </w:rPr>
        <w:footnoteRef/>
      </w:r>
      <w:r>
        <w:t xml:space="preserve"> Voir </w:t>
      </w:r>
      <w:hyperlink r:id="rId2" w:history="1">
        <w:r w:rsidR="0089594C" w:rsidRPr="00D63E4C">
          <w:rPr>
            <w:rStyle w:val="Hyperlink"/>
          </w:rPr>
          <w:t>https://www.ramsar.org/fr/document/cop15-inf3-report-secretariat-assessment-progress-wetland-restoration-full-assessment</w:t>
        </w:r>
      </w:hyperlink>
      <w:r w:rsidR="0089594C">
        <w:t xml:space="preserve">. </w:t>
      </w:r>
    </w:p>
  </w:footnote>
  <w:footnote w:id="4">
    <w:p w14:paraId="46D8DECF" w14:textId="74959B93" w:rsidR="00CB50EB" w:rsidRPr="00F8769F" w:rsidRDefault="00CB50EB" w:rsidP="00F8769F">
      <w:pPr>
        <w:pStyle w:val="FootnoteText"/>
        <w:rPr>
          <w:rFonts w:cstheme="minorHAnsi"/>
        </w:rPr>
      </w:pPr>
      <w:r>
        <w:rPr>
          <w:rStyle w:val="FootnoteReference"/>
          <w:rFonts w:cstheme="minorHAnsi"/>
        </w:rPr>
        <w:footnoteRef/>
      </w:r>
      <w:r>
        <w:t xml:space="preserve"> Pour plus de détails sur l’approche méthodologique, voir la section 3 de l’évaluation.</w:t>
      </w:r>
    </w:p>
  </w:footnote>
  <w:footnote w:id="5">
    <w:p w14:paraId="739CA8EE" w14:textId="4D84DCB5" w:rsidR="00F8769F" w:rsidRPr="00F8769F" w:rsidRDefault="00F8769F" w:rsidP="00F8769F">
      <w:pPr>
        <w:pStyle w:val="FootnoteText"/>
      </w:pPr>
      <w:r>
        <w:rPr>
          <w:rStyle w:val="FootnoteReference"/>
        </w:rPr>
        <w:footnoteRef/>
      </w:r>
      <w:r>
        <w:t xml:space="preserve"> Voir </w:t>
      </w:r>
      <w:hyperlink r:id="rId3" w:history="1">
        <w:r>
          <w:rPr>
            <w:rStyle w:val="Hyperlink"/>
          </w:rPr>
          <w:t>https://www.ramsar.org/fr/document/le-4e-plan-strategique-2016-2024-mise-jour-2022</w:t>
        </w:r>
      </w:hyperlink>
      <w:r>
        <w:t xml:space="preserve"> </w:t>
      </w:r>
    </w:p>
  </w:footnote>
  <w:footnote w:id="6">
    <w:p w14:paraId="7A4A3B60" w14:textId="66123CC0" w:rsidR="00F8769F" w:rsidRPr="00F8769F" w:rsidRDefault="00F8769F" w:rsidP="00F8769F">
      <w:pPr>
        <w:pStyle w:val="FootnoteText"/>
      </w:pPr>
      <w:r>
        <w:rPr>
          <w:rStyle w:val="FootnoteReference"/>
        </w:rPr>
        <w:footnoteRef/>
      </w:r>
      <w:r>
        <w:t xml:space="preserve"> Voir </w:t>
      </w:r>
      <w:hyperlink r:id="rId4" w:history="1">
        <w:r>
          <w:rPr>
            <w:rStyle w:val="Hyperlink"/>
          </w:rPr>
          <w:t>https://www.cbd.int/gbf/targets/2</w:t>
        </w:r>
      </w:hyperlink>
      <w:r>
        <w:t xml:space="preserve"> </w:t>
      </w:r>
    </w:p>
  </w:footnote>
  <w:footnote w:id="7">
    <w:p w14:paraId="44B5817E" w14:textId="0F2D6E83" w:rsidR="00030A06" w:rsidRPr="00F8769F" w:rsidRDefault="00030A06" w:rsidP="00F8769F">
      <w:pPr>
        <w:pStyle w:val="FootnoteText"/>
        <w:tabs>
          <w:tab w:val="left" w:pos="450"/>
        </w:tabs>
        <w:rPr>
          <w:rFonts w:cstheme="minorHAnsi"/>
        </w:rPr>
      </w:pPr>
      <w:r>
        <w:rPr>
          <w:rStyle w:val="FootnoteReference"/>
          <w:rFonts w:cstheme="minorHAnsi"/>
        </w:rPr>
        <w:footnoteRef/>
      </w:r>
      <w:r>
        <w:t xml:space="preserve"> Introduction à la Convention sur les zones humides, 7</w:t>
      </w:r>
      <w:r>
        <w:rPr>
          <w:vertAlign w:val="superscript"/>
        </w:rPr>
        <w:t>e</w:t>
      </w:r>
      <w:r>
        <w:t> éd. (anciennement</w:t>
      </w:r>
      <w:r w:rsidR="00CC440E">
        <w:t>,</w:t>
      </w:r>
      <w:r>
        <w:t xml:space="preserve"> Le Manuel de la Convention de Ramsar). Convention sur les zones humides, Gland, Suisse.</w:t>
      </w:r>
    </w:p>
  </w:footnote>
  <w:footnote w:id="8">
    <w:p w14:paraId="62E0B26D" w14:textId="1934EBA0" w:rsidR="007C3E86" w:rsidRPr="00F8769F" w:rsidRDefault="007C3E86" w:rsidP="00F8769F">
      <w:pPr>
        <w:pStyle w:val="FootnoteText"/>
        <w:tabs>
          <w:tab w:val="left" w:pos="450"/>
        </w:tabs>
        <w:rPr>
          <w:rFonts w:cstheme="minorHAnsi"/>
        </w:rPr>
      </w:pPr>
      <w:r>
        <w:rPr>
          <w:rStyle w:val="FootnoteReference"/>
          <w:rFonts w:cstheme="minorHAnsi"/>
        </w:rPr>
        <w:footnoteRef/>
      </w:r>
      <w:r>
        <w:t xml:space="preserve"> Convention sur les zones humides. Fiche d’information sur les zones humides et la biodiversité. </w:t>
      </w:r>
    </w:p>
  </w:footnote>
  <w:footnote w:id="9">
    <w:p w14:paraId="7ADA6F3E" w14:textId="020062AC" w:rsidR="00CB50EB" w:rsidRPr="0089594C" w:rsidRDefault="00CB50EB" w:rsidP="00F8769F">
      <w:pPr>
        <w:pStyle w:val="FootnoteText"/>
        <w:tabs>
          <w:tab w:val="left" w:pos="450"/>
        </w:tabs>
        <w:rPr>
          <w:rFonts w:cstheme="minorHAnsi"/>
          <w:lang w:val="en-GB"/>
        </w:rPr>
      </w:pPr>
      <w:r>
        <w:rPr>
          <w:rFonts w:cstheme="minorHAnsi"/>
          <w:vertAlign w:val="superscript"/>
          <w:lang w:val="en-US"/>
        </w:rPr>
        <w:footnoteRef/>
      </w:r>
      <w:r w:rsidRPr="003366C9">
        <w:rPr>
          <w:lang w:val="en-GB"/>
        </w:rPr>
        <w:t xml:space="preserve"> Zhang et al. (2024). Global annual wetland dataset at 30 m with a fine classification system from 2000 to 2022. </w:t>
      </w:r>
      <w:r w:rsidRPr="0089594C">
        <w:rPr>
          <w:lang w:val="en-GB"/>
        </w:rPr>
        <w:t xml:space="preserve">Scientific Data, 11(1). </w:t>
      </w:r>
      <w:hyperlink r:id="rId5" w:history="1">
        <w:r w:rsidRPr="0089594C">
          <w:rPr>
            <w:rStyle w:val="Hyperlink"/>
            <w:lang w:val="en-GB"/>
          </w:rPr>
          <w:t>https://doi.org/10.1038/s41597-024-03143-0</w:t>
        </w:r>
      </w:hyperlink>
      <w:r w:rsidRPr="0089594C">
        <w:rPr>
          <w:lang w:val="en-GB"/>
        </w:rPr>
        <w:t xml:space="preserve"> </w:t>
      </w:r>
    </w:p>
  </w:footnote>
  <w:footnote w:id="10">
    <w:p w14:paraId="28EA9423" w14:textId="63D6086B" w:rsidR="00CB50EB" w:rsidRPr="003366C9" w:rsidRDefault="00CB50EB" w:rsidP="00F8769F">
      <w:pPr>
        <w:pStyle w:val="FootnoteText"/>
        <w:tabs>
          <w:tab w:val="left" w:pos="450"/>
        </w:tabs>
        <w:rPr>
          <w:rFonts w:cstheme="minorHAnsi"/>
          <w:lang w:val="en-GB"/>
        </w:rPr>
      </w:pPr>
      <w:r>
        <w:rPr>
          <w:rStyle w:val="FootnoteReference"/>
          <w:rFonts w:cstheme="minorHAnsi"/>
        </w:rPr>
        <w:footnoteRef/>
      </w:r>
      <w:r w:rsidRPr="003366C9">
        <w:rPr>
          <w:lang w:val="en-GB"/>
        </w:rPr>
        <w:t xml:space="preserve"> Hu et al. (2017). Global wetlands: Potential distribution, wetland loss, and status. Science of The Total Environment, 586, 319–327. </w:t>
      </w:r>
      <w:hyperlink r:id="rId6" w:history="1">
        <w:r w:rsidRPr="003366C9">
          <w:rPr>
            <w:rStyle w:val="Hyperlink"/>
            <w:lang w:val="en-GB"/>
          </w:rPr>
          <w:t>https://doi.org/10.1016/j.scitotenv.2017.02.001</w:t>
        </w:r>
      </w:hyperlink>
      <w:r w:rsidRPr="003366C9">
        <w:rPr>
          <w:lang w:val="en-GB"/>
        </w:rPr>
        <w:t xml:space="preserve"> </w:t>
      </w:r>
    </w:p>
  </w:footnote>
  <w:footnote w:id="11">
    <w:p w14:paraId="5FF10571" w14:textId="26DCF0DB" w:rsidR="008C7F7E" w:rsidRPr="00F8769F" w:rsidRDefault="008C7F7E" w:rsidP="00F8769F">
      <w:pPr>
        <w:pStyle w:val="FootnoteText"/>
        <w:tabs>
          <w:tab w:val="left" w:pos="450"/>
        </w:tabs>
        <w:rPr>
          <w:rFonts w:cstheme="minorHAnsi"/>
        </w:rPr>
      </w:pPr>
      <w:r>
        <w:rPr>
          <w:rStyle w:val="FootnoteReference"/>
          <w:rFonts w:cstheme="minorHAnsi"/>
        </w:rPr>
        <w:footnoteRef/>
      </w:r>
      <w:r w:rsidRPr="003366C9">
        <w:rPr>
          <w:lang w:val="en-GB"/>
        </w:rPr>
        <w:t xml:space="preserve"> Dixon et al. (2016). Tracking global change in ecosystem area: The Wetland Extent Trends index. </w:t>
      </w:r>
      <w:r>
        <w:t xml:space="preserve">Biological Conservation, 193, 27–35. </w:t>
      </w:r>
      <w:hyperlink r:id="rId7" w:history="1">
        <w:r>
          <w:rPr>
            <w:rStyle w:val="Hyperlink"/>
          </w:rPr>
          <w:t>https://doi.org/10.1016/j.biocon.2015.10.023</w:t>
        </w:r>
      </w:hyperlink>
      <w:r>
        <w:t xml:space="preserve"> </w:t>
      </w:r>
    </w:p>
  </w:footnote>
  <w:footnote w:id="12">
    <w:p w14:paraId="51B767D6" w14:textId="6A2F86D7" w:rsidR="00201426" w:rsidRPr="00F8769F" w:rsidRDefault="00201426" w:rsidP="00F8769F">
      <w:pPr>
        <w:pStyle w:val="FootnoteText"/>
        <w:tabs>
          <w:tab w:val="left" w:pos="450"/>
        </w:tabs>
        <w:rPr>
          <w:rFonts w:cstheme="minorHAnsi"/>
        </w:rPr>
      </w:pPr>
      <w:r>
        <w:rPr>
          <w:rStyle w:val="FootnoteReference"/>
          <w:rFonts w:cstheme="minorHAnsi"/>
        </w:rPr>
        <w:footnoteRef/>
      </w:r>
      <w:r>
        <w:t xml:space="preserve"> Convention sur les zones humides (2018). Perspectives mondiales des zones humides : État des zones humides à l’échelle mondiale et des services qu’elles fournissent à l’humanité. Gland, Suisse : Secrétariat de la Convention sur les zones humides.</w:t>
      </w:r>
    </w:p>
  </w:footnote>
  <w:footnote w:id="13">
    <w:p w14:paraId="04176D4A" w14:textId="1B7A9221" w:rsidR="00201426" w:rsidRPr="003366C9" w:rsidRDefault="00201426" w:rsidP="00F8769F">
      <w:pPr>
        <w:pStyle w:val="FootnoteText"/>
        <w:tabs>
          <w:tab w:val="left" w:pos="450"/>
        </w:tabs>
        <w:rPr>
          <w:rFonts w:cstheme="minorHAnsi"/>
          <w:lang w:val="en-GB"/>
        </w:rPr>
      </w:pPr>
      <w:r>
        <w:rPr>
          <w:rStyle w:val="FootnoteReference"/>
          <w:rFonts w:cstheme="minorHAnsi"/>
        </w:rPr>
        <w:footnoteRef/>
      </w:r>
      <w:r w:rsidRPr="003366C9">
        <w:rPr>
          <w:lang w:val="en-GB"/>
        </w:rPr>
        <w:t xml:space="preserve"> Davidson, N.C. (2014). How much wetland has the world lost? Marine and Freshwater Research, 65(10), 934–941. </w:t>
      </w:r>
      <w:hyperlink r:id="rId8" w:history="1">
        <w:r w:rsidRPr="003366C9">
          <w:rPr>
            <w:rStyle w:val="Hyperlink"/>
            <w:lang w:val="en-GB"/>
          </w:rPr>
          <w:t>https://doi.org/10.1071/MF14173</w:t>
        </w:r>
      </w:hyperlink>
      <w:r w:rsidRPr="003366C9">
        <w:rPr>
          <w:lang w:val="en-GB"/>
        </w:rPr>
        <w:t xml:space="preserve"> </w:t>
      </w:r>
    </w:p>
  </w:footnote>
  <w:footnote w:id="14">
    <w:p w14:paraId="11C85C9E" w14:textId="07B391D7" w:rsidR="00201426" w:rsidRPr="00F8769F" w:rsidRDefault="00201426" w:rsidP="00F8769F">
      <w:pPr>
        <w:pStyle w:val="FootnoteText"/>
        <w:tabs>
          <w:tab w:val="left" w:pos="450"/>
        </w:tabs>
        <w:rPr>
          <w:rFonts w:cstheme="minorHAnsi"/>
        </w:rPr>
      </w:pPr>
      <w:r>
        <w:rPr>
          <w:rStyle w:val="FootnoteReference"/>
          <w:rFonts w:cstheme="minorHAnsi"/>
        </w:rPr>
        <w:footnoteRef/>
      </w:r>
      <w:r>
        <w:t xml:space="preserve"> FAO</w:t>
      </w:r>
      <w:r w:rsidR="009B4667">
        <w:t xml:space="preserve"> (</w:t>
      </w:r>
      <w:r>
        <w:t>2022</w:t>
      </w:r>
      <w:r w:rsidR="009B4667">
        <w:t>)</w:t>
      </w:r>
      <w:r>
        <w:t xml:space="preserve">. La </w:t>
      </w:r>
      <w:r w:rsidR="00B30D21">
        <w:t>s</w:t>
      </w:r>
      <w:r>
        <w:t xml:space="preserve">ituation mondiale des pêches et de l’aquaculture 2022. Vers une transformation bleue. Rome, FAO. </w:t>
      </w:r>
      <w:hyperlink r:id="rId9" w:history="1">
        <w:r>
          <w:rPr>
            <w:rStyle w:val="Hyperlink"/>
          </w:rPr>
          <w:t>https://doi.org/10.4060/cc0461en</w:t>
        </w:r>
      </w:hyperlink>
      <w:r>
        <w:t xml:space="preserve"> </w:t>
      </w:r>
    </w:p>
  </w:footnote>
  <w:footnote w:id="15">
    <w:p w14:paraId="1205CF0D" w14:textId="5869ADA0" w:rsidR="00C15047" w:rsidRPr="00F8769F" w:rsidRDefault="00C15047" w:rsidP="00F8769F">
      <w:pPr>
        <w:pStyle w:val="FootnoteText"/>
        <w:tabs>
          <w:tab w:val="left" w:pos="450"/>
        </w:tabs>
        <w:rPr>
          <w:rFonts w:cstheme="minorHAnsi"/>
        </w:rPr>
      </w:pPr>
      <w:r>
        <w:rPr>
          <w:rStyle w:val="FootnoteReference"/>
          <w:rFonts w:cstheme="minorHAnsi"/>
        </w:rPr>
        <w:footnoteRef/>
      </w:r>
      <w:r>
        <w:t xml:space="preserve"> Dans le cadre de la Convention, la restauration est définie comme le processus qui aide au rétablissement d’une zone humide qui a été dégradée, endommagée ou détruite, et qui vise à rétablir ses caractéristiques écologiques (voir les Résolutions </w:t>
      </w:r>
      <w:hyperlink r:id="rId10" w:history="1">
        <w:r>
          <w:rPr>
            <w:rStyle w:val="Hyperlink"/>
          </w:rPr>
          <w:t>XIII.13</w:t>
        </w:r>
      </w:hyperlink>
      <w:r>
        <w:t xml:space="preserve"> et </w:t>
      </w:r>
      <w:hyperlink r:id="rId11" w:history="1">
        <w:r>
          <w:rPr>
            <w:rStyle w:val="Hyperlink"/>
          </w:rPr>
          <w:t>VIII.16</w:t>
        </w:r>
      </w:hyperlink>
      <w:r>
        <w:t>). Toutefois, dans le présent rapport, la restauration est envisagée sous un angle plus large afin d’inclure les actions qui améliorent la fonctionnalité et l’intégrité écologiques, même s’il est impossible de revenir pleinement aux conditions d’origine, antérieures à toute perturbation.</w:t>
      </w:r>
    </w:p>
  </w:footnote>
  <w:footnote w:id="16">
    <w:p w14:paraId="261E25DE" w14:textId="74E311A7" w:rsidR="00AE669B" w:rsidRPr="00AE669B" w:rsidRDefault="00AE669B">
      <w:pPr>
        <w:pStyle w:val="FootnoteText"/>
      </w:pPr>
      <w:r>
        <w:rPr>
          <w:rStyle w:val="FootnoteReference"/>
        </w:rPr>
        <w:footnoteRef/>
      </w:r>
      <w:r>
        <w:t xml:space="preserve"> Voir </w:t>
      </w:r>
      <w:hyperlink r:id="rId12" w:history="1">
        <w:r>
          <w:rPr>
            <w:rStyle w:val="Hyperlink"/>
          </w:rPr>
          <w:t>https://www.ramsar.org/fr/document/resolution-viii16-principes-et-lignes-directrices-pour-la-restauration-des-zones-humides</w:t>
        </w:r>
      </w:hyperlink>
      <w:r>
        <w:t xml:space="preserve"> ; </w:t>
      </w:r>
      <w:hyperlink r:id="rId13" w:history="1">
        <w:r>
          <w:rPr>
            <w:rStyle w:val="Hyperlink"/>
          </w:rPr>
          <w:t>https://www.ramsar.org/fr/document/resolution-xiii13-restauration-de-tourbieres-degradees-pour-attenuer-les-changements</w:t>
        </w:r>
      </w:hyperlink>
      <w:r>
        <w:t xml:space="preserve"> ; et </w:t>
      </w:r>
      <w:hyperlink r:id="rId14" w:history="1">
        <w:r>
          <w:rPr>
            <w:rStyle w:val="Hyperlink"/>
          </w:rPr>
          <w:t>https://www.ramsar.org/fr/document/resolution-xiv6-renforcer-la-visibilite-de-la-convention-et-les-synergies-avec-dautres</w:t>
        </w:r>
      </w:hyperlink>
      <w:r>
        <w:t xml:space="preserve"> </w:t>
      </w:r>
    </w:p>
  </w:footnote>
  <w:footnote w:id="17">
    <w:p w14:paraId="53040C4A" w14:textId="21E58F44" w:rsidR="00336D02" w:rsidRPr="00336D02" w:rsidRDefault="00336D02">
      <w:pPr>
        <w:pStyle w:val="FootnoteText"/>
      </w:pPr>
      <w:r>
        <w:rPr>
          <w:rStyle w:val="FootnoteReference"/>
        </w:rPr>
        <w:footnoteRef/>
      </w:r>
      <w:r>
        <w:t xml:space="preserve"> Voir </w:t>
      </w:r>
      <w:hyperlink r:id="rId15" w:history="1">
        <w:r>
          <w:rPr>
            <w:rStyle w:val="Hyperlink"/>
          </w:rPr>
          <w:t>https://www.ramsar.org/fr/document/le-4e-plan-strategique-2016-2024-mise-jour-2022</w:t>
        </w:r>
      </w:hyperlink>
    </w:p>
  </w:footnote>
  <w:footnote w:id="18">
    <w:p w14:paraId="76714C73" w14:textId="000CD4CE" w:rsidR="00272DAC" w:rsidRPr="00F8769F" w:rsidRDefault="00272DAC" w:rsidP="00F8769F">
      <w:pPr>
        <w:pStyle w:val="FootnoteText"/>
        <w:tabs>
          <w:tab w:val="left" w:pos="450"/>
        </w:tabs>
        <w:rPr>
          <w:rFonts w:cstheme="minorHAnsi"/>
        </w:rPr>
      </w:pPr>
      <w:r>
        <w:rPr>
          <w:rStyle w:val="FootnoteReference"/>
          <w:rFonts w:cstheme="minorHAnsi"/>
        </w:rPr>
        <w:footnoteRef/>
      </w:r>
      <w:r>
        <w:t xml:space="preserve"> ONU (2016). Chapitre 49 : Marais salants. Dans : Première évaluation mondiale intégrée du milieu marin (Première évaluation mondiale des océans). Division des Nations Unies des affaires maritimes et du droit de la mer.</w:t>
      </w:r>
    </w:p>
  </w:footnote>
  <w:footnote w:id="19">
    <w:p w14:paraId="6D4BC7C6" w14:textId="46263125" w:rsidR="00C34AD6" w:rsidRPr="003366C9" w:rsidRDefault="00C34AD6" w:rsidP="00F8769F">
      <w:pPr>
        <w:pStyle w:val="FootnoteText"/>
        <w:tabs>
          <w:tab w:val="left" w:pos="450"/>
        </w:tabs>
        <w:rPr>
          <w:rFonts w:cstheme="minorHAnsi"/>
          <w:lang w:val="en-GB"/>
        </w:rPr>
      </w:pPr>
      <w:r>
        <w:rPr>
          <w:rStyle w:val="FootnoteReference"/>
          <w:rFonts w:cstheme="minorHAnsi"/>
        </w:rPr>
        <w:footnoteRef/>
      </w:r>
      <w:r w:rsidRPr="003366C9">
        <w:rPr>
          <w:lang w:val="en-GB"/>
        </w:rPr>
        <w:t> Leal et al. (2022). The State of the World’s Mangroves 2022. Global Mangrove Alliance</w:t>
      </w:r>
    </w:p>
  </w:footnote>
  <w:footnote w:id="20">
    <w:p w14:paraId="641F464B" w14:textId="5E2C3F2A" w:rsidR="00185300" w:rsidRPr="00F8769F" w:rsidRDefault="00185300" w:rsidP="00F8769F">
      <w:pPr>
        <w:pStyle w:val="FootnoteText"/>
        <w:tabs>
          <w:tab w:val="left" w:pos="450"/>
        </w:tabs>
        <w:rPr>
          <w:rFonts w:cstheme="minorHAnsi"/>
        </w:rPr>
      </w:pPr>
      <w:r>
        <w:rPr>
          <w:rStyle w:val="FootnoteReference"/>
          <w:rFonts w:cstheme="minorHAnsi"/>
        </w:rPr>
        <w:footnoteRef/>
      </w:r>
      <w:r w:rsidRPr="003366C9">
        <w:rPr>
          <w:lang w:val="en-GB"/>
        </w:rPr>
        <w:t xml:space="preserve"> Waycott et al. (2009). Accelerating loss of seagrasses across the globe threatens coastal ecosystems. </w:t>
      </w:r>
      <w:r>
        <w:t xml:space="preserve">PNAS, 106(30), 12377-12381. </w:t>
      </w:r>
      <w:hyperlink r:id="rId16" w:history="1">
        <w:r>
          <w:rPr>
            <w:rStyle w:val="Hyperlink"/>
          </w:rPr>
          <w:t>https://doi.org/10.1073/pnas.0905620106</w:t>
        </w:r>
      </w:hyperlink>
      <w:r>
        <w:t xml:space="preserve"> </w:t>
      </w:r>
    </w:p>
  </w:footnote>
  <w:footnote w:id="21">
    <w:p w14:paraId="40C56055" w14:textId="6EED4C1D" w:rsidR="00F04BB3" w:rsidRPr="00F8769F" w:rsidRDefault="00F04BB3" w:rsidP="00F8769F">
      <w:pPr>
        <w:pStyle w:val="FootnoteText"/>
        <w:tabs>
          <w:tab w:val="left" w:pos="450"/>
        </w:tabs>
        <w:rPr>
          <w:rFonts w:cstheme="minorHAnsi"/>
        </w:rPr>
      </w:pPr>
      <w:r>
        <w:rPr>
          <w:rStyle w:val="FootnoteReference"/>
          <w:rFonts w:cstheme="minorHAnsi"/>
        </w:rPr>
        <w:footnoteRef/>
      </w:r>
      <w:r>
        <w:t xml:space="preserve"> IPBES (2019). Rapport de l’évaluation mondiale de la biodiversité et des services écosystémiques de la Plateforme intergouvernementale scientifique et politique sur la biodiversité et les services écosystémiques. Secrétariat de l’IPBES, Bonn, Allemagne. </w:t>
      </w:r>
      <w:hyperlink r:id="rId17" w:history="1">
        <w:r>
          <w:rPr>
            <w:rStyle w:val="Hyperlink"/>
          </w:rPr>
          <w:t>https://doi.org/10.5281/zenodo.3831673</w:t>
        </w:r>
      </w:hyperlink>
      <w:r>
        <w:t xml:space="preserve"> </w:t>
      </w:r>
    </w:p>
  </w:footnote>
  <w:footnote w:id="22">
    <w:p w14:paraId="3B46CDEB" w14:textId="00E73589" w:rsidR="00D73F52" w:rsidRPr="00D73F52" w:rsidRDefault="00D73F52">
      <w:pPr>
        <w:pStyle w:val="FootnoteText"/>
      </w:pPr>
      <w:r>
        <w:rPr>
          <w:rStyle w:val="FootnoteReference"/>
        </w:rPr>
        <w:footnoteRef/>
      </w:r>
      <w:r>
        <w:t xml:space="preserve"> Voir </w:t>
      </w:r>
      <w:hyperlink r:id="rId18" w:history="1">
        <w:r>
          <w:rPr>
            <w:rStyle w:val="Hyperlink"/>
          </w:rPr>
          <w:t>https://ferm.fao.org/</w:t>
        </w:r>
      </w:hyperlink>
      <w:r>
        <w:t xml:space="preserve"> </w:t>
      </w:r>
    </w:p>
  </w:footnote>
  <w:footnote w:id="23">
    <w:p w14:paraId="63A7D9F3" w14:textId="3BABB7AB" w:rsidR="00D0733C" w:rsidRPr="00D0733C" w:rsidRDefault="00D0733C">
      <w:pPr>
        <w:pStyle w:val="FootnoteText"/>
      </w:pPr>
      <w:r>
        <w:rPr>
          <w:rStyle w:val="FootnoteReference"/>
        </w:rPr>
        <w:footnoteRef/>
      </w:r>
      <w:r>
        <w:t xml:space="preserve"> Voir </w:t>
      </w:r>
      <w:hyperlink r:id="rId19" w:history="1">
        <w:r>
          <w:rPr>
            <w:rStyle w:val="Hyperlink"/>
          </w:rPr>
          <w:t>https://iucn.org/resources/conservation-tool/restoration-barometer</w:t>
        </w:r>
      </w:hyperlink>
      <w:r>
        <w:t xml:space="preserve"> </w:t>
      </w:r>
    </w:p>
  </w:footnote>
  <w:footnote w:id="24">
    <w:p w14:paraId="52F5EBBB" w14:textId="6FEAA974" w:rsidR="003F6790" w:rsidRPr="0089594C" w:rsidRDefault="003F6790" w:rsidP="00F8769F">
      <w:pPr>
        <w:pStyle w:val="FootnoteText"/>
        <w:tabs>
          <w:tab w:val="left" w:pos="450"/>
        </w:tabs>
        <w:rPr>
          <w:rFonts w:cstheme="minorHAnsi"/>
          <w:lang w:val="en-GB"/>
        </w:rPr>
      </w:pPr>
      <w:r>
        <w:rPr>
          <w:rStyle w:val="FootnoteReference"/>
          <w:rFonts w:cstheme="minorHAnsi"/>
        </w:rPr>
        <w:footnoteRef/>
      </w:r>
      <w:r>
        <w:t xml:space="preserve"> PNUE (2021). Devenons la #GénérationRestauration : Restaurons les écosystèmes pour les gens, la nature et le climat. </w:t>
      </w:r>
      <w:r w:rsidRPr="0089594C">
        <w:rPr>
          <w:lang w:val="en-GB"/>
        </w:rPr>
        <w:t>Nairobi.</w:t>
      </w:r>
    </w:p>
  </w:footnote>
  <w:footnote w:id="25">
    <w:p w14:paraId="316702DD" w14:textId="2CD119F8" w:rsidR="00C44DA5" w:rsidRPr="00F8769F" w:rsidRDefault="00C44DA5" w:rsidP="00F8769F">
      <w:pPr>
        <w:pStyle w:val="FootnoteText"/>
        <w:tabs>
          <w:tab w:val="left" w:pos="450"/>
        </w:tabs>
        <w:rPr>
          <w:rFonts w:cstheme="minorHAnsi"/>
        </w:rPr>
      </w:pPr>
      <w:r>
        <w:rPr>
          <w:rStyle w:val="FootnoteReference"/>
          <w:rFonts w:cstheme="minorHAnsi"/>
        </w:rPr>
        <w:footnoteRef/>
      </w:r>
      <w:r w:rsidRPr="003366C9">
        <w:rPr>
          <w:lang w:val="en-GB"/>
        </w:rPr>
        <w:t xml:space="preserve"> UNEP (2022). Global Peatlands Assessment – The State of the World’s Peatlands: Evidence for action toward the conservation, restoration, and sustainable management of peatlands; FAO (2020) Peatland mapping and monitoring – Recommendations and technical overview. </w:t>
      </w:r>
      <w:r>
        <w:t>Rome.</w:t>
      </w:r>
    </w:p>
  </w:footnote>
  <w:footnote w:id="26">
    <w:p w14:paraId="74CE1E89" w14:textId="7151F7A8" w:rsidR="00E4597B" w:rsidRPr="00E4597B" w:rsidRDefault="00E4597B">
      <w:pPr>
        <w:pStyle w:val="FootnoteText"/>
      </w:pPr>
      <w:r>
        <w:rPr>
          <w:rStyle w:val="FootnoteReference"/>
        </w:rPr>
        <w:footnoteRef/>
      </w:r>
      <w:r>
        <w:t xml:space="preserve"> Voir </w:t>
      </w:r>
      <w:hyperlink r:id="rId20" w:history="1">
        <w:r>
          <w:rPr>
            <w:rStyle w:val="Hyperlink"/>
          </w:rPr>
          <w:t>https://www.freshwaterchallenge.org/</w:t>
        </w:r>
      </w:hyperlink>
      <w:r>
        <w:t xml:space="preserve"> </w:t>
      </w:r>
    </w:p>
  </w:footnote>
  <w:footnote w:id="27">
    <w:p w14:paraId="70EF9BBE" w14:textId="77777777" w:rsidR="00E4597B" w:rsidRPr="00E4597B" w:rsidRDefault="00E4597B" w:rsidP="00E4597B">
      <w:pPr>
        <w:pStyle w:val="FootnoteText"/>
      </w:pPr>
      <w:r>
        <w:rPr>
          <w:rStyle w:val="FootnoteReference"/>
        </w:rPr>
        <w:footnoteRef/>
      </w:r>
      <w:r>
        <w:t xml:space="preserve"> Voir </w:t>
      </w:r>
      <w:hyperlink r:id="rId21" w:history="1">
        <w:r>
          <w:rPr>
            <w:rStyle w:val="Hyperlink"/>
          </w:rPr>
          <w:t>https://www.mangrovealliance.org/</w:t>
        </w:r>
      </w:hyperlink>
      <w:r>
        <w:t xml:space="preserve"> et </w:t>
      </w:r>
      <w:hyperlink r:id="rId22" w:history="1">
        <w:r>
          <w:rPr>
            <w:rStyle w:val="Hyperlink"/>
          </w:rPr>
          <w:t>https://www.mangrovealliance.org/news/the-mangrove-breakthrough/</w:t>
        </w:r>
      </w:hyperlink>
      <w:r>
        <w:t xml:space="preserve"> </w:t>
      </w:r>
    </w:p>
  </w:footnote>
  <w:footnote w:id="28">
    <w:p w14:paraId="3B21CD67" w14:textId="283245BC" w:rsidR="00E4597B" w:rsidRPr="00E4597B" w:rsidRDefault="00E4597B">
      <w:pPr>
        <w:pStyle w:val="FootnoteText"/>
      </w:pPr>
      <w:r>
        <w:rPr>
          <w:rStyle w:val="FootnoteReference"/>
        </w:rPr>
        <w:footnoteRef/>
      </w:r>
      <w:r>
        <w:t xml:space="preserve"> Voir </w:t>
      </w:r>
      <w:hyperlink r:id="rId23" w:history="1">
        <w:r>
          <w:rPr>
            <w:rStyle w:val="Hyperlink"/>
          </w:rPr>
          <w:t>https://globalpeatlands.org/</w:t>
        </w:r>
      </w:hyperlink>
      <w:r>
        <w:t xml:space="preserve"> </w:t>
      </w:r>
    </w:p>
  </w:footnote>
  <w:footnote w:id="29">
    <w:p w14:paraId="2BD7C9AE" w14:textId="51D38AF0" w:rsidR="00E4597B" w:rsidRPr="00E4597B" w:rsidRDefault="00E4597B">
      <w:pPr>
        <w:pStyle w:val="FootnoteText"/>
      </w:pPr>
      <w:r>
        <w:rPr>
          <w:rStyle w:val="FootnoteReference"/>
        </w:rPr>
        <w:footnoteRef/>
      </w:r>
      <w:r>
        <w:t xml:space="preserve"> Voir </w:t>
      </w:r>
      <w:hyperlink r:id="rId24" w:history="1">
        <w:r>
          <w:rPr>
            <w:rStyle w:val="Hyperlink"/>
          </w:rPr>
          <w:t>https://kelpforestalliance.com/kelp-forest-challenge?gad_source=1</w:t>
        </w:r>
      </w:hyperlink>
      <w:r>
        <w:t xml:space="preserve"> </w:t>
      </w:r>
    </w:p>
  </w:footnote>
  <w:footnote w:id="30">
    <w:p w14:paraId="0853EEA4" w14:textId="06A9CB08" w:rsidR="009800E7" w:rsidRPr="009800E7" w:rsidRDefault="009800E7">
      <w:pPr>
        <w:pStyle w:val="FootnoteText"/>
      </w:pPr>
      <w:r>
        <w:rPr>
          <w:rStyle w:val="FootnoteReference"/>
        </w:rPr>
        <w:footnoteRef/>
      </w:r>
      <w:r>
        <w:t xml:space="preserve"> Voir </w:t>
      </w:r>
      <w:hyperlink r:id="rId25" w:history="1">
        <w:r>
          <w:rPr>
            <w:rStyle w:val="Hyperlink"/>
          </w:rPr>
          <w:t>https://www.ramsar.org/fr/document/resolution-xi9-cadre-integre-et-lignes-directrices-pour-eviter-attenuer-et-compenser-les</w:t>
        </w:r>
      </w:hyperlink>
      <w:r>
        <w:t xml:space="preserve"> </w:t>
      </w:r>
    </w:p>
  </w:footnote>
  <w:footnote w:id="31">
    <w:p w14:paraId="7A098DDB" w14:textId="173CC9BD" w:rsidR="009800E7" w:rsidRPr="009800E7" w:rsidRDefault="009800E7">
      <w:pPr>
        <w:pStyle w:val="FootnoteText"/>
      </w:pPr>
      <w:r>
        <w:rPr>
          <w:rStyle w:val="FootnoteReference"/>
        </w:rPr>
        <w:footnoteRef/>
      </w:r>
      <w:r>
        <w:t xml:space="preserve"> Voir </w:t>
      </w:r>
      <w:hyperlink r:id="rId26" w:history="1">
        <w:r>
          <w:rPr>
            <w:rStyle w:val="Hyperlink"/>
          </w:rPr>
          <w:t>https://www.cbd.int/gbf/targets/3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691"/>
    <w:multiLevelType w:val="multilevel"/>
    <w:tmpl w:val="20D6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7718"/>
    <w:multiLevelType w:val="hybridMultilevel"/>
    <w:tmpl w:val="6FD25A94"/>
    <w:lvl w:ilvl="0" w:tplc="1A2A2418">
      <w:start w:val="1"/>
      <w:numFmt w:val="bullet"/>
      <w:lvlText w:val="o"/>
      <w:lvlJc w:val="left"/>
      <w:pPr>
        <w:ind w:left="720" w:hanging="360"/>
      </w:pPr>
      <w:rPr>
        <w:rFonts w:ascii="Courier New" w:hAnsi="Courier New" w:cs="Courier New" w:hint="default"/>
      </w:rPr>
    </w:lvl>
    <w:lvl w:ilvl="1" w:tplc="0ECE3D52">
      <w:start w:val="1"/>
      <w:numFmt w:val="bullet"/>
      <w:lvlText w:val="o"/>
      <w:lvlJc w:val="left"/>
      <w:pPr>
        <w:ind w:left="1440" w:hanging="360"/>
      </w:pPr>
      <w:rPr>
        <w:rFonts w:ascii="Courier New" w:hAnsi="Courier New" w:cs="Courier New" w:hint="default"/>
      </w:rPr>
    </w:lvl>
    <w:lvl w:ilvl="2" w:tplc="C368E5F4">
      <w:start w:val="1"/>
      <w:numFmt w:val="bullet"/>
      <w:lvlText w:val=""/>
      <w:lvlJc w:val="left"/>
      <w:pPr>
        <w:ind w:left="2160" w:hanging="360"/>
      </w:pPr>
      <w:rPr>
        <w:rFonts w:ascii="Wingdings" w:hAnsi="Wingdings" w:hint="default"/>
      </w:rPr>
    </w:lvl>
    <w:lvl w:ilvl="3" w:tplc="5D76D69C">
      <w:start w:val="1"/>
      <w:numFmt w:val="bullet"/>
      <w:lvlText w:val=""/>
      <w:lvlJc w:val="left"/>
      <w:pPr>
        <w:ind w:left="2880" w:hanging="360"/>
      </w:pPr>
      <w:rPr>
        <w:rFonts w:ascii="Symbol" w:hAnsi="Symbol" w:hint="default"/>
      </w:rPr>
    </w:lvl>
    <w:lvl w:ilvl="4" w:tplc="B3E2826E">
      <w:start w:val="1"/>
      <w:numFmt w:val="bullet"/>
      <w:lvlText w:val="o"/>
      <w:lvlJc w:val="left"/>
      <w:pPr>
        <w:ind w:left="3600" w:hanging="360"/>
      </w:pPr>
      <w:rPr>
        <w:rFonts w:ascii="Courier New" w:hAnsi="Courier New" w:cs="Courier New" w:hint="default"/>
      </w:rPr>
    </w:lvl>
    <w:lvl w:ilvl="5" w:tplc="443AEBFA">
      <w:start w:val="1"/>
      <w:numFmt w:val="bullet"/>
      <w:lvlText w:val=""/>
      <w:lvlJc w:val="left"/>
      <w:pPr>
        <w:ind w:left="4320" w:hanging="360"/>
      </w:pPr>
      <w:rPr>
        <w:rFonts w:ascii="Wingdings" w:hAnsi="Wingdings" w:hint="default"/>
      </w:rPr>
    </w:lvl>
    <w:lvl w:ilvl="6" w:tplc="83D27ACA">
      <w:start w:val="1"/>
      <w:numFmt w:val="bullet"/>
      <w:lvlText w:val=""/>
      <w:lvlJc w:val="left"/>
      <w:pPr>
        <w:ind w:left="5040" w:hanging="360"/>
      </w:pPr>
      <w:rPr>
        <w:rFonts w:ascii="Symbol" w:hAnsi="Symbol" w:hint="default"/>
      </w:rPr>
    </w:lvl>
    <w:lvl w:ilvl="7" w:tplc="15548610">
      <w:start w:val="1"/>
      <w:numFmt w:val="bullet"/>
      <w:lvlText w:val="o"/>
      <w:lvlJc w:val="left"/>
      <w:pPr>
        <w:ind w:left="5760" w:hanging="360"/>
      </w:pPr>
      <w:rPr>
        <w:rFonts w:ascii="Courier New" w:hAnsi="Courier New" w:cs="Courier New" w:hint="default"/>
      </w:rPr>
    </w:lvl>
    <w:lvl w:ilvl="8" w:tplc="91A4A578">
      <w:start w:val="1"/>
      <w:numFmt w:val="bullet"/>
      <w:lvlText w:val=""/>
      <w:lvlJc w:val="left"/>
      <w:pPr>
        <w:ind w:left="6480" w:hanging="360"/>
      </w:pPr>
      <w:rPr>
        <w:rFonts w:ascii="Wingdings" w:hAnsi="Wingdings" w:hint="default"/>
      </w:rPr>
    </w:lvl>
  </w:abstractNum>
  <w:abstractNum w:abstractNumId="2" w15:restartNumberingAfterBreak="0">
    <w:nsid w:val="02F52FEC"/>
    <w:multiLevelType w:val="hybridMultilevel"/>
    <w:tmpl w:val="9B0494C4"/>
    <w:lvl w:ilvl="0" w:tplc="B8D2D414">
      <w:numFmt w:val="bullet"/>
      <w:lvlText w:val="-"/>
      <w:lvlJc w:val="left"/>
      <w:pPr>
        <w:ind w:left="720" w:hanging="360"/>
      </w:pPr>
      <w:rPr>
        <w:rFonts w:ascii="Calibri" w:eastAsiaTheme="minorHAnsi" w:hAnsi="Calibri" w:cs="Calibri" w:hint="default"/>
      </w:rPr>
    </w:lvl>
    <w:lvl w:ilvl="1" w:tplc="8E108152">
      <w:start w:val="1"/>
      <w:numFmt w:val="bullet"/>
      <w:lvlText w:val="o"/>
      <w:lvlJc w:val="left"/>
      <w:pPr>
        <w:ind w:left="1440" w:hanging="360"/>
      </w:pPr>
      <w:rPr>
        <w:rFonts w:ascii="Courier New" w:hAnsi="Courier New" w:cs="Courier New" w:hint="default"/>
      </w:rPr>
    </w:lvl>
    <w:lvl w:ilvl="2" w:tplc="AE4E73E4">
      <w:start w:val="1"/>
      <w:numFmt w:val="bullet"/>
      <w:lvlText w:val=""/>
      <w:lvlJc w:val="left"/>
      <w:pPr>
        <w:ind w:left="2160" w:hanging="360"/>
      </w:pPr>
      <w:rPr>
        <w:rFonts w:ascii="Wingdings" w:hAnsi="Wingdings" w:hint="default"/>
      </w:rPr>
    </w:lvl>
    <w:lvl w:ilvl="3" w:tplc="51FE0018">
      <w:start w:val="1"/>
      <w:numFmt w:val="bullet"/>
      <w:lvlText w:val=""/>
      <w:lvlJc w:val="left"/>
      <w:pPr>
        <w:ind w:left="2880" w:hanging="360"/>
      </w:pPr>
      <w:rPr>
        <w:rFonts w:ascii="Symbol" w:hAnsi="Symbol" w:hint="default"/>
      </w:rPr>
    </w:lvl>
    <w:lvl w:ilvl="4" w:tplc="EBD4D1E2">
      <w:start w:val="1"/>
      <w:numFmt w:val="bullet"/>
      <w:lvlText w:val="o"/>
      <w:lvlJc w:val="left"/>
      <w:pPr>
        <w:ind w:left="3600" w:hanging="360"/>
      </w:pPr>
      <w:rPr>
        <w:rFonts w:ascii="Courier New" w:hAnsi="Courier New" w:cs="Courier New" w:hint="default"/>
      </w:rPr>
    </w:lvl>
    <w:lvl w:ilvl="5" w:tplc="64C8AC72">
      <w:start w:val="1"/>
      <w:numFmt w:val="bullet"/>
      <w:lvlText w:val=""/>
      <w:lvlJc w:val="left"/>
      <w:pPr>
        <w:ind w:left="4320" w:hanging="360"/>
      </w:pPr>
      <w:rPr>
        <w:rFonts w:ascii="Wingdings" w:hAnsi="Wingdings" w:hint="default"/>
      </w:rPr>
    </w:lvl>
    <w:lvl w:ilvl="6" w:tplc="0BB20B6E">
      <w:start w:val="1"/>
      <w:numFmt w:val="bullet"/>
      <w:lvlText w:val=""/>
      <w:lvlJc w:val="left"/>
      <w:pPr>
        <w:ind w:left="5040" w:hanging="360"/>
      </w:pPr>
      <w:rPr>
        <w:rFonts w:ascii="Symbol" w:hAnsi="Symbol" w:hint="default"/>
      </w:rPr>
    </w:lvl>
    <w:lvl w:ilvl="7" w:tplc="D0DAD43A">
      <w:start w:val="1"/>
      <w:numFmt w:val="bullet"/>
      <w:lvlText w:val="o"/>
      <w:lvlJc w:val="left"/>
      <w:pPr>
        <w:ind w:left="5760" w:hanging="360"/>
      </w:pPr>
      <w:rPr>
        <w:rFonts w:ascii="Courier New" w:hAnsi="Courier New" w:cs="Courier New" w:hint="default"/>
      </w:rPr>
    </w:lvl>
    <w:lvl w:ilvl="8" w:tplc="63088758">
      <w:start w:val="1"/>
      <w:numFmt w:val="bullet"/>
      <w:lvlText w:val=""/>
      <w:lvlJc w:val="left"/>
      <w:pPr>
        <w:ind w:left="6480" w:hanging="360"/>
      </w:pPr>
      <w:rPr>
        <w:rFonts w:ascii="Wingdings" w:hAnsi="Wingdings" w:hint="default"/>
      </w:rPr>
    </w:lvl>
  </w:abstractNum>
  <w:abstractNum w:abstractNumId="3" w15:restartNumberingAfterBreak="0">
    <w:nsid w:val="065469EA"/>
    <w:multiLevelType w:val="multilevel"/>
    <w:tmpl w:val="EC8E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75962"/>
    <w:multiLevelType w:val="hybridMultilevel"/>
    <w:tmpl w:val="7C64A1AA"/>
    <w:lvl w:ilvl="0" w:tplc="940AC214">
      <w:start w:val="1"/>
      <w:numFmt w:val="lowerRoman"/>
      <w:lvlText w:val="%1)"/>
      <w:lvlJc w:val="left"/>
      <w:pPr>
        <w:ind w:left="1080" w:hanging="720"/>
      </w:pPr>
      <w:rPr>
        <w:rFonts w:hint="default"/>
      </w:rPr>
    </w:lvl>
    <w:lvl w:ilvl="1" w:tplc="EC44B4A6" w:tentative="1">
      <w:start w:val="1"/>
      <w:numFmt w:val="lowerLetter"/>
      <w:lvlText w:val="%2."/>
      <w:lvlJc w:val="left"/>
      <w:pPr>
        <w:ind w:left="1440" w:hanging="360"/>
      </w:pPr>
    </w:lvl>
    <w:lvl w:ilvl="2" w:tplc="FCB20296" w:tentative="1">
      <w:start w:val="1"/>
      <w:numFmt w:val="lowerRoman"/>
      <w:lvlText w:val="%3."/>
      <w:lvlJc w:val="right"/>
      <w:pPr>
        <w:ind w:left="2160" w:hanging="180"/>
      </w:pPr>
    </w:lvl>
    <w:lvl w:ilvl="3" w:tplc="ACD86BEA" w:tentative="1">
      <w:start w:val="1"/>
      <w:numFmt w:val="decimal"/>
      <w:lvlText w:val="%4."/>
      <w:lvlJc w:val="left"/>
      <w:pPr>
        <w:ind w:left="2880" w:hanging="360"/>
      </w:pPr>
    </w:lvl>
    <w:lvl w:ilvl="4" w:tplc="558062B2" w:tentative="1">
      <w:start w:val="1"/>
      <w:numFmt w:val="lowerLetter"/>
      <w:lvlText w:val="%5."/>
      <w:lvlJc w:val="left"/>
      <w:pPr>
        <w:ind w:left="3600" w:hanging="360"/>
      </w:pPr>
    </w:lvl>
    <w:lvl w:ilvl="5" w:tplc="D87EEB60" w:tentative="1">
      <w:start w:val="1"/>
      <w:numFmt w:val="lowerRoman"/>
      <w:lvlText w:val="%6."/>
      <w:lvlJc w:val="right"/>
      <w:pPr>
        <w:ind w:left="4320" w:hanging="180"/>
      </w:pPr>
    </w:lvl>
    <w:lvl w:ilvl="6" w:tplc="6C767816" w:tentative="1">
      <w:start w:val="1"/>
      <w:numFmt w:val="decimal"/>
      <w:lvlText w:val="%7."/>
      <w:lvlJc w:val="left"/>
      <w:pPr>
        <w:ind w:left="5040" w:hanging="360"/>
      </w:pPr>
    </w:lvl>
    <w:lvl w:ilvl="7" w:tplc="454CFC92" w:tentative="1">
      <w:start w:val="1"/>
      <w:numFmt w:val="lowerLetter"/>
      <w:lvlText w:val="%8."/>
      <w:lvlJc w:val="left"/>
      <w:pPr>
        <w:ind w:left="5760" w:hanging="360"/>
      </w:pPr>
    </w:lvl>
    <w:lvl w:ilvl="8" w:tplc="212028E8" w:tentative="1">
      <w:start w:val="1"/>
      <w:numFmt w:val="lowerRoman"/>
      <w:lvlText w:val="%9."/>
      <w:lvlJc w:val="right"/>
      <w:pPr>
        <w:ind w:left="6480" w:hanging="180"/>
      </w:pPr>
    </w:lvl>
  </w:abstractNum>
  <w:abstractNum w:abstractNumId="5" w15:restartNumberingAfterBreak="0">
    <w:nsid w:val="0F9A4154"/>
    <w:multiLevelType w:val="hybridMultilevel"/>
    <w:tmpl w:val="028C3786"/>
    <w:lvl w:ilvl="0" w:tplc="4834405E">
      <w:start w:val="1"/>
      <w:numFmt w:val="bullet"/>
      <w:lvlText w:val="o"/>
      <w:lvlJc w:val="left"/>
      <w:pPr>
        <w:ind w:left="1440" w:hanging="360"/>
      </w:pPr>
      <w:rPr>
        <w:rFonts w:ascii="Courier New" w:hAnsi="Courier New" w:cs="Courier New" w:hint="default"/>
      </w:rPr>
    </w:lvl>
    <w:lvl w:ilvl="1" w:tplc="E168EA3E">
      <w:start w:val="1"/>
      <w:numFmt w:val="bullet"/>
      <w:lvlText w:val="o"/>
      <w:lvlJc w:val="left"/>
      <w:pPr>
        <w:ind w:left="2160" w:hanging="360"/>
      </w:pPr>
      <w:rPr>
        <w:rFonts w:ascii="Courier New" w:hAnsi="Courier New" w:cs="Times New Roman" w:hint="default"/>
      </w:rPr>
    </w:lvl>
    <w:lvl w:ilvl="2" w:tplc="F1C23632">
      <w:start w:val="1"/>
      <w:numFmt w:val="bullet"/>
      <w:lvlText w:val=""/>
      <w:lvlJc w:val="left"/>
      <w:pPr>
        <w:ind w:left="2880" w:hanging="360"/>
      </w:pPr>
      <w:rPr>
        <w:rFonts w:ascii="Wingdings" w:hAnsi="Wingdings" w:hint="default"/>
      </w:rPr>
    </w:lvl>
    <w:lvl w:ilvl="3" w:tplc="AAF85A7A">
      <w:start w:val="1"/>
      <w:numFmt w:val="bullet"/>
      <w:lvlText w:val=""/>
      <w:lvlJc w:val="left"/>
      <w:pPr>
        <w:ind w:left="3600" w:hanging="360"/>
      </w:pPr>
      <w:rPr>
        <w:rFonts w:ascii="Symbol" w:hAnsi="Symbol" w:hint="default"/>
      </w:rPr>
    </w:lvl>
    <w:lvl w:ilvl="4" w:tplc="4ECC435C">
      <w:start w:val="1"/>
      <w:numFmt w:val="bullet"/>
      <w:lvlText w:val="o"/>
      <w:lvlJc w:val="left"/>
      <w:pPr>
        <w:ind w:left="4320" w:hanging="360"/>
      </w:pPr>
      <w:rPr>
        <w:rFonts w:ascii="Courier New" w:hAnsi="Courier New" w:cs="Times New Roman" w:hint="default"/>
      </w:rPr>
    </w:lvl>
    <w:lvl w:ilvl="5" w:tplc="984AF06E">
      <w:start w:val="1"/>
      <w:numFmt w:val="bullet"/>
      <w:lvlText w:val=""/>
      <w:lvlJc w:val="left"/>
      <w:pPr>
        <w:ind w:left="5040" w:hanging="360"/>
      </w:pPr>
      <w:rPr>
        <w:rFonts w:ascii="Wingdings" w:hAnsi="Wingdings" w:hint="default"/>
      </w:rPr>
    </w:lvl>
    <w:lvl w:ilvl="6" w:tplc="43465272">
      <w:start w:val="1"/>
      <w:numFmt w:val="bullet"/>
      <w:lvlText w:val=""/>
      <w:lvlJc w:val="left"/>
      <w:pPr>
        <w:ind w:left="5760" w:hanging="360"/>
      </w:pPr>
      <w:rPr>
        <w:rFonts w:ascii="Symbol" w:hAnsi="Symbol" w:hint="default"/>
      </w:rPr>
    </w:lvl>
    <w:lvl w:ilvl="7" w:tplc="4A1EB51E">
      <w:start w:val="1"/>
      <w:numFmt w:val="bullet"/>
      <w:lvlText w:val="o"/>
      <w:lvlJc w:val="left"/>
      <w:pPr>
        <w:ind w:left="6480" w:hanging="360"/>
      </w:pPr>
      <w:rPr>
        <w:rFonts w:ascii="Courier New" w:hAnsi="Courier New" w:cs="Times New Roman" w:hint="default"/>
      </w:rPr>
    </w:lvl>
    <w:lvl w:ilvl="8" w:tplc="D0D059D8">
      <w:start w:val="1"/>
      <w:numFmt w:val="bullet"/>
      <w:lvlText w:val=""/>
      <w:lvlJc w:val="left"/>
      <w:pPr>
        <w:ind w:left="7200" w:hanging="360"/>
      </w:pPr>
      <w:rPr>
        <w:rFonts w:ascii="Wingdings" w:hAnsi="Wingdings" w:hint="default"/>
      </w:rPr>
    </w:lvl>
  </w:abstractNum>
  <w:abstractNum w:abstractNumId="6" w15:restartNumberingAfterBreak="0">
    <w:nsid w:val="1215528F"/>
    <w:multiLevelType w:val="hybridMultilevel"/>
    <w:tmpl w:val="69624B2C"/>
    <w:lvl w:ilvl="0" w:tplc="3FC02F90">
      <w:start w:val="1"/>
      <w:numFmt w:val="lowerRoman"/>
      <w:lvlText w:val="%1."/>
      <w:lvlJc w:val="left"/>
      <w:pPr>
        <w:ind w:left="1080" w:hanging="720"/>
      </w:pPr>
      <w:rPr>
        <w:rFonts w:hint="default"/>
      </w:rPr>
    </w:lvl>
    <w:lvl w:ilvl="1" w:tplc="FE906588" w:tentative="1">
      <w:start w:val="1"/>
      <w:numFmt w:val="lowerLetter"/>
      <w:lvlText w:val="%2."/>
      <w:lvlJc w:val="left"/>
      <w:pPr>
        <w:ind w:left="1440" w:hanging="360"/>
      </w:pPr>
    </w:lvl>
    <w:lvl w:ilvl="2" w:tplc="691CACC8" w:tentative="1">
      <w:start w:val="1"/>
      <w:numFmt w:val="lowerRoman"/>
      <w:lvlText w:val="%3."/>
      <w:lvlJc w:val="right"/>
      <w:pPr>
        <w:ind w:left="2160" w:hanging="180"/>
      </w:pPr>
    </w:lvl>
    <w:lvl w:ilvl="3" w:tplc="FD44AB4C" w:tentative="1">
      <w:start w:val="1"/>
      <w:numFmt w:val="decimal"/>
      <w:lvlText w:val="%4."/>
      <w:lvlJc w:val="left"/>
      <w:pPr>
        <w:ind w:left="2880" w:hanging="360"/>
      </w:pPr>
    </w:lvl>
    <w:lvl w:ilvl="4" w:tplc="F7784868" w:tentative="1">
      <w:start w:val="1"/>
      <w:numFmt w:val="lowerLetter"/>
      <w:lvlText w:val="%5."/>
      <w:lvlJc w:val="left"/>
      <w:pPr>
        <w:ind w:left="3600" w:hanging="360"/>
      </w:pPr>
    </w:lvl>
    <w:lvl w:ilvl="5" w:tplc="242ACA8A" w:tentative="1">
      <w:start w:val="1"/>
      <w:numFmt w:val="lowerRoman"/>
      <w:lvlText w:val="%6."/>
      <w:lvlJc w:val="right"/>
      <w:pPr>
        <w:ind w:left="4320" w:hanging="180"/>
      </w:pPr>
    </w:lvl>
    <w:lvl w:ilvl="6" w:tplc="A750142A" w:tentative="1">
      <w:start w:val="1"/>
      <w:numFmt w:val="decimal"/>
      <w:lvlText w:val="%7."/>
      <w:lvlJc w:val="left"/>
      <w:pPr>
        <w:ind w:left="5040" w:hanging="360"/>
      </w:pPr>
    </w:lvl>
    <w:lvl w:ilvl="7" w:tplc="E65C0D52" w:tentative="1">
      <w:start w:val="1"/>
      <w:numFmt w:val="lowerLetter"/>
      <w:lvlText w:val="%8."/>
      <w:lvlJc w:val="left"/>
      <w:pPr>
        <w:ind w:left="5760" w:hanging="360"/>
      </w:pPr>
    </w:lvl>
    <w:lvl w:ilvl="8" w:tplc="43269924" w:tentative="1">
      <w:start w:val="1"/>
      <w:numFmt w:val="lowerRoman"/>
      <w:lvlText w:val="%9."/>
      <w:lvlJc w:val="right"/>
      <w:pPr>
        <w:ind w:left="6480" w:hanging="180"/>
      </w:pPr>
    </w:lvl>
  </w:abstractNum>
  <w:abstractNum w:abstractNumId="7" w15:restartNumberingAfterBreak="0">
    <w:nsid w:val="1B5F52FE"/>
    <w:multiLevelType w:val="hybridMultilevel"/>
    <w:tmpl w:val="7C64A1AA"/>
    <w:lvl w:ilvl="0" w:tplc="7A78EAB0">
      <w:start w:val="1"/>
      <w:numFmt w:val="lowerRoman"/>
      <w:lvlText w:val="%1)"/>
      <w:lvlJc w:val="left"/>
      <w:pPr>
        <w:ind w:left="1080" w:hanging="720"/>
      </w:pPr>
      <w:rPr>
        <w:rFonts w:hint="default"/>
      </w:rPr>
    </w:lvl>
    <w:lvl w:ilvl="1" w:tplc="F5127778" w:tentative="1">
      <w:start w:val="1"/>
      <w:numFmt w:val="lowerLetter"/>
      <w:lvlText w:val="%2."/>
      <w:lvlJc w:val="left"/>
      <w:pPr>
        <w:ind w:left="1440" w:hanging="360"/>
      </w:pPr>
    </w:lvl>
    <w:lvl w:ilvl="2" w:tplc="949EE0BA" w:tentative="1">
      <w:start w:val="1"/>
      <w:numFmt w:val="lowerRoman"/>
      <w:lvlText w:val="%3."/>
      <w:lvlJc w:val="right"/>
      <w:pPr>
        <w:ind w:left="2160" w:hanging="180"/>
      </w:pPr>
    </w:lvl>
    <w:lvl w:ilvl="3" w:tplc="FB1AC306" w:tentative="1">
      <w:start w:val="1"/>
      <w:numFmt w:val="decimal"/>
      <w:lvlText w:val="%4."/>
      <w:lvlJc w:val="left"/>
      <w:pPr>
        <w:ind w:left="2880" w:hanging="360"/>
      </w:pPr>
    </w:lvl>
    <w:lvl w:ilvl="4" w:tplc="703E687E" w:tentative="1">
      <w:start w:val="1"/>
      <w:numFmt w:val="lowerLetter"/>
      <w:lvlText w:val="%5."/>
      <w:lvlJc w:val="left"/>
      <w:pPr>
        <w:ind w:left="3600" w:hanging="360"/>
      </w:pPr>
    </w:lvl>
    <w:lvl w:ilvl="5" w:tplc="31447248" w:tentative="1">
      <w:start w:val="1"/>
      <w:numFmt w:val="lowerRoman"/>
      <w:lvlText w:val="%6."/>
      <w:lvlJc w:val="right"/>
      <w:pPr>
        <w:ind w:left="4320" w:hanging="180"/>
      </w:pPr>
    </w:lvl>
    <w:lvl w:ilvl="6" w:tplc="938AAD04" w:tentative="1">
      <w:start w:val="1"/>
      <w:numFmt w:val="decimal"/>
      <w:lvlText w:val="%7."/>
      <w:lvlJc w:val="left"/>
      <w:pPr>
        <w:ind w:left="5040" w:hanging="360"/>
      </w:pPr>
    </w:lvl>
    <w:lvl w:ilvl="7" w:tplc="E2628FE4" w:tentative="1">
      <w:start w:val="1"/>
      <w:numFmt w:val="lowerLetter"/>
      <w:lvlText w:val="%8."/>
      <w:lvlJc w:val="left"/>
      <w:pPr>
        <w:ind w:left="5760" w:hanging="360"/>
      </w:pPr>
    </w:lvl>
    <w:lvl w:ilvl="8" w:tplc="91724F8A" w:tentative="1">
      <w:start w:val="1"/>
      <w:numFmt w:val="lowerRoman"/>
      <w:lvlText w:val="%9."/>
      <w:lvlJc w:val="right"/>
      <w:pPr>
        <w:ind w:left="6480" w:hanging="180"/>
      </w:pPr>
    </w:lvl>
  </w:abstractNum>
  <w:abstractNum w:abstractNumId="8" w15:restartNumberingAfterBreak="0">
    <w:nsid w:val="214C08CD"/>
    <w:multiLevelType w:val="hybridMultilevel"/>
    <w:tmpl w:val="B79A316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274C4494"/>
    <w:multiLevelType w:val="hybridMultilevel"/>
    <w:tmpl w:val="7C64A1AA"/>
    <w:lvl w:ilvl="0" w:tplc="BFC442AC">
      <w:start w:val="1"/>
      <w:numFmt w:val="lowerRoman"/>
      <w:lvlText w:val="%1)"/>
      <w:lvlJc w:val="left"/>
      <w:pPr>
        <w:ind w:left="1080" w:hanging="720"/>
      </w:pPr>
      <w:rPr>
        <w:rFonts w:hint="default"/>
      </w:rPr>
    </w:lvl>
    <w:lvl w:ilvl="1" w:tplc="0D4427BA" w:tentative="1">
      <w:start w:val="1"/>
      <w:numFmt w:val="lowerLetter"/>
      <w:lvlText w:val="%2."/>
      <w:lvlJc w:val="left"/>
      <w:pPr>
        <w:ind w:left="1440" w:hanging="360"/>
      </w:pPr>
    </w:lvl>
    <w:lvl w:ilvl="2" w:tplc="537C1AD6" w:tentative="1">
      <w:start w:val="1"/>
      <w:numFmt w:val="lowerRoman"/>
      <w:lvlText w:val="%3."/>
      <w:lvlJc w:val="right"/>
      <w:pPr>
        <w:ind w:left="2160" w:hanging="180"/>
      </w:pPr>
    </w:lvl>
    <w:lvl w:ilvl="3" w:tplc="E9D8C39C" w:tentative="1">
      <w:start w:val="1"/>
      <w:numFmt w:val="decimal"/>
      <w:lvlText w:val="%4."/>
      <w:lvlJc w:val="left"/>
      <w:pPr>
        <w:ind w:left="2880" w:hanging="360"/>
      </w:pPr>
    </w:lvl>
    <w:lvl w:ilvl="4" w:tplc="B04E49E8" w:tentative="1">
      <w:start w:val="1"/>
      <w:numFmt w:val="lowerLetter"/>
      <w:lvlText w:val="%5."/>
      <w:lvlJc w:val="left"/>
      <w:pPr>
        <w:ind w:left="3600" w:hanging="360"/>
      </w:pPr>
    </w:lvl>
    <w:lvl w:ilvl="5" w:tplc="C76E4296" w:tentative="1">
      <w:start w:val="1"/>
      <w:numFmt w:val="lowerRoman"/>
      <w:lvlText w:val="%6."/>
      <w:lvlJc w:val="right"/>
      <w:pPr>
        <w:ind w:left="4320" w:hanging="180"/>
      </w:pPr>
    </w:lvl>
    <w:lvl w:ilvl="6" w:tplc="045A66F4" w:tentative="1">
      <w:start w:val="1"/>
      <w:numFmt w:val="decimal"/>
      <w:lvlText w:val="%7."/>
      <w:lvlJc w:val="left"/>
      <w:pPr>
        <w:ind w:left="5040" w:hanging="360"/>
      </w:pPr>
    </w:lvl>
    <w:lvl w:ilvl="7" w:tplc="31862D0A" w:tentative="1">
      <w:start w:val="1"/>
      <w:numFmt w:val="lowerLetter"/>
      <w:lvlText w:val="%8."/>
      <w:lvlJc w:val="left"/>
      <w:pPr>
        <w:ind w:left="5760" w:hanging="360"/>
      </w:pPr>
    </w:lvl>
    <w:lvl w:ilvl="8" w:tplc="5F98E8B0" w:tentative="1">
      <w:start w:val="1"/>
      <w:numFmt w:val="lowerRoman"/>
      <w:lvlText w:val="%9."/>
      <w:lvlJc w:val="right"/>
      <w:pPr>
        <w:ind w:left="6480" w:hanging="180"/>
      </w:pPr>
    </w:lvl>
  </w:abstractNum>
  <w:abstractNum w:abstractNumId="10" w15:restartNumberingAfterBreak="0">
    <w:nsid w:val="281B60C0"/>
    <w:multiLevelType w:val="hybridMultilevel"/>
    <w:tmpl w:val="CE148682"/>
    <w:lvl w:ilvl="0" w:tplc="69A2E200">
      <w:start w:val="1"/>
      <w:numFmt w:val="bullet"/>
      <w:lvlText w:val=""/>
      <w:lvlJc w:val="left"/>
      <w:pPr>
        <w:ind w:left="720" w:hanging="360"/>
      </w:pPr>
      <w:rPr>
        <w:rFonts w:ascii="Symbol" w:hAnsi="Symbol" w:hint="default"/>
      </w:rPr>
    </w:lvl>
    <w:lvl w:ilvl="1" w:tplc="DBB445BA" w:tentative="1">
      <w:start w:val="1"/>
      <w:numFmt w:val="bullet"/>
      <w:lvlText w:val="o"/>
      <w:lvlJc w:val="left"/>
      <w:pPr>
        <w:ind w:left="1440" w:hanging="360"/>
      </w:pPr>
      <w:rPr>
        <w:rFonts w:ascii="Courier New" w:hAnsi="Courier New" w:cs="Courier New" w:hint="default"/>
      </w:rPr>
    </w:lvl>
    <w:lvl w:ilvl="2" w:tplc="4448D82A" w:tentative="1">
      <w:start w:val="1"/>
      <w:numFmt w:val="bullet"/>
      <w:lvlText w:val=""/>
      <w:lvlJc w:val="left"/>
      <w:pPr>
        <w:ind w:left="2160" w:hanging="360"/>
      </w:pPr>
      <w:rPr>
        <w:rFonts w:ascii="Wingdings" w:hAnsi="Wingdings" w:hint="default"/>
      </w:rPr>
    </w:lvl>
    <w:lvl w:ilvl="3" w:tplc="5BC40BD8" w:tentative="1">
      <w:start w:val="1"/>
      <w:numFmt w:val="bullet"/>
      <w:lvlText w:val=""/>
      <w:lvlJc w:val="left"/>
      <w:pPr>
        <w:ind w:left="2880" w:hanging="360"/>
      </w:pPr>
      <w:rPr>
        <w:rFonts w:ascii="Symbol" w:hAnsi="Symbol" w:hint="default"/>
      </w:rPr>
    </w:lvl>
    <w:lvl w:ilvl="4" w:tplc="B204F160" w:tentative="1">
      <w:start w:val="1"/>
      <w:numFmt w:val="bullet"/>
      <w:lvlText w:val="o"/>
      <w:lvlJc w:val="left"/>
      <w:pPr>
        <w:ind w:left="3600" w:hanging="360"/>
      </w:pPr>
      <w:rPr>
        <w:rFonts w:ascii="Courier New" w:hAnsi="Courier New" w:cs="Courier New" w:hint="default"/>
      </w:rPr>
    </w:lvl>
    <w:lvl w:ilvl="5" w:tplc="9FD8B9DA" w:tentative="1">
      <w:start w:val="1"/>
      <w:numFmt w:val="bullet"/>
      <w:lvlText w:val=""/>
      <w:lvlJc w:val="left"/>
      <w:pPr>
        <w:ind w:left="4320" w:hanging="360"/>
      </w:pPr>
      <w:rPr>
        <w:rFonts w:ascii="Wingdings" w:hAnsi="Wingdings" w:hint="default"/>
      </w:rPr>
    </w:lvl>
    <w:lvl w:ilvl="6" w:tplc="7464A13A" w:tentative="1">
      <w:start w:val="1"/>
      <w:numFmt w:val="bullet"/>
      <w:lvlText w:val=""/>
      <w:lvlJc w:val="left"/>
      <w:pPr>
        <w:ind w:left="5040" w:hanging="360"/>
      </w:pPr>
      <w:rPr>
        <w:rFonts w:ascii="Symbol" w:hAnsi="Symbol" w:hint="default"/>
      </w:rPr>
    </w:lvl>
    <w:lvl w:ilvl="7" w:tplc="BDBEB1C8" w:tentative="1">
      <w:start w:val="1"/>
      <w:numFmt w:val="bullet"/>
      <w:lvlText w:val="o"/>
      <w:lvlJc w:val="left"/>
      <w:pPr>
        <w:ind w:left="5760" w:hanging="360"/>
      </w:pPr>
      <w:rPr>
        <w:rFonts w:ascii="Courier New" w:hAnsi="Courier New" w:cs="Courier New" w:hint="default"/>
      </w:rPr>
    </w:lvl>
    <w:lvl w:ilvl="8" w:tplc="C374E09A" w:tentative="1">
      <w:start w:val="1"/>
      <w:numFmt w:val="bullet"/>
      <w:lvlText w:val=""/>
      <w:lvlJc w:val="left"/>
      <w:pPr>
        <w:ind w:left="6480" w:hanging="360"/>
      </w:pPr>
      <w:rPr>
        <w:rFonts w:ascii="Wingdings" w:hAnsi="Wingdings" w:hint="default"/>
      </w:rPr>
    </w:lvl>
  </w:abstractNum>
  <w:abstractNum w:abstractNumId="11" w15:restartNumberingAfterBreak="0">
    <w:nsid w:val="2C0E471B"/>
    <w:multiLevelType w:val="hybridMultilevel"/>
    <w:tmpl w:val="18E20118"/>
    <w:lvl w:ilvl="0" w:tplc="5BF8C028">
      <w:start w:val="1"/>
      <w:numFmt w:val="bullet"/>
      <w:lvlText w:val=""/>
      <w:lvlJc w:val="left"/>
      <w:pPr>
        <w:ind w:left="720" w:hanging="360"/>
      </w:pPr>
      <w:rPr>
        <w:rFonts w:ascii="Symbol" w:hAnsi="Symbol" w:hint="default"/>
        <w:color w:val="00A99A"/>
      </w:rPr>
    </w:lvl>
    <w:lvl w:ilvl="1" w:tplc="533EF3F4">
      <w:start w:val="1"/>
      <w:numFmt w:val="bullet"/>
      <w:lvlText w:val="o"/>
      <w:lvlJc w:val="left"/>
      <w:pPr>
        <w:ind w:left="1440" w:hanging="360"/>
      </w:pPr>
      <w:rPr>
        <w:rFonts w:ascii="Courier New" w:hAnsi="Courier New" w:cs="Courier New" w:hint="default"/>
      </w:rPr>
    </w:lvl>
    <w:lvl w:ilvl="2" w:tplc="917E322E">
      <w:start w:val="1"/>
      <w:numFmt w:val="bullet"/>
      <w:lvlText w:val=""/>
      <w:lvlJc w:val="left"/>
      <w:pPr>
        <w:ind w:left="2160" w:hanging="360"/>
      </w:pPr>
      <w:rPr>
        <w:rFonts w:ascii="Wingdings" w:hAnsi="Wingdings" w:hint="default"/>
      </w:rPr>
    </w:lvl>
    <w:lvl w:ilvl="3" w:tplc="5F328D18">
      <w:start w:val="1"/>
      <w:numFmt w:val="bullet"/>
      <w:lvlText w:val=""/>
      <w:lvlJc w:val="left"/>
      <w:pPr>
        <w:ind w:left="2880" w:hanging="360"/>
      </w:pPr>
      <w:rPr>
        <w:rFonts w:ascii="Symbol" w:hAnsi="Symbol" w:hint="default"/>
      </w:rPr>
    </w:lvl>
    <w:lvl w:ilvl="4" w:tplc="5DCE35B2">
      <w:start w:val="1"/>
      <w:numFmt w:val="bullet"/>
      <w:lvlText w:val="o"/>
      <w:lvlJc w:val="left"/>
      <w:pPr>
        <w:ind w:left="3600" w:hanging="360"/>
      </w:pPr>
      <w:rPr>
        <w:rFonts w:ascii="Courier New" w:hAnsi="Courier New" w:cs="Courier New" w:hint="default"/>
      </w:rPr>
    </w:lvl>
    <w:lvl w:ilvl="5" w:tplc="808637C6">
      <w:start w:val="1"/>
      <w:numFmt w:val="bullet"/>
      <w:lvlText w:val=""/>
      <w:lvlJc w:val="left"/>
      <w:pPr>
        <w:ind w:left="4320" w:hanging="360"/>
      </w:pPr>
      <w:rPr>
        <w:rFonts w:ascii="Wingdings" w:hAnsi="Wingdings" w:hint="default"/>
      </w:rPr>
    </w:lvl>
    <w:lvl w:ilvl="6" w:tplc="2D183740">
      <w:start w:val="1"/>
      <w:numFmt w:val="bullet"/>
      <w:lvlText w:val=""/>
      <w:lvlJc w:val="left"/>
      <w:pPr>
        <w:ind w:left="5040" w:hanging="360"/>
      </w:pPr>
      <w:rPr>
        <w:rFonts w:ascii="Symbol" w:hAnsi="Symbol" w:hint="default"/>
      </w:rPr>
    </w:lvl>
    <w:lvl w:ilvl="7" w:tplc="F9803316">
      <w:start w:val="1"/>
      <w:numFmt w:val="bullet"/>
      <w:lvlText w:val="o"/>
      <w:lvlJc w:val="left"/>
      <w:pPr>
        <w:ind w:left="5760" w:hanging="360"/>
      </w:pPr>
      <w:rPr>
        <w:rFonts w:ascii="Courier New" w:hAnsi="Courier New" w:cs="Courier New" w:hint="default"/>
      </w:rPr>
    </w:lvl>
    <w:lvl w:ilvl="8" w:tplc="2E8E57C0">
      <w:start w:val="1"/>
      <w:numFmt w:val="bullet"/>
      <w:lvlText w:val=""/>
      <w:lvlJc w:val="left"/>
      <w:pPr>
        <w:ind w:left="6480" w:hanging="360"/>
      </w:pPr>
      <w:rPr>
        <w:rFonts w:ascii="Wingdings" w:hAnsi="Wingdings" w:hint="default"/>
      </w:rPr>
    </w:lvl>
  </w:abstractNum>
  <w:abstractNum w:abstractNumId="12" w15:restartNumberingAfterBreak="0">
    <w:nsid w:val="3022374E"/>
    <w:multiLevelType w:val="hybridMultilevel"/>
    <w:tmpl w:val="C10A451C"/>
    <w:lvl w:ilvl="0" w:tplc="5B52E940">
      <w:start w:val="1"/>
      <w:numFmt w:val="bullet"/>
      <w:lvlText w:val="o"/>
      <w:lvlJc w:val="left"/>
      <w:pPr>
        <w:ind w:left="1545" w:hanging="360"/>
      </w:pPr>
      <w:rPr>
        <w:rFonts w:ascii="Courier New" w:hAnsi="Courier New" w:cs="Courier New" w:hint="default"/>
      </w:rPr>
    </w:lvl>
    <w:lvl w:ilvl="1" w:tplc="D6307C3C">
      <w:start w:val="1"/>
      <w:numFmt w:val="bullet"/>
      <w:lvlText w:val="o"/>
      <w:lvlJc w:val="left"/>
      <w:pPr>
        <w:ind w:left="2265" w:hanging="360"/>
      </w:pPr>
      <w:rPr>
        <w:rFonts w:ascii="Courier New" w:hAnsi="Courier New" w:cs="Courier New" w:hint="default"/>
      </w:rPr>
    </w:lvl>
    <w:lvl w:ilvl="2" w:tplc="86608C9C">
      <w:start w:val="1"/>
      <w:numFmt w:val="bullet"/>
      <w:lvlText w:val=""/>
      <w:lvlJc w:val="left"/>
      <w:pPr>
        <w:ind w:left="2985" w:hanging="360"/>
      </w:pPr>
      <w:rPr>
        <w:rFonts w:ascii="Wingdings" w:hAnsi="Wingdings" w:hint="default"/>
      </w:rPr>
    </w:lvl>
    <w:lvl w:ilvl="3" w:tplc="A03CAD90">
      <w:start w:val="1"/>
      <w:numFmt w:val="bullet"/>
      <w:lvlText w:val=""/>
      <w:lvlJc w:val="left"/>
      <w:pPr>
        <w:ind w:left="3705" w:hanging="360"/>
      </w:pPr>
      <w:rPr>
        <w:rFonts w:ascii="Symbol" w:hAnsi="Symbol" w:hint="default"/>
      </w:rPr>
    </w:lvl>
    <w:lvl w:ilvl="4" w:tplc="18B6757E">
      <w:start w:val="1"/>
      <w:numFmt w:val="bullet"/>
      <w:lvlText w:val="o"/>
      <w:lvlJc w:val="left"/>
      <w:pPr>
        <w:ind w:left="4425" w:hanging="360"/>
      </w:pPr>
      <w:rPr>
        <w:rFonts w:ascii="Courier New" w:hAnsi="Courier New" w:cs="Courier New" w:hint="default"/>
      </w:rPr>
    </w:lvl>
    <w:lvl w:ilvl="5" w:tplc="FCA86638">
      <w:start w:val="1"/>
      <w:numFmt w:val="bullet"/>
      <w:lvlText w:val=""/>
      <w:lvlJc w:val="left"/>
      <w:pPr>
        <w:ind w:left="5145" w:hanging="360"/>
      </w:pPr>
      <w:rPr>
        <w:rFonts w:ascii="Wingdings" w:hAnsi="Wingdings" w:hint="default"/>
      </w:rPr>
    </w:lvl>
    <w:lvl w:ilvl="6" w:tplc="D0780DC2">
      <w:start w:val="1"/>
      <w:numFmt w:val="bullet"/>
      <w:lvlText w:val=""/>
      <w:lvlJc w:val="left"/>
      <w:pPr>
        <w:ind w:left="5865" w:hanging="360"/>
      </w:pPr>
      <w:rPr>
        <w:rFonts w:ascii="Symbol" w:hAnsi="Symbol" w:hint="default"/>
      </w:rPr>
    </w:lvl>
    <w:lvl w:ilvl="7" w:tplc="0B62F61A">
      <w:start w:val="1"/>
      <w:numFmt w:val="bullet"/>
      <w:lvlText w:val="o"/>
      <w:lvlJc w:val="left"/>
      <w:pPr>
        <w:ind w:left="6585" w:hanging="360"/>
      </w:pPr>
      <w:rPr>
        <w:rFonts w:ascii="Courier New" w:hAnsi="Courier New" w:cs="Courier New" w:hint="default"/>
      </w:rPr>
    </w:lvl>
    <w:lvl w:ilvl="8" w:tplc="E0E676DA">
      <w:start w:val="1"/>
      <w:numFmt w:val="bullet"/>
      <w:lvlText w:val=""/>
      <w:lvlJc w:val="left"/>
      <w:pPr>
        <w:ind w:left="7305" w:hanging="360"/>
      </w:pPr>
      <w:rPr>
        <w:rFonts w:ascii="Wingdings" w:hAnsi="Wingdings" w:hint="default"/>
      </w:rPr>
    </w:lvl>
  </w:abstractNum>
  <w:abstractNum w:abstractNumId="13" w15:restartNumberingAfterBreak="0">
    <w:nsid w:val="30FB3A1A"/>
    <w:multiLevelType w:val="hybridMultilevel"/>
    <w:tmpl w:val="B228607C"/>
    <w:lvl w:ilvl="0" w:tplc="F3B8814C">
      <w:start w:val="1"/>
      <w:numFmt w:val="bullet"/>
      <w:lvlText w:val=""/>
      <w:lvlJc w:val="left"/>
      <w:pPr>
        <w:ind w:left="720" w:hanging="360"/>
      </w:pPr>
      <w:rPr>
        <w:rFonts w:ascii="Symbol" w:hAnsi="Symbol" w:hint="default"/>
      </w:rPr>
    </w:lvl>
    <w:lvl w:ilvl="1" w:tplc="E7C651AA" w:tentative="1">
      <w:start w:val="1"/>
      <w:numFmt w:val="bullet"/>
      <w:lvlText w:val="o"/>
      <w:lvlJc w:val="left"/>
      <w:pPr>
        <w:ind w:left="1440" w:hanging="360"/>
      </w:pPr>
      <w:rPr>
        <w:rFonts w:ascii="Courier New" w:hAnsi="Courier New" w:cs="Courier New" w:hint="default"/>
      </w:rPr>
    </w:lvl>
    <w:lvl w:ilvl="2" w:tplc="6B7C09D4" w:tentative="1">
      <w:start w:val="1"/>
      <w:numFmt w:val="bullet"/>
      <w:lvlText w:val=""/>
      <w:lvlJc w:val="left"/>
      <w:pPr>
        <w:ind w:left="2160" w:hanging="360"/>
      </w:pPr>
      <w:rPr>
        <w:rFonts w:ascii="Wingdings" w:hAnsi="Wingdings" w:hint="default"/>
      </w:rPr>
    </w:lvl>
    <w:lvl w:ilvl="3" w:tplc="69D2FC6E" w:tentative="1">
      <w:start w:val="1"/>
      <w:numFmt w:val="bullet"/>
      <w:lvlText w:val=""/>
      <w:lvlJc w:val="left"/>
      <w:pPr>
        <w:ind w:left="2880" w:hanging="360"/>
      </w:pPr>
      <w:rPr>
        <w:rFonts w:ascii="Symbol" w:hAnsi="Symbol" w:hint="default"/>
      </w:rPr>
    </w:lvl>
    <w:lvl w:ilvl="4" w:tplc="B7025344" w:tentative="1">
      <w:start w:val="1"/>
      <w:numFmt w:val="bullet"/>
      <w:lvlText w:val="o"/>
      <w:lvlJc w:val="left"/>
      <w:pPr>
        <w:ind w:left="3600" w:hanging="360"/>
      </w:pPr>
      <w:rPr>
        <w:rFonts w:ascii="Courier New" w:hAnsi="Courier New" w:cs="Courier New" w:hint="default"/>
      </w:rPr>
    </w:lvl>
    <w:lvl w:ilvl="5" w:tplc="B894BBA8" w:tentative="1">
      <w:start w:val="1"/>
      <w:numFmt w:val="bullet"/>
      <w:lvlText w:val=""/>
      <w:lvlJc w:val="left"/>
      <w:pPr>
        <w:ind w:left="4320" w:hanging="360"/>
      </w:pPr>
      <w:rPr>
        <w:rFonts w:ascii="Wingdings" w:hAnsi="Wingdings" w:hint="default"/>
      </w:rPr>
    </w:lvl>
    <w:lvl w:ilvl="6" w:tplc="A1D27568" w:tentative="1">
      <w:start w:val="1"/>
      <w:numFmt w:val="bullet"/>
      <w:lvlText w:val=""/>
      <w:lvlJc w:val="left"/>
      <w:pPr>
        <w:ind w:left="5040" w:hanging="360"/>
      </w:pPr>
      <w:rPr>
        <w:rFonts w:ascii="Symbol" w:hAnsi="Symbol" w:hint="default"/>
      </w:rPr>
    </w:lvl>
    <w:lvl w:ilvl="7" w:tplc="80526974" w:tentative="1">
      <w:start w:val="1"/>
      <w:numFmt w:val="bullet"/>
      <w:lvlText w:val="o"/>
      <w:lvlJc w:val="left"/>
      <w:pPr>
        <w:ind w:left="5760" w:hanging="360"/>
      </w:pPr>
      <w:rPr>
        <w:rFonts w:ascii="Courier New" w:hAnsi="Courier New" w:cs="Courier New" w:hint="default"/>
      </w:rPr>
    </w:lvl>
    <w:lvl w:ilvl="8" w:tplc="030E7134" w:tentative="1">
      <w:start w:val="1"/>
      <w:numFmt w:val="bullet"/>
      <w:lvlText w:val=""/>
      <w:lvlJc w:val="left"/>
      <w:pPr>
        <w:ind w:left="6480" w:hanging="360"/>
      </w:pPr>
      <w:rPr>
        <w:rFonts w:ascii="Wingdings" w:hAnsi="Wingdings" w:hint="default"/>
      </w:rPr>
    </w:lvl>
  </w:abstractNum>
  <w:abstractNum w:abstractNumId="14" w15:restartNumberingAfterBreak="0">
    <w:nsid w:val="314571EB"/>
    <w:multiLevelType w:val="hybridMultilevel"/>
    <w:tmpl w:val="EDD466B8"/>
    <w:lvl w:ilvl="0" w:tplc="3EA497F6">
      <w:start w:val="1"/>
      <w:numFmt w:val="bullet"/>
      <w:lvlText w:val=""/>
      <w:lvlJc w:val="left"/>
      <w:pPr>
        <w:ind w:left="720" w:hanging="360"/>
      </w:pPr>
      <w:rPr>
        <w:rFonts w:ascii="Symbol" w:hAnsi="Symbol" w:hint="default"/>
      </w:rPr>
    </w:lvl>
    <w:lvl w:ilvl="1" w:tplc="474A3162">
      <w:start w:val="1"/>
      <w:numFmt w:val="bullet"/>
      <w:lvlText w:val="o"/>
      <w:lvlJc w:val="left"/>
      <w:pPr>
        <w:ind w:left="1440" w:hanging="360"/>
      </w:pPr>
      <w:rPr>
        <w:rFonts w:ascii="Courier New" w:hAnsi="Courier New" w:cs="Courier New" w:hint="default"/>
      </w:rPr>
    </w:lvl>
    <w:lvl w:ilvl="2" w:tplc="FBA20322">
      <w:start w:val="1"/>
      <w:numFmt w:val="bullet"/>
      <w:lvlText w:val=""/>
      <w:lvlJc w:val="left"/>
      <w:pPr>
        <w:ind w:left="2160" w:hanging="360"/>
      </w:pPr>
      <w:rPr>
        <w:rFonts w:ascii="Wingdings" w:hAnsi="Wingdings" w:hint="default"/>
      </w:rPr>
    </w:lvl>
    <w:lvl w:ilvl="3" w:tplc="B10A81CC">
      <w:start w:val="1"/>
      <w:numFmt w:val="bullet"/>
      <w:lvlText w:val=""/>
      <w:lvlJc w:val="left"/>
      <w:pPr>
        <w:ind w:left="2880" w:hanging="360"/>
      </w:pPr>
      <w:rPr>
        <w:rFonts w:ascii="Symbol" w:hAnsi="Symbol" w:hint="default"/>
      </w:rPr>
    </w:lvl>
    <w:lvl w:ilvl="4" w:tplc="DEBA2724">
      <w:start w:val="1"/>
      <w:numFmt w:val="bullet"/>
      <w:lvlText w:val="o"/>
      <w:lvlJc w:val="left"/>
      <w:pPr>
        <w:ind w:left="3600" w:hanging="360"/>
      </w:pPr>
      <w:rPr>
        <w:rFonts w:ascii="Courier New" w:hAnsi="Courier New" w:cs="Courier New" w:hint="default"/>
      </w:rPr>
    </w:lvl>
    <w:lvl w:ilvl="5" w:tplc="162C0752">
      <w:start w:val="1"/>
      <w:numFmt w:val="bullet"/>
      <w:lvlText w:val=""/>
      <w:lvlJc w:val="left"/>
      <w:pPr>
        <w:ind w:left="4320" w:hanging="360"/>
      </w:pPr>
      <w:rPr>
        <w:rFonts w:ascii="Wingdings" w:hAnsi="Wingdings" w:hint="default"/>
      </w:rPr>
    </w:lvl>
    <w:lvl w:ilvl="6" w:tplc="0FD264EE">
      <w:start w:val="1"/>
      <w:numFmt w:val="bullet"/>
      <w:lvlText w:val=""/>
      <w:lvlJc w:val="left"/>
      <w:pPr>
        <w:ind w:left="5040" w:hanging="360"/>
      </w:pPr>
      <w:rPr>
        <w:rFonts w:ascii="Symbol" w:hAnsi="Symbol" w:hint="default"/>
      </w:rPr>
    </w:lvl>
    <w:lvl w:ilvl="7" w:tplc="808AC7E6">
      <w:start w:val="1"/>
      <w:numFmt w:val="bullet"/>
      <w:lvlText w:val="o"/>
      <w:lvlJc w:val="left"/>
      <w:pPr>
        <w:ind w:left="5760" w:hanging="360"/>
      </w:pPr>
      <w:rPr>
        <w:rFonts w:ascii="Courier New" w:hAnsi="Courier New" w:cs="Courier New" w:hint="default"/>
      </w:rPr>
    </w:lvl>
    <w:lvl w:ilvl="8" w:tplc="37484C54">
      <w:start w:val="1"/>
      <w:numFmt w:val="bullet"/>
      <w:lvlText w:val=""/>
      <w:lvlJc w:val="left"/>
      <w:pPr>
        <w:ind w:left="6480" w:hanging="360"/>
      </w:pPr>
      <w:rPr>
        <w:rFonts w:ascii="Wingdings" w:hAnsi="Wingdings" w:hint="default"/>
      </w:rPr>
    </w:lvl>
  </w:abstractNum>
  <w:abstractNum w:abstractNumId="15" w15:restartNumberingAfterBreak="0">
    <w:nsid w:val="37643280"/>
    <w:multiLevelType w:val="hybridMultilevel"/>
    <w:tmpl w:val="4E7A2296"/>
    <w:lvl w:ilvl="0" w:tplc="EDBAAD86">
      <w:numFmt w:val="bullet"/>
      <w:lvlText w:val="-"/>
      <w:lvlJc w:val="left"/>
      <w:pPr>
        <w:ind w:left="720" w:hanging="360"/>
      </w:pPr>
      <w:rPr>
        <w:rFonts w:ascii="Calibri" w:eastAsiaTheme="minorEastAsia" w:hAnsi="Calibri" w:cs="Calibri" w:hint="default"/>
      </w:rPr>
    </w:lvl>
    <w:lvl w:ilvl="1" w:tplc="7C4026F8">
      <w:start w:val="1"/>
      <w:numFmt w:val="bullet"/>
      <w:lvlText w:val="o"/>
      <w:lvlJc w:val="left"/>
      <w:pPr>
        <w:ind w:left="1440" w:hanging="360"/>
      </w:pPr>
      <w:rPr>
        <w:rFonts w:ascii="Courier New" w:hAnsi="Courier New" w:cs="Courier New" w:hint="default"/>
      </w:rPr>
    </w:lvl>
    <w:lvl w:ilvl="2" w:tplc="3D38F442">
      <w:start w:val="1"/>
      <w:numFmt w:val="bullet"/>
      <w:lvlText w:val=""/>
      <w:lvlJc w:val="left"/>
      <w:pPr>
        <w:ind w:left="2160" w:hanging="360"/>
      </w:pPr>
      <w:rPr>
        <w:rFonts w:ascii="Wingdings" w:hAnsi="Wingdings" w:hint="default"/>
      </w:rPr>
    </w:lvl>
    <w:lvl w:ilvl="3" w:tplc="3EA22F3C">
      <w:start w:val="1"/>
      <w:numFmt w:val="bullet"/>
      <w:lvlText w:val=""/>
      <w:lvlJc w:val="left"/>
      <w:pPr>
        <w:ind w:left="2880" w:hanging="360"/>
      </w:pPr>
      <w:rPr>
        <w:rFonts w:ascii="Symbol" w:hAnsi="Symbol" w:hint="default"/>
      </w:rPr>
    </w:lvl>
    <w:lvl w:ilvl="4" w:tplc="62D4BEC6">
      <w:start w:val="1"/>
      <w:numFmt w:val="bullet"/>
      <w:lvlText w:val="o"/>
      <w:lvlJc w:val="left"/>
      <w:pPr>
        <w:ind w:left="3600" w:hanging="360"/>
      </w:pPr>
      <w:rPr>
        <w:rFonts w:ascii="Courier New" w:hAnsi="Courier New" w:cs="Courier New" w:hint="default"/>
      </w:rPr>
    </w:lvl>
    <w:lvl w:ilvl="5" w:tplc="50F06354">
      <w:start w:val="1"/>
      <w:numFmt w:val="bullet"/>
      <w:lvlText w:val=""/>
      <w:lvlJc w:val="left"/>
      <w:pPr>
        <w:ind w:left="4320" w:hanging="360"/>
      </w:pPr>
      <w:rPr>
        <w:rFonts w:ascii="Wingdings" w:hAnsi="Wingdings" w:hint="default"/>
      </w:rPr>
    </w:lvl>
    <w:lvl w:ilvl="6" w:tplc="0DCED384">
      <w:start w:val="1"/>
      <w:numFmt w:val="bullet"/>
      <w:lvlText w:val=""/>
      <w:lvlJc w:val="left"/>
      <w:pPr>
        <w:ind w:left="5040" w:hanging="360"/>
      </w:pPr>
      <w:rPr>
        <w:rFonts w:ascii="Symbol" w:hAnsi="Symbol" w:hint="default"/>
      </w:rPr>
    </w:lvl>
    <w:lvl w:ilvl="7" w:tplc="F66E69F0">
      <w:start w:val="1"/>
      <w:numFmt w:val="bullet"/>
      <w:lvlText w:val="o"/>
      <w:lvlJc w:val="left"/>
      <w:pPr>
        <w:ind w:left="5760" w:hanging="360"/>
      </w:pPr>
      <w:rPr>
        <w:rFonts w:ascii="Courier New" w:hAnsi="Courier New" w:cs="Courier New" w:hint="default"/>
      </w:rPr>
    </w:lvl>
    <w:lvl w:ilvl="8" w:tplc="9EE8D67A">
      <w:start w:val="1"/>
      <w:numFmt w:val="bullet"/>
      <w:lvlText w:val=""/>
      <w:lvlJc w:val="left"/>
      <w:pPr>
        <w:ind w:left="6480" w:hanging="360"/>
      </w:pPr>
      <w:rPr>
        <w:rFonts w:ascii="Wingdings" w:hAnsi="Wingdings" w:hint="default"/>
      </w:rPr>
    </w:lvl>
  </w:abstractNum>
  <w:abstractNum w:abstractNumId="16" w15:restartNumberingAfterBreak="0">
    <w:nsid w:val="3A713948"/>
    <w:multiLevelType w:val="hybridMultilevel"/>
    <w:tmpl w:val="A15E275E"/>
    <w:lvl w:ilvl="0" w:tplc="65D2A68C">
      <w:start w:val="1"/>
      <w:numFmt w:val="bullet"/>
      <w:lvlText w:val=""/>
      <w:lvlJc w:val="left"/>
      <w:pPr>
        <w:ind w:left="720" w:hanging="360"/>
      </w:pPr>
      <w:rPr>
        <w:rFonts w:ascii="Symbol" w:hAnsi="Symbol" w:hint="default"/>
      </w:rPr>
    </w:lvl>
    <w:lvl w:ilvl="1" w:tplc="B35C621A" w:tentative="1">
      <w:start w:val="1"/>
      <w:numFmt w:val="bullet"/>
      <w:lvlText w:val="o"/>
      <w:lvlJc w:val="left"/>
      <w:pPr>
        <w:ind w:left="1440" w:hanging="360"/>
      </w:pPr>
      <w:rPr>
        <w:rFonts w:ascii="Courier New" w:hAnsi="Courier New" w:cs="Courier New" w:hint="default"/>
      </w:rPr>
    </w:lvl>
    <w:lvl w:ilvl="2" w:tplc="DFE61D70" w:tentative="1">
      <w:start w:val="1"/>
      <w:numFmt w:val="bullet"/>
      <w:lvlText w:val=""/>
      <w:lvlJc w:val="left"/>
      <w:pPr>
        <w:ind w:left="2160" w:hanging="360"/>
      </w:pPr>
      <w:rPr>
        <w:rFonts w:ascii="Wingdings" w:hAnsi="Wingdings" w:hint="default"/>
      </w:rPr>
    </w:lvl>
    <w:lvl w:ilvl="3" w:tplc="B19A0D1C" w:tentative="1">
      <w:start w:val="1"/>
      <w:numFmt w:val="bullet"/>
      <w:lvlText w:val=""/>
      <w:lvlJc w:val="left"/>
      <w:pPr>
        <w:ind w:left="2880" w:hanging="360"/>
      </w:pPr>
      <w:rPr>
        <w:rFonts w:ascii="Symbol" w:hAnsi="Symbol" w:hint="default"/>
      </w:rPr>
    </w:lvl>
    <w:lvl w:ilvl="4" w:tplc="689EEFE6" w:tentative="1">
      <w:start w:val="1"/>
      <w:numFmt w:val="bullet"/>
      <w:lvlText w:val="o"/>
      <w:lvlJc w:val="left"/>
      <w:pPr>
        <w:ind w:left="3600" w:hanging="360"/>
      </w:pPr>
      <w:rPr>
        <w:rFonts w:ascii="Courier New" w:hAnsi="Courier New" w:cs="Courier New" w:hint="default"/>
      </w:rPr>
    </w:lvl>
    <w:lvl w:ilvl="5" w:tplc="F666636A" w:tentative="1">
      <w:start w:val="1"/>
      <w:numFmt w:val="bullet"/>
      <w:lvlText w:val=""/>
      <w:lvlJc w:val="left"/>
      <w:pPr>
        <w:ind w:left="4320" w:hanging="360"/>
      </w:pPr>
      <w:rPr>
        <w:rFonts w:ascii="Wingdings" w:hAnsi="Wingdings" w:hint="default"/>
      </w:rPr>
    </w:lvl>
    <w:lvl w:ilvl="6" w:tplc="6556139E" w:tentative="1">
      <w:start w:val="1"/>
      <w:numFmt w:val="bullet"/>
      <w:lvlText w:val=""/>
      <w:lvlJc w:val="left"/>
      <w:pPr>
        <w:ind w:left="5040" w:hanging="360"/>
      </w:pPr>
      <w:rPr>
        <w:rFonts w:ascii="Symbol" w:hAnsi="Symbol" w:hint="default"/>
      </w:rPr>
    </w:lvl>
    <w:lvl w:ilvl="7" w:tplc="F9E67416" w:tentative="1">
      <w:start w:val="1"/>
      <w:numFmt w:val="bullet"/>
      <w:lvlText w:val="o"/>
      <w:lvlJc w:val="left"/>
      <w:pPr>
        <w:ind w:left="5760" w:hanging="360"/>
      </w:pPr>
      <w:rPr>
        <w:rFonts w:ascii="Courier New" w:hAnsi="Courier New" w:cs="Courier New" w:hint="default"/>
      </w:rPr>
    </w:lvl>
    <w:lvl w:ilvl="8" w:tplc="EC7855AE" w:tentative="1">
      <w:start w:val="1"/>
      <w:numFmt w:val="bullet"/>
      <w:lvlText w:val=""/>
      <w:lvlJc w:val="left"/>
      <w:pPr>
        <w:ind w:left="6480" w:hanging="360"/>
      </w:pPr>
      <w:rPr>
        <w:rFonts w:ascii="Wingdings" w:hAnsi="Wingdings" w:hint="default"/>
      </w:rPr>
    </w:lvl>
  </w:abstractNum>
  <w:abstractNum w:abstractNumId="17" w15:restartNumberingAfterBreak="0">
    <w:nsid w:val="3A7F5B97"/>
    <w:multiLevelType w:val="hybridMultilevel"/>
    <w:tmpl w:val="026C651E"/>
    <w:lvl w:ilvl="0" w:tplc="C5A24FE6">
      <w:start w:val="1"/>
      <w:numFmt w:val="decimal"/>
      <w:lvlText w:val="%1."/>
      <w:lvlJc w:val="left"/>
      <w:pPr>
        <w:ind w:left="720" w:hanging="360"/>
      </w:pPr>
    </w:lvl>
    <w:lvl w:ilvl="1" w:tplc="7D2C817C">
      <w:start w:val="1"/>
      <w:numFmt w:val="lowerLetter"/>
      <w:lvlText w:val="%2."/>
      <w:lvlJc w:val="left"/>
      <w:pPr>
        <w:ind w:left="1440" w:hanging="360"/>
      </w:pPr>
    </w:lvl>
    <w:lvl w:ilvl="2" w:tplc="0C5C8806">
      <w:start w:val="1"/>
      <w:numFmt w:val="lowerRoman"/>
      <w:lvlText w:val="%3."/>
      <w:lvlJc w:val="right"/>
      <w:pPr>
        <w:ind w:left="2160" w:hanging="180"/>
      </w:pPr>
    </w:lvl>
    <w:lvl w:ilvl="3" w:tplc="E5B04F62">
      <w:start w:val="1"/>
      <w:numFmt w:val="decimal"/>
      <w:lvlText w:val="%4."/>
      <w:lvlJc w:val="left"/>
      <w:pPr>
        <w:ind w:left="2880" w:hanging="360"/>
      </w:pPr>
    </w:lvl>
    <w:lvl w:ilvl="4" w:tplc="C5AA865E">
      <w:start w:val="1"/>
      <w:numFmt w:val="lowerLetter"/>
      <w:lvlText w:val="%5."/>
      <w:lvlJc w:val="left"/>
      <w:pPr>
        <w:ind w:left="3600" w:hanging="360"/>
      </w:pPr>
    </w:lvl>
    <w:lvl w:ilvl="5" w:tplc="6930DE00">
      <w:start w:val="1"/>
      <w:numFmt w:val="lowerRoman"/>
      <w:lvlText w:val="%6."/>
      <w:lvlJc w:val="right"/>
      <w:pPr>
        <w:ind w:left="4320" w:hanging="180"/>
      </w:pPr>
    </w:lvl>
    <w:lvl w:ilvl="6" w:tplc="20E69960">
      <w:start w:val="1"/>
      <w:numFmt w:val="decimal"/>
      <w:lvlText w:val="%7."/>
      <w:lvlJc w:val="left"/>
      <w:pPr>
        <w:ind w:left="5040" w:hanging="360"/>
      </w:pPr>
    </w:lvl>
    <w:lvl w:ilvl="7" w:tplc="6AF60070">
      <w:start w:val="1"/>
      <w:numFmt w:val="lowerLetter"/>
      <w:lvlText w:val="%8."/>
      <w:lvlJc w:val="left"/>
      <w:pPr>
        <w:ind w:left="5760" w:hanging="360"/>
      </w:pPr>
    </w:lvl>
    <w:lvl w:ilvl="8" w:tplc="0F101BDE">
      <w:start w:val="1"/>
      <w:numFmt w:val="lowerRoman"/>
      <w:lvlText w:val="%9."/>
      <w:lvlJc w:val="right"/>
      <w:pPr>
        <w:ind w:left="6480" w:hanging="180"/>
      </w:pPr>
    </w:lvl>
  </w:abstractNum>
  <w:abstractNum w:abstractNumId="18" w15:restartNumberingAfterBreak="0">
    <w:nsid w:val="3CF5558B"/>
    <w:multiLevelType w:val="hybridMultilevel"/>
    <w:tmpl w:val="32D811FA"/>
    <w:lvl w:ilvl="0" w:tplc="571420AE">
      <w:start w:val="1"/>
      <w:numFmt w:val="lowerRoman"/>
      <w:lvlText w:val="%1)"/>
      <w:lvlJc w:val="left"/>
      <w:pPr>
        <w:ind w:left="1080" w:hanging="720"/>
      </w:pPr>
      <w:rPr>
        <w:rFonts w:hint="default"/>
      </w:rPr>
    </w:lvl>
    <w:lvl w:ilvl="1" w:tplc="08029FCA" w:tentative="1">
      <w:start w:val="1"/>
      <w:numFmt w:val="lowerLetter"/>
      <w:lvlText w:val="%2."/>
      <w:lvlJc w:val="left"/>
      <w:pPr>
        <w:ind w:left="1440" w:hanging="360"/>
      </w:pPr>
    </w:lvl>
    <w:lvl w:ilvl="2" w:tplc="BA0E3290" w:tentative="1">
      <w:start w:val="1"/>
      <w:numFmt w:val="lowerRoman"/>
      <w:lvlText w:val="%3."/>
      <w:lvlJc w:val="right"/>
      <w:pPr>
        <w:ind w:left="2160" w:hanging="180"/>
      </w:pPr>
    </w:lvl>
    <w:lvl w:ilvl="3" w:tplc="47FAD906" w:tentative="1">
      <w:start w:val="1"/>
      <w:numFmt w:val="decimal"/>
      <w:lvlText w:val="%4."/>
      <w:lvlJc w:val="left"/>
      <w:pPr>
        <w:ind w:left="2880" w:hanging="360"/>
      </w:pPr>
    </w:lvl>
    <w:lvl w:ilvl="4" w:tplc="5596EE76" w:tentative="1">
      <w:start w:val="1"/>
      <w:numFmt w:val="lowerLetter"/>
      <w:lvlText w:val="%5."/>
      <w:lvlJc w:val="left"/>
      <w:pPr>
        <w:ind w:left="3600" w:hanging="360"/>
      </w:pPr>
    </w:lvl>
    <w:lvl w:ilvl="5" w:tplc="C22232C2" w:tentative="1">
      <w:start w:val="1"/>
      <w:numFmt w:val="lowerRoman"/>
      <w:lvlText w:val="%6."/>
      <w:lvlJc w:val="right"/>
      <w:pPr>
        <w:ind w:left="4320" w:hanging="180"/>
      </w:pPr>
    </w:lvl>
    <w:lvl w:ilvl="6" w:tplc="C556279C" w:tentative="1">
      <w:start w:val="1"/>
      <w:numFmt w:val="decimal"/>
      <w:lvlText w:val="%7."/>
      <w:lvlJc w:val="left"/>
      <w:pPr>
        <w:ind w:left="5040" w:hanging="360"/>
      </w:pPr>
    </w:lvl>
    <w:lvl w:ilvl="7" w:tplc="E4681106" w:tentative="1">
      <w:start w:val="1"/>
      <w:numFmt w:val="lowerLetter"/>
      <w:lvlText w:val="%8."/>
      <w:lvlJc w:val="left"/>
      <w:pPr>
        <w:ind w:left="5760" w:hanging="360"/>
      </w:pPr>
    </w:lvl>
    <w:lvl w:ilvl="8" w:tplc="77BA86B0" w:tentative="1">
      <w:start w:val="1"/>
      <w:numFmt w:val="lowerRoman"/>
      <w:lvlText w:val="%9."/>
      <w:lvlJc w:val="right"/>
      <w:pPr>
        <w:ind w:left="6480" w:hanging="180"/>
      </w:pPr>
    </w:lvl>
  </w:abstractNum>
  <w:abstractNum w:abstractNumId="19" w15:restartNumberingAfterBreak="0">
    <w:nsid w:val="3D87328F"/>
    <w:multiLevelType w:val="hybridMultilevel"/>
    <w:tmpl w:val="8530FF56"/>
    <w:lvl w:ilvl="0" w:tplc="EE8AE1F6">
      <w:start w:val="1"/>
      <w:numFmt w:val="decimal"/>
      <w:lvlText w:val="%1."/>
      <w:lvlJc w:val="left"/>
      <w:pPr>
        <w:ind w:left="720" w:hanging="360"/>
      </w:pPr>
    </w:lvl>
    <w:lvl w:ilvl="1" w:tplc="5CA23EBA" w:tentative="1">
      <w:start w:val="1"/>
      <w:numFmt w:val="lowerLetter"/>
      <w:lvlText w:val="%2."/>
      <w:lvlJc w:val="left"/>
      <w:pPr>
        <w:ind w:left="1440" w:hanging="360"/>
      </w:pPr>
    </w:lvl>
    <w:lvl w:ilvl="2" w:tplc="F02E983A" w:tentative="1">
      <w:start w:val="1"/>
      <w:numFmt w:val="lowerRoman"/>
      <w:lvlText w:val="%3."/>
      <w:lvlJc w:val="right"/>
      <w:pPr>
        <w:ind w:left="2160" w:hanging="180"/>
      </w:pPr>
    </w:lvl>
    <w:lvl w:ilvl="3" w:tplc="8AF4395C" w:tentative="1">
      <w:start w:val="1"/>
      <w:numFmt w:val="decimal"/>
      <w:lvlText w:val="%4."/>
      <w:lvlJc w:val="left"/>
      <w:pPr>
        <w:ind w:left="2880" w:hanging="360"/>
      </w:pPr>
    </w:lvl>
    <w:lvl w:ilvl="4" w:tplc="11F43436" w:tentative="1">
      <w:start w:val="1"/>
      <w:numFmt w:val="lowerLetter"/>
      <w:lvlText w:val="%5."/>
      <w:lvlJc w:val="left"/>
      <w:pPr>
        <w:ind w:left="3600" w:hanging="360"/>
      </w:pPr>
    </w:lvl>
    <w:lvl w:ilvl="5" w:tplc="7D406652" w:tentative="1">
      <w:start w:val="1"/>
      <w:numFmt w:val="lowerRoman"/>
      <w:lvlText w:val="%6."/>
      <w:lvlJc w:val="right"/>
      <w:pPr>
        <w:ind w:left="4320" w:hanging="180"/>
      </w:pPr>
    </w:lvl>
    <w:lvl w:ilvl="6" w:tplc="F64C4690" w:tentative="1">
      <w:start w:val="1"/>
      <w:numFmt w:val="decimal"/>
      <w:lvlText w:val="%7."/>
      <w:lvlJc w:val="left"/>
      <w:pPr>
        <w:ind w:left="5040" w:hanging="360"/>
      </w:pPr>
    </w:lvl>
    <w:lvl w:ilvl="7" w:tplc="8FAEA064" w:tentative="1">
      <w:start w:val="1"/>
      <w:numFmt w:val="lowerLetter"/>
      <w:lvlText w:val="%8."/>
      <w:lvlJc w:val="left"/>
      <w:pPr>
        <w:ind w:left="5760" w:hanging="360"/>
      </w:pPr>
    </w:lvl>
    <w:lvl w:ilvl="8" w:tplc="9EAA8AAE" w:tentative="1">
      <w:start w:val="1"/>
      <w:numFmt w:val="lowerRoman"/>
      <w:lvlText w:val="%9."/>
      <w:lvlJc w:val="right"/>
      <w:pPr>
        <w:ind w:left="6480" w:hanging="180"/>
      </w:pPr>
    </w:lvl>
  </w:abstractNum>
  <w:abstractNum w:abstractNumId="20" w15:restartNumberingAfterBreak="0">
    <w:nsid w:val="4E916290"/>
    <w:multiLevelType w:val="hybridMultilevel"/>
    <w:tmpl w:val="0CC67EDC"/>
    <w:lvl w:ilvl="0" w:tplc="1A98B440">
      <w:start w:val="1"/>
      <w:numFmt w:val="bullet"/>
      <w:lvlText w:val=""/>
      <w:lvlJc w:val="left"/>
      <w:pPr>
        <w:ind w:left="1146" w:hanging="360"/>
      </w:pPr>
      <w:rPr>
        <w:rFonts w:ascii="Symbol" w:hAnsi="Symbol" w:hint="default"/>
      </w:rPr>
    </w:lvl>
    <w:lvl w:ilvl="1" w:tplc="6FA80CCA" w:tentative="1">
      <w:start w:val="1"/>
      <w:numFmt w:val="bullet"/>
      <w:lvlText w:val="o"/>
      <w:lvlJc w:val="left"/>
      <w:pPr>
        <w:ind w:left="1866" w:hanging="360"/>
      </w:pPr>
      <w:rPr>
        <w:rFonts w:ascii="Courier New" w:hAnsi="Courier New" w:cs="Courier New" w:hint="default"/>
      </w:rPr>
    </w:lvl>
    <w:lvl w:ilvl="2" w:tplc="F2648740" w:tentative="1">
      <w:start w:val="1"/>
      <w:numFmt w:val="bullet"/>
      <w:lvlText w:val=""/>
      <w:lvlJc w:val="left"/>
      <w:pPr>
        <w:ind w:left="2586" w:hanging="360"/>
      </w:pPr>
      <w:rPr>
        <w:rFonts w:ascii="Wingdings" w:hAnsi="Wingdings" w:hint="default"/>
      </w:rPr>
    </w:lvl>
    <w:lvl w:ilvl="3" w:tplc="2F30C748" w:tentative="1">
      <w:start w:val="1"/>
      <w:numFmt w:val="bullet"/>
      <w:lvlText w:val=""/>
      <w:lvlJc w:val="left"/>
      <w:pPr>
        <w:ind w:left="3306" w:hanging="360"/>
      </w:pPr>
      <w:rPr>
        <w:rFonts w:ascii="Symbol" w:hAnsi="Symbol" w:hint="default"/>
      </w:rPr>
    </w:lvl>
    <w:lvl w:ilvl="4" w:tplc="BA608DA4" w:tentative="1">
      <w:start w:val="1"/>
      <w:numFmt w:val="bullet"/>
      <w:lvlText w:val="o"/>
      <w:lvlJc w:val="left"/>
      <w:pPr>
        <w:ind w:left="4026" w:hanging="360"/>
      </w:pPr>
      <w:rPr>
        <w:rFonts w:ascii="Courier New" w:hAnsi="Courier New" w:cs="Courier New" w:hint="default"/>
      </w:rPr>
    </w:lvl>
    <w:lvl w:ilvl="5" w:tplc="67524180" w:tentative="1">
      <w:start w:val="1"/>
      <w:numFmt w:val="bullet"/>
      <w:lvlText w:val=""/>
      <w:lvlJc w:val="left"/>
      <w:pPr>
        <w:ind w:left="4746" w:hanging="360"/>
      </w:pPr>
      <w:rPr>
        <w:rFonts w:ascii="Wingdings" w:hAnsi="Wingdings" w:hint="default"/>
      </w:rPr>
    </w:lvl>
    <w:lvl w:ilvl="6" w:tplc="46187B30" w:tentative="1">
      <w:start w:val="1"/>
      <w:numFmt w:val="bullet"/>
      <w:lvlText w:val=""/>
      <w:lvlJc w:val="left"/>
      <w:pPr>
        <w:ind w:left="5466" w:hanging="360"/>
      </w:pPr>
      <w:rPr>
        <w:rFonts w:ascii="Symbol" w:hAnsi="Symbol" w:hint="default"/>
      </w:rPr>
    </w:lvl>
    <w:lvl w:ilvl="7" w:tplc="49163F1A" w:tentative="1">
      <w:start w:val="1"/>
      <w:numFmt w:val="bullet"/>
      <w:lvlText w:val="o"/>
      <w:lvlJc w:val="left"/>
      <w:pPr>
        <w:ind w:left="6186" w:hanging="360"/>
      </w:pPr>
      <w:rPr>
        <w:rFonts w:ascii="Courier New" w:hAnsi="Courier New" w:cs="Courier New" w:hint="default"/>
      </w:rPr>
    </w:lvl>
    <w:lvl w:ilvl="8" w:tplc="57C8F57C" w:tentative="1">
      <w:start w:val="1"/>
      <w:numFmt w:val="bullet"/>
      <w:lvlText w:val=""/>
      <w:lvlJc w:val="left"/>
      <w:pPr>
        <w:ind w:left="6906" w:hanging="360"/>
      </w:pPr>
      <w:rPr>
        <w:rFonts w:ascii="Wingdings" w:hAnsi="Wingdings" w:hint="default"/>
      </w:rPr>
    </w:lvl>
  </w:abstractNum>
  <w:abstractNum w:abstractNumId="21" w15:restartNumberingAfterBreak="0">
    <w:nsid w:val="51137D54"/>
    <w:multiLevelType w:val="multilevel"/>
    <w:tmpl w:val="BCE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36D19"/>
    <w:multiLevelType w:val="hybridMultilevel"/>
    <w:tmpl w:val="69DC7404"/>
    <w:lvl w:ilvl="0" w:tplc="D9D41B96">
      <w:start w:val="1"/>
      <w:numFmt w:val="bullet"/>
      <w:lvlText w:val=""/>
      <w:lvlJc w:val="left"/>
      <w:pPr>
        <w:ind w:left="720" w:hanging="360"/>
      </w:pPr>
      <w:rPr>
        <w:rFonts w:ascii="Symbol" w:hAnsi="Symbol" w:hint="default"/>
      </w:rPr>
    </w:lvl>
    <w:lvl w:ilvl="1" w:tplc="B9DE0AD8">
      <w:start w:val="1"/>
      <w:numFmt w:val="bullet"/>
      <w:lvlText w:val="o"/>
      <w:lvlJc w:val="left"/>
      <w:pPr>
        <w:ind w:left="1440" w:hanging="360"/>
      </w:pPr>
      <w:rPr>
        <w:rFonts w:ascii="Courier New" w:hAnsi="Courier New" w:cs="Courier New" w:hint="default"/>
      </w:rPr>
    </w:lvl>
    <w:lvl w:ilvl="2" w:tplc="78E4506C">
      <w:start w:val="1"/>
      <w:numFmt w:val="bullet"/>
      <w:lvlText w:val=""/>
      <w:lvlJc w:val="left"/>
      <w:pPr>
        <w:ind w:left="2160" w:hanging="360"/>
      </w:pPr>
      <w:rPr>
        <w:rFonts w:ascii="Wingdings" w:hAnsi="Wingdings" w:hint="default"/>
      </w:rPr>
    </w:lvl>
    <w:lvl w:ilvl="3" w:tplc="BBF08DAC">
      <w:start w:val="1"/>
      <w:numFmt w:val="bullet"/>
      <w:lvlText w:val=""/>
      <w:lvlJc w:val="left"/>
      <w:pPr>
        <w:ind w:left="2880" w:hanging="360"/>
      </w:pPr>
      <w:rPr>
        <w:rFonts w:ascii="Symbol" w:hAnsi="Symbol" w:hint="default"/>
      </w:rPr>
    </w:lvl>
    <w:lvl w:ilvl="4" w:tplc="94E8F5E2">
      <w:start w:val="1"/>
      <w:numFmt w:val="bullet"/>
      <w:lvlText w:val="o"/>
      <w:lvlJc w:val="left"/>
      <w:pPr>
        <w:ind w:left="3600" w:hanging="360"/>
      </w:pPr>
      <w:rPr>
        <w:rFonts w:ascii="Courier New" w:hAnsi="Courier New" w:cs="Courier New" w:hint="default"/>
      </w:rPr>
    </w:lvl>
    <w:lvl w:ilvl="5" w:tplc="74BE3C10">
      <w:start w:val="1"/>
      <w:numFmt w:val="bullet"/>
      <w:lvlText w:val=""/>
      <w:lvlJc w:val="left"/>
      <w:pPr>
        <w:ind w:left="4320" w:hanging="360"/>
      </w:pPr>
      <w:rPr>
        <w:rFonts w:ascii="Wingdings" w:hAnsi="Wingdings" w:hint="default"/>
      </w:rPr>
    </w:lvl>
    <w:lvl w:ilvl="6" w:tplc="928C8E2C">
      <w:start w:val="1"/>
      <w:numFmt w:val="bullet"/>
      <w:lvlText w:val=""/>
      <w:lvlJc w:val="left"/>
      <w:pPr>
        <w:ind w:left="5040" w:hanging="360"/>
      </w:pPr>
      <w:rPr>
        <w:rFonts w:ascii="Symbol" w:hAnsi="Symbol" w:hint="default"/>
      </w:rPr>
    </w:lvl>
    <w:lvl w:ilvl="7" w:tplc="92D8D6F0">
      <w:start w:val="1"/>
      <w:numFmt w:val="bullet"/>
      <w:lvlText w:val="o"/>
      <w:lvlJc w:val="left"/>
      <w:pPr>
        <w:ind w:left="5760" w:hanging="360"/>
      </w:pPr>
      <w:rPr>
        <w:rFonts w:ascii="Courier New" w:hAnsi="Courier New" w:cs="Courier New" w:hint="default"/>
      </w:rPr>
    </w:lvl>
    <w:lvl w:ilvl="8" w:tplc="68EE06F2">
      <w:start w:val="1"/>
      <w:numFmt w:val="bullet"/>
      <w:lvlText w:val=""/>
      <w:lvlJc w:val="left"/>
      <w:pPr>
        <w:ind w:left="6480" w:hanging="360"/>
      </w:pPr>
      <w:rPr>
        <w:rFonts w:ascii="Wingdings" w:hAnsi="Wingdings" w:hint="default"/>
      </w:rPr>
    </w:lvl>
  </w:abstractNum>
  <w:abstractNum w:abstractNumId="23" w15:restartNumberingAfterBreak="0">
    <w:nsid w:val="5CDD7BB5"/>
    <w:multiLevelType w:val="hybridMultilevel"/>
    <w:tmpl w:val="CA99F6EA"/>
    <w:lvl w:ilvl="0" w:tplc="17A6C04C">
      <w:start w:val="1"/>
      <w:numFmt w:val="ideographDigital"/>
      <w:lvlText w:val=""/>
      <w:lvlJc w:val="left"/>
    </w:lvl>
    <w:lvl w:ilvl="1" w:tplc="C44AE9AA">
      <w:numFmt w:val="decimal"/>
      <w:lvlText w:val=""/>
      <w:lvlJc w:val="left"/>
    </w:lvl>
    <w:lvl w:ilvl="2" w:tplc="A99E9C7E">
      <w:numFmt w:val="decimal"/>
      <w:lvlText w:val=""/>
      <w:lvlJc w:val="left"/>
    </w:lvl>
    <w:lvl w:ilvl="3" w:tplc="1292ADF0">
      <w:numFmt w:val="decimal"/>
      <w:lvlText w:val=""/>
      <w:lvlJc w:val="left"/>
    </w:lvl>
    <w:lvl w:ilvl="4" w:tplc="794A9606">
      <w:numFmt w:val="decimal"/>
      <w:lvlText w:val=""/>
      <w:lvlJc w:val="left"/>
    </w:lvl>
    <w:lvl w:ilvl="5" w:tplc="E2DE03DC">
      <w:numFmt w:val="decimal"/>
      <w:lvlText w:val=""/>
      <w:lvlJc w:val="left"/>
    </w:lvl>
    <w:lvl w:ilvl="6" w:tplc="6C98A23A">
      <w:numFmt w:val="decimal"/>
      <w:lvlText w:val=""/>
      <w:lvlJc w:val="left"/>
    </w:lvl>
    <w:lvl w:ilvl="7" w:tplc="27B6D5B2">
      <w:numFmt w:val="decimal"/>
      <w:lvlText w:val=""/>
      <w:lvlJc w:val="left"/>
    </w:lvl>
    <w:lvl w:ilvl="8" w:tplc="B720BBC0">
      <w:numFmt w:val="decimal"/>
      <w:lvlText w:val=""/>
      <w:lvlJc w:val="left"/>
    </w:lvl>
  </w:abstractNum>
  <w:abstractNum w:abstractNumId="24" w15:restartNumberingAfterBreak="0">
    <w:nsid w:val="5D862267"/>
    <w:multiLevelType w:val="hybridMultilevel"/>
    <w:tmpl w:val="BE240742"/>
    <w:lvl w:ilvl="0" w:tplc="B2D40DA2">
      <w:start w:val="1"/>
      <w:numFmt w:val="decimal"/>
      <w:lvlText w:val="%1."/>
      <w:lvlJc w:val="left"/>
      <w:pPr>
        <w:ind w:left="720" w:hanging="360"/>
      </w:pPr>
      <w:rPr>
        <w:rFonts w:hint="default"/>
      </w:rPr>
    </w:lvl>
    <w:lvl w:ilvl="1" w:tplc="6F3EF6D0" w:tentative="1">
      <w:start w:val="1"/>
      <w:numFmt w:val="lowerLetter"/>
      <w:lvlText w:val="%2."/>
      <w:lvlJc w:val="left"/>
      <w:pPr>
        <w:ind w:left="1440" w:hanging="360"/>
      </w:pPr>
    </w:lvl>
    <w:lvl w:ilvl="2" w:tplc="1D7463FE" w:tentative="1">
      <w:start w:val="1"/>
      <w:numFmt w:val="lowerRoman"/>
      <w:lvlText w:val="%3."/>
      <w:lvlJc w:val="right"/>
      <w:pPr>
        <w:ind w:left="2160" w:hanging="180"/>
      </w:pPr>
    </w:lvl>
    <w:lvl w:ilvl="3" w:tplc="5D04E50A" w:tentative="1">
      <w:start w:val="1"/>
      <w:numFmt w:val="decimal"/>
      <w:lvlText w:val="%4."/>
      <w:lvlJc w:val="left"/>
      <w:pPr>
        <w:ind w:left="2880" w:hanging="360"/>
      </w:pPr>
    </w:lvl>
    <w:lvl w:ilvl="4" w:tplc="4592608C" w:tentative="1">
      <w:start w:val="1"/>
      <w:numFmt w:val="lowerLetter"/>
      <w:lvlText w:val="%5."/>
      <w:lvlJc w:val="left"/>
      <w:pPr>
        <w:ind w:left="3600" w:hanging="360"/>
      </w:pPr>
    </w:lvl>
    <w:lvl w:ilvl="5" w:tplc="531257B6" w:tentative="1">
      <w:start w:val="1"/>
      <w:numFmt w:val="lowerRoman"/>
      <w:lvlText w:val="%6."/>
      <w:lvlJc w:val="right"/>
      <w:pPr>
        <w:ind w:left="4320" w:hanging="180"/>
      </w:pPr>
    </w:lvl>
    <w:lvl w:ilvl="6" w:tplc="504E5802" w:tentative="1">
      <w:start w:val="1"/>
      <w:numFmt w:val="decimal"/>
      <w:lvlText w:val="%7."/>
      <w:lvlJc w:val="left"/>
      <w:pPr>
        <w:ind w:left="5040" w:hanging="360"/>
      </w:pPr>
    </w:lvl>
    <w:lvl w:ilvl="7" w:tplc="9CFA9D20" w:tentative="1">
      <w:start w:val="1"/>
      <w:numFmt w:val="lowerLetter"/>
      <w:lvlText w:val="%8."/>
      <w:lvlJc w:val="left"/>
      <w:pPr>
        <w:ind w:left="5760" w:hanging="360"/>
      </w:pPr>
    </w:lvl>
    <w:lvl w:ilvl="8" w:tplc="74707302" w:tentative="1">
      <w:start w:val="1"/>
      <w:numFmt w:val="lowerRoman"/>
      <w:lvlText w:val="%9."/>
      <w:lvlJc w:val="right"/>
      <w:pPr>
        <w:ind w:left="6480" w:hanging="180"/>
      </w:pPr>
    </w:lvl>
  </w:abstractNum>
  <w:abstractNum w:abstractNumId="25" w15:restartNumberingAfterBreak="0">
    <w:nsid w:val="5E7859F5"/>
    <w:multiLevelType w:val="hybridMultilevel"/>
    <w:tmpl w:val="BA0AC974"/>
    <w:lvl w:ilvl="0" w:tplc="D4508398">
      <w:start w:val="1"/>
      <w:numFmt w:val="decimal"/>
      <w:lvlText w:val="%1."/>
      <w:lvlJc w:val="left"/>
      <w:pPr>
        <w:ind w:left="720" w:hanging="360"/>
      </w:pPr>
    </w:lvl>
    <w:lvl w:ilvl="1" w:tplc="F5F0B4E4" w:tentative="1">
      <w:start w:val="1"/>
      <w:numFmt w:val="lowerLetter"/>
      <w:lvlText w:val="%2."/>
      <w:lvlJc w:val="left"/>
      <w:pPr>
        <w:ind w:left="1440" w:hanging="360"/>
      </w:pPr>
    </w:lvl>
    <w:lvl w:ilvl="2" w:tplc="436290B8" w:tentative="1">
      <w:start w:val="1"/>
      <w:numFmt w:val="lowerRoman"/>
      <w:lvlText w:val="%3."/>
      <w:lvlJc w:val="right"/>
      <w:pPr>
        <w:ind w:left="2160" w:hanging="180"/>
      </w:pPr>
    </w:lvl>
    <w:lvl w:ilvl="3" w:tplc="5374EAD0" w:tentative="1">
      <w:start w:val="1"/>
      <w:numFmt w:val="decimal"/>
      <w:lvlText w:val="%4."/>
      <w:lvlJc w:val="left"/>
      <w:pPr>
        <w:ind w:left="2880" w:hanging="360"/>
      </w:pPr>
    </w:lvl>
    <w:lvl w:ilvl="4" w:tplc="CF581AB0" w:tentative="1">
      <w:start w:val="1"/>
      <w:numFmt w:val="lowerLetter"/>
      <w:lvlText w:val="%5."/>
      <w:lvlJc w:val="left"/>
      <w:pPr>
        <w:ind w:left="3600" w:hanging="360"/>
      </w:pPr>
    </w:lvl>
    <w:lvl w:ilvl="5" w:tplc="45B49F6A" w:tentative="1">
      <w:start w:val="1"/>
      <w:numFmt w:val="lowerRoman"/>
      <w:lvlText w:val="%6."/>
      <w:lvlJc w:val="right"/>
      <w:pPr>
        <w:ind w:left="4320" w:hanging="180"/>
      </w:pPr>
    </w:lvl>
    <w:lvl w:ilvl="6" w:tplc="1AA0F6C6" w:tentative="1">
      <w:start w:val="1"/>
      <w:numFmt w:val="decimal"/>
      <w:lvlText w:val="%7."/>
      <w:lvlJc w:val="left"/>
      <w:pPr>
        <w:ind w:left="5040" w:hanging="360"/>
      </w:pPr>
    </w:lvl>
    <w:lvl w:ilvl="7" w:tplc="9CAC0CE4" w:tentative="1">
      <w:start w:val="1"/>
      <w:numFmt w:val="lowerLetter"/>
      <w:lvlText w:val="%8."/>
      <w:lvlJc w:val="left"/>
      <w:pPr>
        <w:ind w:left="5760" w:hanging="360"/>
      </w:pPr>
    </w:lvl>
    <w:lvl w:ilvl="8" w:tplc="ED38246C" w:tentative="1">
      <w:start w:val="1"/>
      <w:numFmt w:val="lowerRoman"/>
      <w:lvlText w:val="%9."/>
      <w:lvlJc w:val="right"/>
      <w:pPr>
        <w:ind w:left="6480" w:hanging="180"/>
      </w:pPr>
    </w:lvl>
  </w:abstractNum>
  <w:abstractNum w:abstractNumId="26" w15:restartNumberingAfterBreak="0">
    <w:nsid w:val="613D253F"/>
    <w:multiLevelType w:val="hybridMultilevel"/>
    <w:tmpl w:val="1E18E240"/>
    <w:lvl w:ilvl="0" w:tplc="1612353C">
      <w:start w:val="1"/>
      <w:numFmt w:val="bullet"/>
      <w:lvlText w:val=""/>
      <w:lvlJc w:val="left"/>
      <w:pPr>
        <w:ind w:left="720" w:hanging="360"/>
      </w:pPr>
      <w:rPr>
        <w:rFonts w:ascii="Symbol" w:hAnsi="Symbol" w:hint="default"/>
      </w:rPr>
    </w:lvl>
    <w:lvl w:ilvl="1" w:tplc="C7DE4ABC">
      <w:start w:val="1"/>
      <w:numFmt w:val="bullet"/>
      <w:lvlText w:val="o"/>
      <w:lvlJc w:val="left"/>
      <w:pPr>
        <w:ind w:left="1440" w:hanging="360"/>
      </w:pPr>
      <w:rPr>
        <w:rFonts w:ascii="Courier New" w:hAnsi="Courier New" w:cs="Courier New" w:hint="default"/>
      </w:rPr>
    </w:lvl>
    <w:lvl w:ilvl="2" w:tplc="7842EFC0">
      <w:start w:val="1"/>
      <w:numFmt w:val="bullet"/>
      <w:lvlText w:val=""/>
      <w:lvlJc w:val="left"/>
      <w:pPr>
        <w:ind w:left="2160" w:hanging="360"/>
      </w:pPr>
      <w:rPr>
        <w:rFonts w:ascii="Wingdings" w:hAnsi="Wingdings" w:hint="default"/>
      </w:rPr>
    </w:lvl>
    <w:lvl w:ilvl="3" w:tplc="173CD9E2">
      <w:start w:val="1"/>
      <w:numFmt w:val="bullet"/>
      <w:lvlText w:val=""/>
      <w:lvlJc w:val="left"/>
      <w:pPr>
        <w:ind w:left="2880" w:hanging="360"/>
      </w:pPr>
      <w:rPr>
        <w:rFonts w:ascii="Symbol" w:hAnsi="Symbol" w:hint="default"/>
      </w:rPr>
    </w:lvl>
    <w:lvl w:ilvl="4" w:tplc="45A4220E">
      <w:start w:val="1"/>
      <w:numFmt w:val="bullet"/>
      <w:lvlText w:val="o"/>
      <w:lvlJc w:val="left"/>
      <w:pPr>
        <w:ind w:left="3600" w:hanging="360"/>
      </w:pPr>
      <w:rPr>
        <w:rFonts w:ascii="Courier New" w:hAnsi="Courier New" w:cs="Courier New" w:hint="default"/>
      </w:rPr>
    </w:lvl>
    <w:lvl w:ilvl="5" w:tplc="B52AC0F2">
      <w:start w:val="1"/>
      <w:numFmt w:val="bullet"/>
      <w:lvlText w:val=""/>
      <w:lvlJc w:val="left"/>
      <w:pPr>
        <w:ind w:left="4320" w:hanging="360"/>
      </w:pPr>
      <w:rPr>
        <w:rFonts w:ascii="Wingdings" w:hAnsi="Wingdings" w:hint="default"/>
      </w:rPr>
    </w:lvl>
    <w:lvl w:ilvl="6" w:tplc="A86E3308">
      <w:start w:val="1"/>
      <w:numFmt w:val="bullet"/>
      <w:lvlText w:val=""/>
      <w:lvlJc w:val="left"/>
      <w:pPr>
        <w:ind w:left="5040" w:hanging="360"/>
      </w:pPr>
      <w:rPr>
        <w:rFonts w:ascii="Symbol" w:hAnsi="Symbol" w:hint="default"/>
      </w:rPr>
    </w:lvl>
    <w:lvl w:ilvl="7" w:tplc="2B720E22">
      <w:start w:val="1"/>
      <w:numFmt w:val="bullet"/>
      <w:lvlText w:val="o"/>
      <w:lvlJc w:val="left"/>
      <w:pPr>
        <w:ind w:left="5760" w:hanging="360"/>
      </w:pPr>
      <w:rPr>
        <w:rFonts w:ascii="Courier New" w:hAnsi="Courier New" w:cs="Courier New" w:hint="default"/>
      </w:rPr>
    </w:lvl>
    <w:lvl w:ilvl="8" w:tplc="8FBCA7FA">
      <w:start w:val="1"/>
      <w:numFmt w:val="bullet"/>
      <w:lvlText w:val=""/>
      <w:lvlJc w:val="left"/>
      <w:pPr>
        <w:ind w:left="6480" w:hanging="360"/>
      </w:pPr>
      <w:rPr>
        <w:rFonts w:ascii="Wingdings" w:hAnsi="Wingdings" w:hint="default"/>
      </w:rPr>
    </w:lvl>
  </w:abstractNum>
  <w:abstractNum w:abstractNumId="27" w15:restartNumberingAfterBreak="0">
    <w:nsid w:val="62134A11"/>
    <w:multiLevelType w:val="hybridMultilevel"/>
    <w:tmpl w:val="5980ED32"/>
    <w:lvl w:ilvl="0" w:tplc="E10E7924">
      <w:start w:val="1"/>
      <w:numFmt w:val="bullet"/>
      <w:lvlText w:val=""/>
      <w:lvlJc w:val="left"/>
      <w:pPr>
        <w:ind w:left="720" w:hanging="360"/>
      </w:pPr>
      <w:rPr>
        <w:rFonts w:ascii="Symbol" w:hAnsi="Symbol" w:hint="default"/>
      </w:rPr>
    </w:lvl>
    <w:lvl w:ilvl="1" w:tplc="BFBE5074">
      <w:start w:val="1"/>
      <w:numFmt w:val="bullet"/>
      <w:lvlText w:val="o"/>
      <w:lvlJc w:val="left"/>
      <w:pPr>
        <w:ind w:left="1440" w:hanging="360"/>
      </w:pPr>
      <w:rPr>
        <w:rFonts w:ascii="Courier New" w:hAnsi="Courier New" w:cs="Courier New" w:hint="default"/>
      </w:rPr>
    </w:lvl>
    <w:lvl w:ilvl="2" w:tplc="E98AEB4A">
      <w:start w:val="1"/>
      <w:numFmt w:val="bullet"/>
      <w:lvlText w:val=""/>
      <w:lvlJc w:val="left"/>
      <w:pPr>
        <w:ind w:left="2160" w:hanging="360"/>
      </w:pPr>
      <w:rPr>
        <w:rFonts w:ascii="Wingdings" w:hAnsi="Wingdings" w:hint="default"/>
      </w:rPr>
    </w:lvl>
    <w:lvl w:ilvl="3" w:tplc="352AE3B4">
      <w:start w:val="1"/>
      <w:numFmt w:val="bullet"/>
      <w:lvlText w:val=""/>
      <w:lvlJc w:val="left"/>
      <w:pPr>
        <w:ind w:left="2880" w:hanging="360"/>
      </w:pPr>
      <w:rPr>
        <w:rFonts w:ascii="Symbol" w:hAnsi="Symbol" w:hint="default"/>
      </w:rPr>
    </w:lvl>
    <w:lvl w:ilvl="4" w:tplc="FBBC0FC4">
      <w:start w:val="1"/>
      <w:numFmt w:val="bullet"/>
      <w:lvlText w:val="o"/>
      <w:lvlJc w:val="left"/>
      <w:pPr>
        <w:ind w:left="3600" w:hanging="360"/>
      </w:pPr>
      <w:rPr>
        <w:rFonts w:ascii="Courier New" w:hAnsi="Courier New" w:cs="Courier New" w:hint="default"/>
      </w:rPr>
    </w:lvl>
    <w:lvl w:ilvl="5" w:tplc="33548718">
      <w:start w:val="1"/>
      <w:numFmt w:val="bullet"/>
      <w:lvlText w:val=""/>
      <w:lvlJc w:val="left"/>
      <w:pPr>
        <w:ind w:left="4320" w:hanging="360"/>
      </w:pPr>
      <w:rPr>
        <w:rFonts w:ascii="Wingdings" w:hAnsi="Wingdings" w:hint="default"/>
      </w:rPr>
    </w:lvl>
    <w:lvl w:ilvl="6" w:tplc="1EC25CE8">
      <w:start w:val="1"/>
      <w:numFmt w:val="bullet"/>
      <w:lvlText w:val=""/>
      <w:lvlJc w:val="left"/>
      <w:pPr>
        <w:ind w:left="5040" w:hanging="360"/>
      </w:pPr>
      <w:rPr>
        <w:rFonts w:ascii="Symbol" w:hAnsi="Symbol" w:hint="default"/>
      </w:rPr>
    </w:lvl>
    <w:lvl w:ilvl="7" w:tplc="9752B99C">
      <w:start w:val="1"/>
      <w:numFmt w:val="bullet"/>
      <w:lvlText w:val="o"/>
      <w:lvlJc w:val="left"/>
      <w:pPr>
        <w:ind w:left="5760" w:hanging="360"/>
      </w:pPr>
      <w:rPr>
        <w:rFonts w:ascii="Courier New" w:hAnsi="Courier New" w:cs="Courier New" w:hint="default"/>
      </w:rPr>
    </w:lvl>
    <w:lvl w:ilvl="8" w:tplc="0CC8C8C2">
      <w:start w:val="1"/>
      <w:numFmt w:val="bullet"/>
      <w:lvlText w:val=""/>
      <w:lvlJc w:val="left"/>
      <w:pPr>
        <w:ind w:left="6480" w:hanging="360"/>
      </w:pPr>
      <w:rPr>
        <w:rFonts w:ascii="Wingdings" w:hAnsi="Wingdings" w:hint="default"/>
      </w:rPr>
    </w:lvl>
  </w:abstractNum>
  <w:abstractNum w:abstractNumId="28" w15:restartNumberingAfterBreak="0">
    <w:nsid w:val="6335326A"/>
    <w:multiLevelType w:val="hybridMultilevel"/>
    <w:tmpl w:val="B19E750A"/>
    <w:lvl w:ilvl="0" w:tplc="DB1EACF0">
      <w:start w:val="1"/>
      <w:numFmt w:val="bullet"/>
      <w:lvlText w:val=""/>
      <w:lvlJc w:val="left"/>
      <w:pPr>
        <w:ind w:left="720" w:hanging="360"/>
      </w:pPr>
      <w:rPr>
        <w:rFonts w:ascii="Symbol" w:hAnsi="Symbol" w:hint="default"/>
      </w:rPr>
    </w:lvl>
    <w:lvl w:ilvl="1" w:tplc="0C962E02" w:tentative="1">
      <w:start w:val="1"/>
      <w:numFmt w:val="bullet"/>
      <w:lvlText w:val="o"/>
      <w:lvlJc w:val="left"/>
      <w:pPr>
        <w:ind w:left="1440" w:hanging="360"/>
      </w:pPr>
      <w:rPr>
        <w:rFonts w:ascii="Courier New" w:hAnsi="Courier New" w:cs="Courier New" w:hint="default"/>
      </w:rPr>
    </w:lvl>
    <w:lvl w:ilvl="2" w:tplc="8286D158" w:tentative="1">
      <w:start w:val="1"/>
      <w:numFmt w:val="bullet"/>
      <w:lvlText w:val=""/>
      <w:lvlJc w:val="left"/>
      <w:pPr>
        <w:ind w:left="2160" w:hanging="360"/>
      </w:pPr>
      <w:rPr>
        <w:rFonts w:ascii="Wingdings" w:hAnsi="Wingdings" w:hint="default"/>
      </w:rPr>
    </w:lvl>
    <w:lvl w:ilvl="3" w:tplc="927C396E" w:tentative="1">
      <w:start w:val="1"/>
      <w:numFmt w:val="bullet"/>
      <w:lvlText w:val=""/>
      <w:lvlJc w:val="left"/>
      <w:pPr>
        <w:ind w:left="2880" w:hanging="360"/>
      </w:pPr>
      <w:rPr>
        <w:rFonts w:ascii="Symbol" w:hAnsi="Symbol" w:hint="default"/>
      </w:rPr>
    </w:lvl>
    <w:lvl w:ilvl="4" w:tplc="89D0532C" w:tentative="1">
      <w:start w:val="1"/>
      <w:numFmt w:val="bullet"/>
      <w:lvlText w:val="o"/>
      <w:lvlJc w:val="left"/>
      <w:pPr>
        <w:ind w:left="3600" w:hanging="360"/>
      </w:pPr>
      <w:rPr>
        <w:rFonts w:ascii="Courier New" w:hAnsi="Courier New" w:cs="Courier New" w:hint="default"/>
      </w:rPr>
    </w:lvl>
    <w:lvl w:ilvl="5" w:tplc="4C1C53AA" w:tentative="1">
      <w:start w:val="1"/>
      <w:numFmt w:val="bullet"/>
      <w:lvlText w:val=""/>
      <w:lvlJc w:val="left"/>
      <w:pPr>
        <w:ind w:left="4320" w:hanging="360"/>
      </w:pPr>
      <w:rPr>
        <w:rFonts w:ascii="Wingdings" w:hAnsi="Wingdings" w:hint="default"/>
      </w:rPr>
    </w:lvl>
    <w:lvl w:ilvl="6" w:tplc="FA88D2AC" w:tentative="1">
      <w:start w:val="1"/>
      <w:numFmt w:val="bullet"/>
      <w:lvlText w:val=""/>
      <w:lvlJc w:val="left"/>
      <w:pPr>
        <w:ind w:left="5040" w:hanging="360"/>
      </w:pPr>
      <w:rPr>
        <w:rFonts w:ascii="Symbol" w:hAnsi="Symbol" w:hint="default"/>
      </w:rPr>
    </w:lvl>
    <w:lvl w:ilvl="7" w:tplc="C1846F66" w:tentative="1">
      <w:start w:val="1"/>
      <w:numFmt w:val="bullet"/>
      <w:lvlText w:val="o"/>
      <w:lvlJc w:val="left"/>
      <w:pPr>
        <w:ind w:left="5760" w:hanging="360"/>
      </w:pPr>
      <w:rPr>
        <w:rFonts w:ascii="Courier New" w:hAnsi="Courier New" w:cs="Courier New" w:hint="default"/>
      </w:rPr>
    </w:lvl>
    <w:lvl w:ilvl="8" w:tplc="2C9EFAEA" w:tentative="1">
      <w:start w:val="1"/>
      <w:numFmt w:val="bullet"/>
      <w:lvlText w:val=""/>
      <w:lvlJc w:val="left"/>
      <w:pPr>
        <w:ind w:left="6480" w:hanging="360"/>
      </w:pPr>
      <w:rPr>
        <w:rFonts w:ascii="Wingdings" w:hAnsi="Wingdings" w:hint="default"/>
      </w:rPr>
    </w:lvl>
  </w:abstractNum>
  <w:abstractNum w:abstractNumId="29" w15:restartNumberingAfterBreak="0">
    <w:nsid w:val="66EB19F3"/>
    <w:multiLevelType w:val="hybridMultilevel"/>
    <w:tmpl w:val="619E5986"/>
    <w:lvl w:ilvl="0" w:tplc="819816F6">
      <w:start w:val="1"/>
      <w:numFmt w:val="bullet"/>
      <w:lvlText w:val=""/>
      <w:lvlJc w:val="left"/>
      <w:pPr>
        <w:ind w:left="720" w:hanging="360"/>
      </w:pPr>
      <w:rPr>
        <w:rFonts w:ascii="Symbol" w:hAnsi="Symbol" w:hint="default"/>
      </w:rPr>
    </w:lvl>
    <w:lvl w:ilvl="1" w:tplc="208C1B9A" w:tentative="1">
      <w:start w:val="1"/>
      <w:numFmt w:val="bullet"/>
      <w:lvlText w:val="o"/>
      <w:lvlJc w:val="left"/>
      <w:pPr>
        <w:ind w:left="1440" w:hanging="360"/>
      </w:pPr>
      <w:rPr>
        <w:rFonts w:ascii="Courier New" w:hAnsi="Courier New" w:cs="Courier New" w:hint="default"/>
      </w:rPr>
    </w:lvl>
    <w:lvl w:ilvl="2" w:tplc="53902BE4" w:tentative="1">
      <w:start w:val="1"/>
      <w:numFmt w:val="bullet"/>
      <w:lvlText w:val=""/>
      <w:lvlJc w:val="left"/>
      <w:pPr>
        <w:ind w:left="2160" w:hanging="360"/>
      </w:pPr>
      <w:rPr>
        <w:rFonts w:ascii="Wingdings" w:hAnsi="Wingdings" w:hint="default"/>
      </w:rPr>
    </w:lvl>
    <w:lvl w:ilvl="3" w:tplc="1A348BAE" w:tentative="1">
      <w:start w:val="1"/>
      <w:numFmt w:val="bullet"/>
      <w:lvlText w:val=""/>
      <w:lvlJc w:val="left"/>
      <w:pPr>
        <w:ind w:left="2880" w:hanging="360"/>
      </w:pPr>
      <w:rPr>
        <w:rFonts w:ascii="Symbol" w:hAnsi="Symbol" w:hint="default"/>
      </w:rPr>
    </w:lvl>
    <w:lvl w:ilvl="4" w:tplc="17BAAE84" w:tentative="1">
      <w:start w:val="1"/>
      <w:numFmt w:val="bullet"/>
      <w:lvlText w:val="o"/>
      <w:lvlJc w:val="left"/>
      <w:pPr>
        <w:ind w:left="3600" w:hanging="360"/>
      </w:pPr>
      <w:rPr>
        <w:rFonts w:ascii="Courier New" w:hAnsi="Courier New" w:cs="Courier New" w:hint="default"/>
      </w:rPr>
    </w:lvl>
    <w:lvl w:ilvl="5" w:tplc="6BFE854E" w:tentative="1">
      <w:start w:val="1"/>
      <w:numFmt w:val="bullet"/>
      <w:lvlText w:val=""/>
      <w:lvlJc w:val="left"/>
      <w:pPr>
        <w:ind w:left="4320" w:hanging="360"/>
      </w:pPr>
      <w:rPr>
        <w:rFonts w:ascii="Wingdings" w:hAnsi="Wingdings" w:hint="default"/>
      </w:rPr>
    </w:lvl>
    <w:lvl w:ilvl="6" w:tplc="9D569182" w:tentative="1">
      <w:start w:val="1"/>
      <w:numFmt w:val="bullet"/>
      <w:lvlText w:val=""/>
      <w:lvlJc w:val="left"/>
      <w:pPr>
        <w:ind w:left="5040" w:hanging="360"/>
      </w:pPr>
      <w:rPr>
        <w:rFonts w:ascii="Symbol" w:hAnsi="Symbol" w:hint="default"/>
      </w:rPr>
    </w:lvl>
    <w:lvl w:ilvl="7" w:tplc="946EA2D0" w:tentative="1">
      <w:start w:val="1"/>
      <w:numFmt w:val="bullet"/>
      <w:lvlText w:val="o"/>
      <w:lvlJc w:val="left"/>
      <w:pPr>
        <w:ind w:left="5760" w:hanging="360"/>
      </w:pPr>
      <w:rPr>
        <w:rFonts w:ascii="Courier New" w:hAnsi="Courier New" w:cs="Courier New" w:hint="default"/>
      </w:rPr>
    </w:lvl>
    <w:lvl w:ilvl="8" w:tplc="B5867E7E" w:tentative="1">
      <w:start w:val="1"/>
      <w:numFmt w:val="bullet"/>
      <w:lvlText w:val=""/>
      <w:lvlJc w:val="left"/>
      <w:pPr>
        <w:ind w:left="6480" w:hanging="360"/>
      </w:pPr>
      <w:rPr>
        <w:rFonts w:ascii="Wingdings" w:hAnsi="Wingdings" w:hint="default"/>
      </w:rPr>
    </w:lvl>
  </w:abstractNum>
  <w:abstractNum w:abstractNumId="30" w15:restartNumberingAfterBreak="0">
    <w:nsid w:val="6BD87CD3"/>
    <w:multiLevelType w:val="hybridMultilevel"/>
    <w:tmpl w:val="FA6CB14E"/>
    <w:lvl w:ilvl="0" w:tplc="EEC484E6">
      <w:start w:val="1"/>
      <w:numFmt w:val="lowerRoman"/>
      <w:lvlText w:val="%1)"/>
      <w:lvlJc w:val="left"/>
      <w:pPr>
        <w:ind w:left="1080" w:hanging="720"/>
      </w:pPr>
      <w:rPr>
        <w:rFonts w:hint="default"/>
      </w:rPr>
    </w:lvl>
    <w:lvl w:ilvl="1" w:tplc="F312A3EC" w:tentative="1">
      <w:start w:val="1"/>
      <w:numFmt w:val="lowerLetter"/>
      <w:lvlText w:val="%2."/>
      <w:lvlJc w:val="left"/>
      <w:pPr>
        <w:ind w:left="1440" w:hanging="360"/>
      </w:pPr>
    </w:lvl>
    <w:lvl w:ilvl="2" w:tplc="36388D7A" w:tentative="1">
      <w:start w:val="1"/>
      <w:numFmt w:val="lowerRoman"/>
      <w:lvlText w:val="%3."/>
      <w:lvlJc w:val="right"/>
      <w:pPr>
        <w:ind w:left="2160" w:hanging="180"/>
      </w:pPr>
    </w:lvl>
    <w:lvl w:ilvl="3" w:tplc="2264BA56" w:tentative="1">
      <w:start w:val="1"/>
      <w:numFmt w:val="decimal"/>
      <w:lvlText w:val="%4."/>
      <w:lvlJc w:val="left"/>
      <w:pPr>
        <w:ind w:left="2880" w:hanging="360"/>
      </w:pPr>
    </w:lvl>
    <w:lvl w:ilvl="4" w:tplc="1E96DF3A" w:tentative="1">
      <w:start w:val="1"/>
      <w:numFmt w:val="lowerLetter"/>
      <w:lvlText w:val="%5."/>
      <w:lvlJc w:val="left"/>
      <w:pPr>
        <w:ind w:left="3600" w:hanging="360"/>
      </w:pPr>
    </w:lvl>
    <w:lvl w:ilvl="5" w:tplc="75F22288" w:tentative="1">
      <w:start w:val="1"/>
      <w:numFmt w:val="lowerRoman"/>
      <w:lvlText w:val="%6."/>
      <w:lvlJc w:val="right"/>
      <w:pPr>
        <w:ind w:left="4320" w:hanging="180"/>
      </w:pPr>
    </w:lvl>
    <w:lvl w:ilvl="6" w:tplc="2698F824" w:tentative="1">
      <w:start w:val="1"/>
      <w:numFmt w:val="decimal"/>
      <w:lvlText w:val="%7."/>
      <w:lvlJc w:val="left"/>
      <w:pPr>
        <w:ind w:left="5040" w:hanging="360"/>
      </w:pPr>
    </w:lvl>
    <w:lvl w:ilvl="7" w:tplc="1A160840" w:tentative="1">
      <w:start w:val="1"/>
      <w:numFmt w:val="lowerLetter"/>
      <w:lvlText w:val="%8."/>
      <w:lvlJc w:val="left"/>
      <w:pPr>
        <w:ind w:left="5760" w:hanging="360"/>
      </w:pPr>
    </w:lvl>
    <w:lvl w:ilvl="8" w:tplc="00201D90" w:tentative="1">
      <w:start w:val="1"/>
      <w:numFmt w:val="lowerRoman"/>
      <w:lvlText w:val="%9."/>
      <w:lvlJc w:val="right"/>
      <w:pPr>
        <w:ind w:left="6480" w:hanging="180"/>
      </w:pPr>
    </w:lvl>
  </w:abstractNum>
  <w:abstractNum w:abstractNumId="31" w15:restartNumberingAfterBreak="0">
    <w:nsid w:val="6EE51AC9"/>
    <w:multiLevelType w:val="hybridMultilevel"/>
    <w:tmpl w:val="DC2E8DB0"/>
    <w:lvl w:ilvl="0" w:tplc="69C4DC44">
      <w:start w:val="1"/>
      <w:numFmt w:val="bullet"/>
      <w:lvlText w:val=""/>
      <w:lvlJc w:val="left"/>
      <w:pPr>
        <w:ind w:left="720" w:hanging="360"/>
      </w:pPr>
      <w:rPr>
        <w:rFonts w:ascii="Symbol" w:hAnsi="Symbol" w:hint="default"/>
      </w:rPr>
    </w:lvl>
    <w:lvl w:ilvl="1" w:tplc="A4DAD474">
      <w:start w:val="1"/>
      <w:numFmt w:val="bullet"/>
      <w:lvlText w:val="o"/>
      <w:lvlJc w:val="left"/>
      <w:pPr>
        <w:ind w:left="1440" w:hanging="360"/>
      </w:pPr>
      <w:rPr>
        <w:rFonts w:ascii="Courier New" w:hAnsi="Courier New" w:cs="Courier New" w:hint="default"/>
      </w:rPr>
    </w:lvl>
    <w:lvl w:ilvl="2" w:tplc="14AA096A">
      <w:start w:val="1"/>
      <w:numFmt w:val="bullet"/>
      <w:lvlText w:val=""/>
      <w:lvlJc w:val="left"/>
      <w:pPr>
        <w:ind w:left="2160" w:hanging="360"/>
      </w:pPr>
      <w:rPr>
        <w:rFonts w:ascii="Wingdings" w:hAnsi="Wingdings" w:hint="default"/>
      </w:rPr>
    </w:lvl>
    <w:lvl w:ilvl="3" w:tplc="71A41B0A">
      <w:start w:val="1"/>
      <w:numFmt w:val="bullet"/>
      <w:lvlText w:val=""/>
      <w:lvlJc w:val="left"/>
      <w:pPr>
        <w:ind w:left="2880" w:hanging="360"/>
      </w:pPr>
      <w:rPr>
        <w:rFonts w:ascii="Symbol" w:hAnsi="Symbol" w:hint="default"/>
      </w:rPr>
    </w:lvl>
    <w:lvl w:ilvl="4" w:tplc="D14CCE2A">
      <w:start w:val="1"/>
      <w:numFmt w:val="bullet"/>
      <w:lvlText w:val="o"/>
      <w:lvlJc w:val="left"/>
      <w:pPr>
        <w:ind w:left="3600" w:hanging="360"/>
      </w:pPr>
      <w:rPr>
        <w:rFonts w:ascii="Courier New" w:hAnsi="Courier New" w:cs="Courier New" w:hint="default"/>
      </w:rPr>
    </w:lvl>
    <w:lvl w:ilvl="5" w:tplc="C0F06304">
      <w:start w:val="1"/>
      <w:numFmt w:val="bullet"/>
      <w:lvlText w:val=""/>
      <w:lvlJc w:val="left"/>
      <w:pPr>
        <w:ind w:left="4320" w:hanging="360"/>
      </w:pPr>
      <w:rPr>
        <w:rFonts w:ascii="Wingdings" w:hAnsi="Wingdings" w:hint="default"/>
      </w:rPr>
    </w:lvl>
    <w:lvl w:ilvl="6" w:tplc="FF3AEF02">
      <w:start w:val="1"/>
      <w:numFmt w:val="bullet"/>
      <w:lvlText w:val=""/>
      <w:lvlJc w:val="left"/>
      <w:pPr>
        <w:ind w:left="5040" w:hanging="360"/>
      </w:pPr>
      <w:rPr>
        <w:rFonts w:ascii="Symbol" w:hAnsi="Symbol" w:hint="default"/>
      </w:rPr>
    </w:lvl>
    <w:lvl w:ilvl="7" w:tplc="D086356A">
      <w:start w:val="1"/>
      <w:numFmt w:val="bullet"/>
      <w:lvlText w:val="o"/>
      <w:lvlJc w:val="left"/>
      <w:pPr>
        <w:ind w:left="5760" w:hanging="360"/>
      </w:pPr>
      <w:rPr>
        <w:rFonts w:ascii="Courier New" w:hAnsi="Courier New" w:cs="Courier New" w:hint="default"/>
      </w:rPr>
    </w:lvl>
    <w:lvl w:ilvl="8" w:tplc="AB86C98C">
      <w:start w:val="1"/>
      <w:numFmt w:val="bullet"/>
      <w:lvlText w:val=""/>
      <w:lvlJc w:val="left"/>
      <w:pPr>
        <w:ind w:left="6480" w:hanging="360"/>
      </w:pPr>
      <w:rPr>
        <w:rFonts w:ascii="Wingdings" w:hAnsi="Wingdings" w:hint="default"/>
      </w:rPr>
    </w:lvl>
  </w:abstractNum>
  <w:abstractNum w:abstractNumId="32" w15:restartNumberingAfterBreak="0">
    <w:nsid w:val="7F94269A"/>
    <w:multiLevelType w:val="hybridMultilevel"/>
    <w:tmpl w:val="9364D4FC"/>
    <w:lvl w:ilvl="0" w:tplc="4D169936">
      <w:numFmt w:val="bullet"/>
      <w:lvlText w:val="-"/>
      <w:lvlJc w:val="left"/>
      <w:pPr>
        <w:ind w:left="720" w:hanging="360"/>
      </w:pPr>
      <w:rPr>
        <w:rFonts w:ascii="Calibri" w:eastAsiaTheme="minorHAnsi" w:hAnsi="Calibri" w:cs="Calibri" w:hint="default"/>
      </w:rPr>
    </w:lvl>
    <w:lvl w:ilvl="1" w:tplc="5C360022">
      <w:numFmt w:val="bullet"/>
      <w:lvlText w:val=""/>
      <w:lvlJc w:val="left"/>
      <w:pPr>
        <w:ind w:left="1440" w:hanging="360"/>
      </w:pPr>
      <w:rPr>
        <w:rFonts w:ascii="Symbol" w:eastAsiaTheme="minorHAnsi" w:hAnsi="Symbol" w:cs="Calibri" w:hint="default"/>
      </w:rPr>
    </w:lvl>
    <w:lvl w:ilvl="2" w:tplc="71067158">
      <w:start w:val="1"/>
      <w:numFmt w:val="bullet"/>
      <w:lvlText w:val=""/>
      <w:lvlJc w:val="left"/>
      <w:pPr>
        <w:ind w:left="2160" w:hanging="360"/>
      </w:pPr>
      <w:rPr>
        <w:rFonts w:ascii="Wingdings" w:hAnsi="Wingdings" w:hint="default"/>
      </w:rPr>
    </w:lvl>
    <w:lvl w:ilvl="3" w:tplc="A022D3D6">
      <w:start w:val="1"/>
      <w:numFmt w:val="bullet"/>
      <w:lvlText w:val=""/>
      <w:lvlJc w:val="left"/>
      <w:pPr>
        <w:ind w:left="2880" w:hanging="360"/>
      </w:pPr>
      <w:rPr>
        <w:rFonts w:ascii="Symbol" w:hAnsi="Symbol" w:hint="default"/>
      </w:rPr>
    </w:lvl>
    <w:lvl w:ilvl="4" w:tplc="3520928E">
      <w:start w:val="1"/>
      <w:numFmt w:val="bullet"/>
      <w:lvlText w:val="o"/>
      <w:lvlJc w:val="left"/>
      <w:pPr>
        <w:ind w:left="3600" w:hanging="360"/>
      </w:pPr>
      <w:rPr>
        <w:rFonts w:ascii="Courier New" w:hAnsi="Courier New" w:cs="Courier New" w:hint="default"/>
      </w:rPr>
    </w:lvl>
    <w:lvl w:ilvl="5" w:tplc="B8A404C0">
      <w:start w:val="1"/>
      <w:numFmt w:val="bullet"/>
      <w:lvlText w:val=""/>
      <w:lvlJc w:val="left"/>
      <w:pPr>
        <w:ind w:left="4320" w:hanging="360"/>
      </w:pPr>
      <w:rPr>
        <w:rFonts w:ascii="Wingdings" w:hAnsi="Wingdings" w:hint="default"/>
      </w:rPr>
    </w:lvl>
    <w:lvl w:ilvl="6" w:tplc="B69E6EC4">
      <w:start w:val="1"/>
      <w:numFmt w:val="bullet"/>
      <w:lvlText w:val=""/>
      <w:lvlJc w:val="left"/>
      <w:pPr>
        <w:ind w:left="5040" w:hanging="360"/>
      </w:pPr>
      <w:rPr>
        <w:rFonts w:ascii="Symbol" w:hAnsi="Symbol" w:hint="default"/>
      </w:rPr>
    </w:lvl>
    <w:lvl w:ilvl="7" w:tplc="AEEAFA3C">
      <w:start w:val="1"/>
      <w:numFmt w:val="bullet"/>
      <w:lvlText w:val="o"/>
      <w:lvlJc w:val="left"/>
      <w:pPr>
        <w:ind w:left="5760" w:hanging="360"/>
      </w:pPr>
      <w:rPr>
        <w:rFonts w:ascii="Courier New" w:hAnsi="Courier New" w:cs="Courier New" w:hint="default"/>
      </w:rPr>
    </w:lvl>
    <w:lvl w:ilvl="8" w:tplc="7602A7C6">
      <w:start w:val="1"/>
      <w:numFmt w:val="bullet"/>
      <w:lvlText w:val=""/>
      <w:lvlJc w:val="left"/>
      <w:pPr>
        <w:ind w:left="6480" w:hanging="360"/>
      </w:pPr>
      <w:rPr>
        <w:rFonts w:ascii="Wingdings" w:hAnsi="Wingdings" w:hint="default"/>
      </w:rPr>
    </w:lvl>
  </w:abstractNum>
  <w:num w:numId="1" w16cid:durableId="806971295">
    <w:abstractNumId w:val="21"/>
  </w:num>
  <w:num w:numId="2" w16cid:durableId="492377364">
    <w:abstractNumId w:val="23"/>
  </w:num>
  <w:num w:numId="3" w16cid:durableId="343899644">
    <w:abstractNumId w:val="19"/>
  </w:num>
  <w:num w:numId="4" w16cid:durableId="1131902828">
    <w:abstractNumId w:val="0"/>
  </w:num>
  <w:num w:numId="5" w16cid:durableId="265239112">
    <w:abstractNumId w:val="25"/>
  </w:num>
  <w:num w:numId="6" w16cid:durableId="33359904">
    <w:abstractNumId w:val="31"/>
  </w:num>
  <w:num w:numId="7" w16cid:durableId="1008098092">
    <w:abstractNumId w:val="1"/>
  </w:num>
  <w:num w:numId="8" w16cid:durableId="111632763">
    <w:abstractNumId w:val="26"/>
  </w:num>
  <w:num w:numId="9" w16cid:durableId="1484616514">
    <w:abstractNumId w:val="27"/>
  </w:num>
  <w:num w:numId="10" w16cid:durableId="1165779261">
    <w:abstractNumId w:val="12"/>
  </w:num>
  <w:num w:numId="11" w16cid:durableId="307393636">
    <w:abstractNumId w:val="22"/>
  </w:num>
  <w:num w:numId="12" w16cid:durableId="641275710">
    <w:abstractNumId w:val="5"/>
  </w:num>
  <w:num w:numId="13" w16cid:durableId="485098313">
    <w:abstractNumId w:val="14"/>
  </w:num>
  <w:num w:numId="14" w16cid:durableId="1745948485">
    <w:abstractNumId w:val="3"/>
  </w:num>
  <w:num w:numId="15" w16cid:durableId="673067681">
    <w:abstractNumId w:val="15"/>
  </w:num>
  <w:num w:numId="16" w16cid:durableId="677973024">
    <w:abstractNumId w:val="20"/>
  </w:num>
  <w:num w:numId="17" w16cid:durableId="1788810348">
    <w:abstractNumId w:val="11"/>
  </w:num>
  <w:num w:numId="18" w16cid:durableId="1937709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3975200">
    <w:abstractNumId w:val="32"/>
  </w:num>
  <w:num w:numId="20" w16cid:durableId="536816110">
    <w:abstractNumId w:val="2"/>
  </w:num>
  <w:num w:numId="21" w16cid:durableId="1827550449">
    <w:abstractNumId w:val="6"/>
  </w:num>
  <w:num w:numId="22" w16cid:durableId="1802572525">
    <w:abstractNumId w:val="11"/>
  </w:num>
  <w:num w:numId="23" w16cid:durableId="905605558">
    <w:abstractNumId w:val="2"/>
  </w:num>
  <w:num w:numId="24" w16cid:durableId="405959108">
    <w:abstractNumId w:val="16"/>
  </w:num>
  <w:num w:numId="25" w16cid:durableId="985010151">
    <w:abstractNumId w:val="13"/>
  </w:num>
  <w:num w:numId="26" w16cid:durableId="533931435">
    <w:abstractNumId w:val="18"/>
  </w:num>
  <w:num w:numId="27" w16cid:durableId="200289917">
    <w:abstractNumId w:val="7"/>
  </w:num>
  <w:num w:numId="28" w16cid:durableId="1232303500">
    <w:abstractNumId w:val="4"/>
  </w:num>
  <w:num w:numId="29" w16cid:durableId="506943493">
    <w:abstractNumId w:val="9"/>
  </w:num>
  <w:num w:numId="30" w16cid:durableId="198780158">
    <w:abstractNumId w:val="29"/>
  </w:num>
  <w:num w:numId="31" w16cid:durableId="1477798431">
    <w:abstractNumId w:val="30"/>
  </w:num>
  <w:num w:numId="32" w16cid:durableId="1062482569">
    <w:abstractNumId w:val="24"/>
  </w:num>
  <w:num w:numId="33" w16cid:durableId="1659336811">
    <w:abstractNumId w:val="28"/>
  </w:num>
  <w:num w:numId="34" w16cid:durableId="2053574557">
    <w:abstractNumId w:val="10"/>
  </w:num>
  <w:num w:numId="35" w16cid:durableId="107242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59"/>
    <w:rsid w:val="00000AD1"/>
    <w:rsid w:val="00000D1F"/>
    <w:rsid w:val="00003D34"/>
    <w:rsid w:val="00004BC7"/>
    <w:rsid w:val="00004DC2"/>
    <w:rsid w:val="00007095"/>
    <w:rsid w:val="000103A6"/>
    <w:rsid w:val="0001170C"/>
    <w:rsid w:val="0001254B"/>
    <w:rsid w:val="00015702"/>
    <w:rsid w:val="000159F8"/>
    <w:rsid w:val="00017083"/>
    <w:rsid w:val="00017AF2"/>
    <w:rsid w:val="00021078"/>
    <w:rsid w:val="000215B5"/>
    <w:rsid w:val="00022E2A"/>
    <w:rsid w:val="00024A56"/>
    <w:rsid w:val="00030A06"/>
    <w:rsid w:val="00031748"/>
    <w:rsid w:val="000322B6"/>
    <w:rsid w:val="00033B96"/>
    <w:rsid w:val="00036D0D"/>
    <w:rsid w:val="00037E5A"/>
    <w:rsid w:val="000440D3"/>
    <w:rsid w:val="00044BE8"/>
    <w:rsid w:val="00045D24"/>
    <w:rsid w:val="00053AEC"/>
    <w:rsid w:val="00056DBA"/>
    <w:rsid w:val="00060A61"/>
    <w:rsid w:val="00061C38"/>
    <w:rsid w:val="000622AE"/>
    <w:rsid w:val="00064AFF"/>
    <w:rsid w:val="00067EF8"/>
    <w:rsid w:val="0007775B"/>
    <w:rsid w:val="00081776"/>
    <w:rsid w:val="00081A69"/>
    <w:rsid w:val="00081C50"/>
    <w:rsid w:val="00084559"/>
    <w:rsid w:val="00090E6E"/>
    <w:rsid w:val="000936A1"/>
    <w:rsid w:val="000A00DB"/>
    <w:rsid w:val="000A02C9"/>
    <w:rsid w:val="000A22C2"/>
    <w:rsid w:val="000A3859"/>
    <w:rsid w:val="000A558D"/>
    <w:rsid w:val="000A6A2F"/>
    <w:rsid w:val="000A6EB9"/>
    <w:rsid w:val="000B22A5"/>
    <w:rsid w:val="000B2AD0"/>
    <w:rsid w:val="000B4A71"/>
    <w:rsid w:val="000B4BA2"/>
    <w:rsid w:val="000B5F82"/>
    <w:rsid w:val="000B7726"/>
    <w:rsid w:val="000B7AD7"/>
    <w:rsid w:val="000C2655"/>
    <w:rsid w:val="000C5A02"/>
    <w:rsid w:val="000C5B70"/>
    <w:rsid w:val="000C62A9"/>
    <w:rsid w:val="000C70F1"/>
    <w:rsid w:val="000C7AC5"/>
    <w:rsid w:val="000D16C4"/>
    <w:rsid w:val="000D336A"/>
    <w:rsid w:val="000D37C4"/>
    <w:rsid w:val="000D63DF"/>
    <w:rsid w:val="000D7A79"/>
    <w:rsid w:val="000E43F0"/>
    <w:rsid w:val="000E575C"/>
    <w:rsid w:val="000E5A83"/>
    <w:rsid w:val="000E673B"/>
    <w:rsid w:val="000F0FB9"/>
    <w:rsid w:val="000F3E68"/>
    <w:rsid w:val="000F6080"/>
    <w:rsid w:val="000F6321"/>
    <w:rsid w:val="000F7788"/>
    <w:rsid w:val="000F7DC4"/>
    <w:rsid w:val="00110170"/>
    <w:rsid w:val="001116C7"/>
    <w:rsid w:val="00111994"/>
    <w:rsid w:val="001144B2"/>
    <w:rsid w:val="00117256"/>
    <w:rsid w:val="00121FD6"/>
    <w:rsid w:val="001233A8"/>
    <w:rsid w:val="00123AB5"/>
    <w:rsid w:val="001240D2"/>
    <w:rsid w:val="00124323"/>
    <w:rsid w:val="0012477A"/>
    <w:rsid w:val="0012659B"/>
    <w:rsid w:val="00131078"/>
    <w:rsid w:val="00132A41"/>
    <w:rsid w:val="0013365B"/>
    <w:rsid w:val="00134557"/>
    <w:rsid w:val="00136B6F"/>
    <w:rsid w:val="00140B8D"/>
    <w:rsid w:val="00150C87"/>
    <w:rsid w:val="00151874"/>
    <w:rsid w:val="001525A0"/>
    <w:rsid w:val="00152E04"/>
    <w:rsid w:val="00154176"/>
    <w:rsid w:val="00154D69"/>
    <w:rsid w:val="001613F4"/>
    <w:rsid w:val="00161639"/>
    <w:rsid w:val="0016196D"/>
    <w:rsid w:val="00162A57"/>
    <w:rsid w:val="00170690"/>
    <w:rsid w:val="00170A86"/>
    <w:rsid w:val="00171696"/>
    <w:rsid w:val="0017206F"/>
    <w:rsid w:val="00175639"/>
    <w:rsid w:val="00175EF0"/>
    <w:rsid w:val="0017696B"/>
    <w:rsid w:val="00181BB3"/>
    <w:rsid w:val="0018276E"/>
    <w:rsid w:val="00183AC7"/>
    <w:rsid w:val="0018416C"/>
    <w:rsid w:val="00184915"/>
    <w:rsid w:val="00185300"/>
    <w:rsid w:val="00187286"/>
    <w:rsid w:val="00187A01"/>
    <w:rsid w:val="00187B07"/>
    <w:rsid w:val="00191762"/>
    <w:rsid w:val="00192D48"/>
    <w:rsid w:val="0019746E"/>
    <w:rsid w:val="001A0E1F"/>
    <w:rsid w:val="001A2F7C"/>
    <w:rsid w:val="001A6FD3"/>
    <w:rsid w:val="001B3019"/>
    <w:rsid w:val="001B679C"/>
    <w:rsid w:val="001C4224"/>
    <w:rsid w:val="001C573E"/>
    <w:rsid w:val="001C6B84"/>
    <w:rsid w:val="001D09FC"/>
    <w:rsid w:val="001D14B3"/>
    <w:rsid w:val="001D15DC"/>
    <w:rsid w:val="001D17FA"/>
    <w:rsid w:val="001D7990"/>
    <w:rsid w:val="001E3126"/>
    <w:rsid w:val="001E3990"/>
    <w:rsid w:val="001E694B"/>
    <w:rsid w:val="001F2480"/>
    <w:rsid w:val="001F27DB"/>
    <w:rsid w:val="001F31B3"/>
    <w:rsid w:val="001F39F3"/>
    <w:rsid w:val="001F650D"/>
    <w:rsid w:val="001F6A84"/>
    <w:rsid w:val="002004B3"/>
    <w:rsid w:val="00201426"/>
    <w:rsid w:val="00203DF1"/>
    <w:rsid w:val="00206C72"/>
    <w:rsid w:val="00210FE2"/>
    <w:rsid w:val="00215D62"/>
    <w:rsid w:val="00221B62"/>
    <w:rsid w:val="002251D8"/>
    <w:rsid w:val="00230613"/>
    <w:rsid w:val="00230E61"/>
    <w:rsid w:val="002337DC"/>
    <w:rsid w:val="00233EA8"/>
    <w:rsid w:val="00234E4E"/>
    <w:rsid w:val="002365BB"/>
    <w:rsid w:val="00236C6B"/>
    <w:rsid w:val="0023704D"/>
    <w:rsid w:val="00240560"/>
    <w:rsid w:val="00241F3F"/>
    <w:rsid w:val="0024348A"/>
    <w:rsid w:val="00243C78"/>
    <w:rsid w:val="0024560C"/>
    <w:rsid w:val="002524AD"/>
    <w:rsid w:val="00260431"/>
    <w:rsid w:val="002617AF"/>
    <w:rsid w:val="00262FEA"/>
    <w:rsid w:val="00263657"/>
    <w:rsid w:val="0026513D"/>
    <w:rsid w:val="00266ABF"/>
    <w:rsid w:val="002676F9"/>
    <w:rsid w:val="002678BF"/>
    <w:rsid w:val="002716E1"/>
    <w:rsid w:val="00272DAC"/>
    <w:rsid w:val="00276135"/>
    <w:rsid w:val="00276A44"/>
    <w:rsid w:val="00280B10"/>
    <w:rsid w:val="00281422"/>
    <w:rsid w:val="00282592"/>
    <w:rsid w:val="00283BA2"/>
    <w:rsid w:val="00284CC5"/>
    <w:rsid w:val="00285728"/>
    <w:rsid w:val="0029154F"/>
    <w:rsid w:val="0029250E"/>
    <w:rsid w:val="00297488"/>
    <w:rsid w:val="002A171F"/>
    <w:rsid w:val="002A2903"/>
    <w:rsid w:val="002A35F1"/>
    <w:rsid w:val="002A6D8D"/>
    <w:rsid w:val="002B02BB"/>
    <w:rsid w:val="002B18C3"/>
    <w:rsid w:val="002B1C39"/>
    <w:rsid w:val="002B57D1"/>
    <w:rsid w:val="002C0F8B"/>
    <w:rsid w:val="002C1509"/>
    <w:rsid w:val="002C24B5"/>
    <w:rsid w:val="002C2EB3"/>
    <w:rsid w:val="002C3EDC"/>
    <w:rsid w:val="002C4CAF"/>
    <w:rsid w:val="002D012D"/>
    <w:rsid w:val="002D2385"/>
    <w:rsid w:val="002D3824"/>
    <w:rsid w:val="002D5304"/>
    <w:rsid w:val="002D657D"/>
    <w:rsid w:val="002E1036"/>
    <w:rsid w:val="002E140E"/>
    <w:rsid w:val="002E3456"/>
    <w:rsid w:val="002E38DD"/>
    <w:rsid w:val="002E48D0"/>
    <w:rsid w:val="002E78C0"/>
    <w:rsid w:val="002F04F5"/>
    <w:rsid w:val="002F64D2"/>
    <w:rsid w:val="00300DBA"/>
    <w:rsid w:val="0030364B"/>
    <w:rsid w:val="0030495E"/>
    <w:rsid w:val="00305363"/>
    <w:rsid w:val="00306778"/>
    <w:rsid w:val="00306C1F"/>
    <w:rsid w:val="00311260"/>
    <w:rsid w:val="00311AFD"/>
    <w:rsid w:val="00313402"/>
    <w:rsid w:val="00320044"/>
    <w:rsid w:val="003207D5"/>
    <w:rsid w:val="00324427"/>
    <w:rsid w:val="00326AF0"/>
    <w:rsid w:val="00331B8C"/>
    <w:rsid w:val="00333811"/>
    <w:rsid w:val="00334459"/>
    <w:rsid w:val="00334B4C"/>
    <w:rsid w:val="003366C9"/>
    <w:rsid w:val="00336D02"/>
    <w:rsid w:val="003412A7"/>
    <w:rsid w:val="00343453"/>
    <w:rsid w:val="0034501A"/>
    <w:rsid w:val="003451DC"/>
    <w:rsid w:val="00346C77"/>
    <w:rsid w:val="00351068"/>
    <w:rsid w:val="00351428"/>
    <w:rsid w:val="003521EF"/>
    <w:rsid w:val="003524AF"/>
    <w:rsid w:val="00353AA9"/>
    <w:rsid w:val="00353CDB"/>
    <w:rsid w:val="003579F3"/>
    <w:rsid w:val="00357DBA"/>
    <w:rsid w:val="00361005"/>
    <w:rsid w:val="0036196D"/>
    <w:rsid w:val="00362F9B"/>
    <w:rsid w:val="00364A65"/>
    <w:rsid w:val="003654F9"/>
    <w:rsid w:val="00372B0E"/>
    <w:rsid w:val="003755CF"/>
    <w:rsid w:val="00381572"/>
    <w:rsid w:val="0038393D"/>
    <w:rsid w:val="0038445E"/>
    <w:rsid w:val="00384D90"/>
    <w:rsid w:val="00386498"/>
    <w:rsid w:val="003905C3"/>
    <w:rsid w:val="00390751"/>
    <w:rsid w:val="003933A7"/>
    <w:rsid w:val="0039432B"/>
    <w:rsid w:val="00394E15"/>
    <w:rsid w:val="003A0CD4"/>
    <w:rsid w:val="003A22B1"/>
    <w:rsid w:val="003A5BAC"/>
    <w:rsid w:val="003B017B"/>
    <w:rsid w:val="003B07E8"/>
    <w:rsid w:val="003B0E92"/>
    <w:rsid w:val="003B2214"/>
    <w:rsid w:val="003B2814"/>
    <w:rsid w:val="003B673C"/>
    <w:rsid w:val="003C0DD2"/>
    <w:rsid w:val="003D07CA"/>
    <w:rsid w:val="003D1795"/>
    <w:rsid w:val="003D7042"/>
    <w:rsid w:val="003E1209"/>
    <w:rsid w:val="003E1916"/>
    <w:rsid w:val="003E1D3E"/>
    <w:rsid w:val="003E2BB2"/>
    <w:rsid w:val="003E312A"/>
    <w:rsid w:val="003E42B6"/>
    <w:rsid w:val="003E527C"/>
    <w:rsid w:val="003F3008"/>
    <w:rsid w:val="003F309A"/>
    <w:rsid w:val="003F3571"/>
    <w:rsid w:val="003F4DC3"/>
    <w:rsid w:val="003F6790"/>
    <w:rsid w:val="0040280B"/>
    <w:rsid w:val="00402F74"/>
    <w:rsid w:val="0040437B"/>
    <w:rsid w:val="004074B6"/>
    <w:rsid w:val="004079C4"/>
    <w:rsid w:val="004146EC"/>
    <w:rsid w:val="00414DD9"/>
    <w:rsid w:val="004152C6"/>
    <w:rsid w:val="004154C8"/>
    <w:rsid w:val="00416950"/>
    <w:rsid w:val="0041708D"/>
    <w:rsid w:val="00420140"/>
    <w:rsid w:val="00421B36"/>
    <w:rsid w:val="0042334A"/>
    <w:rsid w:val="0042433A"/>
    <w:rsid w:val="0043232C"/>
    <w:rsid w:val="00436844"/>
    <w:rsid w:val="00437696"/>
    <w:rsid w:val="00437D9A"/>
    <w:rsid w:val="00446AB6"/>
    <w:rsid w:val="00455172"/>
    <w:rsid w:val="0045536E"/>
    <w:rsid w:val="0045601D"/>
    <w:rsid w:val="004562CD"/>
    <w:rsid w:val="004567B6"/>
    <w:rsid w:val="00457109"/>
    <w:rsid w:val="0045733E"/>
    <w:rsid w:val="004613E9"/>
    <w:rsid w:val="00461D47"/>
    <w:rsid w:val="00463465"/>
    <w:rsid w:val="00464F6A"/>
    <w:rsid w:val="0046691D"/>
    <w:rsid w:val="00467053"/>
    <w:rsid w:val="0047271B"/>
    <w:rsid w:val="004751D1"/>
    <w:rsid w:val="00475381"/>
    <w:rsid w:val="004756C6"/>
    <w:rsid w:val="00477645"/>
    <w:rsid w:val="00480E7A"/>
    <w:rsid w:val="00486834"/>
    <w:rsid w:val="0048688B"/>
    <w:rsid w:val="00490ECC"/>
    <w:rsid w:val="004953A8"/>
    <w:rsid w:val="004A01B8"/>
    <w:rsid w:val="004A249D"/>
    <w:rsid w:val="004A4831"/>
    <w:rsid w:val="004A4E8F"/>
    <w:rsid w:val="004A716E"/>
    <w:rsid w:val="004B0A40"/>
    <w:rsid w:val="004B11F2"/>
    <w:rsid w:val="004B2531"/>
    <w:rsid w:val="004B5296"/>
    <w:rsid w:val="004B6F97"/>
    <w:rsid w:val="004B7D4D"/>
    <w:rsid w:val="004C2B8D"/>
    <w:rsid w:val="004C6D06"/>
    <w:rsid w:val="004C6F51"/>
    <w:rsid w:val="004C7051"/>
    <w:rsid w:val="004D2BD1"/>
    <w:rsid w:val="004E3621"/>
    <w:rsid w:val="004E4BDB"/>
    <w:rsid w:val="004F1566"/>
    <w:rsid w:val="004F23D7"/>
    <w:rsid w:val="004F5479"/>
    <w:rsid w:val="004F78DE"/>
    <w:rsid w:val="00501237"/>
    <w:rsid w:val="00501C2C"/>
    <w:rsid w:val="00504939"/>
    <w:rsid w:val="00506B6B"/>
    <w:rsid w:val="00506D26"/>
    <w:rsid w:val="005073C9"/>
    <w:rsid w:val="005108EF"/>
    <w:rsid w:val="00510BF8"/>
    <w:rsid w:val="005112ED"/>
    <w:rsid w:val="00513E52"/>
    <w:rsid w:val="00515F20"/>
    <w:rsid w:val="005173B3"/>
    <w:rsid w:val="00517C51"/>
    <w:rsid w:val="00522895"/>
    <w:rsid w:val="0052343E"/>
    <w:rsid w:val="005313AA"/>
    <w:rsid w:val="005346CE"/>
    <w:rsid w:val="00534CEA"/>
    <w:rsid w:val="005358B8"/>
    <w:rsid w:val="00536F2F"/>
    <w:rsid w:val="00540E93"/>
    <w:rsid w:val="005425DC"/>
    <w:rsid w:val="0054625D"/>
    <w:rsid w:val="005462C6"/>
    <w:rsid w:val="00550608"/>
    <w:rsid w:val="00550BBF"/>
    <w:rsid w:val="00550C21"/>
    <w:rsid w:val="00555AF4"/>
    <w:rsid w:val="00555F37"/>
    <w:rsid w:val="0056053B"/>
    <w:rsid w:val="00560F66"/>
    <w:rsid w:val="0056657A"/>
    <w:rsid w:val="00567E6C"/>
    <w:rsid w:val="0057448B"/>
    <w:rsid w:val="00575694"/>
    <w:rsid w:val="005756D9"/>
    <w:rsid w:val="0057602F"/>
    <w:rsid w:val="00576A05"/>
    <w:rsid w:val="00577A6E"/>
    <w:rsid w:val="005822CF"/>
    <w:rsid w:val="00582A42"/>
    <w:rsid w:val="00583DD8"/>
    <w:rsid w:val="00584DB6"/>
    <w:rsid w:val="00587330"/>
    <w:rsid w:val="00590CC3"/>
    <w:rsid w:val="00592652"/>
    <w:rsid w:val="00593E47"/>
    <w:rsid w:val="005A24C0"/>
    <w:rsid w:val="005A7412"/>
    <w:rsid w:val="005B088B"/>
    <w:rsid w:val="005B4A54"/>
    <w:rsid w:val="005B7172"/>
    <w:rsid w:val="005C07F0"/>
    <w:rsid w:val="005C19E4"/>
    <w:rsid w:val="005C2732"/>
    <w:rsid w:val="005C625F"/>
    <w:rsid w:val="005C76DF"/>
    <w:rsid w:val="005D2027"/>
    <w:rsid w:val="005D3D58"/>
    <w:rsid w:val="005D7093"/>
    <w:rsid w:val="005E0CCF"/>
    <w:rsid w:val="005E1467"/>
    <w:rsid w:val="005E3658"/>
    <w:rsid w:val="005E4626"/>
    <w:rsid w:val="005E5CEF"/>
    <w:rsid w:val="005F4FF0"/>
    <w:rsid w:val="005F6C20"/>
    <w:rsid w:val="005F7F15"/>
    <w:rsid w:val="00600FC8"/>
    <w:rsid w:val="00605571"/>
    <w:rsid w:val="00605CA3"/>
    <w:rsid w:val="0060612A"/>
    <w:rsid w:val="00606447"/>
    <w:rsid w:val="006135AC"/>
    <w:rsid w:val="00614EB1"/>
    <w:rsid w:val="00615A14"/>
    <w:rsid w:val="00622E56"/>
    <w:rsid w:val="006238C8"/>
    <w:rsid w:val="00625BC9"/>
    <w:rsid w:val="00631461"/>
    <w:rsid w:val="006318DC"/>
    <w:rsid w:val="00632FA7"/>
    <w:rsid w:val="00633972"/>
    <w:rsid w:val="006341B5"/>
    <w:rsid w:val="0063430A"/>
    <w:rsid w:val="006345A8"/>
    <w:rsid w:val="00640485"/>
    <w:rsid w:val="00641E7A"/>
    <w:rsid w:val="00644069"/>
    <w:rsid w:val="0064524B"/>
    <w:rsid w:val="006475EA"/>
    <w:rsid w:val="0064779A"/>
    <w:rsid w:val="0065548E"/>
    <w:rsid w:val="00655DDD"/>
    <w:rsid w:val="00662663"/>
    <w:rsid w:val="006637DF"/>
    <w:rsid w:val="00664939"/>
    <w:rsid w:val="006665C2"/>
    <w:rsid w:val="006716B0"/>
    <w:rsid w:val="006719B7"/>
    <w:rsid w:val="00674919"/>
    <w:rsid w:val="00676868"/>
    <w:rsid w:val="006807AB"/>
    <w:rsid w:val="00686099"/>
    <w:rsid w:val="006931EB"/>
    <w:rsid w:val="006951BE"/>
    <w:rsid w:val="006963FC"/>
    <w:rsid w:val="006A081C"/>
    <w:rsid w:val="006A63A8"/>
    <w:rsid w:val="006B10A3"/>
    <w:rsid w:val="006B353C"/>
    <w:rsid w:val="006B3606"/>
    <w:rsid w:val="006B3AD3"/>
    <w:rsid w:val="006B57AA"/>
    <w:rsid w:val="006B7BC4"/>
    <w:rsid w:val="006C00D6"/>
    <w:rsid w:val="006C0635"/>
    <w:rsid w:val="006C325A"/>
    <w:rsid w:val="006C4071"/>
    <w:rsid w:val="006C63FD"/>
    <w:rsid w:val="006C65FA"/>
    <w:rsid w:val="006D0E36"/>
    <w:rsid w:val="006D1DA4"/>
    <w:rsid w:val="006D2AAD"/>
    <w:rsid w:val="006D31FA"/>
    <w:rsid w:val="006D3A3D"/>
    <w:rsid w:val="006D4572"/>
    <w:rsid w:val="006E056A"/>
    <w:rsid w:val="006E1243"/>
    <w:rsid w:val="006E314F"/>
    <w:rsid w:val="006E4B18"/>
    <w:rsid w:val="006E51BA"/>
    <w:rsid w:val="006E578F"/>
    <w:rsid w:val="006E5AFB"/>
    <w:rsid w:val="006E7F67"/>
    <w:rsid w:val="006F1736"/>
    <w:rsid w:val="006F48DA"/>
    <w:rsid w:val="006F7B1A"/>
    <w:rsid w:val="007065CC"/>
    <w:rsid w:val="00707926"/>
    <w:rsid w:val="00713A1F"/>
    <w:rsid w:val="00714DD9"/>
    <w:rsid w:val="00716389"/>
    <w:rsid w:val="007167B2"/>
    <w:rsid w:val="0071762C"/>
    <w:rsid w:val="007237DB"/>
    <w:rsid w:val="007250A1"/>
    <w:rsid w:val="0072529C"/>
    <w:rsid w:val="00726716"/>
    <w:rsid w:val="00726B76"/>
    <w:rsid w:val="00733EA4"/>
    <w:rsid w:val="007346BC"/>
    <w:rsid w:val="0073478B"/>
    <w:rsid w:val="00734B58"/>
    <w:rsid w:val="007367EF"/>
    <w:rsid w:val="00736AFC"/>
    <w:rsid w:val="00736B25"/>
    <w:rsid w:val="00736EF9"/>
    <w:rsid w:val="00740DEB"/>
    <w:rsid w:val="00742E93"/>
    <w:rsid w:val="00743F8B"/>
    <w:rsid w:val="00745311"/>
    <w:rsid w:val="0075257F"/>
    <w:rsid w:val="00757614"/>
    <w:rsid w:val="00763370"/>
    <w:rsid w:val="00766A0A"/>
    <w:rsid w:val="007726B6"/>
    <w:rsid w:val="00782690"/>
    <w:rsid w:val="00782FD0"/>
    <w:rsid w:val="00783088"/>
    <w:rsid w:val="007834B3"/>
    <w:rsid w:val="00784A29"/>
    <w:rsid w:val="00785275"/>
    <w:rsid w:val="007873BE"/>
    <w:rsid w:val="007901EF"/>
    <w:rsid w:val="007958AC"/>
    <w:rsid w:val="00797144"/>
    <w:rsid w:val="00797BB4"/>
    <w:rsid w:val="007A2FD0"/>
    <w:rsid w:val="007A3725"/>
    <w:rsid w:val="007A3914"/>
    <w:rsid w:val="007A4BD9"/>
    <w:rsid w:val="007A64D5"/>
    <w:rsid w:val="007A6B5B"/>
    <w:rsid w:val="007B1E98"/>
    <w:rsid w:val="007B2256"/>
    <w:rsid w:val="007B7356"/>
    <w:rsid w:val="007C15C8"/>
    <w:rsid w:val="007C2D4C"/>
    <w:rsid w:val="007C3E86"/>
    <w:rsid w:val="007C5894"/>
    <w:rsid w:val="007C6947"/>
    <w:rsid w:val="007C7E32"/>
    <w:rsid w:val="007D0BC3"/>
    <w:rsid w:val="007D0D7E"/>
    <w:rsid w:val="007D3E40"/>
    <w:rsid w:val="007D58ED"/>
    <w:rsid w:val="007D59DB"/>
    <w:rsid w:val="007D645E"/>
    <w:rsid w:val="007E012F"/>
    <w:rsid w:val="007E1E3D"/>
    <w:rsid w:val="007E4EC9"/>
    <w:rsid w:val="007E53F9"/>
    <w:rsid w:val="007E7BB0"/>
    <w:rsid w:val="007F36E5"/>
    <w:rsid w:val="007F786A"/>
    <w:rsid w:val="00800589"/>
    <w:rsid w:val="00802BE3"/>
    <w:rsid w:val="00804495"/>
    <w:rsid w:val="0080487D"/>
    <w:rsid w:val="008066F5"/>
    <w:rsid w:val="00807734"/>
    <w:rsid w:val="008077B7"/>
    <w:rsid w:val="00810084"/>
    <w:rsid w:val="00810A5C"/>
    <w:rsid w:val="008118C7"/>
    <w:rsid w:val="008121BE"/>
    <w:rsid w:val="00817CDF"/>
    <w:rsid w:val="008205D6"/>
    <w:rsid w:val="008214D7"/>
    <w:rsid w:val="008231A5"/>
    <w:rsid w:val="0082635F"/>
    <w:rsid w:val="00832F91"/>
    <w:rsid w:val="00834812"/>
    <w:rsid w:val="00836F1C"/>
    <w:rsid w:val="00837691"/>
    <w:rsid w:val="0084147C"/>
    <w:rsid w:val="008501C4"/>
    <w:rsid w:val="00851E56"/>
    <w:rsid w:val="00853E9C"/>
    <w:rsid w:val="00861504"/>
    <w:rsid w:val="00861ECB"/>
    <w:rsid w:val="00861F97"/>
    <w:rsid w:val="00862F1A"/>
    <w:rsid w:val="0087657A"/>
    <w:rsid w:val="0087776B"/>
    <w:rsid w:val="00884603"/>
    <w:rsid w:val="00890AD7"/>
    <w:rsid w:val="00891146"/>
    <w:rsid w:val="00895653"/>
    <w:rsid w:val="0089594C"/>
    <w:rsid w:val="00896CA2"/>
    <w:rsid w:val="008A1E60"/>
    <w:rsid w:val="008A262F"/>
    <w:rsid w:val="008A436A"/>
    <w:rsid w:val="008A568D"/>
    <w:rsid w:val="008A71E1"/>
    <w:rsid w:val="008AD305"/>
    <w:rsid w:val="008B159F"/>
    <w:rsid w:val="008B4E74"/>
    <w:rsid w:val="008B580C"/>
    <w:rsid w:val="008B5B07"/>
    <w:rsid w:val="008B6280"/>
    <w:rsid w:val="008C02AF"/>
    <w:rsid w:val="008C19CD"/>
    <w:rsid w:val="008C7F7E"/>
    <w:rsid w:val="008D1841"/>
    <w:rsid w:val="008D2DD9"/>
    <w:rsid w:val="008D555D"/>
    <w:rsid w:val="008E1824"/>
    <w:rsid w:val="008E45AC"/>
    <w:rsid w:val="008E569B"/>
    <w:rsid w:val="008E575F"/>
    <w:rsid w:val="008E5CF8"/>
    <w:rsid w:val="008E6450"/>
    <w:rsid w:val="008F01A5"/>
    <w:rsid w:val="008F2150"/>
    <w:rsid w:val="008F53C8"/>
    <w:rsid w:val="008F55F0"/>
    <w:rsid w:val="008F5A82"/>
    <w:rsid w:val="008F71E2"/>
    <w:rsid w:val="008F7AAB"/>
    <w:rsid w:val="0090050E"/>
    <w:rsid w:val="009026A8"/>
    <w:rsid w:val="009067AB"/>
    <w:rsid w:val="009068D9"/>
    <w:rsid w:val="00906BF2"/>
    <w:rsid w:val="00907059"/>
    <w:rsid w:val="00907C1E"/>
    <w:rsid w:val="00910EED"/>
    <w:rsid w:val="00920027"/>
    <w:rsid w:val="00920E13"/>
    <w:rsid w:val="00925C48"/>
    <w:rsid w:val="00927C3D"/>
    <w:rsid w:val="0093005B"/>
    <w:rsid w:val="00934003"/>
    <w:rsid w:val="00936D7C"/>
    <w:rsid w:val="00940388"/>
    <w:rsid w:val="00941907"/>
    <w:rsid w:val="00942B7B"/>
    <w:rsid w:val="009505C5"/>
    <w:rsid w:val="00953A29"/>
    <w:rsid w:val="009541A4"/>
    <w:rsid w:val="009550DF"/>
    <w:rsid w:val="009566A0"/>
    <w:rsid w:val="00957CB3"/>
    <w:rsid w:val="00960CCF"/>
    <w:rsid w:val="00960E8F"/>
    <w:rsid w:val="00962404"/>
    <w:rsid w:val="00962D01"/>
    <w:rsid w:val="00965051"/>
    <w:rsid w:val="009670CB"/>
    <w:rsid w:val="009675E5"/>
    <w:rsid w:val="00967727"/>
    <w:rsid w:val="009703E6"/>
    <w:rsid w:val="0097047A"/>
    <w:rsid w:val="00970485"/>
    <w:rsid w:val="0097108C"/>
    <w:rsid w:val="0097320F"/>
    <w:rsid w:val="0097373A"/>
    <w:rsid w:val="009761E4"/>
    <w:rsid w:val="00977597"/>
    <w:rsid w:val="009800E7"/>
    <w:rsid w:val="0098032C"/>
    <w:rsid w:val="0098389C"/>
    <w:rsid w:val="00983A36"/>
    <w:rsid w:val="00983BF3"/>
    <w:rsid w:val="0098479A"/>
    <w:rsid w:val="0098727C"/>
    <w:rsid w:val="00990400"/>
    <w:rsid w:val="00990948"/>
    <w:rsid w:val="0099532E"/>
    <w:rsid w:val="0099596E"/>
    <w:rsid w:val="00995B4B"/>
    <w:rsid w:val="00996835"/>
    <w:rsid w:val="0099786B"/>
    <w:rsid w:val="009978C7"/>
    <w:rsid w:val="009A02C4"/>
    <w:rsid w:val="009A0CB2"/>
    <w:rsid w:val="009A16FF"/>
    <w:rsid w:val="009A2046"/>
    <w:rsid w:val="009A4D20"/>
    <w:rsid w:val="009B4667"/>
    <w:rsid w:val="009B6839"/>
    <w:rsid w:val="009C2849"/>
    <w:rsid w:val="009C2B9F"/>
    <w:rsid w:val="009C47AE"/>
    <w:rsid w:val="009C4C83"/>
    <w:rsid w:val="009C5D74"/>
    <w:rsid w:val="009C6445"/>
    <w:rsid w:val="009C757C"/>
    <w:rsid w:val="009D02CB"/>
    <w:rsid w:val="009D0E12"/>
    <w:rsid w:val="009D3B82"/>
    <w:rsid w:val="009D3CED"/>
    <w:rsid w:val="009D56C5"/>
    <w:rsid w:val="009E0EC9"/>
    <w:rsid w:val="009F4709"/>
    <w:rsid w:val="009F5376"/>
    <w:rsid w:val="00A017EC"/>
    <w:rsid w:val="00A02B73"/>
    <w:rsid w:val="00A0487E"/>
    <w:rsid w:val="00A060A6"/>
    <w:rsid w:val="00A072D8"/>
    <w:rsid w:val="00A1181B"/>
    <w:rsid w:val="00A11B96"/>
    <w:rsid w:val="00A1350B"/>
    <w:rsid w:val="00A1415E"/>
    <w:rsid w:val="00A16A97"/>
    <w:rsid w:val="00A17CAD"/>
    <w:rsid w:val="00A2328E"/>
    <w:rsid w:val="00A25186"/>
    <w:rsid w:val="00A278FF"/>
    <w:rsid w:val="00A313B9"/>
    <w:rsid w:val="00A327D9"/>
    <w:rsid w:val="00A32D44"/>
    <w:rsid w:val="00A334BD"/>
    <w:rsid w:val="00A3619A"/>
    <w:rsid w:val="00A371EB"/>
    <w:rsid w:val="00A41D32"/>
    <w:rsid w:val="00A42A5F"/>
    <w:rsid w:val="00A442D0"/>
    <w:rsid w:val="00A451A5"/>
    <w:rsid w:val="00A475B8"/>
    <w:rsid w:val="00A528C4"/>
    <w:rsid w:val="00A571DD"/>
    <w:rsid w:val="00A5731F"/>
    <w:rsid w:val="00A57CA6"/>
    <w:rsid w:val="00A60A56"/>
    <w:rsid w:val="00A61630"/>
    <w:rsid w:val="00A620B9"/>
    <w:rsid w:val="00A628CD"/>
    <w:rsid w:val="00A6349C"/>
    <w:rsid w:val="00A63641"/>
    <w:rsid w:val="00A6669A"/>
    <w:rsid w:val="00A67971"/>
    <w:rsid w:val="00A74410"/>
    <w:rsid w:val="00A7627B"/>
    <w:rsid w:val="00A810CB"/>
    <w:rsid w:val="00A81588"/>
    <w:rsid w:val="00A81BF4"/>
    <w:rsid w:val="00A820BE"/>
    <w:rsid w:val="00A83243"/>
    <w:rsid w:val="00A84F9F"/>
    <w:rsid w:val="00A851AC"/>
    <w:rsid w:val="00A85B0C"/>
    <w:rsid w:val="00A86393"/>
    <w:rsid w:val="00A908B4"/>
    <w:rsid w:val="00A94DB5"/>
    <w:rsid w:val="00AA0937"/>
    <w:rsid w:val="00AA3D19"/>
    <w:rsid w:val="00AA4C75"/>
    <w:rsid w:val="00AB21A6"/>
    <w:rsid w:val="00AC0E7E"/>
    <w:rsid w:val="00AC205F"/>
    <w:rsid w:val="00AC3A21"/>
    <w:rsid w:val="00AD0CC7"/>
    <w:rsid w:val="00AD1599"/>
    <w:rsid w:val="00AD4500"/>
    <w:rsid w:val="00AE0D9E"/>
    <w:rsid w:val="00AE0F27"/>
    <w:rsid w:val="00AE545C"/>
    <w:rsid w:val="00AE651F"/>
    <w:rsid w:val="00AE669B"/>
    <w:rsid w:val="00AE7475"/>
    <w:rsid w:val="00AE77F0"/>
    <w:rsid w:val="00AF15CB"/>
    <w:rsid w:val="00AF1D72"/>
    <w:rsid w:val="00AF2E97"/>
    <w:rsid w:val="00AF5960"/>
    <w:rsid w:val="00AF6BA8"/>
    <w:rsid w:val="00B027E8"/>
    <w:rsid w:val="00B02BBE"/>
    <w:rsid w:val="00B05AAC"/>
    <w:rsid w:val="00B101BC"/>
    <w:rsid w:val="00B10786"/>
    <w:rsid w:val="00B10E3F"/>
    <w:rsid w:val="00B1110A"/>
    <w:rsid w:val="00B14CDA"/>
    <w:rsid w:val="00B15CAB"/>
    <w:rsid w:val="00B16F90"/>
    <w:rsid w:val="00B22D6C"/>
    <w:rsid w:val="00B22E9A"/>
    <w:rsid w:val="00B231B8"/>
    <w:rsid w:val="00B265E3"/>
    <w:rsid w:val="00B2670A"/>
    <w:rsid w:val="00B306D8"/>
    <w:rsid w:val="00B30D21"/>
    <w:rsid w:val="00B32E80"/>
    <w:rsid w:val="00B34E11"/>
    <w:rsid w:val="00B36D04"/>
    <w:rsid w:val="00B4415D"/>
    <w:rsid w:val="00B44E33"/>
    <w:rsid w:val="00B44F99"/>
    <w:rsid w:val="00B472EA"/>
    <w:rsid w:val="00B50914"/>
    <w:rsid w:val="00B63B41"/>
    <w:rsid w:val="00B63D0F"/>
    <w:rsid w:val="00B64EB3"/>
    <w:rsid w:val="00B7151D"/>
    <w:rsid w:val="00B716EC"/>
    <w:rsid w:val="00B72F43"/>
    <w:rsid w:val="00B74DA5"/>
    <w:rsid w:val="00B83188"/>
    <w:rsid w:val="00B85A24"/>
    <w:rsid w:val="00B862A3"/>
    <w:rsid w:val="00B87801"/>
    <w:rsid w:val="00B901A4"/>
    <w:rsid w:val="00B904BF"/>
    <w:rsid w:val="00B92B5D"/>
    <w:rsid w:val="00B92F85"/>
    <w:rsid w:val="00B93405"/>
    <w:rsid w:val="00BA026F"/>
    <w:rsid w:val="00BA4675"/>
    <w:rsid w:val="00BA4D2B"/>
    <w:rsid w:val="00BA4ED6"/>
    <w:rsid w:val="00BA7653"/>
    <w:rsid w:val="00BB24AA"/>
    <w:rsid w:val="00BB2DC9"/>
    <w:rsid w:val="00BC0553"/>
    <w:rsid w:val="00BC1058"/>
    <w:rsid w:val="00BD0F90"/>
    <w:rsid w:val="00BD67C3"/>
    <w:rsid w:val="00BD78C4"/>
    <w:rsid w:val="00BE174E"/>
    <w:rsid w:val="00BE2002"/>
    <w:rsid w:val="00BE3EA9"/>
    <w:rsid w:val="00BE584F"/>
    <w:rsid w:val="00BF0098"/>
    <w:rsid w:val="00BF0C5F"/>
    <w:rsid w:val="00BF1D2F"/>
    <w:rsid w:val="00C01599"/>
    <w:rsid w:val="00C024DC"/>
    <w:rsid w:val="00C078ED"/>
    <w:rsid w:val="00C07DED"/>
    <w:rsid w:val="00C10CF7"/>
    <w:rsid w:val="00C11392"/>
    <w:rsid w:val="00C142A1"/>
    <w:rsid w:val="00C15047"/>
    <w:rsid w:val="00C16129"/>
    <w:rsid w:val="00C204D9"/>
    <w:rsid w:val="00C26B68"/>
    <w:rsid w:val="00C340D1"/>
    <w:rsid w:val="00C341F5"/>
    <w:rsid w:val="00C34AD6"/>
    <w:rsid w:val="00C42384"/>
    <w:rsid w:val="00C44DA5"/>
    <w:rsid w:val="00C44E74"/>
    <w:rsid w:val="00C45C0E"/>
    <w:rsid w:val="00C467E7"/>
    <w:rsid w:val="00C50C43"/>
    <w:rsid w:val="00C51DFF"/>
    <w:rsid w:val="00C52653"/>
    <w:rsid w:val="00C5588C"/>
    <w:rsid w:val="00C55A68"/>
    <w:rsid w:val="00C718EF"/>
    <w:rsid w:val="00C74C00"/>
    <w:rsid w:val="00C77DC1"/>
    <w:rsid w:val="00C80919"/>
    <w:rsid w:val="00C84363"/>
    <w:rsid w:val="00C87A9F"/>
    <w:rsid w:val="00C91737"/>
    <w:rsid w:val="00C917D0"/>
    <w:rsid w:val="00C95F4C"/>
    <w:rsid w:val="00CA1604"/>
    <w:rsid w:val="00CA248A"/>
    <w:rsid w:val="00CA6181"/>
    <w:rsid w:val="00CA71A3"/>
    <w:rsid w:val="00CB33C7"/>
    <w:rsid w:val="00CB3B0F"/>
    <w:rsid w:val="00CB4B17"/>
    <w:rsid w:val="00CB4C36"/>
    <w:rsid w:val="00CB50EB"/>
    <w:rsid w:val="00CB5EF5"/>
    <w:rsid w:val="00CB75FF"/>
    <w:rsid w:val="00CC14C0"/>
    <w:rsid w:val="00CC1C24"/>
    <w:rsid w:val="00CC440E"/>
    <w:rsid w:val="00CD0BA0"/>
    <w:rsid w:val="00CD240B"/>
    <w:rsid w:val="00CD485F"/>
    <w:rsid w:val="00CD4B6E"/>
    <w:rsid w:val="00CE1591"/>
    <w:rsid w:val="00CE483D"/>
    <w:rsid w:val="00CE6551"/>
    <w:rsid w:val="00CE68B1"/>
    <w:rsid w:val="00CE7AD3"/>
    <w:rsid w:val="00CF389D"/>
    <w:rsid w:val="00CF5664"/>
    <w:rsid w:val="00CF65EE"/>
    <w:rsid w:val="00CF661F"/>
    <w:rsid w:val="00CF6C69"/>
    <w:rsid w:val="00CF6DEC"/>
    <w:rsid w:val="00CF7EB8"/>
    <w:rsid w:val="00D010CA"/>
    <w:rsid w:val="00D014CE"/>
    <w:rsid w:val="00D0672E"/>
    <w:rsid w:val="00D07033"/>
    <w:rsid w:val="00D0733C"/>
    <w:rsid w:val="00D10688"/>
    <w:rsid w:val="00D11E10"/>
    <w:rsid w:val="00D134E8"/>
    <w:rsid w:val="00D150CB"/>
    <w:rsid w:val="00D17FBF"/>
    <w:rsid w:val="00D206D8"/>
    <w:rsid w:val="00D20710"/>
    <w:rsid w:val="00D20C5E"/>
    <w:rsid w:val="00D20FFD"/>
    <w:rsid w:val="00D21FF1"/>
    <w:rsid w:val="00D22776"/>
    <w:rsid w:val="00D22E04"/>
    <w:rsid w:val="00D232E5"/>
    <w:rsid w:val="00D30534"/>
    <w:rsid w:val="00D31B75"/>
    <w:rsid w:val="00D333B3"/>
    <w:rsid w:val="00D35AB4"/>
    <w:rsid w:val="00D35EDB"/>
    <w:rsid w:val="00D45014"/>
    <w:rsid w:val="00D46050"/>
    <w:rsid w:val="00D52C30"/>
    <w:rsid w:val="00D52DE6"/>
    <w:rsid w:val="00D664D9"/>
    <w:rsid w:val="00D66CE1"/>
    <w:rsid w:val="00D711AE"/>
    <w:rsid w:val="00D73F52"/>
    <w:rsid w:val="00D741C5"/>
    <w:rsid w:val="00D74D54"/>
    <w:rsid w:val="00D75B5E"/>
    <w:rsid w:val="00D767E0"/>
    <w:rsid w:val="00D802AB"/>
    <w:rsid w:val="00D80EC0"/>
    <w:rsid w:val="00D80F9A"/>
    <w:rsid w:val="00D81AE7"/>
    <w:rsid w:val="00D83A2A"/>
    <w:rsid w:val="00D90AF8"/>
    <w:rsid w:val="00D941B5"/>
    <w:rsid w:val="00D95D6C"/>
    <w:rsid w:val="00D96CF4"/>
    <w:rsid w:val="00D97F1B"/>
    <w:rsid w:val="00DA2FFA"/>
    <w:rsid w:val="00DA304C"/>
    <w:rsid w:val="00DA7575"/>
    <w:rsid w:val="00DA7E87"/>
    <w:rsid w:val="00DB139E"/>
    <w:rsid w:val="00DB3E53"/>
    <w:rsid w:val="00DB669E"/>
    <w:rsid w:val="00DB6A37"/>
    <w:rsid w:val="00DC41DD"/>
    <w:rsid w:val="00DC5AF2"/>
    <w:rsid w:val="00DC732C"/>
    <w:rsid w:val="00DD0AE8"/>
    <w:rsid w:val="00DD1E13"/>
    <w:rsid w:val="00DD2B26"/>
    <w:rsid w:val="00DD449A"/>
    <w:rsid w:val="00DD47E6"/>
    <w:rsid w:val="00DD49AA"/>
    <w:rsid w:val="00DD526B"/>
    <w:rsid w:val="00DD5506"/>
    <w:rsid w:val="00DD72B1"/>
    <w:rsid w:val="00DD73DC"/>
    <w:rsid w:val="00DD7B70"/>
    <w:rsid w:val="00DE2078"/>
    <w:rsid w:val="00DE37FD"/>
    <w:rsid w:val="00DE3B8B"/>
    <w:rsid w:val="00DE58DB"/>
    <w:rsid w:val="00DE5B6B"/>
    <w:rsid w:val="00DF3618"/>
    <w:rsid w:val="00DF3AE9"/>
    <w:rsid w:val="00DF607A"/>
    <w:rsid w:val="00DF69D0"/>
    <w:rsid w:val="00DF7756"/>
    <w:rsid w:val="00E0306D"/>
    <w:rsid w:val="00E03A10"/>
    <w:rsid w:val="00E06BB6"/>
    <w:rsid w:val="00E1239A"/>
    <w:rsid w:val="00E14A6F"/>
    <w:rsid w:val="00E17BD5"/>
    <w:rsid w:val="00E200E9"/>
    <w:rsid w:val="00E2013F"/>
    <w:rsid w:val="00E2682E"/>
    <w:rsid w:val="00E3083D"/>
    <w:rsid w:val="00E33A5B"/>
    <w:rsid w:val="00E33E3A"/>
    <w:rsid w:val="00E33F55"/>
    <w:rsid w:val="00E35F5D"/>
    <w:rsid w:val="00E4057F"/>
    <w:rsid w:val="00E40EE5"/>
    <w:rsid w:val="00E411EC"/>
    <w:rsid w:val="00E42B6B"/>
    <w:rsid w:val="00E45432"/>
    <w:rsid w:val="00E4550A"/>
    <w:rsid w:val="00E4597B"/>
    <w:rsid w:val="00E45FED"/>
    <w:rsid w:val="00E46FCC"/>
    <w:rsid w:val="00E5150A"/>
    <w:rsid w:val="00E5617F"/>
    <w:rsid w:val="00E56DEE"/>
    <w:rsid w:val="00E57377"/>
    <w:rsid w:val="00E663D8"/>
    <w:rsid w:val="00E670F1"/>
    <w:rsid w:val="00E67980"/>
    <w:rsid w:val="00E73748"/>
    <w:rsid w:val="00E77ED5"/>
    <w:rsid w:val="00E83137"/>
    <w:rsid w:val="00E8373F"/>
    <w:rsid w:val="00E9087C"/>
    <w:rsid w:val="00E91521"/>
    <w:rsid w:val="00E92195"/>
    <w:rsid w:val="00E95B94"/>
    <w:rsid w:val="00E95EE2"/>
    <w:rsid w:val="00EA0779"/>
    <w:rsid w:val="00EA1B30"/>
    <w:rsid w:val="00EA35D6"/>
    <w:rsid w:val="00EA3C32"/>
    <w:rsid w:val="00EA3E08"/>
    <w:rsid w:val="00EA4F9E"/>
    <w:rsid w:val="00EB018A"/>
    <w:rsid w:val="00EB1611"/>
    <w:rsid w:val="00EB2626"/>
    <w:rsid w:val="00EB7615"/>
    <w:rsid w:val="00EC0211"/>
    <w:rsid w:val="00EC0627"/>
    <w:rsid w:val="00EC39F7"/>
    <w:rsid w:val="00EC474C"/>
    <w:rsid w:val="00EC76C9"/>
    <w:rsid w:val="00ED468F"/>
    <w:rsid w:val="00ED4922"/>
    <w:rsid w:val="00EE341A"/>
    <w:rsid w:val="00EF5C05"/>
    <w:rsid w:val="00EF76E1"/>
    <w:rsid w:val="00F0152D"/>
    <w:rsid w:val="00F02CDC"/>
    <w:rsid w:val="00F04BB3"/>
    <w:rsid w:val="00F071BA"/>
    <w:rsid w:val="00F10670"/>
    <w:rsid w:val="00F12313"/>
    <w:rsid w:val="00F1275A"/>
    <w:rsid w:val="00F1598C"/>
    <w:rsid w:val="00F15ACC"/>
    <w:rsid w:val="00F16573"/>
    <w:rsid w:val="00F21D03"/>
    <w:rsid w:val="00F25052"/>
    <w:rsid w:val="00F27F23"/>
    <w:rsid w:val="00F30A19"/>
    <w:rsid w:val="00F30EF9"/>
    <w:rsid w:val="00F327B8"/>
    <w:rsid w:val="00F3428D"/>
    <w:rsid w:val="00F35355"/>
    <w:rsid w:val="00F43F04"/>
    <w:rsid w:val="00F440D2"/>
    <w:rsid w:val="00F46389"/>
    <w:rsid w:val="00F52F0F"/>
    <w:rsid w:val="00F566B4"/>
    <w:rsid w:val="00F62087"/>
    <w:rsid w:val="00F6289B"/>
    <w:rsid w:val="00F70733"/>
    <w:rsid w:val="00F71E92"/>
    <w:rsid w:val="00F72714"/>
    <w:rsid w:val="00F728B1"/>
    <w:rsid w:val="00F75708"/>
    <w:rsid w:val="00F7611E"/>
    <w:rsid w:val="00F762DB"/>
    <w:rsid w:val="00F808A2"/>
    <w:rsid w:val="00F84F1B"/>
    <w:rsid w:val="00F868C0"/>
    <w:rsid w:val="00F8769F"/>
    <w:rsid w:val="00F9011F"/>
    <w:rsid w:val="00F926DD"/>
    <w:rsid w:val="00F93ED0"/>
    <w:rsid w:val="00F96A7F"/>
    <w:rsid w:val="00F97D2F"/>
    <w:rsid w:val="00FA1774"/>
    <w:rsid w:val="00FA2C88"/>
    <w:rsid w:val="00FA3359"/>
    <w:rsid w:val="00FA3603"/>
    <w:rsid w:val="00FB13B4"/>
    <w:rsid w:val="00FB29E0"/>
    <w:rsid w:val="00FB3EE0"/>
    <w:rsid w:val="00FC0CED"/>
    <w:rsid w:val="00FC30B8"/>
    <w:rsid w:val="00FD13E4"/>
    <w:rsid w:val="00FD3606"/>
    <w:rsid w:val="00FD5648"/>
    <w:rsid w:val="00FD588A"/>
    <w:rsid w:val="00FD5C6E"/>
    <w:rsid w:val="00FD5DDE"/>
    <w:rsid w:val="00FE0B1E"/>
    <w:rsid w:val="00FE329F"/>
    <w:rsid w:val="00FE3B6D"/>
    <w:rsid w:val="00FE6BB8"/>
    <w:rsid w:val="00FF43FD"/>
    <w:rsid w:val="00FF62C8"/>
    <w:rsid w:val="00FF65F3"/>
    <w:rsid w:val="02B3FF32"/>
    <w:rsid w:val="03C8A3BA"/>
    <w:rsid w:val="0436074E"/>
    <w:rsid w:val="04E3F67F"/>
    <w:rsid w:val="055442E7"/>
    <w:rsid w:val="082E3B5C"/>
    <w:rsid w:val="09A411E3"/>
    <w:rsid w:val="0A1CC94D"/>
    <w:rsid w:val="0A48B884"/>
    <w:rsid w:val="0B41F815"/>
    <w:rsid w:val="0B90AE30"/>
    <w:rsid w:val="0C80A27E"/>
    <w:rsid w:val="0CFD157F"/>
    <w:rsid w:val="0D74E0A1"/>
    <w:rsid w:val="0FA3414C"/>
    <w:rsid w:val="11D75128"/>
    <w:rsid w:val="12053631"/>
    <w:rsid w:val="1254DD3E"/>
    <w:rsid w:val="12C35A47"/>
    <w:rsid w:val="1419CF9D"/>
    <w:rsid w:val="15B65AD8"/>
    <w:rsid w:val="16BDB3B6"/>
    <w:rsid w:val="1830133E"/>
    <w:rsid w:val="1B23FB44"/>
    <w:rsid w:val="1BB75CB2"/>
    <w:rsid w:val="1CA67BD7"/>
    <w:rsid w:val="1EE7C689"/>
    <w:rsid w:val="1FF1AB49"/>
    <w:rsid w:val="22B95475"/>
    <w:rsid w:val="2364873B"/>
    <w:rsid w:val="246F4E3A"/>
    <w:rsid w:val="24F81A24"/>
    <w:rsid w:val="25F2B01F"/>
    <w:rsid w:val="2722D920"/>
    <w:rsid w:val="28666EFD"/>
    <w:rsid w:val="28B25769"/>
    <w:rsid w:val="2D95BC4C"/>
    <w:rsid w:val="2F4F15D5"/>
    <w:rsid w:val="30D9A1DF"/>
    <w:rsid w:val="3106DFA7"/>
    <w:rsid w:val="3196DAAF"/>
    <w:rsid w:val="33C18117"/>
    <w:rsid w:val="34055C6F"/>
    <w:rsid w:val="3514F4C2"/>
    <w:rsid w:val="35EDC318"/>
    <w:rsid w:val="37847736"/>
    <w:rsid w:val="37FC126D"/>
    <w:rsid w:val="3D6C2E5A"/>
    <w:rsid w:val="3DC537F7"/>
    <w:rsid w:val="3EAB5F3B"/>
    <w:rsid w:val="3F2B3203"/>
    <w:rsid w:val="400EFAC8"/>
    <w:rsid w:val="40355701"/>
    <w:rsid w:val="403AB2B2"/>
    <w:rsid w:val="41828561"/>
    <w:rsid w:val="439A2EC6"/>
    <w:rsid w:val="43F7BF63"/>
    <w:rsid w:val="44D9B070"/>
    <w:rsid w:val="450E54DD"/>
    <w:rsid w:val="4845D55C"/>
    <w:rsid w:val="49065031"/>
    <w:rsid w:val="49728D6E"/>
    <w:rsid w:val="4AE57CB4"/>
    <w:rsid w:val="4B2D05D3"/>
    <w:rsid w:val="4CE21935"/>
    <w:rsid w:val="4D2A494E"/>
    <w:rsid w:val="4F8E001C"/>
    <w:rsid w:val="537A3CE1"/>
    <w:rsid w:val="5417A0A4"/>
    <w:rsid w:val="55449520"/>
    <w:rsid w:val="55C7A15A"/>
    <w:rsid w:val="56024DE8"/>
    <w:rsid w:val="582D7A18"/>
    <w:rsid w:val="587BC33B"/>
    <w:rsid w:val="58984D20"/>
    <w:rsid w:val="59EF3665"/>
    <w:rsid w:val="5B014E55"/>
    <w:rsid w:val="5B4AB532"/>
    <w:rsid w:val="5E828BDF"/>
    <w:rsid w:val="60BDF5EE"/>
    <w:rsid w:val="6613FAB9"/>
    <w:rsid w:val="6835F4FF"/>
    <w:rsid w:val="69411795"/>
    <w:rsid w:val="69BDE708"/>
    <w:rsid w:val="6AC89E6C"/>
    <w:rsid w:val="6CBB339D"/>
    <w:rsid w:val="6F46DF1D"/>
    <w:rsid w:val="70738430"/>
    <w:rsid w:val="709BE4A5"/>
    <w:rsid w:val="7210A698"/>
    <w:rsid w:val="727824C0"/>
    <w:rsid w:val="7521D3F6"/>
    <w:rsid w:val="75E2C0F3"/>
    <w:rsid w:val="76719152"/>
    <w:rsid w:val="76E8BBCE"/>
    <w:rsid w:val="79BA5C7F"/>
    <w:rsid w:val="79EA8A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E6FD"/>
  <w14:defaultImageDpi w14:val="32767"/>
  <w15:chartTrackingRefBased/>
  <w15:docId w15:val="{FCBD96EB-8626-4CE6-8873-D476ADC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7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AC5"/>
    <w:pPr>
      <w:spacing w:before="100" w:beforeAutospacing="1" w:after="100" w:afterAutospacing="1"/>
    </w:pPr>
    <w:rPr>
      <w:rFonts w:ascii="Times New Roman" w:eastAsia="Times New Roman" w:hAnsi="Times New Roman" w:cs="Times New Roman"/>
      <w:lang w:eastAsia="fr-CA"/>
    </w:rPr>
  </w:style>
  <w:style w:type="table" w:styleId="TableGrid">
    <w:name w:val="Table Grid"/>
    <w:basedOn w:val="TableNormal"/>
    <w:uiPriority w:val="59"/>
    <w:rsid w:val="00CF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32D44"/>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3E2BB2"/>
    <w:rPr>
      <w:sz w:val="16"/>
      <w:szCs w:val="16"/>
    </w:rPr>
  </w:style>
  <w:style w:type="paragraph" w:styleId="CommentText">
    <w:name w:val="annotation text"/>
    <w:basedOn w:val="Normal"/>
    <w:link w:val="CommentTextChar"/>
    <w:uiPriority w:val="99"/>
    <w:unhideWhenUsed/>
    <w:rsid w:val="003E2BB2"/>
    <w:rPr>
      <w:sz w:val="20"/>
      <w:szCs w:val="20"/>
    </w:rPr>
  </w:style>
  <w:style w:type="character" w:customStyle="1" w:styleId="CommentTextChar">
    <w:name w:val="Comment Text Char"/>
    <w:basedOn w:val="DefaultParagraphFont"/>
    <w:link w:val="CommentText"/>
    <w:uiPriority w:val="99"/>
    <w:rsid w:val="003E2BB2"/>
    <w:rPr>
      <w:sz w:val="20"/>
      <w:szCs w:val="20"/>
    </w:rPr>
  </w:style>
  <w:style w:type="paragraph" w:styleId="CommentSubject">
    <w:name w:val="annotation subject"/>
    <w:basedOn w:val="CommentText"/>
    <w:next w:val="CommentText"/>
    <w:link w:val="CommentSubjectChar"/>
    <w:uiPriority w:val="99"/>
    <w:semiHidden/>
    <w:unhideWhenUsed/>
    <w:rsid w:val="003E2BB2"/>
    <w:rPr>
      <w:b/>
      <w:bCs/>
    </w:rPr>
  </w:style>
  <w:style w:type="character" w:customStyle="1" w:styleId="CommentSubjectChar">
    <w:name w:val="Comment Subject Char"/>
    <w:basedOn w:val="CommentTextChar"/>
    <w:link w:val="CommentSubject"/>
    <w:uiPriority w:val="99"/>
    <w:semiHidden/>
    <w:rsid w:val="003E2BB2"/>
    <w:rPr>
      <w:b/>
      <w:bCs/>
      <w:sz w:val="20"/>
      <w:szCs w:val="20"/>
    </w:rPr>
  </w:style>
  <w:style w:type="paragraph" w:styleId="BalloonText">
    <w:name w:val="Balloon Text"/>
    <w:basedOn w:val="Normal"/>
    <w:link w:val="BalloonTextChar"/>
    <w:uiPriority w:val="99"/>
    <w:semiHidden/>
    <w:unhideWhenUsed/>
    <w:rsid w:val="003E2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2"/>
    <w:rPr>
      <w:rFonts w:ascii="Segoe UI" w:hAnsi="Segoe UI" w:cs="Segoe UI"/>
      <w:sz w:val="18"/>
      <w:szCs w:val="18"/>
    </w:rPr>
  </w:style>
  <w:style w:type="character" w:styleId="Hyperlink">
    <w:name w:val="Hyperlink"/>
    <w:basedOn w:val="DefaultParagraphFont"/>
    <w:uiPriority w:val="99"/>
    <w:unhideWhenUsed/>
    <w:rsid w:val="00582A42"/>
    <w:rPr>
      <w:color w:val="0000FF"/>
      <w:u w:val="single"/>
    </w:rPr>
  </w:style>
  <w:style w:type="character" w:styleId="FollowedHyperlink">
    <w:name w:val="FollowedHyperlink"/>
    <w:basedOn w:val="DefaultParagraphFont"/>
    <w:uiPriority w:val="99"/>
    <w:semiHidden/>
    <w:unhideWhenUsed/>
    <w:rsid w:val="006C4071"/>
    <w:rPr>
      <w:color w:val="954F72" w:themeColor="followedHyperlink"/>
      <w:u w:val="single"/>
    </w:rPr>
  </w:style>
  <w:style w:type="paragraph" w:styleId="FootnoteText">
    <w:name w:val="footnote text"/>
    <w:basedOn w:val="Normal"/>
    <w:link w:val="FootnoteTextChar"/>
    <w:uiPriority w:val="99"/>
    <w:semiHidden/>
    <w:unhideWhenUsed/>
    <w:rsid w:val="00625BC9"/>
    <w:rPr>
      <w:sz w:val="20"/>
      <w:szCs w:val="20"/>
    </w:rPr>
  </w:style>
  <w:style w:type="character" w:customStyle="1" w:styleId="FootnoteTextChar">
    <w:name w:val="Footnote Text Char"/>
    <w:basedOn w:val="DefaultParagraphFont"/>
    <w:link w:val="FootnoteText"/>
    <w:uiPriority w:val="99"/>
    <w:semiHidden/>
    <w:rsid w:val="00625BC9"/>
    <w:rPr>
      <w:sz w:val="20"/>
      <w:szCs w:val="20"/>
    </w:rPr>
  </w:style>
  <w:style w:type="character" w:styleId="FootnoteReference">
    <w:name w:val="footnote reference"/>
    <w:basedOn w:val="DefaultParagraphFont"/>
    <w:uiPriority w:val="99"/>
    <w:semiHidden/>
    <w:unhideWhenUsed/>
    <w:rsid w:val="00625BC9"/>
    <w:rPr>
      <w:vertAlign w:val="superscript"/>
    </w:rPr>
  </w:style>
  <w:style w:type="paragraph" w:styleId="Header">
    <w:name w:val="header"/>
    <w:basedOn w:val="Normal"/>
    <w:link w:val="HeaderChar"/>
    <w:uiPriority w:val="99"/>
    <w:unhideWhenUsed/>
    <w:rsid w:val="00F30A19"/>
    <w:pPr>
      <w:tabs>
        <w:tab w:val="center" w:pos="4513"/>
        <w:tab w:val="right" w:pos="9026"/>
      </w:tabs>
    </w:pPr>
  </w:style>
  <w:style w:type="character" w:customStyle="1" w:styleId="HeaderChar">
    <w:name w:val="Header Char"/>
    <w:basedOn w:val="DefaultParagraphFont"/>
    <w:link w:val="Header"/>
    <w:uiPriority w:val="99"/>
    <w:rsid w:val="00F30A19"/>
  </w:style>
  <w:style w:type="paragraph" w:styleId="Footer">
    <w:name w:val="footer"/>
    <w:basedOn w:val="Normal"/>
    <w:link w:val="FooterChar"/>
    <w:uiPriority w:val="99"/>
    <w:unhideWhenUsed/>
    <w:rsid w:val="00F30A19"/>
    <w:pPr>
      <w:tabs>
        <w:tab w:val="center" w:pos="4513"/>
        <w:tab w:val="right" w:pos="9026"/>
      </w:tabs>
    </w:pPr>
  </w:style>
  <w:style w:type="character" w:customStyle="1" w:styleId="FooterChar">
    <w:name w:val="Footer Char"/>
    <w:basedOn w:val="DefaultParagraphFont"/>
    <w:link w:val="Footer"/>
    <w:uiPriority w:val="99"/>
    <w:rsid w:val="00F30A19"/>
  </w:style>
  <w:style w:type="paragraph" w:styleId="BodyText">
    <w:name w:val="Body Text"/>
    <w:basedOn w:val="Normal"/>
    <w:link w:val="BodyTextChar"/>
    <w:uiPriority w:val="1"/>
    <w:unhideWhenUsed/>
    <w:qFormat/>
    <w:rsid w:val="00326AF0"/>
    <w:pPr>
      <w:widowControl w:val="0"/>
      <w:ind w:left="544" w:hanging="424"/>
    </w:pPr>
    <w:rPr>
      <w:rFonts w:ascii="Calibri" w:eastAsia="Calibri" w:hAnsi="Calibri"/>
      <w:sz w:val="22"/>
      <w:szCs w:val="22"/>
    </w:rPr>
  </w:style>
  <w:style w:type="character" w:customStyle="1" w:styleId="BodyTextChar">
    <w:name w:val="Body Text Char"/>
    <w:basedOn w:val="DefaultParagraphFont"/>
    <w:link w:val="BodyText"/>
    <w:uiPriority w:val="1"/>
    <w:rsid w:val="00326AF0"/>
    <w:rPr>
      <w:rFonts w:ascii="Calibri" w:eastAsia="Calibri" w:hAnsi="Calibri"/>
      <w:sz w:val="22"/>
      <w:szCs w:val="22"/>
      <w:lang w:val="fr-FR"/>
    </w:rPr>
  </w:style>
  <w:style w:type="paragraph" w:styleId="NoSpacing">
    <w:name w:val="No Spacing"/>
    <w:uiPriority w:val="1"/>
    <w:qFormat/>
    <w:rsid w:val="00326AF0"/>
    <w:pPr>
      <w:ind w:left="425" w:hanging="425"/>
    </w:pPr>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locked/>
    <w:rsid w:val="00326AF0"/>
  </w:style>
  <w:style w:type="paragraph" w:styleId="ListParagraph">
    <w:name w:val="List Paragraph"/>
    <w:basedOn w:val="Normal"/>
    <w:link w:val="ListParagraphChar"/>
    <w:uiPriority w:val="34"/>
    <w:qFormat/>
    <w:rsid w:val="00326AF0"/>
    <w:pPr>
      <w:ind w:left="720"/>
      <w:contextualSpacing/>
    </w:pPr>
  </w:style>
  <w:style w:type="paragraph" w:customStyle="1" w:styleId="paragraph">
    <w:name w:val="paragraph"/>
    <w:basedOn w:val="Normal"/>
    <w:uiPriority w:val="99"/>
    <w:semiHidden/>
    <w:rsid w:val="00326AF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26AF0"/>
  </w:style>
  <w:style w:type="character" w:customStyle="1" w:styleId="eop">
    <w:name w:val="eop"/>
    <w:basedOn w:val="DefaultParagraphFont"/>
    <w:rsid w:val="00326AF0"/>
  </w:style>
  <w:style w:type="character" w:customStyle="1" w:styleId="findhit">
    <w:name w:val="findhit"/>
    <w:basedOn w:val="DefaultParagraphFont"/>
    <w:rsid w:val="00326AF0"/>
  </w:style>
  <w:style w:type="paragraph" w:styleId="Revision">
    <w:name w:val="Revision"/>
    <w:hidden/>
    <w:uiPriority w:val="99"/>
    <w:semiHidden/>
    <w:rsid w:val="0057448B"/>
  </w:style>
  <w:style w:type="paragraph" w:customStyle="1" w:styleId="ColorfulList-Accent11">
    <w:name w:val="Colorful List - Accent 11"/>
    <w:basedOn w:val="Normal"/>
    <w:uiPriority w:val="34"/>
    <w:qFormat/>
    <w:rsid w:val="002337DC"/>
    <w:pPr>
      <w:ind w:left="720" w:hanging="432"/>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9566A0"/>
    <w:rPr>
      <w:color w:val="605E5C"/>
      <w:shd w:val="clear" w:color="auto" w:fill="E1DFDD"/>
    </w:rPr>
  </w:style>
  <w:style w:type="paragraph" w:customStyle="1" w:styleId="p1">
    <w:name w:val="p1"/>
    <w:basedOn w:val="Normal"/>
    <w:rsid w:val="00B92F85"/>
    <w:rPr>
      <w:rFonts w:ascii="Helvetica" w:eastAsia="Times New Roman" w:hAnsi="Helvetica" w:cs="Times New Roman"/>
      <w:color w:val="000000"/>
      <w:sz w:val="17"/>
      <w:szCs w:val="17"/>
      <w:lang w:eastAsia="en-GB"/>
    </w:rPr>
  </w:style>
  <w:style w:type="character" w:customStyle="1" w:styleId="Heading1Char">
    <w:name w:val="Heading 1 Char"/>
    <w:basedOn w:val="DefaultParagraphFont"/>
    <w:link w:val="Heading1"/>
    <w:uiPriority w:val="9"/>
    <w:rsid w:val="000817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2592">
      <w:bodyDiv w:val="1"/>
      <w:marLeft w:val="0"/>
      <w:marRight w:val="0"/>
      <w:marTop w:val="0"/>
      <w:marBottom w:val="0"/>
      <w:divBdr>
        <w:top w:val="none" w:sz="0" w:space="0" w:color="auto"/>
        <w:left w:val="none" w:sz="0" w:space="0" w:color="auto"/>
        <w:bottom w:val="none" w:sz="0" w:space="0" w:color="auto"/>
        <w:right w:val="none" w:sz="0" w:space="0" w:color="auto"/>
      </w:divBdr>
    </w:div>
    <w:div w:id="707223404">
      <w:bodyDiv w:val="1"/>
      <w:marLeft w:val="0"/>
      <w:marRight w:val="0"/>
      <w:marTop w:val="0"/>
      <w:marBottom w:val="0"/>
      <w:divBdr>
        <w:top w:val="none" w:sz="0" w:space="0" w:color="auto"/>
        <w:left w:val="none" w:sz="0" w:space="0" w:color="auto"/>
        <w:bottom w:val="none" w:sz="0" w:space="0" w:color="auto"/>
        <w:right w:val="none" w:sz="0" w:space="0" w:color="auto"/>
      </w:divBdr>
    </w:div>
    <w:div w:id="1104570255">
      <w:bodyDiv w:val="1"/>
      <w:marLeft w:val="0"/>
      <w:marRight w:val="0"/>
      <w:marTop w:val="0"/>
      <w:marBottom w:val="0"/>
      <w:divBdr>
        <w:top w:val="none" w:sz="0" w:space="0" w:color="auto"/>
        <w:left w:val="none" w:sz="0" w:space="0" w:color="auto"/>
        <w:bottom w:val="none" w:sz="0" w:space="0" w:color="auto"/>
        <w:right w:val="none" w:sz="0" w:space="0" w:color="auto"/>
      </w:divBdr>
    </w:div>
    <w:div w:id="1287348994">
      <w:bodyDiv w:val="1"/>
      <w:marLeft w:val="0"/>
      <w:marRight w:val="0"/>
      <w:marTop w:val="0"/>
      <w:marBottom w:val="0"/>
      <w:divBdr>
        <w:top w:val="none" w:sz="0" w:space="0" w:color="auto"/>
        <w:left w:val="none" w:sz="0" w:space="0" w:color="auto"/>
        <w:bottom w:val="none" w:sz="0" w:space="0" w:color="auto"/>
        <w:right w:val="none" w:sz="0" w:space="0" w:color="auto"/>
      </w:divBdr>
    </w:div>
    <w:div w:id="15514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sites/default/files/documents/library/key_rec_6.15f.pdf" TargetMode="External"/><Relationship Id="rId18" Type="http://schemas.openxmlformats.org/officeDocument/2006/relationships/hyperlink" Target="https://www.ramsar.org/sites/default/files/documents/library/xiv.15_small_wetlands_f.pdf" TargetMode="External"/><Relationship Id="rId26" Type="http://schemas.openxmlformats.org/officeDocument/2006/relationships/hyperlink" Target="https://www.ramsar.org/sites/default/files/documents/library/factsheet_wetland_restoration_general_f_0.pdf" TargetMode="External"/><Relationship Id="rId3" Type="http://schemas.openxmlformats.org/officeDocument/2006/relationships/customXml" Target="../customXml/item3.xml"/><Relationship Id="rId21" Type="http://schemas.openxmlformats.org/officeDocument/2006/relationships/hyperlink" Target="https://www.ramsar.org/sites/default/files/documents/bn/bn3-fr.pdf" TargetMode="External"/><Relationship Id="rId7" Type="http://schemas.openxmlformats.org/officeDocument/2006/relationships/settings" Target="settings.xml"/><Relationship Id="rId12" Type="http://schemas.openxmlformats.org/officeDocument/2006/relationships/hyperlink" Target="https://www.ramsar.org/sites/default/files/documents/library/key_rec_4.01f.pdf" TargetMode="External"/><Relationship Id="rId17" Type="http://schemas.openxmlformats.org/officeDocument/2006/relationships/hyperlink" Target="https://www.ramsar.org/sites/default/files/documents/library/xiii.14_blue_carbon_f.pdf" TargetMode="External"/><Relationship Id="rId25" Type="http://schemas.openxmlformats.org/officeDocument/2006/relationships/hyperlink" Target="https://www.ramsar.org/sites/default/files/documents/library/bn11_practical_peatland_restoration_f_0.pdf" TargetMode="External"/><Relationship Id="rId2" Type="http://schemas.openxmlformats.org/officeDocument/2006/relationships/customXml" Target="../customXml/item2.xml"/><Relationship Id="rId16" Type="http://schemas.openxmlformats.org/officeDocument/2006/relationships/hyperlink" Target="https://www.ramsar.org/sites/default/files/documents/library/xiii.13_peatland_restoration_f.pdf" TargetMode="External"/><Relationship Id="rId20" Type="http://schemas.openxmlformats.org/officeDocument/2006/relationships/hyperlink" Target="https://www.ramsar.org/sites/default/files/documents/library/rtr11_peatland_rewetting_restoration_f.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amsar.org/sites/default/files/2023-07/bn10_restoration_climate_change_f.pdf" TargetMode="External"/><Relationship Id="rId5" Type="http://schemas.openxmlformats.org/officeDocument/2006/relationships/numbering" Target="numbering.xml"/><Relationship Id="rId15" Type="http://schemas.openxmlformats.org/officeDocument/2006/relationships/hyperlink" Target="https://www.ramsar.org/sites/default/files/documents/library/key_res_viii_16_f.pdf" TargetMode="External"/><Relationship Id="rId23" Type="http://schemas.openxmlformats.org/officeDocument/2006/relationships/hyperlink" Target="https://www.ramsar.org/sites/default/files/documents/library/rpb5_restoring_drained_peatlands_f.pdf" TargetMode="External"/><Relationship Id="rId28" Type="http://schemas.openxmlformats.org/officeDocument/2006/relationships/hyperlink" Target="https://www.ramsar.org/sites/default/files/documents/library/factsheet_wetland_restoration_coastal_f.pdf" TargetMode="External"/><Relationship Id="rId10" Type="http://schemas.openxmlformats.org/officeDocument/2006/relationships/endnotes" Target="endnotes.xml"/><Relationship Id="rId19" Type="http://schemas.openxmlformats.org/officeDocument/2006/relationships/hyperlink" Target="https://www.ramsar.org/sites/default/files/documents/library/xiv.17_climate_change_f.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key_res_vii.17f.pdf" TargetMode="External"/><Relationship Id="rId22" Type="http://schemas.openxmlformats.org/officeDocument/2006/relationships/hyperlink" Target="https://www.ramsar.org/sites/default/files/documents/bn/bn4-fr.pdf" TargetMode="External"/><Relationship Id="rId27" Type="http://schemas.openxmlformats.org/officeDocument/2006/relationships/hyperlink" Target="https://www.ramsar.org/sites/default/files/documents/library/factsheet_wetland_restoration_peatlands_f.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71/MF14173" TargetMode="External"/><Relationship Id="rId13" Type="http://schemas.openxmlformats.org/officeDocument/2006/relationships/hyperlink" Target="https://www.ramsar.org/fr/document/resolution-xiii13-restauration-de-tourbieres-degradees-pour-attenuer-les-changements" TargetMode="External"/><Relationship Id="rId18" Type="http://schemas.openxmlformats.org/officeDocument/2006/relationships/hyperlink" Target="https://ferm.fao.org/" TargetMode="External"/><Relationship Id="rId26" Type="http://schemas.openxmlformats.org/officeDocument/2006/relationships/hyperlink" Target="https://www.cbd.int/gbf/targets/3" TargetMode="External"/><Relationship Id="rId3" Type="http://schemas.openxmlformats.org/officeDocument/2006/relationships/hyperlink" Target="https://www.ramsar.org/fr/document/le-4e-plan-strategique-2016-2024-mise-jour-2022" TargetMode="External"/><Relationship Id="rId21" Type="http://schemas.openxmlformats.org/officeDocument/2006/relationships/hyperlink" Target="https://www.mangrovealliance.org/" TargetMode="External"/><Relationship Id="rId7" Type="http://schemas.openxmlformats.org/officeDocument/2006/relationships/hyperlink" Target="https://doi.org/10.1016/j.biocon.2015.10.023" TargetMode="External"/><Relationship Id="rId12" Type="http://schemas.openxmlformats.org/officeDocument/2006/relationships/hyperlink" Target="https://www.ramsar.org/fr/document/resolution-viii16-principes-et-lignes-directrices-pour-la-restauration-des-zones-humides" TargetMode="External"/><Relationship Id="rId17" Type="http://schemas.openxmlformats.org/officeDocument/2006/relationships/hyperlink" Target="https://doi.org/10.5281/zenodo.3831673" TargetMode="External"/><Relationship Id="rId25" Type="http://schemas.openxmlformats.org/officeDocument/2006/relationships/hyperlink" Target="https://www.ramsar.org/fr/document/resolution-xi9-cadre-integre-et-lignes-directrices-pour-eviter-attenuer-et-compenser-les" TargetMode="External"/><Relationship Id="rId2" Type="http://schemas.openxmlformats.org/officeDocument/2006/relationships/hyperlink" Target="https://www.ramsar.org/fr/document/cop15-inf3-report-secretariat-assessment-progress-wetland-restoration-full-assessment" TargetMode="External"/><Relationship Id="rId16" Type="http://schemas.openxmlformats.org/officeDocument/2006/relationships/hyperlink" Target="https://doi.org/10.1073/pnas.0905620106" TargetMode="External"/><Relationship Id="rId20" Type="http://schemas.openxmlformats.org/officeDocument/2006/relationships/hyperlink" Target="https://www.freshwaterchallenge.org/" TargetMode="External"/><Relationship Id="rId1" Type="http://schemas.openxmlformats.org/officeDocument/2006/relationships/hyperlink" Target="https://www.ramsar.org/fr/document/resolution-xiv6-renforcer-la-visibilite-de-la-convention-et-les-synergies-avec-dautres" TargetMode="External"/><Relationship Id="rId6" Type="http://schemas.openxmlformats.org/officeDocument/2006/relationships/hyperlink" Target="https://doi.org/10.1016/j.scitotenv.2017.02.001" TargetMode="External"/><Relationship Id="rId11" Type="http://schemas.openxmlformats.org/officeDocument/2006/relationships/hyperlink" Target="https://www.ramsar.org/fr/document/resolution-viii16-principes-et-lignes-directrices-pour-la-restauration-des-zones-humides" TargetMode="External"/><Relationship Id="rId24" Type="http://schemas.openxmlformats.org/officeDocument/2006/relationships/hyperlink" Target="https://kelpforestalliance.com/kelp-forest-challenge?gad_source=1" TargetMode="External"/><Relationship Id="rId5" Type="http://schemas.openxmlformats.org/officeDocument/2006/relationships/hyperlink" Target="https://doi.org/10.1038/s41597-024-03143-0" TargetMode="External"/><Relationship Id="rId15" Type="http://schemas.openxmlformats.org/officeDocument/2006/relationships/hyperlink" Target="https://www.ramsar.org/fr/document/le-4e-plan-strategique-2016-2024-mise-jour-2022" TargetMode="External"/><Relationship Id="rId23" Type="http://schemas.openxmlformats.org/officeDocument/2006/relationships/hyperlink" Target="https://globalpeatlands.org/" TargetMode="External"/><Relationship Id="rId10" Type="http://schemas.openxmlformats.org/officeDocument/2006/relationships/hyperlink" Target="https://www.ramsar.org/fr/document/resolution-xiii13-restauration-de-tourbieres-degradees-pour-attenuer-les-changements" TargetMode="External"/><Relationship Id="rId19" Type="http://schemas.openxmlformats.org/officeDocument/2006/relationships/hyperlink" Target="https://iucn.org/resources/conservation-tool/restoration-barometer" TargetMode="External"/><Relationship Id="rId4" Type="http://schemas.openxmlformats.org/officeDocument/2006/relationships/hyperlink" Target="https://www.cbd.int/gbf/targets/2" TargetMode="External"/><Relationship Id="rId9" Type="http://schemas.openxmlformats.org/officeDocument/2006/relationships/hyperlink" Target="https://doi.org/10.4060/cc0461en" TargetMode="External"/><Relationship Id="rId14" Type="http://schemas.openxmlformats.org/officeDocument/2006/relationships/hyperlink" Target="https://www.ramsar.org/fr/document/resolution-xiv6-renforcer-la-visibilite-de-la-convention-et-les-synergies-avec-dautres" TargetMode="External"/><Relationship Id="rId22" Type="http://schemas.openxmlformats.org/officeDocument/2006/relationships/hyperlink" Target="https://www.mangrovealliance.org/news/the-mangrove-breakthrough/"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060618-1138-4F9D-9A5F-4054DA381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49DD6-8786-4204-8A04-635486510D01}">
  <ds:schemaRefs>
    <ds:schemaRef ds:uri="http://schemas.openxmlformats.org/officeDocument/2006/bibliography"/>
  </ds:schemaRefs>
</ds:datastoreItem>
</file>

<file path=customXml/itemProps3.xml><?xml version="1.0" encoding="utf-8"?>
<ds:datastoreItem xmlns:ds="http://schemas.openxmlformats.org/officeDocument/2006/customXml" ds:itemID="{313079A7-6DEE-487B-AADB-CC669B83CA9C}">
  <ds:schemaRefs>
    <ds:schemaRef ds:uri="http://schemas.microsoft.com/sharepoint/v3/contenttype/forms"/>
  </ds:schemaRefs>
</ds:datastoreItem>
</file>

<file path=customXml/itemProps4.xml><?xml version="1.0" encoding="utf-8"?>
<ds:datastoreItem xmlns:ds="http://schemas.openxmlformats.org/officeDocument/2006/customXml" ds:itemID="{6EA2A107-DB5F-4F3F-9E04-194389CA2722}">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5034</Words>
  <Characters>28699</Characters>
  <Application>Microsoft Office Word</Application>
  <DocSecurity>0</DocSecurity>
  <Lines>239</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2</cp:revision>
  <cp:lastPrinted>2025-03-26T22:24:00Z</cp:lastPrinted>
  <dcterms:created xsi:type="dcterms:W3CDTF">2025-05-13T15:47:00Z</dcterms:created>
  <dcterms:modified xsi:type="dcterms:W3CDTF">2025-05-13T15:47:00Z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