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5FB2" w14:textId="77777777" w:rsidR="0000738A" w:rsidRPr="000C33DF" w:rsidRDefault="0000738A" w:rsidP="0000738A">
      <w:pPr>
        <w:jc w:val="center"/>
        <w:outlineLvl w:val="0"/>
        <w:rPr>
          <w:rFonts w:eastAsia="Times New Roman" w:cstheme="minorHAnsi"/>
          <w:b/>
          <w:bCs/>
        </w:rPr>
      </w:pPr>
      <w:r>
        <w:rPr>
          <w:b/>
          <w:noProof/>
        </w:rPr>
        <w:drawing>
          <wp:anchor distT="0" distB="0" distL="114300" distR="114300" simplePos="0" relativeHeight="251659264" behindDoc="0" locked="0" layoutInCell="1" allowOverlap="1" wp14:anchorId="524E317F" wp14:editId="78CF70FD">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2">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5BE2FD" w14:textId="77777777" w:rsidR="0000738A" w:rsidRPr="00521BDF" w:rsidRDefault="0000738A" w:rsidP="0000738A">
      <w:pPr>
        <w:jc w:val="center"/>
        <w:outlineLvl w:val="0"/>
        <w:rPr>
          <w:rFonts w:eastAsia="Times New Roman" w:cstheme="minorHAnsi"/>
          <w:b/>
          <w:bCs/>
          <w:sz w:val="24"/>
          <w:szCs w:val="24"/>
        </w:rPr>
      </w:pPr>
      <w:r w:rsidRPr="00521BDF">
        <w:rPr>
          <w:b/>
          <w:sz w:val="24"/>
          <w:szCs w:val="24"/>
        </w:rPr>
        <w:t>15</w:t>
      </w:r>
      <w:r w:rsidRPr="00521BDF">
        <w:rPr>
          <w:b/>
          <w:sz w:val="24"/>
          <w:szCs w:val="24"/>
          <w:vertAlign w:val="superscript"/>
        </w:rPr>
        <w:t>e</w:t>
      </w:r>
      <w:r w:rsidRPr="00521BDF">
        <w:rPr>
          <w:b/>
          <w:sz w:val="24"/>
          <w:szCs w:val="24"/>
        </w:rPr>
        <w:t> session de la Conférence des Parties contractantes</w:t>
      </w:r>
    </w:p>
    <w:p w14:paraId="341FEE02" w14:textId="77777777" w:rsidR="0000738A" w:rsidRPr="00521BDF" w:rsidRDefault="0000738A" w:rsidP="0000738A">
      <w:pPr>
        <w:jc w:val="center"/>
        <w:outlineLvl w:val="0"/>
        <w:rPr>
          <w:rFonts w:eastAsia="Times New Roman" w:cstheme="minorHAnsi"/>
          <w:b/>
          <w:bCs/>
          <w:sz w:val="24"/>
          <w:szCs w:val="24"/>
        </w:rPr>
      </w:pPr>
      <w:r w:rsidRPr="00521BDF">
        <w:rPr>
          <w:b/>
          <w:sz w:val="24"/>
          <w:szCs w:val="24"/>
        </w:rPr>
        <w:t>à la Convention sur les zones humides</w:t>
      </w:r>
    </w:p>
    <w:p w14:paraId="47FAA45C" w14:textId="77777777" w:rsidR="0000738A" w:rsidRPr="00521BDF" w:rsidRDefault="0000738A" w:rsidP="0000738A">
      <w:pPr>
        <w:jc w:val="center"/>
        <w:outlineLvl w:val="0"/>
        <w:rPr>
          <w:rFonts w:eastAsia="Times New Roman" w:cstheme="minorHAnsi"/>
          <w:b/>
          <w:bCs/>
          <w:sz w:val="24"/>
          <w:szCs w:val="24"/>
        </w:rPr>
      </w:pPr>
    </w:p>
    <w:p w14:paraId="75802AE5" w14:textId="77777777" w:rsidR="0000738A" w:rsidRPr="00521BDF" w:rsidRDefault="0000738A" w:rsidP="0000738A">
      <w:pPr>
        <w:jc w:val="center"/>
        <w:outlineLvl w:val="0"/>
        <w:rPr>
          <w:rFonts w:eastAsia="Times New Roman" w:cstheme="minorHAnsi"/>
          <w:b/>
          <w:bCs/>
          <w:sz w:val="24"/>
          <w:szCs w:val="24"/>
        </w:rPr>
      </w:pPr>
      <w:r w:rsidRPr="00521BDF">
        <w:rPr>
          <w:b/>
          <w:sz w:val="24"/>
          <w:szCs w:val="24"/>
        </w:rPr>
        <w:t>« Protéger les zones humides pour notre avenir commun »</w:t>
      </w:r>
    </w:p>
    <w:p w14:paraId="50FA8C5A" w14:textId="77777777" w:rsidR="0000738A" w:rsidRPr="00521BDF" w:rsidRDefault="0000738A" w:rsidP="0000738A">
      <w:pPr>
        <w:jc w:val="center"/>
        <w:outlineLvl w:val="0"/>
        <w:rPr>
          <w:rFonts w:eastAsia="Times New Roman" w:cstheme="minorHAnsi"/>
          <w:b/>
          <w:bCs/>
          <w:sz w:val="24"/>
          <w:szCs w:val="24"/>
        </w:rPr>
      </w:pPr>
      <w:r w:rsidRPr="00521BDF">
        <w:rPr>
          <w:b/>
          <w:sz w:val="24"/>
          <w:szCs w:val="24"/>
        </w:rPr>
        <w:t>Victoria Falls, Zimbabwe, 23-31 juillet 2025</w:t>
      </w:r>
    </w:p>
    <w:p w14:paraId="36E72798" w14:textId="77777777" w:rsidR="0000738A" w:rsidRPr="0000738A" w:rsidRDefault="0000738A" w:rsidP="0000738A">
      <w:pPr>
        <w:jc w:val="center"/>
        <w:outlineLvl w:val="0"/>
        <w:rPr>
          <w:rFonts w:eastAsia="Times New Roman" w:cstheme="minorHAnsi"/>
          <w:b/>
          <w:bCs/>
          <w:sz w:val="24"/>
          <w:szCs w:val="24"/>
        </w:rPr>
      </w:pPr>
    </w:p>
    <w:p w14:paraId="5CE6D652" w14:textId="77777777" w:rsidR="0000738A" w:rsidRPr="0000738A" w:rsidRDefault="0000738A" w:rsidP="0000738A">
      <w:pPr>
        <w:jc w:val="center"/>
        <w:outlineLvl w:val="0"/>
        <w:rPr>
          <w:rFonts w:eastAsia="Times New Roman" w:cstheme="minorHAnsi"/>
          <w:b/>
          <w:bCs/>
          <w:sz w:val="24"/>
          <w:szCs w:val="24"/>
        </w:rPr>
      </w:pPr>
    </w:p>
    <w:p w14:paraId="1EB8FB68" w14:textId="77777777" w:rsidR="0000738A" w:rsidRPr="0000738A" w:rsidRDefault="0000738A" w:rsidP="0000738A">
      <w:pPr>
        <w:jc w:val="center"/>
        <w:outlineLvl w:val="0"/>
        <w:rPr>
          <w:rFonts w:eastAsia="Times New Roman" w:cstheme="minorHAnsi"/>
          <w:b/>
          <w:bCs/>
          <w:sz w:val="24"/>
          <w:szCs w:val="24"/>
        </w:rPr>
      </w:pPr>
    </w:p>
    <w:p w14:paraId="340AF6D1" w14:textId="77777777" w:rsidR="0000738A" w:rsidRPr="0000738A" w:rsidRDefault="0000738A" w:rsidP="0000738A">
      <w:pPr>
        <w:jc w:val="right"/>
        <w:rPr>
          <w:rFonts w:cstheme="minorHAnsi"/>
          <w:b/>
        </w:rPr>
      </w:pPr>
    </w:p>
    <w:p w14:paraId="399182AC" w14:textId="7E7D9D5D" w:rsidR="0000738A" w:rsidRPr="000C33DF" w:rsidRDefault="0000738A" w:rsidP="0000738A">
      <w:pPr>
        <w:jc w:val="right"/>
        <w:rPr>
          <w:rFonts w:cstheme="minorHAnsi"/>
          <w:b/>
          <w:sz w:val="28"/>
          <w:szCs w:val="28"/>
        </w:rPr>
      </w:pPr>
      <w:r>
        <w:rPr>
          <w:b/>
          <w:sz w:val="28"/>
        </w:rPr>
        <w:t>COP15 Doc.12</w:t>
      </w:r>
    </w:p>
    <w:p w14:paraId="1E4EDBAD" w14:textId="77777777" w:rsidR="0000738A" w:rsidRPr="000C33DF" w:rsidRDefault="0000738A" w:rsidP="0000738A">
      <w:pPr>
        <w:jc w:val="center"/>
        <w:rPr>
          <w:rFonts w:cstheme="minorHAnsi"/>
          <w:bCs/>
        </w:rPr>
      </w:pPr>
    </w:p>
    <w:p w14:paraId="4CD14F71" w14:textId="77777777" w:rsidR="000C36EB" w:rsidRDefault="000C36EB" w:rsidP="00BF1E6C">
      <w:pPr>
        <w:pStyle w:val="Heading2"/>
        <w:widowControl/>
        <w:ind w:left="0"/>
        <w:rPr>
          <w:rFonts w:asciiTheme="minorHAnsi" w:hAnsiTheme="minorHAnsi" w:cstheme="minorHAnsi"/>
          <w:sz w:val="28"/>
          <w:szCs w:val="28"/>
        </w:rPr>
      </w:pPr>
    </w:p>
    <w:p w14:paraId="09093D7B" w14:textId="1725A608" w:rsidR="00021DC5" w:rsidRPr="00D6676A" w:rsidRDefault="00BF1E6C" w:rsidP="00C60BEB">
      <w:pPr>
        <w:pStyle w:val="Heading2"/>
        <w:widowControl/>
        <w:ind w:left="0"/>
        <w:jc w:val="center"/>
        <w:rPr>
          <w:rFonts w:asciiTheme="minorHAnsi" w:hAnsiTheme="minorHAnsi" w:cstheme="minorHAnsi"/>
          <w:sz w:val="28"/>
          <w:szCs w:val="28"/>
        </w:rPr>
      </w:pPr>
      <w:r>
        <w:rPr>
          <w:rFonts w:asciiTheme="minorHAnsi" w:hAnsiTheme="minorHAnsi"/>
          <w:sz w:val="28"/>
        </w:rPr>
        <w:t>Rapport du Secrétariat sur les Initiatives régionales Ramsar</w:t>
      </w:r>
    </w:p>
    <w:p w14:paraId="11DB975A" w14:textId="3282FA24" w:rsidR="00021DC5" w:rsidRDefault="00021DC5" w:rsidP="00FE1844">
      <w:pPr>
        <w:pStyle w:val="Heading2"/>
        <w:widowControl/>
        <w:ind w:left="0"/>
        <w:rPr>
          <w:rFonts w:asciiTheme="minorHAnsi" w:hAnsiTheme="minorHAnsi" w:cstheme="minorHAnsi"/>
        </w:rPr>
      </w:pPr>
    </w:p>
    <w:p w14:paraId="65C304ED" w14:textId="77777777" w:rsidR="00C60BEB" w:rsidRPr="00473533" w:rsidRDefault="00C60BEB" w:rsidP="00FE1844">
      <w:pPr>
        <w:pStyle w:val="Heading2"/>
        <w:widowControl/>
        <w:ind w:left="0"/>
        <w:rPr>
          <w:rFonts w:asciiTheme="minorHAnsi" w:hAnsiTheme="minorHAnsi" w:cstheme="minorHAnsi"/>
        </w:rPr>
      </w:pPr>
    </w:p>
    <w:p w14:paraId="306ADE8A" w14:textId="77777777" w:rsidR="00101B66" w:rsidRPr="00BD3050" w:rsidRDefault="00101B66" w:rsidP="00101B66">
      <w:pPr>
        <w:pStyle w:val="Heading2"/>
        <w:widowControl/>
        <w:ind w:left="0"/>
        <w:rPr>
          <w:rFonts w:asciiTheme="minorHAnsi" w:hAnsiTheme="minorHAnsi" w:cstheme="minorHAnsi"/>
        </w:rPr>
      </w:pPr>
      <w:r>
        <w:rPr>
          <w:rFonts w:asciiTheme="minorHAnsi" w:hAnsiTheme="minorHAnsi"/>
        </w:rPr>
        <w:t>Contexte</w:t>
      </w:r>
    </w:p>
    <w:p w14:paraId="0EE81566" w14:textId="34847134" w:rsidR="00101B66" w:rsidRDefault="00101B66" w:rsidP="00101B66">
      <w:pPr>
        <w:pStyle w:val="Heading2"/>
        <w:widowControl/>
        <w:ind w:left="0" w:hanging="426"/>
        <w:rPr>
          <w:rFonts w:asciiTheme="minorHAnsi" w:eastAsiaTheme="minorEastAsia" w:hAnsiTheme="minorHAnsi" w:cstheme="minorHAnsi"/>
          <w:b w:val="0"/>
          <w:lang w:eastAsia="ko-KR"/>
        </w:rPr>
      </w:pPr>
    </w:p>
    <w:p w14:paraId="6C0186FE" w14:textId="706558C3" w:rsidR="00432040" w:rsidRDefault="00432040" w:rsidP="00432040">
      <w:pPr>
        <w:pStyle w:val="Heading2"/>
        <w:widowControl/>
        <w:ind w:left="426" w:hanging="426"/>
        <w:rPr>
          <w:rFonts w:asciiTheme="minorHAnsi" w:eastAsiaTheme="minorEastAsia" w:hAnsiTheme="minorHAnsi" w:cstheme="minorHAnsi"/>
          <w:b w:val="0"/>
        </w:rPr>
      </w:pPr>
      <w:r>
        <w:rPr>
          <w:rFonts w:asciiTheme="minorHAnsi" w:hAnsiTheme="minorHAnsi"/>
          <w:b w:val="0"/>
        </w:rPr>
        <w:t>1.</w:t>
      </w:r>
      <w:r>
        <w:rPr>
          <w:rFonts w:asciiTheme="minorHAnsi" w:hAnsiTheme="minorHAnsi"/>
          <w:b w:val="0"/>
        </w:rPr>
        <w:tab/>
      </w:r>
      <w:bookmarkStart w:id="0" w:name="_Hlk196395960"/>
      <w:r>
        <w:rPr>
          <w:rFonts w:asciiTheme="minorHAnsi" w:hAnsiTheme="minorHAnsi"/>
          <w:b w:val="0"/>
        </w:rPr>
        <w:t>Lors de sa 14</w:t>
      </w:r>
      <w:r>
        <w:rPr>
          <w:rFonts w:asciiTheme="minorHAnsi" w:hAnsiTheme="minorHAnsi"/>
          <w:b w:val="0"/>
          <w:vertAlign w:val="superscript"/>
        </w:rPr>
        <w:t>e</w:t>
      </w:r>
      <w:r>
        <w:rPr>
          <w:rFonts w:asciiTheme="minorHAnsi" w:hAnsiTheme="minorHAnsi"/>
          <w:b w:val="0"/>
        </w:rPr>
        <w:t xml:space="preserve"> session (COP14, 2022), la Conférence des Parties contractantes, au paragraphe 1 de la Résolution XIV.7 Partie A, </w:t>
      </w:r>
      <w:r>
        <w:rPr>
          <w:rFonts w:asciiTheme="minorHAnsi" w:hAnsiTheme="minorHAnsi"/>
          <w:b w:val="0"/>
          <w:i/>
          <w:iCs/>
        </w:rPr>
        <w:t>Les Initiatives régionales Ramsar</w:t>
      </w:r>
      <w:r>
        <w:rPr>
          <w:rFonts w:asciiTheme="minorHAnsi" w:hAnsiTheme="minorHAnsi"/>
          <w:b w:val="0"/>
        </w:rPr>
        <w:t xml:space="preserve">, </w:t>
      </w:r>
      <w:bookmarkEnd w:id="0"/>
      <w:r w:rsidRPr="00C11128">
        <w:rPr>
          <w:b w:val="0"/>
          <w:bCs w:val="0"/>
        </w:rPr>
        <w:t>a rappelé que les Initiatives régionales Ramsar (IRR) « comprenant des centres régionaux pour la formation et le renforcement des capacités ainsi que des réseaux régionaux pour faciliter la coopération, ont pour vocation d</w:t>
      </w:r>
      <w:r w:rsidR="00CD5094">
        <w:rPr>
          <w:b w:val="0"/>
          <w:bCs w:val="0"/>
        </w:rPr>
        <w:t>’</w:t>
      </w:r>
      <w:r w:rsidRPr="00C11128">
        <w:rPr>
          <w:b w:val="0"/>
          <w:bCs w:val="0"/>
        </w:rPr>
        <w:t>être des moyens opérationnels de fournir un appui efficace à la mise en œuvre améliorée de la Convention et de son Plan stratégique dans des régions géographiques spécifiques, par la coopération internationale volontaire relative aux questions d</w:t>
      </w:r>
      <w:r w:rsidR="00CD5094">
        <w:rPr>
          <w:b w:val="0"/>
          <w:bCs w:val="0"/>
        </w:rPr>
        <w:t>’</w:t>
      </w:r>
      <w:r w:rsidRPr="00C11128">
        <w:rPr>
          <w:b w:val="0"/>
          <w:bCs w:val="0"/>
        </w:rPr>
        <w:t>intérêt commun concernant les zones humides ».</w:t>
      </w:r>
    </w:p>
    <w:p w14:paraId="3370AF63" w14:textId="77777777" w:rsidR="00432040" w:rsidRDefault="00432040" w:rsidP="00432040">
      <w:pPr>
        <w:pStyle w:val="Heading2"/>
        <w:widowControl/>
        <w:ind w:left="426" w:hanging="426"/>
        <w:rPr>
          <w:rFonts w:asciiTheme="minorHAnsi" w:eastAsiaTheme="minorEastAsia" w:hAnsiTheme="minorHAnsi" w:cstheme="minorHAnsi"/>
          <w:b w:val="0"/>
          <w:lang w:eastAsia="ko-KR"/>
        </w:rPr>
      </w:pPr>
    </w:p>
    <w:p w14:paraId="6D81E02D" w14:textId="4EB34A44" w:rsidR="00432040" w:rsidRDefault="00432040" w:rsidP="00432040">
      <w:pPr>
        <w:pStyle w:val="Heading2"/>
        <w:widowControl/>
        <w:ind w:left="426" w:hanging="426"/>
        <w:rPr>
          <w:rFonts w:asciiTheme="minorHAnsi" w:eastAsiaTheme="minorEastAsia" w:hAnsiTheme="minorHAnsi" w:cstheme="minorHAnsi"/>
          <w:b w:val="0"/>
        </w:rPr>
      </w:pPr>
      <w:r>
        <w:rPr>
          <w:rFonts w:asciiTheme="minorHAnsi" w:hAnsiTheme="minorHAnsi"/>
          <w:b w:val="0"/>
        </w:rPr>
        <w:t>2.</w:t>
      </w:r>
      <w:r>
        <w:rPr>
          <w:rFonts w:asciiTheme="minorHAnsi" w:hAnsiTheme="minorHAnsi"/>
          <w:b w:val="0"/>
        </w:rPr>
        <w:tab/>
        <w:t>Le présent rapport est soumis pour donner suite à l</w:t>
      </w:r>
      <w:r w:rsidR="00CD5094">
        <w:rPr>
          <w:rFonts w:asciiTheme="minorHAnsi" w:hAnsiTheme="minorHAnsi"/>
          <w:b w:val="0"/>
        </w:rPr>
        <w:t>’</w:t>
      </w:r>
      <w:r>
        <w:rPr>
          <w:rFonts w:asciiTheme="minorHAnsi" w:hAnsiTheme="minorHAnsi"/>
          <w:b w:val="0"/>
        </w:rPr>
        <w:t>instruction donné</w:t>
      </w:r>
      <w:r w:rsidR="00876736">
        <w:rPr>
          <w:rFonts w:asciiTheme="minorHAnsi" w:hAnsiTheme="minorHAnsi"/>
          <w:b w:val="0"/>
        </w:rPr>
        <w:t>e</w:t>
      </w:r>
      <w:r>
        <w:rPr>
          <w:rFonts w:asciiTheme="minorHAnsi" w:hAnsiTheme="minorHAnsi"/>
          <w:b w:val="0"/>
        </w:rPr>
        <w:t xml:space="preserve"> au paragraphe 14 de la Résolution XIV.7 Partie A qui « charge le Secrétariat de fournir à la COP et au Comité permanent un résumé des informations obtenues dans les rapports annuels afin d</w:t>
      </w:r>
      <w:r w:rsidR="00CD5094">
        <w:rPr>
          <w:rFonts w:asciiTheme="minorHAnsi" w:hAnsiTheme="minorHAnsi"/>
          <w:b w:val="0"/>
        </w:rPr>
        <w:t>’</w:t>
      </w:r>
      <w:r>
        <w:rPr>
          <w:rFonts w:asciiTheme="minorHAnsi" w:hAnsiTheme="minorHAnsi"/>
          <w:b w:val="0"/>
        </w:rPr>
        <w:t xml:space="preserve">aider ces organes dans leur examen des IRR et leurs décisions concernant le financement ». </w:t>
      </w:r>
    </w:p>
    <w:p w14:paraId="7378CECA" w14:textId="77777777" w:rsidR="00071320" w:rsidRDefault="00071320" w:rsidP="00432040">
      <w:pPr>
        <w:pStyle w:val="Heading2"/>
        <w:widowControl/>
        <w:ind w:left="426" w:hanging="426"/>
        <w:rPr>
          <w:rFonts w:asciiTheme="minorHAnsi" w:eastAsiaTheme="minorEastAsia" w:hAnsiTheme="minorHAnsi" w:cstheme="minorHAnsi"/>
          <w:b w:val="0"/>
          <w:lang w:eastAsia="ko-KR"/>
        </w:rPr>
      </w:pPr>
    </w:p>
    <w:p w14:paraId="3E8637E1" w14:textId="53E7487F" w:rsidR="00071320" w:rsidRDefault="00071320" w:rsidP="00BE024C">
      <w:pPr>
        <w:pStyle w:val="Heading2"/>
        <w:widowControl/>
        <w:ind w:left="426" w:hanging="426"/>
        <w:rPr>
          <w:rFonts w:asciiTheme="minorHAnsi" w:eastAsiaTheme="minorEastAsia" w:hAnsiTheme="minorHAnsi" w:cstheme="minorHAnsi"/>
          <w:b w:val="0"/>
        </w:rPr>
      </w:pPr>
      <w:r>
        <w:rPr>
          <w:rFonts w:asciiTheme="minorHAnsi" w:hAnsiTheme="minorHAnsi"/>
          <w:b w:val="0"/>
        </w:rPr>
        <w:t xml:space="preserve">3. </w:t>
      </w:r>
      <w:r>
        <w:rPr>
          <w:rFonts w:asciiTheme="minorHAnsi" w:hAnsiTheme="minorHAnsi"/>
          <w:b w:val="0"/>
        </w:rPr>
        <w:tab/>
        <w:t>Au cours de la période triennale 2023-2025, le Secrétariat a soumis au Comité permanent des rapports annuels sur les Initiatives régionales Ramsar, à ses 62</w:t>
      </w:r>
      <w:r>
        <w:rPr>
          <w:rFonts w:asciiTheme="minorHAnsi" w:hAnsiTheme="minorHAnsi"/>
          <w:b w:val="0"/>
          <w:vertAlign w:val="superscript"/>
        </w:rPr>
        <w:t>e</w:t>
      </w:r>
      <w:r>
        <w:rPr>
          <w:rFonts w:asciiTheme="minorHAnsi" w:hAnsiTheme="minorHAnsi"/>
          <w:b w:val="0"/>
        </w:rPr>
        <w:t>, 63</w:t>
      </w:r>
      <w:r>
        <w:rPr>
          <w:rFonts w:asciiTheme="minorHAnsi" w:hAnsiTheme="minorHAnsi"/>
          <w:b w:val="0"/>
          <w:vertAlign w:val="superscript"/>
        </w:rPr>
        <w:t>e</w:t>
      </w:r>
      <w:r>
        <w:rPr>
          <w:rFonts w:asciiTheme="minorHAnsi" w:hAnsiTheme="minorHAnsi"/>
          <w:b w:val="0"/>
        </w:rPr>
        <w:t xml:space="preserve"> et 65</w:t>
      </w:r>
      <w:r>
        <w:rPr>
          <w:rFonts w:asciiTheme="minorHAnsi" w:hAnsiTheme="minorHAnsi"/>
          <w:b w:val="0"/>
          <w:vertAlign w:val="superscript"/>
        </w:rPr>
        <w:t>e</w:t>
      </w:r>
      <w:r>
        <w:rPr>
          <w:rFonts w:asciiTheme="minorHAnsi" w:hAnsiTheme="minorHAnsi"/>
          <w:b w:val="0"/>
        </w:rPr>
        <w:t xml:space="preserve"> réunions</w:t>
      </w:r>
      <w:r w:rsidR="001862D8">
        <w:rPr>
          <w:rStyle w:val="FootnoteReference"/>
          <w:rFonts w:asciiTheme="minorHAnsi" w:eastAsiaTheme="minorEastAsia" w:hAnsiTheme="minorHAnsi" w:cstheme="minorHAnsi"/>
          <w:b w:val="0"/>
          <w:lang w:eastAsia="ko-KR"/>
        </w:rPr>
        <w:footnoteReference w:id="2"/>
      </w:r>
      <w:r>
        <w:rPr>
          <w:rFonts w:asciiTheme="minorHAnsi" w:hAnsiTheme="minorHAnsi"/>
          <w:b w:val="0"/>
        </w:rPr>
        <w:t>. Le présent rapport fournit un résumé de ces trois rapports pour examen par la COP15.</w:t>
      </w:r>
    </w:p>
    <w:p w14:paraId="17E6EF7C" w14:textId="77777777" w:rsidR="00BE024C" w:rsidRDefault="00BE024C" w:rsidP="00BE024C">
      <w:pPr>
        <w:pStyle w:val="Heading2"/>
        <w:widowControl/>
        <w:ind w:left="426" w:hanging="426"/>
        <w:rPr>
          <w:rFonts w:asciiTheme="minorHAnsi" w:eastAsiaTheme="minorEastAsia" w:hAnsiTheme="minorHAnsi" w:cstheme="minorHAnsi"/>
          <w:b w:val="0"/>
          <w:lang w:eastAsia="ko-KR"/>
        </w:rPr>
      </w:pPr>
    </w:p>
    <w:p w14:paraId="3A96B97A" w14:textId="06843A8D" w:rsidR="00EC1F91" w:rsidRPr="00794DB0" w:rsidRDefault="00AB1736" w:rsidP="00521BDF">
      <w:pPr>
        <w:pStyle w:val="Heading2"/>
        <w:widowControl/>
        <w:ind w:left="0"/>
        <w:rPr>
          <w:rFonts w:asciiTheme="minorHAnsi" w:eastAsiaTheme="minorEastAsia" w:hAnsiTheme="minorHAnsi" w:cstheme="minorHAnsi"/>
          <w:bCs w:val="0"/>
        </w:rPr>
      </w:pPr>
      <w:r>
        <w:rPr>
          <w:rFonts w:asciiTheme="minorHAnsi" w:hAnsiTheme="minorHAnsi"/>
        </w:rPr>
        <w:t>Liste des Initiatives régionales Ramsar approuvées durant la période intersessions séparant la COP14 de la COP15</w:t>
      </w:r>
    </w:p>
    <w:p w14:paraId="61F22883" w14:textId="77777777" w:rsidR="00EC1F91" w:rsidRDefault="00EC1F91" w:rsidP="00432040">
      <w:pPr>
        <w:pStyle w:val="Heading2"/>
        <w:widowControl/>
        <w:ind w:left="426" w:hanging="426"/>
        <w:rPr>
          <w:rFonts w:asciiTheme="minorHAnsi" w:eastAsiaTheme="minorEastAsia" w:hAnsiTheme="minorHAnsi" w:cstheme="minorHAnsi"/>
          <w:b w:val="0"/>
          <w:lang w:eastAsia="ko-KR"/>
        </w:rPr>
      </w:pPr>
    </w:p>
    <w:p w14:paraId="50B84EE8" w14:textId="5BC04597" w:rsidR="00EC1F91" w:rsidRDefault="00071320" w:rsidP="00432040">
      <w:pPr>
        <w:pStyle w:val="Heading2"/>
        <w:widowControl/>
        <w:ind w:left="426" w:hanging="426"/>
        <w:rPr>
          <w:rFonts w:asciiTheme="minorHAnsi" w:eastAsiaTheme="minorEastAsia" w:hAnsiTheme="minorHAnsi" w:cstheme="minorHAnsi"/>
          <w:b w:val="0"/>
        </w:rPr>
      </w:pPr>
      <w:r>
        <w:rPr>
          <w:rFonts w:asciiTheme="minorHAnsi" w:hAnsiTheme="minorHAnsi"/>
          <w:b w:val="0"/>
        </w:rPr>
        <w:t>4.</w:t>
      </w:r>
      <w:r>
        <w:rPr>
          <w:rFonts w:asciiTheme="minorHAnsi" w:hAnsiTheme="minorHAnsi"/>
          <w:b w:val="0"/>
        </w:rPr>
        <w:tab/>
        <w:t>Durant la période triennale 2023-2025, 22 IRR ont été approuvés par la COP ou le Comité permanent comme fonctionnant dans le cadre de la Convention. Celles-ci comprennent notamment deux nouvelles Initiatives régionales Ramsar, le Centre international des mangroves (CIM) et l</w:t>
      </w:r>
      <w:r w:rsidR="00CD5094">
        <w:rPr>
          <w:rFonts w:asciiTheme="minorHAnsi" w:hAnsiTheme="minorHAnsi"/>
          <w:b w:val="0"/>
        </w:rPr>
        <w:t>’</w:t>
      </w:r>
      <w:r>
        <w:rPr>
          <w:rFonts w:asciiTheme="minorHAnsi" w:hAnsiTheme="minorHAnsi"/>
          <w:b w:val="0"/>
        </w:rPr>
        <w:t xml:space="preserve">Initiative régionale Ramsar Danube WILDisland (IRR-DW), mises en place par les Décisions SC62-22 et SC63-19 du Comité permanent, respectivement. Une liste des IRR proposées pour approbation pour la période intersessions séparant la COP15 de la COP16 figure </w:t>
      </w:r>
      <w:r>
        <w:rPr>
          <w:rFonts w:asciiTheme="minorHAnsi" w:hAnsiTheme="minorHAnsi"/>
          <w:b w:val="0"/>
        </w:rPr>
        <w:lastRenderedPageBreak/>
        <w:t>dans le projet de résolution sur les Initiatives régionales Ramsar</w:t>
      </w:r>
      <w:r w:rsidR="0012395D">
        <w:rPr>
          <w:rFonts w:asciiTheme="minorHAnsi" w:hAnsiTheme="minorHAnsi"/>
          <w:b w:val="0"/>
        </w:rPr>
        <w:t>,</w:t>
      </w:r>
      <w:r>
        <w:rPr>
          <w:rFonts w:asciiTheme="minorHAnsi" w:hAnsiTheme="minorHAnsi"/>
          <w:b w:val="0"/>
        </w:rPr>
        <w:t xml:space="preserve"> dans le document COP15 Doc.23.5</w:t>
      </w:r>
      <w:r w:rsidR="0000738A">
        <w:rPr>
          <w:rStyle w:val="FootnoteReference"/>
          <w:rFonts w:asciiTheme="minorHAnsi" w:eastAsiaTheme="minorEastAsia" w:hAnsiTheme="minorHAnsi" w:cstheme="minorHAnsi"/>
          <w:b w:val="0"/>
          <w:lang w:eastAsia="ko-KR"/>
        </w:rPr>
        <w:footnoteReference w:id="3"/>
      </w:r>
      <w:r>
        <w:rPr>
          <w:rFonts w:asciiTheme="minorHAnsi" w:hAnsiTheme="minorHAnsi"/>
          <w:b w:val="0"/>
        </w:rPr>
        <w:t>.</w:t>
      </w:r>
    </w:p>
    <w:p w14:paraId="473D0C5F" w14:textId="77777777" w:rsidR="00071320" w:rsidRDefault="00071320" w:rsidP="00432040">
      <w:pPr>
        <w:pStyle w:val="Heading2"/>
        <w:widowControl/>
        <w:ind w:left="426" w:hanging="426"/>
        <w:rPr>
          <w:rFonts w:asciiTheme="minorHAnsi" w:eastAsiaTheme="minorEastAsia" w:hAnsiTheme="minorHAnsi" w:cstheme="minorHAnsi"/>
          <w:b w:val="0"/>
          <w:lang w:eastAsia="ko-KR"/>
        </w:rPr>
      </w:pPr>
    </w:p>
    <w:p w14:paraId="6F86A6C7" w14:textId="09B85611" w:rsidR="00071320" w:rsidRPr="00794DB0" w:rsidRDefault="00071320" w:rsidP="001862D8">
      <w:pPr>
        <w:pStyle w:val="Heading2"/>
        <w:keepNext/>
        <w:widowControl/>
        <w:ind w:left="425" w:hanging="425"/>
        <w:rPr>
          <w:rFonts w:asciiTheme="minorHAnsi" w:eastAsiaTheme="minorEastAsia" w:hAnsiTheme="minorHAnsi" w:cstheme="minorHAnsi"/>
          <w:bCs w:val="0"/>
        </w:rPr>
      </w:pPr>
      <w:r>
        <w:rPr>
          <w:rFonts w:asciiTheme="minorHAnsi" w:hAnsiTheme="minorHAnsi"/>
        </w:rPr>
        <w:t>Progrès des travaux des Initiatives régionales Ramsar durant la période triennale 2023-2025</w:t>
      </w:r>
    </w:p>
    <w:p w14:paraId="71C68C1F" w14:textId="7645B519" w:rsidR="00432040" w:rsidRDefault="00071320" w:rsidP="001862D8">
      <w:pPr>
        <w:pStyle w:val="Heading2"/>
        <w:keepNext/>
        <w:widowControl/>
        <w:tabs>
          <w:tab w:val="left" w:pos="3240"/>
        </w:tabs>
        <w:ind w:left="425" w:hanging="425"/>
        <w:rPr>
          <w:rFonts w:asciiTheme="minorHAnsi" w:eastAsiaTheme="minorEastAsia" w:hAnsiTheme="minorHAnsi" w:cstheme="minorHAnsi"/>
          <w:b w:val="0"/>
        </w:rPr>
      </w:pPr>
      <w:r>
        <w:rPr>
          <w:rFonts w:asciiTheme="minorHAnsi" w:hAnsiTheme="minorHAnsi"/>
          <w:b w:val="0"/>
        </w:rPr>
        <w:tab/>
      </w:r>
      <w:r>
        <w:rPr>
          <w:rFonts w:asciiTheme="minorHAnsi" w:hAnsiTheme="minorHAnsi"/>
          <w:b w:val="0"/>
        </w:rPr>
        <w:tab/>
      </w:r>
    </w:p>
    <w:p w14:paraId="3CF5A8A7" w14:textId="1A631419" w:rsidR="00A31651" w:rsidRDefault="00A31651" w:rsidP="00A31651">
      <w:pPr>
        <w:pStyle w:val="Heading2"/>
        <w:widowControl/>
        <w:ind w:left="426" w:hanging="426"/>
        <w:rPr>
          <w:rFonts w:asciiTheme="minorHAnsi" w:eastAsiaTheme="minorEastAsia" w:hAnsiTheme="minorHAnsi" w:cstheme="minorHAnsi"/>
          <w:b w:val="0"/>
        </w:rPr>
      </w:pPr>
      <w:r>
        <w:rPr>
          <w:rFonts w:asciiTheme="minorHAnsi" w:hAnsiTheme="minorHAnsi"/>
          <w:b w:val="0"/>
        </w:rPr>
        <w:t xml:space="preserve">5. </w:t>
      </w:r>
      <w:r>
        <w:rPr>
          <w:rFonts w:asciiTheme="minorHAnsi" w:hAnsiTheme="minorHAnsi"/>
          <w:b w:val="0"/>
        </w:rPr>
        <w:tab/>
      </w:r>
      <w:r w:rsidR="00C03C6D">
        <w:rPr>
          <w:rFonts w:asciiTheme="minorHAnsi" w:hAnsiTheme="minorHAnsi"/>
          <w:b w:val="0"/>
        </w:rPr>
        <w:t xml:space="preserve">Au titre des </w:t>
      </w:r>
      <w:r>
        <w:rPr>
          <w:rFonts w:asciiTheme="minorHAnsi" w:hAnsiTheme="minorHAnsi"/>
          <w:b w:val="0"/>
        </w:rPr>
        <w:t>Directives opérationnelles pour les Initiatives régionales Ramsar qui figurent à l</w:t>
      </w:r>
      <w:r w:rsidR="00CD5094">
        <w:rPr>
          <w:rFonts w:asciiTheme="minorHAnsi" w:hAnsiTheme="minorHAnsi"/>
          <w:b w:val="0"/>
        </w:rPr>
        <w:t>’</w:t>
      </w:r>
      <w:r>
        <w:rPr>
          <w:rFonts w:asciiTheme="minorHAnsi" w:hAnsiTheme="minorHAnsi"/>
          <w:b w:val="0"/>
        </w:rPr>
        <w:t>annexe 1 de la Résolution XIV.7 Partie A, les IRR sont priées de présenter au Comité permanent, par l</w:t>
      </w:r>
      <w:r w:rsidR="00CD5094">
        <w:rPr>
          <w:rFonts w:asciiTheme="minorHAnsi" w:hAnsiTheme="minorHAnsi"/>
          <w:b w:val="0"/>
        </w:rPr>
        <w:t>’</w:t>
      </w:r>
      <w:r>
        <w:rPr>
          <w:rFonts w:asciiTheme="minorHAnsi" w:hAnsiTheme="minorHAnsi"/>
          <w:b w:val="0"/>
        </w:rPr>
        <w:t>intermédiaire du Secrétariat, des rapports annuels sur la situation financière et l</w:t>
      </w:r>
      <w:r w:rsidR="00CD5094">
        <w:rPr>
          <w:rFonts w:asciiTheme="minorHAnsi" w:hAnsiTheme="minorHAnsi"/>
          <w:b w:val="0"/>
        </w:rPr>
        <w:t>’</w:t>
      </w:r>
      <w:r>
        <w:rPr>
          <w:rFonts w:asciiTheme="minorHAnsi" w:hAnsiTheme="minorHAnsi"/>
          <w:b w:val="0"/>
        </w:rPr>
        <w:t>état d</w:t>
      </w:r>
      <w:r w:rsidR="00CD5094">
        <w:rPr>
          <w:rFonts w:asciiTheme="minorHAnsi" w:hAnsiTheme="minorHAnsi"/>
          <w:b w:val="0"/>
        </w:rPr>
        <w:t>’</w:t>
      </w:r>
      <w:r>
        <w:rPr>
          <w:rFonts w:asciiTheme="minorHAnsi" w:hAnsiTheme="minorHAnsi"/>
          <w:b w:val="0"/>
        </w:rPr>
        <w:t>avancement de l</w:t>
      </w:r>
      <w:r w:rsidR="00CD5094">
        <w:rPr>
          <w:rFonts w:asciiTheme="minorHAnsi" w:hAnsiTheme="minorHAnsi"/>
          <w:b w:val="0"/>
        </w:rPr>
        <w:t>’</w:t>
      </w:r>
      <w:r>
        <w:rPr>
          <w:rFonts w:asciiTheme="minorHAnsi" w:hAnsiTheme="minorHAnsi"/>
          <w:b w:val="0"/>
        </w:rPr>
        <w:t>application de leur plan de travail. Ces rapports contribuent à évaluer le champ d</w:t>
      </w:r>
      <w:r w:rsidR="00CD5094">
        <w:rPr>
          <w:rFonts w:asciiTheme="minorHAnsi" w:hAnsiTheme="minorHAnsi"/>
          <w:b w:val="0"/>
        </w:rPr>
        <w:t>’</w:t>
      </w:r>
      <w:r>
        <w:rPr>
          <w:rFonts w:asciiTheme="minorHAnsi" w:hAnsiTheme="minorHAnsi"/>
          <w:b w:val="0"/>
        </w:rPr>
        <w:t>action, l</w:t>
      </w:r>
      <w:r w:rsidR="00CD5094">
        <w:rPr>
          <w:rFonts w:asciiTheme="minorHAnsi" w:hAnsiTheme="minorHAnsi"/>
          <w:b w:val="0"/>
        </w:rPr>
        <w:t>’</w:t>
      </w:r>
      <w:r>
        <w:rPr>
          <w:rFonts w:asciiTheme="minorHAnsi" w:hAnsiTheme="minorHAnsi"/>
          <w:b w:val="0"/>
        </w:rPr>
        <w:t>efficacité et l</w:t>
      </w:r>
      <w:r w:rsidR="00CD5094">
        <w:rPr>
          <w:rFonts w:asciiTheme="minorHAnsi" w:hAnsiTheme="minorHAnsi"/>
          <w:b w:val="0"/>
        </w:rPr>
        <w:t>’</w:t>
      </w:r>
      <w:r>
        <w:rPr>
          <w:rFonts w:asciiTheme="minorHAnsi" w:hAnsiTheme="minorHAnsi"/>
          <w:b w:val="0"/>
        </w:rPr>
        <w:t>impact des activités des IRR dans plusieurs régions, ainsi qu</w:t>
      </w:r>
      <w:r w:rsidR="00CD5094">
        <w:rPr>
          <w:rFonts w:asciiTheme="minorHAnsi" w:hAnsiTheme="minorHAnsi"/>
          <w:b w:val="0"/>
        </w:rPr>
        <w:t>’</w:t>
      </w:r>
      <w:r w:rsidR="00C55E41">
        <w:rPr>
          <w:rFonts w:asciiTheme="minorHAnsi" w:hAnsiTheme="minorHAnsi"/>
          <w:b w:val="0"/>
        </w:rPr>
        <w:t>à</w:t>
      </w:r>
      <w:r>
        <w:rPr>
          <w:rFonts w:asciiTheme="minorHAnsi" w:hAnsiTheme="minorHAnsi"/>
          <w:b w:val="0"/>
        </w:rPr>
        <w:t xml:space="preserve"> définir des domaines dans lesquels le Secrétariat peut</w:t>
      </w:r>
      <w:r w:rsidR="00083E69">
        <w:rPr>
          <w:rFonts w:asciiTheme="minorHAnsi" w:hAnsiTheme="minorHAnsi"/>
          <w:b w:val="0"/>
        </w:rPr>
        <w:t xml:space="preserve"> leur</w:t>
      </w:r>
      <w:r>
        <w:rPr>
          <w:rFonts w:asciiTheme="minorHAnsi" w:hAnsiTheme="minorHAnsi"/>
          <w:b w:val="0"/>
        </w:rPr>
        <w:t xml:space="preserve"> fournir un appui supplémentaire.</w:t>
      </w:r>
    </w:p>
    <w:p w14:paraId="29844F78" w14:textId="77777777" w:rsidR="00A31651" w:rsidRDefault="00A31651" w:rsidP="00A31651">
      <w:pPr>
        <w:pStyle w:val="Heading2"/>
        <w:widowControl/>
        <w:ind w:left="426" w:hanging="426"/>
        <w:rPr>
          <w:rFonts w:asciiTheme="minorHAnsi" w:eastAsiaTheme="minorEastAsia" w:hAnsiTheme="minorHAnsi" w:cstheme="minorHAnsi"/>
          <w:b w:val="0"/>
          <w:lang w:eastAsia="ko-KR"/>
        </w:rPr>
      </w:pPr>
    </w:p>
    <w:p w14:paraId="74B58E20" w14:textId="082CFE03" w:rsidR="00A31651" w:rsidRPr="00A31651" w:rsidRDefault="00A31651" w:rsidP="00BE024C">
      <w:pPr>
        <w:pStyle w:val="Heading2"/>
        <w:widowControl/>
        <w:ind w:left="426" w:hanging="426"/>
        <w:rPr>
          <w:rFonts w:asciiTheme="minorHAnsi" w:eastAsiaTheme="minorEastAsia" w:hAnsiTheme="minorHAnsi" w:cstheme="minorHAnsi"/>
          <w:b w:val="0"/>
        </w:rPr>
      </w:pPr>
      <w:r>
        <w:rPr>
          <w:rFonts w:asciiTheme="minorHAnsi" w:hAnsiTheme="minorHAnsi"/>
          <w:b w:val="0"/>
        </w:rPr>
        <w:t>6.</w:t>
      </w:r>
      <w:r>
        <w:rPr>
          <w:rFonts w:asciiTheme="minorHAnsi" w:hAnsiTheme="minorHAnsi"/>
          <w:b w:val="0"/>
        </w:rPr>
        <w:tab/>
        <w:t>Durant la période triennale 2023-2025, le volume des activités des IRR s</w:t>
      </w:r>
      <w:r w:rsidR="00CD5094">
        <w:rPr>
          <w:rFonts w:asciiTheme="minorHAnsi" w:hAnsiTheme="minorHAnsi"/>
          <w:b w:val="0"/>
        </w:rPr>
        <w:t>’</w:t>
      </w:r>
      <w:r>
        <w:rPr>
          <w:rFonts w:asciiTheme="minorHAnsi" w:hAnsiTheme="minorHAnsi"/>
          <w:b w:val="0"/>
        </w:rPr>
        <w:t>est accru et celles-ci ont également gagné en ampleur. En 2024, les dépenses estimées des IRR s</w:t>
      </w:r>
      <w:r w:rsidR="00CD5094">
        <w:rPr>
          <w:rFonts w:asciiTheme="minorHAnsi" w:hAnsiTheme="minorHAnsi"/>
          <w:b w:val="0"/>
        </w:rPr>
        <w:t>’</w:t>
      </w:r>
      <w:r>
        <w:rPr>
          <w:rFonts w:asciiTheme="minorHAnsi" w:hAnsiTheme="minorHAnsi"/>
          <w:b w:val="0"/>
        </w:rPr>
        <w:t>élevaient à 3,9 millions CHF, reflétant une tendance à la hausse puisqu</w:t>
      </w:r>
      <w:r w:rsidR="00CD5094">
        <w:rPr>
          <w:rFonts w:asciiTheme="minorHAnsi" w:hAnsiTheme="minorHAnsi"/>
          <w:b w:val="0"/>
        </w:rPr>
        <w:t>’</w:t>
      </w:r>
      <w:r>
        <w:rPr>
          <w:rFonts w:asciiTheme="minorHAnsi" w:hAnsiTheme="minorHAnsi"/>
          <w:b w:val="0"/>
        </w:rPr>
        <w:t>elles étaient de 2,7 millions CHF en 2022 et de 3,4 millions CHF en 2023</w:t>
      </w:r>
      <w:r w:rsidRPr="00A31651">
        <w:rPr>
          <w:rStyle w:val="FootnoteReference"/>
          <w:rFonts w:asciiTheme="minorHAnsi" w:hAnsiTheme="minorHAnsi"/>
          <w:b w:val="0"/>
        </w:rPr>
        <w:footnoteReference w:id="4"/>
      </w:r>
      <w:r>
        <w:rPr>
          <w:rFonts w:asciiTheme="minorHAnsi" w:hAnsiTheme="minorHAnsi"/>
          <w:b w:val="0"/>
        </w:rPr>
        <w:t xml:space="preserve">. </w:t>
      </w:r>
    </w:p>
    <w:p w14:paraId="217EAFEB" w14:textId="77777777" w:rsidR="00A31651" w:rsidRDefault="00A31651" w:rsidP="00A31651"/>
    <w:p w14:paraId="6767B005" w14:textId="4E27FBB8" w:rsidR="00E062D8" w:rsidRPr="00E062D8" w:rsidRDefault="00E062D8" w:rsidP="00E062D8">
      <w:pPr>
        <w:pStyle w:val="Heading2"/>
        <w:widowControl/>
        <w:ind w:left="426" w:hanging="426"/>
        <w:rPr>
          <w:rFonts w:asciiTheme="minorHAnsi" w:eastAsiaTheme="minorEastAsia" w:hAnsiTheme="minorHAnsi"/>
          <w:b w:val="0"/>
        </w:rPr>
      </w:pPr>
      <w:r>
        <w:rPr>
          <w:rFonts w:asciiTheme="minorHAnsi" w:hAnsiTheme="minorHAnsi"/>
          <w:b w:val="0"/>
        </w:rPr>
        <w:t xml:space="preserve">7. </w:t>
      </w:r>
      <w:r>
        <w:rPr>
          <w:rFonts w:asciiTheme="minorHAnsi" w:hAnsiTheme="minorHAnsi"/>
          <w:b w:val="0"/>
        </w:rPr>
        <w:tab/>
        <w:t xml:space="preserve">Selon les rapports reçus, les IRR ont contribué de manière non négligeable à la coopération régionale entre les Parties contractantes, notamment pour ce qui </w:t>
      </w:r>
      <w:r w:rsidR="00BE13BE">
        <w:rPr>
          <w:rFonts w:asciiTheme="minorHAnsi" w:hAnsiTheme="minorHAnsi"/>
          <w:b w:val="0"/>
        </w:rPr>
        <w:t>suit</w:t>
      </w:r>
      <w:r>
        <w:rPr>
          <w:rFonts w:asciiTheme="minorHAnsi" w:hAnsiTheme="minorHAnsi"/>
          <w:b w:val="0"/>
        </w:rPr>
        <w:t> :</w:t>
      </w:r>
    </w:p>
    <w:p w14:paraId="028753CD" w14:textId="77777777" w:rsidR="00E062D8" w:rsidRPr="00C11128" w:rsidRDefault="00E062D8" w:rsidP="00A31651">
      <w:pPr>
        <w:widowControl/>
        <w:contextualSpacing/>
      </w:pPr>
    </w:p>
    <w:p w14:paraId="27C6DA3F" w14:textId="49829317" w:rsidR="00E062D8" w:rsidRPr="00E062D8" w:rsidRDefault="00E062D8" w:rsidP="00E062D8">
      <w:pPr>
        <w:pStyle w:val="ListParagraph"/>
        <w:widowControl/>
        <w:numPr>
          <w:ilvl w:val="0"/>
          <w:numId w:val="23"/>
        </w:numPr>
        <w:contextualSpacing/>
      </w:pPr>
      <w:r>
        <w:t>l</w:t>
      </w:r>
      <w:r w:rsidR="00CD5094">
        <w:t>’</w:t>
      </w:r>
      <w:r>
        <w:t>organisation d</w:t>
      </w:r>
      <w:r w:rsidR="00CD5094">
        <w:t>’</w:t>
      </w:r>
      <w:r>
        <w:t>au moins une réunion de coordination par la plupart des IRR ;</w:t>
      </w:r>
    </w:p>
    <w:p w14:paraId="12AF6354" w14:textId="4183322F" w:rsidR="00E062D8" w:rsidRPr="00E062D8" w:rsidRDefault="00E062D8" w:rsidP="00E062D8">
      <w:pPr>
        <w:pStyle w:val="ListParagraph"/>
        <w:widowControl/>
        <w:numPr>
          <w:ilvl w:val="0"/>
          <w:numId w:val="23"/>
        </w:numPr>
        <w:contextualSpacing/>
      </w:pPr>
      <w:r>
        <w:t>l</w:t>
      </w:r>
      <w:r w:rsidR="00CD5094">
        <w:t>’</w:t>
      </w:r>
      <w:r>
        <w:t xml:space="preserve">organisation </w:t>
      </w:r>
      <w:r w:rsidR="00C41C6C">
        <w:t>des</w:t>
      </w:r>
      <w:r>
        <w:t xml:space="preserve"> activités de </w:t>
      </w:r>
      <w:bookmarkStart w:id="1" w:name="_Hlk196396159"/>
      <w:r>
        <w:t>communication, de renforcement des capacités, d</w:t>
      </w:r>
      <w:r w:rsidR="00CD5094">
        <w:t>’</w:t>
      </w:r>
      <w:r>
        <w:t>éducation, de participation et de sensibilisation (CESP)</w:t>
      </w:r>
      <w:bookmarkEnd w:id="1"/>
      <w:r w:rsidR="00C41C6C">
        <w:t xml:space="preserve"> ou l</w:t>
      </w:r>
      <w:r w:rsidR="00CD5094">
        <w:t>’</w:t>
      </w:r>
      <w:r w:rsidR="00C41C6C">
        <w:t>appui à ces activités</w:t>
      </w:r>
      <w:r>
        <w:t xml:space="preserve">, notamment la célébration de la </w:t>
      </w:r>
      <w:r w:rsidR="0030616C">
        <w:t>J</w:t>
      </w:r>
      <w:r>
        <w:t>ournée mondiale des zones humides ;</w:t>
      </w:r>
    </w:p>
    <w:p w14:paraId="6D824915" w14:textId="334F3F89" w:rsidR="00E062D8" w:rsidRPr="00E062D8" w:rsidRDefault="00E062D8" w:rsidP="00E062D8">
      <w:pPr>
        <w:pStyle w:val="ListParagraph"/>
        <w:widowControl/>
        <w:numPr>
          <w:ilvl w:val="0"/>
          <w:numId w:val="23"/>
        </w:numPr>
        <w:contextualSpacing/>
      </w:pPr>
      <w:r>
        <w:t>la conduite d</w:t>
      </w:r>
      <w:r w:rsidR="00CD5094">
        <w:t>’</w:t>
      </w:r>
      <w:r>
        <w:t>évaluations des politiques régionales sur des thèmes comme le changement climatique, les espèces envahissantes et la gestion des zones humides d</w:t>
      </w:r>
      <w:r w:rsidR="00CD5094">
        <w:t>’</w:t>
      </w:r>
      <w:r>
        <w:t>importance internationale ; et</w:t>
      </w:r>
    </w:p>
    <w:p w14:paraId="3A3A93FB" w14:textId="379511B3" w:rsidR="00E062D8" w:rsidRPr="00E062D8" w:rsidRDefault="00E062D8" w:rsidP="00E062D8">
      <w:pPr>
        <w:pStyle w:val="ListParagraph"/>
        <w:widowControl/>
        <w:numPr>
          <w:ilvl w:val="0"/>
          <w:numId w:val="23"/>
        </w:numPr>
        <w:contextualSpacing/>
      </w:pPr>
      <w:r>
        <w:t xml:space="preserve">la participation à la mobilisation des ressources </w:t>
      </w:r>
      <w:r w:rsidR="00FD52F9">
        <w:t>par</w:t>
      </w:r>
      <w:r>
        <w:t xml:space="preserve"> l</w:t>
      </w:r>
      <w:r w:rsidR="00CD5094">
        <w:t>’</w:t>
      </w:r>
      <w:r>
        <w:t>élaboration de propositions de financement et la mise en place de plateformes de financement durable.</w:t>
      </w:r>
    </w:p>
    <w:p w14:paraId="3C15B4D3" w14:textId="77777777" w:rsidR="00E062D8" w:rsidRPr="00C11128" w:rsidRDefault="00E062D8" w:rsidP="00A31651">
      <w:pPr>
        <w:widowControl/>
        <w:contextualSpacing/>
      </w:pPr>
    </w:p>
    <w:p w14:paraId="627099C6" w14:textId="58318176" w:rsidR="00E062D8" w:rsidRDefault="00A31651" w:rsidP="00A31651">
      <w:pPr>
        <w:pStyle w:val="Heading2"/>
        <w:widowControl/>
        <w:ind w:left="426" w:hanging="426"/>
        <w:rPr>
          <w:rFonts w:asciiTheme="minorHAnsi" w:eastAsiaTheme="minorEastAsia" w:hAnsiTheme="minorHAnsi"/>
          <w:b w:val="0"/>
        </w:rPr>
      </w:pPr>
      <w:r>
        <w:rPr>
          <w:rFonts w:asciiTheme="minorHAnsi" w:hAnsiTheme="minorHAnsi"/>
          <w:b w:val="0"/>
        </w:rPr>
        <w:t>8.</w:t>
      </w:r>
      <w:r>
        <w:rPr>
          <w:rFonts w:asciiTheme="minorHAnsi" w:hAnsiTheme="minorHAnsi"/>
          <w:b w:val="0"/>
        </w:rPr>
        <w:tab/>
        <w:t>Les IRR font communément état des difficultés</w:t>
      </w:r>
      <w:r w:rsidR="005C0AF7">
        <w:rPr>
          <w:rFonts w:asciiTheme="minorHAnsi" w:hAnsiTheme="minorHAnsi"/>
          <w:b w:val="0"/>
        </w:rPr>
        <w:t>,</w:t>
      </w:r>
      <w:r>
        <w:rPr>
          <w:rFonts w:asciiTheme="minorHAnsi" w:hAnsiTheme="minorHAnsi"/>
          <w:b w:val="0"/>
        </w:rPr>
        <w:t xml:space="preserve"> telles que le manque de ressources financières et les contraintes de coordination entre les pays participants. </w:t>
      </w:r>
    </w:p>
    <w:p w14:paraId="5E24AD4D" w14:textId="77777777" w:rsidR="00E062D8" w:rsidRDefault="00E062D8" w:rsidP="00A31651">
      <w:pPr>
        <w:pStyle w:val="Heading2"/>
        <w:widowControl/>
        <w:ind w:left="426" w:hanging="426"/>
        <w:rPr>
          <w:rFonts w:asciiTheme="minorHAnsi" w:eastAsiaTheme="minorEastAsia" w:hAnsiTheme="minorHAnsi"/>
          <w:b w:val="0"/>
          <w:lang w:eastAsia="ko-KR"/>
        </w:rPr>
      </w:pPr>
    </w:p>
    <w:p w14:paraId="4676F34E" w14:textId="5130925A" w:rsidR="00E062D8" w:rsidRDefault="00794DB0" w:rsidP="00E062D8">
      <w:pPr>
        <w:pStyle w:val="Heading2"/>
        <w:widowControl/>
        <w:ind w:left="426" w:hanging="426"/>
        <w:rPr>
          <w:rFonts w:asciiTheme="minorHAnsi" w:eastAsiaTheme="minorEastAsia" w:hAnsiTheme="minorHAnsi"/>
          <w:b w:val="0"/>
        </w:rPr>
      </w:pPr>
      <w:r w:rsidRPr="00C50A0D">
        <w:rPr>
          <w:rFonts w:asciiTheme="minorHAnsi" w:hAnsiTheme="minorHAnsi"/>
          <w:b w:val="0"/>
        </w:rPr>
        <w:t xml:space="preserve">9. </w:t>
      </w:r>
      <w:r w:rsidRPr="00C50A0D">
        <w:rPr>
          <w:rFonts w:asciiTheme="minorHAnsi" w:hAnsiTheme="minorHAnsi"/>
          <w:b w:val="0"/>
        </w:rPr>
        <w:tab/>
      </w:r>
      <w:r w:rsidR="00756B07" w:rsidRPr="00C50A0D">
        <w:rPr>
          <w:rFonts w:asciiTheme="minorHAnsi" w:hAnsiTheme="minorHAnsi"/>
          <w:b w:val="0"/>
        </w:rPr>
        <w:t>C</w:t>
      </w:r>
      <w:r w:rsidRPr="00C50A0D">
        <w:rPr>
          <w:rFonts w:asciiTheme="minorHAnsi" w:hAnsiTheme="minorHAnsi"/>
          <w:b w:val="0"/>
        </w:rPr>
        <w:t xml:space="preserve">ertaines IRR </w:t>
      </w:r>
      <w:r w:rsidR="00756B07" w:rsidRPr="00C50A0D">
        <w:rPr>
          <w:rFonts w:asciiTheme="minorHAnsi" w:hAnsiTheme="minorHAnsi"/>
          <w:b w:val="0"/>
        </w:rPr>
        <w:t>ont connu une croissance remarquable</w:t>
      </w:r>
      <w:r w:rsidRPr="00C50A0D">
        <w:rPr>
          <w:rFonts w:asciiTheme="minorHAnsi" w:hAnsiTheme="minorHAnsi"/>
          <w:b w:val="0"/>
        </w:rPr>
        <w:t xml:space="preserve">, </w:t>
      </w:r>
      <w:r w:rsidR="00756B07" w:rsidRPr="00C50A0D">
        <w:rPr>
          <w:rFonts w:asciiTheme="minorHAnsi" w:hAnsiTheme="minorHAnsi"/>
          <w:b w:val="0"/>
        </w:rPr>
        <w:t xml:space="preserve">mais </w:t>
      </w:r>
      <w:r w:rsidRPr="00C50A0D">
        <w:rPr>
          <w:rFonts w:asciiTheme="minorHAnsi" w:hAnsiTheme="minorHAnsi"/>
          <w:b w:val="0"/>
        </w:rPr>
        <w:t>d</w:t>
      </w:r>
      <w:r w:rsidR="0076235D">
        <w:rPr>
          <w:rFonts w:asciiTheme="minorHAnsi" w:hAnsiTheme="minorHAnsi"/>
          <w:b w:val="0"/>
        </w:rPr>
        <w:t>’</w:t>
      </w:r>
      <w:r w:rsidRPr="00C50A0D">
        <w:rPr>
          <w:rFonts w:asciiTheme="minorHAnsi" w:hAnsiTheme="minorHAnsi"/>
          <w:b w:val="0"/>
        </w:rPr>
        <w:t xml:space="preserve">autres ont </w:t>
      </w:r>
      <w:r w:rsidR="000826E2" w:rsidRPr="00C50A0D">
        <w:rPr>
          <w:rFonts w:asciiTheme="minorHAnsi" w:hAnsiTheme="minorHAnsi"/>
          <w:b w:val="0"/>
        </w:rPr>
        <w:t>rencontré</w:t>
      </w:r>
      <w:r w:rsidRPr="00C50A0D">
        <w:rPr>
          <w:rFonts w:asciiTheme="minorHAnsi" w:hAnsiTheme="minorHAnsi"/>
          <w:b w:val="0"/>
        </w:rPr>
        <w:t xml:space="preserve"> </w:t>
      </w:r>
      <w:r w:rsidR="00A354F5" w:rsidRPr="00C50A0D">
        <w:rPr>
          <w:rFonts w:asciiTheme="minorHAnsi" w:hAnsiTheme="minorHAnsi"/>
          <w:b w:val="0"/>
        </w:rPr>
        <w:t>des</w:t>
      </w:r>
      <w:r w:rsidRPr="00C50A0D">
        <w:rPr>
          <w:rFonts w:asciiTheme="minorHAnsi" w:hAnsiTheme="minorHAnsi"/>
          <w:b w:val="0"/>
        </w:rPr>
        <w:t xml:space="preserve"> difficultés </w:t>
      </w:r>
      <w:r w:rsidR="00260456" w:rsidRPr="00C50A0D">
        <w:rPr>
          <w:rFonts w:asciiTheme="minorHAnsi" w:hAnsiTheme="minorHAnsi"/>
          <w:b w:val="0"/>
        </w:rPr>
        <w:t>pour maintenir</w:t>
      </w:r>
      <w:r w:rsidR="00C50A0D" w:rsidRPr="00C50A0D">
        <w:rPr>
          <w:rFonts w:asciiTheme="minorHAnsi" w:hAnsiTheme="minorHAnsi"/>
          <w:b w:val="0"/>
        </w:rPr>
        <w:t xml:space="preserve"> leurs activités</w:t>
      </w:r>
      <w:r>
        <w:rPr>
          <w:rFonts w:asciiTheme="minorHAnsi" w:hAnsiTheme="minorHAnsi"/>
          <w:b w:val="0"/>
        </w:rPr>
        <w:t>. Cela a eu pour résultat qu</w:t>
      </w:r>
      <w:r w:rsidR="00CD5094">
        <w:rPr>
          <w:rFonts w:asciiTheme="minorHAnsi" w:hAnsiTheme="minorHAnsi"/>
          <w:b w:val="0"/>
        </w:rPr>
        <w:t>’</w:t>
      </w:r>
      <w:r>
        <w:rPr>
          <w:rFonts w:asciiTheme="minorHAnsi" w:hAnsiTheme="minorHAnsi"/>
          <w:b w:val="0"/>
        </w:rPr>
        <w:t>un nombre croissant d</w:t>
      </w:r>
      <w:r w:rsidR="00CD5094">
        <w:rPr>
          <w:rFonts w:asciiTheme="minorHAnsi" w:hAnsiTheme="minorHAnsi"/>
          <w:b w:val="0"/>
        </w:rPr>
        <w:t>’</w:t>
      </w:r>
      <w:r>
        <w:rPr>
          <w:rFonts w:asciiTheme="minorHAnsi" w:hAnsiTheme="minorHAnsi"/>
          <w:b w:val="0"/>
        </w:rPr>
        <w:t xml:space="preserve">IRR ne soumettent pas leur rapport annuel. </w:t>
      </w:r>
      <w:r w:rsidR="00E75A6E">
        <w:rPr>
          <w:rFonts w:asciiTheme="minorHAnsi" w:hAnsiTheme="minorHAnsi"/>
          <w:b w:val="0"/>
        </w:rPr>
        <w:t>Le tableau</w:t>
      </w:r>
      <w:r>
        <w:rPr>
          <w:rFonts w:asciiTheme="minorHAnsi" w:hAnsiTheme="minorHAnsi"/>
          <w:b w:val="0"/>
        </w:rPr>
        <w:t xml:space="preserve"> ci-après montre les IRR qui n</w:t>
      </w:r>
      <w:r w:rsidR="00CD5094">
        <w:rPr>
          <w:rFonts w:asciiTheme="minorHAnsi" w:hAnsiTheme="minorHAnsi"/>
          <w:b w:val="0"/>
        </w:rPr>
        <w:t>’</w:t>
      </w:r>
      <w:r>
        <w:rPr>
          <w:rFonts w:asciiTheme="minorHAnsi" w:hAnsiTheme="minorHAnsi"/>
          <w:b w:val="0"/>
        </w:rPr>
        <w:t>ont pas soumis de rapport durant une ou plusieurs années au cours de la période triennale en cours.</w:t>
      </w:r>
    </w:p>
    <w:p w14:paraId="74AA33D2" w14:textId="77777777" w:rsidR="00794DB0" w:rsidRDefault="00794DB0" w:rsidP="00A31651">
      <w:pPr>
        <w:pStyle w:val="Heading2"/>
        <w:widowControl/>
        <w:ind w:left="426" w:hanging="426"/>
        <w:rPr>
          <w:rFonts w:asciiTheme="minorHAnsi" w:eastAsiaTheme="minorEastAsia" w:hAnsiTheme="minorHAnsi"/>
          <w:b w:val="0"/>
          <w:lang w:eastAsia="ko-KR"/>
        </w:rPr>
      </w:pPr>
    </w:p>
    <w:p w14:paraId="2AA2DC2B" w14:textId="7F68DD75" w:rsidR="00794DB0" w:rsidRPr="00AD4059" w:rsidRDefault="00794DB0" w:rsidP="00C444E3">
      <w:pPr>
        <w:ind w:left="425"/>
        <w:rPr>
          <w:i/>
        </w:rPr>
      </w:pPr>
      <w:r>
        <w:rPr>
          <w:i/>
        </w:rPr>
        <w:t>Tableau 1 : Initiatives régionales Ramsar n</w:t>
      </w:r>
      <w:r w:rsidR="00CD5094">
        <w:rPr>
          <w:i/>
        </w:rPr>
        <w:t>’</w:t>
      </w:r>
      <w:r>
        <w:rPr>
          <w:i/>
        </w:rPr>
        <w:t>ayant pas soumis de rapport, 2022-2025</w:t>
      </w:r>
    </w:p>
    <w:tbl>
      <w:tblPr>
        <w:tblStyle w:val="TableGrid"/>
        <w:tblW w:w="8642" w:type="dxa"/>
        <w:tblInd w:w="425" w:type="dxa"/>
        <w:tblLook w:val="04A0" w:firstRow="1" w:lastRow="0" w:firstColumn="1" w:lastColumn="0" w:noHBand="0" w:noVBand="1"/>
      </w:tblPr>
      <w:tblGrid>
        <w:gridCol w:w="2546"/>
        <w:gridCol w:w="1844"/>
        <w:gridCol w:w="2126"/>
        <w:gridCol w:w="2126"/>
      </w:tblGrid>
      <w:tr w:rsidR="00794DB0" w:rsidRPr="006B3399" w14:paraId="75CBF2DE" w14:textId="77777777" w:rsidTr="00794DB0">
        <w:trPr>
          <w:trHeight w:val="269"/>
        </w:trPr>
        <w:tc>
          <w:tcPr>
            <w:tcW w:w="2546" w:type="dxa"/>
            <w:shd w:val="clear" w:color="auto" w:fill="DBE5F1" w:themeFill="accent1" w:themeFillTint="33"/>
          </w:tcPr>
          <w:p w14:paraId="44E527F3" w14:textId="77777777" w:rsidR="00794DB0" w:rsidRPr="006B3399" w:rsidRDefault="00794DB0" w:rsidP="00AE6780">
            <w:pPr>
              <w:jc w:val="center"/>
              <w:rPr>
                <w:b/>
              </w:rPr>
            </w:pPr>
            <w:r>
              <w:rPr>
                <w:b/>
              </w:rPr>
              <w:t>Période du rapport</w:t>
            </w:r>
          </w:p>
        </w:tc>
        <w:tc>
          <w:tcPr>
            <w:tcW w:w="1844" w:type="dxa"/>
            <w:shd w:val="clear" w:color="auto" w:fill="DBE5F1" w:themeFill="accent1" w:themeFillTint="33"/>
          </w:tcPr>
          <w:p w14:paraId="5588A6EE" w14:textId="77777777" w:rsidR="00794DB0" w:rsidRPr="006B3399" w:rsidRDefault="00794DB0" w:rsidP="00AE6780">
            <w:pPr>
              <w:jc w:val="center"/>
              <w:rPr>
                <w:b/>
              </w:rPr>
            </w:pPr>
            <w:r>
              <w:rPr>
                <w:b/>
              </w:rPr>
              <w:t>2022-2023</w:t>
            </w:r>
          </w:p>
        </w:tc>
        <w:tc>
          <w:tcPr>
            <w:tcW w:w="2126" w:type="dxa"/>
            <w:shd w:val="clear" w:color="auto" w:fill="DBE5F1" w:themeFill="accent1" w:themeFillTint="33"/>
          </w:tcPr>
          <w:p w14:paraId="7678EAA6" w14:textId="77777777" w:rsidR="00794DB0" w:rsidRPr="006B3399" w:rsidRDefault="00794DB0" w:rsidP="00AE6780">
            <w:pPr>
              <w:jc w:val="center"/>
              <w:rPr>
                <w:b/>
              </w:rPr>
            </w:pPr>
            <w:r>
              <w:rPr>
                <w:b/>
              </w:rPr>
              <w:t>2023-2024</w:t>
            </w:r>
          </w:p>
        </w:tc>
        <w:tc>
          <w:tcPr>
            <w:tcW w:w="2126" w:type="dxa"/>
            <w:shd w:val="clear" w:color="auto" w:fill="DBE5F1" w:themeFill="accent1" w:themeFillTint="33"/>
          </w:tcPr>
          <w:p w14:paraId="17CEDB9E" w14:textId="77777777" w:rsidR="00794DB0" w:rsidRPr="00687331" w:rsidRDefault="00794DB0" w:rsidP="00AE6780">
            <w:pPr>
              <w:jc w:val="center"/>
              <w:rPr>
                <w:rFonts w:eastAsia="Malgun Gothic"/>
                <w:b/>
              </w:rPr>
            </w:pPr>
            <w:r>
              <w:rPr>
                <w:b/>
              </w:rPr>
              <w:t>2024-2025</w:t>
            </w:r>
          </w:p>
        </w:tc>
      </w:tr>
      <w:tr w:rsidR="00794DB0" w:rsidRPr="00643408" w14:paraId="14892600" w14:textId="77777777" w:rsidTr="00794DB0">
        <w:trPr>
          <w:trHeight w:val="70"/>
        </w:trPr>
        <w:tc>
          <w:tcPr>
            <w:tcW w:w="2546" w:type="dxa"/>
          </w:tcPr>
          <w:p w14:paraId="2C3130E0" w14:textId="77777777" w:rsidR="00794DB0" w:rsidRPr="00643408" w:rsidRDefault="00794DB0" w:rsidP="00AE6780">
            <w:r>
              <w:t>BlackSeaWet</w:t>
            </w:r>
          </w:p>
        </w:tc>
        <w:tc>
          <w:tcPr>
            <w:tcW w:w="1844" w:type="dxa"/>
          </w:tcPr>
          <w:p w14:paraId="2B04BF44" w14:textId="77777777" w:rsidR="00794DB0" w:rsidRPr="00643408" w:rsidRDefault="00794DB0" w:rsidP="00AE6780">
            <w:pPr>
              <w:jc w:val="center"/>
            </w:pPr>
            <w:r>
              <w:t>X</w:t>
            </w:r>
          </w:p>
        </w:tc>
        <w:tc>
          <w:tcPr>
            <w:tcW w:w="2126" w:type="dxa"/>
          </w:tcPr>
          <w:p w14:paraId="702A5BC8" w14:textId="77777777" w:rsidR="00794DB0" w:rsidRPr="00643408" w:rsidRDefault="00794DB0" w:rsidP="00AE6780">
            <w:pPr>
              <w:jc w:val="center"/>
            </w:pPr>
          </w:p>
        </w:tc>
        <w:tc>
          <w:tcPr>
            <w:tcW w:w="2126" w:type="dxa"/>
          </w:tcPr>
          <w:p w14:paraId="240FFDD2" w14:textId="77777777" w:rsidR="00794DB0" w:rsidRPr="00643408" w:rsidRDefault="00794DB0" w:rsidP="00AE6780">
            <w:pPr>
              <w:jc w:val="center"/>
            </w:pPr>
          </w:p>
        </w:tc>
      </w:tr>
      <w:tr w:rsidR="00794DB0" w:rsidRPr="00643408" w14:paraId="134D912B" w14:textId="77777777" w:rsidTr="00794DB0">
        <w:trPr>
          <w:trHeight w:val="269"/>
        </w:trPr>
        <w:tc>
          <w:tcPr>
            <w:tcW w:w="2546" w:type="dxa"/>
          </w:tcPr>
          <w:p w14:paraId="6C839721" w14:textId="77777777" w:rsidR="00794DB0" w:rsidRPr="00643408" w:rsidRDefault="00794DB0" w:rsidP="00AE6780">
            <w:r>
              <w:t>CariWet</w:t>
            </w:r>
          </w:p>
        </w:tc>
        <w:tc>
          <w:tcPr>
            <w:tcW w:w="1844" w:type="dxa"/>
          </w:tcPr>
          <w:p w14:paraId="5A9D7D74" w14:textId="77777777" w:rsidR="00794DB0" w:rsidRPr="00643408" w:rsidRDefault="00794DB0" w:rsidP="00AE6780">
            <w:pPr>
              <w:jc w:val="center"/>
            </w:pPr>
          </w:p>
        </w:tc>
        <w:tc>
          <w:tcPr>
            <w:tcW w:w="2126" w:type="dxa"/>
          </w:tcPr>
          <w:p w14:paraId="66E2A4D4" w14:textId="77777777" w:rsidR="00794DB0" w:rsidRPr="00643408" w:rsidRDefault="00794DB0" w:rsidP="00AE6780">
            <w:pPr>
              <w:jc w:val="center"/>
            </w:pPr>
            <w:r>
              <w:t>X</w:t>
            </w:r>
          </w:p>
        </w:tc>
        <w:tc>
          <w:tcPr>
            <w:tcW w:w="2126" w:type="dxa"/>
          </w:tcPr>
          <w:p w14:paraId="1FDA431E" w14:textId="77777777" w:rsidR="00794DB0" w:rsidRPr="00643408" w:rsidRDefault="00794DB0" w:rsidP="00AE6780">
            <w:pPr>
              <w:jc w:val="center"/>
            </w:pPr>
            <w:r>
              <w:t>X</w:t>
            </w:r>
          </w:p>
        </w:tc>
      </w:tr>
      <w:tr w:rsidR="00794DB0" w:rsidRPr="00643408" w14:paraId="4FBCD1E6" w14:textId="77777777" w:rsidTr="00794DB0">
        <w:trPr>
          <w:trHeight w:val="269"/>
        </w:trPr>
        <w:tc>
          <w:tcPr>
            <w:tcW w:w="2546" w:type="dxa"/>
          </w:tcPr>
          <w:p w14:paraId="45D484C6" w14:textId="77777777" w:rsidR="00794DB0" w:rsidRDefault="00794DB0" w:rsidP="00AE6780">
            <w:r>
              <w:t>Zones humides des Hautes Andes</w:t>
            </w:r>
          </w:p>
        </w:tc>
        <w:tc>
          <w:tcPr>
            <w:tcW w:w="1844" w:type="dxa"/>
          </w:tcPr>
          <w:p w14:paraId="1F55411D" w14:textId="77777777" w:rsidR="00794DB0" w:rsidRPr="00643408" w:rsidRDefault="00794DB0" w:rsidP="00AE6780">
            <w:pPr>
              <w:jc w:val="center"/>
            </w:pPr>
          </w:p>
        </w:tc>
        <w:tc>
          <w:tcPr>
            <w:tcW w:w="2126" w:type="dxa"/>
          </w:tcPr>
          <w:p w14:paraId="24AFC556" w14:textId="77777777" w:rsidR="00794DB0" w:rsidRPr="00643408" w:rsidRDefault="00794DB0" w:rsidP="00AE6780">
            <w:pPr>
              <w:jc w:val="center"/>
            </w:pPr>
            <w:r>
              <w:t>X</w:t>
            </w:r>
          </w:p>
        </w:tc>
        <w:tc>
          <w:tcPr>
            <w:tcW w:w="2126" w:type="dxa"/>
          </w:tcPr>
          <w:p w14:paraId="063238E1" w14:textId="77777777" w:rsidR="00794DB0" w:rsidRPr="00643408" w:rsidRDefault="00794DB0" w:rsidP="00AE6780">
            <w:pPr>
              <w:jc w:val="center"/>
            </w:pPr>
            <w:r>
              <w:t>X</w:t>
            </w:r>
          </w:p>
        </w:tc>
      </w:tr>
      <w:tr w:rsidR="00794DB0" w:rsidRPr="00643408" w14:paraId="072A8ED9" w14:textId="77777777" w:rsidTr="00794DB0">
        <w:trPr>
          <w:trHeight w:val="269"/>
        </w:trPr>
        <w:tc>
          <w:tcPr>
            <w:tcW w:w="2546" w:type="dxa"/>
          </w:tcPr>
          <w:p w14:paraId="19CD4D4F" w14:textId="77777777" w:rsidR="00794DB0" w:rsidRPr="00687331" w:rsidRDefault="00794DB0" w:rsidP="00AE6780">
            <w:pPr>
              <w:rPr>
                <w:rFonts w:eastAsia="Malgun Gothic"/>
              </w:rPr>
            </w:pPr>
            <w:r>
              <w:t>IRR La Plata</w:t>
            </w:r>
          </w:p>
        </w:tc>
        <w:tc>
          <w:tcPr>
            <w:tcW w:w="1844" w:type="dxa"/>
          </w:tcPr>
          <w:p w14:paraId="697FB3EC" w14:textId="77777777" w:rsidR="00794DB0" w:rsidRPr="00643408" w:rsidRDefault="00794DB0" w:rsidP="00AE6780">
            <w:pPr>
              <w:jc w:val="center"/>
            </w:pPr>
          </w:p>
        </w:tc>
        <w:tc>
          <w:tcPr>
            <w:tcW w:w="2126" w:type="dxa"/>
          </w:tcPr>
          <w:p w14:paraId="63264C95" w14:textId="77777777" w:rsidR="00794DB0" w:rsidRPr="00643408" w:rsidRDefault="00794DB0" w:rsidP="00AE6780">
            <w:pPr>
              <w:jc w:val="center"/>
            </w:pPr>
          </w:p>
        </w:tc>
        <w:tc>
          <w:tcPr>
            <w:tcW w:w="2126" w:type="dxa"/>
          </w:tcPr>
          <w:p w14:paraId="4F54E6E4" w14:textId="77777777" w:rsidR="00794DB0" w:rsidRPr="00643408" w:rsidRDefault="00794DB0" w:rsidP="00AE6780">
            <w:pPr>
              <w:jc w:val="center"/>
            </w:pPr>
            <w:r>
              <w:t>X</w:t>
            </w:r>
          </w:p>
        </w:tc>
      </w:tr>
      <w:tr w:rsidR="00794DB0" w:rsidRPr="00643408" w14:paraId="5814674D" w14:textId="77777777" w:rsidTr="00794DB0">
        <w:trPr>
          <w:trHeight w:val="269"/>
        </w:trPr>
        <w:tc>
          <w:tcPr>
            <w:tcW w:w="2546" w:type="dxa"/>
          </w:tcPr>
          <w:p w14:paraId="06B6E264" w14:textId="1C79BAE7" w:rsidR="00794DB0" w:rsidRPr="00643408" w:rsidRDefault="00794DB0" w:rsidP="00AE6780">
            <w:r>
              <w:lastRenderedPageBreak/>
              <w:t>Mangrove</w:t>
            </w:r>
            <w:r w:rsidR="00521BDF">
              <w:t>s</w:t>
            </w:r>
            <w:r>
              <w:t xml:space="preserve"> &amp; récifs coralliens</w:t>
            </w:r>
          </w:p>
        </w:tc>
        <w:tc>
          <w:tcPr>
            <w:tcW w:w="1844" w:type="dxa"/>
          </w:tcPr>
          <w:p w14:paraId="7BEDF17B" w14:textId="77777777" w:rsidR="00794DB0" w:rsidRPr="00643408" w:rsidRDefault="00794DB0" w:rsidP="00AE6780">
            <w:pPr>
              <w:jc w:val="center"/>
            </w:pPr>
          </w:p>
        </w:tc>
        <w:tc>
          <w:tcPr>
            <w:tcW w:w="2126" w:type="dxa"/>
          </w:tcPr>
          <w:p w14:paraId="7255FD15" w14:textId="77777777" w:rsidR="00794DB0" w:rsidRPr="00643408" w:rsidRDefault="00794DB0" w:rsidP="00AE6780">
            <w:pPr>
              <w:jc w:val="center"/>
            </w:pPr>
            <w:r>
              <w:t>X</w:t>
            </w:r>
          </w:p>
        </w:tc>
        <w:tc>
          <w:tcPr>
            <w:tcW w:w="2126" w:type="dxa"/>
          </w:tcPr>
          <w:p w14:paraId="67DB0324" w14:textId="77777777" w:rsidR="00794DB0" w:rsidRPr="00643408" w:rsidRDefault="00794DB0" w:rsidP="00AE6780">
            <w:pPr>
              <w:jc w:val="center"/>
            </w:pPr>
            <w:r>
              <w:t>X</w:t>
            </w:r>
          </w:p>
        </w:tc>
      </w:tr>
      <w:tr w:rsidR="00794DB0" w:rsidRPr="00643408" w14:paraId="78D93495" w14:textId="77777777" w:rsidTr="00794DB0">
        <w:trPr>
          <w:trHeight w:val="269"/>
        </w:trPr>
        <w:tc>
          <w:tcPr>
            <w:tcW w:w="2546" w:type="dxa"/>
          </w:tcPr>
          <w:p w14:paraId="21CBCC0B" w14:textId="77777777" w:rsidR="00794DB0" w:rsidRPr="00687331" w:rsidRDefault="00794DB0" w:rsidP="00AE6780">
            <w:pPr>
              <w:rPr>
                <w:rFonts w:eastAsia="Malgun Gothic"/>
              </w:rPr>
            </w:pPr>
            <w:r>
              <w:t>NigerWet</w:t>
            </w:r>
          </w:p>
        </w:tc>
        <w:tc>
          <w:tcPr>
            <w:tcW w:w="1844" w:type="dxa"/>
          </w:tcPr>
          <w:p w14:paraId="74232E28" w14:textId="77777777" w:rsidR="00794DB0" w:rsidRPr="00643408" w:rsidRDefault="00794DB0" w:rsidP="00AE6780">
            <w:pPr>
              <w:jc w:val="center"/>
            </w:pPr>
          </w:p>
        </w:tc>
        <w:tc>
          <w:tcPr>
            <w:tcW w:w="2126" w:type="dxa"/>
          </w:tcPr>
          <w:p w14:paraId="04AEB5DD" w14:textId="77777777" w:rsidR="00794DB0" w:rsidRPr="00643408" w:rsidRDefault="00794DB0" w:rsidP="00AE6780">
            <w:pPr>
              <w:jc w:val="center"/>
            </w:pPr>
          </w:p>
        </w:tc>
        <w:tc>
          <w:tcPr>
            <w:tcW w:w="2126" w:type="dxa"/>
          </w:tcPr>
          <w:p w14:paraId="3D83802E" w14:textId="77777777" w:rsidR="00794DB0" w:rsidRPr="00643408" w:rsidRDefault="00794DB0" w:rsidP="00AE6780">
            <w:pPr>
              <w:jc w:val="center"/>
            </w:pPr>
            <w:r>
              <w:t>X</w:t>
            </w:r>
          </w:p>
        </w:tc>
      </w:tr>
      <w:tr w:rsidR="00794DB0" w:rsidRPr="00643408" w14:paraId="72D6FDEB" w14:textId="77777777" w:rsidTr="00794DB0">
        <w:trPr>
          <w:trHeight w:val="269"/>
        </w:trPr>
        <w:tc>
          <w:tcPr>
            <w:tcW w:w="2546" w:type="dxa"/>
          </w:tcPr>
          <w:p w14:paraId="3FC32A18" w14:textId="77777777" w:rsidR="00794DB0" w:rsidRDefault="00794DB0" w:rsidP="00AE6780">
            <w:r>
              <w:t>SenegalWet</w:t>
            </w:r>
          </w:p>
        </w:tc>
        <w:tc>
          <w:tcPr>
            <w:tcW w:w="1844" w:type="dxa"/>
          </w:tcPr>
          <w:p w14:paraId="7EB1A09F" w14:textId="77777777" w:rsidR="00794DB0" w:rsidRPr="00643408" w:rsidRDefault="00794DB0" w:rsidP="00AE6780">
            <w:pPr>
              <w:jc w:val="center"/>
            </w:pPr>
            <w:r>
              <w:t>X</w:t>
            </w:r>
          </w:p>
        </w:tc>
        <w:tc>
          <w:tcPr>
            <w:tcW w:w="2126" w:type="dxa"/>
          </w:tcPr>
          <w:p w14:paraId="7F6BF72F" w14:textId="77777777" w:rsidR="00794DB0" w:rsidRPr="00643408" w:rsidRDefault="00794DB0" w:rsidP="00AE6780">
            <w:pPr>
              <w:jc w:val="center"/>
            </w:pPr>
            <w:r>
              <w:t>X</w:t>
            </w:r>
          </w:p>
        </w:tc>
        <w:tc>
          <w:tcPr>
            <w:tcW w:w="2126" w:type="dxa"/>
          </w:tcPr>
          <w:p w14:paraId="6BF6B6FD" w14:textId="77777777" w:rsidR="00794DB0" w:rsidRPr="00643408" w:rsidRDefault="00794DB0" w:rsidP="00AE6780">
            <w:pPr>
              <w:jc w:val="center"/>
            </w:pPr>
            <w:r>
              <w:t>X</w:t>
            </w:r>
          </w:p>
        </w:tc>
      </w:tr>
      <w:tr w:rsidR="00794DB0" w:rsidRPr="00643408" w14:paraId="37BBF04E" w14:textId="77777777" w:rsidTr="00794DB0">
        <w:trPr>
          <w:trHeight w:val="269"/>
        </w:trPr>
        <w:tc>
          <w:tcPr>
            <w:tcW w:w="2546" w:type="dxa"/>
          </w:tcPr>
          <w:p w14:paraId="3CD823DF" w14:textId="77777777" w:rsidR="00794DB0" w:rsidRPr="00643408" w:rsidRDefault="00794DB0" w:rsidP="00AE6780">
            <w:r>
              <w:t>WACoWet</w:t>
            </w:r>
          </w:p>
        </w:tc>
        <w:tc>
          <w:tcPr>
            <w:tcW w:w="1844" w:type="dxa"/>
          </w:tcPr>
          <w:p w14:paraId="1C65E949" w14:textId="77777777" w:rsidR="00794DB0" w:rsidRPr="00643408" w:rsidRDefault="00794DB0" w:rsidP="00AE6780">
            <w:pPr>
              <w:jc w:val="center"/>
            </w:pPr>
            <w:r>
              <w:t>X</w:t>
            </w:r>
          </w:p>
        </w:tc>
        <w:tc>
          <w:tcPr>
            <w:tcW w:w="2126" w:type="dxa"/>
          </w:tcPr>
          <w:p w14:paraId="0CB36027" w14:textId="77777777" w:rsidR="00794DB0" w:rsidRPr="00643408" w:rsidRDefault="00794DB0" w:rsidP="00AE6780">
            <w:pPr>
              <w:jc w:val="center"/>
            </w:pPr>
          </w:p>
        </w:tc>
        <w:tc>
          <w:tcPr>
            <w:tcW w:w="2126" w:type="dxa"/>
          </w:tcPr>
          <w:p w14:paraId="587C6858" w14:textId="77777777" w:rsidR="00794DB0" w:rsidRPr="00643408" w:rsidRDefault="00794DB0" w:rsidP="00AE6780">
            <w:pPr>
              <w:jc w:val="center"/>
            </w:pPr>
            <w:r>
              <w:t>X</w:t>
            </w:r>
          </w:p>
        </w:tc>
      </w:tr>
    </w:tbl>
    <w:p w14:paraId="6B2CB4C4" w14:textId="77777777" w:rsidR="00A31651" w:rsidRDefault="00A31651" w:rsidP="00A31651">
      <w:pPr>
        <w:widowControl/>
        <w:contextualSpacing/>
        <w:rPr>
          <w:lang w:eastAsia="ko-KR"/>
        </w:rPr>
      </w:pPr>
    </w:p>
    <w:p w14:paraId="7E154AB2" w14:textId="77777777" w:rsidR="00794DB0" w:rsidRDefault="00794DB0" w:rsidP="00A31651">
      <w:pPr>
        <w:widowControl/>
        <w:contextualSpacing/>
        <w:rPr>
          <w:lang w:eastAsia="ko-KR"/>
        </w:rPr>
      </w:pPr>
    </w:p>
    <w:p w14:paraId="65A92DC0" w14:textId="3EEE0295" w:rsidR="00BE024C" w:rsidRPr="00267DCC" w:rsidRDefault="00BE024C" w:rsidP="001862D8">
      <w:pPr>
        <w:keepNext/>
        <w:widowControl/>
        <w:ind w:left="425" w:hanging="425"/>
        <w:outlineLvl w:val="1"/>
        <w:rPr>
          <w:rFonts w:eastAsia="Malgun Gothic" w:cstheme="minorHAnsi"/>
          <w:b/>
        </w:rPr>
      </w:pPr>
      <w:r>
        <w:rPr>
          <w:b/>
        </w:rPr>
        <w:t>Attribution des fonds du budget administratif de la Convention aux nouvelles IRR</w:t>
      </w:r>
    </w:p>
    <w:p w14:paraId="15BF443A" w14:textId="77777777" w:rsidR="00BE024C" w:rsidRDefault="00BE024C" w:rsidP="001862D8">
      <w:pPr>
        <w:keepNext/>
        <w:widowControl/>
        <w:ind w:left="425" w:hanging="425"/>
        <w:outlineLvl w:val="1"/>
        <w:rPr>
          <w:lang w:eastAsia="ko-KR"/>
        </w:rPr>
      </w:pPr>
    </w:p>
    <w:p w14:paraId="55AF8537" w14:textId="5945A596" w:rsidR="00BE024C" w:rsidRDefault="00794DB0" w:rsidP="00794DB0">
      <w:pPr>
        <w:pStyle w:val="Heading2"/>
        <w:widowControl/>
        <w:ind w:left="426" w:hanging="426"/>
        <w:rPr>
          <w:rFonts w:asciiTheme="minorHAnsi" w:eastAsiaTheme="minorEastAsia" w:hAnsiTheme="minorHAnsi"/>
          <w:b w:val="0"/>
        </w:rPr>
      </w:pPr>
      <w:r>
        <w:rPr>
          <w:rFonts w:asciiTheme="minorHAnsi" w:hAnsiTheme="minorHAnsi"/>
          <w:b w:val="0"/>
        </w:rPr>
        <w:t>10.</w:t>
      </w:r>
      <w:r>
        <w:rPr>
          <w:rFonts w:asciiTheme="minorHAnsi" w:hAnsiTheme="minorHAnsi"/>
          <w:b w:val="0"/>
        </w:rPr>
        <w:tab/>
        <w:t xml:space="preserve">Au paragraphe 17 de la Résolution XIV.7 Partie A, la Conférence des Parties contractantes note que « les IRR ayant été approuvées comme fonctionnant dans le cadre de la Convention sont éligibles à un appui financier de départ du budget administratif de la Convention » et recommande que « cet appui financier soit fourni pour une durée de six ans au maximum, conformément aux décisions relatives aux questions budgétaires ». </w:t>
      </w:r>
    </w:p>
    <w:p w14:paraId="2AC44C03" w14:textId="77777777" w:rsidR="00BE024C" w:rsidRDefault="00BE024C" w:rsidP="00794DB0">
      <w:pPr>
        <w:pStyle w:val="Heading2"/>
        <w:widowControl/>
        <w:ind w:left="426" w:hanging="426"/>
        <w:rPr>
          <w:rFonts w:asciiTheme="minorHAnsi" w:eastAsiaTheme="minorEastAsia" w:hAnsiTheme="minorHAnsi"/>
          <w:b w:val="0"/>
          <w:lang w:eastAsia="ko-KR"/>
        </w:rPr>
      </w:pPr>
    </w:p>
    <w:p w14:paraId="49981F76" w14:textId="462648B3" w:rsidR="00794DB0" w:rsidRPr="00794DB0" w:rsidRDefault="00BE024C" w:rsidP="00794DB0">
      <w:pPr>
        <w:pStyle w:val="Heading2"/>
        <w:widowControl/>
        <w:ind w:left="426" w:hanging="426"/>
        <w:rPr>
          <w:rFonts w:asciiTheme="minorHAnsi" w:eastAsiaTheme="minorEastAsia" w:hAnsiTheme="minorHAnsi"/>
          <w:b w:val="0"/>
        </w:rPr>
      </w:pPr>
      <w:r>
        <w:rPr>
          <w:rFonts w:asciiTheme="minorHAnsi" w:hAnsiTheme="minorHAnsi"/>
          <w:b w:val="0"/>
        </w:rPr>
        <w:t xml:space="preserve">11. </w:t>
      </w:r>
      <w:r>
        <w:rPr>
          <w:rFonts w:asciiTheme="minorHAnsi" w:hAnsiTheme="minorHAnsi"/>
          <w:b w:val="0"/>
        </w:rPr>
        <w:tab/>
        <w:t xml:space="preserve">Au cours de la </w:t>
      </w:r>
      <w:r w:rsidR="00D37177">
        <w:rPr>
          <w:rFonts w:asciiTheme="minorHAnsi" w:hAnsiTheme="minorHAnsi"/>
          <w:b w:val="0"/>
        </w:rPr>
        <w:t xml:space="preserve">présente </w:t>
      </w:r>
      <w:r>
        <w:rPr>
          <w:rFonts w:asciiTheme="minorHAnsi" w:hAnsiTheme="minorHAnsi"/>
          <w:b w:val="0"/>
        </w:rPr>
        <w:t>période triennale, trois IRR nouvellement approuvées, à savoir, l</w:t>
      </w:r>
      <w:r w:rsidR="00CD5094">
        <w:rPr>
          <w:rFonts w:asciiTheme="minorHAnsi" w:hAnsiTheme="minorHAnsi"/>
          <w:b w:val="0"/>
        </w:rPr>
        <w:t>’</w:t>
      </w:r>
      <w:r>
        <w:rPr>
          <w:rFonts w:asciiTheme="minorHAnsi" w:hAnsiTheme="minorHAnsi"/>
          <w:b w:val="0"/>
        </w:rPr>
        <w:t>Initiative régionale Ramsar pour l</w:t>
      </w:r>
      <w:r w:rsidR="00CD5094">
        <w:rPr>
          <w:rFonts w:asciiTheme="minorHAnsi" w:hAnsiTheme="minorHAnsi"/>
          <w:b w:val="0"/>
        </w:rPr>
        <w:t>’</w:t>
      </w:r>
      <w:r>
        <w:rPr>
          <w:rFonts w:asciiTheme="minorHAnsi" w:hAnsiTheme="minorHAnsi"/>
          <w:b w:val="0"/>
        </w:rPr>
        <w:t xml:space="preserve">Afrique australe (SARRI), le Centre international des mangroves (CIM) et </w:t>
      </w:r>
      <w:r w:rsidR="00391ACF">
        <w:rPr>
          <w:rFonts w:asciiTheme="minorHAnsi" w:hAnsiTheme="minorHAnsi"/>
          <w:b w:val="0"/>
        </w:rPr>
        <w:t>l</w:t>
      </w:r>
      <w:r w:rsidR="00CD5094">
        <w:rPr>
          <w:rFonts w:asciiTheme="minorHAnsi" w:hAnsiTheme="minorHAnsi"/>
          <w:b w:val="0"/>
        </w:rPr>
        <w:t>’</w:t>
      </w:r>
      <w:r>
        <w:rPr>
          <w:rFonts w:asciiTheme="minorHAnsi" w:hAnsiTheme="minorHAnsi"/>
          <w:b w:val="0"/>
        </w:rPr>
        <w:t>IRR Danube WILDisland (IRR-DW) sont devenues éligibles à un tel appui. Toutefois, le CIM n</w:t>
      </w:r>
      <w:r w:rsidR="00CD5094">
        <w:rPr>
          <w:rFonts w:asciiTheme="minorHAnsi" w:hAnsiTheme="minorHAnsi"/>
          <w:b w:val="0"/>
        </w:rPr>
        <w:t>’</w:t>
      </w:r>
      <w:r>
        <w:rPr>
          <w:rFonts w:asciiTheme="minorHAnsi" w:hAnsiTheme="minorHAnsi"/>
          <w:b w:val="0"/>
        </w:rPr>
        <w:t xml:space="preserve">a pas souhaité recevoir un appui financier provenant du budget administratif de la Convention. </w:t>
      </w:r>
    </w:p>
    <w:p w14:paraId="33E65D91" w14:textId="77777777" w:rsidR="00A31651" w:rsidRDefault="00A31651" w:rsidP="00A31651">
      <w:pPr>
        <w:widowControl/>
        <w:contextualSpacing/>
        <w:rPr>
          <w:lang w:eastAsia="ko-KR"/>
        </w:rPr>
      </w:pPr>
    </w:p>
    <w:p w14:paraId="1DAADEC1" w14:textId="2D1FB16D" w:rsidR="00A31651" w:rsidRPr="00794DB0" w:rsidRDefault="00A31651" w:rsidP="001862D8">
      <w:pPr>
        <w:keepNext/>
        <w:widowControl/>
        <w:ind w:left="425" w:hanging="425"/>
        <w:outlineLvl w:val="1"/>
        <w:rPr>
          <w:b/>
          <w:bCs/>
        </w:rPr>
      </w:pPr>
      <w:r>
        <w:rPr>
          <w:b/>
        </w:rPr>
        <w:t>Promouvoir la coopération entre les IRR</w:t>
      </w:r>
    </w:p>
    <w:p w14:paraId="5404094F" w14:textId="77777777" w:rsidR="00A31651" w:rsidRDefault="00A31651" w:rsidP="001862D8">
      <w:pPr>
        <w:keepNext/>
        <w:widowControl/>
        <w:ind w:left="425" w:hanging="425"/>
        <w:outlineLvl w:val="1"/>
        <w:rPr>
          <w:lang w:eastAsia="ko-KR"/>
        </w:rPr>
      </w:pPr>
    </w:p>
    <w:p w14:paraId="682A7AA7" w14:textId="75A3C54C" w:rsidR="00794DB0" w:rsidRDefault="00BE024C" w:rsidP="00A31651">
      <w:pPr>
        <w:pStyle w:val="Heading2"/>
        <w:widowControl/>
        <w:ind w:left="426" w:hanging="426"/>
        <w:rPr>
          <w:rFonts w:asciiTheme="minorHAnsi" w:eastAsiaTheme="minorEastAsia" w:hAnsiTheme="minorHAnsi"/>
          <w:b w:val="0"/>
        </w:rPr>
      </w:pPr>
      <w:r>
        <w:rPr>
          <w:rFonts w:asciiTheme="minorHAnsi" w:hAnsiTheme="minorHAnsi"/>
          <w:b w:val="0"/>
        </w:rPr>
        <w:t>12.</w:t>
      </w:r>
      <w:r>
        <w:rPr>
          <w:rFonts w:asciiTheme="minorHAnsi" w:hAnsiTheme="minorHAnsi"/>
          <w:b w:val="0"/>
        </w:rPr>
        <w:tab/>
        <w:t>Reconnaissant l</w:t>
      </w:r>
      <w:r w:rsidR="00CD5094">
        <w:rPr>
          <w:rFonts w:asciiTheme="minorHAnsi" w:hAnsiTheme="minorHAnsi"/>
          <w:b w:val="0"/>
        </w:rPr>
        <w:t>’</w:t>
      </w:r>
      <w:r>
        <w:rPr>
          <w:rFonts w:asciiTheme="minorHAnsi" w:hAnsiTheme="minorHAnsi"/>
          <w:b w:val="0"/>
        </w:rPr>
        <w:t>importance du partage des apprentissages et de la collaboration, en particulier pour ce qui est de relever les défis liés à la coordination et la mobilisation des ressources, le Secrétariat a vivement encouragé les IRR à participer à des échanges mutuels d</w:t>
      </w:r>
      <w:r w:rsidR="00CD5094">
        <w:rPr>
          <w:rFonts w:asciiTheme="minorHAnsi" w:hAnsiTheme="minorHAnsi"/>
          <w:b w:val="0"/>
        </w:rPr>
        <w:t>’</w:t>
      </w:r>
      <w:r>
        <w:rPr>
          <w:rFonts w:asciiTheme="minorHAnsi" w:hAnsiTheme="minorHAnsi"/>
          <w:b w:val="0"/>
        </w:rPr>
        <w:t>expériences et de bonnes pratiques.</w:t>
      </w:r>
    </w:p>
    <w:p w14:paraId="42F03280" w14:textId="77777777" w:rsidR="00794DB0" w:rsidRDefault="00794DB0" w:rsidP="00A31651">
      <w:pPr>
        <w:pStyle w:val="Heading2"/>
        <w:widowControl/>
        <w:ind w:left="426" w:hanging="426"/>
        <w:rPr>
          <w:rFonts w:asciiTheme="minorHAnsi" w:eastAsiaTheme="minorEastAsia" w:hAnsiTheme="minorHAnsi"/>
          <w:b w:val="0"/>
          <w:lang w:eastAsia="ko-KR"/>
        </w:rPr>
      </w:pPr>
    </w:p>
    <w:p w14:paraId="1B213F5A" w14:textId="2178A2B3" w:rsidR="00794DB0" w:rsidRDefault="00794DB0" w:rsidP="00A31651">
      <w:pPr>
        <w:pStyle w:val="Heading2"/>
        <w:widowControl/>
        <w:ind w:left="426" w:hanging="426"/>
        <w:rPr>
          <w:rFonts w:asciiTheme="minorHAnsi" w:eastAsiaTheme="minorEastAsia" w:hAnsiTheme="minorHAnsi"/>
          <w:b w:val="0"/>
        </w:rPr>
      </w:pPr>
      <w:r>
        <w:rPr>
          <w:rFonts w:asciiTheme="minorHAnsi" w:hAnsiTheme="minorHAnsi"/>
          <w:b w:val="0"/>
        </w:rPr>
        <w:t>13.</w:t>
      </w:r>
      <w:r>
        <w:rPr>
          <w:rFonts w:asciiTheme="minorHAnsi" w:hAnsiTheme="minorHAnsi"/>
          <w:b w:val="0"/>
        </w:rPr>
        <w:tab/>
        <w:t>Au cours de la présente période triennale, le Secrétariat a facilité l</w:t>
      </w:r>
      <w:r w:rsidR="00CD5094">
        <w:rPr>
          <w:rFonts w:asciiTheme="minorHAnsi" w:hAnsiTheme="minorHAnsi"/>
          <w:b w:val="0"/>
        </w:rPr>
        <w:t>’</w:t>
      </w:r>
      <w:r>
        <w:rPr>
          <w:rFonts w:asciiTheme="minorHAnsi" w:hAnsiTheme="minorHAnsi"/>
          <w:b w:val="0"/>
        </w:rPr>
        <w:t>organisation de trois réunions virtuelles de planification annuelle pour les IRR. Ces réunions ont permis aux Initiatives participantes de présenter leurs activités planifiées, de définir des domaines de collaboration potentiels et de coordonner leurs efforts. Ainsi, la coopération entre IRR s</w:t>
      </w:r>
      <w:r w:rsidR="00CD5094">
        <w:rPr>
          <w:rFonts w:asciiTheme="minorHAnsi" w:hAnsiTheme="minorHAnsi"/>
          <w:b w:val="0"/>
        </w:rPr>
        <w:t>’</w:t>
      </w:r>
      <w:r>
        <w:rPr>
          <w:rFonts w:asciiTheme="minorHAnsi" w:hAnsiTheme="minorHAnsi"/>
          <w:b w:val="0"/>
        </w:rPr>
        <w:t xml:space="preserve">est </w:t>
      </w:r>
      <w:r w:rsidR="0029643B">
        <w:rPr>
          <w:rFonts w:asciiTheme="minorHAnsi" w:hAnsiTheme="minorHAnsi"/>
          <w:b w:val="0"/>
        </w:rPr>
        <w:t>renforcée</w:t>
      </w:r>
      <w:r w:rsidR="008607CD">
        <w:rPr>
          <w:rFonts w:asciiTheme="minorHAnsi" w:hAnsiTheme="minorHAnsi"/>
          <w:b w:val="0"/>
        </w:rPr>
        <w:t xml:space="preserve">, </w:t>
      </w:r>
      <w:r w:rsidR="006208BF">
        <w:rPr>
          <w:rFonts w:asciiTheme="minorHAnsi" w:hAnsiTheme="minorHAnsi"/>
          <w:b w:val="0"/>
        </w:rPr>
        <w:t>et elles ont</w:t>
      </w:r>
      <w:r>
        <w:rPr>
          <w:rFonts w:asciiTheme="minorHAnsi" w:hAnsiTheme="minorHAnsi"/>
          <w:b w:val="0"/>
        </w:rPr>
        <w:t xml:space="preserve"> notamment </w:t>
      </w:r>
      <w:r w:rsidR="006208BF">
        <w:rPr>
          <w:rFonts w:asciiTheme="minorHAnsi" w:hAnsiTheme="minorHAnsi"/>
          <w:b w:val="0"/>
        </w:rPr>
        <w:t xml:space="preserve">organisé conjointement </w:t>
      </w:r>
      <w:r>
        <w:rPr>
          <w:rFonts w:asciiTheme="minorHAnsi" w:hAnsiTheme="minorHAnsi"/>
          <w:b w:val="0"/>
        </w:rPr>
        <w:t>un stand d</w:t>
      </w:r>
      <w:r w:rsidR="00CD5094">
        <w:rPr>
          <w:rFonts w:asciiTheme="minorHAnsi" w:hAnsiTheme="minorHAnsi"/>
          <w:b w:val="0"/>
        </w:rPr>
        <w:t>’</w:t>
      </w:r>
      <w:r>
        <w:rPr>
          <w:rFonts w:asciiTheme="minorHAnsi" w:hAnsiTheme="minorHAnsi"/>
          <w:b w:val="0"/>
        </w:rPr>
        <w:t>exposition et une manifestation parallèle</w:t>
      </w:r>
      <w:r w:rsidR="002E4B62">
        <w:rPr>
          <w:rFonts w:asciiTheme="minorHAnsi" w:hAnsiTheme="minorHAnsi"/>
          <w:b w:val="0"/>
        </w:rPr>
        <w:t xml:space="preserve"> qui impliquent plusieurs IRR</w:t>
      </w:r>
      <w:r>
        <w:rPr>
          <w:rFonts w:asciiTheme="minorHAnsi" w:hAnsiTheme="minorHAnsi"/>
          <w:b w:val="0"/>
        </w:rPr>
        <w:t>, prévu</w:t>
      </w:r>
      <w:r w:rsidR="003C4391">
        <w:rPr>
          <w:rFonts w:asciiTheme="minorHAnsi" w:hAnsiTheme="minorHAnsi"/>
          <w:b w:val="0"/>
        </w:rPr>
        <w:t>s</w:t>
      </w:r>
      <w:r>
        <w:rPr>
          <w:rFonts w:asciiTheme="minorHAnsi" w:hAnsiTheme="minorHAnsi"/>
          <w:b w:val="0"/>
        </w:rPr>
        <w:t xml:space="preserve"> à la COP15, .</w:t>
      </w:r>
    </w:p>
    <w:p w14:paraId="49BE1620" w14:textId="3AA180AD" w:rsidR="00A31651" w:rsidRDefault="00A31651" w:rsidP="00A31651">
      <w:pPr>
        <w:pStyle w:val="Heading2"/>
        <w:widowControl/>
        <w:ind w:left="426" w:hanging="426"/>
        <w:rPr>
          <w:rFonts w:asciiTheme="minorHAnsi" w:eastAsiaTheme="minorEastAsia" w:hAnsiTheme="minorHAnsi"/>
          <w:b w:val="0"/>
          <w:lang w:eastAsia="ko-KR"/>
        </w:rPr>
      </w:pPr>
    </w:p>
    <w:p w14:paraId="110903AE" w14:textId="77777777" w:rsidR="00A31651" w:rsidRPr="00A31651" w:rsidRDefault="00A31651" w:rsidP="00A31651">
      <w:pPr>
        <w:pStyle w:val="Heading2"/>
        <w:widowControl/>
        <w:ind w:left="426" w:hanging="426"/>
        <w:rPr>
          <w:rFonts w:asciiTheme="minorHAnsi" w:eastAsiaTheme="minorEastAsia" w:hAnsiTheme="minorHAnsi"/>
          <w:b w:val="0"/>
          <w:lang w:eastAsia="ko-KR"/>
        </w:rPr>
      </w:pPr>
    </w:p>
    <w:sectPr w:rsidR="00A31651" w:rsidRPr="00A31651" w:rsidSect="00E062D8">
      <w:headerReference w:type="even" r:id="rId13"/>
      <w:headerReference w:type="default" r:id="rId14"/>
      <w:footerReference w:type="even" r:id="rId15"/>
      <w:footerReference w:type="default" r:id="rId16"/>
      <w:headerReference w:type="first" r:id="rId17"/>
      <w:footerReference w:type="first" r:id="rId18"/>
      <w:pgSz w:w="11910" w:h="1684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D160" w14:textId="77777777" w:rsidR="00993A6A" w:rsidRDefault="00993A6A">
      <w:r>
        <w:separator/>
      </w:r>
    </w:p>
  </w:endnote>
  <w:endnote w:type="continuationSeparator" w:id="0">
    <w:p w14:paraId="73FB36DD" w14:textId="77777777" w:rsidR="00993A6A" w:rsidRDefault="00993A6A">
      <w:r>
        <w:continuationSeparator/>
      </w:r>
    </w:p>
  </w:endnote>
  <w:endnote w:type="continuationNotice" w:id="1">
    <w:p w14:paraId="2330C770" w14:textId="77777777" w:rsidR="00993A6A" w:rsidRDefault="0099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332D" w14:textId="77777777" w:rsidR="00CD5094" w:rsidRDefault="00CD5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9038" w14:textId="5602F84D" w:rsidR="002117CD" w:rsidRPr="002117CD" w:rsidRDefault="002117CD" w:rsidP="002117CD">
    <w:pPr>
      <w:tabs>
        <w:tab w:val="left" w:pos="8789"/>
      </w:tabs>
      <w:rPr>
        <w:rFonts w:cstheme="minorHAnsi"/>
        <w:sz w:val="20"/>
        <w:szCs w:val="20"/>
      </w:rPr>
    </w:pPr>
    <w:r>
      <w:rPr>
        <w:sz w:val="20"/>
      </w:rPr>
      <w:t>COP15 Doc.12</w:t>
    </w:r>
    <w:r>
      <w:rPr>
        <w:sz w:val="20"/>
      </w:rPr>
      <w:tab/>
    </w:r>
    <w:r w:rsidRPr="00134E17">
      <w:rPr>
        <w:sz w:val="20"/>
      </w:rPr>
      <w:fldChar w:fldCharType="begin"/>
    </w:r>
    <w:r w:rsidRPr="00134E17">
      <w:rPr>
        <w:sz w:val="20"/>
      </w:rPr>
      <w:instrText xml:space="preserve"> PAGE   \* MERGEFORMAT </w:instrText>
    </w:r>
    <w:r w:rsidRPr="00134E17">
      <w:rPr>
        <w:sz w:val="20"/>
      </w:rPr>
      <w:fldChar w:fldCharType="separate"/>
    </w:r>
    <w:r>
      <w:rPr>
        <w:sz w:val="20"/>
      </w:rPr>
      <w:t>3</w:t>
    </w:r>
    <w:r w:rsidRPr="00134E17">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E3A6" w14:textId="77777777" w:rsidR="00CD5094" w:rsidRDefault="00CD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2F91" w14:textId="77777777" w:rsidR="00993A6A" w:rsidRDefault="00993A6A">
      <w:r>
        <w:separator/>
      </w:r>
    </w:p>
  </w:footnote>
  <w:footnote w:type="continuationSeparator" w:id="0">
    <w:p w14:paraId="5B44E22B" w14:textId="77777777" w:rsidR="00993A6A" w:rsidRDefault="00993A6A">
      <w:r>
        <w:continuationSeparator/>
      </w:r>
    </w:p>
  </w:footnote>
  <w:footnote w:type="continuationNotice" w:id="1">
    <w:p w14:paraId="6FE49507" w14:textId="77777777" w:rsidR="00993A6A" w:rsidRDefault="00993A6A"/>
  </w:footnote>
  <w:footnote w:id="2">
    <w:p w14:paraId="6AD51D4E" w14:textId="630DCC6C" w:rsidR="001862D8" w:rsidRPr="00521BDF" w:rsidRDefault="001862D8">
      <w:pPr>
        <w:pStyle w:val="FootnoteText"/>
        <w:rPr>
          <w:rFonts w:asciiTheme="minorHAnsi" w:hAnsiTheme="minorHAnsi" w:cstheme="minorHAnsi"/>
        </w:rPr>
      </w:pPr>
      <w:r w:rsidRPr="00521BDF">
        <w:rPr>
          <w:rStyle w:val="FootnoteReference"/>
          <w:rFonts w:asciiTheme="minorHAnsi" w:hAnsiTheme="minorHAnsi" w:cstheme="minorHAnsi"/>
        </w:rPr>
        <w:footnoteRef/>
      </w:r>
      <w:r w:rsidRPr="00521BDF">
        <w:rPr>
          <w:rFonts w:asciiTheme="minorHAnsi" w:hAnsiTheme="minorHAnsi" w:cstheme="minorHAnsi"/>
        </w:rPr>
        <w:t xml:space="preserve"> Voir </w:t>
      </w:r>
      <w:hyperlink r:id="rId1" w:history="1">
        <w:r w:rsidR="00521BDF" w:rsidRPr="00521BDF">
          <w:rPr>
            <w:rStyle w:val="Hyperlink"/>
            <w:rFonts w:asciiTheme="minorHAnsi" w:hAnsiTheme="minorHAnsi" w:cstheme="minorHAnsi"/>
          </w:rPr>
          <w:t>https://www.ramsar.org/fr/document/sc62-doc25-rev1-rapport-du-secretariat-sur-les-initiatives-regionales-ramsar</w:t>
        </w:r>
      </w:hyperlink>
      <w:r w:rsidR="00521BDF" w:rsidRPr="00521BDF">
        <w:rPr>
          <w:rFonts w:asciiTheme="minorHAnsi" w:hAnsiTheme="minorHAnsi" w:cstheme="minorHAnsi"/>
        </w:rPr>
        <w:t xml:space="preserve"> </w:t>
      </w:r>
      <w:r w:rsidRPr="00521BDF">
        <w:rPr>
          <w:rFonts w:asciiTheme="minorHAnsi" w:hAnsiTheme="minorHAnsi" w:cstheme="minorHAnsi"/>
        </w:rPr>
        <w:t xml:space="preserve">; </w:t>
      </w:r>
      <w:hyperlink r:id="rId2" w:history="1">
        <w:r w:rsidR="00521BDF" w:rsidRPr="00521BDF">
          <w:rPr>
            <w:rStyle w:val="Hyperlink"/>
            <w:rFonts w:asciiTheme="minorHAnsi" w:hAnsiTheme="minorHAnsi" w:cstheme="minorHAnsi"/>
          </w:rPr>
          <w:t>https://www.ramsar.org/es/document/sc63-doc25-informe-de-la-secretaria-sobre-las-iniciativas-regionales-de-ramsar</w:t>
        </w:r>
      </w:hyperlink>
      <w:r w:rsidRPr="00521BDF">
        <w:rPr>
          <w:rFonts w:asciiTheme="minorHAnsi" w:hAnsiTheme="minorHAnsi" w:cstheme="minorHAnsi"/>
        </w:rPr>
        <w:t xml:space="preserve"> et </w:t>
      </w:r>
      <w:hyperlink r:id="rId3" w:history="1">
        <w:r w:rsidR="00521BDF" w:rsidRPr="00521BDF">
          <w:rPr>
            <w:rStyle w:val="Hyperlink"/>
            <w:rFonts w:asciiTheme="minorHAnsi" w:hAnsiTheme="minorHAnsi" w:cstheme="minorHAnsi"/>
          </w:rPr>
          <w:t>https://www.ramsar.org/fr/document/sc65-doc9-rapport-du-secretariat-sur-les-initiatives-regionales-ramsar-pour-2024-et-2025</w:t>
        </w:r>
      </w:hyperlink>
      <w:r w:rsidRPr="00521BDF">
        <w:rPr>
          <w:rFonts w:asciiTheme="minorHAnsi" w:hAnsiTheme="minorHAnsi" w:cstheme="minorHAnsi"/>
        </w:rPr>
        <w:t xml:space="preserve">. </w:t>
      </w:r>
    </w:p>
  </w:footnote>
  <w:footnote w:id="3">
    <w:p w14:paraId="1EDB154B" w14:textId="6E52655E" w:rsidR="0000738A" w:rsidRPr="00521BDF" w:rsidRDefault="0000738A">
      <w:pPr>
        <w:pStyle w:val="FootnoteText"/>
        <w:rPr>
          <w:rFonts w:asciiTheme="minorHAnsi" w:hAnsiTheme="minorHAnsi" w:cstheme="minorHAnsi"/>
        </w:rPr>
      </w:pPr>
      <w:r w:rsidRPr="00521BDF">
        <w:rPr>
          <w:rStyle w:val="FootnoteReference"/>
          <w:rFonts w:asciiTheme="minorHAnsi" w:hAnsiTheme="minorHAnsi" w:cstheme="minorHAnsi"/>
        </w:rPr>
        <w:footnoteRef/>
      </w:r>
      <w:r w:rsidRPr="00521BDF">
        <w:rPr>
          <w:rFonts w:asciiTheme="minorHAnsi" w:hAnsiTheme="minorHAnsi" w:cstheme="minorHAnsi"/>
        </w:rPr>
        <w:t xml:space="preserve"> Voir </w:t>
      </w:r>
      <w:hyperlink r:id="rId4" w:history="1">
        <w:r w:rsidR="00521BDF" w:rsidRPr="00521BDF">
          <w:rPr>
            <w:rStyle w:val="Hyperlink"/>
            <w:rFonts w:asciiTheme="minorHAnsi" w:hAnsiTheme="minorHAnsi" w:cstheme="minorHAnsi"/>
          </w:rPr>
          <w:t>https://www.ramsar.org/fr/document/cop15-doc235-projet-de-resolution-sur-les-initiatives-regionales-ramsar-2025-2028</w:t>
        </w:r>
      </w:hyperlink>
      <w:r w:rsidRPr="00521BDF">
        <w:rPr>
          <w:rFonts w:asciiTheme="minorHAnsi" w:hAnsiTheme="minorHAnsi" w:cstheme="minorHAnsi"/>
        </w:rPr>
        <w:t>.</w:t>
      </w:r>
    </w:p>
  </w:footnote>
  <w:footnote w:id="4">
    <w:p w14:paraId="08B3BEB9" w14:textId="77777777" w:rsidR="00A31651" w:rsidRPr="00521BDF" w:rsidRDefault="00A31651" w:rsidP="00A31651">
      <w:pPr>
        <w:pStyle w:val="Footer"/>
        <w:rPr>
          <w:sz w:val="20"/>
          <w:szCs w:val="20"/>
        </w:rPr>
      </w:pPr>
      <w:r w:rsidRPr="00521BDF">
        <w:rPr>
          <w:rStyle w:val="FootnoteReference"/>
          <w:sz w:val="20"/>
          <w:szCs w:val="20"/>
        </w:rPr>
        <w:footnoteRef/>
      </w:r>
      <w:r w:rsidRPr="00521BDF">
        <w:rPr>
          <w:sz w:val="20"/>
          <w:szCs w:val="20"/>
        </w:rPr>
        <w:t xml:space="preserve"> Basé sur les dépenses annuelles réelles déclarées par les IRR (pour celles déclarées dans une monnaie autre que le CHF, le taux de change moyen annuel pour 2022 a été appliqué).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629E" w14:textId="77777777" w:rsidR="00CD5094" w:rsidRDefault="00CD5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E3B" w14:textId="77777777" w:rsidR="00CD5094" w:rsidRDefault="00CD5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7D00" w14:textId="77777777" w:rsidR="00CD5094" w:rsidRDefault="00CD5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EB9"/>
    <w:multiLevelType w:val="hybridMultilevel"/>
    <w:tmpl w:val="CAA8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2" w15:restartNumberingAfterBreak="0">
    <w:nsid w:val="0FC8294E"/>
    <w:multiLevelType w:val="hybridMultilevel"/>
    <w:tmpl w:val="C43CC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E0EC0"/>
    <w:multiLevelType w:val="hybridMultilevel"/>
    <w:tmpl w:val="F7FE58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02FC7"/>
    <w:multiLevelType w:val="hybridMultilevel"/>
    <w:tmpl w:val="75884B22"/>
    <w:lvl w:ilvl="0" w:tplc="1EB6703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E1087"/>
    <w:multiLevelType w:val="hybridMultilevel"/>
    <w:tmpl w:val="CB586D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226D2"/>
    <w:multiLevelType w:val="hybridMultilevel"/>
    <w:tmpl w:val="EC04FE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844F6"/>
    <w:multiLevelType w:val="hybridMultilevel"/>
    <w:tmpl w:val="FEB631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81140"/>
    <w:multiLevelType w:val="hybridMultilevel"/>
    <w:tmpl w:val="13BA0842"/>
    <w:lvl w:ilvl="0" w:tplc="5144F4D2">
      <w:start w:val="1"/>
      <w:numFmt w:val="bullet"/>
      <w:lvlText w:val=""/>
      <w:lvlJc w:val="left"/>
      <w:pPr>
        <w:ind w:left="525" w:hanging="425"/>
      </w:pPr>
      <w:rPr>
        <w:rFonts w:ascii="Symbol" w:eastAsia="Symbol" w:hAnsi="Symbol" w:hint="default"/>
        <w:w w:val="99"/>
        <w:sz w:val="20"/>
        <w:szCs w:val="20"/>
      </w:rPr>
    </w:lvl>
    <w:lvl w:ilvl="1" w:tplc="A372BAC4">
      <w:start w:val="1"/>
      <w:numFmt w:val="bullet"/>
      <w:lvlText w:val="•"/>
      <w:lvlJc w:val="left"/>
      <w:pPr>
        <w:ind w:left="1393" w:hanging="425"/>
      </w:pPr>
      <w:rPr>
        <w:rFonts w:hint="default"/>
      </w:rPr>
    </w:lvl>
    <w:lvl w:ilvl="2" w:tplc="62802DC6">
      <w:start w:val="1"/>
      <w:numFmt w:val="bullet"/>
      <w:lvlText w:val="•"/>
      <w:lvlJc w:val="left"/>
      <w:pPr>
        <w:ind w:left="2261" w:hanging="425"/>
      </w:pPr>
      <w:rPr>
        <w:rFonts w:hint="default"/>
      </w:rPr>
    </w:lvl>
    <w:lvl w:ilvl="3" w:tplc="792E553E">
      <w:start w:val="1"/>
      <w:numFmt w:val="bullet"/>
      <w:lvlText w:val="•"/>
      <w:lvlJc w:val="left"/>
      <w:pPr>
        <w:ind w:left="3129" w:hanging="425"/>
      </w:pPr>
      <w:rPr>
        <w:rFonts w:hint="default"/>
      </w:rPr>
    </w:lvl>
    <w:lvl w:ilvl="4" w:tplc="923438FE">
      <w:start w:val="1"/>
      <w:numFmt w:val="bullet"/>
      <w:lvlText w:val="•"/>
      <w:lvlJc w:val="left"/>
      <w:pPr>
        <w:ind w:left="3997" w:hanging="425"/>
      </w:pPr>
      <w:rPr>
        <w:rFonts w:hint="default"/>
      </w:rPr>
    </w:lvl>
    <w:lvl w:ilvl="5" w:tplc="E856B104">
      <w:start w:val="1"/>
      <w:numFmt w:val="bullet"/>
      <w:lvlText w:val="•"/>
      <w:lvlJc w:val="left"/>
      <w:pPr>
        <w:ind w:left="4865" w:hanging="425"/>
      </w:pPr>
      <w:rPr>
        <w:rFonts w:hint="default"/>
      </w:rPr>
    </w:lvl>
    <w:lvl w:ilvl="6" w:tplc="78724AC0">
      <w:start w:val="1"/>
      <w:numFmt w:val="bullet"/>
      <w:lvlText w:val="•"/>
      <w:lvlJc w:val="left"/>
      <w:pPr>
        <w:ind w:left="5733" w:hanging="425"/>
      </w:pPr>
      <w:rPr>
        <w:rFonts w:hint="default"/>
      </w:rPr>
    </w:lvl>
    <w:lvl w:ilvl="7" w:tplc="34D090CE">
      <w:start w:val="1"/>
      <w:numFmt w:val="bullet"/>
      <w:lvlText w:val="•"/>
      <w:lvlJc w:val="left"/>
      <w:pPr>
        <w:ind w:left="6602" w:hanging="425"/>
      </w:pPr>
      <w:rPr>
        <w:rFonts w:hint="default"/>
      </w:rPr>
    </w:lvl>
    <w:lvl w:ilvl="8" w:tplc="946459F4">
      <w:start w:val="1"/>
      <w:numFmt w:val="bullet"/>
      <w:lvlText w:val="•"/>
      <w:lvlJc w:val="left"/>
      <w:pPr>
        <w:ind w:left="7470" w:hanging="425"/>
      </w:pPr>
      <w:rPr>
        <w:rFonts w:hint="default"/>
      </w:rPr>
    </w:lvl>
  </w:abstractNum>
  <w:abstractNum w:abstractNumId="10" w15:restartNumberingAfterBreak="0">
    <w:nsid w:val="2DB76F86"/>
    <w:multiLevelType w:val="hybridMultilevel"/>
    <w:tmpl w:val="830CCCA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409E39E9"/>
    <w:multiLevelType w:val="hybridMultilevel"/>
    <w:tmpl w:val="426CBC80"/>
    <w:lvl w:ilvl="0" w:tplc="A156064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13"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14" w15:restartNumberingAfterBreak="0">
    <w:nsid w:val="5B7E4455"/>
    <w:multiLevelType w:val="hybridMultilevel"/>
    <w:tmpl w:val="FD683612"/>
    <w:lvl w:ilvl="0" w:tplc="08090017">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17" w15:restartNumberingAfterBreak="0">
    <w:nsid w:val="77AB2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9"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583220427">
    <w:abstractNumId w:val="21"/>
  </w:num>
  <w:num w:numId="2" w16cid:durableId="1882816126">
    <w:abstractNumId w:val="13"/>
  </w:num>
  <w:num w:numId="3" w16cid:durableId="1275937844">
    <w:abstractNumId w:val="1"/>
  </w:num>
  <w:num w:numId="4" w16cid:durableId="1252085550">
    <w:abstractNumId w:val="18"/>
  </w:num>
  <w:num w:numId="5" w16cid:durableId="1991598751">
    <w:abstractNumId w:val="20"/>
  </w:num>
  <w:num w:numId="6" w16cid:durableId="1173452058">
    <w:abstractNumId w:val="7"/>
  </w:num>
  <w:num w:numId="7" w16cid:durableId="1528910631">
    <w:abstractNumId w:val="19"/>
  </w:num>
  <w:num w:numId="8" w16cid:durableId="1918980726">
    <w:abstractNumId w:val="12"/>
  </w:num>
  <w:num w:numId="9" w16cid:durableId="1044674760">
    <w:abstractNumId w:val="15"/>
  </w:num>
  <w:num w:numId="10" w16cid:durableId="153030499">
    <w:abstractNumId w:val="1"/>
    <w:lvlOverride w:ilvl="0">
      <w:startOverride w:val="1"/>
    </w:lvlOverride>
    <w:lvlOverride w:ilvl="1"/>
    <w:lvlOverride w:ilvl="2"/>
    <w:lvlOverride w:ilvl="3"/>
    <w:lvlOverride w:ilvl="4"/>
    <w:lvlOverride w:ilvl="5"/>
    <w:lvlOverride w:ilvl="6"/>
    <w:lvlOverride w:ilvl="7"/>
    <w:lvlOverride w:ilvl="8"/>
  </w:num>
  <w:num w:numId="11" w16cid:durableId="118185057">
    <w:abstractNumId w:val="8"/>
  </w:num>
  <w:num w:numId="12" w16cid:durableId="2070955815">
    <w:abstractNumId w:val="9"/>
  </w:num>
  <w:num w:numId="13" w16cid:durableId="2085451703">
    <w:abstractNumId w:val="17"/>
  </w:num>
  <w:num w:numId="14" w16cid:durableId="1383284568">
    <w:abstractNumId w:val="4"/>
  </w:num>
  <w:num w:numId="15" w16cid:durableId="1584342111">
    <w:abstractNumId w:val="6"/>
  </w:num>
  <w:num w:numId="16" w16cid:durableId="477891097">
    <w:abstractNumId w:val="5"/>
  </w:num>
  <w:num w:numId="17" w16cid:durableId="709262560">
    <w:abstractNumId w:val="11"/>
  </w:num>
  <w:num w:numId="18" w16cid:durableId="1849177204">
    <w:abstractNumId w:val="14"/>
  </w:num>
  <w:num w:numId="19" w16cid:durableId="1962297596">
    <w:abstractNumId w:val="10"/>
  </w:num>
  <w:num w:numId="20" w16cid:durableId="358362967">
    <w:abstractNumId w:val="2"/>
  </w:num>
  <w:num w:numId="21" w16cid:durableId="1128400415">
    <w:abstractNumId w:val="3"/>
  </w:num>
  <w:num w:numId="22" w16cid:durableId="1371689202">
    <w:abstractNumId w:val="16"/>
  </w:num>
  <w:num w:numId="23" w16cid:durableId="15368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doNotTrackFormatting/>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1A"/>
    <w:rsid w:val="00000A30"/>
    <w:rsid w:val="000013B9"/>
    <w:rsid w:val="00004573"/>
    <w:rsid w:val="00006951"/>
    <w:rsid w:val="0000723F"/>
    <w:rsid w:val="0000738A"/>
    <w:rsid w:val="00012200"/>
    <w:rsid w:val="00021B8A"/>
    <w:rsid w:val="00021DC5"/>
    <w:rsid w:val="000231B5"/>
    <w:rsid w:val="00030286"/>
    <w:rsid w:val="0003295E"/>
    <w:rsid w:val="00035AA0"/>
    <w:rsid w:val="000365EA"/>
    <w:rsid w:val="00036B9A"/>
    <w:rsid w:val="00040318"/>
    <w:rsid w:val="00042903"/>
    <w:rsid w:val="00044A69"/>
    <w:rsid w:val="00044FE9"/>
    <w:rsid w:val="00046152"/>
    <w:rsid w:val="000473B9"/>
    <w:rsid w:val="000476CD"/>
    <w:rsid w:val="000621CC"/>
    <w:rsid w:val="00063169"/>
    <w:rsid w:val="000632D3"/>
    <w:rsid w:val="00063981"/>
    <w:rsid w:val="00063EE9"/>
    <w:rsid w:val="00067AEF"/>
    <w:rsid w:val="00071320"/>
    <w:rsid w:val="0007539C"/>
    <w:rsid w:val="000826E2"/>
    <w:rsid w:val="000827AE"/>
    <w:rsid w:val="00083363"/>
    <w:rsid w:val="00083E69"/>
    <w:rsid w:val="0008452C"/>
    <w:rsid w:val="00084D2A"/>
    <w:rsid w:val="00086450"/>
    <w:rsid w:val="00087C89"/>
    <w:rsid w:val="00091088"/>
    <w:rsid w:val="000968C7"/>
    <w:rsid w:val="000A163E"/>
    <w:rsid w:val="000A337F"/>
    <w:rsid w:val="000A3685"/>
    <w:rsid w:val="000A4D73"/>
    <w:rsid w:val="000B2066"/>
    <w:rsid w:val="000B5AEC"/>
    <w:rsid w:val="000B75B9"/>
    <w:rsid w:val="000C061B"/>
    <w:rsid w:val="000C0CBE"/>
    <w:rsid w:val="000C36EB"/>
    <w:rsid w:val="000C5E6F"/>
    <w:rsid w:val="000D0421"/>
    <w:rsid w:val="000D40FF"/>
    <w:rsid w:val="000E0664"/>
    <w:rsid w:val="000E2951"/>
    <w:rsid w:val="000E5411"/>
    <w:rsid w:val="000E660E"/>
    <w:rsid w:val="000F3219"/>
    <w:rsid w:val="000F3771"/>
    <w:rsid w:val="000F6978"/>
    <w:rsid w:val="000F7135"/>
    <w:rsid w:val="000F7EAF"/>
    <w:rsid w:val="001018C0"/>
    <w:rsid w:val="00101B66"/>
    <w:rsid w:val="00102819"/>
    <w:rsid w:val="001035C4"/>
    <w:rsid w:val="0010387C"/>
    <w:rsid w:val="00103B2C"/>
    <w:rsid w:val="00104D7A"/>
    <w:rsid w:val="00105A7F"/>
    <w:rsid w:val="0010708E"/>
    <w:rsid w:val="00107097"/>
    <w:rsid w:val="00112690"/>
    <w:rsid w:val="001219D4"/>
    <w:rsid w:val="001227C5"/>
    <w:rsid w:val="001232F1"/>
    <w:rsid w:val="0012395D"/>
    <w:rsid w:val="00126931"/>
    <w:rsid w:val="0013121A"/>
    <w:rsid w:val="00131850"/>
    <w:rsid w:val="00131BA0"/>
    <w:rsid w:val="0013772F"/>
    <w:rsid w:val="0014175D"/>
    <w:rsid w:val="001460DA"/>
    <w:rsid w:val="0015237A"/>
    <w:rsid w:val="00157B09"/>
    <w:rsid w:val="00163CC2"/>
    <w:rsid w:val="0016469E"/>
    <w:rsid w:val="00166EE4"/>
    <w:rsid w:val="00167CE6"/>
    <w:rsid w:val="00171A8D"/>
    <w:rsid w:val="0017254E"/>
    <w:rsid w:val="001775F0"/>
    <w:rsid w:val="001802E4"/>
    <w:rsid w:val="001814E5"/>
    <w:rsid w:val="001818F6"/>
    <w:rsid w:val="00181C7F"/>
    <w:rsid w:val="00181C88"/>
    <w:rsid w:val="001862D8"/>
    <w:rsid w:val="001867E7"/>
    <w:rsid w:val="001869DC"/>
    <w:rsid w:val="0019093E"/>
    <w:rsid w:val="0019166E"/>
    <w:rsid w:val="001924C3"/>
    <w:rsid w:val="00193256"/>
    <w:rsid w:val="00194AE2"/>
    <w:rsid w:val="001A0BED"/>
    <w:rsid w:val="001A1AC5"/>
    <w:rsid w:val="001A422B"/>
    <w:rsid w:val="001A7DE7"/>
    <w:rsid w:val="001B3917"/>
    <w:rsid w:val="001B59D5"/>
    <w:rsid w:val="001B5C90"/>
    <w:rsid w:val="001B7D90"/>
    <w:rsid w:val="001C0357"/>
    <w:rsid w:val="001C0B19"/>
    <w:rsid w:val="001C0D9F"/>
    <w:rsid w:val="001C6B41"/>
    <w:rsid w:val="001C7DE8"/>
    <w:rsid w:val="001D121C"/>
    <w:rsid w:val="001D5400"/>
    <w:rsid w:val="001D6857"/>
    <w:rsid w:val="001D7558"/>
    <w:rsid w:val="001E007C"/>
    <w:rsid w:val="001E0EBF"/>
    <w:rsid w:val="001E236E"/>
    <w:rsid w:val="001E3EB5"/>
    <w:rsid w:val="001E4839"/>
    <w:rsid w:val="001E6297"/>
    <w:rsid w:val="001E78DF"/>
    <w:rsid w:val="001F0446"/>
    <w:rsid w:val="001F3711"/>
    <w:rsid w:val="001F3928"/>
    <w:rsid w:val="001F6725"/>
    <w:rsid w:val="00200E83"/>
    <w:rsid w:val="00205089"/>
    <w:rsid w:val="002076CF"/>
    <w:rsid w:val="002117CD"/>
    <w:rsid w:val="00212FD2"/>
    <w:rsid w:val="00214700"/>
    <w:rsid w:val="0021483A"/>
    <w:rsid w:val="002169C5"/>
    <w:rsid w:val="00233BDE"/>
    <w:rsid w:val="002346D9"/>
    <w:rsid w:val="00234D9A"/>
    <w:rsid w:val="00235CAE"/>
    <w:rsid w:val="00241E6A"/>
    <w:rsid w:val="00242CF8"/>
    <w:rsid w:val="00245E9E"/>
    <w:rsid w:val="0024654C"/>
    <w:rsid w:val="00246EA8"/>
    <w:rsid w:val="00252523"/>
    <w:rsid w:val="00255AD2"/>
    <w:rsid w:val="0025692B"/>
    <w:rsid w:val="00260456"/>
    <w:rsid w:val="00260B36"/>
    <w:rsid w:val="002626FE"/>
    <w:rsid w:val="00267736"/>
    <w:rsid w:val="0027028C"/>
    <w:rsid w:val="00275F6B"/>
    <w:rsid w:val="00277248"/>
    <w:rsid w:val="0027732B"/>
    <w:rsid w:val="00280B64"/>
    <w:rsid w:val="00280FB9"/>
    <w:rsid w:val="00281DEE"/>
    <w:rsid w:val="00283A92"/>
    <w:rsid w:val="0028466D"/>
    <w:rsid w:val="002858BE"/>
    <w:rsid w:val="00285D39"/>
    <w:rsid w:val="002920E5"/>
    <w:rsid w:val="00292D92"/>
    <w:rsid w:val="0029548B"/>
    <w:rsid w:val="0029643B"/>
    <w:rsid w:val="002A2A26"/>
    <w:rsid w:val="002A4ED1"/>
    <w:rsid w:val="002A6580"/>
    <w:rsid w:val="002B0A00"/>
    <w:rsid w:val="002B2BDE"/>
    <w:rsid w:val="002B2E44"/>
    <w:rsid w:val="002B3394"/>
    <w:rsid w:val="002B56B2"/>
    <w:rsid w:val="002B6E61"/>
    <w:rsid w:val="002B7173"/>
    <w:rsid w:val="002B7CAE"/>
    <w:rsid w:val="002C37CE"/>
    <w:rsid w:val="002C3A45"/>
    <w:rsid w:val="002C688B"/>
    <w:rsid w:val="002D00D5"/>
    <w:rsid w:val="002D6CF1"/>
    <w:rsid w:val="002D6FED"/>
    <w:rsid w:val="002E0DD7"/>
    <w:rsid w:val="002E128D"/>
    <w:rsid w:val="002E33B5"/>
    <w:rsid w:val="002E4B62"/>
    <w:rsid w:val="002E4D47"/>
    <w:rsid w:val="002E5495"/>
    <w:rsid w:val="002E61BC"/>
    <w:rsid w:val="002F19E3"/>
    <w:rsid w:val="002F3995"/>
    <w:rsid w:val="002F43F7"/>
    <w:rsid w:val="002F54C4"/>
    <w:rsid w:val="002F5C5D"/>
    <w:rsid w:val="002F5EC5"/>
    <w:rsid w:val="002F6823"/>
    <w:rsid w:val="0030089E"/>
    <w:rsid w:val="00302762"/>
    <w:rsid w:val="00302E20"/>
    <w:rsid w:val="00303876"/>
    <w:rsid w:val="0030616C"/>
    <w:rsid w:val="00310F85"/>
    <w:rsid w:val="003120EB"/>
    <w:rsid w:val="00316B1D"/>
    <w:rsid w:val="00317280"/>
    <w:rsid w:val="0032628A"/>
    <w:rsid w:val="0032658E"/>
    <w:rsid w:val="003278CC"/>
    <w:rsid w:val="00333351"/>
    <w:rsid w:val="00341A73"/>
    <w:rsid w:val="00342ADD"/>
    <w:rsid w:val="00343C3B"/>
    <w:rsid w:val="0034565C"/>
    <w:rsid w:val="00347EEB"/>
    <w:rsid w:val="003503F5"/>
    <w:rsid w:val="0035051C"/>
    <w:rsid w:val="00351ABE"/>
    <w:rsid w:val="00352728"/>
    <w:rsid w:val="00353196"/>
    <w:rsid w:val="00355B7C"/>
    <w:rsid w:val="003606D2"/>
    <w:rsid w:val="00360B5D"/>
    <w:rsid w:val="0036349C"/>
    <w:rsid w:val="003722DA"/>
    <w:rsid w:val="00372FFE"/>
    <w:rsid w:val="0037545E"/>
    <w:rsid w:val="00376CDB"/>
    <w:rsid w:val="00380E6E"/>
    <w:rsid w:val="00383A51"/>
    <w:rsid w:val="00383CCE"/>
    <w:rsid w:val="003848B9"/>
    <w:rsid w:val="003902F8"/>
    <w:rsid w:val="00390E23"/>
    <w:rsid w:val="003916D1"/>
    <w:rsid w:val="00391ACF"/>
    <w:rsid w:val="0039203E"/>
    <w:rsid w:val="00392770"/>
    <w:rsid w:val="00397208"/>
    <w:rsid w:val="003A2AF7"/>
    <w:rsid w:val="003A350A"/>
    <w:rsid w:val="003A6775"/>
    <w:rsid w:val="003A6C05"/>
    <w:rsid w:val="003B0698"/>
    <w:rsid w:val="003B1E5A"/>
    <w:rsid w:val="003B7B4F"/>
    <w:rsid w:val="003B7CD6"/>
    <w:rsid w:val="003C24AC"/>
    <w:rsid w:val="003C4391"/>
    <w:rsid w:val="003C476C"/>
    <w:rsid w:val="003C757B"/>
    <w:rsid w:val="003D0B3F"/>
    <w:rsid w:val="003E0C60"/>
    <w:rsid w:val="003E162B"/>
    <w:rsid w:val="003E3ABB"/>
    <w:rsid w:val="003E66A6"/>
    <w:rsid w:val="003E688E"/>
    <w:rsid w:val="003F0895"/>
    <w:rsid w:val="003F4A5F"/>
    <w:rsid w:val="003F62E0"/>
    <w:rsid w:val="003F72AB"/>
    <w:rsid w:val="003F7EC8"/>
    <w:rsid w:val="004030D4"/>
    <w:rsid w:val="004034AA"/>
    <w:rsid w:val="00403638"/>
    <w:rsid w:val="0040393D"/>
    <w:rsid w:val="004047B6"/>
    <w:rsid w:val="00405A46"/>
    <w:rsid w:val="00406A02"/>
    <w:rsid w:val="00407B9F"/>
    <w:rsid w:val="004107B7"/>
    <w:rsid w:val="0041354E"/>
    <w:rsid w:val="00415296"/>
    <w:rsid w:val="004159C7"/>
    <w:rsid w:val="00416351"/>
    <w:rsid w:val="00422207"/>
    <w:rsid w:val="004233CF"/>
    <w:rsid w:val="00430E11"/>
    <w:rsid w:val="0043113C"/>
    <w:rsid w:val="00432040"/>
    <w:rsid w:val="00433D0F"/>
    <w:rsid w:val="004354E6"/>
    <w:rsid w:val="0043694A"/>
    <w:rsid w:val="00437995"/>
    <w:rsid w:val="0044472A"/>
    <w:rsid w:val="004452D9"/>
    <w:rsid w:val="00447A9F"/>
    <w:rsid w:val="00450D82"/>
    <w:rsid w:val="00451204"/>
    <w:rsid w:val="00451436"/>
    <w:rsid w:val="0045721E"/>
    <w:rsid w:val="00457DC4"/>
    <w:rsid w:val="00460579"/>
    <w:rsid w:val="00461A7D"/>
    <w:rsid w:val="004632F3"/>
    <w:rsid w:val="004669A6"/>
    <w:rsid w:val="0047018C"/>
    <w:rsid w:val="00470D58"/>
    <w:rsid w:val="00473533"/>
    <w:rsid w:val="0047578E"/>
    <w:rsid w:val="00476EC0"/>
    <w:rsid w:val="0048368F"/>
    <w:rsid w:val="0048597B"/>
    <w:rsid w:val="004871E9"/>
    <w:rsid w:val="00487EBB"/>
    <w:rsid w:val="0049507A"/>
    <w:rsid w:val="004962FD"/>
    <w:rsid w:val="00497CC8"/>
    <w:rsid w:val="004A2407"/>
    <w:rsid w:val="004A3EC5"/>
    <w:rsid w:val="004B096D"/>
    <w:rsid w:val="004B2026"/>
    <w:rsid w:val="004B51A6"/>
    <w:rsid w:val="004B6A41"/>
    <w:rsid w:val="004B7651"/>
    <w:rsid w:val="004C023F"/>
    <w:rsid w:val="004C2935"/>
    <w:rsid w:val="004C2BC9"/>
    <w:rsid w:val="004C4597"/>
    <w:rsid w:val="004C5825"/>
    <w:rsid w:val="004C7B10"/>
    <w:rsid w:val="004C7B3B"/>
    <w:rsid w:val="004D04E4"/>
    <w:rsid w:val="004D100A"/>
    <w:rsid w:val="004D3690"/>
    <w:rsid w:val="004D696D"/>
    <w:rsid w:val="004D76DE"/>
    <w:rsid w:val="004E1949"/>
    <w:rsid w:val="004E1F7B"/>
    <w:rsid w:val="004E43CE"/>
    <w:rsid w:val="004E7065"/>
    <w:rsid w:val="004E710A"/>
    <w:rsid w:val="004E7168"/>
    <w:rsid w:val="004F0287"/>
    <w:rsid w:val="00501B53"/>
    <w:rsid w:val="00505196"/>
    <w:rsid w:val="005059A1"/>
    <w:rsid w:val="005062D3"/>
    <w:rsid w:val="00510CC9"/>
    <w:rsid w:val="00510EEF"/>
    <w:rsid w:val="0052188B"/>
    <w:rsid w:val="00521BDF"/>
    <w:rsid w:val="00522856"/>
    <w:rsid w:val="005229BB"/>
    <w:rsid w:val="00523ABF"/>
    <w:rsid w:val="005245C0"/>
    <w:rsid w:val="00524681"/>
    <w:rsid w:val="0053015B"/>
    <w:rsid w:val="005302B3"/>
    <w:rsid w:val="0053224D"/>
    <w:rsid w:val="005342B8"/>
    <w:rsid w:val="00537C8E"/>
    <w:rsid w:val="00537EF4"/>
    <w:rsid w:val="00541530"/>
    <w:rsid w:val="0054170C"/>
    <w:rsid w:val="00542FF6"/>
    <w:rsid w:val="005464C5"/>
    <w:rsid w:val="00553378"/>
    <w:rsid w:val="005551A7"/>
    <w:rsid w:val="00556675"/>
    <w:rsid w:val="005578C1"/>
    <w:rsid w:val="00561B07"/>
    <w:rsid w:val="0056216D"/>
    <w:rsid w:val="00563E8D"/>
    <w:rsid w:val="005678CD"/>
    <w:rsid w:val="005707BC"/>
    <w:rsid w:val="005752E3"/>
    <w:rsid w:val="005761E2"/>
    <w:rsid w:val="00577120"/>
    <w:rsid w:val="005772B7"/>
    <w:rsid w:val="00580437"/>
    <w:rsid w:val="0058684B"/>
    <w:rsid w:val="005872F7"/>
    <w:rsid w:val="00593291"/>
    <w:rsid w:val="0059376E"/>
    <w:rsid w:val="0059392D"/>
    <w:rsid w:val="00596A05"/>
    <w:rsid w:val="005976D6"/>
    <w:rsid w:val="005A01B1"/>
    <w:rsid w:val="005A165D"/>
    <w:rsid w:val="005A2BB8"/>
    <w:rsid w:val="005A5B76"/>
    <w:rsid w:val="005B1B77"/>
    <w:rsid w:val="005B3FA6"/>
    <w:rsid w:val="005B5FC1"/>
    <w:rsid w:val="005C0AF7"/>
    <w:rsid w:val="005C0C58"/>
    <w:rsid w:val="005C19B8"/>
    <w:rsid w:val="005C4EF5"/>
    <w:rsid w:val="005C5DFD"/>
    <w:rsid w:val="005C6DD7"/>
    <w:rsid w:val="005C7764"/>
    <w:rsid w:val="005C7A32"/>
    <w:rsid w:val="005D3898"/>
    <w:rsid w:val="005D5E32"/>
    <w:rsid w:val="005D6D57"/>
    <w:rsid w:val="005E132B"/>
    <w:rsid w:val="005E2394"/>
    <w:rsid w:val="005E2AF5"/>
    <w:rsid w:val="005F240B"/>
    <w:rsid w:val="005F3652"/>
    <w:rsid w:val="005F7D11"/>
    <w:rsid w:val="00600DBA"/>
    <w:rsid w:val="00602B25"/>
    <w:rsid w:val="00602B70"/>
    <w:rsid w:val="0060404D"/>
    <w:rsid w:val="006073EB"/>
    <w:rsid w:val="00611031"/>
    <w:rsid w:val="006122F7"/>
    <w:rsid w:val="006137B1"/>
    <w:rsid w:val="00617E86"/>
    <w:rsid w:val="006208BF"/>
    <w:rsid w:val="006213A5"/>
    <w:rsid w:val="00624222"/>
    <w:rsid w:val="00625B7D"/>
    <w:rsid w:val="00630776"/>
    <w:rsid w:val="0063696F"/>
    <w:rsid w:val="00642336"/>
    <w:rsid w:val="00656E79"/>
    <w:rsid w:val="00661E16"/>
    <w:rsid w:val="006632BD"/>
    <w:rsid w:val="00663749"/>
    <w:rsid w:val="0066588A"/>
    <w:rsid w:val="00665956"/>
    <w:rsid w:val="00666898"/>
    <w:rsid w:val="006711FC"/>
    <w:rsid w:val="006717AB"/>
    <w:rsid w:val="0067285C"/>
    <w:rsid w:val="00675AE8"/>
    <w:rsid w:val="00677E29"/>
    <w:rsid w:val="0068166A"/>
    <w:rsid w:val="00682A0D"/>
    <w:rsid w:val="00682AA1"/>
    <w:rsid w:val="0069015A"/>
    <w:rsid w:val="0069142A"/>
    <w:rsid w:val="00691A3D"/>
    <w:rsid w:val="00692FE9"/>
    <w:rsid w:val="006938C6"/>
    <w:rsid w:val="00694335"/>
    <w:rsid w:val="00697321"/>
    <w:rsid w:val="006978DB"/>
    <w:rsid w:val="006A111A"/>
    <w:rsid w:val="006A1E59"/>
    <w:rsid w:val="006A1E84"/>
    <w:rsid w:val="006A2D4C"/>
    <w:rsid w:val="006A31C1"/>
    <w:rsid w:val="006A31D4"/>
    <w:rsid w:val="006A68B7"/>
    <w:rsid w:val="006B0508"/>
    <w:rsid w:val="006B220E"/>
    <w:rsid w:val="006B29CA"/>
    <w:rsid w:val="006B3943"/>
    <w:rsid w:val="006B56AD"/>
    <w:rsid w:val="006B6F5A"/>
    <w:rsid w:val="006B729E"/>
    <w:rsid w:val="006C1DAA"/>
    <w:rsid w:val="006C3242"/>
    <w:rsid w:val="006C5619"/>
    <w:rsid w:val="006C583D"/>
    <w:rsid w:val="006C7092"/>
    <w:rsid w:val="006D019A"/>
    <w:rsid w:val="006D2375"/>
    <w:rsid w:val="006D272C"/>
    <w:rsid w:val="006D3952"/>
    <w:rsid w:val="006D490A"/>
    <w:rsid w:val="006D7A08"/>
    <w:rsid w:val="006D7ACE"/>
    <w:rsid w:val="006D7CA0"/>
    <w:rsid w:val="006D7EA3"/>
    <w:rsid w:val="006E0829"/>
    <w:rsid w:val="006E1994"/>
    <w:rsid w:val="006E2478"/>
    <w:rsid w:val="006E311B"/>
    <w:rsid w:val="006E3F93"/>
    <w:rsid w:val="006E4483"/>
    <w:rsid w:val="006E5315"/>
    <w:rsid w:val="006E5579"/>
    <w:rsid w:val="006E57C0"/>
    <w:rsid w:val="006E5A7A"/>
    <w:rsid w:val="006E5B66"/>
    <w:rsid w:val="006E6858"/>
    <w:rsid w:val="006F18C2"/>
    <w:rsid w:val="006F3D46"/>
    <w:rsid w:val="006F6997"/>
    <w:rsid w:val="0070149D"/>
    <w:rsid w:val="00702CA3"/>
    <w:rsid w:val="00706074"/>
    <w:rsid w:val="007065E5"/>
    <w:rsid w:val="007105ED"/>
    <w:rsid w:val="00710D5A"/>
    <w:rsid w:val="00712DAA"/>
    <w:rsid w:val="00714EF5"/>
    <w:rsid w:val="00716C2D"/>
    <w:rsid w:val="00716E25"/>
    <w:rsid w:val="00722964"/>
    <w:rsid w:val="00726353"/>
    <w:rsid w:val="00726C47"/>
    <w:rsid w:val="00726DE7"/>
    <w:rsid w:val="0072700F"/>
    <w:rsid w:val="00727FEC"/>
    <w:rsid w:val="007332BD"/>
    <w:rsid w:val="00733D2B"/>
    <w:rsid w:val="00734623"/>
    <w:rsid w:val="00734DA4"/>
    <w:rsid w:val="00737652"/>
    <w:rsid w:val="00740845"/>
    <w:rsid w:val="00740E9B"/>
    <w:rsid w:val="00746F9E"/>
    <w:rsid w:val="00747A70"/>
    <w:rsid w:val="007503D4"/>
    <w:rsid w:val="00753563"/>
    <w:rsid w:val="007567B8"/>
    <w:rsid w:val="00756B07"/>
    <w:rsid w:val="0076235D"/>
    <w:rsid w:val="00762416"/>
    <w:rsid w:val="007624C3"/>
    <w:rsid w:val="0076298E"/>
    <w:rsid w:val="00762AC9"/>
    <w:rsid w:val="007659CA"/>
    <w:rsid w:val="0076655B"/>
    <w:rsid w:val="00767B7B"/>
    <w:rsid w:val="00770552"/>
    <w:rsid w:val="007728EC"/>
    <w:rsid w:val="00773D69"/>
    <w:rsid w:val="00776062"/>
    <w:rsid w:val="00777B40"/>
    <w:rsid w:val="0078050C"/>
    <w:rsid w:val="007805C5"/>
    <w:rsid w:val="0078067F"/>
    <w:rsid w:val="007847AC"/>
    <w:rsid w:val="0078668D"/>
    <w:rsid w:val="00787857"/>
    <w:rsid w:val="0079103A"/>
    <w:rsid w:val="00791CDD"/>
    <w:rsid w:val="00792A4B"/>
    <w:rsid w:val="00793D3D"/>
    <w:rsid w:val="00794DB0"/>
    <w:rsid w:val="0079502A"/>
    <w:rsid w:val="007A14BF"/>
    <w:rsid w:val="007A48E1"/>
    <w:rsid w:val="007A64D5"/>
    <w:rsid w:val="007A6E23"/>
    <w:rsid w:val="007B1104"/>
    <w:rsid w:val="007B1B6F"/>
    <w:rsid w:val="007B3053"/>
    <w:rsid w:val="007B747B"/>
    <w:rsid w:val="007C44D0"/>
    <w:rsid w:val="007D0E83"/>
    <w:rsid w:val="007D2833"/>
    <w:rsid w:val="007D58ED"/>
    <w:rsid w:val="007D65E7"/>
    <w:rsid w:val="007D7A95"/>
    <w:rsid w:val="007D7D77"/>
    <w:rsid w:val="007E4C29"/>
    <w:rsid w:val="007E698A"/>
    <w:rsid w:val="007F1D0E"/>
    <w:rsid w:val="007F1FF8"/>
    <w:rsid w:val="007F3275"/>
    <w:rsid w:val="007F5D72"/>
    <w:rsid w:val="007F7CF3"/>
    <w:rsid w:val="007F7CF8"/>
    <w:rsid w:val="0080210C"/>
    <w:rsid w:val="00802A88"/>
    <w:rsid w:val="008047D1"/>
    <w:rsid w:val="00806393"/>
    <w:rsid w:val="008064AF"/>
    <w:rsid w:val="00806592"/>
    <w:rsid w:val="00806EEC"/>
    <w:rsid w:val="00811341"/>
    <w:rsid w:val="00814B71"/>
    <w:rsid w:val="00815F7B"/>
    <w:rsid w:val="00816F14"/>
    <w:rsid w:val="00830F74"/>
    <w:rsid w:val="00831F79"/>
    <w:rsid w:val="00834A6A"/>
    <w:rsid w:val="00836C7F"/>
    <w:rsid w:val="00837B09"/>
    <w:rsid w:val="00842394"/>
    <w:rsid w:val="0084615F"/>
    <w:rsid w:val="00852123"/>
    <w:rsid w:val="00852265"/>
    <w:rsid w:val="00853728"/>
    <w:rsid w:val="0085414B"/>
    <w:rsid w:val="008547D1"/>
    <w:rsid w:val="00855D4F"/>
    <w:rsid w:val="008575E4"/>
    <w:rsid w:val="008601E2"/>
    <w:rsid w:val="008607CD"/>
    <w:rsid w:val="00862123"/>
    <w:rsid w:val="00862423"/>
    <w:rsid w:val="00862AAE"/>
    <w:rsid w:val="00863F9C"/>
    <w:rsid w:val="00864554"/>
    <w:rsid w:val="00866B84"/>
    <w:rsid w:val="00870D62"/>
    <w:rsid w:val="0087103B"/>
    <w:rsid w:val="00871E5E"/>
    <w:rsid w:val="008731A1"/>
    <w:rsid w:val="00873DFB"/>
    <w:rsid w:val="00874331"/>
    <w:rsid w:val="00874656"/>
    <w:rsid w:val="00874C37"/>
    <w:rsid w:val="008750C4"/>
    <w:rsid w:val="00875E37"/>
    <w:rsid w:val="00875EB2"/>
    <w:rsid w:val="00876736"/>
    <w:rsid w:val="00876E99"/>
    <w:rsid w:val="00877A78"/>
    <w:rsid w:val="008805AF"/>
    <w:rsid w:val="00895A96"/>
    <w:rsid w:val="008A2B42"/>
    <w:rsid w:val="008A39E1"/>
    <w:rsid w:val="008A56E6"/>
    <w:rsid w:val="008B0F46"/>
    <w:rsid w:val="008B26DD"/>
    <w:rsid w:val="008B2BB9"/>
    <w:rsid w:val="008B37B9"/>
    <w:rsid w:val="008B3E60"/>
    <w:rsid w:val="008B62AF"/>
    <w:rsid w:val="008B752A"/>
    <w:rsid w:val="008C4CC9"/>
    <w:rsid w:val="008D2B73"/>
    <w:rsid w:val="008D4B62"/>
    <w:rsid w:val="008D4BB1"/>
    <w:rsid w:val="008D57B1"/>
    <w:rsid w:val="008D69D1"/>
    <w:rsid w:val="008D7FB9"/>
    <w:rsid w:val="008E16A4"/>
    <w:rsid w:val="008E46A8"/>
    <w:rsid w:val="008E5A1F"/>
    <w:rsid w:val="008E784D"/>
    <w:rsid w:val="008F3E53"/>
    <w:rsid w:val="008F3EAC"/>
    <w:rsid w:val="008F445F"/>
    <w:rsid w:val="008F78C6"/>
    <w:rsid w:val="00900A5A"/>
    <w:rsid w:val="009028E1"/>
    <w:rsid w:val="00906127"/>
    <w:rsid w:val="00907003"/>
    <w:rsid w:val="0091191D"/>
    <w:rsid w:val="009132A5"/>
    <w:rsid w:val="0092114B"/>
    <w:rsid w:val="009239A2"/>
    <w:rsid w:val="00923C68"/>
    <w:rsid w:val="00924817"/>
    <w:rsid w:val="009260C3"/>
    <w:rsid w:val="009270C8"/>
    <w:rsid w:val="00930BC2"/>
    <w:rsid w:val="00930F46"/>
    <w:rsid w:val="00937003"/>
    <w:rsid w:val="00940244"/>
    <w:rsid w:val="009402EA"/>
    <w:rsid w:val="00941821"/>
    <w:rsid w:val="00942112"/>
    <w:rsid w:val="0094287D"/>
    <w:rsid w:val="009445A8"/>
    <w:rsid w:val="00945F6B"/>
    <w:rsid w:val="00946BF7"/>
    <w:rsid w:val="00947DE6"/>
    <w:rsid w:val="00951DAE"/>
    <w:rsid w:val="00952EA7"/>
    <w:rsid w:val="009536FB"/>
    <w:rsid w:val="0095373D"/>
    <w:rsid w:val="0096448D"/>
    <w:rsid w:val="00965F2B"/>
    <w:rsid w:val="009661AF"/>
    <w:rsid w:val="00972290"/>
    <w:rsid w:val="00973465"/>
    <w:rsid w:val="009744FD"/>
    <w:rsid w:val="00975DBF"/>
    <w:rsid w:val="009803A9"/>
    <w:rsid w:val="009812A3"/>
    <w:rsid w:val="00984AEB"/>
    <w:rsid w:val="00990155"/>
    <w:rsid w:val="00991775"/>
    <w:rsid w:val="0099390F"/>
    <w:rsid w:val="00993A6A"/>
    <w:rsid w:val="00994396"/>
    <w:rsid w:val="009A071D"/>
    <w:rsid w:val="009A0C1A"/>
    <w:rsid w:val="009A5BDE"/>
    <w:rsid w:val="009A5DBB"/>
    <w:rsid w:val="009B0115"/>
    <w:rsid w:val="009B0920"/>
    <w:rsid w:val="009B0A1A"/>
    <w:rsid w:val="009B14F5"/>
    <w:rsid w:val="009B2021"/>
    <w:rsid w:val="009B5A1E"/>
    <w:rsid w:val="009C1BBA"/>
    <w:rsid w:val="009C1D57"/>
    <w:rsid w:val="009C3EF2"/>
    <w:rsid w:val="009C4AE6"/>
    <w:rsid w:val="009D0873"/>
    <w:rsid w:val="009D35FA"/>
    <w:rsid w:val="009D4267"/>
    <w:rsid w:val="009D4523"/>
    <w:rsid w:val="009D4962"/>
    <w:rsid w:val="009D7F17"/>
    <w:rsid w:val="009E038B"/>
    <w:rsid w:val="009E0B6B"/>
    <w:rsid w:val="009E16DF"/>
    <w:rsid w:val="009E2A98"/>
    <w:rsid w:val="009E411E"/>
    <w:rsid w:val="009E4279"/>
    <w:rsid w:val="009E430A"/>
    <w:rsid w:val="009E6C88"/>
    <w:rsid w:val="009E6F27"/>
    <w:rsid w:val="009F1FFB"/>
    <w:rsid w:val="009F3F6D"/>
    <w:rsid w:val="009F5C87"/>
    <w:rsid w:val="009F7B07"/>
    <w:rsid w:val="00A006A1"/>
    <w:rsid w:val="00A022F9"/>
    <w:rsid w:val="00A02649"/>
    <w:rsid w:val="00A04186"/>
    <w:rsid w:val="00A045A1"/>
    <w:rsid w:val="00A046AE"/>
    <w:rsid w:val="00A05834"/>
    <w:rsid w:val="00A07CBB"/>
    <w:rsid w:val="00A07E36"/>
    <w:rsid w:val="00A10633"/>
    <w:rsid w:val="00A116D3"/>
    <w:rsid w:val="00A15F56"/>
    <w:rsid w:val="00A2065F"/>
    <w:rsid w:val="00A20F18"/>
    <w:rsid w:val="00A215E5"/>
    <w:rsid w:val="00A22458"/>
    <w:rsid w:val="00A23631"/>
    <w:rsid w:val="00A248F7"/>
    <w:rsid w:val="00A31651"/>
    <w:rsid w:val="00A316E9"/>
    <w:rsid w:val="00A3497A"/>
    <w:rsid w:val="00A354F5"/>
    <w:rsid w:val="00A3565C"/>
    <w:rsid w:val="00A35A1A"/>
    <w:rsid w:val="00A3748D"/>
    <w:rsid w:val="00A42F1F"/>
    <w:rsid w:val="00A431B0"/>
    <w:rsid w:val="00A45077"/>
    <w:rsid w:val="00A4628B"/>
    <w:rsid w:val="00A465CB"/>
    <w:rsid w:val="00A4669F"/>
    <w:rsid w:val="00A46F92"/>
    <w:rsid w:val="00A47645"/>
    <w:rsid w:val="00A47A60"/>
    <w:rsid w:val="00A52046"/>
    <w:rsid w:val="00A55FF1"/>
    <w:rsid w:val="00A57933"/>
    <w:rsid w:val="00A6096E"/>
    <w:rsid w:val="00A62F75"/>
    <w:rsid w:val="00A64D91"/>
    <w:rsid w:val="00A75BE4"/>
    <w:rsid w:val="00A81275"/>
    <w:rsid w:val="00A8231E"/>
    <w:rsid w:val="00A82CD9"/>
    <w:rsid w:val="00A85B93"/>
    <w:rsid w:val="00A87BFD"/>
    <w:rsid w:val="00A931CC"/>
    <w:rsid w:val="00A9603A"/>
    <w:rsid w:val="00A96F76"/>
    <w:rsid w:val="00AA1C6D"/>
    <w:rsid w:val="00AA53A2"/>
    <w:rsid w:val="00AA7025"/>
    <w:rsid w:val="00AB052D"/>
    <w:rsid w:val="00AB14BC"/>
    <w:rsid w:val="00AB1736"/>
    <w:rsid w:val="00AB4001"/>
    <w:rsid w:val="00AB77B9"/>
    <w:rsid w:val="00AC00AB"/>
    <w:rsid w:val="00AC0832"/>
    <w:rsid w:val="00AC0EBB"/>
    <w:rsid w:val="00AC213C"/>
    <w:rsid w:val="00AC3142"/>
    <w:rsid w:val="00AC5CFA"/>
    <w:rsid w:val="00AC5E7E"/>
    <w:rsid w:val="00AC7A90"/>
    <w:rsid w:val="00AD44D2"/>
    <w:rsid w:val="00AD6870"/>
    <w:rsid w:val="00AD76AE"/>
    <w:rsid w:val="00AE0096"/>
    <w:rsid w:val="00AE4640"/>
    <w:rsid w:val="00AE4B68"/>
    <w:rsid w:val="00AE7182"/>
    <w:rsid w:val="00AE7D91"/>
    <w:rsid w:val="00AF212E"/>
    <w:rsid w:val="00AF24EE"/>
    <w:rsid w:val="00AF6FB5"/>
    <w:rsid w:val="00B02D02"/>
    <w:rsid w:val="00B03F0D"/>
    <w:rsid w:val="00B05004"/>
    <w:rsid w:val="00B051FA"/>
    <w:rsid w:val="00B076AD"/>
    <w:rsid w:val="00B10878"/>
    <w:rsid w:val="00B13576"/>
    <w:rsid w:val="00B14FED"/>
    <w:rsid w:val="00B175E4"/>
    <w:rsid w:val="00B17CD5"/>
    <w:rsid w:val="00B17F56"/>
    <w:rsid w:val="00B2253C"/>
    <w:rsid w:val="00B240C6"/>
    <w:rsid w:val="00B26C10"/>
    <w:rsid w:val="00B272D1"/>
    <w:rsid w:val="00B2771B"/>
    <w:rsid w:val="00B32216"/>
    <w:rsid w:val="00B34427"/>
    <w:rsid w:val="00B352A7"/>
    <w:rsid w:val="00B3678C"/>
    <w:rsid w:val="00B40FAC"/>
    <w:rsid w:val="00B5034B"/>
    <w:rsid w:val="00B50EF9"/>
    <w:rsid w:val="00B52DBC"/>
    <w:rsid w:val="00B53966"/>
    <w:rsid w:val="00B626FF"/>
    <w:rsid w:val="00B63D24"/>
    <w:rsid w:val="00B7507F"/>
    <w:rsid w:val="00B759EA"/>
    <w:rsid w:val="00B75A56"/>
    <w:rsid w:val="00B771F7"/>
    <w:rsid w:val="00B77EBE"/>
    <w:rsid w:val="00B8559C"/>
    <w:rsid w:val="00B905DB"/>
    <w:rsid w:val="00B90CCD"/>
    <w:rsid w:val="00B92FA1"/>
    <w:rsid w:val="00B95D39"/>
    <w:rsid w:val="00B95DF5"/>
    <w:rsid w:val="00B9647F"/>
    <w:rsid w:val="00BA0A04"/>
    <w:rsid w:val="00BA1AD6"/>
    <w:rsid w:val="00BA7172"/>
    <w:rsid w:val="00BA7D53"/>
    <w:rsid w:val="00BB123A"/>
    <w:rsid w:val="00BB7672"/>
    <w:rsid w:val="00BC0B7B"/>
    <w:rsid w:val="00BC253E"/>
    <w:rsid w:val="00BD3050"/>
    <w:rsid w:val="00BD4C6F"/>
    <w:rsid w:val="00BE024C"/>
    <w:rsid w:val="00BE028F"/>
    <w:rsid w:val="00BE13BE"/>
    <w:rsid w:val="00BE1EF1"/>
    <w:rsid w:val="00BE3C29"/>
    <w:rsid w:val="00BE6241"/>
    <w:rsid w:val="00BE7EA3"/>
    <w:rsid w:val="00BF1E6C"/>
    <w:rsid w:val="00BF2AAA"/>
    <w:rsid w:val="00C005F1"/>
    <w:rsid w:val="00C01A44"/>
    <w:rsid w:val="00C03947"/>
    <w:rsid w:val="00C03C6D"/>
    <w:rsid w:val="00C0697F"/>
    <w:rsid w:val="00C11128"/>
    <w:rsid w:val="00C11E8D"/>
    <w:rsid w:val="00C17B01"/>
    <w:rsid w:val="00C27FCD"/>
    <w:rsid w:val="00C300A5"/>
    <w:rsid w:val="00C32B86"/>
    <w:rsid w:val="00C33AB0"/>
    <w:rsid w:val="00C34FCA"/>
    <w:rsid w:val="00C3674F"/>
    <w:rsid w:val="00C406CE"/>
    <w:rsid w:val="00C40731"/>
    <w:rsid w:val="00C41C6C"/>
    <w:rsid w:val="00C444E3"/>
    <w:rsid w:val="00C45977"/>
    <w:rsid w:val="00C46ACC"/>
    <w:rsid w:val="00C46DC8"/>
    <w:rsid w:val="00C50312"/>
    <w:rsid w:val="00C50A0D"/>
    <w:rsid w:val="00C50D2D"/>
    <w:rsid w:val="00C517D6"/>
    <w:rsid w:val="00C520A5"/>
    <w:rsid w:val="00C54171"/>
    <w:rsid w:val="00C55E41"/>
    <w:rsid w:val="00C56BB3"/>
    <w:rsid w:val="00C60BEB"/>
    <w:rsid w:val="00C61EE8"/>
    <w:rsid w:val="00C62AD7"/>
    <w:rsid w:val="00C65164"/>
    <w:rsid w:val="00C65932"/>
    <w:rsid w:val="00C67381"/>
    <w:rsid w:val="00C71285"/>
    <w:rsid w:val="00C77773"/>
    <w:rsid w:val="00C81902"/>
    <w:rsid w:val="00C82399"/>
    <w:rsid w:val="00C853C8"/>
    <w:rsid w:val="00C8682B"/>
    <w:rsid w:val="00C86E83"/>
    <w:rsid w:val="00C90207"/>
    <w:rsid w:val="00C925BE"/>
    <w:rsid w:val="00C94331"/>
    <w:rsid w:val="00C94F5C"/>
    <w:rsid w:val="00C95C31"/>
    <w:rsid w:val="00C96324"/>
    <w:rsid w:val="00CA290A"/>
    <w:rsid w:val="00CA2B47"/>
    <w:rsid w:val="00CA31F2"/>
    <w:rsid w:val="00CA587F"/>
    <w:rsid w:val="00CB049A"/>
    <w:rsid w:val="00CB21DC"/>
    <w:rsid w:val="00CB530A"/>
    <w:rsid w:val="00CB6B58"/>
    <w:rsid w:val="00CC09D9"/>
    <w:rsid w:val="00CC17CC"/>
    <w:rsid w:val="00CC242A"/>
    <w:rsid w:val="00CC59A2"/>
    <w:rsid w:val="00CC5E49"/>
    <w:rsid w:val="00CD2A49"/>
    <w:rsid w:val="00CD3C85"/>
    <w:rsid w:val="00CD5094"/>
    <w:rsid w:val="00CD7615"/>
    <w:rsid w:val="00CE5C6C"/>
    <w:rsid w:val="00CF1104"/>
    <w:rsid w:val="00CF51F6"/>
    <w:rsid w:val="00CF67C8"/>
    <w:rsid w:val="00D03770"/>
    <w:rsid w:val="00D05FB3"/>
    <w:rsid w:val="00D10D3E"/>
    <w:rsid w:val="00D13DA0"/>
    <w:rsid w:val="00D14211"/>
    <w:rsid w:val="00D14AAD"/>
    <w:rsid w:val="00D179DE"/>
    <w:rsid w:val="00D232D4"/>
    <w:rsid w:val="00D23B25"/>
    <w:rsid w:val="00D26D25"/>
    <w:rsid w:val="00D27A3A"/>
    <w:rsid w:val="00D35948"/>
    <w:rsid w:val="00D36376"/>
    <w:rsid w:val="00D37177"/>
    <w:rsid w:val="00D37A43"/>
    <w:rsid w:val="00D41B82"/>
    <w:rsid w:val="00D41DD1"/>
    <w:rsid w:val="00D43232"/>
    <w:rsid w:val="00D4337D"/>
    <w:rsid w:val="00D465A9"/>
    <w:rsid w:val="00D52260"/>
    <w:rsid w:val="00D5531C"/>
    <w:rsid w:val="00D55943"/>
    <w:rsid w:val="00D56234"/>
    <w:rsid w:val="00D56824"/>
    <w:rsid w:val="00D569BE"/>
    <w:rsid w:val="00D608D7"/>
    <w:rsid w:val="00D613F4"/>
    <w:rsid w:val="00D62C23"/>
    <w:rsid w:val="00D6335A"/>
    <w:rsid w:val="00D650DA"/>
    <w:rsid w:val="00D65B74"/>
    <w:rsid w:val="00D6676A"/>
    <w:rsid w:val="00D7186C"/>
    <w:rsid w:val="00D73EC9"/>
    <w:rsid w:val="00D74611"/>
    <w:rsid w:val="00D75EF9"/>
    <w:rsid w:val="00D83487"/>
    <w:rsid w:val="00D834E4"/>
    <w:rsid w:val="00D85433"/>
    <w:rsid w:val="00D8652F"/>
    <w:rsid w:val="00D867FD"/>
    <w:rsid w:val="00D91BA1"/>
    <w:rsid w:val="00D91E2D"/>
    <w:rsid w:val="00D92D55"/>
    <w:rsid w:val="00D93485"/>
    <w:rsid w:val="00D949F7"/>
    <w:rsid w:val="00DA3993"/>
    <w:rsid w:val="00DA4B24"/>
    <w:rsid w:val="00DA5F5A"/>
    <w:rsid w:val="00DB13F7"/>
    <w:rsid w:val="00DB2C17"/>
    <w:rsid w:val="00DB35DE"/>
    <w:rsid w:val="00DC0F86"/>
    <w:rsid w:val="00DC2011"/>
    <w:rsid w:val="00DC29E1"/>
    <w:rsid w:val="00DC303E"/>
    <w:rsid w:val="00DC4320"/>
    <w:rsid w:val="00DC66BA"/>
    <w:rsid w:val="00DC7A46"/>
    <w:rsid w:val="00DC7F2A"/>
    <w:rsid w:val="00DD1A47"/>
    <w:rsid w:val="00DD529A"/>
    <w:rsid w:val="00DD592F"/>
    <w:rsid w:val="00DE0B30"/>
    <w:rsid w:val="00DE0DA7"/>
    <w:rsid w:val="00DE39B6"/>
    <w:rsid w:val="00DE5756"/>
    <w:rsid w:val="00DF38C9"/>
    <w:rsid w:val="00DF3CB7"/>
    <w:rsid w:val="00DF3D06"/>
    <w:rsid w:val="00DF4E0F"/>
    <w:rsid w:val="00DF4ECA"/>
    <w:rsid w:val="00DF769A"/>
    <w:rsid w:val="00E053A7"/>
    <w:rsid w:val="00E062D8"/>
    <w:rsid w:val="00E11245"/>
    <w:rsid w:val="00E11AB4"/>
    <w:rsid w:val="00E12329"/>
    <w:rsid w:val="00E21D48"/>
    <w:rsid w:val="00E271BD"/>
    <w:rsid w:val="00E3007D"/>
    <w:rsid w:val="00E33455"/>
    <w:rsid w:val="00E34F16"/>
    <w:rsid w:val="00E37027"/>
    <w:rsid w:val="00E426EB"/>
    <w:rsid w:val="00E43E04"/>
    <w:rsid w:val="00E4584F"/>
    <w:rsid w:val="00E479D3"/>
    <w:rsid w:val="00E575C4"/>
    <w:rsid w:val="00E616FE"/>
    <w:rsid w:val="00E61C46"/>
    <w:rsid w:val="00E6224A"/>
    <w:rsid w:val="00E64831"/>
    <w:rsid w:val="00E6683D"/>
    <w:rsid w:val="00E67D88"/>
    <w:rsid w:val="00E7105E"/>
    <w:rsid w:val="00E72674"/>
    <w:rsid w:val="00E73EDE"/>
    <w:rsid w:val="00E74A84"/>
    <w:rsid w:val="00E75A6E"/>
    <w:rsid w:val="00E83121"/>
    <w:rsid w:val="00E8355B"/>
    <w:rsid w:val="00E845DC"/>
    <w:rsid w:val="00E85035"/>
    <w:rsid w:val="00E9062E"/>
    <w:rsid w:val="00E90A9F"/>
    <w:rsid w:val="00E9507D"/>
    <w:rsid w:val="00E95A81"/>
    <w:rsid w:val="00EA07A6"/>
    <w:rsid w:val="00EA0B63"/>
    <w:rsid w:val="00EA587A"/>
    <w:rsid w:val="00EA79B6"/>
    <w:rsid w:val="00EB1591"/>
    <w:rsid w:val="00EB18B7"/>
    <w:rsid w:val="00EB5DC8"/>
    <w:rsid w:val="00EC0EEE"/>
    <w:rsid w:val="00EC1F91"/>
    <w:rsid w:val="00EC2DF9"/>
    <w:rsid w:val="00EC4D21"/>
    <w:rsid w:val="00EC5AA9"/>
    <w:rsid w:val="00EC5B82"/>
    <w:rsid w:val="00ED493E"/>
    <w:rsid w:val="00ED52F3"/>
    <w:rsid w:val="00EE1E2A"/>
    <w:rsid w:val="00EE5461"/>
    <w:rsid w:val="00EE6F6D"/>
    <w:rsid w:val="00EF2496"/>
    <w:rsid w:val="00EF6A5C"/>
    <w:rsid w:val="00EF6B4D"/>
    <w:rsid w:val="00F015F3"/>
    <w:rsid w:val="00F017DF"/>
    <w:rsid w:val="00F04D84"/>
    <w:rsid w:val="00F062FC"/>
    <w:rsid w:val="00F06F98"/>
    <w:rsid w:val="00F07A11"/>
    <w:rsid w:val="00F07E06"/>
    <w:rsid w:val="00F13825"/>
    <w:rsid w:val="00F14BC6"/>
    <w:rsid w:val="00F21414"/>
    <w:rsid w:val="00F221B6"/>
    <w:rsid w:val="00F22BE4"/>
    <w:rsid w:val="00F235FC"/>
    <w:rsid w:val="00F275F5"/>
    <w:rsid w:val="00F3185B"/>
    <w:rsid w:val="00F32FD8"/>
    <w:rsid w:val="00F34788"/>
    <w:rsid w:val="00F34B10"/>
    <w:rsid w:val="00F36816"/>
    <w:rsid w:val="00F40E23"/>
    <w:rsid w:val="00F40FF1"/>
    <w:rsid w:val="00F43551"/>
    <w:rsid w:val="00F51E19"/>
    <w:rsid w:val="00F53352"/>
    <w:rsid w:val="00F552F7"/>
    <w:rsid w:val="00F56181"/>
    <w:rsid w:val="00F57FDD"/>
    <w:rsid w:val="00F60552"/>
    <w:rsid w:val="00F60ED9"/>
    <w:rsid w:val="00F62E82"/>
    <w:rsid w:val="00F63D15"/>
    <w:rsid w:val="00F64625"/>
    <w:rsid w:val="00F65C6E"/>
    <w:rsid w:val="00F6734C"/>
    <w:rsid w:val="00F710AF"/>
    <w:rsid w:val="00F71E6A"/>
    <w:rsid w:val="00F74168"/>
    <w:rsid w:val="00F745B5"/>
    <w:rsid w:val="00F755DA"/>
    <w:rsid w:val="00F758BD"/>
    <w:rsid w:val="00F760B6"/>
    <w:rsid w:val="00F779F5"/>
    <w:rsid w:val="00F80A02"/>
    <w:rsid w:val="00F832FA"/>
    <w:rsid w:val="00F84686"/>
    <w:rsid w:val="00F86D78"/>
    <w:rsid w:val="00F934C6"/>
    <w:rsid w:val="00F9445D"/>
    <w:rsid w:val="00F94F03"/>
    <w:rsid w:val="00F9583E"/>
    <w:rsid w:val="00F95E0C"/>
    <w:rsid w:val="00F974DD"/>
    <w:rsid w:val="00FA23E5"/>
    <w:rsid w:val="00FA2BF0"/>
    <w:rsid w:val="00FA4900"/>
    <w:rsid w:val="00FA5C65"/>
    <w:rsid w:val="00FA69AD"/>
    <w:rsid w:val="00FA7D39"/>
    <w:rsid w:val="00FB1416"/>
    <w:rsid w:val="00FB2777"/>
    <w:rsid w:val="00FB455D"/>
    <w:rsid w:val="00FC0E15"/>
    <w:rsid w:val="00FC3059"/>
    <w:rsid w:val="00FC31DA"/>
    <w:rsid w:val="00FC4BB8"/>
    <w:rsid w:val="00FC68C1"/>
    <w:rsid w:val="00FD0349"/>
    <w:rsid w:val="00FD22C4"/>
    <w:rsid w:val="00FD31F8"/>
    <w:rsid w:val="00FD3A6D"/>
    <w:rsid w:val="00FD4DFB"/>
    <w:rsid w:val="00FD52F9"/>
    <w:rsid w:val="00FD5B97"/>
    <w:rsid w:val="00FD71AF"/>
    <w:rsid w:val="00FE16B6"/>
    <w:rsid w:val="00FE1844"/>
    <w:rsid w:val="00FE310F"/>
    <w:rsid w:val="00FE4B23"/>
    <w:rsid w:val="00FE6B43"/>
    <w:rsid w:val="00FF180C"/>
    <w:rsid w:val="00FF1E12"/>
    <w:rsid w:val="00FF2648"/>
    <w:rsid w:val="00FF638D"/>
    <w:rsid w:val="00FF797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B6F24F"/>
  <w15:docId w15:val="{4DDF05F9-895E-4B3B-B38A-122EAA2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link w:val="Heading2Char"/>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fr-FR"/>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1B7D90"/>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8805AF"/>
    <w:pPr>
      <w:widowControl/>
    </w:pPr>
  </w:style>
  <w:style w:type="character" w:customStyle="1" w:styleId="UnresolvedMention1">
    <w:name w:val="Unresolved Mention1"/>
    <w:basedOn w:val="DefaultParagraphFont"/>
    <w:uiPriority w:val="99"/>
    <w:semiHidden/>
    <w:unhideWhenUsed/>
    <w:rsid w:val="00F755DA"/>
    <w:rPr>
      <w:color w:val="605E5C"/>
      <w:shd w:val="clear" w:color="auto" w:fill="E1DFDD"/>
    </w:rPr>
  </w:style>
  <w:style w:type="character" w:customStyle="1" w:styleId="Heading2Char">
    <w:name w:val="Heading 2 Char"/>
    <w:basedOn w:val="DefaultParagraphFont"/>
    <w:link w:val="Heading2"/>
    <w:uiPriority w:val="1"/>
    <w:rsid w:val="00101B66"/>
    <w:rPr>
      <w:rFonts w:ascii="Calibri" w:eastAsia="Calibri" w:hAnsi="Calibri"/>
      <w:b/>
      <w:bCs/>
    </w:rPr>
  </w:style>
  <w:style w:type="character" w:customStyle="1" w:styleId="UnresolvedMention2">
    <w:name w:val="Unresolved Mention2"/>
    <w:basedOn w:val="DefaultParagraphFont"/>
    <w:uiPriority w:val="99"/>
    <w:semiHidden/>
    <w:unhideWhenUsed/>
    <w:rsid w:val="006D490A"/>
    <w:rPr>
      <w:color w:val="605E5C"/>
      <w:shd w:val="clear" w:color="auto" w:fill="E1DFDD"/>
    </w:rPr>
  </w:style>
  <w:style w:type="character" w:styleId="UnresolvedMention">
    <w:name w:val="Unresolved Mention"/>
    <w:basedOn w:val="DefaultParagraphFont"/>
    <w:uiPriority w:val="99"/>
    <w:semiHidden/>
    <w:unhideWhenUsed/>
    <w:rsid w:val="0021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074">
      <w:bodyDiv w:val="1"/>
      <w:marLeft w:val="0"/>
      <w:marRight w:val="0"/>
      <w:marTop w:val="0"/>
      <w:marBottom w:val="0"/>
      <w:divBdr>
        <w:top w:val="none" w:sz="0" w:space="0" w:color="auto"/>
        <w:left w:val="none" w:sz="0" w:space="0" w:color="auto"/>
        <w:bottom w:val="none" w:sz="0" w:space="0" w:color="auto"/>
        <w:right w:val="none" w:sz="0" w:space="0" w:color="auto"/>
      </w:divBdr>
    </w:div>
    <w:div w:id="32972899">
      <w:bodyDiv w:val="1"/>
      <w:marLeft w:val="0"/>
      <w:marRight w:val="0"/>
      <w:marTop w:val="0"/>
      <w:marBottom w:val="0"/>
      <w:divBdr>
        <w:top w:val="none" w:sz="0" w:space="0" w:color="auto"/>
        <w:left w:val="none" w:sz="0" w:space="0" w:color="auto"/>
        <w:bottom w:val="none" w:sz="0" w:space="0" w:color="auto"/>
        <w:right w:val="none" w:sz="0" w:space="0" w:color="auto"/>
      </w:divBdr>
    </w:div>
    <w:div w:id="34624695">
      <w:bodyDiv w:val="1"/>
      <w:marLeft w:val="0"/>
      <w:marRight w:val="0"/>
      <w:marTop w:val="0"/>
      <w:marBottom w:val="0"/>
      <w:divBdr>
        <w:top w:val="none" w:sz="0" w:space="0" w:color="auto"/>
        <w:left w:val="none" w:sz="0" w:space="0" w:color="auto"/>
        <w:bottom w:val="none" w:sz="0" w:space="0" w:color="auto"/>
        <w:right w:val="none" w:sz="0" w:space="0" w:color="auto"/>
      </w:divBdr>
    </w:div>
    <w:div w:id="158079627">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7151640">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27593621">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96763354">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01282266">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15253868">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30736704">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569268867">
      <w:bodyDiv w:val="1"/>
      <w:marLeft w:val="0"/>
      <w:marRight w:val="0"/>
      <w:marTop w:val="0"/>
      <w:marBottom w:val="0"/>
      <w:divBdr>
        <w:top w:val="none" w:sz="0" w:space="0" w:color="auto"/>
        <w:left w:val="none" w:sz="0" w:space="0" w:color="auto"/>
        <w:bottom w:val="none" w:sz="0" w:space="0" w:color="auto"/>
        <w:right w:val="none" w:sz="0" w:space="0" w:color="auto"/>
      </w:divBdr>
    </w:div>
    <w:div w:id="1642493468">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676572203">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66804009">
      <w:bodyDiv w:val="1"/>
      <w:marLeft w:val="0"/>
      <w:marRight w:val="0"/>
      <w:marTop w:val="0"/>
      <w:marBottom w:val="0"/>
      <w:divBdr>
        <w:top w:val="none" w:sz="0" w:space="0" w:color="auto"/>
        <w:left w:val="none" w:sz="0" w:space="0" w:color="auto"/>
        <w:bottom w:val="none" w:sz="0" w:space="0" w:color="auto"/>
        <w:right w:val="none" w:sz="0" w:space="0" w:color="auto"/>
      </w:divBdr>
    </w:div>
    <w:div w:id="1805930742">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02400216">
      <w:bodyDiv w:val="1"/>
      <w:marLeft w:val="0"/>
      <w:marRight w:val="0"/>
      <w:marTop w:val="0"/>
      <w:marBottom w:val="0"/>
      <w:divBdr>
        <w:top w:val="none" w:sz="0" w:space="0" w:color="auto"/>
        <w:left w:val="none" w:sz="0" w:space="0" w:color="auto"/>
        <w:bottom w:val="none" w:sz="0" w:space="0" w:color="auto"/>
        <w:right w:val="none" w:sz="0" w:space="0" w:color="auto"/>
      </w:divBdr>
    </w:div>
    <w:div w:id="1909995352">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2345265">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sc65-doc9-rapport-du-secretariat-sur-les-initiatives-regionales-ramsar-pour-2024-et-2025" TargetMode="External"/><Relationship Id="rId2" Type="http://schemas.openxmlformats.org/officeDocument/2006/relationships/hyperlink" Target="https://www.ramsar.org/es/document/sc63-doc25-informe-de-la-secretaria-sobre-las-iniciativas-regionales-de-ramsar" TargetMode="External"/><Relationship Id="rId1" Type="http://schemas.openxmlformats.org/officeDocument/2006/relationships/hyperlink" Target="https://www.ramsar.org/fr/document/sc62-doc25-rev1-rapport-du-secretariat-sur-les-initiatives-regionales-ramsar" TargetMode="External"/><Relationship Id="rId4" Type="http://schemas.openxmlformats.org/officeDocument/2006/relationships/hyperlink" Target="https://www.ramsar.org/fr/document/cop15-doc235-projet-de-resolution-sur-les-initiatives-regionales-ramsar-2025-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71C9F2AECCA848B205217E82013DA4" ma:contentTypeVersion="10" ma:contentTypeDescription="Create a new document." ma:contentTypeScope="" ma:versionID="545b51d37fb7bd29f8f2d7c549940413">
  <xsd:schema xmlns:xsd="http://www.w3.org/2001/XMLSchema" xmlns:xs="http://www.w3.org/2001/XMLSchema" xmlns:p="http://schemas.microsoft.com/office/2006/metadata/properties" xmlns:ns3="aebb89c5-1bb5-4b46-bb0f-5eb39cc284b2" targetNamespace="http://schemas.microsoft.com/office/2006/metadata/properties" ma:root="true" ma:fieldsID="6b73c8001746c36c56f43d3d18ed4260" ns3:_="">
    <xsd:import namespace="aebb89c5-1bb5-4b46-bb0f-5eb39cc284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b89c5-1bb5-4b46-bb0f-5eb39cc28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2.xml><?xml version="1.0" encoding="utf-8"?>
<ds:datastoreItem xmlns:ds="http://schemas.openxmlformats.org/officeDocument/2006/customXml" ds:itemID="{6B77BF2C-00D1-41BD-93F6-FCC7915C4495}">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ebb89c5-1bb5-4b46-bb0f-5eb39cc284b2"/>
    <ds:schemaRef ds:uri="http://www.w3.org/XML/1998/namespace"/>
  </ds:schemaRefs>
</ds:datastoreItem>
</file>

<file path=customXml/itemProps3.xml><?xml version="1.0" encoding="utf-8"?>
<ds:datastoreItem xmlns:ds="http://schemas.openxmlformats.org/officeDocument/2006/customXml" ds:itemID="{DFF7E168-9BDE-4C1E-9307-B0D4790DF4B1}">
  <ds:schemaRefs>
    <ds:schemaRef ds:uri="http://schemas.openxmlformats.org/officeDocument/2006/bibliography"/>
  </ds:schemaRefs>
</ds:datastoreItem>
</file>

<file path=customXml/itemProps4.xml><?xml version="1.0" encoding="utf-8"?>
<ds:datastoreItem xmlns:ds="http://schemas.openxmlformats.org/officeDocument/2006/customXml" ds:itemID="{CE302D05-CB25-4FD5-BF58-EF5EAE56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b89c5-1bb5-4b46-bb0f-5eb39cc2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EDD8F1-3A06-437D-97E7-9B7C14D4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2021-06-01T16:03:00Z</cp:lastPrinted>
  <dcterms:created xsi:type="dcterms:W3CDTF">2025-05-07T10:12:00Z</dcterms:created>
  <dcterms:modified xsi:type="dcterms:W3CDTF">2025-05-07T10:12:00Z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0x010100753395F4A0F2A34CB6A6BC99A876F15D</vt:lpwstr>
  </property>
</Properties>
</file>