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5FB2" w14:textId="77777777" w:rsidR="0000738A" w:rsidRPr="000C33DF" w:rsidRDefault="0000738A" w:rsidP="0000738A">
      <w:pPr>
        <w:jc w:val="center"/>
        <w:outlineLvl w:val="0"/>
        <w:rPr>
          <w:rFonts w:eastAsia="Times New Roman" w:cstheme="minorHAnsi"/>
          <w:b/>
          <w:bCs/>
        </w:rPr>
      </w:pPr>
      <w:r w:rsidRPr="000C33DF">
        <w:rPr>
          <w:rFonts w:eastAsia="Times New Roman" w:cstheme="minorHAnsi"/>
          <w:b/>
          <w:bCs/>
          <w:noProof/>
        </w:rPr>
        <w:drawing>
          <wp:anchor distT="0" distB="0" distL="114300" distR="114300" simplePos="0" relativeHeight="251659264" behindDoc="0" locked="0" layoutInCell="1" allowOverlap="1" wp14:anchorId="524E317F" wp14:editId="3FDE769D">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5BE2FD" w14:textId="77777777" w:rsidR="0000738A" w:rsidRPr="000C33DF" w:rsidRDefault="0000738A" w:rsidP="0000738A">
      <w:pPr>
        <w:jc w:val="center"/>
        <w:outlineLvl w:val="0"/>
        <w:rPr>
          <w:rFonts w:eastAsia="Times New Roman" w:cstheme="minorHAnsi"/>
          <w:b/>
          <w:bCs/>
        </w:rPr>
      </w:pPr>
      <w:r w:rsidRPr="000C33DF">
        <w:rPr>
          <w:rFonts w:eastAsia="Times New Roman" w:cstheme="minorHAnsi"/>
          <w:b/>
          <w:bCs/>
        </w:rPr>
        <w:t>15th meeting of the Conference of the Contracting Parties</w:t>
      </w:r>
    </w:p>
    <w:p w14:paraId="341FEE02" w14:textId="77777777" w:rsidR="0000738A" w:rsidRPr="000C33DF" w:rsidRDefault="0000738A" w:rsidP="0000738A">
      <w:pPr>
        <w:jc w:val="center"/>
        <w:outlineLvl w:val="0"/>
        <w:rPr>
          <w:rFonts w:eastAsia="Times New Roman" w:cstheme="minorHAnsi"/>
          <w:b/>
          <w:bCs/>
        </w:rPr>
      </w:pPr>
      <w:r w:rsidRPr="000C33DF">
        <w:rPr>
          <w:rFonts w:eastAsia="Times New Roman" w:cstheme="minorHAnsi"/>
          <w:b/>
          <w:bCs/>
        </w:rPr>
        <w:t>to the Convention on Wetlands</w:t>
      </w:r>
    </w:p>
    <w:p w14:paraId="47FAA45C" w14:textId="77777777" w:rsidR="0000738A" w:rsidRPr="0000738A" w:rsidRDefault="0000738A" w:rsidP="0000738A">
      <w:pPr>
        <w:jc w:val="center"/>
        <w:outlineLvl w:val="0"/>
        <w:rPr>
          <w:rFonts w:eastAsia="Times New Roman" w:cstheme="minorHAnsi"/>
          <w:b/>
          <w:bCs/>
          <w:sz w:val="24"/>
          <w:szCs w:val="24"/>
        </w:rPr>
      </w:pPr>
    </w:p>
    <w:p w14:paraId="75802AE5" w14:textId="77777777" w:rsidR="0000738A" w:rsidRPr="000C33DF" w:rsidRDefault="0000738A" w:rsidP="0000738A">
      <w:pPr>
        <w:jc w:val="center"/>
        <w:outlineLvl w:val="0"/>
        <w:rPr>
          <w:rFonts w:eastAsia="Times New Roman" w:cstheme="minorHAnsi"/>
          <w:b/>
          <w:bCs/>
        </w:rPr>
      </w:pPr>
      <w:r w:rsidRPr="000C33DF">
        <w:rPr>
          <w:rFonts w:eastAsia="Times New Roman" w:cstheme="minorHAnsi"/>
          <w:b/>
          <w:bCs/>
        </w:rPr>
        <w:t>“Protecting wetlands for our common future”</w:t>
      </w:r>
    </w:p>
    <w:p w14:paraId="50FA8C5A" w14:textId="77777777" w:rsidR="0000738A" w:rsidRPr="000C33DF" w:rsidRDefault="0000738A" w:rsidP="0000738A">
      <w:pPr>
        <w:jc w:val="center"/>
        <w:outlineLvl w:val="0"/>
        <w:rPr>
          <w:rFonts w:eastAsia="Times New Roman" w:cstheme="minorHAnsi"/>
          <w:b/>
          <w:bCs/>
        </w:rPr>
      </w:pPr>
      <w:r w:rsidRPr="000C33DF">
        <w:rPr>
          <w:rFonts w:eastAsia="Times New Roman" w:cstheme="minorHAnsi"/>
          <w:b/>
          <w:bCs/>
        </w:rPr>
        <w:t>Victoria Falls, Zimbabwe, 23-31 July 2025</w:t>
      </w:r>
    </w:p>
    <w:p w14:paraId="36E72798" w14:textId="77777777" w:rsidR="0000738A" w:rsidRPr="0000738A" w:rsidRDefault="0000738A" w:rsidP="0000738A">
      <w:pPr>
        <w:jc w:val="center"/>
        <w:outlineLvl w:val="0"/>
        <w:rPr>
          <w:rFonts w:eastAsia="Times New Roman" w:cstheme="minorHAnsi"/>
          <w:b/>
          <w:bCs/>
          <w:sz w:val="24"/>
          <w:szCs w:val="24"/>
        </w:rPr>
      </w:pPr>
    </w:p>
    <w:p w14:paraId="5CE6D652" w14:textId="77777777" w:rsidR="0000738A" w:rsidRPr="0000738A" w:rsidRDefault="0000738A" w:rsidP="0000738A">
      <w:pPr>
        <w:jc w:val="center"/>
        <w:outlineLvl w:val="0"/>
        <w:rPr>
          <w:rFonts w:eastAsia="Times New Roman" w:cstheme="minorHAnsi"/>
          <w:b/>
          <w:bCs/>
          <w:sz w:val="24"/>
          <w:szCs w:val="24"/>
        </w:rPr>
      </w:pPr>
    </w:p>
    <w:p w14:paraId="1EB8FB68" w14:textId="77777777" w:rsidR="0000738A" w:rsidRPr="0000738A" w:rsidRDefault="0000738A" w:rsidP="0000738A">
      <w:pPr>
        <w:jc w:val="center"/>
        <w:outlineLvl w:val="0"/>
        <w:rPr>
          <w:rFonts w:eastAsia="Times New Roman" w:cstheme="minorHAnsi"/>
          <w:b/>
          <w:bCs/>
          <w:sz w:val="24"/>
          <w:szCs w:val="24"/>
        </w:rPr>
      </w:pPr>
    </w:p>
    <w:p w14:paraId="340AF6D1" w14:textId="77777777" w:rsidR="0000738A" w:rsidRPr="0000738A" w:rsidRDefault="0000738A" w:rsidP="0000738A">
      <w:pPr>
        <w:jc w:val="right"/>
        <w:rPr>
          <w:rFonts w:cstheme="minorHAnsi"/>
          <w:b/>
        </w:rPr>
      </w:pPr>
    </w:p>
    <w:p w14:paraId="399182AC" w14:textId="7E7D9D5D" w:rsidR="0000738A" w:rsidRPr="000C33DF" w:rsidRDefault="0000738A" w:rsidP="0000738A">
      <w:pPr>
        <w:jc w:val="right"/>
        <w:rPr>
          <w:rFonts w:cstheme="minorHAnsi"/>
          <w:b/>
          <w:sz w:val="28"/>
          <w:szCs w:val="28"/>
        </w:rPr>
      </w:pPr>
      <w:r w:rsidRPr="000C33DF">
        <w:rPr>
          <w:rFonts w:cstheme="minorHAnsi"/>
          <w:b/>
          <w:sz w:val="28"/>
          <w:szCs w:val="28"/>
        </w:rPr>
        <w:t>COP15 Doc.1</w:t>
      </w:r>
      <w:r>
        <w:rPr>
          <w:rFonts w:cstheme="minorHAnsi"/>
          <w:b/>
          <w:sz w:val="28"/>
          <w:szCs w:val="28"/>
        </w:rPr>
        <w:t>2</w:t>
      </w:r>
    </w:p>
    <w:p w14:paraId="1E4EDBAD" w14:textId="77777777" w:rsidR="0000738A" w:rsidRPr="000C33DF" w:rsidRDefault="0000738A" w:rsidP="0000738A">
      <w:pPr>
        <w:jc w:val="center"/>
        <w:rPr>
          <w:rFonts w:cstheme="minorHAnsi"/>
          <w:bCs/>
        </w:rPr>
      </w:pPr>
    </w:p>
    <w:p w14:paraId="4CD14F71" w14:textId="77777777" w:rsidR="000C36EB" w:rsidRDefault="000C36EB" w:rsidP="00BF1E6C">
      <w:pPr>
        <w:pStyle w:val="Heading2"/>
        <w:widowControl/>
        <w:ind w:left="0"/>
        <w:rPr>
          <w:rFonts w:asciiTheme="minorHAnsi" w:hAnsiTheme="minorHAnsi" w:cstheme="minorHAnsi"/>
          <w:sz w:val="28"/>
          <w:szCs w:val="28"/>
        </w:rPr>
      </w:pPr>
    </w:p>
    <w:p w14:paraId="09093D7B" w14:textId="1725A608" w:rsidR="00021DC5" w:rsidRPr="00D6676A" w:rsidRDefault="00BF1E6C" w:rsidP="00C60BEB">
      <w:pPr>
        <w:pStyle w:val="Heading2"/>
        <w:widowControl/>
        <w:ind w:left="0"/>
        <w:jc w:val="center"/>
        <w:rPr>
          <w:rFonts w:asciiTheme="minorHAnsi" w:hAnsiTheme="minorHAnsi" w:cstheme="minorHAnsi"/>
          <w:sz w:val="28"/>
          <w:szCs w:val="28"/>
        </w:rPr>
      </w:pPr>
      <w:r w:rsidRPr="00D6676A">
        <w:rPr>
          <w:rFonts w:asciiTheme="minorHAnsi" w:hAnsiTheme="minorHAnsi" w:cstheme="minorHAnsi"/>
          <w:sz w:val="28"/>
          <w:szCs w:val="28"/>
        </w:rPr>
        <w:t xml:space="preserve">Report of the </w:t>
      </w:r>
      <w:r w:rsidR="00310F85" w:rsidRPr="00D6676A">
        <w:rPr>
          <w:rFonts w:asciiTheme="minorHAnsi" w:hAnsiTheme="minorHAnsi" w:cstheme="minorHAnsi"/>
          <w:sz w:val="28"/>
          <w:szCs w:val="28"/>
        </w:rPr>
        <w:t xml:space="preserve">Secretariat </w:t>
      </w:r>
      <w:r w:rsidR="00432040">
        <w:rPr>
          <w:rFonts w:asciiTheme="minorHAnsi" w:eastAsiaTheme="minorEastAsia" w:hAnsiTheme="minorHAnsi" w:cstheme="minorHAnsi" w:hint="eastAsia"/>
          <w:sz w:val="28"/>
          <w:szCs w:val="28"/>
          <w:lang w:eastAsia="ko-KR"/>
        </w:rPr>
        <w:t>on the Ramsar Regional Initiatives</w:t>
      </w:r>
    </w:p>
    <w:p w14:paraId="11DB975A" w14:textId="3282FA24" w:rsidR="00021DC5" w:rsidRDefault="00021DC5" w:rsidP="00FE1844">
      <w:pPr>
        <w:pStyle w:val="Heading2"/>
        <w:widowControl/>
        <w:ind w:left="0"/>
        <w:rPr>
          <w:rFonts w:asciiTheme="minorHAnsi" w:hAnsiTheme="minorHAnsi" w:cstheme="minorHAnsi"/>
        </w:rPr>
      </w:pPr>
    </w:p>
    <w:p w14:paraId="65C304ED" w14:textId="77777777" w:rsidR="00C60BEB" w:rsidRPr="00473533" w:rsidRDefault="00C60BEB" w:rsidP="00FE1844">
      <w:pPr>
        <w:pStyle w:val="Heading2"/>
        <w:widowControl/>
        <w:ind w:left="0"/>
        <w:rPr>
          <w:rFonts w:asciiTheme="minorHAnsi" w:hAnsiTheme="minorHAnsi" w:cstheme="minorHAnsi"/>
        </w:rPr>
      </w:pPr>
    </w:p>
    <w:p w14:paraId="306ADE8A" w14:textId="77777777" w:rsidR="00101B66" w:rsidRPr="00BD3050" w:rsidRDefault="00101B66" w:rsidP="00101B66">
      <w:pPr>
        <w:pStyle w:val="Heading2"/>
        <w:widowControl/>
        <w:ind w:left="0"/>
        <w:rPr>
          <w:rFonts w:asciiTheme="minorHAnsi" w:hAnsiTheme="minorHAnsi" w:cstheme="minorHAnsi"/>
        </w:rPr>
      </w:pPr>
      <w:r w:rsidRPr="00BD3050">
        <w:rPr>
          <w:rFonts w:asciiTheme="minorHAnsi" w:hAnsiTheme="minorHAnsi" w:cstheme="minorHAnsi"/>
        </w:rPr>
        <w:t>Background</w:t>
      </w:r>
    </w:p>
    <w:p w14:paraId="0EE81566" w14:textId="34847134" w:rsidR="00101B66" w:rsidRDefault="00101B66" w:rsidP="00101B66">
      <w:pPr>
        <w:pStyle w:val="Heading2"/>
        <w:widowControl/>
        <w:ind w:left="0" w:hanging="426"/>
        <w:rPr>
          <w:rFonts w:asciiTheme="minorHAnsi" w:eastAsiaTheme="minorEastAsia" w:hAnsiTheme="minorHAnsi" w:cstheme="minorHAnsi"/>
          <w:b w:val="0"/>
          <w:lang w:eastAsia="ko-KR"/>
        </w:rPr>
      </w:pPr>
    </w:p>
    <w:p w14:paraId="6C0186FE" w14:textId="3B4D6429" w:rsidR="00432040" w:rsidRDefault="00432040" w:rsidP="00432040">
      <w:pPr>
        <w:pStyle w:val="Heading2"/>
        <w:widowControl/>
        <w:ind w:left="426" w:hanging="426"/>
        <w:rPr>
          <w:rFonts w:asciiTheme="minorHAnsi" w:eastAsiaTheme="minorEastAsia" w:hAnsiTheme="minorHAnsi" w:cstheme="minorHAnsi"/>
          <w:b w:val="0"/>
          <w:lang w:eastAsia="ko-KR"/>
        </w:rPr>
      </w:pPr>
      <w:r w:rsidRPr="00432040">
        <w:rPr>
          <w:rFonts w:asciiTheme="minorHAnsi" w:hAnsiTheme="minorHAnsi" w:cstheme="minorHAnsi"/>
          <w:b w:val="0"/>
        </w:rPr>
        <w:t>1.</w:t>
      </w:r>
      <w:r w:rsidRPr="00432040">
        <w:rPr>
          <w:rFonts w:asciiTheme="minorHAnsi" w:hAnsiTheme="minorHAnsi" w:cstheme="minorHAnsi"/>
          <w:b w:val="0"/>
        </w:rPr>
        <w:tab/>
      </w:r>
      <w:bookmarkStart w:id="0" w:name="_Hlk196395960"/>
      <w:r w:rsidR="00BE024C">
        <w:rPr>
          <w:rFonts w:asciiTheme="minorHAnsi" w:eastAsiaTheme="minorEastAsia" w:hAnsiTheme="minorHAnsi" w:cstheme="minorHAnsi" w:hint="eastAsia"/>
          <w:b w:val="0"/>
          <w:lang w:eastAsia="ko-KR"/>
        </w:rPr>
        <w:t>The Conference of the Contracting Parties a</w:t>
      </w:r>
      <w:r w:rsidRPr="00432040">
        <w:rPr>
          <w:rFonts w:asciiTheme="minorHAnsi" w:hAnsiTheme="minorHAnsi" w:cstheme="minorHAnsi"/>
          <w:b w:val="0"/>
        </w:rPr>
        <w:t xml:space="preserve">t its 14th meeting (COP14, 2022), in paragraph 1 of Resolution XIV.7 Part A on </w:t>
      </w:r>
      <w:r w:rsidRPr="00BE024C">
        <w:rPr>
          <w:rFonts w:asciiTheme="minorHAnsi" w:hAnsiTheme="minorHAnsi" w:cstheme="minorHAnsi"/>
          <w:b w:val="0"/>
          <w:i/>
          <w:iCs/>
        </w:rPr>
        <w:t>Ramsar Regional Initiatives</w:t>
      </w:r>
      <w:r w:rsidRPr="00432040">
        <w:rPr>
          <w:rFonts w:asciiTheme="minorHAnsi" w:hAnsiTheme="minorHAnsi" w:cstheme="minorHAnsi"/>
          <w:b w:val="0"/>
        </w:rPr>
        <w:t xml:space="preserve">, </w:t>
      </w:r>
      <w:bookmarkEnd w:id="0"/>
      <w:r w:rsidRPr="00432040">
        <w:rPr>
          <w:rFonts w:asciiTheme="minorHAnsi" w:hAnsiTheme="minorHAnsi" w:cstheme="minorHAnsi"/>
          <w:b w:val="0"/>
        </w:rPr>
        <w:t>recalled that Ramsar Regional Initiatives (RRIs) “which include regional centres for training and capacity building and regional networks to facilitate cooperation, are intended as an operational means to provide effective support for improved implementation of the Convention in specific geographic regions, through voluntary international cooperation on wetland-related issues of common concern”.</w:t>
      </w:r>
    </w:p>
    <w:p w14:paraId="3370AF63" w14:textId="77777777" w:rsidR="00432040" w:rsidRDefault="00432040" w:rsidP="00432040">
      <w:pPr>
        <w:pStyle w:val="Heading2"/>
        <w:widowControl/>
        <w:ind w:left="426" w:hanging="426"/>
        <w:rPr>
          <w:rFonts w:asciiTheme="minorHAnsi" w:eastAsiaTheme="minorEastAsia" w:hAnsiTheme="minorHAnsi" w:cstheme="minorHAnsi"/>
          <w:b w:val="0"/>
          <w:lang w:eastAsia="ko-KR"/>
        </w:rPr>
      </w:pPr>
    </w:p>
    <w:p w14:paraId="6D81E02D" w14:textId="01B81F3D" w:rsidR="00432040" w:rsidRDefault="00432040" w:rsidP="00432040">
      <w:pPr>
        <w:pStyle w:val="Heading2"/>
        <w:widowControl/>
        <w:ind w:left="426" w:hanging="426"/>
        <w:rPr>
          <w:rFonts w:asciiTheme="minorHAnsi" w:eastAsiaTheme="minorEastAsia" w:hAnsiTheme="minorHAnsi" w:cstheme="minorHAnsi"/>
          <w:b w:val="0"/>
          <w:lang w:eastAsia="ko-KR"/>
        </w:rPr>
      </w:pPr>
      <w:r>
        <w:rPr>
          <w:rFonts w:asciiTheme="minorHAnsi" w:eastAsiaTheme="minorEastAsia" w:hAnsiTheme="minorHAnsi" w:cstheme="minorHAnsi" w:hint="eastAsia"/>
          <w:b w:val="0"/>
          <w:lang w:eastAsia="ko-KR"/>
        </w:rPr>
        <w:t>2</w:t>
      </w:r>
      <w:r w:rsidRPr="00432040">
        <w:rPr>
          <w:rFonts w:asciiTheme="minorHAnsi" w:hAnsiTheme="minorHAnsi" w:cstheme="minorHAnsi"/>
          <w:b w:val="0"/>
        </w:rPr>
        <w:t>.</w:t>
      </w:r>
      <w:r w:rsidRPr="00432040">
        <w:rPr>
          <w:rFonts w:asciiTheme="minorHAnsi" w:hAnsiTheme="minorHAnsi" w:cstheme="minorHAnsi"/>
          <w:b w:val="0"/>
        </w:rPr>
        <w:tab/>
      </w:r>
      <w:r w:rsidR="001862D8">
        <w:rPr>
          <w:rFonts w:asciiTheme="minorHAnsi" w:eastAsiaTheme="minorEastAsia" w:hAnsiTheme="minorHAnsi" w:cstheme="minorHAnsi" w:hint="eastAsia"/>
          <w:b w:val="0"/>
          <w:lang w:eastAsia="ko-KR"/>
        </w:rPr>
        <w:t>Th</w:t>
      </w:r>
      <w:r w:rsidR="001862D8">
        <w:rPr>
          <w:rFonts w:asciiTheme="minorHAnsi" w:eastAsiaTheme="minorEastAsia" w:hAnsiTheme="minorHAnsi" w:cstheme="minorHAnsi"/>
          <w:b w:val="0"/>
          <w:lang w:eastAsia="ko-KR"/>
        </w:rPr>
        <w:t>e present</w:t>
      </w:r>
      <w:r w:rsidR="001862D8">
        <w:rPr>
          <w:rFonts w:asciiTheme="minorHAnsi" w:eastAsiaTheme="minorEastAsia" w:hAnsiTheme="minorHAnsi" w:cstheme="minorHAnsi" w:hint="eastAsia"/>
          <w:b w:val="0"/>
          <w:lang w:eastAsia="ko-KR"/>
        </w:rPr>
        <w:t xml:space="preserve"> </w:t>
      </w:r>
      <w:r w:rsidR="00071320">
        <w:rPr>
          <w:rFonts w:asciiTheme="minorHAnsi" w:eastAsiaTheme="minorEastAsia" w:hAnsiTheme="minorHAnsi" w:cstheme="minorHAnsi" w:hint="eastAsia"/>
          <w:b w:val="0"/>
          <w:lang w:eastAsia="ko-KR"/>
        </w:rPr>
        <w:t xml:space="preserve">report is </w:t>
      </w:r>
      <w:r w:rsidR="001862D8">
        <w:rPr>
          <w:rFonts w:asciiTheme="minorHAnsi" w:eastAsiaTheme="minorEastAsia" w:hAnsiTheme="minorHAnsi" w:cstheme="minorHAnsi"/>
          <w:b w:val="0"/>
          <w:lang w:eastAsia="ko-KR"/>
        </w:rPr>
        <w:t xml:space="preserve">submitted </w:t>
      </w:r>
      <w:r w:rsidR="00071320">
        <w:rPr>
          <w:rFonts w:asciiTheme="minorHAnsi" w:eastAsiaTheme="minorEastAsia" w:hAnsiTheme="minorHAnsi" w:cstheme="minorHAnsi" w:hint="eastAsia"/>
          <w:b w:val="0"/>
          <w:lang w:eastAsia="ko-KR"/>
        </w:rPr>
        <w:t xml:space="preserve">in response </w:t>
      </w:r>
      <w:r w:rsidR="00071320">
        <w:rPr>
          <w:rFonts w:asciiTheme="minorHAnsi" w:eastAsiaTheme="minorEastAsia" w:hAnsiTheme="minorHAnsi" w:cstheme="minorHAnsi"/>
          <w:b w:val="0"/>
          <w:lang w:eastAsia="ko-KR"/>
        </w:rPr>
        <w:t>to the</w:t>
      </w:r>
      <w:r w:rsidR="00071320">
        <w:rPr>
          <w:rFonts w:asciiTheme="minorHAnsi" w:eastAsiaTheme="minorEastAsia" w:hAnsiTheme="minorHAnsi" w:cstheme="minorHAnsi" w:hint="eastAsia"/>
          <w:b w:val="0"/>
          <w:lang w:eastAsia="ko-KR"/>
        </w:rPr>
        <w:t xml:space="preserve"> instruction i</w:t>
      </w:r>
      <w:r>
        <w:rPr>
          <w:rFonts w:asciiTheme="minorHAnsi" w:eastAsiaTheme="minorEastAsia" w:hAnsiTheme="minorHAnsi" w:cstheme="minorHAnsi" w:hint="eastAsia"/>
          <w:b w:val="0"/>
          <w:lang w:eastAsia="ko-KR"/>
        </w:rPr>
        <w:t xml:space="preserve">n paragraph 14 of </w:t>
      </w:r>
      <w:r w:rsidR="00071320">
        <w:rPr>
          <w:rFonts w:asciiTheme="minorHAnsi" w:eastAsiaTheme="minorEastAsia" w:hAnsiTheme="minorHAnsi" w:cstheme="minorHAnsi" w:hint="eastAsia"/>
          <w:b w:val="0"/>
          <w:lang w:eastAsia="ko-KR"/>
        </w:rPr>
        <w:t xml:space="preserve">Resolution XIV.7 </w:t>
      </w:r>
      <w:r w:rsidR="009A5BDE" w:rsidRPr="00432040">
        <w:rPr>
          <w:rFonts w:asciiTheme="minorHAnsi" w:hAnsiTheme="minorHAnsi" w:cstheme="minorHAnsi"/>
          <w:b w:val="0"/>
        </w:rPr>
        <w:t xml:space="preserve">Part A </w:t>
      </w:r>
      <w:r w:rsidR="00071320">
        <w:rPr>
          <w:rFonts w:asciiTheme="minorHAnsi" w:eastAsiaTheme="minorEastAsia" w:hAnsiTheme="minorHAnsi" w:cstheme="minorHAnsi" w:hint="eastAsia"/>
          <w:b w:val="0"/>
          <w:lang w:eastAsia="ko-KR"/>
        </w:rPr>
        <w:t>which</w:t>
      </w:r>
      <w:r>
        <w:rPr>
          <w:rFonts w:asciiTheme="minorHAnsi" w:eastAsiaTheme="minorEastAsia" w:hAnsiTheme="minorHAnsi" w:cstheme="minorHAnsi" w:hint="eastAsia"/>
          <w:b w:val="0"/>
          <w:lang w:eastAsia="ko-KR"/>
        </w:rPr>
        <w:t xml:space="preserve"> </w:t>
      </w:r>
      <w:r w:rsidR="001862D8">
        <w:rPr>
          <w:rFonts w:asciiTheme="minorHAnsi" w:eastAsiaTheme="minorEastAsia" w:hAnsiTheme="minorHAnsi" w:cstheme="minorHAnsi"/>
          <w:b w:val="0"/>
          <w:lang w:eastAsia="ko-KR"/>
        </w:rPr>
        <w:t>“</w:t>
      </w:r>
      <w:r>
        <w:rPr>
          <w:rFonts w:asciiTheme="minorHAnsi" w:eastAsiaTheme="minorEastAsia" w:hAnsiTheme="minorHAnsi" w:cstheme="minorHAnsi" w:hint="eastAsia"/>
          <w:b w:val="0"/>
          <w:lang w:eastAsia="ko-KR"/>
        </w:rPr>
        <w:t>instruct</w:t>
      </w:r>
      <w:r w:rsidR="009A5BDE">
        <w:rPr>
          <w:rFonts w:asciiTheme="minorHAnsi" w:eastAsiaTheme="minorEastAsia" w:hAnsiTheme="minorHAnsi" w:cstheme="minorHAnsi"/>
          <w:b w:val="0"/>
          <w:lang w:eastAsia="ko-KR"/>
        </w:rPr>
        <w:t>s</w:t>
      </w:r>
      <w:r>
        <w:rPr>
          <w:rFonts w:asciiTheme="minorHAnsi" w:eastAsiaTheme="minorEastAsia" w:hAnsiTheme="minorHAnsi" w:cstheme="minorHAnsi" w:hint="eastAsia"/>
          <w:b w:val="0"/>
          <w:lang w:eastAsia="ko-KR"/>
        </w:rPr>
        <w:t xml:space="preserve"> </w:t>
      </w:r>
      <w:r>
        <w:rPr>
          <w:rFonts w:asciiTheme="minorHAnsi" w:eastAsiaTheme="minorEastAsia" w:hAnsiTheme="minorHAnsi" w:cstheme="minorHAnsi"/>
          <w:b w:val="0"/>
          <w:lang w:eastAsia="ko-KR"/>
        </w:rPr>
        <w:t>the</w:t>
      </w:r>
      <w:r>
        <w:rPr>
          <w:rFonts w:asciiTheme="minorHAnsi" w:eastAsiaTheme="minorEastAsia" w:hAnsiTheme="minorHAnsi" w:cstheme="minorHAnsi" w:hint="eastAsia"/>
          <w:b w:val="0"/>
          <w:lang w:eastAsia="ko-KR"/>
        </w:rPr>
        <w:t xml:space="preserve"> Secretariat to </w:t>
      </w:r>
      <w:r w:rsidRPr="00432040">
        <w:rPr>
          <w:rFonts w:asciiTheme="minorHAnsi" w:hAnsiTheme="minorHAnsi" w:cstheme="minorHAnsi"/>
          <w:b w:val="0"/>
        </w:rPr>
        <w:t xml:space="preserve">provide the COP </w:t>
      </w:r>
      <w:r w:rsidR="00071320">
        <w:rPr>
          <w:rFonts w:asciiTheme="minorHAnsi" w:eastAsiaTheme="minorEastAsia" w:hAnsiTheme="minorHAnsi" w:cstheme="minorHAnsi" w:hint="eastAsia"/>
          <w:b w:val="0"/>
          <w:lang w:eastAsia="ko-KR"/>
        </w:rPr>
        <w:t xml:space="preserve">and Standing Committee </w:t>
      </w:r>
      <w:r w:rsidRPr="00432040">
        <w:rPr>
          <w:rFonts w:asciiTheme="minorHAnsi" w:hAnsiTheme="minorHAnsi" w:cstheme="minorHAnsi"/>
          <w:b w:val="0"/>
        </w:rPr>
        <w:t>a summary of the information obtained from the annual reports to assist these bodies in their reviews of RRIs and decisions regarding funding”.</w:t>
      </w:r>
      <w:r w:rsidR="00071320">
        <w:rPr>
          <w:rFonts w:asciiTheme="minorHAnsi" w:eastAsiaTheme="minorEastAsia" w:hAnsiTheme="minorHAnsi" w:cstheme="minorHAnsi" w:hint="eastAsia"/>
          <w:b w:val="0"/>
          <w:lang w:eastAsia="ko-KR"/>
        </w:rPr>
        <w:t xml:space="preserve"> </w:t>
      </w:r>
    </w:p>
    <w:p w14:paraId="7378CECA" w14:textId="77777777" w:rsidR="00071320" w:rsidRDefault="00071320" w:rsidP="00432040">
      <w:pPr>
        <w:pStyle w:val="Heading2"/>
        <w:widowControl/>
        <w:ind w:left="426" w:hanging="426"/>
        <w:rPr>
          <w:rFonts w:asciiTheme="minorHAnsi" w:eastAsiaTheme="minorEastAsia" w:hAnsiTheme="minorHAnsi" w:cstheme="minorHAnsi"/>
          <w:b w:val="0"/>
          <w:lang w:eastAsia="ko-KR"/>
        </w:rPr>
      </w:pPr>
    </w:p>
    <w:p w14:paraId="3E8637E1" w14:textId="53E7487F" w:rsidR="00071320" w:rsidRDefault="00071320" w:rsidP="00BE024C">
      <w:pPr>
        <w:pStyle w:val="Heading2"/>
        <w:widowControl/>
        <w:ind w:left="426" w:hanging="426"/>
        <w:rPr>
          <w:rFonts w:asciiTheme="minorHAnsi" w:eastAsiaTheme="minorEastAsia" w:hAnsiTheme="minorHAnsi" w:cstheme="minorHAnsi"/>
          <w:b w:val="0"/>
          <w:lang w:eastAsia="ko-KR"/>
        </w:rPr>
      </w:pPr>
      <w:r>
        <w:rPr>
          <w:rFonts w:asciiTheme="minorHAnsi" w:eastAsiaTheme="minorEastAsia" w:hAnsiTheme="minorHAnsi" w:cstheme="minorHAnsi" w:hint="eastAsia"/>
          <w:b w:val="0"/>
          <w:lang w:eastAsia="ko-KR"/>
        </w:rPr>
        <w:t xml:space="preserve">3. </w:t>
      </w:r>
      <w:r>
        <w:rPr>
          <w:rFonts w:asciiTheme="minorHAnsi" w:eastAsiaTheme="minorEastAsia" w:hAnsiTheme="minorHAnsi" w:cstheme="minorHAnsi"/>
          <w:b w:val="0"/>
          <w:lang w:eastAsia="ko-KR"/>
        </w:rPr>
        <w:tab/>
      </w:r>
      <w:r>
        <w:rPr>
          <w:rFonts w:asciiTheme="minorHAnsi" w:eastAsiaTheme="minorEastAsia" w:hAnsiTheme="minorHAnsi" w:cstheme="minorHAnsi" w:hint="eastAsia"/>
          <w:b w:val="0"/>
          <w:lang w:eastAsia="ko-KR"/>
        </w:rPr>
        <w:t>During the 2023-2025</w:t>
      </w:r>
      <w:r w:rsidR="009A5BDE" w:rsidRPr="009A5BDE">
        <w:rPr>
          <w:rFonts w:asciiTheme="minorHAnsi" w:eastAsiaTheme="minorEastAsia" w:hAnsiTheme="minorHAnsi" w:cstheme="minorHAnsi"/>
          <w:b w:val="0"/>
          <w:lang w:eastAsia="ko-KR"/>
        </w:rPr>
        <w:t xml:space="preserve"> </w:t>
      </w:r>
      <w:r w:rsidR="009A5BDE">
        <w:rPr>
          <w:rFonts w:asciiTheme="minorHAnsi" w:eastAsiaTheme="minorEastAsia" w:hAnsiTheme="minorHAnsi" w:cstheme="minorHAnsi"/>
          <w:b w:val="0"/>
          <w:lang w:eastAsia="ko-KR"/>
        </w:rPr>
        <w:t>triennium</w:t>
      </w:r>
      <w:r>
        <w:rPr>
          <w:rFonts w:asciiTheme="minorHAnsi" w:eastAsiaTheme="minorEastAsia" w:hAnsiTheme="minorHAnsi" w:cstheme="minorHAnsi" w:hint="eastAsia"/>
          <w:b w:val="0"/>
          <w:lang w:eastAsia="ko-KR"/>
        </w:rPr>
        <w:t xml:space="preserve">, the Secretariat </w:t>
      </w:r>
      <w:r w:rsidR="00BE024C" w:rsidRPr="00BE024C">
        <w:rPr>
          <w:rFonts w:asciiTheme="minorHAnsi" w:eastAsiaTheme="minorEastAsia" w:hAnsiTheme="minorHAnsi" w:cstheme="minorHAnsi"/>
          <w:b w:val="0"/>
          <w:lang w:eastAsia="ko-KR"/>
        </w:rPr>
        <w:t>submitted annual reports on Ramsar Regional Initiatives to the Standing Committee</w:t>
      </w:r>
      <w:r w:rsidR="009A5BDE">
        <w:rPr>
          <w:rFonts w:asciiTheme="minorHAnsi" w:eastAsiaTheme="minorEastAsia" w:hAnsiTheme="minorHAnsi" w:cstheme="minorHAnsi"/>
          <w:b w:val="0"/>
          <w:lang w:eastAsia="ko-KR"/>
        </w:rPr>
        <w:t xml:space="preserve"> at its 62nd, 63rd and 65th meetings</w:t>
      </w:r>
      <w:r w:rsidR="00BE024C" w:rsidRPr="00BE024C">
        <w:rPr>
          <w:rFonts w:asciiTheme="minorHAnsi" w:eastAsiaTheme="minorEastAsia" w:hAnsiTheme="minorHAnsi" w:cstheme="minorHAnsi"/>
          <w:b w:val="0"/>
          <w:lang w:eastAsia="ko-KR"/>
        </w:rPr>
        <w:t>.</w:t>
      </w:r>
      <w:r w:rsidR="001862D8">
        <w:rPr>
          <w:rStyle w:val="FootnoteReference"/>
          <w:rFonts w:asciiTheme="minorHAnsi" w:eastAsiaTheme="minorEastAsia" w:hAnsiTheme="minorHAnsi" w:cstheme="minorHAnsi"/>
          <w:b w:val="0"/>
          <w:lang w:eastAsia="ko-KR"/>
        </w:rPr>
        <w:footnoteReference w:id="2"/>
      </w:r>
      <w:r w:rsidR="00BE024C" w:rsidRPr="00BE024C">
        <w:rPr>
          <w:rFonts w:asciiTheme="minorHAnsi" w:eastAsiaTheme="minorEastAsia" w:hAnsiTheme="minorHAnsi" w:cstheme="minorHAnsi"/>
          <w:b w:val="0"/>
          <w:lang w:eastAsia="ko-KR"/>
        </w:rPr>
        <w:t xml:space="preserve"> The present report provides a summary of those three reports for consideration </w:t>
      </w:r>
      <w:r w:rsidR="009A5BDE">
        <w:rPr>
          <w:rFonts w:asciiTheme="minorHAnsi" w:eastAsiaTheme="minorEastAsia" w:hAnsiTheme="minorHAnsi" w:cstheme="minorHAnsi"/>
          <w:b w:val="0"/>
          <w:lang w:eastAsia="ko-KR"/>
        </w:rPr>
        <w:t xml:space="preserve">at </w:t>
      </w:r>
      <w:r w:rsidR="00BE024C" w:rsidRPr="00BE024C">
        <w:rPr>
          <w:rFonts w:asciiTheme="minorHAnsi" w:eastAsiaTheme="minorEastAsia" w:hAnsiTheme="minorHAnsi" w:cstheme="minorHAnsi"/>
          <w:b w:val="0"/>
          <w:lang w:eastAsia="ko-KR"/>
        </w:rPr>
        <w:t>COP15.</w:t>
      </w:r>
    </w:p>
    <w:p w14:paraId="17E6EF7C" w14:textId="77777777" w:rsidR="00BE024C" w:rsidRDefault="00BE024C" w:rsidP="00BE024C">
      <w:pPr>
        <w:pStyle w:val="Heading2"/>
        <w:widowControl/>
        <w:ind w:left="426" w:hanging="426"/>
        <w:rPr>
          <w:rFonts w:asciiTheme="minorHAnsi" w:eastAsiaTheme="minorEastAsia" w:hAnsiTheme="minorHAnsi" w:cstheme="minorHAnsi"/>
          <w:b w:val="0"/>
          <w:lang w:eastAsia="ko-KR"/>
        </w:rPr>
      </w:pPr>
    </w:p>
    <w:p w14:paraId="3A96B97A" w14:textId="06843A8D" w:rsidR="00EC1F91" w:rsidRPr="00794DB0" w:rsidRDefault="00AB1736" w:rsidP="00432040">
      <w:pPr>
        <w:pStyle w:val="Heading2"/>
        <w:widowControl/>
        <w:ind w:left="426" w:hanging="426"/>
        <w:rPr>
          <w:rFonts w:asciiTheme="minorHAnsi" w:eastAsiaTheme="minorEastAsia" w:hAnsiTheme="minorHAnsi" w:cstheme="minorHAnsi"/>
          <w:bCs w:val="0"/>
          <w:lang w:eastAsia="ko-KR"/>
        </w:rPr>
      </w:pPr>
      <w:r w:rsidRPr="00794DB0">
        <w:rPr>
          <w:rFonts w:asciiTheme="minorHAnsi" w:eastAsiaTheme="minorEastAsia" w:hAnsiTheme="minorHAnsi" w:cstheme="minorHAnsi" w:hint="eastAsia"/>
          <w:bCs w:val="0"/>
          <w:lang w:eastAsia="ko-KR"/>
        </w:rPr>
        <w:t xml:space="preserve">List of </w:t>
      </w:r>
      <w:r w:rsidR="00EC1F91" w:rsidRPr="00794DB0">
        <w:rPr>
          <w:rFonts w:asciiTheme="minorHAnsi" w:eastAsiaTheme="minorEastAsia" w:hAnsiTheme="minorHAnsi" w:cstheme="minorHAnsi" w:hint="eastAsia"/>
          <w:bCs w:val="0"/>
          <w:lang w:eastAsia="ko-KR"/>
        </w:rPr>
        <w:t>Ramsar Regional Initiatives</w:t>
      </w:r>
      <w:r w:rsidRPr="00794DB0">
        <w:rPr>
          <w:rFonts w:asciiTheme="minorHAnsi" w:eastAsiaTheme="minorEastAsia" w:hAnsiTheme="minorHAnsi" w:cstheme="minorHAnsi" w:hint="eastAsia"/>
          <w:bCs w:val="0"/>
          <w:lang w:eastAsia="ko-KR"/>
        </w:rPr>
        <w:t xml:space="preserve"> </w:t>
      </w:r>
      <w:r w:rsidRPr="00794DB0">
        <w:rPr>
          <w:rFonts w:asciiTheme="minorHAnsi" w:eastAsiaTheme="minorEastAsia" w:hAnsiTheme="minorHAnsi" w:cstheme="minorHAnsi"/>
          <w:bCs w:val="0"/>
          <w:lang w:eastAsia="ko-KR"/>
        </w:rPr>
        <w:t>endorsed</w:t>
      </w:r>
      <w:r w:rsidRPr="00794DB0">
        <w:rPr>
          <w:rFonts w:asciiTheme="minorHAnsi" w:eastAsiaTheme="minorEastAsia" w:hAnsiTheme="minorHAnsi" w:cstheme="minorHAnsi" w:hint="eastAsia"/>
          <w:bCs w:val="0"/>
          <w:lang w:eastAsia="ko-KR"/>
        </w:rPr>
        <w:t xml:space="preserve"> in the COP14-COP15</w:t>
      </w:r>
      <w:r w:rsidR="009A5BDE" w:rsidRPr="009A5BDE">
        <w:rPr>
          <w:rFonts w:asciiTheme="minorHAnsi" w:eastAsiaTheme="minorEastAsia" w:hAnsiTheme="minorHAnsi" w:cstheme="minorHAnsi" w:hint="eastAsia"/>
          <w:bCs w:val="0"/>
          <w:lang w:eastAsia="ko-KR"/>
        </w:rPr>
        <w:t xml:space="preserve"> </w:t>
      </w:r>
      <w:r w:rsidR="009A5BDE" w:rsidRPr="00794DB0">
        <w:rPr>
          <w:rFonts w:asciiTheme="minorHAnsi" w:eastAsiaTheme="minorEastAsia" w:hAnsiTheme="minorHAnsi" w:cstheme="minorHAnsi" w:hint="eastAsia"/>
          <w:bCs w:val="0"/>
          <w:lang w:eastAsia="ko-KR"/>
        </w:rPr>
        <w:t>intersessional period</w:t>
      </w:r>
    </w:p>
    <w:p w14:paraId="61F22883" w14:textId="77777777" w:rsidR="00EC1F91" w:rsidRDefault="00EC1F91" w:rsidP="00432040">
      <w:pPr>
        <w:pStyle w:val="Heading2"/>
        <w:widowControl/>
        <w:ind w:left="426" w:hanging="426"/>
        <w:rPr>
          <w:rFonts w:asciiTheme="minorHAnsi" w:eastAsiaTheme="minorEastAsia" w:hAnsiTheme="minorHAnsi" w:cstheme="minorHAnsi"/>
          <w:b w:val="0"/>
          <w:lang w:eastAsia="ko-KR"/>
        </w:rPr>
      </w:pPr>
    </w:p>
    <w:p w14:paraId="50B84EE8" w14:textId="6FE9C886" w:rsidR="00EC1F91" w:rsidRDefault="00071320" w:rsidP="00432040">
      <w:pPr>
        <w:pStyle w:val="Heading2"/>
        <w:widowControl/>
        <w:ind w:left="426" w:hanging="426"/>
        <w:rPr>
          <w:rFonts w:asciiTheme="minorHAnsi" w:eastAsiaTheme="minorEastAsia" w:hAnsiTheme="minorHAnsi" w:cstheme="minorHAnsi"/>
          <w:b w:val="0"/>
          <w:lang w:eastAsia="ko-KR"/>
        </w:rPr>
      </w:pPr>
      <w:r>
        <w:rPr>
          <w:rFonts w:asciiTheme="minorHAnsi" w:eastAsiaTheme="minorEastAsia" w:hAnsiTheme="minorHAnsi" w:cstheme="minorHAnsi" w:hint="eastAsia"/>
          <w:b w:val="0"/>
          <w:lang w:eastAsia="ko-KR"/>
        </w:rPr>
        <w:t>4</w:t>
      </w:r>
      <w:r w:rsidR="00EC1F91">
        <w:rPr>
          <w:rFonts w:asciiTheme="minorHAnsi" w:eastAsiaTheme="minorEastAsia" w:hAnsiTheme="minorHAnsi" w:cstheme="minorHAnsi" w:hint="eastAsia"/>
          <w:b w:val="0"/>
          <w:lang w:eastAsia="ko-KR"/>
        </w:rPr>
        <w:t>.</w:t>
      </w:r>
      <w:r w:rsidR="00EC1F91">
        <w:rPr>
          <w:rFonts w:asciiTheme="minorHAnsi" w:eastAsiaTheme="minorEastAsia" w:hAnsiTheme="minorHAnsi" w:cstheme="minorHAnsi"/>
          <w:b w:val="0"/>
          <w:lang w:eastAsia="ko-KR"/>
        </w:rPr>
        <w:tab/>
      </w:r>
      <w:r w:rsidR="00BE024C">
        <w:rPr>
          <w:rFonts w:asciiTheme="minorHAnsi" w:eastAsiaTheme="minorEastAsia" w:hAnsiTheme="minorHAnsi" w:cstheme="minorHAnsi" w:hint="eastAsia"/>
          <w:b w:val="0"/>
          <w:lang w:eastAsia="ko-KR"/>
        </w:rPr>
        <w:t>Within</w:t>
      </w:r>
      <w:r w:rsidR="00EC1F91">
        <w:rPr>
          <w:rFonts w:asciiTheme="minorHAnsi" w:eastAsiaTheme="minorEastAsia" w:hAnsiTheme="minorHAnsi" w:cstheme="minorHAnsi" w:hint="eastAsia"/>
          <w:b w:val="0"/>
          <w:lang w:eastAsia="ko-KR"/>
        </w:rPr>
        <w:t xml:space="preserve"> the 2023-2025</w:t>
      </w:r>
      <w:r w:rsidR="009A5BDE" w:rsidRPr="009A5BDE">
        <w:rPr>
          <w:rFonts w:asciiTheme="minorHAnsi" w:eastAsiaTheme="minorEastAsia" w:hAnsiTheme="minorHAnsi" w:cstheme="minorHAnsi" w:hint="eastAsia"/>
          <w:b w:val="0"/>
          <w:lang w:eastAsia="ko-KR"/>
        </w:rPr>
        <w:t xml:space="preserve"> </w:t>
      </w:r>
      <w:r w:rsidR="009A5BDE">
        <w:rPr>
          <w:rFonts w:asciiTheme="minorHAnsi" w:eastAsiaTheme="minorEastAsia" w:hAnsiTheme="minorHAnsi" w:cstheme="minorHAnsi" w:hint="eastAsia"/>
          <w:b w:val="0"/>
          <w:lang w:eastAsia="ko-KR"/>
        </w:rPr>
        <w:t>triennium</w:t>
      </w:r>
      <w:r w:rsidR="00EC1F91">
        <w:rPr>
          <w:rFonts w:asciiTheme="minorHAnsi" w:eastAsiaTheme="minorEastAsia" w:hAnsiTheme="minorHAnsi" w:cstheme="minorHAnsi" w:hint="eastAsia"/>
          <w:b w:val="0"/>
          <w:lang w:eastAsia="ko-KR"/>
        </w:rPr>
        <w:t xml:space="preserve">, 22 RRIs were </w:t>
      </w:r>
      <w:r w:rsidR="00BE024C">
        <w:rPr>
          <w:rFonts w:asciiTheme="minorHAnsi" w:eastAsiaTheme="minorEastAsia" w:hAnsiTheme="minorHAnsi" w:cstheme="minorHAnsi" w:hint="eastAsia"/>
          <w:b w:val="0"/>
          <w:lang w:eastAsia="ko-KR"/>
        </w:rPr>
        <w:t>endorsed</w:t>
      </w:r>
      <w:r w:rsidR="00EC1F91">
        <w:rPr>
          <w:rFonts w:asciiTheme="minorHAnsi" w:eastAsiaTheme="minorEastAsia" w:hAnsiTheme="minorHAnsi" w:cstheme="minorHAnsi" w:hint="eastAsia"/>
          <w:b w:val="0"/>
          <w:lang w:eastAsia="ko-KR"/>
        </w:rPr>
        <w:t xml:space="preserve"> by the COP </w:t>
      </w:r>
      <w:r w:rsidR="00AB1736">
        <w:rPr>
          <w:rFonts w:asciiTheme="minorHAnsi" w:eastAsiaTheme="minorEastAsia" w:hAnsiTheme="minorHAnsi" w:cstheme="minorHAnsi" w:hint="eastAsia"/>
          <w:b w:val="0"/>
          <w:lang w:eastAsia="ko-KR"/>
        </w:rPr>
        <w:t>or</w:t>
      </w:r>
      <w:r w:rsidR="00EC1F91">
        <w:rPr>
          <w:rFonts w:asciiTheme="minorHAnsi" w:eastAsiaTheme="minorEastAsia" w:hAnsiTheme="minorHAnsi" w:cstheme="minorHAnsi" w:hint="eastAsia"/>
          <w:b w:val="0"/>
          <w:lang w:eastAsia="ko-KR"/>
        </w:rPr>
        <w:t xml:space="preserve"> the Standing Committee </w:t>
      </w:r>
      <w:r w:rsidR="00BE024C">
        <w:rPr>
          <w:rFonts w:asciiTheme="minorHAnsi" w:eastAsiaTheme="minorEastAsia" w:hAnsiTheme="minorHAnsi" w:cstheme="minorHAnsi" w:hint="eastAsia"/>
          <w:b w:val="0"/>
          <w:lang w:eastAsia="ko-KR"/>
        </w:rPr>
        <w:t>as</w:t>
      </w:r>
      <w:r w:rsidR="00EC1F91">
        <w:rPr>
          <w:rFonts w:asciiTheme="minorHAnsi" w:eastAsiaTheme="minorEastAsia" w:hAnsiTheme="minorHAnsi" w:cstheme="minorHAnsi" w:hint="eastAsia"/>
          <w:b w:val="0"/>
          <w:lang w:eastAsia="ko-KR"/>
        </w:rPr>
        <w:t xml:space="preserve"> operating </w:t>
      </w:r>
      <w:r w:rsidR="00BE024C">
        <w:rPr>
          <w:rFonts w:asciiTheme="minorHAnsi" w:eastAsiaTheme="minorEastAsia" w:hAnsiTheme="minorHAnsi" w:cstheme="minorHAnsi" w:hint="eastAsia"/>
          <w:b w:val="0"/>
          <w:lang w:eastAsia="ko-KR"/>
        </w:rPr>
        <w:t>with</w:t>
      </w:r>
      <w:r w:rsidR="00EC1F91">
        <w:rPr>
          <w:rFonts w:asciiTheme="minorHAnsi" w:eastAsiaTheme="minorEastAsia" w:hAnsiTheme="minorHAnsi" w:cstheme="minorHAnsi" w:hint="eastAsia"/>
          <w:b w:val="0"/>
          <w:lang w:eastAsia="ko-KR"/>
        </w:rPr>
        <w:t xml:space="preserve">in the framework of the Convention. </w:t>
      </w:r>
      <w:r w:rsidR="009A5BDE">
        <w:rPr>
          <w:rFonts w:asciiTheme="minorHAnsi" w:eastAsiaTheme="minorEastAsia" w:hAnsiTheme="minorHAnsi" w:cstheme="minorHAnsi" w:hint="eastAsia"/>
          <w:b w:val="0"/>
          <w:lang w:eastAsia="ko-KR"/>
        </w:rPr>
        <w:t>Th</w:t>
      </w:r>
      <w:r w:rsidR="009A5BDE">
        <w:rPr>
          <w:rFonts w:asciiTheme="minorHAnsi" w:eastAsiaTheme="minorEastAsia" w:hAnsiTheme="minorHAnsi" w:cstheme="minorHAnsi"/>
          <w:b w:val="0"/>
          <w:lang w:eastAsia="ko-KR"/>
        </w:rPr>
        <w:t xml:space="preserve">ey </w:t>
      </w:r>
      <w:r w:rsidR="00EC1F91">
        <w:rPr>
          <w:rFonts w:asciiTheme="minorHAnsi" w:eastAsiaTheme="minorEastAsia" w:hAnsiTheme="minorHAnsi" w:cstheme="minorHAnsi" w:hint="eastAsia"/>
          <w:b w:val="0"/>
          <w:lang w:eastAsia="ko-KR"/>
        </w:rPr>
        <w:t>include</w:t>
      </w:r>
      <w:r w:rsidR="00BE024C">
        <w:rPr>
          <w:rFonts w:asciiTheme="minorHAnsi" w:eastAsiaTheme="minorEastAsia" w:hAnsiTheme="minorHAnsi" w:cstheme="minorHAnsi" w:hint="eastAsia"/>
          <w:b w:val="0"/>
          <w:lang w:eastAsia="ko-KR"/>
        </w:rPr>
        <w:t xml:space="preserve"> </w:t>
      </w:r>
      <w:r w:rsidR="00EC1F91">
        <w:rPr>
          <w:rFonts w:asciiTheme="minorHAnsi" w:eastAsiaTheme="minorEastAsia" w:hAnsiTheme="minorHAnsi" w:cstheme="minorHAnsi" w:hint="eastAsia"/>
          <w:b w:val="0"/>
          <w:lang w:eastAsia="ko-KR"/>
        </w:rPr>
        <w:t xml:space="preserve">two new Ramsar Regional </w:t>
      </w:r>
      <w:r w:rsidR="00EC1F91">
        <w:rPr>
          <w:rFonts w:asciiTheme="minorHAnsi" w:eastAsiaTheme="minorEastAsia" w:hAnsiTheme="minorHAnsi" w:cstheme="minorHAnsi"/>
          <w:b w:val="0"/>
          <w:lang w:eastAsia="ko-KR"/>
        </w:rPr>
        <w:t>Initiatives</w:t>
      </w:r>
      <w:r w:rsidR="009A5BDE">
        <w:rPr>
          <w:rFonts w:asciiTheme="minorHAnsi" w:eastAsiaTheme="minorEastAsia" w:hAnsiTheme="minorHAnsi" w:cstheme="minorHAnsi"/>
          <w:b w:val="0"/>
          <w:lang w:eastAsia="ko-KR"/>
        </w:rPr>
        <w:t>, the</w:t>
      </w:r>
      <w:r w:rsidR="00EC1F91">
        <w:rPr>
          <w:rFonts w:asciiTheme="minorHAnsi" w:eastAsiaTheme="minorEastAsia" w:hAnsiTheme="minorHAnsi" w:cstheme="minorHAnsi" w:hint="eastAsia"/>
          <w:b w:val="0"/>
          <w:lang w:eastAsia="ko-KR"/>
        </w:rPr>
        <w:t xml:space="preserve"> International Mangrove Centre (IMC) and the Danube WILDisland Ramsar Regional Initiative (DWRRI)</w:t>
      </w:r>
      <w:r w:rsidR="009A5BDE">
        <w:rPr>
          <w:rFonts w:asciiTheme="minorHAnsi" w:eastAsiaTheme="minorEastAsia" w:hAnsiTheme="minorHAnsi" w:cstheme="minorHAnsi"/>
          <w:b w:val="0"/>
          <w:lang w:eastAsia="ko-KR"/>
        </w:rPr>
        <w:t xml:space="preserve">, </w:t>
      </w:r>
      <w:r w:rsidR="00EC1F91">
        <w:rPr>
          <w:rFonts w:asciiTheme="minorHAnsi" w:eastAsiaTheme="minorEastAsia" w:hAnsiTheme="minorHAnsi" w:cstheme="minorHAnsi" w:hint="eastAsia"/>
          <w:b w:val="0"/>
          <w:lang w:eastAsia="ko-KR"/>
        </w:rPr>
        <w:t xml:space="preserve"> established through </w:t>
      </w:r>
      <w:r w:rsidR="009A5BDE">
        <w:rPr>
          <w:rFonts w:asciiTheme="minorHAnsi" w:eastAsiaTheme="minorEastAsia" w:hAnsiTheme="minorHAnsi" w:cstheme="minorHAnsi"/>
          <w:b w:val="0"/>
          <w:lang w:eastAsia="ko-KR"/>
        </w:rPr>
        <w:t xml:space="preserve">Standing Committee </w:t>
      </w:r>
      <w:r w:rsidR="00EC1F91">
        <w:rPr>
          <w:rFonts w:asciiTheme="minorHAnsi" w:eastAsiaTheme="minorEastAsia" w:hAnsiTheme="minorHAnsi" w:cstheme="minorHAnsi" w:hint="eastAsia"/>
          <w:b w:val="0"/>
          <w:lang w:eastAsia="ko-KR"/>
        </w:rPr>
        <w:t>Decision</w:t>
      </w:r>
      <w:r w:rsidR="009A5BDE">
        <w:rPr>
          <w:rFonts w:asciiTheme="minorHAnsi" w:eastAsiaTheme="minorEastAsia" w:hAnsiTheme="minorHAnsi" w:cstheme="minorHAnsi"/>
          <w:b w:val="0"/>
          <w:lang w:eastAsia="ko-KR"/>
        </w:rPr>
        <w:t>s</w:t>
      </w:r>
      <w:r w:rsidR="00EC1F91">
        <w:rPr>
          <w:rFonts w:asciiTheme="minorHAnsi" w:eastAsiaTheme="minorEastAsia" w:hAnsiTheme="minorHAnsi" w:cstheme="minorHAnsi" w:hint="eastAsia"/>
          <w:b w:val="0"/>
          <w:lang w:eastAsia="ko-KR"/>
        </w:rPr>
        <w:t xml:space="preserve"> SC62-22 and SC63-19, respectively. </w:t>
      </w:r>
      <w:r w:rsidR="00BE024C">
        <w:rPr>
          <w:rFonts w:asciiTheme="minorHAnsi" w:eastAsiaTheme="minorEastAsia" w:hAnsiTheme="minorHAnsi" w:cstheme="minorHAnsi" w:hint="eastAsia"/>
          <w:b w:val="0"/>
          <w:lang w:eastAsia="ko-KR"/>
        </w:rPr>
        <w:t>A l</w:t>
      </w:r>
      <w:r w:rsidR="00EC1F91">
        <w:rPr>
          <w:rFonts w:asciiTheme="minorHAnsi" w:eastAsiaTheme="minorEastAsia" w:hAnsiTheme="minorHAnsi" w:cstheme="minorHAnsi" w:hint="eastAsia"/>
          <w:b w:val="0"/>
          <w:lang w:eastAsia="ko-KR"/>
        </w:rPr>
        <w:t xml:space="preserve">ist of </w:t>
      </w:r>
      <w:r w:rsidR="00AB1736">
        <w:rPr>
          <w:rFonts w:asciiTheme="minorHAnsi" w:eastAsiaTheme="minorEastAsia" w:hAnsiTheme="minorHAnsi" w:cstheme="minorHAnsi" w:hint="eastAsia"/>
          <w:b w:val="0"/>
          <w:lang w:eastAsia="ko-KR"/>
        </w:rPr>
        <w:t xml:space="preserve">RRIs </w:t>
      </w:r>
      <w:r w:rsidR="00BE024C">
        <w:rPr>
          <w:rFonts w:asciiTheme="minorHAnsi" w:eastAsiaTheme="minorEastAsia" w:hAnsiTheme="minorHAnsi" w:cstheme="minorHAnsi" w:hint="eastAsia"/>
          <w:b w:val="0"/>
          <w:lang w:eastAsia="ko-KR"/>
        </w:rPr>
        <w:t xml:space="preserve">proposed for </w:t>
      </w:r>
      <w:r w:rsidR="00AB1736">
        <w:rPr>
          <w:rFonts w:asciiTheme="minorHAnsi" w:eastAsiaTheme="minorEastAsia" w:hAnsiTheme="minorHAnsi" w:cstheme="minorHAnsi" w:hint="eastAsia"/>
          <w:b w:val="0"/>
          <w:lang w:eastAsia="ko-KR"/>
        </w:rPr>
        <w:t>endorse</w:t>
      </w:r>
      <w:r w:rsidR="00BE024C">
        <w:rPr>
          <w:rFonts w:asciiTheme="minorHAnsi" w:eastAsiaTheme="minorEastAsia" w:hAnsiTheme="minorHAnsi" w:cstheme="minorHAnsi" w:hint="eastAsia"/>
          <w:b w:val="0"/>
          <w:lang w:eastAsia="ko-KR"/>
        </w:rPr>
        <w:t>ment</w:t>
      </w:r>
      <w:r w:rsidR="00AB1736">
        <w:rPr>
          <w:rFonts w:asciiTheme="minorHAnsi" w:eastAsiaTheme="minorEastAsia" w:hAnsiTheme="minorHAnsi" w:cstheme="minorHAnsi" w:hint="eastAsia"/>
          <w:b w:val="0"/>
          <w:lang w:eastAsia="ko-KR"/>
        </w:rPr>
        <w:t xml:space="preserve"> for the </w:t>
      </w:r>
      <w:r w:rsidR="009A5BDE">
        <w:rPr>
          <w:rFonts w:asciiTheme="minorHAnsi" w:eastAsiaTheme="minorEastAsia" w:hAnsiTheme="minorHAnsi" w:cstheme="minorHAnsi" w:hint="eastAsia"/>
          <w:b w:val="0"/>
          <w:lang w:eastAsia="ko-KR"/>
        </w:rPr>
        <w:t xml:space="preserve">COP15-COP16 </w:t>
      </w:r>
      <w:r w:rsidR="00AB1736">
        <w:rPr>
          <w:rFonts w:asciiTheme="minorHAnsi" w:eastAsiaTheme="minorEastAsia" w:hAnsiTheme="minorHAnsi" w:cstheme="minorHAnsi" w:hint="eastAsia"/>
          <w:b w:val="0"/>
          <w:lang w:eastAsia="ko-KR"/>
        </w:rPr>
        <w:t xml:space="preserve">intersessional period </w:t>
      </w:r>
      <w:r w:rsidR="00BE024C">
        <w:rPr>
          <w:rFonts w:asciiTheme="minorHAnsi" w:eastAsiaTheme="minorEastAsia" w:hAnsiTheme="minorHAnsi" w:cstheme="minorHAnsi" w:hint="eastAsia"/>
          <w:b w:val="0"/>
          <w:lang w:eastAsia="ko-KR"/>
        </w:rPr>
        <w:t xml:space="preserve">is contained in the </w:t>
      </w:r>
      <w:r w:rsidR="009A5BDE">
        <w:rPr>
          <w:rFonts w:asciiTheme="minorHAnsi" w:eastAsiaTheme="minorEastAsia" w:hAnsiTheme="minorHAnsi" w:cstheme="minorHAnsi"/>
          <w:b w:val="0"/>
          <w:lang w:eastAsia="ko-KR"/>
        </w:rPr>
        <w:t>d</w:t>
      </w:r>
      <w:r w:rsidR="009A5BDE">
        <w:rPr>
          <w:rFonts w:asciiTheme="minorHAnsi" w:eastAsiaTheme="minorEastAsia" w:hAnsiTheme="minorHAnsi" w:cstheme="minorHAnsi" w:hint="eastAsia"/>
          <w:b w:val="0"/>
          <w:lang w:eastAsia="ko-KR"/>
        </w:rPr>
        <w:t xml:space="preserve">raft </w:t>
      </w:r>
      <w:r w:rsidR="009A5BDE">
        <w:rPr>
          <w:rFonts w:asciiTheme="minorHAnsi" w:eastAsiaTheme="minorEastAsia" w:hAnsiTheme="minorHAnsi" w:cstheme="minorHAnsi"/>
          <w:b w:val="0"/>
          <w:lang w:eastAsia="ko-KR"/>
        </w:rPr>
        <w:t>r</w:t>
      </w:r>
      <w:r w:rsidR="009A5BDE">
        <w:rPr>
          <w:rFonts w:asciiTheme="minorHAnsi" w:eastAsiaTheme="minorEastAsia" w:hAnsiTheme="minorHAnsi" w:cstheme="minorHAnsi" w:hint="eastAsia"/>
          <w:b w:val="0"/>
          <w:lang w:eastAsia="ko-KR"/>
        </w:rPr>
        <w:t xml:space="preserve">esolution </w:t>
      </w:r>
      <w:r w:rsidR="00AB1736">
        <w:rPr>
          <w:rFonts w:asciiTheme="minorHAnsi" w:eastAsiaTheme="minorEastAsia" w:hAnsiTheme="minorHAnsi" w:cstheme="minorHAnsi" w:hint="eastAsia"/>
          <w:b w:val="0"/>
          <w:lang w:eastAsia="ko-KR"/>
        </w:rPr>
        <w:t>on Ramsar Regional Initiatives</w:t>
      </w:r>
      <w:r w:rsidR="009A5BDE">
        <w:rPr>
          <w:rFonts w:asciiTheme="minorHAnsi" w:eastAsiaTheme="minorEastAsia" w:hAnsiTheme="minorHAnsi" w:cstheme="minorHAnsi"/>
          <w:b w:val="0"/>
          <w:lang w:eastAsia="ko-KR"/>
        </w:rPr>
        <w:t xml:space="preserve"> in document COP15 Doc.23.5</w:t>
      </w:r>
      <w:r w:rsidR="0000738A">
        <w:rPr>
          <w:rStyle w:val="FootnoteReference"/>
          <w:rFonts w:asciiTheme="minorHAnsi" w:eastAsiaTheme="minorEastAsia" w:hAnsiTheme="minorHAnsi" w:cstheme="minorHAnsi"/>
          <w:b w:val="0"/>
          <w:lang w:eastAsia="ko-KR"/>
        </w:rPr>
        <w:footnoteReference w:id="3"/>
      </w:r>
      <w:r w:rsidR="00AB1736">
        <w:rPr>
          <w:rFonts w:asciiTheme="minorHAnsi" w:eastAsiaTheme="minorEastAsia" w:hAnsiTheme="minorHAnsi" w:cstheme="minorHAnsi" w:hint="eastAsia"/>
          <w:b w:val="0"/>
          <w:lang w:eastAsia="ko-KR"/>
        </w:rPr>
        <w:t>.</w:t>
      </w:r>
    </w:p>
    <w:p w14:paraId="473D0C5F" w14:textId="77777777" w:rsidR="00071320" w:rsidRDefault="00071320" w:rsidP="00432040">
      <w:pPr>
        <w:pStyle w:val="Heading2"/>
        <w:widowControl/>
        <w:ind w:left="426" w:hanging="426"/>
        <w:rPr>
          <w:rFonts w:asciiTheme="minorHAnsi" w:eastAsiaTheme="minorEastAsia" w:hAnsiTheme="minorHAnsi" w:cstheme="minorHAnsi"/>
          <w:b w:val="0"/>
          <w:lang w:eastAsia="ko-KR"/>
        </w:rPr>
      </w:pPr>
    </w:p>
    <w:p w14:paraId="6F86A6C7" w14:textId="09B85611" w:rsidR="00071320" w:rsidRPr="00794DB0" w:rsidRDefault="00071320" w:rsidP="001862D8">
      <w:pPr>
        <w:pStyle w:val="Heading2"/>
        <w:keepNext/>
        <w:widowControl/>
        <w:ind w:left="425" w:hanging="425"/>
        <w:rPr>
          <w:rFonts w:asciiTheme="minorHAnsi" w:eastAsiaTheme="minorEastAsia" w:hAnsiTheme="minorHAnsi" w:cstheme="minorHAnsi"/>
          <w:bCs w:val="0"/>
          <w:lang w:eastAsia="ko-KR"/>
        </w:rPr>
      </w:pPr>
      <w:r w:rsidRPr="00794DB0">
        <w:rPr>
          <w:rFonts w:asciiTheme="minorHAnsi" w:eastAsiaTheme="minorEastAsia" w:hAnsiTheme="minorHAnsi" w:cstheme="minorHAnsi" w:hint="eastAsia"/>
          <w:bCs w:val="0"/>
          <w:lang w:eastAsia="ko-KR"/>
        </w:rPr>
        <w:lastRenderedPageBreak/>
        <w:t>Progress of the Ramsar Regional Initiatives in the Triennium 2023-2025</w:t>
      </w:r>
    </w:p>
    <w:p w14:paraId="71C68C1F" w14:textId="7645B519" w:rsidR="00432040" w:rsidRDefault="00071320" w:rsidP="001862D8">
      <w:pPr>
        <w:pStyle w:val="Heading2"/>
        <w:keepNext/>
        <w:widowControl/>
        <w:tabs>
          <w:tab w:val="left" w:pos="3240"/>
        </w:tabs>
        <w:ind w:left="425" w:hanging="425"/>
        <w:rPr>
          <w:rFonts w:asciiTheme="minorHAnsi" w:eastAsiaTheme="minorEastAsia" w:hAnsiTheme="minorHAnsi" w:cstheme="minorHAnsi"/>
          <w:b w:val="0"/>
          <w:lang w:eastAsia="ko-KR"/>
        </w:rPr>
      </w:pPr>
      <w:r>
        <w:rPr>
          <w:rFonts w:asciiTheme="minorHAnsi" w:eastAsiaTheme="minorEastAsia" w:hAnsiTheme="minorHAnsi" w:cstheme="minorHAnsi"/>
          <w:b w:val="0"/>
          <w:lang w:eastAsia="ko-KR"/>
        </w:rPr>
        <w:tab/>
      </w:r>
      <w:r>
        <w:rPr>
          <w:rFonts w:asciiTheme="minorHAnsi" w:eastAsiaTheme="minorEastAsia" w:hAnsiTheme="minorHAnsi" w:cstheme="minorHAnsi"/>
          <w:b w:val="0"/>
          <w:lang w:eastAsia="ko-KR"/>
        </w:rPr>
        <w:tab/>
      </w:r>
    </w:p>
    <w:p w14:paraId="3CF5A8A7" w14:textId="60F3C84B" w:rsidR="00A31651" w:rsidRDefault="00A31651" w:rsidP="00A31651">
      <w:pPr>
        <w:pStyle w:val="Heading2"/>
        <w:widowControl/>
        <w:ind w:left="426" w:hanging="426"/>
        <w:rPr>
          <w:rFonts w:asciiTheme="minorHAnsi" w:eastAsiaTheme="minorEastAsia" w:hAnsiTheme="minorHAnsi" w:cstheme="minorHAnsi"/>
          <w:b w:val="0"/>
          <w:lang w:eastAsia="ko-KR"/>
        </w:rPr>
      </w:pPr>
      <w:r>
        <w:rPr>
          <w:rFonts w:asciiTheme="minorHAnsi" w:eastAsiaTheme="minorEastAsia" w:hAnsiTheme="minorHAnsi" w:cstheme="minorHAnsi" w:hint="eastAsia"/>
          <w:b w:val="0"/>
          <w:lang w:eastAsia="ko-KR"/>
        </w:rPr>
        <w:t>5</w:t>
      </w:r>
      <w:r w:rsidR="00432040">
        <w:rPr>
          <w:rFonts w:asciiTheme="minorHAnsi" w:eastAsiaTheme="minorEastAsia" w:hAnsiTheme="minorHAnsi" w:cstheme="minorHAnsi" w:hint="eastAsia"/>
          <w:b w:val="0"/>
          <w:lang w:eastAsia="ko-KR"/>
        </w:rPr>
        <w:t xml:space="preserve">. </w:t>
      </w:r>
      <w:r w:rsidR="00432040">
        <w:rPr>
          <w:rFonts w:asciiTheme="minorHAnsi" w:eastAsiaTheme="minorEastAsia" w:hAnsiTheme="minorHAnsi" w:cstheme="minorHAnsi"/>
          <w:b w:val="0"/>
          <w:lang w:eastAsia="ko-KR"/>
        </w:rPr>
        <w:tab/>
      </w:r>
      <w:r w:rsidR="00AB1736">
        <w:rPr>
          <w:rFonts w:asciiTheme="minorHAnsi" w:eastAsiaTheme="minorEastAsia" w:hAnsiTheme="minorHAnsi" w:cstheme="minorHAnsi" w:hint="eastAsia"/>
          <w:b w:val="0"/>
          <w:lang w:eastAsia="ko-KR"/>
        </w:rPr>
        <w:t xml:space="preserve">RRIs </w:t>
      </w:r>
      <w:r w:rsidR="00071320">
        <w:rPr>
          <w:rFonts w:asciiTheme="minorHAnsi" w:eastAsiaTheme="minorEastAsia" w:hAnsiTheme="minorHAnsi" w:cstheme="minorHAnsi" w:hint="eastAsia"/>
          <w:b w:val="0"/>
          <w:lang w:eastAsia="ko-KR"/>
        </w:rPr>
        <w:t xml:space="preserve">are </w:t>
      </w:r>
      <w:r w:rsidR="00AB1736" w:rsidRPr="00432040">
        <w:rPr>
          <w:rFonts w:asciiTheme="minorHAnsi" w:hAnsiTheme="minorHAnsi" w:cstheme="minorHAnsi"/>
          <w:b w:val="0"/>
        </w:rPr>
        <w:t>requested</w:t>
      </w:r>
      <w:r w:rsidR="00AB1736">
        <w:rPr>
          <w:rFonts w:asciiTheme="minorHAnsi" w:eastAsiaTheme="minorEastAsia" w:hAnsiTheme="minorHAnsi" w:cstheme="minorHAnsi" w:hint="eastAsia"/>
          <w:b w:val="0"/>
          <w:lang w:eastAsia="ko-KR"/>
        </w:rPr>
        <w:t xml:space="preserve"> </w:t>
      </w:r>
      <w:r w:rsidR="00012200">
        <w:rPr>
          <w:rFonts w:asciiTheme="minorHAnsi" w:eastAsiaTheme="minorEastAsia" w:hAnsiTheme="minorHAnsi" w:cstheme="minorHAnsi"/>
          <w:b w:val="0"/>
          <w:lang w:eastAsia="ko-KR"/>
        </w:rPr>
        <w:t>under</w:t>
      </w:r>
      <w:r w:rsidR="00012200">
        <w:rPr>
          <w:rFonts w:asciiTheme="minorHAnsi" w:eastAsiaTheme="minorEastAsia" w:hAnsiTheme="minorHAnsi" w:cstheme="minorHAnsi" w:hint="eastAsia"/>
          <w:b w:val="0"/>
          <w:lang w:eastAsia="ko-KR"/>
        </w:rPr>
        <w:t xml:space="preserve"> </w:t>
      </w:r>
      <w:r w:rsidR="00AB1736">
        <w:rPr>
          <w:rFonts w:asciiTheme="minorHAnsi" w:eastAsiaTheme="minorEastAsia" w:hAnsiTheme="minorHAnsi" w:cstheme="minorHAnsi" w:hint="eastAsia"/>
          <w:b w:val="0"/>
          <w:lang w:eastAsia="ko-KR"/>
        </w:rPr>
        <w:t>the O</w:t>
      </w:r>
      <w:r w:rsidR="00AB1736" w:rsidRPr="00432040">
        <w:rPr>
          <w:rFonts w:asciiTheme="minorHAnsi" w:hAnsiTheme="minorHAnsi" w:cstheme="minorHAnsi"/>
          <w:b w:val="0"/>
        </w:rPr>
        <w:t>perational Guidelines for Ramsar Regional Initiatives</w:t>
      </w:r>
      <w:r w:rsidR="00AB1736">
        <w:rPr>
          <w:rFonts w:asciiTheme="minorHAnsi" w:eastAsiaTheme="minorEastAsia" w:hAnsiTheme="minorHAnsi" w:cstheme="minorHAnsi" w:hint="eastAsia"/>
          <w:b w:val="0"/>
          <w:lang w:eastAsia="ko-KR"/>
        </w:rPr>
        <w:t xml:space="preserve"> in Annex </w:t>
      </w:r>
      <w:r w:rsidR="00012200">
        <w:rPr>
          <w:rFonts w:asciiTheme="minorHAnsi" w:eastAsiaTheme="minorEastAsia" w:hAnsiTheme="minorHAnsi" w:cstheme="minorHAnsi"/>
          <w:b w:val="0"/>
          <w:lang w:eastAsia="ko-KR"/>
        </w:rPr>
        <w:t xml:space="preserve">1 </w:t>
      </w:r>
      <w:r w:rsidR="00AB1736">
        <w:rPr>
          <w:rFonts w:asciiTheme="minorHAnsi" w:eastAsiaTheme="minorEastAsia" w:hAnsiTheme="minorHAnsi" w:cstheme="minorHAnsi" w:hint="eastAsia"/>
          <w:b w:val="0"/>
          <w:lang w:eastAsia="ko-KR"/>
        </w:rPr>
        <w:t>of Resolution XIV.7</w:t>
      </w:r>
      <w:r w:rsidR="00012200">
        <w:rPr>
          <w:rFonts w:asciiTheme="minorHAnsi" w:eastAsiaTheme="minorEastAsia" w:hAnsiTheme="minorHAnsi" w:cstheme="minorHAnsi"/>
          <w:b w:val="0"/>
          <w:lang w:eastAsia="ko-KR"/>
        </w:rPr>
        <w:t xml:space="preserve"> Part A</w:t>
      </w:r>
      <w:r w:rsidR="00AB1736">
        <w:rPr>
          <w:rFonts w:asciiTheme="minorHAnsi" w:eastAsiaTheme="minorEastAsia" w:hAnsiTheme="minorHAnsi" w:cstheme="minorHAnsi" w:hint="eastAsia"/>
          <w:b w:val="0"/>
          <w:lang w:eastAsia="ko-KR"/>
        </w:rPr>
        <w:t xml:space="preserve"> </w:t>
      </w:r>
      <w:r w:rsidR="00AB1736" w:rsidRPr="00432040">
        <w:rPr>
          <w:rFonts w:asciiTheme="minorHAnsi" w:hAnsiTheme="minorHAnsi" w:cstheme="minorHAnsi"/>
          <w:b w:val="0"/>
        </w:rPr>
        <w:t>to submit to the Standing Committee, through the Secretariat, annual financial and progress reports regarding the implementation of their workpla</w:t>
      </w:r>
      <w:r w:rsidR="00AB1736">
        <w:rPr>
          <w:rFonts w:asciiTheme="minorHAnsi" w:eastAsiaTheme="minorEastAsia" w:hAnsiTheme="minorHAnsi" w:cstheme="minorHAnsi" w:hint="eastAsia"/>
          <w:b w:val="0"/>
          <w:lang w:eastAsia="ko-KR"/>
        </w:rPr>
        <w:t>n.</w:t>
      </w:r>
      <w:r w:rsidR="00BE024C" w:rsidRPr="00BE024C">
        <w:rPr>
          <w:rFonts w:asciiTheme="minorHAnsi" w:eastAsiaTheme="minorEastAsia" w:hAnsiTheme="minorHAnsi"/>
          <w:b w:val="0"/>
          <w:bCs w:val="0"/>
        </w:rPr>
        <w:t xml:space="preserve"> </w:t>
      </w:r>
      <w:r w:rsidR="00BE024C" w:rsidRPr="00BE024C">
        <w:rPr>
          <w:rFonts w:asciiTheme="minorHAnsi" w:eastAsiaTheme="minorEastAsia" w:hAnsiTheme="minorHAnsi" w:cstheme="minorHAnsi"/>
          <w:b w:val="0"/>
          <w:lang w:eastAsia="ko-KR"/>
        </w:rPr>
        <w:t xml:space="preserve">These reports are instrumental in assessing the scope, effectiveness, and impact of RRI activities across various regions, as well as in identifying areas </w:t>
      </w:r>
      <w:r w:rsidR="00012200">
        <w:rPr>
          <w:rFonts w:asciiTheme="minorHAnsi" w:eastAsiaTheme="minorEastAsia" w:hAnsiTheme="minorHAnsi" w:cstheme="minorHAnsi"/>
          <w:b w:val="0"/>
          <w:lang w:eastAsia="ko-KR"/>
        </w:rPr>
        <w:t>in which</w:t>
      </w:r>
      <w:r w:rsidR="00012200" w:rsidRPr="00BE024C">
        <w:rPr>
          <w:rFonts w:asciiTheme="minorHAnsi" w:eastAsiaTheme="minorEastAsia" w:hAnsiTheme="minorHAnsi" w:cstheme="minorHAnsi"/>
          <w:b w:val="0"/>
          <w:lang w:eastAsia="ko-KR"/>
        </w:rPr>
        <w:t xml:space="preserve"> </w:t>
      </w:r>
      <w:r w:rsidR="00BE024C" w:rsidRPr="00BE024C">
        <w:rPr>
          <w:rFonts w:asciiTheme="minorHAnsi" w:eastAsiaTheme="minorEastAsia" w:hAnsiTheme="minorHAnsi" w:cstheme="minorHAnsi"/>
          <w:b w:val="0"/>
          <w:lang w:eastAsia="ko-KR"/>
        </w:rPr>
        <w:t>the Secretariat can provide additional support.</w:t>
      </w:r>
    </w:p>
    <w:p w14:paraId="29844F78" w14:textId="77777777" w:rsidR="00A31651" w:rsidRDefault="00A31651" w:rsidP="00A31651">
      <w:pPr>
        <w:pStyle w:val="Heading2"/>
        <w:widowControl/>
        <w:ind w:left="426" w:hanging="426"/>
        <w:rPr>
          <w:rFonts w:asciiTheme="minorHAnsi" w:eastAsiaTheme="minorEastAsia" w:hAnsiTheme="minorHAnsi" w:cstheme="minorHAnsi"/>
          <w:b w:val="0"/>
          <w:lang w:eastAsia="ko-KR"/>
        </w:rPr>
      </w:pPr>
    </w:p>
    <w:p w14:paraId="74B58E20" w14:textId="584A80AA" w:rsidR="00A31651" w:rsidRPr="00A31651" w:rsidRDefault="00A31651" w:rsidP="00BE024C">
      <w:pPr>
        <w:pStyle w:val="Heading2"/>
        <w:widowControl/>
        <w:ind w:left="426" w:hanging="426"/>
        <w:rPr>
          <w:rFonts w:asciiTheme="minorHAnsi" w:eastAsiaTheme="minorEastAsia" w:hAnsiTheme="minorHAnsi" w:cstheme="minorHAnsi"/>
          <w:b w:val="0"/>
          <w:lang w:eastAsia="ko-KR"/>
        </w:rPr>
      </w:pPr>
      <w:r w:rsidRPr="00A31651">
        <w:rPr>
          <w:rFonts w:asciiTheme="minorHAnsi" w:eastAsiaTheme="minorEastAsia" w:hAnsiTheme="minorHAnsi" w:cstheme="minorHAnsi" w:hint="eastAsia"/>
          <w:b w:val="0"/>
          <w:lang w:eastAsia="ko-KR"/>
        </w:rPr>
        <w:t>6.</w:t>
      </w:r>
      <w:r w:rsidRPr="00A31651">
        <w:rPr>
          <w:rFonts w:asciiTheme="minorHAnsi" w:eastAsiaTheme="minorEastAsia" w:hAnsiTheme="minorHAnsi" w:cstheme="minorHAnsi"/>
          <w:b w:val="0"/>
          <w:lang w:eastAsia="ko-KR"/>
        </w:rPr>
        <w:tab/>
      </w:r>
      <w:r w:rsidR="00BE024C" w:rsidRPr="00BE024C">
        <w:rPr>
          <w:rFonts w:asciiTheme="minorHAnsi" w:eastAsiaTheme="minorEastAsia" w:hAnsiTheme="minorHAnsi" w:cstheme="minorHAnsi"/>
          <w:b w:val="0"/>
          <w:lang w:eastAsia="ko-KR"/>
        </w:rPr>
        <w:t>The volume and scale of RRI activities have expanded during the 2023</w:t>
      </w:r>
      <w:r w:rsidR="00012200">
        <w:rPr>
          <w:rFonts w:asciiTheme="minorHAnsi" w:eastAsiaTheme="minorEastAsia" w:hAnsiTheme="minorHAnsi" w:cstheme="minorHAnsi"/>
          <w:b w:val="0"/>
          <w:lang w:eastAsia="ko-KR"/>
        </w:rPr>
        <w:t>-</w:t>
      </w:r>
      <w:r w:rsidR="00BE024C" w:rsidRPr="00BE024C">
        <w:rPr>
          <w:rFonts w:asciiTheme="minorHAnsi" w:eastAsiaTheme="minorEastAsia" w:hAnsiTheme="minorHAnsi" w:cstheme="minorHAnsi"/>
          <w:b w:val="0"/>
          <w:lang w:eastAsia="ko-KR"/>
        </w:rPr>
        <w:t xml:space="preserve">2025 triennium. The total estimated expenditure by RRIs in 2024 </w:t>
      </w:r>
      <w:r w:rsidR="00012200">
        <w:rPr>
          <w:rFonts w:asciiTheme="minorHAnsi" w:eastAsiaTheme="minorEastAsia" w:hAnsiTheme="minorHAnsi" w:cstheme="minorHAnsi"/>
          <w:b w:val="0"/>
          <w:lang w:eastAsia="ko-KR"/>
        </w:rPr>
        <w:t>was</w:t>
      </w:r>
      <w:r w:rsidR="00012200" w:rsidRPr="00BE024C">
        <w:rPr>
          <w:rFonts w:asciiTheme="minorHAnsi" w:eastAsiaTheme="minorEastAsia" w:hAnsiTheme="minorHAnsi" w:cstheme="minorHAnsi"/>
          <w:b w:val="0"/>
          <w:lang w:eastAsia="ko-KR"/>
        </w:rPr>
        <w:t xml:space="preserve"> </w:t>
      </w:r>
      <w:r w:rsidR="00BE024C" w:rsidRPr="00BE024C">
        <w:rPr>
          <w:rFonts w:asciiTheme="minorHAnsi" w:eastAsiaTheme="minorEastAsia" w:hAnsiTheme="minorHAnsi" w:cstheme="minorHAnsi"/>
          <w:b w:val="0"/>
          <w:lang w:eastAsia="ko-KR"/>
        </w:rPr>
        <w:t>CHF 3.9 million, reflecting an upward trend from CHF 2.7 million in 2022 and CHF 3.4 million in 2023.</w:t>
      </w:r>
      <w:r w:rsidRPr="00A31651">
        <w:rPr>
          <w:rStyle w:val="FootnoteReference"/>
          <w:rFonts w:asciiTheme="minorHAnsi" w:hAnsiTheme="minorHAnsi"/>
          <w:b w:val="0"/>
        </w:rPr>
        <w:footnoteReference w:id="4"/>
      </w:r>
      <w:r w:rsidRPr="00A31651">
        <w:rPr>
          <w:rFonts w:asciiTheme="minorHAnsi" w:hAnsiTheme="minorHAnsi"/>
          <w:b w:val="0"/>
        </w:rPr>
        <w:t xml:space="preserve"> </w:t>
      </w:r>
    </w:p>
    <w:p w14:paraId="217EAFEB" w14:textId="77777777" w:rsidR="00A31651" w:rsidRDefault="00A31651" w:rsidP="00A31651"/>
    <w:p w14:paraId="6767B005" w14:textId="3801D797" w:rsidR="00E062D8" w:rsidRPr="00E062D8" w:rsidRDefault="00E062D8" w:rsidP="00E062D8">
      <w:pPr>
        <w:pStyle w:val="Heading2"/>
        <w:widowControl/>
        <w:ind w:left="426" w:hanging="426"/>
        <w:rPr>
          <w:rFonts w:asciiTheme="minorHAnsi" w:eastAsiaTheme="minorEastAsia" w:hAnsiTheme="minorHAnsi"/>
          <w:b w:val="0"/>
          <w:lang w:eastAsia="ko-KR"/>
        </w:rPr>
      </w:pPr>
      <w:r w:rsidRPr="00E062D8">
        <w:rPr>
          <w:rFonts w:asciiTheme="minorHAnsi" w:eastAsiaTheme="minorEastAsia" w:hAnsiTheme="minorHAnsi" w:hint="eastAsia"/>
          <w:b w:val="0"/>
          <w:lang w:eastAsia="ko-KR"/>
        </w:rPr>
        <w:t xml:space="preserve">7. </w:t>
      </w:r>
      <w:r w:rsidRPr="00E062D8">
        <w:rPr>
          <w:rFonts w:asciiTheme="minorHAnsi" w:eastAsiaTheme="minorEastAsia" w:hAnsiTheme="minorHAnsi"/>
          <w:b w:val="0"/>
          <w:lang w:eastAsia="ko-KR"/>
        </w:rPr>
        <w:tab/>
      </w:r>
      <w:r w:rsidRPr="00E062D8">
        <w:rPr>
          <w:rFonts w:asciiTheme="minorHAnsi" w:eastAsiaTheme="minorEastAsia" w:hAnsiTheme="minorHAnsi" w:hint="eastAsia"/>
          <w:b w:val="0"/>
          <w:lang w:eastAsia="ko-KR"/>
        </w:rPr>
        <w:t xml:space="preserve">Based on the reports received, RRIs </w:t>
      </w:r>
      <w:r w:rsidRPr="00E062D8">
        <w:rPr>
          <w:rFonts w:asciiTheme="minorHAnsi" w:eastAsiaTheme="minorEastAsia" w:hAnsiTheme="minorHAnsi"/>
          <w:b w:val="0"/>
          <w:lang w:eastAsia="ko-KR"/>
        </w:rPr>
        <w:t>have</w:t>
      </w:r>
      <w:r w:rsidRPr="00E062D8">
        <w:rPr>
          <w:rFonts w:asciiTheme="minorHAnsi" w:eastAsiaTheme="minorEastAsia" w:hAnsiTheme="minorHAnsi" w:hint="eastAsia"/>
          <w:b w:val="0"/>
          <w:lang w:eastAsia="ko-KR"/>
        </w:rPr>
        <w:t xml:space="preserve"> contributed significantly to </w:t>
      </w:r>
      <w:r w:rsidRPr="00E062D8">
        <w:rPr>
          <w:rFonts w:asciiTheme="minorHAnsi" w:eastAsiaTheme="minorEastAsia" w:hAnsiTheme="minorHAnsi"/>
          <w:b w:val="0"/>
          <w:lang w:eastAsia="ko-KR"/>
        </w:rPr>
        <w:t>regional</w:t>
      </w:r>
      <w:r w:rsidRPr="00E062D8">
        <w:rPr>
          <w:rFonts w:asciiTheme="minorHAnsi" w:eastAsiaTheme="minorEastAsia" w:hAnsiTheme="minorHAnsi" w:hint="eastAsia"/>
          <w:b w:val="0"/>
          <w:lang w:eastAsia="ko-KR"/>
        </w:rPr>
        <w:t xml:space="preserve"> cooperation among Contracting Parties, including:</w:t>
      </w:r>
    </w:p>
    <w:p w14:paraId="028753CD" w14:textId="77777777" w:rsidR="00E062D8" w:rsidRDefault="00E062D8" w:rsidP="00A31651">
      <w:pPr>
        <w:widowControl/>
        <w:contextualSpacing/>
        <w:rPr>
          <w:lang w:val="en-GB"/>
        </w:rPr>
      </w:pPr>
    </w:p>
    <w:p w14:paraId="27C6DA3F" w14:textId="77777777" w:rsidR="00E062D8" w:rsidRPr="00E062D8" w:rsidRDefault="00E062D8" w:rsidP="00E062D8">
      <w:pPr>
        <w:pStyle w:val="ListParagraph"/>
        <w:widowControl/>
        <w:numPr>
          <w:ilvl w:val="0"/>
          <w:numId w:val="23"/>
        </w:numPr>
        <w:contextualSpacing/>
        <w:rPr>
          <w:lang w:val="en-GB"/>
        </w:rPr>
      </w:pPr>
      <w:r w:rsidRPr="00E062D8">
        <w:rPr>
          <w:lang w:val="en-GB"/>
        </w:rPr>
        <w:t>The convening of at least one coordination meeting by most RRIs;</w:t>
      </w:r>
    </w:p>
    <w:p w14:paraId="12AF6354" w14:textId="5CE00472" w:rsidR="00E062D8" w:rsidRPr="00E062D8" w:rsidRDefault="00E062D8" w:rsidP="00E062D8">
      <w:pPr>
        <w:pStyle w:val="ListParagraph"/>
        <w:widowControl/>
        <w:numPr>
          <w:ilvl w:val="0"/>
          <w:numId w:val="23"/>
        </w:numPr>
        <w:contextualSpacing/>
        <w:rPr>
          <w:lang w:val="en-GB"/>
        </w:rPr>
      </w:pPr>
      <w:r w:rsidRPr="00E062D8">
        <w:rPr>
          <w:lang w:val="en-GB"/>
        </w:rPr>
        <w:t xml:space="preserve">The organization or support of </w:t>
      </w:r>
      <w:bookmarkStart w:id="1" w:name="_Hlk196396159"/>
      <w:r w:rsidR="00DF38C9">
        <w:rPr>
          <w:lang w:val="en-GB"/>
        </w:rPr>
        <w:t>c</w:t>
      </w:r>
      <w:r w:rsidR="00DF38C9" w:rsidRPr="00E062D8">
        <w:rPr>
          <w:lang w:val="en-GB"/>
        </w:rPr>
        <w:t>ommunication</w:t>
      </w:r>
      <w:r w:rsidRPr="00E062D8">
        <w:rPr>
          <w:lang w:val="en-GB"/>
        </w:rPr>
        <w:t xml:space="preserve">, </w:t>
      </w:r>
      <w:r w:rsidR="00DF38C9">
        <w:rPr>
          <w:lang w:val="en-GB"/>
        </w:rPr>
        <w:t>capacity building, e</w:t>
      </w:r>
      <w:r w:rsidRPr="00E062D8">
        <w:rPr>
          <w:lang w:val="en-GB"/>
        </w:rPr>
        <w:t xml:space="preserve">ducation, </w:t>
      </w:r>
      <w:r w:rsidR="00DF38C9">
        <w:rPr>
          <w:lang w:val="en-GB"/>
        </w:rPr>
        <w:t>p</w:t>
      </w:r>
      <w:r w:rsidRPr="00E062D8">
        <w:rPr>
          <w:lang w:val="en-GB"/>
        </w:rPr>
        <w:t xml:space="preserve">articipation and </w:t>
      </w:r>
      <w:r w:rsidR="00DF38C9">
        <w:rPr>
          <w:lang w:val="en-GB"/>
        </w:rPr>
        <w:t>a</w:t>
      </w:r>
      <w:r w:rsidRPr="00E062D8">
        <w:rPr>
          <w:lang w:val="en-GB"/>
        </w:rPr>
        <w:t xml:space="preserve">wareness (CEPA) </w:t>
      </w:r>
      <w:bookmarkEnd w:id="1"/>
      <w:r w:rsidRPr="00E062D8">
        <w:rPr>
          <w:lang w:val="en-GB"/>
        </w:rPr>
        <w:t>activities, including the celebration of World Wetlands Day;</w:t>
      </w:r>
    </w:p>
    <w:p w14:paraId="6D824915" w14:textId="5656CE79" w:rsidR="00E062D8" w:rsidRPr="00E062D8" w:rsidRDefault="00E062D8" w:rsidP="00E062D8">
      <w:pPr>
        <w:pStyle w:val="ListParagraph"/>
        <w:widowControl/>
        <w:numPr>
          <w:ilvl w:val="0"/>
          <w:numId w:val="23"/>
        </w:numPr>
        <w:contextualSpacing/>
        <w:rPr>
          <w:lang w:val="en-GB"/>
        </w:rPr>
      </w:pPr>
      <w:r w:rsidRPr="00E062D8">
        <w:rPr>
          <w:lang w:val="en-GB"/>
        </w:rPr>
        <w:t>The conduct of regional policy assessments on themes such as climate change, invasive species, and management</w:t>
      </w:r>
      <w:r w:rsidR="00DF38C9">
        <w:rPr>
          <w:lang w:val="en-GB"/>
        </w:rPr>
        <w:t xml:space="preserve"> of Wetlands of International Importance</w:t>
      </w:r>
      <w:r w:rsidRPr="00E062D8">
        <w:rPr>
          <w:lang w:val="en-GB"/>
        </w:rPr>
        <w:t>;</w:t>
      </w:r>
      <w:r w:rsidR="00DF38C9">
        <w:rPr>
          <w:lang w:val="en-GB"/>
        </w:rPr>
        <w:t xml:space="preserve"> and</w:t>
      </w:r>
    </w:p>
    <w:p w14:paraId="3A3A93FB" w14:textId="77777777" w:rsidR="00E062D8" w:rsidRPr="00E062D8" w:rsidRDefault="00E062D8" w:rsidP="00E062D8">
      <w:pPr>
        <w:pStyle w:val="ListParagraph"/>
        <w:widowControl/>
        <w:numPr>
          <w:ilvl w:val="0"/>
          <w:numId w:val="23"/>
        </w:numPr>
        <w:contextualSpacing/>
        <w:rPr>
          <w:lang w:val="en-GB"/>
        </w:rPr>
      </w:pPr>
      <w:r w:rsidRPr="00E062D8">
        <w:rPr>
          <w:lang w:val="en-GB"/>
        </w:rPr>
        <w:t>Engagement in resource mobilization through the development of funding proposals and the establishment of sustainable financing platforms.</w:t>
      </w:r>
    </w:p>
    <w:p w14:paraId="3C15B4D3" w14:textId="77777777" w:rsidR="00E062D8" w:rsidRPr="00E062D8" w:rsidRDefault="00E062D8" w:rsidP="00A31651">
      <w:pPr>
        <w:widowControl/>
        <w:contextualSpacing/>
        <w:rPr>
          <w:lang w:val="en-GB"/>
        </w:rPr>
      </w:pPr>
    </w:p>
    <w:p w14:paraId="627099C6" w14:textId="77777777" w:rsidR="00E062D8" w:rsidRDefault="00A31651" w:rsidP="00A31651">
      <w:pPr>
        <w:pStyle w:val="Heading2"/>
        <w:widowControl/>
        <w:ind w:left="426" w:hanging="426"/>
        <w:rPr>
          <w:rFonts w:asciiTheme="minorHAnsi" w:eastAsiaTheme="minorEastAsia" w:hAnsiTheme="minorHAnsi"/>
          <w:b w:val="0"/>
          <w:lang w:eastAsia="ko-KR"/>
        </w:rPr>
      </w:pPr>
      <w:r w:rsidRPr="00A31651">
        <w:rPr>
          <w:rFonts w:asciiTheme="minorHAnsi" w:eastAsiaTheme="minorEastAsia" w:hAnsiTheme="minorHAnsi" w:hint="eastAsia"/>
          <w:b w:val="0"/>
          <w:lang w:eastAsia="ko-KR"/>
        </w:rPr>
        <w:t>8</w:t>
      </w:r>
      <w:r w:rsidRPr="00A31651">
        <w:rPr>
          <w:rFonts w:asciiTheme="minorHAnsi" w:eastAsiaTheme="minorEastAsia" w:hAnsiTheme="minorHAnsi"/>
          <w:b w:val="0"/>
          <w:lang w:eastAsia="ko-KR"/>
        </w:rPr>
        <w:t>.</w:t>
      </w:r>
      <w:r w:rsidRPr="00A31651">
        <w:rPr>
          <w:rFonts w:asciiTheme="minorHAnsi" w:eastAsiaTheme="minorEastAsia" w:hAnsiTheme="minorHAnsi"/>
          <w:b w:val="0"/>
          <w:lang w:eastAsia="ko-KR"/>
        </w:rPr>
        <w:tab/>
      </w:r>
      <w:r w:rsidR="00E062D8" w:rsidRPr="00E062D8">
        <w:rPr>
          <w:rFonts w:asciiTheme="minorHAnsi" w:eastAsiaTheme="minorEastAsia" w:hAnsiTheme="minorHAnsi"/>
          <w:b w:val="0"/>
          <w:lang w:eastAsia="ko-KR"/>
        </w:rPr>
        <w:t>Challenges commonly reported by RRIs include limited financial resources and constraints in coordination among participating countries.</w:t>
      </w:r>
    </w:p>
    <w:p w14:paraId="5E24AD4D" w14:textId="77777777" w:rsidR="00E062D8" w:rsidRDefault="00E062D8" w:rsidP="00A31651">
      <w:pPr>
        <w:pStyle w:val="Heading2"/>
        <w:widowControl/>
        <w:ind w:left="426" w:hanging="426"/>
        <w:rPr>
          <w:rFonts w:asciiTheme="minorHAnsi" w:eastAsiaTheme="minorEastAsia" w:hAnsiTheme="minorHAnsi"/>
          <w:b w:val="0"/>
          <w:lang w:eastAsia="ko-KR"/>
        </w:rPr>
      </w:pPr>
    </w:p>
    <w:p w14:paraId="4676F34E" w14:textId="5C60CF86" w:rsidR="00E062D8" w:rsidRDefault="00794DB0" w:rsidP="00E062D8">
      <w:pPr>
        <w:pStyle w:val="Heading2"/>
        <w:widowControl/>
        <w:ind w:left="426" w:hanging="426"/>
        <w:rPr>
          <w:rFonts w:asciiTheme="minorHAnsi" w:eastAsiaTheme="minorEastAsia" w:hAnsiTheme="minorHAnsi"/>
          <w:b w:val="0"/>
          <w:lang w:eastAsia="ko-KR"/>
        </w:rPr>
      </w:pPr>
      <w:r>
        <w:rPr>
          <w:rFonts w:asciiTheme="minorHAnsi" w:eastAsiaTheme="minorEastAsia" w:hAnsiTheme="minorHAnsi" w:hint="eastAsia"/>
          <w:b w:val="0"/>
          <w:lang w:eastAsia="ko-KR"/>
        </w:rPr>
        <w:t xml:space="preserve">9. </w:t>
      </w:r>
      <w:r>
        <w:rPr>
          <w:rFonts w:asciiTheme="minorHAnsi" w:eastAsiaTheme="minorEastAsia" w:hAnsiTheme="minorHAnsi"/>
          <w:b w:val="0"/>
          <w:lang w:eastAsia="ko-KR"/>
        </w:rPr>
        <w:tab/>
      </w:r>
      <w:r w:rsidR="00E062D8" w:rsidRPr="00E062D8">
        <w:rPr>
          <w:rFonts w:asciiTheme="minorHAnsi" w:eastAsiaTheme="minorEastAsia" w:hAnsiTheme="minorHAnsi"/>
          <w:b w:val="0"/>
          <w:lang w:eastAsia="ko-KR"/>
        </w:rPr>
        <w:t>While some RRIs have shown notable growth, others have encountered difficulties in sustaining operations. This has resulted in a growing number of RRIs failing to submit their annual reports. The table below identifies the RRIs that did not submit reports during one or more reporting years in the current triennium.</w:t>
      </w:r>
    </w:p>
    <w:p w14:paraId="74AA33D2" w14:textId="77777777" w:rsidR="00794DB0" w:rsidRDefault="00794DB0" w:rsidP="00A31651">
      <w:pPr>
        <w:pStyle w:val="Heading2"/>
        <w:widowControl/>
        <w:ind w:left="426" w:hanging="426"/>
        <w:rPr>
          <w:rFonts w:asciiTheme="minorHAnsi" w:eastAsiaTheme="minorEastAsia" w:hAnsiTheme="minorHAnsi"/>
          <w:b w:val="0"/>
          <w:lang w:eastAsia="ko-KR"/>
        </w:rPr>
      </w:pPr>
    </w:p>
    <w:p w14:paraId="2AA2DC2B" w14:textId="248FA6E2" w:rsidR="00794DB0" w:rsidRPr="00AD4059" w:rsidRDefault="00794DB0" w:rsidP="00C444E3">
      <w:pPr>
        <w:ind w:left="425"/>
        <w:rPr>
          <w:i/>
          <w:lang w:eastAsia="ko-KR"/>
        </w:rPr>
      </w:pPr>
      <w:r w:rsidRPr="00AD4059">
        <w:rPr>
          <w:i/>
        </w:rPr>
        <w:t>Table 1: R</w:t>
      </w:r>
      <w:r>
        <w:rPr>
          <w:i/>
        </w:rPr>
        <w:t xml:space="preserve">amsar </w:t>
      </w:r>
      <w:r w:rsidRPr="00AD4059">
        <w:rPr>
          <w:i/>
        </w:rPr>
        <w:t>R</w:t>
      </w:r>
      <w:r>
        <w:rPr>
          <w:i/>
        </w:rPr>
        <w:t xml:space="preserve">egional </w:t>
      </w:r>
      <w:r w:rsidRPr="00AD4059">
        <w:rPr>
          <w:i/>
        </w:rPr>
        <w:t>I</w:t>
      </w:r>
      <w:r>
        <w:rPr>
          <w:i/>
        </w:rPr>
        <w:t>nitiative</w:t>
      </w:r>
      <w:r w:rsidRPr="00AD4059">
        <w:rPr>
          <w:i/>
        </w:rPr>
        <w:t>s that have not submitted a report, 20</w:t>
      </w:r>
      <w:r>
        <w:rPr>
          <w:i/>
        </w:rPr>
        <w:t>2</w:t>
      </w:r>
      <w:r>
        <w:rPr>
          <w:rFonts w:hint="eastAsia"/>
          <w:i/>
          <w:lang w:eastAsia="ko-KR"/>
        </w:rPr>
        <w:t>2</w:t>
      </w:r>
      <w:r w:rsidRPr="00AD4059">
        <w:rPr>
          <w:i/>
        </w:rPr>
        <w:t>-</w:t>
      </w:r>
      <w:r w:rsidR="00DF38C9" w:rsidRPr="00AD4059">
        <w:rPr>
          <w:i/>
        </w:rPr>
        <w:t>202</w:t>
      </w:r>
      <w:r w:rsidR="00DF38C9">
        <w:rPr>
          <w:i/>
          <w:lang w:eastAsia="ko-KR"/>
        </w:rPr>
        <w:t>5</w:t>
      </w:r>
    </w:p>
    <w:tbl>
      <w:tblPr>
        <w:tblStyle w:val="TableGrid"/>
        <w:tblW w:w="8642" w:type="dxa"/>
        <w:tblInd w:w="425" w:type="dxa"/>
        <w:tblLook w:val="04A0" w:firstRow="1" w:lastRow="0" w:firstColumn="1" w:lastColumn="0" w:noHBand="0" w:noVBand="1"/>
      </w:tblPr>
      <w:tblGrid>
        <w:gridCol w:w="2546"/>
        <w:gridCol w:w="1844"/>
        <w:gridCol w:w="2126"/>
        <w:gridCol w:w="2126"/>
      </w:tblGrid>
      <w:tr w:rsidR="00794DB0" w:rsidRPr="006B3399" w14:paraId="75CBF2DE" w14:textId="77777777" w:rsidTr="00794DB0">
        <w:trPr>
          <w:trHeight w:val="269"/>
        </w:trPr>
        <w:tc>
          <w:tcPr>
            <w:tcW w:w="2546" w:type="dxa"/>
            <w:shd w:val="clear" w:color="auto" w:fill="DBE5F1" w:themeFill="accent1" w:themeFillTint="33"/>
          </w:tcPr>
          <w:p w14:paraId="44E527F3" w14:textId="77777777" w:rsidR="00794DB0" w:rsidRPr="006B3399" w:rsidRDefault="00794DB0" w:rsidP="00AE6780">
            <w:pPr>
              <w:jc w:val="center"/>
              <w:rPr>
                <w:b/>
              </w:rPr>
            </w:pPr>
            <w:r w:rsidRPr="006B3399">
              <w:rPr>
                <w:b/>
              </w:rPr>
              <w:t>Reporting period</w:t>
            </w:r>
          </w:p>
        </w:tc>
        <w:tc>
          <w:tcPr>
            <w:tcW w:w="1844" w:type="dxa"/>
            <w:shd w:val="clear" w:color="auto" w:fill="DBE5F1" w:themeFill="accent1" w:themeFillTint="33"/>
          </w:tcPr>
          <w:p w14:paraId="5588A6EE" w14:textId="77777777" w:rsidR="00794DB0" w:rsidRPr="006B3399" w:rsidRDefault="00794DB0" w:rsidP="00AE6780">
            <w:pPr>
              <w:jc w:val="center"/>
              <w:rPr>
                <w:b/>
              </w:rPr>
            </w:pPr>
            <w:r w:rsidRPr="006B3399">
              <w:rPr>
                <w:b/>
              </w:rPr>
              <w:t>2022-2023</w:t>
            </w:r>
          </w:p>
        </w:tc>
        <w:tc>
          <w:tcPr>
            <w:tcW w:w="2126" w:type="dxa"/>
            <w:shd w:val="clear" w:color="auto" w:fill="DBE5F1" w:themeFill="accent1" w:themeFillTint="33"/>
          </w:tcPr>
          <w:p w14:paraId="7678EAA6" w14:textId="77777777" w:rsidR="00794DB0" w:rsidRPr="006B3399" w:rsidRDefault="00794DB0" w:rsidP="00AE6780">
            <w:pPr>
              <w:jc w:val="center"/>
              <w:rPr>
                <w:b/>
              </w:rPr>
            </w:pPr>
            <w:r w:rsidRPr="006B3399">
              <w:rPr>
                <w:b/>
              </w:rPr>
              <w:t>2023-2024</w:t>
            </w:r>
          </w:p>
        </w:tc>
        <w:tc>
          <w:tcPr>
            <w:tcW w:w="2126" w:type="dxa"/>
            <w:shd w:val="clear" w:color="auto" w:fill="DBE5F1" w:themeFill="accent1" w:themeFillTint="33"/>
          </w:tcPr>
          <w:p w14:paraId="17CEDB9E" w14:textId="77777777" w:rsidR="00794DB0" w:rsidRPr="00687331" w:rsidRDefault="00794DB0" w:rsidP="00AE6780">
            <w:pPr>
              <w:jc w:val="center"/>
              <w:rPr>
                <w:rFonts w:eastAsia="Malgun Gothic"/>
                <w:b/>
                <w:lang w:eastAsia="ko-KR"/>
              </w:rPr>
            </w:pPr>
            <w:r>
              <w:rPr>
                <w:rFonts w:eastAsia="Malgun Gothic" w:hint="eastAsia"/>
                <w:b/>
                <w:lang w:eastAsia="ko-KR"/>
              </w:rPr>
              <w:t>2024-2025</w:t>
            </w:r>
          </w:p>
        </w:tc>
      </w:tr>
      <w:tr w:rsidR="00794DB0" w:rsidRPr="00643408" w14:paraId="14892600" w14:textId="77777777" w:rsidTr="00794DB0">
        <w:trPr>
          <w:trHeight w:val="70"/>
        </w:trPr>
        <w:tc>
          <w:tcPr>
            <w:tcW w:w="2546" w:type="dxa"/>
          </w:tcPr>
          <w:p w14:paraId="2C3130E0" w14:textId="77777777" w:rsidR="00794DB0" w:rsidRPr="00643408" w:rsidRDefault="00794DB0" w:rsidP="00AE6780">
            <w:r w:rsidRPr="00643408">
              <w:t>BlackSeaWet</w:t>
            </w:r>
          </w:p>
        </w:tc>
        <w:tc>
          <w:tcPr>
            <w:tcW w:w="1844" w:type="dxa"/>
          </w:tcPr>
          <w:p w14:paraId="2B04BF44" w14:textId="77777777" w:rsidR="00794DB0" w:rsidRPr="00643408" w:rsidRDefault="00794DB0" w:rsidP="00AE6780">
            <w:pPr>
              <w:jc w:val="center"/>
            </w:pPr>
            <w:r w:rsidRPr="00643408">
              <w:t>X</w:t>
            </w:r>
          </w:p>
        </w:tc>
        <w:tc>
          <w:tcPr>
            <w:tcW w:w="2126" w:type="dxa"/>
          </w:tcPr>
          <w:p w14:paraId="702A5BC8" w14:textId="77777777" w:rsidR="00794DB0" w:rsidRPr="00643408" w:rsidRDefault="00794DB0" w:rsidP="00AE6780">
            <w:pPr>
              <w:jc w:val="center"/>
            </w:pPr>
          </w:p>
        </w:tc>
        <w:tc>
          <w:tcPr>
            <w:tcW w:w="2126" w:type="dxa"/>
          </w:tcPr>
          <w:p w14:paraId="240FFDD2" w14:textId="77777777" w:rsidR="00794DB0" w:rsidRPr="00643408" w:rsidRDefault="00794DB0" w:rsidP="00AE6780">
            <w:pPr>
              <w:jc w:val="center"/>
            </w:pPr>
          </w:p>
        </w:tc>
      </w:tr>
      <w:tr w:rsidR="00794DB0" w:rsidRPr="00643408" w14:paraId="134D912B" w14:textId="77777777" w:rsidTr="00794DB0">
        <w:trPr>
          <w:trHeight w:val="269"/>
        </w:trPr>
        <w:tc>
          <w:tcPr>
            <w:tcW w:w="2546" w:type="dxa"/>
          </w:tcPr>
          <w:p w14:paraId="6C839721" w14:textId="77777777" w:rsidR="00794DB0" w:rsidRPr="00643408" w:rsidRDefault="00794DB0" w:rsidP="00AE6780">
            <w:r>
              <w:t>CariWet</w:t>
            </w:r>
          </w:p>
        </w:tc>
        <w:tc>
          <w:tcPr>
            <w:tcW w:w="1844" w:type="dxa"/>
          </w:tcPr>
          <w:p w14:paraId="5A9D7D74" w14:textId="77777777" w:rsidR="00794DB0" w:rsidRPr="00643408" w:rsidRDefault="00794DB0" w:rsidP="00AE6780">
            <w:pPr>
              <w:jc w:val="center"/>
            </w:pPr>
          </w:p>
        </w:tc>
        <w:tc>
          <w:tcPr>
            <w:tcW w:w="2126" w:type="dxa"/>
          </w:tcPr>
          <w:p w14:paraId="66E2A4D4" w14:textId="77777777" w:rsidR="00794DB0" w:rsidRPr="00643408" w:rsidRDefault="00794DB0" w:rsidP="00AE6780">
            <w:pPr>
              <w:jc w:val="center"/>
            </w:pPr>
            <w:r w:rsidRPr="00643408">
              <w:t>X</w:t>
            </w:r>
          </w:p>
        </w:tc>
        <w:tc>
          <w:tcPr>
            <w:tcW w:w="2126" w:type="dxa"/>
          </w:tcPr>
          <w:p w14:paraId="1FDA431E" w14:textId="77777777" w:rsidR="00794DB0" w:rsidRPr="00643408" w:rsidRDefault="00794DB0" w:rsidP="00AE6780">
            <w:pPr>
              <w:jc w:val="center"/>
            </w:pPr>
            <w:r w:rsidRPr="00643408">
              <w:t>X</w:t>
            </w:r>
          </w:p>
        </w:tc>
      </w:tr>
      <w:tr w:rsidR="00794DB0" w:rsidRPr="00643408" w14:paraId="4FBCD1E6" w14:textId="77777777" w:rsidTr="00794DB0">
        <w:trPr>
          <w:trHeight w:val="269"/>
        </w:trPr>
        <w:tc>
          <w:tcPr>
            <w:tcW w:w="2546" w:type="dxa"/>
          </w:tcPr>
          <w:p w14:paraId="45D484C6" w14:textId="77777777" w:rsidR="00794DB0" w:rsidRDefault="00794DB0" w:rsidP="00AE6780">
            <w:r w:rsidRPr="00643408">
              <w:t>High Andean Wetlands</w:t>
            </w:r>
          </w:p>
        </w:tc>
        <w:tc>
          <w:tcPr>
            <w:tcW w:w="1844" w:type="dxa"/>
          </w:tcPr>
          <w:p w14:paraId="1F55411D" w14:textId="77777777" w:rsidR="00794DB0" w:rsidRPr="00643408" w:rsidRDefault="00794DB0" w:rsidP="00AE6780">
            <w:pPr>
              <w:jc w:val="center"/>
            </w:pPr>
          </w:p>
        </w:tc>
        <w:tc>
          <w:tcPr>
            <w:tcW w:w="2126" w:type="dxa"/>
          </w:tcPr>
          <w:p w14:paraId="24AFC556" w14:textId="77777777" w:rsidR="00794DB0" w:rsidRPr="00643408" w:rsidRDefault="00794DB0" w:rsidP="00AE6780">
            <w:pPr>
              <w:jc w:val="center"/>
            </w:pPr>
            <w:r w:rsidRPr="00643408">
              <w:t>X</w:t>
            </w:r>
          </w:p>
        </w:tc>
        <w:tc>
          <w:tcPr>
            <w:tcW w:w="2126" w:type="dxa"/>
          </w:tcPr>
          <w:p w14:paraId="063238E1" w14:textId="77777777" w:rsidR="00794DB0" w:rsidRPr="00643408" w:rsidRDefault="00794DB0" w:rsidP="00AE6780">
            <w:pPr>
              <w:jc w:val="center"/>
            </w:pPr>
            <w:r w:rsidRPr="00643408">
              <w:t>X</w:t>
            </w:r>
          </w:p>
        </w:tc>
      </w:tr>
      <w:tr w:rsidR="00794DB0" w:rsidRPr="00643408" w14:paraId="072A8ED9" w14:textId="77777777" w:rsidTr="00794DB0">
        <w:trPr>
          <w:trHeight w:val="269"/>
        </w:trPr>
        <w:tc>
          <w:tcPr>
            <w:tcW w:w="2546" w:type="dxa"/>
          </w:tcPr>
          <w:p w14:paraId="19CD4D4F" w14:textId="77777777" w:rsidR="00794DB0" w:rsidRPr="00687331" w:rsidRDefault="00794DB0" w:rsidP="00AE6780">
            <w:pPr>
              <w:rPr>
                <w:rFonts w:eastAsia="Malgun Gothic"/>
                <w:lang w:eastAsia="ko-KR"/>
              </w:rPr>
            </w:pPr>
            <w:r>
              <w:rPr>
                <w:rFonts w:eastAsia="Malgun Gothic" w:hint="eastAsia"/>
                <w:lang w:eastAsia="ko-KR"/>
              </w:rPr>
              <w:t>La Plata RRI</w:t>
            </w:r>
          </w:p>
        </w:tc>
        <w:tc>
          <w:tcPr>
            <w:tcW w:w="1844" w:type="dxa"/>
          </w:tcPr>
          <w:p w14:paraId="697FB3EC" w14:textId="77777777" w:rsidR="00794DB0" w:rsidRPr="00643408" w:rsidRDefault="00794DB0" w:rsidP="00AE6780">
            <w:pPr>
              <w:jc w:val="center"/>
            </w:pPr>
          </w:p>
        </w:tc>
        <w:tc>
          <w:tcPr>
            <w:tcW w:w="2126" w:type="dxa"/>
          </w:tcPr>
          <w:p w14:paraId="63264C95" w14:textId="77777777" w:rsidR="00794DB0" w:rsidRPr="00643408" w:rsidRDefault="00794DB0" w:rsidP="00AE6780">
            <w:pPr>
              <w:jc w:val="center"/>
            </w:pPr>
          </w:p>
        </w:tc>
        <w:tc>
          <w:tcPr>
            <w:tcW w:w="2126" w:type="dxa"/>
          </w:tcPr>
          <w:p w14:paraId="4F54E6E4" w14:textId="77777777" w:rsidR="00794DB0" w:rsidRPr="00643408" w:rsidRDefault="00794DB0" w:rsidP="00AE6780">
            <w:pPr>
              <w:jc w:val="center"/>
            </w:pPr>
            <w:r w:rsidRPr="00643408">
              <w:t>X</w:t>
            </w:r>
          </w:p>
        </w:tc>
      </w:tr>
      <w:tr w:rsidR="00794DB0" w:rsidRPr="00643408" w14:paraId="5814674D" w14:textId="77777777" w:rsidTr="00794DB0">
        <w:trPr>
          <w:trHeight w:val="269"/>
        </w:trPr>
        <w:tc>
          <w:tcPr>
            <w:tcW w:w="2546" w:type="dxa"/>
          </w:tcPr>
          <w:p w14:paraId="06B6E264" w14:textId="77777777" w:rsidR="00794DB0" w:rsidRPr="00643408" w:rsidRDefault="00794DB0" w:rsidP="00AE6780">
            <w:r>
              <w:t>Mangrove &amp; Coral Reefs</w:t>
            </w:r>
          </w:p>
        </w:tc>
        <w:tc>
          <w:tcPr>
            <w:tcW w:w="1844" w:type="dxa"/>
          </w:tcPr>
          <w:p w14:paraId="7BEDF17B" w14:textId="77777777" w:rsidR="00794DB0" w:rsidRPr="00643408" w:rsidRDefault="00794DB0" w:rsidP="00AE6780">
            <w:pPr>
              <w:jc w:val="center"/>
            </w:pPr>
          </w:p>
        </w:tc>
        <w:tc>
          <w:tcPr>
            <w:tcW w:w="2126" w:type="dxa"/>
          </w:tcPr>
          <w:p w14:paraId="7255FD15" w14:textId="77777777" w:rsidR="00794DB0" w:rsidRPr="00643408" w:rsidRDefault="00794DB0" w:rsidP="00AE6780">
            <w:pPr>
              <w:jc w:val="center"/>
            </w:pPr>
            <w:r w:rsidRPr="00643408">
              <w:t>X</w:t>
            </w:r>
          </w:p>
        </w:tc>
        <w:tc>
          <w:tcPr>
            <w:tcW w:w="2126" w:type="dxa"/>
          </w:tcPr>
          <w:p w14:paraId="67DB0324" w14:textId="77777777" w:rsidR="00794DB0" w:rsidRPr="00643408" w:rsidRDefault="00794DB0" w:rsidP="00AE6780">
            <w:pPr>
              <w:jc w:val="center"/>
            </w:pPr>
            <w:r w:rsidRPr="00643408">
              <w:t>X</w:t>
            </w:r>
          </w:p>
        </w:tc>
      </w:tr>
      <w:tr w:rsidR="00794DB0" w:rsidRPr="00643408" w14:paraId="78D93495" w14:textId="77777777" w:rsidTr="00794DB0">
        <w:trPr>
          <w:trHeight w:val="269"/>
        </w:trPr>
        <w:tc>
          <w:tcPr>
            <w:tcW w:w="2546" w:type="dxa"/>
          </w:tcPr>
          <w:p w14:paraId="21CBCC0B" w14:textId="77777777" w:rsidR="00794DB0" w:rsidRPr="00687331" w:rsidRDefault="00794DB0" w:rsidP="00AE6780">
            <w:pPr>
              <w:rPr>
                <w:rFonts w:eastAsia="Malgun Gothic"/>
                <w:lang w:eastAsia="ko-KR"/>
              </w:rPr>
            </w:pPr>
            <w:r>
              <w:rPr>
                <w:rFonts w:eastAsia="Malgun Gothic" w:hint="eastAsia"/>
                <w:lang w:eastAsia="ko-KR"/>
              </w:rPr>
              <w:t>NigerWet</w:t>
            </w:r>
          </w:p>
        </w:tc>
        <w:tc>
          <w:tcPr>
            <w:tcW w:w="1844" w:type="dxa"/>
          </w:tcPr>
          <w:p w14:paraId="74232E28" w14:textId="77777777" w:rsidR="00794DB0" w:rsidRPr="00643408" w:rsidRDefault="00794DB0" w:rsidP="00AE6780">
            <w:pPr>
              <w:jc w:val="center"/>
            </w:pPr>
          </w:p>
        </w:tc>
        <w:tc>
          <w:tcPr>
            <w:tcW w:w="2126" w:type="dxa"/>
          </w:tcPr>
          <w:p w14:paraId="04AEB5DD" w14:textId="77777777" w:rsidR="00794DB0" w:rsidRPr="00643408" w:rsidRDefault="00794DB0" w:rsidP="00AE6780">
            <w:pPr>
              <w:jc w:val="center"/>
            </w:pPr>
          </w:p>
        </w:tc>
        <w:tc>
          <w:tcPr>
            <w:tcW w:w="2126" w:type="dxa"/>
          </w:tcPr>
          <w:p w14:paraId="3D83802E" w14:textId="77777777" w:rsidR="00794DB0" w:rsidRPr="00643408" w:rsidRDefault="00794DB0" w:rsidP="00AE6780">
            <w:pPr>
              <w:jc w:val="center"/>
            </w:pPr>
            <w:r w:rsidRPr="00643408">
              <w:t>X</w:t>
            </w:r>
          </w:p>
        </w:tc>
      </w:tr>
      <w:tr w:rsidR="00794DB0" w:rsidRPr="00643408" w14:paraId="72D6FDEB" w14:textId="77777777" w:rsidTr="00794DB0">
        <w:trPr>
          <w:trHeight w:val="269"/>
        </w:trPr>
        <w:tc>
          <w:tcPr>
            <w:tcW w:w="2546" w:type="dxa"/>
          </w:tcPr>
          <w:p w14:paraId="3FC32A18" w14:textId="77777777" w:rsidR="00794DB0" w:rsidRDefault="00794DB0" w:rsidP="00AE6780">
            <w:r w:rsidRPr="00643408">
              <w:t>Senegal</w:t>
            </w:r>
            <w:r>
              <w:t>Wet</w:t>
            </w:r>
          </w:p>
        </w:tc>
        <w:tc>
          <w:tcPr>
            <w:tcW w:w="1844" w:type="dxa"/>
          </w:tcPr>
          <w:p w14:paraId="7EB1A09F" w14:textId="77777777" w:rsidR="00794DB0" w:rsidRPr="00643408" w:rsidRDefault="00794DB0" w:rsidP="00AE6780">
            <w:pPr>
              <w:jc w:val="center"/>
            </w:pPr>
            <w:r w:rsidRPr="00643408">
              <w:t>X</w:t>
            </w:r>
          </w:p>
        </w:tc>
        <w:tc>
          <w:tcPr>
            <w:tcW w:w="2126" w:type="dxa"/>
          </w:tcPr>
          <w:p w14:paraId="7F6BF72F" w14:textId="77777777" w:rsidR="00794DB0" w:rsidRPr="00643408" w:rsidRDefault="00794DB0" w:rsidP="00AE6780">
            <w:pPr>
              <w:jc w:val="center"/>
            </w:pPr>
            <w:r w:rsidRPr="00643408">
              <w:t>X</w:t>
            </w:r>
          </w:p>
        </w:tc>
        <w:tc>
          <w:tcPr>
            <w:tcW w:w="2126" w:type="dxa"/>
          </w:tcPr>
          <w:p w14:paraId="6BF6B6FD" w14:textId="77777777" w:rsidR="00794DB0" w:rsidRPr="00643408" w:rsidRDefault="00794DB0" w:rsidP="00AE6780">
            <w:pPr>
              <w:jc w:val="center"/>
            </w:pPr>
            <w:r w:rsidRPr="00643408">
              <w:t>X</w:t>
            </w:r>
          </w:p>
        </w:tc>
      </w:tr>
      <w:tr w:rsidR="00794DB0" w:rsidRPr="00643408" w14:paraId="37BBF04E" w14:textId="77777777" w:rsidTr="00794DB0">
        <w:trPr>
          <w:trHeight w:val="269"/>
        </w:trPr>
        <w:tc>
          <w:tcPr>
            <w:tcW w:w="2546" w:type="dxa"/>
          </w:tcPr>
          <w:p w14:paraId="3CD823DF" w14:textId="77777777" w:rsidR="00794DB0" w:rsidRPr="00643408" w:rsidRDefault="00794DB0" w:rsidP="00AE6780">
            <w:r>
              <w:t>WACoWet</w:t>
            </w:r>
          </w:p>
        </w:tc>
        <w:tc>
          <w:tcPr>
            <w:tcW w:w="1844" w:type="dxa"/>
          </w:tcPr>
          <w:p w14:paraId="1C65E949" w14:textId="77777777" w:rsidR="00794DB0" w:rsidRPr="00643408" w:rsidRDefault="00794DB0" w:rsidP="00AE6780">
            <w:pPr>
              <w:jc w:val="center"/>
            </w:pPr>
            <w:r w:rsidRPr="00643408">
              <w:t>X</w:t>
            </w:r>
          </w:p>
        </w:tc>
        <w:tc>
          <w:tcPr>
            <w:tcW w:w="2126" w:type="dxa"/>
          </w:tcPr>
          <w:p w14:paraId="0CB36027" w14:textId="77777777" w:rsidR="00794DB0" w:rsidRPr="00643408" w:rsidRDefault="00794DB0" w:rsidP="00AE6780">
            <w:pPr>
              <w:jc w:val="center"/>
            </w:pPr>
          </w:p>
        </w:tc>
        <w:tc>
          <w:tcPr>
            <w:tcW w:w="2126" w:type="dxa"/>
          </w:tcPr>
          <w:p w14:paraId="587C6858" w14:textId="77777777" w:rsidR="00794DB0" w:rsidRPr="00643408" w:rsidRDefault="00794DB0" w:rsidP="00AE6780">
            <w:pPr>
              <w:jc w:val="center"/>
            </w:pPr>
            <w:r w:rsidRPr="00643408">
              <w:t>X</w:t>
            </w:r>
          </w:p>
        </w:tc>
      </w:tr>
    </w:tbl>
    <w:p w14:paraId="6B2CB4C4" w14:textId="77777777" w:rsidR="00A31651" w:rsidRDefault="00A31651" w:rsidP="00A31651">
      <w:pPr>
        <w:widowControl/>
        <w:contextualSpacing/>
        <w:rPr>
          <w:lang w:eastAsia="ko-KR"/>
        </w:rPr>
      </w:pPr>
    </w:p>
    <w:p w14:paraId="7E154AB2" w14:textId="77777777" w:rsidR="00794DB0" w:rsidRDefault="00794DB0" w:rsidP="00A31651">
      <w:pPr>
        <w:widowControl/>
        <w:contextualSpacing/>
        <w:rPr>
          <w:lang w:eastAsia="ko-KR"/>
        </w:rPr>
      </w:pPr>
    </w:p>
    <w:p w14:paraId="65A92DC0" w14:textId="3EEE0295" w:rsidR="00BE024C" w:rsidRPr="00267DCC" w:rsidRDefault="00BE024C" w:rsidP="001862D8">
      <w:pPr>
        <w:keepNext/>
        <w:widowControl/>
        <w:ind w:left="425" w:hanging="425"/>
        <w:outlineLvl w:val="1"/>
        <w:rPr>
          <w:rFonts w:eastAsia="Malgun Gothic" w:cstheme="minorHAnsi"/>
          <w:b/>
          <w:lang w:eastAsia="ko-KR"/>
        </w:rPr>
      </w:pPr>
      <w:r w:rsidRPr="00C85A3E">
        <w:rPr>
          <w:rFonts w:cstheme="minorHAnsi"/>
          <w:b/>
        </w:rPr>
        <w:t>Allocation of Convention core budget funds for new RRIs</w:t>
      </w:r>
    </w:p>
    <w:p w14:paraId="15BF443A" w14:textId="77777777" w:rsidR="00BE024C" w:rsidRDefault="00BE024C" w:rsidP="001862D8">
      <w:pPr>
        <w:keepNext/>
        <w:widowControl/>
        <w:ind w:left="425" w:hanging="425"/>
        <w:outlineLvl w:val="1"/>
        <w:rPr>
          <w:lang w:eastAsia="ko-KR"/>
        </w:rPr>
      </w:pPr>
    </w:p>
    <w:p w14:paraId="55AF8537" w14:textId="5945A596" w:rsidR="00BE024C" w:rsidRDefault="00794DB0" w:rsidP="00794DB0">
      <w:pPr>
        <w:pStyle w:val="Heading2"/>
        <w:widowControl/>
        <w:ind w:left="426" w:hanging="426"/>
        <w:rPr>
          <w:rFonts w:asciiTheme="minorHAnsi" w:eastAsiaTheme="minorEastAsia" w:hAnsiTheme="minorHAnsi"/>
          <w:b w:val="0"/>
          <w:lang w:eastAsia="ko-KR"/>
        </w:rPr>
      </w:pPr>
      <w:r w:rsidRPr="00794DB0">
        <w:rPr>
          <w:rFonts w:asciiTheme="minorHAnsi" w:eastAsiaTheme="minorEastAsia" w:hAnsiTheme="minorHAnsi" w:hint="eastAsia"/>
          <w:b w:val="0"/>
          <w:lang w:eastAsia="ko-KR"/>
        </w:rPr>
        <w:t>10.</w:t>
      </w:r>
      <w:r w:rsidRPr="00794DB0">
        <w:rPr>
          <w:rFonts w:asciiTheme="minorHAnsi" w:eastAsiaTheme="minorEastAsia" w:hAnsiTheme="minorHAnsi"/>
          <w:b w:val="0"/>
          <w:lang w:eastAsia="ko-KR"/>
        </w:rPr>
        <w:tab/>
        <w:t>In paragraph 17 of Resolution XIV.7</w:t>
      </w:r>
      <w:r w:rsidR="00DF38C9">
        <w:rPr>
          <w:rFonts w:asciiTheme="minorHAnsi" w:eastAsiaTheme="minorEastAsia" w:hAnsiTheme="minorHAnsi"/>
          <w:b w:val="0"/>
          <w:lang w:eastAsia="ko-KR"/>
        </w:rPr>
        <w:t xml:space="preserve"> Part A</w:t>
      </w:r>
      <w:r w:rsidRPr="00794DB0">
        <w:rPr>
          <w:rFonts w:asciiTheme="minorHAnsi" w:eastAsiaTheme="minorEastAsia" w:hAnsiTheme="minorHAnsi"/>
          <w:b w:val="0"/>
          <w:lang w:eastAsia="ko-KR"/>
        </w:rPr>
        <w:t>, the Conference of the Parties notes that “RRIs that have been endorsed as operating within the framework of the Convention are eligible for start-</w:t>
      </w:r>
      <w:r w:rsidRPr="00794DB0">
        <w:rPr>
          <w:rFonts w:asciiTheme="minorHAnsi" w:eastAsiaTheme="minorEastAsia" w:hAnsiTheme="minorHAnsi"/>
          <w:b w:val="0"/>
          <w:lang w:eastAsia="ko-KR"/>
        </w:rPr>
        <w:lastRenderedPageBreak/>
        <w:t xml:space="preserve">up financial support from the core budget of the Convention” and recommends that “the start-up financial support is to be provided for up to six years, according to decisions on budgetary matters”. </w:t>
      </w:r>
    </w:p>
    <w:p w14:paraId="2AC44C03" w14:textId="77777777" w:rsidR="00BE024C" w:rsidRDefault="00BE024C" w:rsidP="00794DB0">
      <w:pPr>
        <w:pStyle w:val="Heading2"/>
        <w:widowControl/>
        <w:ind w:left="426" w:hanging="426"/>
        <w:rPr>
          <w:rFonts w:asciiTheme="minorHAnsi" w:eastAsiaTheme="minorEastAsia" w:hAnsiTheme="minorHAnsi"/>
          <w:b w:val="0"/>
          <w:lang w:eastAsia="ko-KR"/>
        </w:rPr>
      </w:pPr>
    </w:p>
    <w:p w14:paraId="49981F76" w14:textId="0F931F23" w:rsidR="00794DB0" w:rsidRPr="00794DB0" w:rsidRDefault="00BE024C" w:rsidP="00794DB0">
      <w:pPr>
        <w:pStyle w:val="Heading2"/>
        <w:widowControl/>
        <w:ind w:left="426" w:hanging="426"/>
        <w:rPr>
          <w:rFonts w:asciiTheme="minorHAnsi" w:eastAsiaTheme="minorEastAsia" w:hAnsiTheme="minorHAnsi"/>
          <w:b w:val="0"/>
          <w:lang w:eastAsia="ko-KR"/>
        </w:rPr>
      </w:pPr>
      <w:r>
        <w:rPr>
          <w:rFonts w:asciiTheme="minorHAnsi" w:eastAsiaTheme="minorEastAsia" w:hAnsiTheme="minorHAnsi" w:hint="eastAsia"/>
          <w:b w:val="0"/>
          <w:lang w:eastAsia="ko-KR"/>
        </w:rPr>
        <w:t xml:space="preserve">11. </w:t>
      </w:r>
      <w:r>
        <w:rPr>
          <w:rFonts w:asciiTheme="minorHAnsi" w:eastAsiaTheme="minorEastAsia" w:hAnsiTheme="minorHAnsi"/>
          <w:b w:val="0"/>
          <w:lang w:eastAsia="ko-KR"/>
        </w:rPr>
        <w:tab/>
      </w:r>
      <w:r w:rsidR="00E062D8" w:rsidRPr="00E062D8">
        <w:rPr>
          <w:rFonts w:asciiTheme="minorHAnsi" w:eastAsiaTheme="minorEastAsia" w:hAnsiTheme="minorHAnsi"/>
          <w:b w:val="0"/>
          <w:lang w:eastAsia="ko-KR"/>
        </w:rPr>
        <w:t>In the current triennium, three newly endorsed RRIs</w:t>
      </w:r>
      <w:r w:rsidR="00DF38C9">
        <w:rPr>
          <w:rFonts w:asciiTheme="minorHAnsi" w:eastAsiaTheme="minorEastAsia" w:hAnsiTheme="minorHAnsi"/>
          <w:b w:val="0"/>
          <w:lang w:eastAsia="ko-KR"/>
        </w:rPr>
        <w:t xml:space="preserve">, </w:t>
      </w:r>
      <w:r w:rsidR="00E062D8" w:rsidRPr="00E062D8">
        <w:rPr>
          <w:rFonts w:asciiTheme="minorHAnsi" w:eastAsiaTheme="minorEastAsia" w:hAnsiTheme="minorHAnsi"/>
          <w:b w:val="0"/>
          <w:lang w:eastAsia="ko-KR"/>
        </w:rPr>
        <w:t>namely, the Southern African Ramsar Regional Initiative (SARRI), the International Mangrove Centre (IMC) and the Danube WILDisland RRI (DWRRI)</w:t>
      </w:r>
      <w:r w:rsidR="00DF38C9">
        <w:rPr>
          <w:rFonts w:asciiTheme="minorHAnsi" w:eastAsiaTheme="minorEastAsia" w:hAnsiTheme="minorHAnsi"/>
          <w:b w:val="0"/>
          <w:lang w:eastAsia="ko-KR"/>
        </w:rPr>
        <w:t xml:space="preserve">, </w:t>
      </w:r>
      <w:r w:rsidR="00E062D8" w:rsidRPr="00E062D8">
        <w:rPr>
          <w:rFonts w:asciiTheme="minorHAnsi" w:eastAsiaTheme="minorEastAsia" w:hAnsiTheme="minorHAnsi"/>
          <w:b w:val="0"/>
          <w:lang w:eastAsia="ko-KR"/>
        </w:rPr>
        <w:t>have become eligible for such support. The IMC has, however, declined to receive financial assistance from the Convention’s core budget.</w:t>
      </w:r>
      <w:r w:rsidR="00E062D8">
        <w:rPr>
          <w:rFonts w:asciiTheme="minorHAnsi" w:eastAsiaTheme="minorEastAsia" w:hAnsiTheme="minorHAnsi" w:hint="eastAsia"/>
          <w:b w:val="0"/>
          <w:lang w:eastAsia="ko-KR"/>
        </w:rPr>
        <w:t xml:space="preserve"> </w:t>
      </w:r>
    </w:p>
    <w:p w14:paraId="33E65D91" w14:textId="77777777" w:rsidR="00A31651" w:rsidRDefault="00A31651" w:rsidP="00A31651">
      <w:pPr>
        <w:widowControl/>
        <w:contextualSpacing/>
        <w:rPr>
          <w:lang w:eastAsia="ko-KR"/>
        </w:rPr>
      </w:pPr>
    </w:p>
    <w:p w14:paraId="1DAADEC1" w14:textId="2D1FB16D" w:rsidR="00A31651" w:rsidRPr="00794DB0" w:rsidRDefault="00A31651" w:rsidP="001862D8">
      <w:pPr>
        <w:keepNext/>
        <w:widowControl/>
        <w:ind w:left="425" w:hanging="425"/>
        <w:outlineLvl w:val="1"/>
        <w:rPr>
          <w:b/>
          <w:bCs/>
          <w:lang w:eastAsia="ko-KR"/>
        </w:rPr>
      </w:pPr>
      <w:r w:rsidRPr="00794DB0">
        <w:rPr>
          <w:rFonts w:hint="eastAsia"/>
          <w:b/>
          <w:bCs/>
          <w:lang w:eastAsia="ko-KR"/>
        </w:rPr>
        <w:t>Promoting cooperation between RRIs</w:t>
      </w:r>
    </w:p>
    <w:p w14:paraId="5404094F" w14:textId="77777777" w:rsidR="00A31651" w:rsidRDefault="00A31651" w:rsidP="001862D8">
      <w:pPr>
        <w:keepNext/>
        <w:widowControl/>
        <w:ind w:left="425" w:hanging="425"/>
        <w:outlineLvl w:val="1"/>
        <w:rPr>
          <w:lang w:eastAsia="ko-KR"/>
        </w:rPr>
      </w:pPr>
    </w:p>
    <w:p w14:paraId="682A7AA7" w14:textId="62ABCEE3" w:rsidR="00794DB0" w:rsidRDefault="00BE024C" w:rsidP="00A31651">
      <w:pPr>
        <w:pStyle w:val="Heading2"/>
        <w:widowControl/>
        <w:ind w:left="426" w:hanging="426"/>
        <w:rPr>
          <w:rFonts w:asciiTheme="minorHAnsi" w:eastAsiaTheme="minorEastAsia" w:hAnsiTheme="minorHAnsi"/>
          <w:b w:val="0"/>
          <w:lang w:eastAsia="ko-KR"/>
        </w:rPr>
      </w:pPr>
      <w:r>
        <w:rPr>
          <w:rFonts w:asciiTheme="minorHAnsi" w:eastAsiaTheme="minorEastAsia" w:hAnsiTheme="minorHAnsi" w:hint="eastAsia"/>
          <w:b w:val="0"/>
          <w:lang w:eastAsia="ko-KR"/>
        </w:rPr>
        <w:t>12</w:t>
      </w:r>
      <w:r w:rsidR="00A31651" w:rsidRPr="00A31651">
        <w:rPr>
          <w:rFonts w:asciiTheme="minorHAnsi" w:eastAsiaTheme="minorEastAsia" w:hAnsiTheme="minorHAnsi" w:hint="eastAsia"/>
          <w:b w:val="0"/>
          <w:lang w:eastAsia="ko-KR"/>
        </w:rPr>
        <w:t>.</w:t>
      </w:r>
      <w:r w:rsidR="00A31651" w:rsidRPr="00A31651">
        <w:rPr>
          <w:rFonts w:asciiTheme="minorHAnsi" w:eastAsiaTheme="minorEastAsia" w:hAnsiTheme="minorHAnsi"/>
          <w:b w:val="0"/>
          <w:lang w:eastAsia="ko-KR"/>
        </w:rPr>
        <w:tab/>
      </w:r>
      <w:r w:rsidR="00E062D8" w:rsidRPr="00E062D8">
        <w:rPr>
          <w:rFonts w:asciiTheme="minorHAnsi" w:eastAsiaTheme="minorEastAsia" w:hAnsiTheme="minorHAnsi"/>
          <w:b w:val="0"/>
          <w:lang w:eastAsia="ko-KR"/>
        </w:rPr>
        <w:t>Recognizing the importance of shared learning and collaboration, particularly with respect to addressing challenges related to coordination and resource mobilization, the Secretariat has actively encouraged RRIs to engage in mutual exchange of experience and best practices.</w:t>
      </w:r>
    </w:p>
    <w:p w14:paraId="42F03280" w14:textId="77777777" w:rsidR="00794DB0" w:rsidRDefault="00794DB0" w:rsidP="00A31651">
      <w:pPr>
        <w:pStyle w:val="Heading2"/>
        <w:widowControl/>
        <w:ind w:left="426" w:hanging="426"/>
        <w:rPr>
          <w:rFonts w:asciiTheme="minorHAnsi" w:eastAsiaTheme="minorEastAsia" w:hAnsiTheme="minorHAnsi"/>
          <w:b w:val="0"/>
          <w:lang w:eastAsia="ko-KR"/>
        </w:rPr>
      </w:pPr>
    </w:p>
    <w:p w14:paraId="1B213F5A" w14:textId="60C99BFC" w:rsidR="00794DB0" w:rsidRDefault="00794DB0" w:rsidP="00A31651">
      <w:pPr>
        <w:pStyle w:val="Heading2"/>
        <w:widowControl/>
        <w:ind w:left="426" w:hanging="426"/>
        <w:rPr>
          <w:rFonts w:asciiTheme="minorHAnsi" w:eastAsiaTheme="minorEastAsia" w:hAnsiTheme="minorHAnsi"/>
          <w:b w:val="0"/>
          <w:lang w:eastAsia="ko-KR"/>
        </w:rPr>
      </w:pPr>
      <w:r>
        <w:rPr>
          <w:rFonts w:asciiTheme="minorHAnsi" w:eastAsiaTheme="minorEastAsia" w:hAnsiTheme="minorHAnsi" w:hint="eastAsia"/>
          <w:b w:val="0"/>
          <w:lang w:eastAsia="ko-KR"/>
        </w:rPr>
        <w:t>1</w:t>
      </w:r>
      <w:r w:rsidR="00BE024C">
        <w:rPr>
          <w:rFonts w:asciiTheme="minorHAnsi" w:eastAsiaTheme="minorEastAsia" w:hAnsiTheme="minorHAnsi" w:hint="eastAsia"/>
          <w:b w:val="0"/>
          <w:lang w:eastAsia="ko-KR"/>
        </w:rPr>
        <w:t>3</w:t>
      </w:r>
      <w:r>
        <w:rPr>
          <w:rFonts w:asciiTheme="minorHAnsi" w:eastAsiaTheme="minorEastAsia" w:hAnsiTheme="minorHAnsi" w:hint="eastAsia"/>
          <w:b w:val="0"/>
          <w:lang w:eastAsia="ko-KR"/>
        </w:rPr>
        <w:t>.</w:t>
      </w:r>
      <w:r>
        <w:rPr>
          <w:rFonts w:asciiTheme="minorHAnsi" w:eastAsiaTheme="minorEastAsia" w:hAnsiTheme="minorHAnsi"/>
          <w:b w:val="0"/>
          <w:lang w:eastAsia="ko-KR"/>
        </w:rPr>
        <w:tab/>
      </w:r>
      <w:r w:rsidR="00E062D8" w:rsidRPr="00E062D8">
        <w:rPr>
          <w:rFonts w:asciiTheme="minorHAnsi" w:eastAsiaTheme="minorEastAsia" w:hAnsiTheme="minorHAnsi"/>
          <w:b w:val="0"/>
          <w:lang w:eastAsia="ko-KR"/>
        </w:rPr>
        <w:t xml:space="preserve">During the present triennium, the Secretariat facilitated three virtual annual planning meetings for RRIs. These meetings enabled participating </w:t>
      </w:r>
      <w:r w:rsidR="00DF38C9">
        <w:rPr>
          <w:rFonts w:asciiTheme="minorHAnsi" w:eastAsiaTheme="minorEastAsia" w:hAnsiTheme="minorHAnsi"/>
          <w:b w:val="0"/>
          <w:lang w:eastAsia="ko-KR"/>
        </w:rPr>
        <w:t>I</w:t>
      </w:r>
      <w:r w:rsidR="00E062D8" w:rsidRPr="00E062D8">
        <w:rPr>
          <w:rFonts w:asciiTheme="minorHAnsi" w:eastAsiaTheme="minorEastAsia" w:hAnsiTheme="minorHAnsi"/>
          <w:b w:val="0"/>
          <w:lang w:eastAsia="ko-KR"/>
        </w:rPr>
        <w:t>nitiatives to present their planned activities, identify areas of potential collaboration, and coordinate joint efforts. As a result, inter-RRI cooperation has expanded, including joint organization of a common exhibition booth and a side event involving multiple RRIs</w:t>
      </w:r>
      <w:r w:rsidR="002117CD">
        <w:rPr>
          <w:rFonts w:asciiTheme="minorHAnsi" w:eastAsiaTheme="minorEastAsia" w:hAnsiTheme="minorHAnsi"/>
          <w:b w:val="0"/>
          <w:lang w:eastAsia="ko-KR"/>
        </w:rPr>
        <w:t xml:space="preserve"> at COP15</w:t>
      </w:r>
      <w:r w:rsidR="00E062D8" w:rsidRPr="00E062D8">
        <w:rPr>
          <w:rFonts w:asciiTheme="minorHAnsi" w:eastAsiaTheme="minorEastAsia" w:hAnsiTheme="minorHAnsi"/>
          <w:b w:val="0"/>
          <w:lang w:eastAsia="ko-KR"/>
        </w:rPr>
        <w:t>.</w:t>
      </w:r>
    </w:p>
    <w:p w14:paraId="49BE1620" w14:textId="3AA180AD" w:rsidR="00A31651" w:rsidRDefault="00A31651" w:rsidP="00A31651">
      <w:pPr>
        <w:pStyle w:val="Heading2"/>
        <w:widowControl/>
        <w:ind w:left="426" w:hanging="426"/>
        <w:rPr>
          <w:rFonts w:asciiTheme="minorHAnsi" w:eastAsiaTheme="minorEastAsia" w:hAnsiTheme="minorHAnsi"/>
          <w:b w:val="0"/>
          <w:lang w:eastAsia="ko-KR"/>
        </w:rPr>
      </w:pPr>
    </w:p>
    <w:p w14:paraId="110903AE" w14:textId="77777777" w:rsidR="00A31651" w:rsidRPr="00A31651" w:rsidRDefault="00A31651" w:rsidP="00A31651">
      <w:pPr>
        <w:pStyle w:val="Heading2"/>
        <w:widowControl/>
        <w:ind w:left="426" w:hanging="426"/>
        <w:rPr>
          <w:rFonts w:asciiTheme="minorHAnsi" w:eastAsiaTheme="minorEastAsia" w:hAnsiTheme="minorHAnsi"/>
          <w:b w:val="0"/>
          <w:lang w:eastAsia="ko-KR"/>
        </w:rPr>
      </w:pPr>
    </w:p>
    <w:sectPr w:rsidR="00A31651" w:rsidRPr="00A31651" w:rsidSect="00E062D8">
      <w:footerReference w:type="default" r:id="rId13"/>
      <w:pgSz w:w="11910"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D160" w14:textId="77777777" w:rsidR="00993A6A" w:rsidRDefault="00993A6A">
      <w:r>
        <w:separator/>
      </w:r>
    </w:p>
  </w:endnote>
  <w:endnote w:type="continuationSeparator" w:id="0">
    <w:p w14:paraId="73FB36DD" w14:textId="77777777" w:rsidR="00993A6A" w:rsidRDefault="00993A6A">
      <w:r>
        <w:continuationSeparator/>
      </w:r>
    </w:p>
  </w:endnote>
  <w:endnote w:type="continuationNotice" w:id="1">
    <w:p w14:paraId="2330C770" w14:textId="77777777" w:rsidR="00993A6A" w:rsidRDefault="0099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9038" w14:textId="5602F84D" w:rsidR="002117CD" w:rsidRPr="002117CD" w:rsidRDefault="002117CD" w:rsidP="002117CD">
    <w:pPr>
      <w:tabs>
        <w:tab w:val="left" w:pos="8789"/>
      </w:tabs>
      <w:rPr>
        <w:rFonts w:cstheme="minorHAnsi"/>
        <w:sz w:val="20"/>
        <w:szCs w:val="20"/>
        <w:lang w:val="de-DE"/>
      </w:rPr>
    </w:pPr>
    <w:r>
      <w:rPr>
        <w:rFonts w:cstheme="minorHAnsi"/>
        <w:sz w:val="20"/>
        <w:szCs w:val="20"/>
        <w:lang w:val="de-CH"/>
      </w:rPr>
      <w:t>COP15 Doc.12</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3</w:t>
    </w:r>
    <w:r w:rsidRPr="00134E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2F91" w14:textId="77777777" w:rsidR="00993A6A" w:rsidRDefault="00993A6A">
      <w:r>
        <w:separator/>
      </w:r>
    </w:p>
  </w:footnote>
  <w:footnote w:type="continuationSeparator" w:id="0">
    <w:p w14:paraId="5B44E22B" w14:textId="77777777" w:rsidR="00993A6A" w:rsidRDefault="00993A6A">
      <w:r>
        <w:continuationSeparator/>
      </w:r>
    </w:p>
  </w:footnote>
  <w:footnote w:type="continuationNotice" w:id="1">
    <w:p w14:paraId="6FE49507" w14:textId="77777777" w:rsidR="00993A6A" w:rsidRDefault="00993A6A"/>
  </w:footnote>
  <w:footnote w:id="2">
    <w:p w14:paraId="6AD51D4E" w14:textId="2A7B522B" w:rsidR="001862D8" w:rsidRPr="001862D8" w:rsidRDefault="001862D8">
      <w:pPr>
        <w:pStyle w:val="FootnoteText"/>
        <w:rPr>
          <w:rFonts w:asciiTheme="minorHAnsi" w:hAnsiTheme="minorHAnsi" w:cstheme="minorHAnsi"/>
        </w:rPr>
      </w:pPr>
      <w:r w:rsidRPr="001862D8">
        <w:rPr>
          <w:rStyle w:val="FootnoteReference"/>
          <w:rFonts w:asciiTheme="minorHAnsi" w:hAnsiTheme="minorHAnsi" w:cstheme="minorHAnsi"/>
        </w:rPr>
        <w:footnoteRef/>
      </w:r>
      <w:r w:rsidRPr="001862D8">
        <w:rPr>
          <w:rFonts w:asciiTheme="minorHAnsi" w:hAnsiTheme="minorHAnsi" w:cstheme="minorHAnsi"/>
        </w:rPr>
        <w:t xml:space="preserve"> See </w:t>
      </w:r>
      <w:hyperlink r:id="rId1" w:history="1">
        <w:r w:rsidRPr="006968C0">
          <w:rPr>
            <w:rStyle w:val="Hyperlink"/>
            <w:rFonts w:asciiTheme="minorHAnsi" w:hAnsiTheme="minorHAnsi" w:cstheme="minorHAnsi"/>
          </w:rPr>
          <w:t>https://www.ramsar.org/document/sc62-doc25-rev1-report-secretariat-ramsar-regional-initiatives</w:t>
        </w:r>
      </w:hyperlink>
      <w:r>
        <w:rPr>
          <w:rFonts w:asciiTheme="minorHAnsi" w:hAnsiTheme="minorHAnsi" w:cstheme="minorHAnsi"/>
        </w:rPr>
        <w:t xml:space="preserve">; </w:t>
      </w:r>
      <w:hyperlink r:id="rId2" w:history="1">
        <w:r w:rsidRPr="006968C0">
          <w:rPr>
            <w:rStyle w:val="Hyperlink"/>
            <w:rFonts w:asciiTheme="minorHAnsi" w:hAnsiTheme="minorHAnsi" w:cstheme="minorHAnsi"/>
          </w:rPr>
          <w:t>https://www.ramsar.org/document/sc63-doc25-report-secretariat-ramsar-regional-initiatives</w:t>
        </w:r>
      </w:hyperlink>
      <w:r>
        <w:rPr>
          <w:rFonts w:asciiTheme="minorHAnsi" w:hAnsiTheme="minorHAnsi" w:cstheme="minorHAnsi"/>
        </w:rPr>
        <w:t xml:space="preserve">; and </w:t>
      </w:r>
      <w:hyperlink r:id="rId3" w:history="1">
        <w:r w:rsidRPr="006968C0">
          <w:rPr>
            <w:rStyle w:val="Hyperlink"/>
            <w:rFonts w:asciiTheme="minorHAnsi" w:hAnsiTheme="minorHAnsi" w:cstheme="minorHAnsi"/>
          </w:rPr>
          <w:t>https://www.ramsar.org/document/sc65-doc9-report-secretariat-ramsar-regional-initiatives-2024-2025</w:t>
        </w:r>
      </w:hyperlink>
      <w:r>
        <w:rPr>
          <w:rFonts w:asciiTheme="minorHAnsi" w:hAnsiTheme="minorHAnsi" w:cstheme="minorHAnsi"/>
        </w:rPr>
        <w:t xml:space="preserve">. </w:t>
      </w:r>
    </w:p>
  </w:footnote>
  <w:footnote w:id="3">
    <w:p w14:paraId="1EDB154B" w14:textId="42CBCDAF" w:rsidR="0000738A" w:rsidRDefault="0000738A">
      <w:pPr>
        <w:pStyle w:val="FootnoteText"/>
      </w:pPr>
      <w:r w:rsidRPr="001B7D90">
        <w:rPr>
          <w:rStyle w:val="FootnoteReference"/>
          <w:rFonts w:asciiTheme="minorHAnsi" w:hAnsiTheme="minorHAnsi" w:cstheme="minorHAnsi"/>
        </w:rPr>
        <w:footnoteRef/>
      </w:r>
      <w:r w:rsidRPr="001B7D90">
        <w:rPr>
          <w:rFonts w:asciiTheme="minorHAnsi" w:hAnsiTheme="minorHAnsi" w:cstheme="minorHAnsi"/>
        </w:rPr>
        <w:t xml:space="preserve"> </w:t>
      </w:r>
      <w:r w:rsidR="001B7D90" w:rsidRPr="001B7D90">
        <w:rPr>
          <w:rFonts w:asciiTheme="minorHAnsi" w:hAnsiTheme="minorHAnsi" w:cstheme="minorHAnsi"/>
        </w:rPr>
        <w:t xml:space="preserve">See </w:t>
      </w:r>
      <w:hyperlink r:id="rId4" w:history="1">
        <w:r w:rsidR="001B7D90" w:rsidRPr="00491B0A">
          <w:rPr>
            <w:rStyle w:val="Hyperlink"/>
            <w:rFonts w:asciiTheme="minorHAnsi" w:hAnsiTheme="minorHAnsi" w:cstheme="minorHAnsi"/>
          </w:rPr>
          <w:t>https://www.ramsar.org/document/cop15-doc235-draft-resolution-ramsar-regional-initiatives-2025-2028</w:t>
        </w:r>
      </w:hyperlink>
      <w:r w:rsidR="001B7D90">
        <w:rPr>
          <w:rFonts w:asciiTheme="minorHAnsi" w:hAnsiTheme="minorHAnsi" w:cstheme="minorHAnsi"/>
        </w:rPr>
        <w:t>.</w:t>
      </w:r>
    </w:p>
  </w:footnote>
  <w:footnote w:id="4">
    <w:p w14:paraId="08B3BEB9" w14:textId="77777777" w:rsidR="00A31651" w:rsidRPr="00BF413E" w:rsidRDefault="00A31651" w:rsidP="00A31651">
      <w:pPr>
        <w:pStyle w:val="Footer"/>
        <w:rPr>
          <w:sz w:val="20"/>
          <w:szCs w:val="20"/>
        </w:rPr>
      </w:pPr>
      <w:r w:rsidRPr="00BF413E">
        <w:rPr>
          <w:rStyle w:val="FootnoteReference"/>
          <w:sz w:val="20"/>
          <w:szCs w:val="20"/>
        </w:rPr>
        <w:footnoteRef/>
      </w:r>
      <w:r w:rsidRPr="00BF413E">
        <w:rPr>
          <w:sz w:val="20"/>
          <w:szCs w:val="20"/>
        </w:rPr>
        <w:t xml:space="preserve"> Based on annual actual expenditure reported by RRIs (for those reported in a currency other than CHF, the annual average exchange rate for 2022 was applied).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EB9"/>
    <w:multiLevelType w:val="hybridMultilevel"/>
    <w:tmpl w:val="CAA8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2" w15:restartNumberingAfterBreak="0">
    <w:nsid w:val="0FC8294E"/>
    <w:multiLevelType w:val="hybridMultilevel"/>
    <w:tmpl w:val="C43CC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E0EC0"/>
    <w:multiLevelType w:val="hybridMultilevel"/>
    <w:tmpl w:val="F7FE58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02FC7"/>
    <w:multiLevelType w:val="hybridMultilevel"/>
    <w:tmpl w:val="75884B22"/>
    <w:lvl w:ilvl="0" w:tplc="1EB6703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E1087"/>
    <w:multiLevelType w:val="hybridMultilevel"/>
    <w:tmpl w:val="CB586D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226D2"/>
    <w:multiLevelType w:val="hybridMultilevel"/>
    <w:tmpl w:val="EC04FE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844F6"/>
    <w:multiLevelType w:val="hybridMultilevel"/>
    <w:tmpl w:val="FEB631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81140"/>
    <w:multiLevelType w:val="hybridMultilevel"/>
    <w:tmpl w:val="13BA0842"/>
    <w:lvl w:ilvl="0" w:tplc="5144F4D2">
      <w:start w:val="1"/>
      <w:numFmt w:val="bullet"/>
      <w:lvlText w:val=""/>
      <w:lvlJc w:val="left"/>
      <w:pPr>
        <w:ind w:left="525" w:hanging="425"/>
      </w:pPr>
      <w:rPr>
        <w:rFonts w:ascii="Symbol" w:eastAsia="Symbol" w:hAnsi="Symbol" w:hint="default"/>
        <w:w w:val="99"/>
        <w:sz w:val="20"/>
        <w:szCs w:val="20"/>
      </w:rPr>
    </w:lvl>
    <w:lvl w:ilvl="1" w:tplc="A372BAC4">
      <w:start w:val="1"/>
      <w:numFmt w:val="bullet"/>
      <w:lvlText w:val="•"/>
      <w:lvlJc w:val="left"/>
      <w:pPr>
        <w:ind w:left="1393" w:hanging="425"/>
      </w:pPr>
      <w:rPr>
        <w:rFonts w:hint="default"/>
      </w:rPr>
    </w:lvl>
    <w:lvl w:ilvl="2" w:tplc="62802DC6">
      <w:start w:val="1"/>
      <w:numFmt w:val="bullet"/>
      <w:lvlText w:val="•"/>
      <w:lvlJc w:val="left"/>
      <w:pPr>
        <w:ind w:left="2261" w:hanging="425"/>
      </w:pPr>
      <w:rPr>
        <w:rFonts w:hint="default"/>
      </w:rPr>
    </w:lvl>
    <w:lvl w:ilvl="3" w:tplc="792E553E">
      <w:start w:val="1"/>
      <w:numFmt w:val="bullet"/>
      <w:lvlText w:val="•"/>
      <w:lvlJc w:val="left"/>
      <w:pPr>
        <w:ind w:left="3129" w:hanging="425"/>
      </w:pPr>
      <w:rPr>
        <w:rFonts w:hint="default"/>
      </w:rPr>
    </w:lvl>
    <w:lvl w:ilvl="4" w:tplc="923438FE">
      <w:start w:val="1"/>
      <w:numFmt w:val="bullet"/>
      <w:lvlText w:val="•"/>
      <w:lvlJc w:val="left"/>
      <w:pPr>
        <w:ind w:left="3997" w:hanging="425"/>
      </w:pPr>
      <w:rPr>
        <w:rFonts w:hint="default"/>
      </w:rPr>
    </w:lvl>
    <w:lvl w:ilvl="5" w:tplc="E856B104">
      <w:start w:val="1"/>
      <w:numFmt w:val="bullet"/>
      <w:lvlText w:val="•"/>
      <w:lvlJc w:val="left"/>
      <w:pPr>
        <w:ind w:left="4865" w:hanging="425"/>
      </w:pPr>
      <w:rPr>
        <w:rFonts w:hint="default"/>
      </w:rPr>
    </w:lvl>
    <w:lvl w:ilvl="6" w:tplc="78724AC0">
      <w:start w:val="1"/>
      <w:numFmt w:val="bullet"/>
      <w:lvlText w:val="•"/>
      <w:lvlJc w:val="left"/>
      <w:pPr>
        <w:ind w:left="5733" w:hanging="425"/>
      </w:pPr>
      <w:rPr>
        <w:rFonts w:hint="default"/>
      </w:rPr>
    </w:lvl>
    <w:lvl w:ilvl="7" w:tplc="34D090CE">
      <w:start w:val="1"/>
      <w:numFmt w:val="bullet"/>
      <w:lvlText w:val="•"/>
      <w:lvlJc w:val="left"/>
      <w:pPr>
        <w:ind w:left="6602" w:hanging="425"/>
      </w:pPr>
      <w:rPr>
        <w:rFonts w:hint="default"/>
      </w:rPr>
    </w:lvl>
    <w:lvl w:ilvl="8" w:tplc="946459F4">
      <w:start w:val="1"/>
      <w:numFmt w:val="bullet"/>
      <w:lvlText w:val="•"/>
      <w:lvlJc w:val="left"/>
      <w:pPr>
        <w:ind w:left="7470" w:hanging="425"/>
      </w:pPr>
      <w:rPr>
        <w:rFonts w:hint="default"/>
      </w:rPr>
    </w:lvl>
  </w:abstractNum>
  <w:abstractNum w:abstractNumId="10" w15:restartNumberingAfterBreak="0">
    <w:nsid w:val="2DB76F86"/>
    <w:multiLevelType w:val="hybridMultilevel"/>
    <w:tmpl w:val="830CCCA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409E39E9"/>
    <w:multiLevelType w:val="hybridMultilevel"/>
    <w:tmpl w:val="426CBC80"/>
    <w:lvl w:ilvl="0" w:tplc="A156064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13"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14" w15:restartNumberingAfterBreak="0">
    <w:nsid w:val="5B7E4455"/>
    <w:multiLevelType w:val="hybridMultilevel"/>
    <w:tmpl w:val="FD683612"/>
    <w:lvl w:ilvl="0" w:tplc="08090017">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17" w15:restartNumberingAfterBreak="0">
    <w:nsid w:val="77AB2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9"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583220427">
    <w:abstractNumId w:val="21"/>
  </w:num>
  <w:num w:numId="2" w16cid:durableId="1882816126">
    <w:abstractNumId w:val="13"/>
  </w:num>
  <w:num w:numId="3" w16cid:durableId="1275937844">
    <w:abstractNumId w:val="1"/>
  </w:num>
  <w:num w:numId="4" w16cid:durableId="1252085550">
    <w:abstractNumId w:val="18"/>
  </w:num>
  <w:num w:numId="5" w16cid:durableId="1991598751">
    <w:abstractNumId w:val="20"/>
  </w:num>
  <w:num w:numId="6" w16cid:durableId="1173452058">
    <w:abstractNumId w:val="7"/>
  </w:num>
  <w:num w:numId="7" w16cid:durableId="1528910631">
    <w:abstractNumId w:val="19"/>
  </w:num>
  <w:num w:numId="8" w16cid:durableId="1918980726">
    <w:abstractNumId w:val="12"/>
  </w:num>
  <w:num w:numId="9" w16cid:durableId="1044674760">
    <w:abstractNumId w:val="15"/>
  </w:num>
  <w:num w:numId="10" w16cid:durableId="153030499">
    <w:abstractNumId w:val="1"/>
    <w:lvlOverride w:ilvl="0">
      <w:startOverride w:val="1"/>
    </w:lvlOverride>
    <w:lvlOverride w:ilvl="1"/>
    <w:lvlOverride w:ilvl="2"/>
    <w:lvlOverride w:ilvl="3"/>
    <w:lvlOverride w:ilvl="4"/>
    <w:lvlOverride w:ilvl="5"/>
    <w:lvlOverride w:ilvl="6"/>
    <w:lvlOverride w:ilvl="7"/>
    <w:lvlOverride w:ilvl="8"/>
  </w:num>
  <w:num w:numId="11" w16cid:durableId="118185057">
    <w:abstractNumId w:val="8"/>
  </w:num>
  <w:num w:numId="12" w16cid:durableId="2070955815">
    <w:abstractNumId w:val="9"/>
  </w:num>
  <w:num w:numId="13" w16cid:durableId="2085451703">
    <w:abstractNumId w:val="17"/>
  </w:num>
  <w:num w:numId="14" w16cid:durableId="1383284568">
    <w:abstractNumId w:val="4"/>
  </w:num>
  <w:num w:numId="15" w16cid:durableId="1584342111">
    <w:abstractNumId w:val="6"/>
  </w:num>
  <w:num w:numId="16" w16cid:durableId="477891097">
    <w:abstractNumId w:val="5"/>
  </w:num>
  <w:num w:numId="17" w16cid:durableId="709262560">
    <w:abstractNumId w:val="11"/>
  </w:num>
  <w:num w:numId="18" w16cid:durableId="1849177204">
    <w:abstractNumId w:val="14"/>
  </w:num>
  <w:num w:numId="19" w16cid:durableId="1962297596">
    <w:abstractNumId w:val="10"/>
  </w:num>
  <w:num w:numId="20" w16cid:durableId="358362967">
    <w:abstractNumId w:val="2"/>
  </w:num>
  <w:num w:numId="21" w16cid:durableId="1128400415">
    <w:abstractNumId w:val="3"/>
  </w:num>
  <w:num w:numId="22" w16cid:durableId="1371689202">
    <w:abstractNumId w:val="16"/>
  </w:num>
  <w:num w:numId="23" w16cid:durableId="15368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doNotTrackFormatting/>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1A"/>
    <w:rsid w:val="00000A30"/>
    <w:rsid w:val="000013B9"/>
    <w:rsid w:val="00004573"/>
    <w:rsid w:val="00006951"/>
    <w:rsid w:val="0000723F"/>
    <w:rsid w:val="0000738A"/>
    <w:rsid w:val="00012200"/>
    <w:rsid w:val="00021B8A"/>
    <w:rsid w:val="00021DC5"/>
    <w:rsid w:val="000231B5"/>
    <w:rsid w:val="00030286"/>
    <w:rsid w:val="0003295E"/>
    <w:rsid w:val="00035AA0"/>
    <w:rsid w:val="000365EA"/>
    <w:rsid w:val="00036B9A"/>
    <w:rsid w:val="00040318"/>
    <w:rsid w:val="00042903"/>
    <w:rsid w:val="00044A69"/>
    <w:rsid w:val="00044FE9"/>
    <w:rsid w:val="00046152"/>
    <w:rsid w:val="000473B9"/>
    <w:rsid w:val="000476CD"/>
    <w:rsid w:val="000621CC"/>
    <w:rsid w:val="00063169"/>
    <w:rsid w:val="000632D3"/>
    <w:rsid w:val="00063981"/>
    <w:rsid w:val="00063EE9"/>
    <w:rsid w:val="00067AEF"/>
    <w:rsid w:val="00071320"/>
    <w:rsid w:val="0007539C"/>
    <w:rsid w:val="000827AE"/>
    <w:rsid w:val="00083363"/>
    <w:rsid w:val="0008452C"/>
    <w:rsid w:val="00084D2A"/>
    <w:rsid w:val="00086450"/>
    <w:rsid w:val="00087C89"/>
    <w:rsid w:val="00091088"/>
    <w:rsid w:val="000968C7"/>
    <w:rsid w:val="000A163E"/>
    <w:rsid w:val="000A337F"/>
    <w:rsid w:val="000A3685"/>
    <w:rsid w:val="000A4D73"/>
    <w:rsid w:val="000B2066"/>
    <w:rsid w:val="000B5AEC"/>
    <w:rsid w:val="000B75B9"/>
    <w:rsid w:val="000C061B"/>
    <w:rsid w:val="000C0CBE"/>
    <w:rsid w:val="000C36EB"/>
    <w:rsid w:val="000C5E6F"/>
    <w:rsid w:val="000D0421"/>
    <w:rsid w:val="000D40FF"/>
    <w:rsid w:val="000E0664"/>
    <w:rsid w:val="000E660E"/>
    <w:rsid w:val="000F3219"/>
    <w:rsid w:val="000F3771"/>
    <w:rsid w:val="000F6978"/>
    <w:rsid w:val="000F7135"/>
    <w:rsid w:val="000F7EAF"/>
    <w:rsid w:val="001018C0"/>
    <w:rsid w:val="00101B66"/>
    <w:rsid w:val="00102819"/>
    <w:rsid w:val="001035C4"/>
    <w:rsid w:val="0010387C"/>
    <w:rsid w:val="00103B2C"/>
    <w:rsid w:val="00104D7A"/>
    <w:rsid w:val="00105A7F"/>
    <w:rsid w:val="0010708E"/>
    <w:rsid w:val="00107097"/>
    <w:rsid w:val="00112690"/>
    <w:rsid w:val="001219D4"/>
    <w:rsid w:val="001227C5"/>
    <w:rsid w:val="001232F1"/>
    <w:rsid w:val="00126931"/>
    <w:rsid w:val="0013121A"/>
    <w:rsid w:val="00131850"/>
    <w:rsid w:val="00131BA0"/>
    <w:rsid w:val="0013772F"/>
    <w:rsid w:val="0014175D"/>
    <w:rsid w:val="001460DA"/>
    <w:rsid w:val="0015237A"/>
    <w:rsid w:val="00157B09"/>
    <w:rsid w:val="00163CC2"/>
    <w:rsid w:val="0016469E"/>
    <w:rsid w:val="00166EE4"/>
    <w:rsid w:val="00167CE6"/>
    <w:rsid w:val="00171A8D"/>
    <w:rsid w:val="0017254E"/>
    <w:rsid w:val="001775F0"/>
    <w:rsid w:val="001802E4"/>
    <w:rsid w:val="001814E5"/>
    <w:rsid w:val="001818F6"/>
    <w:rsid w:val="00181C7F"/>
    <w:rsid w:val="00181C88"/>
    <w:rsid w:val="001862D8"/>
    <w:rsid w:val="001867E7"/>
    <w:rsid w:val="0019093E"/>
    <w:rsid w:val="0019166E"/>
    <w:rsid w:val="001924C3"/>
    <w:rsid w:val="00193256"/>
    <w:rsid w:val="00194AE2"/>
    <w:rsid w:val="001A0BED"/>
    <w:rsid w:val="001A1AC5"/>
    <w:rsid w:val="001A422B"/>
    <w:rsid w:val="001B3917"/>
    <w:rsid w:val="001B59D5"/>
    <w:rsid w:val="001B5C90"/>
    <w:rsid w:val="001B7D90"/>
    <w:rsid w:val="001C0357"/>
    <w:rsid w:val="001C0D9F"/>
    <w:rsid w:val="001C6B41"/>
    <w:rsid w:val="001C7DE8"/>
    <w:rsid w:val="001D121C"/>
    <w:rsid w:val="001D5400"/>
    <w:rsid w:val="001D6857"/>
    <w:rsid w:val="001D7558"/>
    <w:rsid w:val="001E007C"/>
    <w:rsid w:val="001E0EBF"/>
    <w:rsid w:val="001E236E"/>
    <w:rsid w:val="001E3EB5"/>
    <w:rsid w:val="001E4839"/>
    <w:rsid w:val="001E6297"/>
    <w:rsid w:val="001E78DF"/>
    <w:rsid w:val="001F0446"/>
    <w:rsid w:val="001F3711"/>
    <w:rsid w:val="001F3928"/>
    <w:rsid w:val="001F6725"/>
    <w:rsid w:val="00200E83"/>
    <w:rsid w:val="00205089"/>
    <w:rsid w:val="002076CF"/>
    <w:rsid w:val="002117CD"/>
    <w:rsid w:val="00212FD2"/>
    <w:rsid w:val="00214700"/>
    <w:rsid w:val="0021483A"/>
    <w:rsid w:val="002169C5"/>
    <w:rsid w:val="00233BDE"/>
    <w:rsid w:val="002346D9"/>
    <w:rsid w:val="00234D9A"/>
    <w:rsid w:val="00235CAE"/>
    <w:rsid w:val="00241E6A"/>
    <w:rsid w:val="00242CF8"/>
    <w:rsid w:val="00245E9E"/>
    <w:rsid w:val="0024654C"/>
    <w:rsid w:val="00246EA8"/>
    <w:rsid w:val="00252523"/>
    <w:rsid w:val="00255AD2"/>
    <w:rsid w:val="0025692B"/>
    <w:rsid w:val="00260B36"/>
    <w:rsid w:val="002626FE"/>
    <w:rsid w:val="00267736"/>
    <w:rsid w:val="0027028C"/>
    <w:rsid w:val="00275F6B"/>
    <w:rsid w:val="00277248"/>
    <w:rsid w:val="0027732B"/>
    <w:rsid w:val="00280B64"/>
    <w:rsid w:val="00280FB9"/>
    <w:rsid w:val="00281DEE"/>
    <w:rsid w:val="00283A92"/>
    <w:rsid w:val="0028466D"/>
    <w:rsid w:val="002858BE"/>
    <w:rsid w:val="00285D39"/>
    <w:rsid w:val="002920E5"/>
    <w:rsid w:val="00292D92"/>
    <w:rsid w:val="0029548B"/>
    <w:rsid w:val="002A2A26"/>
    <w:rsid w:val="002A4ED1"/>
    <w:rsid w:val="002A6580"/>
    <w:rsid w:val="002B0A00"/>
    <w:rsid w:val="002B2BDE"/>
    <w:rsid w:val="002B2E44"/>
    <w:rsid w:val="002B3394"/>
    <w:rsid w:val="002B56B2"/>
    <w:rsid w:val="002B6E61"/>
    <w:rsid w:val="002B7173"/>
    <w:rsid w:val="002B7CAE"/>
    <w:rsid w:val="002C37CE"/>
    <w:rsid w:val="002C3A45"/>
    <w:rsid w:val="002C688B"/>
    <w:rsid w:val="002D00D5"/>
    <w:rsid w:val="002D6CF1"/>
    <w:rsid w:val="002D6FED"/>
    <w:rsid w:val="002E0DD7"/>
    <w:rsid w:val="002E128D"/>
    <w:rsid w:val="002E33B5"/>
    <w:rsid w:val="002E4D47"/>
    <w:rsid w:val="002E5495"/>
    <w:rsid w:val="002E61BC"/>
    <w:rsid w:val="002F19E3"/>
    <w:rsid w:val="002F3995"/>
    <w:rsid w:val="002F43F7"/>
    <w:rsid w:val="002F54C4"/>
    <w:rsid w:val="002F5C5D"/>
    <w:rsid w:val="002F5EC5"/>
    <w:rsid w:val="002F6823"/>
    <w:rsid w:val="0030089E"/>
    <w:rsid w:val="00302762"/>
    <w:rsid w:val="00302E20"/>
    <w:rsid w:val="00303876"/>
    <w:rsid w:val="00310F85"/>
    <w:rsid w:val="003120EB"/>
    <w:rsid w:val="00316B1D"/>
    <w:rsid w:val="00317280"/>
    <w:rsid w:val="0032628A"/>
    <w:rsid w:val="0032658E"/>
    <w:rsid w:val="003278CC"/>
    <w:rsid w:val="00333351"/>
    <w:rsid w:val="00341A73"/>
    <w:rsid w:val="00342ADD"/>
    <w:rsid w:val="00343C3B"/>
    <w:rsid w:val="0034565C"/>
    <w:rsid w:val="00347EEB"/>
    <w:rsid w:val="003503F5"/>
    <w:rsid w:val="0035051C"/>
    <w:rsid w:val="00351ABE"/>
    <w:rsid w:val="00352728"/>
    <w:rsid w:val="00353196"/>
    <w:rsid w:val="00355B7C"/>
    <w:rsid w:val="003606D2"/>
    <w:rsid w:val="00360B5D"/>
    <w:rsid w:val="0036349C"/>
    <w:rsid w:val="003722DA"/>
    <w:rsid w:val="00372FFE"/>
    <w:rsid w:val="0037545E"/>
    <w:rsid w:val="00376CDB"/>
    <w:rsid w:val="00380E6E"/>
    <w:rsid w:val="00383A51"/>
    <w:rsid w:val="00383CCE"/>
    <w:rsid w:val="003848B9"/>
    <w:rsid w:val="003902F8"/>
    <w:rsid w:val="00390E23"/>
    <w:rsid w:val="003916D1"/>
    <w:rsid w:val="0039203E"/>
    <w:rsid w:val="00392770"/>
    <w:rsid w:val="00397208"/>
    <w:rsid w:val="003A2AF7"/>
    <w:rsid w:val="003A350A"/>
    <w:rsid w:val="003A6775"/>
    <w:rsid w:val="003A6C05"/>
    <w:rsid w:val="003B0698"/>
    <w:rsid w:val="003B1E5A"/>
    <w:rsid w:val="003B7B4F"/>
    <w:rsid w:val="003B7CD6"/>
    <w:rsid w:val="003C24AC"/>
    <w:rsid w:val="003C476C"/>
    <w:rsid w:val="003C757B"/>
    <w:rsid w:val="003D0B3F"/>
    <w:rsid w:val="003E0C60"/>
    <w:rsid w:val="003E162B"/>
    <w:rsid w:val="003E3ABB"/>
    <w:rsid w:val="003E66A6"/>
    <w:rsid w:val="003E688E"/>
    <w:rsid w:val="003F0895"/>
    <w:rsid w:val="003F4A5F"/>
    <w:rsid w:val="003F62E0"/>
    <w:rsid w:val="003F7EC8"/>
    <w:rsid w:val="004030D4"/>
    <w:rsid w:val="004034AA"/>
    <w:rsid w:val="00403638"/>
    <w:rsid w:val="0040393D"/>
    <w:rsid w:val="004047B6"/>
    <w:rsid w:val="00405A46"/>
    <w:rsid w:val="00406A02"/>
    <w:rsid w:val="00407B9F"/>
    <w:rsid w:val="004107B7"/>
    <w:rsid w:val="0041354E"/>
    <w:rsid w:val="00415296"/>
    <w:rsid w:val="004159C7"/>
    <w:rsid w:val="00416351"/>
    <w:rsid w:val="00422207"/>
    <w:rsid w:val="004233CF"/>
    <w:rsid w:val="00430E11"/>
    <w:rsid w:val="0043113C"/>
    <w:rsid w:val="00432040"/>
    <w:rsid w:val="00433D0F"/>
    <w:rsid w:val="004354E6"/>
    <w:rsid w:val="0043694A"/>
    <w:rsid w:val="00437995"/>
    <w:rsid w:val="0044472A"/>
    <w:rsid w:val="004452D9"/>
    <w:rsid w:val="00447A9F"/>
    <w:rsid w:val="00450D82"/>
    <w:rsid w:val="00451204"/>
    <w:rsid w:val="00451436"/>
    <w:rsid w:val="0045721E"/>
    <w:rsid w:val="00457DC4"/>
    <w:rsid w:val="00460579"/>
    <w:rsid w:val="004632F3"/>
    <w:rsid w:val="004669A6"/>
    <w:rsid w:val="0047018C"/>
    <w:rsid w:val="00470D58"/>
    <w:rsid w:val="00473533"/>
    <w:rsid w:val="0047578E"/>
    <w:rsid w:val="00476EC0"/>
    <w:rsid w:val="0048368F"/>
    <w:rsid w:val="0048597B"/>
    <w:rsid w:val="004871E9"/>
    <w:rsid w:val="00487EBB"/>
    <w:rsid w:val="0049507A"/>
    <w:rsid w:val="004962FD"/>
    <w:rsid w:val="00497CC8"/>
    <w:rsid w:val="004A2407"/>
    <w:rsid w:val="004A3EC5"/>
    <w:rsid w:val="004B096D"/>
    <w:rsid w:val="004B2026"/>
    <w:rsid w:val="004B51A6"/>
    <w:rsid w:val="004B6A41"/>
    <w:rsid w:val="004B7651"/>
    <w:rsid w:val="004C023F"/>
    <w:rsid w:val="004C2935"/>
    <w:rsid w:val="004C2BC9"/>
    <w:rsid w:val="004C4597"/>
    <w:rsid w:val="004C5825"/>
    <w:rsid w:val="004C7B10"/>
    <w:rsid w:val="004C7B3B"/>
    <w:rsid w:val="004D04E4"/>
    <w:rsid w:val="004D100A"/>
    <w:rsid w:val="004D3690"/>
    <w:rsid w:val="004D696D"/>
    <w:rsid w:val="004D76DE"/>
    <w:rsid w:val="004E1949"/>
    <w:rsid w:val="004E1F7B"/>
    <w:rsid w:val="004E43CE"/>
    <w:rsid w:val="004E7065"/>
    <w:rsid w:val="004E710A"/>
    <w:rsid w:val="004E7168"/>
    <w:rsid w:val="004F0287"/>
    <w:rsid w:val="00501B53"/>
    <w:rsid w:val="00505196"/>
    <w:rsid w:val="005059A1"/>
    <w:rsid w:val="005062D3"/>
    <w:rsid w:val="00510CC9"/>
    <w:rsid w:val="00510EEF"/>
    <w:rsid w:val="0052188B"/>
    <w:rsid w:val="00522856"/>
    <w:rsid w:val="005229BB"/>
    <w:rsid w:val="00523ABF"/>
    <w:rsid w:val="005245C0"/>
    <w:rsid w:val="00524681"/>
    <w:rsid w:val="0053015B"/>
    <w:rsid w:val="005302B3"/>
    <w:rsid w:val="0053224D"/>
    <w:rsid w:val="005342B8"/>
    <w:rsid w:val="00537C8E"/>
    <w:rsid w:val="00537EF4"/>
    <w:rsid w:val="00541530"/>
    <w:rsid w:val="0054170C"/>
    <w:rsid w:val="00542FF6"/>
    <w:rsid w:val="005464C5"/>
    <w:rsid w:val="00553378"/>
    <w:rsid w:val="005551A7"/>
    <w:rsid w:val="00556675"/>
    <w:rsid w:val="005578C1"/>
    <w:rsid w:val="00561B07"/>
    <w:rsid w:val="0056216D"/>
    <w:rsid w:val="00563E8D"/>
    <w:rsid w:val="005678CD"/>
    <w:rsid w:val="005707BC"/>
    <w:rsid w:val="005752E3"/>
    <w:rsid w:val="005761E2"/>
    <w:rsid w:val="00577120"/>
    <w:rsid w:val="005772B7"/>
    <w:rsid w:val="00580437"/>
    <w:rsid w:val="0058684B"/>
    <w:rsid w:val="005872F7"/>
    <w:rsid w:val="00593291"/>
    <w:rsid w:val="0059376E"/>
    <w:rsid w:val="0059392D"/>
    <w:rsid w:val="00596A05"/>
    <w:rsid w:val="005976D6"/>
    <w:rsid w:val="005A01B1"/>
    <w:rsid w:val="005A165D"/>
    <w:rsid w:val="005A2BB8"/>
    <w:rsid w:val="005A5B76"/>
    <w:rsid w:val="005B1B77"/>
    <w:rsid w:val="005B3FA6"/>
    <w:rsid w:val="005B5FC1"/>
    <w:rsid w:val="005C0C58"/>
    <w:rsid w:val="005C19B8"/>
    <w:rsid w:val="005C4EF5"/>
    <w:rsid w:val="005C5DFD"/>
    <w:rsid w:val="005C6DD7"/>
    <w:rsid w:val="005C7764"/>
    <w:rsid w:val="005C7A32"/>
    <w:rsid w:val="005D3898"/>
    <w:rsid w:val="005D5E32"/>
    <w:rsid w:val="005D6D57"/>
    <w:rsid w:val="005E132B"/>
    <w:rsid w:val="005E2394"/>
    <w:rsid w:val="005E2AF5"/>
    <w:rsid w:val="005F240B"/>
    <w:rsid w:val="005F3652"/>
    <w:rsid w:val="005F7D11"/>
    <w:rsid w:val="00600DBA"/>
    <w:rsid w:val="00602B25"/>
    <w:rsid w:val="00602B70"/>
    <w:rsid w:val="0060404D"/>
    <w:rsid w:val="006073EB"/>
    <w:rsid w:val="00611031"/>
    <w:rsid w:val="006122F7"/>
    <w:rsid w:val="006137B1"/>
    <w:rsid w:val="00617E86"/>
    <w:rsid w:val="006213A5"/>
    <w:rsid w:val="00624222"/>
    <w:rsid w:val="00625B7D"/>
    <w:rsid w:val="00630776"/>
    <w:rsid w:val="0063696F"/>
    <w:rsid w:val="00642336"/>
    <w:rsid w:val="00656E79"/>
    <w:rsid w:val="00661E16"/>
    <w:rsid w:val="006632BD"/>
    <w:rsid w:val="00663749"/>
    <w:rsid w:val="0066588A"/>
    <w:rsid w:val="00665956"/>
    <w:rsid w:val="00666898"/>
    <w:rsid w:val="006711FC"/>
    <w:rsid w:val="006717AB"/>
    <w:rsid w:val="0067285C"/>
    <w:rsid w:val="00675AE8"/>
    <w:rsid w:val="00677E29"/>
    <w:rsid w:val="0068166A"/>
    <w:rsid w:val="00682A0D"/>
    <w:rsid w:val="00682AA1"/>
    <w:rsid w:val="0069015A"/>
    <w:rsid w:val="0069142A"/>
    <w:rsid w:val="00691A3D"/>
    <w:rsid w:val="00692FE9"/>
    <w:rsid w:val="006938C6"/>
    <w:rsid w:val="00694335"/>
    <w:rsid w:val="00697321"/>
    <w:rsid w:val="006978DB"/>
    <w:rsid w:val="006A111A"/>
    <w:rsid w:val="006A1E59"/>
    <w:rsid w:val="006A1E84"/>
    <w:rsid w:val="006A2D4C"/>
    <w:rsid w:val="006A31C1"/>
    <w:rsid w:val="006A31D4"/>
    <w:rsid w:val="006A68B7"/>
    <w:rsid w:val="006B0508"/>
    <w:rsid w:val="006B220E"/>
    <w:rsid w:val="006B29CA"/>
    <w:rsid w:val="006B3943"/>
    <w:rsid w:val="006B56AD"/>
    <w:rsid w:val="006B6F5A"/>
    <w:rsid w:val="006B729E"/>
    <w:rsid w:val="006C1DAA"/>
    <w:rsid w:val="006C3242"/>
    <w:rsid w:val="006C5619"/>
    <w:rsid w:val="006C583D"/>
    <w:rsid w:val="006C7092"/>
    <w:rsid w:val="006D019A"/>
    <w:rsid w:val="006D2375"/>
    <w:rsid w:val="006D272C"/>
    <w:rsid w:val="006D3952"/>
    <w:rsid w:val="006D490A"/>
    <w:rsid w:val="006D7A08"/>
    <w:rsid w:val="006D7ACE"/>
    <w:rsid w:val="006D7CA0"/>
    <w:rsid w:val="006D7EA3"/>
    <w:rsid w:val="006E0829"/>
    <w:rsid w:val="006E1994"/>
    <w:rsid w:val="006E2478"/>
    <w:rsid w:val="006E311B"/>
    <w:rsid w:val="006E3F93"/>
    <w:rsid w:val="006E4483"/>
    <w:rsid w:val="006E5315"/>
    <w:rsid w:val="006E5579"/>
    <w:rsid w:val="006E57C0"/>
    <w:rsid w:val="006E5A7A"/>
    <w:rsid w:val="006E5B66"/>
    <w:rsid w:val="006E6858"/>
    <w:rsid w:val="006F18C2"/>
    <w:rsid w:val="006F3D46"/>
    <w:rsid w:val="006F6997"/>
    <w:rsid w:val="0070149D"/>
    <w:rsid w:val="00702CA3"/>
    <w:rsid w:val="00706074"/>
    <w:rsid w:val="007065E5"/>
    <w:rsid w:val="007105ED"/>
    <w:rsid w:val="00710D5A"/>
    <w:rsid w:val="00712DAA"/>
    <w:rsid w:val="00714EF5"/>
    <w:rsid w:val="00716C2D"/>
    <w:rsid w:val="00716E25"/>
    <w:rsid w:val="00722964"/>
    <w:rsid w:val="00726353"/>
    <w:rsid w:val="00726C47"/>
    <w:rsid w:val="00726DE7"/>
    <w:rsid w:val="0072700F"/>
    <w:rsid w:val="00727FEC"/>
    <w:rsid w:val="007332BD"/>
    <w:rsid w:val="00733D2B"/>
    <w:rsid w:val="00734623"/>
    <w:rsid w:val="00734DA4"/>
    <w:rsid w:val="00737652"/>
    <w:rsid w:val="00740845"/>
    <w:rsid w:val="00740E9B"/>
    <w:rsid w:val="00746F9E"/>
    <w:rsid w:val="00747A70"/>
    <w:rsid w:val="007503D4"/>
    <w:rsid w:val="00753563"/>
    <w:rsid w:val="007567B8"/>
    <w:rsid w:val="00762416"/>
    <w:rsid w:val="007624C3"/>
    <w:rsid w:val="0076298E"/>
    <w:rsid w:val="00762AC9"/>
    <w:rsid w:val="007659CA"/>
    <w:rsid w:val="0076655B"/>
    <w:rsid w:val="00767B7B"/>
    <w:rsid w:val="00770552"/>
    <w:rsid w:val="007728EC"/>
    <w:rsid w:val="00773D69"/>
    <w:rsid w:val="00776062"/>
    <w:rsid w:val="00777B40"/>
    <w:rsid w:val="0078050C"/>
    <w:rsid w:val="007805C5"/>
    <w:rsid w:val="0078067F"/>
    <w:rsid w:val="0078668D"/>
    <w:rsid w:val="00787857"/>
    <w:rsid w:val="0079103A"/>
    <w:rsid w:val="00791CDD"/>
    <w:rsid w:val="00792A4B"/>
    <w:rsid w:val="00793D3D"/>
    <w:rsid w:val="00794DB0"/>
    <w:rsid w:val="0079502A"/>
    <w:rsid w:val="007A14BF"/>
    <w:rsid w:val="007A48E1"/>
    <w:rsid w:val="007A64D5"/>
    <w:rsid w:val="007A6E23"/>
    <w:rsid w:val="007B1104"/>
    <w:rsid w:val="007B1B6F"/>
    <w:rsid w:val="007B3053"/>
    <w:rsid w:val="007B747B"/>
    <w:rsid w:val="007C44D0"/>
    <w:rsid w:val="007D0E83"/>
    <w:rsid w:val="007D2833"/>
    <w:rsid w:val="007D58ED"/>
    <w:rsid w:val="007D65E7"/>
    <w:rsid w:val="007D7A95"/>
    <w:rsid w:val="007D7D77"/>
    <w:rsid w:val="007E4C29"/>
    <w:rsid w:val="007E698A"/>
    <w:rsid w:val="007F1D0E"/>
    <w:rsid w:val="007F1FF8"/>
    <w:rsid w:val="007F3275"/>
    <w:rsid w:val="007F5D72"/>
    <w:rsid w:val="007F7CF3"/>
    <w:rsid w:val="007F7CF8"/>
    <w:rsid w:val="0080210C"/>
    <w:rsid w:val="00802A88"/>
    <w:rsid w:val="008047D1"/>
    <w:rsid w:val="00806393"/>
    <w:rsid w:val="008064AF"/>
    <w:rsid w:val="00806592"/>
    <w:rsid w:val="00806EEC"/>
    <w:rsid w:val="00811341"/>
    <w:rsid w:val="00814B71"/>
    <w:rsid w:val="00815F7B"/>
    <w:rsid w:val="00816F14"/>
    <w:rsid w:val="00830F74"/>
    <w:rsid w:val="00831F79"/>
    <w:rsid w:val="00834A6A"/>
    <w:rsid w:val="00836C7F"/>
    <w:rsid w:val="00837B09"/>
    <w:rsid w:val="00842394"/>
    <w:rsid w:val="0084615F"/>
    <w:rsid w:val="00852123"/>
    <w:rsid w:val="00852265"/>
    <w:rsid w:val="00853728"/>
    <w:rsid w:val="0085414B"/>
    <w:rsid w:val="008547D1"/>
    <w:rsid w:val="00855D4F"/>
    <w:rsid w:val="008575E4"/>
    <w:rsid w:val="008601E2"/>
    <w:rsid w:val="00862123"/>
    <w:rsid w:val="00862423"/>
    <w:rsid w:val="00862AAE"/>
    <w:rsid w:val="00863F9C"/>
    <w:rsid w:val="00864554"/>
    <w:rsid w:val="00866B84"/>
    <w:rsid w:val="00870D62"/>
    <w:rsid w:val="0087103B"/>
    <w:rsid w:val="00871E5E"/>
    <w:rsid w:val="00873DFB"/>
    <w:rsid w:val="00874331"/>
    <w:rsid w:val="00874656"/>
    <w:rsid w:val="00874C37"/>
    <w:rsid w:val="008750C4"/>
    <w:rsid w:val="00875E37"/>
    <w:rsid w:val="00875EB2"/>
    <w:rsid w:val="00876E99"/>
    <w:rsid w:val="00877A78"/>
    <w:rsid w:val="008805AF"/>
    <w:rsid w:val="00895A96"/>
    <w:rsid w:val="008A2B42"/>
    <w:rsid w:val="008A39E1"/>
    <w:rsid w:val="008A56E6"/>
    <w:rsid w:val="008B0F46"/>
    <w:rsid w:val="008B26DD"/>
    <w:rsid w:val="008B2BB9"/>
    <w:rsid w:val="008B37B9"/>
    <w:rsid w:val="008B3E60"/>
    <w:rsid w:val="008B62AF"/>
    <w:rsid w:val="008B752A"/>
    <w:rsid w:val="008C4CC9"/>
    <w:rsid w:val="008D2B73"/>
    <w:rsid w:val="008D4B62"/>
    <w:rsid w:val="008D4BB1"/>
    <w:rsid w:val="008D57B1"/>
    <w:rsid w:val="008D69D1"/>
    <w:rsid w:val="008D7FB9"/>
    <w:rsid w:val="008E16A4"/>
    <w:rsid w:val="008E46A8"/>
    <w:rsid w:val="008E5A1F"/>
    <w:rsid w:val="008E784D"/>
    <w:rsid w:val="008F3E53"/>
    <w:rsid w:val="008F3EAC"/>
    <w:rsid w:val="008F445F"/>
    <w:rsid w:val="008F78C6"/>
    <w:rsid w:val="00900A5A"/>
    <w:rsid w:val="009028E1"/>
    <w:rsid w:val="00906127"/>
    <w:rsid w:val="00907003"/>
    <w:rsid w:val="0091191D"/>
    <w:rsid w:val="009132A5"/>
    <w:rsid w:val="0092114B"/>
    <w:rsid w:val="009239A2"/>
    <w:rsid w:val="00923C68"/>
    <w:rsid w:val="00924817"/>
    <w:rsid w:val="009260C3"/>
    <w:rsid w:val="009270C8"/>
    <w:rsid w:val="00930BC2"/>
    <w:rsid w:val="00930F46"/>
    <w:rsid w:val="00937003"/>
    <w:rsid w:val="00940244"/>
    <w:rsid w:val="009402EA"/>
    <w:rsid w:val="00941821"/>
    <w:rsid w:val="00942112"/>
    <w:rsid w:val="0094287D"/>
    <w:rsid w:val="009445A8"/>
    <w:rsid w:val="00945F6B"/>
    <w:rsid w:val="00946BF7"/>
    <w:rsid w:val="00951DAE"/>
    <w:rsid w:val="00952EA7"/>
    <w:rsid w:val="009536FB"/>
    <w:rsid w:val="0095373D"/>
    <w:rsid w:val="0096448D"/>
    <w:rsid w:val="00965F2B"/>
    <w:rsid w:val="009661AF"/>
    <w:rsid w:val="00972290"/>
    <w:rsid w:val="00973465"/>
    <w:rsid w:val="009744FD"/>
    <w:rsid w:val="00975DBF"/>
    <w:rsid w:val="009803A9"/>
    <w:rsid w:val="009812A3"/>
    <w:rsid w:val="00984AEB"/>
    <w:rsid w:val="00990155"/>
    <w:rsid w:val="00991775"/>
    <w:rsid w:val="0099390F"/>
    <w:rsid w:val="00993A6A"/>
    <w:rsid w:val="00994396"/>
    <w:rsid w:val="009A071D"/>
    <w:rsid w:val="009A0C1A"/>
    <w:rsid w:val="009A5BDE"/>
    <w:rsid w:val="009A5DBB"/>
    <w:rsid w:val="009B0115"/>
    <w:rsid w:val="009B0920"/>
    <w:rsid w:val="009B0A1A"/>
    <w:rsid w:val="009B14F5"/>
    <w:rsid w:val="009B2021"/>
    <w:rsid w:val="009B5A1E"/>
    <w:rsid w:val="009C1BBA"/>
    <w:rsid w:val="009C1D57"/>
    <w:rsid w:val="009C3EF2"/>
    <w:rsid w:val="009C4AE6"/>
    <w:rsid w:val="009D0873"/>
    <w:rsid w:val="009D35FA"/>
    <w:rsid w:val="009D4267"/>
    <w:rsid w:val="009D4523"/>
    <w:rsid w:val="009D4962"/>
    <w:rsid w:val="009D7F17"/>
    <w:rsid w:val="009E038B"/>
    <w:rsid w:val="009E0B6B"/>
    <w:rsid w:val="009E16DF"/>
    <w:rsid w:val="009E2A98"/>
    <w:rsid w:val="009E411E"/>
    <w:rsid w:val="009E4279"/>
    <w:rsid w:val="009E430A"/>
    <w:rsid w:val="009E6C88"/>
    <w:rsid w:val="009E6F27"/>
    <w:rsid w:val="009F1FFB"/>
    <w:rsid w:val="009F3F6D"/>
    <w:rsid w:val="009F5C87"/>
    <w:rsid w:val="009F7B07"/>
    <w:rsid w:val="00A006A1"/>
    <w:rsid w:val="00A022F9"/>
    <w:rsid w:val="00A02649"/>
    <w:rsid w:val="00A04186"/>
    <w:rsid w:val="00A045A1"/>
    <w:rsid w:val="00A046AE"/>
    <w:rsid w:val="00A05834"/>
    <w:rsid w:val="00A07CBB"/>
    <w:rsid w:val="00A07E36"/>
    <w:rsid w:val="00A10633"/>
    <w:rsid w:val="00A116D3"/>
    <w:rsid w:val="00A15F56"/>
    <w:rsid w:val="00A2065F"/>
    <w:rsid w:val="00A20F18"/>
    <w:rsid w:val="00A215E5"/>
    <w:rsid w:val="00A22458"/>
    <w:rsid w:val="00A23631"/>
    <w:rsid w:val="00A248F7"/>
    <w:rsid w:val="00A31651"/>
    <w:rsid w:val="00A316E9"/>
    <w:rsid w:val="00A3497A"/>
    <w:rsid w:val="00A3565C"/>
    <w:rsid w:val="00A35A1A"/>
    <w:rsid w:val="00A3748D"/>
    <w:rsid w:val="00A42F1F"/>
    <w:rsid w:val="00A431B0"/>
    <w:rsid w:val="00A45077"/>
    <w:rsid w:val="00A4628B"/>
    <w:rsid w:val="00A465CB"/>
    <w:rsid w:val="00A4669F"/>
    <w:rsid w:val="00A46F92"/>
    <w:rsid w:val="00A47645"/>
    <w:rsid w:val="00A52046"/>
    <w:rsid w:val="00A55FF1"/>
    <w:rsid w:val="00A57933"/>
    <w:rsid w:val="00A6096E"/>
    <w:rsid w:val="00A62F75"/>
    <w:rsid w:val="00A64D91"/>
    <w:rsid w:val="00A75BE4"/>
    <w:rsid w:val="00A81275"/>
    <w:rsid w:val="00A8231E"/>
    <w:rsid w:val="00A82CD9"/>
    <w:rsid w:val="00A85B93"/>
    <w:rsid w:val="00A87BFD"/>
    <w:rsid w:val="00A931CC"/>
    <w:rsid w:val="00A9603A"/>
    <w:rsid w:val="00A96F76"/>
    <w:rsid w:val="00AA1C6D"/>
    <w:rsid w:val="00AA53A2"/>
    <w:rsid w:val="00AA7025"/>
    <w:rsid w:val="00AB052D"/>
    <w:rsid w:val="00AB14BC"/>
    <w:rsid w:val="00AB1736"/>
    <w:rsid w:val="00AB4001"/>
    <w:rsid w:val="00AB77B9"/>
    <w:rsid w:val="00AC00AB"/>
    <w:rsid w:val="00AC0832"/>
    <w:rsid w:val="00AC0EBB"/>
    <w:rsid w:val="00AC213C"/>
    <w:rsid w:val="00AC3142"/>
    <w:rsid w:val="00AC5CFA"/>
    <w:rsid w:val="00AC5E7E"/>
    <w:rsid w:val="00AC7A90"/>
    <w:rsid w:val="00AD44D2"/>
    <w:rsid w:val="00AD6870"/>
    <w:rsid w:val="00AD76AE"/>
    <w:rsid w:val="00AE0096"/>
    <w:rsid w:val="00AE4640"/>
    <w:rsid w:val="00AE4B68"/>
    <w:rsid w:val="00AE7182"/>
    <w:rsid w:val="00AE7D91"/>
    <w:rsid w:val="00AF212E"/>
    <w:rsid w:val="00AF24EE"/>
    <w:rsid w:val="00AF6FB5"/>
    <w:rsid w:val="00B02D02"/>
    <w:rsid w:val="00B03F0D"/>
    <w:rsid w:val="00B05004"/>
    <w:rsid w:val="00B051FA"/>
    <w:rsid w:val="00B076AD"/>
    <w:rsid w:val="00B10878"/>
    <w:rsid w:val="00B13576"/>
    <w:rsid w:val="00B14FED"/>
    <w:rsid w:val="00B175E4"/>
    <w:rsid w:val="00B17CD5"/>
    <w:rsid w:val="00B17F56"/>
    <w:rsid w:val="00B2253C"/>
    <w:rsid w:val="00B240C6"/>
    <w:rsid w:val="00B26C10"/>
    <w:rsid w:val="00B272D1"/>
    <w:rsid w:val="00B2771B"/>
    <w:rsid w:val="00B32216"/>
    <w:rsid w:val="00B34427"/>
    <w:rsid w:val="00B352A7"/>
    <w:rsid w:val="00B3678C"/>
    <w:rsid w:val="00B40FAC"/>
    <w:rsid w:val="00B5034B"/>
    <w:rsid w:val="00B50EF9"/>
    <w:rsid w:val="00B53966"/>
    <w:rsid w:val="00B626FF"/>
    <w:rsid w:val="00B63D24"/>
    <w:rsid w:val="00B7507F"/>
    <w:rsid w:val="00B759EA"/>
    <w:rsid w:val="00B75A56"/>
    <w:rsid w:val="00B771F7"/>
    <w:rsid w:val="00B77EBE"/>
    <w:rsid w:val="00B8559C"/>
    <w:rsid w:val="00B905DB"/>
    <w:rsid w:val="00B90CCD"/>
    <w:rsid w:val="00B92FA1"/>
    <w:rsid w:val="00B95D39"/>
    <w:rsid w:val="00B95DF5"/>
    <w:rsid w:val="00B9647F"/>
    <w:rsid w:val="00BA0A04"/>
    <w:rsid w:val="00BA1AD6"/>
    <w:rsid w:val="00BA7172"/>
    <w:rsid w:val="00BA7D53"/>
    <w:rsid w:val="00BB123A"/>
    <w:rsid w:val="00BB7672"/>
    <w:rsid w:val="00BC0B7B"/>
    <w:rsid w:val="00BC253E"/>
    <w:rsid w:val="00BD3050"/>
    <w:rsid w:val="00BD4C6F"/>
    <w:rsid w:val="00BE024C"/>
    <w:rsid w:val="00BE028F"/>
    <w:rsid w:val="00BE1EF1"/>
    <w:rsid w:val="00BE3C29"/>
    <w:rsid w:val="00BE6241"/>
    <w:rsid w:val="00BF1E6C"/>
    <w:rsid w:val="00BF2AAA"/>
    <w:rsid w:val="00C005F1"/>
    <w:rsid w:val="00C01A44"/>
    <w:rsid w:val="00C03947"/>
    <w:rsid w:val="00C0697F"/>
    <w:rsid w:val="00C11E8D"/>
    <w:rsid w:val="00C17B01"/>
    <w:rsid w:val="00C27FCD"/>
    <w:rsid w:val="00C300A5"/>
    <w:rsid w:val="00C32B86"/>
    <w:rsid w:val="00C33AB0"/>
    <w:rsid w:val="00C34FCA"/>
    <w:rsid w:val="00C3674F"/>
    <w:rsid w:val="00C406CE"/>
    <w:rsid w:val="00C40731"/>
    <w:rsid w:val="00C444E3"/>
    <w:rsid w:val="00C45977"/>
    <w:rsid w:val="00C46ACC"/>
    <w:rsid w:val="00C46DC8"/>
    <w:rsid w:val="00C50312"/>
    <w:rsid w:val="00C50D2D"/>
    <w:rsid w:val="00C517D6"/>
    <w:rsid w:val="00C520A5"/>
    <w:rsid w:val="00C54171"/>
    <w:rsid w:val="00C56BB3"/>
    <w:rsid w:val="00C60BEB"/>
    <w:rsid w:val="00C61EE8"/>
    <w:rsid w:val="00C62AD7"/>
    <w:rsid w:val="00C65164"/>
    <w:rsid w:val="00C65932"/>
    <w:rsid w:val="00C67381"/>
    <w:rsid w:val="00C71285"/>
    <w:rsid w:val="00C77773"/>
    <w:rsid w:val="00C81902"/>
    <w:rsid w:val="00C82399"/>
    <w:rsid w:val="00C853C8"/>
    <w:rsid w:val="00C8682B"/>
    <w:rsid w:val="00C86E83"/>
    <w:rsid w:val="00C90207"/>
    <w:rsid w:val="00C925BE"/>
    <w:rsid w:val="00C94331"/>
    <w:rsid w:val="00C94F5C"/>
    <w:rsid w:val="00C95C31"/>
    <w:rsid w:val="00C96324"/>
    <w:rsid w:val="00CA290A"/>
    <w:rsid w:val="00CA2B47"/>
    <w:rsid w:val="00CA31F2"/>
    <w:rsid w:val="00CA587F"/>
    <w:rsid w:val="00CB049A"/>
    <w:rsid w:val="00CB21DC"/>
    <w:rsid w:val="00CB530A"/>
    <w:rsid w:val="00CB6B58"/>
    <w:rsid w:val="00CC09D9"/>
    <w:rsid w:val="00CC17CC"/>
    <w:rsid w:val="00CC242A"/>
    <w:rsid w:val="00CC59A2"/>
    <w:rsid w:val="00CC5E49"/>
    <w:rsid w:val="00CD2A49"/>
    <w:rsid w:val="00CD3C85"/>
    <w:rsid w:val="00CD7615"/>
    <w:rsid w:val="00CE5C6C"/>
    <w:rsid w:val="00CF1104"/>
    <w:rsid w:val="00CF51F6"/>
    <w:rsid w:val="00CF67C8"/>
    <w:rsid w:val="00D03770"/>
    <w:rsid w:val="00D05FB3"/>
    <w:rsid w:val="00D10D3E"/>
    <w:rsid w:val="00D13DA0"/>
    <w:rsid w:val="00D14211"/>
    <w:rsid w:val="00D14AAD"/>
    <w:rsid w:val="00D179DE"/>
    <w:rsid w:val="00D232D4"/>
    <w:rsid w:val="00D23B25"/>
    <w:rsid w:val="00D26D25"/>
    <w:rsid w:val="00D27A3A"/>
    <w:rsid w:val="00D35948"/>
    <w:rsid w:val="00D36376"/>
    <w:rsid w:val="00D37A43"/>
    <w:rsid w:val="00D41B82"/>
    <w:rsid w:val="00D41DD1"/>
    <w:rsid w:val="00D43232"/>
    <w:rsid w:val="00D4337D"/>
    <w:rsid w:val="00D465A9"/>
    <w:rsid w:val="00D52260"/>
    <w:rsid w:val="00D5531C"/>
    <w:rsid w:val="00D55943"/>
    <w:rsid w:val="00D56234"/>
    <w:rsid w:val="00D56824"/>
    <w:rsid w:val="00D569BE"/>
    <w:rsid w:val="00D608D7"/>
    <w:rsid w:val="00D613F4"/>
    <w:rsid w:val="00D62C23"/>
    <w:rsid w:val="00D6335A"/>
    <w:rsid w:val="00D650DA"/>
    <w:rsid w:val="00D65B74"/>
    <w:rsid w:val="00D6676A"/>
    <w:rsid w:val="00D7186C"/>
    <w:rsid w:val="00D73EC9"/>
    <w:rsid w:val="00D74611"/>
    <w:rsid w:val="00D75EF9"/>
    <w:rsid w:val="00D83487"/>
    <w:rsid w:val="00D834E4"/>
    <w:rsid w:val="00D85433"/>
    <w:rsid w:val="00D8652F"/>
    <w:rsid w:val="00D867FD"/>
    <w:rsid w:val="00D91BA1"/>
    <w:rsid w:val="00D91E2D"/>
    <w:rsid w:val="00D92D55"/>
    <w:rsid w:val="00D93485"/>
    <w:rsid w:val="00D949F7"/>
    <w:rsid w:val="00DA3993"/>
    <w:rsid w:val="00DA4B24"/>
    <w:rsid w:val="00DA5F5A"/>
    <w:rsid w:val="00DB13F7"/>
    <w:rsid w:val="00DB2C17"/>
    <w:rsid w:val="00DB35DE"/>
    <w:rsid w:val="00DC0F86"/>
    <w:rsid w:val="00DC2011"/>
    <w:rsid w:val="00DC29E1"/>
    <w:rsid w:val="00DC303E"/>
    <w:rsid w:val="00DC4320"/>
    <w:rsid w:val="00DC7A46"/>
    <w:rsid w:val="00DC7F2A"/>
    <w:rsid w:val="00DD1A47"/>
    <w:rsid w:val="00DD529A"/>
    <w:rsid w:val="00DD592F"/>
    <w:rsid w:val="00DE0B30"/>
    <w:rsid w:val="00DE0DA7"/>
    <w:rsid w:val="00DE39B6"/>
    <w:rsid w:val="00DE5756"/>
    <w:rsid w:val="00DF38C9"/>
    <w:rsid w:val="00DF3CB7"/>
    <w:rsid w:val="00DF3D06"/>
    <w:rsid w:val="00DF4E0F"/>
    <w:rsid w:val="00DF4ECA"/>
    <w:rsid w:val="00E053A7"/>
    <w:rsid w:val="00E062D8"/>
    <w:rsid w:val="00E11245"/>
    <w:rsid w:val="00E11AB4"/>
    <w:rsid w:val="00E12329"/>
    <w:rsid w:val="00E21D48"/>
    <w:rsid w:val="00E271BD"/>
    <w:rsid w:val="00E3007D"/>
    <w:rsid w:val="00E33455"/>
    <w:rsid w:val="00E34F16"/>
    <w:rsid w:val="00E37027"/>
    <w:rsid w:val="00E426EB"/>
    <w:rsid w:val="00E43E04"/>
    <w:rsid w:val="00E4584F"/>
    <w:rsid w:val="00E479D3"/>
    <w:rsid w:val="00E575C4"/>
    <w:rsid w:val="00E616FE"/>
    <w:rsid w:val="00E61C46"/>
    <w:rsid w:val="00E6224A"/>
    <w:rsid w:val="00E64831"/>
    <w:rsid w:val="00E6683D"/>
    <w:rsid w:val="00E67D88"/>
    <w:rsid w:val="00E7105E"/>
    <w:rsid w:val="00E72674"/>
    <w:rsid w:val="00E73EDE"/>
    <w:rsid w:val="00E74A84"/>
    <w:rsid w:val="00E83121"/>
    <w:rsid w:val="00E8355B"/>
    <w:rsid w:val="00E845DC"/>
    <w:rsid w:val="00E85035"/>
    <w:rsid w:val="00E9062E"/>
    <w:rsid w:val="00E90A9F"/>
    <w:rsid w:val="00E9507D"/>
    <w:rsid w:val="00E95A81"/>
    <w:rsid w:val="00EA07A6"/>
    <w:rsid w:val="00EA0B63"/>
    <w:rsid w:val="00EA587A"/>
    <w:rsid w:val="00EA79B6"/>
    <w:rsid w:val="00EB1591"/>
    <w:rsid w:val="00EB18B7"/>
    <w:rsid w:val="00EB5DC8"/>
    <w:rsid w:val="00EC0EEE"/>
    <w:rsid w:val="00EC1F91"/>
    <w:rsid w:val="00EC2DF9"/>
    <w:rsid w:val="00EC4D21"/>
    <w:rsid w:val="00EC5AA9"/>
    <w:rsid w:val="00EC5B82"/>
    <w:rsid w:val="00ED493E"/>
    <w:rsid w:val="00ED52F3"/>
    <w:rsid w:val="00EE1E2A"/>
    <w:rsid w:val="00EE5461"/>
    <w:rsid w:val="00EE6F6D"/>
    <w:rsid w:val="00EF2496"/>
    <w:rsid w:val="00EF6A5C"/>
    <w:rsid w:val="00EF6B4D"/>
    <w:rsid w:val="00F015F3"/>
    <w:rsid w:val="00F017DF"/>
    <w:rsid w:val="00F04D84"/>
    <w:rsid w:val="00F062FC"/>
    <w:rsid w:val="00F06F98"/>
    <w:rsid w:val="00F07A11"/>
    <w:rsid w:val="00F07E06"/>
    <w:rsid w:val="00F13825"/>
    <w:rsid w:val="00F14BC6"/>
    <w:rsid w:val="00F21414"/>
    <w:rsid w:val="00F221B6"/>
    <w:rsid w:val="00F22BE4"/>
    <w:rsid w:val="00F235FC"/>
    <w:rsid w:val="00F275F5"/>
    <w:rsid w:val="00F3185B"/>
    <w:rsid w:val="00F32FD8"/>
    <w:rsid w:val="00F34788"/>
    <w:rsid w:val="00F34B10"/>
    <w:rsid w:val="00F36816"/>
    <w:rsid w:val="00F40E23"/>
    <w:rsid w:val="00F40FF1"/>
    <w:rsid w:val="00F43551"/>
    <w:rsid w:val="00F51E19"/>
    <w:rsid w:val="00F53352"/>
    <w:rsid w:val="00F552F7"/>
    <w:rsid w:val="00F56181"/>
    <w:rsid w:val="00F57FDD"/>
    <w:rsid w:val="00F60552"/>
    <w:rsid w:val="00F60ED9"/>
    <w:rsid w:val="00F62E82"/>
    <w:rsid w:val="00F63D15"/>
    <w:rsid w:val="00F64625"/>
    <w:rsid w:val="00F65C6E"/>
    <w:rsid w:val="00F6734C"/>
    <w:rsid w:val="00F710AF"/>
    <w:rsid w:val="00F71E6A"/>
    <w:rsid w:val="00F745B5"/>
    <w:rsid w:val="00F755DA"/>
    <w:rsid w:val="00F758BD"/>
    <w:rsid w:val="00F760B6"/>
    <w:rsid w:val="00F779F5"/>
    <w:rsid w:val="00F80A02"/>
    <w:rsid w:val="00F832FA"/>
    <w:rsid w:val="00F84686"/>
    <w:rsid w:val="00F86D78"/>
    <w:rsid w:val="00F934C6"/>
    <w:rsid w:val="00F94F03"/>
    <w:rsid w:val="00F9583E"/>
    <w:rsid w:val="00F95E0C"/>
    <w:rsid w:val="00F974DD"/>
    <w:rsid w:val="00FA23E5"/>
    <w:rsid w:val="00FA2BF0"/>
    <w:rsid w:val="00FA4900"/>
    <w:rsid w:val="00FA5C65"/>
    <w:rsid w:val="00FA69AD"/>
    <w:rsid w:val="00FA7D39"/>
    <w:rsid w:val="00FB1416"/>
    <w:rsid w:val="00FB2777"/>
    <w:rsid w:val="00FB455D"/>
    <w:rsid w:val="00FC0E15"/>
    <w:rsid w:val="00FC3059"/>
    <w:rsid w:val="00FC31DA"/>
    <w:rsid w:val="00FC4BB8"/>
    <w:rsid w:val="00FC68C1"/>
    <w:rsid w:val="00FD0349"/>
    <w:rsid w:val="00FD22C4"/>
    <w:rsid w:val="00FD31F8"/>
    <w:rsid w:val="00FD3A6D"/>
    <w:rsid w:val="00FD4DFB"/>
    <w:rsid w:val="00FD5B97"/>
    <w:rsid w:val="00FD71AF"/>
    <w:rsid w:val="00FE16B6"/>
    <w:rsid w:val="00FE1844"/>
    <w:rsid w:val="00FE310F"/>
    <w:rsid w:val="00FE4B23"/>
    <w:rsid w:val="00FE6B43"/>
    <w:rsid w:val="00FF180C"/>
    <w:rsid w:val="00FF1E12"/>
    <w:rsid w:val="00FF2648"/>
    <w:rsid w:val="00FF638D"/>
    <w:rsid w:val="00FF797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6F24F"/>
  <w15:docId w15:val="{4DDF05F9-895E-4B3B-B38A-122EAA2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semiHidden/>
    <w:unhideWhenUsed/>
    <w:rsid w:val="008C4CC9"/>
    <w:rPr>
      <w:sz w:val="20"/>
      <w:szCs w:val="20"/>
    </w:rPr>
  </w:style>
  <w:style w:type="character" w:customStyle="1" w:styleId="CommentTextChar">
    <w:name w:val="Comment Text Char"/>
    <w:basedOn w:val="DefaultParagraphFont"/>
    <w:link w:val="CommentText"/>
    <w:uiPriority w:val="99"/>
    <w:semiHidden/>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1B7D90"/>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paragraph" w:styleId="Revision">
    <w:name w:val="Revision"/>
    <w:hidden/>
    <w:uiPriority w:val="99"/>
    <w:semiHidden/>
    <w:rsid w:val="008805AF"/>
    <w:pPr>
      <w:widowControl/>
    </w:pPr>
  </w:style>
  <w:style w:type="character" w:customStyle="1" w:styleId="UnresolvedMention1">
    <w:name w:val="Unresolved Mention1"/>
    <w:basedOn w:val="DefaultParagraphFont"/>
    <w:uiPriority w:val="99"/>
    <w:semiHidden/>
    <w:unhideWhenUsed/>
    <w:rsid w:val="00F755DA"/>
    <w:rPr>
      <w:color w:val="605E5C"/>
      <w:shd w:val="clear" w:color="auto" w:fill="E1DFDD"/>
    </w:rPr>
  </w:style>
  <w:style w:type="character" w:customStyle="1" w:styleId="Heading2Char">
    <w:name w:val="Heading 2 Char"/>
    <w:basedOn w:val="DefaultParagraphFont"/>
    <w:link w:val="Heading2"/>
    <w:uiPriority w:val="1"/>
    <w:rsid w:val="00101B66"/>
    <w:rPr>
      <w:rFonts w:ascii="Calibri" w:eastAsia="Calibri" w:hAnsi="Calibri"/>
      <w:b/>
      <w:bCs/>
    </w:rPr>
  </w:style>
  <w:style w:type="character" w:customStyle="1" w:styleId="UnresolvedMention2">
    <w:name w:val="Unresolved Mention2"/>
    <w:basedOn w:val="DefaultParagraphFont"/>
    <w:uiPriority w:val="99"/>
    <w:semiHidden/>
    <w:unhideWhenUsed/>
    <w:rsid w:val="006D490A"/>
    <w:rPr>
      <w:color w:val="605E5C"/>
      <w:shd w:val="clear" w:color="auto" w:fill="E1DFDD"/>
    </w:rPr>
  </w:style>
  <w:style w:type="character" w:styleId="UnresolvedMention">
    <w:name w:val="Unresolved Mention"/>
    <w:basedOn w:val="DefaultParagraphFont"/>
    <w:uiPriority w:val="99"/>
    <w:semiHidden/>
    <w:unhideWhenUsed/>
    <w:rsid w:val="0021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074">
      <w:bodyDiv w:val="1"/>
      <w:marLeft w:val="0"/>
      <w:marRight w:val="0"/>
      <w:marTop w:val="0"/>
      <w:marBottom w:val="0"/>
      <w:divBdr>
        <w:top w:val="none" w:sz="0" w:space="0" w:color="auto"/>
        <w:left w:val="none" w:sz="0" w:space="0" w:color="auto"/>
        <w:bottom w:val="none" w:sz="0" w:space="0" w:color="auto"/>
        <w:right w:val="none" w:sz="0" w:space="0" w:color="auto"/>
      </w:divBdr>
    </w:div>
    <w:div w:id="32972899">
      <w:bodyDiv w:val="1"/>
      <w:marLeft w:val="0"/>
      <w:marRight w:val="0"/>
      <w:marTop w:val="0"/>
      <w:marBottom w:val="0"/>
      <w:divBdr>
        <w:top w:val="none" w:sz="0" w:space="0" w:color="auto"/>
        <w:left w:val="none" w:sz="0" w:space="0" w:color="auto"/>
        <w:bottom w:val="none" w:sz="0" w:space="0" w:color="auto"/>
        <w:right w:val="none" w:sz="0" w:space="0" w:color="auto"/>
      </w:divBdr>
    </w:div>
    <w:div w:id="34624695">
      <w:bodyDiv w:val="1"/>
      <w:marLeft w:val="0"/>
      <w:marRight w:val="0"/>
      <w:marTop w:val="0"/>
      <w:marBottom w:val="0"/>
      <w:divBdr>
        <w:top w:val="none" w:sz="0" w:space="0" w:color="auto"/>
        <w:left w:val="none" w:sz="0" w:space="0" w:color="auto"/>
        <w:bottom w:val="none" w:sz="0" w:space="0" w:color="auto"/>
        <w:right w:val="none" w:sz="0" w:space="0" w:color="auto"/>
      </w:divBdr>
    </w:div>
    <w:div w:id="158079627">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7151640">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27593621">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96763354">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01282266">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15253868">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30736704">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569268867">
      <w:bodyDiv w:val="1"/>
      <w:marLeft w:val="0"/>
      <w:marRight w:val="0"/>
      <w:marTop w:val="0"/>
      <w:marBottom w:val="0"/>
      <w:divBdr>
        <w:top w:val="none" w:sz="0" w:space="0" w:color="auto"/>
        <w:left w:val="none" w:sz="0" w:space="0" w:color="auto"/>
        <w:bottom w:val="none" w:sz="0" w:space="0" w:color="auto"/>
        <w:right w:val="none" w:sz="0" w:space="0" w:color="auto"/>
      </w:divBdr>
    </w:div>
    <w:div w:id="1642493468">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676572203">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66804009">
      <w:bodyDiv w:val="1"/>
      <w:marLeft w:val="0"/>
      <w:marRight w:val="0"/>
      <w:marTop w:val="0"/>
      <w:marBottom w:val="0"/>
      <w:divBdr>
        <w:top w:val="none" w:sz="0" w:space="0" w:color="auto"/>
        <w:left w:val="none" w:sz="0" w:space="0" w:color="auto"/>
        <w:bottom w:val="none" w:sz="0" w:space="0" w:color="auto"/>
        <w:right w:val="none" w:sz="0" w:space="0" w:color="auto"/>
      </w:divBdr>
    </w:div>
    <w:div w:id="1805930742">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02400216">
      <w:bodyDiv w:val="1"/>
      <w:marLeft w:val="0"/>
      <w:marRight w:val="0"/>
      <w:marTop w:val="0"/>
      <w:marBottom w:val="0"/>
      <w:divBdr>
        <w:top w:val="none" w:sz="0" w:space="0" w:color="auto"/>
        <w:left w:val="none" w:sz="0" w:space="0" w:color="auto"/>
        <w:bottom w:val="none" w:sz="0" w:space="0" w:color="auto"/>
        <w:right w:val="none" w:sz="0" w:space="0" w:color="auto"/>
      </w:divBdr>
    </w:div>
    <w:div w:id="1909995352">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2345265">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5-doc9-report-secretariat-ramsar-regional-initiatives-2024-2025" TargetMode="External"/><Relationship Id="rId2" Type="http://schemas.openxmlformats.org/officeDocument/2006/relationships/hyperlink" Target="https://www.ramsar.org/document/sc63-doc25-report-secretariat-ramsar-regional-initiatives" TargetMode="External"/><Relationship Id="rId1" Type="http://schemas.openxmlformats.org/officeDocument/2006/relationships/hyperlink" Target="https://www.ramsar.org/document/sc62-doc25-rev1-report-secretariat-ramsar-regional-initiatives" TargetMode="External"/><Relationship Id="rId4" Type="http://schemas.openxmlformats.org/officeDocument/2006/relationships/hyperlink" Target="https://www.ramsar.org/document/cop15-doc235-draft-resolution-ramsar-regional-initiatives-2025-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71C9F2AECCA848B205217E82013DA4" ma:contentTypeVersion="10" ma:contentTypeDescription="Create a new document." ma:contentTypeScope="" ma:versionID="545b51d37fb7bd29f8f2d7c549940413">
  <xsd:schema xmlns:xsd="http://www.w3.org/2001/XMLSchema" xmlns:xs="http://www.w3.org/2001/XMLSchema" xmlns:p="http://schemas.microsoft.com/office/2006/metadata/properties" xmlns:ns3="aebb89c5-1bb5-4b46-bb0f-5eb39cc284b2" targetNamespace="http://schemas.microsoft.com/office/2006/metadata/properties" ma:root="true" ma:fieldsID="6b73c8001746c36c56f43d3d18ed4260" ns3:_="">
    <xsd:import namespace="aebb89c5-1bb5-4b46-bb0f-5eb39cc28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89c5-1bb5-4b46-bb0f-5eb39cc28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E168-9BDE-4C1E-9307-B0D4790DF4B1}">
  <ds:schemaRefs>
    <ds:schemaRef ds:uri="http://schemas.openxmlformats.org/officeDocument/2006/bibliography"/>
  </ds:schemaRefs>
</ds:datastoreItem>
</file>

<file path=customXml/itemProps2.xml><?xml version="1.0" encoding="utf-8"?>
<ds:datastoreItem xmlns:ds="http://schemas.openxmlformats.org/officeDocument/2006/customXml" ds:itemID="{CE302D05-CB25-4FD5-BF58-EF5EAE56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89c5-1bb5-4b46-bb0f-5eb39cc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DD8F1-3A06-437D-97E7-9B7C14D4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5.xml><?xml version="1.0" encoding="utf-8"?>
<ds:datastoreItem xmlns:ds="http://schemas.openxmlformats.org/officeDocument/2006/customXml" ds:itemID="{6B77BF2C-00D1-41BD-93F6-FCC7915C4495}">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ebb89c5-1bb5-4b46-bb0f-5eb39cc284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5041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2021-06-01T16:03:00Z</cp:lastPrinted>
  <dcterms:created xsi:type="dcterms:W3CDTF">2025-05-05T13:31:00Z</dcterms:created>
  <dcterms:modified xsi:type="dcterms:W3CDTF">2025-05-05T13:31:00Z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0x010100753395F4A0F2A34CB6A6BC99A876F15D</vt:lpwstr>
  </property>
</Properties>
</file>