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A7F4" w14:textId="77777777" w:rsidR="00275F13" w:rsidRPr="009E3947" w:rsidRDefault="00C93379" w:rsidP="00077BC3">
      <w:pPr>
        <w:pBdr>
          <w:top w:val="single" w:sz="12" w:space="0" w:color="auto" w:shadow="1"/>
          <w:left w:val="single" w:sz="12" w:space="4" w:color="auto" w:shadow="1"/>
          <w:bottom w:val="single" w:sz="12" w:space="1" w:color="auto" w:shadow="1"/>
          <w:right w:val="single" w:sz="4" w:space="1" w:color="auto"/>
        </w:pBdr>
        <w:ind w:right="4490"/>
        <w:rPr>
          <w:bCs/>
        </w:rPr>
      </w:pPr>
      <w:r w:rsidRPr="009E3947">
        <w:t>LA CONVENCIÓN SOBRE LOS HUMEDALES</w:t>
      </w:r>
    </w:p>
    <w:p w14:paraId="4937EEE4" w14:textId="4318543F" w:rsidR="00DF2386" w:rsidRPr="009E3947" w:rsidRDefault="00301563" w:rsidP="00077BC3">
      <w:pPr>
        <w:pBdr>
          <w:top w:val="single" w:sz="12" w:space="0" w:color="auto" w:shadow="1"/>
          <w:left w:val="single" w:sz="12" w:space="4" w:color="auto" w:shadow="1"/>
          <w:bottom w:val="single" w:sz="12" w:space="1" w:color="auto" w:shadow="1"/>
          <w:right w:val="single" w:sz="4" w:space="1" w:color="auto"/>
        </w:pBdr>
        <w:ind w:right="4490"/>
        <w:rPr>
          <w:bCs/>
        </w:rPr>
      </w:pPr>
      <w:r w:rsidRPr="009E3947">
        <w:t>65ª reunión del Comité Permanente</w:t>
      </w:r>
    </w:p>
    <w:p w14:paraId="50D733C1" w14:textId="07C4E3C8" w:rsidR="00DF2386" w:rsidRPr="009E3947" w:rsidRDefault="00301563" w:rsidP="00077BC3">
      <w:pPr>
        <w:pBdr>
          <w:top w:val="single" w:sz="12" w:space="0" w:color="auto" w:shadow="1"/>
          <w:left w:val="single" w:sz="12" w:space="4" w:color="auto" w:shadow="1"/>
          <w:bottom w:val="single" w:sz="12" w:space="1" w:color="auto" w:shadow="1"/>
          <w:right w:val="single" w:sz="4" w:space="1" w:color="auto"/>
        </w:pBdr>
        <w:ind w:right="4490"/>
        <w:rPr>
          <w:bCs/>
        </w:rPr>
      </w:pPr>
      <w:r w:rsidRPr="009E3947">
        <w:t>Victoria Falls (Zimbabwe), 23 de julio de 2025</w:t>
      </w:r>
    </w:p>
    <w:p w14:paraId="6AE96694" w14:textId="77777777" w:rsidR="00DF2386" w:rsidRPr="009E3947" w:rsidRDefault="00DF2386" w:rsidP="00633DD5">
      <w:pPr>
        <w:outlineLvl w:val="0"/>
        <w:rPr>
          <w:b/>
        </w:rPr>
      </w:pPr>
    </w:p>
    <w:p w14:paraId="17112917" w14:textId="2A32648E" w:rsidR="00DF2386" w:rsidRPr="009E3947" w:rsidRDefault="00301563" w:rsidP="00633DD5">
      <w:pPr>
        <w:jc w:val="right"/>
        <w:rPr>
          <w:rFonts w:cs="Arial"/>
          <w:sz w:val="28"/>
          <w:szCs w:val="28"/>
        </w:rPr>
      </w:pPr>
      <w:r w:rsidRPr="009E3947">
        <w:rPr>
          <w:b/>
          <w:sz w:val="28"/>
          <w:szCs w:val="28"/>
        </w:rPr>
        <w:t>SC65 Doc.8.1</w:t>
      </w:r>
    </w:p>
    <w:p w14:paraId="08620B6F" w14:textId="77777777" w:rsidR="00DF2386" w:rsidRPr="009E3947" w:rsidRDefault="00DF2386" w:rsidP="00633DD5">
      <w:pPr>
        <w:rPr>
          <w:rFonts w:cs="Arial"/>
          <w:b/>
          <w:sz w:val="28"/>
          <w:szCs w:val="28"/>
        </w:rPr>
      </w:pPr>
    </w:p>
    <w:p w14:paraId="1860DFFD" w14:textId="77777777" w:rsidR="00112BAC" w:rsidRPr="009E3947" w:rsidRDefault="00112BAC" w:rsidP="00112BAC">
      <w:pPr>
        <w:ind w:left="0" w:firstLine="0"/>
        <w:jc w:val="center"/>
        <w:rPr>
          <w:rFonts w:cs="Arial"/>
          <w:b/>
          <w:sz w:val="28"/>
          <w:szCs w:val="28"/>
        </w:rPr>
      </w:pPr>
      <w:r w:rsidRPr="009E3947">
        <w:rPr>
          <w:b/>
          <w:sz w:val="28"/>
          <w:szCs w:val="28"/>
        </w:rPr>
        <w:t>Cuestiones financieras y presupuestarias:</w:t>
      </w:r>
    </w:p>
    <w:p w14:paraId="345D5E04" w14:textId="6096EB0B" w:rsidR="00DF2386" w:rsidRPr="009E3947" w:rsidRDefault="00D12B30" w:rsidP="00633DD5">
      <w:pPr>
        <w:ind w:left="0" w:firstLine="0"/>
        <w:jc w:val="center"/>
        <w:rPr>
          <w:rFonts w:cs="Arial"/>
          <w:b/>
          <w:sz w:val="28"/>
          <w:szCs w:val="28"/>
        </w:rPr>
      </w:pPr>
      <w:r w:rsidRPr="00D12B30">
        <w:rPr>
          <w:b/>
          <w:sz w:val="28"/>
          <w:szCs w:val="28"/>
        </w:rPr>
        <w:t>Actualización</w:t>
      </w:r>
      <w:r>
        <w:rPr>
          <w:b/>
          <w:sz w:val="28"/>
          <w:szCs w:val="28"/>
        </w:rPr>
        <w:t xml:space="preserve"> </w:t>
      </w:r>
      <w:r w:rsidR="00A31490" w:rsidRPr="009E3947">
        <w:rPr>
          <w:b/>
          <w:sz w:val="28"/>
          <w:szCs w:val="28"/>
        </w:rPr>
        <w:t xml:space="preserve">sobre cuestiones financieras para 2024 y 2025 </w:t>
      </w:r>
      <w:r w:rsidR="00A31490" w:rsidRPr="009E3947">
        <w:rPr>
          <w:b/>
          <w:sz w:val="28"/>
          <w:szCs w:val="28"/>
        </w:rPr>
        <w:br/>
      </w:r>
    </w:p>
    <w:p w14:paraId="7CEC9E3C" w14:textId="0A458346" w:rsidR="00DF2386" w:rsidRPr="009E3947" w:rsidRDefault="00DF2386" w:rsidP="00633DD5">
      <w:pPr>
        <w:rPr>
          <w:rFonts w:ascii="Garamond" w:hAnsi="Garamond" w:cs="Arial"/>
          <w:sz w:val="28"/>
          <w:szCs w:val="28"/>
        </w:rPr>
      </w:pPr>
    </w:p>
    <w:p w14:paraId="1C7F5B63" w14:textId="77777777" w:rsidR="000C2489" w:rsidRPr="009E3947" w:rsidRDefault="000C2489" w:rsidP="00633DD5">
      <w:pPr>
        <w:autoSpaceDE w:val="0"/>
        <w:autoSpaceDN w:val="0"/>
        <w:adjustRightInd w:val="0"/>
        <w:rPr>
          <w:rFonts w:asciiTheme="minorHAnsi" w:eastAsiaTheme="minorHAnsi" w:hAnsiTheme="minorHAnsi" w:cs="Calibri-Bold"/>
          <w:b/>
          <w:bCs/>
        </w:rPr>
      </w:pPr>
      <w:r w:rsidRPr="009E3947">
        <w:rPr>
          <w:noProof/>
        </w:rPr>
        <mc:AlternateContent>
          <mc:Choice Requires="wps">
            <w:drawing>
              <wp:inline distT="0" distB="0" distL="0" distR="0" wp14:anchorId="0D883522" wp14:editId="1BEE81E2">
                <wp:extent cx="5895975" cy="3966359"/>
                <wp:effectExtent l="0" t="0" r="28575"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966359"/>
                        </a:xfrm>
                        <a:prstGeom prst="rect">
                          <a:avLst/>
                        </a:prstGeom>
                        <a:solidFill>
                          <a:srgbClr val="FFFFFF"/>
                        </a:solidFill>
                        <a:ln w="9525">
                          <a:solidFill>
                            <a:srgbClr val="000000"/>
                          </a:solidFill>
                          <a:miter lim="800000"/>
                          <a:headEnd/>
                          <a:tailEnd/>
                        </a:ln>
                      </wps:spPr>
                      <wps:txbx>
                        <w:txbxContent>
                          <w:p w14:paraId="216514D2" w14:textId="77777777" w:rsidR="008A6720" w:rsidRPr="00340E62" w:rsidRDefault="008A6720" w:rsidP="000C2489">
                            <w:pPr>
                              <w:rPr>
                                <w:b/>
                                <w:bCs/>
                              </w:rPr>
                            </w:pPr>
                            <w:r>
                              <w:rPr>
                                <w:b/>
                                <w:bCs/>
                              </w:rPr>
                              <w:t xml:space="preserve">Acciones solicitadas: </w:t>
                            </w:r>
                          </w:p>
                          <w:p w14:paraId="3DDC8891" w14:textId="77777777" w:rsidR="008A6720" w:rsidRPr="00340E62" w:rsidRDefault="008A6720" w:rsidP="000C2489">
                            <w:pPr>
                              <w:pStyle w:val="ColorfulList-Accent11"/>
                              <w:ind w:left="0"/>
                            </w:pPr>
                          </w:p>
                          <w:p w14:paraId="506FF911" w14:textId="77777777" w:rsidR="008A6720" w:rsidRPr="00340E62" w:rsidRDefault="008A6720" w:rsidP="00275F13">
                            <w:pPr>
                              <w:pStyle w:val="ColorfulList-Accent11"/>
                              <w:ind w:left="0" w:firstLine="0"/>
                              <w:rPr>
                                <w:rFonts w:cs="Calibri"/>
                              </w:rPr>
                            </w:pPr>
                            <w:r>
                              <w:t>Se invita al Comité Permanente a hacer lo siguiente:</w:t>
                            </w:r>
                          </w:p>
                          <w:p w14:paraId="72B2EB92" w14:textId="77777777" w:rsidR="008A6720" w:rsidRPr="00340E62" w:rsidRDefault="008A6720" w:rsidP="000C2489">
                            <w:pPr>
                              <w:pStyle w:val="ColorfulList-Accent11"/>
                              <w:ind w:left="0"/>
                              <w:rPr>
                                <w:rFonts w:cs="Calibri"/>
                              </w:rPr>
                            </w:pPr>
                          </w:p>
                          <w:p w14:paraId="204CE375" w14:textId="052B9344" w:rsidR="008A6720" w:rsidRDefault="008A6720" w:rsidP="00C14322">
                            <w:pPr>
                              <w:pStyle w:val="ColorfulList-Accent11"/>
                              <w:ind w:left="426"/>
                              <w:rPr>
                                <w:rFonts w:cs="Calibri"/>
                              </w:rPr>
                            </w:pPr>
                            <w:r>
                              <w:t>i.</w:t>
                            </w:r>
                            <w:r>
                              <w:tab/>
                              <w:t>examinar y aceptar los estados financieros auditados para 2024 al 31 de diciembre de 2023;</w:t>
                            </w:r>
                            <w:r>
                              <w:tab/>
                            </w:r>
                          </w:p>
                          <w:p w14:paraId="2791CAD1" w14:textId="77777777" w:rsidR="008A6720" w:rsidRDefault="008A6720" w:rsidP="00C14322">
                            <w:pPr>
                              <w:pStyle w:val="ColorfulList-Accent11"/>
                              <w:ind w:left="426"/>
                              <w:rPr>
                                <w:rFonts w:cs="Calibri"/>
                              </w:rPr>
                            </w:pPr>
                          </w:p>
                          <w:p w14:paraId="5BF6BF5C" w14:textId="55BEFA38" w:rsidR="008A6720" w:rsidRPr="00C7323D" w:rsidRDefault="008A6720" w:rsidP="00C14322">
                            <w:pPr>
                              <w:pStyle w:val="ColorfulList-Accent11"/>
                              <w:ind w:left="426"/>
                              <w:rPr>
                                <w:rFonts w:cs="Calibri"/>
                              </w:rPr>
                            </w:pPr>
                            <w:r>
                              <w:t>ii.</w:t>
                            </w:r>
                            <w:r>
                              <w:tab/>
                              <w:t>tomar nota de los resultados del presupuesto básico para 2024;</w:t>
                            </w:r>
                          </w:p>
                          <w:p w14:paraId="056423B2" w14:textId="27D6F2C5" w:rsidR="008A6720" w:rsidRPr="00340E62" w:rsidRDefault="008A6720" w:rsidP="00C14322">
                            <w:pPr>
                              <w:pStyle w:val="ColorfulList-Accent11"/>
                              <w:ind w:left="426"/>
                              <w:rPr>
                                <w:rFonts w:cs="Calibri"/>
                              </w:rPr>
                            </w:pPr>
                            <w:r>
                              <w:tab/>
                            </w:r>
                          </w:p>
                          <w:p w14:paraId="2CD1AE67" w14:textId="7E074668" w:rsidR="008A6720" w:rsidRDefault="008A6720" w:rsidP="00A745F6">
                            <w:pPr>
                              <w:pStyle w:val="ColorfulList-Accent11"/>
                              <w:ind w:left="426"/>
                              <w:rPr>
                                <w:rFonts w:cs="Calibri"/>
                              </w:rPr>
                            </w:pPr>
                            <w:r>
                              <w:t>iii.</w:t>
                            </w:r>
                            <w:r>
                              <w:tab/>
                              <w:t>aprobar el traspaso de fondos de 2024 a 2025, tal como se propone en el párrafo 9 y se presenta en la columna C del cuadro del anexo 4;</w:t>
                            </w:r>
                          </w:p>
                          <w:p w14:paraId="46325A64" w14:textId="6984A467" w:rsidR="008A6720" w:rsidRDefault="008A6720" w:rsidP="00C14322">
                            <w:pPr>
                              <w:pStyle w:val="ColorfulList-Accent11"/>
                              <w:ind w:left="426"/>
                              <w:rPr>
                                <w:rFonts w:cs="Calibri"/>
                              </w:rPr>
                            </w:pPr>
                          </w:p>
                          <w:p w14:paraId="1752222D" w14:textId="196FCD4A" w:rsidR="008A6720" w:rsidRDefault="008A6720" w:rsidP="00C14322">
                            <w:pPr>
                              <w:pStyle w:val="ColorfulList-Accent11"/>
                              <w:ind w:left="426"/>
                              <w:rPr>
                                <w:rFonts w:cs="Calibri"/>
                              </w:rPr>
                            </w:pPr>
                            <w:r>
                              <w:t>iv.</w:t>
                            </w:r>
                            <w:r>
                              <w:tab/>
                              <w:t>tomar nota de los saldos excedentes, descritos en los párrafos 10 a 17;</w:t>
                            </w:r>
                          </w:p>
                          <w:p w14:paraId="235CFD8D" w14:textId="77777777" w:rsidR="008A6720" w:rsidRDefault="008A6720" w:rsidP="00C14322">
                            <w:pPr>
                              <w:pStyle w:val="ColorfulList-Accent11"/>
                              <w:ind w:left="426"/>
                              <w:rPr>
                                <w:rFonts w:cs="Calibri"/>
                              </w:rPr>
                            </w:pPr>
                          </w:p>
                          <w:p w14:paraId="2287ACFB" w14:textId="76A1C63A" w:rsidR="008A6720" w:rsidRPr="00340E62" w:rsidRDefault="008A6720" w:rsidP="008506FD">
                            <w:pPr>
                              <w:pStyle w:val="ColorfulList-Accent11"/>
                              <w:ind w:left="426"/>
                              <w:rPr>
                                <w:rFonts w:cs="Calibri"/>
                              </w:rPr>
                            </w:pPr>
                            <w:r>
                              <w:t>v.</w:t>
                            </w:r>
                            <w:r>
                              <w:tab/>
                              <w:t>tomar nota de la situación de la financiación complementaria y las contribuciones voluntarias para 2024, descritas en los párrafos 19 a 2</w:t>
                            </w:r>
                            <w:r w:rsidR="00BF17F8">
                              <w:t>2</w:t>
                            </w:r>
                            <w:r>
                              <w:t xml:space="preserve">; </w:t>
                            </w:r>
                          </w:p>
                          <w:p w14:paraId="1889CEF3" w14:textId="77777777" w:rsidR="008A6720" w:rsidRPr="00103D37" w:rsidRDefault="008A6720" w:rsidP="00C14322">
                            <w:pPr>
                              <w:pStyle w:val="ColorfulList-Accent11"/>
                              <w:ind w:left="426"/>
                              <w:rPr>
                                <w:rFonts w:cs="Calibri"/>
                              </w:rPr>
                            </w:pPr>
                          </w:p>
                          <w:p w14:paraId="6D49D833" w14:textId="332B2701" w:rsidR="008A6720" w:rsidRPr="008506FD" w:rsidRDefault="008A6720" w:rsidP="008506FD">
                            <w:pPr>
                              <w:pStyle w:val="ColorfulList-Accent11"/>
                              <w:ind w:left="426"/>
                              <w:rPr>
                                <w:rFonts w:cs="Calibri"/>
                              </w:rPr>
                            </w:pPr>
                            <w:r>
                              <w:t>vi.</w:t>
                            </w:r>
                            <w:r>
                              <w:tab/>
                              <w:t>aprobar el presupuesto para 2025, tal como se describe en el párrafo 23 y se presenta en el anexo 4; y</w:t>
                            </w:r>
                          </w:p>
                          <w:p w14:paraId="6791DBDE" w14:textId="77777777" w:rsidR="008A6720" w:rsidRPr="008506FD" w:rsidRDefault="008A6720" w:rsidP="00C14322">
                            <w:pPr>
                              <w:pStyle w:val="ColorfulList-Accent11"/>
                              <w:ind w:left="426"/>
                              <w:rPr>
                                <w:rFonts w:cs="Calibri"/>
                              </w:rPr>
                            </w:pPr>
                          </w:p>
                          <w:p w14:paraId="4FE258A1" w14:textId="0B9C6E22" w:rsidR="008A6720" w:rsidRPr="00D70A42" w:rsidRDefault="008A6720" w:rsidP="008506FD">
                            <w:pPr>
                              <w:pStyle w:val="ColorfulList-Accent11"/>
                              <w:ind w:left="426"/>
                              <w:rPr>
                                <w:rFonts w:cs="Calibri"/>
                              </w:rPr>
                            </w:pPr>
                            <w:r>
                              <w:t>vii.</w:t>
                            </w:r>
                            <w:r>
                              <w:tab/>
                              <w:t>aprobar la asignación de fondos a las IRR que reúnan los requisitos, con cargo a la partida presupuestaria básica D “Apoyo a las iniciativas regionales de Ramsar”, como se describe en el párrafo 2</w:t>
                            </w:r>
                            <w:r w:rsidR="00BF17F8">
                              <w:t>5</w:t>
                            </w:r>
                            <w:r>
                              <w:t>.</w:t>
                            </w:r>
                          </w:p>
                          <w:p w14:paraId="399979CC" w14:textId="77777777" w:rsidR="008A6720" w:rsidRDefault="008A6720" w:rsidP="00C14322">
                            <w:pPr>
                              <w:pStyle w:val="ColorfulList-Accent11"/>
                              <w:ind w:left="426"/>
                              <w:rPr>
                                <w:rFonts w:cs="Calibri"/>
                              </w:rPr>
                            </w:pP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3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">
                <v:textbox>
                  <w:txbxContent>
                    <w:p w14:paraId="216514D2" w14:textId="77777777" w:rsidR="008A6720" w:rsidRPr="00340E62" w:rsidRDefault="008A6720" w:rsidP="000C2489">
                      <w:pPr>
                        <w:rPr>
                          <w:b/>
                          <w:bCs/>
                        </w:rPr>
                      </w:pPr>
                      <w:r>
                        <w:rPr>
                          <w:b/>
                          <w:bCs/>
                        </w:rPr>
                        <w:t xml:space="preserve">Acciones solicitadas: </w:t>
                      </w:r>
                    </w:p>
                    <w:p w14:paraId="3DDC8891" w14:textId="77777777" w:rsidR="008A6720" w:rsidRPr="00340E62" w:rsidRDefault="008A6720" w:rsidP="000C2489">
                      <w:pPr>
                        <w:pStyle w:val="ColorfulList-Accent11"/>
                        <w:ind w:left="0"/>
                      </w:pPr>
                    </w:p>
                    <w:p w14:paraId="506FF911" w14:textId="77777777" w:rsidR="008A6720" w:rsidRPr="00340E62" w:rsidRDefault="008A6720" w:rsidP="00275F13">
                      <w:pPr>
                        <w:pStyle w:val="ColorfulList-Accent11"/>
                        <w:ind w:left="0" w:firstLine="0"/>
                        <w:rPr>
                          <w:rFonts w:cs="Calibri"/>
                        </w:rPr>
                      </w:pPr>
                      <w:r>
                        <w:t>Se invita al Comité Permanente a hacer lo siguiente:</w:t>
                      </w:r>
                    </w:p>
                    <w:p w14:paraId="72B2EB92" w14:textId="77777777" w:rsidR="008A6720" w:rsidRPr="00340E62" w:rsidRDefault="008A6720" w:rsidP="000C2489">
                      <w:pPr>
                        <w:pStyle w:val="ColorfulList-Accent11"/>
                        <w:ind w:left="0"/>
                        <w:rPr>
                          <w:rFonts w:cs="Calibri"/>
                        </w:rPr>
                      </w:pPr>
                    </w:p>
                    <w:p w14:paraId="204CE375" w14:textId="052B9344" w:rsidR="008A6720" w:rsidRDefault="008A6720" w:rsidP="00C14322">
                      <w:pPr>
                        <w:pStyle w:val="ColorfulList-Accent11"/>
                        <w:ind w:left="426"/>
                        <w:rPr>
                          <w:rFonts w:cs="Calibri"/>
                        </w:rPr>
                      </w:pPr>
                      <w:r>
                        <w:t>i.</w:t>
                      </w:r>
                      <w:r>
                        <w:tab/>
                        <w:t>examinar y aceptar los estados financieros auditados para 2024 al 31 de diciembre de 2023;</w:t>
                      </w:r>
                      <w:r>
                        <w:tab/>
                      </w:r>
                    </w:p>
                    <w:p w14:paraId="2791CAD1" w14:textId="77777777" w:rsidR="008A6720" w:rsidRDefault="008A6720" w:rsidP="00C14322">
                      <w:pPr>
                        <w:pStyle w:val="ColorfulList-Accent11"/>
                        <w:ind w:left="426"/>
                        <w:rPr>
                          <w:rFonts w:cs="Calibri"/>
                        </w:rPr>
                      </w:pPr>
                    </w:p>
                    <w:p w14:paraId="5BF6BF5C" w14:textId="55BEFA38" w:rsidR="008A6720" w:rsidRPr="00C7323D" w:rsidRDefault="008A6720" w:rsidP="00C14322">
                      <w:pPr>
                        <w:pStyle w:val="ColorfulList-Accent11"/>
                        <w:ind w:left="426"/>
                        <w:rPr>
                          <w:rFonts w:cs="Calibri"/>
                        </w:rPr>
                      </w:pPr>
                      <w:r>
                        <w:t>ii.</w:t>
                      </w:r>
                      <w:r>
                        <w:tab/>
                        <w:t>tomar nota de los resultados del presupuesto básico para 2024;</w:t>
                      </w:r>
                    </w:p>
                    <w:p w14:paraId="056423B2" w14:textId="27D6F2C5" w:rsidR="008A6720" w:rsidRPr="00340E62" w:rsidRDefault="008A6720" w:rsidP="00C14322">
                      <w:pPr>
                        <w:pStyle w:val="ColorfulList-Accent11"/>
                        <w:ind w:left="426"/>
                        <w:rPr>
                          <w:rFonts w:cs="Calibri"/>
                        </w:rPr>
                      </w:pPr>
                      <w:r>
                        <w:tab/>
                      </w:r>
                    </w:p>
                    <w:p w14:paraId="2CD1AE67" w14:textId="7E074668" w:rsidR="008A6720" w:rsidRDefault="008A6720" w:rsidP="00A745F6">
                      <w:pPr>
                        <w:pStyle w:val="ColorfulList-Accent11"/>
                        <w:ind w:left="426"/>
                        <w:rPr>
                          <w:rFonts w:cs="Calibri"/>
                        </w:rPr>
                      </w:pPr>
                      <w:r>
                        <w:t>iii.</w:t>
                      </w:r>
                      <w:r>
                        <w:tab/>
                        <w:t>aprobar el traspaso de fondos de 2024 a 2025, tal como se propone en el párrafo 9 y se presenta en la columna C del cuadro del anexo 4;</w:t>
                      </w:r>
                    </w:p>
                    <w:p w14:paraId="46325A64" w14:textId="6984A467" w:rsidR="008A6720" w:rsidRDefault="008A6720" w:rsidP="00C14322">
                      <w:pPr>
                        <w:pStyle w:val="ColorfulList-Accent11"/>
                        <w:ind w:left="426"/>
                        <w:rPr>
                          <w:rFonts w:cs="Calibri"/>
                        </w:rPr>
                      </w:pPr>
                    </w:p>
                    <w:p w14:paraId="1752222D" w14:textId="196FCD4A" w:rsidR="008A6720" w:rsidRDefault="008A6720" w:rsidP="00C14322">
                      <w:pPr>
                        <w:pStyle w:val="ColorfulList-Accent11"/>
                        <w:ind w:left="426"/>
                        <w:rPr>
                          <w:rFonts w:cs="Calibri"/>
                        </w:rPr>
                      </w:pPr>
                      <w:r>
                        <w:t>iv.</w:t>
                      </w:r>
                      <w:r>
                        <w:tab/>
                        <w:t>tomar nota de los saldos excedentes, descritos en los párrafos 10 a 17;</w:t>
                      </w:r>
                    </w:p>
                    <w:p w14:paraId="235CFD8D" w14:textId="77777777" w:rsidR="008A6720" w:rsidRDefault="008A6720" w:rsidP="00C14322">
                      <w:pPr>
                        <w:pStyle w:val="ColorfulList-Accent11"/>
                        <w:ind w:left="426"/>
                        <w:rPr>
                          <w:rFonts w:cs="Calibri"/>
                        </w:rPr>
                      </w:pPr>
                    </w:p>
                    <w:p w14:paraId="2287ACFB" w14:textId="76A1C63A" w:rsidR="008A6720" w:rsidRPr="00340E62" w:rsidRDefault="008A6720" w:rsidP="008506FD">
                      <w:pPr>
                        <w:pStyle w:val="ColorfulList-Accent11"/>
                        <w:ind w:left="426"/>
                        <w:rPr>
                          <w:rFonts w:cs="Calibri"/>
                        </w:rPr>
                      </w:pPr>
                      <w:r>
                        <w:t>v.</w:t>
                      </w:r>
                      <w:r>
                        <w:tab/>
                        <w:t>tomar nota de la situación de la financiación complementaria y las contribuciones voluntarias para 2024, descritas en los párrafos 19 a 2</w:t>
                      </w:r>
                      <w:r w:rsidR="00BF17F8">
                        <w:t>2</w:t>
                      </w:r>
                      <w:r>
                        <w:t xml:space="preserve">; </w:t>
                      </w:r>
                    </w:p>
                    <w:p w14:paraId="1889CEF3" w14:textId="77777777" w:rsidR="008A6720" w:rsidRPr="00103D37" w:rsidRDefault="008A6720" w:rsidP="00C14322">
                      <w:pPr>
                        <w:pStyle w:val="ColorfulList-Accent11"/>
                        <w:ind w:left="426"/>
                        <w:rPr>
                          <w:rFonts w:cs="Calibri"/>
                        </w:rPr>
                      </w:pPr>
                    </w:p>
                    <w:p w14:paraId="6D49D833" w14:textId="332B2701" w:rsidR="008A6720" w:rsidRPr="008506FD" w:rsidRDefault="008A6720" w:rsidP="008506FD">
                      <w:pPr>
                        <w:pStyle w:val="ColorfulList-Accent11"/>
                        <w:ind w:left="426"/>
                        <w:rPr>
                          <w:rFonts w:cs="Calibri"/>
                        </w:rPr>
                      </w:pPr>
                      <w:r>
                        <w:t>vi.</w:t>
                      </w:r>
                      <w:r>
                        <w:tab/>
                        <w:t>aprobar el presupuesto para 2025, tal como se describe en el párrafo 23 y se presenta en el anexo 4; y</w:t>
                      </w:r>
                    </w:p>
                    <w:p w14:paraId="6791DBDE" w14:textId="77777777" w:rsidR="008A6720" w:rsidRPr="008506FD" w:rsidRDefault="008A6720" w:rsidP="00C14322">
                      <w:pPr>
                        <w:pStyle w:val="ColorfulList-Accent11"/>
                        <w:ind w:left="426"/>
                        <w:rPr>
                          <w:rFonts w:cs="Calibri"/>
                        </w:rPr>
                      </w:pPr>
                    </w:p>
                    <w:p w14:paraId="4FE258A1" w14:textId="0B9C6E22" w:rsidR="008A6720" w:rsidRPr="00D70A42" w:rsidRDefault="008A6720" w:rsidP="008506FD">
                      <w:pPr>
                        <w:pStyle w:val="ColorfulList-Accent11"/>
                        <w:ind w:left="426"/>
                        <w:rPr>
                          <w:rFonts w:cs="Calibri"/>
                        </w:rPr>
                      </w:pPr>
                      <w:r>
                        <w:t>vii.</w:t>
                      </w:r>
                      <w:r>
                        <w:tab/>
                        <w:t>aprobar la asignación de fondos a las IRR que reúnan los requisitos, con cargo a la partida presupuestaria básica D “Apoyo a las iniciativas regionales de Ramsar”, como se describe en el párrafo 2</w:t>
                      </w:r>
                      <w:r w:rsidR="00BF17F8">
                        <w:t>5</w:t>
                      </w:r>
                      <w:r>
                        <w:t>.</w:t>
                      </w:r>
                    </w:p>
                    <w:p w14:paraId="399979CC" w14:textId="77777777" w:rsidR="008A6720" w:rsidRDefault="008A6720" w:rsidP="00C14322">
                      <w:pPr>
                        <w:pStyle w:val="ColorfulList-Accent11"/>
                        <w:ind w:left="426"/>
                        <w:rPr>
                          <w:rFonts w:cs="Calibri"/>
                        </w:rPr>
                      </w:pPr>
                    </w:p>
                  </w:txbxContent>
                </v:textbox>
                <w10:anchorlock/>
              </v:shape>
            </w:pict>
          </mc:Fallback>
        </mc:AlternateContent>
      </w:r>
    </w:p>
    <w:p w14:paraId="5CE1948B" w14:textId="30AEB20C" w:rsidR="001B7279" w:rsidRPr="009E3947" w:rsidRDefault="001B7279" w:rsidP="00162710">
      <w:pPr>
        <w:rPr>
          <w:rFonts w:cs="Arial"/>
          <w:b/>
        </w:rPr>
      </w:pPr>
    </w:p>
    <w:p w14:paraId="368EE336" w14:textId="77777777" w:rsidR="004C3E8B" w:rsidRPr="009E3947" w:rsidRDefault="004C3E8B" w:rsidP="008C5A89">
      <w:pPr>
        <w:rPr>
          <w:rFonts w:cs="Arial"/>
          <w:b/>
        </w:rPr>
      </w:pPr>
    </w:p>
    <w:p w14:paraId="351531F6" w14:textId="5B852325" w:rsidR="008C5A89" w:rsidRPr="009E3947" w:rsidRDefault="00E217DA" w:rsidP="008C5A89">
      <w:pPr>
        <w:rPr>
          <w:rFonts w:cs="Arial"/>
          <w:b/>
        </w:rPr>
      </w:pPr>
      <w:r w:rsidRPr="009E3947">
        <w:rPr>
          <w:b/>
        </w:rPr>
        <w:t>Antecedentes</w:t>
      </w:r>
    </w:p>
    <w:p w14:paraId="092A6D8B" w14:textId="77777777" w:rsidR="008C5A89" w:rsidRPr="009E3947" w:rsidRDefault="008C5A89" w:rsidP="008C5A89">
      <w:pPr>
        <w:rPr>
          <w:rFonts w:cs="Arial"/>
          <w:b/>
        </w:rPr>
      </w:pPr>
    </w:p>
    <w:p w14:paraId="721A8646" w14:textId="4CB3F314" w:rsidR="001B074F" w:rsidRPr="009E3947" w:rsidRDefault="00E217DA" w:rsidP="00E217DA">
      <w:pPr>
        <w:rPr>
          <w:rFonts w:cs="Arial"/>
        </w:rPr>
      </w:pPr>
      <w:r w:rsidRPr="009E3947">
        <w:t>1.</w:t>
      </w:r>
      <w:r w:rsidR="009E3947" w:rsidRPr="009E3947">
        <w:rPr>
          <w:rFonts w:cs="Arial"/>
        </w:rPr>
        <w:tab/>
      </w:r>
      <w:r w:rsidR="001B074F" w:rsidRPr="009E3947">
        <w:t>Este informe trata de las cuestiones financieras relativas a los presupuestos básico y complementario de la Convención sobre los Humedales para 2024, y el presupuesto básico para 2025.</w:t>
      </w:r>
    </w:p>
    <w:p w14:paraId="40A75588" w14:textId="77777777" w:rsidR="001B074F" w:rsidRPr="009E3947" w:rsidRDefault="001B074F" w:rsidP="00E217DA">
      <w:pPr>
        <w:rPr>
          <w:rFonts w:cs="Arial"/>
        </w:rPr>
      </w:pPr>
    </w:p>
    <w:p w14:paraId="7E9E25EF" w14:textId="2D573F59" w:rsidR="008C5A89" w:rsidRPr="009E3947" w:rsidRDefault="001B074F" w:rsidP="008C5A89">
      <w:pPr>
        <w:rPr>
          <w:rFonts w:cs="Arial"/>
        </w:rPr>
      </w:pPr>
      <w:r w:rsidRPr="009E3947">
        <w:t>2.</w:t>
      </w:r>
      <w:r w:rsidR="009E3947" w:rsidRPr="009E3947">
        <w:rPr>
          <w:rFonts w:cs="Arial"/>
        </w:rPr>
        <w:tab/>
      </w:r>
      <w:r w:rsidR="00740B20" w:rsidRPr="009E3947">
        <w:t>En su 64</w:t>
      </w:r>
      <w:r w:rsidR="00740B20" w:rsidRPr="009E3947">
        <w:rPr>
          <w:vertAlign w:val="superscript"/>
        </w:rPr>
        <w:t>a</w:t>
      </w:r>
      <w:r w:rsidR="00740B20" w:rsidRPr="009E3947">
        <w:t xml:space="preserve"> reunión (SC64), mediante la Decisión SC64-39, partes i), ii), iii) y v) respectivamente, el Comité Permanente tomó nota de: las estimaciones provisionales de los resultados del presupuesto básico para 2024; la situación de los saldos de los fondos complementarios y de las contribuciones voluntarias para 2024; el traspaso estimado de fondos previamente comprometidos y no gastados de 2024 a 2025; y los saldos excedentes estimados. El Comité Permanente aprobó además, mediante la Decisión SC64-39 iv), el uso temporal de los fondos de reserva como préstamo para complementar la financiación voluntaria destinada a apoyar la </w:t>
      </w:r>
      <w:r w:rsidR="00740B20" w:rsidRPr="009E3947">
        <w:lastRenderedPageBreak/>
        <w:t>participación de los delegados patrocinados en la 15</w:t>
      </w:r>
      <w:r w:rsidR="00740B20" w:rsidRPr="009E3947">
        <w:rPr>
          <w:vertAlign w:val="superscript"/>
        </w:rPr>
        <w:t>a</w:t>
      </w:r>
      <w:r w:rsidR="00740B20" w:rsidRPr="009E3947">
        <w:t xml:space="preserve"> reunión de la Conferencia de las Partes Contratantes (COP15).  </w:t>
      </w:r>
    </w:p>
    <w:p w14:paraId="4A285B90" w14:textId="77777777" w:rsidR="008C5A89" w:rsidRPr="009E3947" w:rsidRDefault="008C5A89" w:rsidP="008C5A89">
      <w:pPr>
        <w:rPr>
          <w:rFonts w:cs="Arial"/>
        </w:rPr>
      </w:pPr>
    </w:p>
    <w:p w14:paraId="1422416E" w14:textId="5A7DF35F" w:rsidR="007111E2" w:rsidRPr="009E3947" w:rsidRDefault="00633D7A" w:rsidP="008C5A89">
      <w:pPr>
        <w:rPr>
          <w:rFonts w:cs="Arial"/>
        </w:rPr>
      </w:pPr>
      <w:r w:rsidRPr="009E3947">
        <w:t>3.</w:t>
      </w:r>
      <w:r w:rsidR="009E3947" w:rsidRPr="009E3947">
        <w:rPr>
          <w:rFonts w:cs="Arial"/>
        </w:rPr>
        <w:tab/>
      </w:r>
      <w:r w:rsidR="007111E2" w:rsidRPr="009E3947">
        <w:t>Estas decisiones se basaron en el documento SC64 Doc.9.1</w:t>
      </w:r>
      <w:r w:rsidRPr="009E3947">
        <w:rPr>
          <w:rStyle w:val="FootnoteReference"/>
          <w:rFonts w:cs="Arial"/>
        </w:rPr>
        <w:footnoteReference w:id="2"/>
      </w:r>
      <w:r w:rsidR="007111E2" w:rsidRPr="009E3947">
        <w:t>,  en el que se presentaban los resultados provisionales hasta el final de septiembre de 2024, y en las estimaciones actualizadas presentadas durante la reunión SC64 en enero en el informe del Subgrupo de Finanzas, documento SC64 Com.2</w:t>
      </w:r>
      <w:r w:rsidR="00082B43" w:rsidRPr="009E3947">
        <w:rPr>
          <w:rStyle w:val="FootnoteReference"/>
        </w:rPr>
        <w:footnoteReference w:id="3"/>
      </w:r>
      <w:r w:rsidR="007111E2" w:rsidRPr="009E3947">
        <w:t>. En el presente documento se exponen los resultados y saldos definitivos para 2024, que han sido validados por los auditores y que se someten ahora a la aprobación de la reunión SC65.</w:t>
      </w:r>
    </w:p>
    <w:p w14:paraId="29B574BB" w14:textId="77777777" w:rsidR="007111E2" w:rsidRPr="009E3947" w:rsidRDefault="007111E2" w:rsidP="008C5A89">
      <w:pPr>
        <w:rPr>
          <w:rFonts w:cs="Arial"/>
        </w:rPr>
      </w:pPr>
    </w:p>
    <w:p w14:paraId="6C880003" w14:textId="1D60E9D6" w:rsidR="006656E1" w:rsidRPr="009E3947" w:rsidRDefault="00043CBA" w:rsidP="00FC2FAB">
      <w:pPr>
        <w:keepNext/>
        <w:rPr>
          <w:rFonts w:cs="Arial"/>
          <w:b/>
        </w:rPr>
      </w:pPr>
      <w:r w:rsidRPr="009E3947">
        <w:rPr>
          <w:b/>
        </w:rPr>
        <w:t>Resultados de 2024: presupuesto básico</w:t>
      </w:r>
    </w:p>
    <w:p w14:paraId="387569ED" w14:textId="77777777" w:rsidR="002F2543" w:rsidRPr="009E3947" w:rsidRDefault="002F2543" w:rsidP="00FC2FAB">
      <w:pPr>
        <w:pStyle w:val="NoSpacing"/>
        <w:keepNext/>
        <w:ind w:left="426"/>
        <w:rPr>
          <w:b/>
        </w:rPr>
      </w:pPr>
    </w:p>
    <w:p w14:paraId="1382A821" w14:textId="3B082CB9" w:rsidR="00094AFB" w:rsidRPr="009E3947" w:rsidRDefault="006C4B0F" w:rsidP="00094AFB">
      <w:pPr>
        <w:ind w:left="426"/>
      </w:pPr>
      <w:r w:rsidRPr="009E3947">
        <w:t>4.</w:t>
      </w:r>
      <w:r w:rsidR="009E3947" w:rsidRPr="009E3947">
        <w:tab/>
      </w:r>
      <w:r w:rsidR="00A745F6" w:rsidRPr="009E3947">
        <w:t>Los estados financieros auditados de 2024 figuran en el anexo 1 del presente documento. Se invita al Comité Permanente a examinar y aceptar los estados financieros auditados de 2024 que figuran en el anexo 1. Los estados financieros auditados completos de 2024, incluidas las notas y el dictamen de auditoría, también han sido publicados en el sitio web de la Convención</w:t>
      </w:r>
      <w:r w:rsidR="00094AFB" w:rsidRPr="009E3947">
        <w:rPr>
          <w:rStyle w:val="FootnoteReference"/>
        </w:rPr>
        <w:footnoteReference w:id="4"/>
      </w:r>
      <w:r w:rsidR="00A745F6" w:rsidRPr="009E3947">
        <w:t>.</w:t>
      </w:r>
    </w:p>
    <w:p w14:paraId="2BEBEE4C" w14:textId="75526544" w:rsidR="00A745F6" w:rsidRPr="009E3947" w:rsidRDefault="00A745F6" w:rsidP="00FC2FAB">
      <w:pPr>
        <w:pStyle w:val="NoSpacing"/>
        <w:keepNext/>
        <w:ind w:left="426"/>
        <w:rPr>
          <w:b/>
        </w:rPr>
      </w:pPr>
    </w:p>
    <w:p w14:paraId="3249B5DF" w14:textId="355F0734" w:rsidR="00322E1B" w:rsidRPr="009E3947" w:rsidRDefault="006C4B0F" w:rsidP="009A08C3">
      <w:pPr>
        <w:ind w:left="426"/>
      </w:pPr>
      <w:r w:rsidRPr="009E3947">
        <w:t>5.</w:t>
      </w:r>
      <w:r w:rsidR="009E3947" w:rsidRPr="009E3947">
        <w:tab/>
      </w:r>
      <w:r w:rsidR="00672A78" w:rsidRPr="009E3947">
        <w:t xml:space="preserve">En el anexo 2 se incluye un resumen de los resultados del presupuesto básico de 2024. En el anexo 2 se muestran los ingresos y gastos definitivos para 2024 (confirmados por los estados financieros que figuran en el anexo 1) y el saldo al 31 de diciembre de 2024 para cada partida y categoría presupuestaria. </w:t>
      </w:r>
    </w:p>
    <w:p w14:paraId="32B4DCE8" w14:textId="77777777" w:rsidR="00322E1B" w:rsidRPr="009E3947" w:rsidRDefault="00322E1B" w:rsidP="009A08C3">
      <w:pPr>
        <w:ind w:left="426"/>
      </w:pPr>
    </w:p>
    <w:p w14:paraId="50D308C6" w14:textId="49C5363F" w:rsidR="00E77FE6" w:rsidRPr="009E3947" w:rsidRDefault="00322E1B" w:rsidP="009A08C3">
      <w:pPr>
        <w:ind w:left="426"/>
      </w:pPr>
      <w:r w:rsidRPr="009E3947">
        <w:t>6.</w:t>
      </w:r>
      <w:r w:rsidR="009E3947" w:rsidRPr="009E3947">
        <w:tab/>
      </w:r>
      <w:r w:rsidRPr="009E3947">
        <w:t xml:space="preserve"> El cuadro del anexo 2 muestra:</w:t>
      </w:r>
    </w:p>
    <w:p w14:paraId="2A1C684F" w14:textId="322E2F66" w:rsidR="00E77FE6" w:rsidRPr="009E3947" w:rsidRDefault="00672A78" w:rsidP="00E77FE6">
      <w:pPr>
        <w:pStyle w:val="ListParagraph"/>
        <w:numPr>
          <w:ilvl w:val="0"/>
          <w:numId w:val="21"/>
        </w:numPr>
        <w:ind w:left="851" w:hanging="425"/>
      </w:pPr>
      <w:r w:rsidRPr="009E3947">
        <w:t>en la columna A, el presupuesto para 2024 de 5 081 000 francos suizos aprobado mediante la Resolución XIV.1 sobre C</w:t>
      </w:r>
      <w:r w:rsidRPr="009E3947">
        <w:rPr>
          <w:i/>
          <w:iCs/>
        </w:rPr>
        <w:t>uestiones financieras y presupuestarias</w:t>
      </w:r>
      <w:r w:rsidR="004C118B" w:rsidRPr="009E3947">
        <w:rPr>
          <w:rStyle w:val="FootnoteReference"/>
        </w:rPr>
        <w:footnoteReference w:id="5"/>
      </w:r>
      <w:r w:rsidRPr="009E3947">
        <w:t>;</w:t>
      </w:r>
    </w:p>
    <w:p w14:paraId="47133DA0" w14:textId="2EED266F" w:rsidR="00E77FE6" w:rsidRPr="009E3947" w:rsidRDefault="00E77FE6" w:rsidP="00E77FE6">
      <w:pPr>
        <w:pStyle w:val="ListParagraph"/>
        <w:numPr>
          <w:ilvl w:val="0"/>
          <w:numId w:val="21"/>
        </w:numPr>
        <w:ind w:left="851" w:hanging="425"/>
      </w:pPr>
      <w:r w:rsidRPr="009E3947">
        <w:t>en la columna B, la asignación de 196 000 francos suizos de ahorros presupuestarios de 2021, aprobados mediante la misma resolución;</w:t>
      </w:r>
    </w:p>
    <w:p w14:paraId="6F243F91" w14:textId="288463E9" w:rsidR="00E77FE6" w:rsidRPr="009E3947" w:rsidRDefault="00E77FE6" w:rsidP="00E77FE6">
      <w:pPr>
        <w:pStyle w:val="ListParagraph"/>
        <w:numPr>
          <w:ilvl w:val="0"/>
          <w:numId w:val="21"/>
        </w:numPr>
        <w:ind w:left="851" w:hanging="425"/>
      </w:pPr>
      <w:r w:rsidRPr="009E3947">
        <w:t xml:space="preserve">en la columna C, el traspaso de 2023 a 2024 de un total de 1 232 000 francos suizos, aprobado por el Comité Permanente en la reunión SC63; </w:t>
      </w:r>
    </w:p>
    <w:p w14:paraId="037641C7" w14:textId="782B7F30" w:rsidR="00E77FE6" w:rsidRPr="009E3947" w:rsidRDefault="00E77FE6" w:rsidP="00E77FE6">
      <w:pPr>
        <w:pStyle w:val="ListParagraph"/>
        <w:numPr>
          <w:ilvl w:val="0"/>
          <w:numId w:val="21"/>
        </w:numPr>
        <w:ind w:left="851" w:hanging="425"/>
      </w:pPr>
      <w:r w:rsidRPr="009E3947">
        <w:t>en la columna D, el consiguiente presupuesto modificado para 2024 por un total de 6</w:t>
      </w:r>
      <w:r w:rsidR="009E3947">
        <w:t> </w:t>
      </w:r>
      <w:r w:rsidRPr="009E3947">
        <w:t>509</w:t>
      </w:r>
      <w:r w:rsidR="009E3947">
        <w:t> </w:t>
      </w:r>
      <w:r w:rsidRPr="009E3947">
        <w:t>000 francos suizos;</w:t>
      </w:r>
    </w:p>
    <w:p w14:paraId="6D07CAB4" w14:textId="516DB3D3" w:rsidR="00E77FE6" w:rsidRPr="009E3947" w:rsidRDefault="00E77FE6" w:rsidP="00CC3058">
      <w:pPr>
        <w:pStyle w:val="ListParagraph"/>
        <w:numPr>
          <w:ilvl w:val="0"/>
          <w:numId w:val="21"/>
        </w:numPr>
        <w:ind w:left="851" w:hanging="425"/>
      </w:pPr>
      <w:r w:rsidRPr="009E3947">
        <w:t>en la columna E, los gastos al 31 de diciembre de 2024 por un total de 5 370 000 francos suizos;</w:t>
      </w:r>
    </w:p>
    <w:p w14:paraId="124BF680" w14:textId="11118BE6" w:rsidR="00332637" w:rsidRPr="009E3947" w:rsidRDefault="00C266DC" w:rsidP="00E77FE6">
      <w:pPr>
        <w:pStyle w:val="ListParagraph"/>
        <w:numPr>
          <w:ilvl w:val="0"/>
          <w:numId w:val="21"/>
        </w:numPr>
        <w:ind w:left="851" w:hanging="425"/>
      </w:pPr>
      <w:r w:rsidRPr="009E3947">
        <w:t>en la columna F, los ajustes propuestos por la Secretaría de los saldos de 2024 entre partidas presupuestarias aprobadas (el presupuesto básico global aprobado para 2024 permanece inalterado); y</w:t>
      </w:r>
    </w:p>
    <w:p w14:paraId="7DA5BE7F" w14:textId="0E9A43CA" w:rsidR="00EC32C4" w:rsidRPr="009E3947" w:rsidRDefault="00332637" w:rsidP="00E77FE6">
      <w:pPr>
        <w:pStyle w:val="ListParagraph"/>
        <w:numPr>
          <w:ilvl w:val="0"/>
          <w:numId w:val="21"/>
        </w:numPr>
        <w:ind w:left="851" w:hanging="425"/>
      </w:pPr>
      <w:r w:rsidRPr="009E3947">
        <w:t>en la columna G, el saldo a traspasar a 2025 por un total de 1 065 000 francos suizos.</w:t>
      </w:r>
    </w:p>
    <w:p w14:paraId="5A8A1335" w14:textId="77777777" w:rsidR="002B4F3C" w:rsidRPr="009E3947" w:rsidRDefault="002B4F3C" w:rsidP="009A08C3">
      <w:pPr>
        <w:ind w:left="426"/>
      </w:pPr>
    </w:p>
    <w:p w14:paraId="033638C7" w14:textId="0DF91002" w:rsidR="00F64D2D" w:rsidRPr="009E3947" w:rsidRDefault="006C4B0F" w:rsidP="004F3C40">
      <w:pPr>
        <w:ind w:left="426" w:hanging="426"/>
      </w:pPr>
      <w:r w:rsidRPr="009E3947">
        <w:t>7.</w:t>
      </w:r>
      <w:r w:rsidR="009E3947" w:rsidRPr="009E3947">
        <w:tab/>
      </w:r>
      <w:r w:rsidR="00CC3058" w:rsidRPr="009E3947">
        <w:t xml:space="preserve">Al final de 2024, el saldo del presupuesto básico era de 1 065 000 francos suizos. Esto incluía 899 000 francos suizos de fondos previamente comprometidos o previstos en 2024 a gastar en 2025, y 166 000 francos suizos de ahorros. En el cuadro 1 se resumen estos subtotales.  </w:t>
      </w:r>
    </w:p>
    <w:p w14:paraId="01D76AEC" w14:textId="402D904A" w:rsidR="004F3C40" w:rsidRPr="009E3947" w:rsidRDefault="004F3C40" w:rsidP="00D70A42">
      <w:pPr>
        <w:ind w:left="0" w:firstLine="0"/>
        <w:rPr>
          <w:iCs/>
        </w:rPr>
      </w:pPr>
    </w:p>
    <w:p w14:paraId="522CE0C4" w14:textId="258FF38C" w:rsidR="004F3C40" w:rsidRPr="009E3947" w:rsidRDefault="006C4B0F" w:rsidP="00FC2FAB">
      <w:r w:rsidRPr="009E3947">
        <w:t>8.</w:t>
      </w:r>
      <w:r w:rsidR="009E3947" w:rsidRPr="009E3947">
        <w:tab/>
      </w:r>
      <w:r w:rsidR="004F3C40" w:rsidRPr="009E3947">
        <w:t>Se destacan los siguientes puntos para que el Comité Permanente los examine:</w:t>
      </w:r>
    </w:p>
    <w:p w14:paraId="12678C0C" w14:textId="77777777" w:rsidR="004F3C40" w:rsidRPr="009E3947" w:rsidRDefault="004F3C40" w:rsidP="00FC2FAB">
      <w:pPr>
        <w:pStyle w:val="NoSpacing"/>
        <w:ind w:left="850"/>
      </w:pPr>
    </w:p>
    <w:p w14:paraId="1EB79B12" w14:textId="0C2001AB" w:rsidR="004F3C40" w:rsidRPr="009E3947" w:rsidRDefault="004F3C40" w:rsidP="004F3C40">
      <w:pPr>
        <w:pStyle w:val="NoSpacing"/>
        <w:ind w:left="850"/>
      </w:pPr>
      <w:r w:rsidRPr="009E3947">
        <w:lastRenderedPageBreak/>
        <w:t>a.</w:t>
      </w:r>
      <w:r w:rsidR="009E3947" w:rsidRPr="009E3947">
        <w:tab/>
      </w:r>
      <w:r w:rsidRPr="009E3947">
        <w:t>Los ingresos previstos se ajustaron a lo presupuestado, salvo en el caso del impuesto sobre la renta, que fue 31 000 francos suizos inferior a lo presupuestado como resultado de los puestos vacantes, y de los ingresos por intereses, que fueron 44 000 francos suizos superiores a lo presupuestado;</w:t>
      </w:r>
    </w:p>
    <w:p w14:paraId="714CE2E4" w14:textId="77777777" w:rsidR="004F3C40" w:rsidRPr="009E3947" w:rsidRDefault="004F3C40" w:rsidP="004F3C40">
      <w:pPr>
        <w:pStyle w:val="NoSpacing"/>
        <w:ind w:left="850"/>
      </w:pPr>
    </w:p>
    <w:p w14:paraId="04C4C02F" w14:textId="10A3C833" w:rsidR="004F3C40" w:rsidRPr="009E3947" w:rsidRDefault="004F3C40" w:rsidP="004F3C40">
      <w:pPr>
        <w:pStyle w:val="NoSpacing"/>
        <w:ind w:left="850"/>
      </w:pPr>
      <w:r w:rsidRPr="009E3947">
        <w:t>b.</w:t>
      </w:r>
      <w:r w:rsidR="009E3947" w:rsidRPr="009E3947">
        <w:tab/>
      </w:r>
      <w:r w:rsidRPr="009E3947">
        <w:t>Los gastos generales en materia de sueldos sumaron 3 609 000 francos suizos, lo que corresponde a una tasa de ejecución presupuestaria del 94 %, y al 67% del total de gastos;</w:t>
      </w:r>
    </w:p>
    <w:p w14:paraId="5259CF30" w14:textId="77777777" w:rsidR="004F3C40" w:rsidRPr="009E3947" w:rsidRDefault="004F3C40" w:rsidP="004F3C40">
      <w:pPr>
        <w:pStyle w:val="NoSpacing"/>
        <w:ind w:left="0" w:firstLine="425"/>
      </w:pPr>
    </w:p>
    <w:p w14:paraId="0B0D78DC" w14:textId="2CE5D3D3" w:rsidR="004F3C40" w:rsidRPr="009E3947" w:rsidRDefault="004F3C40" w:rsidP="004F3C40">
      <w:pPr>
        <w:pStyle w:val="NoSpacing"/>
        <w:ind w:left="851"/>
      </w:pPr>
      <w:r w:rsidRPr="009E3947">
        <w:t>c.</w:t>
      </w:r>
      <w:r w:rsidR="009E3947" w:rsidRPr="009E3947">
        <w:tab/>
      </w:r>
      <w:r w:rsidR="00E56B26" w:rsidRPr="009E3947">
        <w:t>Las provisiones correspondientes al personal aumentaron en 31 000 francos suizos como resultado de aumentos de la provisión por separación del personal de 28 000 francos suizos y de la provisión para repatriación del personal de 3 000 francos suizos;</w:t>
      </w:r>
    </w:p>
    <w:p w14:paraId="512FE8C9" w14:textId="77777777" w:rsidR="004F3C40" w:rsidRPr="009E3947" w:rsidRDefault="004F3C40" w:rsidP="004F3C40">
      <w:pPr>
        <w:pStyle w:val="NoSpacing"/>
        <w:ind w:left="851"/>
      </w:pPr>
    </w:p>
    <w:p w14:paraId="1EE242BA" w14:textId="6DD27C22" w:rsidR="004F3C40" w:rsidRPr="009E3947" w:rsidRDefault="004F3C40" w:rsidP="004C3E8B">
      <w:pPr>
        <w:pStyle w:val="NoSpacing"/>
        <w:ind w:left="851"/>
      </w:pPr>
      <w:r w:rsidRPr="009E3947">
        <w:t>d.</w:t>
      </w:r>
      <w:r w:rsidR="009E3947" w:rsidRPr="009E3947">
        <w:tab/>
      </w:r>
      <w:r w:rsidR="002E6420" w:rsidRPr="009E3947">
        <w:t xml:space="preserve">En 2024, las provisiones para contribuciones pendientes de pago ascendieron a 113 000 francos suizos, es decir, estuvieron 37 000 francos suizos por debajo del presupuesto total aprobado para 2024. En el documento SC65 Doc.8.2 </w:t>
      </w:r>
      <w:r w:rsidR="002E6420" w:rsidRPr="009E3947">
        <w:rPr>
          <w:i/>
          <w:iCs/>
        </w:rPr>
        <w:t>Estado de las contribuciones anuales</w:t>
      </w:r>
      <w:r w:rsidR="002E6420" w:rsidRPr="009E3947">
        <w:t xml:space="preserve"> se ofrecen más detalles al respecto. </w:t>
      </w:r>
    </w:p>
    <w:p w14:paraId="2DDC48AF" w14:textId="77777777" w:rsidR="0041785F" w:rsidRPr="009E3947" w:rsidRDefault="0041785F" w:rsidP="004C3E8B">
      <w:pPr>
        <w:pStyle w:val="NoSpacing"/>
        <w:ind w:left="851"/>
      </w:pPr>
    </w:p>
    <w:p w14:paraId="692692E3" w14:textId="42708037" w:rsidR="0041785F" w:rsidRPr="009E3947" w:rsidRDefault="0041785F" w:rsidP="004C3E8B">
      <w:pPr>
        <w:pStyle w:val="NoSpacing"/>
        <w:ind w:left="851"/>
      </w:pPr>
      <w:r w:rsidRPr="009E3947">
        <w:t>e.</w:t>
      </w:r>
      <w:r w:rsidR="009E3947" w:rsidRPr="009E3947">
        <w:tab/>
      </w:r>
      <w:r w:rsidR="00DD2ADE" w:rsidRPr="009E3947">
        <w:t>Mediante la Decisión SC62-44, el Comité Permanente aprobó redestinar las asignaciones de fondos básicos no utilizadas para las Misiones Ramsar de Asesoramiento (MRA). En 2024, se asignaron 11 000 francos suizos para una MRA en Sierra Leona. En 2025, la Secretaría utilizará los fondos restantes disponibles para apoyar la finalización de esta MRA, por un importe estimado de 8 000 francos suizos, y otras solicitudes de MRA que carecen de financiación procedente de contribuciones voluntarias complementarias, por un importe total disponible de 77 000 francos suizos. El informe actualizado sobre los fondos para MRA utilizados en 2025 se presentará al Comité Permanente en su 67</w:t>
      </w:r>
      <w:r w:rsidR="00DD2ADE" w:rsidRPr="009E3947">
        <w:rPr>
          <w:vertAlign w:val="superscript"/>
        </w:rPr>
        <w:t>a</w:t>
      </w:r>
      <w:r w:rsidR="00DD2ADE" w:rsidRPr="009E3947">
        <w:t xml:space="preserve"> reunión (SC67).</w:t>
      </w:r>
    </w:p>
    <w:p w14:paraId="4544D55F" w14:textId="77777777" w:rsidR="004F3C40" w:rsidRPr="009E3947" w:rsidRDefault="004F3C40" w:rsidP="004F3C40">
      <w:pPr>
        <w:pStyle w:val="NoSpacing"/>
        <w:ind w:left="850"/>
      </w:pPr>
    </w:p>
    <w:p w14:paraId="07DE0CF3" w14:textId="4B3C8EA9" w:rsidR="00C626A5" w:rsidRPr="009E3947" w:rsidRDefault="00C07F2A" w:rsidP="004F3C40">
      <w:pPr>
        <w:pStyle w:val="NoSpacing"/>
      </w:pPr>
      <w:r w:rsidRPr="009E3947">
        <w:t>8.</w:t>
      </w:r>
      <w:r w:rsidR="009E3947" w:rsidRPr="009E3947">
        <w:tab/>
      </w:r>
      <w:r w:rsidR="00C626A5" w:rsidRPr="009E3947">
        <w:t>Durante la reunión SC64, el Comité Permanente, mediante la Decisión SC64-39 iii), tomó nota del traspaso estimado de fondos previamente comprometidos y no gastados de 2024 a 2025, reflejado en el anexo 1, columna C, del informe del Subgrupo de Finanzas, documento SC64 Com.2</w:t>
      </w:r>
      <w:r w:rsidR="008B5424" w:rsidRPr="009E3947">
        <w:rPr>
          <w:rStyle w:val="FootnoteReference"/>
        </w:rPr>
        <w:footnoteReference w:id="6"/>
      </w:r>
      <w:r w:rsidR="00C626A5" w:rsidRPr="009E3947">
        <w:t>.</w:t>
      </w:r>
    </w:p>
    <w:p w14:paraId="78B67794" w14:textId="77777777" w:rsidR="00C626A5" w:rsidRPr="009E3947" w:rsidRDefault="00C626A5" w:rsidP="004F3C40">
      <w:pPr>
        <w:pStyle w:val="NoSpacing"/>
      </w:pPr>
    </w:p>
    <w:p w14:paraId="5443CCA6" w14:textId="5C48A35D" w:rsidR="004F3C40" w:rsidRPr="009E3947" w:rsidRDefault="006E65C6" w:rsidP="006E65C6">
      <w:pPr>
        <w:pStyle w:val="NoSpacing"/>
      </w:pPr>
      <w:r w:rsidRPr="009E3947">
        <w:t>9.</w:t>
      </w:r>
      <w:r w:rsidR="009E3947" w:rsidRPr="009E3947">
        <w:tab/>
      </w:r>
      <w:r w:rsidR="00CD1F8C" w:rsidRPr="009E3947">
        <w:t xml:space="preserve">La Secretaría propone traspasar a 2025 los fondos previamente comprometidos y no comprometidos o no gastados que suman un total de 1 065 000 francos suizos, como se indica en el párrafo 6 y en la tercera columna del cuadro 1, “Traspaso a 2025”. Esto está en consonancia con la Decisión SC57-50 en la que el Comité Permanente decidió que los saldos no comprometidos o no gastados para las partidas presupuestarias pueden traspasarse al año siguiente dentro del trienio y presentarse en la siguiente reunión del Subgrupo de Finanzas. </w:t>
      </w:r>
    </w:p>
    <w:p w14:paraId="2F053556" w14:textId="77777777" w:rsidR="004F3C40" w:rsidRPr="009E3947" w:rsidRDefault="004F3C40" w:rsidP="00D70A42">
      <w:pPr>
        <w:ind w:left="0" w:firstLine="0"/>
        <w:rPr>
          <w:i/>
        </w:rPr>
      </w:pPr>
    </w:p>
    <w:p w14:paraId="1739ED9F" w14:textId="030F589C" w:rsidR="00163F72" w:rsidRPr="009E3947" w:rsidRDefault="006712F6" w:rsidP="00EC4FE8">
      <w:pPr>
        <w:keepNext/>
        <w:ind w:left="0" w:firstLine="0"/>
        <w:rPr>
          <w:i/>
        </w:rPr>
      </w:pPr>
      <w:r w:rsidRPr="009E3947">
        <w:rPr>
          <w:i/>
        </w:rPr>
        <w:lastRenderedPageBreak/>
        <w:t>Cuadro 1: Resumen de los fondos del presupuesto básico para 2024 que se traspasarán (en miles de francos suizos, incluye posibles diferencias de redondeo)</w:t>
      </w:r>
    </w:p>
    <w:tbl>
      <w:tblPr>
        <w:tblW w:w="9351" w:type="dxa"/>
        <w:tblLayout w:type="fixed"/>
        <w:tblCellMar>
          <w:top w:w="57" w:type="dxa"/>
          <w:left w:w="57" w:type="dxa"/>
          <w:bottom w:w="57" w:type="dxa"/>
          <w:right w:w="57" w:type="dxa"/>
        </w:tblCellMar>
        <w:tblLook w:val="04A0" w:firstRow="1" w:lastRow="0" w:firstColumn="1" w:lastColumn="0" w:noHBand="0" w:noVBand="1"/>
      </w:tblPr>
      <w:tblGrid>
        <w:gridCol w:w="1696"/>
        <w:gridCol w:w="1276"/>
        <w:gridCol w:w="1276"/>
        <w:gridCol w:w="1276"/>
        <w:gridCol w:w="3827"/>
      </w:tblGrid>
      <w:tr w:rsidR="00A71418" w:rsidRPr="009E3947" w14:paraId="031BB845" w14:textId="77777777" w:rsidTr="00CC0BEF">
        <w:trPr>
          <w:cantSplit/>
          <w:tblHeader/>
        </w:trPr>
        <w:tc>
          <w:tcPr>
            <w:tcW w:w="169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750ADE" w14:textId="77777777" w:rsidR="001D04CA" w:rsidRPr="009E3947" w:rsidRDefault="001D04CA" w:rsidP="005E22DC">
            <w:pPr>
              <w:ind w:left="0" w:firstLine="0"/>
              <w:jc w:val="center"/>
              <w:rPr>
                <w:rFonts w:asciiTheme="minorHAnsi" w:eastAsia="Times New Roman" w:hAnsiTheme="minorHAnsi" w:cstheme="minorHAnsi"/>
                <w:b/>
                <w:bCs/>
                <w:color w:val="000000"/>
                <w:spacing w:val="-4"/>
                <w:sz w:val="20"/>
                <w:szCs w:val="20"/>
              </w:rPr>
            </w:pPr>
            <w:r w:rsidRPr="009E3947">
              <w:rPr>
                <w:rFonts w:asciiTheme="minorHAnsi" w:hAnsiTheme="minorHAnsi"/>
                <w:b/>
                <w:bCs/>
                <w:color w:val="000000"/>
                <w:sz w:val="20"/>
                <w:szCs w:val="20"/>
              </w:rPr>
              <w:t>Categoría / Departamento</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82ECCC7" w14:textId="6815FF09" w:rsidR="001D04CA" w:rsidRPr="009E3947" w:rsidRDefault="00C626A5" w:rsidP="005E22DC">
            <w:pPr>
              <w:ind w:left="0" w:firstLine="0"/>
              <w:jc w:val="center"/>
              <w:rPr>
                <w:rFonts w:asciiTheme="minorHAnsi" w:eastAsia="Times New Roman" w:hAnsiTheme="minorHAnsi" w:cstheme="minorHAnsi"/>
                <w:b/>
                <w:bCs/>
                <w:spacing w:val="-4"/>
                <w:sz w:val="20"/>
                <w:szCs w:val="20"/>
              </w:rPr>
            </w:pPr>
            <w:r w:rsidRPr="009E3947">
              <w:rPr>
                <w:rFonts w:asciiTheme="minorHAnsi" w:hAnsiTheme="minorHAnsi"/>
                <w:b/>
                <w:bCs/>
                <w:sz w:val="20"/>
                <w:szCs w:val="20"/>
              </w:rPr>
              <w:t>Fondos previamente comprometidos o previstos para 2024 a gastar en 2025 (A)</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672B7E0" w14:textId="5699E26C" w:rsidR="001D04CA" w:rsidRPr="009E3947" w:rsidRDefault="00C626A5" w:rsidP="005E22DC">
            <w:pPr>
              <w:ind w:left="0" w:firstLine="0"/>
              <w:jc w:val="center"/>
              <w:rPr>
                <w:rFonts w:asciiTheme="minorHAnsi" w:eastAsia="Times New Roman" w:hAnsiTheme="minorHAnsi" w:cstheme="minorHAnsi"/>
                <w:b/>
                <w:bCs/>
                <w:spacing w:val="-4"/>
                <w:sz w:val="20"/>
                <w:szCs w:val="20"/>
              </w:rPr>
            </w:pPr>
            <w:r w:rsidRPr="009E3947">
              <w:rPr>
                <w:rFonts w:asciiTheme="minorHAnsi" w:hAnsiTheme="minorHAnsi"/>
                <w:b/>
                <w:bCs/>
                <w:sz w:val="20"/>
                <w:szCs w:val="20"/>
              </w:rPr>
              <w:t>Fondos no comprometidos o no gastados en 2024, a traspasar a 2025 (B)</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1A04CE17" w14:textId="4696BD6F" w:rsidR="001D04CA" w:rsidRPr="009E3947" w:rsidRDefault="00C626A5" w:rsidP="005E22DC">
            <w:pPr>
              <w:ind w:left="0" w:firstLine="0"/>
              <w:jc w:val="center"/>
              <w:rPr>
                <w:rFonts w:asciiTheme="minorHAnsi" w:eastAsia="Times New Roman" w:hAnsiTheme="minorHAnsi" w:cstheme="minorHAnsi"/>
                <w:b/>
                <w:bCs/>
                <w:spacing w:val="-4"/>
                <w:sz w:val="20"/>
                <w:szCs w:val="20"/>
              </w:rPr>
            </w:pPr>
            <w:r w:rsidRPr="009E3947">
              <w:rPr>
                <w:rFonts w:asciiTheme="minorHAnsi" w:hAnsiTheme="minorHAnsi"/>
                <w:b/>
                <w:bCs/>
                <w:sz w:val="20"/>
                <w:szCs w:val="20"/>
              </w:rPr>
              <w:t xml:space="preserve">Traspaso de fondos a 2025 </w:t>
            </w:r>
            <w:r w:rsidRPr="009E3947">
              <w:rPr>
                <w:rFonts w:asciiTheme="minorHAnsi" w:hAnsiTheme="minorHAnsi"/>
                <w:b/>
                <w:bCs/>
                <w:sz w:val="20"/>
                <w:szCs w:val="20"/>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4563074C" w14:textId="3AD4E32D" w:rsidR="001D04CA" w:rsidRPr="009E3947" w:rsidRDefault="001D04CA" w:rsidP="005E22DC">
            <w:pPr>
              <w:ind w:left="0" w:firstLine="0"/>
              <w:jc w:val="center"/>
              <w:rPr>
                <w:rFonts w:asciiTheme="minorHAnsi" w:eastAsia="Times New Roman" w:hAnsiTheme="minorHAnsi" w:cstheme="minorHAnsi"/>
                <w:b/>
                <w:bCs/>
                <w:spacing w:val="-4"/>
                <w:sz w:val="20"/>
                <w:szCs w:val="20"/>
              </w:rPr>
            </w:pPr>
            <w:r w:rsidRPr="009E3947">
              <w:rPr>
                <w:rFonts w:asciiTheme="minorHAnsi" w:hAnsiTheme="minorHAnsi"/>
                <w:b/>
                <w:bCs/>
                <w:sz w:val="20"/>
                <w:szCs w:val="20"/>
              </w:rPr>
              <w:t>Comentarios respecto a los fondos traspasados a 2025</w:t>
            </w:r>
          </w:p>
        </w:tc>
      </w:tr>
      <w:tr w:rsidR="00A71418" w:rsidRPr="009E3947" w14:paraId="6F2DD81A"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5978D162" w14:textId="4B9E6919" w:rsidR="00CC0BEF" w:rsidRPr="009E3947" w:rsidRDefault="001D04CA" w:rsidP="003F1836">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Movilización de recursos y promoción</w:t>
            </w:r>
          </w:p>
        </w:tc>
        <w:tc>
          <w:tcPr>
            <w:tcW w:w="1276" w:type="dxa"/>
            <w:tcBorders>
              <w:top w:val="nil"/>
              <w:left w:val="nil"/>
              <w:bottom w:val="single" w:sz="4" w:space="0" w:color="auto"/>
              <w:right w:val="single" w:sz="4" w:space="0" w:color="auto"/>
            </w:tcBorders>
            <w:shd w:val="clear" w:color="auto" w:fill="auto"/>
            <w:noWrap/>
            <w:hideMark/>
          </w:tcPr>
          <w:p w14:paraId="0B057DCA" w14:textId="64D8224E" w:rsidR="001D04CA" w:rsidRPr="009E3947" w:rsidRDefault="00C626A5"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82</w:t>
            </w:r>
          </w:p>
        </w:tc>
        <w:tc>
          <w:tcPr>
            <w:tcW w:w="1276" w:type="dxa"/>
            <w:tcBorders>
              <w:top w:val="nil"/>
              <w:left w:val="nil"/>
              <w:bottom w:val="single" w:sz="4" w:space="0" w:color="auto"/>
              <w:right w:val="single" w:sz="4" w:space="0" w:color="auto"/>
            </w:tcBorders>
            <w:shd w:val="clear" w:color="auto" w:fill="auto"/>
            <w:noWrap/>
            <w:hideMark/>
          </w:tcPr>
          <w:p w14:paraId="6CB7690D" w14:textId="418DC0B2" w:rsidR="001D04CA" w:rsidRPr="009E3947" w:rsidRDefault="00EC21D1"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0</w:t>
            </w:r>
          </w:p>
        </w:tc>
        <w:tc>
          <w:tcPr>
            <w:tcW w:w="1276" w:type="dxa"/>
            <w:tcBorders>
              <w:top w:val="nil"/>
              <w:left w:val="nil"/>
              <w:bottom w:val="single" w:sz="4" w:space="0" w:color="auto"/>
              <w:right w:val="single" w:sz="4" w:space="0" w:color="auto"/>
            </w:tcBorders>
            <w:shd w:val="clear" w:color="auto" w:fill="auto"/>
            <w:noWrap/>
            <w:hideMark/>
          </w:tcPr>
          <w:p w14:paraId="5345FA2D" w14:textId="2E729435" w:rsidR="001D04CA" w:rsidRPr="009E3947" w:rsidRDefault="00C626A5" w:rsidP="005E22DC">
            <w:pPr>
              <w:ind w:left="0" w:firstLine="0"/>
              <w:jc w:val="right"/>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82</w:t>
            </w:r>
          </w:p>
        </w:tc>
        <w:tc>
          <w:tcPr>
            <w:tcW w:w="3827" w:type="dxa"/>
            <w:tcBorders>
              <w:top w:val="nil"/>
              <w:left w:val="nil"/>
              <w:bottom w:val="single" w:sz="4" w:space="0" w:color="auto"/>
              <w:right w:val="single" w:sz="4" w:space="0" w:color="auto"/>
            </w:tcBorders>
            <w:shd w:val="clear" w:color="auto" w:fill="auto"/>
            <w:hideMark/>
          </w:tcPr>
          <w:p w14:paraId="3E9B8443" w14:textId="57E92011" w:rsidR="001D04CA" w:rsidRPr="009E3947" w:rsidRDefault="001D04CA" w:rsidP="005E22DC">
            <w:pPr>
              <w:ind w:left="0" w:firstLine="0"/>
              <w:rPr>
                <w:rFonts w:asciiTheme="minorHAnsi" w:eastAsia="Times New Roman" w:hAnsiTheme="minorHAnsi" w:cstheme="minorHAnsi"/>
                <w:color w:val="000000"/>
                <w:sz w:val="20"/>
                <w:szCs w:val="20"/>
              </w:rPr>
            </w:pPr>
            <w:r w:rsidRPr="009E3947">
              <w:rPr>
                <w:rFonts w:asciiTheme="minorHAnsi" w:hAnsiTheme="minorHAnsi"/>
                <w:b/>
                <w:bCs/>
                <w:color w:val="000000"/>
                <w:sz w:val="20"/>
                <w:szCs w:val="20"/>
              </w:rPr>
              <w:t>Previamente comprometidos o previstos:</w:t>
            </w:r>
            <w:r w:rsidRPr="009E3947">
              <w:rPr>
                <w:rFonts w:asciiTheme="minorHAnsi" w:hAnsiTheme="minorHAnsi"/>
                <w:color w:val="000000"/>
                <w:sz w:val="20"/>
                <w:szCs w:val="20"/>
              </w:rPr>
              <w:t xml:space="preserve">  i) 44 000 para el programa de CECoP, ii) 24 000 para comunicaciones, traducciones, publicaciones y elaboración de informes y iii) 14 000 para apoyo informático y del sitio web.</w:t>
            </w:r>
          </w:p>
        </w:tc>
      </w:tr>
      <w:tr w:rsidR="00A71418" w:rsidRPr="009E3947" w14:paraId="4A649BF4"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4CC84E83" w14:textId="78395C7F" w:rsidR="00CC0BEF" w:rsidRPr="009E3947" w:rsidRDefault="001D04CA" w:rsidP="003F1836">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Asesoramiento y apoyo regionales</w:t>
            </w:r>
          </w:p>
        </w:tc>
        <w:tc>
          <w:tcPr>
            <w:tcW w:w="1276" w:type="dxa"/>
            <w:tcBorders>
              <w:top w:val="nil"/>
              <w:left w:val="nil"/>
              <w:bottom w:val="single" w:sz="4" w:space="0" w:color="auto"/>
              <w:right w:val="single" w:sz="4" w:space="0" w:color="auto"/>
            </w:tcBorders>
            <w:shd w:val="clear" w:color="auto" w:fill="auto"/>
            <w:noWrap/>
            <w:hideMark/>
          </w:tcPr>
          <w:p w14:paraId="3B78D52D" w14:textId="3F8BF956" w:rsidR="001D04CA" w:rsidRPr="009E3947" w:rsidRDefault="00C626A5"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266</w:t>
            </w:r>
          </w:p>
        </w:tc>
        <w:tc>
          <w:tcPr>
            <w:tcW w:w="1276" w:type="dxa"/>
            <w:tcBorders>
              <w:top w:val="nil"/>
              <w:left w:val="nil"/>
              <w:bottom w:val="single" w:sz="4" w:space="0" w:color="auto"/>
              <w:right w:val="single" w:sz="4" w:space="0" w:color="auto"/>
            </w:tcBorders>
            <w:shd w:val="clear" w:color="auto" w:fill="auto"/>
            <w:noWrap/>
            <w:hideMark/>
          </w:tcPr>
          <w:p w14:paraId="2596F42B" w14:textId="2763069E" w:rsidR="001D04CA" w:rsidRPr="009E3947" w:rsidRDefault="00C626A5"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0</w:t>
            </w:r>
          </w:p>
        </w:tc>
        <w:tc>
          <w:tcPr>
            <w:tcW w:w="1276" w:type="dxa"/>
            <w:tcBorders>
              <w:top w:val="nil"/>
              <w:left w:val="nil"/>
              <w:bottom w:val="single" w:sz="4" w:space="0" w:color="auto"/>
              <w:right w:val="single" w:sz="4" w:space="0" w:color="auto"/>
            </w:tcBorders>
            <w:shd w:val="clear" w:color="auto" w:fill="auto"/>
            <w:noWrap/>
            <w:hideMark/>
          </w:tcPr>
          <w:p w14:paraId="2B21E0C7" w14:textId="63225E65" w:rsidR="001D04CA" w:rsidRPr="009E3947" w:rsidRDefault="00C626A5" w:rsidP="005E22DC">
            <w:pPr>
              <w:ind w:left="0" w:firstLine="0"/>
              <w:jc w:val="right"/>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266</w:t>
            </w:r>
          </w:p>
        </w:tc>
        <w:tc>
          <w:tcPr>
            <w:tcW w:w="3827" w:type="dxa"/>
            <w:tcBorders>
              <w:top w:val="nil"/>
              <w:left w:val="nil"/>
              <w:bottom w:val="single" w:sz="4" w:space="0" w:color="auto"/>
              <w:right w:val="single" w:sz="4" w:space="0" w:color="auto"/>
            </w:tcBorders>
            <w:shd w:val="clear" w:color="auto" w:fill="auto"/>
            <w:hideMark/>
          </w:tcPr>
          <w:p w14:paraId="4DB8ECE3" w14:textId="5358B363" w:rsidR="001D04CA" w:rsidRPr="009E3947" w:rsidRDefault="001D04C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Previamente comprometidos o previstos:</w:t>
            </w:r>
            <w:r w:rsidRPr="009E3947">
              <w:rPr>
                <w:rFonts w:asciiTheme="minorHAnsi" w:hAnsiTheme="minorHAnsi"/>
                <w:sz w:val="20"/>
                <w:szCs w:val="20"/>
              </w:rPr>
              <w:t xml:space="preserve"> i) 85 000 para ejecución de Misiones Ramsar de Asesoramiento pospuestas a 2025, y ii) 181 000 para puestos vacantes y prestaciones.</w:t>
            </w:r>
          </w:p>
        </w:tc>
      </w:tr>
      <w:tr w:rsidR="00A71418" w:rsidRPr="009E3947" w14:paraId="2D9E14D5"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0BFB12A" w14:textId="1732D2C1" w:rsidR="00CC0BEF" w:rsidRPr="009E3947" w:rsidRDefault="001D04CA" w:rsidP="003F1836">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Apoyo a iniciativas regionales de Ramsar</w:t>
            </w:r>
          </w:p>
        </w:tc>
        <w:tc>
          <w:tcPr>
            <w:tcW w:w="1276" w:type="dxa"/>
            <w:tcBorders>
              <w:top w:val="nil"/>
              <w:left w:val="nil"/>
              <w:bottom w:val="single" w:sz="4" w:space="0" w:color="auto"/>
              <w:right w:val="single" w:sz="4" w:space="0" w:color="auto"/>
            </w:tcBorders>
            <w:shd w:val="clear" w:color="auto" w:fill="auto"/>
            <w:hideMark/>
          </w:tcPr>
          <w:p w14:paraId="24FC63B6" w14:textId="1F2D6C6D"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19</w:t>
            </w:r>
          </w:p>
        </w:tc>
        <w:tc>
          <w:tcPr>
            <w:tcW w:w="1276" w:type="dxa"/>
            <w:tcBorders>
              <w:top w:val="nil"/>
              <w:left w:val="nil"/>
              <w:bottom w:val="single" w:sz="4" w:space="0" w:color="auto"/>
              <w:right w:val="single" w:sz="4" w:space="0" w:color="auto"/>
            </w:tcBorders>
            <w:shd w:val="clear" w:color="auto" w:fill="auto"/>
            <w:hideMark/>
          </w:tcPr>
          <w:p w14:paraId="018A1397" w14:textId="3A9BF05D" w:rsidR="001D04CA" w:rsidRPr="009E3947" w:rsidRDefault="00FB0B2B"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155</w:t>
            </w:r>
          </w:p>
        </w:tc>
        <w:tc>
          <w:tcPr>
            <w:tcW w:w="1276" w:type="dxa"/>
            <w:tcBorders>
              <w:top w:val="nil"/>
              <w:left w:val="nil"/>
              <w:bottom w:val="single" w:sz="4" w:space="0" w:color="auto"/>
              <w:right w:val="single" w:sz="4" w:space="0" w:color="auto"/>
            </w:tcBorders>
            <w:shd w:val="clear" w:color="auto" w:fill="auto"/>
            <w:noWrap/>
            <w:hideMark/>
          </w:tcPr>
          <w:p w14:paraId="291E2C7F" w14:textId="1BCAD6D4"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174</w:t>
            </w:r>
          </w:p>
        </w:tc>
        <w:tc>
          <w:tcPr>
            <w:tcW w:w="3827" w:type="dxa"/>
            <w:tcBorders>
              <w:top w:val="nil"/>
              <w:left w:val="nil"/>
              <w:bottom w:val="single" w:sz="4" w:space="0" w:color="auto"/>
              <w:right w:val="single" w:sz="4" w:space="0" w:color="auto"/>
            </w:tcBorders>
            <w:shd w:val="clear" w:color="auto" w:fill="auto"/>
            <w:hideMark/>
          </w:tcPr>
          <w:p w14:paraId="0CA126E3" w14:textId="635C9C82" w:rsidR="00683388" w:rsidRPr="009E3947" w:rsidRDefault="00683388" w:rsidP="005E22DC">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Previamente comprometidos o previstos:</w:t>
            </w:r>
            <w:r w:rsidRPr="009E3947">
              <w:rPr>
                <w:rFonts w:asciiTheme="minorHAnsi" w:hAnsiTheme="minorHAnsi"/>
                <w:sz w:val="20"/>
                <w:szCs w:val="20"/>
              </w:rPr>
              <w:t xml:space="preserve"> i) 19 000 para la IRR de la Cuenca del Amazonas</w:t>
            </w:r>
          </w:p>
          <w:p w14:paraId="059DD72A" w14:textId="747376CA" w:rsidR="001D04CA" w:rsidRPr="009E3947" w:rsidRDefault="001D04C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No comprometidos o no gastados:</w:t>
            </w:r>
            <w:r w:rsidRPr="009E3947">
              <w:rPr>
                <w:rFonts w:asciiTheme="minorHAnsi" w:hAnsiTheme="minorHAnsi"/>
                <w:sz w:val="20"/>
                <w:szCs w:val="20"/>
              </w:rPr>
              <w:t xml:space="preserve"> 155 000 no asignados de los presupuestos de las IRR de 2023 y 2024.</w:t>
            </w:r>
          </w:p>
        </w:tc>
      </w:tr>
      <w:tr w:rsidR="00A71418" w:rsidRPr="009E3947" w14:paraId="15E4EA00"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9E10044" w14:textId="13CBF475" w:rsidR="00CC0BEF" w:rsidRPr="009E3947" w:rsidRDefault="001D04CA" w:rsidP="003F1836">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Servicios Científicos y Técnicos</w:t>
            </w:r>
          </w:p>
        </w:tc>
        <w:tc>
          <w:tcPr>
            <w:tcW w:w="1276" w:type="dxa"/>
            <w:tcBorders>
              <w:top w:val="nil"/>
              <w:left w:val="nil"/>
              <w:bottom w:val="single" w:sz="4" w:space="0" w:color="auto"/>
              <w:right w:val="single" w:sz="4" w:space="0" w:color="auto"/>
            </w:tcBorders>
            <w:shd w:val="clear" w:color="auto" w:fill="auto"/>
            <w:hideMark/>
          </w:tcPr>
          <w:p w14:paraId="67D3DD3F" w14:textId="53284382"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301</w:t>
            </w:r>
          </w:p>
        </w:tc>
        <w:tc>
          <w:tcPr>
            <w:tcW w:w="1276" w:type="dxa"/>
            <w:tcBorders>
              <w:top w:val="nil"/>
              <w:left w:val="nil"/>
              <w:bottom w:val="single" w:sz="4" w:space="0" w:color="auto"/>
              <w:right w:val="single" w:sz="4" w:space="0" w:color="auto"/>
            </w:tcBorders>
            <w:shd w:val="clear" w:color="auto" w:fill="auto"/>
            <w:hideMark/>
          </w:tcPr>
          <w:p w14:paraId="45DBA658" w14:textId="3D255D1B"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0</w:t>
            </w:r>
          </w:p>
        </w:tc>
        <w:tc>
          <w:tcPr>
            <w:tcW w:w="1276" w:type="dxa"/>
            <w:tcBorders>
              <w:top w:val="nil"/>
              <w:left w:val="nil"/>
              <w:bottom w:val="single" w:sz="4" w:space="0" w:color="auto"/>
              <w:right w:val="single" w:sz="4" w:space="0" w:color="auto"/>
            </w:tcBorders>
            <w:shd w:val="clear" w:color="auto" w:fill="auto"/>
            <w:noWrap/>
            <w:hideMark/>
          </w:tcPr>
          <w:p w14:paraId="16896812" w14:textId="1563BBA3"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301</w:t>
            </w:r>
          </w:p>
        </w:tc>
        <w:tc>
          <w:tcPr>
            <w:tcW w:w="3827" w:type="dxa"/>
            <w:tcBorders>
              <w:top w:val="nil"/>
              <w:left w:val="nil"/>
              <w:bottom w:val="single" w:sz="4" w:space="0" w:color="auto"/>
              <w:right w:val="single" w:sz="4" w:space="0" w:color="auto"/>
            </w:tcBorders>
            <w:shd w:val="clear" w:color="auto" w:fill="auto"/>
            <w:hideMark/>
          </w:tcPr>
          <w:p w14:paraId="306A35CF" w14:textId="557DE68B" w:rsidR="001D04CA" w:rsidRPr="009E3947" w:rsidRDefault="001D04C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Previamente comprometidos o previstos:</w:t>
            </w:r>
            <w:r w:rsidRPr="009E3947">
              <w:rPr>
                <w:rFonts w:asciiTheme="minorHAnsi" w:hAnsiTheme="minorHAnsi"/>
                <w:sz w:val="20"/>
                <w:szCs w:val="20"/>
              </w:rPr>
              <w:t xml:space="preserve"> i) 65 000 para trabajo del GECT, ii) 12 000 para el Quinto Plan Estratégico, iii) 36 000 para la ejecución de inventarios que continúa en 2025, iv) 84 000 para el mantenimiento y desarrollo del Servicio de Información sobre Sitios Ramsar (SISR), v) 62 000 de apoyo técnico para el SISR durante el trienio y vi) 42 000 para prestaciones del personal.</w:t>
            </w:r>
          </w:p>
        </w:tc>
      </w:tr>
      <w:tr w:rsidR="00A71418" w:rsidRPr="009E3947" w14:paraId="4524974F"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2C2A6A4" w14:textId="126DE4C7" w:rsidR="00CC0BEF" w:rsidRPr="009E3947" w:rsidRDefault="001D04CA" w:rsidP="003F1836">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Administración/</w:t>
            </w:r>
            <w:r w:rsidRPr="009E3947">
              <w:rPr>
                <w:rFonts w:asciiTheme="minorHAnsi" w:hAnsiTheme="minorHAnsi"/>
                <w:color w:val="000000"/>
                <w:sz w:val="20"/>
                <w:szCs w:val="20"/>
              </w:rPr>
              <w:br/>
              <w:t>sitio web</w:t>
            </w:r>
          </w:p>
        </w:tc>
        <w:tc>
          <w:tcPr>
            <w:tcW w:w="1276" w:type="dxa"/>
            <w:tcBorders>
              <w:top w:val="nil"/>
              <w:left w:val="nil"/>
              <w:bottom w:val="single" w:sz="4" w:space="0" w:color="auto"/>
              <w:right w:val="single" w:sz="4" w:space="0" w:color="auto"/>
            </w:tcBorders>
            <w:shd w:val="clear" w:color="auto" w:fill="auto"/>
            <w:noWrap/>
            <w:hideMark/>
          </w:tcPr>
          <w:p w14:paraId="307FD6D8" w14:textId="55301874"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145</w:t>
            </w:r>
          </w:p>
        </w:tc>
        <w:tc>
          <w:tcPr>
            <w:tcW w:w="1276" w:type="dxa"/>
            <w:tcBorders>
              <w:top w:val="nil"/>
              <w:left w:val="nil"/>
              <w:bottom w:val="single" w:sz="4" w:space="0" w:color="auto"/>
              <w:right w:val="single" w:sz="4" w:space="0" w:color="auto"/>
            </w:tcBorders>
            <w:shd w:val="clear" w:color="auto" w:fill="auto"/>
            <w:noWrap/>
            <w:hideMark/>
          </w:tcPr>
          <w:p w14:paraId="3361DA49" w14:textId="4366BBEF" w:rsidR="001D04CA" w:rsidRPr="009E3947" w:rsidRDefault="00A475AA"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0</w:t>
            </w:r>
          </w:p>
        </w:tc>
        <w:tc>
          <w:tcPr>
            <w:tcW w:w="1276" w:type="dxa"/>
            <w:tcBorders>
              <w:top w:val="nil"/>
              <w:left w:val="nil"/>
              <w:bottom w:val="single" w:sz="4" w:space="0" w:color="auto"/>
              <w:right w:val="single" w:sz="4" w:space="0" w:color="auto"/>
            </w:tcBorders>
            <w:shd w:val="clear" w:color="auto" w:fill="auto"/>
            <w:noWrap/>
            <w:hideMark/>
          </w:tcPr>
          <w:p w14:paraId="4BFFF6BD" w14:textId="558F06D0"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145</w:t>
            </w:r>
          </w:p>
        </w:tc>
        <w:tc>
          <w:tcPr>
            <w:tcW w:w="3827" w:type="dxa"/>
            <w:tcBorders>
              <w:top w:val="nil"/>
              <w:left w:val="nil"/>
              <w:bottom w:val="single" w:sz="4" w:space="0" w:color="auto"/>
              <w:right w:val="single" w:sz="4" w:space="0" w:color="auto"/>
            </w:tcBorders>
            <w:shd w:val="clear" w:color="auto" w:fill="auto"/>
            <w:hideMark/>
          </w:tcPr>
          <w:p w14:paraId="35A990CB" w14:textId="54D1EDDC" w:rsidR="001D04CA" w:rsidRPr="009E3947" w:rsidRDefault="001D04C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Previamente comprometidos o previstos:</w:t>
            </w:r>
            <w:r w:rsidRPr="009E3947">
              <w:rPr>
                <w:rFonts w:asciiTheme="minorHAnsi" w:hAnsiTheme="minorHAnsi"/>
                <w:sz w:val="20"/>
                <w:szCs w:val="20"/>
              </w:rPr>
              <w:t xml:space="preserve"> i) 75 000 para gastos de contratación y separación del personal, ii) 14 000 para equipo y suministros de oficina, y iii) 56 000 para la continuación de la aplicación del plan de creación de capacidad.</w:t>
            </w:r>
          </w:p>
        </w:tc>
      </w:tr>
      <w:tr w:rsidR="00A71418" w:rsidRPr="009E3947" w14:paraId="1A691B79"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7CD8A31" w14:textId="77777777" w:rsidR="001D04CA" w:rsidRPr="009E3947" w:rsidRDefault="001D04CA" w:rsidP="005E22DC">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Servicios para el Comité Permanente</w:t>
            </w:r>
          </w:p>
        </w:tc>
        <w:tc>
          <w:tcPr>
            <w:tcW w:w="1276" w:type="dxa"/>
            <w:tcBorders>
              <w:top w:val="nil"/>
              <w:left w:val="nil"/>
              <w:bottom w:val="single" w:sz="4" w:space="0" w:color="auto"/>
              <w:right w:val="single" w:sz="4" w:space="0" w:color="auto"/>
            </w:tcBorders>
            <w:shd w:val="clear" w:color="auto" w:fill="auto"/>
            <w:hideMark/>
          </w:tcPr>
          <w:p w14:paraId="133B4123" w14:textId="5930BB24"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26</w:t>
            </w:r>
          </w:p>
        </w:tc>
        <w:tc>
          <w:tcPr>
            <w:tcW w:w="1276" w:type="dxa"/>
            <w:tcBorders>
              <w:top w:val="nil"/>
              <w:left w:val="nil"/>
              <w:bottom w:val="single" w:sz="4" w:space="0" w:color="auto"/>
              <w:right w:val="single" w:sz="4" w:space="0" w:color="auto"/>
            </w:tcBorders>
            <w:shd w:val="clear" w:color="auto" w:fill="auto"/>
            <w:hideMark/>
          </w:tcPr>
          <w:p w14:paraId="633E8C31" w14:textId="4830FC81" w:rsidR="001D04CA" w:rsidRPr="009E3947" w:rsidRDefault="00A475AA"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11</w:t>
            </w:r>
          </w:p>
        </w:tc>
        <w:tc>
          <w:tcPr>
            <w:tcW w:w="1276" w:type="dxa"/>
            <w:tcBorders>
              <w:top w:val="nil"/>
              <w:left w:val="nil"/>
              <w:bottom w:val="single" w:sz="4" w:space="0" w:color="auto"/>
              <w:right w:val="single" w:sz="4" w:space="0" w:color="auto"/>
            </w:tcBorders>
            <w:shd w:val="clear" w:color="auto" w:fill="auto"/>
            <w:noWrap/>
            <w:hideMark/>
          </w:tcPr>
          <w:p w14:paraId="719521A5" w14:textId="12E8D5A1"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37</w:t>
            </w:r>
          </w:p>
        </w:tc>
        <w:tc>
          <w:tcPr>
            <w:tcW w:w="3827" w:type="dxa"/>
            <w:tcBorders>
              <w:top w:val="nil"/>
              <w:left w:val="nil"/>
              <w:bottom w:val="single" w:sz="4" w:space="0" w:color="auto"/>
              <w:right w:val="single" w:sz="4" w:space="0" w:color="auto"/>
            </w:tcBorders>
            <w:shd w:val="clear" w:color="auto" w:fill="auto"/>
            <w:hideMark/>
          </w:tcPr>
          <w:p w14:paraId="55132554" w14:textId="3CED5413" w:rsidR="001D04CA" w:rsidRPr="009E3947" w:rsidRDefault="001D04C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Previamente comprometidos o previstos:</w:t>
            </w:r>
            <w:r w:rsidRPr="009E3947">
              <w:rPr>
                <w:rFonts w:asciiTheme="minorHAnsi" w:hAnsiTheme="minorHAnsi"/>
                <w:sz w:val="20"/>
                <w:szCs w:val="20"/>
              </w:rPr>
              <w:t xml:space="preserve"> 26 000 para el examen de las resoluciones</w:t>
            </w:r>
          </w:p>
          <w:p w14:paraId="01389BB9" w14:textId="4570545B" w:rsidR="0073088A" w:rsidRPr="009E3947" w:rsidRDefault="0073088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No comprometidos o no gastados:</w:t>
            </w:r>
            <w:r w:rsidRPr="009E3947">
              <w:rPr>
                <w:rFonts w:asciiTheme="minorHAnsi" w:hAnsiTheme="minorHAnsi"/>
                <w:sz w:val="20"/>
                <w:szCs w:val="20"/>
              </w:rPr>
              <w:t xml:space="preserve"> i) 4 000 para la labor de aplicación del Grupo de Trabajo sobre la Eficacia y ii) 7 000 para mejorar la eficiencia y la colaboración..</w:t>
            </w:r>
          </w:p>
        </w:tc>
      </w:tr>
      <w:tr w:rsidR="00A71418" w:rsidRPr="009E3947" w14:paraId="35A95687" w14:textId="77777777" w:rsidTr="00CC0BEF">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F8525D0" w14:textId="77777777" w:rsidR="001D04CA" w:rsidRPr="009E3947" w:rsidRDefault="001D04CA" w:rsidP="005E22DC">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Cargos por servicios administrativos de la UICN</w:t>
            </w:r>
          </w:p>
        </w:tc>
        <w:tc>
          <w:tcPr>
            <w:tcW w:w="1276" w:type="dxa"/>
            <w:tcBorders>
              <w:top w:val="single" w:sz="4" w:space="0" w:color="auto"/>
              <w:left w:val="nil"/>
              <w:bottom w:val="single" w:sz="4" w:space="0" w:color="auto"/>
              <w:right w:val="single" w:sz="4" w:space="0" w:color="auto"/>
            </w:tcBorders>
            <w:shd w:val="clear" w:color="auto" w:fill="auto"/>
            <w:hideMark/>
          </w:tcPr>
          <w:p w14:paraId="1208828B" w14:textId="0F90B167"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8</w:t>
            </w:r>
          </w:p>
        </w:tc>
        <w:tc>
          <w:tcPr>
            <w:tcW w:w="1276" w:type="dxa"/>
            <w:tcBorders>
              <w:top w:val="single" w:sz="4" w:space="0" w:color="auto"/>
              <w:left w:val="nil"/>
              <w:bottom w:val="single" w:sz="4" w:space="0" w:color="auto"/>
              <w:right w:val="single" w:sz="4" w:space="0" w:color="auto"/>
            </w:tcBorders>
            <w:shd w:val="clear" w:color="auto" w:fill="auto"/>
            <w:hideMark/>
          </w:tcPr>
          <w:p w14:paraId="6B84CA23" w14:textId="6180E9D9"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hideMark/>
          </w:tcPr>
          <w:p w14:paraId="604B9108" w14:textId="5339C699" w:rsidR="001D04CA" w:rsidRPr="009E3947" w:rsidRDefault="00B46BD3"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8</w:t>
            </w:r>
          </w:p>
        </w:tc>
        <w:tc>
          <w:tcPr>
            <w:tcW w:w="3827" w:type="dxa"/>
            <w:tcBorders>
              <w:top w:val="single" w:sz="4" w:space="0" w:color="auto"/>
              <w:left w:val="nil"/>
              <w:bottom w:val="single" w:sz="4" w:space="0" w:color="auto"/>
              <w:right w:val="single" w:sz="4" w:space="0" w:color="auto"/>
            </w:tcBorders>
            <w:shd w:val="clear" w:color="auto" w:fill="auto"/>
            <w:hideMark/>
          </w:tcPr>
          <w:p w14:paraId="4E07C489" w14:textId="77F0BF0D" w:rsidR="001D04CA" w:rsidRPr="009E3947" w:rsidRDefault="001D04C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 xml:space="preserve">No comprometidos o no gastados: </w:t>
            </w:r>
            <w:r w:rsidRPr="009E3947">
              <w:rPr>
                <w:rFonts w:asciiTheme="minorHAnsi" w:hAnsiTheme="minorHAnsi"/>
                <w:sz w:val="20"/>
                <w:szCs w:val="20"/>
              </w:rPr>
              <w:t>8 000 para cargos por servicios administrativos de la UICN</w:t>
            </w:r>
          </w:p>
        </w:tc>
      </w:tr>
      <w:tr w:rsidR="00A71418" w:rsidRPr="009E3947" w14:paraId="7A90AE28"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hideMark/>
          </w:tcPr>
          <w:p w14:paraId="2623F719" w14:textId="293B5515" w:rsidR="001D04CA" w:rsidRPr="009E3947" w:rsidRDefault="001D04CA" w:rsidP="005E22DC">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lastRenderedPageBreak/>
              <w:t>Servicios jurídicos</w:t>
            </w:r>
          </w:p>
        </w:tc>
        <w:tc>
          <w:tcPr>
            <w:tcW w:w="1276" w:type="dxa"/>
            <w:tcBorders>
              <w:top w:val="nil"/>
              <w:left w:val="nil"/>
              <w:bottom w:val="single" w:sz="4" w:space="0" w:color="auto"/>
              <w:right w:val="single" w:sz="4" w:space="0" w:color="auto"/>
            </w:tcBorders>
            <w:shd w:val="clear" w:color="auto" w:fill="auto"/>
            <w:hideMark/>
          </w:tcPr>
          <w:p w14:paraId="4CCB3187" w14:textId="72830F7B"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52</w:t>
            </w:r>
          </w:p>
        </w:tc>
        <w:tc>
          <w:tcPr>
            <w:tcW w:w="1276" w:type="dxa"/>
            <w:tcBorders>
              <w:top w:val="nil"/>
              <w:left w:val="nil"/>
              <w:bottom w:val="single" w:sz="4" w:space="0" w:color="auto"/>
              <w:right w:val="single" w:sz="4" w:space="0" w:color="auto"/>
            </w:tcBorders>
            <w:shd w:val="clear" w:color="auto" w:fill="auto"/>
            <w:hideMark/>
          </w:tcPr>
          <w:p w14:paraId="2A37F1C5" w14:textId="77777777" w:rsidR="001D04CA" w:rsidRPr="009E3947" w:rsidRDefault="001D04CA"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0</w:t>
            </w:r>
          </w:p>
        </w:tc>
        <w:tc>
          <w:tcPr>
            <w:tcW w:w="1276" w:type="dxa"/>
            <w:tcBorders>
              <w:top w:val="nil"/>
              <w:left w:val="nil"/>
              <w:bottom w:val="single" w:sz="4" w:space="0" w:color="auto"/>
              <w:right w:val="single" w:sz="4" w:space="0" w:color="auto"/>
            </w:tcBorders>
            <w:shd w:val="clear" w:color="auto" w:fill="auto"/>
            <w:noWrap/>
            <w:hideMark/>
          </w:tcPr>
          <w:p w14:paraId="3F42D15B" w14:textId="2577194E" w:rsidR="001D04CA" w:rsidRPr="009E3947" w:rsidRDefault="00683388" w:rsidP="005E22DC">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52</w:t>
            </w:r>
          </w:p>
        </w:tc>
        <w:tc>
          <w:tcPr>
            <w:tcW w:w="3827" w:type="dxa"/>
            <w:tcBorders>
              <w:top w:val="nil"/>
              <w:left w:val="nil"/>
              <w:bottom w:val="single" w:sz="4" w:space="0" w:color="auto"/>
              <w:right w:val="single" w:sz="4" w:space="0" w:color="auto"/>
            </w:tcBorders>
            <w:shd w:val="clear" w:color="auto" w:fill="auto"/>
            <w:hideMark/>
          </w:tcPr>
          <w:p w14:paraId="01667225" w14:textId="523A1338" w:rsidR="001D04CA" w:rsidRPr="009E3947" w:rsidRDefault="001D04CA" w:rsidP="005E22DC">
            <w:pPr>
              <w:ind w:left="0" w:firstLine="0"/>
              <w:rPr>
                <w:rFonts w:asciiTheme="minorHAnsi" w:eastAsia="Times New Roman" w:hAnsiTheme="minorHAnsi" w:cstheme="minorHAnsi"/>
                <w:sz w:val="20"/>
                <w:szCs w:val="20"/>
              </w:rPr>
            </w:pPr>
            <w:r w:rsidRPr="009E3947">
              <w:rPr>
                <w:rFonts w:asciiTheme="minorHAnsi" w:hAnsiTheme="minorHAnsi"/>
                <w:b/>
                <w:bCs/>
                <w:sz w:val="20"/>
                <w:szCs w:val="20"/>
              </w:rPr>
              <w:t xml:space="preserve">Previamente comprometidos o previstos: </w:t>
            </w:r>
            <w:r w:rsidRPr="009E3947">
              <w:rPr>
                <w:rFonts w:asciiTheme="minorHAnsi" w:hAnsiTheme="minorHAnsi"/>
                <w:sz w:val="20"/>
                <w:szCs w:val="20"/>
              </w:rPr>
              <w:t>i)</w:t>
            </w:r>
            <w:r w:rsidRPr="009E3947">
              <w:rPr>
                <w:rFonts w:asciiTheme="minorHAnsi" w:hAnsiTheme="minorHAnsi"/>
                <w:b/>
                <w:bCs/>
                <w:sz w:val="20"/>
                <w:szCs w:val="20"/>
              </w:rPr>
              <w:t xml:space="preserve"> </w:t>
            </w:r>
            <w:r w:rsidRPr="009E3947">
              <w:rPr>
                <w:rFonts w:asciiTheme="minorHAnsi" w:hAnsiTheme="minorHAnsi"/>
                <w:sz w:val="20"/>
                <w:szCs w:val="20"/>
              </w:rPr>
              <w:t>26 000 para gastos jurídicos y ii) 26 000 para provisiones.</w:t>
            </w:r>
          </w:p>
        </w:tc>
      </w:tr>
      <w:tr w:rsidR="00A71418" w:rsidRPr="009E3947" w14:paraId="7DEE5928" w14:textId="77777777" w:rsidTr="00CC0BEF">
        <w:trPr>
          <w:cantSplit/>
        </w:trPr>
        <w:tc>
          <w:tcPr>
            <w:tcW w:w="1696" w:type="dxa"/>
            <w:tcBorders>
              <w:top w:val="nil"/>
              <w:left w:val="single" w:sz="4" w:space="0" w:color="auto"/>
              <w:bottom w:val="single" w:sz="4" w:space="0" w:color="auto"/>
              <w:right w:val="single" w:sz="4" w:space="0" w:color="auto"/>
            </w:tcBorders>
            <w:shd w:val="clear" w:color="000000" w:fill="DBE5F1"/>
            <w:noWrap/>
            <w:hideMark/>
          </w:tcPr>
          <w:p w14:paraId="488CEBCB" w14:textId="479F0156" w:rsidR="001D04CA" w:rsidRPr="009E3947" w:rsidRDefault="001D04CA" w:rsidP="005E22DC">
            <w:pPr>
              <w:ind w:left="0" w:firstLine="0"/>
              <w:rPr>
                <w:rFonts w:asciiTheme="minorHAnsi" w:eastAsia="Times New Roman" w:hAnsiTheme="minorHAnsi" w:cstheme="minorHAnsi"/>
                <w:b/>
                <w:bCs/>
                <w:color w:val="000000"/>
                <w:sz w:val="20"/>
                <w:szCs w:val="20"/>
              </w:rPr>
            </w:pPr>
            <w:r w:rsidRPr="009E3947">
              <w:rPr>
                <w:rFonts w:asciiTheme="minorHAnsi" w:hAnsiTheme="minorHAnsi"/>
                <w:b/>
                <w:bCs/>
                <w:color w:val="000000"/>
                <w:sz w:val="20"/>
                <w:szCs w:val="20"/>
              </w:rPr>
              <w:t>Total, traspaso del presupuesto básico a 2025</w:t>
            </w:r>
          </w:p>
        </w:tc>
        <w:tc>
          <w:tcPr>
            <w:tcW w:w="1276" w:type="dxa"/>
            <w:tcBorders>
              <w:top w:val="single" w:sz="4" w:space="0" w:color="auto"/>
              <w:left w:val="nil"/>
              <w:bottom w:val="single" w:sz="4" w:space="0" w:color="auto"/>
              <w:right w:val="single" w:sz="4" w:space="0" w:color="auto"/>
            </w:tcBorders>
            <w:shd w:val="clear" w:color="000000" w:fill="DBE5F1"/>
            <w:noWrap/>
            <w:hideMark/>
          </w:tcPr>
          <w:p w14:paraId="613EB298" w14:textId="3A030E8B" w:rsidR="001D04CA" w:rsidRPr="009E3947" w:rsidRDefault="00683388" w:rsidP="005E22DC">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899</w:t>
            </w:r>
          </w:p>
        </w:tc>
        <w:tc>
          <w:tcPr>
            <w:tcW w:w="1276" w:type="dxa"/>
            <w:tcBorders>
              <w:top w:val="nil"/>
              <w:left w:val="nil"/>
              <w:bottom w:val="single" w:sz="4" w:space="0" w:color="auto"/>
              <w:right w:val="single" w:sz="4" w:space="0" w:color="auto"/>
            </w:tcBorders>
            <w:shd w:val="clear" w:color="000000" w:fill="DBE5F1"/>
            <w:noWrap/>
            <w:hideMark/>
          </w:tcPr>
          <w:p w14:paraId="3D5667FB" w14:textId="47158A2A" w:rsidR="001D04CA" w:rsidRPr="009E3947" w:rsidRDefault="00683388" w:rsidP="005E22DC">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166</w:t>
            </w:r>
          </w:p>
        </w:tc>
        <w:tc>
          <w:tcPr>
            <w:tcW w:w="1276" w:type="dxa"/>
            <w:tcBorders>
              <w:top w:val="nil"/>
              <w:left w:val="nil"/>
              <w:bottom w:val="single" w:sz="4" w:space="0" w:color="auto"/>
              <w:right w:val="single" w:sz="4" w:space="0" w:color="auto"/>
            </w:tcBorders>
            <w:shd w:val="clear" w:color="000000" w:fill="DBE5F1"/>
            <w:noWrap/>
            <w:hideMark/>
          </w:tcPr>
          <w:p w14:paraId="36DFDE34" w14:textId="6E6E8FF6" w:rsidR="001D04CA" w:rsidRPr="009E3947" w:rsidRDefault="00683388" w:rsidP="005E22DC">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1 065</w:t>
            </w:r>
          </w:p>
        </w:tc>
        <w:tc>
          <w:tcPr>
            <w:tcW w:w="3827" w:type="dxa"/>
            <w:tcBorders>
              <w:top w:val="nil"/>
              <w:left w:val="nil"/>
              <w:bottom w:val="single" w:sz="4" w:space="0" w:color="auto"/>
              <w:right w:val="single" w:sz="4" w:space="0" w:color="auto"/>
            </w:tcBorders>
            <w:shd w:val="clear" w:color="000000" w:fill="DBE5F1"/>
            <w:noWrap/>
            <w:hideMark/>
          </w:tcPr>
          <w:p w14:paraId="455C3872" w14:textId="77777777" w:rsidR="001D04CA" w:rsidRPr="009E3947" w:rsidRDefault="001D04CA" w:rsidP="005E22DC">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 </w:t>
            </w:r>
          </w:p>
        </w:tc>
      </w:tr>
    </w:tbl>
    <w:p w14:paraId="22291C21" w14:textId="77777777" w:rsidR="002A00E9" w:rsidRPr="009E3947" w:rsidRDefault="002A00E9" w:rsidP="001E2109">
      <w:pPr>
        <w:pStyle w:val="NoSpacing"/>
        <w:keepNext/>
        <w:rPr>
          <w:b/>
        </w:rPr>
      </w:pPr>
    </w:p>
    <w:p w14:paraId="08B1C72F" w14:textId="77777777" w:rsidR="00A62090" w:rsidRPr="009E3947" w:rsidRDefault="00A62090" w:rsidP="00A62090">
      <w:pPr>
        <w:pStyle w:val="NoSpacing"/>
        <w:keepNext/>
        <w:ind w:left="0" w:firstLine="0"/>
        <w:rPr>
          <w:b/>
        </w:rPr>
      </w:pPr>
    </w:p>
    <w:p w14:paraId="36A202B6" w14:textId="4A025C2D" w:rsidR="00E32440" w:rsidRPr="009E3947" w:rsidRDefault="00CD1F8C" w:rsidP="00A62090">
      <w:pPr>
        <w:pStyle w:val="NoSpacing"/>
        <w:keepNext/>
        <w:ind w:left="0" w:firstLine="0"/>
        <w:rPr>
          <w:b/>
        </w:rPr>
      </w:pPr>
      <w:r w:rsidRPr="009E3947">
        <w:rPr>
          <w:b/>
        </w:rPr>
        <w:t>Reserva y excedente de 2024</w:t>
      </w:r>
    </w:p>
    <w:p w14:paraId="004ED71D" w14:textId="77777777" w:rsidR="008F4DA8" w:rsidRPr="009E3947" w:rsidRDefault="008F4DA8" w:rsidP="001E2109">
      <w:pPr>
        <w:keepNext/>
      </w:pPr>
    </w:p>
    <w:p w14:paraId="480EE86D" w14:textId="121DABD9" w:rsidR="008F4DA8" w:rsidRPr="009E3947" w:rsidRDefault="006E65C6" w:rsidP="00162710">
      <w:r w:rsidRPr="009E3947">
        <w:t>10.</w:t>
      </w:r>
      <w:r w:rsidR="009E3947" w:rsidRPr="009E3947">
        <w:tab/>
      </w:r>
      <w:r w:rsidR="0096131F" w:rsidRPr="009E3947">
        <w:t>El estado de ingresos y gastos para 2024 que figura en los estados financieros auditados (véase el cuadro II del anexo 1) refleja que el saldo del presupuesto básico al final del año era de 3</w:t>
      </w:r>
      <w:r w:rsidR="009E3947">
        <w:t> </w:t>
      </w:r>
      <w:r w:rsidR="0096131F" w:rsidRPr="009E3947">
        <w:t>501</w:t>
      </w:r>
      <w:r w:rsidR="009E3947">
        <w:t> </w:t>
      </w:r>
      <w:r w:rsidR="0096131F" w:rsidRPr="009E3947">
        <w:t>000 francos suizos. Esto incluye el saldo del presupuesto básico para 2023 (a principios de 2024) de 3 783 000 francos suizos, y el gasto neto en relación con los ingresos de 2024 que sumaron 282 000 francos suizos, según los estados financieros auditados y los resultados del fondo básico en 2024 para el periodo comprendido entre el 1 de enero y el 31 de diciembre de 2024 (véase el anexo 1).</w:t>
      </w:r>
    </w:p>
    <w:p w14:paraId="52FED764" w14:textId="77777777" w:rsidR="00AE5291" w:rsidRPr="009E3947" w:rsidRDefault="00AE5291" w:rsidP="00162710"/>
    <w:p w14:paraId="7EF77B8E" w14:textId="262CA9B7" w:rsidR="00155710" w:rsidRPr="009E3947" w:rsidRDefault="006E65C6" w:rsidP="00162710">
      <w:r w:rsidRPr="009E3947">
        <w:t>11.</w:t>
      </w:r>
      <w:r w:rsidR="009E3947" w:rsidRPr="009E3947">
        <w:tab/>
      </w:r>
      <w:r w:rsidR="00AE5291" w:rsidRPr="009E3947">
        <w:t xml:space="preserve">El saldo del presupuesto básico en 2024 incluye el fondo de reserva de 762 000 francos suizos. Esto corresponde al 15 % del presupuesto básico anual, el nivel máximo aprobado por las Partes Contratantes en la COP14, en el párrafo 32 de la Resolución XIV.1 sobre </w:t>
      </w:r>
      <w:r w:rsidR="00AE5291" w:rsidRPr="009E3947">
        <w:rPr>
          <w:i/>
          <w:iCs/>
        </w:rPr>
        <w:t>Cuestiones financieras y presupuestarias</w:t>
      </w:r>
      <w:r w:rsidR="00D27548" w:rsidRPr="009E3947">
        <w:rPr>
          <w:rStyle w:val="FootnoteReference"/>
        </w:rPr>
        <w:footnoteReference w:id="7"/>
      </w:r>
      <w:r w:rsidR="00AE5291" w:rsidRPr="009E3947">
        <w:t xml:space="preserve">. </w:t>
      </w:r>
    </w:p>
    <w:p w14:paraId="51D0A1BC" w14:textId="77777777" w:rsidR="00155710" w:rsidRPr="009E3947" w:rsidRDefault="00155710" w:rsidP="00162710"/>
    <w:p w14:paraId="36FFC3E0" w14:textId="7731714B" w:rsidR="00D427FC" w:rsidRPr="009E3947" w:rsidRDefault="006E65C6" w:rsidP="00B33A3A">
      <w:r w:rsidRPr="009E3947">
        <w:t>12.</w:t>
      </w:r>
      <w:r w:rsidR="009E3947" w:rsidRPr="009E3947">
        <w:tab/>
      </w:r>
      <w:r w:rsidR="00674A48" w:rsidRPr="009E3947">
        <w:t>El saldo del presupuesto básico también incluye un total de 196 000 francos suizos aprobados por la COP14 procedentes del excedente del presupuesto básico del trienio 2019-2021 (párrafos 15 y 16 de la Resolución XIV.1) que se utilizarán en 2025. Este total incluye 76 000 francos suizos para cubrir la diferencia creada en el presupuesto básico y 120 000 francos suizos para aumentar la provisión para contribuciones pendientes de pago en 2025.</w:t>
      </w:r>
    </w:p>
    <w:p w14:paraId="745A526F" w14:textId="77777777" w:rsidR="008E00BF" w:rsidRPr="009E3947" w:rsidRDefault="008E00BF" w:rsidP="00162710"/>
    <w:p w14:paraId="0D0A2BE4" w14:textId="6E8CCE4D" w:rsidR="00772619" w:rsidRPr="009E3947" w:rsidRDefault="006E65C6" w:rsidP="00463CEC">
      <w:r w:rsidRPr="009E3947">
        <w:t>13.</w:t>
      </w:r>
      <w:r w:rsidR="009E3947" w:rsidRPr="009E3947">
        <w:tab/>
      </w:r>
      <w:r w:rsidR="00964643" w:rsidRPr="009E3947">
        <w:t>Este saldo también incluye un traspaso de 1 065 000 francos suizos, como se detalla en el cuadro 1, que se gastará en 2025 y, por lo tanto, se incluye en el presupuesto básico final de 2025 (véase el anexo 4).</w:t>
      </w:r>
    </w:p>
    <w:p w14:paraId="1003E436" w14:textId="4C5A7FC1" w:rsidR="00AC5BA6" w:rsidRPr="009E3947" w:rsidRDefault="00AC5BA6" w:rsidP="00162710">
      <w:pPr>
        <w:ind w:firstLine="0"/>
      </w:pPr>
    </w:p>
    <w:p w14:paraId="5A427031" w14:textId="0899617B" w:rsidR="002E1AB1" w:rsidRPr="009E3947" w:rsidRDefault="006E65C6" w:rsidP="000456AF">
      <w:r w:rsidRPr="009E3947">
        <w:t xml:space="preserve">14. </w:t>
      </w:r>
      <w:r w:rsidR="009E3947" w:rsidRPr="009E3947">
        <w:tab/>
      </w:r>
      <w:r w:rsidR="00D27548" w:rsidRPr="009E3947">
        <w:t xml:space="preserve">Mediante la Decisión SC64-39 iv), el Comité Permanente aprobó el uso temporal de los fondos de reserva como préstamo para complementar la financiación voluntaria destinada a apoyar la participación de los delegados patrocinados en la COP15 por un importe máximo de 486 000 francos suizos. La situación actualizada </w:t>
      </w:r>
      <w:r w:rsidR="00D27548" w:rsidRPr="00AF366A">
        <w:t>de los fondos voluntarios recibidos para este fin hasta final de marzo de 2025, y el déficit actual de 359 000 francos</w:t>
      </w:r>
      <w:r w:rsidR="00D27548" w:rsidRPr="009E3947">
        <w:t xml:space="preserve"> suizos, se presentan en el párrafo 21. Después de la COP15, la Secretaría presentará al Comité Permanente, en la reunión SC67, un informe sobre los fondos recaudados y el reembolso del préstamo.</w:t>
      </w:r>
    </w:p>
    <w:p w14:paraId="22ADD878" w14:textId="02562D38" w:rsidR="00055C60" w:rsidRPr="009E3947" w:rsidRDefault="00055C60" w:rsidP="00162710">
      <w:pPr>
        <w:ind w:firstLine="0"/>
      </w:pPr>
    </w:p>
    <w:p w14:paraId="41D6E1A4" w14:textId="7349F91A" w:rsidR="006F72F5" w:rsidRPr="009E3947" w:rsidRDefault="000F2B05" w:rsidP="00A260F0">
      <w:r w:rsidRPr="009E3947">
        <w:lastRenderedPageBreak/>
        <w:t>15.</w:t>
      </w:r>
      <w:r w:rsidR="009E3947" w:rsidRPr="009E3947">
        <w:tab/>
      </w:r>
      <w:r w:rsidR="006F72F5" w:rsidRPr="009E3947">
        <w:t xml:space="preserve">El excedente final resultante del presupuesto básico para 2024 que se someterá a la consideración del Comité Permanente para que éste decida su asignación es de 1 119 000 francos suizos. En el cuadro 2 que figura a continuación se resumen los detalles correspondientes. </w:t>
      </w:r>
    </w:p>
    <w:p w14:paraId="2C0AAAFB" w14:textId="304E1C10" w:rsidR="003A790E" w:rsidRPr="009E3947" w:rsidRDefault="003A790E" w:rsidP="00DA6FAA"/>
    <w:p w14:paraId="3DB4F436" w14:textId="122B95E3" w:rsidR="003A790E" w:rsidRPr="009E3947" w:rsidRDefault="003A790E" w:rsidP="00DA6FAA">
      <w:pPr>
        <w:rPr>
          <w:i/>
        </w:rPr>
      </w:pPr>
      <w:r w:rsidRPr="009E3947">
        <w:rPr>
          <w:i/>
        </w:rPr>
        <w:t xml:space="preserve">Cuadro 2: Saldo del presupuesto básico de 2024 por asignar (en miles de francos suizos) </w:t>
      </w:r>
    </w:p>
    <w:tbl>
      <w:tblPr>
        <w:tblW w:w="8926" w:type="dxa"/>
        <w:tblCellMar>
          <w:top w:w="57" w:type="dxa"/>
          <w:bottom w:w="57" w:type="dxa"/>
        </w:tblCellMar>
        <w:tblLook w:val="04A0" w:firstRow="1" w:lastRow="0" w:firstColumn="1" w:lastColumn="0" w:noHBand="0" w:noVBand="1"/>
      </w:tblPr>
      <w:tblGrid>
        <w:gridCol w:w="7366"/>
        <w:gridCol w:w="1560"/>
      </w:tblGrid>
      <w:tr w:rsidR="003A790E" w:rsidRPr="009E3947" w14:paraId="0DFC92D2"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hideMark/>
          </w:tcPr>
          <w:p w14:paraId="6209959B" w14:textId="16ABB1B9" w:rsidR="003A790E" w:rsidRPr="009E3947" w:rsidRDefault="003A790E" w:rsidP="00E02662">
            <w:pPr>
              <w:ind w:left="0" w:firstLine="0"/>
              <w:rPr>
                <w:rFonts w:eastAsia="Times New Roman" w:cs="Calibri"/>
                <w:b/>
                <w:bCs/>
                <w:color w:val="000000"/>
                <w:sz w:val="20"/>
                <w:szCs w:val="20"/>
              </w:rPr>
            </w:pPr>
            <w:r w:rsidRPr="009E3947">
              <w:rPr>
                <w:b/>
                <w:bCs/>
                <w:color w:val="000000"/>
                <w:sz w:val="20"/>
                <w:szCs w:val="20"/>
              </w:rPr>
              <w:t>I) Saldo del presupuesto básico al 31 de diciembre de 2024 según los estados financieros auditados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24BD51EC" w14:textId="7AD86BE9" w:rsidR="003A790E" w:rsidRPr="009E3947" w:rsidRDefault="003A790E" w:rsidP="00E02662">
            <w:pPr>
              <w:ind w:left="0" w:firstLine="0"/>
              <w:jc w:val="right"/>
              <w:rPr>
                <w:rFonts w:eastAsia="Times New Roman" w:cs="Calibri"/>
                <w:b/>
                <w:bCs/>
                <w:color w:val="000000"/>
                <w:sz w:val="20"/>
                <w:szCs w:val="20"/>
              </w:rPr>
            </w:pPr>
            <w:r w:rsidRPr="009E3947">
              <w:rPr>
                <w:b/>
                <w:bCs/>
                <w:color w:val="000000"/>
                <w:sz w:val="20"/>
                <w:szCs w:val="20"/>
              </w:rPr>
              <w:t>3 501</w:t>
            </w:r>
          </w:p>
        </w:tc>
      </w:tr>
      <w:tr w:rsidR="003A790E" w:rsidRPr="009E3947" w14:paraId="78320A6A"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D992BBA" w14:textId="4CD6EA64" w:rsidR="003A790E" w:rsidRPr="009E3947" w:rsidRDefault="003A790E" w:rsidP="00E02662">
            <w:pPr>
              <w:ind w:left="0" w:firstLine="0"/>
              <w:rPr>
                <w:rFonts w:eastAsia="Times New Roman" w:cs="Calibri"/>
                <w:b/>
                <w:bCs/>
                <w:color w:val="000000"/>
                <w:sz w:val="20"/>
                <w:szCs w:val="20"/>
              </w:rPr>
            </w:pPr>
            <w:r w:rsidRPr="009E3947">
              <w:rPr>
                <w:b/>
                <w:bCs/>
                <w:color w:val="000000"/>
                <w:sz w:val="20"/>
                <w:szCs w:val="20"/>
              </w:rPr>
              <w:t>Reserva, aprobada y previamente comprometida:</w:t>
            </w:r>
          </w:p>
        </w:tc>
        <w:tc>
          <w:tcPr>
            <w:tcW w:w="1560" w:type="dxa"/>
            <w:tcBorders>
              <w:top w:val="nil"/>
              <w:left w:val="nil"/>
              <w:bottom w:val="single" w:sz="4" w:space="0" w:color="auto"/>
              <w:right w:val="single" w:sz="4" w:space="0" w:color="auto"/>
            </w:tcBorders>
            <w:shd w:val="clear" w:color="auto" w:fill="auto"/>
            <w:noWrap/>
            <w:hideMark/>
          </w:tcPr>
          <w:p w14:paraId="682F4334" w14:textId="77777777" w:rsidR="003A790E" w:rsidRPr="009E3947" w:rsidRDefault="003A790E" w:rsidP="00E02662">
            <w:pPr>
              <w:ind w:left="0" w:firstLine="0"/>
              <w:jc w:val="right"/>
              <w:rPr>
                <w:rFonts w:eastAsia="Times New Roman" w:cs="Calibri"/>
                <w:color w:val="000000"/>
                <w:sz w:val="20"/>
                <w:szCs w:val="20"/>
              </w:rPr>
            </w:pPr>
            <w:r w:rsidRPr="009E3947">
              <w:rPr>
                <w:color w:val="000000"/>
                <w:sz w:val="20"/>
                <w:szCs w:val="20"/>
              </w:rPr>
              <w:t> </w:t>
            </w:r>
          </w:p>
        </w:tc>
      </w:tr>
      <w:tr w:rsidR="003A790E" w:rsidRPr="009E3947" w14:paraId="016565BD"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32C66D42" w14:textId="77777777" w:rsidR="003A790E" w:rsidRPr="009E3947" w:rsidRDefault="003A790E" w:rsidP="00E02662">
            <w:pPr>
              <w:ind w:left="0" w:firstLine="0"/>
              <w:rPr>
                <w:rFonts w:eastAsia="Times New Roman" w:cs="Calibri"/>
                <w:color w:val="000000"/>
                <w:sz w:val="20"/>
                <w:szCs w:val="20"/>
              </w:rPr>
            </w:pPr>
            <w:r w:rsidRPr="009E3947">
              <w:rPr>
                <w:color w:val="000000"/>
                <w:sz w:val="20"/>
                <w:szCs w:val="20"/>
              </w:rPr>
              <w:t>Fondo de reserva del 15 % (párrafo 33 de la Resolución XIII.2)</w:t>
            </w:r>
          </w:p>
        </w:tc>
        <w:tc>
          <w:tcPr>
            <w:tcW w:w="1560" w:type="dxa"/>
            <w:tcBorders>
              <w:top w:val="nil"/>
              <w:left w:val="nil"/>
              <w:bottom w:val="single" w:sz="4" w:space="0" w:color="auto"/>
              <w:right w:val="single" w:sz="4" w:space="0" w:color="auto"/>
            </w:tcBorders>
            <w:shd w:val="clear" w:color="auto" w:fill="auto"/>
            <w:noWrap/>
            <w:hideMark/>
          </w:tcPr>
          <w:p w14:paraId="015A546C" w14:textId="77777777" w:rsidR="003A790E" w:rsidRPr="009E3947" w:rsidRDefault="003A790E" w:rsidP="00E02662">
            <w:pPr>
              <w:ind w:left="0" w:firstLine="0"/>
              <w:jc w:val="right"/>
              <w:rPr>
                <w:rFonts w:eastAsia="Times New Roman" w:cs="Calibri"/>
                <w:color w:val="000000"/>
                <w:sz w:val="20"/>
                <w:szCs w:val="20"/>
              </w:rPr>
            </w:pPr>
            <w:r w:rsidRPr="009E3947">
              <w:rPr>
                <w:color w:val="000000"/>
                <w:sz w:val="20"/>
                <w:szCs w:val="20"/>
              </w:rPr>
              <w:t>762</w:t>
            </w:r>
          </w:p>
        </w:tc>
      </w:tr>
      <w:tr w:rsidR="003A790E" w:rsidRPr="009E3947" w14:paraId="1C417FAB"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9FCC779" w14:textId="6A4D8232" w:rsidR="003A790E" w:rsidRPr="009E3947" w:rsidRDefault="00C000E9" w:rsidP="00E02662">
            <w:pPr>
              <w:ind w:left="0" w:firstLine="0"/>
              <w:rPr>
                <w:rFonts w:eastAsia="Times New Roman" w:cs="Calibri"/>
                <w:sz w:val="20"/>
                <w:szCs w:val="20"/>
              </w:rPr>
            </w:pPr>
            <w:r w:rsidRPr="009E3947">
              <w:rPr>
                <w:sz w:val="20"/>
                <w:szCs w:val="20"/>
              </w:rPr>
              <w:t>Uso aprobado por la COP14 de los ahorros para 2025 (párrafo 15 de la Resolución XIV.1)</w:t>
            </w:r>
          </w:p>
        </w:tc>
        <w:tc>
          <w:tcPr>
            <w:tcW w:w="1560" w:type="dxa"/>
            <w:tcBorders>
              <w:top w:val="nil"/>
              <w:left w:val="nil"/>
              <w:bottom w:val="single" w:sz="4" w:space="0" w:color="auto"/>
              <w:right w:val="single" w:sz="4" w:space="0" w:color="auto"/>
            </w:tcBorders>
            <w:shd w:val="clear" w:color="auto" w:fill="auto"/>
            <w:noWrap/>
            <w:hideMark/>
          </w:tcPr>
          <w:p w14:paraId="617D3AB1" w14:textId="3A8898AC" w:rsidR="003A790E" w:rsidRPr="009E3947" w:rsidRDefault="006607FA" w:rsidP="00E02662">
            <w:pPr>
              <w:ind w:left="0" w:firstLine="0"/>
              <w:jc w:val="right"/>
              <w:rPr>
                <w:rFonts w:eastAsia="Times New Roman" w:cs="Calibri"/>
                <w:color w:val="000000"/>
                <w:sz w:val="20"/>
                <w:szCs w:val="20"/>
              </w:rPr>
            </w:pPr>
            <w:r w:rsidRPr="009E3947">
              <w:rPr>
                <w:color w:val="000000"/>
                <w:sz w:val="20"/>
                <w:szCs w:val="20"/>
              </w:rPr>
              <w:t>76</w:t>
            </w:r>
          </w:p>
        </w:tc>
      </w:tr>
      <w:tr w:rsidR="00F512A1" w:rsidRPr="009E3947" w14:paraId="60EC095C"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348F1315" w14:textId="3543BFAB" w:rsidR="00F512A1" w:rsidRPr="009E3947" w:rsidRDefault="00C000E9" w:rsidP="00E02662">
            <w:pPr>
              <w:ind w:left="0" w:firstLine="0"/>
              <w:rPr>
                <w:rFonts w:eastAsia="Times New Roman" w:cs="Calibri"/>
                <w:sz w:val="20"/>
                <w:szCs w:val="20"/>
              </w:rPr>
            </w:pPr>
            <w:r w:rsidRPr="009E3947">
              <w:rPr>
                <w:sz w:val="20"/>
                <w:szCs w:val="20"/>
              </w:rPr>
              <w:t>Uso aprobado por la COP14 de los ahorros para 2025 (párrafo 16 de la Resolución XIV.1)</w:t>
            </w:r>
          </w:p>
        </w:tc>
        <w:tc>
          <w:tcPr>
            <w:tcW w:w="1560" w:type="dxa"/>
            <w:tcBorders>
              <w:top w:val="nil"/>
              <w:left w:val="nil"/>
              <w:bottom w:val="single" w:sz="4" w:space="0" w:color="auto"/>
              <w:right w:val="single" w:sz="4" w:space="0" w:color="auto"/>
            </w:tcBorders>
            <w:shd w:val="clear" w:color="auto" w:fill="auto"/>
            <w:noWrap/>
          </w:tcPr>
          <w:p w14:paraId="6FDBDE4C" w14:textId="031CC85C" w:rsidR="00F512A1" w:rsidRPr="009E3947" w:rsidRDefault="006607FA" w:rsidP="00E02662">
            <w:pPr>
              <w:ind w:left="0" w:firstLine="0"/>
              <w:jc w:val="right"/>
              <w:rPr>
                <w:rFonts w:eastAsia="Times New Roman" w:cs="Calibri"/>
                <w:color w:val="000000"/>
                <w:sz w:val="20"/>
                <w:szCs w:val="20"/>
              </w:rPr>
            </w:pPr>
            <w:r w:rsidRPr="009E3947">
              <w:rPr>
                <w:color w:val="000000"/>
                <w:sz w:val="20"/>
                <w:szCs w:val="20"/>
              </w:rPr>
              <w:t>120</w:t>
            </w:r>
          </w:p>
        </w:tc>
      </w:tr>
      <w:tr w:rsidR="003A790E" w:rsidRPr="009E3947" w14:paraId="2477EDF6"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17CB795F" w14:textId="4E050566" w:rsidR="003A790E" w:rsidRPr="009E3947" w:rsidRDefault="00523648" w:rsidP="00E02662">
            <w:pPr>
              <w:ind w:left="0" w:firstLine="0"/>
              <w:rPr>
                <w:rFonts w:eastAsia="Times New Roman" w:cs="Calibri"/>
                <w:color w:val="000000"/>
                <w:sz w:val="20"/>
                <w:szCs w:val="20"/>
              </w:rPr>
            </w:pPr>
            <w:r w:rsidRPr="009E3947">
              <w:rPr>
                <w:color w:val="000000"/>
                <w:sz w:val="20"/>
                <w:szCs w:val="20"/>
              </w:rPr>
              <w:t>Saldos traspasados (cuadro 1)</w:t>
            </w:r>
          </w:p>
        </w:tc>
        <w:tc>
          <w:tcPr>
            <w:tcW w:w="1560" w:type="dxa"/>
            <w:tcBorders>
              <w:top w:val="nil"/>
              <w:left w:val="nil"/>
              <w:bottom w:val="single" w:sz="4" w:space="0" w:color="auto"/>
              <w:right w:val="single" w:sz="4" w:space="0" w:color="auto"/>
            </w:tcBorders>
            <w:shd w:val="clear" w:color="auto" w:fill="auto"/>
            <w:noWrap/>
            <w:hideMark/>
          </w:tcPr>
          <w:p w14:paraId="73FBF877" w14:textId="11135152" w:rsidR="003A790E" w:rsidRPr="009E3947" w:rsidRDefault="00523648" w:rsidP="00E02662">
            <w:pPr>
              <w:ind w:left="0" w:firstLine="0"/>
              <w:jc w:val="right"/>
              <w:rPr>
                <w:rFonts w:eastAsia="Times New Roman" w:cs="Calibri"/>
                <w:color w:val="000000"/>
                <w:sz w:val="20"/>
                <w:szCs w:val="20"/>
              </w:rPr>
            </w:pPr>
            <w:r w:rsidRPr="009E3947">
              <w:rPr>
                <w:color w:val="000000"/>
                <w:sz w:val="20"/>
                <w:szCs w:val="20"/>
              </w:rPr>
              <w:t xml:space="preserve">1 065 </w:t>
            </w:r>
          </w:p>
        </w:tc>
      </w:tr>
      <w:tr w:rsidR="00055C60" w:rsidRPr="009E3947" w14:paraId="426F8C55"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674F12C8" w14:textId="4FE2DA53" w:rsidR="00055C60" w:rsidRPr="009E3947" w:rsidRDefault="00523648" w:rsidP="00E02662">
            <w:pPr>
              <w:ind w:left="0" w:firstLine="0"/>
              <w:rPr>
                <w:rFonts w:eastAsia="Times New Roman" w:cs="Calibri"/>
                <w:color w:val="000000"/>
                <w:sz w:val="20"/>
                <w:szCs w:val="20"/>
              </w:rPr>
            </w:pPr>
            <w:r w:rsidRPr="009E3947">
              <w:rPr>
                <w:color w:val="000000"/>
                <w:sz w:val="20"/>
                <w:szCs w:val="20"/>
              </w:rPr>
              <w:t>Importe comprometido para el uso temporal de los fondos de reserva como préstamo para complementar la financiación voluntaria del apoyo a los delegados de la COP15</w:t>
            </w:r>
          </w:p>
        </w:tc>
        <w:tc>
          <w:tcPr>
            <w:tcW w:w="1560" w:type="dxa"/>
            <w:tcBorders>
              <w:top w:val="nil"/>
              <w:left w:val="nil"/>
              <w:bottom w:val="single" w:sz="4" w:space="0" w:color="auto"/>
              <w:right w:val="single" w:sz="4" w:space="0" w:color="auto"/>
            </w:tcBorders>
            <w:shd w:val="clear" w:color="auto" w:fill="auto"/>
            <w:noWrap/>
          </w:tcPr>
          <w:p w14:paraId="5F906B41" w14:textId="60BFB751" w:rsidR="00055C60" w:rsidRPr="009E3947" w:rsidRDefault="003035C4" w:rsidP="00E02662">
            <w:pPr>
              <w:ind w:left="0" w:firstLine="0"/>
              <w:jc w:val="right"/>
              <w:rPr>
                <w:rFonts w:eastAsia="Times New Roman" w:cs="Calibri"/>
                <w:color w:val="000000"/>
                <w:sz w:val="20"/>
                <w:szCs w:val="20"/>
              </w:rPr>
            </w:pPr>
            <w:r w:rsidRPr="009E3947">
              <w:rPr>
                <w:color w:val="000000"/>
                <w:sz w:val="20"/>
                <w:szCs w:val="20"/>
              </w:rPr>
              <w:t>359</w:t>
            </w:r>
          </w:p>
        </w:tc>
      </w:tr>
      <w:tr w:rsidR="003A790E" w:rsidRPr="009E3947" w14:paraId="697C2EFA" w14:textId="77777777" w:rsidTr="00991931">
        <w:tc>
          <w:tcPr>
            <w:tcW w:w="7366" w:type="dxa"/>
            <w:tcBorders>
              <w:top w:val="nil"/>
              <w:left w:val="single" w:sz="4" w:space="0" w:color="auto"/>
              <w:bottom w:val="single" w:sz="4" w:space="0" w:color="auto"/>
              <w:right w:val="single" w:sz="4" w:space="0" w:color="auto"/>
            </w:tcBorders>
            <w:shd w:val="clear" w:color="auto" w:fill="DBE5F1" w:themeFill="accent1" w:themeFillTint="33"/>
            <w:hideMark/>
          </w:tcPr>
          <w:p w14:paraId="2923534F" w14:textId="66FAA004" w:rsidR="003A790E" w:rsidRPr="009E3947" w:rsidRDefault="003A790E" w:rsidP="00E02662">
            <w:pPr>
              <w:ind w:left="0" w:firstLine="0"/>
              <w:rPr>
                <w:rFonts w:eastAsia="Times New Roman" w:cs="Calibri"/>
                <w:b/>
                <w:bCs/>
                <w:color w:val="000000"/>
                <w:sz w:val="20"/>
                <w:szCs w:val="20"/>
              </w:rPr>
            </w:pPr>
            <w:r w:rsidRPr="009E3947">
              <w:rPr>
                <w:b/>
                <w:bCs/>
                <w:color w:val="000000"/>
                <w:sz w:val="20"/>
                <w:szCs w:val="20"/>
              </w:rPr>
              <w:t>II) Reserva total, aprobada y previamente comprometida</w:t>
            </w:r>
          </w:p>
        </w:tc>
        <w:tc>
          <w:tcPr>
            <w:tcW w:w="1560" w:type="dxa"/>
            <w:tcBorders>
              <w:top w:val="nil"/>
              <w:left w:val="nil"/>
              <w:bottom w:val="single" w:sz="4" w:space="0" w:color="auto"/>
              <w:right w:val="single" w:sz="4" w:space="0" w:color="auto"/>
            </w:tcBorders>
            <w:shd w:val="clear" w:color="auto" w:fill="DBE5F1" w:themeFill="accent1" w:themeFillTint="33"/>
            <w:noWrap/>
            <w:hideMark/>
          </w:tcPr>
          <w:p w14:paraId="4B3FCBD9" w14:textId="34D28A74" w:rsidR="003A790E" w:rsidRPr="009E3947" w:rsidRDefault="00523648" w:rsidP="00E02662">
            <w:pPr>
              <w:ind w:left="0" w:firstLine="0"/>
              <w:jc w:val="right"/>
              <w:rPr>
                <w:rFonts w:eastAsia="Times New Roman" w:cs="Calibri"/>
                <w:b/>
                <w:bCs/>
                <w:color w:val="000000"/>
                <w:sz w:val="20"/>
                <w:szCs w:val="20"/>
              </w:rPr>
            </w:pPr>
            <w:r w:rsidRPr="009E3947">
              <w:rPr>
                <w:b/>
                <w:bCs/>
                <w:color w:val="000000"/>
                <w:sz w:val="20"/>
                <w:szCs w:val="20"/>
              </w:rPr>
              <w:t>2 382</w:t>
            </w:r>
          </w:p>
        </w:tc>
      </w:tr>
      <w:tr w:rsidR="003A790E" w:rsidRPr="009E3947" w14:paraId="5B688ECC" w14:textId="77777777" w:rsidTr="00991931">
        <w:tc>
          <w:tcPr>
            <w:tcW w:w="7366" w:type="dxa"/>
            <w:tcBorders>
              <w:top w:val="nil"/>
              <w:left w:val="single" w:sz="4" w:space="0" w:color="auto"/>
              <w:bottom w:val="single" w:sz="4" w:space="0" w:color="auto"/>
              <w:right w:val="single" w:sz="4" w:space="0" w:color="auto"/>
            </w:tcBorders>
            <w:shd w:val="clear" w:color="auto" w:fill="B8CCE4" w:themeFill="accent1" w:themeFillTint="66"/>
            <w:hideMark/>
          </w:tcPr>
          <w:p w14:paraId="5C232348" w14:textId="42BACC9B" w:rsidR="003A790E" w:rsidRPr="009E3947" w:rsidRDefault="003A790E" w:rsidP="00E02662">
            <w:pPr>
              <w:ind w:left="0" w:firstLine="0"/>
              <w:rPr>
                <w:rFonts w:eastAsia="Times New Roman" w:cs="Calibri"/>
                <w:b/>
                <w:bCs/>
                <w:color w:val="000000"/>
                <w:sz w:val="20"/>
                <w:szCs w:val="20"/>
              </w:rPr>
            </w:pPr>
            <w:r w:rsidRPr="009E3947">
              <w:rPr>
                <w:b/>
                <w:bCs/>
                <w:color w:val="000000"/>
                <w:sz w:val="20"/>
                <w:szCs w:val="20"/>
              </w:rPr>
              <w:t>(III= I-II) Excedente del presupuesto básico de 2024 después de la reserva, aprobada y previamente comprometida, por asignar</w:t>
            </w:r>
          </w:p>
        </w:tc>
        <w:tc>
          <w:tcPr>
            <w:tcW w:w="1560" w:type="dxa"/>
            <w:tcBorders>
              <w:top w:val="nil"/>
              <w:left w:val="nil"/>
              <w:bottom w:val="single" w:sz="4" w:space="0" w:color="auto"/>
              <w:right w:val="single" w:sz="4" w:space="0" w:color="auto"/>
            </w:tcBorders>
            <w:shd w:val="clear" w:color="auto" w:fill="B8CCE4" w:themeFill="accent1" w:themeFillTint="66"/>
            <w:noWrap/>
            <w:hideMark/>
          </w:tcPr>
          <w:p w14:paraId="4B0D61AA" w14:textId="2F45AE08" w:rsidR="003A790E" w:rsidRPr="009E3947" w:rsidRDefault="003035C4" w:rsidP="00E02662">
            <w:pPr>
              <w:ind w:left="0" w:firstLine="0"/>
              <w:jc w:val="right"/>
              <w:rPr>
                <w:rFonts w:eastAsia="Times New Roman" w:cs="Calibri"/>
                <w:b/>
                <w:bCs/>
                <w:color w:val="000000"/>
                <w:sz w:val="20"/>
                <w:szCs w:val="20"/>
              </w:rPr>
            </w:pPr>
            <w:r w:rsidRPr="009E3947">
              <w:rPr>
                <w:b/>
                <w:bCs/>
                <w:color w:val="000000"/>
                <w:sz w:val="20"/>
                <w:szCs w:val="20"/>
              </w:rPr>
              <w:t xml:space="preserve">1 119 </w:t>
            </w:r>
          </w:p>
        </w:tc>
      </w:tr>
    </w:tbl>
    <w:p w14:paraId="646C8A1A" w14:textId="77777777" w:rsidR="00BD1F4F" w:rsidRPr="009E3947" w:rsidRDefault="00BD1F4F" w:rsidP="00DA6FAA"/>
    <w:p w14:paraId="780598EE" w14:textId="77777777" w:rsidR="00BF4099" w:rsidRPr="009E3947" w:rsidRDefault="00BF4099" w:rsidP="00DA6FAA"/>
    <w:p w14:paraId="6B9B223F" w14:textId="5B58A23D" w:rsidR="000731E7" w:rsidRPr="009E3947" w:rsidRDefault="008B5424" w:rsidP="00BD1F4F">
      <w:r w:rsidRPr="009E3947">
        <w:t>16.</w:t>
      </w:r>
      <w:r w:rsidR="009E3947" w:rsidRPr="009E3947">
        <w:tab/>
      </w:r>
      <w:r w:rsidR="00BD1F4F" w:rsidRPr="009E3947">
        <w:t>El excedente resulta de los fondos acumulados no utilizados traspasados de 2020 a final de 2024. Ello se debió a un nivel inferior de ejecución de las actividades presupuestadas durante la pandemia de COVID-19, en particular las que implicaban viajes (por ejemplo, reuniones de los órganos rectores y subsidiarios y viajes de la Secretaría), así como a los puestos vacantes como resultado de los retrasos en la contratación de personal.</w:t>
      </w:r>
    </w:p>
    <w:p w14:paraId="295B3E84" w14:textId="77777777" w:rsidR="000731E7" w:rsidRPr="009E3947" w:rsidRDefault="000731E7" w:rsidP="00DA6FAA"/>
    <w:p w14:paraId="397DCAA4" w14:textId="3FC65D71" w:rsidR="003B3B7D" w:rsidRPr="009E3947" w:rsidRDefault="008B5424" w:rsidP="00630461">
      <w:r w:rsidRPr="009E3947">
        <w:t>17.</w:t>
      </w:r>
      <w:r w:rsidR="009E3947" w:rsidRPr="009E3947">
        <w:tab/>
      </w:r>
      <w:r w:rsidR="00451CDB" w:rsidRPr="009E3947">
        <w:t>El Subgrupo de Finanzas compartió sus consideraciones iniciales sobre la asignación de los fondos excedentes en el documento SC64 Com.2, párrafo 5:</w:t>
      </w:r>
    </w:p>
    <w:p w14:paraId="16D95BEE" w14:textId="77777777" w:rsidR="003B3B7D" w:rsidRPr="009E3947" w:rsidRDefault="003B3B7D" w:rsidP="00630461"/>
    <w:p w14:paraId="0F783FDF" w14:textId="2B4A6C3E" w:rsidR="00523648" w:rsidRPr="009E3947" w:rsidRDefault="009E3947" w:rsidP="00523648">
      <w:pPr>
        <w:ind w:left="851" w:firstLine="0"/>
        <w:rPr>
          <w:i/>
          <w:iCs/>
        </w:rPr>
      </w:pPr>
      <w:r>
        <w:rPr>
          <w:i/>
          <w:iCs/>
        </w:rPr>
        <w:t>“</w:t>
      </w:r>
      <w:r w:rsidR="00630461" w:rsidRPr="009E3947">
        <w:rPr>
          <w:i/>
          <w:iCs/>
        </w:rPr>
        <w:t>El Subgrupo analizó una evaluación preliminar de las carencias de financiación para tenerlas en cuenta en el futuro para la asignación de excedentes, en espera de las decisiones de la COP15 sobre los escenarios presupuestarios y los proyectos de resolución.</w:t>
      </w:r>
    </w:p>
    <w:p w14:paraId="13370AA2" w14:textId="77777777" w:rsidR="00523648" w:rsidRPr="009E3947" w:rsidRDefault="00523648" w:rsidP="00523648">
      <w:pPr>
        <w:ind w:left="851" w:firstLine="0"/>
        <w:rPr>
          <w:i/>
          <w:iCs/>
        </w:rPr>
      </w:pPr>
    </w:p>
    <w:p w14:paraId="419F9A4E" w14:textId="3B476862" w:rsidR="00523648" w:rsidRPr="009E3947" w:rsidRDefault="009E3947" w:rsidP="00523648">
      <w:pPr>
        <w:ind w:left="851" w:firstLine="0"/>
        <w:rPr>
          <w:i/>
          <w:iCs/>
        </w:rPr>
      </w:pPr>
      <w:r>
        <w:rPr>
          <w:i/>
          <w:iCs/>
        </w:rPr>
        <w:t>“</w:t>
      </w:r>
      <w:r w:rsidR="00BF4099" w:rsidRPr="009E3947">
        <w:rPr>
          <w:i/>
          <w:iCs/>
        </w:rPr>
        <w:t>La siguiente lista no se presenta en orden de prioridad y no es exhaustiva:</w:t>
      </w:r>
    </w:p>
    <w:p w14:paraId="29D3C3E1" w14:textId="4A8898F2" w:rsidR="00523648" w:rsidRPr="009E3947" w:rsidRDefault="00523648" w:rsidP="00523648">
      <w:pPr>
        <w:ind w:left="851" w:firstLine="0"/>
        <w:rPr>
          <w:i/>
          <w:iCs/>
        </w:rPr>
      </w:pPr>
      <w:r w:rsidRPr="009E3947">
        <w:rPr>
          <w:i/>
          <w:iCs/>
        </w:rPr>
        <w:t>-</w:t>
      </w:r>
      <w:r w:rsidR="009E3947" w:rsidRPr="009E3947">
        <w:rPr>
          <w:i/>
          <w:iCs/>
        </w:rPr>
        <w:tab/>
      </w:r>
      <w:r w:rsidRPr="009E3947">
        <w:rPr>
          <w:i/>
          <w:iCs/>
        </w:rPr>
        <w:t>WEP Doc. 18, Anexo 5</w:t>
      </w:r>
    </w:p>
    <w:p w14:paraId="3C0E6176" w14:textId="0D254F03" w:rsidR="00523648" w:rsidRPr="009E3947" w:rsidRDefault="00523648" w:rsidP="00523648">
      <w:pPr>
        <w:ind w:left="851" w:firstLine="0"/>
        <w:rPr>
          <w:i/>
          <w:iCs/>
        </w:rPr>
      </w:pPr>
      <w:r w:rsidRPr="009E3947">
        <w:rPr>
          <w:i/>
          <w:iCs/>
        </w:rPr>
        <w:t>-</w:t>
      </w:r>
      <w:r w:rsidR="009E3947" w:rsidRPr="009E3947">
        <w:rPr>
          <w:i/>
          <w:iCs/>
        </w:rPr>
        <w:tab/>
      </w:r>
      <w:r w:rsidRPr="009E3947">
        <w:rPr>
          <w:i/>
          <w:iCs/>
        </w:rPr>
        <w:t>Contribuciones pendientes de 2026-2028</w:t>
      </w:r>
    </w:p>
    <w:p w14:paraId="0EBDB3BA" w14:textId="307EE91C" w:rsidR="00523648" w:rsidRPr="009E3947" w:rsidRDefault="00523648" w:rsidP="00523648">
      <w:pPr>
        <w:ind w:left="851" w:firstLine="0"/>
        <w:rPr>
          <w:i/>
          <w:iCs/>
        </w:rPr>
      </w:pPr>
      <w:r w:rsidRPr="009E3947">
        <w:rPr>
          <w:i/>
          <w:iCs/>
        </w:rPr>
        <w:t>-</w:t>
      </w:r>
      <w:r w:rsidR="009E3947" w:rsidRPr="009E3947">
        <w:rPr>
          <w:i/>
          <w:iCs/>
        </w:rPr>
        <w:tab/>
      </w:r>
      <w:r w:rsidRPr="009E3947">
        <w:rPr>
          <w:i/>
          <w:iCs/>
        </w:rPr>
        <w:t>Escenario 0 % (si se aprueba el escenario 0 % adicional para cubrir la carencia)</w:t>
      </w:r>
    </w:p>
    <w:p w14:paraId="1EA4A177" w14:textId="1174B703" w:rsidR="00523648" w:rsidRPr="009E3947" w:rsidRDefault="00523648" w:rsidP="00523648">
      <w:pPr>
        <w:ind w:left="851" w:firstLine="0"/>
        <w:rPr>
          <w:i/>
          <w:iCs/>
        </w:rPr>
      </w:pPr>
      <w:r w:rsidRPr="009E3947">
        <w:rPr>
          <w:i/>
          <w:iCs/>
        </w:rPr>
        <w:t>-</w:t>
      </w:r>
      <w:r w:rsidR="009E3947" w:rsidRPr="009E3947">
        <w:rPr>
          <w:i/>
          <w:iCs/>
        </w:rPr>
        <w:tab/>
      </w:r>
      <w:r w:rsidRPr="009E3947">
        <w:rPr>
          <w:i/>
          <w:iCs/>
        </w:rPr>
        <w:t>Observación de la Tierra</w:t>
      </w:r>
    </w:p>
    <w:p w14:paraId="2CD3233B" w14:textId="4ADECE43" w:rsidR="00523648" w:rsidRPr="009E3947" w:rsidRDefault="00523648" w:rsidP="00523648">
      <w:pPr>
        <w:ind w:left="851" w:firstLine="0"/>
        <w:rPr>
          <w:i/>
          <w:iCs/>
        </w:rPr>
      </w:pPr>
      <w:r w:rsidRPr="009E3947">
        <w:rPr>
          <w:i/>
          <w:iCs/>
        </w:rPr>
        <w:t>-</w:t>
      </w:r>
      <w:r w:rsidR="009E3947" w:rsidRPr="009E3947">
        <w:rPr>
          <w:i/>
          <w:iCs/>
        </w:rPr>
        <w:tab/>
      </w:r>
      <w:r w:rsidRPr="009E3947">
        <w:rPr>
          <w:i/>
          <w:iCs/>
        </w:rPr>
        <w:t>Costos de la COP16 en 2028 (si no se aprueba el escenario 11,3 %)</w:t>
      </w:r>
    </w:p>
    <w:p w14:paraId="309EAF60" w14:textId="77777777" w:rsidR="00523648" w:rsidRPr="009E3947" w:rsidRDefault="00523648" w:rsidP="00523648">
      <w:pPr>
        <w:ind w:left="851" w:firstLine="0"/>
        <w:rPr>
          <w:i/>
          <w:iCs/>
        </w:rPr>
      </w:pPr>
    </w:p>
    <w:p w14:paraId="3A3A2FE4" w14:textId="358DCC44" w:rsidR="0049688C" w:rsidRPr="009E3947" w:rsidRDefault="009E3947" w:rsidP="00523648">
      <w:pPr>
        <w:ind w:left="851" w:firstLine="0"/>
        <w:rPr>
          <w:i/>
          <w:iCs/>
        </w:rPr>
      </w:pPr>
      <w:r>
        <w:rPr>
          <w:i/>
          <w:iCs/>
        </w:rPr>
        <w:t>“</w:t>
      </w:r>
      <w:r w:rsidR="00BF4099" w:rsidRPr="009E3947">
        <w:rPr>
          <w:i/>
          <w:iCs/>
        </w:rPr>
        <w:t>El Subgrupo estudiará las medidas y decisiones adicionales en la reunión del Subgrupo de Finanzas antes de la reunión SC65</w:t>
      </w:r>
      <w:r>
        <w:rPr>
          <w:i/>
          <w:iCs/>
        </w:rPr>
        <w:t>”</w:t>
      </w:r>
      <w:r w:rsidR="00BF4099" w:rsidRPr="009E3947">
        <w:rPr>
          <w:i/>
          <w:iCs/>
        </w:rPr>
        <w:t>.</w:t>
      </w:r>
    </w:p>
    <w:p w14:paraId="2CEE8121" w14:textId="77777777" w:rsidR="00D47BE4" w:rsidRPr="009E3947" w:rsidRDefault="00D47BE4" w:rsidP="00D47BE4"/>
    <w:p w14:paraId="31FDA2D0" w14:textId="5BCBC987" w:rsidR="00FF0082" w:rsidRPr="009E3947" w:rsidRDefault="0047330E" w:rsidP="00162710">
      <w:pPr>
        <w:pStyle w:val="NoSpacing"/>
        <w:keepNext/>
        <w:rPr>
          <w:b/>
        </w:rPr>
      </w:pPr>
      <w:r w:rsidRPr="009E3947">
        <w:rPr>
          <w:b/>
        </w:rPr>
        <w:lastRenderedPageBreak/>
        <w:t xml:space="preserve">Resultados de 2024: situación de los fondos del presupuesto no básico y contribuciones voluntarias </w:t>
      </w:r>
    </w:p>
    <w:p w14:paraId="6A5BD270" w14:textId="77777777" w:rsidR="00C73471" w:rsidRPr="009E3947" w:rsidRDefault="00C73471" w:rsidP="00162710">
      <w:pPr>
        <w:pStyle w:val="NoSpacing"/>
        <w:keepNext/>
        <w:rPr>
          <w:b/>
        </w:rPr>
      </w:pPr>
    </w:p>
    <w:p w14:paraId="3AFB4F79" w14:textId="51A9C3BA" w:rsidR="002A1D70" w:rsidRPr="009E3947" w:rsidRDefault="008B5424" w:rsidP="00464D2B">
      <w:r w:rsidRPr="009E3947">
        <w:t>18.</w:t>
      </w:r>
      <w:r w:rsidR="009E3947" w:rsidRPr="009E3947">
        <w:tab/>
      </w:r>
      <w:bookmarkStart w:id="0" w:name="_Hlk179815351"/>
      <w:r w:rsidR="00440E7F" w:rsidRPr="009E3947">
        <w:t>Mediante la Decisión SC64-39 ii), el Comité Permanente, durante la reunión de enero de 2025, tomó nota de las estimaciones provisionales sobre la situación de los fondos complementarios y las contribuciones voluntarias para 2024.</w:t>
      </w:r>
      <w:bookmarkEnd w:id="0"/>
    </w:p>
    <w:p w14:paraId="572970A9" w14:textId="77777777" w:rsidR="00112F62" w:rsidRPr="009E3947" w:rsidRDefault="00112F62" w:rsidP="00162710"/>
    <w:p w14:paraId="5624A1E8" w14:textId="345AB02C" w:rsidR="00066E98" w:rsidRPr="009E3947" w:rsidRDefault="00140C1B" w:rsidP="003B5828">
      <w:r w:rsidRPr="009E3947">
        <w:t>19.</w:t>
      </w:r>
      <w:r w:rsidR="009E3947" w:rsidRPr="009E3947">
        <w:tab/>
      </w:r>
      <w:r w:rsidR="0075376A" w:rsidRPr="009E3947">
        <w:t xml:space="preserve">Las contribuciones voluntarias recibidas hasta el 31 de diciembre de 2024 figuran en el cuadro 3. De acuerdo con las instrucciones del Comité Permanente en virtud de la Decisión SC53-32, el cuadro ofrece un panorama general de las contribuciones recibidas y su uso específico. </w:t>
      </w:r>
    </w:p>
    <w:p w14:paraId="39E697F4" w14:textId="77777777" w:rsidR="00DE67E9" w:rsidRPr="009E3947" w:rsidRDefault="00DE67E9" w:rsidP="009D2CC9">
      <w:pPr>
        <w:pStyle w:val="NoSpacing"/>
        <w:keepNext/>
        <w:ind w:left="0" w:firstLine="0"/>
        <w:rPr>
          <w:rFonts w:eastAsia="Times New Roman" w:cs="Calibri"/>
          <w:i/>
          <w:iCs/>
          <w:lang w:eastAsia="en-GB"/>
        </w:rPr>
      </w:pPr>
    </w:p>
    <w:p w14:paraId="5E6034B2" w14:textId="05A66012" w:rsidR="00DA6FAA" w:rsidRPr="009E3947" w:rsidRDefault="00DA6FAA" w:rsidP="009D2CC9">
      <w:pPr>
        <w:pStyle w:val="NoSpacing"/>
        <w:keepNext/>
        <w:ind w:left="0" w:firstLine="0"/>
        <w:rPr>
          <w:rFonts w:eastAsia="Times New Roman" w:cs="Calibri"/>
          <w:i/>
          <w:iCs/>
        </w:rPr>
      </w:pPr>
      <w:r w:rsidRPr="009E3947">
        <w:rPr>
          <w:i/>
          <w:iCs/>
        </w:rPr>
        <w:t xml:space="preserve">Cuadro 3: </w:t>
      </w:r>
      <w:r w:rsidRPr="009E3947">
        <w:rPr>
          <w:i/>
        </w:rPr>
        <w:t>Ingresos para proyectos por contribuciones voluntarias complementarias recibidas en 2024 (en miles de francos suizos con posibles diferencias de redondeo)</w:t>
      </w:r>
      <w:bookmarkStart w:id="1" w:name="_Hlk103076865"/>
    </w:p>
    <w:tbl>
      <w:tblPr>
        <w:tblW w:w="9062" w:type="dxa"/>
        <w:tblCellMar>
          <w:top w:w="57" w:type="dxa"/>
          <w:left w:w="57" w:type="dxa"/>
          <w:bottom w:w="57" w:type="dxa"/>
          <w:right w:w="57" w:type="dxa"/>
        </w:tblCellMar>
        <w:tblLook w:val="04A0" w:firstRow="1" w:lastRow="0" w:firstColumn="1" w:lastColumn="0" w:noHBand="0" w:noVBand="1"/>
      </w:tblPr>
      <w:tblGrid>
        <w:gridCol w:w="2967"/>
        <w:gridCol w:w="1985"/>
        <w:gridCol w:w="4110"/>
      </w:tblGrid>
      <w:tr w:rsidR="00463365" w:rsidRPr="009E3947" w14:paraId="445E6504" w14:textId="77777777" w:rsidTr="00140C1B">
        <w:trPr>
          <w:cantSplit/>
          <w:trHeight w:val="269"/>
          <w:tblHeader/>
        </w:trPr>
        <w:tc>
          <w:tcPr>
            <w:tcW w:w="296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F9E29ED" w14:textId="7484C99D" w:rsidR="00463365" w:rsidRPr="009E3947" w:rsidRDefault="00463365" w:rsidP="00463365">
            <w:pPr>
              <w:ind w:left="0" w:firstLine="0"/>
              <w:jc w:val="center"/>
              <w:rPr>
                <w:rFonts w:asciiTheme="minorHAnsi" w:eastAsia="Times New Roman" w:hAnsiTheme="minorHAnsi" w:cstheme="minorHAnsi"/>
                <w:b/>
                <w:bCs/>
                <w:color w:val="000000"/>
                <w:sz w:val="20"/>
                <w:szCs w:val="20"/>
              </w:rPr>
            </w:pPr>
            <w:r w:rsidRPr="009E3947">
              <w:rPr>
                <w:rFonts w:asciiTheme="minorHAnsi" w:hAnsiTheme="minorHAnsi"/>
                <w:b/>
                <w:bCs/>
                <w:color w:val="000000"/>
                <w:sz w:val="20"/>
                <w:szCs w:val="20"/>
              </w:rPr>
              <w:t>Nombre del donante</w:t>
            </w:r>
          </w:p>
        </w:tc>
        <w:tc>
          <w:tcPr>
            <w:tcW w:w="1985"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1BB239E" w14:textId="131F3ADE" w:rsidR="00463365" w:rsidRPr="009E3947" w:rsidRDefault="00463365" w:rsidP="00463365">
            <w:pPr>
              <w:ind w:left="0" w:right="89" w:firstLine="0"/>
              <w:jc w:val="center"/>
              <w:rPr>
                <w:rFonts w:asciiTheme="minorHAnsi" w:eastAsia="Times New Roman" w:hAnsiTheme="minorHAnsi" w:cstheme="minorHAnsi"/>
                <w:b/>
                <w:bCs/>
                <w:color w:val="000000"/>
                <w:sz w:val="20"/>
                <w:szCs w:val="20"/>
              </w:rPr>
            </w:pPr>
            <w:r w:rsidRPr="009E3947">
              <w:rPr>
                <w:rFonts w:asciiTheme="minorHAnsi" w:hAnsiTheme="minorHAnsi"/>
                <w:b/>
                <w:bCs/>
                <w:color w:val="000000"/>
                <w:sz w:val="20"/>
                <w:szCs w:val="20"/>
              </w:rPr>
              <w:t>Importe de los ingresos</w:t>
            </w:r>
          </w:p>
        </w:tc>
        <w:tc>
          <w:tcPr>
            <w:tcW w:w="4110"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35238EB" w14:textId="5F50CECD" w:rsidR="00463365" w:rsidRPr="009E3947" w:rsidRDefault="00463365" w:rsidP="00463365">
            <w:pPr>
              <w:ind w:left="0" w:firstLine="0"/>
              <w:jc w:val="center"/>
              <w:rPr>
                <w:rFonts w:asciiTheme="minorHAnsi" w:eastAsia="Times New Roman" w:hAnsiTheme="minorHAnsi" w:cstheme="minorHAnsi"/>
                <w:b/>
                <w:bCs/>
                <w:color w:val="000000"/>
                <w:sz w:val="20"/>
                <w:szCs w:val="20"/>
              </w:rPr>
            </w:pPr>
            <w:r w:rsidRPr="009E3947">
              <w:rPr>
                <w:rFonts w:asciiTheme="minorHAnsi" w:hAnsiTheme="minorHAnsi"/>
                <w:b/>
                <w:bCs/>
                <w:color w:val="000000"/>
                <w:sz w:val="20"/>
                <w:szCs w:val="20"/>
              </w:rPr>
              <w:t>Descripción</w:t>
            </w:r>
          </w:p>
        </w:tc>
      </w:tr>
      <w:tr w:rsidR="008A6720" w:rsidRPr="009E3947" w14:paraId="64F9CAE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C0DC2D0" w14:textId="78AF35FF"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Alemania</w:t>
            </w:r>
          </w:p>
        </w:tc>
        <w:tc>
          <w:tcPr>
            <w:tcW w:w="1985" w:type="dxa"/>
            <w:tcBorders>
              <w:top w:val="nil"/>
              <w:left w:val="nil"/>
              <w:bottom w:val="single" w:sz="8" w:space="0" w:color="auto"/>
              <w:right w:val="single" w:sz="8" w:space="0" w:color="auto"/>
            </w:tcBorders>
            <w:shd w:val="clear" w:color="auto" w:fill="auto"/>
            <w:vAlign w:val="center"/>
          </w:tcPr>
          <w:p w14:paraId="76F770F0" w14:textId="3C4F7282"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252</w:t>
            </w:r>
          </w:p>
        </w:tc>
        <w:tc>
          <w:tcPr>
            <w:tcW w:w="4110" w:type="dxa"/>
            <w:tcBorders>
              <w:top w:val="nil"/>
              <w:left w:val="nil"/>
              <w:bottom w:val="single" w:sz="8" w:space="0" w:color="auto"/>
              <w:right w:val="single" w:sz="8" w:space="0" w:color="auto"/>
            </w:tcBorders>
            <w:shd w:val="clear" w:color="auto" w:fill="auto"/>
            <w:vAlign w:val="center"/>
          </w:tcPr>
          <w:p w14:paraId="0DB49D0E" w14:textId="4FDA5929"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Uso racional de los humedales del Caribe</w:t>
            </w:r>
          </w:p>
        </w:tc>
      </w:tr>
      <w:tr w:rsidR="008A6720" w:rsidRPr="009E3947" w14:paraId="4757D866"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1883AEB" w14:textId="10F658D1"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Austria</w:t>
            </w:r>
          </w:p>
        </w:tc>
        <w:tc>
          <w:tcPr>
            <w:tcW w:w="1985" w:type="dxa"/>
            <w:tcBorders>
              <w:top w:val="nil"/>
              <w:left w:val="nil"/>
              <w:bottom w:val="single" w:sz="8" w:space="0" w:color="auto"/>
              <w:right w:val="single" w:sz="8" w:space="0" w:color="auto"/>
            </w:tcBorders>
            <w:shd w:val="clear" w:color="auto" w:fill="auto"/>
            <w:vAlign w:val="center"/>
          </w:tcPr>
          <w:p w14:paraId="5249289B" w14:textId="5A9A3155"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5</w:t>
            </w:r>
          </w:p>
        </w:tc>
        <w:tc>
          <w:tcPr>
            <w:tcW w:w="4110" w:type="dxa"/>
            <w:tcBorders>
              <w:top w:val="nil"/>
              <w:left w:val="nil"/>
              <w:bottom w:val="single" w:sz="8" w:space="0" w:color="auto"/>
              <w:right w:val="single" w:sz="8" w:space="0" w:color="auto"/>
            </w:tcBorders>
            <w:shd w:val="clear" w:color="auto" w:fill="auto"/>
            <w:vAlign w:val="center"/>
          </w:tcPr>
          <w:p w14:paraId="5BA796FA" w14:textId="47FB1B42"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Apoyo a delegados patrocinados para asistir a la COP14</w:t>
            </w:r>
          </w:p>
        </w:tc>
      </w:tr>
      <w:tr w:rsidR="008A6720" w:rsidRPr="009E3947" w14:paraId="5D3B467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99BAB44" w14:textId="5D468E99"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Canadá</w:t>
            </w:r>
          </w:p>
        </w:tc>
        <w:tc>
          <w:tcPr>
            <w:tcW w:w="1985" w:type="dxa"/>
            <w:tcBorders>
              <w:top w:val="nil"/>
              <w:left w:val="nil"/>
              <w:bottom w:val="single" w:sz="8" w:space="0" w:color="auto"/>
              <w:right w:val="single" w:sz="8" w:space="0" w:color="auto"/>
            </w:tcBorders>
            <w:shd w:val="clear" w:color="auto" w:fill="auto"/>
            <w:vAlign w:val="center"/>
          </w:tcPr>
          <w:p w14:paraId="4406384E" w14:textId="0E76EC2A"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36</w:t>
            </w:r>
          </w:p>
        </w:tc>
        <w:tc>
          <w:tcPr>
            <w:tcW w:w="4110" w:type="dxa"/>
            <w:tcBorders>
              <w:top w:val="nil"/>
              <w:left w:val="nil"/>
              <w:bottom w:val="single" w:sz="8" w:space="0" w:color="auto"/>
              <w:right w:val="single" w:sz="8" w:space="0" w:color="auto"/>
            </w:tcBorders>
            <w:shd w:val="clear" w:color="auto" w:fill="auto"/>
            <w:vAlign w:val="center"/>
          </w:tcPr>
          <w:p w14:paraId="3DAAD1B1" w14:textId="7FFC7D58"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Las mujeres en los humedales</w:t>
            </w:r>
          </w:p>
        </w:tc>
      </w:tr>
      <w:tr w:rsidR="008A6720" w:rsidRPr="009E3947" w14:paraId="620122D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DEA9959" w14:textId="7C7AF578"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China</w:t>
            </w:r>
          </w:p>
        </w:tc>
        <w:tc>
          <w:tcPr>
            <w:tcW w:w="1985" w:type="dxa"/>
            <w:tcBorders>
              <w:top w:val="nil"/>
              <w:left w:val="nil"/>
              <w:bottom w:val="single" w:sz="8" w:space="0" w:color="auto"/>
              <w:right w:val="single" w:sz="8" w:space="0" w:color="auto"/>
            </w:tcBorders>
            <w:shd w:val="clear" w:color="auto" w:fill="auto"/>
            <w:vAlign w:val="center"/>
            <w:hideMark/>
          </w:tcPr>
          <w:p w14:paraId="0C09CE77" w14:textId="5E1F8429"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188</w:t>
            </w:r>
          </w:p>
        </w:tc>
        <w:tc>
          <w:tcPr>
            <w:tcW w:w="4110" w:type="dxa"/>
            <w:tcBorders>
              <w:top w:val="nil"/>
              <w:left w:val="nil"/>
              <w:bottom w:val="single" w:sz="8" w:space="0" w:color="auto"/>
              <w:right w:val="single" w:sz="8" w:space="0" w:color="auto"/>
            </w:tcBorders>
            <w:shd w:val="clear" w:color="auto" w:fill="auto"/>
            <w:vAlign w:val="center"/>
            <w:hideMark/>
          </w:tcPr>
          <w:p w14:paraId="6F426A9E" w14:textId="6D45E1D1"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Apoyo de la Presidencia china</w:t>
            </w:r>
          </w:p>
        </w:tc>
      </w:tr>
      <w:tr w:rsidR="008A6720" w:rsidRPr="009E3947" w14:paraId="2D537E22"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040980C2" w14:textId="4C4D2509"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Danone</w:t>
            </w:r>
          </w:p>
        </w:tc>
        <w:tc>
          <w:tcPr>
            <w:tcW w:w="1985" w:type="dxa"/>
            <w:tcBorders>
              <w:top w:val="nil"/>
              <w:left w:val="nil"/>
              <w:bottom w:val="single" w:sz="8" w:space="0" w:color="auto"/>
              <w:right w:val="single" w:sz="8" w:space="0" w:color="auto"/>
            </w:tcBorders>
            <w:shd w:val="clear" w:color="auto" w:fill="auto"/>
            <w:vAlign w:val="center"/>
          </w:tcPr>
          <w:p w14:paraId="7B9D3EAE" w14:textId="0089908D"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66</w:t>
            </w:r>
          </w:p>
        </w:tc>
        <w:tc>
          <w:tcPr>
            <w:tcW w:w="4110" w:type="dxa"/>
            <w:tcBorders>
              <w:top w:val="nil"/>
              <w:left w:val="nil"/>
              <w:bottom w:val="single" w:sz="8" w:space="0" w:color="auto"/>
              <w:right w:val="single" w:sz="8" w:space="0" w:color="auto"/>
            </w:tcBorders>
            <w:shd w:val="clear" w:color="auto" w:fill="auto"/>
            <w:vAlign w:val="center"/>
          </w:tcPr>
          <w:p w14:paraId="5A7A9FDB" w14:textId="6464796B"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Actividades de proyectos de Danone</w:t>
            </w:r>
          </w:p>
        </w:tc>
      </w:tr>
      <w:tr w:rsidR="008A6720" w:rsidRPr="009E3947" w14:paraId="3AFBCC8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25D559CA" w14:textId="08165403"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Estados Unidos de América</w:t>
            </w:r>
          </w:p>
        </w:tc>
        <w:tc>
          <w:tcPr>
            <w:tcW w:w="1985" w:type="dxa"/>
            <w:tcBorders>
              <w:top w:val="nil"/>
              <w:left w:val="nil"/>
              <w:bottom w:val="single" w:sz="8" w:space="0" w:color="auto"/>
              <w:right w:val="single" w:sz="8" w:space="0" w:color="auto"/>
            </w:tcBorders>
            <w:shd w:val="clear" w:color="auto" w:fill="auto"/>
            <w:vAlign w:val="center"/>
          </w:tcPr>
          <w:p w14:paraId="04E26C0F" w14:textId="66863269"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13</w:t>
            </w:r>
          </w:p>
        </w:tc>
        <w:tc>
          <w:tcPr>
            <w:tcW w:w="4110" w:type="dxa"/>
            <w:tcBorders>
              <w:top w:val="nil"/>
              <w:left w:val="nil"/>
              <w:bottom w:val="single" w:sz="8" w:space="0" w:color="auto"/>
              <w:right w:val="single" w:sz="8" w:space="0" w:color="auto"/>
            </w:tcBorders>
            <w:shd w:val="clear" w:color="auto" w:fill="auto"/>
            <w:vAlign w:val="center"/>
          </w:tcPr>
          <w:p w14:paraId="7D582E79" w14:textId="177D843C"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Evaluación de sitios Ramsar</w:t>
            </w:r>
          </w:p>
        </w:tc>
      </w:tr>
      <w:tr w:rsidR="008A6720" w:rsidRPr="009E3947" w14:paraId="6A306CF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60A34EAD" w14:textId="411FCD09"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Finlandia</w:t>
            </w:r>
          </w:p>
        </w:tc>
        <w:tc>
          <w:tcPr>
            <w:tcW w:w="1985" w:type="dxa"/>
            <w:tcBorders>
              <w:top w:val="nil"/>
              <w:left w:val="nil"/>
              <w:bottom w:val="single" w:sz="8" w:space="0" w:color="auto"/>
              <w:right w:val="single" w:sz="8" w:space="0" w:color="auto"/>
            </w:tcBorders>
            <w:shd w:val="clear" w:color="auto" w:fill="auto"/>
            <w:vAlign w:val="center"/>
            <w:hideMark/>
          </w:tcPr>
          <w:p w14:paraId="740E2D3E" w14:textId="188FD1B2"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9</w:t>
            </w:r>
          </w:p>
        </w:tc>
        <w:tc>
          <w:tcPr>
            <w:tcW w:w="4110" w:type="dxa"/>
            <w:tcBorders>
              <w:top w:val="nil"/>
              <w:left w:val="nil"/>
              <w:bottom w:val="single" w:sz="8" w:space="0" w:color="auto"/>
              <w:right w:val="single" w:sz="8" w:space="0" w:color="auto"/>
            </w:tcBorders>
            <w:shd w:val="clear" w:color="auto" w:fill="auto"/>
            <w:vAlign w:val="center"/>
            <w:hideMark/>
          </w:tcPr>
          <w:p w14:paraId="5EEAA107" w14:textId="34C43C2B"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Plan de trabajo del GECT 2023-2025</w:t>
            </w:r>
          </w:p>
        </w:tc>
      </w:tr>
      <w:tr w:rsidR="008A6720" w:rsidRPr="009E3947" w14:paraId="677D8EEF"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ED167B8" w14:textId="5C9CC9D6"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Fondo Nagao para los Humedales</w:t>
            </w:r>
          </w:p>
        </w:tc>
        <w:tc>
          <w:tcPr>
            <w:tcW w:w="1985" w:type="dxa"/>
            <w:tcBorders>
              <w:top w:val="nil"/>
              <w:left w:val="nil"/>
              <w:bottom w:val="single" w:sz="8" w:space="0" w:color="auto"/>
              <w:right w:val="single" w:sz="8" w:space="0" w:color="auto"/>
            </w:tcBorders>
            <w:shd w:val="clear" w:color="auto" w:fill="auto"/>
            <w:vAlign w:val="center"/>
            <w:hideMark/>
          </w:tcPr>
          <w:p w14:paraId="2284E0D3" w14:textId="1664B851"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58</w:t>
            </w:r>
          </w:p>
        </w:tc>
        <w:tc>
          <w:tcPr>
            <w:tcW w:w="4110" w:type="dxa"/>
            <w:tcBorders>
              <w:top w:val="nil"/>
              <w:left w:val="nil"/>
              <w:bottom w:val="single" w:sz="8" w:space="0" w:color="auto"/>
              <w:right w:val="single" w:sz="8" w:space="0" w:color="auto"/>
            </w:tcBorders>
            <w:shd w:val="clear" w:color="auto" w:fill="auto"/>
            <w:vAlign w:val="center"/>
            <w:hideMark/>
          </w:tcPr>
          <w:p w14:paraId="5EB1D677" w14:textId="5EBFC4BD"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NEF Japón</w:t>
            </w:r>
          </w:p>
        </w:tc>
      </w:tr>
      <w:tr w:rsidR="008A6720" w:rsidRPr="009E3947" w14:paraId="23D8DB2E"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6E162C1" w14:textId="4DECB19D"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Noruega</w:t>
            </w:r>
          </w:p>
        </w:tc>
        <w:tc>
          <w:tcPr>
            <w:tcW w:w="1985" w:type="dxa"/>
            <w:tcBorders>
              <w:top w:val="nil"/>
              <w:left w:val="nil"/>
              <w:bottom w:val="single" w:sz="8" w:space="0" w:color="auto"/>
              <w:right w:val="single" w:sz="8" w:space="0" w:color="auto"/>
            </w:tcBorders>
            <w:shd w:val="clear" w:color="auto" w:fill="auto"/>
            <w:vAlign w:val="center"/>
          </w:tcPr>
          <w:p w14:paraId="1F967097" w14:textId="5C00A6D6"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12</w:t>
            </w:r>
          </w:p>
        </w:tc>
        <w:tc>
          <w:tcPr>
            <w:tcW w:w="4110" w:type="dxa"/>
            <w:tcBorders>
              <w:top w:val="nil"/>
              <w:left w:val="nil"/>
              <w:bottom w:val="single" w:sz="8" w:space="0" w:color="auto"/>
              <w:right w:val="single" w:sz="8" w:space="0" w:color="auto"/>
            </w:tcBorders>
            <w:shd w:val="clear" w:color="auto" w:fill="auto"/>
            <w:vAlign w:val="center"/>
          </w:tcPr>
          <w:p w14:paraId="696A089A" w14:textId="3889023B"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Plan de trabajo del GECT 2023-2025</w:t>
            </w:r>
          </w:p>
        </w:tc>
      </w:tr>
      <w:tr w:rsidR="008A6720" w:rsidRPr="009E3947" w14:paraId="753B495D"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15D4861" w14:textId="2FDE4A0A"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Reino Unido de Gran Bretaña e Irlanda del Norte</w:t>
            </w:r>
          </w:p>
        </w:tc>
        <w:tc>
          <w:tcPr>
            <w:tcW w:w="1985" w:type="dxa"/>
            <w:tcBorders>
              <w:top w:val="nil"/>
              <w:left w:val="nil"/>
              <w:bottom w:val="single" w:sz="8" w:space="0" w:color="auto"/>
              <w:right w:val="single" w:sz="8" w:space="0" w:color="auto"/>
            </w:tcBorders>
            <w:shd w:val="clear" w:color="auto" w:fill="auto"/>
            <w:vAlign w:val="center"/>
            <w:hideMark/>
          </w:tcPr>
          <w:p w14:paraId="02AE94D2" w14:textId="741517E9"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22</w:t>
            </w:r>
          </w:p>
        </w:tc>
        <w:tc>
          <w:tcPr>
            <w:tcW w:w="4110" w:type="dxa"/>
            <w:tcBorders>
              <w:top w:val="nil"/>
              <w:left w:val="nil"/>
              <w:bottom w:val="single" w:sz="8" w:space="0" w:color="auto"/>
              <w:right w:val="single" w:sz="8" w:space="0" w:color="auto"/>
            </w:tcBorders>
            <w:shd w:val="clear" w:color="auto" w:fill="auto"/>
            <w:vAlign w:val="center"/>
          </w:tcPr>
          <w:p w14:paraId="7E8FFF1F" w14:textId="738B993D"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Plan de trabajo del GECT 2023-2025</w:t>
            </w:r>
          </w:p>
        </w:tc>
      </w:tr>
      <w:tr w:rsidR="008A6720" w:rsidRPr="009E3947" w14:paraId="5499E94A"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7E7A645A" w14:textId="27B83D05"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República de Corea</w:t>
            </w:r>
          </w:p>
        </w:tc>
        <w:tc>
          <w:tcPr>
            <w:tcW w:w="1985" w:type="dxa"/>
            <w:tcBorders>
              <w:top w:val="nil"/>
              <w:left w:val="nil"/>
              <w:bottom w:val="single" w:sz="8" w:space="0" w:color="auto"/>
              <w:right w:val="single" w:sz="8" w:space="0" w:color="auto"/>
            </w:tcBorders>
            <w:shd w:val="clear" w:color="auto" w:fill="auto"/>
            <w:vAlign w:val="center"/>
            <w:hideMark/>
          </w:tcPr>
          <w:p w14:paraId="3868BC5E" w14:textId="273649FA"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187</w:t>
            </w:r>
          </w:p>
        </w:tc>
        <w:tc>
          <w:tcPr>
            <w:tcW w:w="4110" w:type="dxa"/>
            <w:tcBorders>
              <w:top w:val="nil"/>
              <w:left w:val="nil"/>
              <w:bottom w:val="single" w:sz="8" w:space="0" w:color="auto"/>
              <w:right w:val="single" w:sz="8" w:space="0" w:color="auto"/>
            </w:tcBorders>
            <w:shd w:val="clear" w:color="auto" w:fill="auto"/>
            <w:vAlign w:val="center"/>
          </w:tcPr>
          <w:p w14:paraId="250F3CBD" w14:textId="4855EBA1"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Mejorar la aplicación de la Convención</w:t>
            </w:r>
          </w:p>
        </w:tc>
      </w:tr>
      <w:tr w:rsidR="008A6720" w:rsidRPr="009E3947" w14:paraId="59E1BBA9"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BE039EF" w14:textId="0156F730"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Suiza</w:t>
            </w:r>
          </w:p>
        </w:tc>
        <w:tc>
          <w:tcPr>
            <w:tcW w:w="1985" w:type="dxa"/>
            <w:tcBorders>
              <w:top w:val="nil"/>
              <w:left w:val="nil"/>
              <w:bottom w:val="single" w:sz="8" w:space="0" w:color="auto"/>
              <w:right w:val="single" w:sz="8" w:space="0" w:color="auto"/>
            </w:tcBorders>
            <w:shd w:val="clear" w:color="auto" w:fill="auto"/>
            <w:vAlign w:val="center"/>
          </w:tcPr>
          <w:p w14:paraId="241B59F9" w14:textId="6D7AA17C"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50</w:t>
            </w:r>
          </w:p>
        </w:tc>
        <w:tc>
          <w:tcPr>
            <w:tcW w:w="4110" w:type="dxa"/>
            <w:tcBorders>
              <w:top w:val="nil"/>
              <w:left w:val="nil"/>
              <w:bottom w:val="single" w:sz="8" w:space="0" w:color="auto"/>
              <w:right w:val="single" w:sz="8" w:space="0" w:color="auto"/>
            </w:tcBorders>
            <w:shd w:val="clear" w:color="auto" w:fill="auto"/>
            <w:vAlign w:val="center"/>
          </w:tcPr>
          <w:p w14:paraId="48575842" w14:textId="3F47F7AE"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Apoyo a delegados patrocinados para asistir a la COP14</w:t>
            </w:r>
          </w:p>
        </w:tc>
      </w:tr>
      <w:tr w:rsidR="008A6720" w:rsidRPr="009E3947" w14:paraId="73B17F5F"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D926547" w14:textId="5AE91920" w:rsidR="008A6720" w:rsidRPr="009E3947" w:rsidDel="00DD5BFC"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Suiza</w:t>
            </w:r>
          </w:p>
        </w:tc>
        <w:tc>
          <w:tcPr>
            <w:tcW w:w="1985" w:type="dxa"/>
            <w:tcBorders>
              <w:top w:val="nil"/>
              <w:left w:val="nil"/>
              <w:bottom w:val="single" w:sz="8" w:space="0" w:color="auto"/>
              <w:right w:val="single" w:sz="8" w:space="0" w:color="auto"/>
            </w:tcBorders>
            <w:shd w:val="clear" w:color="auto" w:fill="auto"/>
            <w:vAlign w:val="center"/>
          </w:tcPr>
          <w:p w14:paraId="54443B72" w14:textId="2E655A11" w:rsidR="008A6720" w:rsidRPr="009E3947" w:rsidDel="00DD5BFC"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40</w:t>
            </w:r>
          </w:p>
        </w:tc>
        <w:tc>
          <w:tcPr>
            <w:tcW w:w="4110" w:type="dxa"/>
            <w:tcBorders>
              <w:top w:val="nil"/>
              <w:left w:val="nil"/>
              <w:bottom w:val="single" w:sz="8" w:space="0" w:color="auto"/>
              <w:right w:val="single" w:sz="8" w:space="0" w:color="auto"/>
            </w:tcBorders>
            <w:shd w:val="clear" w:color="auto" w:fill="auto"/>
            <w:vAlign w:val="center"/>
          </w:tcPr>
          <w:p w14:paraId="58A95868" w14:textId="1F8D061A"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Reunión regional previa a la reunión SC64</w:t>
            </w:r>
          </w:p>
        </w:tc>
      </w:tr>
      <w:tr w:rsidR="008A6720" w:rsidRPr="009E3947" w14:paraId="1F61D3F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404DF57F" w14:textId="4692AA84"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Suiza</w:t>
            </w:r>
          </w:p>
        </w:tc>
        <w:tc>
          <w:tcPr>
            <w:tcW w:w="1985" w:type="dxa"/>
            <w:tcBorders>
              <w:top w:val="nil"/>
              <w:left w:val="nil"/>
              <w:bottom w:val="single" w:sz="8" w:space="0" w:color="auto"/>
              <w:right w:val="single" w:sz="8" w:space="0" w:color="auto"/>
            </w:tcBorders>
            <w:shd w:val="clear" w:color="auto" w:fill="auto"/>
            <w:vAlign w:val="center"/>
            <w:hideMark/>
          </w:tcPr>
          <w:p w14:paraId="09CFED65" w14:textId="554EAA6D"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50</w:t>
            </w:r>
          </w:p>
        </w:tc>
        <w:tc>
          <w:tcPr>
            <w:tcW w:w="4110" w:type="dxa"/>
            <w:tcBorders>
              <w:top w:val="nil"/>
              <w:left w:val="nil"/>
              <w:bottom w:val="single" w:sz="8" w:space="0" w:color="auto"/>
              <w:right w:val="single" w:sz="8" w:space="0" w:color="auto"/>
            </w:tcBorders>
            <w:shd w:val="clear" w:color="auto" w:fill="auto"/>
            <w:vAlign w:val="center"/>
          </w:tcPr>
          <w:p w14:paraId="08D2F085" w14:textId="2D1131B5"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Inventarios nacionales de humedales</w:t>
            </w:r>
          </w:p>
        </w:tc>
      </w:tr>
      <w:tr w:rsidR="008A6720" w:rsidRPr="009E3947" w14:paraId="61BDE0F5" w14:textId="77777777" w:rsidTr="008A6720">
        <w:tc>
          <w:tcPr>
            <w:tcW w:w="2967" w:type="dxa"/>
            <w:tcBorders>
              <w:top w:val="nil"/>
              <w:left w:val="single" w:sz="8" w:space="0" w:color="auto"/>
              <w:bottom w:val="single" w:sz="8" w:space="0" w:color="auto"/>
              <w:right w:val="single" w:sz="8" w:space="0" w:color="auto"/>
            </w:tcBorders>
            <w:shd w:val="clear" w:color="auto" w:fill="auto"/>
            <w:vAlign w:val="center"/>
            <w:hideMark/>
          </w:tcPr>
          <w:p w14:paraId="5B75DD8F" w14:textId="07E46292"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Zimbabwe</w:t>
            </w:r>
          </w:p>
        </w:tc>
        <w:tc>
          <w:tcPr>
            <w:tcW w:w="1985" w:type="dxa"/>
            <w:tcBorders>
              <w:top w:val="nil"/>
              <w:left w:val="nil"/>
              <w:bottom w:val="single" w:sz="8" w:space="0" w:color="auto"/>
              <w:right w:val="single" w:sz="8" w:space="0" w:color="auto"/>
            </w:tcBorders>
            <w:shd w:val="clear" w:color="auto" w:fill="auto"/>
            <w:vAlign w:val="center"/>
            <w:hideMark/>
          </w:tcPr>
          <w:p w14:paraId="53C19283" w14:textId="0530D12E" w:rsidR="008A6720" w:rsidRPr="009E3947" w:rsidRDefault="008A6720" w:rsidP="008A6720">
            <w:pPr>
              <w:ind w:left="0" w:right="89" w:firstLine="0"/>
              <w:jc w:val="right"/>
              <w:rPr>
                <w:rFonts w:asciiTheme="minorHAnsi" w:eastAsia="Times New Roman" w:hAnsiTheme="minorHAnsi" w:cstheme="minorHAnsi"/>
                <w:color w:val="000000"/>
                <w:sz w:val="20"/>
                <w:szCs w:val="20"/>
              </w:rPr>
            </w:pPr>
            <w:r>
              <w:rPr>
                <w:rFonts w:cs="Calibri"/>
                <w:color w:val="000000"/>
                <w:sz w:val="20"/>
                <w:szCs w:val="20"/>
              </w:rPr>
              <w:t>599</w:t>
            </w:r>
          </w:p>
        </w:tc>
        <w:tc>
          <w:tcPr>
            <w:tcW w:w="4110" w:type="dxa"/>
            <w:tcBorders>
              <w:top w:val="nil"/>
              <w:left w:val="nil"/>
              <w:bottom w:val="single" w:sz="8" w:space="0" w:color="auto"/>
              <w:right w:val="single" w:sz="8" w:space="0" w:color="auto"/>
            </w:tcBorders>
            <w:shd w:val="clear" w:color="auto" w:fill="auto"/>
            <w:vAlign w:val="center"/>
          </w:tcPr>
          <w:p w14:paraId="441E8415" w14:textId="67FB81BE" w:rsidR="008A6720" w:rsidRPr="009E3947" w:rsidRDefault="008A6720" w:rsidP="008A6720">
            <w:pPr>
              <w:ind w:left="0" w:firstLine="0"/>
              <w:rPr>
                <w:rFonts w:asciiTheme="minorHAnsi" w:eastAsia="Times New Roman" w:hAnsiTheme="minorHAnsi" w:cstheme="minorHAnsi"/>
                <w:color w:val="000000"/>
                <w:sz w:val="20"/>
                <w:szCs w:val="20"/>
              </w:rPr>
            </w:pPr>
            <w:r>
              <w:rPr>
                <w:rFonts w:cs="Calibri"/>
                <w:color w:val="000000"/>
                <w:sz w:val="20"/>
                <w:szCs w:val="20"/>
              </w:rPr>
              <w:t>Reunión COP15</w:t>
            </w:r>
          </w:p>
        </w:tc>
      </w:tr>
      <w:tr w:rsidR="002D5BAE" w:rsidRPr="009E3947" w14:paraId="01B1A822" w14:textId="77777777" w:rsidTr="00140C1B">
        <w:tc>
          <w:tcPr>
            <w:tcW w:w="2967"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70D86AC" w14:textId="2680AC1A" w:rsidR="002D5BAE" w:rsidRPr="009E3947" w:rsidRDefault="002D5BAE" w:rsidP="002D5BAE">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Total, contribuciones voluntarias complementarias recibidas en 2024</w:t>
            </w:r>
          </w:p>
        </w:tc>
        <w:tc>
          <w:tcPr>
            <w:tcW w:w="1985" w:type="dxa"/>
            <w:tcBorders>
              <w:top w:val="nil"/>
              <w:left w:val="nil"/>
              <w:bottom w:val="single" w:sz="8" w:space="0" w:color="auto"/>
              <w:right w:val="single" w:sz="8" w:space="0" w:color="auto"/>
            </w:tcBorders>
            <w:shd w:val="clear" w:color="auto" w:fill="DBE5F1" w:themeFill="accent1" w:themeFillTint="33"/>
            <w:vAlign w:val="center"/>
            <w:hideMark/>
          </w:tcPr>
          <w:p w14:paraId="2CF42317" w14:textId="40254E8A" w:rsidR="002D5BAE" w:rsidRPr="009E3947" w:rsidRDefault="002D5BAE" w:rsidP="002D5BAE">
            <w:pPr>
              <w:ind w:left="0" w:right="89" w:firstLine="0"/>
              <w:jc w:val="right"/>
              <w:rPr>
                <w:rFonts w:asciiTheme="minorHAnsi" w:eastAsia="Times New Roman" w:hAnsiTheme="minorHAnsi" w:cstheme="minorHAnsi"/>
                <w:b/>
                <w:bCs/>
                <w:color w:val="000000"/>
                <w:sz w:val="20"/>
                <w:szCs w:val="20"/>
              </w:rPr>
            </w:pPr>
            <w:r w:rsidRPr="009E3947">
              <w:rPr>
                <w:rFonts w:asciiTheme="minorHAnsi" w:hAnsiTheme="minorHAnsi"/>
                <w:b/>
                <w:bCs/>
                <w:color w:val="000000"/>
                <w:sz w:val="20"/>
                <w:szCs w:val="20"/>
              </w:rPr>
              <w:t>1 587</w:t>
            </w:r>
          </w:p>
        </w:tc>
        <w:tc>
          <w:tcPr>
            <w:tcW w:w="4110" w:type="dxa"/>
            <w:tcBorders>
              <w:top w:val="nil"/>
              <w:left w:val="nil"/>
              <w:bottom w:val="single" w:sz="8" w:space="0" w:color="auto"/>
              <w:right w:val="single" w:sz="8" w:space="0" w:color="auto"/>
            </w:tcBorders>
            <w:shd w:val="clear" w:color="auto" w:fill="DBE5F1" w:themeFill="accent1" w:themeFillTint="33"/>
            <w:vAlign w:val="center"/>
            <w:hideMark/>
          </w:tcPr>
          <w:p w14:paraId="2CF30272" w14:textId="77777777" w:rsidR="002D5BAE" w:rsidRPr="009E3947" w:rsidRDefault="002D5BAE" w:rsidP="002D5BAE">
            <w:pPr>
              <w:ind w:left="0"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 </w:t>
            </w:r>
          </w:p>
        </w:tc>
      </w:tr>
      <w:bookmarkEnd w:id="1"/>
    </w:tbl>
    <w:p w14:paraId="6EF050AC" w14:textId="66273C1D" w:rsidR="00E012F0" w:rsidRPr="009E3947" w:rsidRDefault="00E012F0" w:rsidP="009A08C3">
      <w:pPr>
        <w:ind w:left="0" w:firstLine="0"/>
      </w:pPr>
    </w:p>
    <w:p w14:paraId="0A3A1262" w14:textId="77777777" w:rsidR="009A08C3" w:rsidRPr="009E3947" w:rsidRDefault="009A08C3" w:rsidP="009A08C3">
      <w:pPr>
        <w:ind w:left="0" w:firstLine="0"/>
      </w:pPr>
    </w:p>
    <w:p w14:paraId="56643006" w14:textId="317A6098" w:rsidR="00E362F2" w:rsidRPr="009E3947" w:rsidRDefault="00140C1B" w:rsidP="006E2F73">
      <w:r w:rsidRPr="009E3947">
        <w:t>20.</w:t>
      </w:r>
      <w:r w:rsidR="009E3947" w:rsidRPr="009E3947">
        <w:tab/>
      </w:r>
      <w:r w:rsidR="00790D1E" w:rsidRPr="009E3947">
        <w:t xml:space="preserve">En 2024 se estableció contacto con las Partes Contratantes y otros posibles donantes en relación con la financiación de otras partidas complementarias prioritarias presupuestadas que figuran en el anexo 4 de la Resolución XIV.1. Una prioridad fundamental a este respecto que las Partes deben tener en cuenta en 2024 y 2025 es la financiación para la COP15, en especial para la participación de delegados patrocinados. </w:t>
      </w:r>
    </w:p>
    <w:p w14:paraId="2E3C3054" w14:textId="186A208C" w:rsidR="004F3C40" w:rsidRPr="009E3947" w:rsidRDefault="004F3C40" w:rsidP="00162710"/>
    <w:p w14:paraId="5C9341DA" w14:textId="6957213A" w:rsidR="002E1AB1" w:rsidRPr="009E3947" w:rsidRDefault="00140C1B" w:rsidP="003035C4">
      <w:pPr>
        <w:rPr>
          <w:highlight w:val="yellow"/>
        </w:rPr>
      </w:pPr>
      <w:r w:rsidRPr="009E3947">
        <w:t>21.</w:t>
      </w:r>
      <w:r w:rsidR="009E3947" w:rsidRPr="009E3947">
        <w:tab/>
      </w:r>
      <w:r w:rsidR="003B3B7D" w:rsidRPr="009E3947">
        <w:t xml:space="preserve">El presupuesto estimado para los delegados patrocinados que es necesario para que todas las Partes Contratantes participen plenamente en la COP15 es de 584 000 francos suizos. Hasta el </w:t>
      </w:r>
      <w:r w:rsidR="003B3B7D" w:rsidRPr="009E3947">
        <w:lastRenderedPageBreak/>
        <w:t xml:space="preserve">31 de marzo de 2025 se habían </w:t>
      </w:r>
      <w:r w:rsidR="003B3B7D" w:rsidRPr="000F5281">
        <w:t>recibido 225 000 francos</w:t>
      </w:r>
      <w:r w:rsidR="003B3B7D" w:rsidRPr="009E3947">
        <w:t xml:space="preserve"> suizos. Así pues, el déficit en esa fecha para cubrir íntegramente la participación de 124 delegados que reúnen los requisitos era de 359 000 francos suizos. Esta cantidad es inferior a los 486 000 francos suizos aprobados mediante la Decisión SC64-39 iv) y se ha reflejado en el cuadro 2.</w:t>
      </w:r>
    </w:p>
    <w:p w14:paraId="2B7B91B0" w14:textId="77777777" w:rsidR="002E1AB1" w:rsidRPr="009E3947" w:rsidRDefault="002E1AB1" w:rsidP="00162710"/>
    <w:p w14:paraId="185222B6" w14:textId="68F9B295" w:rsidR="007768A1" w:rsidRPr="009E3947" w:rsidRDefault="00BF17F8" w:rsidP="00162710">
      <w:r>
        <w:t>22</w:t>
      </w:r>
      <w:r w:rsidR="00C07F2A" w:rsidRPr="009E3947">
        <w:t>.</w:t>
      </w:r>
      <w:r w:rsidR="009E3947" w:rsidRPr="009E3947">
        <w:tab/>
      </w:r>
      <w:r w:rsidR="0075376A" w:rsidRPr="009E3947">
        <w:t>La Secretaría desea expresar su sincero agradecimiento a las Partes Contratantes y a otros donantes por sus contribuciones voluntarias a las actividades no financiadas con cargo al presupuesto básico de la Convención.</w:t>
      </w:r>
    </w:p>
    <w:p w14:paraId="2D151382" w14:textId="003BFD1E" w:rsidR="0047330E" w:rsidRPr="009E3947" w:rsidRDefault="0047330E" w:rsidP="00162710"/>
    <w:p w14:paraId="7FDD6A1E" w14:textId="77777777" w:rsidR="0075376A" w:rsidRPr="009E3947" w:rsidRDefault="0075376A" w:rsidP="00043287">
      <w:pPr>
        <w:pStyle w:val="NoSpacing"/>
        <w:keepNext/>
        <w:rPr>
          <w:i/>
        </w:rPr>
      </w:pPr>
      <w:r w:rsidRPr="009E3947">
        <w:rPr>
          <w:i/>
        </w:rPr>
        <w:t>Contribuciones voluntarias de países africanos</w:t>
      </w:r>
    </w:p>
    <w:p w14:paraId="6C3D0F1C" w14:textId="77777777" w:rsidR="00A42238" w:rsidRPr="009E3947" w:rsidRDefault="00A42238" w:rsidP="00043287">
      <w:pPr>
        <w:pStyle w:val="NoSpacing"/>
        <w:keepNext/>
        <w:rPr>
          <w:b/>
        </w:rPr>
      </w:pPr>
    </w:p>
    <w:p w14:paraId="220A63C8" w14:textId="446B5C41" w:rsidR="00E8249B" w:rsidRPr="009E3947" w:rsidRDefault="00C07F2A" w:rsidP="006C4796">
      <w:r w:rsidRPr="009E3947">
        <w:t>2</w:t>
      </w:r>
      <w:r w:rsidR="00BF17F8">
        <w:t>3</w:t>
      </w:r>
      <w:r w:rsidRPr="009E3947">
        <w:t>.</w:t>
      </w:r>
      <w:r w:rsidR="009E3947" w:rsidRPr="009E3947">
        <w:tab/>
      </w:r>
      <w:r w:rsidR="00D87A0A" w:rsidRPr="009E3947">
        <w:t xml:space="preserve">En 2024, se recibió una contribución voluntaria de 1 000 francos suizos de las Partes Contratantes de la región de África. Los fondos disponibles para su futura distribución ascienden a un total de 13 000 francos suizos, tal y como se informa en el documento SC65 Doc.8.2 </w:t>
      </w:r>
      <w:r w:rsidR="00D87A0A" w:rsidRPr="009E3947">
        <w:rPr>
          <w:i/>
          <w:iCs/>
        </w:rPr>
        <w:t>Estado de las contribuciones anuales</w:t>
      </w:r>
      <w:r w:rsidR="00D87A0A" w:rsidRPr="009E3947">
        <w:t xml:space="preserve">. </w:t>
      </w:r>
    </w:p>
    <w:p w14:paraId="65479B4F" w14:textId="77777777" w:rsidR="00ED64C2" w:rsidRPr="009E3947" w:rsidRDefault="00ED64C2" w:rsidP="00162710">
      <w:pPr>
        <w:ind w:left="0" w:firstLine="0"/>
      </w:pPr>
    </w:p>
    <w:p w14:paraId="071E1233" w14:textId="5ADE8AEF" w:rsidR="00B6236E" w:rsidRPr="009E3947" w:rsidRDefault="00B6236E" w:rsidP="001E2109">
      <w:pPr>
        <w:pStyle w:val="NoSpacing"/>
        <w:keepNext/>
      </w:pPr>
      <w:r w:rsidRPr="009E3947">
        <w:rPr>
          <w:b/>
        </w:rPr>
        <w:t xml:space="preserve">Presupuesto básico para 2025 </w:t>
      </w:r>
    </w:p>
    <w:p w14:paraId="27ACE29B" w14:textId="77777777" w:rsidR="00B6236E" w:rsidRPr="009E3947" w:rsidRDefault="00B6236E" w:rsidP="001E2109">
      <w:pPr>
        <w:pStyle w:val="NoSpacing"/>
        <w:keepNext/>
      </w:pPr>
    </w:p>
    <w:p w14:paraId="03A2A3F6" w14:textId="6BC36D02" w:rsidR="007D1724" w:rsidRPr="009E3947" w:rsidRDefault="00C07F2A" w:rsidP="007D1724">
      <w:r w:rsidRPr="009E3947">
        <w:t>2</w:t>
      </w:r>
      <w:r w:rsidR="00BF17F8">
        <w:t>4</w:t>
      </w:r>
      <w:r w:rsidRPr="009E3947">
        <w:t>.</w:t>
      </w:r>
      <w:r w:rsidR="009E3947" w:rsidRPr="009E3947">
        <w:tab/>
      </w:r>
      <w:r w:rsidR="00B6236E" w:rsidRPr="009E3947">
        <w:t xml:space="preserve">En el anexo 3 se ofrece una sinopsis del presupuesto para 2025. Esto incluye el presupuesto aprobado por la COP14 que asciende a 5 081 000 francos suizos, el uso autorizado de los ahorros del presupuesto de 2021 que suman 196 000 francos suizos, y el traspaso de los fondos del presupuesto de 2024 que se gastarán en 2025 por un total de 1 065 000 francos suizos. Así pues, el presupuesto básico total propuesto para 2024 asciende a 6 342 000 francos suizos. </w:t>
      </w:r>
    </w:p>
    <w:p w14:paraId="1A53EF3F" w14:textId="77777777" w:rsidR="009B0B07" w:rsidRPr="009E3947" w:rsidRDefault="009B0B07" w:rsidP="007D1724"/>
    <w:p w14:paraId="1178BF9B" w14:textId="1E25996C" w:rsidR="00D4222B" w:rsidRPr="009E3947" w:rsidRDefault="00C07F2A" w:rsidP="00D4222B">
      <w:r w:rsidRPr="009E3947">
        <w:t>2</w:t>
      </w:r>
      <w:r w:rsidR="00BF17F8">
        <w:t>5</w:t>
      </w:r>
      <w:r w:rsidRPr="009E3947">
        <w:t>.</w:t>
      </w:r>
      <w:r w:rsidR="009E3947" w:rsidRPr="009E3947">
        <w:tab/>
      </w:r>
      <w:r w:rsidR="00403646" w:rsidRPr="009E3947">
        <w:t xml:space="preserve">Como se señala en el documento SC65 Doc.9 </w:t>
      </w:r>
      <w:r w:rsidR="00403646" w:rsidRPr="009E3947">
        <w:rPr>
          <w:i/>
          <w:iCs/>
        </w:rPr>
        <w:t>Informe de la Secretaría sobre las iniciativas regionales de Ramsar para 2024 y 2025,</w:t>
      </w:r>
      <w:r w:rsidR="00403646" w:rsidRPr="009E3947">
        <w:t xml:space="preserve"> la Secretaría invita al Comité Permanente a que en la reunión SC65 examine y apruebe la asignación de fondos a las IRR propuestas en el presupuesto básico para 2025. La Secretaría informa de la solicitud de asignación de 30 000 francos suizos a la iniciativa regional de Ramsar de África Austral (SARRI) y de </w:t>
      </w:r>
      <w:r w:rsidR="00AF366A">
        <w:t>30 000</w:t>
      </w:r>
      <w:r w:rsidR="00403646" w:rsidRPr="009E3947">
        <w:t xml:space="preserve"> francos suizos a la iniciativa regional de Ramsar Danube WILDisland para sus actividades en 2025.</w:t>
      </w:r>
    </w:p>
    <w:p w14:paraId="413BA65F" w14:textId="77777777" w:rsidR="00D4222B" w:rsidRPr="009E3947" w:rsidRDefault="00D4222B">
      <w:r w:rsidRPr="009E3947">
        <w:br w:type="page"/>
      </w:r>
    </w:p>
    <w:p w14:paraId="76AB5D52" w14:textId="5EF6E853" w:rsidR="007A1F65" w:rsidRPr="009E3947" w:rsidRDefault="007A1F65" w:rsidP="00D4222B">
      <w:pPr>
        <w:rPr>
          <w:b/>
          <w:bCs/>
          <w:sz w:val="24"/>
          <w:szCs w:val="24"/>
        </w:rPr>
      </w:pPr>
      <w:r w:rsidRPr="009E3947">
        <w:rPr>
          <w:b/>
          <w:bCs/>
          <w:sz w:val="24"/>
          <w:szCs w:val="24"/>
        </w:rPr>
        <w:lastRenderedPageBreak/>
        <w:t>Anexo 1</w:t>
      </w:r>
    </w:p>
    <w:p w14:paraId="27281458" w14:textId="3D92F535" w:rsidR="007A1F65" w:rsidRPr="009E3947" w:rsidRDefault="007A1F65" w:rsidP="007A1F65">
      <w:pPr>
        <w:pStyle w:val="NoSpacing"/>
        <w:ind w:left="0" w:firstLine="0"/>
        <w:rPr>
          <w:b/>
          <w:sz w:val="24"/>
          <w:szCs w:val="24"/>
        </w:rPr>
      </w:pPr>
      <w:r w:rsidRPr="009E3947">
        <w:rPr>
          <w:b/>
          <w:sz w:val="24"/>
          <w:szCs w:val="24"/>
        </w:rPr>
        <w:t>Estados financieros auditados a 31 de diciembre de 2024 (formato de informe suizo)</w:t>
      </w:r>
    </w:p>
    <w:p w14:paraId="47A129B1" w14:textId="77777777" w:rsidR="007A1F65" w:rsidRPr="009E3947" w:rsidRDefault="007A1F65" w:rsidP="007A1F65">
      <w:pPr>
        <w:pStyle w:val="NoSpacing"/>
        <w:ind w:left="0" w:firstLine="0"/>
        <w:rPr>
          <w:b/>
          <w:sz w:val="24"/>
          <w:szCs w:val="24"/>
        </w:rPr>
      </w:pPr>
    </w:p>
    <w:p w14:paraId="0CC94E36" w14:textId="77777777" w:rsidR="007A1F65" w:rsidRPr="009E3947" w:rsidRDefault="007A1F65" w:rsidP="007A1F65">
      <w:pPr>
        <w:pStyle w:val="NoSpacing"/>
        <w:rPr>
          <w:b/>
        </w:rPr>
      </w:pPr>
    </w:p>
    <w:p w14:paraId="605B495D" w14:textId="3E1DF391" w:rsidR="007A1F65" w:rsidRPr="009E3947" w:rsidRDefault="007A1F65" w:rsidP="007A1F65">
      <w:pPr>
        <w:pStyle w:val="NoSpacing"/>
        <w:rPr>
          <w:b/>
        </w:rPr>
      </w:pPr>
      <w:r w:rsidRPr="009E3947">
        <w:rPr>
          <w:b/>
        </w:rPr>
        <w:t>I.</w:t>
      </w:r>
      <w:r w:rsidR="009E3947" w:rsidRPr="009E3947">
        <w:rPr>
          <w:b/>
        </w:rPr>
        <w:tab/>
      </w:r>
      <w:r w:rsidRPr="009E3947">
        <w:rPr>
          <w:b/>
        </w:rPr>
        <w:t>Balance al 31 de diciembre</w:t>
      </w:r>
      <w:r w:rsidRPr="009E3947">
        <w:rPr>
          <w:rStyle w:val="FootnoteReference"/>
        </w:rPr>
        <w:footnoteReference w:id="8"/>
      </w:r>
    </w:p>
    <w:p w14:paraId="610B76E8" w14:textId="77777777" w:rsidR="007A1F65" w:rsidRPr="009E3947" w:rsidRDefault="007A1F65" w:rsidP="007A1F65">
      <w:pPr>
        <w:rPr>
          <w:rFonts w:eastAsia="Times New Roman" w:cs="Arial"/>
          <w:b/>
          <w:bCs/>
          <w:lang w:eastAsia="en-GB"/>
        </w:rPr>
      </w:pPr>
    </w:p>
    <w:tbl>
      <w:tblPr>
        <w:tblW w:w="8297" w:type="dxa"/>
        <w:tblLayout w:type="fixed"/>
        <w:tblCellMar>
          <w:top w:w="28" w:type="dxa"/>
          <w:bottom w:w="28" w:type="dxa"/>
        </w:tblCellMar>
        <w:tblLook w:val="0000" w:firstRow="0" w:lastRow="0" w:firstColumn="0" w:lastColumn="0" w:noHBand="0" w:noVBand="0"/>
      </w:tblPr>
      <w:tblGrid>
        <w:gridCol w:w="3969"/>
        <w:gridCol w:w="846"/>
        <w:gridCol w:w="1620"/>
        <w:gridCol w:w="283"/>
        <w:gridCol w:w="1579"/>
      </w:tblGrid>
      <w:tr w:rsidR="007A1F65" w:rsidRPr="009E3947" w14:paraId="34623D9A" w14:textId="77777777" w:rsidTr="008A6720">
        <w:trPr>
          <w:trHeight w:val="426"/>
        </w:trPr>
        <w:tc>
          <w:tcPr>
            <w:tcW w:w="3969" w:type="dxa"/>
            <w:tcBorders>
              <w:top w:val="nil"/>
              <w:left w:val="nil"/>
              <w:bottom w:val="single" w:sz="12" w:space="0" w:color="auto"/>
              <w:right w:val="nil"/>
            </w:tcBorders>
            <w:shd w:val="solid" w:color="FFFFFF" w:fill="auto"/>
            <w:vAlign w:val="center"/>
          </w:tcPr>
          <w:p w14:paraId="0FDD9DD7" w14:textId="77777777" w:rsidR="007A1F65" w:rsidRPr="009E3947" w:rsidRDefault="007A1F65" w:rsidP="008A6720">
            <w:pPr>
              <w:autoSpaceDE w:val="0"/>
              <w:autoSpaceDN w:val="0"/>
              <w:adjustRightInd w:val="0"/>
              <w:ind w:left="0" w:firstLine="0"/>
              <w:rPr>
                <w:rFonts w:asciiTheme="minorHAnsi" w:eastAsiaTheme="minorHAnsi" w:hAnsiTheme="minorHAnsi" w:cstheme="minorHAnsi"/>
                <w:i/>
                <w:iCs/>
                <w:color w:val="000000"/>
                <w:sz w:val="20"/>
                <w:szCs w:val="20"/>
              </w:rPr>
            </w:pPr>
            <w:r w:rsidRPr="009E3947">
              <w:rPr>
                <w:rFonts w:asciiTheme="minorHAnsi" w:hAnsiTheme="minorHAnsi"/>
                <w:i/>
                <w:iCs/>
                <w:color w:val="000000"/>
                <w:sz w:val="20"/>
                <w:szCs w:val="20"/>
              </w:rPr>
              <w:t>en miles de francos suizos</w:t>
            </w:r>
          </w:p>
        </w:tc>
        <w:tc>
          <w:tcPr>
            <w:tcW w:w="846" w:type="dxa"/>
            <w:tcBorders>
              <w:top w:val="nil"/>
              <w:left w:val="nil"/>
              <w:bottom w:val="single" w:sz="12" w:space="0" w:color="auto"/>
              <w:right w:val="nil"/>
            </w:tcBorders>
            <w:shd w:val="solid" w:color="FFFFFF" w:fill="auto"/>
            <w:vAlign w:val="center"/>
          </w:tcPr>
          <w:p w14:paraId="43FD08BD"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Notas</w:t>
            </w:r>
          </w:p>
        </w:tc>
        <w:tc>
          <w:tcPr>
            <w:tcW w:w="1620" w:type="dxa"/>
            <w:tcBorders>
              <w:top w:val="nil"/>
              <w:left w:val="nil"/>
              <w:bottom w:val="single" w:sz="12" w:space="0" w:color="auto"/>
              <w:right w:val="nil"/>
            </w:tcBorders>
            <w:shd w:val="clear" w:color="auto" w:fill="B8CCE4" w:themeFill="accent1" w:themeFillTint="66"/>
            <w:vAlign w:val="center"/>
          </w:tcPr>
          <w:p w14:paraId="5D450703" w14:textId="2AA19F47" w:rsidR="007A1F65" w:rsidRPr="009E3947" w:rsidRDefault="003D2534" w:rsidP="008A6720">
            <w:pPr>
              <w:autoSpaceDE w:val="0"/>
              <w:autoSpaceDN w:val="0"/>
              <w:adjustRightInd w:val="0"/>
              <w:ind w:left="0" w:firstLine="0"/>
              <w:jc w:val="center"/>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2024</w:t>
            </w:r>
          </w:p>
        </w:tc>
        <w:tc>
          <w:tcPr>
            <w:tcW w:w="283" w:type="dxa"/>
            <w:tcBorders>
              <w:top w:val="nil"/>
              <w:left w:val="nil"/>
              <w:bottom w:val="single" w:sz="12" w:space="0" w:color="auto"/>
              <w:right w:val="nil"/>
            </w:tcBorders>
            <w:shd w:val="clear" w:color="auto" w:fill="F2F2F2" w:themeFill="background1" w:themeFillShade="F2"/>
            <w:vAlign w:val="center"/>
          </w:tcPr>
          <w:p w14:paraId="3C2ADB7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579" w:type="dxa"/>
            <w:tcBorders>
              <w:top w:val="nil"/>
              <w:left w:val="nil"/>
              <w:bottom w:val="single" w:sz="12" w:space="0" w:color="auto"/>
              <w:right w:val="nil"/>
            </w:tcBorders>
            <w:shd w:val="clear" w:color="auto" w:fill="D6E3BC" w:themeFill="accent3" w:themeFillTint="66"/>
            <w:vAlign w:val="center"/>
          </w:tcPr>
          <w:p w14:paraId="5331B10E" w14:textId="5BFA3338" w:rsidR="007A1F65" w:rsidRPr="009E3947" w:rsidRDefault="003D2534" w:rsidP="008A6720">
            <w:pPr>
              <w:autoSpaceDE w:val="0"/>
              <w:autoSpaceDN w:val="0"/>
              <w:adjustRightInd w:val="0"/>
              <w:ind w:left="0" w:firstLine="0"/>
              <w:jc w:val="center"/>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2023</w:t>
            </w:r>
          </w:p>
        </w:tc>
      </w:tr>
      <w:tr w:rsidR="007A1F65" w:rsidRPr="009E3947" w14:paraId="4F9FEE6F" w14:textId="77777777" w:rsidTr="008A6720">
        <w:tc>
          <w:tcPr>
            <w:tcW w:w="3969" w:type="dxa"/>
            <w:tcBorders>
              <w:top w:val="nil"/>
              <w:left w:val="nil"/>
              <w:bottom w:val="nil"/>
              <w:right w:val="nil"/>
            </w:tcBorders>
            <w:shd w:val="solid" w:color="FFFFFF" w:fill="auto"/>
          </w:tcPr>
          <w:p w14:paraId="37E21CC8"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p>
          <w:p w14:paraId="7876E458"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ACTIVO</w:t>
            </w:r>
          </w:p>
        </w:tc>
        <w:tc>
          <w:tcPr>
            <w:tcW w:w="846" w:type="dxa"/>
            <w:tcBorders>
              <w:top w:val="nil"/>
              <w:left w:val="nil"/>
              <w:bottom w:val="nil"/>
              <w:right w:val="nil"/>
            </w:tcBorders>
            <w:shd w:val="solid" w:color="FFFFFF" w:fill="auto"/>
          </w:tcPr>
          <w:p w14:paraId="0422ECF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4AE8C5D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5EF9F52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63FFB7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540A3358" w14:textId="77777777" w:rsidTr="008A6720">
        <w:tc>
          <w:tcPr>
            <w:tcW w:w="3969" w:type="dxa"/>
            <w:tcBorders>
              <w:top w:val="nil"/>
              <w:left w:val="nil"/>
              <w:bottom w:val="nil"/>
              <w:right w:val="nil"/>
            </w:tcBorders>
            <w:shd w:val="solid" w:color="FFFFFF" w:fill="auto"/>
          </w:tcPr>
          <w:p w14:paraId="458AF41D"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Activo corriente</w:t>
            </w:r>
          </w:p>
        </w:tc>
        <w:tc>
          <w:tcPr>
            <w:tcW w:w="846" w:type="dxa"/>
            <w:tcBorders>
              <w:top w:val="nil"/>
              <w:left w:val="nil"/>
              <w:bottom w:val="nil"/>
              <w:right w:val="nil"/>
            </w:tcBorders>
            <w:shd w:val="solid" w:color="FFFFFF" w:fill="auto"/>
          </w:tcPr>
          <w:p w14:paraId="7EC3C390"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732730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2572EBC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4CBA87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517AD956" w14:textId="77777777" w:rsidTr="008A6720">
        <w:tc>
          <w:tcPr>
            <w:tcW w:w="3969" w:type="dxa"/>
            <w:tcBorders>
              <w:top w:val="nil"/>
              <w:left w:val="nil"/>
              <w:bottom w:val="nil"/>
              <w:right w:val="nil"/>
            </w:tcBorders>
            <w:shd w:val="solid" w:color="FFFFFF" w:fill="auto"/>
          </w:tcPr>
          <w:p w14:paraId="2660A291"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Efectivo y depósitos bancarios a corto plazo</w:t>
            </w:r>
          </w:p>
        </w:tc>
        <w:tc>
          <w:tcPr>
            <w:tcW w:w="846" w:type="dxa"/>
            <w:tcBorders>
              <w:top w:val="nil"/>
              <w:left w:val="nil"/>
              <w:bottom w:val="nil"/>
              <w:right w:val="nil"/>
            </w:tcBorders>
            <w:shd w:val="solid" w:color="FFFFFF" w:fill="auto"/>
          </w:tcPr>
          <w:p w14:paraId="6449683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F301A7C" w14:textId="21B4D9FA"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7</w:t>
            </w:r>
            <w:r w:rsidR="00A10967">
              <w:rPr>
                <w:sz w:val="20"/>
                <w:szCs w:val="20"/>
              </w:rPr>
              <w:t> </w:t>
            </w:r>
            <w:r w:rsidRPr="009E3947">
              <w:rPr>
                <w:sz w:val="20"/>
                <w:szCs w:val="20"/>
              </w:rPr>
              <w:t>255</w:t>
            </w:r>
          </w:p>
        </w:tc>
        <w:tc>
          <w:tcPr>
            <w:tcW w:w="283" w:type="dxa"/>
            <w:tcBorders>
              <w:top w:val="nil"/>
              <w:left w:val="nil"/>
              <w:bottom w:val="nil"/>
              <w:right w:val="nil"/>
            </w:tcBorders>
            <w:shd w:val="clear" w:color="auto" w:fill="F2F2F2" w:themeFill="background1" w:themeFillShade="F2"/>
            <w:vAlign w:val="center"/>
          </w:tcPr>
          <w:p w14:paraId="237507B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BB53338" w14:textId="53AF1687"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7</w:t>
            </w:r>
            <w:r w:rsidR="00A10967">
              <w:rPr>
                <w:sz w:val="20"/>
              </w:rPr>
              <w:t> </w:t>
            </w:r>
            <w:r w:rsidRPr="009E3947">
              <w:rPr>
                <w:sz w:val="20"/>
              </w:rPr>
              <w:t>176</w:t>
            </w:r>
          </w:p>
        </w:tc>
      </w:tr>
      <w:tr w:rsidR="007A1F65" w:rsidRPr="009E3947" w14:paraId="21D803CB" w14:textId="77777777" w:rsidTr="008A6720">
        <w:tc>
          <w:tcPr>
            <w:tcW w:w="3969" w:type="dxa"/>
            <w:tcBorders>
              <w:top w:val="nil"/>
              <w:left w:val="nil"/>
              <w:bottom w:val="nil"/>
              <w:right w:val="nil"/>
            </w:tcBorders>
            <w:shd w:val="solid" w:color="FFFFFF" w:fill="auto"/>
          </w:tcPr>
          <w:p w14:paraId="70F0AAF4"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Activos exigibles a las Partes Contratantes (netos)</w:t>
            </w:r>
          </w:p>
        </w:tc>
        <w:tc>
          <w:tcPr>
            <w:tcW w:w="846" w:type="dxa"/>
            <w:tcBorders>
              <w:top w:val="nil"/>
              <w:left w:val="nil"/>
              <w:bottom w:val="nil"/>
              <w:right w:val="nil"/>
            </w:tcBorders>
            <w:shd w:val="solid" w:color="FFFFFF" w:fill="auto"/>
          </w:tcPr>
          <w:p w14:paraId="5BDB565D"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6</w:t>
            </w:r>
          </w:p>
        </w:tc>
        <w:tc>
          <w:tcPr>
            <w:tcW w:w="1620" w:type="dxa"/>
            <w:tcBorders>
              <w:top w:val="nil"/>
              <w:left w:val="nil"/>
              <w:bottom w:val="nil"/>
              <w:right w:val="nil"/>
            </w:tcBorders>
            <w:shd w:val="solid" w:color="FFFFFF" w:fill="auto"/>
          </w:tcPr>
          <w:p w14:paraId="088D1437" w14:textId="66D37A25"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372</w:t>
            </w:r>
          </w:p>
        </w:tc>
        <w:tc>
          <w:tcPr>
            <w:tcW w:w="283" w:type="dxa"/>
            <w:tcBorders>
              <w:top w:val="nil"/>
              <w:left w:val="nil"/>
              <w:bottom w:val="nil"/>
              <w:right w:val="nil"/>
            </w:tcBorders>
            <w:shd w:val="clear" w:color="auto" w:fill="F2F2F2" w:themeFill="background1" w:themeFillShade="F2"/>
            <w:vAlign w:val="center"/>
          </w:tcPr>
          <w:p w14:paraId="274D411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9C62721" w14:textId="5A01BE66"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221</w:t>
            </w:r>
          </w:p>
        </w:tc>
      </w:tr>
      <w:tr w:rsidR="007A1F65" w:rsidRPr="009E3947" w14:paraId="456CA5B2" w14:textId="77777777" w:rsidTr="008A6720">
        <w:tc>
          <w:tcPr>
            <w:tcW w:w="3969" w:type="dxa"/>
            <w:tcBorders>
              <w:top w:val="nil"/>
              <w:left w:val="nil"/>
              <w:bottom w:val="nil"/>
              <w:right w:val="nil"/>
            </w:tcBorders>
            <w:shd w:val="solid" w:color="FFFFFF" w:fill="auto"/>
          </w:tcPr>
          <w:p w14:paraId="6AAC633B"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Otros activos exigibles</w:t>
            </w:r>
          </w:p>
        </w:tc>
        <w:tc>
          <w:tcPr>
            <w:tcW w:w="846" w:type="dxa"/>
            <w:tcBorders>
              <w:top w:val="nil"/>
              <w:left w:val="nil"/>
              <w:bottom w:val="nil"/>
              <w:right w:val="nil"/>
            </w:tcBorders>
            <w:shd w:val="solid" w:color="FFFFFF" w:fill="auto"/>
          </w:tcPr>
          <w:p w14:paraId="7267B096"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7</w:t>
            </w:r>
          </w:p>
        </w:tc>
        <w:tc>
          <w:tcPr>
            <w:tcW w:w="1620" w:type="dxa"/>
            <w:tcBorders>
              <w:top w:val="nil"/>
              <w:left w:val="nil"/>
              <w:bottom w:val="single" w:sz="6" w:space="0" w:color="auto"/>
              <w:right w:val="nil"/>
            </w:tcBorders>
            <w:shd w:val="solid" w:color="FFFFFF" w:fill="auto"/>
          </w:tcPr>
          <w:p w14:paraId="0EEE68C0" w14:textId="0F28D489"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277</w:t>
            </w:r>
          </w:p>
        </w:tc>
        <w:tc>
          <w:tcPr>
            <w:tcW w:w="283" w:type="dxa"/>
            <w:tcBorders>
              <w:top w:val="nil"/>
              <w:left w:val="nil"/>
              <w:bottom w:val="single" w:sz="6" w:space="0" w:color="auto"/>
              <w:right w:val="nil"/>
            </w:tcBorders>
            <w:shd w:val="clear" w:color="auto" w:fill="F2F2F2" w:themeFill="background1" w:themeFillShade="F2"/>
            <w:vAlign w:val="center"/>
          </w:tcPr>
          <w:p w14:paraId="6B3543C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575DB58" w14:textId="2C6E56C6"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45</w:t>
            </w:r>
          </w:p>
        </w:tc>
      </w:tr>
      <w:tr w:rsidR="007A1F65" w:rsidRPr="009E3947" w14:paraId="08112258" w14:textId="77777777" w:rsidTr="008A6720">
        <w:tc>
          <w:tcPr>
            <w:tcW w:w="3969" w:type="dxa"/>
            <w:tcBorders>
              <w:top w:val="nil"/>
              <w:left w:val="nil"/>
              <w:bottom w:val="nil"/>
              <w:right w:val="nil"/>
            </w:tcBorders>
            <w:shd w:val="solid" w:color="FFFFFF" w:fill="auto"/>
          </w:tcPr>
          <w:p w14:paraId="741D78B3"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Total, Activos corrientes</w:t>
            </w:r>
          </w:p>
        </w:tc>
        <w:tc>
          <w:tcPr>
            <w:tcW w:w="846" w:type="dxa"/>
            <w:tcBorders>
              <w:top w:val="nil"/>
              <w:left w:val="nil"/>
              <w:bottom w:val="nil"/>
              <w:right w:val="nil"/>
            </w:tcBorders>
            <w:shd w:val="solid" w:color="FFFFFF" w:fill="auto"/>
          </w:tcPr>
          <w:p w14:paraId="29AC5F7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54D73C8F" w14:textId="40995D02" w:rsidR="007A1F65" w:rsidRPr="009E3947" w:rsidRDefault="00665023"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szCs w:val="20"/>
              </w:rPr>
              <w:t>7</w:t>
            </w:r>
            <w:r w:rsidR="00A10967">
              <w:rPr>
                <w:sz w:val="20"/>
                <w:szCs w:val="20"/>
              </w:rPr>
              <w:t> </w:t>
            </w:r>
            <w:r w:rsidRPr="009E3947">
              <w:rPr>
                <w:sz w:val="20"/>
                <w:szCs w:val="20"/>
              </w:rPr>
              <w:t>904</w:t>
            </w:r>
          </w:p>
        </w:tc>
        <w:tc>
          <w:tcPr>
            <w:tcW w:w="283" w:type="dxa"/>
            <w:tcBorders>
              <w:top w:val="nil"/>
              <w:left w:val="nil"/>
              <w:bottom w:val="nil"/>
              <w:right w:val="nil"/>
            </w:tcBorders>
            <w:shd w:val="clear" w:color="auto" w:fill="F2F2F2" w:themeFill="background1" w:themeFillShade="F2"/>
            <w:vAlign w:val="center"/>
          </w:tcPr>
          <w:p w14:paraId="603B1C1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56B20FB3" w14:textId="35C334D1" w:rsidR="007A1F65" w:rsidRPr="009E3947" w:rsidRDefault="003D2534"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rPr>
              <w:t>7</w:t>
            </w:r>
            <w:r w:rsidR="00A10967">
              <w:rPr>
                <w:sz w:val="20"/>
              </w:rPr>
              <w:t> </w:t>
            </w:r>
            <w:r w:rsidRPr="009E3947">
              <w:rPr>
                <w:sz w:val="20"/>
              </w:rPr>
              <w:t>442</w:t>
            </w:r>
          </w:p>
        </w:tc>
      </w:tr>
      <w:tr w:rsidR="007A1F65" w:rsidRPr="009E3947" w14:paraId="33664A06" w14:textId="77777777" w:rsidTr="008A6720">
        <w:tc>
          <w:tcPr>
            <w:tcW w:w="3969" w:type="dxa"/>
            <w:tcBorders>
              <w:top w:val="nil"/>
              <w:left w:val="nil"/>
              <w:bottom w:val="nil"/>
              <w:right w:val="nil"/>
            </w:tcBorders>
            <w:shd w:val="solid" w:color="FFFFFF" w:fill="auto"/>
          </w:tcPr>
          <w:p w14:paraId="145F350E"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3831E9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838A1A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2F9D681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4B01D7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134B774C" w14:textId="77777777" w:rsidTr="008A6720">
        <w:tc>
          <w:tcPr>
            <w:tcW w:w="3969" w:type="dxa"/>
            <w:tcBorders>
              <w:top w:val="nil"/>
              <w:left w:val="nil"/>
              <w:bottom w:val="nil"/>
              <w:right w:val="nil"/>
            </w:tcBorders>
            <w:shd w:val="solid" w:color="FFFFFF" w:fill="auto"/>
          </w:tcPr>
          <w:p w14:paraId="76329714"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Activos fijos (netos)</w:t>
            </w:r>
          </w:p>
        </w:tc>
        <w:tc>
          <w:tcPr>
            <w:tcW w:w="846" w:type="dxa"/>
            <w:tcBorders>
              <w:top w:val="nil"/>
              <w:left w:val="nil"/>
              <w:bottom w:val="nil"/>
              <w:right w:val="nil"/>
            </w:tcBorders>
            <w:shd w:val="solid" w:color="FFFFFF" w:fill="auto"/>
          </w:tcPr>
          <w:p w14:paraId="0DDABE60"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9</w:t>
            </w:r>
          </w:p>
        </w:tc>
        <w:tc>
          <w:tcPr>
            <w:tcW w:w="1620" w:type="dxa"/>
            <w:tcBorders>
              <w:top w:val="nil"/>
              <w:left w:val="nil"/>
              <w:bottom w:val="nil"/>
              <w:right w:val="nil"/>
            </w:tcBorders>
            <w:shd w:val="solid" w:color="FFFFFF" w:fill="auto"/>
          </w:tcPr>
          <w:p w14:paraId="1BC60FC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22</w:t>
            </w:r>
          </w:p>
        </w:tc>
        <w:tc>
          <w:tcPr>
            <w:tcW w:w="283" w:type="dxa"/>
            <w:tcBorders>
              <w:top w:val="nil"/>
              <w:left w:val="nil"/>
              <w:bottom w:val="nil"/>
              <w:right w:val="nil"/>
            </w:tcBorders>
            <w:shd w:val="clear" w:color="auto" w:fill="F2F2F2" w:themeFill="background1" w:themeFillShade="F2"/>
            <w:vAlign w:val="center"/>
          </w:tcPr>
          <w:p w14:paraId="1857901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23FC3E7" w14:textId="527073FF"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22</w:t>
            </w:r>
          </w:p>
        </w:tc>
      </w:tr>
      <w:tr w:rsidR="007A1F65" w:rsidRPr="009E3947" w14:paraId="5BCF6CC0" w14:textId="77777777" w:rsidTr="008A6720">
        <w:tc>
          <w:tcPr>
            <w:tcW w:w="3969" w:type="dxa"/>
            <w:tcBorders>
              <w:top w:val="nil"/>
              <w:left w:val="nil"/>
              <w:bottom w:val="nil"/>
              <w:right w:val="nil"/>
            </w:tcBorders>
            <w:shd w:val="solid" w:color="FFFFFF" w:fill="auto"/>
          </w:tcPr>
          <w:p w14:paraId="512C542F"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Total, Activos no corrientes</w:t>
            </w:r>
          </w:p>
        </w:tc>
        <w:tc>
          <w:tcPr>
            <w:tcW w:w="846" w:type="dxa"/>
            <w:tcBorders>
              <w:top w:val="nil"/>
              <w:left w:val="nil"/>
              <w:bottom w:val="nil"/>
              <w:right w:val="nil"/>
            </w:tcBorders>
            <w:shd w:val="solid" w:color="FFFFFF" w:fill="auto"/>
          </w:tcPr>
          <w:p w14:paraId="2CA6640B"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nil"/>
              <w:right w:val="nil"/>
            </w:tcBorders>
            <w:shd w:val="solid" w:color="FFFFFF" w:fill="auto"/>
          </w:tcPr>
          <w:p w14:paraId="0658D31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szCs w:val="20"/>
              </w:rPr>
              <w:t>22</w:t>
            </w:r>
          </w:p>
        </w:tc>
        <w:tc>
          <w:tcPr>
            <w:tcW w:w="283" w:type="dxa"/>
            <w:tcBorders>
              <w:top w:val="single" w:sz="6" w:space="0" w:color="auto"/>
              <w:left w:val="nil"/>
              <w:bottom w:val="nil"/>
              <w:right w:val="nil"/>
            </w:tcBorders>
            <w:shd w:val="clear" w:color="auto" w:fill="F2F2F2" w:themeFill="background1" w:themeFillShade="F2"/>
            <w:vAlign w:val="center"/>
          </w:tcPr>
          <w:p w14:paraId="18A6CBB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nil"/>
              <w:right w:val="nil"/>
            </w:tcBorders>
            <w:shd w:val="solid" w:color="FFFFFF" w:fill="auto"/>
          </w:tcPr>
          <w:p w14:paraId="51E1BAFD" w14:textId="1D2BF5C5" w:rsidR="007A1F65" w:rsidRPr="009E3947" w:rsidRDefault="003D2534"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rPr>
              <w:t>22</w:t>
            </w:r>
          </w:p>
        </w:tc>
      </w:tr>
      <w:tr w:rsidR="007A1F65" w:rsidRPr="009E3947" w14:paraId="2DA7414E" w14:textId="77777777" w:rsidTr="008A6720">
        <w:tc>
          <w:tcPr>
            <w:tcW w:w="3969" w:type="dxa"/>
            <w:tcBorders>
              <w:top w:val="nil"/>
              <w:left w:val="nil"/>
              <w:bottom w:val="nil"/>
              <w:right w:val="nil"/>
            </w:tcBorders>
            <w:shd w:val="solid" w:color="FFFFFF" w:fill="auto"/>
          </w:tcPr>
          <w:p w14:paraId="3F8BF0B8"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769E9D0E"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tcPr>
          <w:p w14:paraId="3DFC169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AFBD6C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A6C73E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5817916C" w14:textId="77777777" w:rsidTr="008A6720">
        <w:tc>
          <w:tcPr>
            <w:tcW w:w="3969" w:type="dxa"/>
            <w:tcBorders>
              <w:top w:val="nil"/>
              <w:left w:val="nil"/>
              <w:bottom w:val="nil"/>
              <w:right w:val="nil"/>
            </w:tcBorders>
            <w:shd w:val="solid" w:color="FFFFFF" w:fill="auto"/>
          </w:tcPr>
          <w:p w14:paraId="048125D5"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TOTAL, ACTIVOS</w:t>
            </w:r>
          </w:p>
        </w:tc>
        <w:tc>
          <w:tcPr>
            <w:tcW w:w="846" w:type="dxa"/>
            <w:tcBorders>
              <w:top w:val="nil"/>
              <w:left w:val="nil"/>
              <w:bottom w:val="nil"/>
              <w:right w:val="nil"/>
            </w:tcBorders>
            <w:shd w:val="solid" w:color="FFFFFF" w:fill="auto"/>
          </w:tcPr>
          <w:p w14:paraId="6994FD58" w14:textId="77777777" w:rsidR="007A1F65" w:rsidRPr="009E3947" w:rsidRDefault="007A1F65" w:rsidP="008A6720">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solid" w:color="FFFFFF" w:fill="auto"/>
          </w:tcPr>
          <w:p w14:paraId="13C8162D" w14:textId="27372FC6"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b/>
                <w:sz w:val="20"/>
              </w:rPr>
              <w:t>7</w:t>
            </w:r>
            <w:r w:rsidR="00A10967">
              <w:rPr>
                <w:b/>
                <w:sz w:val="20"/>
              </w:rPr>
              <w:t> </w:t>
            </w:r>
            <w:r w:rsidRPr="009E3947">
              <w:rPr>
                <w:b/>
                <w:sz w:val="20"/>
              </w:rPr>
              <w:t>926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E0783D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solid" w:color="FFFFFF" w:fill="auto"/>
          </w:tcPr>
          <w:p w14:paraId="015940CC" w14:textId="61A3D7C6" w:rsidR="007A1F65" w:rsidRPr="009E3947" w:rsidRDefault="003D2534"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b/>
                <w:sz w:val="20"/>
              </w:rPr>
              <w:t>7</w:t>
            </w:r>
            <w:r w:rsidR="00A10967">
              <w:rPr>
                <w:b/>
                <w:sz w:val="20"/>
              </w:rPr>
              <w:t> </w:t>
            </w:r>
            <w:r w:rsidRPr="009E3947">
              <w:rPr>
                <w:b/>
                <w:sz w:val="20"/>
              </w:rPr>
              <w:t>464</w:t>
            </w:r>
          </w:p>
        </w:tc>
      </w:tr>
      <w:tr w:rsidR="007A1F65" w:rsidRPr="009E3947" w14:paraId="3E8643C1" w14:textId="77777777" w:rsidTr="008A6720">
        <w:tc>
          <w:tcPr>
            <w:tcW w:w="3969" w:type="dxa"/>
            <w:tcBorders>
              <w:top w:val="nil"/>
              <w:left w:val="nil"/>
              <w:bottom w:val="nil"/>
              <w:right w:val="nil"/>
            </w:tcBorders>
            <w:shd w:val="solid" w:color="FFFFFF" w:fill="auto"/>
          </w:tcPr>
          <w:p w14:paraId="1B32C8B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064B93D7"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C7353C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F61EDB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AEA031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7259E709" w14:textId="77777777" w:rsidTr="008A6720">
        <w:tc>
          <w:tcPr>
            <w:tcW w:w="3969" w:type="dxa"/>
            <w:tcBorders>
              <w:top w:val="nil"/>
              <w:left w:val="nil"/>
              <w:bottom w:val="nil"/>
              <w:right w:val="nil"/>
            </w:tcBorders>
            <w:shd w:val="solid" w:color="FFFFFF" w:fill="auto"/>
          </w:tcPr>
          <w:p w14:paraId="3FE2233F"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PASIVO Y SALDOS DE FONDOS</w:t>
            </w:r>
          </w:p>
        </w:tc>
        <w:tc>
          <w:tcPr>
            <w:tcW w:w="846" w:type="dxa"/>
            <w:tcBorders>
              <w:top w:val="nil"/>
              <w:left w:val="nil"/>
              <w:bottom w:val="nil"/>
              <w:right w:val="nil"/>
            </w:tcBorders>
            <w:shd w:val="solid" w:color="FFFFFF" w:fill="auto"/>
          </w:tcPr>
          <w:p w14:paraId="616F037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AE42B4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E5CBD6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6DAC8E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3DC8B4D7" w14:textId="77777777" w:rsidTr="008A6720">
        <w:tc>
          <w:tcPr>
            <w:tcW w:w="3969" w:type="dxa"/>
            <w:tcBorders>
              <w:top w:val="nil"/>
              <w:left w:val="nil"/>
              <w:bottom w:val="nil"/>
              <w:right w:val="nil"/>
            </w:tcBorders>
            <w:shd w:val="solid" w:color="FFFFFF" w:fill="auto"/>
          </w:tcPr>
          <w:p w14:paraId="7E01290B"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Pasivo corriente</w:t>
            </w:r>
          </w:p>
        </w:tc>
        <w:tc>
          <w:tcPr>
            <w:tcW w:w="846" w:type="dxa"/>
            <w:tcBorders>
              <w:top w:val="nil"/>
              <w:left w:val="nil"/>
              <w:bottom w:val="nil"/>
              <w:right w:val="nil"/>
            </w:tcBorders>
            <w:shd w:val="solid" w:color="FFFFFF" w:fill="auto"/>
          </w:tcPr>
          <w:p w14:paraId="0D90970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EFF20D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C9BB98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D28B58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11E28734" w14:textId="77777777" w:rsidTr="008A6720">
        <w:tc>
          <w:tcPr>
            <w:tcW w:w="3969" w:type="dxa"/>
            <w:tcBorders>
              <w:top w:val="nil"/>
              <w:left w:val="nil"/>
              <w:bottom w:val="nil"/>
              <w:right w:val="nil"/>
            </w:tcBorders>
            <w:shd w:val="solid" w:color="FFFFFF" w:fill="auto"/>
          </w:tcPr>
          <w:p w14:paraId="57CE69CE"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Importe adeudado a la UICN</w:t>
            </w:r>
          </w:p>
        </w:tc>
        <w:tc>
          <w:tcPr>
            <w:tcW w:w="846" w:type="dxa"/>
            <w:tcBorders>
              <w:top w:val="nil"/>
              <w:left w:val="nil"/>
              <w:bottom w:val="nil"/>
              <w:right w:val="nil"/>
            </w:tcBorders>
            <w:shd w:val="solid" w:color="FFFFFF" w:fill="auto"/>
          </w:tcPr>
          <w:p w14:paraId="24BDEB8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501CF99" w14:textId="05AF4317"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136</w:t>
            </w:r>
          </w:p>
        </w:tc>
        <w:tc>
          <w:tcPr>
            <w:tcW w:w="283" w:type="dxa"/>
            <w:tcBorders>
              <w:top w:val="nil"/>
              <w:left w:val="nil"/>
              <w:bottom w:val="nil"/>
              <w:right w:val="nil"/>
            </w:tcBorders>
            <w:shd w:val="clear" w:color="auto" w:fill="F2F2F2" w:themeFill="background1" w:themeFillShade="F2"/>
            <w:vAlign w:val="center"/>
          </w:tcPr>
          <w:p w14:paraId="5185D87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6CEAD7E" w14:textId="2FAD7783"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230</w:t>
            </w:r>
          </w:p>
        </w:tc>
      </w:tr>
      <w:tr w:rsidR="007A1F65" w:rsidRPr="009E3947" w14:paraId="340829D2" w14:textId="77777777" w:rsidTr="008A6720">
        <w:tc>
          <w:tcPr>
            <w:tcW w:w="3969" w:type="dxa"/>
            <w:tcBorders>
              <w:top w:val="nil"/>
              <w:left w:val="nil"/>
              <w:bottom w:val="nil"/>
              <w:right w:val="nil"/>
            </w:tcBorders>
            <w:shd w:val="solid" w:color="FFFFFF" w:fill="auto"/>
          </w:tcPr>
          <w:p w14:paraId="3A6993DB"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Otras cuentas por pagar</w:t>
            </w:r>
          </w:p>
        </w:tc>
        <w:tc>
          <w:tcPr>
            <w:tcW w:w="846" w:type="dxa"/>
            <w:tcBorders>
              <w:top w:val="nil"/>
              <w:left w:val="nil"/>
              <w:bottom w:val="nil"/>
              <w:right w:val="nil"/>
            </w:tcBorders>
            <w:shd w:val="solid" w:color="FFFFFF" w:fill="auto"/>
          </w:tcPr>
          <w:p w14:paraId="7F5A1AB6"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8</w:t>
            </w:r>
          </w:p>
        </w:tc>
        <w:tc>
          <w:tcPr>
            <w:tcW w:w="1620" w:type="dxa"/>
            <w:tcBorders>
              <w:top w:val="nil"/>
              <w:left w:val="nil"/>
              <w:bottom w:val="nil"/>
              <w:right w:val="nil"/>
            </w:tcBorders>
            <w:shd w:val="solid" w:color="FFFFFF" w:fill="auto"/>
          </w:tcPr>
          <w:p w14:paraId="3EBFB65F" w14:textId="2CCEB23C"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770</w:t>
            </w:r>
          </w:p>
        </w:tc>
        <w:tc>
          <w:tcPr>
            <w:tcW w:w="283" w:type="dxa"/>
            <w:tcBorders>
              <w:top w:val="nil"/>
              <w:left w:val="nil"/>
              <w:bottom w:val="nil"/>
              <w:right w:val="nil"/>
            </w:tcBorders>
            <w:shd w:val="clear" w:color="auto" w:fill="F2F2F2" w:themeFill="background1" w:themeFillShade="F2"/>
            <w:vAlign w:val="center"/>
          </w:tcPr>
          <w:p w14:paraId="5BC436E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17AEDF9" w14:textId="109872E1"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609</w:t>
            </w:r>
          </w:p>
        </w:tc>
      </w:tr>
      <w:tr w:rsidR="007A1F65" w:rsidRPr="009E3947" w14:paraId="063F0607" w14:textId="77777777" w:rsidTr="008A6720">
        <w:tc>
          <w:tcPr>
            <w:tcW w:w="3969" w:type="dxa"/>
            <w:tcBorders>
              <w:top w:val="nil"/>
              <w:left w:val="nil"/>
              <w:bottom w:val="nil"/>
              <w:right w:val="nil"/>
            </w:tcBorders>
            <w:shd w:val="solid" w:color="FFFFFF" w:fill="auto"/>
          </w:tcPr>
          <w:p w14:paraId="38393841"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Pasivo acumulado</w:t>
            </w:r>
          </w:p>
        </w:tc>
        <w:tc>
          <w:tcPr>
            <w:tcW w:w="846" w:type="dxa"/>
            <w:tcBorders>
              <w:top w:val="nil"/>
              <w:left w:val="nil"/>
              <w:bottom w:val="nil"/>
              <w:right w:val="nil"/>
            </w:tcBorders>
            <w:shd w:val="solid" w:color="FFFFFF" w:fill="auto"/>
          </w:tcPr>
          <w:p w14:paraId="062FDCB9"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single" w:sz="6" w:space="0" w:color="auto"/>
              <w:right w:val="nil"/>
            </w:tcBorders>
            <w:shd w:val="solid" w:color="FFFFFF" w:fill="auto"/>
          </w:tcPr>
          <w:p w14:paraId="75336724" w14:textId="437BD55D"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53</w:t>
            </w:r>
          </w:p>
        </w:tc>
        <w:tc>
          <w:tcPr>
            <w:tcW w:w="283" w:type="dxa"/>
            <w:tcBorders>
              <w:top w:val="nil"/>
              <w:left w:val="nil"/>
              <w:bottom w:val="single" w:sz="6" w:space="0" w:color="auto"/>
              <w:right w:val="nil"/>
            </w:tcBorders>
            <w:shd w:val="clear" w:color="auto" w:fill="F2F2F2" w:themeFill="background1" w:themeFillShade="F2"/>
            <w:vAlign w:val="center"/>
          </w:tcPr>
          <w:p w14:paraId="5008CA4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C45363F" w14:textId="00B53066"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88</w:t>
            </w:r>
          </w:p>
        </w:tc>
      </w:tr>
      <w:tr w:rsidR="007A1F65" w:rsidRPr="009E3947" w14:paraId="132EE49E" w14:textId="77777777" w:rsidTr="008A6720">
        <w:tc>
          <w:tcPr>
            <w:tcW w:w="3969" w:type="dxa"/>
            <w:tcBorders>
              <w:top w:val="nil"/>
              <w:left w:val="nil"/>
              <w:bottom w:val="nil"/>
              <w:right w:val="nil"/>
            </w:tcBorders>
            <w:shd w:val="solid" w:color="FFFFFF" w:fill="auto"/>
          </w:tcPr>
          <w:p w14:paraId="3AD6E6D4"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Total, Pasivo corriente</w:t>
            </w:r>
          </w:p>
        </w:tc>
        <w:tc>
          <w:tcPr>
            <w:tcW w:w="846" w:type="dxa"/>
            <w:tcBorders>
              <w:top w:val="nil"/>
              <w:left w:val="nil"/>
              <w:bottom w:val="nil"/>
              <w:right w:val="nil"/>
            </w:tcBorders>
            <w:shd w:val="solid" w:color="FFFFFF" w:fill="auto"/>
          </w:tcPr>
          <w:p w14:paraId="616213E7"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AA26A4D" w14:textId="420E63D7" w:rsidR="007A1F65" w:rsidRPr="009E3947" w:rsidRDefault="00665023"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szCs w:val="20"/>
              </w:rPr>
              <w:t>959</w:t>
            </w:r>
          </w:p>
        </w:tc>
        <w:tc>
          <w:tcPr>
            <w:tcW w:w="283" w:type="dxa"/>
            <w:tcBorders>
              <w:top w:val="nil"/>
              <w:left w:val="nil"/>
              <w:bottom w:val="nil"/>
              <w:right w:val="nil"/>
            </w:tcBorders>
            <w:shd w:val="clear" w:color="auto" w:fill="F2F2F2" w:themeFill="background1" w:themeFillShade="F2"/>
            <w:vAlign w:val="center"/>
          </w:tcPr>
          <w:p w14:paraId="13D4B63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25FE05B" w14:textId="3D18FE15" w:rsidR="007A1F65" w:rsidRPr="009E3947" w:rsidRDefault="003D2534"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rPr>
              <w:t>927</w:t>
            </w:r>
          </w:p>
        </w:tc>
      </w:tr>
      <w:tr w:rsidR="007A1F65" w:rsidRPr="009E3947" w14:paraId="2FBE8A6F" w14:textId="77777777" w:rsidTr="008A6720">
        <w:tc>
          <w:tcPr>
            <w:tcW w:w="3969" w:type="dxa"/>
            <w:tcBorders>
              <w:top w:val="nil"/>
              <w:left w:val="nil"/>
              <w:bottom w:val="nil"/>
              <w:right w:val="nil"/>
            </w:tcBorders>
            <w:shd w:val="solid" w:color="FFFFFF" w:fill="auto"/>
          </w:tcPr>
          <w:p w14:paraId="090547E9"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AA4663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FF180F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6EEDD77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570497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15A46051" w14:textId="77777777" w:rsidTr="008A6720">
        <w:tc>
          <w:tcPr>
            <w:tcW w:w="3969" w:type="dxa"/>
            <w:tcBorders>
              <w:top w:val="nil"/>
              <w:left w:val="nil"/>
              <w:bottom w:val="nil"/>
              <w:right w:val="nil"/>
            </w:tcBorders>
            <w:shd w:val="solid" w:color="FFFFFF" w:fill="auto"/>
          </w:tcPr>
          <w:p w14:paraId="3BD18D01"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Provisiones</w:t>
            </w:r>
          </w:p>
        </w:tc>
        <w:tc>
          <w:tcPr>
            <w:tcW w:w="846" w:type="dxa"/>
            <w:tcBorders>
              <w:top w:val="nil"/>
              <w:left w:val="nil"/>
              <w:bottom w:val="nil"/>
              <w:right w:val="nil"/>
            </w:tcBorders>
            <w:shd w:val="solid" w:color="FFFFFF" w:fill="auto"/>
          </w:tcPr>
          <w:p w14:paraId="711B408B"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D8804E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263063F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978AD7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3CA22FC4" w14:textId="77777777" w:rsidTr="008A6720">
        <w:tc>
          <w:tcPr>
            <w:tcW w:w="3969" w:type="dxa"/>
            <w:tcBorders>
              <w:top w:val="nil"/>
              <w:left w:val="nil"/>
              <w:bottom w:val="nil"/>
              <w:right w:val="nil"/>
            </w:tcBorders>
            <w:shd w:val="solid" w:color="FFFFFF" w:fill="auto"/>
          </w:tcPr>
          <w:p w14:paraId="5E0FB6FA"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Repatriación del personal</w:t>
            </w:r>
          </w:p>
        </w:tc>
        <w:tc>
          <w:tcPr>
            <w:tcW w:w="846" w:type="dxa"/>
            <w:tcBorders>
              <w:top w:val="nil"/>
              <w:left w:val="nil"/>
              <w:bottom w:val="nil"/>
              <w:right w:val="nil"/>
            </w:tcBorders>
            <w:shd w:val="solid" w:color="FFFFFF" w:fill="auto"/>
          </w:tcPr>
          <w:p w14:paraId="1BEB6D77"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5</w:t>
            </w:r>
          </w:p>
        </w:tc>
        <w:tc>
          <w:tcPr>
            <w:tcW w:w="1620" w:type="dxa"/>
            <w:tcBorders>
              <w:top w:val="nil"/>
              <w:left w:val="nil"/>
              <w:bottom w:val="nil"/>
              <w:right w:val="nil"/>
            </w:tcBorders>
            <w:shd w:val="solid" w:color="FFFFFF" w:fill="auto"/>
          </w:tcPr>
          <w:p w14:paraId="31D31D23" w14:textId="02D83BCE"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186</w:t>
            </w:r>
          </w:p>
        </w:tc>
        <w:tc>
          <w:tcPr>
            <w:tcW w:w="283" w:type="dxa"/>
            <w:tcBorders>
              <w:top w:val="nil"/>
              <w:left w:val="nil"/>
              <w:bottom w:val="nil"/>
              <w:right w:val="nil"/>
            </w:tcBorders>
            <w:shd w:val="clear" w:color="auto" w:fill="F2F2F2" w:themeFill="background1" w:themeFillShade="F2"/>
            <w:vAlign w:val="center"/>
          </w:tcPr>
          <w:p w14:paraId="0B11965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CC069A8" w14:textId="3C7B0EF3"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183</w:t>
            </w:r>
          </w:p>
        </w:tc>
      </w:tr>
      <w:tr w:rsidR="007A1F65" w:rsidRPr="009E3947" w14:paraId="5A6368ED" w14:textId="77777777" w:rsidTr="008A6720">
        <w:tc>
          <w:tcPr>
            <w:tcW w:w="3969" w:type="dxa"/>
            <w:tcBorders>
              <w:top w:val="nil"/>
              <w:left w:val="nil"/>
              <w:bottom w:val="nil"/>
              <w:right w:val="nil"/>
            </w:tcBorders>
            <w:shd w:val="solid" w:color="FFFFFF" w:fill="auto"/>
          </w:tcPr>
          <w:p w14:paraId="350F54F6"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 xml:space="preserve">Vacaciones del personal </w:t>
            </w:r>
          </w:p>
        </w:tc>
        <w:tc>
          <w:tcPr>
            <w:tcW w:w="846" w:type="dxa"/>
            <w:tcBorders>
              <w:top w:val="nil"/>
              <w:left w:val="nil"/>
              <w:bottom w:val="nil"/>
              <w:right w:val="nil"/>
            </w:tcBorders>
            <w:shd w:val="solid" w:color="FFFFFF" w:fill="auto"/>
          </w:tcPr>
          <w:p w14:paraId="283B244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5</w:t>
            </w:r>
          </w:p>
        </w:tc>
        <w:tc>
          <w:tcPr>
            <w:tcW w:w="1620" w:type="dxa"/>
            <w:tcBorders>
              <w:top w:val="nil"/>
              <w:left w:val="nil"/>
              <w:bottom w:val="nil"/>
              <w:right w:val="nil"/>
            </w:tcBorders>
            <w:shd w:val="solid" w:color="FFFFFF" w:fill="auto"/>
          </w:tcPr>
          <w:p w14:paraId="7FEB997F" w14:textId="57F95433"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114</w:t>
            </w:r>
          </w:p>
        </w:tc>
        <w:tc>
          <w:tcPr>
            <w:tcW w:w="283" w:type="dxa"/>
            <w:tcBorders>
              <w:top w:val="nil"/>
              <w:left w:val="nil"/>
              <w:bottom w:val="nil"/>
              <w:right w:val="nil"/>
            </w:tcBorders>
            <w:shd w:val="clear" w:color="auto" w:fill="F2F2F2" w:themeFill="background1" w:themeFillShade="F2"/>
            <w:vAlign w:val="center"/>
          </w:tcPr>
          <w:p w14:paraId="0C6C97F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D0DEDAA" w14:textId="4E3E3F5D"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139</w:t>
            </w:r>
          </w:p>
        </w:tc>
      </w:tr>
      <w:tr w:rsidR="007A1F65" w:rsidRPr="009E3947" w14:paraId="10492B9F" w14:textId="77777777" w:rsidTr="008A6720">
        <w:tc>
          <w:tcPr>
            <w:tcW w:w="3969" w:type="dxa"/>
            <w:tcBorders>
              <w:top w:val="nil"/>
              <w:left w:val="nil"/>
              <w:bottom w:val="nil"/>
              <w:right w:val="nil"/>
            </w:tcBorders>
            <w:shd w:val="solid" w:color="FFFFFF" w:fill="auto"/>
          </w:tcPr>
          <w:p w14:paraId="32BD2198"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Separación del personal</w:t>
            </w:r>
          </w:p>
        </w:tc>
        <w:tc>
          <w:tcPr>
            <w:tcW w:w="846" w:type="dxa"/>
            <w:tcBorders>
              <w:top w:val="nil"/>
              <w:left w:val="nil"/>
              <w:bottom w:val="nil"/>
              <w:right w:val="nil"/>
            </w:tcBorders>
            <w:shd w:val="solid" w:color="FFFFFF" w:fill="auto"/>
          </w:tcPr>
          <w:p w14:paraId="1CBE815D"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5</w:t>
            </w:r>
          </w:p>
        </w:tc>
        <w:tc>
          <w:tcPr>
            <w:tcW w:w="1620" w:type="dxa"/>
            <w:tcBorders>
              <w:top w:val="nil"/>
              <w:left w:val="nil"/>
              <w:bottom w:val="single" w:sz="6" w:space="0" w:color="auto"/>
              <w:right w:val="nil"/>
            </w:tcBorders>
            <w:shd w:val="solid" w:color="FFFFFF" w:fill="auto"/>
          </w:tcPr>
          <w:p w14:paraId="537588A7" w14:textId="4511AA9A"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228</w:t>
            </w:r>
          </w:p>
        </w:tc>
        <w:tc>
          <w:tcPr>
            <w:tcW w:w="283" w:type="dxa"/>
            <w:tcBorders>
              <w:top w:val="nil"/>
              <w:left w:val="nil"/>
              <w:bottom w:val="single" w:sz="6" w:space="0" w:color="auto"/>
              <w:right w:val="nil"/>
            </w:tcBorders>
            <w:shd w:val="clear" w:color="auto" w:fill="F2F2F2" w:themeFill="background1" w:themeFillShade="F2"/>
            <w:vAlign w:val="center"/>
          </w:tcPr>
          <w:p w14:paraId="5F084D8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5C930C3B" w14:textId="671A0B73"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201</w:t>
            </w:r>
          </w:p>
        </w:tc>
      </w:tr>
      <w:tr w:rsidR="007A1F65" w:rsidRPr="009E3947" w14:paraId="02F032A4" w14:textId="77777777" w:rsidTr="008A6720">
        <w:tc>
          <w:tcPr>
            <w:tcW w:w="3969" w:type="dxa"/>
            <w:tcBorders>
              <w:top w:val="nil"/>
              <w:left w:val="nil"/>
              <w:bottom w:val="nil"/>
              <w:right w:val="nil"/>
            </w:tcBorders>
            <w:shd w:val="solid" w:color="FFFFFF" w:fill="auto"/>
          </w:tcPr>
          <w:p w14:paraId="621B33B9"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Total, Provisiones</w:t>
            </w:r>
          </w:p>
        </w:tc>
        <w:tc>
          <w:tcPr>
            <w:tcW w:w="846" w:type="dxa"/>
            <w:tcBorders>
              <w:top w:val="nil"/>
              <w:left w:val="nil"/>
              <w:bottom w:val="nil"/>
              <w:right w:val="nil"/>
            </w:tcBorders>
            <w:shd w:val="solid" w:color="FFFFFF" w:fill="auto"/>
          </w:tcPr>
          <w:p w14:paraId="489C2C8E"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A661017" w14:textId="6D36253F" w:rsidR="007A1F65" w:rsidRPr="009E3947" w:rsidRDefault="00665023"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szCs w:val="20"/>
              </w:rPr>
              <w:t>528</w:t>
            </w:r>
          </w:p>
        </w:tc>
        <w:tc>
          <w:tcPr>
            <w:tcW w:w="283" w:type="dxa"/>
            <w:tcBorders>
              <w:top w:val="nil"/>
              <w:left w:val="nil"/>
              <w:bottom w:val="nil"/>
              <w:right w:val="nil"/>
            </w:tcBorders>
            <w:shd w:val="clear" w:color="auto" w:fill="F2F2F2" w:themeFill="background1" w:themeFillShade="F2"/>
            <w:vAlign w:val="center"/>
          </w:tcPr>
          <w:p w14:paraId="2884074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C187FEA" w14:textId="1B7536A9" w:rsidR="007A1F65" w:rsidRPr="009E3947" w:rsidRDefault="003D2534"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rPr>
              <w:t>522</w:t>
            </w:r>
          </w:p>
        </w:tc>
      </w:tr>
      <w:tr w:rsidR="007A1F65" w:rsidRPr="009E3947" w14:paraId="345EF257" w14:textId="77777777" w:rsidTr="008A6720">
        <w:tc>
          <w:tcPr>
            <w:tcW w:w="3969" w:type="dxa"/>
            <w:tcBorders>
              <w:top w:val="nil"/>
              <w:left w:val="nil"/>
              <w:bottom w:val="nil"/>
              <w:right w:val="nil"/>
            </w:tcBorders>
            <w:shd w:val="solid" w:color="FFFFFF" w:fill="auto"/>
          </w:tcPr>
          <w:p w14:paraId="53D37027"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7182794F"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574C72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C0A16B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0A17212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7A1F65" w:rsidRPr="009E3947" w14:paraId="6D4CD185" w14:textId="77777777" w:rsidTr="008A6720">
        <w:tc>
          <w:tcPr>
            <w:tcW w:w="3969" w:type="dxa"/>
            <w:tcBorders>
              <w:top w:val="nil"/>
              <w:left w:val="nil"/>
              <w:bottom w:val="nil"/>
              <w:right w:val="nil"/>
            </w:tcBorders>
            <w:shd w:val="solid" w:color="FFFFFF" w:fill="auto"/>
          </w:tcPr>
          <w:p w14:paraId="3983B70B"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Fondo y reservas</w:t>
            </w:r>
          </w:p>
        </w:tc>
        <w:tc>
          <w:tcPr>
            <w:tcW w:w="846" w:type="dxa"/>
            <w:tcBorders>
              <w:top w:val="nil"/>
              <w:left w:val="nil"/>
              <w:bottom w:val="nil"/>
              <w:right w:val="nil"/>
            </w:tcBorders>
            <w:shd w:val="solid" w:color="FFFFFF" w:fill="auto"/>
          </w:tcPr>
          <w:p w14:paraId="0D11E6C2"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2CE581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115A23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5FC5B7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9E3947" w14:paraId="5ABAED90" w14:textId="77777777" w:rsidTr="008A6720">
        <w:tc>
          <w:tcPr>
            <w:tcW w:w="3969" w:type="dxa"/>
            <w:tcBorders>
              <w:top w:val="nil"/>
              <w:left w:val="nil"/>
              <w:bottom w:val="nil"/>
              <w:right w:val="nil"/>
            </w:tcBorders>
            <w:shd w:val="solid" w:color="FFFFFF" w:fill="auto"/>
          </w:tcPr>
          <w:p w14:paraId="370EC2A5"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Fondo de reserva básico</w:t>
            </w:r>
          </w:p>
        </w:tc>
        <w:tc>
          <w:tcPr>
            <w:tcW w:w="846" w:type="dxa"/>
            <w:tcBorders>
              <w:top w:val="nil"/>
              <w:left w:val="nil"/>
              <w:bottom w:val="nil"/>
              <w:right w:val="nil"/>
            </w:tcBorders>
            <w:shd w:val="solid" w:color="FFFFFF" w:fill="auto"/>
          </w:tcPr>
          <w:p w14:paraId="4C4DFA00"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11</w:t>
            </w:r>
          </w:p>
        </w:tc>
        <w:tc>
          <w:tcPr>
            <w:tcW w:w="1620" w:type="dxa"/>
            <w:tcBorders>
              <w:top w:val="nil"/>
              <w:left w:val="nil"/>
              <w:bottom w:val="nil"/>
              <w:right w:val="nil"/>
            </w:tcBorders>
            <w:shd w:val="solid" w:color="FFFFFF" w:fill="auto"/>
          </w:tcPr>
          <w:p w14:paraId="667CA578" w14:textId="522C7210"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3</w:t>
            </w:r>
            <w:r w:rsidR="00A10967">
              <w:rPr>
                <w:sz w:val="20"/>
                <w:szCs w:val="20"/>
              </w:rPr>
              <w:t> </w:t>
            </w:r>
            <w:r w:rsidRPr="009E3947">
              <w:rPr>
                <w:sz w:val="20"/>
                <w:szCs w:val="20"/>
              </w:rPr>
              <w:t>501</w:t>
            </w:r>
          </w:p>
        </w:tc>
        <w:tc>
          <w:tcPr>
            <w:tcW w:w="283" w:type="dxa"/>
            <w:tcBorders>
              <w:top w:val="nil"/>
              <w:left w:val="nil"/>
              <w:bottom w:val="nil"/>
              <w:right w:val="nil"/>
            </w:tcBorders>
            <w:shd w:val="clear" w:color="auto" w:fill="F2F2F2" w:themeFill="background1" w:themeFillShade="F2"/>
            <w:vAlign w:val="center"/>
          </w:tcPr>
          <w:p w14:paraId="56E4D3C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39D0AFA" w14:textId="1A12CF90"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3</w:t>
            </w:r>
            <w:r w:rsidR="00A10967">
              <w:rPr>
                <w:sz w:val="20"/>
              </w:rPr>
              <w:t> </w:t>
            </w:r>
            <w:r w:rsidRPr="009E3947">
              <w:rPr>
                <w:sz w:val="20"/>
              </w:rPr>
              <w:t>783</w:t>
            </w:r>
          </w:p>
        </w:tc>
      </w:tr>
      <w:tr w:rsidR="007A1F65" w:rsidRPr="009E3947" w14:paraId="7988003E" w14:textId="77777777" w:rsidTr="008A6720">
        <w:tc>
          <w:tcPr>
            <w:tcW w:w="3969" w:type="dxa"/>
            <w:tcBorders>
              <w:top w:val="nil"/>
              <w:left w:val="nil"/>
              <w:bottom w:val="nil"/>
              <w:right w:val="nil"/>
            </w:tcBorders>
            <w:shd w:val="solid" w:color="FFFFFF" w:fill="auto"/>
          </w:tcPr>
          <w:p w14:paraId="503897DC"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Proyectos no financiados con cargo al presupuesto básico</w:t>
            </w:r>
          </w:p>
        </w:tc>
        <w:tc>
          <w:tcPr>
            <w:tcW w:w="846" w:type="dxa"/>
            <w:tcBorders>
              <w:top w:val="nil"/>
              <w:left w:val="nil"/>
              <w:bottom w:val="nil"/>
              <w:right w:val="nil"/>
            </w:tcBorders>
            <w:shd w:val="solid" w:color="FFFFFF" w:fill="auto"/>
          </w:tcPr>
          <w:p w14:paraId="2626B801"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r w:rsidRPr="009E3947">
              <w:rPr>
                <w:rFonts w:asciiTheme="minorHAnsi" w:hAnsiTheme="minorHAnsi"/>
                <w:color w:val="000000"/>
                <w:sz w:val="20"/>
                <w:szCs w:val="20"/>
              </w:rPr>
              <w:t>12</w:t>
            </w:r>
          </w:p>
        </w:tc>
        <w:tc>
          <w:tcPr>
            <w:tcW w:w="1620" w:type="dxa"/>
            <w:tcBorders>
              <w:top w:val="nil"/>
              <w:left w:val="nil"/>
              <w:bottom w:val="single" w:sz="6" w:space="0" w:color="auto"/>
              <w:right w:val="nil"/>
            </w:tcBorders>
            <w:shd w:val="solid" w:color="FFFFFF" w:fill="auto"/>
          </w:tcPr>
          <w:p w14:paraId="366DB31D" w14:textId="5986EBA4"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szCs w:val="20"/>
              </w:rPr>
              <w:t>2</w:t>
            </w:r>
            <w:r w:rsidR="00A10967">
              <w:rPr>
                <w:sz w:val="20"/>
                <w:szCs w:val="20"/>
              </w:rPr>
              <w:t> </w:t>
            </w:r>
            <w:r w:rsidRPr="009E3947">
              <w:rPr>
                <w:sz w:val="20"/>
                <w:szCs w:val="20"/>
              </w:rPr>
              <w:t>938</w:t>
            </w:r>
          </w:p>
        </w:tc>
        <w:tc>
          <w:tcPr>
            <w:tcW w:w="283" w:type="dxa"/>
            <w:tcBorders>
              <w:top w:val="nil"/>
              <w:left w:val="nil"/>
              <w:bottom w:val="single" w:sz="6" w:space="0" w:color="auto"/>
              <w:right w:val="nil"/>
            </w:tcBorders>
            <w:shd w:val="clear" w:color="auto" w:fill="F2F2F2" w:themeFill="background1" w:themeFillShade="F2"/>
            <w:vAlign w:val="center"/>
          </w:tcPr>
          <w:p w14:paraId="297D349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4356F1D3" w14:textId="421A2D7E" w:rsidR="007A1F65" w:rsidRPr="009E3947" w:rsidRDefault="003D2534" w:rsidP="008A6720">
            <w:pPr>
              <w:autoSpaceDE w:val="0"/>
              <w:autoSpaceDN w:val="0"/>
              <w:adjustRightInd w:val="0"/>
              <w:ind w:left="0" w:firstLine="0"/>
              <w:jc w:val="right"/>
              <w:rPr>
                <w:rFonts w:asciiTheme="minorHAnsi" w:eastAsiaTheme="minorHAnsi" w:hAnsiTheme="minorHAnsi" w:cstheme="minorHAnsi"/>
                <w:color w:val="000000"/>
                <w:sz w:val="20"/>
                <w:szCs w:val="20"/>
              </w:rPr>
            </w:pPr>
            <w:r w:rsidRPr="009E3947">
              <w:rPr>
                <w:sz w:val="20"/>
              </w:rPr>
              <w:t>2</w:t>
            </w:r>
            <w:r w:rsidR="00A10967">
              <w:rPr>
                <w:sz w:val="20"/>
              </w:rPr>
              <w:t> </w:t>
            </w:r>
            <w:r w:rsidRPr="009E3947">
              <w:rPr>
                <w:sz w:val="20"/>
              </w:rPr>
              <w:t>232</w:t>
            </w:r>
          </w:p>
        </w:tc>
      </w:tr>
      <w:tr w:rsidR="007A1F65" w:rsidRPr="009E3947" w14:paraId="2CA7CDF1" w14:textId="77777777" w:rsidTr="008A6720">
        <w:tc>
          <w:tcPr>
            <w:tcW w:w="3969" w:type="dxa"/>
            <w:tcBorders>
              <w:top w:val="nil"/>
              <w:left w:val="nil"/>
              <w:bottom w:val="nil"/>
              <w:right w:val="nil"/>
            </w:tcBorders>
            <w:shd w:val="solid" w:color="FFFFFF" w:fill="auto"/>
          </w:tcPr>
          <w:p w14:paraId="717E4D7F"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Total, Fondo y reservas</w:t>
            </w:r>
          </w:p>
        </w:tc>
        <w:tc>
          <w:tcPr>
            <w:tcW w:w="846" w:type="dxa"/>
            <w:tcBorders>
              <w:top w:val="nil"/>
              <w:left w:val="nil"/>
              <w:bottom w:val="nil"/>
              <w:right w:val="nil"/>
            </w:tcBorders>
            <w:shd w:val="solid" w:color="FFFFFF" w:fill="auto"/>
          </w:tcPr>
          <w:p w14:paraId="156FEE76"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21BD8F2" w14:textId="7525BFE1"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szCs w:val="20"/>
              </w:rPr>
              <w:t>6</w:t>
            </w:r>
            <w:r w:rsidR="00A10967">
              <w:rPr>
                <w:sz w:val="20"/>
                <w:szCs w:val="20"/>
              </w:rPr>
              <w:t> </w:t>
            </w:r>
            <w:r w:rsidRPr="009E3947">
              <w:rPr>
                <w:sz w:val="20"/>
                <w:szCs w:val="20"/>
              </w:rPr>
              <w:t>439</w:t>
            </w:r>
          </w:p>
        </w:tc>
        <w:tc>
          <w:tcPr>
            <w:tcW w:w="283" w:type="dxa"/>
            <w:tcBorders>
              <w:top w:val="nil"/>
              <w:left w:val="nil"/>
              <w:bottom w:val="nil"/>
              <w:right w:val="nil"/>
            </w:tcBorders>
            <w:shd w:val="clear" w:color="auto" w:fill="F2F2F2" w:themeFill="background1" w:themeFillShade="F2"/>
            <w:vAlign w:val="center"/>
          </w:tcPr>
          <w:p w14:paraId="015E789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2045B119" w14:textId="452A1F21" w:rsidR="007A1F65" w:rsidRPr="009E3947" w:rsidRDefault="003D2534"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sz w:val="20"/>
              </w:rPr>
              <w:t>6</w:t>
            </w:r>
            <w:r w:rsidR="00A10967">
              <w:rPr>
                <w:sz w:val="20"/>
              </w:rPr>
              <w:t> </w:t>
            </w:r>
            <w:r w:rsidRPr="009E3947">
              <w:rPr>
                <w:sz w:val="20"/>
              </w:rPr>
              <w:t>015</w:t>
            </w:r>
          </w:p>
        </w:tc>
      </w:tr>
      <w:tr w:rsidR="007A1F65" w:rsidRPr="009E3947" w14:paraId="4C784C12" w14:textId="77777777" w:rsidTr="008A6720">
        <w:tc>
          <w:tcPr>
            <w:tcW w:w="3969" w:type="dxa"/>
            <w:tcBorders>
              <w:top w:val="nil"/>
              <w:left w:val="nil"/>
              <w:bottom w:val="nil"/>
              <w:right w:val="nil"/>
            </w:tcBorders>
            <w:shd w:val="solid" w:color="FFFFFF" w:fill="auto"/>
          </w:tcPr>
          <w:p w14:paraId="3C945049"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0D8C56B"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71A613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A0FDEB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1DE099C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7A1F65" w:rsidRPr="009E3947" w14:paraId="78FF7AFC" w14:textId="77777777" w:rsidTr="008A6720">
        <w:tc>
          <w:tcPr>
            <w:tcW w:w="3969" w:type="dxa"/>
            <w:tcBorders>
              <w:top w:val="nil"/>
              <w:left w:val="nil"/>
              <w:bottom w:val="nil"/>
              <w:right w:val="nil"/>
            </w:tcBorders>
            <w:shd w:val="solid" w:color="FFFFFF" w:fill="auto"/>
          </w:tcPr>
          <w:p w14:paraId="3E0B3424"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20"/>
                <w:szCs w:val="20"/>
              </w:rPr>
            </w:pPr>
            <w:r w:rsidRPr="009E3947">
              <w:rPr>
                <w:rFonts w:asciiTheme="minorHAnsi" w:hAnsiTheme="minorHAnsi"/>
                <w:b/>
                <w:bCs/>
                <w:color w:val="000000"/>
                <w:sz w:val="20"/>
                <w:szCs w:val="20"/>
              </w:rPr>
              <w:t>TOTAL, PASIVO Y SALDOS DE FONDOS</w:t>
            </w:r>
          </w:p>
        </w:tc>
        <w:tc>
          <w:tcPr>
            <w:tcW w:w="846" w:type="dxa"/>
            <w:tcBorders>
              <w:top w:val="nil"/>
              <w:left w:val="nil"/>
              <w:bottom w:val="nil"/>
              <w:right w:val="nil"/>
            </w:tcBorders>
            <w:shd w:val="solid" w:color="FFFFFF" w:fill="auto"/>
          </w:tcPr>
          <w:p w14:paraId="4EDC2E9B" w14:textId="77777777" w:rsidR="007A1F65" w:rsidRPr="009E3947" w:rsidRDefault="007A1F65" w:rsidP="008A6720">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clear" w:color="auto" w:fill="B8CCE4" w:themeFill="accent1" w:themeFillTint="66"/>
          </w:tcPr>
          <w:p w14:paraId="6FF4CEDE" w14:textId="4B522C99"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b/>
                <w:sz w:val="20"/>
              </w:rPr>
              <w:t>7,926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1DB0FD5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clear" w:color="auto" w:fill="D6E3BC" w:themeFill="accent3" w:themeFillTint="66"/>
          </w:tcPr>
          <w:p w14:paraId="29F361E6" w14:textId="2A85D9D4" w:rsidR="007A1F65" w:rsidRPr="009E3947" w:rsidRDefault="003D2534" w:rsidP="008A6720">
            <w:pPr>
              <w:autoSpaceDE w:val="0"/>
              <w:autoSpaceDN w:val="0"/>
              <w:adjustRightInd w:val="0"/>
              <w:ind w:left="0" w:firstLine="0"/>
              <w:jc w:val="right"/>
              <w:rPr>
                <w:rFonts w:asciiTheme="minorHAnsi" w:eastAsiaTheme="minorHAnsi" w:hAnsiTheme="minorHAnsi" w:cstheme="minorHAnsi"/>
                <w:b/>
                <w:bCs/>
                <w:color w:val="000000"/>
                <w:sz w:val="20"/>
                <w:szCs w:val="20"/>
              </w:rPr>
            </w:pPr>
            <w:r w:rsidRPr="009E3947">
              <w:rPr>
                <w:b/>
                <w:sz w:val="20"/>
              </w:rPr>
              <w:t>7,464</w:t>
            </w:r>
          </w:p>
        </w:tc>
      </w:tr>
    </w:tbl>
    <w:p w14:paraId="7C1E0BDB" w14:textId="77777777" w:rsidR="007A1F65" w:rsidRPr="009E3947" w:rsidRDefault="007A1F65" w:rsidP="007A1F65">
      <w:pPr>
        <w:rPr>
          <w:rFonts w:eastAsia="Times New Roman" w:cs="Arial"/>
          <w:b/>
          <w:bCs/>
          <w:lang w:eastAsia="en-GB"/>
        </w:rPr>
      </w:pPr>
    </w:p>
    <w:p w14:paraId="75E76C83" w14:textId="48370141" w:rsidR="007A1F65" w:rsidRPr="009E3947" w:rsidRDefault="007A1F65" w:rsidP="00D4222B">
      <w:pPr>
        <w:rPr>
          <w:rFonts w:eastAsia="Times New Roman" w:cs="Arial"/>
          <w:b/>
          <w:bCs/>
        </w:rPr>
      </w:pPr>
      <w:r w:rsidRPr="009E3947">
        <w:br w:type="page"/>
      </w:r>
      <w:r w:rsidRPr="009E3947">
        <w:rPr>
          <w:b/>
          <w:bCs/>
        </w:rPr>
        <w:lastRenderedPageBreak/>
        <w:t>II.</w:t>
      </w:r>
      <w:r w:rsidR="009E3947" w:rsidRPr="009E3947">
        <w:rPr>
          <w:rFonts w:eastAsia="Times New Roman" w:cs="Arial"/>
          <w:b/>
          <w:bCs/>
        </w:rPr>
        <w:tab/>
      </w:r>
      <w:r w:rsidRPr="009E3947">
        <w:rPr>
          <w:b/>
          <w:bCs/>
        </w:rPr>
        <w:t>Estado de ingresos y gastos para el ejercicio  finalizado el 31 de diciembre de 2024</w:t>
      </w:r>
    </w:p>
    <w:p w14:paraId="273C9E7A" w14:textId="77777777" w:rsidR="007A1F65" w:rsidRPr="009E3947" w:rsidRDefault="007A1F65" w:rsidP="007A1F65">
      <w:pPr>
        <w:pStyle w:val="NoSpacing"/>
        <w:rPr>
          <w:rFonts w:eastAsia="Times New Roman" w:cs="Arial"/>
          <w:b/>
          <w:bCs/>
          <w:lang w:eastAsia="en-GB"/>
        </w:rPr>
      </w:pPr>
    </w:p>
    <w:tbl>
      <w:tblPr>
        <w:tblW w:w="10092" w:type="dxa"/>
        <w:tblInd w:w="-567" w:type="dxa"/>
        <w:tblLayout w:type="fixed"/>
        <w:tblLook w:val="0000" w:firstRow="0" w:lastRow="0" w:firstColumn="0" w:lastColumn="0" w:noHBand="0" w:noVBand="0"/>
      </w:tblPr>
      <w:tblGrid>
        <w:gridCol w:w="3004"/>
        <w:gridCol w:w="708"/>
        <w:gridCol w:w="851"/>
        <w:gridCol w:w="284"/>
        <w:gridCol w:w="850"/>
        <w:gridCol w:w="236"/>
        <w:gridCol w:w="895"/>
        <w:gridCol w:w="236"/>
        <w:gridCol w:w="901"/>
        <w:gridCol w:w="242"/>
        <w:gridCol w:w="793"/>
        <w:gridCol w:w="236"/>
        <w:gridCol w:w="856"/>
      </w:tblGrid>
      <w:tr w:rsidR="007A1F65" w:rsidRPr="009E3947" w14:paraId="5D329207" w14:textId="77777777" w:rsidTr="008A6720">
        <w:tc>
          <w:tcPr>
            <w:tcW w:w="3004" w:type="dxa"/>
            <w:tcBorders>
              <w:top w:val="nil"/>
              <w:left w:val="nil"/>
              <w:right w:val="nil"/>
            </w:tcBorders>
            <w:shd w:val="solid" w:color="FFFFFF" w:fill="auto"/>
          </w:tcPr>
          <w:p w14:paraId="5B987786"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032E3B4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1FA4E657" w14:textId="2112EFD8"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2024</w:t>
            </w:r>
          </w:p>
        </w:tc>
        <w:tc>
          <w:tcPr>
            <w:tcW w:w="236" w:type="dxa"/>
            <w:tcBorders>
              <w:top w:val="nil"/>
              <w:left w:val="nil"/>
              <w:right w:val="nil"/>
            </w:tcBorders>
            <w:shd w:val="clear" w:color="auto" w:fill="F2F2F2" w:themeFill="background1" w:themeFillShade="F2"/>
            <w:vAlign w:val="center"/>
          </w:tcPr>
          <w:p w14:paraId="14255F64"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78C94A41" w14:textId="71B9C34E" w:rsidR="007A1F65" w:rsidRPr="009E3947" w:rsidRDefault="003D2534"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shd w:val="clear" w:color="auto" w:fill="D6E3BC" w:themeFill="accent3" w:themeFillTint="66"/>
              </w:rPr>
              <w:t>2023</w:t>
            </w:r>
          </w:p>
        </w:tc>
      </w:tr>
      <w:tr w:rsidR="007A1F65" w:rsidRPr="009E3947" w14:paraId="6AFD1D34" w14:textId="77777777" w:rsidTr="008A6720">
        <w:tc>
          <w:tcPr>
            <w:tcW w:w="3004" w:type="dxa"/>
            <w:tcBorders>
              <w:top w:val="nil"/>
              <w:left w:val="nil"/>
              <w:bottom w:val="single" w:sz="4" w:space="0" w:color="auto"/>
              <w:right w:val="nil"/>
            </w:tcBorders>
            <w:shd w:val="solid" w:color="FFFFFF" w:fill="auto"/>
          </w:tcPr>
          <w:p w14:paraId="7818FE77"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r w:rsidRPr="009E3947">
              <w:rPr>
                <w:rFonts w:asciiTheme="minorHAnsi" w:hAnsiTheme="minorHAnsi"/>
                <w:i/>
                <w:iCs/>
                <w:color w:val="000000"/>
                <w:sz w:val="19"/>
                <w:szCs w:val="19"/>
              </w:rPr>
              <w:t>en miles de francos suizos</w:t>
            </w:r>
          </w:p>
        </w:tc>
        <w:tc>
          <w:tcPr>
            <w:tcW w:w="708" w:type="dxa"/>
            <w:tcBorders>
              <w:top w:val="nil"/>
              <w:left w:val="nil"/>
              <w:bottom w:val="single" w:sz="4" w:space="0" w:color="auto"/>
              <w:right w:val="nil"/>
            </w:tcBorders>
            <w:shd w:val="solid" w:color="FFFFFF" w:fill="auto"/>
            <w:vAlign w:val="center"/>
          </w:tcPr>
          <w:p w14:paraId="71E718F5"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Notas</w:t>
            </w:r>
          </w:p>
        </w:tc>
        <w:tc>
          <w:tcPr>
            <w:tcW w:w="851" w:type="dxa"/>
            <w:tcBorders>
              <w:top w:val="nil"/>
              <w:left w:val="nil"/>
              <w:bottom w:val="single" w:sz="4" w:space="0" w:color="auto"/>
              <w:right w:val="nil"/>
            </w:tcBorders>
            <w:shd w:val="solid" w:color="FFFFFF" w:fill="auto"/>
            <w:vAlign w:val="center"/>
          </w:tcPr>
          <w:p w14:paraId="49B5676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Fondos básicos</w:t>
            </w:r>
          </w:p>
        </w:tc>
        <w:tc>
          <w:tcPr>
            <w:tcW w:w="1134" w:type="dxa"/>
            <w:gridSpan w:val="2"/>
            <w:tcBorders>
              <w:top w:val="nil"/>
              <w:left w:val="nil"/>
              <w:bottom w:val="single" w:sz="4" w:space="0" w:color="auto"/>
            </w:tcBorders>
            <w:shd w:val="solid" w:color="FFFFFF" w:fill="auto"/>
            <w:vAlign w:val="center"/>
          </w:tcPr>
          <w:p w14:paraId="4F4D2373" w14:textId="77777777" w:rsidR="007A1F65" w:rsidRPr="005B03B9" w:rsidRDefault="007A1F65" w:rsidP="008A6720">
            <w:pPr>
              <w:autoSpaceDE w:val="0"/>
              <w:autoSpaceDN w:val="0"/>
              <w:adjustRightInd w:val="0"/>
              <w:ind w:left="96" w:firstLine="0"/>
              <w:jc w:val="center"/>
              <w:rPr>
                <w:rFonts w:asciiTheme="minorHAnsi" w:eastAsiaTheme="minorHAnsi" w:hAnsiTheme="minorHAnsi" w:cstheme="minorHAnsi"/>
                <w:color w:val="000000"/>
                <w:sz w:val="14"/>
                <w:szCs w:val="14"/>
              </w:rPr>
            </w:pPr>
            <w:r w:rsidRPr="005B03B9">
              <w:rPr>
                <w:rFonts w:asciiTheme="minorHAnsi" w:hAnsiTheme="minorHAnsi"/>
                <w:b/>
                <w:bCs/>
                <w:color w:val="000000"/>
                <w:sz w:val="14"/>
                <w:szCs w:val="14"/>
              </w:rPr>
              <w:t>Proyectos no financiados con cargo al presupuesto básico</w:t>
            </w:r>
          </w:p>
        </w:tc>
        <w:tc>
          <w:tcPr>
            <w:tcW w:w="236" w:type="dxa"/>
            <w:tcBorders>
              <w:top w:val="nil"/>
              <w:bottom w:val="single" w:sz="4" w:space="0" w:color="auto"/>
              <w:right w:val="nil"/>
            </w:tcBorders>
            <w:shd w:val="solid" w:color="FFFFFF" w:fill="auto"/>
            <w:vAlign w:val="center"/>
          </w:tcPr>
          <w:p w14:paraId="5D55D9B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418EA470"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18473DCC"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001A7E2D"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Fondos básicos</w:t>
            </w:r>
          </w:p>
        </w:tc>
        <w:tc>
          <w:tcPr>
            <w:tcW w:w="1035" w:type="dxa"/>
            <w:gridSpan w:val="2"/>
            <w:tcBorders>
              <w:top w:val="nil"/>
              <w:left w:val="nil"/>
              <w:bottom w:val="single" w:sz="4" w:space="0" w:color="auto"/>
              <w:right w:val="nil"/>
            </w:tcBorders>
            <w:shd w:val="solid" w:color="FFFFFF" w:fill="auto"/>
            <w:vAlign w:val="center"/>
          </w:tcPr>
          <w:p w14:paraId="13672744" w14:textId="77777777" w:rsidR="007A1F65" w:rsidRPr="005B03B9" w:rsidRDefault="007A1F65" w:rsidP="008A6720">
            <w:pPr>
              <w:autoSpaceDE w:val="0"/>
              <w:autoSpaceDN w:val="0"/>
              <w:adjustRightInd w:val="0"/>
              <w:ind w:left="0" w:firstLine="0"/>
              <w:jc w:val="center"/>
              <w:rPr>
                <w:rFonts w:asciiTheme="minorHAnsi" w:eastAsiaTheme="minorHAnsi" w:hAnsiTheme="minorHAnsi" w:cstheme="minorHAnsi"/>
                <w:color w:val="000000"/>
                <w:sz w:val="14"/>
                <w:szCs w:val="14"/>
              </w:rPr>
            </w:pPr>
            <w:r w:rsidRPr="005B03B9">
              <w:rPr>
                <w:rFonts w:asciiTheme="minorHAnsi" w:hAnsiTheme="minorHAnsi"/>
                <w:b/>
                <w:bCs/>
                <w:color w:val="000000"/>
                <w:sz w:val="14"/>
                <w:szCs w:val="14"/>
              </w:rPr>
              <w:t>Proyectos no financiados con cargo al presupuesto básico</w:t>
            </w:r>
          </w:p>
        </w:tc>
        <w:tc>
          <w:tcPr>
            <w:tcW w:w="236" w:type="dxa"/>
            <w:tcBorders>
              <w:top w:val="nil"/>
              <w:left w:val="nil"/>
              <w:bottom w:val="single" w:sz="4" w:space="0" w:color="auto"/>
              <w:right w:val="nil"/>
            </w:tcBorders>
            <w:shd w:val="solid" w:color="FFFFFF" w:fill="auto"/>
            <w:vAlign w:val="center"/>
          </w:tcPr>
          <w:p w14:paraId="775A27E7"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58B9CD12"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Total</w:t>
            </w:r>
          </w:p>
        </w:tc>
      </w:tr>
      <w:tr w:rsidR="007A1F65" w:rsidRPr="009E3947" w14:paraId="01A8E1D7" w14:textId="77777777" w:rsidTr="008A6720">
        <w:tc>
          <w:tcPr>
            <w:tcW w:w="3004" w:type="dxa"/>
            <w:tcBorders>
              <w:top w:val="single" w:sz="4" w:space="0" w:color="auto"/>
              <w:left w:val="nil"/>
              <w:bottom w:val="nil"/>
              <w:right w:val="nil"/>
            </w:tcBorders>
            <w:shd w:val="solid" w:color="FFFFFF" w:fill="auto"/>
          </w:tcPr>
          <w:p w14:paraId="0B5642CA"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p>
          <w:p w14:paraId="074CEC45"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r w:rsidRPr="009E3947">
              <w:rPr>
                <w:rFonts w:asciiTheme="minorHAnsi" w:hAnsiTheme="minorHAnsi"/>
                <w:b/>
                <w:bCs/>
                <w:color w:val="000000"/>
                <w:sz w:val="19"/>
                <w:szCs w:val="19"/>
              </w:rPr>
              <w:t>Ingresos</w:t>
            </w:r>
          </w:p>
        </w:tc>
        <w:tc>
          <w:tcPr>
            <w:tcW w:w="708" w:type="dxa"/>
            <w:tcBorders>
              <w:top w:val="single" w:sz="4" w:space="0" w:color="auto"/>
              <w:left w:val="nil"/>
              <w:bottom w:val="nil"/>
              <w:right w:val="nil"/>
            </w:tcBorders>
            <w:shd w:val="solid" w:color="FFFFFF" w:fill="auto"/>
          </w:tcPr>
          <w:p w14:paraId="2D10BEF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767B413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7182480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E130FD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C535AF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14D6520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7D14F61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283272C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326A17A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2B19657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08554D6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4B867E5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3BF38E49" w14:textId="77777777" w:rsidTr="008A6720">
        <w:tc>
          <w:tcPr>
            <w:tcW w:w="3004" w:type="dxa"/>
            <w:tcBorders>
              <w:top w:val="nil"/>
              <w:left w:val="nil"/>
              <w:bottom w:val="nil"/>
              <w:right w:val="nil"/>
            </w:tcBorders>
            <w:shd w:val="solid" w:color="FFFFFF" w:fill="auto"/>
          </w:tcPr>
          <w:p w14:paraId="46ECA49C" w14:textId="77777777" w:rsidR="007A1F65" w:rsidRPr="009E3947" w:rsidRDefault="007A1F65" w:rsidP="008A6720">
            <w:pPr>
              <w:autoSpaceDE w:val="0"/>
              <w:autoSpaceDN w:val="0"/>
              <w:adjustRightInd w:val="0"/>
              <w:ind w:left="0" w:firstLine="0"/>
              <w:rPr>
                <w:rFonts w:asciiTheme="minorHAnsi" w:eastAsiaTheme="minorHAnsi" w:hAnsiTheme="minorHAnsi" w:cstheme="minorHAnsi"/>
                <w:i/>
                <w:iCs/>
                <w:color w:val="000000"/>
                <w:sz w:val="19"/>
                <w:szCs w:val="19"/>
              </w:rPr>
            </w:pPr>
            <w:r w:rsidRPr="009E3947">
              <w:rPr>
                <w:rFonts w:asciiTheme="minorHAnsi" w:hAnsiTheme="minorHAnsi"/>
                <w:i/>
                <w:iCs/>
                <w:color w:val="000000"/>
                <w:sz w:val="19"/>
                <w:szCs w:val="19"/>
              </w:rPr>
              <w:t>Ingresos externos:</w:t>
            </w:r>
          </w:p>
        </w:tc>
        <w:tc>
          <w:tcPr>
            <w:tcW w:w="708" w:type="dxa"/>
            <w:tcBorders>
              <w:top w:val="nil"/>
              <w:left w:val="nil"/>
              <w:bottom w:val="nil"/>
              <w:right w:val="nil"/>
            </w:tcBorders>
            <w:shd w:val="solid" w:color="FFFFFF" w:fill="auto"/>
          </w:tcPr>
          <w:p w14:paraId="7F73D4A7"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9B20A2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E3B200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1D4975E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3DF1D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172CE4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1C6003C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A7D096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19DDE1A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025759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81DF49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03DBFC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07B22787" w14:textId="77777777" w:rsidTr="008A6720">
        <w:tc>
          <w:tcPr>
            <w:tcW w:w="3004" w:type="dxa"/>
            <w:tcBorders>
              <w:top w:val="nil"/>
              <w:left w:val="nil"/>
              <w:bottom w:val="nil"/>
              <w:right w:val="nil"/>
            </w:tcBorders>
            <w:shd w:val="solid" w:color="FFFFFF" w:fill="auto"/>
          </w:tcPr>
          <w:p w14:paraId="09A66190"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Contribuciones de las Partes Contratantes</w:t>
            </w:r>
          </w:p>
        </w:tc>
        <w:tc>
          <w:tcPr>
            <w:tcW w:w="708" w:type="dxa"/>
            <w:tcBorders>
              <w:top w:val="nil"/>
              <w:left w:val="nil"/>
              <w:bottom w:val="nil"/>
              <w:right w:val="nil"/>
            </w:tcBorders>
            <w:shd w:val="solid" w:color="FFFFFF" w:fill="auto"/>
          </w:tcPr>
          <w:p w14:paraId="4EF97906"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3A4BF5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3 779 </w:t>
            </w:r>
          </w:p>
        </w:tc>
        <w:tc>
          <w:tcPr>
            <w:tcW w:w="284" w:type="dxa"/>
            <w:tcBorders>
              <w:top w:val="nil"/>
              <w:left w:val="nil"/>
              <w:bottom w:val="nil"/>
              <w:right w:val="nil"/>
            </w:tcBorders>
            <w:shd w:val="solid" w:color="FFFFFF" w:fill="auto"/>
          </w:tcPr>
          <w:p w14:paraId="724E00A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57B73B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w:t>
            </w:r>
          </w:p>
        </w:tc>
        <w:tc>
          <w:tcPr>
            <w:tcW w:w="236" w:type="dxa"/>
            <w:tcBorders>
              <w:top w:val="nil"/>
              <w:left w:val="nil"/>
              <w:bottom w:val="nil"/>
              <w:right w:val="nil"/>
            </w:tcBorders>
            <w:shd w:val="solid" w:color="FFFFFF" w:fill="auto"/>
          </w:tcPr>
          <w:p w14:paraId="5C12E8C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C781392" w14:textId="1B535CDB"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3</w:t>
            </w:r>
            <w:r w:rsidR="00A10967">
              <w:rPr>
                <w:rFonts w:asciiTheme="minorHAnsi" w:hAnsiTheme="minorHAnsi"/>
                <w:color w:val="000000"/>
                <w:sz w:val="19"/>
                <w:szCs w:val="19"/>
              </w:rPr>
              <w:t> </w:t>
            </w:r>
            <w:r w:rsidRPr="009E3947">
              <w:rPr>
                <w:rFonts w:asciiTheme="minorHAnsi" w:hAnsiTheme="minorHAnsi"/>
                <w:color w:val="000000"/>
                <w:sz w:val="19"/>
                <w:szCs w:val="19"/>
              </w:rPr>
              <w:t xml:space="preserve">779 </w:t>
            </w:r>
          </w:p>
        </w:tc>
        <w:tc>
          <w:tcPr>
            <w:tcW w:w="236" w:type="dxa"/>
            <w:tcBorders>
              <w:top w:val="nil"/>
              <w:left w:val="nil"/>
              <w:bottom w:val="nil"/>
              <w:right w:val="nil"/>
            </w:tcBorders>
            <w:shd w:val="clear" w:color="auto" w:fill="F2F2F2" w:themeFill="background1" w:themeFillShade="F2"/>
          </w:tcPr>
          <w:p w14:paraId="0593B19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E11AB41" w14:textId="621BDC44"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3</w:t>
            </w:r>
            <w:r w:rsidR="00A10967">
              <w:rPr>
                <w:rFonts w:asciiTheme="minorHAnsi" w:hAnsiTheme="minorHAnsi"/>
                <w:sz w:val="19"/>
                <w:szCs w:val="19"/>
              </w:rPr>
              <w:t> </w:t>
            </w:r>
            <w:r w:rsidRPr="009E3947">
              <w:rPr>
                <w:rFonts w:asciiTheme="minorHAnsi" w:hAnsiTheme="minorHAnsi"/>
                <w:sz w:val="19"/>
                <w:szCs w:val="19"/>
              </w:rPr>
              <w:t xml:space="preserve">779 </w:t>
            </w:r>
          </w:p>
        </w:tc>
        <w:tc>
          <w:tcPr>
            <w:tcW w:w="242" w:type="dxa"/>
            <w:tcBorders>
              <w:top w:val="nil"/>
              <w:left w:val="nil"/>
              <w:bottom w:val="nil"/>
              <w:right w:val="nil"/>
            </w:tcBorders>
            <w:shd w:val="solid" w:color="FFFFFF" w:fill="auto"/>
          </w:tcPr>
          <w:p w14:paraId="56E3A09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593F79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w:t>
            </w:r>
          </w:p>
        </w:tc>
        <w:tc>
          <w:tcPr>
            <w:tcW w:w="236" w:type="dxa"/>
            <w:tcBorders>
              <w:top w:val="nil"/>
              <w:left w:val="nil"/>
              <w:bottom w:val="nil"/>
              <w:right w:val="nil"/>
            </w:tcBorders>
            <w:shd w:val="solid" w:color="FFFFFF" w:fill="auto"/>
          </w:tcPr>
          <w:p w14:paraId="488DA9E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DBAF0BB" w14:textId="1B48042C"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3</w:t>
            </w:r>
            <w:r w:rsidR="00A10967">
              <w:rPr>
                <w:rFonts w:asciiTheme="minorHAnsi" w:hAnsiTheme="minorHAnsi"/>
                <w:sz w:val="19"/>
                <w:szCs w:val="19"/>
              </w:rPr>
              <w:t> </w:t>
            </w:r>
            <w:r w:rsidRPr="009E3947">
              <w:rPr>
                <w:rFonts w:asciiTheme="minorHAnsi" w:hAnsiTheme="minorHAnsi"/>
                <w:sz w:val="19"/>
                <w:szCs w:val="19"/>
              </w:rPr>
              <w:t xml:space="preserve">779 </w:t>
            </w:r>
          </w:p>
        </w:tc>
      </w:tr>
      <w:tr w:rsidR="007A1F65" w:rsidRPr="009E3947" w14:paraId="1721ADF6" w14:textId="77777777" w:rsidTr="008A6720">
        <w:tc>
          <w:tcPr>
            <w:tcW w:w="3004" w:type="dxa"/>
            <w:tcBorders>
              <w:top w:val="nil"/>
              <w:left w:val="nil"/>
              <w:bottom w:val="nil"/>
              <w:right w:val="nil"/>
            </w:tcBorders>
            <w:shd w:val="solid" w:color="FFFFFF" w:fill="auto"/>
          </w:tcPr>
          <w:p w14:paraId="58A3279B"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Contribuciones voluntarias de EE.UU.</w:t>
            </w:r>
          </w:p>
        </w:tc>
        <w:tc>
          <w:tcPr>
            <w:tcW w:w="708" w:type="dxa"/>
            <w:tcBorders>
              <w:top w:val="nil"/>
              <w:left w:val="nil"/>
              <w:bottom w:val="nil"/>
              <w:right w:val="nil"/>
            </w:tcBorders>
            <w:shd w:val="solid" w:color="FFFFFF" w:fill="auto"/>
          </w:tcPr>
          <w:p w14:paraId="06333CAE"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6AB8ABE" w14:textId="60B0A450"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1</w:t>
            </w:r>
            <w:r w:rsidR="00A10967">
              <w:rPr>
                <w:rFonts w:asciiTheme="minorHAnsi" w:hAnsiTheme="minorHAnsi"/>
                <w:color w:val="000000"/>
                <w:sz w:val="19"/>
                <w:szCs w:val="19"/>
              </w:rPr>
              <w:t> </w:t>
            </w:r>
            <w:r w:rsidRPr="009E3947">
              <w:rPr>
                <w:rFonts w:asciiTheme="minorHAnsi" w:hAnsiTheme="minorHAnsi"/>
                <w:color w:val="000000"/>
                <w:sz w:val="19"/>
                <w:szCs w:val="19"/>
              </w:rPr>
              <w:t xml:space="preserve">066 </w:t>
            </w:r>
          </w:p>
        </w:tc>
        <w:tc>
          <w:tcPr>
            <w:tcW w:w="284" w:type="dxa"/>
            <w:tcBorders>
              <w:top w:val="nil"/>
              <w:left w:val="nil"/>
              <w:bottom w:val="nil"/>
              <w:right w:val="nil"/>
            </w:tcBorders>
            <w:shd w:val="solid" w:color="FFFFFF" w:fill="auto"/>
          </w:tcPr>
          <w:p w14:paraId="2DF6895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65FED0A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w:t>
            </w:r>
          </w:p>
        </w:tc>
        <w:tc>
          <w:tcPr>
            <w:tcW w:w="236" w:type="dxa"/>
            <w:tcBorders>
              <w:top w:val="nil"/>
              <w:left w:val="nil"/>
              <w:bottom w:val="nil"/>
              <w:right w:val="nil"/>
            </w:tcBorders>
            <w:shd w:val="solid" w:color="FFFFFF" w:fill="auto"/>
          </w:tcPr>
          <w:p w14:paraId="7B97638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9D2B345" w14:textId="566147B0"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1</w:t>
            </w:r>
            <w:r w:rsidR="00A10967">
              <w:rPr>
                <w:rFonts w:asciiTheme="minorHAnsi" w:hAnsiTheme="minorHAnsi"/>
                <w:color w:val="000000"/>
                <w:sz w:val="19"/>
                <w:szCs w:val="19"/>
              </w:rPr>
              <w:t> </w:t>
            </w:r>
            <w:r w:rsidRPr="009E3947">
              <w:rPr>
                <w:rFonts w:asciiTheme="minorHAnsi" w:hAnsiTheme="minorHAnsi"/>
                <w:color w:val="000000"/>
                <w:sz w:val="19"/>
                <w:szCs w:val="19"/>
              </w:rPr>
              <w:t xml:space="preserve">066 </w:t>
            </w:r>
          </w:p>
        </w:tc>
        <w:tc>
          <w:tcPr>
            <w:tcW w:w="236" w:type="dxa"/>
            <w:tcBorders>
              <w:top w:val="nil"/>
              <w:left w:val="nil"/>
              <w:bottom w:val="nil"/>
              <w:right w:val="nil"/>
            </w:tcBorders>
            <w:shd w:val="clear" w:color="auto" w:fill="F2F2F2" w:themeFill="background1" w:themeFillShade="F2"/>
          </w:tcPr>
          <w:p w14:paraId="23344DF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89EAB02" w14:textId="68C00B8C"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1</w:t>
            </w:r>
            <w:r w:rsidR="00A10967">
              <w:rPr>
                <w:rFonts w:asciiTheme="minorHAnsi" w:hAnsiTheme="minorHAnsi"/>
                <w:sz w:val="19"/>
                <w:szCs w:val="19"/>
              </w:rPr>
              <w:t> </w:t>
            </w:r>
            <w:r w:rsidRPr="009E3947">
              <w:rPr>
                <w:rFonts w:asciiTheme="minorHAnsi" w:hAnsiTheme="minorHAnsi"/>
                <w:sz w:val="19"/>
                <w:szCs w:val="19"/>
              </w:rPr>
              <w:t xml:space="preserve">066 </w:t>
            </w:r>
          </w:p>
        </w:tc>
        <w:tc>
          <w:tcPr>
            <w:tcW w:w="242" w:type="dxa"/>
            <w:tcBorders>
              <w:top w:val="nil"/>
              <w:left w:val="nil"/>
              <w:bottom w:val="nil"/>
              <w:right w:val="nil"/>
            </w:tcBorders>
            <w:shd w:val="solid" w:color="FFFFFF" w:fill="auto"/>
          </w:tcPr>
          <w:p w14:paraId="6A1335C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E0218A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w:t>
            </w:r>
          </w:p>
        </w:tc>
        <w:tc>
          <w:tcPr>
            <w:tcW w:w="236" w:type="dxa"/>
            <w:tcBorders>
              <w:top w:val="nil"/>
              <w:left w:val="nil"/>
              <w:bottom w:val="nil"/>
              <w:right w:val="nil"/>
            </w:tcBorders>
            <w:shd w:val="solid" w:color="FFFFFF" w:fill="auto"/>
          </w:tcPr>
          <w:p w14:paraId="3177F1C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183C4CC" w14:textId="3BB99EB2"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1</w:t>
            </w:r>
            <w:r w:rsidR="00A10967">
              <w:rPr>
                <w:rFonts w:asciiTheme="minorHAnsi" w:hAnsiTheme="minorHAnsi"/>
                <w:sz w:val="19"/>
                <w:szCs w:val="19"/>
              </w:rPr>
              <w:t> </w:t>
            </w:r>
            <w:r w:rsidRPr="009E3947">
              <w:rPr>
                <w:rFonts w:asciiTheme="minorHAnsi" w:hAnsiTheme="minorHAnsi"/>
                <w:sz w:val="19"/>
                <w:szCs w:val="19"/>
              </w:rPr>
              <w:t xml:space="preserve">066 </w:t>
            </w:r>
          </w:p>
        </w:tc>
      </w:tr>
      <w:tr w:rsidR="007A1F65" w:rsidRPr="009E3947" w14:paraId="75446E0E" w14:textId="77777777" w:rsidTr="008A6720">
        <w:tc>
          <w:tcPr>
            <w:tcW w:w="3004" w:type="dxa"/>
            <w:tcBorders>
              <w:top w:val="nil"/>
              <w:left w:val="nil"/>
              <w:bottom w:val="nil"/>
              <w:right w:val="nil"/>
            </w:tcBorders>
            <w:shd w:val="solid" w:color="FFFFFF" w:fill="auto"/>
          </w:tcPr>
          <w:p w14:paraId="021B86C5"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Contribuciones voluntarias de países africanos</w:t>
            </w:r>
          </w:p>
        </w:tc>
        <w:tc>
          <w:tcPr>
            <w:tcW w:w="708" w:type="dxa"/>
            <w:tcBorders>
              <w:top w:val="nil"/>
              <w:left w:val="nil"/>
              <w:bottom w:val="nil"/>
              <w:right w:val="nil"/>
            </w:tcBorders>
            <w:shd w:val="solid" w:color="FFFFFF" w:fill="auto"/>
          </w:tcPr>
          <w:p w14:paraId="750DE33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0D2C94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w:t>
            </w:r>
          </w:p>
        </w:tc>
        <w:tc>
          <w:tcPr>
            <w:tcW w:w="284" w:type="dxa"/>
            <w:tcBorders>
              <w:top w:val="nil"/>
              <w:left w:val="nil"/>
              <w:bottom w:val="nil"/>
              <w:right w:val="nil"/>
            </w:tcBorders>
            <w:shd w:val="solid" w:color="FFFFFF" w:fill="auto"/>
          </w:tcPr>
          <w:p w14:paraId="2180121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4942D4C5" w14:textId="056A402A"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1 </w:t>
            </w:r>
          </w:p>
        </w:tc>
        <w:tc>
          <w:tcPr>
            <w:tcW w:w="236" w:type="dxa"/>
            <w:tcBorders>
              <w:top w:val="nil"/>
              <w:left w:val="nil"/>
              <w:bottom w:val="nil"/>
              <w:right w:val="nil"/>
            </w:tcBorders>
            <w:shd w:val="solid" w:color="FFFFFF" w:fill="auto"/>
          </w:tcPr>
          <w:p w14:paraId="23E9704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D85C835" w14:textId="012DD79D"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1 </w:t>
            </w:r>
          </w:p>
        </w:tc>
        <w:tc>
          <w:tcPr>
            <w:tcW w:w="236" w:type="dxa"/>
            <w:tcBorders>
              <w:top w:val="nil"/>
              <w:left w:val="nil"/>
              <w:bottom w:val="nil"/>
              <w:right w:val="nil"/>
            </w:tcBorders>
            <w:shd w:val="clear" w:color="auto" w:fill="F2F2F2" w:themeFill="background1" w:themeFillShade="F2"/>
          </w:tcPr>
          <w:p w14:paraId="205E86B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65634F8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w:t>
            </w:r>
          </w:p>
        </w:tc>
        <w:tc>
          <w:tcPr>
            <w:tcW w:w="242" w:type="dxa"/>
            <w:tcBorders>
              <w:top w:val="nil"/>
              <w:left w:val="nil"/>
              <w:bottom w:val="nil"/>
              <w:right w:val="nil"/>
            </w:tcBorders>
            <w:shd w:val="solid" w:color="FFFFFF" w:fill="auto"/>
          </w:tcPr>
          <w:p w14:paraId="2DEE021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ED25032" w14:textId="36E7E785"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2 </w:t>
            </w:r>
          </w:p>
        </w:tc>
        <w:tc>
          <w:tcPr>
            <w:tcW w:w="236" w:type="dxa"/>
            <w:tcBorders>
              <w:top w:val="nil"/>
              <w:left w:val="nil"/>
              <w:bottom w:val="nil"/>
              <w:right w:val="nil"/>
            </w:tcBorders>
            <w:shd w:val="solid" w:color="FFFFFF" w:fill="auto"/>
          </w:tcPr>
          <w:p w14:paraId="055B57F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1C4A9BB7" w14:textId="7A9641E1"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2 </w:t>
            </w:r>
          </w:p>
        </w:tc>
      </w:tr>
      <w:tr w:rsidR="007A1F65" w:rsidRPr="009E3947" w14:paraId="73808CCE" w14:textId="77777777" w:rsidTr="008A6720">
        <w:tc>
          <w:tcPr>
            <w:tcW w:w="3004" w:type="dxa"/>
            <w:tcBorders>
              <w:top w:val="nil"/>
              <w:left w:val="nil"/>
              <w:bottom w:val="nil"/>
              <w:right w:val="nil"/>
            </w:tcBorders>
            <w:shd w:val="solid" w:color="FFFFFF" w:fill="auto"/>
          </w:tcPr>
          <w:p w14:paraId="5D3F003A"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Ingresos de proyectos </w:t>
            </w:r>
          </w:p>
        </w:tc>
        <w:tc>
          <w:tcPr>
            <w:tcW w:w="708" w:type="dxa"/>
            <w:tcBorders>
              <w:top w:val="nil"/>
              <w:left w:val="nil"/>
              <w:bottom w:val="nil"/>
              <w:right w:val="nil"/>
            </w:tcBorders>
            <w:shd w:val="solid" w:color="FFFFFF" w:fill="auto"/>
          </w:tcPr>
          <w:p w14:paraId="54F895B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F93CBB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w:t>
            </w:r>
          </w:p>
        </w:tc>
        <w:tc>
          <w:tcPr>
            <w:tcW w:w="284" w:type="dxa"/>
            <w:tcBorders>
              <w:top w:val="nil"/>
              <w:left w:val="nil"/>
              <w:bottom w:val="nil"/>
              <w:right w:val="nil"/>
            </w:tcBorders>
            <w:shd w:val="solid" w:color="FFFFFF" w:fill="auto"/>
          </w:tcPr>
          <w:p w14:paraId="43FA331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0861759" w14:textId="247E3CA9"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1</w:t>
            </w:r>
            <w:r w:rsidR="00A10967">
              <w:rPr>
                <w:rFonts w:asciiTheme="minorHAnsi" w:hAnsiTheme="minorHAnsi"/>
                <w:color w:val="000000"/>
                <w:sz w:val="19"/>
                <w:szCs w:val="19"/>
              </w:rPr>
              <w:t> </w:t>
            </w:r>
            <w:r w:rsidRPr="009E3947">
              <w:rPr>
                <w:rFonts w:asciiTheme="minorHAnsi" w:hAnsiTheme="minorHAnsi"/>
                <w:color w:val="000000"/>
                <w:sz w:val="19"/>
                <w:szCs w:val="19"/>
              </w:rPr>
              <w:t xml:space="preserve">587 </w:t>
            </w:r>
          </w:p>
        </w:tc>
        <w:tc>
          <w:tcPr>
            <w:tcW w:w="236" w:type="dxa"/>
            <w:tcBorders>
              <w:top w:val="nil"/>
              <w:left w:val="nil"/>
              <w:bottom w:val="nil"/>
              <w:right w:val="nil"/>
            </w:tcBorders>
            <w:shd w:val="solid" w:color="FFFFFF" w:fill="auto"/>
          </w:tcPr>
          <w:p w14:paraId="633A9B0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A5B4D50" w14:textId="3E3F5929"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1</w:t>
            </w:r>
            <w:r w:rsidR="00A10967">
              <w:rPr>
                <w:rFonts w:asciiTheme="minorHAnsi" w:hAnsiTheme="minorHAnsi"/>
                <w:color w:val="000000"/>
                <w:sz w:val="19"/>
                <w:szCs w:val="19"/>
              </w:rPr>
              <w:t> </w:t>
            </w:r>
            <w:r w:rsidRPr="009E3947">
              <w:rPr>
                <w:rFonts w:asciiTheme="minorHAnsi" w:hAnsiTheme="minorHAnsi"/>
                <w:color w:val="000000"/>
                <w:sz w:val="19"/>
                <w:szCs w:val="19"/>
              </w:rPr>
              <w:t xml:space="preserve">587 </w:t>
            </w:r>
          </w:p>
        </w:tc>
        <w:tc>
          <w:tcPr>
            <w:tcW w:w="236" w:type="dxa"/>
            <w:tcBorders>
              <w:top w:val="nil"/>
              <w:left w:val="nil"/>
              <w:bottom w:val="nil"/>
              <w:right w:val="nil"/>
            </w:tcBorders>
            <w:shd w:val="clear" w:color="auto" w:fill="F2F2F2" w:themeFill="background1" w:themeFillShade="F2"/>
          </w:tcPr>
          <w:p w14:paraId="7BB1DF1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1C9285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w:t>
            </w:r>
          </w:p>
        </w:tc>
        <w:tc>
          <w:tcPr>
            <w:tcW w:w="242" w:type="dxa"/>
            <w:tcBorders>
              <w:top w:val="nil"/>
              <w:left w:val="nil"/>
              <w:bottom w:val="nil"/>
              <w:right w:val="nil"/>
            </w:tcBorders>
            <w:shd w:val="solid" w:color="FFFFFF" w:fill="auto"/>
          </w:tcPr>
          <w:p w14:paraId="4D1D4C2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7FE3C37" w14:textId="4F37D954"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1</w:t>
            </w:r>
            <w:r w:rsidR="00A10967">
              <w:rPr>
                <w:rFonts w:asciiTheme="minorHAnsi" w:hAnsiTheme="minorHAnsi"/>
                <w:sz w:val="19"/>
                <w:szCs w:val="19"/>
              </w:rPr>
              <w:t> </w:t>
            </w:r>
            <w:r w:rsidRPr="009E3947">
              <w:rPr>
                <w:rFonts w:asciiTheme="minorHAnsi" w:hAnsiTheme="minorHAnsi"/>
                <w:sz w:val="19"/>
                <w:szCs w:val="19"/>
              </w:rPr>
              <w:t xml:space="preserve">672 </w:t>
            </w:r>
          </w:p>
        </w:tc>
        <w:tc>
          <w:tcPr>
            <w:tcW w:w="236" w:type="dxa"/>
            <w:tcBorders>
              <w:top w:val="nil"/>
              <w:left w:val="nil"/>
              <w:bottom w:val="nil"/>
              <w:right w:val="nil"/>
            </w:tcBorders>
            <w:shd w:val="solid" w:color="FFFFFF" w:fill="auto"/>
          </w:tcPr>
          <w:p w14:paraId="6F590CF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652D9F6" w14:textId="10DDF086" w:rsidR="007A1F65" w:rsidRPr="009E3947" w:rsidRDefault="002B1734"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1</w:t>
            </w:r>
            <w:r w:rsidR="00A10967">
              <w:rPr>
                <w:rFonts w:asciiTheme="minorHAnsi" w:hAnsiTheme="minorHAnsi"/>
                <w:sz w:val="19"/>
                <w:szCs w:val="19"/>
              </w:rPr>
              <w:t> </w:t>
            </w:r>
            <w:r w:rsidRPr="009E3947">
              <w:rPr>
                <w:rFonts w:asciiTheme="minorHAnsi" w:hAnsiTheme="minorHAnsi"/>
                <w:sz w:val="19"/>
                <w:szCs w:val="19"/>
              </w:rPr>
              <w:t>672</w:t>
            </w:r>
          </w:p>
        </w:tc>
      </w:tr>
      <w:tr w:rsidR="007A1F65" w:rsidRPr="009E3947" w14:paraId="02CD12F0" w14:textId="77777777" w:rsidTr="008A6720">
        <w:tc>
          <w:tcPr>
            <w:tcW w:w="3004" w:type="dxa"/>
            <w:tcBorders>
              <w:top w:val="nil"/>
              <w:left w:val="nil"/>
              <w:bottom w:val="nil"/>
              <w:right w:val="nil"/>
            </w:tcBorders>
            <w:shd w:val="solid" w:color="FFFFFF" w:fill="auto"/>
          </w:tcPr>
          <w:p w14:paraId="25A69DE5"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Devoluciones de impuestos suizos</w:t>
            </w:r>
          </w:p>
        </w:tc>
        <w:tc>
          <w:tcPr>
            <w:tcW w:w="708" w:type="dxa"/>
            <w:tcBorders>
              <w:top w:val="nil"/>
              <w:left w:val="nil"/>
              <w:bottom w:val="nil"/>
              <w:right w:val="nil"/>
            </w:tcBorders>
            <w:shd w:val="solid" w:color="FFFFFF" w:fill="auto"/>
          </w:tcPr>
          <w:p w14:paraId="040412C4"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10</w:t>
            </w:r>
          </w:p>
        </w:tc>
        <w:tc>
          <w:tcPr>
            <w:tcW w:w="851" w:type="dxa"/>
            <w:tcBorders>
              <w:top w:val="nil"/>
              <w:left w:val="nil"/>
              <w:bottom w:val="single" w:sz="6" w:space="0" w:color="auto"/>
              <w:right w:val="nil"/>
            </w:tcBorders>
            <w:shd w:val="solid" w:color="FFFFFF" w:fill="auto"/>
          </w:tcPr>
          <w:p w14:paraId="2B50A200" w14:textId="5B37FD75" w:rsidR="007A1F65" w:rsidRPr="009E3947" w:rsidRDefault="00665023"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193 </w:t>
            </w:r>
          </w:p>
        </w:tc>
        <w:tc>
          <w:tcPr>
            <w:tcW w:w="284" w:type="dxa"/>
            <w:tcBorders>
              <w:top w:val="nil"/>
              <w:left w:val="nil"/>
              <w:bottom w:val="single" w:sz="6" w:space="0" w:color="auto"/>
              <w:right w:val="nil"/>
            </w:tcBorders>
            <w:shd w:val="solid" w:color="FFFFFF" w:fill="auto"/>
          </w:tcPr>
          <w:p w14:paraId="4F63A7B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3D2565B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w:t>
            </w:r>
          </w:p>
        </w:tc>
        <w:tc>
          <w:tcPr>
            <w:tcW w:w="236" w:type="dxa"/>
            <w:tcBorders>
              <w:top w:val="nil"/>
              <w:left w:val="nil"/>
              <w:bottom w:val="single" w:sz="6" w:space="0" w:color="auto"/>
              <w:right w:val="nil"/>
            </w:tcBorders>
            <w:shd w:val="solid" w:color="FFFFFF" w:fill="auto"/>
          </w:tcPr>
          <w:p w14:paraId="5EBC796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7F89F5F3" w14:textId="3000DA0C"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 xml:space="preserve">   193 </w:t>
            </w:r>
          </w:p>
        </w:tc>
        <w:tc>
          <w:tcPr>
            <w:tcW w:w="236" w:type="dxa"/>
            <w:tcBorders>
              <w:top w:val="nil"/>
              <w:left w:val="nil"/>
              <w:bottom w:val="single" w:sz="6" w:space="0" w:color="auto"/>
              <w:right w:val="nil"/>
            </w:tcBorders>
            <w:shd w:val="clear" w:color="auto" w:fill="F2F2F2" w:themeFill="background1" w:themeFillShade="F2"/>
          </w:tcPr>
          <w:p w14:paraId="6AAD587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17270048" w14:textId="10D66EAA" w:rsidR="007A1F65" w:rsidRPr="009E3947" w:rsidRDefault="002B1734"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189 </w:t>
            </w:r>
          </w:p>
        </w:tc>
        <w:tc>
          <w:tcPr>
            <w:tcW w:w="242" w:type="dxa"/>
            <w:tcBorders>
              <w:top w:val="nil"/>
              <w:left w:val="nil"/>
              <w:bottom w:val="single" w:sz="6" w:space="0" w:color="auto"/>
              <w:right w:val="nil"/>
            </w:tcBorders>
            <w:shd w:val="solid" w:color="FFFFFF" w:fill="auto"/>
          </w:tcPr>
          <w:p w14:paraId="4E428F1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6A78436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 xml:space="preserve">-   </w:t>
            </w:r>
          </w:p>
        </w:tc>
        <w:tc>
          <w:tcPr>
            <w:tcW w:w="236" w:type="dxa"/>
            <w:tcBorders>
              <w:top w:val="nil"/>
              <w:left w:val="nil"/>
              <w:bottom w:val="single" w:sz="6" w:space="0" w:color="auto"/>
              <w:right w:val="nil"/>
            </w:tcBorders>
            <w:shd w:val="solid" w:color="FFFFFF" w:fill="auto"/>
          </w:tcPr>
          <w:p w14:paraId="22BE2B9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749B3F02" w14:textId="01372BB9" w:rsidR="007A1F65" w:rsidRPr="009E3947" w:rsidRDefault="002B1734"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rFonts w:asciiTheme="minorHAnsi" w:hAnsiTheme="minorHAnsi"/>
                <w:sz w:val="19"/>
                <w:szCs w:val="19"/>
              </w:rPr>
              <w:t>189</w:t>
            </w:r>
          </w:p>
        </w:tc>
      </w:tr>
      <w:tr w:rsidR="007A1F65" w:rsidRPr="009E3947" w14:paraId="7C31119A" w14:textId="77777777" w:rsidTr="008A6720">
        <w:tc>
          <w:tcPr>
            <w:tcW w:w="3004" w:type="dxa"/>
            <w:tcBorders>
              <w:top w:val="nil"/>
              <w:left w:val="nil"/>
              <w:bottom w:val="nil"/>
              <w:right w:val="nil"/>
            </w:tcBorders>
            <w:shd w:val="solid" w:color="FFFFFF" w:fill="auto"/>
          </w:tcPr>
          <w:p w14:paraId="105C212F"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r w:rsidRPr="009E3947">
              <w:rPr>
                <w:rFonts w:asciiTheme="minorHAnsi" w:hAnsiTheme="minorHAnsi"/>
                <w:b/>
                <w:bCs/>
                <w:color w:val="000000"/>
                <w:sz w:val="19"/>
                <w:szCs w:val="19"/>
              </w:rPr>
              <w:t>Total, Ingresos externos</w:t>
            </w:r>
          </w:p>
        </w:tc>
        <w:tc>
          <w:tcPr>
            <w:tcW w:w="708" w:type="dxa"/>
            <w:tcBorders>
              <w:top w:val="nil"/>
              <w:left w:val="nil"/>
              <w:bottom w:val="nil"/>
              <w:right w:val="nil"/>
            </w:tcBorders>
            <w:shd w:val="solid" w:color="FFFFFF" w:fill="auto"/>
          </w:tcPr>
          <w:p w14:paraId="3971D10F"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tcPr>
          <w:p w14:paraId="5E6DF3C8" w14:textId="7E3F0FA1"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rFonts w:asciiTheme="minorHAnsi" w:hAnsiTheme="minorHAnsi"/>
                <w:b/>
                <w:bCs/>
                <w:color w:val="000000"/>
                <w:sz w:val="19"/>
                <w:szCs w:val="19"/>
              </w:rPr>
              <w:t>5</w:t>
            </w:r>
            <w:r w:rsidR="00A10967">
              <w:rPr>
                <w:rFonts w:asciiTheme="minorHAnsi" w:hAnsiTheme="minorHAnsi"/>
                <w:b/>
                <w:bCs/>
                <w:color w:val="000000"/>
                <w:sz w:val="19"/>
                <w:szCs w:val="19"/>
              </w:rPr>
              <w:t> </w:t>
            </w:r>
            <w:r w:rsidRPr="009E3947">
              <w:rPr>
                <w:rFonts w:asciiTheme="minorHAnsi" w:hAnsiTheme="minorHAnsi"/>
                <w:b/>
                <w:bCs/>
                <w:color w:val="000000"/>
                <w:sz w:val="19"/>
                <w:szCs w:val="19"/>
              </w:rPr>
              <w:t xml:space="preserve">038 </w:t>
            </w:r>
          </w:p>
        </w:tc>
        <w:tc>
          <w:tcPr>
            <w:tcW w:w="284" w:type="dxa"/>
            <w:tcBorders>
              <w:top w:val="single" w:sz="6" w:space="0" w:color="auto"/>
              <w:left w:val="nil"/>
              <w:bottom w:val="single" w:sz="6" w:space="0" w:color="auto"/>
              <w:right w:val="nil"/>
            </w:tcBorders>
            <w:shd w:val="solid" w:color="FFFFFF" w:fill="auto"/>
          </w:tcPr>
          <w:p w14:paraId="3B2E168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solid" w:color="FFFFFF" w:fill="auto"/>
          </w:tcPr>
          <w:p w14:paraId="7221F3FB" w14:textId="568CDAFB"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rFonts w:asciiTheme="minorHAnsi" w:hAnsiTheme="minorHAnsi"/>
                <w:b/>
                <w:bCs/>
                <w:color w:val="000000"/>
                <w:sz w:val="19"/>
                <w:szCs w:val="19"/>
              </w:rPr>
              <w:t>1</w:t>
            </w:r>
            <w:r w:rsidR="00A10967">
              <w:rPr>
                <w:rFonts w:asciiTheme="minorHAnsi" w:hAnsiTheme="minorHAnsi"/>
                <w:b/>
                <w:bCs/>
                <w:color w:val="000000"/>
                <w:sz w:val="19"/>
                <w:szCs w:val="19"/>
              </w:rPr>
              <w:t> </w:t>
            </w:r>
            <w:r w:rsidRPr="009E3947">
              <w:rPr>
                <w:rFonts w:asciiTheme="minorHAnsi" w:hAnsiTheme="minorHAnsi"/>
                <w:b/>
                <w:bCs/>
                <w:color w:val="000000"/>
                <w:sz w:val="19"/>
                <w:szCs w:val="19"/>
              </w:rPr>
              <w:t xml:space="preserve">588 </w:t>
            </w:r>
          </w:p>
        </w:tc>
        <w:tc>
          <w:tcPr>
            <w:tcW w:w="236" w:type="dxa"/>
            <w:tcBorders>
              <w:top w:val="single" w:sz="6" w:space="0" w:color="auto"/>
              <w:left w:val="nil"/>
              <w:bottom w:val="single" w:sz="6" w:space="0" w:color="auto"/>
              <w:right w:val="nil"/>
            </w:tcBorders>
            <w:shd w:val="solid" w:color="FFFFFF" w:fill="auto"/>
          </w:tcPr>
          <w:p w14:paraId="1B99C8F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solid" w:color="FFFFFF" w:fill="auto"/>
          </w:tcPr>
          <w:p w14:paraId="75BF6B0B" w14:textId="13BB242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rFonts w:asciiTheme="minorHAnsi" w:hAnsiTheme="minorHAnsi"/>
                <w:b/>
                <w:bCs/>
                <w:color w:val="000000"/>
                <w:sz w:val="19"/>
                <w:szCs w:val="19"/>
              </w:rPr>
              <w:t xml:space="preserve">  6</w:t>
            </w:r>
            <w:r w:rsidR="00A10967">
              <w:rPr>
                <w:rFonts w:asciiTheme="minorHAnsi" w:hAnsiTheme="minorHAnsi"/>
                <w:b/>
                <w:bCs/>
                <w:color w:val="000000"/>
                <w:sz w:val="19"/>
                <w:szCs w:val="19"/>
              </w:rPr>
              <w:t> </w:t>
            </w:r>
            <w:r w:rsidRPr="009E3947">
              <w:rPr>
                <w:rFonts w:asciiTheme="minorHAnsi" w:hAnsiTheme="minorHAnsi"/>
                <w:b/>
                <w:bCs/>
                <w:color w:val="000000"/>
                <w:sz w:val="19"/>
                <w:szCs w:val="19"/>
              </w:rPr>
              <w:t xml:space="preserve">626 </w:t>
            </w:r>
          </w:p>
        </w:tc>
        <w:tc>
          <w:tcPr>
            <w:tcW w:w="236" w:type="dxa"/>
            <w:tcBorders>
              <w:top w:val="single" w:sz="6" w:space="0" w:color="auto"/>
              <w:left w:val="nil"/>
              <w:bottom w:val="single" w:sz="6" w:space="0" w:color="auto"/>
              <w:right w:val="nil"/>
            </w:tcBorders>
            <w:shd w:val="clear" w:color="auto" w:fill="F2F2F2" w:themeFill="background1" w:themeFillShade="F2"/>
          </w:tcPr>
          <w:p w14:paraId="4B7A717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6" w:space="0" w:color="auto"/>
              <w:right w:val="nil"/>
            </w:tcBorders>
            <w:shd w:val="solid" w:color="FFFFFF" w:fill="auto"/>
          </w:tcPr>
          <w:p w14:paraId="3360C937" w14:textId="37BEEF51" w:rsidR="007A1F65" w:rsidRPr="009E3947" w:rsidRDefault="002B1734"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rFonts w:asciiTheme="minorHAnsi" w:hAnsiTheme="minorHAnsi"/>
                <w:b/>
                <w:sz w:val="19"/>
                <w:szCs w:val="19"/>
              </w:rPr>
              <w:t>5</w:t>
            </w:r>
            <w:r w:rsidR="00A10967">
              <w:rPr>
                <w:rFonts w:asciiTheme="minorHAnsi" w:hAnsiTheme="minorHAnsi"/>
                <w:b/>
                <w:sz w:val="19"/>
                <w:szCs w:val="19"/>
              </w:rPr>
              <w:t> </w:t>
            </w:r>
            <w:r w:rsidRPr="009E3947">
              <w:rPr>
                <w:rFonts w:asciiTheme="minorHAnsi" w:hAnsiTheme="minorHAnsi"/>
                <w:b/>
                <w:sz w:val="19"/>
                <w:szCs w:val="19"/>
              </w:rPr>
              <w:t xml:space="preserve">034 </w:t>
            </w:r>
          </w:p>
        </w:tc>
        <w:tc>
          <w:tcPr>
            <w:tcW w:w="242" w:type="dxa"/>
            <w:tcBorders>
              <w:top w:val="single" w:sz="6" w:space="0" w:color="auto"/>
              <w:left w:val="nil"/>
              <w:bottom w:val="single" w:sz="6" w:space="0" w:color="auto"/>
              <w:right w:val="nil"/>
            </w:tcBorders>
            <w:shd w:val="solid" w:color="FFFFFF" w:fill="auto"/>
          </w:tcPr>
          <w:p w14:paraId="2313FFA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51444845" w14:textId="350A12E5" w:rsidR="007A1F65" w:rsidRPr="009E3947" w:rsidRDefault="002B1734"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rFonts w:asciiTheme="minorHAnsi" w:hAnsiTheme="minorHAnsi"/>
                <w:b/>
                <w:sz w:val="19"/>
                <w:szCs w:val="19"/>
              </w:rPr>
              <w:t>1</w:t>
            </w:r>
            <w:r w:rsidR="00A10967">
              <w:rPr>
                <w:rFonts w:asciiTheme="minorHAnsi" w:hAnsiTheme="minorHAnsi"/>
                <w:b/>
                <w:sz w:val="19"/>
                <w:szCs w:val="19"/>
              </w:rPr>
              <w:t> </w:t>
            </w:r>
            <w:r w:rsidRPr="009E3947">
              <w:rPr>
                <w:rFonts w:asciiTheme="minorHAnsi" w:hAnsiTheme="minorHAnsi"/>
                <w:b/>
                <w:sz w:val="19"/>
                <w:szCs w:val="19"/>
              </w:rPr>
              <w:t>674</w:t>
            </w:r>
          </w:p>
        </w:tc>
        <w:tc>
          <w:tcPr>
            <w:tcW w:w="236" w:type="dxa"/>
            <w:tcBorders>
              <w:top w:val="single" w:sz="6" w:space="0" w:color="auto"/>
              <w:left w:val="nil"/>
              <w:bottom w:val="single" w:sz="6" w:space="0" w:color="auto"/>
              <w:right w:val="nil"/>
            </w:tcBorders>
            <w:shd w:val="solid" w:color="FFFFFF" w:fill="auto"/>
          </w:tcPr>
          <w:p w14:paraId="4395504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5235FCD3" w14:textId="7A6C2C1D" w:rsidR="007A1F65" w:rsidRPr="009E3947" w:rsidRDefault="002B1734"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rFonts w:asciiTheme="minorHAnsi" w:hAnsiTheme="minorHAnsi"/>
                <w:b/>
                <w:sz w:val="19"/>
                <w:szCs w:val="19"/>
              </w:rPr>
              <w:t>6</w:t>
            </w:r>
            <w:r w:rsidR="00A10967">
              <w:rPr>
                <w:rFonts w:asciiTheme="minorHAnsi" w:hAnsiTheme="minorHAnsi"/>
                <w:b/>
                <w:sz w:val="19"/>
                <w:szCs w:val="19"/>
              </w:rPr>
              <w:t> </w:t>
            </w:r>
            <w:r w:rsidRPr="009E3947">
              <w:rPr>
                <w:rFonts w:asciiTheme="minorHAnsi" w:hAnsiTheme="minorHAnsi"/>
                <w:b/>
                <w:sz w:val="19"/>
                <w:szCs w:val="19"/>
              </w:rPr>
              <w:t>708</w:t>
            </w:r>
          </w:p>
        </w:tc>
      </w:tr>
      <w:tr w:rsidR="007A1F65" w:rsidRPr="009E3947" w14:paraId="0E00C2AB" w14:textId="77777777" w:rsidTr="008A6720">
        <w:tc>
          <w:tcPr>
            <w:tcW w:w="3004" w:type="dxa"/>
            <w:tcBorders>
              <w:top w:val="nil"/>
              <w:left w:val="nil"/>
              <w:bottom w:val="nil"/>
              <w:right w:val="nil"/>
            </w:tcBorders>
            <w:shd w:val="solid" w:color="FFFFFF" w:fill="auto"/>
          </w:tcPr>
          <w:p w14:paraId="017D30D1"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bCs/>
                <w:color w:val="000000"/>
                <w:sz w:val="19"/>
                <w:szCs w:val="19"/>
              </w:rPr>
            </w:pPr>
            <w:r w:rsidRPr="009E3947">
              <w:rPr>
                <w:rFonts w:asciiTheme="minorHAnsi" w:hAnsiTheme="minorHAnsi"/>
                <w:bCs/>
                <w:color w:val="000000"/>
                <w:sz w:val="19"/>
                <w:szCs w:val="19"/>
              </w:rPr>
              <w:t>Transferencia entre proyectos básicos y no básicos</w:t>
            </w:r>
          </w:p>
        </w:tc>
        <w:tc>
          <w:tcPr>
            <w:tcW w:w="708" w:type="dxa"/>
            <w:tcBorders>
              <w:top w:val="nil"/>
              <w:left w:val="nil"/>
              <w:bottom w:val="nil"/>
              <w:right w:val="nil"/>
            </w:tcBorders>
            <w:shd w:val="solid" w:color="FFFFFF" w:fill="auto"/>
          </w:tcPr>
          <w:p w14:paraId="3AC67CBF"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vAlign w:val="center"/>
          </w:tcPr>
          <w:p w14:paraId="6BAC756A" w14:textId="35397918" w:rsidR="007A1F65" w:rsidRPr="009E3947" w:rsidDel="0098099A" w:rsidRDefault="002B1734" w:rsidP="008A6720">
            <w:pPr>
              <w:autoSpaceDE w:val="0"/>
              <w:autoSpaceDN w:val="0"/>
              <w:adjustRightInd w:val="0"/>
              <w:ind w:left="0" w:firstLine="0"/>
              <w:jc w:val="right"/>
              <w:rPr>
                <w:rFonts w:asciiTheme="minorHAnsi" w:eastAsiaTheme="minorHAnsi" w:hAnsiTheme="minorHAnsi" w:cstheme="minorHAnsi"/>
                <w:bCs/>
                <w:color w:val="000000"/>
                <w:sz w:val="19"/>
                <w:szCs w:val="19"/>
              </w:rPr>
            </w:pPr>
            <w:r w:rsidRPr="009E3947">
              <w:rPr>
                <w:rFonts w:asciiTheme="minorHAnsi" w:hAnsiTheme="minorHAnsi"/>
                <w:bCs/>
                <w:color w:val="000000"/>
                <w:sz w:val="19"/>
                <w:szCs w:val="19"/>
              </w:rPr>
              <w:t>0</w:t>
            </w:r>
          </w:p>
        </w:tc>
        <w:tc>
          <w:tcPr>
            <w:tcW w:w="284" w:type="dxa"/>
            <w:tcBorders>
              <w:top w:val="single" w:sz="6" w:space="0" w:color="auto"/>
              <w:left w:val="nil"/>
              <w:bottom w:val="single" w:sz="6" w:space="0" w:color="auto"/>
              <w:right w:val="nil"/>
            </w:tcBorders>
            <w:shd w:val="solid" w:color="FFFFFF" w:fill="auto"/>
            <w:vAlign w:val="center"/>
          </w:tcPr>
          <w:p w14:paraId="52215A7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64997EB2" w14:textId="78E75AAB" w:rsidR="007A1F65" w:rsidRPr="009E3947" w:rsidRDefault="002B1734" w:rsidP="008A6720">
            <w:pPr>
              <w:autoSpaceDE w:val="0"/>
              <w:autoSpaceDN w:val="0"/>
              <w:adjustRightInd w:val="0"/>
              <w:ind w:left="0" w:firstLine="0"/>
              <w:jc w:val="right"/>
              <w:rPr>
                <w:rFonts w:asciiTheme="minorHAnsi" w:eastAsiaTheme="minorHAnsi" w:hAnsiTheme="minorHAnsi" w:cstheme="minorHAnsi"/>
                <w:bCs/>
                <w:color w:val="000000"/>
                <w:sz w:val="19"/>
                <w:szCs w:val="19"/>
              </w:rPr>
            </w:pPr>
            <w:r w:rsidRPr="009E3947">
              <w:rPr>
                <w:rFonts w:asciiTheme="minorHAnsi" w:hAnsiTheme="minorHAnsi"/>
                <w:bCs/>
                <w:color w:val="000000"/>
                <w:sz w:val="19"/>
                <w:szCs w:val="19"/>
              </w:rPr>
              <w:t>0</w:t>
            </w:r>
          </w:p>
        </w:tc>
        <w:tc>
          <w:tcPr>
            <w:tcW w:w="236" w:type="dxa"/>
            <w:tcBorders>
              <w:top w:val="single" w:sz="6" w:space="0" w:color="auto"/>
              <w:left w:val="nil"/>
              <w:bottom w:val="single" w:sz="6" w:space="0" w:color="auto"/>
              <w:right w:val="nil"/>
            </w:tcBorders>
            <w:shd w:val="solid" w:color="FFFFFF" w:fill="auto"/>
            <w:vAlign w:val="center"/>
          </w:tcPr>
          <w:p w14:paraId="6F9E543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95" w:type="dxa"/>
            <w:tcBorders>
              <w:top w:val="single" w:sz="6" w:space="0" w:color="auto"/>
              <w:left w:val="nil"/>
              <w:bottom w:val="single" w:sz="6" w:space="0" w:color="auto"/>
              <w:right w:val="nil"/>
            </w:tcBorders>
            <w:shd w:val="solid" w:color="FFFFFF" w:fill="auto"/>
            <w:vAlign w:val="center"/>
          </w:tcPr>
          <w:p w14:paraId="2811D53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Cs/>
                <w:color w:val="000000"/>
                <w:sz w:val="19"/>
                <w:szCs w:val="19"/>
              </w:rPr>
            </w:pPr>
            <w:r w:rsidRPr="009E3947">
              <w:rPr>
                <w:rFonts w:asciiTheme="minorHAnsi" w:hAnsiTheme="minorHAnsi"/>
                <w:bCs/>
                <w:color w:val="000000"/>
                <w:sz w:val="19"/>
                <w:szCs w:val="19"/>
              </w:rPr>
              <w:t>0</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4F2D75F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6" w:space="0" w:color="auto"/>
              <w:left w:val="nil"/>
              <w:bottom w:val="single" w:sz="6" w:space="0" w:color="auto"/>
              <w:right w:val="nil"/>
            </w:tcBorders>
            <w:shd w:val="solid" w:color="FFFFFF" w:fill="auto"/>
            <w:vAlign w:val="center"/>
          </w:tcPr>
          <w:p w14:paraId="1E13A6E1" w14:textId="5E8E40DD" w:rsidR="007A1F65" w:rsidRPr="009E3947" w:rsidRDefault="002B1734" w:rsidP="008A6720">
            <w:pPr>
              <w:autoSpaceDE w:val="0"/>
              <w:autoSpaceDN w:val="0"/>
              <w:adjustRightInd w:val="0"/>
              <w:ind w:left="0" w:firstLine="0"/>
              <w:jc w:val="right"/>
              <w:rPr>
                <w:rFonts w:asciiTheme="minorHAnsi" w:hAnsiTheme="minorHAnsi" w:cstheme="minorHAnsi"/>
                <w:sz w:val="19"/>
                <w:szCs w:val="19"/>
              </w:rPr>
            </w:pPr>
            <w:r w:rsidRPr="009E3947">
              <w:rPr>
                <w:rFonts w:asciiTheme="minorHAnsi" w:hAnsiTheme="minorHAnsi"/>
                <w:bCs/>
                <w:color w:val="000000"/>
                <w:sz w:val="19"/>
                <w:szCs w:val="19"/>
              </w:rPr>
              <w:t>(140)</w:t>
            </w:r>
          </w:p>
        </w:tc>
        <w:tc>
          <w:tcPr>
            <w:tcW w:w="242" w:type="dxa"/>
            <w:tcBorders>
              <w:top w:val="single" w:sz="6" w:space="0" w:color="auto"/>
              <w:left w:val="nil"/>
              <w:bottom w:val="single" w:sz="6" w:space="0" w:color="auto"/>
              <w:right w:val="nil"/>
            </w:tcBorders>
            <w:shd w:val="solid" w:color="FFFFFF" w:fill="auto"/>
            <w:vAlign w:val="center"/>
          </w:tcPr>
          <w:p w14:paraId="72F5BBE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6" w:space="0" w:color="auto"/>
              <w:left w:val="nil"/>
              <w:bottom w:val="single" w:sz="6" w:space="0" w:color="auto"/>
              <w:right w:val="nil"/>
            </w:tcBorders>
            <w:shd w:val="solid" w:color="FFFFFF" w:fill="auto"/>
            <w:vAlign w:val="center"/>
          </w:tcPr>
          <w:p w14:paraId="5836BFFF" w14:textId="125B4A1C" w:rsidR="007A1F65" w:rsidRPr="009E3947" w:rsidDel="00312531" w:rsidRDefault="002B1734" w:rsidP="008A6720">
            <w:pPr>
              <w:autoSpaceDE w:val="0"/>
              <w:autoSpaceDN w:val="0"/>
              <w:adjustRightInd w:val="0"/>
              <w:ind w:left="0" w:firstLine="0"/>
              <w:jc w:val="right"/>
              <w:rPr>
                <w:rFonts w:asciiTheme="minorHAnsi" w:hAnsiTheme="minorHAnsi" w:cstheme="minorHAnsi"/>
                <w:sz w:val="19"/>
                <w:szCs w:val="19"/>
              </w:rPr>
            </w:pPr>
            <w:r w:rsidRPr="009E3947">
              <w:rPr>
                <w:rFonts w:asciiTheme="minorHAnsi" w:hAnsiTheme="minorHAnsi"/>
                <w:bCs/>
                <w:color w:val="000000"/>
                <w:sz w:val="19"/>
                <w:szCs w:val="19"/>
              </w:rPr>
              <w:t>140</w:t>
            </w:r>
          </w:p>
        </w:tc>
        <w:tc>
          <w:tcPr>
            <w:tcW w:w="236" w:type="dxa"/>
            <w:tcBorders>
              <w:top w:val="single" w:sz="6" w:space="0" w:color="auto"/>
              <w:left w:val="nil"/>
              <w:bottom w:val="single" w:sz="6" w:space="0" w:color="auto"/>
              <w:right w:val="nil"/>
            </w:tcBorders>
            <w:shd w:val="solid" w:color="FFFFFF" w:fill="auto"/>
            <w:vAlign w:val="center"/>
          </w:tcPr>
          <w:p w14:paraId="4770784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6" w:space="0" w:color="auto"/>
              <w:left w:val="nil"/>
              <w:bottom w:val="single" w:sz="6" w:space="0" w:color="auto"/>
              <w:right w:val="nil"/>
            </w:tcBorders>
            <w:shd w:val="solid" w:color="FFFFFF" w:fill="auto"/>
            <w:vAlign w:val="center"/>
          </w:tcPr>
          <w:p w14:paraId="40C2D8B7" w14:textId="77777777" w:rsidR="007A1F65" w:rsidRPr="009E3947" w:rsidRDefault="007A1F65" w:rsidP="008A6720">
            <w:pPr>
              <w:autoSpaceDE w:val="0"/>
              <w:autoSpaceDN w:val="0"/>
              <w:adjustRightInd w:val="0"/>
              <w:ind w:left="0" w:firstLine="0"/>
              <w:jc w:val="right"/>
              <w:rPr>
                <w:rFonts w:asciiTheme="minorHAnsi" w:hAnsiTheme="minorHAnsi" w:cstheme="minorHAnsi"/>
                <w:sz w:val="19"/>
                <w:szCs w:val="19"/>
              </w:rPr>
            </w:pPr>
            <w:r w:rsidRPr="009E3947">
              <w:rPr>
                <w:rFonts w:asciiTheme="minorHAnsi" w:hAnsiTheme="minorHAnsi"/>
                <w:sz w:val="19"/>
                <w:szCs w:val="19"/>
              </w:rPr>
              <w:t>0</w:t>
            </w:r>
          </w:p>
        </w:tc>
      </w:tr>
      <w:tr w:rsidR="007A1F65" w:rsidRPr="009E3947" w14:paraId="739A8C85" w14:textId="77777777" w:rsidTr="008A6720">
        <w:tc>
          <w:tcPr>
            <w:tcW w:w="3004" w:type="dxa"/>
            <w:tcBorders>
              <w:top w:val="nil"/>
              <w:left w:val="nil"/>
              <w:bottom w:val="nil"/>
              <w:right w:val="nil"/>
            </w:tcBorders>
            <w:shd w:val="solid" w:color="FFFFFF" w:fill="auto"/>
          </w:tcPr>
          <w:p w14:paraId="4E38D9F6"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color w:val="000000"/>
                <w:sz w:val="19"/>
                <w:szCs w:val="19"/>
              </w:rPr>
            </w:pPr>
            <w:r w:rsidRPr="009E3947">
              <w:rPr>
                <w:rFonts w:asciiTheme="minorHAnsi" w:hAnsiTheme="minorHAnsi"/>
                <w:b/>
                <w:color w:val="000000"/>
                <w:sz w:val="19"/>
                <w:szCs w:val="19"/>
              </w:rPr>
              <w:t>Total, Ingresos</w:t>
            </w:r>
          </w:p>
          <w:p w14:paraId="760E82EA"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25C12EF7"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4" w:space="0" w:color="auto"/>
              <w:right w:val="nil"/>
            </w:tcBorders>
            <w:shd w:val="solid" w:color="FFFFFF" w:fill="auto"/>
            <w:vAlign w:val="center"/>
          </w:tcPr>
          <w:p w14:paraId="7F337931" w14:textId="52F0A868" w:rsidR="007A1F65" w:rsidRPr="009E3947" w:rsidRDefault="00C772EE"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rFonts w:asciiTheme="minorHAnsi" w:hAnsiTheme="minorHAnsi"/>
                <w:b/>
                <w:color w:val="000000"/>
                <w:sz w:val="19"/>
                <w:szCs w:val="19"/>
              </w:rPr>
              <w:t>5</w:t>
            </w:r>
            <w:r w:rsidR="00A10967">
              <w:rPr>
                <w:rFonts w:asciiTheme="minorHAnsi" w:hAnsiTheme="minorHAnsi"/>
                <w:b/>
                <w:color w:val="000000"/>
                <w:sz w:val="19"/>
                <w:szCs w:val="19"/>
              </w:rPr>
              <w:t> </w:t>
            </w:r>
            <w:r w:rsidRPr="009E3947">
              <w:rPr>
                <w:rFonts w:asciiTheme="minorHAnsi" w:hAnsiTheme="minorHAnsi"/>
                <w:b/>
                <w:color w:val="000000"/>
                <w:sz w:val="19"/>
                <w:szCs w:val="19"/>
              </w:rPr>
              <w:t>038</w:t>
            </w:r>
          </w:p>
        </w:tc>
        <w:tc>
          <w:tcPr>
            <w:tcW w:w="284" w:type="dxa"/>
            <w:tcBorders>
              <w:top w:val="single" w:sz="6" w:space="0" w:color="auto"/>
              <w:left w:val="nil"/>
              <w:bottom w:val="single" w:sz="4" w:space="0" w:color="auto"/>
              <w:right w:val="nil"/>
            </w:tcBorders>
            <w:shd w:val="solid" w:color="FFFFFF" w:fill="auto"/>
            <w:vAlign w:val="center"/>
          </w:tcPr>
          <w:p w14:paraId="74BD473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6" w:space="0" w:color="auto"/>
              <w:left w:val="nil"/>
              <w:bottom w:val="single" w:sz="4" w:space="0" w:color="auto"/>
              <w:right w:val="nil"/>
            </w:tcBorders>
            <w:shd w:val="solid" w:color="FFFFFF" w:fill="auto"/>
            <w:vAlign w:val="center"/>
          </w:tcPr>
          <w:p w14:paraId="1C629B25" w14:textId="50E8F52E"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rFonts w:asciiTheme="minorHAnsi" w:hAnsiTheme="minorHAnsi"/>
                <w:b/>
                <w:color w:val="000000"/>
                <w:sz w:val="19"/>
                <w:szCs w:val="19"/>
              </w:rPr>
              <w:t>1</w:t>
            </w:r>
            <w:r w:rsidR="00A10967">
              <w:rPr>
                <w:rFonts w:asciiTheme="minorHAnsi" w:hAnsiTheme="minorHAnsi"/>
                <w:b/>
                <w:color w:val="000000"/>
                <w:sz w:val="19"/>
                <w:szCs w:val="19"/>
              </w:rPr>
              <w:t> </w:t>
            </w:r>
            <w:r w:rsidRPr="009E3947">
              <w:rPr>
                <w:rFonts w:asciiTheme="minorHAnsi" w:hAnsiTheme="minorHAnsi"/>
                <w:b/>
                <w:color w:val="000000"/>
                <w:sz w:val="19"/>
                <w:szCs w:val="19"/>
              </w:rPr>
              <w:t>588</w:t>
            </w:r>
          </w:p>
        </w:tc>
        <w:tc>
          <w:tcPr>
            <w:tcW w:w="236" w:type="dxa"/>
            <w:tcBorders>
              <w:top w:val="single" w:sz="6" w:space="0" w:color="auto"/>
              <w:left w:val="nil"/>
              <w:bottom w:val="single" w:sz="4" w:space="0" w:color="auto"/>
              <w:right w:val="nil"/>
            </w:tcBorders>
            <w:shd w:val="solid" w:color="FFFFFF" w:fill="auto"/>
            <w:vAlign w:val="center"/>
          </w:tcPr>
          <w:p w14:paraId="0DE6A5E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6" w:space="0" w:color="auto"/>
              <w:left w:val="nil"/>
              <w:bottom w:val="single" w:sz="4" w:space="0" w:color="auto"/>
              <w:right w:val="nil"/>
            </w:tcBorders>
            <w:shd w:val="solid" w:color="FFFFFF" w:fill="auto"/>
            <w:vAlign w:val="center"/>
          </w:tcPr>
          <w:p w14:paraId="647718A8" w14:textId="31FFEB38"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rFonts w:asciiTheme="minorHAnsi" w:hAnsiTheme="minorHAnsi"/>
                <w:b/>
                <w:color w:val="000000"/>
                <w:sz w:val="19"/>
                <w:szCs w:val="19"/>
              </w:rPr>
              <w:t>6</w:t>
            </w:r>
            <w:r w:rsidR="00A10967">
              <w:rPr>
                <w:rFonts w:asciiTheme="minorHAnsi" w:hAnsiTheme="minorHAnsi"/>
                <w:b/>
                <w:color w:val="000000"/>
                <w:sz w:val="19"/>
                <w:szCs w:val="19"/>
              </w:rPr>
              <w:t> </w:t>
            </w:r>
            <w:r w:rsidRPr="009E3947">
              <w:rPr>
                <w:rFonts w:asciiTheme="minorHAnsi" w:hAnsiTheme="minorHAnsi"/>
                <w:b/>
                <w:color w:val="000000"/>
                <w:sz w:val="19"/>
                <w:szCs w:val="19"/>
              </w:rPr>
              <w:t>626</w:t>
            </w:r>
          </w:p>
        </w:tc>
        <w:tc>
          <w:tcPr>
            <w:tcW w:w="236" w:type="dxa"/>
            <w:tcBorders>
              <w:top w:val="single" w:sz="6" w:space="0" w:color="auto"/>
              <w:left w:val="nil"/>
              <w:bottom w:val="single" w:sz="4" w:space="0" w:color="auto"/>
              <w:right w:val="nil"/>
            </w:tcBorders>
            <w:shd w:val="clear" w:color="auto" w:fill="F2F2F2" w:themeFill="background1" w:themeFillShade="F2"/>
            <w:vAlign w:val="center"/>
          </w:tcPr>
          <w:p w14:paraId="47F9D66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4" w:space="0" w:color="auto"/>
              <w:right w:val="nil"/>
            </w:tcBorders>
            <w:shd w:val="solid" w:color="FFFFFF" w:fill="auto"/>
            <w:vAlign w:val="center"/>
          </w:tcPr>
          <w:p w14:paraId="56A2DA13" w14:textId="1DC78445" w:rsidR="007A1F65" w:rsidRPr="009E3947" w:rsidRDefault="002B1734"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rFonts w:asciiTheme="minorHAnsi" w:hAnsiTheme="minorHAnsi"/>
                <w:b/>
                <w:color w:val="000000"/>
                <w:sz w:val="19"/>
                <w:szCs w:val="19"/>
              </w:rPr>
              <w:t>4</w:t>
            </w:r>
            <w:r w:rsidR="00A10967">
              <w:rPr>
                <w:rFonts w:asciiTheme="minorHAnsi" w:hAnsiTheme="minorHAnsi"/>
                <w:b/>
                <w:color w:val="000000"/>
                <w:sz w:val="19"/>
                <w:szCs w:val="19"/>
              </w:rPr>
              <w:t> </w:t>
            </w:r>
            <w:r w:rsidRPr="009E3947">
              <w:rPr>
                <w:rFonts w:asciiTheme="minorHAnsi" w:hAnsiTheme="minorHAnsi"/>
                <w:b/>
                <w:color w:val="000000"/>
                <w:sz w:val="19"/>
                <w:szCs w:val="19"/>
              </w:rPr>
              <w:t>894</w:t>
            </w:r>
          </w:p>
        </w:tc>
        <w:tc>
          <w:tcPr>
            <w:tcW w:w="242" w:type="dxa"/>
            <w:tcBorders>
              <w:top w:val="single" w:sz="6" w:space="0" w:color="auto"/>
              <w:left w:val="nil"/>
              <w:bottom w:val="single" w:sz="4" w:space="0" w:color="auto"/>
              <w:right w:val="nil"/>
            </w:tcBorders>
            <w:shd w:val="solid" w:color="FFFFFF" w:fill="auto"/>
            <w:vAlign w:val="center"/>
          </w:tcPr>
          <w:p w14:paraId="4094EEA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4" w:space="0" w:color="auto"/>
              <w:right w:val="nil"/>
            </w:tcBorders>
            <w:shd w:val="solid" w:color="FFFFFF" w:fill="auto"/>
            <w:vAlign w:val="center"/>
          </w:tcPr>
          <w:p w14:paraId="2C938DA0" w14:textId="0A0B15AB" w:rsidR="007A1F65" w:rsidRPr="009E3947" w:rsidRDefault="002B1734"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rFonts w:asciiTheme="minorHAnsi" w:hAnsiTheme="minorHAnsi"/>
                <w:b/>
                <w:color w:val="000000"/>
                <w:sz w:val="19"/>
                <w:szCs w:val="19"/>
              </w:rPr>
              <w:t>1</w:t>
            </w:r>
            <w:r w:rsidR="00A10967">
              <w:rPr>
                <w:rFonts w:asciiTheme="minorHAnsi" w:hAnsiTheme="minorHAnsi"/>
                <w:b/>
                <w:color w:val="000000"/>
                <w:sz w:val="19"/>
                <w:szCs w:val="19"/>
              </w:rPr>
              <w:t> </w:t>
            </w:r>
            <w:r w:rsidRPr="009E3947">
              <w:rPr>
                <w:rFonts w:asciiTheme="minorHAnsi" w:hAnsiTheme="minorHAnsi"/>
                <w:b/>
                <w:color w:val="000000"/>
                <w:sz w:val="19"/>
                <w:szCs w:val="19"/>
              </w:rPr>
              <w:t>814</w:t>
            </w:r>
          </w:p>
        </w:tc>
        <w:tc>
          <w:tcPr>
            <w:tcW w:w="236" w:type="dxa"/>
            <w:tcBorders>
              <w:top w:val="single" w:sz="6" w:space="0" w:color="auto"/>
              <w:left w:val="nil"/>
              <w:bottom w:val="single" w:sz="4" w:space="0" w:color="auto"/>
              <w:right w:val="nil"/>
            </w:tcBorders>
            <w:shd w:val="solid" w:color="FFFFFF" w:fill="auto"/>
            <w:vAlign w:val="center"/>
          </w:tcPr>
          <w:p w14:paraId="33AD059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4" w:space="0" w:color="auto"/>
              <w:right w:val="nil"/>
            </w:tcBorders>
            <w:shd w:val="solid" w:color="FFFFFF" w:fill="auto"/>
            <w:vAlign w:val="center"/>
          </w:tcPr>
          <w:p w14:paraId="0FBD7E14" w14:textId="664B4F98" w:rsidR="007A1F65" w:rsidRPr="009E3947" w:rsidRDefault="002B1734"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rFonts w:asciiTheme="minorHAnsi" w:hAnsiTheme="minorHAnsi"/>
                <w:b/>
                <w:color w:val="000000"/>
                <w:sz w:val="19"/>
                <w:szCs w:val="19"/>
              </w:rPr>
              <w:t>6</w:t>
            </w:r>
            <w:r w:rsidR="00A10967">
              <w:rPr>
                <w:rFonts w:asciiTheme="minorHAnsi" w:hAnsiTheme="minorHAnsi"/>
                <w:b/>
                <w:color w:val="000000"/>
                <w:sz w:val="19"/>
                <w:szCs w:val="19"/>
              </w:rPr>
              <w:t> </w:t>
            </w:r>
            <w:r w:rsidRPr="009E3947">
              <w:rPr>
                <w:rFonts w:asciiTheme="minorHAnsi" w:hAnsiTheme="minorHAnsi"/>
                <w:b/>
                <w:color w:val="000000"/>
                <w:sz w:val="19"/>
                <w:szCs w:val="19"/>
              </w:rPr>
              <w:t>708</w:t>
            </w:r>
          </w:p>
        </w:tc>
      </w:tr>
      <w:tr w:rsidR="007A1F65" w:rsidRPr="009E3947" w14:paraId="5BD87856" w14:textId="77777777" w:rsidTr="008A6720">
        <w:tc>
          <w:tcPr>
            <w:tcW w:w="3004" w:type="dxa"/>
            <w:tcBorders>
              <w:top w:val="nil"/>
              <w:left w:val="nil"/>
              <w:bottom w:val="nil"/>
              <w:right w:val="nil"/>
            </w:tcBorders>
            <w:shd w:val="solid" w:color="FFFFFF" w:fill="auto"/>
          </w:tcPr>
          <w:p w14:paraId="0B0DC08F"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29A0D357"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nil"/>
              <w:right w:val="nil"/>
            </w:tcBorders>
            <w:shd w:val="solid" w:color="FFFFFF" w:fill="auto"/>
          </w:tcPr>
          <w:p w14:paraId="19D87C9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84" w:type="dxa"/>
            <w:tcBorders>
              <w:top w:val="single" w:sz="4" w:space="0" w:color="auto"/>
              <w:left w:val="nil"/>
              <w:bottom w:val="nil"/>
              <w:right w:val="nil"/>
            </w:tcBorders>
            <w:shd w:val="solid" w:color="FFFFFF" w:fill="auto"/>
          </w:tcPr>
          <w:p w14:paraId="2130410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4" w:space="0" w:color="auto"/>
              <w:left w:val="nil"/>
              <w:bottom w:val="nil"/>
              <w:right w:val="nil"/>
            </w:tcBorders>
            <w:shd w:val="solid" w:color="FFFFFF" w:fill="auto"/>
          </w:tcPr>
          <w:p w14:paraId="533AE49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15610A5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4" w:space="0" w:color="auto"/>
              <w:left w:val="nil"/>
              <w:bottom w:val="nil"/>
              <w:right w:val="nil"/>
            </w:tcBorders>
            <w:shd w:val="solid" w:color="FFFFFF" w:fill="auto"/>
          </w:tcPr>
          <w:p w14:paraId="46D5908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0A157ED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nil"/>
              <w:right w:val="nil"/>
            </w:tcBorders>
            <w:shd w:val="solid" w:color="FFFFFF" w:fill="auto"/>
          </w:tcPr>
          <w:p w14:paraId="75B050C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42" w:type="dxa"/>
            <w:tcBorders>
              <w:top w:val="single" w:sz="4" w:space="0" w:color="auto"/>
              <w:left w:val="nil"/>
              <w:bottom w:val="nil"/>
              <w:right w:val="nil"/>
            </w:tcBorders>
            <w:shd w:val="solid" w:color="FFFFFF" w:fill="auto"/>
          </w:tcPr>
          <w:p w14:paraId="0818BFF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nil"/>
              <w:right w:val="nil"/>
            </w:tcBorders>
            <w:shd w:val="solid" w:color="FFFFFF" w:fill="auto"/>
          </w:tcPr>
          <w:p w14:paraId="3889F59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1F9FBA4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nil"/>
              <w:right w:val="nil"/>
            </w:tcBorders>
            <w:shd w:val="solid" w:color="FFFFFF" w:fill="auto"/>
          </w:tcPr>
          <w:p w14:paraId="4DB9615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r>
      <w:tr w:rsidR="007A1F65" w:rsidRPr="009E3947" w14:paraId="40854DD0" w14:textId="77777777" w:rsidTr="008A6720">
        <w:tc>
          <w:tcPr>
            <w:tcW w:w="3004" w:type="dxa"/>
            <w:tcBorders>
              <w:top w:val="nil"/>
              <w:left w:val="nil"/>
              <w:bottom w:val="nil"/>
              <w:right w:val="nil"/>
            </w:tcBorders>
            <w:shd w:val="solid" w:color="FFFFFF" w:fill="auto"/>
          </w:tcPr>
          <w:p w14:paraId="4A3AD374" w14:textId="59E380BC" w:rsidR="007A1F65" w:rsidRPr="009E3947" w:rsidRDefault="007A1F65" w:rsidP="008A6720">
            <w:pPr>
              <w:tabs>
                <w:tab w:val="center" w:pos="1536"/>
              </w:tabs>
              <w:autoSpaceDE w:val="0"/>
              <w:autoSpaceDN w:val="0"/>
              <w:adjustRightInd w:val="0"/>
              <w:ind w:left="0" w:firstLine="0"/>
              <w:rPr>
                <w:rFonts w:asciiTheme="minorHAnsi" w:eastAsiaTheme="minorHAnsi" w:hAnsiTheme="minorHAnsi" w:cstheme="minorHAnsi"/>
                <w:b/>
                <w:bCs/>
                <w:color w:val="000000"/>
                <w:sz w:val="19"/>
                <w:szCs w:val="19"/>
              </w:rPr>
            </w:pPr>
            <w:r w:rsidRPr="009E3947">
              <w:rPr>
                <w:rFonts w:asciiTheme="minorHAnsi" w:hAnsiTheme="minorHAnsi"/>
                <w:b/>
                <w:bCs/>
                <w:color w:val="000000"/>
                <w:sz w:val="19"/>
                <w:szCs w:val="19"/>
              </w:rPr>
              <w:t>Gastos</w:t>
            </w:r>
            <w:r w:rsidR="009E3947" w:rsidRPr="009E3947">
              <w:rPr>
                <w:rFonts w:asciiTheme="minorHAnsi" w:eastAsiaTheme="minorHAnsi" w:hAnsiTheme="minorHAnsi" w:cstheme="minorHAnsi"/>
                <w:b/>
                <w:bCs/>
                <w:color w:val="000000"/>
                <w:sz w:val="19"/>
                <w:szCs w:val="19"/>
              </w:rPr>
              <w:tab/>
            </w:r>
          </w:p>
        </w:tc>
        <w:tc>
          <w:tcPr>
            <w:tcW w:w="708" w:type="dxa"/>
            <w:tcBorders>
              <w:top w:val="nil"/>
              <w:left w:val="nil"/>
              <w:bottom w:val="nil"/>
              <w:right w:val="nil"/>
            </w:tcBorders>
            <w:shd w:val="solid" w:color="FFFFFF" w:fill="auto"/>
          </w:tcPr>
          <w:p w14:paraId="3A2B6221"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D606BA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670F7D9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85247C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799488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E815B8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43A24CF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46FC5F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0F0BA3C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4C97B2F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2BA3A4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D5A694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3D18599F" w14:textId="77777777" w:rsidTr="008A6720">
        <w:tc>
          <w:tcPr>
            <w:tcW w:w="3004" w:type="dxa"/>
            <w:tcBorders>
              <w:top w:val="nil"/>
              <w:left w:val="nil"/>
              <w:bottom w:val="nil"/>
              <w:right w:val="nil"/>
            </w:tcBorders>
            <w:shd w:val="solid" w:color="FFFFFF" w:fill="auto"/>
          </w:tcPr>
          <w:p w14:paraId="550704FF" w14:textId="77777777" w:rsidR="007A1F65" w:rsidRPr="009E3947" w:rsidRDefault="007A1F65" w:rsidP="008A6720">
            <w:pPr>
              <w:autoSpaceDE w:val="0"/>
              <w:autoSpaceDN w:val="0"/>
              <w:adjustRightInd w:val="0"/>
              <w:ind w:left="0" w:firstLine="0"/>
              <w:rPr>
                <w:rFonts w:asciiTheme="minorHAnsi" w:eastAsiaTheme="minorHAnsi" w:hAnsiTheme="minorHAnsi" w:cstheme="minorHAnsi"/>
                <w:i/>
                <w:iCs/>
                <w:color w:val="000000"/>
                <w:sz w:val="19"/>
                <w:szCs w:val="19"/>
              </w:rPr>
            </w:pPr>
            <w:r w:rsidRPr="009E3947">
              <w:rPr>
                <w:rFonts w:asciiTheme="minorHAnsi" w:hAnsiTheme="minorHAnsi"/>
                <w:i/>
                <w:iCs/>
                <w:color w:val="000000"/>
                <w:sz w:val="19"/>
                <w:szCs w:val="19"/>
              </w:rPr>
              <w:t>Gastos de funcionamiento:</w:t>
            </w:r>
          </w:p>
        </w:tc>
        <w:tc>
          <w:tcPr>
            <w:tcW w:w="708" w:type="dxa"/>
            <w:tcBorders>
              <w:top w:val="nil"/>
              <w:left w:val="nil"/>
              <w:bottom w:val="nil"/>
              <w:right w:val="nil"/>
            </w:tcBorders>
            <w:shd w:val="solid" w:color="FFFFFF" w:fill="auto"/>
          </w:tcPr>
          <w:p w14:paraId="09577BB6"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C31BD1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B313D7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B0F7A4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BD21E2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6DA9DE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7BE8461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8D5A96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57D0FEE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7CEE07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872B0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2A8B4D1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41089F94" w14:textId="77777777" w:rsidTr="008A6720">
        <w:tc>
          <w:tcPr>
            <w:tcW w:w="3004" w:type="dxa"/>
            <w:tcBorders>
              <w:top w:val="nil"/>
              <w:left w:val="nil"/>
              <w:bottom w:val="nil"/>
              <w:right w:val="nil"/>
            </w:tcBorders>
            <w:shd w:val="solid" w:color="FFFFFF" w:fill="auto"/>
          </w:tcPr>
          <w:p w14:paraId="6A32F76F"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Movilización de recursos y promoción</w:t>
            </w:r>
          </w:p>
        </w:tc>
        <w:tc>
          <w:tcPr>
            <w:tcW w:w="708" w:type="dxa"/>
            <w:tcBorders>
              <w:top w:val="nil"/>
              <w:left w:val="nil"/>
              <w:bottom w:val="nil"/>
              <w:right w:val="nil"/>
            </w:tcBorders>
            <w:shd w:val="solid" w:color="FFFFFF" w:fill="auto"/>
          </w:tcPr>
          <w:p w14:paraId="404B52E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4B7A815" w14:textId="106FC5A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(616)</w:t>
            </w:r>
          </w:p>
        </w:tc>
        <w:tc>
          <w:tcPr>
            <w:tcW w:w="284" w:type="dxa"/>
            <w:tcBorders>
              <w:top w:val="nil"/>
              <w:left w:val="nil"/>
              <w:bottom w:val="nil"/>
              <w:right w:val="nil"/>
            </w:tcBorders>
            <w:shd w:val="solid" w:color="FFFFFF" w:fill="auto"/>
          </w:tcPr>
          <w:p w14:paraId="34B7EA6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EA80A73" w14:textId="2AFE5FE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(74)</w:t>
            </w:r>
          </w:p>
        </w:tc>
        <w:tc>
          <w:tcPr>
            <w:tcW w:w="236" w:type="dxa"/>
            <w:tcBorders>
              <w:top w:val="nil"/>
              <w:left w:val="nil"/>
              <w:bottom w:val="nil"/>
              <w:right w:val="nil"/>
            </w:tcBorders>
            <w:shd w:val="solid" w:color="FFFFFF" w:fill="auto"/>
          </w:tcPr>
          <w:p w14:paraId="5FA5848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BD99245" w14:textId="7BB1D849"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(690)</w:t>
            </w:r>
          </w:p>
        </w:tc>
        <w:tc>
          <w:tcPr>
            <w:tcW w:w="236" w:type="dxa"/>
            <w:tcBorders>
              <w:top w:val="nil"/>
              <w:left w:val="nil"/>
              <w:bottom w:val="nil"/>
              <w:right w:val="nil"/>
            </w:tcBorders>
            <w:shd w:val="clear" w:color="auto" w:fill="F2F2F2" w:themeFill="background1" w:themeFillShade="F2"/>
          </w:tcPr>
          <w:p w14:paraId="14CD448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21C9977A" w14:textId="70C371A3"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(448)</w:t>
            </w:r>
          </w:p>
        </w:tc>
        <w:tc>
          <w:tcPr>
            <w:tcW w:w="242" w:type="dxa"/>
            <w:tcBorders>
              <w:top w:val="nil"/>
              <w:left w:val="nil"/>
              <w:bottom w:val="nil"/>
              <w:right w:val="nil"/>
            </w:tcBorders>
            <w:shd w:val="solid" w:color="FFFFFF" w:fill="auto"/>
          </w:tcPr>
          <w:p w14:paraId="4DC4E6E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5DB25FB" w14:textId="14EB63A4"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(163)</w:t>
            </w:r>
          </w:p>
        </w:tc>
        <w:tc>
          <w:tcPr>
            <w:tcW w:w="236" w:type="dxa"/>
            <w:tcBorders>
              <w:top w:val="nil"/>
              <w:left w:val="nil"/>
              <w:bottom w:val="nil"/>
              <w:right w:val="nil"/>
            </w:tcBorders>
            <w:shd w:val="solid" w:color="FFFFFF" w:fill="auto"/>
          </w:tcPr>
          <w:p w14:paraId="134CBD8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210292F" w14:textId="1552CAFF"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(611)</w:t>
            </w:r>
          </w:p>
        </w:tc>
      </w:tr>
      <w:tr w:rsidR="007A1F65" w:rsidRPr="009E3947" w14:paraId="1058DE12" w14:textId="77777777" w:rsidTr="008A6720">
        <w:tc>
          <w:tcPr>
            <w:tcW w:w="3004" w:type="dxa"/>
            <w:tcBorders>
              <w:top w:val="nil"/>
              <w:left w:val="nil"/>
              <w:bottom w:val="nil"/>
              <w:right w:val="nil"/>
            </w:tcBorders>
            <w:shd w:val="solid" w:color="FFFFFF" w:fill="auto"/>
          </w:tcPr>
          <w:p w14:paraId="02DED0C1"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Asesoramiento, iniciativas y apoyo regionales</w:t>
            </w:r>
          </w:p>
        </w:tc>
        <w:tc>
          <w:tcPr>
            <w:tcW w:w="708" w:type="dxa"/>
            <w:tcBorders>
              <w:top w:val="nil"/>
              <w:left w:val="nil"/>
              <w:bottom w:val="nil"/>
              <w:right w:val="nil"/>
            </w:tcBorders>
            <w:shd w:val="solid" w:color="FFFFFF" w:fill="auto"/>
          </w:tcPr>
          <w:p w14:paraId="38FB3A61"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8FB72E9" w14:textId="20262969"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w:t>
            </w:r>
            <w:r w:rsidR="00A10967">
              <w:rPr>
                <w:sz w:val="19"/>
                <w:szCs w:val="19"/>
              </w:rPr>
              <w:t> </w:t>
            </w:r>
            <w:r w:rsidRPr="009E3947">
              <w:rPr>
                <w:sz w:val="19"/>
                <w:szCs w:val="19"/>
              </w:rPr>
              <w:t>154)</w:t>
            </w:r>
          </w:p>
        </w:tc>
        <w:tc>
          <w:tcPr>
            <w:tcW w:w="284" w:type="dxa"/>
            <w:tcBorders>
              <w:top w:val="nil"/>
              <w:left w:val="nil"/>
              <w:bottom w:val="nil"/>
              <w:right w:val="nil"/>
            </w:tcBorders>
            <w:shd w:val="solid" w:color="FFFFFF" w:fill="auto"/>
          </w:tcPr>
          <w:p w14:paraId="01740CB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5C17B70B" w14:textId="2200DD15"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(647)</w:t>
            </w:r>
          </w:p>
        </w:tc>
        <w:tc>
          <w:tcPr>
            <w:tcW w:w="236" w:type="dxa"/>
            <w:tcBorders>
              <w:top w:val="nil"/>
              <w:left w:val="nil"/>
              <w:bottom w:val="nil"/>
              <w:right w:val="nil"/>
            </w:tcBorders>
            <w:shd w:val="solid" w:color="FFFFFF" w:fill="auto"/>
          </w:tcPr>
          <w:p w14:paraId="14D60B8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285C409" w14:textId="32167C6E"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w:t>
            </w:r>
            <w:r w:rsidR="00A10967">
              <w:rPr>
                <w:sz w:val="19"/>
                <w:szCs w:val="19"/>
              </w:rPr>
              <w:t> </w:t>
            </w:r>
            <w:r w:rsidRPr="009E3947">
              <w:rPr>
                <w:sz w:val="19"/>
                <w:szCs w:val="19"/>
              </w:rPr>
              <w:t>801)</w:t>
            </w:r>
          </w:p>
        </w:tc>
        <w:tc>
          <w:tcPr>
            <w:tcW w:w="236" w:type="dxa"/>
            <w:tcBorders>
              <w:top w:val="nil"/>
              <w:left w:val="nil"/>
              <w:bottom w:val="nil"/>
              <w:right w:val="nil"/>
            </w:tcBorders>
            <w:shd w:val="clear" w:color="auto" w:fill="F2F2F2" w:themeFill="background1" w:themeFillShade="F2"/>
          </w:tcPr>
          <w:p w14:paraId="10BE86B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78437857" w14:textId="3E65E103"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w:t>
            </w:r>
            <w:r w:rsidR="00A10967">
              <w:rPr>
                <w:sz w:val="19"/>
                <w:szCs w:val="19"/>
              </w:rPr>
              <w:t> </w:t>
            </w:r>
            <w:r w:rsidRPr="009E3947">
              <w:rPr>
                <w:sz w:val="19"/>
                <w:szCs w:val="19"/>
              </w:rPr>
              <w:t>113)</w:t>
            </w:r>
          </w:p>
        </w:tc>
        <w:tc>
          <w:tcPr>
            <w:tcW w:w="242" w:type="dxa"/>
            <w:tcBorders>
              <w:top w:val="nil"/>
              <w:left w:val="nil"/>
              <w:bottom w:val="nil"/>
              <w:right w:val="nil"/>
            </w:tcBorders>
            <w:shd w:val="solid" w:color="FFFFFF" w:fill="auto"/>
          </w:tcPr>
          <w:p w14:paraId="4F6C9B9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499BE9C" w14:textId="265ED41A"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(860)</w:t>
            </w:r>
          </w:p>
        </w:tc>
        <w:tc>
          <w:tcPr>
            <w:tcW w:w="236" w:type="dxa"/>
            <w:tcBorders>
              <w:top w:val="nil"/>
              <w:left w:val="nil"/>
              <w:bottom w:val="nil"/>
              <w:right w:val="nil"/>
            </w:tcBorders>
            <w:shd w:val="solid" w:color="FFFFFF" w:fill="auto"/>
          </w:tcPr>
          <w:p w14:paraId="6932167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1951BD0" w14:textId="795FA40C"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w:t>
            </w:r>
            <w:r w:rsidR="00A10967">
              <w:rPr>
                <w:sz w:val="19"/>
                <w:szCs w:val="19"/>
              </w:rPr>
              <w:t> </w:t>
            </w:r>
            <w:r w:rsidRPr="009E3947">
              <w:rPr>
                <w:sz w:val="19"/>
                <w:szCs w:val="19"/>
              </w:rPr>
              <w:t>973)</w:t>
            </w:r>
          </w:p>
        </w:tc>
      </w:tr>
      <w:tr w:rsidR="007A1F65" w:rsidRPr="009E3947" w14:paraId="306C85A2" w14:textId="77777777" w:rsidTr="008A6720">
        <w:tc>
          <w:tcPr>
            <w:tcW w:w="3004" w:type="dxa"/>
            <w:tcBorders>
              <w:top w:val="nil"/>
              <w:left w:val="nil"/>
              <w:bottom w:val="nil"/>
              <w:right w:val="nil"/>
            </w:tcBorders>
            <w:shd w:val="solid" w:color="FFFFFF" w:fill="auto"/>
          </w:tcPr>
          <w:p w14:paraId="3C4C1468"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Servicios Científicos y Técnicos</w:t>
            </w:r>
          </w:p>
        </w:tc>
        <w:tc>
          <w:tcPr>
            <w:tcW w:w="708" w:type="dxa"/>
            <w:tcBorders>
              <w:top w:val="nil"/>
              <w:left w:val="nil"/>
              <w:bottom w:val="nil"/>
              <w:right w:val="nil"/>
            </w:tcBorders>
            <w:shd w:val="solid" w:color="FFFFFF" w:fill="auto"/>
          </w:tcPr>
          <w:p w14:paraId="4DB7B8A4"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right w:val="nil"/>
            </w:tcBorders>
            <w:shd w:val="solid" w:color="FFFFFF" w:fill="auto"/>
          </w:tcPr>
          <w:p w14:paraId="1C3343C5" w14:textId="686F8E5F"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(872)</w:t>
            </w:r>
          </w:p>
        </w:tc>
        <w:tc>
          <w:tcPr>
            <w:tcW w:w="284" w:type="dxa"/>
            <w:tcBorders>
              <w:top w:val="nil"/>
              <w:left w:val="nil"/>
              <w:right w:val="nil"/>
            </w:tcBorders>
            <w:shd w:val="solid" w:color="FFFFFF" w:fill="auto"/>
          </w:tcPr>
          <w:p w14:paraId="75BBAE6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right w:val="nil"/>
            </w:tcBorders>
            <w:shd w:val="solid" w:color="FFFFFF" w:fill="auto"/>
          </w:tcPr>
          <w:p w14:paraId="3C1DF34B" w14:textId="1AB5B605"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(54)</w:t>
            </w:r>
          </w:p>
        </w:tc>
        <w:tc>
          <w:tcPr>
            <w:tcW w:w="236" w:type="dxa"/>
            <w:tcBorders>
              <w:top w:val="nil"/>
              <w:left w:val="nil"/>
              <w:right w:val="nil"/>
            </w:tcBorders>
            <w:shd w:val="solid" w:color="FFFFFF" w:fill="auto"/>
          </w:tcPr>
          <w:p w14:paraId="640B4A4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right w:val="nil"/>
            </w:tcBorders>
            <w:shd w:val="solid" w:color="FFFFFF" w:fill="auto"/>
          </w:tcPr>
          <w:p w14:paraId="202E65CF" w14:textId="481499AF"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(926)</w:t>
            </w:r>
          </w:p>
        </w:tc>
        <w:tc>
          <w:tcPr>
            <w:tcW w:w="236" w:type="dxa"/>
            <w:tcBorders>
              <w:top w:val="nil"/>
              <w:left w:val="nil"/>
              <w:right w:val="nil"/>
            </w:tcBorders>
            <w:shd w:val="clear" w:color="auto" w:fill="F2F2F2" w:themeFill="background1" w:themeFillShade="F2"/>
          </w:tcPr>
          <w:p w14:paraId="2F04770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right w:val="nil"/>
            </w:tcBorders>
            <w:shd w:val="solid" w:color="FFFFFF" w:fill="auto"/>
          </w:tcPr>
          <w:p w14:paraId="59568C80" w14:textId="5958AD6F"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(735)</w:t>
            </w:r>
          </w:p>
        </w:tc>
        <w:tc>
          <w:tcPr>
            <w:tcW w:w="242" w:type="dxa"/>
            <w:tcBorders>
              <w:top w:val="nil"/>
              <w:left w:val="nil"/>
              <w:right w:val="nil"/>
            </w:tcBorders>
            <w:shd w:val="solid" w:color="FFFFFF" w:fill="auto"/>
          </w:tcPr>
          <w:p w14:paraId="6858DF3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right w:val="nil"/>
            </w:tcBorders>
            <w:shd w:val="solid" w:color="FFFFFF" w:fill="auto"/>
          </w:tcPr>
          <w:p w14:paraId="34793813" w14:textId="3A025384"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w:t>
            </w:r>
          </w:p>
        </w:tc>
        <w:tc>
          <w:tcPr>
            <w:tcW w:w="236" w:type="dxa"/>
            <w:tcBorders>
              <w:top w:val="nil"/>
              <w:left w:val="nil"/>
              <w:right w:val="nil"/>
            </w:tcBorders>
            <w:shd w:val="solid" w:color="FFFFFF" w:fill="auto"/>
          </w:tcPr>
          <w:p w14:paraId="2968EF9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right w:val="nil"/>
            </w:tcBorders>
            <w:shd w:val="solid" w:color="FFFFFF" w:fill="auto"/>
          </w:tcPr>
          <w:p w14:paraId="39BD5B83" w14:textId="7CD25341"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(736)</w:t>
            </w:r>
          </w:p>
        </w:tc>
      </w:tr>
      <w:tr w:rsidR="007A1F65" w:rsidRPr="009E3947" w14:paraId="41826001" w14:textId="77777777" w:rsidTr="008A6720">
        <w:tc>
          <w:tcPr>
            <w:tcW w:w="3004" w:type="dxa"/>
            <w:tcBorders>
              <w:top w:val="nil"/>
              <w:left w:val="nil"/>
              <w:bottom w:val="nil"/>
              <w:right w:val="nil"/>
            </w:tcBorders>
            <w:shd w:val="solid" w:color="FFFFFF" w:fill="auto"/>
          </w:tcPr>
          <w:p w14:paraId="4E4F77E9"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Gestión, gobernanza, funcionamiento y apoyo</w:t>
            </w:r>
          </w:p>
        </w:tc>
        <w:tc>
          <w:tcPr>
            <w:tcW w:w="708" w:type="dxa"/>
            <w:tcBorders>
              <w:top w:val="nil"/>
              <w:left w:val="nil"/>
              <w:bottom w:val="nil"/>
              <w:right w:val="nil"/>
            </w:tcBorders>
            <w:shd w:val="solid" w:color="FFFFFF" w:fill="auto"/>
          </w:tcPr>
          <w:p w14:paraId="59B7FA3D"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0207D2C7" w14:textId="65EAC693"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w:t>
            </w:r>
            <w:r w:rsidR="00A10967">
              <w:rPr>
                <w:sz w:val="19"/>
                <w:szCs w:val="19"/>
              </w:rPr>
              <w:t> </w:t>
            </w:r>
            <w:r w:rsidRPr="009E3947">
              <w:rPr>
                <w:sz w:val="19"/>
                <w:szCs w:val="19"/>
              </w:rPr>
              <w:t>689)</w:t>
            </w:r>
          </w:p>
        </w:tc>
        <w:tc>
          <w:tcPr>
            <w:tcW w:w="284" w:type="dxa"/>
            <w:tcBorders>
              <w:top w:val="nil"/>
              <w:left w:val="nil"/>
              <w:bottom w:val="single" w:sz="4" w:space="0" w:color="auto"/>
              <w:right w:val="nil"/>
            </w:tcBorders>
            <w:shd w:val="solid" w:color="FFFFFF" w:fill="auto"/>
          </w:tcPr>
          <w:p w14:paraId="012DBCE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52B42AD4" w14:textId="1BD7A4B1"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(46)   </w:t>
            </w:r>
          </w:p>
        </w:tc>
        <w:tc>
          <w:tcPr>
            <w:tcW w:w="236" w:type="dxa"/>
            <w:tcBorders>
              <w:top w:val="nil"/>
              <w:left w:val="nil"/>
              <w:bottom w:val="single" w:sz="4" w:space="0" w:color="auto"/>
              <w:right w:val="nil"/>
            </w:tcBorders>
            <w:shd w:val="solid" w:color="FFFFFF" w:fill="auto"/>
          </w:tcPr>
          <w:p w14:paraId="64DBFA1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tcPr>
          <w:p w14:paraId="66167E2D" w14:textId="3B1DC77E"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w:t>
            </w:r>
            <w:r w:rsidR="00A10967">
              <w:rPr>
                <w:sz w:val="19"/>
                <w:szCs w:val="19"/>
              </w:rPr>
              <w:t> </w:t>
            </w:r>
            <w:r w:rsidRPr="009E3947">
              <w:rPr>
                <w:sz w:val="19"/>
                <w:szCs w:val="19"/>
              </w:rPr>
              <w:t>735)</w:t>
            </w:r>
          </w:p>
        </w:tc>
        <w:tc>
          <w:tcPr>
            <w:tcW w:w="236" w:type="dxa"/>
            <w:tcBorders>
              <w:top w:val="nil"/>
              <w:left w:val="nil"/>
              <w:bottom w:val="single" w:sz="4" w:space="0" w:color="auto"/>
              <w:right w:val="nil"/>
            </w:tcBorders>
            <w:shd w:val="clear" w:color="auto" w:fill="F2F2F2" w:themeFill="background1" w:themeFillShade="F2"/>
          </w:tcPr>
          <w:p w14:paraId="07F3702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tcPr>
          <w:p w14:paraId="21230A13" w14:textId="0ACAC5EF"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w:t>
            </w:r>
            <w:r w:rsidR="00A10967">
              <w:rPr>
                <w:sz w:val="19"/>
                <w:szCs w:val="19"/>
              </w:rPr>
              <w:t> </w:t>
            </w:r>
            <w:r w:rsidRPr="009E3947">
              <w:rPr>
                <w:sz w:val="19"/>
                <w:szCs w:val="19"/>
              </w:rPr>
              <w:t>453)</w:t>
            </w:r>
          </w:p>
        </w:tc>
        <w:tc>
          <w:tcPr>
            <w:tcW w:w="242" w:type="dxa"/>
            <w:tcBorders>
              <w:top w:val="nil"/>
              <w:left w:val="nil"/>
              <w:bottom w:val="single" w:sz="4" w:space="0" w:color="auto"/>
              <w:right w:val="nil"/>
            </w:tcBorders>
            <w:shd w:val="solid" w:color="FFFFFF" w:fill="auto"/>
          </w:tcPr>
          <w:p w14:paraId="5846365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189EC334" w14:textId="083DB30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(39)   </w:t>
            </w:r>
          </w:p>
        </w:tc>
        <w:tc>
          <w:tcPr>
            <w:tcW w:w="236" w:type="dxa"/>
            <w:tcBorders>
              <w:top w:val="nil"/>
              <w:left w:val="nil"/>
              <w:bottom w:val="single" w:sz="4" w:space="0" w:color="auto"/>
              <w:right w:val="nil"/>
            </w:tcBorders>
            <w:shd w:val="solid" w:color="FFFFFF" w:fill="auto"/>
          </w:tcPr>
          <w:p w14:paraId="1DB36C7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075420FE" w14:textId="58EFF162"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w:t>
            </w:r>
            <w:r w:rsidR="00A10967">
              <w:rPr>
                <w:sz w:val="19"/>
                <w:szCs w:val="19"/>
              </w:rPr>
              <w:t> </w:t>
            </w:r>
            <w:r w:rsidRPr="009E3947">
              <w:rPr>
                <w:sz w:val="19"/>
                <w:szCs w:val="19"/>
              </w:rPr>
              <w:t>492)</w:t>
            </w:r>
          </w:p>
        </w:tc>
      </w:tr>
      <w:tr w:rsidR="007A1F65" w:rsidRPr="009E3947" w14:paraId="63A25C6E" w14:textId="77777777" w:rsidTr="008A6720">
        <w:tc>
          <w:tcPr>
            <w:tcW w:w="3004" w:type="dxa"/>
            <w:tcBorders>
              <w:top w:val="nil"/>
              <w:left w:val="nil"/>
              <w:bottom w:val="nil"/>
              <w:right w:val="nil"/>
            </w:tcBorders>
            <w:shd w:val="solid" w:color="FFFFFF" w:fill="auto"/>
          </w:tcPr>
          <w:p w14:paraId="41A9D4E3"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iCs/>
                <w:color w:val="000000"/>
                <w:sz w:val="19"/>
                <w:szCs w:val="19"/>
              </w:rPr>
            </w:pPr>
            <w:r w:rsidRPr="009E3947">
              <w:rPr>
                <w:rFonts w:asciiTheme="minorHAnsi" w:hAnsiTheme="minorHAnsi"/>
                <w:b/>
                <w:iCs/>
                <w:color w:val="000000"/>
                <w:sz w:val="19"/>
                <w:szCs w:val="19"/>
              </w:rPr>
              <w:t>Total, Gastos de funcionamiento</w:t>
            </w:r>
          </w:p>
        </w:tc>
        <w:tc>
          <w:tcPr>
            <w:tcW w:w="708" w:type="dxa"/>
            <w:tcBorders>
              <w:top w:val="nil"/>
              <w:left w:val="nil"/>
              <w:bottom w:val="nil"/>
              <w:right w:val="nil"/>
            </w:tcBorders>
            <w:shd w:val="solid" w:color="FFFFFF" w:fill="auto"/>
          </w:tcPr>
          <w:p w14:paraId="2B58F01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single" w:sz="4" w:space="0" w:color="auto"/>
              <w:right w:val="nil"/>
            </w:tcBorders>
            <w:shd w:val="solid" w:color="FFFFFF" w:fill="auto"/>
          </w:tcPr>
          <w:p w14:paraId="0DFF8437" w14:textId="5570700B"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(5</w:t>
            </w:r>
            <w:r w:rsidR="00A10967">
              <w:rPr>
                <w:b/>
                <w:sz w:val="19"/>
                <w:szCs w:val="19"/>
              </w:rPr>
              <w:t> </w:t>
            </w:r>
            <w:r w:rsidRPr="009E3947">
              <w:rPr>
                <w:b/>
                <w:sz w:val="19"/>
                <w:szCs w:val="19"/>
              </w:rPr>
              <w:t>331)</w:t>
            </w:r>
          </w:p>
        </w:tc>
        <w:tc>
          <w:tcPr>
            <w:tcW w:w="284" w:type="dxa"/>
            <w:tcBorders>
              <w:top w:val="single" w:sz="4" w:space="0" w:color="auto"/>
              <w:left w:val="nil"/>
              <w:bottom w:val="single" w:sz="4" w:space="0" w:color="auto"/>
              <w:right w:val="nil"/>
            </w:tcBorders>
            <w:shd w:val="solid" w:color="FFFFFF" w:fill="auto"/>
          </w:tcPr>
          <w:p w14:paraId="1E7FEE0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4" w:space="0" w:color="auto"/>
              <w:left w:val="nil"/>
              <w:bottom w:val="single" w:sz="4" w:space="0" w:color="auto"/>
              <w:right w:val="nil"/>
            </w:tcBorders>
          </w:tcPr>
          <w:p w14:paraId="2CDA3C6F" w14:textId="27E8485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(821)</w:t>
            </w:r>
          </w:p>
        </w:tc>
        <w:tc>
          <w:tcPr>
            <w:tcW w:w="236" w:type="dxa"/>
            <w:tcBorders>
              <w:top w:val="single" w:sz="4" w:space="0" w:color="auto"/>
              <w:left w:val="nil"/>
              <w:bottom w:val="single" w:sz="4" w:space="0" w:color="auto"/>
              <w:right w:val="nil"/>
            </w:tcBorders>
            <w:shd w:val="solid" w:color="FFFFFF" w:fill="auto"/>
          </w:tcPr>
          <w:p w14:paraId="4B4D3E4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4" w:space="0" w:color="auto"/>
              <w:left w:val="nil"/>
              <w:bottom w:val="single" w:sz="4" w:space="0" w:color="auto"/>
              <w:right w:val="nil"/>
            </w:tcBorders>
            <w:shd w:val="solid" w:color="FFFFFF" w:fill="auto"/>
          </w:tcPr>
          <w:p w14:paraId="6D5AD600" w14:textId="418490E9"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(6</w:t>
            </w:r>
            <w:r w:rsidR="00A10967">
              <w:rPr>
                <w:b/>
                <w:sz w:val="19"/>
                <w:szCs w:val="19"/>
              </w:rPr>
              <w:t> </w:t>
            </w:r>
            <w:r w:rsidRPr="009E3947">
              <w:rPr>
                <w:b/>
                <w:sz w:val="19"/>
                <w:szCs w:val="19"/>
              </w:rPr>
              <w:t>152)</w:t>
            </w:r>
          </w:p>
        </w:tc>
        <w:tc>
          <w:tcPr>
            <w:tcW w:w="236" w:type="dxa"/>
            <w:tcBorders>
              <w:top w:val="single" w:sz="4" w:space="0" w:color="auto"/>
              <w:left w:val="nil"/>
              <w:bottom w:val="single" w:sz="4" w:space="0" w:color="auto"/>
              <w:right w:val="nil"/>
            </w:tcBorders>
            <w:shd w:val="clear" w:color="auto" w:fill="F2F2F2" w:themeFill="background1" w:themeFillShade="F2"/>
          </w:tcPr>
          <w:p w14:paraId="50D09E4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single" w:sz="4" w:space="0" w:color="auto"/>
              <w:right w:val="nil"/>
            </w:tcBorders>
            <w:shd w:val="solid" w:color="FFFFFF" w:fill="auto"/>
          </w:tcPr>
          <w:p w14:paraId="6E5519BA" w14:textId="51053595"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(4</w:t>
            </w:r>
            <w:r w:rsidR="00A10967">
              <w:rPr>
                <w:b/>
                <w:sz w:val="19"/>
                <w:szCs w:val="19"/>
              </w:rPr>
              <w:t> </w:t>
            </w:r>
            <w:r w:rsidRPr="009E3947">
              <w:rPr>
                <w:b/>
                <w:sz w:val="19"/>
                <w:szCs w:val="19"/>
              </w:rPr>
              <w:t>749)</w:t>
            </w:r>
          </w:p>
        </w:tc>
        <w:tc>
          <w:tcPr>
            <w:tcW w:w="242" w:type="dxa"/>
            <w:tcBorders>
              <w:top w:val="single" w:sz="4" w:space="0" w:color="auto"/>
              <w:left w:val="nil"/>
              <w:bottom w:val="single" w:sz="4" w:space="0" w:color="auto"/>
              <w:right w:val="nil"/>
            </w:tcBorders>
            <w:shd w:val="solid" w:color="FFFFFF" w:fill="auto"/>
          </w:tcPr>
          <w:p w14:paraId="51C8F22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single" w:sz="4" w:space="0" w:color="auto"/>
              <w:right w:val="nil"/>
            </w:tcBorders>
            <w:shd w:val="solid" w:color="FFFFFF" w:fill="auto"/>
          </w:tcPr>
          <w:p w14:paraId="24FE8621" w14:textId="2FF030FE"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(1</w:t>
            </w:r>
            <w:r w:rsidR="00A10967">
              <w:rPr>
                <w:b/>
                <w:sz w:val="19"/>
                <w:szCs w:val="19"/>
              </w:rPr>
              <w:t> </w:t>
            </w:r>
            <w:r w:rsidRPr="009E3947">
              <w:rPr>
                <w:b/>
                <w:sz w:val="19"/>
                <w:szCs w:val="19"/>
              </w:rPr>
              <w:t>063)</w:t>
            </w:r>
          </w:p>
        </w:tc>
        <w:tc>
          <w:tcPr>
            <w:tcW w:w="236" w:type="dxa"/>
            <w:tcBorders>
              <w:top w:val="single" w:sz="4" w:space="0" w:color="auto"/>
              <w:left w:val="nil"/>
              <w:bottom w:val="single" w:sz="4" w:space="0" w:color="auto"/>
              <w:right w:val="nil"/>
            </w:tcBorders>
            <w:shd w:val="solid" w:color="FFFFFF" w:fill="auto"/>
          </w:tcPr>
          <w:p w14:paraId="536C702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single" w:sz="4" w:space="0" w:color="auto"/>
              <w:right w:val="nil"/>
            </w:tcBorders>
            <w:shd w:val="solid" w:color="FFFFFF" w:fill="auto"/>
          </w:tcPr>
          <w:p w14:paraId="0217BC60" w14:textId="4E8C07A9"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(5</w:t>
            </w:r>
            <w:r w:rsidR="00A10967">
              <w:rPr>
                <w:b/>
                <w:sz w:val="19"/>
                <w:szCs w:val="19"/>
              </w:rPr>
              <w:t> </w:t>
            </w:r>
            <w:r w:rsidRPr="009E3947">
              <w:rPr>
                <w:b/>
                <w:sz w:val="19"/>
                <w:szCs w:val="19"/>
              </w:rPr>
              <w:t>812)</w:t>
            </w:r>
          </w:p>
        </w:tc>
      </w:tr>
      <w:tr w:rsidR="007A1F65" w:rsidRPr="009E3947" w14:paraId="69740AA6" w14:textId="77777777" w:rsidTr="008A6720">
        <w:tc>
          <w:tcPr>
            <w:tcW w:w="3004" w:type="dxa"/>
            <w:tcBorders>
              <w:top w:val="nil"/>
              <w:left w:val="nil"/>
              <w:bottom w:val="nil"/>
              <w:right w:val="nil"/>
            </w:tcBorders>
            <w:shd w:val="solid" w:color="FFFFFF" w:fill="auto"/>
          </w:tcPr>
          <w:p w14:paraId="66C0D296"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0E5BA12F"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6C432FA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6887567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B0CA30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ED79CF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50AE4E0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9F4649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3FC4E7D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FFE6F1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5EF9366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9A8CDE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7BF10C5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30F65E50" w14:textId="77777777" w:rsidTr="008A6720">
        <w:tc>
          <w:tcPr>
            <w:tcW w:w="3004" w:type="dxa"/>
            <w:tcBorders>
              <w:top w:val="nil"/>
              <w:left w:val="nil"/>
              <w:bottom w:val="nil"/>
              <w:right w:val="nil"/>
            </w:tcBorders>
            <w:shd w:val="solid" w:color="FFFFFF" w:fill="auto"/>
            <w:vAlign w:val="center"/>
          </w:tcPr>
          <w:p w14:paraId="23C96B6E"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Excedente/(Déficit) neto antes de otros ingresos/(gastos)</w:t>
            </w:r>
          </w:p>
        </w:tc>
        <w:tc>
          <w:tcPr>
            <w:tcW w:w="708" w:type="dxa"/>
            <w:tcBorders>
              <w:top w:val="nil"/>
              <w:left w:val="nil"/>
              <w:bottom w:val="nil"/>
              <w:right w:val="nil"/>
            </w:tcBorders>
            <w:shd w:val="solid" w:color="FFFFFF" w:fill="auto"/>
          </w:tcPr>
          <w:p w14:paraId="012B2EBC"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70AC989E" w14:textId="500D1659"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(293) </w:t>
            </w:r>
          </w:p>
        </w:tc>
        <w:tc>
          <w:tcPr>
            <w:tcW w:w="284" w:type="dxa"/>
            <w:tcBorders>
              <w:top w:val="nil"/>
              <w:left w:val="nil"/>
              <w:bottom w:val="single" w:sz="4" w:space="0" w:color="auto"/>
              <w:right w:val="nil"/>
            </w:tcBorders>
            <w:shd w:val="solid" w:color="FFFFFF" w:fill="auto"/>
          </w:tcPr>
          <w:p w14:paraId="2867D9B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single" w:sz="4" w:space="0" w:color="auto"/>
              <w:right w:val="nil"/>
            </w:tcBorders>
            <w:shd w:val="solid" w:color="FFFFFF" w:fill="auto"/>
          </w:tcPr>
          <w:p w14:paraId="331716B8" w14:textId="211F3A63" w:rsidR="007A1F65" w:rsidRPr="009E3947" w:rsidRDefault="007C4659"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767</w:t>
            </w:r>
          </w:p>
        </w:tc>
        <w:tc>
          <w:tcPr>
            <w:tcW w:w="236" w:type="dxa"/>
            <w:tcBorders>
              <w:top w:val="nil"/>
              <w:left w:val="nil"/>
              <w:bottom w:val="single" w:sz="4" w:space="0" w:color="auto"/>
              <w:right w:val="nil"/>
            </w:tcBorders>
            <w:shd w:val="solid" w:color="FFFFFF" w:fill="auto"/>
          </w:tcPr>
          <w:p w14:paraId="17CF6C4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single" w:sz="4" w:space="0" w:color="auto"/>
              <w:right w:val="nil"/>
            </w:tcBorders>
            <w:shd w:val="solid" w:color="FFFFFF" w:fill="auto"/>
          </w:tcPr>
          <w:p w14:paraId="0B78EA89" w14:textId="460FAA93" w:rsidR="007A1F65" w:rsidRPr="009E3947" w:rsidRDefault="007C4659"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474</w:t>
            </w:r>
          </w:p>
        </w:tc>
        <w:tc>
          <w:tcPr>
            <w:tcW w:w="236" w:type="dxa"/>
            <w:tcBorders>
              <w:top w:val="nil"/>
              <w:left w:val="nil"/>
              <w:bottom w:val="single" w:sz="4" w:space="0" w:color="auto"/>
              <w:right w:val="nil"/>
            </w:tcBorders>
            <w:shd w:val="clear" w:color="auto" w:fill="F2F2F2" w:themeFill="background1" w:themeFillShade="F2"/>
          </w:tcPr>
          <w:p w14:paraId="38CA32F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single" w:sz="4" w:space="0" w:color="auto"/>
              <w:right w:val="nil"/>
            </w:tcBorders>
            <w:shd w:val="solid" w:color="FFFFFF" w:fill="auto"/>
          </w:tcPr>
          <w:p w14:paraId="40129D47" w14:textId="620FB599"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145 </w:t>
            </w:r>
          </w:p>
        </w:tc>
        <w:tc>
          <w:tcPr>
            <w:tcW w:w="242" w:type="dxa"/>
            <w:tcBorders>
              <w:top w:val="nil"/>
              <w:left w:val="nil"/>
              <w:bottom w:val="single" w:sz="4" w:space="0" w:color="auto"/>
              <w:right w:val="nil"/>
            </w:tcBorders>
            <w:shd w:val="solid" w:color="FFFFFF" w:fill="auto"/>
          </w:tcPr>
          <w:p w14:paraId="25287B5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nil"/>
              <w:left w:val="nil"/>
              <w:bottom w:val="single" w:sz="4" w:space="0" w:color="auto"/>
              <w:right w:val="nil"/>
            </w:tcBorders>
            <w:shd w:val="solid" w:color="FFFFFF" w:fill="auto"/>
          </w:tcPr>
          <w:p w14:paraId="1D0FBA0E" w14:textId="0FB69384"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751 </w:t>
            </w:r>
          </w:p>
        </w:tc>
        <w:tc>
          <w:tcPr>
            <w:tcW w:w="236" w:type="dxa"/>
            <w:tcBorders>
              <w:top w:val="nil"/>
              <w:left w:val="nil"/>
              <w:bottom w:val="single" w:sz="4" w:space="0" w:color="auto"/>
              <w:right w:val="nil"/>
            </w:tcBorders>
            <w:shd w:val="solid" w:color="FFFFFF" w:fill="auto"/>
          </w:tcPr>
          <w:p w14:paraId="7F61669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nil"/>
              <w:left w:val="nil"/>
              <w:bottom w:val="single" w:sz="4" w:space="0" w:color="auto"/>
              <w:right w:val="nil"/>
            </w:tcBorders>
            <w:shd w:val="solid" w:color="FFFFFF" w:fill="auto"/>
          </w:tcPr>
          <w:p w14:paraId="56A91E25" w14:textId="6A45D5C4"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896 </w:t>
            </w:r>
          </w:p>
        </w:tc>
      </w:tr>
      <w:tr w:rsidR="007A1F65" w:rsidRPr="009E3947" w14:paraId="788DB91E" w14:textId="77777777" w:rsidTr="008A6720">
        <w:tc>
          <w:tcPr>
            <w:tcW w:w="3004" w:type="dxa"/>
            <w:tcBorders>
              <w:top w:val="nil"/>
              <w:left w:val="nil"/>
              <w:bottom w:val="nil"/>
              <w:right w:val="nil"/>
            </w:tcBorders>
            <w:shd w:val="solid" w:color="FFFFFF" w:fill="auto"/>
          </w:tcPr>
          <w:p w14:paraId="768CF9FA"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95EE0A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67DC879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124A4C1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475552C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F55D9B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0B8DFC2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610F204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1C5577B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15DF7FD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3A38A12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98ABED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4AC8130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5DC0E823" w14:textId="77777777" w:rsidTr="008A6720">
        <w:tc>
          <w:tcPr>
            <w:tcW w:w="3004" w:type="dxa"/>
            <w:tcBorders>
              <w:top w:val="nil"/>
              <w:left w:val="nil"/>
              <w:bottom w:val="nil"/>
              <w:right w:val="nil"/>
            </w:tcBorders>
            <w:shd w:val="solid" w:color="FFFFFF" w:fill="auto"/>
          </w:tcPr>
          <w:p w14:paraId="7003B718" w14:textId="77777777" w:rsidR="007A1F65" w:rsidRPr="009E3947" w:rsidRDefault="007A1F65" w:rsidP="008A6720">
            <w:pPr>
              <w:autoSpaceDE w:val="0"/>
              <w:autoSpaceDN w:val="0"/>
              <w:adjustRightInd w:val="0"/>
              <w:ind w:left="0" w:firstLine="0"/>
              <w:rPr>
                <w:rFonts w:asciiTheme="minorHAnsi" w:eastAsiaTheme="minorHAnsi" w:hAnsiTheme="minorHAnsi" w:cstheme="minorHAnsi"/>
                <w:i/>
                <w:iCs/>
                <w:color w:val="000000"/>
                <w:sz w:val="19"/>
                <w:szCs w:val="19"/>
              </w:rPr>
            </w:pPr>
            <w:r w:rsidRPr="009E3947">
              <w:rPr>
                <w:rFonts w:asciiTheme="minorHAnsi" w:hAnsiTheme="minorHAnsi"/>
                <w:i/>
                <w:iCs/>
                <w:color w:val="000000"/>
                <w:sz w:val="19"/>
                <w:szCs w:val="19"/>
              </w:rPr>
              <w:t>Otros ingresos/(gastos):</w:t>
            </w:r>
          </w:p>
        </w:tc>
        <w:tc>
          <w:tcPr>
            <w:tcW w:w="708" w:type="dxa"/>
            <w:tcBorders>
              <w:top w:val="nil"/>
              <w:left w:val="nil"/>
              <w:bottom w:val="nil"/>
              <w:right w:val="nil"/>
            </w:tcBorders>
            <w:shd w:val="solid" w:color="FFFFFF" w:fill="auto"/>
          </w:tcPr>
          <w:p w14:paraId="59941605"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4</w:t>
            </w:r>
          </w:p>
        </w:tc>
        <w:tc>
          <w:tcPr>
            <w:tcW w:w="851" w:type="dxa"/>
            <w:tcBorders>
              <w:top w:val="nil"/>
              <w:left w:val="nil"/>
              <w:bottom w:val="nil"/>
              <w:right w:val="nil"/>
            </w:tcBorders>
            <w:shd w:val="solid" w:color="FFFFFF" w:fill="auto"/>
          </w:tcPr>
          <w:p w14:paraId="211D92D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0697E1F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BC52EC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A064E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24BDF3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63C0018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58074DE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2B44FAD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05845C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57AA3B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CE6651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3CCC609B" w14:textId="77777777" w:rsidTr="008A6720">
        <w:tc>
          <w:tcPr>
            <w:tcW w:w="3004" w:type="dxa"/>
            <w:tcBorders>
              <w:top w:val="nil"/>
              <w:left w:val="nil"/>
              <w:bottom w:val="nil"/>
              <w:right w:val="nil"/>
            </w:tcBorders>
            <w:shd w:val="solid" w:color="FFFFFF" w:fill="auto"/>
          </w:tcPr>
          <w:p w14:paraId="4C967D53"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Ingresos/(gastos) financieros netos</w:t>
            </w:r>
          </w:p>
        </w:tc>
        <w:tc>
          <w:tcPr>
            <w:tcW w:w="708" w:type="dxa"/>
            <w:tcBorders>
              <w:top w:val="nil"/>
              <w:left w:val="nil"/>
              <w:bottom w:val="nil"/>
              <w:right w:val="nil"/>
            </w:tcBorders>
            <w:shd w:val="solid" w:color="FFFFFF" w:fill="auto"/>
          </w:tcPr>
          <w:p w14:paraId="4452C799"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6C00862" w14:textId="14269D7E"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125 </w:t>
            </w:r>
          </w:p>
        </w:tc>
        <w:tc>
          <w:tcPr>
            <w:tcW w:w="284" w:type="dxa"/>
            <w:tcBorders>
              <w:top w:val="nil"/>
              <w:left w:val="nil"/>
              <w:bottom w:val="nil"/>
              <w:right w:val="nil"/>
            </w:tcBorders>
            <w:shd w:val="solid" w:color="FFFFFF" w:fill="auto"/>
          </w:tcPr>
          <w:p w14:paraId="000E5C3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1F55252" w14:textId="251C2E62"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w:t>
            </w:r>
          </w:p>
        </w:tc>
        <w:tc>
          <w:tcPr>
            <w:tcW w:w="236" w:type="dxa"/>
            <w:tcBorders>
              <w:top w:val="nil"/>
              <w:left w:val="nil"/>
              <w:bottom w:val="nil"/>
              <w:right w:val="nil"/>
            </w:tcBorders>
            <w:shd w:val="solid" w:color="FFFFFF" w:fill="auto"/>
          </w:tcPr>
          <w:p w14:paraId="7B63FC8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5DC1F10" w14:textId="1B9931A8"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126</w:t>
            </w:r>
          </w:p>
        </w:tc>
        <w:tc>
          <w:tcPr>
            <w:tcW w:w="236" w:type="dxa"/>
            <w:tcBorders>
              <w:top w:val="nil"/>
              <w:left w:val="nil"/>
              <w:bottom w:val="nil"/>
              <w:right w:val="nil"/>
            </w:tcBorders>
            <w:shd w:val="clear" w:color="auto" w:fill="F2F2F2" w:themeFill="background1" w:themeFillShade="F2"/>
          </w:tcPr>
          <w:p w14:paraId="28A0761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EDE2811" w14:textId="6A356A4B"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(79) </w:t>
            </w:r>
          </w:p>
        </w:tc>
        <w:tc>
          <w:tcPr>
            <w:tcW w:w="242" w:type="dxa"/>
            <w:tcBorders>
              <w:top w:val="nil"/>
              <w:left w:val="nil"/>
              <w:bottom w:val="nil"/>
              <w:right w:val="nil"/>
            </w:tcBorders>
            <w:shd w:val="solid" w:color="FFFFFF" w:fill="auto"/>
          </w:tcPr>
          <w:p w14:paraId="1BB3EF5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0F29ECC" w14:textId="1E3BB1AA"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(3)</w:t>
            </w:r>
          </w:p>
        </w:tc>
        <w:tc>
          <w:tcPr>
            <w:tcW w:w="236" w:type="dxa"/>
            <w:tcBorders>
              <w:top w:val="nil"/>
              <w:left w:val="nil"/>
              <w:bottom w:val="nil"/>
              <w:right w:val="nil"/>
            </w:tcBorders>
            <w:shd w:val="solid" w:color="FFFFFF" w:fill="auto"/>
          </w:tcPr>
          <w:p w14:paraId="56C2D40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B4DA555" w14:textId="01C130CA"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(82)</w:t>
            </w:r>
          </w:p>
        </w:tc>
      </w:tr>
      <w:tr w:rsidR="007A1F65" w:rsidRPr="009E3947" w14:paraId="417FD4ED" w14:textId="77777777" w:rsidTr="008A6720">
        <w:tc>
          <w:tcPr>
            <w:tcW w:w="3004" w:type="dxa"/>
            <w:tcBorders>
              <w:top w:val="nil"/>
              <w:left w:val="nil"/>
              <w:bottom w:val="nil"/>
              <w:right w:val="nil"/>
            </w:tcBorders>
            <w:shd w:val="solid" w:color="FFFFFF" w:fill="auto"/>
          </w:tcPr>
          <w:p w14:paraId="07A2F307"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Gastos no recurrentes o del período anterior</w:t>
            </w:r>
          </w:p>
        </w:tc>
        <w:tc>
          <w:tcPr>
            <w:tcW w:w="708" w:type="dxa"/>
            <w:tcBorders>
              <w:top w:val="nil"/>
              <w:left w:val="nil"/>
              <w:bottom w:val="nil"/>
              <w:right w:val="nil"/>
            </w:tcBorders>
            <w:shd w:val="solid" w:color="FFFFFF" w:fill="auto"/>
          </w:tcPr>
          <w:p w14:paraId="1152096B"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340185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 </w:t>
            </w:r>
          </w:p>
        </w:tc>
        <w:tc>
          <w:tcPr>
            <w:tcW w:w="284" w:type="dxa"/>
            <w:tcBorders>
              <w:top w:val="nil"/>
              <w:left w:val="nil"/>
              <w:bottom w:val="nil"/>
              <w:right w:val="nil"/>
            </w:tcBorders>
            <w:shd w:val="solid" w:color="FFFFFF" w:fill="auto"/>
          </w:tcPr>
          <w:p w14:paraId="1CF2FD4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0EC4D30" w14:textId="731B883E"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(62)</w:t>
            </w:r>
          </w:p>
        </w:tc>
        <w:tc>
          <w:tcPr>
            <w:tcW w:w="236" w:type="dxa"/>
            <w:tcBorders>
              <w:top w:val="nil"/>
              <w:left w:val="nil"/>
              <w:bottom w:val="nil"/>
              <w:right w:val="nil"/>
            </w:tcBorders>
            <w:shd w:val="solid" w:color="FFFFFF" w:fill="auto"/>
          </w:tcPr>
          <w:p w14:paraId="7459F89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AA27DA4" w14:textId="0246A94A"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(62)</w:t>
            </w:r>
          </w:p>
        </w:tc>
        <w:tc>
          <w:tcPr>
            <w:tcW w:w="236" w:type="dxa"/>
            <w:tcBorders>
              <w:top w:val="nil"/>
              <w:left w:val="nil"/>
              <w:bottom w:val="nil"/>
              <w:right w:val="nil"/>
            </w:tcBorders>
            <w:shd w:val="clear" w:color="auto" w:fill="F2F2F2" w:themeFill="background1" w:themeFillShade="F2"/>
          </w:tcPr>
          <w:p w14:paraId="06BACCD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750A91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 </w:t>
            </w:r>
          </w:p>
        </w:tc>
        <w:tc>
          <w:tcPr>
            <w:tcW w:w="242" w:type="dxa"/>
            <w:tcBorders>
              <w:top w:val="nil"/>
              <w:left w:val="nil"/>
              <w:bottom w:val="nil"/>
              <w:right w:val="nil"/>
            </w:tcBorders>
            <w:shd w:val="solid" w:color="FFFFFF" w:fill="auto"/>
          </w:tcPr>
          <w:p w14:paraId="7C73F3E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75FE9BD" w14:textId="6BD92B9C"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(211)</w:t>
            </w:r>
          </w:p>
        </w:tc>
        <w:tc>
          <w:tcPr>
            <w:tcW w:w="236" w:type="dxa"/>
            <w:tcBorders>
              <w:top w:val="nil"/>
              <w:left w:val="nil"/>
              <w:bottom w:val="nil"/>
              <w:right w:val="nil"/>
            </w:tcBorders>
            <w:shd w:val="solid" w:color="FFFFFF" w:fill="auto"/>
          </w:tcPr>
          <w:p w14:paraId="0596B9D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263960B" w14:textId="056AF491"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(211)</w:t>
            </w:r>
          </w:p>
        </w:tc>
      </w:tr>
      <w:tr w:rsidR="007A1F65" w:rsidRPr="009E3947" w14:paraId="5DA0EE44" w14:textId="77777777" w:rsidTr="008A6720">
        <w:tc>
          <w:tcPr>
            <w:tcW w:w="3004" w:type="dxa"/>
            <w:tcBorders>
              <w:top w:val="nil"/>
              <w:left w:val="nil"/>
              <w:bottom w:val="nil"/>
              <w:right w:val="nil"/>
            </w:tcBorders>
            <w:shd w:val="solid" w:color="FFFFFF" w:fill="auto"/>
          </w:tcPr>
          <w:p w14:paraId="60185307" w14:textId="77777777" w:rsidR="007A1F65" w:rsidRPr="009E3947" w:rsidRDefault="007A1F65" w:rsidP="008A6720">
            <w:pPr>
              <w:autoSpaceDE w:val="0"/>
              <w:autoSpaceDN w:val="0"/>
              <w:adjustRightInd w:val="0"/>
              <w:ind w:left="113" w:firstLine="0"/>
              <w:rPr>
                <w:rFonts w:asciiTheme="minorHAnsi" w:eastAsiaTheme="minorHAnsi" w:hAnsiTheme="minorHAnsi" w:cstheme="minorHAnsi"/>
                <w:color w:val="000000"/>
                <w:spacing w:val="-2"/>
                <w:sz w:val="19"/>
                <w:szCs w:val="19"/>
              </w:rPr>
            </w:pPr>
            <w:r w:rsidRPr="009E3947">
              <w:rPr>
                <w:rFonts w:asciiTheme="minorHAnsi" w:hAnsiTheme="minorHAnsi"/>
                <w:color w:val="000000"/>
                <w:sz w:val="19"/>
                <w:szCs w:val="19"/>
              </w:rPr>
              <w:t>Provisiones y cancelaciones /(gastos)</w:t>
            </w:r>
          </w:p>
        </w:tc>
        <w:tc>
          <w:tcPr>
            <w:tcW w:w="708" w:type="dxa"/>
            <w:tcBorders>
              <w:top w:val="nil"/>
              <w:left w:val="nil"/>
              <w:bottom w:val="nil"/>
              <w:right w:val="nil"/>
            </w:tcBorders>
            <w:shd w:val="solid" w:color="FFFFFF" w:fill="auto"/>
          </w:tcPr>
          <w:p w14:paraId="2036169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6" w:space="0" w:color="auto"/>
              <w:right w:val="nil"/>
            </w:tcBorders>
            <w:shd w:val="solid" w:color="FFFFFF" w:fill="auto"/>
          </w:tcPr>
          <w:p w14:paraId="560DCA5E" w14:textId="733510A6"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(114)</w:t>
            </w:r>
          </w:p>
        </w:tc>
        <w:tc>
          <w:tcPr>
            <w:tcW w:w="284" w:type="dxa"/>
            <w:tcBorders>
              <w:top w:val="nil"/>
              <w:left w:val="nil"/>
              <w:bottom w:val="single" w:sz="6" w:space="0" w:color="auto"/>
              <w:right w:val="nil"/>
            </w:tcBorders>
            <w:shd w:val="solid" w:color="FFFFFF" w:fill="auto"/>
          </w:tcPr>
          <w:p w14:paraId="6A19495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6720977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   </w:t>
            </w:r>
          </w:p>
        </w:tc>
        <w:tc>
          <w:tcPr>
            <w:tcW w:w="236" w:type="dxa"/>
            <w:tcBorders>
              <w:top w:val="nil"/>
              <w:left w:val="nil"/>
              <w:bottom w:val="single" w:sz="6" w:space="0" w:color="auto"/>
              <w:right w:val="nil"/>
            </w:tcBorders>
            <w:shd w:val="solid" w:color="FFFFFF" w:fill="auto"/>
          </w:tcPr>
          <w:p w14:paraId="685F241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24F8763A" w14:textId="55CCB66D"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(114)</w:t>
            </w:r>
          </w:p>
        </w:tc>
        <w:tc>
          <w:tcPr>
            <w:tcW w:w="236" w:type="dxa"/>
            <w:tcBorders>
              <w:top w:val="nil"/>
              <w:left w:val="nil"/>
              <w:bottom w:val="single" w:sz="6" w:space="0" w:color="auto"/>
              <w:right w:val="nil"/>
            </w:tcBorders>
            <w:shd w:val="clear" w:color="auto" w:fill="F2F2F2" w:themeFill="background1" w:themeFillShade="F2"/>
          </w:tcPr>
          <w:p w14:paraId="6ADC49D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200899FD" w14:textId="297F52D5"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(213)</w:t>
            </w:r>
          </w:p>
        </w:tc>
        <w:tc>
          <w:tcPr>
            <w:tcW w:w="242" w:type="dxa"/>
            <w:tcBorders>
              <w:top w:val="nil"/>
              <w:left w:val="nil"/>
              <w:bottom w:val="single" w:sz="6" w:space="0" w:color="auto"/>
              <w:right w:val="nil"/>
            </w:tcBorders>
            <w:shd w:val="solid" w:color="FFFFFF" w:fill="auto"/>
          </w:tcPr>
          <w:p w14:paraId="0508484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29C92BE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   </w:t>
            </w:r>
          </w:p>
        </w:tc>
        <w:tc>
          <w:tcPr>
            <w:tcW w:w="236" w:type="dxa"/>
            <w:tcBorders>
              <w:top w:val="nil"/>
              <w:left w:val="nil"/>
              <w:bottom w:val="single" w:sz="6" w:space="0" w:color="auto"/>
              <w:right w:val="nil"/>
            </w:tcBorders>
            <w:shd w:val="solid" w:color="FFFFFF" w:fill="auto"/>
          </w:tcPr>
          <w:p w14:paraId="25A4FBA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45580ABE" w14:textId="14998A0D"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(213)</w:t>
            </w:r>
          </w:p>
        </w:tc>
      </w:tr>
      <w:tr w:rsidR="007A1F65" w:rsidRPr="009E3947" w14:paraId="1F6D97B2" w14:textId="77777777" w:rsidTr="008A6720">
        <w:tc>
          <w:tcPr>
            <w:tcW w:w="3004" w:type="dxa"/>
            <w:tcBorders>
              <w:top w:val="nil"/>
              <w:left w:val="nil"/>
              <w:bottom w:val="nil"/>
              <w:right w:val="nil"/>
            </w:tcBorders>
            <w:shd w:val="solid" w:color="FFFFFF" w:fill="auto"/>
          </w:tcPr>
          <w:p w14:paraId="01E19F57"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i/>
                <w:iCs/>
                <w:color w:val="000000"/>
                <w:sz w:val="19"/>
                <w:szCs w:val="19"/>
              </w:rPr>
            </w:pPr>
            <w:r w:rsidRPr="009E3947">
              <w:rPr>
                <w:rFonts w:asciiTheme="minorHAnsi" w:hAnsiTheme="minorHAnsi"/>
                <w:b/>
                <w:bCs/>
                <w:i/>
                <w:iCs/>
                <w:color w:val="000000"/>
                <w:sz w:val="19"/>
                <w:szCs w:val="19"/>
              </w:rPr>
              <w:t>Total, Otros ingresos/(gastos)</w:t>
            </w:r>
          </w:p>
        </w:tc>
        <w:tc>
          <w:tcPr>
            <w:tcW w:w="708" w:type="dxa"/>
            <w:tcBorders>
              <w:top w:val="nil"/>
              <w:left w:val="nil"/>
              <w:bottom w:val="nil"/>
              <w:right w:val="nil"/>
            </w:tcBorders>
            <w:shd w:val="solid" w:color="FFFFFF" w:fill="auto"/>
          </w:tcPr>
          <w:p w14:paraId="47AA9104"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bCs/>
                <w:color w:val="000000"/>
                <w:sz w:val="19"/>
                <w:szCs w:val="19"/>
              </w:rPr>
            </w:pPr>
          </w:p>
        </w:tc>
        <w:tc>
          <w:tcPr>
            <w:tcW w:w="851" w:type="dxa"/>
            <w:tcBorders>
              <w:top w:val="nil"/>
              <w:left w:val="nil"/>
              <w:bottom w:val="nil"/>
              <w:right w:val="nil"/>
            </w:tcBorders>
            <w:shd w:val="solid" w:color="FFFFFF" w:fill="auto"/>
          </w:tcPr>
          <w:p w14:paraId="758A1A13" w14:textId="6151D1F0"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11</w:t>
            </w:r>
          </w:p>
        </w:tc>
        <w:tc>
          <w:tcPr>
            <w:tcW w:w="284" w:type="dxa"/>
            <w:tcBorders>
              <w:top w:val="nil"/>
              <w:left w:val="nil"/>
              <w:bottom w:val="nil"/>
              <w:right w:val="nil"/>
            </w:tcBorders>
            <w:shd w:val="solid" w:color="FFFFFF" w:fill="auto"/>
          </w:tcPr>
          <w:p w14:paraId="4E1730A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nil"/>
              <w:right w:val="nil"/>
            </w:tcBorders>
            <w:shd w:val="solid" w:color="FFFFFF" w:fill="auto"/>
          </w:tcPr>
          <w:p w14:paraId="6AB26A48" w14:textId="1AEFCD64"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(61)</w:t>
            </w:r>
          </w:p>
        </w:tc>
        <w:tc>
          <w:tcPr>
            <w:tcW w:w="236" w:type="dxa"/>
            <w:tcBorders>
              <w:top w:val="nil"/>
              <w:left w:val="nil"/>
              <w:bottom w:val="nil"/>
              <w:right w:val="nil"/>
            </w:tcBorders>
            <w:shd w:val="solid" w:color="FFFFFF" w:fill="auto"/>
          </w:tcPr>
          <w:p w14:paraId="59A4306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nil"/>
              <w:right w:val="nil"/>
            </w:tcBorders>
            <w:shd w:val="solid" w:color="FFFFFF" w:fill="auto"/>
          </w:tcPr>
          <w:p w14:paraId="0AE20756" w14:textId="7CA729B3"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(50)</w:t>
            </w:r>
          </w:p>
        </w:tc>
        <w:tc>
          <w:tcPr>
            <w:tcW w:w="236" w:type="dxa"/>
            <w:tcBorders>
              <w:top w:val="nil"/>
              <w:left w:val="nil"/>
              <w:bottom w:val="nil"/>
              <w:right w:val="nil"/>
            </w:tcBorders>
            <w:shd w:val="clear" w:color="auto" w:fill="F2F2F2" w:themeFill="background1" w:themeFillShade="F2"/>
          </w:tcPr>
          <w:p w14:paraId="1C4023E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63ADBDC3" w14:textId="33F7B6F5"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(292)</w:t>
            </w:r>
          </w:p>
        </w:tc>
        <w:tc>
          <w:tcPr>
            <w:tcW w:w="242" w:type="dxa"/>
            <w:tcBorders>
              <w:top w:val="nil"/>
              <w:left w:val="nil"/>
              <w:bottom w:val="nil"/>
              <w:right w:val="nil"/>
            </w:tcBorders>
            <w:shd w:val="solid" w:color="FFFFFF" w:fill="auto"/>
          </w:tcPr>
          <w:p w14:paraId="1B55DD2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nil"/>
              <w:left w:val="nil"/>
              <w:bottom w:val="nil"/>
              <w:right w:val="nil"/>
            </w:tcBorders>
            <w:shd w:val="solid" w:color="FFFFFF" w:fill="auto"/>
          </w:tcPr>
          <w:p w14:paraId="4812BA13" w14:textId="4132A374"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(214)</w:t>
            </w:r>
          </w:p>
        </w:tc>
        <w:tc>
          <w:tcPr>
            <w:tcW w:w="236" w:type="dxa"/>
            <w:tcBorders>
              <w:top w:val="nil"/>
              <w:left w:val="nil"/>
              <w:bottom w:val="nil"/>
              <w:right w:val="nil"/>
            </w:tcBorders>
            <w:shd w:val="solid" w:color="FFFFFF" w:fill="auto"/>
          </w:tcPr>
          <w:p w14:paraId="1179439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nil"/>
              <w:left w:val="nil"/>
              <w:bottom w:val="nil"/>
              <w:right w:val="nil"/>
            </w:tcBorders>
            <w:shd w:val="solid" w:color="FFFFFF" w:fill="auto"/>
          </w:tcPr>
          <w:p w14:paraId="7423E0A2" w14:textId="4EB579CC"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bCs/>
                <w:sz w:val="19"/>
                <w:szCs w:val="19"/>
              </w:rPr>
              <w:t xml:space="preserve"> (506)</w:t>
            </w:r>
          </w:p>
        </w:tc>
      </w:tr>
      <w:tr w:rsidR="007A1F65" w:rsidRPr="009E3947" w14:paraId="4C4B5F71" w14:textId="77777777" w:rsidTr="008A6720">
        <w:tc>
          <w:tcPr>
            <w:tcW w:w="3004" w:type="dxa"/>
            <w:tcBorders>
              <w:top w:val="nil"/>
              <w:left w:val="nil"/>
              <w:bottom w:val="nil"/>
              <w:right w:val="nil"/>
            </w:tcBorders>
            <w:shd w:val="solid" w:color="FFFFFF" w:fill="auto"/>
          </w:tcPr>
          <w:p w14:paraId="4A61506B"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2570106"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ECF091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79C7CE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96FFFE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8B85EC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4183AA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108DF98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1AA44A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C186C4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FFE765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00F01B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AC2553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23BAFD2B" w14:textId="77777777" w:rsidTr="008A6720">
        <w:tc>
          <w:tcPr>
            <w:tcW w:w="3004" w:type="dxa"/>
            <w:tcBorders>
              <w:top w:val="nil"/>
              <w:left w:val="nil"/>
              <w:bottom w:val="nil"/>
              <w:right w:val="nil"/>
            </w:tcBorders>
            <w:shd w:val="solid" w:color="FFFFFF" w:fill="auto"/>
          </w:tcPr>
          <w:p w14:paraId="02994AB2"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color w:val="000000"/>
                <w:sz w:val="19"/>
                <w:szCs w:val="19"/>
              </w:rPr>
            </w:pPr>
            <w:r w:rsidRPr="009E3947">
              <w:rPr>
                <w:rFonts w:asciiTheme="minorHAnsi" w:hAnsiTheme="minorHAnsi"/>
                <w:b/>
                <w:bCs/>
                <w:color w:val="000000"/>
                <w:sz w:val="19"/>
                <w:szCs w:val="19"/>
              </w:rPr>
              <w:t>Excedente/(Déficit) neto después de otros ingresos/(gastos)</w:t>
            </w:r>
          </w:p>
        </w:tc>
        <w:tc>
          <w:tcPr>
            <w:tcW w:w="708" w:type="dxa"/>
            <w:tcBorders>
              <w:top w:val="nil"/>
              <w:left w:val="nil"/>
              <w:bottom w:val="nil"/>
              <w:right w:val="nil"/>
            </w:tcBorders>
            <w:shd w:val="solid" w:color="FFFFFF" w:fill="auto"/>
          </w:tcPr>
          <w:p w14:paraId="4DD33D92"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nil"/>
              <w:left w:val="nil"/>
              <w:bottom w:val="nil"/>
              <w:right w:val="nil"/>
            </w:tcBorders>
            <w:shd w:val="clear" w:color="auto" w:fill="B8CCE4" w:themeFill="accent1" w:themeFillTint="66"/>
            <w:vAlign w:val="center"/>
          </w:tcPr>
          <w:p w14:paraId="3BEDD8A4" w14:textId="230E6D1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b/>
                <w:sz w:val="19"/>
                <w:szCs w:val="19"/>
              </w:rPr>
              <w:t xml:space="preserve"> (282) </w:t>
            </w:r>
          </w:p>
        </w:tc>
        <w:tc>
          <w:tcPr>
            <w:tcW w:w="284" w:type="dxa"/>
            <w:tcBorders>
              <w:top w:val="nil"/>
              <w:left w:val="nil"/>
              <w:bottom w:val="nil"/>
              <w:right w:val="nil"/>
            </w:tcBorders>
            <w:shd w:val="clear" w:color="auto" w:fill="B8CCE4" w:themeFill="accent1" w:themeFillTint="66"/>
            <w:vAlign w:val="center"/>
          </w:tcPr>
          <w:p w14:paraId="2E9CEAD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nil"/>
              <w:left w:val="nil"/>
              <w:bottom w:val="nil"/>
              <w:right w:val="nil"/>
            </w:tcBorders>
            <w:shd w:val="clear" w:color="auto" w:fill="B8CCE4" w:themeFill="accent1" w:themeFillTint="66"/>
            <w:vAlign w:val="center"/>
          </w:tcPr>
          <w:p w14:paraId="54E9023B" w14:textId="568E14F4"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b/>
                <w:sz w:val="19"/>
                <w:szCs w:val="19"/>
              </w:rPr>
              <w:t xml:space="preserve"> 706 </w:t>
            </w:r>
          </w:p>
        </w:tc>
        <w:tc>
          <w:tcPr>
            <w:tcW w:w="236" w:type="dxa"/>
            <w:tcBorders>
              <w:top w:val="nil"/>
              <w:left w:val="nil"/>
              <w:bottom w:val="nil"/>
              <w:right w:val="nil"/>
            </w:tcBorders>
            <w:shd w:val="clear" w:color="auto" w:fill="B8CCE4" w:themeFill="accent1" w:themeFillTint="66"/>
            <w:vAlign w:val="center"/>
          </w:tcPr>
          <w:p w14:paraId="0A07750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nil"/>
              <w:left w:val="nil"/>
              <w:bottom w:val="nil"/>
              <w:right w:val="nil"/>
            </w:tcBorders>
            <w:shd w:val="clear" w:color="auto" w:fill="B8CCE4" w:themeFill="accent1" w:themeFillTint="66"/>
            <w:vAlign w:val="center"/>
          </w:tcPr>
          <w:p w14:paraId="5B20DD4A" w14:textId="19BE63BC"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b/>
                <w:sz w:val="19"/>
                <w:szCs w:val="19"/>
              </w:rPr>
              <w:t xml:space="preserve"> 424 </w:t>
            </w:r>
          </w:p>
        </w:tc>
        <w:tc>
          <w:tcPr>
            <w:tcW w:w="236" w:type="dxa"/>
            <w:tcBorders>
              <w:top w:val="nil"/>
              <w:left w:val="nil"/>
              <w:bottom w:val="nil"/>
              <w:right w:val="nil"/>
            </w:tcBorders>
            <w:shd w:val="clear" w:color="auto" w:fill="F2F2F2" w:themeFill="background1" w:themeFillShade="F2"/>
            <w:vAlign w:val="center"/>
          </w:tcPr>
          <w:p w14:paraId="16D63AA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nil"/>
              <w:left w:val="nil"/>
              <w:bottom w:val="nil"/>
              <w:right w:val="nil"/>
            </w:tcBorders>
            <w:shd w:val="clear" w:color="auto" w:fill="D6E3BC" w:themeFill="accent3" w:themeFillTint="66"/>
            <w:vAlign w:val="center"/>
          </w:tcPr>
          <w:p w14:paraId="3393BE54" w14:textId="2FACD934" w:rsidR="007A1F65" w:rsidRPr="009E3947" w:rsidRDefault="002B1734"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b/>
                <w:sz w:val="19"/>
                <w:szCs w:val="19"/>
              </w:rPr>
              <w:t xml:space="preserve">(147) </w:t>
            </w:r>
          </w:p>
        </w:tc>
        <w:tc>
          <w:tcPr>
            <w:tcW w:w="242" w:type="dxa"/>
            <w:tcBorders>
              <w:top w:val="nil"/>
              <w:left w:val="nil"/>
              <w:bottom w:val="nil"/>
              <w:right w:val="nil"/>
            </w:tcBorders>
            <w:shd w:val="clear" w:color="auto" w:fill="D6E3BC" w:themeFill="accent3" w:themeFillTint="66"/>
            <w:vAlign w:val="center"/>
          </w:tcPr>
          <w:p w14:paraId="45F96AD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nil"/>
              <w:left w:val="nil"/>
              <w:bottom w:val="nil"/>
              <w:right w:val="nil"/>
            </w:tcBorders>
            <w:shd w:val="clear" w:color="auto" w:fill="D6E3BC" w:themeFill="accent3" w:themeFillTint="66"/>
            <w:vAlign w:val="center"/>
          </w:tcPr>
          <w:p w14:paraId="0C83A6A6" w14:textId="708D7367" w:rsidR="007A1F65" w:rsidRPr="009E3947" w:rsidRDefault="002B1734"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b/>
                <w:sz w:val="19"/>
                <w:szCs w:val="19"/>
              </w:rPr>
              <w:t>537</w:t>
            </w:r>
          </w:p>
        </w:tc>
        <w:tc>
          <w:tcPr>
            <w:tcW w:w="236" w:type="dxa"/>
            <w:tcBorders>
              <w:top w:val="nil"/>
              <w:left w:val="nil"/>
              <w:bottom w:val="nil"/>
              <w:right w:val="nil"/>
            </w:tcBorders>
            <w:shd w:val="clear" w:color="auto" w:fill="D6E3BC" w:themeFill="accent3" w:themeFillTint="66"/>
            <w:vAlign w:val="center"/>
          </w:tcPr>
          <w:p w14:paraId="319CF62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nil"/>
              <w:left w:val="nil"/>
              <w:bottom w:val="nil"/>
              <w:right w:val="nil"/>
            </w:tcBorders>
            <w:shd w:val="clear" w:color="auto" w:fill="D6E3BC" w:themeFill="accent3" w:themeFillTint="66"/>
            <w:vAlign w:val="center"/>
          </w:tcPr>
          <w:p w14:paraId="6D9C6426" w14:textId="4265B77F" w:rsidR="007A1F65" w:rsidRPr="009E3947" w:rsidRDefault="002B1734" w:rsidP="008A6720">
            <w:pPr>
              <w:autoSpaceDE w:val="0"/>
              <w:autoSpaceDN w:val="0"/>
              <w:adjustRightInd w:val="0"/>
              <w:ind w:left="0" w:firstLine="0"/>
              <w:jc w:val="right"/>
              <w:rPr>
                <w:rFonts w:asciiTheme="minorHAnsi" w:eastAsiaTheme="minorHAnsi" w:hAnsiTheme="minorHAnsi" w:cstheme="minorHAnsi"/>
                <w:b/>
                <w:color w:val="000000"/>
                <w:sz w:val="19"/>
                <w:szCs w:val="19"/>
              </w:rPr>
            </w:pPr>
            <w:r w:rsidRPr="009E3947">
              <w:rPr>
                <w:b/>
                <w:sz w:val="19"/>
                <w:szCs w:val="19"/>
              </w:rPr>
              <w:t>390</w:t>
            </w:r>
          </w:p>
        </w:tc>
      </w:tr>
      <w:tr w:rsidR="007A1F65" w:rsidRPr="009E3947" w14:paraId="2AEB76C6" w14:textId="77777777" w:rsidTr="008A6720">
        <w:tc>
          <w:tcPr>
            <w:tcW w:w="3004" w:type="dxa"/>
            <w:tcBorders>
              <w:top w:val="nil"/>
              <w:left w:val="nil"/>
              <w:bottom w:val="nil"/>
              <w:right w:val="nil"/>
            </w:tcBorders>
            <w:shd w:val="solid" w:color="FFFFFF" w:fill="auto"/>
          </w:tcPr>
          <w:p w14:paraId="578F1BBC"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2827CF3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A455B9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71D80EF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8C3FD4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1D7EF3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40034A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06F1665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5F0698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230E44C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571583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185117B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A08492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7C06F54B" w14:textId="77777777" w:rsidTr="008A6720">
        <w:tc>
          <w:tcPr>
            <w:tcW w:w="3004" w:type="dxa"/>
            <w:tcBorders>
              <w:top w:val="nil"/>
              <w:left w:val="nil"/>
              <w:bottom w:val="nil"/>
              <w:right w:val="nil"/>
            </w:tcBorders>
            <w:shd w:val="solid" w:color="FFFFFF" w:fill="auto"/>
          </w:tcPr>
          <w:p w14:paraId="26384B7E"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58B4F82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1A04EF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6E0294C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41171F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5C4E50C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37D846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414C963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22C9EE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74D9616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27AA9E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6D5A62A"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D54748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64EF2E87" w14:textId="77777777" w:rsidTr="008A6720">
        <w:tc>
          <w:tcPr>
            <w:tcW w:w="3004" w:type="dxa"/>
            <w:tcBorders>
              <w:top w:val="nil"/>
              <w:left w:val="nil"/>
              <w:bottom w:val="nil"/>
              <w:right w:val="nil"/>
            </w:tcBorders>
            <w:shd w:val="solid" w:color="FFFFFF" w:fill="auto"/>
          </w:tcPr>
          <w:p w14:paraId="31FD3C6D"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ESTADO DE LOS SALDOS DE LOS FONDOS</w:t>
            </w:r>
          </w:p>
        </w:tc>
        <w:tc>
          <w:tcPr>
            <w:tcW w:w="708" w:type="dxa"/>
            <w:tcBorders>
              <w:top w:val="nil"/>
              <w:left w:val="nil"/>
              <w:bottom w:val="nil"/>
              <w:right w:val="nil"/>
            </w:tcBorders>
            <w:shd w:val="solid" w:color="FFFFFF" w:fill="auto"/>
          </w:tcPr>
          <w:p w14:paraId="5B03F6F1"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4225511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2CA5D65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11DD89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10C2AF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ADA4D6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53D76CC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A75404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4F2E99F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49D458F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266C2B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B48DA6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6E8C5676" w14:textId="77777777" w:rsidTr="008A6720">
        <w:tc>
          <w:tcPr>
            <w:tcW w:w="3004" w:type="dxa"/>
            <w:tcBorders>
              <w:top w:val="nil"/>
              <w:left w:val="nil"/>
              <w:bottom w:val="nil"/>
              <w:right w:val="nil"/>
            </w:tcBorders>
            <w:shd w:val="solid" w:color="FFFFFF" w:fill="auto"/>
          </w:tcPr>
          <w:p w14:paraId="46D8E927"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 xml:space="preserve">del ejercicio finalizado el 31 de diciembre </w:t>
            </w:r>
          </w:p>
        </w:tc>
        <w:tc>
          <w:tcPr>
            <w:tcW w:w="708" w:type="dxa"/>
            <w:tcBorders>
              <w:top w:val="nil"/>
              <w:left w:val="nil"/>
              <w:bottom w:val="nil"/>
              <w:right w:val="nil"/>
            </w:tcBorders>
            <w:shd w:val="solid" w:color="FFFFFF" w:fill="auto"/>
          </w:tcPr>
          <w:p w14:paraId="0A755D88"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391CE2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B9E53E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406C04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320B566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7FFB6B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281174E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0BDB2E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48844518"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55B7E0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1FE203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D25CF3E"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461CCD36" w14:textId="77777777" w:rsidTr="008A6720">
        <w:tc>
          <w:tcPr>
            <w:tcW w:w="3004" w:type="dxa"/>
            <w:tcBorders>
              <w:top w:val="nil"/>
              <w:left w:val="nil"/>
              <w:right w:val="nil"/>
            </w:tcBorders>
            <w:shd w:val="solid" w:color="FFFFFF" w:fill="auto"/>
          </w:tcPr>
          <w:p w14:paraId="18DDDE03"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129AD75C"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594495B9" w14:textId="533D6A9D"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2024</w:t>
            </w:r>
          </w:p>
        </w:tc>
        <w:tc>
          <w:tcPr>
            <w:tcW w:w="236" w:type="dxa"/>
            <w:tcBorders>
              <w:top w:val="nil"/>
              <w:left w:val="nil"/>
              <w:right w:val="nil"/>
            </w:tcBorders>
            <w:shd w:val="clear" w:color="auto" w:fill="F2F2F2" w:themeFill="background1" w:themeFillShade="F2"/>
            <w:vAlign w:val="center"/>
          </w:tcPr>
          <w:p w14:paraId="3730C7F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65749FA1" w14:textId="762FDCF4"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2023</w:t>
            </w:r>
          </w:p>
        </w:tc>
      </w:tr>
      <w:tr w:rsidR="007A1F65" w:rsidRPr="009E3947" w14:paraId="335E36F4" w14:textId="77777777" w:rsidTr="008A6720">
        <w:tc>
          <w:tcPr>
            <w:tcW w:w="3004" w:type="dxa"/>
            <w:tcBorders>
              <w:top w:val="nil"/>
              <w:left w:val="nil"/>
              <w:bottom w:val="single" w:sz="4" w:space="0" w:color="auto"/>
              <w:right w:val="nil"/>
            </w:tcBorders>
            <w:shd w:val="solid" w:color="FFFFFF" w:fill="auto"/>
          </w:tcPr>
          <w:p w14:paraId="59F975C5"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r w:rsidRPr="009E3947">
              <w:rPr>
                <w:rFonts w:asciiTheme="minorHAnsi" w:hAnsiTheme="minorHAnsi"/>
                <w:i/>
                <w:iCs/>
                <w:color w:val="000000"/>
                <w:sz w:val="19"/>
                <w:szCs w:val="19"/>
              </w:rPr>
              <w:t>en miles de francos suizos</w:t>
            </w:r>
          </w:p>
        </w:tc>
        <w:tc>
          <w:tcPr>
            <w:tcW w:w="708" w:type="dxa"/>
            <w:tcBorders>
              <w:top w:val="nil"/>
              <w:left w:val="nil"/>
              <w:bottom w:val="single" w:sz="4" w:space="0" w:color="auto"/>
              <w:right w:val="nil"/>
            </w:tcBorders>
            <w:shd w:val="solid" w:color="FFFFFF" w:fill="auto"/>
          </w:tcPr>
          <w:p w14:paraId="5227E8A6"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vAlign w:val="center"/>
          </w:tcPr>
          <w:p w14:paraId="6014F93A"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Fondos básicos</w:t>
            </w:r>
          </w:p>
        </w:tc>
        <w:tc>
          <w:tcPr>
            <w:tcW w:w="1134" w:type="dxa"/>
            <w:gridSpan w:val="2"/>
            <w:tcBorders>
              <w:top w:val="nil"/>
              <w:left w:val="nil"/>
              <w:bottom w:val="single" w:sz="4" w:space="0" w:color="auto"/>
              <w:right w:val="nil"/>
            </w:tcBorders>
            <w:shd w:val="solid" w:color="FFFFFF" w:fill="auto"/>
            <w:vAlign w:val="center"/>
          </w:tcPr>
          <w:p w14:paraId="1FAA0681" w14:textId="77777777" w:rsidR="007A1F65" w:rsidRPr="005B03B9" w:rsidRDefault="007A1F65" w:rsidP="008A6720">
            <w:pPr>
              <w:autoSpaceDE w:val="0"/>
              <w:autoSpaceDN w:val="0"/>
              <w:adjustRightInd w:val="0"/>
              <w:ind w:left="96" w:firstLine="0"/>
              <w:jc w:val="center"/>
              <w:rPr>
                <w:rFonts w:asciiTheme="minorHAnsi" w:eastAsiaTheme="minorHAnsi" w:hAnsiTheme="minorHAnsi" w:cstheme="minorHAnsi"/>
                <w:color w:val="000000"/>
                <w:sz w:val="14"/>
                <w:szCs w:val="14"/>
              </w:rPr>
            </w:pPr>
            <w:r w:rsidRPr="005B03B9">
              <w:rPr>
                <w:rFonts w:asciiTheme="minorHAnsi" w:hAnsiTheme="minorHAnsi"/>
                <w:b/>
                <w:bCs/>
                <w:color w:val="000000"/>
                <w:sz w:val="14"/>
                <w:szCs w:val="14"/>
              </w:rPr>
              <w:t xml:space="preserve">Proyectos no financiados con cargo al </w:t>
            </w:r>
            <w:r w:rsidRPr="005B03B9">
              <w:rPr>
                <w:rFonts w:asciiTheme="minorHAnsi" w:hAnsiTheme="minorHAnsi"/>
                <w:b/>
                <w:bCs/>
                <w:color w:val="000000"/>
                <w:sz w:val="14"/>
                <w:szCs w:val="14"/>
              </w:rPr>
              <w:lastRenderedPageBreak/>
              <w:t>presupuesto básico</w:t>
            </w:r>
          </w:p>
        </w:tc>
        <w:tc>
          <w:tcPr>
            <w:tcW w:w="236" w:type="dxa"/>
            <w:tcBorders>
              <w:top w:val="nil"/>
              <w:left w:val="nil"/>
              <w:bottom w:val="single" w:sz="4" w:space="0" w:color="auto"/>
              <w:right w:val="nil"/>
            </w:tcBorders>
            <w:shd w:val="solid" w:color="FFFFFF" w:fill="auto"/>
            <w:vAlign w:val="center"/>
          </w:tcPr>
          <w:p w14:paraId="58C853EF"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1848E632"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3FB3D4FF"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70FF0364"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Fondos básicos</w:t>
            </w:r>
          </w:p>
        </w:tc>
        <w:tc>
          <w:tcPr>
            <w:tcW w:w="1035" w:type="dxa"/>
            <w:gridSpan w:val="2"/>
            <w:tcBorders>
              <w:top w:val="nil"/>
              <w:left w:val="nil"/>
              <w:bottom w:val="single" w:sz="4" w:space="0" w:color="auto"/>
              <w:right w:val="nil"/>
            </w:tcBorders>
            <w:shd w:val="solid" w:color="FFFFFF" w:fill="auto"/>
            <w:vAlign w:val="center"/>
          </w:tcPr>
          <w:p w14:paraId="0231FB7C" w14:textId="77777777" w:rsidR="007A1F65" w:rsidRPr="005B03B9" w:rsidRDefault="007A1F65" w:rsidP="008A6720">
            <w:pPr>
              <w:autoSpaceDE w:val="0"/>
              <w:autoSpaceDN w:val="0"/>
              <w:adjustRightInd w:val="0"/>
              <w:ind w:left="0" w:firstLine="0"/>
              <w:jc w:val="center"/>
              <w:rPr>
                <w:rFonts w:asciiTheme="minorHAnsi" w:eastAsiaTheme="minorHAnsi" w:hAnsiTheme="minorHAnsi" w:cstheme="minorHAnsi"/>
                <w:color w:val="000000"/>
                <w:sz w:val="14"/>
                <w:szCs w:val="14"/>
              </w:rPr>
            </w:pPr>
            <w:r w:rsidRPr="005B03B9">
              <w:rPr>
                <w:rFonts w:asciiTheme="minorHAnsi" w:hAnsiTheme="minorHAnsi"/>
                <w:b/>
                <w:bCs/>
                <w:color w:val="000000"/>
                <w:sz w:val="14"/>
                <w:szCs w:val="14"/>
              </w:rPr>
              <w:t xml:space="preserve">Proyectos no financiados con cargo al </w:t>
            </w:r>
            <w:r w:rsidRPr="005B03B9">
              <w:rPr>
                <w:rFonts w:asciiTheme="minorHAnsi" w:hAnsiTheme="minorHAnsi"/>
                <w:b/>
                <w:bCs/>
                <w:color w:val="000000"/>
                <w:sz w:val="14"/>
                <w:szCs w:val="14"/>
              </w:rPr>
              <w:lastRenderedPageBreak/>
              <w:t>presupuesto básico</w:t>
            </w:r>
          </w:p>
        </w:tc>
        <w:tc>
          <w:tcPr>
            <w:tcW w:w="236" w:type="dxa"/>
            <w:tcBorders>
              <w:top w:val="nil"/>
              <w:left w:val="nil"/>
              <w:bottom w:val="single" w:sz="4" w:space="0" w:color="auto"/>
              <w:right w:val="nil"/>
            </w:tcBorders>
            <w:shd w:val="solid" w:color="FFFFFF" w:fill="auto"/>
            <w:vAlign w:val="center"/>
          </w:tcPr>
          <w:p w14:paraId="528963BE"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7BC4437E"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b/>
                <w:bCs/>
                <w:color w:val="000000"/>
                <w:sz w:val="19"/>
                <w:szCs w:val="19"/>
              </w:rPr>
              <w:t>Total</w:t>
            </w:r>
          </w:p>
        </w:tc>
      </w:tr>
      <w:tr w:rsidR="007A1F65" w:rsidRPr="009E3947" w14:paraId="3F6D84F1" w14:textId="77777777" w:rsidTr="008A6720">
        <w:tc>
          <w:tcPr>
            <w:tcW w:w="3004" w:type="dxa"/>
            <w:tcBorders>
              <w:top w:val="single" w:sz="4" w:space="0" w:color="auto"/>
              <w:left w:val="nil"/>
              <w:bottom w:val="nil"/>
              <w:right w:val="nil"/>
            </w:tcBorders>
            <w:shd w:val="solid" w:color="FFFFFF" w:fill="auto"/>
          </w:tcPr>
          <w:p w14:paraId="406F03FC"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single" w:sz="4" w:space="0" w:color="auto"/>
              <w:left w:val="nil"/>
              <w:bottom w:val="nil"/>
              <w:right w:val="nil"/>
            </w:tcBorders>
            <w:shd w:val="solid" w:color="FFFFFF" w:fill="auto"/>
          </w:tcPr>
          <w:p w14:paraId="7DF8B01D"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4889330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5276B1E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E941DD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0349DE6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43E5133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61E247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0D6A5FD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44EACCA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7EBA534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4D198323"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66C8C65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9E3947" w14:paraId="3C36A424" w14:textId="77777777" w:rsidTr="008A6720">
        <w:tc>
          <w:tcPr>
            <w:tcW w:w="3004" w:type="dxa"/>
            <w:tcBorders>
              <w:top w:val="nil"/>
              <w:left w:val="nil"/>
              <w:bottom w:val="nil"/>
              <w:right w:val="nil"/>
            </w:tcBorders>
            <w:shd w:val="solid" w:color="FFFFFF" w:fill="auto"/>
          </w:tcPr>
          <w:p w14:paraId="6791F820"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Saldo del fondo al inicio del ejercicio</w:t>
            </w:r>
          </w:p>
        </w:tc>
        <w:tc>
          <w:tcPr>
            <w:tcW w:w="708" w:type="dxa"/>
            <w:tcBorders>
              <w:top w:val="nil"/>
              <w:left w:val="nil"/>
              <w:bottom w:val="nil"/>
              <w:right w:val="nil"/>
            </w:tcBorders>
            <w:shd w:val="solid" w:color="FFFFFF" w:fill="auto"/>
          </w:tcPr>
          <w:p w14:paraId="65E8D703"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08D83CE" w14:textId="69376209"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3</w:t>
            </w:r>
            <w:r w:rsidR="00A10967">
              <w:rPr>
                <w:sz w:val="19"/>
                <w:szCs w:val="19"/>
              </w:rPr>
              <w:t> </w:t>
            </w:r>
            <w:r w:rsidRPr="009E3947">
              <w:rPr>
                <w:sz w:val="19"/>
                <w:szCs w:val="19"/>
              </w:rPr>
              <w:t xml:space="preserve">783 </w:t>
            </w:r>
          </w:p>
        </w:tc>
        <w:tc>
          <w:tcPr>
            <w:tcW w:w="284" w:type="dxa"/>
            <w:tcBorders>
              <w:top w:val="nil"/>
              <w:left w:val="nil"/>
              <w:bottom w:val="nil"/>
              <w:right w:val="nil"/>
            </w:tcBorders>
            <w:shd w:val="solid" w:color="FFFFFF" w:fill="auto"/>
          </w:tcPr>
          <w:p w14:paraId="4006370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979BC11" w14:textId="2B5EDD4A"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w:t>
            </w:r>
            <w:r w:rsidR="00A10967">
              <w:rPr>
                <w:sz w:val="19"/>
                <w:szCs w:val="19"/>
              </w:rPr>
              <w:t> </w:t>
            </w:r>
            <w:r w:rsidRPr="009E3947">
              <w:rPr>
                <w:sz w:val="19"/>
                <w:szCs w:val="19"/>
              </w:rPr>
              <w:t xml:space="preserve">232 </w:t>
            </w:r>
          </w:p>
        </w:tc>
        <w:tc>
          <w:tcPr>
            <w:tcW w:w="236" w:type="dxa"/>
            <w:tcBorders>
              <w:top w:val="nil"/>
              <w:left w:val="nil"/>
              <w:bottom w:val="nil"/>
              <w:right w:val="nil"/>
            </w:tcBorders>
            <w:shd w:val="solid" w:color="FFFFFF" w:fill="auto"/>
          </w:tcPr>
          <w:p w14:paraId="5E30BEAD"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0F0FDF46" w14:textId="78D78E9E"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6</w:t>
            </w:r>
            <w:r w:rsidR="00A10967">
              <w:rPr>
                <w:sz w:val="19"/>
                <w:szCs w:val="19"/>
              </w:rPr>
              <w:t> </w:t>
            </w:r>
            <w:r w:rsidRPr="009E3947">
              <w:rPr>
                <w:sz w:val="19"/>
                <w:szCs w:val="19"/>
              </w:rPr>
              <w:t xml:space="preserve">015 </w:t>
            </w:r>
          </w:p>
        </w:tc>
        <w:tc>
          <w:tcPr>
            <w:tcW w:w="236" w:type="dxa"/>
            <w:tcBorders>
              <w:top w:val="nil"/>
              <w:left w:val="nil"/>
              <w:bottom w:val="nil"/>
              <w:right w:val="nil"/>
            </w:tcBorders>
            <w:shd w:val="clear" w:color="auto" w:fill="F2F2F2" w:themeFill="background1" w:themeFillShade="F2"/>
          </w:tcPr>
          <w:p w14:paraId="6EF52D8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EE0C7F2" w14:textId="61922D2C"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3</w:t>
            </w:r>
            <w:r w:rsidR="00A10967">
              <w:rPr>
                <w:sz w:val="19"/>
                <w:szCs w:val="19"/>
              </w:rPr>
              <w:t> </w:t>
            </w:r>
            <w:r w:rsidRPr="009E3947">
              <w:rPr>
                <w:sz w:val="19"/>
                <w:szCs w:val="19"/>
              </w:rPr>
              <w:t xml:space="preserve">930 </w:t>
            </w:r>
          </w:p>
        </w:tc>
        <w:tc>
          <w:tcPr>
            <w:tcW w:w="242" w:type="dxa"/>
            <w:tcBorders>
              <w:top w:val="nil"/>
              <w:left w:val="nil"/>
              <w:bottom w:val="nil"/>
              <w:right w:val="nil"/>
            </w:tcBorders>
            <w:shd w:val="solid" w:color="FFFFFF" w:fill="auto"/>
          </w:tcPr>
          <w:p w14:paraId="20636D6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168BDC5" w14:textId="6F9BEB4B" w:rsidR="007A1F65" w:rsidRPr="009E3947" w:rsidRDefault="002B1734"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1</w:t>
            </w:r>
            <w:r w:rsidR="00A10967">
              <w:rPr>
                <w:sz w:val="19"/>
                <w:szCs w:val="19"/>
              </w:rPr>
              <w:t> </w:t>
            </w:r>
            <w:r w:rsidRPr="009E3947">
              <w:rPr>
                <w:sz w:val="19"/>
                <w:szCs w:val="19"/>
              </w:rPr>
              <w:t>695</w:t>
            </w:r>
          </w:p>
        </w:tc>
        <w:tc>
          <w:tcPr>
            <w:tcW w:w="236" w:type="dxa"/>
            <w:tcBorders>
              <w:top w:val="nil"/>
              <w:left w:val="nil"/>
              <w:bottom w:val="nil"/>
              <w:right w:val="nil"/>
            </w:tcBorders>
            <w:shd w:val="solid" w:color="FFFFFF" w:fill="auto"/>
          </w:tcPr>
          <w:p w14:paraId="4A44EEA1"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1837BF1" w14:textId="1B8C2011" w:rsidR="007A1F65" w:rsidRPr="009E3947" w:rsidRDefault="002B1734"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5</w:t>
            </w:r>
            <w:r w:rsidR="00A10967">
              <w:rPr>
                <w:sz w:val="19"/>
                <w:szCs w:val="19"/>
              </w:rPr>
              <w:t> </w:t>
            </w:r>
            <w:r w:rsidRPr="009E3947">
              <w:rPr>
                <w:sz w:val="19"/>
                <w:szCs w:val="19"/>
              </w:rPr>
              <w:t>625</w:t>
            </w:r>
          </w:p>
        </w:tc>
      </w:tr>
      <w:tr w:rsidR="007A1F65" w:rsidRPr="009E3947" w14:paraId="5446176F" w14:textId="77777777" w:rsidTr="008A6720">
        <w:tc>
          <w:tcPr>
            <w:tcW w:w="3004" w:type="dxa"/>
            <w:tcBorders>
              <w:top w:val="nil"/>
              <w:left w:val="nil"/>
              <w:bottom w:val="nil"/>
              <w:right w:val="nil"/>
            </w:tcBorders>
            <w:shd w:val="solid" w:color="FFFFFF" w:fill="auto"/>
          </w:tcPr>
          <w:p w14:paraId="1743DFE2"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Ingresos/(gastos) netos del ejercicio</w:t>
            </w:r>
          </w:p>
          <w:p w14:paraId="21F09CAC" w14:textId="77777777" w:rsidR="007A1F65" w:rsidRPr="009E3947" w:rsidRDefault="007A1F65" w:rsidP="008A6720">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26B73579" w14:textId="77777777" w:rsidR="007A1F65" w:rsidRPr="009E3947" w:rsidRDefault="007A1F65" w:rsidP="008A6720">
            <w:pPr>
              <w:autoSpaceDE w:val="0"/>
              <w:autoSpaceDN w:val="0"/>
              <w:adjustRightInd w:val="0"/>
              <w:ind w:left="0" w:firstLine="0"/>
              <w:jc w:val="center"/>
              <w:rPr>
                <w:rFonts w:asciiTheme="minorHAnsi" w:eastAsiaTheme="minorHAnsi" w:hAnsiTheme="minorHAnsi" w:cstheme="minorHAnsi"/>
                <w:color w:val="000000"/>
                <w:sz w:val="19"/>
                <w:szCs w:val="19"/>
              </w:rPr>
            </w:pPr>
            <w:r w:rsidRPr="009E3947">
              <w:rPr>
                <w:rFonts w:asciiTheme="minorHAnsi" w:hAnsiTheme="minorHAnsi"/>
                <w:color w:val="000000"/>
                <w:sz w:val="19"/>
                <w:szCs w:val="19"/>
              </w:rPr>
              <w:t>11</w:t>
            </w:r>
          </w:p>
        </w:tc>
        <w:tc>
          <w:tcPr>
            <w:tcW w:w="851" w:type="dxa"/>
            <w:tcBorders>
              <w:top w:val="nil"/>
              <w:left w:val="nil"/>
              <w:bottom w:val="nil"/>
              <w:right w:val="nil"/>
            </w:tcBorders>
            <w:shd w:val="solid" w:color="FFFFFF" w:fill="auto"/>
          </w:tcPr>
          <w:p w14:paraId="5D8B2544" w14:textId="3BD15CD6"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(282) </w:t>
            </w:r>
          </w:p>
        </w:tc>
        <w:tc>
          <w:tcPr>
            <w:tcW w:w="284" w:type="dxa"/>
            <w:tcBorders>
              <w:top w:val="nil"/>
              <w:left w:val="nil"/>
              <w:bottom w:val="nil"/>
              <w:right w:val="nil"/>
            </w:tcBorders>
            <w:shd w:val="solid" w:color="FFFFFF" w:fill="auto"/>
          </w:tcPr>
          <w:p w14:paraId="3E219864"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9E00361" w14:textId="4F6A9A68"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706 </w:t>
            </w:r>
          </w:p>
        </w:tc>
        <w:tc>
          <w:tcPr>
            <w:tcW w:w="236" w:type="dxa"/>
            <w:tcBorders>
              <w:top w:val="nil"/>
              <w:left w:val="nil"/>
              <w:bottom w:val="nil"/>
              <w:right w:val="nil"/>
            </w:tcBorders>
            <w:shd w:val="solid" w:color="FFFFFF" w:fill="auto"/>
          </w:tcPr>
          <w:p w14:paraId="11EE6BEB"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tcPr>
          <w:p w14:paraId="02AEDB62" w14:textId="22D3515D"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424 </w:t>
            </w:r>
          </w:p>
        </w:tc>
        <w:tc>
          <w:tcPr>
            <w:tcW w:w="236" w:type="dxa"/>
            <w:tcBorders>
              <w:top w:val="nil"/>
              <w:left w:val="nil"/>
              <w:bottom w:val="nil"/>
              <w:right w:val="nil"/>
            </w:tcBorders>
            <w:shd w:val="clear" w:color="auto" w:fill="F2F2F2" w:themeFill="background1" w:themeFillShade="F2"/>
          </w:tcPr>
          <w:p w14:paraId="0922FD3F"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E5A07AC" w14:textId="3653B679"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(147) </w:t>
            </w:r>
          </w:p>
        </w:tc>
        <w:tc>
          <w:tcPr>
            <w:tcW w:w="242" w:type="dxa"/>
            <w:tcBorders>
              <w:top w:val="nil"/>
              <w:left w:val="nil"/>
              <w:bottom w:val="nil"/>
              <w:right w:val="nil"/>
            </w:tcBorders>
            <w:shd w:val="solid" w:color="FFFFFF" w:fill="auto"/>
          </w:tcPr>
          <w:p w14:paraId="7EE51B4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6546087" w14:textId="448C073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537 </w:t>
            </w:r>
          </w:p>
        </w:tc>
        <w:tc>
          <w:tcPr>
            <w:tcW w:w="236" w:type="dxa"/>
            <w:tcBorders>
              <w:top w:val="nil"/>
              <w:left w:val="nil"/>
              <w:bottom w:val="nil"/>
              <w:right w:val="nil"/>
            </w:tcBorders>
            <w:shd w:val="solid" w:color="FFFFFF" w:fill="auto"/>
          </w:tcPr>
          <w:p w14:paraId="5E07E24C"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F8173D8" w14:textId="4AFD98DB" w:rsidR="007A1F65" w:rsidRPr="009E3947" w:rsidRDefault="007A1F65" w:rsidP="008A6720">
            <w:pPr>
              <w:autoSpaceDE w:val="0"/>
              <w:autoSpaceDN w:val="0"/>
              <w:adjustRightInd w:val="0"/>
              <w:ind w:left="0" w:firstLine="0"/>
              <w:jc w:val="right"/>
              <w:rPr>
                <w:rFonts w:asciiTheme="minorHAnsi" w:eastAsiaTheme="minorHAnsi" w:hAnsiTheme="minorHAnsi" w:cstheme="minorHAnsi"/>
                <w:color w:val="000000"/>
                <w:sz w:val="19"/>
                <w:szCs w:val="19"/>
              </w:rPr>
            </w:pPr>
            <w:r w:rsidRPr="009E3947">
              <w:rPr>
                <w:sz w:val="19"/>
                <w:szCs w:val="19"/>
              </w:rPr>
              <w:t xml:space="preserve"> 390 </w:t>
            </w:r>
          </w:p>
        </w:tc>
      </w:tr>
      <w:tr w:rsidR="007A1F65" w:rsidRPr="009E3947" w14:paraId="4984D861" w14:textId="77777777" w:rsidTr="008A6720">
        <w:tc>
          <w:tcPr>
            <w:tcW w:w="3004" w:type="dxa"/>
            <w:tcBorders>
              <w:top w:val="nil"/>
              <w:left w:val="nil"/>
              <w:bottom w:val="nil"/>
              <w:right w:val="nil"/>
            </w:tcBorders>
            <w:shd w:val="solid" w:color="FFFFFF" w:fill="auto"/>
            <w:vAlign w:val="center"/>
          </w:tcPr>
          <w:p w14:paraId="1FFDE1CE" w14:textId="77777777" w:rsidR="007A1F65" w:rsidRPr="009E3947" w:rsidRDefault="007A1F65" w:rsidP="008A6720">
            <w:pPr>
              <w:autoSpaceDE w:val="0"/>
              <w:autoSpaceDN w:val="0"/>
              <w:adjustRightInd w:val="0"/>
              <w:ind w:left="0" w:firstLine="0"/>
              <w:rPr>
                <w:rFonts w:asciiTheme="minorHAnsi" w:eastAsiaTheme="minorHAnsi" w:hAnsiTheme="minorHAnsi" w:cstheme="minorHAnsi"/>
                <w:b/>
                <w:bCs/>
                <w:color w:val="000000"/>
                <w:sz w:val="19"/>
                <w:szCs w:val="19"/>
              </w:rPr>
            </w:pPr>
            <w:r w:rsidRPr="009E3947">
              <w:rPr>
                <w:rFonts w:asciiTheme="minorHAnsi" w:hAnsiTheme="minorHAnsi"/>
                <w:b/>
                <w:bCs/>
                <w:color w:val="000000"/>
                <w:sz w:val="19"/>
                <w:szCs w:val="19"/>
              </w:rPr>
              <w:t>Saldo del fondo al cierre del ejercicio</w:t>
            </w:r>
          </w:p>
        </w:tc>
        <w:tc>
          <w:tcPr>
            <w:tcW w:w="708" w:type="dxa"/>
            <w:tcBorders>
              <w:top w:val="nil"/>
              <w:left w:val="nil"/>
              <w:bottom w:val="nil"/>
              <w:right w:val="nil"/>
            </w:tcBorders>
            <w:shd w:val="solid" w:color="FFFFFF" w:fill="auto"/>
            <w:vAlign w:val="center"/>
          </w:tcPr>
          <w:p w14:paraId="69CC6590"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1" w:type="dxa"/>
            <w:tcBorders>
              <w:top w:val="single" w:sz="6" w:space="0" w:color="auto"/>
              <w:left w:val="nil"/>
              <w:bottom w:val="single" w:sz="6" w:space="0" w:color="auto"/>
              <w:right w:val="nil"/>
            </w:tcBorders>
            <w:shd w:val="clear" w:color="auto" w:fill="B8CCE4" w:themeFill="accent1" w:themeFillTint="66"/>
            <w:vAlign w:val="center"/>
          </w:tcPr>
          <w:p w14:paraId="61613B53" w14:textId="28BA2F50"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3</w:t>
            </w:r>
            <w:r w:rsidR="00A10967">
              <w:rPr>
                <w:b/>
                <w:sz w:val="19"/>
                <w:szCs w:val="19"/>
              </w:rPr>
              <w:t> </w:t>
            </w:r>
            <w:r w:rsidRPr="009E3947">
              <w:rPr>
                <w:b/>
                <w:sz w:val="19"/>
                <w:szCs w:val="19"/>
              </w:rPr>
              <w:t xml:space="preserve">501 </w:t>
            </w:r>
          </w:p>
        </w:tc>
        <w:tc>
          <w:tcPr>
            <w:tcW w:w="284" w:type="dxa"/>
            <w:tcBorders>
              <w:top w:val="single" w:sz="6" w:space="0" w:color="auto"/>
              <w:left w:val="nil"/>
              <w:bottom w:val="single" w:sz="6" w:space="0" w:color="auto"/>
              <w:right w:val="nil"/>
            </w:tcBorders>
            <w:shd w:val="clear" w:color="auto" w:fill="B8CCE4" w:themeFill="accent1" w:themeFillTint="66"/>
            <w:vAlign w:val="center"/>
          </w:tcPr>
          <w:p w14:paraId="6A2DBC36"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clear" w:color="auto" w:fill="B8CCE4" w:themeFill="accent1" w:themeFillTint="66"/>
            <w:vAlign w:val="center"/>
          </w:tcPr>
          <w:p w14:paraId="779A5462" w14:textId="22D834B9"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2</w:t>
            </w:r>
            <w:r w:rsidR="00A10967">
              <w:rPr>
                <w:b/>
                <w:sz w:val="19"/>
                <w:szCs w:val="19"/>
              </w:rPr>
              <w:t> </w:t>
            </w:r>
            <w:r w:rsidRPr="009E3947">
              <w:rPr>
                <w:b/>
                <w:sz w:val="19"/>
                <w:szCs w:val="19"/>
              </w:rPr>
              <w:t xml:space="preserve">938 </w:t>
            </w:r>
          </w:p>
        </w:tc>
        <w:tc>
          <w:tcPr>
            <w:tcW w:w="236" w:type="dxa"/>
            <w:tcBorders>
              <w:top w:val="single" w:sz="6" w:space="0" w:color="auto"/>
              <w:left w:val="nil"/>
              <w:bottom w:val="single" w:sz="6" w:space="0" w:color="auto"/>
              <w:right w:val="nil"/>
            </w:tcBorders>
            <w:shd w:val="clear" w:color="auto" w:fill="B8CCE4" w:themeFill="accent1" w:themeFillTint="66"/>
            <w:vAlign w:val="center"/>
          </w:tcPr>
          <w:p w14:paraId="76A41B99"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clear" w:color="auto" w:fill="B8CCE4" w:themeFill="accent1" w:themeFillTint="66"/>
            <w:vAlign w:val="center"/>
          </w:tcPr>
          <w:p w14:paraId="10C3C149" w14:textId="3F8FF4E9"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6</w:t>
            </w:r>
            <w:r w:rsidR="00A10967">
              <w:rPr>
                <w:b/>
                <w:sz w:val="19"/>
                <w:szCs w:val="19"/>
              </w:rPr>
              <w:t> </w:t>
            </w:r>
            <w:r w:rsidRPr="009E3947">
              <w:rPr>
                <w:b/>
                <w:sz w:val="19"/>
                <w:szCs w:val="19"/>
              </w:rPr>
              <w:t xml:space="preserve">439 </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40DAB502"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single" w:sz="6" w:space="0" w:color="auto"/>
              <w:left w:val="nil"/>
              <w:bottom w:val="single" w:sz="6" w:space="0" w:color="auto"/>
              <w:right w:val="nil"/>
            </w:tcBorders>
            <w:shd w:val="clear" w:color="auto" w:fill="D6E3BC" w:themeFill="accent3" w:themeFillTint="66"/>
            <w:vAlign w:val="center"/>
          </w:tcPr>
          <w:p w14:paraId="215EDD01" w14:textId="4C26E0F4"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3</w:t>
            </w:r>
            <w:r w:rsidR="00A10967">
              <w:rPr>
                <w:b/>
                <w:sz w:val="19"/>
                <w:szCs w:val="19"/>
              </w:rPr>
              <w:t> </w:t>
            </w:r>
            <w:r w:rsidRPr="009E3947">
              <w:rPr>
                <w:b/>
                <w:sz w:val="19"/>
                <w:szCs w:val="19"/>
              </w:rPr>
              <w:t xml:space="preserve">783 </w:t>
            </w:r>
          </w:p>
        </w:tc>
        <w:tc>
          <w:tcPr>
            <w:tcW w:w="242" w:type="dxa"/>
            <w:tcBorders>
              <w:top w:val="single" w:sz="6" w:space="0" w:color="auto"/>
              <w:left w:val="nil"/>
              <w:bottom w:val="single" w:sz="6" w:space="0" w:color="auto"/>
              <w:right w:val="nil"/>
            </w:tcBorders>
            <w:shd w:val="clear" w:color="auto" w:fill="D6E3BC" w:themeFill="accent3" w:themeFillTint="66"/>
            <w:vAlign w:val="center"/>
          </w:tcPr>
          <w:p w14:paraId="4F512995"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single" w:sz="6" w:space="0" w:color="auto"/>
              <w:left w:val="nil"/>
              <w:bottom w:val="single" w:sz="6" w:space="0" w:color="auto"/>
              <w:right w:val="nil"/>
            </w:tcBorders>
            <w:shd w:val="clear" w:color="auto" w:fill="D6E3BC" w:themeFill="accent3" w:themeFillTint="66"/>
            <w:vAlign w:val="center"/>
          </w:tcPr>
          <w:p w14:paraId="77B51823" w14:textId="707AF96E"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2</w:t>
            </w:r>
            <w:r w:rsidR="00A10967">
              <w:rPr>
                <w:b/>
                <w:sz w:val="19"/>
                <w:szCs w:val="19"/>
              </w:rPr>
              <w:t> </w:t>
            </w:r>
            <w:r w:rsidRPr="009E3947">
              <w:rPr>
                <w:b/>
                <w:sz w:val="19"/>
                <w:szCs w:val="19"/>
              </w:rPr>
              <w:t xml:space="preserve">232 </w:t>
            </w:r>
          </w:p>
        </w:tc>
        <w:tc>
          <w:tcPr>
            <w:tcW w:w="236" w:type="dxa"/>
            <w:tcBorders>
              <w:top w:val="single" w:sz="6" w:space="0" w:color="auto"/>
              <w:left w:val="nil"/>
              <w:bottom w:val="single" w:sz="6" w:space="0" w:color="auto"/>
              <w:right w:val="nil"/>
            </w:tcBorders>
            <w:shd w:val="clear" w:color="auto" w:fill="D6E3BC" w:themeFill="accent3" w:themeFillTint="66"/>
            <w:vAlign w:val="center"/>
          </w:tcPr>
          <w:p w14:paraId="796BDCD7" w14:textId="77777777"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single" w:sz="6" w:space="0" w:color="auto"/>
              <w:left w:val="nil"/>
              <w:bottom w:val="single" w:sz="6" w:space="0" w:color="auto"/>
              <w:right w:val="nil"/>
            </w:tcBorders>
            <w:shd w:val="clear" w:color="auto" w:fill="D6E3BC" w:themeFill="accent3" w:themeFillTint="66"/>
            <w:vAlign w:val="center"/>
          </w:tcPr>
          <w:p w14:paraId="3A041420" w14:textId="3423E625" w:rsidR="007A1F65" w:rsidRPr="009E3947" w:rsidRDefault="007A1F65" w:rsidP="008A6720">
            <w:pPr>
              <w:autoSpaceDE w:val="0"/>
              <w:autoSpaceDN w:val="0"/>
              <w:adjustRightInd w:val="0"/>
              <w:ind w:left="0" w:firstLine="0"/>
              <w:jc w:val="right"/>
              <w:rPr>
                <w:rFonts w:asciiTheme="minorHAnsi" w:eastAsiaTheme="minorHAnsi" w:hAnsiTheme="minorHAnsi" w:cstheme="minorHAnsi"/>
                <w:b/>
                <w:bCs/>
                <w:color w:val="000000"/>
                <w:sz w:val="19"/>
                <w:szCs w:val="19"/>
              </w:rPr>
            </w:pPr>
            <w:r w:rsidRPr="009E3947">
              <w:rPr>
                <w:b/>
                <w:sz w:val="19"/>
                <w:szCs w:val="19"/>
              </w:rPr>
              <w:t xml:space="preserve"> 6</w:t>
            </w:r>
            <w:r w:rsidR="00A10967">
              <w:rPr>
                <w:b/>
                <w:sz w:val="19"/>
                <w:szCs w:val="19"/>
              </w:rPr>
              <w:t> </w:t>
            </w:r>
            <w:r w:rsidRPr="009E3947">
              <w:rPr>
                <w:b/>
                <w:sz w:val="19"/>
                <w:szCs w:val="19"/>
              </w:rPr>
              <w:t xml:space="preserve">015 </w:t>
            </w:r>
          </w:p>
        </w:tc>
      </w:tr>
    </w:tbl>
    <w:p w14:paraId="086DE964" w14:textId="77777777" w:rsidR="007A1F65" w:rsidRPr="009E3947" w:rsidRDefault="007A1F65" w:rsidP="007A1F65">
      <w:pPr>
        <w:rPr>
          <w:rFonts w:eastAsia="Times New Roman" w:cs="Arial"/>
          <w:b/>
          <w:bCs/>
        </w:rPr>
      </w:pPr>
      <w:r w:rsidRPr="009E3947">
        <w:br w:type="page"/>
      </w:r>
    </w:p>
    <w:p w14:paraId="4DCED857" w14:textId="1B4A0F57" w:rsidR="007A1F65" w:rsidRPr="009E3947" w:rsidRDefault="007A1F65" w:rsidP="007A1F65">
      <w:pPr>
        <w:pStyle w:val="NoSpacing"/>
        <w:rPr>
          <w:rFonts w:eastAsia="Times New Roman" w:cs="Arial"/>
          <w:b/>
          <w:bCs/>
        </w:rPr>
      </w:pPr>
      <w:r w:rsidRPr="009E3947">
        <w:rPr>
          <w:b/>
          <w:bCs/>
        </w:rPr>
        <w:lastRenderedPageBreak/>
        <w:t>iii.</w:t>
      </w:r>
      <w:r w:rsidR="009E3947" w:rsidRPr="009E3947">
        <w:rPr>
          <w:rFonts w:eastAsia="Times New Roman" w:cs="Arial"/>
          <w:b/>
          <w:bCs/>
        </w:rPr>
        <w:tab/>
      </w:r>
      <w:r w:rsidRPr="009E3947">
        <w:rPr>
          <w:b/>
          <w:bCs/>
        </w:rPr>
        <w:t>Estado de los flujos de tesorería para el ejercicio finalizado el 31 de diciembre de 2024</w:t>
      </w:r>
    </w:p>
    <w:p w14:paraId="2D4854B2" w14:textId="77777777" w:rsidR="007A1F65" w:rsidRPr="009E3947" w:rsidRDefault="007A1F65" w:rsidP="007A1F65">
      <w:pPr>
        <w:rPr>
          <w:rFonts w:eastAsia="Times New Roman" w:cs="Arial"/>
          <w:b/>
          <w:bCs/>
          <w:lang w:eastAsia="en-GB"/>
        </w:rPr>
      </w:pPr>
    </w:p>
    <w:tbl>
      <w:tblPr>
        <w:tblpPr w:leftFromText="180" w:rightFromText="180" w:vertAnchor="text" w:horzAnchor="margin" w:tblpX="-425" w:tblpY="76"/>
        <w:tblW w:w="9781" w:type="dxa"/>
        <w:tblLook w:val="04A0" w:firstRow="1" w:lastRow="0" w:firstColumn="1" w:lastColumn="0" w:noHBand="0" w:noVBand="1"/>
      </w:tblPr>
      <w:tblGrid>
        <w:gridCol w:w="5954"/>
        <w:gridCol w:w="1400"/>
        <w:gridCol w:w="262"/>
        <w:gridCol w:w="284"/>
        <w:gridCol w:w="1881"/>
      </w:tblGrid>
      <w:tr w:rsidR="007A1F65" w:rsidRPr="009E3947" w14:paraId="3043363B" w14:textId="77777777" w:rsidTr="008A6720">
        <w:trPr>
          <w:trHeight w:val="324"/>
        </w:trPr>
        <w:tc>
          <w:tcPr>
            <w:tcW w:w="5954" w:type="dxa"/>
            <w:tcBorders>
              <w:top w:val="nil"/>
              <w:left w:val="nil"/>
              <w:bottom w:val="single" w:sz="8" w:space="0" w:color="auto"/>
              <w:right w:val="nil"/>
            </w:tcBorders>
            <w:shd w:val="clear" w:color="000000" w:fill="FFFFFF"/>
            <w:noWrap/>
            <w:vAlign w:val="bottom"/>
            <w:hideMark/>
          </w:tcPr>
          <w:p w14:paraId="4AE5F9B8" w14:textId="77777777" w:rsidR="007A1F65" w:rsidRPr="009E3947" w:rsidRDefault="007A1F65" w:rsidP="008A6720">
            <w:pPr>
              <w:ind w:left="0" w:firstLine="0"/>
              <w:rPr>
                <w:rFonts w:asciiTheme="minorHAnsi" w:eastAsia="Times New Roman" w:hAnsiTheme="minorHAnsi" w:cstheme="minorHAnsi"/>
                <w:i/>
                <w:iCs/>
                <w:sz w:val="20"/>
                <w:szCs w:val="20"/>
              </w:rPr>
            </w:pPr>
            <w:r w:rsidRPr="009E3947">
              <w:rPr>
                <w:rFonts w:asciiTheme="minorHAnsi" w:hAnsiTheme="minorHAnsi"/>
                <w:i/>
                <w:iCs/>
                <w:sz w:val="20"/>
                <w:szCs w:val="20"/>
              </w:rPr>
              <w:t>en miles de francos suizos</w:t>
            </w:r>
          </w:p>
        </w:tc>
        <w:tc>
          <w:tcPr>
            <w:tcW w:w="1662" w:type="dxa"/>
            <w:gridSpan w:val="2"/>
            <w:tcBorders>
              <w:top w:val="nil"/>
              <w:left w:val="nil"/>
              <w:bottom w:val="single" w:sz="8" w:space="0" w:color="auto"/>
              <w:right w:val="nil"/>
            </w:tcBorders>
            <w:shd w:val="clear" w:color="000000" w:fill="8DB4E2"/>
            <w:noWrap/>
            <w:vAlign w:val="center"/>
            <w:hideMark/>
          </w:tcPr>
          <w:p w14:paraId="73A9E580" w14:textId="06DDEA82" w:rsidR="007A1F65" w:rsidRPr="009E3947" w:rsidRDefault="002B1734" w:rsidP="008A6720">
            <w:pPr>
              <w:ind w:left="0" w:firstLine="0"/>
              <w:jc w:val="center"/>
              <w:rPr>
                <w:rFonts w:asciiTheme="minorHAnsi" w:eastAsia="Times New Roman" w:hAnsiTheme="minorHAnsi" w:cstheme="minorHAnsi"/>
                <w:b/>
                <w:bCs/>
                <w:sz w:val="20"/>
                <w:szCs w:val="20"/>
              </w:rPr>
            </w:pPr>
            <w:r w:rsidRPr="009E3947">
              <w:rPr>
                <w:rFonts w:asciiTheme="minorHAnsi" w:hAnsiTheme="minorHAnsi"/>
                <w:b/>
                <w:bCs/>
                <w:sz w:val="20"/>
                <w:szCs w:val="20"/>
              </w:rPr>
              <w:t>2024</w:t>
            </w:r>
          </w:p>
        </w:tc>
        <w:tc>
          <w:tcPr>
            <w:tcW w:w="284" w:type="dxa"/>
            <w:tcBorders>
              <w:top w:val="nil"/>
              <w:left w:val="nil"/>
              <w:bottom w:val="single" w:sz="8" w:space="0" w:color="auto"/>
              <w:right w:val="nil"/>
            </w:tcBorders>
            <w:shd w:val="clear" w:color="000000" w:fill="D9D9D9"/>
            <w:noWrap/>
            <w:vAlign w:val="center"/>
            <w:hideMark/>
          </w:tcPr>
          <w:p w14:paraId="57D661A6" w14:textId="77777777" w:rsidR="007A1F65" w:rsidRPr="009E3947" w:rsidRDefault="007A1F65" w:rsidP="008A6720">
            <w:pPr>
              <w:ind w:left="0" w:firstLine="0"/>
              <w:jc w:val="center"/>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881" w:type="dxa"/>
            <w:tcBorders>
              <w:top w:val="nil"/>
              <w:left w:val="nil"/>
              <w:bottom w:val="single" w:sz="8" w:space="0" w:color="auto"/>
              <w:right w:val="nil"/>
            </w:tcBorders>
            <w:shd w:val="clear" w:color="000000" w:fill="D8E4BC"/>
            <w:noWrap/>
            <w:vAlign w:val="center"/>
            <w:hideMark/>
          </w:tcPr>
          <w:p w14:paraId="566D0AC6" w14:textId="0A7A22EB" w:rsidR="007A1F65" w:rsidRPr="009E3947" w:rsidRDefault="007A1F65" w:rsidP="008A6720">
            <w:pPr>
              <w:ind w:left="0" w:firstLine="0"/>
              <w:jc w:val="center"/>
              <w:rPr>
                <w:rFonts w:asciiTheme="minorHAnsi" w:eastAsia="Times New Roman" w:hAnsiTheme="minorHAnsi" w:cstheme="minorHAnsi"/>
                <w:b/>
                <w:bCs/>
                <w:sz w:val="20"/>
                <w:szCs w:val="20"/>
              </w:rPr>
            </w:pPr>
            <w:r w:rsidRPr="009E3947">
              <w:rPr>
                <w:rFonts w:asciiTheme="minorHAnsi" w:hAnsiTheme="minorHAnsi"/>
                <w:b/>
                <w:bCs/>
                <w:sz w:val="20"/>
                <w:szCs w:val="20"/>
              </w:rPr>
              <w:t>2023</w:t>
            </w:r>
          </w:p>
        </w:tc>
      </w:tr>
      <w:tr w:rsidR="007A1F65" w:rsidRPr="009E3947" w14:paraId="50F6422F" w14:textId="77777777" w:rsidTr="008A6720">
        <w:trPr>
          <w:trHeight w:val="288"/>
        </w:trPr>
        <w:tc>
          <w:tcPr>
            <w:tcW w:w="5954" w:type="dxa"/>
            <w:tcBorders>
              <w:top w:val="nil"/>
              <w:left w:val="nil"/>
              <w:bottom w:val="nil"/>
              <w:right w:val="nil"/>
            </w:tcBorders>
            <w:shd w:val="clear" w:color="000000" w:fill="FFFFFF"/>
            <w:noWrap/>
            <w:vAlign w:val="center"/>
            <w:hideMark/>
          </w:tcPr>
          <w:p w14:paraId="1D844948"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400" w:type="dxa"/>
            <w:tcBorders>
              <w:top w:val="nil"/>
              <w:left w:val="nil"/>
              <w:bottom w:val="nil"/>
              <w:right w:val="nil"/>
            </w:tcBorders>
            <w:shd w:val="clear" w:color="000000" w:fill="FFFFFF"/>
            <w:noWrap/>
            <w:vAlign w:val="center"/>
            <w:hideMark/>
          </w:tcPr>
          <w:p w14:paraId="76FC0C72"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3E766195"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5E8A67D2"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7EBDC332"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r>
      <w:tr w:rsidR="007A1F65" w:rsidRPr="009E3947" w14:paraId="2EB9D9CB" w14:textId="77777777" w:rsidTr="008A6720">
        <w:trPr>
          <w:trHeight w:val="288"/>
        </w:trPr>
        <w:tc>
          <w:tcPr>
            <w:tcW w:w="5954" w:type="dxa"/>
            <w:tcBorders>
              <w:top w:val="nil"/>
              <w:left w:val="nil"/>
              <w:bottom w:val="nil"/>
              <w:right w:val="nil"/>
            </w:tcBorders>
            <w:shd w:val="clear" w:color="000000" w:fill="FFFFFF"/>
            <w:noWrap/>
            <w:vAlign w:val="center"/>
            <w:hideMark/>
          </w:tcPr>
          <w:p w14:paraId="1255EA01"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Flujos de tesorería operativos</w:t>
            </w:r>
          </w:p>
        </w:tc>
        <w:tc>
          <w:tcPr>
            <w:tcW w:w="1400" w:type="dxa"/>
            <w:tcBorders>
              <w:top w:val="nil"/>
              <w:left w:val="nil"/>
              <w:bottom w:val="nil"/>
              <w:right w:val="nil"/>
            </w:tcBorders>
            <w:shd w:val="clear" w:color="000000" w:fill="FFFFFF"/>
            <w:noWrap/>
            <w:vAlign w:val="center"/>
            <w:hideMark/>
          </w:tcPr>
          <w:p w14:paraId="04FEF58B"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441E8C6B"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62FDC42E"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3C5BF459"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r>
      <w:tr w:rsidR="007A1F65" w:rsidRPr="009E3947" w14:paraId="124CCC21" w14:textId="77777777" w:rsidTr="008A6720">
        <w:trPr>
          <w:trHeight w:val="288"/>
        </w:trPr>
        <w:tc>
          <w:tcPr>
            <w:tcW w:w="5954" w:type="dxa"/>
            <w:tcBorders>
              <w:top w:val="nil"/>
              <w:left w:val="nil"/>
              <w:bottom w:val="nil"/>
              <w:right w:val="nil"/>
            </w:tcBorders>
            <w:shd w:val="clear" w:color="000000" w:fill="FFFFFF"/>
            <w:noWrap/>
            <w:vAlign w:val="center"/>
            <w:hideMark/>
          </w:tcPr>
          <w:p w14:paraId="2AE503F5"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400" w:type="dxa"/>
            <w:tcBorders>
              <w:top w:val="nil"/>
              <w:left w:val="nil"/>
              <w:bottom w:val="nil"/>
              <w:right w:val="nil"/>
            </w:tcBorders>
            <w:shd w:val="clear" w:color="000000" w:fill="FFFFFF"/>
            <w:noWrap/>
            <w:vAlign w:val="center"/>
            <w:hideMark/>
          </w:tcPr>
          <w:p w14:paraId="2ED5A539"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55303FAB"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3707534C"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2F134BB9"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r>
      <w:tr w:rsidR="007A1F65" w:rsidRPr="009E3947" w14:paraId="14D1FF38" w14:textId="77777777" w:rsidTr="008A6720">
        <w:trPr>
          <w:trHeight w:val="288"/>
        </w:trPr>
        <w:tc>
          <w:tcPr>
            <w:tcW w:w="5954" w:type="dxa"/>
            <w:tcBorders>
              <w:top w:val="nil"/>
              <w:left w:val="nil"/>
              <w:bottom w:val="nil"/>
              <w:right w:val="nil"/>
            </w:tcBorders>
            <w:shd w:val="clear" w:color="000000" w:fill="FFFFFF"/>
            <w:noWrap/>
            <w:vAlign w:val="center"/>
            <w:hideMark/>
          </w:tcPr>
          <w:p w14:paraId="273FD240"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Excedente/(Déficit) de las operaciones</w:t>
            </w:r>
          </w:p>
        </w:tc>
        <w:tc>
          <w:tcPr>
            <w:tcW w:w="1400" w:type="dxa"/>
            <w:tcBorders>
              <w:top w:val="nil"/>
              <w:left w:val="nil"/>
              <w:bottom w:val="single" w:sz="4" w:space="0" w:color="auto"/>
              <w:right w:val="nil"/>
            </w:tcBorders>
            <w:shd w:val="clear" w:color="000000" w:fill="FFFFFF"/>
            <w:noWrap/>
            <w:vAlign w:val="center"/>
            <w:hideMark/>
          </w:tcPr>
          <w:p w14:paraId="5671A6EF" w14:textId="0A9A52DD" w:rsidR="007A1F65" w:rsidRPr="009E3947" w:rsidRDefault="000011E8" w:rsidP="008A6720">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424</w:t>
            </w:r>
          </w:p>
        </w:tc>
        <w:tc>
          <w:tcPr>
            <w:tcW w:w="262" w:type="dxa"/>
            <w:tcBorders>
              <w:top w:val="nil"/>
              <w:left w:val="nil"/>
              <w:bottom w:val="single" w:sz="4" w:space="0" w:color="auto"/>
              <w:right w:val="nil"/>
            </w:tcBorders>
            <w:shd w:val="clear" w:color="000000" w:fill="FFFFFF"/>
            <w:noWrap/>
            <w:vAlign w:val="center"/>
            <w:hideMark/>
          </w:tcPr>
          <w:p w14:paraId="611DF5D0"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284" w:type="dxa"/>
            <w:tcBorders>
              <w:top w:val="nil"/>
              <w:left w:val="nil"/>
              <w:bottom w:val="single" w:sz="4" w:space="0" w:color="auto"/>
              <w:right w:val="nil"/>
            </w:tcBorders>
            <w:shd w:val="clear" w:color="000000" w:fill="D9D9D9"/>
            <w:noWrap/>
            <w:vAlign w:val="center"/>
            <w:hideMark/>
          </w:tcPr>
          <w:p w14:paraId="556C2858"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881" w:type="dxa"/>
            <w:tcBorders>
              <w:top w:val="nil"/>
              <w:left w:val="nil"/>
              <w:bottom w:val="single" w:sz="4" w:space="0" w:color="auto"/>
              <w:right w:val="nil"/>
            </w:tcBorders>
            <w:shd w:val="clear" w:color="000000" w:fill="FFFFFF"/>
            <w:noWrap/>
            <w:hideMark/>
          </w:tcPr>
          <w:p w14:paraId="31549482" w14:textId="5D699252" w:rsidR="007A1F65" w:rsidRPr="009E3947" w:rsidRDefault="002B1734" w:rsidP="008A6720">
            <w:pPr>
              <w:ind w:left="0" w:firstLine="0"/>
              <w:jc w:val="right"/>
              <w:rPr>
                <w:rFonts w:asciiTheme="minorHAnsi" w:eastAsia="Times New Roman" w:hAnsiTheme="minorHAnsi" w:cstheme="minorHAnsi"/>
                <w:b/>
                <w:bCs/>
                <w:sz w:val="20"/>
                <w:szCs w:val="20"/>
              </w:rPr>
            </w:pPr>
            <w:r w:rsidRPr="009E3947">
              <w:rPr>
                <w:b/>
                <w:sz w:val="20"/>
                <w:szCs w:val="20"/>
              </w:rPr>
              <w:t>390</w:t>
            </w:r>
          </w:p>
        </w:tc>
      </w:tr>
      <w:tr w:rsidR="007A1F65" w:rsidRPr="009E3947" w14:paraId="1B9355B2" w14:textId="77777777" w:rsidTr="008A6720">
        <w:trPr>
          <w:trHeight w:val="288"/>
        </w:trPr>
        <w:tc>
          <w:tcPr>
            <w:tcW w:w="5954" w:type="dxa"/>
            <w:tcBorders>
              <w:top w:val="nil"/>
              <w:left w:val="nil"/>
              <w:bottom w:val="nil"/>
              <w:right w:val="nil"/>
            </w:tcBorders>
            <w:shd w:val="clear" w:color="000000" w:fill="FFFFFF"/>
            <w:noWrap/>
            <w:vAlign w:val="center"/>
            <w:hideMark/>
          </w:tcPr>
          <w:p w14:paraId="5738BF77"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400" w:type="dxa"/>
            <w:tcBorders>
              <w:top w:val="nil"/>
              <w:left w:val="nil"/>
              <w:bottom w:val="nil"/>
              <w:right w:val="nil"/>
            </w:tcBorders>
            <w:shd w:val="clear" w:color="000000" w:fill="FFFFFF"/>
            <w:noWrap/>
            <w:vAlign w:val="center"/>
            <w:hideMark/>
          </w:tcPr>
          <w:p w14:paraId="371613F2"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262" w:type="dxa"/>
            <w:tcBorders>
              <w:top w:val="nil"/>
              <w:left w:val="nil"/>
              <w:bottom w:val="nil"/>
              <w:right w:val="nil"/>
            </w:tcBorders>
            <w:shd w:val="clear" w:color="000000" w:fill="FFFFFF"/>
            <w:noWrap/>
            <w:vAlign w:val="center"/>
            <w:hideMark/>
          </w:tcPr>
          <w:p w14:paraId="6507EAFA"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284" w:type="dxa"/>
            <w:tcBorders>
              <w:top w:val="nil"/>
              <w:left w:val="nil"/>
              <w:bottom w:val="nil"/>
              <w:right w:val="nil"/>
            </w:tcBorders>
            <w:shd w:val="clear" w:color="000000" w:fill="D9D9D9"/>
            <w:noWrap/>
            <w:vAlign w:val="center"/>
            <w:hideMark/>
          </w:tcPr>
          <w:p w14:paraId="7BCE5E45"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881" w:type="dxa"/>
            <w:tcBorders>
              <w:top w:val="nil"/>
              <w:left w:val="nil"/>
              <w:bottom w:val="nil"/>
              <w:right w:val="nil"/>
            </w:tcBorders>
            <w:shd w:val="clear" w:color="000000" w:fill="FFFFFF"/>
            <w:noWrap/>
            <w:hideMark/>
          </w:tcPr>
          <w:p w14:paraId="37037B06"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sz w:val="20"/>
                <w:szCs w:val="20"/>
              </w:rPr>
              <w:t xml:space="preserve"> </w:t>
            </w:r>
          </w:p>
        </w:tc>
      </w:tr>
      <w:tr w:rsidR="007A1F65" w:rsidRPr="009E3947" w14:paraId="52F24B78" w14:textId="77777777" w:rsidTr="008A6720">
        <w:trPr>
          <w:trHeight w:val="288"/>
        </w:trPr>
        <w:tc>
          <w:tcPr>
            <w:tcW w:w="5954" w:type="dxa"/>
            <w:tcBorders>
              <w:top w:val="nil"/>
              <w:left w:val="nil"/>
              <w:bottom w:val="nil"/>
              <w:right w:val="nil"/>
            </w:tcBorders>
            <w:shd w:val="clear" w:color="000000" w:fill="FFFFFF"/>
            <w:noWrap/>
            <w:vAlign w:val="center"/>
            <w:hideMark/>
          </w:tcPr>
          <w:p w14:paraId="7E4B5032" w14:textId="77777777" w:rsidR="007A1F65" w:rsidRPr="009E3947" w:rsidRDefault="007A1F65" w:rsidP="008A6720">
            <w:pPr>
              <w:ind w:left="173" w:firstLine="0"/>
              <w:rPr>
                <w:rFonts w:asciiTheme="minorHAnsi" w:eastAsia="Times New Roman" w:hAnsiTheme="minorHAnsi" w:cstheme="minorHAnsi"/>
                <w:color w:val="000000"/>
                <w:sz w:val="20"/>
                <w:szCs w:val="20"/>
              </w:rPr>
            </w:pPr>
            <w:r w:rsidRPr="009E3947">
              <w:rPr>
                <w:rFonts w:asciiTheme="minorHAnsi" w:hAnsiTheme="minorHAnsi"/>
                <w:color w:val="000000"/>
                <w:sz w:val="20"/>
                <w:szCs w:val="20"/>
              </w:rPr>
              <w:t>Amortización del inmovilizado</w:t>
            </w:r>
          </w:p>
        </w:tc>
        <w:tc>
          <w:tcPr>
            <w:tcW w:w="1400" w:type="dxa"/>
            <w:tcBorders>
              <w:top w:val="nil"/>
              <w:left w:val="nil"/>
              <w:bottom w:val="nil"/>
              <w:right w:val="nil"/>
            </w:tcBorders>
            <w:shd w:val="clear" w:color="000000" w:fill="FFFFFF"/>
            <w:noWrap/>
            <w:hideMark/>
          </w:tcPr>
          <w:p w14:paraId="2A5099C2" w14:textId="77777777"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8</w:t>
            </w:r>
          </w:p>
        </w:tc>
        <w:tc>
          <w:tcPr>
            <w:tcW w:w="262" w:type="dxa"/>
            <w:tcBorders>
              <w:top w:val="nil"/>
              <w:left w:val="nil"/>
              <w:bottom w:val="nil"/>
              <w:right w:val="nil"/>
            </w:tcBorders>
            <w:shd w:val="clear" w:color="000000" w:fill="FFFFFF"/>
            <w:noWrap/>
            <w:vAlign w:val="center"/>
            <w:hideMark/>
          </w:tcPr>
          <w:p w14:paraId="71276A3C"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102379EF"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3C097C4C" w14:textId="361F29CF" w:rsidR="007A1F65" w:rsidRPr="009E3947" w:rsidRDefault="002B1734" w:rsidP="008A6720">
            <w:pPr>
              <w:ind w:left="0" w:firstLine="0"/>
              <w:jc w:val="right"/>
              <w:rPr>
                <w:rFonts w:asciiTheme="minorHAnsi" w:eastAsia="Times New Roman" w:hAnsiTheme="minorHAnsi" w:cstheme="minorHAnsi"/>
                <w:sz w:val="20"/>
                <w:szCs w:val="20"/>
              </w:rPr>
            </w:pPr>
            <w:r w:rsidRPr="009E3947">
              <w:rPr>
                <w:sz w:val="20"/>
                <w:szCs w:val="20"/>
              </w:rPr>
              <w:t>8</w:t>
            </w:r>
          </w:p>
        </w:tc>
      </w:tr>
      <w:tr w:rsidR="007A1F65" w:rsidRPr="009E3947" w14:paraId="6918E8A5" w14:textId="77777777" w:rsidTr="008A6720">
        <w:trPr>
          <w:trHeight w:val="288"/>
        </w:trPr>
        <w:tc>
          <w:tcPr>
            <w:tcW w:w="5954" w:type="dxa"/>
            <w:tcBorders>
              <w:top w:val="nil"/>
              <w:left w:val="nil"/>
              <w:bottom w:val="nil"/>
              <w:right w:val="nil"/>
            </w:tcBorders>
            <w:shd w:val="clear" w:color="000000" w:fill="FFFFFF"/>
            <w:noWrap/>
            <w:vAlign w:val="center"/>
            <w:hideMark/>
          </w:tcPr>
          <w:p w14:paraId="34462EF5"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las provisiones en caso de mora de las contribuciones de los miembros</w:t>
            </w:r>
          </w:p>
        </w:tc>
        <w:tc>
          <w:tcPr>
            <w:tcW w:w="1400" w:type="dxa"/>
            <w:tcBorders>
              <w:top w:val="nil"/>
              <w:left w:val="nil"/>
              <w:bottom w:val="nil"/>
              <w:right w:val="nil"/>
            </w:tcBorders>
            <w:shd w:val="clear" w:color="000000" w:fill="FFFFFF"/>
            <w:noWrap/>
            <w:hideMark/>
          </w:tcPr>
          <w:p w14:paraId="03844A38" w14:textId="6493B1C1" w:rsidR="007A1F65" w:rsidRPr="009E3947" w:rsidRDefault="000011E8" w:rsidP="008A6720">
            <w:pPr>
              <w:ind w:left="0" w:firstLine="0"/>
              <w:jc w:val="right"/>
              <w:rPr>
                <w:rFonts w:asciiTheme="minorHAnsi" w:eastAsia="Times New Roman" w:hAnsiTheme="minorHAnsi" w:cstheme="minorHAnsi"/>
                <w:sz w:val="20"/>
                <w:szCs w:val="20"/>
              </w:rPr>
            </w:pPr>
            <w:r w:rsidRPr="009E3947">
              <w:rPr>
                <w:sz w:val="20"/>
                <w:szCs w:val="20"/>
              </w:rPr>
              <w:t>113</w:t>
            </w:r>
          </w:p>
        </w:tc>
        <w:tc>
          <w:tcPr>
            <w:tcW w:w="262" w:type="dxa"/>
            <w:tcBorders>
              <w:top w:val="nil"/>
              <w:left w:val="nil"/>
              <w:bottom w:val="nil"/>
              <w:right w:val="nil"/>
            </w:tcBorders>
            <w:shd w:val="clear" w:color="000000" w:fill="FFFFFF"/>
            <w:noWrap/>
            <w:vAlign w:val="center"/>
            <w:hideMark/>
          </w:tcPr>
          <w:p w14:paraId="051FF853"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3686418C"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578D76F1" w14:textId="111724DD" w:rsidR="007A1F65" w:rsidRPr="009E3947" w:rsidRDefault="002B1734" w:rsidP="008A6720">
            <w:pPr>
              <w:ind w:left="0" w:firstLine="0"/>
              <w:jc w:val="right"/>
              <w:rPr>
                <w:rFonts w:asciiTheme="minorHAnsi" w:eastAsia="Times New Roman" w:hAnsiTheme="minorHAnsi" w:cstheme="minorHAnsi"/>
                <w:sz w:val="20"/>
                <w:szCs w:val="20"/>
              </w:rPr>
            </w:pPr>
            <w:r w:rsidRPr="009E3947">
              <w:rPr>
                <w:sz w:val="20"/>
                <w:szCs w:val="20"/>
              </w:rPr>
              <w:t>211</w:t>
            </w:r>
          </w:p>
        </w:tc>
      </w:tr>
      <w:tr w:rsidR="007A1F65" w:rsidRPr="009E3947" w14:paraId="4002A71D" w14:textId="77777777" w:rsidTr="008A6720">
        <w:trPr>
          <w:trHeight w:val="312"/>
        </w:trPr>
        <w:tc>
          <w:tcPr>
            <w:tcW w:w="5954" w:type="dxa"/>
            <w:tcBorders>
              <w:top w:val="nil"/>
              <w:left w:val="nil"/>
              <w:bottom w:val="nil"/>
              <w:right w:val="nil"/>
            </w:tcBorders>
            <w:shd w:val="clear" w:color="000000" w:fill="FFFFFF"/>
            <w:noWrap/>
            <w:vAlign w:val="center"/>
            <w:hideMark/>
          </w:tcPr>
          <w:p w14:paraId="7BA1EDC3"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del pasivo correspondiente a vacaciones y repatriación del personal</w:t>
            </w:r>
          </w:p>
        </w:tc>
        <w:tc>
          <w:tcPr>
            <w:tcW w:w="1400" w:type="dxa"/>
            <w:tcBorders>
              <w:top w:val="nil"/>
              <w:left w:val="nil"/>
              <w:bottom w:val="nil"/>
              <w:right w:val="nil"/>
            </w:tcBorders>
            <w:shd w:val="clear" w:color="000000" w:fill="FFFFFF"/>
            <w:noWrap/>
            <w:hideMark/>
          </w:tcPr>
          <w:p w14:paraId="0E2B3A4B" w14:textId="3FEDED67" w:rsidR="007A1F65" w:rsidRPr="009E3947" w:rsidRDefault="000011E8" w:rsidP="008A6720">
            <w:pPr>
              <w:ind w:left="0" w:firstLine="0"/>
              <w:jc w:val="right"/>
              <w:rPr>
                <w:rFonts w:asciiTheme="minorHAnsi" w:eastAsia="Times New Roman" w:hAnsiTheme="minorHAnsi" w:cstheme="minorHAnsi"/>
                <w:sz w:val="20"/>
                <w:szCs w:val="20"/>
              </w:rPr>
            </w:pPr>
            <w:r w:rsidRPr="009E3947">
              <w:rPr>
                <w:sz w:val="20"/>
                <w:szCs w:val="20"/>
              </w:rPr>
              <w:t>(23)</w:t>
            </w:r>
          </w:p>
        </w:tc>
        <w:tc>
          <w:tcPr>
            <w:tcW w:w="262" w:type="dxa"/>
            <w:tcBorders>
              <w:top w:val="nil"/>
              <w:left w:val="nil"/>
              <w:bottom w:val="nil"/>
              <w:right w:val="nil"/>
            </w:tcBorders>
            <w:shd w:val="clear" w:color="000000" w:fill="FFFFFF"/>
            <w:noWrap/>
            <w:vAlign w:val="center"/>
            <w:hideMark/>
          </w:tcPr>
          <w:p w14:paraId="2B680AD1"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5173B6E9"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5F3CF151" w14:textId="25B96E53" w:rsidR="007A1F65" w:rsidRPr="009E3947" w:rsidRDefault="002B1734" w:rsidP="008A6720">
            <w:pPr>
              <w:ind w:left="0" w:firstLine="0"/>
              <w:jc w:val="right"/>
              <w:rPr>
                <w:rFonts w:asciiTheme="minorHAnsi" w:eastAsia="Times New Roman" w:hAnsiTheme="minorHAnsi" w:cstheme="minorHAnsi"/>
                <w:sz w:val="20"/>
                <w:szCs w:val="20"/>
              </w:rPr>
            </w:pPr>
            <w:r w:rsidRPr="009E3947">
              <w:rPr>
                <w:sz w:val="20"/>
                <w:szCs w:val="20"/>
              </w:rPr>
              <w:t>30</w:t>
            </w:r>
          </w:p>
        </w:tc>
      </w:tr>
      <w:tr w:rsidR="007A1F65" w:rsidRPr="009E3947" w14:paraId="1BF2C45B" w14:textId="77777777" w:rsidTr="008A6720">
        <w:trPr>
          <w:trHeight w:val="312"/>
        </w:trPr>
        <w:tc>
          <w:tcPr>
            <w:tcW w:w="5954" w:type="dxa"/>
            <w:tcBorders>
              <w:top w:val="nil"/>
              <w:left w:val="nil"/>
              <w:bottom w:val="nil"/>
              <w:right w:val="nil"/>
            </w:tcBorders>
            <w:shd w:val="clear" w:color="000000" w:fill="FFFFFF"/>
            <w:noWrap/>
            <w:vAlign w:val="center"/>
            <w:hideMark/>
          </w:tcPr>
          <w:p w14:paraId="40D1D296"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la provisión para la separación del personal</w:t>
            </w:r>
          </w:p>
        </w:tc>
        <w:tc>
          <w:tcPr>
            <w:tcW w:w="1400" w:type="dxa"/>
            <w:tcBorders>
              <w:top w:val="nil"/>
              <w:left w:val="nil"/>
              <w:bottom w:val="nil"/>
              <w:right w:val="nil"/>
            </w:tcBorders>
            <w:shd w:val="clear" w:color="000000" w:fill="FFFFFF"/>
            <w:noWrap/>
            <w:hideMark/>
          </w:tcPr>
          <w:p w14:paraId="4C88902B" w14:textId="55CA1AD3" w:rsidR="007A1F65" w:rsidRPr="009E3947" w:rsidRDefault="000011E8" w:rsidP="008A6720">
            <w:pPr>
              <w:ind w:left="0" w:firstLine="0"/>
              <w:jc w:val="right"/>
              <w:rPr>
                <w:rFonts w:asciiTheme="minorHAnsi" w:eastAsia="Times New Roman" w:hAnsiTheme="minorHAnsi" w:cstheme="minorHAnsi"/>
                <w:sz w:val="20"/>
                <w:szCs w:val="20"/>
              </w:rPr>
            </w:pPr>
            <w:r w:rsidRPr="009E3947">
              <w:rPr>
                <w:sz w:val="20"/>
                <w:szCs w:val="20"/>
              </w:rPr>
              <w:t>27</w:t>
            </w:r>
          </w:p>
        </w:tc>
        <w:tc>
          <w:tcPr>
            <w:tcW w:w="262" w:type="dxa"/>
            <w:tcBorders>
              <w:top w:val="nil"/>
              <w:left w:val="nil"/>
              <w:bottom w:val="nil"/>
              <w:right w:val="nil"/>
            </w:tcBorders>
            <w:shd w:val="clear" w:color="000000" w:fill="FFFFFF"/>
            <w:noWrap/>
            <w:vAlign w:val="center"/>
            <w:hideMark/>
          </w:tcPr>
          <w:p w14:paraId="2E0FACFF"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2A6C7147"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1D4284F1" w14:textId="45740517" w:rsidR="007A1F65" w:rsidRPr="009E3947" w:rsidRDefault="002B1734" w:rsidP="008A6720">
            <w:pPr>
              <w:ind w:left="0" w:firstLine="0"/>
              <w:jc w:val="right"/>
              <w:rPr>
                <w:rFonts w:asciiTheme="minorHAnsi" w:eastAsia="Times New Roman" w:hAnsiTheme="minorHAnsi" w:cstheme="minorHAnsi"/>
                <w:sz w:val="20"/>
                <w:szCs w:val="20"/>
              </w:rPr>
            </w:pPr>
            <w:r w:rsidRPr="009E3947">
              <w:rPr>
                <w:sz w:val="20"/>
                <w:szCs w:val="20"/>
              </w:rPr>
              <w:t>17</w:t>
            </w:r>
          </w:p>
        </w:tc>
      </w:tr>
      <w:tr w:rsidR="007A1F65" w:rsidRPr="009E3947" w14:paraId="4386348A" w14:textId="77777777" w:rsidTr="008A6720">
        <w:trPr>
          <w:trHeight w:val="312"/>
        </w:trPr>
        <w:tc>
          <w:tcPr>
            <w:tcW w:w="5954" w:type="dxa"/>
            <w:tcBorders>
              <w:top w:val="nil"/>
              <w:left w:val="nil"/>
              <w:bottom w:val="nil"/>
              <w:right w:val="nil"/>
            </w:tcBorders>
            <w:shd w:val="clear" w:color="000000" w:fill="FFFFFF"/>
            <w:noWrap/>
            <w:vAlign w:val="center"/>
            <w:hideMark/>
          </w:tcPr>
          <w:p w14:paraId="4B639061"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las contribuciones de los miembros por cobrar (importe bruto)</w:t>
            </w:r>
          </w:p>
        </w:tc>
        <w:tc>
          <w:tcPr>
            <w:tcW w:w="1400" w:type="dxa"/>
            <w:tcBorders>
              <w:top w:val="nil"/>
              <w:left w:val="nil"/>
              <w:bottom w:val="nil"/>
              <w:right w:val="nil"/>
            </w:tcBorders>
            <w:shd w:val="clear" w:color="000000" w:fill="FFFFFF"/>
            <w:noWrap/>
            <w:hideMark/>
          </w:tcPr>
          <w:p w14:paraId="45A6B15B" w14:textId="0EF4278A"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(263)</w:t>
            </w:r>
          </w:p>
        </w:tc>
        <w:tc>
          <w:tcPr>
            <w:tcW w:w="262" w:type="dxa"/>
            <w:tcBorders>
              <w:top w:val="nil"/>
              <w:left w:val="nil"/>
              <w:bottom w:val="nil"/>
              <w:right w:val="nil"/>
            </w:tcBorders>
            <w:shd w:val="clear" w:color="000000" w:fill="FFFFFF"/>
            <w:noWrap/>
            <w:vAlign w:val="center"/>
            <w:hideMark/>
          </w:tcPr>
          <w:p w14:paraId="26EEBAEA"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2F856818"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2BF72654" w14:textId="479D86FD"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(42)</w:t>
            </w:r>
          </w:p>
        </w:tc>
      </w:tr>
      <w:tr w:rsidR="007A1F65" w:rsidRPr="009E3947" w14:paraId="4441C65D" w14:textId="77777777" w:rsidTr="008A6720">
        <w:trPr>
          <w:trHeight w:val="288"/>
        </w:trPr>
        <w:tc>
          <w:tcPr>
            <w:tcW w:w="5954" w:type="dxa"/>
            <w:tcBorders>
              <w:top w:val="nil"/>
              <w:left w:val="nil"/>
              <w:bottom w:val="nil"/>
              <w:right w:val="nil"/>
            </w:tcBorders>
            <w:shd w:val="clear" w:color="000000" w:fill="FFFFFF"/>
            <w:noWrap/>
            <w:vAlign w:val="center"/>
            <w:hideMark/>
          </w:tcPr>
          <w:p w14:paraId="0E9A6BAD"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las asociaciones de colaboración acreedoras</w:t>
            </w:r>
          </w:p>
        </w:tc>
        <w:tc>
          <w:tcPr>
            <w:tcW w:w="1400" w:type="dxa"/>
            <w:tcBorders>
              <w:top w:val="nil"/>
              <w:left w:val="nil"/>
              <w:bottom w:val="nil"/>
              <w:right w:val="nil"/>
            </w:tcBorders>
            <w:shd w:val="clear" w:color="000000" w:fill="FFFFFF"/>
            <w:noWrap/>
            <w:hideMark/>
          </w:tcPr>
          <w:p w14:paraId="552181A5" w14:textId="0150780C" w:rsidR="007A1F65" w:rsidRPr="009E3947" w:rsidRDefault="000011E8" w:rsidP="008A6720">
            <w:pPr>
              <w:ind w:left="0" w:firstLine="0"/>
              <w:jc w:val="right"/>
              <w:rPr>
                <w:rFonts w:asciiTheme="minorHAnsi" w:eastAsia="Times New Roman" w:hAnsiTheme="minorHAnsi" w:cstheme="minorHAnsi"/>
                <w:sz w:val="20"/>
                <w:szCs w:val="20"/>
              </w:rPr>
            </w:pPr>
            <w:r w:rsidRPr="009E3947">
              <w:rPr>
                <w:sz w:val="20"/>
                <w:szCs w:val="20"/>
              </w:rPr>
              <w:t>(94)</w:t>
            </w:r>
          </w:p>
        </w:tc>
        <w:tc>
          <w:tcPr>
            <w:tcW w:w="262" w:type="dxa"/>
            <w:tcBorders>
              <w:top w:val="nil"/>
              <w:left w:val="nil"/>
              <w:bottom w:val="nil"/>
              <w:right w:val="nil"/>
            </w:tcBorders>
            <w:shd w:val="clear" w:color="000000" w:fill="FFFFFF"/>
            <w:noWrap/>
            <w:vAlign w:val="center"/>
            <w:hideMark/>
          </w:tcPr>
          <w:p w14:paraId="017780D2"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60959EA7"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66F44682" w14:textId="071A1990" w:rsidR="007A1F65" w:rsidRPr="009E3947" w:rsidRDefault="002B1734" w:rsidP="008A6720">
            <w:pPr>
              <w:ind w:left="0" w:firstLine="0"/>
              <w:jc w:val="right"/>
              <w:rPr>
                <w:rFonts w:asciiTheme="minorHAnsi" w:eastAsia="Times New Roman" w:hAnsiTheme="minorHAnsi" w:cstheme="minorHAnsi"/>
                <w:sz w:val="20"/>
                <w:szCs w:val="20"/>
              </w:rPr>
            </w:pPr>
            <w:r w:rsidRPr="009E3947">
              <w:rPr>
                <w:sz w:val="20"/>
                <w:szCs w:val="20"/>
              </w:rPr>
              <w:t>335</w:t>
            </w:r>
          </w:p>
        </w:tc>
      </w:tr>
      <w:tr w:rsidR="007A1F65" w:rsidRPr="009E3947" w14:paraId="5022EBDA" w14:textId="77777777" w:rsidTr="008A6720">
        <w:trPr>
          <w:trHeight w:val="288"/>
        </w:trPr>
        <w:tc>
          <w:tcPr>
            <w:tcW w:w="5954" w:type="dxa"/>
            <w:tcBorders>
              <w:top w:val="nil"/>
              <w:left w:val="nil"/>
              <w:bottom w:val="nil"/>
              <w:right w:val="nil"/>
            </w:tcBorders>
            <w:shd w:val="clear" w:color="000000" w:fill="FFFFFF"/>
            <w:noWrap/>
            <w:vAlign w:val="center"/>
            <w:hideMark/>
          </w:tcPr>
          <w:p w14:paraId="2A63AF29"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otras cuentas por cobrar</w:t>
            </w:r>
          </w:p>
        </w:tc>
        <w:tc>
          <w:tcPr>
            <w:tcW w:w="1400" w:type="dxa"/>
            <w:tcBorders>
              <w:top w:val="nil"/>
              <w:left w:val="nil"/>
              <w:bottom w:val="nil"/>
              <w:right w:val="nil"/>
            </w:tcBorders>
            <w:shd w:val="clear" w:color="000000" w:fill="FFFFFF"/>
            <w:noWrap/>
            <w:hideMark/>
          </w:tcPr>
          <w:p w14:paraId="4D437569" w14:textId="0F535B72"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(233)</w:t>
            </w:r>
          </w:p>
        </w:tc>
        <w:tc>
          <w:tcPr>
            <w:tcW w:w="262" w:type="dxa"/>
            <w:tcBorders>
              <w:top w:val="nil"/>
              <w:left w:val="nil"/>
              <w:bottom w:val="nil"/>
              <w:right w:val="nil"/>
            </w:tcBorders>
            <w:shd w:val="clear" w:color="000000" w:fill="FFFFFF"/>
            <w:noWrap/>
            <w:vAlign w:val="center"/>
            <w:hideMark/>
          </w:tcPr>
          <w:p w14:paraId="2FFC1BDB"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75C56ACF"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319F87A1" w14:textId="0BE7D0E3"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(11)</w:t>
            </w:r>
          </w:p>
        </w:tc>
      </w:tr>
      <w:tr w:rsidR="007A1F65" w:rsidRPr="009E3947" w14:paraId="30A798EF" w14:textId="77777777" w:rsidTr="008A6720">
        <w:trPr>
          <w:trHeight w:val="288"/>
        </w:trPr>
        <w:tc>
          <w:tcPr>
            <w:tcW w:w="5954" w:type="dxa"/>
            <w:tcBorders>
              <w:top w:val="nil"/>
              <w:left w:val="nil"/>
              <w:bottom w:val="nil"/>
              <w:right w:val="nil"/>
            </w:tcBorders>
            <w:shd w:val="clear" w:color="000000" w:fill="FFFFFF"/>
            <w:noWrap/>
            <w:vAlign w:val="center"/>
            <w:hideMark/>
          </w:tcPr>
          <w:p w14:paraId="66BEE528"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las contribuciones de los miembros pagadas con antelación</w:t>
            </w:r>
          </w:p>
        </w:tc>
        <w:tc>
          <w:tcPr>
            <w:tcW w:w="1400" w:type="dxa"/>
            <w:tcBorders>
              <w:top w:val="nil"/>
              <w:left w:val="nil"/>
              <w:bottom w:val="nil"/>
              <w:right w:val="nil"/>
            </w:tcBorders>
            <w:shd w:val="clear" w:color="000000" w:fill="FFFFFF"/>
            <w:noWrap/>
            <w:hideMark/>
          </w:tcPr>
          <w:p w14:paraId="446A1D00" w14:textId="57455397" w:rsidR="007A1F65" w:rsidRPr="009E3947" w:rsidRDefault="000011E8" w:rsidP="008A6720">
            <w:pPr>
              <w:ind w:left="0" w:firstLine="0"/>
              <w:jc w:val="right"/>
              <w:rPr>
                <w:rFonts w:asciiTheme="minorHAnsi" w:eastAsia="Times New Roman" w:hAnsiTheme="minorHAnsi" w:cstheme="minorHAnsi"/>
                <w:sz w:val="20"/>
                <w:szCs w:val="20"/>
              </w:rPr>
            </w:pPr>
            <w:r w:rsidRPr="009E3947">
              <w:rPr>
                <w:sz w:val="20"/>
                <w:szCs w:val="20"/>
              </w:rPr>
              <w:t>4</w:t>
            </w:r>
          </w:p>
        </w:tc>
        <w:tc>
          <w:tcPr>
            <w:tcW w:w="262" w:type="dxa"/>
            <w:tcBorders>
              <w:top w:val="nil"/>
              <w:left w:val="nil"/>
              <w:bottom w:val="nil"/>
              <w:right w:val="nil"/>
            </w:tcBorders>
            <w:shd w:val="clear" w:color="000000" w:fill="FFFFFF"/>
            <w:noWrap/>
            <w:vAlign w:val="center"/>
            <w:hideMark/>
          </w:tcPr>
          <w:p w14:paraId="35E7714D"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0AF26AD2"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10F8B795" w14:textId="19A4B61D"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(66)</w:t>
            </w:r>
          </w:p>
        </w:tc>
      </w:tr>
      <w:tr w:rsidR="007A1F65" w:rsidRPr="009E3947" w14:paraId="2AFB6769" w14:textId="77777777" w:rsidTr="008A6720">
        <w:trPr>
          <w:trHeight w:val="288"/>
        </w:trPr>
        <w:tc>
          <w:tcPr>
            <w:tcW w:w="5954" w:type="dxa"/>
            <w:tcBorders>
              <w:top w:val="nil"/>
              <w:left w:val="nil"/>
              <w:bottom w:val="nil"/>
              <w:right w:val="nil"/>
            </w:tcBorders>
            <w:shd w:val="clear" w:color="000000" w:fill="FFFFFF"/>
            <w:noWrap/>
            <w:vAlign w:val="center"/>
            <w:hideMark/>
          </w:tcPr>
          <w:p w14:paraId="28A2DF71"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las cuentas por pagar y pasivos acumulados</w:t>
            </w:r>
          </w:p>
        </w:tc>
        <w:tc>
          <w:tcPr>
            <w:tcW w:w="1400" w:type="dxa"/>
            <w:tcBorders>
              <w:top w:val="nil"/>
              <w:left w:val="nil"/>
              <w:bottom w:val="nil"/>
              <w:right w:val="nil"/>
            </w:tcBorders>
            <w:shd w:val="clear" w:color="000000" w:fill="FFFFFF"/>
            <w:noWrap/>
            <w:hideMark/>
          </w:tcPr>
          <w:p w14:paraId="0B62CAFF" w14:textId="5EEB480E" w:rsidR="007A1F65" w:rsidRPr="009E3947" w:rsidRDefault="000011E8" w:rsidP="008A6720">
            <w:pPr>
              <w:ind w:left="0" w:firstLine="0"/>
              <w:jc w:val="right"/>
              <w:rPr>
                <w:rFonts w:asciiTheme="minorHAnsi" w:eastAsia="Times New Roman" w:hAnsiTheme="minorHAnsi" w:cstheme="minorHAnsi"/>
                <w:sz w:val="20"/>
                <w:szCs w:val="20"/>
              </w:rPr>
            </w:pPr>
            <w:r w:rsidRPr="009E3947">
              <w:rPr>
                <w:sz w:val="20"/>
                <w:szCs w:val="20"/>
              </w:rPr>
              <w:t>97</w:t>
            </w:r>
          </w:p>
        </w:tc>
        <w:tc>
          <w:tcPr>
            <w:tcW w:w="262" w:type="dxa"/>
            <w:tcBorders>
              <w:top w:val="nil"/>
              <w:left w:val="nil"/>
              <w:bottom w:val="nil"/>
              <w:right w:val="nil"/>
            </w:tcBorders>
            <w:shd w:val="clear" w:color="000000" w:fill="FFFFFF"/>
            <w:noWrap/>
            <w:vAlign w:val="center"/>
            <w:hideMark/>
          </w:tcPr>
          <w:p w14:paraId="68123D0D"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1EBD0034"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53BD949F" w14:textId="033832E8"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(48)</w:t>
            </w:r>
          </w:p>
        </w:tc>
      </w:tr>
      <w:tr w:rsidR="007A1F65" w:rsidRPr="009E3947" w14:paraId="04AA2B48" w14:textId="77777777" w:rsidTr="008A6720">
        <w:trPr>
          <w:trHeight w:val="288"/>
        </w:trPr>
        <w:tc>
          <w:tcPr>
            <w:tcW w:w="5954" w:type="dxa"/>
            <w:tcBorders>
              <w:top w:val="nil"/>
              <w:left w:val="nil"/>
              <w:bottom w:val="nil"/>
              <w:right w:val="nil"/>
            </w:tcBorders>
            <w:shd w:val="clear" w:color="000000" w:fill="FFFFFF"/>
            <w:noWrap/>
            <w:vAlign w:val="center"/>
            <w:hideMark/>
          </w:tcPr>
          <w:p w14:paraId="09BB0436" w14:textId="77777777" w:rsidR="007A1F65" w:rsidRPr="009E3947" w:rsidRDefault="007A1F65" w:rsidP="008A6720">
            <w:pPr>
              <w:ind w:left="173" w:firstLine="0"/>
              <w:rPr>
                <w:rFonts w:asciiTheme="minorHAnsi" w:eastAsia="Times New Roman" w:hAnsiTheme="minorHAnsi" w:cstheme="minorHAnsi"/>
                <w:sz w:val="20"/>
                <w:szCs w:val="20"/>
              </w:rPr>
            </w:pPr>
            <w:r w:rsidRPr="009E3947">
              <w:rPr>
                <w:rFonts w:asciiTheme="minorHAnsi" w:hAnsiTheme="minorHAnsi"/>
                <w:sz w:val="20"/>
                <w:szCs w:val="20"/>
              </w:rPr>
              <w:t>Incremento / (disminución) de las cargas sociales por pagar</w:t>
            </w:r>
          </w:p>
        </w:tc>
        <w:tc>
          <w:tcPr>
            <w:tcW w:w="1400" w:type="dxa"/>
            <w:tcBorders>
              <w:top w:val="nil"/>
              <w:left w:val="nil"/>
              <w:bottom w:val="nil"/>
              <w:right w:val="nil"/>
            </w:tcBorders>
            <w:shd w:val="clear" w:color="000000" w:fill="FFFFFF"/>
            <w:noWrap/>
            <w:hideMark/>
          </w:tcPr>
          <w:p w14:paraId="669D2FA8" w14:textId="1E059E63" w:rsidR="007A1F65" w:rsidRPr="009E3947" w:rsidRDefault="000011E8" w:rsidP="008A6720">
            <w:pPr>
              <w:ind w:left="0" w:firstLine="0"/>
              <w:jc w:val="right"/>
              <w:rPr>
                <w:rFonts w:asciiTheme="minorHAnsi" w:eastAsia="Times New Roman" w:hAnsiTheme="minorHAnsi" w:cstheme="minorHAnsi"/>
                <w:sz w:val="20"/>
                <w:szCs w:val="20"/>
              </w:rPr>
            </w:pPr>
            <w:r w:rsidRPr="009E3947">
              <w:rPr>
                <w:sz w:val="20"/>
                <w:szCs w:val="20"/>
              </w:rPr>
              <w:t>26</w:t>
            </w:r>
          </w:p>
        </w:tc>
        <w:tc>
          <w:tcPr>
            <w:tcW w:w="262" w:type="dxa"/>
            <w:tcBorders>
              <w:top w:val="nil"/>
              <w:left w:val="nil"/>
              <w:bottom w:val="nil"/>
              <w:right w:val="nil"/>
            </w:tcBorders>
            <w:shd w:val="clear" w:color="000000" w:fill="FFFFFF"/>
            <w:noWrap/>
            <w:vAlign w:val="center"/>
            <w:hideMark/>
          </w:tcPr>
          <w:p w14:paraId="373A2808"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4D1E993E"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29E9AD4D" w14:textId="589A06F8"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(22)</w:t>
            </w:r>
          </w:p>
        </w:tc>
      </w:tr>
      <w:tr w:rsidR="007A1F65" w:rsidRPr="009E3947" w14:paraId="48F4546A" w14:textId="77777777" w:rsidTr="008A6720">
        <w:trPr>
          <w:trHeight w:val="288"/>
        </w:trPr>
        <w:tc>
          <w:tcPr>
            <w:tcW w:w="5954" w:type="dxa"/>
            <w:tcBorders>
              <w:top w:val="nil"/>
              <w:left w:val="nil"/>
              <w:bottom w:val="nil"/>
              <w:right w:val="nil"/>
            </w:tcBorders>
            <w:shd w:val="clear" w:color="000000" w:fill="FFFFFF"/>
            <w:noWrap/>
            <w:vAlign w:val="center"/>
            <w:hideMark/>
          </w:tcPr>
          <w:p w14:paraId="0F4B2780"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400" w:type="dxa"/>
            <w:tcBorders>
              <w:top w:val="nil"/>
              <w:left w:val="nil"/>
              <w:bottom w:val="nil"/>
              <w:right w:val="nil"/>
            </w:tcBorders>
            <w:shd w:val="clear" w:color="000000" w:fill="FFFFFF"/>
            <w:noWrap/>
            <w:vAlign w:val="center"/>
            <w:hideMark/>
          </w:tcPr>
          <w:p w14:paraId="513711C5"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48B19C37"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60C2C82A"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hideMark/>
          </w:tcPr>
          <w:p w14:paraId="2B85D976" w14:textId="77777777" w:rsidR="007A1F65" w:rsidRPr="009E3947" w:rsidRDefault="007A1F65" w:rsidP="008A6720">
            <w:pPr>
              <w:ind w:left="0" w:firstLine="0"/>
              <w:rPr>
                <w:rFonts w:asciiTheme="minorHAnsi" w:eastAsia="Times New Roman" w:hAnsiTheme="minorHAnsi" w:cstheme="minorHAnsi"/>
                <w:sz w:val="20"/>
                <w:szCs w:val="20"/>
              </w:rPr>
            </w:pPr>
            <w:r w:rsidRPr="009E3947">
              <w:rPr>
                <w:sz w:val="20"/>
                <w:szCs w:val="20"/>
              </w:rPr>
              <w:t xml:space="preserve"> </w:t>
            </w:r>
          </w:p>
        </w:tc>
      </w:tr>
      <w:tr w:rsidR="007A1F65" w:rsidRPr="009E3947" w14:paraId="24CF2BC5" w14:textId="77777777" w:rsidTr="008A6720">
        <w:trPr>
          <w:trHeight w:val="492"/>
        </w:trPr>
        <w:tc>
          <w:tcPr>
            <w:tcW w:w="5954" w:type="dxa"/>
            <w:tcBorders>
              <w:top w:val="nil"/>
              <w:left w:val="nil"/>
              <w:bottom w:val="nil"/>
              <w:right w:val="nil"/>
            </w:tcBorders>
            <w:shd w:val="clear" w:color="000000" w:fill="FFFFFF"/>
            <w:noWrap/>
            <w:vAlign w:val="center"/>
            <w:hideMark/>
          </w:tcPr>
          <w:p w14:paraId="60574A76"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Total, Flujos de tesorería operativos</w:t>
            </w:r>
          </w:p>
        </w:tc>
        <w:tc>
          <w:tcPr>
            <w:tcW w:w="1400" w:type="dxa"/>
            <w:tcBorders>
              <w:top w:val="single" w:sz="4" w:space="0" w:color="auto"/>
              <w:left w:val="nil"/>
              <w:bottom w:val="nil"/>
              <w:right w:val="nil"/>
            </w:tcBorders>
            <w:shd w:val="clear" w:color="000000" w:fill="FFFFFF"/>
            <w:noWrap/>
            <w:vAlign w:val="center"/>
            <w:hideMark/>
          </w:tcPr>
          <w:p w14:paraId="0FD0768C" w14:textId="280A421E" w:rsidR="007A1F65" w:rsidRPr="009E3947" w:rsidRDefault="000011E8" w:rsidP="008A6720">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86</w:t>
            </w:r>
          </w:p>
        </w:tc>
        <w:tc>
          <w:tcPr>
            <w:tcW w:w="262" w:type="dxa"/>
            <w:tcBorders>
              <w:top w:val="single" w:sz="4" w:space="0" w:color="auto"/>
              <w:left w:val="nil"/>
              <w:bottom w:val="nil"/>
              <w:right w:val="nil"/>
            </w:tcBorders>
            <w:shd w:val="clear" w:color="000000" w:fill="FFFFFF"/>
            <w:noWrap/>
            <w:vAlign w:val="center"/>
            <w:hideMark/>
          </w:tcPr>
          <w:p w14:paraId="4B609EFE"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284" w:type="dxa"/>
            <w:tcBorders>
              <w:top w:val="single" w:sz="4" w:space="0" w:color="auto"/>
              <w:left w:val="nil"/>
              <w:bottom w:val="nil"/>
              <w:right w:val="nil"/>
            </w:tcBorders>
            <w:shd w:val="clear" w:color="000000" w:fill="D9D9D9"/>
            <w:noWrap/>
            <w:vAlign w:val="center"/>
            <w:hideMark/>
          </w:tcPr>
          <w:p w14:paraId="54C050B6"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881" w:type="dxa"/>
            <w:tcBorders>
              <w:top w:val="single" w:sz="4" w:space="0" w:color="auto"/>
              <w:left w:val="nil"/>
              <w:bottom w:val="nil"/>
              <w:right w:val="nil"/>
            </w:tcBorders>
            <w:shd w:val="clear" w:color="000000" w:fill="FFFFFF"/>
            <w:noWrap/>
            <w:vAlign w:val="center"/>
            <w:hideMark/>
          </w:tcPr>
          <w:p w14:paraId="70E5392B" w14:textId="2C975390" w:rsidR="007A1F65" w:rsidRPr="009E3947" w:rsidRDefault="002B1734" w:rsidP="008A6720">
            <w:pPr>
              <w:ind w:left="0" w:firstLine="0"/>
              <w:jc w:val="right"/>
              <w:rPr>
                <w:rFonts w:asciiTheme="minorHAnsi" w:eastAsia="Times New Roman" w:hAnsiTheme="minorHAnsi" w:cstheme="minorHAnsi"/>
                <w:b/>
                <w:bCs/>
                <w:sz w:val="20"/>
                <w:szCs w:val="20"/>
              </w:rPr>
            </w:pPr>
            <w:r w:rsidRPr="009E3947">
              <w:rPr>
                <w:b/>
                <w:sz w:val="20"/>
                <w:szCs w:val="20"/>
              </w:rPr>
              <w:t>802</w:t>
            </w:r>
          </w:p>
        </w:tc>
      </w:tr>
      <w:tr w:rsidR="007A1F65" w:rsidRPr="009E3947" w14:paraId="66F80FF3" w14:textId="77777777" w:rsidTr="008A6720">
        <w:trPr>
          <w:trHeight w:val="288"/>
        </w:trPr>
        <w:tc>
          <w:tcPr>
            <w:tcW w:w="5954" w:type="dxa"/>
            <w:tcBorders>
              <w:top w:val="nil"/>
              <w:left w:val="nil"/>
              <w:bottom w:val="nil"/>
              <w:right w:val="nil"/>
            </w:tcBorders>
            <w:shd w:val="clear" w:color="000000" w:fill="FFFFFF"/>
            <w:noWrap/>
            <w:vAlign w:val="center"/>
            <w:hideMark/>
          </w:tcPr>
          <w:p w14:paraId="3ACEF5DD"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400" w:type="dxa"/>
            <w:tcBorders>
              <w:top w:val="nil"/>
              <w:left w:val="nil"/>
              <w:bottom w:val="nil"/>
              <w:right w:val="nil"/>
            </w:tcBorders>
            <w:shd w:val="clear" w:color="000000" w:fill="FFFFFF"/>
            <w:noWrap/>
            <w:vAlign w:val="center"/>
            <w:hideMark/>
          </w:tcPr>
          <w:p w14:paraId="30BAFC33"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1069ECFF"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4AB5BC84"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390DF18A" w14:textId="77777777"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 xml:space="preserve"> </w:t>
            </w:r>
          </w:p>
        </w:tc>
      </w:tr>
      <w:tr w:rsidR="007A1F65" w:rsidRPr="009E3947" w14:paraId="544C841A" w14:textId="77777777" w:rsidTr="008A6720">
        <w:trPr>
          <w:trHeight w:val="288"/>
        </w:trPr>
        <w:tc>
          <w:tcPr>
            <w:tcW w:w="5954" w:type="dxa"/>
            <w:tcBorders>
              <w:top w:val="nil"/>
              <w:left w:val="nil"/>
              <w:bottom w:val="nil"/>
              <w:right w:val="nil"/>
            </w:tcBorders>
            <w:shd w:val="clear" w:color="000000" w:fill="FFFFFF"/>
            <w:noWrap/>
            <w:vAlign w:val="center"/>
            <w:hideMark/>
          </w:tcPr>
          <w:p w14:paraId="5588CECB"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Flujos de tesorería de las actividades de inversión</w:t>
            </w:r>
          </w:p>
        </w:tc>
        <w:tc>
          <w:tcPr>
            <w:tcW w:w="1400" w:type="dxa"/>
            <w:tcBorders>
              <w:top w:val="nil"/>
              <w:left w:val="nil"/>
              <w:bottom w:val="nil"/>
              <w:right w:val="nil"/>
            </w:tcBorders>
            <w:shd w:val="clear" w:color="000000" w:fill="FFFFFF"/>
            <w:noWrap/>
            <w:vAlign w:val="center"/>
            <w:hideMark/>
          </w:tcPr>
          <w:p w14:paraId="7C7222B3"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41AA2EE1"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38D53F56"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67EB98A9" w14:textId="77777777"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 xml:space="preserve"> </w:t>
            </w:r>
          </w:p>
        </w:tc>
      </w:tr>
      <w:tr w:rsidR="007A1F65" w:rsidRPr="009E3947" w14:paraId="771AEABD" w14:textId="77777777" w:rsidTr="008A6720">
        <w:trPr>
          <w:trHeight w:val="312"/>
        </w:trPr>
        <w:tc>
          <w:tcPr>
            <w:tcW w:w="5954" w:type="dxa"/>
            <w:tcBorders>
              <w:top w:val="nil"/>
              <w:left w:val="nil"/>
              <w:bottom w:val="nil"/>
              <w:right w:val="nil"/>
            </w:tcBorders>
            <w:shd w:val="clear" w:color="000000" w:fill="FFFFFF"/>
            <w:noWrap/>
            <w:vAlign w:val="center"/>
            <w:hideMark/>
          </w:tcPr>
          <w:p w14:paraId="1674CB30" w14:textId="77777777" w:rsidR="007A1F65" w:rsidRPr="009E3947" w:rsidRDefault="007A1F65" w:rsidP="008A6720">
            <w:pPr>
              <w:ind w:left="173" w:firstLine="0"/>
              <w:rPr>
                <w:rFonts w:asciiTheme="minorHAnsi" w:eastAsia="Times New Roman" w:hAnsiTheme="minorHAnsi" w:cstheme="minorHAnsi"/>
                <w:color w:val="000000"/>
                <w:sz w:val="20"/>
                <w:szCs w:val="20"/>
              </w:rPr>
            </w:pPr>
            <w:r w:rsidRPr="009E3947">
              <w:rPr>
                <w:rFonts w:asciiTheme="minorHAnsi" w:hAnsiTheme="minorHAnsi"/>
                <w:sz w:val="20"/>
                <w:szCs w:val="20"/>
              </w:rPr>
              <w:t>Adquisición de activos fijos</w:t>
            </w:r>
          </w:p>
        </w:tc>
        <w:tc>
          <w:tcPr>
            <w:tcW w:w="1400" w:type="dxa"/>
            <w:tcBorders>
              <w:top w:val="nil"/>
              <w:left w:val="nil"/>
              <w:bottom w:val="nil"/>
              <w:right w:val="nil"/>
            </w:tcBorders>
            <w:shd w:val="clear" w:color="000000" w:fill="FFFFFF"/>
            <w:noWrap/>
            <w:vAlign w:val="center"/>
            <w:hideMark/>
          </w:tcPr>
          <w:p w14:paraId="19A3BFF0" w14:textId="446D8CE9" w:rsidR="007A1F65" w:rsidRPr="009E3947" w:rsidRDefault="007A1F65" w:rsidP="008A6720">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(7)</w:t>
            </w:r>
          </w:p>
        </w:tc>
        <w:tc>
          <w:tcPr>
            <w:tcW w:w="262" w:type="dxa"/>
            <w:tcBorders>
              <w:top w:val="nil"/>
              <w:left w:val="nil"/>
              <w:bottom w:val="nil"/>
              <w:right w:val="nil"/>
            </w:tcBorders>
            <w:shd w:val="clear" w:color="000000" w:fill="FFFFFF"/>
            <w:noWrap/>
            <w:vAlign w:val="center"/>
            <w:hideMark/>
          </w:tcPr>
          <w:p w14:paraId="3A072950"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3FC8B4B5"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11C96B02" w14:textId="39C39911"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(3)</w:t>
            </w:r>
          </w:p>
        </w:tc>
      </w:tr>
      <w:tr w:rsidR="007A1F65" w:rsidRPr="009E3947" w14:paraId="134CAC1D" w14:textId="77777777" w:rsidTr="008A6720">
        <w:trPr>
          <w:trHeight w:val="288"/>
        </w:trPr>
        <w:tc>
          <w:tcPr>
            <w:tcW w:w="5954" w:type="dxa"/>
            <w:tcBorders>
              <w:top w:val="nil"/>
              <w:left w:val="nil"/>
              <w:bottom w:val="nil"/>
              <w:right w:val="nil"/>
            </w:tcBorders>
            <w:shd w:val="clear" w:color="000000" w:fill="FFFFFF"/>
            <w:noWrap/>
            <w:vAlign w:val="center"/>
            <w:hideMark/>
          </w:tcPr>
          <w:p w14:paraId="5EAC4BA5"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400" w:type="dxa"/>
            <w:tcBorders>
              <w:top w:val="nil"/>
              <w:left w:val="nil"/>
              <w:bottom w:val="nil"/>
              <w:right w:val="nil"/>
            </w:tcBorders>
            <w:shd w:val="clear" w:color="000000" w:fill="FFFFFF"/>
            <w:noWrap/>
            <w:vAlign w:val="center"/>
            <w:hideMark/>
          </w:tcPr>
          <w:p w14:paraId="12DEE3DE"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0BD876D8"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0A5402FB"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540307BC" w14:textId="77777777"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 xml:space="preserve"> </w:t>
            </w:r>
          </w:p>
        </w:tc>
      </w:tr>
      <w:tr w:rsidR="007A1F65" w:rsidRPr="009E3947" w14:paraId="27E32C79" w14:textId="77777777" w:rsidTr="008A6720">
        <w:trPr>
          <w:trHeight w:val="480"/>
        </w:trPr>
        <w:tc>
          <w:tcPr>
            <w:tcW w:w="5954" w:type="dxa"/>
            <w:tcBorders>
              <w:top w:val="nil"/>
              <w:left w:val="nil"/>
              <w:bottom w:val="nil"/>
              <w:right w:val="nil"/>
            </w:tcBorders>
            <w:shd w:val="clear" w:color="000000" w:fill="FFFFFF"/>
            <w:noWrap/>
            <w:vAlign w:val="center"/>
            <w:hideMark/>
          </w:tcPr>
          <w:p w14:paraId="7F738ED3"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Total, Flujos de tesorería de las actividades de inversión</w:t>
            </w:r>
          </w:p>
        </w:tc>
        <w:tc>
          <w:tcPr>
            <w:tcW w:w="1400" w:type="dxa"/>
            <w:tcBorders>
              <w:top w:val="single" w:sz="4" w:space="0" w:color="auto"/>
              <w:left w:val="nil"/>
              <w:bottom w:val="nil"/>
              <w:right w:val="nil"/>
            </w:tcBorders>
            <w:shd w:val="clear" w:color="000000" w:fill="FFFFFF"/>
            <w:noWrap/>
            <w:vAlign w:val="center"/>
            <w:hideMark/>
          </w:tcPr>
          <w:p w14:paraId="0F3B40FF" w14:textId="1FD3F386" w:rsidR="007A1F65" w:rsidRPr="009E3947" w:rsidRDefault="007A1F65" w:rsidP="008A6720">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(7)</w:t>
            </w:r>
          </w:p>
        </w:tc>
        <w:tc>
          <w:tcPr>
            <w:tcW w:w="262" w:type="dxa"/>
            <w:tcBorders>
              <w:top w:val="single" w:sz="4" w:space="0" w:color="auto"/>
              <w:left w:val="nil"/>
              <w:bottom w:val="nil"/>
              <w:right w:val="nil"/>
            </w:tcBorders>
            <w:shd w:val="clear" w:color="000000" w:fill="FFFFFF"/>
            <w:noWrap/>
            <w:vAlign w:val="center"/>
            <w:hideMark/>
          </w:tcPr>
          <w:p w14:paraId="6F39325A"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284" w:type="dxa"/>
            <w:tcBorders>
              <w:top w:val="single" w:sz="4" w:space="0" w:color="auto"/>
              <w:left w:val="nil"/>
              <w:bottom w:val="nil"/>
              <w:right w:val="nil"/>
            </w:tcBorders>
            <w:shd w:val="clear" w:color="000000" w:fill="D9D9D9"/>
            <w:noWrap/>
            <w:vAlign w:val="center"/>
            <w:hideMark/>
          </w:tcPr>
          <w:p w14:paraId="004D9DFC"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881" w:type="dxa"/>
            <w:tcBorders>
              <w:top w:val="single" w:sz="4" w:space="0" w:color="auto"/>
              <w:left w:val="nil"/>
              <w:bottom w:val="nil"/>
              <w:right w:val="nil"/>
            </w:tcBorders>
            <w:shd w:val="clear" w:color="000000" w:fill="FFFFFF"/>
            <w:noWrap/>
            <w:vAlign w:val="center"/>
            <w:hideMark/>
          </w:tcPr>
          <w:p w14:paraId="3CB2869E" w14:textId="1C1139F3" w:rsidR="007A1F65" w:rsidRPr="009E3947" w:rsidRDefault="007A1F65" w:rsidP="008A6720">
            <w:pPr>
              <w:ind w:left="0" w:firstLine="0"/>
              <w:jc w:val="right"/>
              <w:rPr>
                <w:rFonts w:asciiTheme="minorHAnsi" w:eastAsia="Times New Roman" w:hAnsiTheme="minorHAnsi" w:cstheme="minorHAnsi"/>
                <w:b/>
                <w:bCs/>
                <w:sz w:val="20"/>
                <w:szCs w:val="20"/>
              </w:rPr>
            </w:pPr>
            <w:r w:rsidRPr="009E3947">
              <w:rPr>
                <w:b/>
                <w:sz w:val="20"/>
                <w:szCs w:val="20"/>
              </w:rPr>
              <w:t>(3)</w:t>
            </w:r>
          </w:p>
        </w:tc>
      </w:tr>
      <w:tr w:rsidR="007A1F65" w:rsidRPr="009E3947" w14:paraId="6B72910E" w14:textId="77777777" w:rsidTr="008A6720">
        <w:trPr>
          <w:trHeight w:val="288"/>
        </w:trPr>
        <w:tc>
          <w:tcPr>
            <w:tcW w:w="5954" w:type="dxa"/>
            <w:tcBorders>
              <w:top w:val="nil"/>
              <w:left w:val="nil"/>
              <w:bottom w:val="nil"/>
              <w:right w:val="nil"/>
            </w:tcBorders>
            <w:shd w:val="clear" w:color="000000" w:fill="FFFFFF"/>
            <w:noWrap/>
            <w:vAlign w:val="center"/>
            <w:hideMark/>
          </w:tcPr>
          <w:p w14:paraId="512DF459"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400" w:type="dxa"/>
            <w:tcBorders>
              <w:top w:val="nil"/>
              <w:left w:val="nil"/>
              <w:bottom w:val="nil"/>
              <w:right w:val="nil"/>
            </w:tcBorders>
            <w:shd w:val="clear" w:color="000000" w:fill="FFFFFF"/>
            <w:noWrap/>
            <w:vAlign w:val="center"/>
            <w:hideMark/>
          </w:tcPr>
          <w:p w14:paraId="6B03E4BA"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0F6AB114"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0B180956"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342ADD25" w14:textId="77777777"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 xml:space="preserve"> </w:t>
            </w:r>
          </w:p>
        </w:tc>
      </w:tr>
      <w:tr w:rsidR="007A1F65" w:rsidRPr="009E3947" w14:paraId="416BD10A" w14:textId="77777777" w:rsidTr="008A6720">
        <w:trPr>
          <w:trHeight w:val="480"/>
        </w:trPr>
        <w:tc>
          <w:tcPr>
            <w:tcW w:w="5954" w:type="dxa"/>
            <w:tcBorders>
              <w:top w:val="nil"/>
              <w:left w:val="nil"/>
              <w:bottom w:val="nil"/>
              <w:right w:val="nil"/>
            </w:tcBorders>
            <w:shd w:val="clear" w:color="000000" w:fill="FFFFFF"/>
            <w:noWrap/>
            <w:vAlign w:val="center"/>
            <w:hideMark/>
          </w:tcPr>
          <w:p w14:paraId="2533C444"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Entradas/(salidas) de tesorería netas</w:t>
            </w:r>
          </w:p>
        </w:tc>
        <w:tc>
          <w:tcPr>
            <w:tcW w:w="1400" w:type="dxa"/>
            <w:tcBorders>
              <w:top w:val="single" w:sz="4" w:space="0" w:color="auto"/>
              <w:left w:val="nil"/>
              <w:bottom w:val="single" w:sz="4" w:space="0" w:color="auto"/>
              <w:right w:val="nil"/>
            </w:tcBorders>
            <w:shd w:val="clear" w:color="000000" w:fill="FFFFFF"/>
            <w:noWrap/>
            <w:vAlign w:val="center"/>
            <w:hideMark/>
          </w:tcPr>
          <w:p w14:paraId="4DFD3A0C" w14:textId="5BE8EE66" w:rsidR="007A1F65" w:rsidRPr="009E3947" w:rsidRDefault="000011E8" w:rsidP="008A6720">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79</w:t>
            </w:r>
          </w:p>
        </w:tc>
        <w:tc>
          <w:tcPr>
            <w:tcW w:w="262" w:type="dxa"/>
            <w:tcBorders>
              <w:top w:val="single" w:sz="4" w:space="0" w:color="auto"/>
              <w:left w:val="nil"/>
              <w:bottom w:val="single" w:sz="4" w:space="0" w:color="auto"/>
              <w:right w:val="nil"/>
            </w:tcBorders>
            <w:shd w:val="clear" w:color="000000" w:fill="FFFFFF"/>
            <w:noWrap/>
            <w:vAlign w:val="center"/>
            <w:hideMark/>
          </w:tcPr>
          <w:p w14:paraId="06A8B3EE"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110B7593"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881" w:type="dxa"/>
            <w:tcBorders>
              <w:top w:val="single" w:sz="4" w:space="0" w:color="auto"/>
              <w:left w:val="nil"/>
              <w:bottom w:val="single" w:sz="4" w:space="0" w:color="auto"/>
              <w:right w:val="nil"/>
            </w:tcBorders>
            <w:shd w:val="clear" w:color="000000" w:fill="FFFFFF"/>
            <w:noWrap/>
            <w:vAlign w:val="center"/>
            <w:hideMark/>
          </w:tcPr>
          <w:p w14:paraId="7FAA4025" w14:textId="120EB811" w:rsidR="007A1F65" w:rsidRPr="009E3947" w:rsidRDefault="002B1734" w:rsidP="008A6720">
            <w:pPr>
              <w:ind w:left="0" w:firstLine="0"/>
              <w:jc w:val="right"/>
              <w:rPr>
                <w:rFonts w:asciiTheme="minorHAnsi" w:eastAsia="Times New Roman" w:hAnsiTheme="minorHAnsi" w:cstheme="minorHAnsi"/>
                <w:b/>
                <w:bCs/>
                <w:sz w:val="20"/>
                <w:szCs w:val="20"/>
              </w:rPr>
            </w:pPr>
            <w:r w:rsidRPr="009E3947">
              <w:rPr>
                <w:b/>
                <w:sz w:val="20"/>
                <w:szCs w:val="20"/>
              </w:rPr>
              <w:t>799</w:t>
            </w:r>
          </w:p>
        </w:tc>
      </w:tr>
      <w:tr w:rsidR="007A1F65" w:rsidRPr="009E3947" w14:paraId="420BB347" w14:textId="77777777" w:rsidTr="008A6720">
        <w:trPr>
          <w:trHeight w:val="288"/>
        </w:trPr>
        <w:tc>
          <w:tcPr>
            <w:tcW w:w="5954" w:type="dxa"/>
            <w:tcBorders>
              <w:top w:val="nil"/>
              <w:left w:val="nil"/>
              <w:bottom w:val="nil"/>
              <w:right w:val="nil"/>
            </w:tcBorders>
            <w:shd w:val="clear" w:color="000000" w:fill="FFFFFF"/>
            <w:noWrap/>
            <w:vAlign w:val="center"/>
            <w:hideMark/>
          </w:tcPr>
          <w:p w14:paraId="603F4160"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400" w:type="dxa"/>
            <w:tcBorders>
              <w:top w:val="nil"/>
              <w:left w:val="nil"/>
              <w:bottom w:val="nil"/>
              <w:right w:val="nil"/>
            </w:tcBorders>
            <w:shd w:val="clear" w:color="000000" w:fill="FFFFFF"/>
            <w:noWrap/>
            <w:vAlign w:val="center"/>
            <w:hideMark/>
          </w:tcPr>
          <w:p w14:paraId="75BBEA6C"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451D1650"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07EDD641"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4A413143" w14:textId="77777777"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 xml:space="preserve"> </w:t>
            </w:r>
          </w:p>
        </w:tc>
      </w:tr>
      <w:tr w:rsidR="007A1F65" w:rsidRPr="009E3947" w14:paraId="4A17BA10" w14:textId="77777777" w:rsidTr="008A6720">
        <w:trPr>
          <w:trHeight w:val="288"/>
        </w:trPr>
        <w:tc>
          <w:tcPr>
            <w:tcW w:w="5954" w:type="dxa"/>
            <w:tcBorders>
              <w:top w:val="nil"/>
              <w:left w:val="nil"/>
              <w:bottom w:val="nil"/>
              <w:right w:val="nil"/>
            </w:tcBorders>
            <w:shd w:val="clear" w:color="000000" w:fill="FFFFFF"/>
            <w:noWrap/>
            <w:vAlign w:val="center"/>
            <w:hideMark/>
          </w:tcPr>
          <w:p w14:paraId="55E97FC3"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Efectivo y depósitos a corto plazo al principio del ejercicio</w:t>
            </w:r>
          </w:p>
        </w:tc>
        <w:tc>
          <w:tcPr>
            <w:tcW w:w="1400" w:type="dxa"/>
            <w:tcBorders>
              <w:top w:val="nil"/>
              <w:left w:val="nil"/>
              <w:bottom w:val="nil"/>
              <w:right w:val="nil"/>
            </w:tcBorders>
            <w:shd w:val="clear" w:color="000000" w:fill="FFFFFF"/>
            <w:noWrap/>
            <w:vAlign w:val="center"/>
            <w:hideMark/>
          </w:tcPr>
          <w:p w14:paraId="79D734ED" w14:textId="34D09934" w:rsidR="007A1F65" w:rsidRPr="009E3947" w:rsidRDefault="000011E8" w:rsidP="008A6720">
            <w:pPr>
              <w:ind w:left="0" w:firstLine="0"/>
              <w:jc w:val="right"/>
              <w:rPr>
                <w:rFonts w:asciiTheme="minorHAnsi" w:eastAsia="Times New Roman" w:hAnsiTheme="minorHAnsi" w:cstheme="minorHAnsi"/>
                <w:sz w:val="20"/>
                <w:szCs w:val="20"/>
              </w:rPr>
            </w:pPr>
            <w:r w:rsidRPr="009E3947">
              <w:rPr>
                <w:rFonts w:asciiTheme="minorHAnsi" w:hAnsiTheme="minorHAnsi"/>
                <w:sz w:val="20"/>
                <w:szCs w:val="20"/>
              </w:rPr>
              <w:t>7</w:t>
            </w:r>
            <w:r w:rsidR="00A10967">
              <w:rPr>
                <w:rFonts w:asciiTheme="minorHAnsi" w:hAnsiTheme="minorHAnsi"/>
                <w:sz w:val="20"/>
                <w:szCs w:val="20"/>
              </w:rPr>
              <w:t> </w:t>
            </w:r>
            <w:r w:rsidRPr="009E3947">
              <w:rPr>
                <w:rFonts w:asciiTheme="minorHAnsi" w:hAnsiTheme="minorHAnsi"/>
                <w:sz w:val="20"/>
                <w:szCs w:val="20"/>
              </w:rPr>
              <w:t>176</w:t>
            </w:r>
          </w:p>
        </w:tc>
        <w:tc>
          <w:tcPr>
            <w:tcW w:w="262" w:type="dxa"/>
            <w:tcBorders>
              <w:top w:val="nil"/>
              <w:left w:val="nil"/>
              <w:bottom w:val="nil"/>
              <w:right w:val="nil"/>
            </w:tcBorders>
            <w:shd w:val="clear" w:color="000000" w:fill="FFFFFF"/>
            <w:noWrap/>
            <w:vAlign w:val="center"/>
            <w:hideMark/>
          </w:tcPr>
          <w:p w14:paraId="5016672D"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06810597"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1EC015F9" w14:textId="1F4808EE"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6</w:t>
            </w:r>
            <w:r w:rsidR="00A10967">
              <w:rPr>
                <w:sz w:val="20"/>
                <w:szCs w:val="20"/>
              </w:rPr>
              <w:t> </w:t>
            </w:r>
            <w:r w:rsidRPr="009E3947">
              <w:rPr>
                <w:sz w:val="20"/>
                <w:szCs w:val="20"/>
              </w:rPr>
              <w:t>377</w:t>
            </w:r>
          </w:p>
        </w:tc>
      </w:tr>
      <w:tr w:rsidR="007A1F65" w:rsidRPr="009E3947" w14:paraId="572AFF24" w14:textId="77777777" w:rsidTr="008A6720">
        <w:trPr>
          <w:trHeight w:val="288"/>
        </w:trPr>
        <w:tc>
          <w:tcPr>
            <w:tcW w:w="5954" w:type="dxa"/>
            <w:tcBorders>
              <w:top w:val="nil"/>
              <w:left w:val="nil"/>
              <w:bottom w:val="nil"/>
              <w:right w:val="nil"/>
            </w:tcBorders>
            <w:shd w:val="clear" w:color="000000" w:fill="FFFFFF"/>
            <w:noWrap/>
            <w:vAlign w:val="center"/>
            <w:hideMark/>
          </w:tcPr>
          <w:p w14:paraId="0B49D208"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400" w:type="dxa"/>
            <w:tcBorders>
              <w:top w:val="nil"/>
              <w:left w:val="nil"/>
              <w:bottom w:val="nil"/>
              <w:right w:val="nil"/>
            </w:tcBorders>
            <w:shd w:val="clear" w:color="000000" w:fill="FFFFFF"/>
            <w:noWrap/>
            <w:vAlign w:val="center"/>
            <w:hideMark/>
          </w:tcPr>
          <w:p w14:paraId="2A0B24B2"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62" w:type="dxa"/>
            <w:tcBorders>
              <w:top w:val="nil"/>
              <w:left w:val="nil"/>
              <w:bottom w:val="nil"/>
              <w:right w:val="nil"/>
            </w:tcBorders>
            <w:shd w:val="clear" w:color="000000" w:fill="FFFFFF"/>
            <w:noWrap/>
            <w:vAlign w:val="center"/>
            <w:hideMark/>
          </w:tcPr>
          <w:p w14:paraId="088B8574"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284" w:type="dxa"/>
            <w:tcBorders>
              <w:top w:val="nil"/>
              <w:left w:val="nil"/>
              <w:bottom w:val="nil"/>
              <w:right w:val="nil"/>
            </w:tcBorders>
            <w:shd w:val="clear" w:color="000000" w:fill="D9D9D9"/>
            <w:noWrap/>
            <w:vAlign w:val="center"/>
            <w:hideMark/>
          </w:tcPr>
          <w:p w14:paraId="6B8B5CE0" w14:textId="77777777" w:rsidR="007A1F65" w:rsidRPr="009E3947" w:rsidRDefault="007A1F65" w:rsidP="008A6720">
            <w:pPr>
              <w:ind w:left="0" w:firstLine="0"/>
              <w:rPr>
                <w:rFonts w:asciiTheme="minorHAnsi" w:eastAsia="Times New Roman" w:hAnsiTheme="minorHAnsi" w:cstheme="minorHAnsi"/>
                <w:sz w:val="20"/>
                <w:szCs w:val="20"/>
              </w:rPr>
            </w:pPr>
            <w:r w:rsidRPr="009E3947">
              <w:rPr>
                <w:rFonts w:asciiTheme="minorHAnsi" w:hAnsiTheme="minorHAnsi"/>
                <w:sz w:val="20"/>
                <w:szCs w:val="20"/>
              </w:rPr>
              <w:t> </w:t>
            </w:r>
          </w:p>
        </w:tc>
        <w:tc>
          <w:tcPr>
            <w:tcW w:w="1881" w:type="dxa"/>
            <w:tcBorders>
              <w:top w:val="nil"/>
              <w:left w:val="nil"/>
              <w:bottom w:val="nil"/>
              <w:right w:val="nil"/>
            </w:tcBorders>
            <w:shd w:val="clear" w:color="000000" w:fill="FFFFFF"/>
            <w:noWrap/>
            <w:vAlign w:val="center"/>
            <w:hideMark/>
          </w:tcPr>
          <w:p w14:paraId="5C76DDE2" w14:textId="77777777" w:rsidR="007A1F65" w:rsidRPr="009E3947" w:rsidRDefault="007A1F65" w:rsidP="008A6720">
            <w:pPr>
              <w:ind w:left="0" w:firstLine="0"/>
              <w:jc w:val="right"/>
              <w:rPr>
                <w:rFonts w:asciiTheme="minorHAnsi" w:eastAsia="Times New Roman" w:hAnsiTheme="minorHAnsi" w:cstheme="minorHAnsi"/>
                <w:sz w:val="20"/>
                <w:szCs w:val="20"/>
              </w:rPr>
            </w:pPr>
            <w:r w:rsidRPr="009E3947">
              <w:rPr>
                <w:sz w:val="20"/>
                <w:szCs w:val="20"/>
              </w:rPr>
              <w:t xml:space="preserve"> </w:t>
            </w:r>
          </w:p>
        </w:tc>
      </w:tr>
      <w:tr w:rsidR="007A1F65" w:rsidRPr="009E3947" w14:paraId="1F0CEC13" w14:textId="77777777" w:rsidTr="008A6720">
        <w:trPr>
          <w:trHeight w:val="480"/>
        </w:trPr>
        <w:tc>
          <w:tcPr>
            <w:tcW w:w="5954" w:type="dxa"/>
            <w:tcBorders>
              <w:top w:val="nil"/>
              <w:left w:val="nil"/>
              <w:bottom w:val="nil"/>
              <w:right w:val="nil"/>
            </w:tcBorders>
            <w:shd w:val="clear" w:color="auto" w:fill="auto"/>
            <w:noWrap/>
            <w:vAlign w:val="center"/>
            <w:hideMark/>
          </w:tcPr>
          <w:p w14:paraId="278AF254"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Efectivo y depósitos a corto plazo al cierre del ejercicio</w:t>
            </w:r>
          </w:p>
        </w:tc>
        <w:tc>
          <w:tcPr>
            <w:tcW w:w="1400" w:type="dxa"/>
            <w:tcBorders>
              <w:top w:val="single" w:sz="4" w:space="0" w:color="auto"/>
              <w:left w:val="nil"/>
              <w:bottom w:val="single" w:sz="4" w:space="0" w:color="auto"/>
              <w:right w:val="nil"/>
            </w:tcBorders>
            <w:shd w:val="clear" w:color="000000" w:fill="C5D9F1"/>
            <w:noWrap/>
            <w:vAlign w:val="center"/>
            <w:hideMark/>
          </w:tcPr>
          <w:p w14:paraId="187F49B9" w14:textId="61FAD7D8" w:rsidR="007A1F65" w:rsidRPr="009E3947" w:rsidRDefault="007A1F65" w:rsidP="008A6720">
            <w:pPr>
              <w:ind w:left="0" w:firstLine="0"/>
              <w:jc w:val="right"/>
              <w:rPr>
                <w:rFonts w:asciiTheme="minorHAnsi" w:eastAsia="Times New Roman" w:hAnsiTheme="minorHAnsi" w:cstheme="minorHAnsi"/>
                <w:b/>
                <w:bCs/>
                <w:sz w:val="20"/>
                <w:szCs w:val="20"/>
              </w:rPr>
            </w:pPr>
            <w:r w:rsidRPr="009E3947">
              <w:rPr>
                <w:rFonts w:asciiTheme="minorHAnsi" w:hAnsiTheme="minorHAnsi"/>
                <w:b/>
                <w:bCs/>
                <w:sz w:val="20"/>
                <w:szCs w:val="20"/>
              </w:rPr>
              <w:t>7</w:t>
            </w:r>
            <w:r w:rsidR="00A10967">
              <w:rPr>
                <w:rFonts w:asciiTheme="minorHAnsi" w:hAnsiTheme="minorHAnsi"/>
                <w:b/>
                <w:bCs/>
                <w:sz w:val="20"/>
                <w:szCs w:val="20"/>
              </w:rPr>
              <w:t> </w:t>
            </w:r>
            <w:r w:rsidRPr="009E3947">
              <w:rPr>
                <w:rFonts w:asciiTheme="minorHAnsi" w:hAnsiTheme="minorHAnsi"/>
                <w:b/>
                <w:bCs/>
                <w:sz w:val="20"/>
                <w:szCs w:val="20"/>
              </w:rPr>
              <w:t>255</w:t>
            </w:r>
          </w:p>
        </w:tc>
        <w:tc>
          <w:tcPr>
            <w:tcW w:w="262" w:type="dxa"/>
            <w:tcBorders>
              <w:top w:val="single" w:sz="4" w:space="0" w:color="auto"/>
              <w:left w:val="nil"/>
              <w:bottom w:val="single" w:sz="4" w:space="0" w:color="auto"/>
              <w:right w:val="nil"/>
            </w:tcBorders>
            <w:shd w:val="clear" w:color="000000" w:fill="C5D9F1"/>
            <w:noWrap/>
            <w:vAlign w:val="center"/>
            <w:hideMark/>
          </w:tcPr>
          <w:p w14:paraId="663C0370"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275CD999" w14:textId="77777777" w:rsidR="007A1F65" w:rsidRPr="009E3947" w:rsidRDefault="007A1F65" w:rsidP="008A6720">
            <w:pPr>
              <w:ind w:left="0" w:firstLine="0"/>
              <w:rPr>
                <w:rFonts w:asciiTheme="minorHAnsi" w:eastAsia="Times New Roman" w:hAnsiTheme="minorHAnsi" w:cstheme="minorHAnsi"/>
                <w:b/>
                <w:bCs/>
                <w:sz w:val="20"/>
                <w:szCs w:val="20"/>
              </w:rPr>
            </w:pPr>
            <w:r w:rsidRPr="009E3947">
              <w:rPr>
                <w:rFonts w:asciiTheme="minorHAnsi" w:hAnsiTheme="minorHAnsi"/>
                <w:b/>
                <w:bCs/>
                <w:sz w:val="20"/>
                <w:szCs w:val="20"/>
              </w:rPr>
              <w:t> </w:t>
            </w:r>
          </w:p>
        </w:tc>
        <w:tc>
          <w:tcPr>
            <w:tcW w:w="1881" w:type="dxa"/>
            <w:tcBorders>
              <w:top w:val="single" w:sz="4" w:space="0" w:color="auto"/>
              <w:left w:val="nil"/>
              <w:bottom w:val="single" w:sz="4" w:space="0" w:color="auto"/>
              <w:right w:val="nil"/>
            </w:tcBorders>
            <w:shd w:val="clear" w:color="000000" w:fill="EBF1DE"/>
            <w:noWrap/>
            <w:vAlign w:val="center"/>
            <w:hideMark/>
          </w:tcPr>
          <w:p w14:paraId="30148A5D" w14:textId="3CBF7E9E" w:rsidR="007A1F65" w:rsidRPr="009E3947" w:rsidRDefault="002B1734" w:rsidP="008A6720">
            <w:pPr>
              <w:ind w:left="0" w:firstLine="0"/>
              <w:jc w:val="right"/>
              <w:rPr>
                <w:rFonts w:asciiTheme="minorHAnsi" w:eastAsia="Times New Roman" w:hAnsiTheme="minorHAnsi" w:cstheme="minorHAnsi"/>
                <w:b/>
                <w:bCs/>
                <w:sz w:val="20"/>
                <w:szCs w:val="20"/>
              </w:rPr>
            </w:pPr>
            <w:r w:rsidRPr="009E3947">
              <w:rPr>
                <w:b/>
                <w:sz w:val="20"/>
                <w:szCs w:val="20"/>
              </w:rPr>
              <w:t>7</w:t>
            </w:r>
            <w:r w:rsidR="00A10967">
              <w:rPr>
                <w:b/>
                <w:sz w:val="20"/>
                <w:szCs w:val="20"/>
              </w:rPr>
              <w:t> </w:t>
            </w:r>
            <w:r w:rsidRPr="009E3947">
              <w:rPr>
                <w:b/>
                <w:sz w:val="20"/>
                <w:szCs w:val="20"/>
              </w:rPr>
              <w:t>176</w:t>
            </w:r>
          </w:p>
        </w:tc>
      </w:tr>
    </w:tbl>
    <w:p w14:paraId="4DC96A05" w14:textId="77777777" w:rsidR="007A1F65" w:rsidRPr="009E3947" w:rsidRDefault="007A1F65" w:rsidP="007A1F65">
      <w:pPr>
        <w:pStyle w:val="NoSpacing"/>
        <w:ind w:left="0" w:firstLine="0"/>
        <w:rPr>
          <w:rFonts w:eastAsia="Times New Roman" w:cs="Arial"/>
          <w:b/>
          <w:bCs/>
          <w:lang w:eastAsia="en-GB"/>
        </w:rPr>
      </w:pPr>
    </w:p>
    <w:p w14:paraId="7080FBB3" w14:textId="42F528D8" w:rsidR="00A545D6" w:rsidRPr="009E3947" w:rsidRDefault="00A545D6" w:rsidP="007A1F65">
      <w:pPr>
        <w:rPr>
          <w:rFonts w:eastAsia="Times New Roman" w:cs="Arial"/>
          <w:b/>
          <w:bCs/>
          <w:lang w:eastAsia="en-GB"/>
        </w:rPr>
        <w:sectPr w:rsidR="00A545D6" w:rsidRPr="009E3947" w:rsidSect="00103CB4">
          <w:footerReference w:type="default" r:id="rId11"/>
          <w:pgSz w:w="11906" w:h="16838" w:code="9"/>
          <w:pgMar w:top="1440" w:right="1440" w:bottom="1440" w:left="1440" w:header="709" w:footer="709" w:gutter="0"/>
          <w:cols w:space="708"/>
          <w:titlePg/>
          <w:docGrid w:linePitch="360"/>
        </w:sectPr>
      </w:pPr>
    </w:p>
    <w:p w14:paraId="3BA79F6E" w14:textId="31177276" w:rsidR="001404C4" w:rsidRPr="009E3947" w:rsidRDefault="001404C4" w:rsidP="001404C4">
      <w:pPr>
        <w:pStyle w:val="NoSpacing"/>
        <w:ind w:left="0" w:firstLine="0"/>
        <w:rPr>
          <w:b/>
          <w:sz w:val="24"/>
          <w:szCs w:val="24"/>
        </w:rPr>
      </w:pPr>
      <w:r w:rsidRPr="009E3947">
        <w:rPr>
          <w:b/>
          <w:sz w:val="24"/>
          <w:szCs w:val="24"/>
        </w:rPr>
        <w:lastRenderedPageBreak/>
        <w:t>Anexo 2</w:t>
      </w:r>
    </w:p>
    <w:p w14:paraId="289C07CB" w14:textId="63C8B508" w:rsidR="001404C4" w:rsidRPr="009E3947" w:rsidRDefault="002D7FB5" w:rsidP="001404C4">
      <w:pPr>
        <w:pStyle w:val="NoSpacing"/>
        <w:ind w:left="0" w:firstLine="0"/>
        <w:rPr>
          <w:b/>
        </w:rPr>
      </w:pPr>
      <w:r w:rsidRPr="009E3947">
        <w:rPr>
          <w:b/>
        </w:rPr>
        <w:t>Resultados del presupuesto básico de 2024 para el período comprendido entre el 1 de enero y el 31 de diciembre de 2024</w:t>
      </w:r>
    </w:p>
    <w:p w14:paraId="04E3BF81" w14:textId="3176BDA3" w:rsidR="001404C4" w:rsidRPr="009E3947" w:rsidRDefault="001404C4" w:rsidP="001404C4">
      <w:pPr>
        <w:pStyle w:val="NoSpacing"/>
        <w:ind w:left="0" w:firstLine="0"/>
        <w:rPr>
          <w:rFonts w:asciiTheme="minorHAnsi" w:eastAsia="Times New Roman" w:hAnsiTheme="minorHAnsi" w:cs="Arial"/>
          <w:bCs/>
          <w:i/>
          <w:sz w:val="20"/>
          <w:szCs w:val="20"/>
        </w:rPr>
      </w:pPr>
      <w:r w:rsidRPr="009E3947">
        <w:rPr>
          <w:rFonts w:asciiTheme="minorHAnsi" w:hAnsiTheme="minorHAnsi"/>
          <w:bCs/>
          <w:i/>
          <w:sz w:val="20"/>
          <w:szCs w:val="20"/>
        </w:rPr>
        <w:t>(en miles de francos suizos, con posibles diferencias por redondeo)</w:t>
      </w:r>
    </w:p>
    <w:p w14:paraId="3355E4E4" w14:textId="22581BA2" w:rsidR="00AC6845" w:rsidRPr="009E3947" w:rsidRDefault="00AC6845" w:rsidP="001404C4">
      <w:pPr>
        <w:pStyle w:val="NoSpacing"/>
        <w:ind w:left="0" w:firstLine="0"/>
        <w:rPr>
          <w:rFonts w:asciiTheme="minorHAnsi" w:eastAsia="Times New Roman" w:hAnsiTheme="minorHAnsi" w:cs="Arial"/>
          <w:bCs/>
          <w:i/>
          <w:sz w:val="20"/>
          <w:szCs w:val="20"/>
          <w:lang w:eastAsia="en-GB"/>
        </w:rPr>
      </w:pPr>
    </w:p>
    <w:tbl>
      <w:tblPr>
        <w:tblW w:w="14796" w:type="dxa"/>
        <w:tblInd w:w="-431" w:type="dxa"/>
        <w:tblLayout w:type="fixed"/>
        <w:tblCellMar>
          <w:left w:w="57" w:type="dxa"/>
          <w:right w:w="57" w:type="dxa"/>
        </w:tblCellMar>
        <w:tblLook w:val="04A0" w:firstRow="1" w:lastRow="0" w:firstColumn="1" w:lastColumn="0" w:noHBand="0" w:noVBand="1"/>
      </w:tblPr>
      <w:tblGrid>
        <w:gridCol w:w="3687"/>
        <w:gridCol w:w="1587"/>
        <w:gridCol w:w="1587"/>
        <w:gridCol w:w="1587"/>
        <w:gridCol w:w="1587"/>
        <w:gridCol w:w="1587"/>
        <w:gridCol w:w="1587"/>
        <w:gridCol w:w="1587"/>
      </w:tblGrid>
      <w:tr w:rsidR="004E6E64" w:rsidRPr="009E3947" w14:paraId="7EFD8F22" w14:textId="314E6C11" w:rsidTr="004E6E64">
        <w:trPr>
          <w:tblHeader/>
        </w:trPr>
        <w:tc>
          <w:tcPr>
            <w:tcW w:w="3687" w:type="dxa"/>
            <w:tcBorders>
              <w:top w:val="single" w:sz="4" w:space="0" w:color="auto"/>
              <w:left w:val="single" w:sz="4" w:space="0" w:color="auto"/>
              <w:right w:val="nil"/>
            </w:tcBorders>
            <w:shd w:val="clear" w:color="000000" w:fill="D6E3BC"/>
            <w:vAlign w:val="center"/>
            <w:hideMark/>
          </w:tcPr>
          <w:p w14:paraId="177D73E2" w14:textId="77777777" w:rsidR="004E6E64" w:rsidRPr="009E3947" w:rsidRDefault="004E6E64" w:rsidP="00E91A7E">
            <w:pPr>
              <w:ind w:left="0" w:firstLine="0"/>
              <w:jc w:val="center"/>
              <w:rPr>
                <w:rFonts w:eastAsia="Times New Roman" w:cs="Calibri"/>
                <w:b/>
                <w:bCs/>
                <w:sz w:val="20"/>
                <w:szCs w:val="20"/>
              </w:rPr>
            </w:pPr>
            <w:r w:rsidRPr="009E3947">
              <w:rPr>
                <w:b/>
                <w:bCs/>
                <w:sz w:val="20"/>
                <w:szCs w:val="20"/>
              </w:rPr>
              <w:t xml:space="preserve">Presupuesto de 2024 de la Convención sobre los Humedales </w:t>
            </w:r>
          </w:p>
          <w:p w14:paraId="42D35C79" w14:textId="77777777" w:rsidR="004E6E64" w:rsidRPr="009E3947" w:rsidRDefault="004E6E64" w:rsidP="00E91A7E">
            <w:pPr>
              <w:ind w:left="0" w:firstLine="0"/>
              <w:jc w:val="center"/>
              <w:rPr>
                <w:rFonts w:eastAsia="Times New Roman" w:cs="Calibri"/>
                <w:b/>
                <w:bCs/>
                <w:sz w:val="20"/>
                <w:szCs w:val="20"/>
                <w:lang w:eastAsia="en-GB"/>
              </w:rPr>
            </w:pPr>
          </w:p>
          <w:p w14:paraId="00930334" w14:textId="77777777" w:rsidR="004E6E64" w:rsidRPr="009E3947" w:rsidRDefault="004E6E64" w:rsidP="00E91A7E">
            <w:pPr>
              <w:ind w:left="0" w:firstLine="0"/>
              <w:jc w:val="center"/>
              <w:rPr>
                <w:rFonts w:eastAsia="Times New Roman" w:cs="Calibri"/>
                <w:b/>
                <w:bCs/>
                <w:sz w:val="20"/>
                <w:szCs w:val="20"/>
              </w:rPr>
            </w:pPr>
            <w:r w:rsidRPr="009E3947">
              <w:rPr>
                <w:b/>
                <w:bCs/>
                <w:sz w:val="20"/>
                <w:szCs w:val="20"/>
              </w:rPr>
              <w:t>aprobado por la COP14</w:t>
            </w:r>
          </w:p>
          <w:p w14:paraId="60B980E1" w14:textId="77777777" w:rsidR="004E6E64" w:rsidRPr="009E3947" w:rsidRDefault="004E6E64" w:rsidP="00E91A7E">
            <w:pPr>
              <w:ind w:left="0" w:firstLine="0"/>
              <w:jc w:val="center"/>
              <w:rPr>
                <w:rFonts w:eastAsia="Times New Roman" w:cs="Calibri"/>
                <w:b/>
                <w:bCs/>
                <w:sz w:val="20"/>
                <w:szCs w:val="20"/>
                <w:lang w:eastAsia="en-GB"/>
              </w:rPr>
            </w:pPr>
          </w:p>
          <w:p w14:paraId="0645D378" w14:textId="0ACC7537" w:rsidR="004E6E64" w:rsidRPr="009E3947" w:rsidRDefault="004E6E64" w:rsidP="00E91A7E">
            <w:pPr>
              <w:ind w:left="0" w:firstLine="0"/>
              <w:jc w:val="center"/>
              <w:rPr>
                <w:rFonts w:eastAsia="Times New Roman" w:cs="Calibri"/>
                <w:b/>
                <w:bCs/>
                <w:sz w:val="20"/>
                <w:szCs w:val="20"/>
              </w:rPr>
            </w:pPr>
            <w:r w:rsidRPr="009E3947">
              <w:rPr>
                <w:b/>
                <w:bCs/>
                <w:sz w:val="20"/>
                <w:szCs w:val="20"/>
              </w:rPr>
              <w:t>en miles de francos suizos</w:t>
            </w:r>
          </w:p>
        </w:tc>
        <w:tc>
          <w:tcPr>
            <w:tcW w:w="1587" w:type="dxa"/>
            <w:tcBorders>
              <w:top w:val="single" w:sz="4" w:space="0" w:color="auto"/>
              <w:left w:val="single" w:sz="4" w:space="0" w:color="auto"/>
              <w:right w:val="single" w:sz="4" w:space="0" w:color="auto"/>
            </w:tcBorders>
            <w:shd w:val="clear" w:color="000000" w:fill="D6E3BC"/>
            <w:vAlign w:val="center"/>
            <w:hideMark/>
          </w:tcPr>
          <w:p w14:paraId="06B5943F" w14:textId="77777777" w:rsidR="004E6E64" w:rsidRPr="009E3947" w:rsidRDefault="004E6E64" w:rsidP="00D57A82">
            <w:pPr>
              <w:ind w:left="0" w:firstLine="0"/>
              <w:jc w:val="center"/>
              <w:rPr>
                <w:rFonts w:eastAsia="Times New Roman" w:cs="Calibri"/>
                <w:b/>
                <w:bCs/>
                <w:sz w:val="20"/>
                <w:szCs w:val="20"/>
              </w:rPr>
            </w:pPr>
            <w:r w:rsidRPr="009E3947">
              <w:rPr>
                <w:b/>
                <w:bCs/>
                <w:sz w:val="20"/>
                <w:szCs w:val="20"/>
              </w:rPr>
              <w:t>Presupuesto (aprobado por la COP14)</w:t>
            </w:r>
          </w:p>
          <w:p w14:paraId="50755527" w14:textId="77777777" w:rsidR="004E6E64" w:rsidRPr="009E3947" w:rsidRDefault="004E6E64" w:rsidP="00D57A82">
            <w:pPr>
              <w:ind w:left="0" w:firstLine="0"/>
              <w:jc w:val="center"/>
              <w:rPr>
                <w:rFonts w:eastAsia="Times New Roman" w:cs="Calibri"/>
                <w:b/>
                <w:bCs/>
                <w:sz w:val="20"/>
                <w:szCs w:val="20"/>
                <w:lang w:eastAsia="en-GB"/>
              </w:rPr>
            </w:pPr>
          </w:p>
          <w:p w14:paraId="3FCE4CA1" w14:textId="732DAAB6" w:rsidR="004E6E64" w:rsidRPr="009E3947" w:rsidRDefault="004E6E64" w:rsidP="00D57A82">
            <w:pPr>
              <w:ind w:left="0" w:firstLine="0"/>
              <w:jc w:val="center"/>
              <w:rPr>
                <w:rFonts w:eastAsia="Times New Roman" w:cs="Calibri"/>
                <w:b/>
                <w:bCs/>
                <w:sz w:val="20"/>
                <w:szCs w:val="20"/>
              </w:rPr>
            </w:pPr>
            <w:r w:rsidRPr="009E3947">
              <w:rPr>
                <w:b/>
                <w:bCs/>
                <w:sz w:val="20"/>
                <w:szCs w:val="20"/>
              </w:rPr>
              <w:t>(A)</w:t>
            </w:r>
          </w:p>
        </w:tc>
        <w:tc>
          <w:tcPr>
            <w:tcW w:w="1587" w:type="dxa"/>
            <w:tcBorders>
              <w:top w:val="single" w:sz="4" w:space="0" w:color="auto"/>
              <w:left w:val="single" w:sz="4" w:space="0" w:color="auto"/>
              <w:right w:val="single" w:sz="4" w:space="0" w:color="auto"/>
            </w:tcBorders>
            <w:shd w:val="clear" w:color="000000" w:fill="D6E3BC"/>
            <w:vAlign w:val="center"/>
            <w:hideMark/>
          </w:tcPr>
          <w:p w14:paraId="5DA1F333" w14:textId="77777777" w:rsidR="004E6E64" w:rsidRPr="009E3947" w:rsidRDefault="004E6E64" w:rsidP="00D57A82">
            <w:pPr>
              <w:ind w:left="0" w:firstLine="0"/>
              <w:jc w:val="center"/>
              <w:rPr>
                <w:rFonts w:eastAsia="Times New Roman" w:cs="Calibri"/>
                <w:b/>
                <w:bCs/>
                <w:sz w:val="20"/>
                <w:szCs w:val="20"/>
              </w:rPr>
            </w:pPr>
            <w:r w:rsidRPr="009E3947">
              <w:rPr>
                <w:b/>
                <w:bCs/>
                <w:sz w:val="20"/>
                <w:szCs w:val="20"/>
              </w:rPr>
              <w:t>Uso de los ahorros del presupuesto de 2021 aprobado por la COP14</w:t>
            </w:r>
          </w:p>
          <w:p w14:paraId="685E9281" w14:textId="6814B267" w:rsidR="004E6E64" w:rsidRPr="009E3947" w:rsidRDefault="004E6E64" w:rsidP="00D57A82">
            <w:pPr>
              <w:ind w:left="0" w:firstLine="0"/>
              <w:jc w:val="center"/>
              <w:rPr>
                <w:rFonts w:eastAsia="Times New Roman" w:cs="Calibri"/>
                <w:b/>
                <w:bCs/>
                <w:sz w:val="20"/>
                <w:szCs w:val="20"/>
              </w:rPr>
            </w:pPr>
            <w:r w:rsidRPr="009E3947">
              <w:rPr>
                <w:b/>
                <w:bCs/>
                <w:sz w:val="20"/>
                <w:szCs w:val="20"/>
              </w:rPr>
              <w:t>(B)</w:t>
            </w:r>
          </w:p>
        </w:tc>
        <w:tc>
          <w:tcPr>
            <w:tcW w:w="1587" w:type="dxa"/>
            <w:tcBorders>
              <w:top w:val="single" w:sz="4" w:space="0" w:color="auto"/>
              <w:left w:val="single" w:sz="4" w:space="0" w:color="auto"/>
              <w:right w:val="single" w:sz="4" w:space="0" w:color="auto"/>
            </w:tcBorders>
            <w:shd w:val="clear" w:color="000000" w:fill="D6E3BC"/>
            <w:vAlign w:val="center"/>
            <w:hideMark/>
          </w:tcPr>
          <w:p w14:paraId="096F6C19" w14:textId="1EC7B23C" w:rsidR="004E6E64" w:rsidRPr="009E3947" w:rsidRDefault="004E6E64" w:rsidP="00D57A82">
            <w:pPr>
              <w:ind w:left="0" w:firstLine="0"/>
              <w:jc w:val="center"/>
              <w:rPr>
                <w:rFonts w:eastAsia="Times New Roman" w:cs="Calibri"/>
                <w:bCs/>
                <w:sz w:val="20"/>
                <w:szCs w:val="20"/>
                <w:vertAlign w:val="superscript"/>
              </w:rPr>
            </w:pPr>
            <w:r w:rsidRPr="009E3947">
              <w:rPr>
                <w:b/>
                <w:bCs/>
                <w:sz w:val="20"/>
                <w:szCs w:val="20"/>
              </w:rPr>
              <w:t>Fondos previamente comprometidos para 2023 a gastar en 2024</w:t>
            </w:r>
          </w:p>
          <w:p w14:paraId="703FBF1F" w14:textId="794B6BA0" w:rsidR="004E6E64" w:rsidRPr="009E3947" w:rsidRDefault="004E6E64" w:rsidP="00D57A82">
            <w:pPr>
              <w:ind w:left="0" w:firstLine="0"/>
              <w:jc w:val="center"/>
              <w:rPr>
                <w:rFonts w:eastAsia="Times New Roman" w:cs="Calibri"/>
                <w:b/>
                <w:bCs/>
                <w:spacing w:val="-4"/>
                <w:sz w:val="20"/>
                <w:szCs w:val="20"/>
              </w:rPr>
            </w:pPr>
            <w:r w:rsidRPr="009E3947">
              <w:rPr>
                <w:bCs/>
                <w:sz w:val="20"/>
                <w:szCs w:val="20"/>
              </w:rPr>
              <w:t>(</w:t>
            </w:r>
            <w:r w:rsidRPr="009E3947">
              <w:rPr>
                <w:b/>
                <w:sz w:val="20"/>
                <w:szCs w:val="20"/>
              </w:rPr>
              <w:t>aprobado por la reunión SC63)</w:t>
            </w:r>
          </w:p>
          <w:p w14:paraId="0F274CC9" w14:textId="4BFC5662" w:rsidR="004E6E64" w:rsidRPr="009E3947" w:rsidRDefault="004E6E64" w:rsidP="00D57A82">
            <w:pPr>
              <w:ind w:left="0" w:firstLine="0"/>
              <w:jc w:val="center"/>
              <w:rPr>
                <w:rFonts w:eastAsia="Times New Roman" w:cs="Calibri"/>
                <w:b/>
                <w:bCs/>
                <w:spacing w:val="-4"/>
                <w:sz w:val="20"/>
                <w:szCs w:val="20"/>
              </w:rPr>
            </w:pPr>
            <w:r w:rsidRPr="009E3947">
              <w:rPr>
                <w:b/>
                <w:bCs/>
                <w:sz w:val="20"/>
                <w:szCs w:val="20"/>
              </w:rPr>
              <w:t>(C)</w:t>
            </w:r>
          </w:p>
        </w:tc>
        <w:tc>
          <w:tcPr>
            <w:tcW w:w="1587" w:type="dxa"/>
            <w:tcBorders>
              <w:top w:val="single" w:sz="4" w:space="0" w:color="auto"/>
              <w:left w:val="single" w:sz="4" w:space="0" w:color="auto"/>
              <w:right w:val="single" w:sz="4" w:space="0" w:color="auto"/>
            </w:tcBorders>
            <w:shd w:val="clear" w:color="000000" w:fill="D6E3BC"/>
            <w:vAlign w:val="center"/>
            <w:hideMark/>
          </w:tcPr>
          <w:p w14:paraId="477978D3" w14:textId="77777777" w:rsidR="004E6E64" w:rsidRPr="009E3947" w:rsidRDefault="004E6E64" w:rsidP="00D57A82">
            <w:pPr>
              <w:ind w:left="0" w:firstLine="0"/>
              <w:jc w:val="center"/>
              <w:rPr>
                <w:rFonts w:eastAsia="Times New Roman" w:cs="Calibri"/>
                <w:b/>
                <w:bCs/>
                <w:sz w:val="20"/>
                <w:szCs w:val="20"/>
              </w:rPr>
            </w:pPr>
            <w:r w:rsidRPr="009E3947">
              <w:rPr>
                <w:b/>
                <w:bCs/>
                <w:sz w:val="20"/>
                <w:szCs w:val="20"/>
              </w:rPr>
              <w:t>Total, presupuesto de 2024</w:t>
            </w:r>
          </w:p>
          <w:p w14:paraId="1C7CD6D2" w14:textId="77777777" w:rsidR="004E6E64" w:rsidRPr="009E3947" w:rsidRDefault="004E6E64" w:rsidP="00D57A82">
            <w:pPr>
              <w:ind w:left="0" w:firstLine="0"/>
              <w:jc w:val="center"/>
              <w:rPr>
                <w:rFonts w:eastAsia="Times New Roman" w:cs="Calibri"/>
                <w:b/>
                <w:bCs/>
                <w:sz w:val="20"/>
                <w:szCs w:val="20"/>
                <w:lang w:eastAsia="en-GB"/>
              </w:rPr>
            </w:pPr>
          </w:p>
          <w:p w14:paraId="01DB383F" w14:textId="77777777" w:rsidR="004E6E64" w:rsidRPr="009E3947" w:rsidRDefault="004E6E64" w:rsidP="00D57A82">
            <w:pPr>
              <w:ind w:left="0" w:firstLine="0"/>
              <w:jc w:val="center"/>
              <w:rPr>
                <w:rFonts w:eastAsia="Times New Roman" w:cs="Calibri"/>
                <w:b/>
                <w:bCs/>
                <w:sz w:val="20"/>
                <w:szCs w:val="20"/>
              </w:rPr>
            </w:pPr>
            <w:r w:rsidRPr="009E3947">
              <w:rPr>
                <w:b/>
                <w:bCs/>
                <w:sz w:val="20"/>
                <w:szCs w:val="20"/>
              </w:rPr>
              <w:t>(D)</w:t>
            </w:r>
          </w:p>
          <w:p w14:paraId="667DED88" w14:textId="07707F95" w:rsidR="004E6E64" w:rsidRPr="009E3947" w:rsidRDefault="004E6E64" w:rsidP="00D57A82">
            <w:pPr>
              <w:ind w:left="0" w:firstLine="0"/>
              <w:jc w:val="center"/>
              <w:rPr>
                <w:rFonts w:eastAsia="Times New Roman" w:cs="Calibri"/>
                <w:b/>
                <w:bCs/>
                <w:sz w:val="20"/>
                <w:szCs w:val="20"/>
              </w:rPr>
            </w:pPr>
            <w:r w:rsidRPr="009E3947">
              <w:rPr>
                <w:b/>
                <w:bCs/>
                <w:sz w:val="20"/>
                <w:szCs w:val="20"/>
              </w:rPr>
              <w:t>=A+B+C</w:t>
            </w:r>
          </w:p>
        </w:tc>
        <w:tc>
          <w:tcPr>
            <w:tcW w:w="1587" w:type="dxa"/>
            <w:tcBorders>
              <w:top w:val="single" w:sz="4" w:space="0" w:color="auto"/>
              <w:left w:val="nil"/>
              <w:right w:val="nil"/>
            </w:tcBorders>
            <w:shd w:val="clear" w:color="000000" w:fill="D6E3BC"/>
            <w:vAlign w:val="center"/>
            <w:hideMark/>
          </w:tcPr>
          <w:p w14:paraId="52C04488" w14:textId="7C68B467" w:rsidR="004E6E64" w:rsidRPr="009E3947" w:rsidRDefault="004E6E64" w:rsidP="00C469C4">
            <w:pPr>
              <w:ind w:left="0" w:firstLine="0"/>
              <w:jc w:val="center"/>
              <w:rPr>
                <w:rFonts w:eastAsia="Times New Roman" w:cs="Calibri"/>
                <w:b/>
                <w:bCs/>
                <w:sz w:val="20"/>
                <w:szCs w:val="20"/>
              </w:rPr>
            </w:pPr>
            <w:r w:rsidRPr="009E3947">
              <w:rPr>
                <w:b/>
                <w:bCs/>
                <w:sz w:val="20"/>
                <w:szCs w:val="20"/>
              </w:rPr>
              <w:t xml:space="preserve">Ingresos y gastos reales </w:t>
            </w:r>
          </w:p>
          <w:p w14:paraId="001F1EAE" w14:textId="77777777" w:rsidR="004E6E64" w:rsidRPr="009E3947" w:rsidRDefault="004E6E64" w:rsidP="00C469C4">
            <w:pPr>
              <w:ind w:left="0" w:firstLine="0"/>
              <w:jc w:val="center"/>
              <w:rPr>
                <w:rFonts w:eastAsia="Times New Roman" w:cs="Calibri"/>
                <w:b/>
                <w:bCs/>
                <w:sz w:val="20"/>
                <w:szCs w:val="20"/>
                <w:lang w:eastAsia="en-GB"/>
              </w:rPr>
            </w:pPr>
          </w:p>
          <w:p w14:paraId="52456B5E" w14:textId="77777777" w:rsidR="004E6E64" w:rsidRPr="009E3947" w:rsidRDefault="004E6E64" w:rsidP="00C469C4">
            <w:pPr>
              <w:ind w:left="0" w:firstLine="0"/>
              <w:jc w:val="center"/>
              <w:rPr>
                <w:rFonts w:eastAsia="Times New Roman" w:cs="Calibri"/>
                <w:b/>
                <w:bCs/>
                <w:sz w:val="20"/>
                <w:szCs w:val="20"/>
                <w:lang w:eastAsia="en-GB"/>
              </w:rPr>
            </w:pPr>
          </w:p>
          <w:p w14:paraId="080E5C7E" w14:textId="5011B7AD" w:rsidR="004E6E64" w:rsidRPr="009E3947" w:rsidRDefault="004E6E64" w:rsidP="00C469C4">
            <w:pPr>
              <w:ind w:left="0" w:firstLine="0"/>
              <w:jc w:val="center"/>
              <w:rPr>
                <w:rFonts w:eastAsia="Times New Roman" w:cs="Calibri"/>
                <w:b/>
                <w:bCs/>
                <w:sz w:val="20"/>
                <w:szCs w:val="20"/>
              </w:rPr>
            </w:pPr>
            <w:r w:rsidRPr="009E3947">
              <w:rPr>
                <w:b/>
                <w:bCs/>
                <w:sz w:val="20"/>
                <w:szCs w:val="20"/>
              </w:rPr>
              <w:t>(E)</w:t>
            </w:r>
          </w:p>
        </w:tc>
        <w:tc>
          <w:tcPr>
            <w:tcW w:w="1587" w:type="dxa"/>
            <w:tcBorders>
              <w:top w:val="single" w:sz="4" w:space="0" w:color="auto"/>
              <w:left w:val="single" w:sz="4" w:space="0" w:color="auto"/>
              <w:right w:val="single" w:sz="4" w:space="0" w:color="auto"/>
            </w:tcBorders>
            <w:shd w:val="clear" w:color="000000" w:fill="D6E3BC"/>
            <w:vAlign w:val="center"/>
          </w:tcPr>
          <w:p w14:paraId="35EC73D2" w14:textId="77777777" w:rsidR="004E6E64" w:rsidRPr="009E3947" w:rsidRDefault="004E6E64" w:rsidP="00D57A82">
            <w:pPr>
              <w:ind w:left="0" w:firstLine="0"/>
              <w:jc w:val="center"/>
              <w:rPr>
                <w:rFonts w:eastAsia="Times New Roman" w:cs="Calibri"/>
                <w:b/>
                <w:bCs/>
                <w:sz w:val="20"/>
                <w:szCs w:val="20"/>
              </w:rPr>
            </w:pPr>
            <w:r w:rsidRPr="009E3947">
              <w:rPr>
                <w:b/>
                <w:bCs/>
                <w:sz w:val="20"/>
                <w:szCs w:val="20"/>
              </w:rPr>
              <w:t>Ajustes al presupuesto propuestos por la Secretaría</w:t>
            </w:r>
          </w:p>
          <w:p w14:paraId="0CEFE031" w14:textId="77777777" w:rsidR="004E6E64" w:rsidRPr="009E3947" w:rsidRDefault="004E6E64" w:rsidP="00D57A82">
            <w:pPr>
              <w:ind w:left="0" w:firstLine="0"/>
              <w:jc w:val="center"/>
              <w:rPr>
                <w:rFonts w:eastAsia="Times New Roman" w:cs="Calibri"/>
                <w:b/>
                <w:bCs/>
                <w:sz w:val="20"/>
                <w:szCs w:val="20"/>
                <w:lang w:eastAsia="en-GB"/>
              </w:rPr>
            </w:pPr>
          </w:p>
          <w:p w14:paraId="6A90C476" w14:textId="12F0327B" w:rsidR="004E6E64" w:rsidRPr="009E3947" w:rsidRDefault="004E6E64" w:rsidP="00D57A82">
            <w:pPr>
              <w:ind w:left="0" w:firstLine="0"/>
              <w:jc w:val="center"/>
              <w:rPr>
                <w:rFonts w:eastAsia="Times New Roman" w:cs="Calibri"/>
                <w:b/>
                <w:bCs/>
                <w:sz w:val="20"/>
                <w:szCs w:val="20"/>
              </w:rPr>
            </w:pPr>
            <w:r w:rsidRPr="009E3947">
              <w:rPr>
                <w:b/>
                <w:bCs/>
                <w:sz w:val="20"/>
                <w:szCs w:val="20"/>
              </w:rPr>
              <w:t>(F)</w:t>
            </w:r>
          </w:p>
        </w:tc>
        <w:tc>
          <w:tcPr>
            <w:tcW w:w="1587" w:type="dxa"/>
            <w:tcBorders>
              <w:top w:val="single" w:sz="4" w:space="0" w:color="auto"/>
              <w:left w:val="single" w:sz="4" w:space="0" w:color="auto"/>
              <w:right w:val="single" w:sz="4" w:space="0" w:color="auto"/>
            </w:tcBorders>
            <w:shd w:val="clear" w:color="000000" w:fill="D6E3BC"/>
            <w:vAlign w:val="center"/>
            <w:hideMark/>
          </w:tcPr>
          <w:p w14:paraId="11A6C7F9" w14:textId="77777777" w:rsidR="004E6E64" w:rsidRPr="009E3947" w:rsidRDefault="004E6E64" w:rsidP="00D57A82">
            <w:pPr>
              <w:ind w:left="0" w:firstLine="0"/>
              <w:jc w:val="center"/>
              <w:rPr>
                <w:rFonts w:eastAsia="Times New Roman" w:cs="Calibri"/>
                <w:b/>
                <w:bCs/>
                <w:sz w:val="20"/>
                <w:szCs w:val="20"/>
              </w:rPr>
            </w:pPr>
            <w:r w:rsidRPr="009E3947">
              <w:rPr>
                <w:b/>
                <w:bCs/>
                <w:sz w:val="20"/>
                <w:szCs w:val="20"/>
              </w:rPr>
              <w:t>Saldo</w:t>
            </w:r>
          </w:p>
          <w:p w14:paraId="41BE650D" w14:textId="77777777" w:rsidR="004E6E64" w:rsidRPr="009E3947" w:rsidRDefault="004E6E64" w:rsidP="00D57A82">
            <w:pPr>
              <w:ind w:left="0" w:firstLine="0"/>
              <w:jc w:val="center"/>
              <w:rPr>
                <w:rFonts w:eastAsia="Times New Roman" w:cs="Calibri"/>
                <w:b/>
                <w:bCs/>
                <w:sz w:val="20"/>
                <w:szCs w:val="20"/>
                <w:lang w:eastAsia="en-GB"/>
              </w:rPr>
            </w:pPr>
          </w:p>
          <w:p w14:paraId="3DE3416C" w14:textId="77777777" w:rsidR="004E6E64" w:rsidRPr="009E3947" w:rsidRDefault="004E6E64" w:rsidP="00D57A82">
            <w:pPr>
              <w:ind w:left="0" w:firstLine="0"/>
              <w:jc w:val="center"/>
              <w:rPr>
                <w:rFonts w:eastAsia="Times New Roman" w:cs="Calibri"/>
                <w:b/>
                <w:bCs/>
                <w:sz w:val="20"/>
                <w:szCs w:val="20"/>
                <w:lang w:eastAsia="en-GB"/>
              </w:rPr>
            </w:pPr>
          </w:p>
          <w:p w14:paraId="3589B550" w14:textId="4B104219" w:rsidR="004E6E64" w:rsidRPr="009E3947" w:rsidRDefault="004E6E64" w:rsidP="00D57A82">
            <w:pPr>
              <w:ind w:left="0" w:firstLine="0"/>
              <w:jc w:val="center"/>
              <w:rPr>
                <w:rFonts w:eastAsia="Times New Roman" w:cs="Calibri"/>
                <w:b/>
                <w:bCs/>
                <w:sz w:val="20"/>
                <w:szCs w:val="20"/>
              </w:rPr>
            </w:pPr>
            <w:r w:rsidRPr="009E3947">
              <w:rPr>
                <w:b/>
                <w:bCs/>
                <w:sz w:val="20"/>
                <w:szCs w:val="20"/>
              </w:rPr>
              <w:t>(G)</w:t>
            </w:r>
            <w:r w:rsidRPr="009E3947">
              <w:rPr>
                <w:b/>
                <w:bCs/>
                <w:sz w:val="20"/>
                <w:szCs w:val="20"/>
              </w:rPr>
              <w:br/>
              <w:t>=(D)-(E)+(F)</w:t>
            </w:r>
          </w:p>
        </w:tc>
      </w:tr>
      <w:tr w:rsidR="004E6E64" w:rsidRPr="009E3947" w14:paraId="7662FD54" w14:textId="4DE06A48" w:rsidTr="008A6720">
        <w:tc>
          <w:tcPr>
            <w:tcW w:w="3687" w:type="dxa"/>
            <w:tcBorders>
              <w:top w:val="single" w:sz="4" w:space="0" w:color="auto"/>
              <w:left w:val="single" w:sz="4" w:space="0" w:color="auto"/>
              <w:right w:val="nil"/>
            </w:tcBorders>
            <w:shd w:val="clear" w:color="auto" w:fill="auto"/>
            <w:noWrap/>
            <w:vAlign w:val="center"/>
            <w:hideMark/>
          </w:tcPr>
          <w:p w14:paraId="054E5201" w14:textId="60F8BE40" w:rsidR="004E6E64" w:rsidRPr="009E3947" w:rsidRDefault="004E6E64" w:rsidP="004E6E64">
            <w:pPr>
              <w:ind w:left="0" w:firstLine="0"/>
              <w:rPr>
                <w:rFonts w:eastAsia="Times New Roman" w:cs="Calibri"/>
                <w:b/>
                <w:bCs/>
                <w:sz w:val="20"/>
                <w:szCs w:val="20"/>
                <w:lang w:eastAsia="en-GB"/>
              </w:rPr>
            </w:pPr>
          </w:p>
          <w:p w14:paraId="58B72840" w14:textId="1705DF43" w:rsidR="004E6E64" w:rsidRPr="009E3947" w:rsidRDefault="004E6E64" w:rsidP="004E6E64">
            <w:pPr>
              <w:ind w:left="0" w:firstLine="0"/>
              <w:rPr>
                <w:rFonts w:eastAsia="Times New Roman" w:cs="Calibri"/>
                <w:b/>
                <w:bCs/>
                <w:sz w:val="20"/>
                <w:szCs w:val="20"/>
              </w:rPr>
            </w:pPr>
            <w:r w:rsidRPr="009E3947">
              <w:rPr>
                <w:b/>
                <w:bCs/>
                <w:sz w:val="20"/>
                <w:szCs w:val="20"/>
              </w:rPr>
              <w:t>INGRESOS</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59016FD" w14:textId="7A029AF9" w:rsidR="004E6E64" w:rsidRPr="009E3947"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3CEA56E" w14:textId="55D8D224" w:rsidR="004E6E64" w:rsidRPr="009E3947"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29AD254F" w14:textId="2093816C" w:rsidR="004E6E64" w:rsidRPr="009E3947"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3A96BB1E" w14:textId="6D9C4F1A" w:rsidR="004E6E64" w:rsidRPr="009E3947" w:rsidRDefault="004E6E64" w:rsidP="004E6E64">
            <w:pPr>
              <w:ind w:left="0" w:firstLine="0"/>
              <w:rPr>
                <w:rFonts w:eastAsia="Times New Roman" w:cs="Calibri"/>
                <w:sz w:val="20"/>
                <w:szCs w:val="20"/>
                <w:lang w:eastAsia="en-GB"/>
              </w:rPr>
            </w:pPr>
          </w:p>
        </w:tc>
        <w:tc>
          <w:tcPr>
            <w:tcW w:w="1587" w:type="dxa"/>
            <w:tcBorders>
              <w:top w:val="single" w:sz="4" w:space="0" w:color="auto"/>
              <w:left w:val="nil"/>
              <w:bottom w:val="nil"/>
              <w:right w:val="nil"/>
            </w:tcBorders>
            <w:shd w:val="clear" w:color="auto" w:fill="auto"/>
            <w:noWrap/>
            <w:vAlign w:val="center"/>
            <w:hideMark/>
          </w:tcPr>
          <w:p w14:paraId="439548DD" w14:textId="2E61DC6F" w:rsidR="004E6E64" w:rsidRPr="009E3947"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vAlign w:val="center"/>
          </w:tcPr>
          <w:p w14:paraId="12021475" w14:textId="177087E9" w:rsidR="004E6E64" w:rsidRPr="009E3947"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9DA1" w14:textId="510031E0" w:rsidR="004E6E64" w:rsidRPr="009E3947" w:rsidRDefault="004E6E64" w:rsidP="004E6E64">
            <w:pPr>
              <w:ind w:left="0" w:firstLine="0"/>
              <w:rPr>
                <w:rFonts w:eastAsia="Times New Roman" w:cs="Calibri"/>
                <w:sz w:val="20"/>
                <w:szCs w:val="20"/>
                <w:lang w:eastAsia="en-GB"/>
              </w:rPr>
            </w:pPr>
          </w:p>
        </w:tc>
      </w:tr>
      <w:tr w:rsidR="004E6E64" w:rsidRPr="009E3947" w14:paraId="331373C6" w14:textId="6E00720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3BA0E21" w14:textId="355A2E8A" w:rsidR="004E6E64" w:rsidRPr="009E3947" w:rsidRDefault="004E6E64" w:rsidP="00F270A8">
            <w:pPr>
              <w:ind w:left="0" w:firstLine="0"/>
              <w:rPr>
                <w:rFonts w:eastAsia="Times New Roman" w:cs="Calibri"/>
                <w:sz w:val="20"/>
                <w:szCs w:val="20"/>
              </w:rPr>
            </w:pPr>
            <w:r w:rsidRPr="009E3947">
              <w:rPr>
                <w:sz w:val="20"/>
                <w:szCs w:val="20"/>
              </w:rPr>
              <w:t>Contribuciones de las Partes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5FB8386D" w:rsidR="004E6E64" w:rsidRPr="009E3947" w:rsidRDefault="004E6E64" w:rsidP="00F270A8">
            <w:pPr>
              <w:ind w:left="0" w:firstLine="0"/>
              <w:jc w:val="right"/>
              <w:rPr>
                <w:rFonts w:eastAsia="Times New Roman" w:cs="Calibri"/>
                <w:sz w:val="20"/>
                <w:szCs w:val="20"/>
              </w:rPr>
            </w:pPr>
            <w:r w:rsidRPr="009E3947">
              <w:rPr>
                <w:sz w:val="20"/>
                <w:szCs w:val="20"/>
              </w:rPr>
              <w:t>3 779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395994B3"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3CAA6E78"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74D99074" w:rsidR="004E6E64" w:rsidRPr="009E3947" w:rsidRDefault="004E6E64" w:rsidP="00F270A8">
            <w:pPr>
              <w:ind w:left="0" w:firstLine="0"/>
              <w:jc w:val="right"/>
              <w:rPr>
                <w:rFonts w:eastAsia="Times New Roman" w:cs="Calibri"/>
                <w:sz w:val="20"/>
                <w:szCs w:val="20"/>
              </w:rPr>
            </w:pPr>
            <w:r w:rsidRPr="009E3947">
              <w:rPr>
                <w:sz w:val="20"/>
                <w:szCs w:val="20"/>
              </w:rPr>
              <w:t>3</w:t>
            </w:r>
            <w:r w:rsidR="00A10967">
              <w:rPr>
                <w:sz w:val="20"/>
                <w:szCs w:val="20"/>
              </w:rPr>
              <w:t> </w:t>
            </w:r>
            <w:r w:rsidRPr="009E3947">
              <w:rPr>
                <w:sz w:val="20"/>
                <w:szCs w:val="20"/>
              </w:rPr>
              <w:t>779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C9A8A5A" w14:textId="4558F126" w:rsidR="004E6E64" w:rsidRPr="009E3947" w:rsidRDefault="004E6E64" w:rsidP="00F270A8">
            <w:pPr>
              <w:ind w:left="0" w:firstLine="0"/>
              <w:jc w:val="right"/>
              <w:rPr>
                <w:rFonts w:eastAsia="Times New Roman" w:cs="Calibri"/>
                <w:sz w:val="20"/>
                <w:szCs w:val="20"/>
              </w:rPr>
            </w:pPr>
            <w:r w:rsidRPr="009E3947">
              <w:rPr>
                <w:sz w:val="20"/>
                <w:szCs w:val="20"/>
              </w:rPr>
              <w:t>3</w:t>
            </w:r>
            <w:r w:rsidR="00A10967">
              <w:rPr>
                <w:sz w:val="20"/>
                <w:szCs w:val="20"/>
              </w:rPr>
              <w:t> </w:t>
            </w:r>
            <w:r w:rsidRPr="009E3947">
              <w:rPr>
                <w:sz w:val="20"/>
                <w:szCs w:val="20"/>
              </w:rPr>
              <w:t>779</w:t>
            </w:r>
          </w:p>
        </w:tc>
        <w:tc>
          <w:tcPr>
            <w:tcW w:w="1587" w:type="dxa"/>
            <w:tcBorders>
              <w:top w:val="single" w:sz="4" w:space="0" w:color="auto"/>
              <w:left w:val="single" w:sz="4" w:space="0" w:color="auto"/>
              <w:bottom w:val="single" w:sz="4" w:space="0" w:color="auto"/>
              <w:right w:val="single" w:sz="4" w:space="0" w:color="auto"/>
            </w:tcBorders>
          </w:tcPr>
          <w:p w14:paraId="0C3E3BE0" w14:textId="19F99D94"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5A0C" w14:textId="74D78CB7"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6679697B" w14:textId="21DF4659" w:rsidTr="004E6E64">
        <w:tc>
          <w:tcPr>
            <w:tcW w:w="3687" w:type="dxa"/>
            <w:tcBorders>
              <w:top w:val="nil"/>
              <w:left w:val="single" w:sz="4" w:space="0" w:color="auto"/>
              <w:bottom w:val="nil"/>
              <w:right w:val="nil"/>
            </w:tcBorders>
            <w:shd w:val="clear" w:color="auto" w:fill="auto"/>
            <w:noWrap/>
            <w:vAlign w:val="center"/>
            <w:hideMark/>
          </w:tcPr>
          <w:p w14:paraId="0C4D3EB0" w14:textId="2222DC9F" w:rsidR="004E6E64" w:rsidRPr="009E3947" w:rsidRDefault="004E6E64" w:rsidP="00F270A8">
            <w:pPr>
              <w:ind w:left="0" w:firstLine="0"/>
              <w:rPr>
                <w:rFonts w:eastAsia="Times New Roman" w:cs="Calibri"/>
                <w:sz w:val="20"/>
                <w:szCs w:val="20"/>
              </w:rPr>
            </w:pPr>
            <w:r w:rsidRPr="009E3947">
              <w:rPr>
                <w:sz w:val="20"/>
                <w:szCs w:val="20"/>
              </w:rPr>
              <w:t>Contribuciones voluntarias</w:t>
            </w:r>
          </w:p>
        </w:tc>
        <w:tc>
          <w:tcPr>
            <w:tcW w:w="1587" w:type="dxa"/>
            <w:tcBorders>
              <w:top w:val="nil"/>
              <w:left w:val="single" w:sz="4" w:space="0" w:color="auto"/>
              <w:bottom w:val="nil"/>
              <w:right w:val="single" w:sz="4" w:space="0" w:color="auto"/>
            </w:tcBorders>
            <w:shd w:val="clear" w:color="auto" w:fill="auto"/>
            <w:noWrap/>
            <w:vAlign w:val="center"/>
            <w:hideMark/>
          </w:tcPr>
          <w:p w14:paraId="0A6A8B8E" w14:textId="1B71B8B2"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065</w:t>
            </w:r>
          </w:p>
        </w:tc>
        <w:tc>
          <w:tcPr>
            <w:tcW w:w="1587" w:type="dxa"/>
            <w:tcBorders>
              <w:top w:val="nil"/>
              <w:left w:val="nil"/>
              <w:bottom w:val="nil"/>
              <w:right w:val="single" w:sz="4" w:space="0" w:color="auto"/>
            </w:tcBorders>
            <w:shd w:val="clear" w:color="auto" w:fill="auto"/>
            <w:noWrap/>
            <w:vAlign w:val="center"/>
            <w:hideMark/>
          </w:tcPr>
          <w:p w14:paraId="3478811B" w14:textId="1215B27D"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0DFDBD55" w14:textId="656D2805"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28DB7A73" w14:textId="1C9E9C29"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065</w:t>
            </w:r>
          </w:p>
        </w:tc>
        <w:tc>
          <w:tcPr>
            <w:tcW w:w="1587" w:type="dxa"/>
            <w:tcBorders>
              <w:top w:val="nil"/>
              <w:left w:val="nil"/>
              <w:bottom w:val="nil"/>
              <w:right w:val="single" w:sz="4" w:space="0" w:color="auto"/>
            </w:tcBorders>
            <w:shd w:val="clear" w:color="auto" w:fill="auto"/>
            <w:noWrap/>
            <w:vAlign w:val="center"/>
            <w:hideMark/>
          </w:tcPr>
          <w:p w14:paraId="06F54707" w14:textId="356FA2E3"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065</w:t>
            </w:r>
          </w:p>
        </w:tc>
        <w:tc>
          <w:tcPr>
            <w:tcW w:w="1587" w:type="dxa"/>
            <w:tcBorders>
              <w:top w:val="single" w:sz="4" w:space="0" w:color="auto"/>
              <w:left w:val="single" w:sz="4" w:space="0" w:color="auto"/>
              <w:bottom w:val="single" w:sz="4" w:space="0" w:color="auto"/>
              <w:right w:val="single" w:sz="4" w:space="0" w:color="auto"/>
            </w:tcBorders>
          </w:tcPr>
          <w:p w14:paraId="6AED15F8" w14:textId="5D5BC488"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9F7D" w14:textId="4A8BA95C"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1F63F6AD" w14:textId="12C4CE21" w:rsidTr="00082B43">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AD08340" w14:textId="0D9A9B8D" w:rsidR="004E6E64" w:rsidRPr="009E3947" w:rsidRDefault="004E6E64" w:rsidP="00F270A8">
            <w:pPr>
              <w:ind w:left="0" w:firstLine="0"/>
              <w:rPr>
                <w:rFonts w:eastAsia="Times New Roman" w:cs="Calibri"/>
                <w:sz w:val="20"/>
                <w:szCs w:val="20"/>
              </w:rPr>
            </w:pPr>
            <w:r w:rsidRPr="009E3947">
              <w:rPr>
                <w:sz w:val="20"/>
                <w:szCs w:val="20"/>
              </w:rPr>
              <w:t>Impuesto sobre la renta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F4E342E" w:rsidR="004E6E64" w:rsidRPr="009E3947" w:rsidRDefault="004E6E64" w:rsidP="00F270A8">
            <w:pPr>
              <w:ind w:left="0" w:firstLine="0"/>
              <w:jc w:val="right"/>
              <w:rPr>
                <w:rFonts w:eastAsia="Times New Roman" w:cs="Calibri"/>
                <w:sz w:val="20"/>
                <w:szCs w:val="20"/>
              </w:rPr>
            </w:pPr>
            <w:r w:rsidRPr="009E3947">
              <w:rPr>
                <w:sz w:val="20"/>
                <w:szCs w:val="20"/>
              </w:rPr>
              <w:t>225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634BF3F"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6099BB83"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E54FF6E" w:rsidR="004E6E64" w:rsidRPr="009E3947" w:rsidRDefault="004E6E64" w:rsidP="00F270A8">
            <w:pPr>
              <w:ind w:left="0" w:firstLine="0"/>
              <w:jc w:val="right"/>
              <w:rPr>
                <w:rFonts w:eastAsia="Times New Roman" w:cs="Calibri"/>
                <w:sz w:val="20"/>
                <w:szCs w:val="20"/>
              </w:rPr>
            </w:pPr>
            <w:r w:rsidRPr="009E3947">
              <w:rPr>
                <w:sz w:val="20"/>
                <w:szCs w:val="20"/>
              </w:rPr>
              <w:t>225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F97672C" w14:textId="7C50FA4A" w:rsidR="004E6E64" w:rsidRPr="009E3947" w:rsidRDefault="004E6E64" w:rsidP="00F270A8">
            <w:pPr>
              <w:ind w:left="0" w:firstLine="0"/>
              <w:jc w:val="right"/>
              <w:rPr>
                <w:rFonts w:eastAsia="Times New Roman" w:cs="Calibri"/>
                <w:sz w:val="20"/>
                <w:szCs w:val="20"/>
              </w:rPr>
            </w:pPr>
            <w:r w:rsidRPr="009E3947">
              <w:rPr>
                <w:sz w:val="20"/>
                <w:szCs w:val="20"/>
              </w:rPr>
              <w:t>194</w:t>
            </w:r>
          </w:p>
        </w:tc>
        <w:tc>
          <w:tcPr>
            <w:tcW w:w="1587" w:type="dxa"/>
            <w:tcBorders>
              <w:top w:val="single" w:sz="4" w:space="0" w:color="auto"/>
              <w:left w:val="single" w:sz="4" w:space="0" w:color="auto"/>
              <w:bottom w:val="single" w:sz="4" w:space="0" w:color="auto"/>
              <w:right w:val="single" w:sz="4" w:space="0" w:color="auto"/>
            </w:tcBorders>
          </w:tcPr>
          <w:p w14:paraId="165C328C" w14:textId="6CCBDFBA"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4ABD" w14:textId="713E18B4" w:rsidR="004E6E64" w:rsidRPr="009E3947" w:rsidRDefault="004E6E64" w:rsidP="00F270A8">
            <w:pPr>
              <w:ind w:left="0" w:firstLine="0"/>
              <w:jc w:val="right"/>
              <w:rPr>
                <w:rFonts w:eastAsia="Times New Roman" w:cs="Calibri"/>
                <w:sz w:val="20"/>
                <w:szCs w:val="20"/>
              </w:rPr>
            </w:pPr>
            <w:r w:rsidRPr="009E3947">
              <w:rPr>
                <w:sz w:val="20"/>
                <w:szCs w:val="20"/>
              </w:rPr>
              <w:t>31</w:t>
            </w:r>
          </w:p>
        </w:tc>
      </w:tr>
      <w:tr w:rsidR="004E6E64" w:rsidRPr="009E3947" w14:paraId="69F6A91D" w14:textId="20705655" w:rsidTr="00082B43">
        <w:tc>
          <w:tcPr>
            <w:tcW w:w="3687" w:type="dxa"/>
            <w:tcBorders>
              <w:top w:val="nil"/>
              <w:left w:val="single" w:sz="4" w:space="0" w:color="auto"/>
              <w:bottom w:val="nil"/>
              <w:right w:val="nil"/>
            </w:tcBorders>
            <w:shd w:val="clear" w:color="auto" w:fill="auto"/>
            <w:noWrap/>
            <w:vAlign w:val="center"/>
            <w:hideMark/>
          </w:tcPr>
          <w:p w14:paraId="58FAFF4C" w14:textId="232475C6" w:rsidR="004E6E64" w:rsidRPr="009E3947" w:rsidRDefault="004E6E64" w:rsidP="00F270A8">
            <w:pPr>
              <w:ind w:left="0" w:firstLine="0"/>
              <w:rPr>
                <w:rFonts w:eastAsia="Times New Roman" w:cs="Calibri"/>
                <w:sz w:val="20"/>
                <w:szCs w:val="20"/>
              </w:rPr>
            </w:pPr>
            <w:r w:rsidRPr="009E3947">
              <w:rPr>
                <w:sz w:val="20"/>
                <w:szCs w:val="20"/>
              </w:rPr>
              <w:t>Otros ingresos (incluyendo ingresos por intereses)</w:t>
            </w:r>
          </w:p>
        </w:tc>
        <w:tc>
          <w:tcPr>
            <w:tcW w:w="1587" w:type="dxa"/>
            <w:tcBorders>
              <w:top w:val="nil"/>
              <w:left w:val="single" w:sz="4" w:space="0" w:color="auto"/>
              <w:bottom w:val="nil"/>
              <w:right w:val="single" w:sz="4" w:space="0" w:color="auto"/>
            </w:tcBorders>
            <w:shd w:val="clear" w:color="auto" w:fill="auto"/>
            <w:noWrap/>
            <w:vAlign w:val="center"/>
            <w:hideMark/>
          </w:tcPr>
          <w:p w14:paraId="3020E625" w14:textId="48C6DFBB" w:rsidR="004E6E64" w:rsidRPr="009E3947" w:rsidRDefault="004E6E64" w:rsidP="00F270A8">
            <w:pPr>
              <w:ind w:left="0" w:firstLine="0"/>
              <w:jc w:val="right"/>
              <w:rPr>
                <w:rFonts w:eastAsia="Times New Roman" w:cs="Calibri"/>
                <w:sz w:val="20"/>
                <w:szCs w:val="20"/>
              </w:rPr>
            </w:pPr>
            <w:r w:rsidRPr="009E3947">
              <w:rPr>
                <w:sz w:val="20"/>
                <w:szCs w:val="20"/>
              </w:rPr>
              <w:t>12</w:t>
            </w:r>
          </w:p>
        </w:tc>
        <w:tc>
          <w:tcPr>
            <w:tcW w:w="1587" w:type="dxa"/>
            <w:tcBorders>
              <w:top w:val="nil"/>
              <w:left w:val="nil"/>
              <w:bottom w:val="nil"/>
              <w:right w:val="single" w:sz="4" w:space="0" w:color="auto"/>
            </w:tcBorders>
            <w:shd w:val="clear" w:color="auto" w:fill="auto"/>
            <w:noWrap/>
            <w:vAlign w:val="center"/>
            <w:hideMark/>
          </w:tcPr>
          <w:p w14:paraId="7929E39E" w14:textId="1081E89F"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570E1DDB" w14:textId="62C5CD83"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3E6C7A40" w14:textId="2D5DBB21" w:rsidR="004E6E64" w:rsidRPr="009E3947" w:rsidRDefault="004E6E64" w:rsidP="00F270A8">
            <w:pPr>
              <w:ind w:left="0" w:firstLine="0"/>
              <w:jc w:val="right"/>
              <w:rPr>
                <w:rFonts w:eastAsia="Times New Roman" w:cs="Calibri"/>
                <w:sz w:val="20"/>
                <w:szCs w:val="20"/>
              </w:rPr>
            </w:pPr>
            <w:r w:rsidRPr="009E3947">
              <w:rPr>
                <w:sz w:val="20"/>
                <w:szCs w:val="20"/>
              </w:rPr>
              <w:t>12</w:t>
            </w:r>
          </w:p>
        </w:tc>
        <w:tc>
          <w:tcPr>
            <w:tcW w:w="1587" w:type="dxa"/>
            <w:tcBorders>
              <w:top w:val="nil"/>
              <w:left w:val="nil"/>
              <w:bottom w:val="nil"/>
              <w:right w:val="single" w:sz="4" w:space="0" w:color="auto"/>
            </w:tcBorders>
            <w:shd w:val="clear" w:color="auto" w:fill="auto"/>
            <w:noWrap/>
            <w:vAlign w:val="center"/>
            <w:hideMark/>
          </w:tcPr>
          <w:p w14:paraId="629ABF6A" w14:textId="7646A6BA" w:rsidR="004E6E64" w:rsidRPr="009E3947" w:rsidRDefault="004E6E64" w:rsidP="00F270A8">
            <w:pPr>
              <w:ind w:left="0" w:firstLine="0"/>
              <w:jc w:val="right"/>
              <w:rPr>
                <w:rFonts w:eastAsia="Times New Roman" w:cs="Calibri"/>
                <w:sz w:val="20"/>
                <w:szCs w:val="20"/>
              </w:rPr>
            </w:pPr>
            <w:r w:rsidRPr="009E3947">
              <w:rPr>
                <w:sz w:val="20"/>
                <w:szCs w:val="20"/>
              </w:rPr>
              <w:t>52</w:t>
            </w:r>
          </w:p>
        </w:tc>
        <w:tc>
          <w:tcPr>
            <w:tcW w:w="1587" w:type="dxa"/>
            <w:tcBorders>
              <w:top w:val="single" w:sz="4" w:space="0" w:color="auto"/>
              <w:left w:val="single" w:sz="4" w:space="0" w:color="auto"/>
              <w:bottom w:val="single" w:sz="4" w:space="0" w:color="auto"/>
              <w:right w:val="single" w:sz="4" w:space="0" w:color="auto"/>
            </w:tcBorders>
          </w:tcPr>
          <w:p w14:paraId="674B60D0" w14:textId="051CF1B4"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704A" w14:textId="66FEFAE3" w:rsidR="004E6E64" w:rsidRPr="009E3947" w:rsidRDefault="004E6E64" w:rsidP="00F270A8">
            <w:pPr>
              <w:ind w:left="0" w:firstLine="0"/>
              <w:jc w:val="right"/>
              <w:rPr>
                <w:rFonts w:eastAsia="Times New Roman" w:cs="Calibri"/>
                <w:sz w:val="20"/>
                <w:szCs w:val="20"/>
              </w:rPr>
            </w:pPr>
            <w:r w:rsidRPr="009E3947">
              <w:rPr>
                <w:sz w:val="20"/>
                <w:szCs w:val="20"/>
              </w:rPr>
              <w:t>(40)</w:t>
            </w:r>
          </w:p>
        </w:tc>
      </w:tr>
      <w:tr w:rsidR="004E6E64" w:rsidRPr="009E3947" w14:paraId="5234A3FE" w14:textId="07249B04" w:rsidTr="00082B43">
        <w:tc>
          <w:tcPr>
            <w:tcW w:w="3687" w:type="dxa"/>
            <w:tcBorders>
              <w:top w:val="single" w:sz="4" w:space="0" w:color="auto"/>
              <w:left w:val="single" w:sz="4" w:space="0" w:color="auto"/>
              <w:bottom w:val="single" w:sz="4" w:space="0" w:color="auto"/>
              <w:right w:val="nil"/>
            </w:tcBorders>
            <w:shd w:val="clear" w:color="000000" w:fill="D6E3BC"/>
            <w:noWrap/>
            <w:vAlign w:val="center"/>
            <w:hideMark/>
          </w:tcPr>
          <w:p w14:paraId="36C29C65" w14:textId="10ACAEBC" w:rsidR="004E6E64" w:rsidRPr="009E3947" w:rsidRDefault="004E6E64" w:rsidP="00F270A8">
            <w:pPr>
              <w:ind w:left="0" w:firstLine="0"/>
              <w:rPr>
                <w:rFonts w:eastAsia="Times New Roman" w:cs="Calibri"/>
                <w:b/>
                <w:bCs/>
                <w:sz w:val="20"/>
                <w:szCs w:val="20"/>
              </w:rPr>
            </w:pPr>
            <w:r w:rsidRPr="009E3947">
              <w:rPr>
                <w:b/>
                <w:bCs/>
                <w:sz w:val="20"/>
                <w:szCs w:val="20"/>
              </w:rPr>
              <w:t>TOTAL, INGRESOS</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2D47DA87" w:rsidR="004E6E64" w:rsidRPr="009E3947" w:rsidRDefault="004E6E64" w:rsidP="00F270A8">
            <w:pPr>
              <w:ind w:left="0" w:firstLine="0"/>
              <w:jc w:val="right"/>
              <w:rPr>
                <w:rFonts w:eastAsia="Times New Roman" w:cs="Calibri"/>
                <w:b/>
                <w:bCs/>
                <w:sz w:val="20"/>
                <w:szCs w:val="20"/>
              </w:rPr>
            </w:pPr>
            <w:r w:rsidRPr="009E3947">
              <w:rPr>
                <w:b/>
                <w:bCs/>
                <w:sz w:val="20"/>
                <w:szCs w:val="20"/>
              </w:rPr>
              <w:t>5</w:t>
            </w:r>
            <w:r w:rsidR="00A10967">
              <w:rPr>
                <w:b/>
                <w:bCs/>
                <w:sz w:val="20"/>
                <w:szCs w:val="20"/>
              </w:rPr>
              <w:t> </w:t>
            </w:r>
            <w:r w:rsidRPr="009E3947">
              <w:rPr>
                <w:b/>
                <w:bCs/>
                <w:sz w:val="20"/>
                <w:szCs w:val="20"/>
              </w:rPr>
              <w:t>081</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6E67B2C6" w:rsidR="004E6E64" w:rsidRPr="009E3947" w:rsidRDefault="004E6E64" w:rsidP="00F270A8">
            <w:pPr>
              <w:ind w:left="0" w:firstLine="0"/>
              <w:jc w:val="right"/>
              <w:rPr>
                <w:rFonts w:eastAsia="Times New Roman" w:cs="Calibri"/>
                <w:b/>
                <w:bCs/>
                <w:sz w:val="20"/>
                <w:szCs w:val="20"/>
              </w:rPr>
            </w:pPr>
            <w:r w:rsidRPr="009E3947">
              <w:rPr>
                <w:b/>
                <w:bCs/>
                <w:sz w:val="20"/>
                <w:szCs w:val="20"/>
              </w:rPr>
              <w:t>0</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1B424C65" w:rsidR="004E6E64" w:rsidRPr="009E3947" w:rsidRDefault="004E6E64" w:rsidP="00F270A8">
            <w:pPr>
              <w:ind w:left="0" w:firstLine="0"/>
              <w:jc w:val="right"/>
              <w:rPr>
                <w:rFonts w:eastAsia="Times New Roman" w:cs="Calibri"/>
                <w:b/>
                <w:bCs/>
                <w:sz w:val="20"/>
                <w:szCs w:val="20"/>
              </w:rPr>
            </w:pPr>
            <w:r w:rsidRPr="009E3947">
              <w:rPr>
                <w:b/>
                <w:bCs/>
                <w:sz w:val="20"/>
                <w:szCs w:val="20"/>
              </w:rPr>
              <w:t>0</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1B2E8451" w:rsidR="004E6E64" w:rsidRPr="009E3947" w:rsidRDefault="004E6E64" w:rsidP="00F270A8">
            <w:pPr>
              <w:ind w:left="0" w:firstLine="0"/>
              <w:jc w:val="right"/>
              <w:rPr>
                <w:rFonts w:eastAsia="Times New Roman" w:cs="Calibri"/>
                <w:b/>
                <w:bCs/>
                <w:sz w:val="20"/>
                <w:szCs w:val="20"/>
              </w:rPr>
            </w:pPr>
            <w:r w:rsidRPr="009E3947">
              <w:rPr>
                <w:b/>
                <w:bCs/>
                <w:sz w:val="20"/>
                <w:szCs w:val="20"/>
              </w:rPr>
              <w:t>5</w:t>
            </w:r>
            <w:r w:rsidR="00A10967">
              <w:rPr>
                <w:b/>
                <w:bCs/>
                <w:sz w:val="20"/>
                <w:szCs w:val="20"/>
              </w:rPr>
              <w:t> </w:t>
            </w:r>
            <w:r w:rsidRPr="009E3947">
              <w:rPr>
                <w:b/>
                <w:bCs/>
                <w:sz w:val="20"/>
                <w:szCs w:val="20"/>
              </w:rPr>
              <w:t>081</w:t>
            </w:r>
          </w:p>
        </w:tc>
        <w:tc>
          <w:tcPr>
            <w:tcW w:w="1587" w:type="dxa"/>
            <w:tcBorders>
              <w:top w:val="single" w:sz="4" w:space="0" w:color="auto"/>
              <w:left w:val="nil"/>
              <w:bottom w:val="single" w:sz="4" w:space="0" w:color="auto"/>
              <w:right w:val="nil"/>
            </w:tcBorders>
            <w:shd w:val="clear" w:color="000000" w:fill="D6E3BC"/>
            <w:noWrap/>
            <w:vAlign w:val="center"/>
            <w:hideMark/>
          </w:tcPr>
          <w:p w14:paraId="19BA5A01" w14:textId="4DF2D197" w:rsidR="004E6E64" w:rsidRPr="009E3947" w:rsidRDefault="004E6E64" w:rsidP="00F270A8">
            <w:pPr>
              <w:ind w:left="0" w:firstLine="0"/>
              <w:jc w:val="right"/>
              <w:rPr>
                <w:rFonts w:eastAsia="Times New Roman" w:cs="Calibri"/>
                <w:b/>
                <w:sz w:val="20"/>
                <w:szCs w:val="20"/>
              </w:rPr>
            </w:pPr>
            <w:r w:rsidRPr="009E3947">
              <w:rPr>
                <w:b/>
                <w:sz w:val="20"/>
                <w:szCs w:val="20"/>
              </w:rPr>
              <w:t>5</w:t>
            </w:r>
            <w:r w:rsidR="00A10967">
              <w:rPr>
                <w:b/>
                <w:sz w:val="20"/>
                <w:szCs w:val="20"/>
              </w:rPr>
              <w:t> </w:t>
            </w:r>
            <w:r w:rsidRPr="009E3947">
              <w:rPr>
                <w:b/>
                <w:sz w:val="20"/>
                <w:szCs w:val="20"/>
              </w:rPr>
              <w:t>090</w:t>
            </w:r>
          </w:p>
        </w:tc>
        <w:tc>
          <w:tcPr>
            <w:tcW w:w="1587" w:type="dxa"/>
            <w:tcBorders>
              <w:top w:val="single" w:sz="4" w:space="0" w:color="auto"/>
              <w:left w:val="nil"/>
              <w:bottom w:val="single" w:sz="4" w:space="0" w:color="auto"/>
              <w:right w:val="single" w:sz="4" w:space="0" w:color="auto"/>
            </w:tcBorders>
            <w:shd w:val="clear" w:color="000000" w:fill="D6E3BC"/>
          </w:tcPr>
          <w:p w14:paraId="64F47A6C" w14:textId="05512745" w:rsidR="004E6E64" w:rsidRPr="009E3947" w:rsidRDefault="004E6E64" w:rsidP="00F270A8">
            <w:pPr>
              <w:ind w:left="0" w:firstLine="0"/>
              <w:jc w:val="right"/>
              <w:rPr>
                <w:rFonts w:eastAsia="Times New Roman" w:cs="Calibri"/>
                <w:b/>
                <w:bCs/>
                <w:sz w:val="20"/>
                <w:szCs w:val="20"/>
              </w:rPr>
            </w:pPr>
            <w:r w:rsidRPr="009E3947">
              <w:rPr>
                <w:b/>
                <w:bCs/>
                <w:sz w:val="20"/>
                <w:szCs w:val="20"/>
              </w:rPr>
              <w:t>0</w:t>
            </w:r>
          </w:p>
        </w:tc>
        <w:tc>
          <w:tcPr>
            <w:tcW w:w="158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3F6129B" w14:textId="3FEDB338" w:rsidR="004E6E64" w:rsidRPr="009E3947" w:rsidRDefault="004E6E64" w:rsidP="00F270A8">
            <w:pPr>
              <w:ind w:left="0" w:firstLine="0"/>
              <w:jc w:val="right"/>
              <w:rPr>
                <w:rFonts w:eastAsia="Times New Roman" w:cs="Calibri"/>
                <w:b/>
                <w:bCs/>
                <w:sz w:val="20"/>
                <w:szCs w:val="20"/>
              </w:rPr>
            </w:pPr>
            <w:r w:rsidRPr="009E3947">
              <w:rPr>
                <w:b/>
                <w:bCs/>
                <w:sz w:val="20"/>
                <w:szCs w:val="20"/>
              </w:rPr>
              <w:t>(9)</w:t>
            </w:r>
          </w:p>
        </w:tc>
      </w:tr>
      <w:tr w:rsidR="004E6E64" w:rsidRPr="009E3947" w14:paraId="64DE6796" w14:textId="5EEE68C9" w:rsidTr="004E6E64">
        <w:tc>
          <w:tcPr>
            <w:tcW w:w="3687" w:type="dxa"/>
            <w:tcBorders>
              <w:top w:val="nil"/>
              <w:left w:val="single" w:sz="4" w:space="0" w:color="auto"/>
              <w:right w:val="nil"/>
            </w:tcBorders>
            <w:shd w:val="clear" w:color="auto" w:fill="auto"/>
            <w:noWrap/>
            <w:vAlign w:val="center"/>
            <w:hideMark/>
          </w:tcPr>
          <w:p w14:paraId="4E8F38D3" w14:textId="6DA7FF44" w:rsidR="004E6E64" w:rsidRPr="009E3947" w:rsidRDefault="004E6E64" w:rsidP="00F270A8">
            <w:pPr>
              <w:ind w:left="0" w:firstLine="0"/>
              <w:rPr>
                <w:rFonts w:eastAsia="Times New Roman" w:cs="Calibri"/>
                <w:b/>
                <w:bCs/>
                <w:sz w:val="20"/>
                <w:szCs w:val="20"/>
                <w:lang w:eastAsia="en-GB"/>
              </w:rPr>
            </w:pPr>
          </w:p>
          <w:p w14:paraId="48841F64" w14:textId="592ACB62" w:rsidR="004E6E64" w:rsidRPr="009E3947" w:rsidRDefault="004E6E64" w:rsidP="00F270A8">
            <w:pPr>
              <w:ind w:left="0" w:firstLine="0"/>
              <w:rPr>
                <w:rFonts w:eastAsia="Times New Roman" w:cs="Calibri"/>
                <w:b/>
                <w:bCs/>
                <w:sz w:val="20"/>
                <w:szCs w:val="20"/>
              </w:rPr>
            </w:pPr>
            <w:r w:rsidRPr="009E3947">
              <w:rPr>
                <w:b/>
                <w:bCs/>
                <w:sz w:val="20"/>
                <w:szCs w:val="20"/>
              </w:rPr>
              <w:t>GASTOS</w:t>
            </w:r>
          </w:p>
        </w:tc>
        <w:tc>
          <w:tcPr>
            <w:tcW w:w="1587" w:type="dxa"/>
            <w:tcBorders>
              <w:top w:val="nil"/>
              <w:left w:val="single" w:sz="4" w:space="0" w:color="auto"/>
              <w:bottom w:val="nil"/>
              <w:right w:val="single" w:sz="4" w:space="0" w:color="auto"/>
            </w:tcBorders>
            <w:shd w:val="clear" w:color="auto" w:fill="auto"/>
            <w:noWrap/>
            <w:vAlign w:val="center"/>
            <w:hideMark/>
          </w:tcPr>
          <w:p w14:paraId="0FB50A2F" w14:textId="53FB603E" w:rsidR="004E6E64" w:rsidRPr="009E3947"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2F547229" w14:textId="0D8C21DA" w:rsidR="004E6E64" w:rsidRPr="009E3947"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55AC5480" w14:textId="57645174" w:rsidR="004E6E64" w:rsidRPr="009E3947"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5CD59086" w14:textId="3E95A29C" w:rsidR="004E6E64" w:rsidRPr="009E3947" w:rsidRDefault="004E6E64" w:rsidP="004E6E64">
            <w:pPr>
              <w:ind w:left="0" w:firstLine="0"/>
              <w:rPr>
                <w:rFonts w:eastAsia="Times New Roman" w:cs="Calibri"/>
                <w:sz w:val="20"/>
                <w:szCs w:val="20"/>
                <w:lang w:eastAsia="en-GB"/>
              </w:rPr>
            </w:pPr>
          </w:p>
        </w:tc>
        <w:tc>
          <w:tcPr>
            <w:tcW w:w="1587" w:type="dxa"/>
            <w:tcBorders>
              <w:top w:val="nil"/>
              <w:left w:val="nil"/>
              <w:bottom w:val="nil"/>
              <w:right w:val="nil"/>
            </w:tcBorders>
            <w:shd w:val="clear" w:color="auto" w:fill="auto"/>
            <w:noWrap/>
            <w:vAlign w:val="center"/>
            <w:hideMark/>
          </w:tcPr>
          <w:p w14:paraId="08164E8F" w14:textId="5C00A567" w:rsidR="004E6E64" w:rsidRPr="009E3947" w:rsidRDefault="004E6E64" w:rsidP="004E6E64">
            <w:pPr>
              <w:ind w:left="0" w:firstLine="0"/>
              <w:rPr>
                <w:rFonts w:eastAsia="Times New Roman" w:cs="Calibri"/>
                <w:sz w:val="20"/>
                <w:szCs w:val="20"/>
                <w:highlight w:val="cyan"/>
                <w:lang w:eastAsia="en-GB"/>
              </w:rPr>
            </w:pPr>
          </w:p>
        </w:tc>
        <w:tc>
          <w:tcPr>
            <w:tcW w:w="1587" w:type="dxa"/>
            <w:tcBorders>
              <w:top w:val="nil"/>
              <w:left w:val="single" w:sz="4" w:space="0" w:color="auto"/>
              <w:bottom w:val="nil"/>
              <w:right w:val="single" w:sz="4" w:space="0" w:color="auto"/>
            </w:tcBorders>
            <w:vAlign w:val="center"/>
          </w:tcPr>
          <w:p w14:paraId="0DDD83B9" w14:textId="46648936" w:rsidR="004E6E64" w:rsidRPr="009E3947"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088B58E8" w14:textId="15E398A9" w:rsidR="004E6E64" w:rsidRPr="009E3947" w:rsidRDefault="004E6E64" w:rsidP="004E6E64">
            <w:pPr>
              <w:ind w:left="0" w:firstLine="0"/>
              <w:rPr>
                <w:rFonts w:eastAsia="Times New Roman" w:cs="Calibri"/>
                <w:sz w:val="20"/>
                <w:szCs w:val="20"/>
                <w:lang w:eastAsia="en-GB"/>
              </w:rPr>
            </w:pPr>
          </w:p>
        </w:tc>
      </w:tr>
      <w:tr w:rsidR="004E6E64" w:rsidRPr="009E3947" w14:paraId="593B2F4F" w14:textId="01B73900" w:rsidTr="00082B43">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3D5BB43F" w14:textId="7E6F0B24" w:rsidR="004E6E64" w:rsidRPr="009E3947" w:rsidRDefault="004E6E64" w:rsidP="00F270A8">
            <w:pPr>
              <w:ind w:left="0" w:firstLine="0"/>
              <w:rPr>
                <w:rFonts w:eastAsia="Times New Roman" w:cs="Calibri"/>
                <w:sz w:val="20"/>
                <w:szCs w:val="20"/>
              </w:rPr>
            </w:pPr>
            <w:r w:rsidRPr="009E3947">
              <w:rPr>
                <w:sz w:val="20"/>
                <w:szCs w:val="20"/>
              </w:rPr>
              <w:t>A.  Altos cargos de la Secretaría y gobernanza</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2208AA1D"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062</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22B0DD48"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351209B2"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6FF970DC"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067</w:t>
            </w:r>
          </w:p>
        </w:tc>
        <w:tc>
          <w:tcPr>
            <w:tcW w:w="1587" w:type="dxa"/>
            <w:tcBorders>
              <w:top w:val="single" w:sz="4" w:space="0" w:color="auto"/>
              <w:left w:val="nil"/>
              <w:bottom w:val="single" w:sz="4" w:space="0" w:color="auto"/>
              <w:right w:val="nil"/>
            </w:tcBorders>
            <w:shd w:val="clear" w:color="000000" w:fill="EAF1DD"/>
            <w:noWrap/>
            <w:vAlign w:val="center"/>
            <w:hideMark/>
          </w:tcPr>
          <w:p w14:paraId="3886F708" w14:textId="6B6C1B6D"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281</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CCD3E" w14:textId="453EE385" w:rsidR="004E6E64" w:rsidRPr="009E3947" w:rsidRDefault="003432B8" w:rsidP="00A94971">
            <w:pPr>
              <w:ind w:left="0" w:firstLine="0"/>
              <w:jc w:val="right"/>
              <w:rPr>
                <w:rFonts w:eastAsia="Times New Roman" w:cs="Calibri"/>
                <w:sz w:val="20"/>
                <w:szCs w:val="20"/>
              </w:rPr>
            </w:pPr>
            <w:r w:rsidRPr="009E3947">
              <w:rPr>
                <w:sz w:val="20"/>
                <w:szCs w:val="20"/>
              </w:rPr>
              <w:t>215</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86FA3F" w14:textId="3524EE07" w:rsidR="004E6E64" w:rsidRPr="009E3947" w:rsidRDefault="004E6E64" w:rsidP="00F270A8">
            <w:pPr>
              <w:ind w:left="0" w:firstLine="0"/>
              <w:jc w:val="right"/>
              <w:rPr>
                <w:rFonts w:eastAsia="Times New Roman" w:cs="Calibri"/>
                <w:sz w:val="20"/>
                <w:szCs w:val="20"/>
                <w:highlight w:val="yellow"/>
              </w:rPr>
            </w:pPr>
            <w:r w:rsidRPr="009E3947">
              <w:rPr>
                <w:sz w:val="20"/>
                <w:szCs w:val="20"/>
              </w:rPr>
              <w:t>0</w:t>
            </w:r>
          </w:p>
        </w:tc>
      </w:tr>
      <w:tr w:rsidR="004E6E64" w:rsidRPr="009E3947" w14:paraId="2254EEEB" w14:textId="6D0E4124"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6D1261E1" w:rsidR="004E6E64" w:rsidRPr="009E3947" w:rsidRDefault="004E6E64" w:rsidP="00F270A8">
            <w:pPr>
              <w:ind w:left="0" w:firstLine="0"/>
              <w:rPr>
                <w:rFonts w:eastAsia="Times New Roman" w:cs="Calibri"/>
                <w:sz w:val="20"/>
                <w:szCs w:val="20"/>
              </w:rPr>
            </w:pPr>
            <w:r w:rsidRPr="009E3947">
              <w:rPr>
                <w:sz w:val="20"/>
                <w:szCs w:val="20"/>
              </w:rPr>
              <w:t>Salarios, gastos sociales y otras prestaciones laborales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1CABF95D"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022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D3C575C"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0EF05C63"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28E5B31C"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022</w:t>
            </w:r>
          </w:p>
        </w:tc>
        <w:tc>
          <w:tcPr>
            <w:tcW w:w="1587" w:type="dxa"/>
            <w:tcBorders>
              <w:top w:val="single" w:sz="4" w:space="0" w:color="auto"/>
              <w:left w:val="nil"/>
              <w:bottom w:val="single" w:sz="4" w:space="0" w:color="auto"/>
              <w:right w:val="nil"/>
            </w:tcBorders>
            <w:shd w:val="clear" w:color="auto" w:fill="auto"/>
            <w:noWrap/>
            <w:vAlign w:val="center"/>
            <w:hideMark/>
          </w:tcPr>
          <w:p w14:paraId="091D6344" w14:textId="32233E54"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161</w:t>
            </w:r>
          </w:p>
        </w:tc>
        <w:tc>
          <w:tcPr>
            <w:tcW w:w="1587" w:type="dxa"/>
            <w:tcBorders>
              <w:top w:val="single" w:sz="4" w:space="0" w:color="auto"/>
              <w:left w:val="single" w:sz="4" w:space="0" w:color="auto"/>
              <w:bottom w:val="single" w:sz="4" w:space="0" w:color="auto"/>
              <w:right w:val="single" w:sz="4" w:space="0" w:color="auto"/>
            </w:tcBorders>
          </w:tcPr>
          <w:p w14:paraId="745364C8" w14:textId="1402D64F" w:rsidR="004E6E64" w:rsidRPr="009E3947" w:rsidRDefault="004E6E64" w:rsidP="00F270A8">
            <w:pPr>
              <w:ind w:left="0" w:firstLine="0"/>
              <w:jc w:val="right"/>
              <w:rPr>
                <w:rFonts w:eastAsia="Times New Roman" w:cs="Calibri"/>
                <w:sz w:val="20"/>
                <w:szCs w:val="20"/>
              </w:rPr>
            </w:pPr>
            <w:r w:rsidRPr="009E3947">
              <w:rPr>
                <w:sz w:val="20"/>
                <w:szCs w:val="20"/>
              </w:rPr>
              <w:t>139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454B8174"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4977BFE6" w14:textId="085D01D3" w:rsidTr="004E6E64">
        <w:tc>
          <w:tcPr>
            <w:tcW w:w="3687" w:type="dxa"/>
            <w:tcBorders>
              <w:top w:val="single" w:sz="4" w:space="0" w:color="auto"/>
              <w:left w:val="single" w:sz="4" w:space="0" w:color="auto"/>
              <w:bottom w:val="nil"/>
              <w:right w:val="nil"/>
            </w:tcBorders>
            <w:shd w:val="clear" w:color="auto" w:fill="auto"/>
            <w:noWrap/>
            <w:vAlign w:val="center"/>
            <w:hideMark/>
          </w:tcPr>
          <w:p w14:paraId="17CBCB93" w14:textId="56E5FC36" w:rsidR="004E6E64" w:rsidRPr="009E3947" w:rsidRDefault="004E6E64" w:rsidP="00F270A8">
            <w:pPr>
              <w:ind w:left="0" w:firstLine="0"/>
              <w:rPr>
                <w:rFonts w:eastAsia="Times New Roman" w:cs="Calibri"/>
                <w:sz w:val="20"/>
                <w:szCs w:val="20"/>
              </w:rPr>
            </w:pPr>
            <w:r w:rsidRPr="009E3947">
              <w:rPr>
                <w:sz w:val="20"/>
                <w:szCs w:val="20"/>
              </w:rPr>
              <w:t>Viajes</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50098074" w:rsidR="004E6E64" w:rsidRPr="009E3947" w:rsidRDefault="004E6E64" w:rsidP="00F270A8">
            <w:pPr>
              <w:ind w:left="0" w:firstLine="0"/>
              <w:jc w:val="right"/>
              <w:rPr>
                <w:rFonts w:eastAsia="Times New Roman" w:cs="Calibri"/>
                <w:sz w:val="20"/>
                <w:szCs w:val="20"/>
              </w:rPr>
            </w:pPr>
            <w:r w:rsidRPr="009E3947">
              <w:rPr>
                <w:sz w:val="20"/>
                <w:szCs w:val="20"/>
              </w:rPr>
              <w:t>40</w:t>
            </w:r>
          </w:p>
        </w:tc>
        <w:tc>
          <w:tcPr>
            <w:tcW w:w="1587" w:type="dxa"/>
            <w:tcBorders>
              <w:top w:val="single" w:sz="4" w:space="0" w:color="auto"/>
              <w:left w:val="nil"/>
              <w:bottom w:val="nil"/>
              <w:right w:val="single" w:sz="4" w:space="0" w:color="auto"/>
            </w:tcBorders>
            <w:shd w:val="clear" w:color="auto" w:fill="auto"/>
            <w:noWrap/>
            <w:vAlign w:val="center"/>
            <w:hideMark/>
          </w:tcPr>
          <w:p w14:paraId="3AD8B56A" w14:textId="1791BE01"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single" w:sz="4" w:space="0" w:color="auto"/>
              <w:left w:val="nil"/>
              <w:bottom w:val="nil"/>
              <w:right w:val="single" w:sz="4" w:space="0" w:color="auto"/>
            </w:tcBorders>
            <w:shd w:val="clear" w:color="auto" w:fill="auto"/>
            <w:noWrap/>
            <w:vAlign w:val="center"/>
            <w:hideMark/>
          </w:tcPr>
          <w:p w14:paraId="26B47AE1" w14:textId="1709A86D"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nil"/>
              <w:right w:val="single" w:sz="4" w:space="0" w:color="auto"/>
            </w:tcBorders>
            <w:shd w:val="clear" w:color="auto" w:fill="auto"/>
            <w:noWrap/>
            <w:vAlign w:val="center"/>
            <w:hideMark/>
          </w:tcPr>
          <w:p w14:paraId="5DF54AA7" w14:textId="31ECF7E4" w:rsidR="004E6E64" w:rsidRPr="009E3947" w:rsidRDefault="004E6E64" w:rsidP="00F270A8">
            <w:pPr>
              <w:ind w:left="0" w:firstLine="0"/>
              <w:jc w:val="right"/>
              <w:rPr>
                <w:rFonts w:eastAsia="Times New Roman" w:cs="Calibri"/>
                <w:sz w:val="20"/>
                <w:szCs w:val="20"/>
              </w:rPr>
            </w:pPr>
            <w:r w:rsidRPr="009E3947">
              <w:rPr>
                <w:sz w:val="20"/>
                <w:szCs w:val="20"/>
              </w:rPr>
              <w:t>45</w:t>
            </w:r>
          </w:p>
        </w:tc>
        <w:tc>
          <w:tcPr>
            <w:tcW w:w="1587" w:type="dxa"/>
            <w:tcBorders>
              <w:top w:val="single" w:sz="4" w:space="0" w:color="auto"/>
              <w:left w:val="nil"/>
              <w:bottom w:val="nil"/>
              <w:right w:val="nil"/>
            </w:tcBorders>
            <w:shd w:val="clear" w:color="auto" w:fill="auto"/>
            <w:noWrap/>
            <w:vAlign w:val="center"/>
            <w:hideMark/>
          </w:tcPr>
          <w:p w14:paraId="263DD71D" w14:textId="4BE44999" w:rsidR="004E6E64" w:rsidRPr="009E3947" w:rsidRDefault="004E6E64" w:rsidP="00F270A8">
            <w:pPr>
              <w:ind w:left="0" w:firstLine="0"/>
              <w:jc w:val="right"/>
              <w:rPr>
                <w:rFonts w:eastAsia="Times New Roman" w:cs="Calibri"/>
                <w:sz w:val="20"/>
                <w:szCs w:val="20"/>
              </w:rPr>
            </w:pPr>
            <w:r w:rsidRPr="009E3947">
              <w:rPr>
                <w:sz w:val="20"/>
                <w:szCs w:val="20"/>
              </w:rPr>
              <w:t>121</w:t>
            </w:r>
          </w:p>
        </w:tc>
        <w:tc>
          <w:tcPr>
            <w:tcW w:w="1587" w:type="dxa"/>
            <w:tcBorders>
              <w:top w:val="single" w:sz="4" w:space="0" w:color="auto"/>
              <w:left w:val="single" w:sz="4" w:space="0" w:color="auto"/>
              <w:bottom w:val="nil"/>
              <w:right w:val="single" w:sz="4" w:space="0" w:color="auto"/>
            </w:tcBorders>
          </w:tcPr>
          <w:p w14:paraId="59A8AB1E" w14:textId="5F274D20" w:rsidR="004E6E64" w:rsidRPr="009E3947" w:rsidRDefault="004E6E64" w:rsidP="00F270A8">
            <w:pPr>
              <w:ind w:left="0" w:firstLine="0"/>
              <w:jc w:val="right"/>
              <w:rPr>
                <w:rFonts w:eastAsia="Times New Roman" w:cs="Calibri"/>
                <w:sz w:val="20"/>
                <w:szCs w:val="20"/>
              </w:rPr>
            </w:pPr>
            <w:r w:rsidRPr="009E3947">
              <w:rPr>
                <w:sz w:val="20"/>
                <w:szCs w:val="20"/>
              </w:rPr>
              <w:t>76</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E37737F"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3BD117A4" w14:textId="707B8FED"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209C34F" w14:textId="731BB711" w:rsidR="004E6E64" w:rsidRPr="009E3947" w:rsidRDefault="004E6E64" w:rsidP="00F270A8">
            <w:pPr>
              <w:ind w:left="0" w:firstLine="0"/>
              <w:rPr>
                <w:rFonts w:eastAsia="Times New Roman" w:cs="Calibri"/>
                <w:sz w:val="20"/>
                <w:szCs w:val="20"/>
              </w:rPr>
            </w:pPr>
            <w:r w:rsidRPr="009E3947">
              <w:rPr>
                <w:sz w:val="20"/>
                <w:szCs w:val="20"/>
              </w:rPr>
              <w:t>B.  Movilización de recursos y promoción</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3056CE4B" w:rsidR="004E6E64" w:rsidRPr="009E3947" w:rsidRDefault="004E6E64" w:rsidP="00F270A8">
            <w:pPr>
              <w:ind w:left="0" w:firstLine="0"/>
              <w:jc w:val="right"/>
              <w:rPr>
                <w:rFonts w:eastAsia="Times New Roman" w:cs="Calibri"/>
                <w:sz w:val="20"/>
                <w:szCs w:val="20"/>
              </w:rPr>
            </w:pPr>
            <w:r w:rsidRPr="009E3947">
              <w:rPr>
                <w:sz w:val="20"/>
                <w:szCs w:val="20"/>
              </w:rPr>
              <w:t>508</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1EA34332" w:rsidR="004E6E64" w:rsidRPr="009E3947" w:rsidRDefault="004E6E64" w:rsidP="00F270A8">
            <w:pPr>
              <w:ind w:left="0" w:firstLine="0"/>
              <w:jc w:val="right"/>
              <w:rPr>
                <w:rFonts w:eastAsia="Times New Roman" w:cs="Calibri"/>
                <w:sz w:val="20"/>
                <w:szCs w:val="20"/>
              </w:rPr>
            </w:pPr>
            <w:r w:rsidRPr="009E3947">
              <w:rPr>
                <w:sz w:val="20"/>
                <w:szCs w:val="20"/>
              </w:rPr>
              <w:t>45</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2CC4E576" w:rsidR="004E6E64" w:rsidRPr="009E3947" w:rsidRDefault="004E6E64" w:rsidP="00F270A8">
            <w:pPr>
              <w:ind w:left="0" w:firstLine="0"/>
              <w:jc w:val="right"/>
              <w:rPr>
                <w:rFonts w:eastAsia="Times New Roman" w:cs="Calibri"/>
                <w:sz w:val="20"/>
                <w:szCs w:val="20"/>
              </w:rPr>
            </w:pPr>
            <w:r w:rsidRPr="009E3947">
              <w:rPr>
                <w:sz w:val="20"/>
                <w:szCs w:val="20"/>
              </w:rPr>
              <w:t>263</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3E83D049" w:rsidR="004E6E64" w:rsidRPr="009E3947" w:rsidRDefault="00C772EE" w:rsidP="00F270A8">
            <w:pPr>
              <w:ind w:left="0" w:firstLine="0"/>
              <w:jc w:val="right"/>
              <w:rPr>
                <w:rFonts w:eastAsia="Times New Roman" w:cs="Calibri"/>
                <w:sz w:val="20"/>
                <w:szCs w:val="20"/>
              </w:rPr>
            </w:pPr>
            <w:r w:rsidRPr="009E3947">
              <w:rPr>
                <w:sz w:val="20"/>
                <w:szCs w:val="20"/>
              </w:rPr>
              <w:t>816</w:t>
            </w:r>
          </w:p>
        </w:tc>
        <w:tc>
          <w:tcPr>
            <w:tcW w:w="1587" w:type="dxa"/>
            <w:tcBorders>
              <w:top w:val="single" w:sz="4" w:space="0" w:color="auto"/>
              <w:left w:val="nil"/>
              <w:bottom w:val="single" w:sz="4" w:space="0" w:color="auto"/>
              <w:right w:val="nil"/>
            </w:tcBorders>
            <w:shd w:val="clear" w:color="000000" w:fill="EAF1DD"/>
            <w:noWrap/>
            <w:vAlign w:val="center"/>
            <w:hideMark/>
          </w:tcPr>
          <w:p w14:paraId="0F62E098" w14:textId="01C6C056" w:rsidR="004E6E64" w:rsidRPr="009E3947" w:rsidRDefault="004E6E64" w:rsidP="00F270A8">
            <w:pPr>
              <w:ind w:left="0" w:firstLine="0"/>
              <w:jc w:val="right"/>
              <w:rPr>
                <w:rFonts w:eastAsia="Times New Roman" w:cs="Calibri"/>
                <w:sz w:val="20"/>
                <w:szCs w:val="20"/>
              </w:rPr>
            </w:pPr>
            <w:r w:rsidRPr="009E3947">
              <w:rPr>
                <w:sz w:val="20"/>
                <w:szCs w:val="20"/>
              </w:rPr>
              <w:t>668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067AE515" w14:textId="1FE0C9E4" w:rsidR="004E6E64" w:rsidRPr="009E3947" w:rsidRDefault="004E6E64" w:rsidP="00F270A8">
            <w:pPr>
              <w:ind w:left="0" w:firstLine="0"/>
              <w:jc w:val="right"/>
              <w:rPr>
                <w:rFonts w:eastAsia="Times New Roman" w:cs="Calibri"/>
                <w:sz w:val="20"/>
                <w:szCs w:val="20"/>
              </w:rPr>
            </w:pPr>
            <w:r w:rsidRPr="009E3947">
              <w:rPr>
                <w:sz w:val="20"/>
                <w:szCs w:val="20"/>
              </w:rPr>
              <w:t>(66)</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0DADFE95" w:rsidR="004E6E64" w:rsidRPr="009E3947" w:rsidRDefault="004E6E64" w:rsidP="00F270A8">
            <w:pPr>
              <w:ind w:left="0" w:firstLine="0"/>
              <w:jc w:val="right"/>
              <w:rPr>
                <w:rFonts w:eastAsia="Times New Roman" w:cs="Calibri"/>
                <w:sz w:val="20"/>
                <w:szCs w:val="20"/>
              </w:rPr>
            </w:pPr>
            <w:r w:rsidRPr="009E3947">
              <w:rPr>
                <w:sz w:val="20"/>
                <w:szCs w:val="20"/>
              </w:rPr>
              <w:t>82</w:t>
            </w:r>
          </w:p>
        </w:tc>
      </w:tr>
      <w:tr w:rsidR="004E6E64" w:rsidRPr="009E3947" w14:paraId="20499D8D" w14:textId="57868CEB"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6917A007" w:rsidR="004E6E64" w:rsidRPr="009E3947" w:rsidRDefault="004E6E64" w:rsidP="00F270A8">
            <w:pPr>
              <w:ind w:left="0" w:firstLine="0"/>
              <w:rPr>
                <w:rFonts w:eastAsia="Times New Roman" w:cs="Calibri"/>
                <w:sz w:val="20"/>
                <w:szCs w:val="20"/>
              </w:rPr>
            </w:pPr>
            <w:r w:rsidRPr="009E3947">
              <w:rPr>
                <w:sz w:val="20"/>
                <w:szCs w:val="20"/>
              </w:rPr>
              <w:t>Salarios, gastos sociales y otras prestaciones laborales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063AB87D" w:rsidR="004E6E64" w:rsidRPr="009E3947" w:rsidRDefault="004E6E64" w:rsidP="00F270A8">
            <w:pPr>
              <w:ind w:left="0" w:firstLine="0"/>
              <w:jc w:val="right"/>
              <w:rPr>
                <w:rFonts w:eastAsia="Times New Roman" w:cs="Calibri"/>
                <w:sz w:val="20"/>
                <w:szCs w:val="20"/>
              </w:rPr>
            </w:pPr>
            <w:r w:rsidRPr="009E3947">
              <w:rPr>
                <w:sz w:val="20"/>
                <w:szCs w:val="20"/>
              </w:rPr>
              <w:t>352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592B9365"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3178C8F1" w:rsidR="004E6E64" w:rsidRPr="009E3947" w:rsidRDefault="004E6E64" w:rsidP="00F270A8">
            <w:pPr>
              <w:ind w:left="0" w:firstLine="0"/>
              <w:jc w:val="right"/>
              <w:rPr>
                <w:rFonts w:eastAsia="Times New Roman" w:cs="Calibri"/>
                <w:sz w:val="20"/>
                <w:szCs w:val="20"/>
              </w:rPr>
            </w:pPr>
            <w:r w:rsidRPr="009E3947">
              <w:rPr>
                <w:sz w:val="20"/>
                <w:szCs w:val="20"/>
              </w:rPr>
              <w:t>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6BA00CD2" w:rsidR="004E6E64" w:rsidRPr="009E3947" w:rsidRDefault="004E6E64" w:rsidP="00F270A8">
            <w:pPr>
              <w:ind w:left="0" w:firstLine="0"/>
              <w:jc w:val="right"/>
              <w:rPr>
                <w:rFonts w:eastAsia="Times New Roman" w:cs="Calibri"/>
                <w:sz w:val="20"/>
                <w:szCs w:val="20"/>
              </w:rPr>
            </w:pPr>
            <w:r w:rsidRPr="009E3947">
              <w:rPr>
                <w:sz w:val="20"/>
                <w:szCs w:val="20"/>
              </w:rPr>
              <w:t>358</w:t>
            </w:r>
          </w:p>
        </w:tc>
        <w:tc>
          <w:tcPr>
            <w:tcW w:w="1587" w:type="dxa"/>
            <w:tcBorders>
              <w:top w:val="single" w:sz="4" w:space="0" w:color="auto"/>
              <w:left w:val="nil"/>
              <w:bottom w:val="single" w:sz="4" w:space="0" w:color="auto"/>
              <w:right w:val="nil"/>
            </w:tcBorders>
            <w:shd w:val="clear" w:color="auto" w:fill="auto"/>
            <w:noWrap/>
            <w:vAlign w:val="center"/>
            <w:hideMark/>
          </w:tcPr>
          <w:p w14:paraId="0839AE05" w14:textId="670C49EE" w:rsidR="004E6E64" w:rsidRPr="009E3947" w:rsidRDefault="004E6E64" w:rsidP="00F270A8">
            <w:pPr>
              <w:ind w:left="0" w:firstLine="0"/>
              <w:jc w:val="right"/>
              <w:rPr>
                <w:rFonts w:eastAsia="Times New Roman" w:cs="Calibri"/>
                <w:sz w:val="20"/>
                <w:szCs w:val="20"/>
              </w:rPr>
            </w:pPr>
            <w:r w:rsidRPr="009E3947">
              <w:rPr>
                <w:sz w:val="20"/>
                <w:szCs w:val="20"/>
              </w:rPr>
              <w:t>390</w:t>
            </w:r>
          </w:p>
        </w:tc>
        <w:tc>
          <w:tcPr>
            <w:tcW w:w="1587" w:type="dxa"/>
            <w:tcBorders>
              <w:top w:val="single" w:sz="4" w:space="0" w:color="auto"/>
              <w:left w:val="single" w:sz="4" w:space="0" w:color="auto"/>
              <w:bottom w:val="single" w:sz="4" w:space="0" w:color="auto"/>
              <w:right w:val="single" w:sz="4" w:space="0" w:color="auto"/>
            </w:tcBorders>
          </w:tcPr>
          <w:p w14:paraId="77A2D373" w14:textId="25F3A5EF" w:rsidR="004E6E64" w:rsidRPr="009E3947" w:rsidRDefault="004E6E64" w:rsidP="00F270A8">
            <w:pPr>
              <w:ind w:left="0" w:firstLine="0"/>
              <w:jc w:val="right"/>
              <w:rPr>
                <w:rFonts w:eastAsia="Times New Roman" w:cs="Calibri"/>
                <w:sz w:val="20"/>
                <w:szCs w:val="20"/>
              </w:rPr>
            </w:pPr>
            <w:r w:rsidRPr="009E3947">
              <w:rPr>
                <w:sz w:val="20"/>
                <w:szCs w:val="20"/>
              </w:rPr>
              <w:t>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65E96109"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079C6949" w14:textId="14A147E4"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45536BF2" w:rsidR="004E6E64" w:rsidRPr="009E3947" w:rsidRDefault="004E6E64" w:rsidP="00F270A8">
            <w:pPr>
              <w:ind w:left="0" w:firstLine="0"/>
              <w:rPr>
                <w:rFonts w:eastAsia="Times New Roman" w:cs="Calibri"/>
                <w:sz w:val="20"/>
                <w:szCs w:val="20"/>
              </w:rPr>
            </w:pPr>
            <w:r w:rsidRPr="009E3947">
              <w:rPr>
                <w:sz w:val="20"/>
                <w:szCs w:val="20"/>
              </w:rPr>
              <w:t>Programa de CECoP</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1FE3045C" w:rsidR="004E6E64" w:rsidRPr="009E3947" w:rsidRDefault="004E6E64" w:rsidP="00F270A8">
            <w:pPr>
              <w:ind w:left="0" w:firstLine="0"/>
              <w:jc w:val="right"/>
              <w:rPr>
                <w:rFonts w:eastAsia="Times New Roman" w:cs="Calibri"/>
                <w:sz w:val="20"/>
                <w:szCs w:val="20"/>
              </w:rPr>
            </w:pPr>
            <w:r w:rsidRPr="009E3947">
              <w:rPr>
                <w:sz w:val="20"/>
                <w:szCs w:val="20"/>
              </w:rPr>
              <w:t>30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632B0C05"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1C58C75C" w:rsidR="004E6E64" w:rsidRPr="009E3947" w:rsidRDefault="004E6E64" w:rsidP="00F270A8">
            <w:pPr>
              <w:ind w:left="0" w:firstLine="0"/>
              <w:jc w:val="right"/>
              <w:rPr>
                <w:rFonts w:eastAsia="Times New Roman" w:cs="Calibri"/>
                <w:sz w:val="20"/>
                <w:szCs w:val="20"/>
              </w:rPr>
            </w:pPr>
            <w:r w:rsidRPr="009E3947">
              <w:rPr>
                <w:sz w:val="20"/>
                <w:szCs w:val="20"/>
              </w:rPr>
              <w:t>109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142A5EE1" w:rsidR="004E6E64" w:rsidRPr="009E3947" w:rsidRDefault="004E6E64" w:rsidP="00F270A8">
            <w:pPr>
              <w:ind w:left="0" w:firstLine="0"/>
              <w:jc w:val="right"/>
              <w:rPr>
                <w:rFonts w:eastAsia="Times New Roman" w:cs="Calibri"/>
                <w:sz w:val="20"/>
                <w:szCs w:val="20"/>
              </w:rPr>
            </w:pPr>
            <w:r w:rsidRPr="009E3947">
              <w:rPr>
                <w:sz w:val="20"/>
                <w:szCs w:val="20"/>
              </w:rPr>
              <w:t>139</w:t>
            </w:r>
          </w:p>
        </w:tc>
        <w:tc>
          <w:tcPr>
            <w:tcW w:w="1587" w:type="dxa"/>
            <w:tcBorders>
              <w:top w:val="single" w:sz="4" w:space="0" w:color="auto"/>
              <w:left w:val="nil"/>
              <w:bottom w:val="single" w:sz="4" w:space="0" w:color="auto"/>
              <w:right w:val="nil"/>
            </w:tcBorders>
            <w:shd w:val="clear" w:color="auto" w:fill="auto"/>
            <w:noWrap/>
            <w:vAlign w:val="center"/>
            <w:hideMark/>
          </w:tcPr>
          <w:p w14:paraId="1E1719CE" w14:textId="0F317DB2" w:rsidR="004E6E64" w:rsidRPr="009E3947" w:rsidRDefault="004E6E64" w:rsidP="00F270A8">
            <w:pPr>
              <w:ind w:left="0" w:firstLine="0"/>
              <w:jc w:val="right"/>
              <w:rPr>
                <w:rFonts w:eastAsia="Times New Roman" w:cs="Calibri"/>
                <w:sz w:val="20"/>
                <w:szCs w:val="20"/>
              </w:rPr>
            </w:pPr>
            <w:r w:rsidRPr="009E3947">
              <w:rPr>
                <w:sz w:val="20"/>
                <w:szCs w:val="20"/>
              </w:rPr>
              <w:t>45</w:t>
            </w:r>
          </w:p>
        </w:tc>
        <w:tc>
          <w:tcPr>
            <w:tcW w:w="1587" w:type="dxa"/>
            <w:tcBorders>
              <w:top w:val="single" w:sz="4" w:space="0" w:color="auto"/>
              <w:left w:val="single" w:sz="4" w:space="0" w:color="auto"/>
              <w:bottom w:val="single" w:sz="4" w:space="0" w:color="auto"/>
              <w:right w:val="single" w:sz="4" w:space="0" w:color="auto"/>
            </w:tcBorders>
          </w:tcPr>
          <w:p w14:paraId="038BA923" w14:textId="0586DA84" w:rsidR="004E6E64" w:rsidRPr="009E3947" w:rsidRDefault="004E6E64" w:rsidP="00F270A8">
            <w:pPr>
              <w:ind w:left="0" w:firstLine="0"/>
              <w:jc w:val="right"/>
              <w:rPr>
                <w:rFonts w:eastAsia="Times New Roman" w:cs="Calibri"/>
                <w:sz w:val="20"/>
                <w:szCs w:val="20"/>
              </w:rPr>
            </w:pPr>
            <w:r w:rsidRPr="009E3947">
              <w:rPr>
                <w:sz w:val="20"/>
                <w:szCs w:val="20"/>
              </w:rPr>
              <w:t>(50)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0B84D317" w:rsidR="004E6E64" w:rsidRPr="009E3947" w:rsidRDefault="004E6E64" w:rsidP="00F270A8">
            <w:pPr>
              <w:ind w:left="0" w:firstLine="0"/>
              <w:jc w:val="right"/>
              <w:rPr>
                <w:rFonts w:eastAsia="Times New Roman" w:cs="Calibri"/>
                <w:sz w:val="20"/>
                <w:szCs w:val="20"/>
              </w:rPr>
            </w:pPr>
            <w:r w:rsidRPr="009E3947">
              <w:rPr>
                <w:sz w:val="20"/>
                <w:szCs w:val="20"/>
              </w:rPr>
              <w:t>44</w:t>
            </w:r>
          </w:p>
        </w:tc>
      </w:tr>
      <w:tr w:rsidR="004E6E64" w:rsidRPr="009E3947" w14:paraId="026ABF34" w14:textId="0E535B38"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7FC554" w14:textId="0A4FA915" w:rsidR="004E6E64" w:rsidRPr="009E3947" w:rsidRDefault="004E6E64" w:rsidP="00F270A8">
            <w:pPr>
              <w:ind w:left="0" w:firstLine="0"/>
              <w:rPr>
                <w:rFonts w:eastAsia="Times New Roman" w:cs="Calibri"/>
                <w:sz w:val="20"/>
                <w:szCs w:val="20"/>
              </w:rPr>
            </w:pPr>
            <w:r w:rsidRPr="009E3947">
              <w:rPr>
                <w:sz w:val="20"/>
                <w:szCs w:val="20"/>
              </w:rPr>
              <w:t>Comunicaciones, traducciones, publicaciones e informes sobre la aplicación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2D164766" w:rsidR="004E6E64" w:rsidRPr="009E3947" w:rsidRDefault="004E6E64" w:rsidP="00F270A8">
            <w:pPr>
              <w:ind w:left="0" w:firstLine="0"/>
              <w:jc w:val="right"/>
              <w:rPr>
                <w:rFonts w:eastAsia="Times New Roman" w:cs="Calibri"/>
                <w:sz w:val="20"/>
                <w:szCs w:val="20"/>
              </w:rPr>
            </w:pPr>
            <w:r w:rsidRPr="009E3947">
              <w:rPr>
                <w:sz w:val="20"/>
                <w:szCs w:val="20"/>
              </w:rPr>
              <w:t>60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4ABDD372" w:rsidR="004E6E64" w:rsidRPr="009E3947" w:rsidRDefault="004E6E64" w:rsidP="004E6E64">
            <w:pPr>
              <w:ind w:left="0" w:firstLine="0"/>
              <w:jc w:val="right"/>
              <w:rPr>
                <w:rFonts w:eastAsia="Times New Roman" w:cs="Calibri"/>
                <w:sz w:val="20"/>
                <w:szCs w:val="20"/>
              </w:rPr>
            </w:pPr>
            <w:r w:rsidRPr="009E3947">
              <w:rPr>
                <w:sz w:val="20"/>
                <w:szCs w:val="20"/>
              </w:rPr>
              <w:t>40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54EFBE56" w:rsidR="004E6E64" w:rsidRPr="009E3947" w:rsidRDefault="004E6E64" w:rsidP="004E6E64">
            <w:pPr>
              <w:ind w:left="0" w:firstLine="0"/>
              <w:jc w:val="right"/>
              <w:rPr>
                <w:rFonts w:eastAsia="Times New Roman" w:cs="Calibri"/>
                <w:sz w:val="20"/>
                <w:szCs w:val="20"/>
              </w:rPr>
            </w:pPr>
            <w:r w:rsidRPr="009E3947">
              <w:rPr>
                <w:sz w:val="20"/>
                <w:szCs w:val="20"/>
              </w:rPr>
              <w:t>110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60C61361" w:rsidR="004E6E64" w:rsidRPr="009E3947" w:rsidRDefault="004E6E64" w:rsidP="004E6E64">
            <w:pPr>
              <w:ind w:left="0" w:firstLine="0"/>
              <w:jc w:val="right"/>
              <w:rPr>
                <w:rFonts w:eastAsia="Times New Roman" w:cs="Calibri"/>
                <w:sz w:val="20"/>
                <w:szCs w:val="20"/>
              </w:rPr>
            </w:pPr>
            <w:r w:rsidRPr="009E3947">
              <w:rPr>
                <w:sz w:val="20"/>
                <w:szCs w:val="20"/>
              </w:rPr>
              <w:t>210</w:t>
            </w:r>
          </w:p>
        </w:tc>
        <w:tc>
          <w:tcPr>
            <w:tcW w:w="1587" w:type="dxa"/>
            <w:tcBorders>
              <w:top w:val="single" w:sz="4" w:space="0" w:color="auto"/>
              <w:left w:val="nil"/>
              <w:bottom w:val="single" w:sz="4" w:space="0" w:color="auto"/>
              <w:right w:val="nil"/>
            </w:tcBorders>
            <w:shd w:val="clear" w:color="auto" w:fill="auto"/>
            <w:noWrap/>
            <w:vAlign w:val="center"/>
            <w:hideMark/>
          </w:tcPr>
          <w:p w14:paraId="19F24218" w14:textId="01A2C4E5" w:rsidR="004E6E64" w:rsidRPr="009E3947" w:rsidRDefault="004E6E64" w:rsidP="004E6E64">
            <w:pPr>
              <w:ind w:left="0" w:firstLine="0"/>
              <w:jc w:val="right"/>
              <w:rPr>
                <w:rFonts w:eastAsia="Times New Roman" w:cs="Calibri"/>
                <w:sz w:val="20"/>
                <w:szCs w:val="20"/>
              </w:rPr>
            </w:pPr>
            <w:r w:rsidRPr="009E3947">
              <w:rPr>
                <w:sz w:val="20"/>
                <w:szCs w:val="20"/>
              </w:rPr>
              <w:t>179</w:t>
            </w:r>
          </w:p>
        </w:tc>
        <w:tc>
          <w:tcPr>
            <w:tcW w:w="1587" w:type="dxa"/>
            <w:tcBorders>
              <w:top w:val="single" w:sz="4" w:space="0" w:color="auto"/>
              <w:left w:val="single" w:sz="4" w:space="0" w:color="auto"/>
              <w:bottom w:val="single" w:sz="4" w:space="0" w:color="auto"/>
              <w:right w:val="single" w:sz="4" w:space="0" w:color="auto"/>
            </w:tcBorders>
            <w:vAlign w:val="center"/>
          </w:tcPr>
          <w:p w14:paraId="18954615" w14:textId="27DBC982" w:rsidR="004E6E64" w:rsidRPr="009E3947" w:rsidRDefault="004E6E64" w:rsidP="004E6E64">
            <w:pPr>
              <w:ind w:left="0" w:firstLine="0"/>
              <w:jc w:val="right"/>
              <w:rPr>
                <w:rFonts w:eastAsia="Times New Roman" w:cs="Calibri"/>
                <w:sz w:val="20"/>
                <w:szCs w:val="20"/>
              </w:rPr>
            </w:pPr>
            <w:r w:rsidRPr="009E3947">
              <w:rPr>
                <w:sz w:val="20"/>
                <w:szCs w:val="20"/>
              </w:rPr>
              <w:t>(7)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22A3C8B5" w:rsidR="004E6E64" w:rsidRPr="009E3947" w:rsidRDefault="004E6E64" w:rsidP="004E6E64">
            <w:pPr>
              <w:ind w:left="0" w:firstLine="0"/>
              <w:jc w:val="right"/>
              <w:rPr>
                <w:rFonts w:eastAsia="Times New Roman" w:cs="Calibri"/>
                <w:sz w:val="20"/>
                <w:szCs w:val="20"/>
              </w:rPr>
            </w:pPr>
            <w:r w:rsidRPr="009E3947">
              <w:rPr>
                <w:sz w:val="20"/>
                <w:szCs w:val="20"/>
              </w:rPr>
              <w:t>24</w:t>
            </w:r>
          </w:p>
        </w:tc>
      </w:tr>
      <w:tr w:rsidR="004E6E64" w:rsidRPr="009E3947" w14:paraId="7F4C4671" w14:textId="1BC5B5AE"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A9CAB03" w14:textId="013B7AB0" w:rsidR="004E6E64" w:rsidRPr="009E3947" w:rsidRDefault="004E6E64" w:rsidP="00F270A8">
            <w:pPr>
              <w:ind w:left="0" w:firstLine="0"/>
              <w:rPr>
                <w:rFonts w:eastAsia="Times New Roman" w:cs="Calibri"/>
                <w:sz w:val="20"/>
                <w:szCs w:val="20"/>
              </w:rPr>
            </w:pPr>
            <w:r w:rsidRPr="009E3947">
              <w:rPr>
                <w:sz w:val="20"/>
                <w:szCs w:val="20"/>
              </w:rPr>
              <w:t>Apoyo y desarrollo del sitio web/servicios informáticos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08152DF4" w:rsidR="004E6E64" w:rsidRPr="009E3947" w:rsidRDefault="004E6E64" w:rsidP="00F270A8">
            <w:pPr>
              <w:ind w:left="0" w:firstLine="0"/>
              <w:jc w:val="right"/>
              <w:rPr>
                <w:rFonts w:eastAsia="Times New Roman" w:cs="Calibri"/>
                <w:sz w:val="20"/>
                <w:szCs w:val="20"/>
              </w:rPr>
            </w:pPr>
            <w:r w:rsidRPr="009E3947">
              <w:rPr>
                <w:sz w:val="20"/>
                <w:szCs w:val="20"/>
              </w:rPr>
              <w:t>56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2AC03260"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0ED38713" w:rsidR="004E6E64" w:rsidRPr="009E3947" w:rsidRDefault="004E6E64" w:rsidP="00F270A8">
            <w:pPr>
              <w:ind w:left="0" w:firstLine="0"/>
              <w:jc w:val="right"/>
              <w:rPr>
                <w:rFonts w:eastAsia="Times New Roman" w:cs="Calibri"/>
                <w:sz w:val="20"/>
                <w:szCs w:val="20"/>
              </w:rPr>
            </w:pPr>
            <w:r w:rsidRPr="009E3947">
              <w:rPr>
                <w:sz w:val="20"/>
                <w:szCs w:val="20"/>
              </w:rPr>
              <w:t>38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3E449812" w:rsidR="004E6E64" w:rsidRPr="009E3947" w:rsidRDefault="004E6E64" w:rsidP="00F270A8">
            <w:pPr>
              <w:ind w:left="0" w:firstLine="0"/>
              <w:jc w:val="right"/>
              <w:rPr>
                <w:rFonts w:eastAsia="Times New Roman" w:cs="Calibri"/>
                <w:sz w:val="20"/>
                <w:szCs w:val="20"/>
              </w:rPr>
            </w:pPr>
            <w:r w:rsidRPr="009E3947">
              <w:rPr>
                <w:sz w:val="20"/>
                <w:szCs w:val="20"/>
              </w:rPr>
              <w:t>94</w:t>
            </w:r>
          </w:p>
        </w:tc>
        <w:tc>
          <w:tcPr>
            <w:tcW w:w="1587" w:type="dxa"/>
            <w:tcBorders>
              <w:top w:val="single" w:sz="4" w:space="0" w:color="auto"/>
              <w:left w:val="nil"/>
              <w:bottom w:val="single" w:sz="4" w:space="0" w:color="auto"/>
              <w:right w:val="nil"/>
            </w:tcBorders>
            <w:shd w:val="clear" w:color="auto" w:fill="auto"/>
            <w:noWrap/>
            <w:vAlign w:val="center"/>
            <w:hideMark/>
          </w:tcPr>
          <w:p w14:paraId="6577E26C" w14:textId="005779BC" w:rsidR="004E6E64" w:rsidRPr="009E3947" w:rsidRDefault="004E6E64" w:rsidP="00F270A8">
            <w:pPr>
              <w:ind w:left="0" w:firstLine="0"/>
              <w:jc w:val="right"/>
              <w:rPr>
                <w:rFonts w:eastAsia="Times New Roman" w:cs="Calibri"/>
                <w:sz w:val="20"/>
                <w:szCs w:val="20"/>
              </w:rPr>
            </w:pPr>
            <w:r w:rsidRPr="009E3947">
              <w:rPr>
                <w:sz w:val="20"/>
                <w:szCs w:val="20"/>
              </w:rPr>
              <w:t>53</w:t>
            </w:r>
          </w:p>
        </w:tc>
        <w:tc>
          <w:tcPr>
            <w:tcW w:w="1587" w:type="dxa"/>
            <w:tcBorders>
              <w:top w:val="single" w:sz="4" w:space="0" w:color="auto"/>
              <w:left w:val="single" w:sz="4" w:space="0" w:color="auto"/>
              <w:bottom w:val="single" w:sz="4" w:space="0" w:color="auto"/>
              <w:right w:val="single" w:sz="4" w:space="0" w:color="auto"/>
            </w:tcBorders>
          </w:tcPr>
          <w:p w14:paraId="4777305B" w14:textId="0E7A6AED" w:rsidR="004E6E64" w:rsidRPr="009E3947" w:rsidRDefault="004E6E64" w:rsidP="00F270A8">
            <w:pPr>
              <w:ind w:left="0" w:firstLine="0"/>
              <w:jc w:val="right"/>
              <w:rPr>
                <w:rFonts w:eastAsia="Times New Roman" w:cs="Calibri"/>
                <w:sz w:val="20"/>
                <w:szCs w:val="20"/>
              </w:rPr>
            </w:pPr>
            <w:r w:rsidRPr="009E3947">
              <w:rPr>
                <w:sz w:val="20"/>
                <w:szCs w:val="20"/>
              </w:rPr>
              <w:t>(27)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1A22" w14:textId="2B039763" w:rsidR="004E6E64" w:rsidRPr="009E3947" w:rsidRDefault="004E6E64" w:rsidP="00F270A8">
            <w:pPr>
              <w:ind w:left="0" w:firstLine="0"/>
              <w:jc w:val="right"/>
              <w:rPr>
                <w:rFonts w:eastAsia="Times New Roman" w:cs="Calibri"/>
                <w:sz w:val="20"/>
                <w:szCs w:val="20"/>
              </w:rPr>
            </w:pPr>
            <w:r w:rsidRPr="009E3947">
              <w:rPr>
                <w:sz w:val="20"/>
                <w:szCs w:val="20"/>
              </w:rPr>
              <w:t>14</w:t>
            </w:r>
          </w:p>
        </w:tc>
      </w:tr>
      <w:tr w:rsidR="004E6E64" w:rsidRPr="009E3947" w14:paraId="074C89D9" w14:textId="44BDF515" w:rsidTr="004E6E64">
        <w:tc>
          <w:tcPr>
            <w:tcW w:w="3687" w:type="dxa"/>
            <w:tcBorders>
              <w:top w:val="nil"/>
              <w:left w:val="single" w:sz="4" w:space="0" w:color="auto"/>
              <w:bottom w:val="single" w:sz="4" w:space="0" w:color="auto"/>
              <w:right w:val="nil"/>
            </w:tcBorders>
            <w:shd w:val="clear" w:color="auto" w:fill="auto"/>
            <w:noWrap/>
            <w:vAlign w:val="center"/>
            <w:hideMark/>
          </w:tcPr>
          <w:p w14:paraId="364C2F16" w14:textId="5100D38F" w:rsidR="004E6E64" w:rsidRPr="009E3947" w:rsidRDefault="004E6E64" w:rsidP="00F270A8">
            <w:pPr>
              <w:ind w:left="0" w:firstLine="0"/>
              <w:rPr>
                <w:rFonts w:eastAsia="Times New Roman" w:cs="Calibri"/>
                <w:sz w:val="20"/>
                <w:szCs w:val="20"/>
              </w:rPr>
            </w:pPr>
            <w:r w:rsidRPr="009E3947">
              <w:rPr>
                <w:sz w:val="20"/>
                <w:szCs w:val="20"/>
              </w:rPr>
              <w:lastRenderedPageBreak/>
              <w:t>Viajes</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3B72DAB" w14:textId="27C0FDED" w:rsidR="004E6E64" w:rsidRPr="009E3947" w:rsidRDefault="004E6E64" w:rsidP="00F270A8">
            <w:pPr>
              <w:ind w:left="0" w:firstLine="0"/>
              <w:jc w:val="right"/>
              <w:rPr>
                <w:rFonts w:eastAsia="Times New Roman" w:cs="Calibri"/>
                <w:sz w:val="20"/>
                <w:szCs w:val="20"/>
              </w:rPr>
            </w:pPr>
            <w:r w:rsidRPr="009E3947">
              <w:rPr>
                <w:sz w:val="20"/>
                <w:szCs w:val="20"/>
              </w:rPr>
              <w:t>10</w:t>
            </w:r>
          </w:p>
        </w:tc>
        <w:tc>
          <w:tcPr>
            <w:tcW w:w="1587" w:type="dxa"/>
            <w:tcBorders>
              <w:top w:val="nil"/>
              <w:left w:val="nil"/>
              <w:bottom w:val="single" w:sz="4" w:space="0" w:color="auto"/>
              <w:right w:val="single" w:sz="4" w:space="0" w:color="auto"/>
            </w:tcBorders>
            <w:shd w:val="clear" w:color="auto" w:fill="auto"/>
            <w:noWrap/>
            <w:vAlign w:val="center"/>
            <w:hideMark/>
          </w:tcPr>
          <w:p w14:paraId="455FC852" w14:textId="31DA32EF"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nil"/>
              <w:left w:val="nil"/>
              <w:bottom w:val="single" w:sz="4" w:space="0" w:color="auto"/>
              <w:right w:val="single" w:sz="4" w:space="0" w:color="auto"/>
            </w:tcBorders>
            <w:shd w:val="clear" w:color="auto" w:fill="auto"/>
            <w:noWrap/>
            <w:vAlign w:val="center"/>
            <w:hideMark/>
          </w:tcPr>
          <w:p w14:paraId="0694CB68" w14:textId="7CE31079"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0DF90D24" w14:textId="29CCB1FE" w:rsidR="004E6E64" w:rsidRPr="009E3947" w:rsidRDefault="004E6E64" w:rsidP="00F270A8">
            <w:pPr>
              <w:ind w:left="0" w:firstLine="0"/>
              <w:jc w:val="right"/>
              <w:rPr>
                <w:rFonts w:eastAsia="Times New Roman" w:cs="Calibri"/>
                <w:sz w:val="20"/>
                <w:szCs w:val="20"/>
              </w:rPr>
            </w:pPr>
            <w:r w:rsidRPr="009E3947">
              <w:rPr>
                <w:sz w:val="20"/>
                <w:szCs w:val="20"/>
              </w:rPr>
              <w:t>15</w:t>
            </w:r>
          </w:p>
        </w:tc>
        <w:tc>
          <w:tcPr>
            <w:tcW w:w="1587" w:type="dxa"/>
            <w:tcBorders>
              <w:top w:val="nil"/>
              <w:left w:val="nil"/>
              <w:bottom w:val="single" w:sz="4" w:space="0" w:color="auto"/>
              <w:right w:val="nil"/>
            </w:tcBorders>
            <w:shd w:val="clear" w:color="auto" w:fill="auto"/>
            <w:noWrap/>
            <w:vAlign w:val="center"/>
            <w:hideMark/>
          </w:tcPr>
          <w:p w14:paraId="2679CE09" w14:textId="43D38615" w:rsidR="004E6E64" w:rsidRPr="009E3947" w:rsidRDefault="004E6E64" w:rsidP="00F270A8">
            <w:pPr>
              <w:ind w:left="0" w:firstLine="0"/>
              <w:jc w:val="right"/>
              <w:rPr>
                <w:rFonts w:eastAsia="Times New Roman" w:cs="Calibri"/>
                <w:sz w:val="20"/>
                <w:szCs w:val="20"/>
              </w:rPr>
            </w:pPr>
            <w:r w:rsidRPr="009E3947">
              <w:rPr>
                <w:sz w:val="20"/>
                <w:szCs w:val="20"/>
              </w:rPr>
              <w:t>1</w:t>
            </w:r>
          </w:p>
        </w:tc>
        <w:tc>
          <w:tcPr>
            <w:tcW w:w="1587" w:type="dxa"/>
            <w:tcBorders>
              <w:top w:val="single" w:sz="4" w:space="0" w:color="auto"/>
              <w:left w:val="single" w:sz="4" w:space="0" w:color="auto"/>
              <w:bottom w:val="single" w:sz="4" w:space="0" w:color="auto"/>
              <w:right w:val="single" w:sz="4" w:space="0" w:color="auto"/>
            </w:tcBorders>
          </w:tcPr>
          <w:p w14:paraId="2DF765FE" w14:textId="36C48F81" w:rsidR="004E6E64" w:rsidRPr="009E3947" w:rsidRDefault="004E6E64" w:rsidP="00F270A8">
            <w:pPr>
              <w:ind w:left="0" w:firstLine="0"/>
              <w:jc w:val="right"/>
              <w:rPr>
                <w:rFonts w:eastAsia="Times New Roman" w:cs="Calibri"/>
                <w:sz w:val="20"/>
                <w:szCs w:val="20"/>
              </w:rPr>
            </w:pPr>
            <w:r w:rsidRPr="009E3947">
              <w:rPr>
                <w:sz w:val="20"/>
                <w:szCs w:val="20"/>
              </w:rPr>
              <w:t>(14)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47A81" w14:textId="75B310A5"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13FEB2F8" w14:textId="46BF349D"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E50FB49" w14:textId="467008DC" w:rsidR="004E6E64" w:rsidRPr="009E3947" w:rsidRDefault="004E6E64" w:rsidP="00D25320">
            <w:pPr>
              <w:keepNext/>
              <w:ind w:left="0" w:firstLine="0"/>
              <w:rPr>
                <w:rFonts w:eastAsia="Times New Roman" w:cs="Calibri"/>
                <w:sz w:val="20"/>
                <w:szCs w:val="20"/>
              </w:rPr>
            </w:pPr>
            <w:r w:rsidRPr="009E3947">
              <w:rPr>
                <w:sz w:val="20"/>
                <w:szCs w:val="20"/>
              </w:rPr>
              <w:t>C.  Asesoramiento y apoyo regionales</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5E5B7360" w:rsidR="004E6E64" w:rsidRPr="009E3947" w:rsidRDefault="004E6E64" w:rsidP="00D25320">
            <w:pPr>
              <w:keepNext/>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316</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4473D6D9" w:rsidR="004E6E64" w:rsidRPr="009E3947" w:rsidRDefault="004E6E64" w:rsidP="00D25320">
            <w:pPr>
              <w:keepNext/>
              <w:ind w:left="0" w:firstLine="0"/>
              <w:jc w:val="right"/>
              <w:rPr>
                <w:rFonts w:eastAsia="Times New Roman" w:cs="Calibri"/>
                <w:sz w:val="20"/>
                <w:szCs w:val="20"/>
              </w:rPr>
            </w:pPr>
            <w:r w:rsidRPr="009E3947">
              <w:rPr>
                <w:sz w:val="20"/>
                <w:szCs w:val="20"/>
              </w:rPr>
              <w:t>10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230D5226" w:rsidR="004E6E64" w:rsidRPr="009E3947" w:rsidRDefault="004E6E64" w:rsidP="00D25320">
            <w:pPr>
              <w:keepNext/>
              <w:ind w:left="0" w:firstLine="0"/>
              <w:jc w:val="right"/>
              <w:rPr>
                <w:rFonts w:eastAsia="Times New Roman" w:cs="Calibri"/>
                <w:sz w:val="20"/>
                <w:szCs w:val="20"/>
              </w:rPr>
            </w:pPr>
            <w:r w:rsidRPr="009E3947">
              <w:rPr>
                <w:sz w:val="20"/>
                <w:szCs w:val="20"/>
              </w:rPr>
              <w:t>292</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68AE925D" w:rsidR="004E6E64" w:rsidRPr="009E3947" w:rsidRDefault="004E6E64" w:rsidP="00D25320">
            <w:pPr>
              <w:keepNext/>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618</w:t>
            </w:r>
          </w:p>
        </w:tc>
        <w:tc>
          <w:tcPr>
            <w:tcW w:w="1587" w:type="dxa"/>
            <w:tcBorders>
              <w:top w:val="single" w:sz="4" w:space="0" w:color="auto"/>
              <w:left w:val="nil"/>
              <w:bottom w:val="single" w:sz="4" w:space="0" w:color="auto"/>
              <w:right w:val="nil"/>
            </w:tcBorders>
            <w:shd w:val="clear" w:color="000000" w:fill="EAF1DD"/>
            <w:noWrap/>
            <w:vAlign w:val="center"/>
            <w:hideMark/>
          </w:tcPr>
          <w:p w14:paraId="389BF8D6" w14:textId="6F1A6C96" w:rsidR="004E6E64" w:rsidRPr="009E3947" w:rsidRDefault="004E6E64" w:rsidP="00D25320">
            <w:pPr>
              <w:keepNext/>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109</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0A9101" w14:textId="56FC469C" w:rsidR="004E6E64" w:rsidRPr="009E3947" w:rsidRDefault="004E6E64" w:rsidP="00D25320">
            <w:pPr>
              <w:keepNext/>
              <w:ind w:left="0" w:firstLine="0"/>
              <w:jc w:val="right"/>
              <w:rPr>
                <w:rFonts w:eastAsia="Times New Roman" w:cs="Calibri"/>
                <w:sz w:val="20"/>
                <w:szCs w:val="20"/>
              </w:rPr>
            </w:pPr>
            <w:r w:rsidRPr="009E3947">
              <w:rPr>
                <w:sz w:val="20"/>
                <w:szCs w:val="20"/>
              </w:rPr>
              <w:t>(244)</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74BA4EE7" w:rsidR="004E6E64" w:rsidRPr="009E3947" w:rsidRDefault="00C772EE" w:rsidP="00D25320">
            <w:pPr>
              <w:keepNext/>
              <w:ind w:left="0" w:firstLine="0"/>
              <w:jc w:val="right"/>
              <w:rPr>
                <w:rFonts w:eastAsia="Times New Roman" w:cs="Calibri"/>
                <w:sz w:val="20"/>
                <w:szCs w:val="20"/>
              </w:rPr>
            </w:pPr>
            <w:r w:rsidRPr="009E3947">
              <w:rPr>
                <w:sz w:val="20"/>
                <w:szCs w:val="20"/>
              </w:rPr>
              <w:t>266</w:t>
            </w:r>
          </w:p>
        </w:tc>
      </w:tr>
      <w:tr w:rsidR="004E6E64" w:rsidRPr="009E3947" w14:paraId="38740492" w14:textId="473DE7F6"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30524A1F" w:rsidR="004E6E64" w:rsidRPr="009E3947" w:rsidRDefault="004E6E64" w:rsidP="00F270A8">
            <w:pPr>
              <w:ind w:left="0" w:firstLine="0"/>
              <w:rPr>
                <w:rFonts w:eastAsia="Times New Roman" w:cs="Calibri"/>
                <w:sz w:val="20"/>
                <w:szCs w:val="20"/>
              </w:rPr>
            </w:pPr>
            <w:r w:rsidRPr="009E3947">
              <w:rPr>
                <w:sz w:val="20"/>
                <w:szCs w:val="20"/>
              </w:rPr>
              <w:t>Salarios, gastos sociales y otras prestaciones laborales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0BAA6789"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249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6DA6F518"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4A64B36F" w:rsidR="004E6E64" w:rsidRPr="009E3947" w:rsidRDefault="004E6E64" w:rsidP="00F270A8">
            <w:pPr>
              <w:ind w:left="0" w:firstLine="0"/>
              <w:jc w:val="right"/>
              <w:rPr>
                <w:rFonts w:eastAsia="Times New Roman" w:cs="Calibri"/>
                <w:sz w:val="20"/>
                <w:szCs w:val="20"/>
              </w:rPr>
            </w:pPr>
            <w:r w:rsidRPr="009E3947">
              <w:rPr>
                <w:sz w:val="20"/>
                <w:szCs w:val="20"/>
              </w:rPr>
              <w:t>177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37195588"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426</w:t>
            </w:r>
          </w:p>
        </w:tc>
        <w:tc>
          <w:tcPr>
            <w:tcW w:w="1587" w:type="dxa"/>
            <w:tcBorders>
              <w:top w:val="single" w:sz="4" w:space="0" w:color="auto"/>
              <w:left w:val="nil"/>
              <w:bottom w:val="single" w:sz="4" w:space="0" w:color="auto"/>
              <w:right w:val="nil"/>
            </w:tcBorders>
            <w:shd w:val="clear" w:color="auto" w:fill="auto"/>
            <w:noWrap/>
            <w:vAlign w:val="center"/>
            <w:hideMark/>
          </w:tcPr>
          <w:p w14:paraId="7731E0AB" w14:textId="43E62D35"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057</w:t>
            </w:r>
          </w:p>
        </w:tc>
        <w:tc>
          <w:tcPr>
            <w:tcW w:w="1587" w:type="dxa"/>
            <w:tcBorders>
              <w:top w:val="single" w:sz="4" w:space="0" w:color="auto"/>
              <w:left w:val="single" w:sz="4" w:space="0" w:color="auto"/>
              <w:bottom w:val="single" w:sz="4" w:space="0" w:color="auto"/>
              <w:right w:val="single" w:sz="4" w:space="0" w:color="auto"/>
            </w:tcBorders>
          </w:tcPr>
          <w:p w14:paraId="48BC45DB" w14:textId="03161951" w:rsidR="004E6E64" w:rsidRPr="009E3947" w:rsidRDefault="004E6E64" w:rsidP="00F270A8">
            <w:pPr>
              <w:ind w:left="0" w:firstLine="0"/>
              <w:jc w:val="right"/>
              <w:rPr>
                <w:rFonts w:eastAsia="Times New Roman" w:cs="Calibri"/>
                <w:sz w:val="20"/>
                <w:szCs w:val="20"/>
              </w:rPr>
            </w:pPr>
            <w:r w:rsidRPr="009E3947">
              <w:rPr>
                <w:sz w:val="20"/>
                <w:szCs w:val="20"/>
              </w:rPr>
              <w:t>(188)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01D5DBF2" w:rsidR="004E6E64" w:rsidRPr="009E3947" w:rsidRDefault="004E6E64" w:rsidP="00F270A8">
            <w:pPr>
              <w:ind w:left="0" w:firstLine="0"/>
              <w:jc w:val="right"/>
              <w:rPr>
                <w:rFonts w:eastAsia="Times New Roman" w:cs="Calibri"/>
                <w:sz w:val="20"/>
                <w:szCs w:val="20"/>
              </w:rPr>
            </w:pPr>
            <w:r w:rsidRPr="009E3947">
              <w:rPr>
                <w:sz w:val="20"/>
                <w:szCs w:val="20"/>
              </w:rPr>
              <w:t>181</w:t>
            </w:r>
          </w:p>
        </w:tc>
      </w:tr>
      <w:tr w:rsidR="004E6E64" w:rsidRPr="009E3947" w14:paraId="484387AA" w14:textId="373BB969"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200002" w14:textId="2CF89BB0" w:rsidR="004E6E64" w:rsidRPr="009E3947" w:rsidRDefault="004E6E64" w:rsidP="00F270A8">
            <w:pPr>
              <w:ind w:left="0" w:firstLine="0"/>
              <w:rPr>
                <w:rFonts w:eastAsia="Times New Roman" w:cs="Calibri"/>
                <w:sz w:val="20"/>
                <w:szCs w:val="20"/>
              </w:rPr>
            </w:pPr>
            <w:r w:rsidRPr="009E3947">
              <w:rPr>
                <w:sz w:val="20"/>
                <w:szCs w:val="20"/>
              </w:rPr>
              <w:t>Viajes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2ECE" w14:textId="0B16F2E0" w:rsidR="004E6E64" w:rsidRPr="009E3947" w:rsidRDefault="004E6E64" w:rsidP="00F270A8">
            <w:pPr>
              <w:ind w:left="0" w:firstLine="0"/>
              <w:jc w:val="right"/>
              <w:rPr>
                <w:rFonts w:eastAsia="Times New Roman" w:cs="Calibri"/>
                <w:sz w:val="20"/>
                <w:szCs w:val="20"/>
              </w:rPr>
            </w:pPr>
            <w:r w:rsidRPr="009E3947">
              <w:rPr>
                <w:sz w:val="20"/>
                <w:szCs w:val="20"/>
              </w:rPr>
              <w:t>67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0E98C20" w14:textId="496A0D00" w:rsidR="004E6E64" w:rsidRPr="009E3947" w:rsidRDefault="004E6E64" w:rsidP="00F270A8">
            <w:pPr>
              <w:ind w:left="0" w:firstLine="0"/>
              <w:jc w:val="right"/>
              <w:rPr>
                <w:rFonts w:eastAsia="Times New Roman" w:cs="Calibri"/>
                <w:sz w:val="20"/>
                <w:szCs w:val="20"/>
              </w:rPr>
            </w:pPr>
            <w:r w:rsidRPr="009E3947">
              <w:rPr>
                <w:sz w:val="20"/>
                <w:szCs w:val="20"/>
              </w:rPr>
              <w:t>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AB161B1" w14:textId="3BA031E3" w:rsidR="004E6E64" w:rsidRPr="009E3947" w:rsidRDefault="004E6E64" w:rsidP="00F270A8">
            <w:pPr>
              <w:ind w:left="0" w:firstLine="0"/>
              <w:jc w:val="right"/>
              <w:rPr>
                <w:rFonts w:eastAsia="Times New Roman" w:cs="Calibri"/>
                <w:sz w:val="20"/>
                <w:szCs w:val="20"/>
              </w:rPr>
            </w:pPr>
            <w:r w:rsidRPr="009E3947">
              <w:rPr>
                <w:sz w:val="20"/>
                <w:szCs w:val="20"/>
              </w:rPr>
              <w:t>19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B79E4F3" w14:textId="71C3AF8F" w:rsidR="004E6E64" w:rsidRPr="009E3947" w:rsidRDefault="004E6E64" w:rsidP="00F270A8">
            <w:pPr>
              <w:ind w:left="0" w:firstLine="0"/>
              <w:jc w:val="right"/>
              <w:rPr>
                <w:rFonts w:eastAsia="Times New Roman" w:cs="Calibri"/>
                <w:sz w:val="20"/>
                <w:szCs w:val="20"/>
              </w:rPr>
            </w:pPr>
            <w:r w:rsidRPr="009E3947">
              <w:rPr>
                <w:sz w:val="20"/>
                <w:szCs w:val="20"/>
              </w:rPr>
              <w:t>96</w:t>
            </w:r>
          </w:p>
        </w:tc>
        <w:tc>
          <w:tcPr>
            <w:tcW w:w="1587" w:type="dxa"/>
            <w:tcBorders>
              <w:top w:val="single" w:sz="4" w:space="0" w:color="auto"/>
              <w:left w:val="nil"/>
              <w:bottom w:val="single" w:sz="4" w:space="0" w:color="auto"/>
              <w:right w:val="nil"/>
            </w:tcBorders>
            <w:shd w:val="clear" w:color="auto" w:fill="auto"/>
            <w:noWrap/>
            <w:vAlign w:val="center"/>
            <w:hideMark/>
          </w:tcPr>
          <w:p w14:paraId="3E512D65" w14:textId="04638A24" w:rsidR="004E6E64" w:rsidRPr="009E3947" w:rsidRDefault="004E6E64" w:rsidP="00F270A8">
            <w:pPr>
              <w:ind w:left="0" w:firstLine="0"/>
              <w:jc w:val="right"/>
              <w:rPr>
                <w:rFonts w:eastAsia="Times New Roman" w:cs="Calibri"/>
                <w:sz w:val="20"/>
                <w:szCs w:val="20"/>
              </w:rPr>
            </w:pPr>
            <w:r w:rsidRPr="009E3947">
              <w:rPr>
                <w:sz w:val="20"/>
                <w:szCs w:val="20"/>
              </w:rPr>
              <w:t>40</w:t>
            </w:r>
          </w:p>
        </w:tc>
        <w:tc>
          <w:tcPr>
            <w:tcW w:w="1587" w:type="dxa"/>
            <w:tcBorders>
              <w:top w:val="single" w:sz="4" w:space="0" w:color="auto"/>
              <w:left w:val="single" w:sz="4" w:space="0" w:color="auto"/>
              <w:bottom w:val="single" w:sz="4" w:space="0" w:color="auto"/>
              <w:right w:val="single" w:sz="4" w:space="0" w:color="auto"/>
            </w:tcBorders>
          </w:tcPr>
          <w:p w14:paraId="5ADAC411" w14:textId="07FFDE3B" w:rsidR="004E6E64" w:rsidRPr="009E3947" w:rsidRDefault="004E6E64" w:rsidP="00F270A8">
            <w:pPr>
              <w:ind w:left="0" w:firstLine="0"/>
              <w:jc w:val="right"/>
              <w:rPr>
                <w:rFonts w:eastAsia="Times New Roman" w:cs="Calibri"/>
                <w:sz w:val="20"/>
                <w:szCs w:val="20"/>
              </w:rPr>
            </w:pPr>
            <w:r w:rsidRPr="009E3947">
              <w:rPr>
                <w:sz w:val="20"/>
                <w:szCs w:val="20"/>
              </w:rPr>
              <w:t>(56)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FB40" w14:textId="411450BB"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0A178818" w14:textId="7A628EF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0944C452" w:rsidR="004E6E64" w:rsidRPr="009E3947" w:rsidRDefault="004E6E64" w:rsidP="00F270A8">
            <w:pPr>
              <w:ind w:left="0" w:firstLine="0"/>
              <w:rPr>
                <w:rFonts w:eastAsia="Times New Roman" w:cs="Calibri"/>
                <w:sz w:val="20"/>
                <w:szCs w:val="20"/>
              </w:rPr>
            </w:pPr>
            <w:r w:rsidRPr="009E3947">
              <w:rPr>
                <w:sz w:val="20"/>
                <w:szCs w:val="20"/>
              </w:rPr>
              <w:t>Misiones Ramsar de Asesoramiento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2E2C22BB"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6E3D2876"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3B46307A" w:rsidR="004E6E64" w:rsidRPr="009E3947" w:rsidRDefault="004E6E64" w:rsidP="00F270A8">
            <w:pPr>
              <w:ind w:left="0" w:firstLine="0"/>
              <w:jc w:val="right"/>
              <w:rPr>
                <w:rFonts w:eastAsia="Times New Roman" w:cs="Calibri"/>
                <w:sz w:val="20"/>
                <w:szCs w:val="20"/>
              </w:rPr>
            </w:pPr>
            <w:r w:rsidRPr="009E3947">
              <w:rPr>
                <w:sz w:val="20"/>
                <w:szCs w:val="20"/>
              </w:rPr>
              <w:t>96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617336FF" w:rsidR="004E6E64" w:rsidRPr="009E3947" w:rsidRDefault="004E6E64" w:rsidP="00F270A8">
            <w:pPr>
              <w:ind w:left="0" w:firstLine="0"/>
              <w:jc w:val="right"/>
              <w:rPr>
                <w:rFonts w:eastAsia="Times New Roman" w:cs="Calibri"/>
                <w:sz w:val="20"/>
                <w:szCs w:val="20"/>
              </w:rPr>
            </w:pPr>
            <w:r w:rsidRPr="009E3947">
              <w:rPr>
                <w:sz w:val="20"/>
                <w:szCs w:val="20"/>
              </w:rPr>
              <w:t>96</w:t>
            </w:r>
          </w:p>
        </w:tc>
        <w:tc>
          <w:tcPr>
            <w:tcW w:w="1587" w:type="dxa"/>
            <w:tcBorders>
              <w:top w:val="single" w:sz="4" w:space="0" w:color="auto"/>
              <w:left w:val="nil"/>
              <w:bottom w:val="single" w:sz="4" w:space="0" w:color="auto"/>
              <w:right w:val="nil"/>
            </w:tcBorders>
            <w:shd w:val="clear" w:color="auto" w:fill="auto"/>
            <w:noWrap/>
            <w:vAlign w:val="center"/>
            <w:hideMark/>
          </w:tcPr>
          <w:p w14:paraId="6799E788" w14:textId="1FF4B32D" w:rsidR="004E6E64" w:rsidRPr="009E3947" w:rsidRDefault="004E6E64" w:rsidP="00F270A8">
            <w:pPr>
              <w:ind w:left="0" w:firstLine="0"/>
              <w:jc w:val="right"/>
              <w:rPr>
                <w:rFonts w:eastAsia="Times New Roman" w:cs="Calibri"/>
                <w:sz w:val="20"/>
                <w:szCs w:val="20"/>
              </w:rPr>
            </w:pPr>
            <w:r w:rsidRPr="009E3947">
              <w:rPr>
                <w:sz w:val="20"/>
                <w:szCs w:val="20"/>
              </w:rPr>
              <w:t>11</w:t>
            </w:r>
          </w:p>
        </w:tc>
        <w:tc>
          <w:tcPr>
            <w:tcW w:w="1587" w:type="dxa"/>
            <w:tcBorders>
              <w:top w:val="single" w:sz="4" w:space="0" w:color="auto"/>
              <w:left w:val="single" w:sz="4" w:space="0" w:color="auto"/>
              <w:bottom w:val="single" w:sz="4" w:space="0" w:color="auto"/>
              <w:right w:val="single" w:sz="4" w:space="0" w:color="auto"/>
            </w:tcBorders>
          </w:tcPr>
          <w:p w14:paraId="4E6C4FAD" w14:textId="7B0E0D36"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76E259F3" w:rsidR="004E6E64" w:rsidRPr="009E3947" w:rsidRDefault="004E6E64" w:rsidP="00F270A8">
            <w:pPr>
              <w:ind w:left="0" w:firstLine="0"/>
              <w:jc w:val="right"/>
              <w:rPr>
                <w:rFonts w:eastAsia="Times New Roman" w:cs="Calibri"/>
                <w:sz w:val="20"/>
                <w:szCs w:val="20"/>
              </w:rPr>
            </w:pPr>
            <w:r w:rsidRPr="009E3947">
              <w:rPr>
                <w:sz w:val="20"/>
                <w:szCs w:val="20"/>
              </w:rPr>
              <w:t>85</w:t>
            </w:r>
          </w:p>
        </w:tc>
      </w:tr>
      <w:tr w:rsidR="004E6E64" w:rsidRPr="009E3947" w14:paraId="054395AE" w14:textId="693F876E"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3CCC594" w14:textId="32130547" w:rsidR="004E6E64" w:rsidRPr="009E3947" w:rsidRDefault="004E6E64" w:rsidP="008F58AF">
            <w:pPr>
              <w:keepNext/>
              <w:ind w:left="0" w:firstLine="0"/>
              <w:rPr>
                <w:rFonts w:eastAsia="Times New Roman" w:cs="Calibri"/>
                <w:sz w:val="20"/>
                <w:szCs w:val="20"/>
              </w:rPr>
            </w:pPr>
            <w:r w:rsidRPr="009E3947">
              <w:rPr>
                <w:sz w:val="20"/>
                <w:szCs w:val="20"/>
              </w:rPr>
              <w:t>D.  Apoyo a las iniciativas regionales</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1C495D6" w14:textId="1EBE3828" w:rsidR="004E6E64" w:rsidRPr="009E3947" w:rsidRDefault="004E6E64" w:rsidP="008F58AF">
            <w:pPr>
              <w:keepNext/>
              <w:ind w:left="0" w:firstLine="0"/>
              <w:jc w:val="right"/>
              <w:rPr>
                <w:rFonts w:eastAsia="Times New Roman" w:cs="Calibri"/>
                <w:sz w:val="20"/>
                <w:szCs w:val="20"/>
              </w:rPr>
            </w:pPr>
            <w:r w:rsidRPr="009E3947">
              <w:rPr>
                <w:sz w:val="20"/>
                <w:szCs w:val="20"/>
              </w:rPr>
              <w:t>100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DB4E8C5" w14:textId="027D1553" w:rsidR="004E6E64" w:rsidRPr="009E3947" w:rsidRDefault="004E6E64" w:rsidP="008F58AF">
            <w:pPr>
              <w:keepNext/>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70527F9E" w14:textId="470CD7FF" w:rsidR="004E6E64" w:rsidRPr="009E3947" w:rsidRDefault="004E6E64" w:rsidP="008F58AF">
            <w:pPr>
              <w:keepNext/>
              <w:ind w:left="0" w:firstLine="0"/>
              <w:jc w:val="right"/>
              <w:rPr>
                <w:rFonts w:eastAsia="Times New Roman" w:cs="Calibri"/>
                <w:sz w:val="20"/>
                <w:szCs w:val="20"/>
              </w:rPr>
            </w:pPr>
            <w:r w:rsidRPr="009E3947">
              <w:rPr>
                <w:sz w:val="20"/>
                <w:szCs w:val="20"/>
              </w:rPr>
              <w:t>120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E0444D6" w14:textId="7C38BE7B" w:rsidR="004E6E64" w:rsidRPr="009E3947" w:rsidRDefault="004E6E64" w:rsidP="008F58AF">
            <w:pPr>
              <w:keepNext/>
              <w:ind w:left="0" w:firstLine="0"/>
              <w:jc w:val="right"/>
              <w:rPr>
                <w:rFonts w:eastAsia="Times New Roman" w:cs="Calibri"/>
                <w:sz w:val="20"/>
                <w:szCs w:val="20"/>
              </w:rPr>
            </w:pPr>
            <w:r w:rsidRPr="009E3947">
              <w:rPr>
                <w:sz w:val="20"/>
                <w:szCs w:val="20"/>
              </w:rPr>
              <w:t>220</w:t>
            </w:r>
          </w:p>
        </w:tc>
        <w:tc>
          <w:tcPr>
            <w:tcW w:w="1587" w:type="dxa"/>
            <w:tcBorders>
              <w:top w:val="single" w:sz="4" w:space="0" w:color="auto"/>
              <w:left w:val="nil"/>
              <w:bottom w:val="single" w:sz="4" w:space="0" w:color="auto"/>
              <w:right w:val="nil"/>
            </w:tcBorders>
            <w:shd w:val="clear" w:color="000000" w:fill="EAF1DD"/>
            <w:noWrap/>
            <w:vAlign w:val="center"/>
            <w:hideMark/>
          </w:tcPr>
          <w:p w14:paraId="24D1838F" w14:textId="64A1B54A" w:rsidR="004E6E64" w:rsidRPr="009E3947" w:rsidRDefault="004E6E64" w:rsidP="008F58AF">
            <w:pPr>
              <w:keepNext/>
              <w:ind w:left="0" w:firstLine="0"/>
              <w:jc w:val="right"/>
              <w:rPr>
                <w:rFonts w:eastAsia="Times New Roman" w:cs="Calibri"/>
                <w:sz w:val="20"/>
                <w:szCs w:val="20"/>
              </w:rPr>
            </w:pPr>
            <w:r w:rsidRPr="009E3947">
              <w:rPr>
                <w:sz w:val="20"/>
                <w:szCs w:val="20"/>
              </w:rPr>
              <w:t>46</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32EFF2C4" w14:textId="5141E326" w:rsidR="004E6E64" w:rsidRPr="009E3947" w:rsidRDefault="004E6E64" w:rsidP="008F58AF">
            <w:pPr>
              <w:keepNext/>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F8826C1" w14:textId="71915230" w:rsidR="004E6E64" w:rsidRPr="009E3947" w:rsidRDefault="004E6E64" w:rsidP="008F58AF">
            <w:pPr>
              <w:keepNext/>
              <w:ind w:left="0" w:firstLine="0"/>
              <w:jc w:val="right"/>
              <w:rPr>
                <w:rFonts w:eastAsia="Times New Roman" w:cs="Calibri"/>
                <w:sz w:val="20"/>
                <w:szCs w:val="20"/>
              </w:rPr>
            </w:pPr>
            <w:r w:rsidRPr="009E3947">
              <w:rPr>
                <w:sz w:val="20"/>
                <w:szCs w:val="20"/>
              </w:rPr>
              <w:t>174</w:t>
            </w:r>
          </w:p>
        </w:tc>
      </w:tr>
      <w:tr w:rsidR="004E6E64" w:rsidRPr="009E3947" w14:paraId="59799C8E" w14:textId="16E94EE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43C81F" w14:textId="664630BF" w:rsidR="004E6E64" w:rsidRPr="009E3947" w:rsidRDefault="004E6E64" w:rsidP="00F270A8">
            <w:pPr>
              <w:ind w:left="0" w:firstLine="0"/>
              <w:rPr>
                <w:rFonts w:eastAsia="Times New Roman" w:cs="Calibri"/>
                <w:sz w:val="20"/>
                <w:szCs w:val="20"/>
              </w:rPr>
            </w:pPr>
            <w:r w:rsidRPr="009E3947">
              <w:rPr>
                <w:sz w:val="20"/>
                <w:szCs w:val="20"/>
              </w:rPr>
              <w:t>Redes y centros regionales: presupuesto disponible que no se asignó en 2023 y 2024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0D40" w14:textId="3BE0BBD6" w:rsidR="004E6E64" w:rsidRPr="009E3947" w:rsidRDefault="004E6E64" w:rsidP="00C469C4">
            <w:pPr>
              <w:ind w:left="0" w:firstLine="0"/>
              <w:jc w:val="right"/>
              <w:rPr>
                <w:rFonts w:eastAsia="Times New Roman" w:cs="Calibri"/>
                <w:sz w:val="20"/>
                <w:szCs w:val="20"/>
              </w:rPr>
            </w:pPr>
            <w:r w:rsidRPr="009E3947">
              <w:rPr>
                <w:sz w:val="20"/>
                <w:szCs w:val="20"/>
              </w:rPr>
              <w:t>71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7462EBC" w14:textId="30A0A0E2"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A7BBE03" w14:textId="4620FD7F" w:rsidR="004E6E64" w:rsidRPr="009E3947" w:rsidRDefault="004E6E64" w:rsidP="00C469C4">
            <w:pPr>
              <w:ind w:left="0" w:firstLine="0"/>
              <w:jc w:val="right"/>
              <w:rPr>
                <w:rFonts w:eastAsia="Times New Roman" w:cs="Calibri"/>
                <w:sz w:val="20"/>
                <w:szCs w:val="20"/>
              </w:rPr>
            </w:pPr>
            <w:r w:rsidRPr="009E3947">
              <w:rPr>
                <w:sz w:val="20"/>
                <w:szCs w:val="20"/>
              </w:rPr>
              <w:t>84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CE0155B" w14:textId="0D0773EA" w:rsidR="004E6E64" w:rsidRPr="009E3947" w:rsidRDefault="004E6E64" w:rsidP="00C469C4">
            <w:pPr>
              <w:ind w:left="0" w:firstLine="0"/>
              <w:jc w:val="right"/>
              <w:rPr>
                <w:rFonts w:eastAsia="Times New Roman" w:cs="Calibri"/>
                <w:sz w:val="20"/>
                <w:szCs w:val="20"/>
              </w:rPr>
            </w:pPr>
            <w:r w:rsidRPr="009E3947">
              <w:rPr>
                <w:sz w:val="20"/>
                <w:szCs w:val="20"/>
              </w:rPr>
              <w:t>155</w:t>
            </w:r>
          </w:p>
        </w:tc>
        <w:tc>
          <w:tcPr>
            <w:tcW w:w="1587" w:type="dxa"/>
            <w:tcBorders>
              <w:top w:val="single" w:sz="4" w:space="0" w:color="auto"/>
              <w:left w:val="nil"/>
              <w:bottom w:val="single" w:sz="4" w:space="0" w:color="auto"/>
              <w:right w:val="nil"/>
            </w:tcBorders>
            <w:shd w:val="clear" w:color="auto" w:fill="auto"/>
            <w:noWrap/>
            <w:vAlign w:val="center"/>
            <w:hideMark/>
          </w:tcPr>
          <w:p w14:paraId="2BA00493" w14:textId="23C70881"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single" w:sz="4" w:space="0" w:color="auto"/>
              <w:bottom w:val="single" w:sz="4" w:space="0" w:color="auto"/>
              <w:right w:val="single" w:sz="4" w:space="0" w:color="auto"/>
            </w:tcBorders>
            <w:vAlign w:val="center"/>
          </w:tcPr>
          <w:p w14:paraId="7068A8FA" w14:textId="492FFBDA" w:rsidR="004E6E64" w:rsidRPr="009E3947"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056B" w14:textId="1D197ECD" w:rsidR="004E6E64" w:rsidRPr="009E3947" w:rsidRDefault="004E6E64" w:rsidP="00C469C4">
            <w:pPr>
              <w:ind w:left="0" w:firstLine="0"/>
              <w:jc w:val="right"/>
              <w:rPr>
                <w:rFonts w:eastAsia="Times New Roman" w:cs="Calibri"/>
                <w:sz w:val="20"/>
                <w:szCs w:val="20"/>
              </w:rPr>
            </w:pPr>
            <w:r w:rsidRPr="009E3947">
              <w:rPr>
                <w:sz w:val="20"/>
                <w:szCs w:val="20"/>
              </w:rPr>
              <w:t>155</w:t>
            </w:r>
          </w:p>
        </w:tc>
      </w:tr>
      <w:tr w:rsidR="004E6E64" w:rsidRPr="009E3947" w14:paraId="38F9DA63"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41ACC0B" w14:textId="5A87F2B7" w:rsidR="004E6E64" w:rsidRPr="009E3947" w:rsidRDefault="004E6E64" w:rsidP="00F270A8">
            <w:pPr>
              <w:ind w:left="0" w:firstLine="0"/>
              <w:rPr>
                <w:rFonts w:eastAsia="Times New Roman" w:cs="Calibri"/>
                <w:sz w:val="20"/>
                <w:szCs w:val="20"/>
              </w:rPr>
            </w:pPr>
            <w:r w:rsidRPr="009E3947">
              <w:rPr>
                <w:sz w:val="20"/>
                <w:szCs w:val="20"/>
              </w:rPr>
              <w:t>IRR Danube WILDisland 2024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8BE0" w14:textId="7CE05C17" w:rsidR="004E6E64" w:rsidRPr="009E3947" w:rsidDel="00D601CA" w:rsidRDefault="004E6E64" w:rsidP="00C469C4">
            <w:pPr>
              <w:ind w:left="0" w:firstLine="0"/>
              <w:jc w:val="right"/>
              <w:rPr>
                <w:rFonts w:eastAsia="Times New Roman" w:cs="Calibri"/>
                <w:sz w:val="20"/>
                <w:szCs w:val="20"/>
              </w:rPr>
            </w:pPr>
            <w:r w:rsidRPr="009E3947">
              <w:rPr>
                <w:sz w:val="20"/>
                <w:szCs w:val="20"/>
              </w:rPr>
              <w:t>29</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098CEDF7" w14:textId="4193B89A"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7E91CB2F" w14:textId="3C7C8510" w:rsidR="004E6E64" w:rsidRPr="009E3947" w:rsidDel="00D601CA"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A2CBB97" w14:textId="4DCE3C36" w:rsidR="004E6E64" w:rsidRPr="009E3947" w:rsidDel="00D601CA" w:rsidRDefault="004E6E64" w:rsidP="00C469C4">
            <w:pPr>
              <w:ind w:left="0" w:firstLine="0"/>
              <w:jc w:val="right"/>
              <w:rPr>
                <w:rFonts w:eastAsia="Times New Roman" w:cs="Calibri"/>
                <w:sz w:val="20"/>
                <w:szCs w:val="20"/>
              </w:rPr>
            </w:pPr>
            <w:r w:rsidRPr="009E3947">
              <w:rPr>
                <w:sz w:val="20"/>
                <w:szCs w:val="20"/>
              </w:rPr>
              <w:t>29</w:t>
            </w:r>
          </w:p>
        </w:tc>
        <w:tc>
          <w:tcPr>
            <w:tcW w:w="1587" w:type="dxa"/>
            <w:tcBorders>
              <w:top w:val="single" w:sz="4" w:space="0" w:color="auto"/>
              <w:left w:val="nil"/>
              <w:bottom w:val="single" w:sz="4" w:space="0" w:color="auto"/>
              <w:right w:val="nil"/>
            </w:tcBorders>
            <w:shd w:val="clear" w:color="auto" w:fill="auto"/>
            <w:noWrap/>
            <w:vAlign w:val="center"/>
          </w:tcPr>
          <w:p w14:paraId="612570E3" w14:textId="0F260537" w:rsidR="004E6E64" w:rsidRPr="009E3947" w:rsidDel="00D601CA" w:rsidRDefault="004E6E64" w:rsidP="00C469C4">
            <w:pPr>
              <w:ind w:left="0" w:firstLine="0"/>
              <w:jc w:val="right"/>
              <w:rPr>
                <w:rFonts w:eastAsia="Times New Roman" w:cs="Calibri"/>
                <w:sz w:val="20"/>
                <w:szCs w:val="20"/>
              </w:rPr>
            </w:pPr>
            <w:r w:rsidRPr="009E3947">
              <w:rPr>
                <w:sz w:val="20"/>
                <w:szCs w:val="20"/>
              </w:rPr>
              <w:t>29</w:t>
            </w:r>
          </w:p>
        </w:tc>
        <w:tc>
          <w:tcPr>
            <w:tcW w:w="1587" w:type="dxa"/>
            <w:tcBorders>
              <w:top w:val="single" w:sz="4" w:space="0" w:color="auto"/>
              <w:left w:val="single" w:sz="4" w:space="0" w:color="auto"/>
              <w:bottom w:val="single" w:sz="4" w:space="0" w:color="auto"/>
              <w:right w:val="single" w:sz="4" w:space="0" w:color="auto"/>
            </w:tcBorders>
            <w:vAlign w:val="center"/>
          </w:tcPr>
          <w:p w14:paraId="6B72A922" w14:textId="5452DDAE" w:rsidR="004E6E64" w:rsidRPr="009E3947"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F6F9E" w14:textId="6566D66B" w:rsidR="004E6E64" w:rsidRPr="009E3947" w:rsidDel="00D601CA" w:rsidRDefault="004E6E64" w:rsidP="00C469C4">
            <w:pPr>
              <w:ind w:left="0" w:firstLine="0"/>
              <w:jc w:val="right"/>
              <w:rPr>
                <w:rFonts w:eastAsia="Times New Roman" w:cs="Calibri"/>
                <w:sz w:val="20"/>
                <w:szCs w:val="20"/>
              </w:rPr>
            </w:pPr>
            <w:r w:rsidRPr="009E3947">
              <w:rPr>
                <w:sz w:val="20"/>
                <w:szCs w:val="20"/>
              </w:rPr>
              <w:t>0</w:t>
            </w:r>
          </w:p>
        </w:tc>
      </w:tr>
      <w:tr w:rsidR="004E6E64" w:rsidRPr="009E3947" w14:paraId="35D3E4A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7F17521D" w14:textId="749029A1" w:rsidR="004E6E64" w:rsidRPr="009E3947" w:rsidRDefault="004E6E64" w:rsidP="00F270A8">
            <w:pPr>
              <w:ind w:left="0" w:firstLine="0"/>
              <w:rPr>
                <w:rFonts w:eastAsia="Times New Roman" w:cs="Calibri"/>
                <w:sz w:val="20"/>
                <w:szCs w:val="20"/>
              </w:rPr>
            </w:pPr>
            <w:r w:rsidRPr="009E3947">
              <w:rPr>
                <w:sz w:val="20"/>
                <w:szCs w:val="20"/>
              </w:rPr>
              <w:t xml:space="preserve">Traspaso de las actividades de 2023 de la IRR de África Austral </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24D6" w14:textId="36240F21"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2AFFAC9" w14:textId="10A1372E"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434D114" w14:textId="13C497A5" w:rsidR="004E6E64" w:rsidRPr="009E3947" w:rsidRDefault="004E6E64" w:rsidP="00C469C4">
            <w:pPr>
              <w:ind w:left="0" w:firstLine="0"/>
              <w:jc w:val="right"/>
              <w:rPr>
                <w:rFonts w:eastAsia="Times New Roman" w:cs="Calibri"/>
                <w:sz w:val="20"/>
                <w:szCs w:val="20"/>
              </w:rPr>
            </w:pPr>
            <w:r w:rsidRPr="009E3947">
              <w:rPr>
                <w:sz w:val="20"/>
                <w:szCs w:val="20"/>
              </w:rPr>
              <w:t>12</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4049489" w14:textId="60B0ABD6" w:rsidR="004E6E64" w:rsidRPr="009E3947" w:rsidRDefault="004E6E64" w:rsidP="00C469C4">
            <w:pPr>
              <w:ind w:left="0" w:firstLine="0"/>
              <w:jc w:val="right"/>
              <w:rPr>
                <w:rFonts w:eastAsia="Times New Roman" w:cs="Calibri"/>
                <w:sz w:val="20"/>
                <w:szCs w:val="20"/>
              </w:rPr>
            </w:pPr>
            <w:r w:rsidRPr="009E3947">
              <w:rPr>
                <w:sz w:val="20"/>
                <w:szCs w:val="20"/>
              </w:rPr>
              <w:t>12</w:t>
            </w:r>
          </w:p>
        </w:tc>
        <w:tc>
          <w:tcPr>
            <w:tcW w:w="1587" w:type="dxa"/>
            <w:tcBorders>
              <w:top w:val="single" w:sz="4" w:space="0" w:color="auto"/>
              <w:left w:val="nil"/>
              <w:bottom w:val="single" w:sz="4" w:space="0" w:color="auto"/>
              <w:right w:val="nil"/>
            </w:tcBorders>
            <w:shd w:val="clear" w:color="auto" w:fill="auto"/>
            <w:noWrap/>
            <w:vAlign w:val="center"/>
          </w:tcPr>
          <w:p w14:paraId="5EC312BA" w14:textId="3DC322EB" w:rsidR="004E6E64" w:rsidRPr="009E3947" w:rsidRDefault="004E6E64" w:rsidP="00C469C4">
            <w:pPr>
              <w:ind w:left="0" w:firstLine="0"/>
              <w:jc w:val="right"/>
              <w:rPr>
                <w:rFonts w:eastAsia="Times New Roman" w:cs="Calibri"/>
                <w:sz w:val="20"/>
                <w:szCs w:val="20"/>
              </w:rPr>
            </w:pPr>
            <w:r w:rsidRPr="009E3947">
              <w:rPr>
                <w:sz w:val="20"/>
                <w:szCs w:val="20"/>
              </w:rPr>
              <w:t>12</w:t>
            </w:r>
          </w:p>
        </w:tc>
        <w:tc>
          <w:tcPr>
            <w:tcW w:w="1587" w:type="dxa"/>
            <w:tcBorders>
              <w:top w:val="single" w:sz="4" w:space="0" w:color="auto"/>
              <w:left w:val="single" w:sz="4" w:space="0" w:color="auto"/>
              <w:bottom w:val="single" w:sz="4" w:space="0" w:color="auto"/>
              <w:right w:val="single" w:sz="4" w:space="0" w:color="auto"/>
            </w:tcBorders>
            <w:vAlign w:val="center"/>
          </w:tcPr>
          <w:p w14:paraId="7CB243EE" w14:textId="7FB8BB70" w:rsidR="004E6E64" w:rsidRPr="009E3947"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03E9" w14:textId="2FD394E0" w:rsidR="004E6E64" w:rsidRPr="009E3947" w:rsidRDefault="004E6E64" w:rsidP="00C469C4">
            <w:pPr>
              <w:ind w:left="0" w:firstLine="0"/>
              <w:jc w:val="right"/>
              <w:rPr>
                <w:rFonts w:eastAsia="Times New Roman" w:cs="Calibri"/>
                <w:sz w:val="20"/>
                <w:szCs w:val="20"/>
              </w:rPr>
            </w:pPr>
            <w:r w:rsidRPr="009E3947">
              <w:rPr>
                <w:sz w:val="20"/>
                <w:szCs w:val="20"/>
              </w:rPr>
              <w:t>0</w:t>
            </w:r>
          </w:p>
        </w:tc>
      </w:tr>
      <w:tr w:rsidR="004E6E64" w:rsidRPr="009E3947" w14:paraId="212B1AD4" w14:textId="6F93D72A"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7B95F43" w14:textId="1241567B" w:rsidR="004E6E64" w:rsidRPr="009E3947" w:rsidRDefault="004E6E64" w:rsidP="00F270A8">
            <w:pPr>
              <w:ind w:left="0" w:firstLine="0"/>
              <w:rPr>
                <w:rFonts w:eastAsia="Times New Roman" w:cs="Calibri"/>
                <w:sz w:val="20"/>
                <w:szCs w:val="20"/>
              </w:rPr>
            </w:pPr>
            <w:r w:rsidRPr="009E3947">
              <w:rPr>
                <w:sz w:val="20"/>
                <w:szCs w:val="20"/>
              </w:rPr>
              <w:t>Traspaso de 2023 de la IRR de la Cuenca del Amazonas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6657F385"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35927042"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59AA7E77" w:rsidR="004E6E64" w:rsidRPr="009E3947" w:rsidRDefault="004E6E64" w:rsidP="00F270A8">
            <w:pPr>
              <w:ind w:left="0" w:firstLine="0"/>
              <w:jc w:val="right"/>
              <w:rPr>
                <w:rFonts w:eastAsia="Times New Roman" w:cs="Calibri"/>
                <w:sz w:val="20"/>
                <w:szCs w:val="20"/>
              </w:rPr>
            </w:pPr>
            <w:r w:rsidRPr="009E3947">
              <w:rPr>
                <w:sz w:val="20"/>
                <w:szCs w:val="20"/>
              </w:rPr>
              <w:t>24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CC26EC6" w:rsidR="004E6E64" w:rsidRPr="009E3947" w:rsidRDefault="004E6E64" w:rsidP="00F270A8">
            <w:pPr>
              <w:ind w:left="0" w:firstLine="0"/>
              <w:jc w:val="right"/>
              <w:rPr>
                <w:rFonts w:eastAsia="Times New Roman" w:cs="Calibri"/>
                <w:sz w:val="20"/>
                <w:szCs w:val="20"/>
              </w:rPr>
            </w:pPr>
            <w:r w:rsidRPr="009E3947">
              <w:rPr>
                <w:sz w:val="20"/>
                <w:szCs w:val="20"/>
              </w:rPr>
              <w:t>24</w:t>
            </w:r>
          </w:p>
        </w:tc>
        <w:tc>
          <w:tcPr>
            <w:tcW w:w="1587" w:type="dxa"/>
            <w:tcBorders>
              <w:top w:val="single" w:sz="4" w:space="0" w:color="auto"/>
              <w:left w:val="nil"/>
              <w:bottom w:val="single" w:sz="4" w:space="0" w:color="auto"/>
              <w:right w:val="nil"/>
            </w:tcBorders>
            <w:shd w:val="clear" w:color="auto" w:fill="auto"/>
            <w:noWrap/>
            <w:vAlign w:val="center"/>
            <w:hideMark/>
          </w:tcPr>
          <w:p w14:paraId="667F0A41" w14:textId="079D8777"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single" w:sz="4" w:space="0" w:color="auto"/>
              <w:left w:val="single" w:sz="4" w:space="0" w:color="auto"/>
              <w:bottom w:val="single" w:sz="4" w:space="0" w:color="auto"/>
              <w:right w:val="single" w:sz="4" w:space="0" w:color="auto"/>
            </w:tcBorders>
          </w:tcPr>
          <w:p w14:paraId="54024BD0" w14:textId="6CFBC06E"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6EF23B27" w:rsidR="004E6E64" w:rsidRPr="009E3947" w:rsidRDefault="004E6E64" w:rsidP="00F270A8">
            <w:pPr>
              <w:ind w:left="0" w:firstLine="0"/>
              <w:jc w:val="right"/>
              <w:rPr>
                <w:rFonts w:eastAsia="Times New Roman" w:cs="Calibri"/>
                <w:sz w:val="20"/>
                <w:szCs w:val="20"/>
              </w:rPr>
            </w:pPr>
            <w:r w:rsidRPr="009E3947">
              <w:rPr>
                <w:sz w:val="20"/>
                <w:szCs w:val="20"/>
              </w:rPr>
              <w:t>19</w:t>
            </w:r>
          </w:p>
        </w:tc>
      </w:tr>
      <w:tr w:rsidR="004E6E64" w:rsidRPr="009E3947" w14:paraId="677C9E16" w14:textId="6DCBAA9F" w:rsidTr="004E6E64">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23EFB9D8" w:rsidR="004E6E64" w:rsidRPr="009E3947" w:rsidRDefault="004E6E64" w:rsidP="00F270A8">
            <w:pPr>
              <w:ind w:left="0" w:firstLine="0"/>
              <w:rPr>
                <w:rFonts w:eastAsia="Times New Roman" w:cs="Calibri"/>
                <w:sz w:val="20"/>
                <w:szCs w:val="20"/>
              </w:rPr>
            </w:pPr>
            <w:r w:rsidRPr="009E3947">
              <w:rPr>
                <w:sz w:val="20"/>
                <w:szCs w:val="20"/>
              </w:rPr>
              <w:t>E.  Servicios científicos y técnicos</w:t>
            </w:r>
          </w:p>
        </w:tc>
        <w:tc>
          <w:tcPr>
            <w:tcW w:w="1587" w:type="dxa"/>
            <w:tcBorders>
              <w:top w:val="nil"/>
              <w:left w:val="nil"/>
              <w:bottom w:val="single" w:sz="4" w:space="0" w:color="auto"/>
              <w:right w:val="single" w:sz="4" w:space="0" w:color="auto"/>
            </w:tcBorders>
            <w:shd w:val="clear" w:color="000000" w:fill="EAF1DD"/>
            <w:noWrap/>
            <w:vAlign w:val="center"/>
            <w:hideMark/>
          </w:tcPr>
          <w:p w14:paraId="1507B161" w14:textId="2AEEE568" w:rsidR="004E6E64" w:rsidRPr="009E3947" w:rsidRDefault="004E6E64" w:rsidP="00F270A8">
            <w:pPr>
              <w:ind w:left="0" w:firstLine="0"/>
              <w:jc w:val="right"/>
              <w:rPr>
                <w:rFonts w:eastAsia="Times New Roman" w:cs="Calibri"/>
                <w:sz w:val="20"/>
                <w:szCs w:val="20"/>
              </w:rPr>
            </w:pPr>
            <w:r w:rsidRPr="009E3947">
              <w:rPr>
                <w:sz w:val="20"/>
                <w:szCs w:val="20"/>
              </w:rPr>
              <w:t>817</w:t>
            </w:r>
          </w:p>
        </w:tc>
        <w:tc>
          <w:tcPr>
            <w:tcW w:w="1587" w:type="dxa"/>
            <w:tcBorders>
              <w:top w:val="nil"/>
              <w:left w:val="nil"/>
              <w:bottom w:val="single" w:sz="4" w:space="0" w:color="auto"/>
              <w:right w:val="single" w:sz="4" w:space="0" w:color="auto"/>
            </w:tcBorders>
            <w:shd w:val="clear" w:color="000000" w:fill="EAF1DD"/>
            <w:noWrap/>
            <w:vAlign w:val="center"/>
            <w:hideMark/>
          </w:tcPr>
          <w:p w14:paraId="632C831E" w14:textId="67C6595A"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nil"/>
              <w:left w:val="nil"/>
              <w:bottom w:val="single" w:sz="4" w:space="0" w:color="auto"/>
              <w:right w:val="single" w:sz="4" w:space="0" w:color="auto"/>
            </w:tcBorders>
            <w:shd w:val="clear" w:color="000000" w:fill="EAF1DD"/>
            <w:noWrap/>
            <w:vAlign w:val="center"/>
            <w:hideMark/>
          </w:tcPr>
          <w:p w14:paraId="3DAF0E89" w14:textId="7E0F129C" w:rsidR="004E6E64" w:rsidRPr="009E3947" w:rsidRDefault="004E6E64" w:rsidP="00F270A8">
            <w:pPr>
              <w:ind w:left="0" w:firstLine="0"/>
              <w:jc w:val="right"/>
              <w:rPr>
                <w:rFonts w:eastAsia="Times New Roman" w:cs="Calibri"/>
                <w:sz w:val="20"/>
                <w:szCs w:val="20"/>
              </w:rPr>
            </w:pPr>
            <w:r w:rsidRPr="009E3947">
              <w:rPr>
                <w:sz w:val="20"/>
                <w:szCs w:val="20"/>
              </w:rPr>
              <w:t>373</w:t>
            </w:r>
          </w:p>
        </w:tc>
        <w:tc>
          <w:tcPr>
            <w:tcW w:w="1587" w:type="dxa"/>
            <w:tcBorders>
              <w:top w:val="nil"/>
              <w:left w:val="nil"/>
              <w:bottom w:val="single" w:sz="4" w:space="0" w:color="auto"/>
              <w:right w:val="single" w:sz="4" w:space="0" w:color="auto"/>
            </w:tcBorders>
            <w:shd w:val="clear" w:color="000000" w:fill="EAF1DD"/>
            <w:noWrap/>
            <w:vAlign w:val="center"/>
            <w:hideMark/>
          </w:tcPr>
          <w:p w14:paraId="762F55A0" w14:textId="5C44C0C6" w:rsidR="004E6E64" w:rsidRPr="009E3947" w:rsidRDefault="004E6E64" w:rsidP="00F270A8">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195</w:t>
            </w:r>
          </w:p>
        </w:tc>
        <w:tc>
          <w:tcPr>
            <w:tcW w:w="1587" w:type="dxa"/>
            <w:tcBorders>
              <w:top w:val="nil"/>
              <w:left w:val="nil"/>
              <w:bottom w:val="single" w:sz="4" w:space="0" w:color="auto"/>
              <w:right w:val="nil"/>
            </w:tcBorders>
            <w:shd w:val="clear" w:color="000000" w:fill="EAF1DD"/>
            <w:noWrap/>
            <w:vAlign w:val="center"/>
            <w:hideMark/>
          </w:tcPr>
          <w:p w14:paraId="10F4D7A9" w14:textId="5DD432FB" w:rsidR="004E6E64" w:rsidRPr="009E3947" w:rsidRDefault="004E6E64" w:rsidP="00F270A8">
            <w:pPr>
              <w:ind w:left="0" w:firstLine="0"/>
              <w:jc w:val="right"/>
              <w:rPr>
                <w:rFonts w:eastAsia="Times New Roman" w:cs="Calibri"/>
                <w:sz w:val="20"/>
                <w:szCs w:val="20"/>
              </w:rPr>
            </w:pPr>
            <w:r w:rsidRPr="009E3947">
              <w:rPr>
                <w:sz w:val="20"/>
                <w:szCs w:val="20"/>
              </w:rPr>
              <w:t>939</w:t>
            </w:r>
          </w:p>
        </w:tc>
        <w:tc>
          <w:tcPr>
            <w:tcW w:w="1587" w:type="dxa"/>
            <w:tcBorders>
              <w:top w:val="nil"/>
              <w:left w:val="single" w:sz="4" w:space="0" w:color="auto"/>
              <w:bottom w:val="nil"/>
              <w:right w:val="single" w:sz="4" w:space="0" w:color="auto"/>
            </w:tcBorders>
            <w:shd w:val="clear" w:color="000000" w:fill="EAF1DD"/>
          </w:tcPr>
          <w:p w14:paraId="1DBC43D6" w14:textId="1C7B35E3" w:rsidR="004E6E64" w:rsidRPr="009E3947" w:rsidRDefault="004E6E64" w:rsidP="00F270A8">
            <w:pPr>
              <w:ind w:left="0" w:firstLine="0"/>
              <w:jc w:val="right"/>
              <w:rPr>
                <w:rFonts w:eastAsia="Times New Roman" w:cs="Calibri"/>
                <w:sz w:val="20"/>
                <w:szCs w:val="20"/>
              </w:rPr>
            </w:pPr>
            <w:r w:rsidRPr="009E3947">
              <w:rPr>
                <w:sz w:val="20"/>
                <w:szCs w:val="20"/>
              </w:rPr>
              <w:t>45</w:t>
            </w:r>
          </w:p>
        </w:tc>
        <w:tc>
          <w:tcPr>
            <w:tcW w:w="1587" w:type="dxa"/>
            <w:tcBorders>
              <w:top w:val="nil"/>
              <w:left w:val="single" w:sz="4" w:space="0" w:color="auto"/>
              <w:bottom w:val="nil"/>
              <w:right w:val="single" w:sz="4" w:space="0" w:color="auto"/>
            </w:tcBorders>
            <w:shd w:val="clear" w:color="000000" w:fill="EAF1DD"/>
            <w:noWrap/>
            <w:vAlign w:val="center"/>
            <w:hideMark/>
          </w:tcPr>
          <w:p w14:paraId="183940EE" w14:textId="3DCF1976" w:rsidR="004E6E64" w:rsidRPr="009E3947" w:rsidRDefault="004E6E64" w:rsidP="00F270A8">
            <w:pPr>
              <w:ind w:left="0" w:firstLine="0"/>
              <w:jc w:val="right"/>
              <w:rPr>
                <w:rFonts w:eastAsia="Times New Roman" w:cs="Calibri"/>
                <w:sz w:val="20"/>
                <w:szCs w:val="20"/>
              </w:rPr>
            </w:pPr>
            <w:r w:rsidRPr="009E3947">
              <w:rPr>
                <w:sz w:val="20"/>
                <w:szCs w:val="20"/>
              </w:rPr>
              <w:t>301</w:t>
            </w:r>
          </w:p>
        </w:tc>
      </w:tr>
      <w:tr w:rsidR="004E6E64" w:rsidRPr="009E3947" w14:paraId="2B11F385" w14:textId="5A6A564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395D89C0" w:rsidR="004E6E64" w:rsidRPr="009E3947" w:rsidRDefault="004E6E64" w:rsidP="00F270A8">
            <w:pPr>
              <w:ind w:left="0" w:firstLine="0"/>
              <w:rPr>
                <w:rFonts w:eastAsia="Times New Roman" w:cs="Calibri"/>
                <w:sz w:val="20"/>
                <w:szCs w:val="20"/>
              </w:rPr>
            </w:pPr>
            <w:r w:rsidRPr="009E3947">
              <w:rPr>
                <w:sz w:val="20"/>
                <w:szCs w:val="20"/>
              </w:rPr>
              <w:t>Salarios, gastos sociales y otras prestaciones laborales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6DEAF2F9" w:rsidR="004E6E64" w:rsidRPr="009E3947" w:rsidRDefault="004E6E64" w:rsidP="00F270A8">
            <w:pPr>
              <w:ind w:left="0" w:firstLine="0"/>
              <w:jc w:val="right"/>
              <w:rPr>
                <w:rFonts w:eastAsia="Times New Roman" w:cs="Calibri"/>
                <w:sz w:val="20"/>
                <w:szCs w:val="20"/>
              </w:rPr>
            </w:pPr>
            <w:r w:rsidRPr="009E3947">
              <w:rPr>
                <w:sz w:val="20"/>
                <w:szCs w:val="20"/>
              </w:rPr>
              <w:t>649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A3AA0"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75EA9F91" w:rsidR="004E6E64" w:rsidRPr="009E3947" w:rsidRDefault="004E6E64" w:rsidP="00F270A8">
            <w:pPr>
              <w:ind w:left="0" w:firstLine="0"/>
              <w:jc w:val="right"/>
              <w:rPr>
                <w:rFonts w:eastAsia="Times New Roman" w:cs="Calibri"/>
                <w:sz w:val="20"/>
                <w:szCs w:val="20"/>
              </w:rPr>
            </w:pPr>
            <w:r w:rsidRPr="009E3947">
              <w:rPr>
                <w:sz w:val="20"/>
                <w:szCs w:val="20"/>
              </w:rPr>
              <w:t>37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6E9DB0AE" w:rsidR="004E6E64" w:rsidRPr="009E3947" w:rsidRDefault="004E6E64" w:rsidP="00F270A8">
            <w:pPr>
              <w:ind w:left="0" w:firstLine="0"/>
              <w:jc w:val="right"/>
              <w:rPr>
                <w:rFonts w:eastAsia="Times New Roman" w:cs="Calibri"/>
                <w:sz w:val="20"/>
                <w:szCs w:val="20"/>
              </w:rPr>
            </w:pPr>
            <w:r w:rsidRPr="009E3947">
              <w:rPr>
                <w:sz w:val="20"/>
                <w:szCs w:val="20"/>
              </w:rPr>
              <w:t>686</w:t>
            </w:r>
          </w:p>
        </w:tc>
        <w:tc>
          <w:tcPr>
            <w:tcW w:w="1587" w:type="dxa"/>
            <w:tcBorders>
              <w:top w:val="single" w:sz="4" w:space="0" w:color="auto"/>
              <w:left w:val="nil"/>
              <w:bottom w:val="single" w:sz="4" w:space="0" w:color="auto"/>
              <w:right w:val="nil"/>
            </w:tcBorders>
            <w:shd w:val="clear" w:color="auto" w:fill="auto"/>
            <w:noWrap/>
            <w:vAlign w:val="center"/>
            <w:hideMark/>
          </w:tcPr>
          <w:p w14:paraId="5F1812B2" w14:textId="4D108F18" w:rsidR="004E6E64" w:rsidRPr="009E3947" w:rsidRDefault="004E6E64" w:rsidP="00F270A8">
            <w:pPr>
              <w:ind w:left="0" w:firstLine="0"/>
              <w:jc w:val="right"/>
              <w:rPr>
                <w:rFonts w:eastAsia="Times New Roman" w:cs="Calibri"/>
                <w:sz w:val="20"/>
                <w:szCs w:val="20"/>
              </w:rPr>
            </w:pPr>
            <w:r w:rsidRPr="009E3947">
              <w:rPr>
                <w:sz w:val="20"/>
                <w:szCs w:val="20"/>
              </w:rPr>
              <w:t>644</w:t>
            </w:r>
          </w:p>
        </w:tc>
        <w:tc>
          <w:tcPr>
            <w:tcW w:w="1587" w:type="dxa"/>
            <w:tcBorders>
              <w:top w:val="single" w:sz="4" w:space="0" w:color="auto"/>
              <w:left w:val="single" w:sz="4" w:space="0" w:color="auto"/>
              <w:bottom w:val="single" w:sz="4" w:space="0" w:color="auto"/>
              <w:right w:val="single" w:sz="4" w:space="0" w:color="auto"/>
            </w:tcBorders>
          </w:tcPr>
          <w:p w14:paraId="7437527E" w14:textId="186DC219"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4FB7584F" w:rsidR="004E6E64" w:rsidRPr="009E3947" w:rsidRDefault="004E6E64" w:rsidP="00F270A8">
            <w:pPr>
              <w:ind w:left="0" w:firstLine="0"/>
              <w:jc w:val="right"/>
              <w:rPr>
                <w:rFonts w:eastAsia="Times New Roman" w:cs="Calibri"/>
                <w:sz w:val="20"/>
                <w:szCs w:val="20"/>
              </w:rPr>
            </w:pPr>
            <w:r w:rsidRPr="009E3947">
              <w:rPr>
                <w:sz w:val="20"/>
                <w:szCs w:val="20"/>
              </w:rPr>
              <w:t>42</w:t>
            </w:r>
          </w:p>
        </w:tc>
      </w:tr>
      <w:tr w:rsidR="004E6E64" w:rsidRPr="009E3947" w14:paraId="4DEBF79F" w14:textId="18E3724E"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80A2DD" w14:textId="3C7D8B42" w:rsidR="004E6E64" w:rsidRPr="009E3947" w:rsidRDefault="004E6E64" w:rsidP="00F270A8">
            <w:pPr>
              <w:ind w:left="0" w:firstLine="0"/>
              <w:rPr>
                <w:rFonts w:eastAsia="Times New Roman" w:cs="Calibri"/>
                <w:sz w:val="20"/>
                <w:szCs w:val="20"/>
              </w:rPr>
            </w:pPr>
            <w:r w:rsidRPr="009E3947">
              <w:rPr>
                <w:sz w:val="20"/>
                <w:szCs w:val="20"/>
              </w:rPr>
              <w:t>Viajes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DDACF29" w:rsidR="004E6E64" w:rsidRPr="009E3947" w:rsidRDefault="004E6E64" w:rsidP="00F270A8">
            <w:pPr>
              <w:ind w:left="0" w:firstLine="0"/>
              <w:jc w:val="right"/>
              <w:rPr>
                <w:rFonts w:eastAsia="Times New Roman" w:cs="Calibri"/>
                <w:sz w:val="20"/>
                <w:szCs w:val="20"/>
              </w:rPr>
            </w:pPr>
            <w:r w:rsidRPr="009E3947">
              <w:rPr>
                <w:sz w:val="20"/>
                <w:szCs w:val="20"/>
              </w:rPr>
              <w:t>18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3654A819"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54E539D2" w:rsidR="004E6E64" w:rsidRPr="009E3947" w:rsidRDefault="004E6E64" w:rsidP="00F270A8">
            <w:pPr>
              <w:ind w:left="0" w:firstLine="0"/>
              <w:jc w:val="right"/>
              <w:rPr>
                <w:rFonts w:eastAsia="Times New Roman" w:cs="Calibri"/>
                <w:sz w:val="20"/>
                <w:szCs w:val="20"/>
              </w:rPr>
            </w:pPr>
            <w:r w:rsidRPr="009E3947">
              <w:rPr>
                <w:sz w:val="20"/>
                <w:szCs w:val="20"/>
              </w:rPr>
              <w:t>21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78E81B81" w:rsidR="004E6E64" w:rsidRPr="009E3947" w:rsidRDefault="004E6E64" w:rsidP="00F270A8">
            <w:pPr>
              <w:ind w:left="0" w:firstLine="0"/>
              <w:jc w:val="right"/>
              <w:rPr>
                <w:rFonts w:eastAsia="Times New Roman" w:cs="Calibri"/>
                <w:sz w:val="20"/>
                <w:szCs w:val="20"/>
              </w:rPr>
            </w:pPr>
            <w:r w:rsidRPr="009E3947">
              <w:rPr>
                <w:sz w:val="20"/>
                <w:szCs w:val="20"/>
              </w:rPr>
              <w:t>39</w:t>
            </w:r>
          </w:p>
        </w:tc>
        <w:tc>
          <w:tcPr>
            <w:tcW w:w="1587" w:type="dxa"/>
            <w:tcBorders>
              <w:top w:val="single" w:sz="4" w:space="0" w:color="auto"/>
              <w:left w:val="nil"/>
              <w:bottom w:val="single" w:sz="4" w:space="0" w:color="auto"/>
              <w:right w:val="nil"/>
            </w:tcBorders>
            <w:shd w:val="clear" w:color="auto" w:fill="auto"/>
            <w:noWrap/>
            <w:vAlign w:val="center"/>
            <w:hideMark/>
          </w:tcPr>
          <w:p w14:paraId="0D23C70F" w14:textId="47C3A098" w:rsidR="004E6E64" w:rsidRPr="009E3947" w:rsidRDefault="004E6E64" w:rsidP="00F270A8">
            <w:pPr>
              <w:ind w:left="0" w:firstLine="0"/>
              <w:jc w:val="right"/>
              <w:rPr>
                <w:rFonts w:eastAsia="Times New Roman" w:cs="Calibri"/>
                <w:sz w:val="20"/>
                <w:szCs w:val="20"/>
              </w:rPr>
            </w:pPr>
            <w:r w:rsidRPr="009E3947">
              <w:rPr>
                <w:sz w:val="20"/>
                <w:szCs w:val="20"/>
              </w:rPr>
              <w:t>31</w:t>
            </w:r>
          </w:p>
        </w:tc>
        <w:tc>
          <w:tcPr>
            <w:tcW w:w="1587" w:type="dxa"/>
            <w:tcBorders>
              <w:top w:val="single" w:sz="4" w:space="0" w:color="auto"/>
              <w:left w:val="single" w:sz="4" w:space="0" w:color="auto"/>
              <w:bottom w:val="single" w:sz="4" w:space="0" w:color="auto"/>
              <w:right w:val="single" w:sz="4" w:space="0" w:color="auto"/>
            </w:tcBorders>
          </w:tcPr>
          <w:p w14:paraId="76B62119" w14:textId="11B2ADC0" w:rsidR="004E6E64" w:rsidRPr="009E3947" w:rsidRDefault="004E6E64" w:rsidP="00F270A8">
            <w:pPr>
              <w:ind w:left="0" w:firstLine="0"/>
              <w:jc w:val="right"/>
              <w:rPr>
                <w:rFonts w:eastAsia="Times New Roman" w:cs="Calibri"/>
                <w:sz w:val="20"/>
                <w:szCs w:val="20"/>
              </w:rPr>
            </w:pPr>
            <w:r w:rsidRPr="009E3947">
              <w:rPr>
                <w:sz w:val="20"/>
                <w:szCs w:val="20"/>
              </w:rPr>
              <w:t>(8)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69AFEAD0"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418C3F70" w14:textId="24AA10D5" w:rsidTr="004E6E64">
        <w:tc>
          <w:tcPr>
            <w:tcW w:w="3687" w:type="dxa"/>
            <w:tcBorders>
              <w:top w:val="nil"/>
              <w:left w:val="single" w:sz="4" w:space="0" w:color="auto"/>
              <w:bottom w:val="single" w:sz="4" w:space="0" w:color="auto"/>
              <w:right w:val="nil"/>
            </w:tcBorders>
            <w:shd w:val="clear" w:color="auto" w:fill="auto"/>
            <w:noWrap/>
            <w:vAlign w:val="center"/>
            <w:hideMark/>
          </w:tcPr>
          <w:p w14:paraId="708762E7" w14:textId="68A4C9EA" w:rsidR="004E6E64" w:rsidRPr="009E3947" w:rsidRDefault="004E6E64" w:rsidP="00F270A8">
            <w:pPr>
              <w:ind w:left="0" w:firstLine="0"/>
              <w:rPr>
                <w:rFonts w:eastAsia="Times New Roman" w:cs="Calibri"/>
                <w:sz w:val="20"/>
                <w:szCs w:val="20"/>
              </w:rPr>
            </w:pPr>
            <w:r w:rsidRPr="009E3947">
              <w:rPr>
                <w:sz w:val="20"/>
                <w:szCs w:val="20"/>
              </w:rPr>
              <w:t>Viajes de la Presidencia del GECT</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14E2FCF6"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nil"/>
              <w:left w:val="nil"/>
              <w:bottom w:val="single" w:sz="4" w:space="0" w:color="auto"/>
              <w:right w:val="single" w:sz="4" w:space="0" w:color="auto"/>
            </w:tcBorders>
            <w:shd w:val="clear" w:color="auto" w:fill="auto"/>
            <w:noWrap/>
            <w:vAlign w:val="center"/>
            <w:hideMark/>
          </w:tcPr>
          <w:p w14:paraId="785DF03F" w14:textId="630F32DF"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46D686F0" w14:textId="79F7589A" w:rsidR="004E6E64" w:rsidRPr="009E3947" w:rsidRDefault="004E6E64" w:rsidP="00F270A8">
            <w:pPr>
              <w:ind w:left="0" w:firstLine="0"/>
              <w:jc w:val="right"/>
              <w:rPr>
                <w:rFonts w:eastAsia="Times New Roman" w:cs="Calibri"/>
                <w:sz w:val="20"/>
                <w:szCs w:val="20"/>
              </w:rPr>
            </w:pPr>
            <w:r w:rsidRPr="009E3947">
              <w:rPr>
                <w:sz w:val="20"/>
                <w:szCs w:val="20"/>
              </w:rPr>
              <w:t>3</w:t>
            </w:r>
          </w:p>
        </w:tc>
        <w:tc>
          <w:tcPr>
            <w:tcW w:w="1587" w:type="dxa"/>
            <w:tcBorders>
              <w:top w:val="nil"/>
              <w:left w:val="nil"/>
              <w:bottom w:val="single" w:sz="4" w:space="0" w:color="auto"/>
              <w:right w:val="single" w:sz="4" w:space="0" w:color="auto"/>
            </w:tcBorders>
            <w:shd w:val="clear" w:color="auto" w:fill="auto"/>
            <w:noWrap/>
            <w:vAlign w:val="center"/>
            <w:hideMark/>
          </w:tcPr>
          <w:p w14:paraId="1DB0D611" w14:textId="209E29E9" w:rsidR="004E6E64" w:rsidRPr="009E3947" w:rsidRDefault="004E6E64" w:rsidP="00F270A8">
            <w:pPr>
              <w:ind w:left="0" w:firstLine="0"/>
              <w:jc w:val="right"/>
              <w:rPr>
                <w:rFonts w:eastAsia="Times New Roman" w:cs="Calibri"/>
                <w:sz w:val="20"/>
                <w:szCs w:val="20"/>
              </w:rPr>
            </w:pPr>
            <w:r w:rsidRPr="009E3947">
              <w:rPr>
                <w:sz w:val="20"/>
                <w:szCs w:val="20"/>
              </w:rPr>
              <w:t>8</w:t>
            </w:r>
          </w:p>
        </w:tc>
        <w:tc>
          <w:tcPr>
            <w:tcW w:w="1587" w:type="dxa"/>
            <w:tcBorders>
              <w:top w:val="nil"/>
              <w:left w:val="nil"/>
              <w:bottom w:val="single" w:sz="4" w:space="0" w:color="auto"/>
              <w:right w:val="nil"/>
            </w:tcBorders>
            <w:shd w:val="clear" w:color="auto" w:fill="auto"/>
            <w:noWrap/>
            <w:vAlign w:val="center"/>
            <w:hideMark/>
          </w:tcPr>
          <w:p w14:paraId="2411181A" w14:textId="1CD020CE" w:rsidR="004E6E64" w:rsidRPr="009E3947" w:rsidRDefault="004E6E64" w:rsidP="00BD4C05">
            <w:pPr>
              <w:ind w:left="0" w:firstLine="0"/>
              <w:jc w:val="right"/>
              <w:rPr>
                <w:rFonts w:eastAsia="Times New Roman" w:cs="Calibri"/>
                <w:sz w:val="20"/>
                <w:szCs w:val="20"/>
              </w:rPr>
            </w:pPr>
            <w:r w:rsidRPr="009E3947">
              <w:rPr>
                <w:sz w:val="20"/>
                <w:szCs w:val="20"/>
              </w:rPr>
              <w:t>10</w:t>
            </w:r>
          </w:p>
        </w:tc>
        <w:tc>
          <w:tcPr>
            <w:tcW w:w="1587" w:type="dxa"/>
            <w:tcBorders>
              <w:top w:val="nil"/>
              <w:left w:val="single" w:sz="4" w:space="0" w:color="auto"/>
              <w:bottom w:val="single" w:sz="4" w:space="0" w:color="auto"/>
              <w:right w:val="single" w:sz="4" w:space="0" w:color="auto"/>
            </w:tcBorders>
          </w:tcPr>
          <w:p w14:paraId="35BBFB83" w14:textId="1AB8A0AF" w:rsidR="004E6E64" w:rsidRPr="009E3947" w:rsidRDefault="004E6E64" w:rsidP="00F270A8">
            <w:pPr>
              <w:ind w:left="0" w:firstLine="0"/>
              <w:jc w:val="right"/>
              <w:rPr>
                <w:rFonts w:eastAsia="Times New Roman" w:cs="Calibri"/>
                <w:sz w:val="20"/>
                <w:szCs w:val="20"/>
              </w:rPr>
            </w:pPr>
            <w:r w:rsidRPr="009E3947">
              <w:rPr>
                <w:sz w:val="20"/>
                <w:szCs w:val="20"/>
              </w:rPr>
              <w:t>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6A60C35E"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7B53B94B" w14:textId="74785D43" w:rsidTr="004E6E64">
        <w:tc>
          <w:tcPr>
            <w:tcW w:w="3687" w:type="dxa"/>
            <w:tcBorders>
              <w:top w:val="nil"/>
              <w:left w:val="single" w:sz="4" w:space="0" w:color="auto"/>
              <w:bottom w:val="nil"/>
              <w:right w:val="nil"/>
            </w:tcBorders>
            <w:shd w:val="clear" w:color="auto" w:fill="auto"/>
            <w:noWrap/>
            <w:vAlign w:val="center"/>
            <w:hideMark/>
          </w:tcPr>
          <w:p w14:paraId="3C6A8E4B" w14:textId="2B547DEB" w:rsidR="004E6E64" w:rsidRPr="009E3947" w:rsidRDefault="004E6E64" w:rsidP="00F270A8">
            <w:pPr>
              <w:ind w:left="0" w:firstLine="0"/>
              <w:rPr>
                <w:rFonts w:eastAsia="Times New Roman" w:cs="Calibri"/>
                <w:sz w:val="20"/>
                <w:szCs w:val="20"/>
              </w:rPr>
            </w:pPr>
            <w:r w:rsidRPr="009E3947">
              <w:rPr>
                <w:sz w:val="20"/>
                <w:szCs w:val="20"/>
              </w:rPr>
              <w:t>Trabajo del GECT</w:t>
            </w:r>
          </w:p>
        </w:tc>
        <w:tc>
          <w:tcPr>
            <w:tcW w:w="1587" w:type="dxa"/>
            <w:tcBorders>
              <w:top w:val="nil"/>
              <w:left w:val="single" w:sz="4" w:space="0" w:color="auto"/>
              <w:bottom w:val="nil"/>
              <w:right w:val="single" w:sz="4" w:space="0" w:color="auto"/>
            </w:tcBorders>
            <w:shd w:val="clear" w:color="auto" w:fill="auto"/>
            <w:noWrap/>
            <w:vAlign w:val="center"/>
            <w:hideMark/>
          </w:tcPr>
          <w:p w14:paraId="5EE1AE95" w14:textId="636F5F3C" w:rsidR="004E6E64" w:rsidRPr="009E3947" w:rsidRDefault="004E6E64" w:rsidP="00F270A8">
            <w:pPr>
              <w:ind w:left="0" w:firstLine="0"/>
              <w:jc w:val="right"/>
              <w:rPr>
                <w:rFonts w:eastAsia="Times New Roman" w:cs="Calibri"/>
                <w:sz w:val="20"/>
                <w:szCs w:val="20"/>
              </w:rPr>
            </w:pPr>
            <w:r w:rsidRPr="009E3947">
              <w:rPr>
                <w:sz w:val="20"/>
                <w:szCs w:val="20"/>
              </w:rPr>
              <w:t>35</w:t>
            </w:r>
          </w:p>
        </w:tc>
        <w:tc>
          <w:tcPr>
            <w:tcW w:w="1587" w:type="dxa"/>
            <w:tcBorders>
              <w:top w:val="nil"/>
              <w:left w:val="nil"/>
              <w:bottom w:val="nil"/>
              <w:right w:val="single" w:sz="4" w:space="0" w:color="auto"/>
            </w:tcBorders>
            <w:shd w:val="clear" w:color="auto" w:fill="auto"/>
            <w:noWrap/>
            <w:vAlign w:val="center"/>
            <w:hideMark/>
          </w:tcPr>
          <w:p w14:paraId="12F37415" w14:textId="42A569D9"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nil"/>
              <w:left w:val="nil"/>
              <w:bottom w:val="nil"/>
              <w:right w:val="single" w:sz="4" w:space="0" w:color="auto"/>
            </w:tcBorders>
            <w:shd w:val="clear" w:color="auto" w:fill="auto"/>
            <w:noWrap/>
            <w:vAlign w:val="center"/>
            <w:hideMark/>
          </w:tcPr>
          <w:p w14:paraId="20B8F6F6" w14:textId="64999B6C" w:rsidR="004E6E64" w:rsidRPr="009E3947" w:rsidRDefault="004E6E64" w:rsidP="00F270A8">
            <w:pPr>
              <w:ind w:left="0" w:firstLine="0"/>
              <w:jc w:val="right"/>
              <w:rPr>
                <w:rFonts w:eastAsia="Times New Roman" w:cs="Calibri"/>
                <w:sz w:val="20"/>
                <w:szCs w:val="20"/>
              </w:rPr>
            </w:pPr>
            <w:r w:rsidRPr="009E3947">
              <w:rPr>
                <w:sz w:val="20"/>
                <w:szCs w:val="20"/>
              </w:rPr>
              <w:t>61</w:t>
            </w:r>
          </w:p>
        </w:tc>
        <w:tc>
          <w:tcPr>
            <w:tcW w:w="1587" w:type="dxa"/>
            <w:tcBorders>
              <w:top w:val="nil"/>
              <w:left w:val="nil"/>
              <w:bottom w:val="nil"/>
              <w:right w:val="single" w:sz="4" w:space="0" w:color="auto"/>
            </w:tcBorders>
            <w:shd w:val="clear" w:color="auto" w:fill="auto"/>
            <w:noWrap/>
            <w:vAlign w:val="center"/>
            <w:hideMark/>
          </w:tcPr>
          <w:p w14:paraId="52569493" w14:textId="740DD366" w:rsidR="004E6E64" w:rsidRPr="009E3947" w:rsidRDefault="004E6E64" w:rsidP="00F270A8">
            <w:pPr>
              <w:ind w:left="0" w:firstLine="0"/>
              <w:jc w:val="right"/>
              <w:rPr>
                <w:rFonts w:eastAsia="Times New Roman" w:cs="Calibri"/>
                <w:sz w:val="20"/>
                <w:szCs w:val="20"/>
              </w:rPr>
            </w:pPr>
            <w:r w:rsidRPr="009E3947">
              <w:rPr>
                <w:sz w:val="20"/>
                <w:szCs w:val="20"/>
              </w:rPr>
              <w:t>101</w:t>
            </w:r>
          </w:p>
        </w:tc>
        <w:tc>
          <w:tcPr>
            <w:tcW w:w="1587" w:type="dxa"/>
            <w:tcBorders>
              <w:top w:val="nil"/>
              <w:left w:val="nil"/>
              <w:bottom w:val="nil"/>
              <w:right w:val="nil"/>
            </w:tcBorders>
            <w:shd w:val="clear" w:color="auto" w:fill="auto"/>
            <w:noWrap/>
            <w:vAlign w:val="center"/>
            <w:hideMark/>
          </w:tcPr>
          <w:p w14:paraId="5E8EB25A" w14:textId="37F90D5A" w:rsidR="004E6E64" w:rsidRPr="009E3947" w:rsidRDefault="004E6E64" w:rsidP="00F270A8">
            <w:pPr>
              <w:ind w:left="0" w:firstLine="0"/>
              <w:jc w:val="right"/>
              <w:rPr>
                <w:rFonts w:eastAsia="Times New Roman" w:cs="Calibri"/>
                <w:sz w:val="20"/>
                <w:szCs w:val="20"/>
              </w:rPr>
            </w:pPr>
            <w:r w:rsidRPr="009E3947">
              <w:rPr>
                <w:sz w:val="20"/>
                <w:szCs w:val="20"/>
              </w:rPr>
              <w:t>36</w:t>
            </w:r>
          </w:p>
        </w:tc>
        <w:tc>
          <w:tcPr>
            <w:tcW w:w="1587" w:type="dxa"/>
            <w:tcBorders>
              <w:top w:val="nil"/>
              <w:left w:val="single" w:sz="4" w:space="0" w:color="auto"/>
              <w:bottom w:val="nil"/>
              <w:right w:val="single" w:sz="4" w:space="0" w:color="auto"/>
            </w:tcBorders>
          </w:tcPr>
          <w:p w14:paraId="0660AC25" w14:textId="022053B5" w:rsidR="004E6E64" w:rsidRPr="009E3947"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537736B" w14:textId="6B24E5AA" w:rsidR="004E6E64" w:rsidRPr="009E3947" w:rsidRDefault="004E6E64" w:rsidP="00F270A8">
            <w:pPr>
              <w:ind w:left="0" w:firstLine="0"/>
              <w:jc w:val="right"/>
              <w:rPr>
                <w:rFonts w:eastAsia="Times New Roman" w:cs="Calibri"/>
                <w:sz w:val="20"/>
                <w:szCs w:val="20"/>
              </w:rPr>
            </w:pPr>
            <w:r w:rsidRPr="009E3947">
              <w:rPr>
                <w:sz w:val="20"/>
                <w:szCs w:val="20"/>
              </w:rPr>
              <w:t>65</w:t>
            </w:r>
          </w:p>
        </w:tc>
      </w:tr>
      <w:tr w:rsidR="004E6E64" w:rsidRPr="009E3947" w14:paraId="1471C802" w14:textId="4ECE06D1"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5F861E3" w14:textId="018B8ECB" w:rsidR="004E6E64" w:rsidRPr="009E3947" w:rsidRDefault="004E6E64" w:rsidP="00F270A8">
            <w:pPr>
              <w:ind w:left="0" w:firstLine="0"/>
              <w:rPr>
                <w:rFonts w:eastAsia="Times New Roman" w:cs="Calibri"/>
                <w:sz w:val="20"/>
                <w:szCs w:val="20"/>
              </w:rPr>
            </w:pPr>
            <w:r w:rsidRPr="009E3947">
              <w:rPr>
                <w:sz w:val="20"/>
                <w:szCs w:val="20"/>
              </w:rPr>
              <w:t xml:space="preserve">Reuniones del GECT </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0E12853F" w:rsidR="004E6E64" w:rsidRPr="009E3947" w:rsidRDefault="004E6E64" w:rsidP="00F270A8">
            <w:pPr>
              <w:ind w:left="0" w:firstLine="0"/>
              <w:jc w:val="right"/>
              <w:rPr>
                <w:rFonts w:eastAsia="Times New Roman" w:cs="Calibri"/>
                <w:sz w:val="20"/>
                <w:szCs w:val="20"/>
              </w:rPr>
            </w:pPr>
            <w:r w:rsidRPr="009E3947">
              <w:rPr>
                <w:sz w:val="20"/>
                <w:szCs w:val="20"/>
              </w:rPr>
              <w:t>50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8E7DFA"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3260FC06" w:rsidR="004E6E64" w:rsidRPr="009E3947" w:rsidRDefault="004E6E64" w:rsidP="00F270A8">
            <w:pPr>
              <w:ind w:left="0" w:firstLine="0"/>
              <w:jc w:val="right"/>
              <w:rPr>
                <w:rFonts w:eastAsia="Times New Roman" w:cs="Calibri"/>
                <w:sz w:val="20"/>
                <w:szCs w:val="20"/>
              </w:rPr>
            </w:pPr>
            <w:r w:rsidRPr="009E3947">
              <w:rPr>
                <w:sz w:val="20"/>
                <w:szCs w:val="20"/>
              </w:rPr>
              <w:t>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3D9E734D" w:rsidR="004E6E64" w:rsidRPr="009E3947" w:rsidRDefault="004E6E64" w:rsidP="00F270A8">
            <w:pPr>
              <w:ind w:left="0" w:firstLine="0"/>
              <w:jc w:val="right"/>
              <w:rPr>
                <w:rFonts w:eastAsia="Times New Roman" w:cs="Calibri"/>
                <w:sz w:val="20"/>
                <w:szCs w:val="20"/>
              </w:rPr>
            </w:pPr>
            <w:r w:rsidRPr="009E3947">
              <w:rPr>
                <w:sz w:val="20"/>
                <w:szCs w:val="20"/>
              </w:rPr>
              <w:t>56</w:t>
            </w:r>
          </w:p>
        </w:tc>
        <w:tc>
          <w:tcPr>
            <w:tcW w:w="1587" w:type="dxa"/>
            <w:tcBorders>
              <w:top w:val="single" w:sz="4" w:space="0" w:color="auto"/>
              <w:left w:val="nil"/>
              <w:bottom w:val="single" w:sz="4" w:space="0" w:color="auto"/>
              <w:right w:val="nil"/>
            </w:tcBorders>
            <w:shd w:val="clear" w:color="auto" w:fill="auto"/>
            <w:noWrap/>
            <w:vAlign w:val="center"/>
            <w:hideMark/>
          </w:tcPr>
          <w:p w14:paraId="60C4464A" w14:textId="61F1A1BD" w:rsidR="004E6E64" w:rsidRPr="009E3947" w:rsidRDefault="004E6E64" w:rsidP="00F270A8">
            <w:pPr>
              <w:ind w:left="0" w:firstLine="0"/>
              <w:jc w:val="right"/>
              <w:rPr>
                <w:rFonts w:eastAsia="Times New Roman" w:cs="Calibri"/>
                <w:sz w:val="20"/>
                <w:szCs w:val="20"/>
              </w:rPr>
            </w:pPr>
            <w:r w:rsidRPr="009E3947">
              <w:rPr>
                <w:sz w:val="20"/>
                <w:szCs w:val="20"/>
              </w:rPr>
              <w:t>107</w:t>
            </w:r>
          </w:p>
        </w:tc>
        <w:tc>
          <w:tcPr>
            <w:tcW w:w="1587" w:type="dxa"/>
            <w:tcBorders>
              <w:top w:val="single" w:sz="4" w:space="0" w:color="auto"/>
              <w:left w:val="single" w:sz="4" w:space="0" w:color="auto"/>
              <w:bottom w:val="single" w:sz="4" w:space="0" w:color="auto"/>
              <w:right w:val="single" w:sz="4" w:space="0" w:color="auto"/>
            </w:tcBorders>
          </w:tcPr>
          <w:p w14:paraId="5B68F539" w14:textId="026A6B86" w:rsidR="004E6E64" w:rsidRPr="009E3947" w:rsidRDefault="004E6E64" w:rsidP="00F270A8">
            <w:pPr>
              <w:ind w:left="0" w:firstLine="0"/>
              <w:jc w:val="right"/>
              <w:rPr>
                <w:rFonts w:eastAsia="Times New Roman" w:cs="Calibri"/>
                <w:sz w:val="20"/>
                <w:szCs w:val="20"/>
              </w:rPr>
            </w:pPr>
            <w:r w:rsidRPr="009E3947">
              <w:rPr>
                <w:sz w:val="20"/>
                <w:szCs w:val="20"/>
              </w:rPr>
              <w:t>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25D321D9"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16F3D9BE" w14:textId="6273526E" w:rsidTr="004E6E64">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7E1E967B" w:rsidR="004E6E64" w:rsidRPr="009E3947" w:rsidRDefault="004E6E64" w:rsidP="00F270A8">
            <w:pPr>
              <w:ind w:left="0" w:firstLine="0"/>
              <w:rPr>
                <w:rFonts w:eastAsia="Times New Roman" w:cs="Calibri"/>
                <w:sz w:val="20"/>
                <w:szCs w:val="20"/>
              </w:rPr>
            </w:pPr>
            <w:r w:rsidRPr="009E3947">
              <w:rPr>
                <w:sz w:val="20"/>
                <w:szCs w:val="20"/>
              </w:rPr>
              <w:t>Quinto Plan Estratégico (2022 - 2024)</w:t>
            </w:r>
          </w:p>
        </w:tc>
        <w:tc>
          <w:tcPr>
            <w:tcW w:w="1587" w:type="dxa"/>
            <w:tcBorders>
              <w:top w:val="nil"/>
              <w:left w:val="nil"/>
              <w:bottom w:val="single" w:sz="4" w:space="0" w:color="auto"/>
              <w:right w:val="single" w:sz="4" w:space="0" w:color="auto"/>
            </w:tcBorders>
            <w:shd w:val="clear" w:color="auto" w:fill="auto"/>
            <w:noWrap/>
            <w:vAlign w:val="center"/>
            <w:hideMark/>
          </w:tcPr>
          <w:p w14:paraId="2241AAC6" w14:textId="767FF4C0"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4C412719" w14:textId="25DD648F"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7A85DA9F" w14:textId="0E7F791C" w:rsidR="004E6E64" w:rsidRPr="009E3947" w:rsidRDefault="004E6E64" w:rsidP="00F270A8">
            <w:pPr>
              <w:ind w:left="0" w:firstLine="0"/>
              <w:jc w:val="right"/>
              <w:rPr>
                <w:rFonts w:eastAsia="Times New Roman" w:cs="Calibri"/>
                <w:sz w:val="20"/>
                <w:szCs w:val="20"/>
              </w:rPr>
            </w:pPr>
            <w:r w:rsidRPr="009E3947">
              <w:rPr>
                <w:sz w:val="20"/>
                <w:szCs w:val="20"/>
              </w:rPr>
              <w:t>50</w:t>
            </w:r>
          </w:p>
        </w:tc>
        <w:tc>
          <w:tcPr>
            <w:tcW w:w="1587" w:type="dxa"/>
            <w:tcBorders>
              <w:top w:val="nil"/>
              <w:left w:val="nil"/>
              <w:bottom w:val="single" w:sz="4" w:space="0" w:color="auto"/>
              <w:right w:val="single" w:sz="4" w:space="0" w:color="auto"/>
            </w:tcBorders>
            <w:shd w:val="clear" w:color="auto" w:fill="auto"/>
            <w:noWrap/>
            <w:vAlign w:val="center"/>
            <w:hideMark/>
          </w:tcPr>
          <w:p w14:paraId="2EB43C98" w14:textId="6F41F07B" w:rsidR="004E6E64" w:rsidRPr="009E3947" w:rsidRDefault="004E6E64" w:rsidP="00F270A8">
            <w:pPr>
              <w:ind w:left="0" w:firstLine="0"/>
              <w:jc w:val="right"/>
              <w:rPr>
                <w:rFonts w:eastAsia="Times New Roman" w:cs="Calibri"/>
                <w:sz w:val="20"/>
                <w:szCs w:val="20"/>
              </w:rPr>
            </w:pPr>
            <w:r w:rsidRPr="009E3947">
              <w:rPr>
                <w:sz w:val="20"/>
                <w:szCs w:val="20"/>
              </w:rPr>
              <w:t>50</w:t>
            </w:r>
          </w:p>
        </w:tc>
        <w:tc>
          <w:tcPr>
            <w:tcW w:w="1587" w:type="dxa"/>
            <w:tcBorders>
              <w:top w:val="nil"/>
              <w:left w:val="nil"/>
              <w:bottom w:val="single" w:sz="4" w:space="0" w:color="auto"/>
              <w:right w:val="nil"/>
            </w:tcBorders>
            <w:shd w:val="clear" w:color="auto" w:fill="auto"/>
            <w:noWrap/>
            <w:vAlign w:val="center"/>
            <w:hideMark/>
          </w:tcPr>
          <w:p w14:paraId="538568F0" w14:textId="47ABA535" w:rsidR="004E6E64" w:rsidRPr="009E3947" w:rsidRDefault="004E6E64" w:rsidP="00F270A8">
            <w:pPr>
              <w:ind w:left="0" w:firstLine="0"/>
              <w:jc w:val="right"/>
              <w:rPr>
                <w:rFonts w:eastAsia="Times New Roman" w:cs="Calibri"/>
                <w:sz w:val="20"/>
                <w:szCs w:val="20"/>
              </w:rPr>
            </w:pPr>
            <w:r w:rsidRPr="009E3947">
              <w:rPr>
                <w:sz w:val="20"/>
                <w:szCs w:val="20"/>
              </w:rPr>
              <w:t>38</w:t>
            </w:r>
          </w:p>
        </w:tc>
        <w:tc>
          <w:tcPr>
            <w:tcW w:w="1587" w:type="dxa"/>
            <w:tcBorders>
              <w:top w:val="nil"/>
              <w:left w:val="single" w:sz="4" w:space="0" w:color="auto"/>
              <w:bottom w:val="single" w:sz="4" w:space="0" w:color="auto"/>
              <w:right w:val="single" w:sz="4" w:space="0" w:color="auto"/>
            </w:tcBorders>
          </w:tcPr>
          <w:p w14:paraId="2CEB9351" w14:textId="0D0354C0" w:rsidR="004E6E64" w:rsidRPr="009E3947"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21B4A921" w:rsidR="004E6E64" w:rsidRPr="009E3947" w:rsidRDefault="004E6E64" w:rsidP="00F270A8">
            <w:pPr>
              <w:ind w:left="0" w:firstLine="0"/>
              <w:jc w:val="right"/>
              <w:rPr>
                <w:rFonts w:eastAsia="Times New Roman" w:cs="Calibri"/>
                <w:sz w:val="20"/>
                <w:szCs w:val="20"/>
              </w:rPr>
            </w:pPr>
            <w:r w:rsidRPr="009E3947">
              <w:rPr>
                <w:sz w:val="20"/>
                <w:szCs w:val="20"/>
              </w:rPr>
              <w:t>12</w:t>
            </w:r>
          </w:p>
        </w:tc>
      </w:tr>
      <w:tr w:rsidR="004E6E64" w:rsidRPr="009E3947" w14:paraId="018DBF7C" w14:textId="11331BB7" w:rsidTr="004E6E64">
        <w:tc>
          <w:tcPr>
            <w:tcW w:w="3687" w:type="dxa"/>
            <w:tcBorders>
              <w:top w:val="nil"/>
              <w:left w:val="single" w:sz="4" w:space="0" w:color="auto"/>
              <w:bottom w:val="nil"/>
              <w:right w:val="nil"/>
            </w:tcBorders>
            <w:shd w:val="clear" w:color="auto" w:fill="auto"/>
            <w:noWrap/>
            <w:vAlign w:val="center"/>
            <w:hideMark/>
          </w:tcPr>
          <w:p w14:paraId="23F51BA7" w14:textId="7D2E3441" w:rsidR="004E6E64" w:rsidRPr="009E3947" w:rsidRDefault="004E6E64" w:rsidP="00F270A8">
            <w:pPr>
              <w:ind w:left="0" w:firstLine="0"/>
              <w:rPr>
                <w:rFonts w:eastAsia="Times New Roman" w:cs="Calibri"/>
                <w:sz w:val="20"/>
                <w:szCs w:val="20"/>
              </w:rPr>
            </w:pPr>
            <w:r w:rsidRPr="009E3947">
              <w:rPr>
                <w:sz w:val="20"/>
                <w:szCs w:val="20"/>
              </w:rPr>
              <w:t>ODS 6.61 (Inventarios)</w:t>
            </w:r>
          </w:p>
        </w:tc>
        <w:tc>
          <w:tcPr>
            <w:tcW w:w="1587" w:type="dxa"/>
            <w:tcBorders>
              <w:top w:val="nil"/>
              <w:left w:val="single" w:sz="4" w:space="0" w:color="auto"/>
              <w:bottom w:val="nil"/>
              <w:right w:val="single" w:sz="4" w:space="0" w:color="auto"/>
            </w:tcBorders>
            <w:shd w:val="clear" w:color="auto" w:fill="auto"/>
            <w:noWrap/>
            <w:vAlign w:val="center"/>
            <w:hideMark/>
          </w:tcPr>
          <w:p w14:paraId="0D32900A" w14:textId="709789D6"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67CC9637" w14:textId="008FCA10"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2EAB99DE" w14:textId="2F2776FB" w:rsidR="004E6E64" w:rsidRPr="009E3947" w:rsidRDefault="004E6E64" w:rsidP="00F270A8">
            <w:pPr>
              <w:ind w:left="0" w:firstLine="0"/>
              <w:jc w:val="right"/>
              <w:rPr>
                <w:rFonts w:eastAsia="Times New Roman" w:cs="Calibri"/>
                <w:sz w:val="20"/>
                <w:szCs w:val="20"/>
              </w:rPr>
            </w:pPr>
            <w:r w:rsidRPr="009E3947">
              <w:rPr>
                <w:sz w:val="20"/>
                <w:szCs w:val="20"/>
              </w:rPr>
              <w:t>42</w:t>
            </w:r>
          </w:p>
        </w:tc>
        <w:tc>
          <w:tcPr>
            <w:tcW w:w="1587" w:type="dxa"/>
            <w:tcBorders>
              <w:top w:val="nil"/>
              <w:left w:val="nil"/>
              <w:bottom w:val="nil"/>
              <w:right w:val="single" w:sz="4" w:space="0" w:color="auto"/>
            </w:tcBorders>
            <w:shd w:val="clear" w:color="auto" w:fill="auto"/>
            <w:noWrap/>
            <w:vAlign w:val="center"/>
            <w:hideMark/>
          </w:tcPr>
          <w:p w14:paraId="52C223A6" w14:textId="180C437E" w:rsidR="004E6E64" w:rsidRPr="009E3947" w:rsidRDefault="004E6E64" w:rsidP="00F270A8">
            <w:pPr>
              <w:ind w:left="0" w:firstLine="0"/>
              <w:jc w:val="right"/>
              <w:rPr>
                <w:rFonts w:eastAsia="Times New Roman" w:cs="Calibri"/>
                <w:sz w:val="20"/>
                <w:szCs w:val="20"/>
              </w:rPr>
            </w:pPr>
            <w:r w:rsidRPr="009E3947">
              <w:rPr>
                <w:sz w:val="20"/>
                <w:szCs w:val="20"/>
              </w:rPr>
              <w:t>42</w:t>
            </w:r>
          </w:p>
        </w:tc>
        <w:tc>
          <w:tcPr>
            <w:tcW w:w="1587" w:type="dxa"/>
            <w:tcBorders>
              <w:top w:val="nil"/>
              <w:left w:val="nil"/>
              <w:bottom w:val="single" w:sz="4" w:space="0" w:color="auto"/>
              <w:right w:val="nil"/>
            </w:tcBorders>
            <w:shd w:val="clear" w:color="auto" w:fill="auto"/>
            <w:noWrap/>
            <w:vAlign w:val="center"/>
            <w:hideMark/>
          </w:tcPr>
          <w:p w14:paraId="7CDE8B11" w14:textId="2AC91268" w:rsidR="004E6E64" w:rsidRPr="009E3947" w:rsidRDefault="004E6E64" w:rsidP="00F270A8">
            <w:pPr>
              <w:ind w:left="0" w:firstLine="0"/>
              <w:jc w:val="right"/>
              <w:rPr>
                <w:rFonts w:eastAsia="Times New Roman" w:cs="Calibri"/>
                <w:sz w:val="20"/>
                <w:szCs w:val="20"/>
              </w:rPr>
            </w:pPr>
            <w:r w:rsidRPr="009E3947">
              <w:rPr>
                <w:sz w:val="20"/>
                <w:szCs w:val="20"/>
              </w:rPr>
              <w:t>6</w:t>
            </w:r>
          </w:p>
        </w:tc>
        <w:tc>
          <w:tcPr>
            <w:tcW w:w="1587" w:type="dxa"/>
            <w:tcBorders>
              <w:top w:val="nil"/>
              <w:left w:val="single" w:sz="4" w:space="0" w:color="auto"/>
              <w:bottom w:val="nil"/>
              <w:right w:val="single" w:sz="4" w:space="0" w:color="auto"/>
            </w:tcBorders>
          </w:tcPr>
          <w:p w14:paraId="0359575B" w14:textId="6987E9FC" w:rsidR="004E6E64" w:rsidRPr="009E3947"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8C9D218" w14:textId="255877B8" w:rsidR="004E6E64" w:rsidRPr="009E3947" w:rsidRDefault="004E6E64" w:rsidP="00F270A8">
            <w:pPr>
              <w:ind w:left="0" w:firstLine="0"/>
              <w:jc w:val="right"/>
              <w:rPr>
                <w:rFonts w:eastAsia="Times New Roman" w:cs="Calibri"/>
                <w:sz w:val="20"/>
                <w:szCs w:val="20"/>
              </w:rPr>
            </w:pPr>
            <w:r w:rsidRPr="009E3947">
              <w:rPr>
                <w:sz w:val="20"/>
                <w:szCs w:val="20"/>
              </w:rPr>
              <w:t>36</w:t>
            </w:r>
          </w:p>
        </w:tc>
      </w:tr>
      <w:tr w:rsidR="004E6E64" w:rsidRPr="009E3947" w14:paraId="65A11A52" w14:textId="50361E70"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5F7B20B" w14:textId="70BAF04D" w:rsidR="004E6E64" w:rsidRPr="009E3947" w:rsidRDefault="004E6E64" w:rsidP="00F270A8">
            <w:pPr>
              <w:ind w:left="0" w:firstLine="0"/>
              <w:rPr>
                <w:rFonts w:eastAsia="Times New Roman" w:cs="Calibri"/>
                <w:sz w:val="20"/>
                <w:szCs w:val="20"/>
              </w:rPr>
            </w:pPr>
            <w:r w:rsidRPr="009E3947">
              <w:rPr>
                <w:sz w:val="20"/>
                <w:szCs w:val="20"/>
              </w:rPr>
              <w:t>Servicio de Información sobre Sitios Ramsar (mantenimiento y desarrollo)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13FCAD18" w:rsidR="004E6E64" w:rsidRPr="009E3947" w:rsidRDefault="004E6E64" w:rsidP="00C469C4">
            <w:pPr>
              <w:ind w:left="0" w:firstLine="0"/>
              <w:jc w:val="right"/>
              <w:rPr>
                <w:rFonts w:eastAsia="Times New Roman" w:cs="Calibri"/>
                <w:sz w:val="20"/>
                <w:szCs w:val="20"/>
              </w:rPr>
            </w:pPr>
            <w:r w:rsidRPr="009E3947">
              <w:rPr>
                <w:sz w:val="20"/>
                <w:szCs w:val="20"/>
              </w:rPr>
              <w:t>60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2DC37E45"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130F6CCB" w:rsidR="004E6E64" w:rsidRPr="009E3947" w:rsidRDefault="004E6E64" w:rsidP="00C469C4">
            <w:pPr>
              <w:ind w:left="0" w:firstLine="0"/>
              <w:jc w:val="right"/>
              <w:rPr>
                <w:rFonts w:eastAsia="Times New Roman" w:cs="Calibri"/>
                <w:sz w:val="20"/>
                <w:szCs w:val="20"/>
              </w:rPr>
            </w:pPr>
            <w:r w:rsidRPr="009E3947">
              <w:rPr>
                <w:sz w:val="20"/>
                <w:szCs w:val="20"/>
              </w:rPr>
              <w:t>63</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407BB561" w:rsidR="004E6E64" w:rsidRPr="009E3947" w:rsidRDefault="004E6E64" w:rsidP="00C469C4">
            <w:pPr>
              <w:ind w:left="0" w:firstLine="0"/>
              <w:jc w:val="right"/>
              <w:rPr>
                <w:rFonts w:eastAsia="Times New Roman" w:cs="Calibri"/>
                <w:sz w:val="20"/>
                <w:szCs w:val="20"/>
              </w:rPr>
            </w:pPr>
            <w:r w:rsidRPr="009E3947">
              <w:rPr>
                <w:sz w:val="20"/>
                <w:szCs w:val="20"/>
              </w:rPr>
              <w:t>123</w:t>
            </w:r>
          </w:p>
        </w:tc>
        <w:tc>
          <w:tcPr>
            <w:tcW w:w="1587" w:type="dxa"/>
            <w:tcBorders>
              <w:top w:val="nil"/>
              <w:left w:val="nil"/>
              <w:bottom w:val="single" w:sz="4" w:space="0" w:color="auto"/>
              <w:right w:val="nil"/>
            </w:tcBorders>
            <w:shd w:val="clear" w:color="auto" w:fill="auto"/>
            <w:noWrap/>
            <w:vAlign w:val="center"/>
            <w:hideMark/>
          </w:tcPr>
          <w:p w14:paraId="3C4231C3" w14:textId="4DF59D7E" w:rsidR="004E6E64" w:rsidRPr="009E3947" w:rsidRDefault="004E6E64" w:rsidP="00C469C4">
            <w:pPr>
              <w:ind w:left="0" w:firstLine="0"/>
              <w:jc w:val="right"/>
              <w:rPr>
                <w:rFonts w:eastAsia="Times New Roman" w:cs="Calibri"/>
                <w:sz w:val="20"/>
                <w:szCs w:val="20"/>
              </w:rPr>
            </w:pPr>
            <w:r w:rsidRPr="009E3947">
              <w:rPr>
                <w:sz w:val="20"/>
                <w:szCs w:val="20"/>
              </w:rPr>
              <w:t>39</w:t>
            </w:r>
          </w:p>
        </w:tc>
        <w:tc>
          <w:tcPr>
            <w:tcW w:w="1587" w:type="dxa"/>
            <w:tcBorders>
              <w:top w:val="single" w:sz="4" w:space="0" w:color="auto"/>
              <w:left w:val="single" w:sz="4" w:space="0" w:color="auto"/>
              <w:bottom w:val="single" w:sz="4" w:space="0" w:color="auto"/>
              <w:right w:val="single" w:sz="4" w:space="0" w:color="auto"/>
            </w:tcBorders>
            <w:vAlign w:val="center"/>
          </w:tcPr>
          <w:p w14:paraId="5E076D39" w14:textId="2BD6E82D" w:rsidR="004E6E64" w:rsidRPr="009E3947"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59AA2725" w:rsidR="004E6E64" w:rsidRPr="009E3947" w:rsidRDefault="004E6E64" w:rsidP="00C469C4">
            <w:pPr>
              <w:ind w:left="0" w:firstLine="0"/>
              <w:jc w:val="right"/>
              <w:rPr>
                <w:rFonts w:eastAsia="Times New Roman" w:cs="Calibri"/>
                <w:sz w:val="20"/>
                <w:szCs w:val="20"/>
              </w:rPr>
            </w:pPr>
            <w:r w:rsidRPr="009E3947">
              <w:rPr>
                <w:sz w:val="20"/>
                <w:szCs w:val="20"/>
              </w:rPr>
              <w:t>84</w:t>
            </w:r>
          </w:p>
        </w:tc>
      </w:tr>
      <w:tr w:rsidR="004E6E64" w:rsidRPr="009E3947" w14:paraId="2D0A580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135AB31" w14:textId="2C82A7F0" w:rsidR="004E6E64" w:rsidRPr="009E3947" w:rsidRDefault="004E6E64" w:rsidP="00F270A8">
            <w:pPr>
              <w:ind w:left="0" w:firstLine="0"/>
              <w:rPr>
                <w:rFonts w:eastAsia="Times New Roman" w:cs="Calibri"/>
                <w:sz w:val="20"/>
                <w:szCs w:val="20"/>
              </w:rPr>
            </w:pPr>
            <w:r w:rsidRPr="009E3947">
              <w:rPr>
                <w:sz w:val="20"/>
                <w:szCs w:val="20"/>
              </w:rPr>
              <w:t>Servicio de Información sobre Sitios Ramsar (apoyo técnico para el trienio 2023-2025)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3D29" w14:textId="2B715BA9"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553816E0" w14:textId="36D62216"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3D26611" w14:textId="5149C2C1" w:rsidR="004E6E64" w:rsidRPr="009E3947" w:rsidRDefault="004E6E64" w:rsidP="00C469C4">
            <w:pPr>
              <w:ind w:left="0" w:firstLine="0"/>
              <w:jc w:val="right"/>
              <w:rPr>
                <w:rFonts w:eastAsia="Times New Roman" w:cs="Calibri"/>
                <w:sz w:val="20"/>
                <w:szCs w:val="20"/>
              </w:rPr>
            </w:pPr>
            <w:r w:rsidRPr="009E3947">
              <w:rPr>
                <w:sz w:val="20"/>
                <w:szCs w:val="20"/>
              </w:rPr>
              <w:t>90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093264A7" w14:textId="6F4C9233" w:rsidR="004E6E64" w:rsidRPr="009E3947" w:rsidRDefault="004E6E64" w:rsidP="00C469C4">
            <w:pPr>
              <w:ind w:left="0" w:firstLine="0"/>
              <w:jc w:val="right"/>
              <w:rPr>
                <w:rFonts w:eastAsia="Times New Roman" w:cs="Calibri"/>
                <w:sz w:val="20"/>
                <w:szCs w:val="20"/>
              </w:rPr>
            </w:pPr>
            <w:r w:rsidRPr="009E3947">
              <w:rPr>
                <w:sz w:val="20"/>
                <w:szCs w:val="20"/>
              </w:rPr>
              <w:t>90</w:t>
            </w:r>
          </w:p>
        </w:tc>
        <w:tc>
          <w:tcPr>
            <w:tcW w:w="1587" w:type="dxa"/>
            <w:tcBorders>
              <w:top w:val="nil"/>
              <w:left w:val="nil"/>
              <w:bottom w:val="single" w:sz="4" w:space="0" w:color="auto"/>
              <w:right w:val="nil"/>
            </w:tcBorders>
            <w:shd w:val="clear" w:color="auto" w:fill="auto"/>
            <w:noWrap/>
            <w:vAlign w:val="center"/>
          </w:tcPr>
          <w:p w14:paraId="6D4C1928" w14:textId="6FAC9E70" w:rsidR="004E6E64" w:rsidRPr="009E3947" w:rsidRDefault="004E6E64" w:rsidP="00C469C4">
            <w:pPr>
              <w:ind w:left="0" w:firstLine="0"/>
              <w:jc w:val="right"/>
              <w:rPr>
                <w:rFonts w:eastAsia="Times New Roman" w:cs="Calibri"/>
                <w:sz w:val="20"/>
                <w:szCs w:val="20"/>
              </w:rPr>
            </w:pPr>
            <w:r w:rsidRPr="009E3947">
              <w:rPr>
                <w:sz w:val="20"/>
                <w:szCs w:val="20"/>
              </w:rPr>
              <w:t>28</w:t>
            </w:r>
          </w:p>
        </w:tc>
        <w:tc>
          <w:tcPr>
            <w:tcW w:w="1587" w:type="dxa"/>
            <w:tcBorders>
              <w:top w:val="single" w:sz="4" w:space="0" w:color="auto"/>
              <w:left w:val="single" w:sz="4" w:space="0" w:color="auto"/>
              <w:bottom w:val="single" w:sz="4" w:space="0" w:color="auto"/>
              <w:right w:val="single" w:sz="4" w:space="0" w:color="auto"/>
            </w:tcBorders>
            <w:vAlign w:val="center"/>
          </w:tcPr>
          <w:p w14:paraId="1B6E001B" w14:textId="68E1569D" w:rsidR="004E6E64" w:rsidRPr="009E3947"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C6ED" w14:textId="628B2AD0" w:rsidR="004E6E64" w:rsidRPr="009E3947" w:rsidRDefault="004E6E64" w:rsidP="00C469C4">
            <w:pPr>
              <w:ind w:left="0" w:firstLine="0"/>
              <w:jc w:val="right"/>
              <w:rPr>
                <w:rFonts w:eastAsia="Times New Roman" w:cs="Calibri"/>
                <w:sz w:val="20"/>
                <w:szCs w:val="20"/>
              </w:rPr>
            </w:pPr>
            <w:r w:rsidRPr="009E3947">
              <w:rPr>
                <w:sz w:val="20"/>
                <w:szCs w:val="20"/>
              </w:rPr>
              <w:t>62</w:t>
            </w:r>
          </w:p>
        </w:tc>
      </w:tr>
      <w:tr w:rsidR="004E6E64" w:rsidRPr="009E3947" w14:paraId="7CA80549" w14:textId="2F9C795E" w:rsidTr="004E6E64">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707BAD01" w14:textId="17C49039" w:rsidR="004E6E64" w:rsidRPr="009E3947" w:rsidRDefault="004E6E64" w:rsidP="00F270A8">
            <w:pPr>
              <w:ind w:left="0" w:firstLine="0"/>
              <w:rPr>
                <w:rFonts w:eastAsia="Times New Roman" w:cs="Calibri"/>
                <w:sz w:val="20"/>
                <w:szCs w:val="20"/>
              </w:rPr>
            </w:pPr>
            <w:r w:rsidRPr="009E3947">
              <w:rPr>
                <w:sz w:val="20"/>
                <w:szCs w:val="20"/>
              </w:rPr>
              <w:t>F.  Administración/SISR/sitio web</w:t>
            </w:r>
          </w:p>
        </w:tc>
        <w:tc>
          <w:tcPr>
            <w:tcW w:w="1587" w:type="dxa"/>
            <w:tcBorders>
              <w:top w:val="nil"/>
              <w:left w:val="nil"/>
              <w:bottom w:val="single" w:sz="4" w:space="0" w:color="auto"/>
              <w:right w:val="single" w:sz="4" w:space="0" w:color="auto"/>
            </w:tcBorders>
            <w:shd w:val="clear" w:color="000000" w:fill="EAF1DD"/>
            <w:noWrap/>
            <w:vAlign w:val="center"/>
            <w:hideMark/>
          </w:tcPr>
          <w:p w14:paraId="53A8EACF" w14:textId="430885B8" w:rsidR="004E6E64" w:rsidRPr="009E3947" w:rsidRDefault="004E6E64" w:rsidP="00F270A8">
            <w:pPr>
              <w:ind w:left="0" w:firstLine="0"/>
              <w:jc w:val="right"/>
              <w:rPr>
                <w:rFonts w:eastAsia="Times New Roman" w:cs="Calibri"/>
                <w:sz w:val="20"/>
                <w:szCs w:val="20"/>
              </w:rPr>
            </w:pPr>
            <w:r w:rsidRPr="009E3947">
              <w:rPr>
                <w:sz w:val="20"/>
                <w:szCs w:val="20"/>
              </w:rPr>
              <w:t>478</w:t>
            </w:r>
          </w:p>
        </w:tc>
        <w:tc>
          <w:tcPr>
            <w:tcW w:w="1587" w:type="dxa"/>
            <w:tcBorders>
              <w:top w:val="nil"/>
              <w:left w:val="nil"/>
              <w:bottom w:val="single" w:sz="4" w:space="0" w:color="auto"/>
              <w:right w:val="single" w:sz="4" w:space="0" w:color="auto"/>
            </w:tcBorders>
            <w:shd w:val="clear" w:color="000000" w:fill="EAF1DD"/>
            <w:noWrap/>
            <w:vAlign w:val="center"/>
            <w:hideMark/>
          </w:tcPr>
          <w:p w14:paraId="1244F353" w14:textId="7D4291AF" w:rsidR="004E6E64" w:rsidRPr="009E3947" w:rsidRDefault="004E6E64" w:rsidP="00F270A8">
            <w:pPr>
              <w:ind w:left="0" w:firstLine="0"/>
              <w:jc w:val="right"/>
              <w:rPr>
                <w:rFonts w:eastAsia="Times New Roman" w:cs="Calibri"/>
                <w:sz w:val="20"/>
                <w:szCs w:val="20"/>
              </w:rPr>
            </w:pPr>
            <w:r w:rsidRPr="009E3947">
              <w:rPr>
                <w:sz w:val="20"/>
                <w:szCs w:val="20"/>
              </w:rPr>
              <w:t>11</w:t>
            </w:r>
          </w:p>
        </w:tc>
        <w:tc>
          <w:tcPr>
            <w:tcW w:w="1587" w:type="dxa"/>
            <w:tcBorders>
              <w:top w:val="nil"/>
              <w:left w:val="nil"/>
              <w:bottom w:val="single" w:sz="4" w:space="0" w:color="auto"/>
              <w:right w:val="single" w:sz="4" w:space="0" w:color="auto"/>
            </w:tcBorders>
            <w:shd w:val="clear" w:color="000000" w:fill="EAF1DD"/>
            <w:noWrap/>
            <w:vAlign w:val="center"/>
            <w:hideMark/>
          </w:tcPr>
          <w:p w14:paraId="7A376EBF" w14:textId="31B5FA8D" w:rsidR="004E6E64" w:rsidRPr="009E3947" w:rsidRDefault="004E6E64" w:rsidP="00F270A8">
            <w:pPr>
              <w:ind w:left="0" w:firstLine="0"/>
              <w:jc w:val="right"/>
              <w:rPr>
                <w:rFonts w:eastAsia="Times New Roman" w:cs="Calibri"/>
                <w:sz w:val="20"/>
                <w:szCs w:val="20"/>
              </w:rPr>
            </w:pPr>
            <w:r w:rsidRPr="009E3947">
              <w:rPr>
                <w:sz w:val="20"/>
                <w:szCs w:val="20"/>
              </w:rPr>
              <w:t>137</w:t>
            </w:r>
          </w:p>
        </w:tc>
        <w:tc>
          <w:tcPr>
            <w:tcW w:w="1587" w:type="dxa"/>
            <w:tcBorders>
              <w:top w:val="nil"/>
              <w:left w:val="nil"/>
              <w:bottom w:val="single" w:sz="4" w:space="0" w:color="auto"/>
              <w:right w:val="single" w:sz="4" w:space="0" w:color="auto"/>
            </w:tcBorders>
            <w:shd w:val="clear" w:color="000000" w:fill="EAF1DD"/>
            <w:noWrap/>
            <w:vAlign w:val="center"/>
            <w:hideMark/>
          </w:tcPr>
          <w:p w14:paraId="28AB33C5" w14:textId="139748AF" w:rsidR="004E6E64" w:rsidRPr="009E3947" w:rsidRDefault="004E6E64" w:rsidP="00F270A8">
            <w:pPr>
              <w:ind w:left="0" w:firstLine="0"/>
              <w:jc w:val="right"/>
              <w:rPr>
                <w:rFonts w:eastAsia="Times New Roman" w:cs="Calibri"/>
                <w:sz w:val="20"/>
                <w:szCs w:val="20"/>
              </w:rPr>
            </w:pPr>
            <w:r w:rsidRPr="009E3947">
              <w:rPr>
                <w:sz w:val="20"/>
                <w:szCs w:val="20"/>
              </w:rPr>
              <w:t>626</w:t>
            </w:r>
          </w:p>
        </w:tc>
        <w:tc>
          <w:tcPr>
            <w:tcW w:w="1587" w:type="dxa"/>
            <w:tcBorders>
              <w:top w:val="nil"/>
              <w:left w:val="nil"/>
              <w:bottom w:val="single" w:sz="4" w:space="0" w:color="auto"/>
              <w:right w:val="single" w:sz="4" w:space="0" w:color="auto"/>
            </w:tcBorders>
            <w:shd w:val="clear" w:color="000000" w:fill="EAF1DD"/>
            <w:noWrap/>
            <w:vAlign w:val="center"/>
            <w:hideMark/>
          </w:tcPr>
          <w:p w14:paraId="4AEDD253" w14:textId="0FF66334" w:rsidR="004E6E64" w:rsidRPr="009E3947" w:rsidRDefault="004E6E64" w:rsidP="00F270A8">
            <w:pPr>
              <w:ind w:left="0" w:firstLine="0"/>
              <w:jc w:val="right"/>
              <w:rPr>
                <w:rFonts w:eastAsia="Times New Roman" w:cs="Calibri"/>
                <w:sz w:val="20"/>
                <w:szCs w:val="20"/>
              </w:rPr>
            </w:pPr>
            <w:r w:rsidRPr="009E3947">
              <w:rPr>
                <w:sz w:val="20"/>
                <w:szCs w:val="20"/>
              </w:rPr>
              <w:t>448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414912D1" w14:textId="49CE1D2E" w:rsidR="004E6E64" w:rsidRPr="009E3947" w:rsidRDefault="004E6E64" w:rsidP="00F270A8">
            <w:pPr>
              <w:ind w:left="0" w:firstLine="0"/>
              <w:jc w:val="right"/>
              <w:rPr>
                <w:rFonts w:eastAsia="Times New Roman" w:cs="Calibri"/>
                <w:sz w:val="20"/>
                <w:szCs w:val="20"/>
              </w:rPr>
            </w:pPr>
            <w:r w:rsidRPr="009E3947">
              <w:rPr>
                <w:sz w:val="20"/>
                <w:szCs w:val="20"/>
              </w:rPr>
              <w:t>(34)</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B9A61D5" w14:textId="034253D8" w:rsidR="004E6E64" w:rsidRPr="009E3947" w:rsidRDefault="004E6E64" w:rsidP="00F270A8">
            <w:pPr>
              <w:ind w:left="0" w:firstLine="0"/>
              <w:jc w:val="right"/>
              <w:rPr>
                <w:rFonts w:eastAsia="Times New Roman" w:cs="Calibri"/>
                <w:sz w:val="20"/>
                <w:szCs w:val="20"/>
              </w:rPr>
            </w:pPr>
            <w:r w:rsidRPr="009E3947">
              <w:rPr>
                <w:sz w:val="20"/>
                <w:szCs w:val="20"/>
              </w:rPr>
              <w:t>144</w:t>
            </w:r>
          </w:p>
        </w:tc>
      </w:tr>
      <w:tr w:rsidR="004E6E64" w:rsidRPr="009E3947" w14:paraId="39F5CAF2" w14:textId="41BF811A"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21D0ADA5" w:rsidR="004E6E64" w:rsidRPr="009E3947" w:rsidRDefault="004E6E64" w:rsidP="00F270A8">
            <w:pPr>
              <w:ind w:left="0" w:firstLine="0"/>
              <w:rPr>
                <w:rFonts w:eastAsia="Times New Roman" w:cs="Calibri"/>
                <w:sz w:val="20"/>
                <w:szCs w:val="20"/>
              </w:rPr>
            </w:pPr>
            <w:r w:rsidRPr="009E3947">
              <w:rPr>
                <w:sz w:val="20"/>
                <w:szCs w:val="20"/>
              </w:rPr>
              <w:lastRenderedPageBreak/>
              <w:t>Salarios, gastos sociales y otras prestaciones laborales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6E6E706F" w:rsidR="004E6E64" w:rsidRPr="009E3947" w:rsidRDefault="004E6E64" w:rsidP="00F270A8">
            <w:pPr>
              <w:ind w:left="0" w:firstLine="0"/>
              <w:jc w:val="right"/>
              <w:rPr>
                <w:rFonts w:eastAsia="Times New Roman" w:cs="Calibri"/>
                <w:sz w:val="20"/>
                <w:szCs w:val="20"/>
              </w:rPr>
            </w:pPr>
            <w:r w:rsidRPr="009E3947">
              <w:rPr>
                <w:sz w:val="20"/>
                <w:szCs w:val="20"/>
              </w:rPr>
              <w:t>331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379F0F95"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14D69BDE" w:rsidR="004E6E64" w:rsidRPr="009E3947" w:rsidRDefault="004E6E64" w:rsidP="00F270A8">
            <w:pPr>
              <w:ind w:left="0" w:firstLine="0"/>
              <w:jc w:val="right"/>
              <w:rPr>
                <w:rFonts w:eastAsia="Times New Roman" w:cs="Calibri"/>
                <w:sz w:val="20"/>
                <w:szCs w:val="20"/>
              </w:rPr>
            </w:pPr>
            <w:r w:rsidRPr="009E3947">
              <w:rPr>
                <w:sz w:val="20"/>
                <w:szCs w:val="20"/>
              </w:rPr>
              <w:t>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53E7DFCD" w:rsidR="004E6E64" w:rsidRPr="009E3947" w:rsidRDefault="004E6E64" w:rsidP="00F270A8">
            <w:pPr>
              <w:ind w:left="0" w:firstLine="0"/>
              <w:jc w:val="right"/>
              <w:rPr>
                <w:rFonts w:eastAsia="Times New Roman" w:cs="Calibri"/>
                <w:sz w:val="20"/>
                <w:szCs w:val="20"/>
              </w:rPr>
            </w:pPr>
            <w:r w:rsidRPr="009E3947">
              <w:rPr>
                <w:sz w:val="20"/>
                <w:szCs w:val="20"/>
              </w:rPr>
              <w:t>339</w:t>
            </w:r>
          </w:p>
        </w:tc>
        <w:tc>
          <w:tcPr>
            <w:tcW w:w="1587" w:type="dxa"/>
            <w:tcBorders>
              <w:top w:val="single" w:sz="4" w:space="0" w:color="auto"/>
              <w:left w:val="nil"/>
              <w:bottom w:val="single" w:sz="4" w:space="0" w:color="auto"/>
              <w:right w:val="nil"/>
            </w:tcBorders>
            <w:shd w:val="clear" w:color="auto" w:fill="auto"/>
            <w:noWrap/>
            <w:vAlign w:val="center"/>
            <w:hideMark/>
          </w:tcPr>
          <w:p w14:paraId="4377B3AF" w14:textId="229728B0" w:rsidR="004E6E64" w:rsidRPr="009E3947" w:rsidRDefault="004E6E64" w:rsidP="00F270A8">
            <w:pPr>
              <w:ind w:left="0" w:firstLine="0"/>
              <w:jc w:val="right"/>
              <w:rPr>
                <w:rFonts w:eastAsia="Times New Roman" w:cs="Calibri"/>
                <w:sz w:val="20"/>
                <w:szCs w:val="20"/>
              </w:rPr>
            </w:pPr>
            <w:r w:rsidRPr="009E3947">
              <w:rPr>
                <w:sz w:val="20"/>
                <w:szCs w:val="20"/>
              </w:rPr>
              <w:t>356</w:t>
            </w:r>
          </w:p>
        </w:tc>
        <w:tc>
          <w:tcPr>
            <w:tcW w:w="1587" w:type="dxa"/>
            <w:tcBorders>
              <w:top w:val="single" w:sz="4" w:space="0" w:color="auto"/>
              <w:left w:val="single" w:sz="4" w:space="0" w:color="auto"/>
              <w:bottom w:val="single" w:sz="4" w:space="0" w:color="auto"/>
              <w:right w:val="single" w:sz="4" w:space="0" w:color="auto"/>
            </w:tcBorders>
          </w:tcPr>
          <w:p w14:paraId="29B72398" w14:textId="6079419C" w:rsidR="004E6E64" w:rsidRPr="009E3947" w:rsidRDefault="004E6E64" w:rsidP="00F270A8">
            <w:pPr>
              <w:ind w:left="0" w:firstLine="0"/>
              <w:jc w:val="right"/>
              <w:rPr>
                <w:rFonts w:eastAsia="Times New Roman" w:cs="Calibri"/>
                <w:sz w:val="20"/>
                <w:szCs w:val="20"/>
              </w:rPr>
            </w:pPr>
            <w:r w:rsidRPr="009E3947">
              <w:rPr>
                <w:sz w:val="20"/>
                <w:szCs w:val="20"/>
              </w:rPr>
              <w:t>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732AA1DB"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42038734" w14:textId="7E07D70D"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7C9A5B2" w14:textId="6AC89AB5" w:rsidR="004E6E64" w:rsidRPr="009E3947" w:rsidRDefault="004E6E64" w:rsidP="00F270A8">
            <w:pPr>
              <w:ind w:left="0" w:firstLine="0"/>
              <w:rPr>
                <w:rFonts w:eastAsia="Times New Roman" w:cs="Calibri"/>
                <w:sz w:val="20"/>
                <w:szCs w:val="20"/>
              </w:rPr>
            </w:pPr>
            <w:r w:rsidRPr="009E3947">
              <w:rPr>
                <w:sz w:val="20"/>
                <w:szCs w:val="20"/>
              </w:rPr>
              <w:t>Costos de contratación y separación del personal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0766CF71" w:rsidR="004E6E64" w:rsidRPr="009E3947" w:rsidRDefault="004E6E64" w:rsidP="00F270A8">
            <w:pPr>
              <w:ind w:left="0" w:firstLine="0"/>
              <w:jc w:val="right"/>
              <w:rPr>
                <w:rFonts w:eastAsia="Times New Roman" w:cs="Calibri"/>
                <w:sz w:val="20"/>
                <w:szCs w:val="20"/>
              </w:rPr>
            </w:pPr>
            <w:r w:rsidRPr="009E3947">
              <w:rPr>
                <w:sz w:val="20"/>
                <w:szCs w:val="20"/>
              </w:rPr>
              <w:t>52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07CC893C"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7DC512E0" w:rsidR="004E6E64" w:rsidRPr="009E3947" w:rsidRDefault="004E6E64" w:rsidP="00F270A8">
            <w:pPr>
              <w:ind w:left="0" w:firstLine="0"/>
              <w:jc w:val="right"/>
              <w:rPr>
                <w:rFonts w:eastAsia="Times New Roman" w:cs="Calibri"/>
                <w:sz w:val="20"/>
                <w:szCs w:val="20"/>
              </w:rPr>
            </w:pPr>
            <w:r w:rsidRPr="009E3947">
              <w:rPr>
                <w:sz w:val="20"/>
                <w:szCs w:val="20"/>
              </w:rPr>
              <w:t>36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4EDC20A0" w:rsidR="004E6E64" w:rsidRPr="009E3947" w:rsidRDefault="004E6E64" w:rsidP="00F270A8">
            <w:pPr>
              <w:ind w:left="0" w:firstLine="0"/>
              <w:jc w:val="right"/>
              <w:rPr>
                <w:rFonts w:eastAsia="Times New Roman" w:cs="Calibri"/>
                <w:sz w:val="20"/>
                <w:szCs w:val="20"/>
              </w:rPr>
            </w:pPr>
            <w:r w:rsidRPr="009E3947">
              <w:rPr>
                <w:sz w:val="20"/>
                <w:szCs w:val="20"/>
              </w:rPr>
              <w:t>88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5FA200B" w14:textId="26D6E4A0" w:rsidR="004E6E64" w:rsidRPr="009E3947" w:rsidRDefault="004E6E64" w:rsidP="00F270A8">
            <w:pPr>
              <w:ind w:left="0" w:firstLine="0"/>
              <w:jc w:val="right"/>
              <w:rPr>
                <w:rFonts w:eastAsia="Times New Roman" w:cs="Calibri"/>
                <w:sz w:val="20"/>
                <w:szCs w:val="20"/>
              </w:rPr>
            </w:pPr>
            <w:r w:rsidRPr="009E3947">
              <w:rPr>
                <w:sz w:val="20"/>
                <w:szCs w:val="20"/>
              </w:rPr>
              <w:t>13</w:t>
            </w:r>
          </w:p>
        </w:tc>
        <w:tc>
          <w:tcPr>
            <w:tcW w:w="1587" w:type="dxa"/>
            <w:tcBorders>
              <w:top w:val="single" w:sz="4" w:space="0" w:color="auto"/>
              <w:left w:val="single" w:sz="4" w:space="0" w:color="auto"/>
              <w:bottom w:val="single" w:sz="4" w:space="0" w:color="auto"/>
              <w:right w:val="single" w:sz="4" w:space="0" w:color="auto"/>
            </w:tcBorders>
          </w:tcPr>
          <w:p w14:paraId="51D5FCA6" w14:textId="4918FF8B"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8D46" w14:textId="2D7EDC99" w:rsidR="004E6E64" w:rsidRPr="009E3947" w:rsidRDefault="004E6E64" w:rsidP="00F270A8">
            <w:pPr>
              <w:ind w:left="0" w:firstLine="0"/>
              <w:jc w:val="right"/>
              <w:rPr>
                <w:rFonts w:eastAsia="Times New Roman" w:cs="Calibri"/>
                <w:sz w:val="20"/>
                <w:szCs w:val="20"/>
              </w:rPr>
            </w:pPr>
            <w:r w:rsidRPr="009E3947">
              <w:rPr>
                <w:sz w:val="20"/>
                <w:szCs w:val="20"/>
              </w:rPr>
              <w:t>75</w:t>
            </w:r>
          </w:p>
        </w:tc>
      </w:tr>
      <w:tr w:rsidR="004E6E64" w:rsidRPr="009E3947" w14:paraId="1FAD3B4D" w14:textId="15466081" w:rsidTr="004E6E64">
        <w:tc>
          <w:tcPr>
            <w:tcW w:w="3687" w:type="dxa"/>
            <w:tcBorders>
              <w:top w:val="nil"/>
              <w:left w:val="single" w:sz="4" w:space="0" w:color="auto"/>
              <w:bottom w:val="single" w:sz="4" w:space="0" w:color="auto"/>
              <w:right w:val="nil"/>
            </w:tcBorders>
            <w:shd w:val="clear" w:color="auto" w:fill="auto"/>
            <w:noWrap/>
            <w:vAlign w:val="center"/>
            <w:hideMark/>
          </w:tcPr>
          <w:p w14:paraId="1C66A864" w14:textId="0DD2156C" w:rsidR="004E6E64" w:rsidRPr="009E3947" w:rsidRDefault="004E6E64" w:rsidP="00F270A8">
            <w:pPr>
              <w:ind w:left="0" w:firstLine="0"/>
              <w:rPr>
                <w:rFonts w:eastAsia="Times New Roman" w:cs="Calibri"/>
                <w:sz w:val="20"/>
                <w:szCs w:val="20"/>
              </w:rPr>
            </w:pPr>
            <w:r w:rsidRPr="009E3947">
              <w:rPr>
                <w:sz w:val="20"/>
                <w:szCs w:val="20"/>
              </w:rPr>
              <w:t>Viajes</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956B748" w14:textId="4F8C81E9"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7EC20C69" w14:textId="5C60B1E4"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75630E61" w14:textId="04956766"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6F674618" w14:textId="254946D2"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nil"/>
            </w:tcBorders>
            <w:shd w:val="clear" w:color="auto" w:fill="auto"/>
            <w:noWrap/>
            <w:vAlign w:val="center"/>
            <w:hideMark/>
          </w:tcPr>
          <w:p w14:paraId="67F90472" w14:textId="072EA130"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single" w:sz="4" w:space="0" w:color="auto"/>
              <w:bottom w:val="single" w:sz="4" w:space="0" w:color="auto"/>
              <w:right w:val="single" w:sz="4" w:space="0" w:color="auto"/>
            </w:tcBorders>
          </w:tcPr>
          <w:p w14:paraId="52A83D25" w14:textId="0F5B00F0" w:rsidR="004E6E64" w:rsidRPr="009E3947"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17D5185" w14:textId="194A4E3D"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2E31F00A" w14:textId="02807B8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3C8C699" w14:textId="47F0FD3E" w:rsidR="004E6E64" w:rsidRPr="009E3947" w:rsidRDefault="004E6E64" w:rsidP="00F270A8">
            <w:pPr>
              <w:ind w:left="0" w:firstLine="0"/>
              <w:rPr>
                <w:rFonts w:eastAsia="Times New Roman" w:cs="Calibri"/>
                <w:sz w:val="20"/>
                <w:szCs w:val="20"/>
              </w:rPr>
            </w:pPr>
            <w:r w:rsidRPr="009E3947">
              <w:rPr>
                <w:sz w:val="20"/>
                <w:szCs w:val="20"/>
              </w:rPr>
              <w:t>Equipo y suministros de oficina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03301F33" w:rsidR="004E6E64" w:rsidRPr="009E3947" w:rsidRDefault="004E6E64" w:rsidP="00F270A8">
            <w:pPr>
              <w:ind w:left="0" w:firstLine="0"/>
              <w:jc w:val="right"/>
              <w:rPr>
                <w:rFonts w:eastAsia="Times New Roman" w:cs="Calibri"/>
                <w:sz w:val="20"/>
                <w:szCs w:val="20"/>
              </w:rPr>
            </w:pPr>
            <w:r w:rsidRPr="009E3947">
              <w:rPr>
                <w:sz w:val="20"/>
                <w:szCs w:val="20"/>
              </w:rPr>
              <w:t>95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68299BAD"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37548C5C" w:rsidR="004E6E64" w:rsidRPr="009E3947" w:rsidRDefault="004E6E64" w:rsidP="00F270A8">
            <w:pPr>
              <w:ind w:left="0" w:firstLine="0"/>
              <w:jc w:val="right"/>
              <w:rPr>
                <w:rFonts w:eastAsia="Times New Roman" w:cs="Calibri"/>
                <w:sz w:val="20"/>
                <w:szCs w:val="20"/>
              </w:rPr>
            </w:pPr>
            <w:r w:rsidRPr="009E3947">
              <w:rPr>
                <w:sz w:val="20"/>
                <w:szCs w:val="20"/>
              </w:rPr>
              <w:t>28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10B4B79B" w:rsidR="004E6E64" w:rsidRPr="009E3947" w:rsidRDefault="004E6E64" w:rsidP="00F270A8">
            <w:pPr>
              <w:ind w:left="0" w:firstLine="0"/>
              <w:jc w:val="right"/>
              <w:rPr>
                <w:rFonts w:eastAsia="Times New Roman" w:cs="Calibri"/>
                <w:sz w:val="20"/>
                <w:szCs w:val="20"/>
              </w:rPr>
            </w:pPr>
            <w:r w:rsidRPr="009E3947">
              <w:rPr>
                <w:sz w:val="20"/>
                <w:szCs w:val="20"/>
              </w:rPr>
              <w:t>123</w:t>
            </w:r>
          </w:p>
        </w:tc>
        <w:tc>
          <w:tcPr>
            <w:tcW w:w="1587" w:type="dxa"/>
            <w:tcBorders>
              <w:top w:val="single" w:sz="4" w:space="0" w:color="auto"/>
              <w:left w:val="nil"/>
              <w:bottom w:val="single" w:sz="4" w:space="0" w:color="auto"/>
              <w:right w:val="nil"/>
            </w:tcBorders>
            <w:shd w:val="clear" w:color="auto" w:fill="auto"/>
            <w:noWrap/>
            <w:vAlign w:val="center"/>
            <w:hideMark/>
          </w:tcPr>
          <w:p w14:paraId="1F7C8E01" w14:textId="76E19CA4" w:rsidR="004E6E64" w:rsidRPr="009E3947" w:rsidRDefault="004E6E64" w:rsidP="00F270A8">
            <w:pPr>
              <w:ind w:left="0" w:firstLine="0"/>
              <w:jc w:val="right"/>
              <w:rPr>
                <w:rFonts w:eastAsia="Times New Roman" w:cs="Calibri"/>
                <w:sz w:val="20"/>
                <w:szCs w:val="20"/>
              </w:rPr>
            </w:pPr>
            <w:r w:rsidRPr="009E3947">
              <w:rPr>
                <w:sz w:val="20"/>
                <w:szCs w:val="20"/>
              </w:rPr>
              <w:t>58</w:t>
            </w:r>
          </w:p>
        </w:tc>
        <w:tc>
          <w:tcPr>
            <w:tcW w:w="1587" w:type="dxa"/>
            <w:tcBorders>
              <w:top w:val="single" w:sz="4" w:space="0" w:color="auto"/>
              <w:left w:val="single" w:sz="4" w:space="0" w:color="auto"/>
              <w:bottom w:val="single" w:sz="4" w:space="0" w:color="auto"/>
              <w:right w:val="single" w:sz="4" w:space="0" w:color="auto"/>
            </w:tcBorders>
          </w:tcPr>
          <w:p w14:paraId="4C1E5839" w14:textId="54776A0F" w:rsidR="004E6E64" w:rsidRPr="009E3947" w:rsidRDefault="004E6E64" w:rsidP="00F270A8">
            <w:pPr>
              <w:ind w:left="0" w:firstLine="0"/>
              <w:jc w:val="right"/>
              <w:rPr>
                <w:rFonts w:eastAsia="Times New Roman" w:cs="Calibri"/>
                <w:sz w:val="20"/>
                <w:szCs w:val="20"/>
              </w:rPr>
            </w:pPr>
            <w:r w:rsidRPr="009E3947">
              <w:rPr>
                <w:sz w:val="20"/>
                <w:szCs w:val="20"/>
              </w:rPr>
              <w:t>(51)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042C9ED0" w:rsidR="004E6E64" w:rsidRPr="009E3947" w:rsidRDefault="004E6E64" w:rsidP="00F270A8">
            <w:pPr>
              <w:ind w:left="0" w:firstLine="0"/>
              <w:jc w:val="right"/>
              <w:rPr>
                <w:rFonts w:eastAsia="Times New Roman" w:cs="Calibri"/>
                <w:sz w:val="20"/>
                <w:szCs w:val="20"/>
              </w:rPr>
            </w:pPr>
            <w:r w:rsidRPr="009E3947">
              <w:rPr>
                <w:sz w:val="20"/>
                <w:szCs w:val="20"/>
              </w:rPr>
              <w:t>14</w:t>
            </w:r>
          </w:p>
        </w:tc>
      </w:tr>
      <w:tr w:rsidR="004E6E64" w:rsidRPr="009E3947" w14:paraId="264AAC19" w14:textId="72B5CCF5"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CD284FA" w14:textId="160F95BB" w:rsidR="004E6E64" w:rsidRPr="009E3947" w:rsidRDefault="004E6E64" w:rsidP="00F270A8">
            <w:pPr>
              <w:ind w:left="0" w:firstLine="0"/>
              <w:rPr>
                <w:rFonts w:eastAsia="Times New Roman" w:cs="Calibri"/>
                <w:sz w:val="20"/>
                <w:szCs w:val="20"/>
              </w:rPr>
            </w:pPr>
            <w:r w:rsidRPr="009E3947">
              <w:rPr>
                <w:sz w:val="20"/>
                <w:szCs w:val="20"/>
              </w:rPr>
              <w:t>Planificación y creación de capacidad</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4063" w14:textId="6EEFD670"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C670071" w14:textId="02027DAD" w:rsidR="004E6E64" w:rsidRPr="009E3947" w:rsidRDefault="004E6E64" w:rsidP="00F270A8">
            <w:pPr>
              <w:ind w:left="0" w:firstLine="0"/>
              <w:jc w:val="right"/>
              <w:rPr>
                <w:rFonts w:eastAsia="Times New Roman" w:cs="Calibri"/>
                <w:sz w:val="20"/>
                <w:szCs w:val="20"/>
              </w:rPr>
            </w:pPr>
            <w:r w:rsidRPr="009E3947">
              <w:rPr>
                <w:sz w:val="20"/>
                <w:szCs w:val="20"/>
              </w:rPr>
              <w:t>11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688A6CD" w14:textId="0DE6BAA1" w:rsidR="004E6E64" w:rsidRPr="009E3947" w:rsidRDefault="004E6E64" w:rsidP="00F270A8">
            <w:pPr>
              <w:ind w:left="0" w:firstLine="0"/>
              <w:jc w:val="right"/>
              <w:rPr>
                <w:rFonts w:eastAsia="Times New Roman" w:cs="Calibri"/>
                <w:sz w:val="20"/>
                <w:szCs w:val="20"/>
              </w:rPr>
            </w:pPr>
            <w:r w:rsidRPr="009E3947">
              <w:rPr>
                <w:sz w:val="20"/>
                <w:szCs w:val="20"/>
              </w:rPr>
              <w:t>65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B14BBCC" w14:textId="66A4E66A" w:rsidR="004E6E64" w:rsidRPr="009E3947" w:rsidRDefault="004E6E64" w:rsidP="00F270A8">
            <w:pPr>
              <w:ind w:left="0" w:firstLine="0"/>
              <w:jc w:val="right"/>
              <w:rPr>
                <w:rFonts w:eastAsia="Times New Roman" w:cs="Calibri"/>
                <w:sz w:val="20"/>
                <w:szCs w:val="20"/>
              </w:rPr>
            </w:pPr>
            <w:r w:rsidRPr="009E3947">
              <w:rPr>
                <w:sz w:val="20"/>
                <w:szCs w:val="20"/>
              </w:rPr>
              <w:t>76</w:t>
            </w:r>
          </w:p>
        </w:tc>
        <w:tc>
          <w:tcPr>
            <w:tcW w:w="1587" w:type="dxa"/>
            <w:tcBorders>
              <w:top w:val="single" w:sz="4" w:space="0" w:color="auto"/>
              <w:left w:val="nil"/>
              <w:bottom w:val="single" w:sz="4" w:space="0" w:color="auto"/>
              <w:right w:val="nil"/>
            </w:tcBorders>
            <w:shd w:val="clear" w:color="auto" w:fill="auto"/>
            <w:noWrap/>
            <w:vAlign w:val="center"/>
            <w:hideMark/>
          </w:tcPr>
          <w:p w14:paraId="257543F3" w14:textId="3ED5517A" w:rsidR="004E6E64" w:rsidRPr="009E3947" w:rsidRDefault="004E6E64" w:rsidP="00F270A8">
            <w:pPr>
              <w:ind w:left="0" w:firstLine="0"/>
              <w:jc w:val="right"/>
              <w:rPr>
                <w:rFonts w:eastAsia="Times New Roman" w:cs="Calibri"/>
                <w:sz w:val="20"/>
                <w:szCs w:val="20"/>
              </w:rPr>
            </w:pPr>
            <w:r w:rsidRPr="009E3947">
              <w:rPr>
                <w:sz w:val="20"/>
                <w:szCs w:val="20"/>
              </w:rPr>
              <w:t>20</w:t>
            </w:r>
          </w:p>
        </w:tc>
        <w:tc>
          <w:tcPr>
            <w:tcW w:w="1587" w:type="dxa"/>
            <w:tcBorders>
              <w:top w:val="single" w:sz="4" w:space="0" w:color="auto"/>
              <w:left w:val="single" w:sz="4" w:space="0" w:color="auto"/>
              <w:bottom w:val="single" w:sz="4" w:space="0" w:color="auto"/>
              <w:right w:val="single" w:sz="4" w:space="0" w:color="auto"/>
            </w:tcBorders>
          </w:tcPr>
          <w:p w14:paraId="6FEC4B27" w14:textId="63C47BB4"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603C" w14:textId="555ECD93" w:rsidR="004E6E64" w:rsidRPr="009E3947" w:rsidRDefault="004E6E64" w:rsidP="00F270A8">
            <w:pPr>
              <w:ind w:left="0" w:firstLine="0"/>
              <w:jc w:val="right"/>
              <w:rPr>
                <w:rFonts w:eastAsia="Times New Roman" w:cs="Calibri"/>
                <w:sz w:val="20"/>
                <w:szCs w:val="20"/>
              </w:rPr>
            </w:pPr>
            <w:r w:rsidRPr="009E3947">
              <w:rPr>
                <w:sz w:val="20"/>
                <w:szCs w:val="20"/>
              </w:rPr>
              <w:t>56</w:t>
            </w:r>
          </w:p>
        </w:tc>
      </w:tr>
      <w:tr w:rsidR="004E6E64" w:rsidRPr="009E3947" w14:paraId="6DC6EF7E" w14:textId="77777777"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056C070" w14:textId="77777777" w:rsidR="004E6E64" w:rsidRPr="009E3947" w:rsidRDefault="004E6E64" w:rsidP="008A6720">
            <w:pPr>
              <w:ind w:left="0" w:firstLine="0"/>
              <w:rPr>
                <w:rFonts w:eastAsia="Times New Roman" w:cs="Calibri"/>
                <w:sz w:val="20"/>
                <w:szCs w:val="20"/>
              </w:rPr>
            </w:pPr>
            <w:r w:rsidRPr="009E3947">
              <w:rPr>
                <w:sz w:val="20"/>
                <w:szCs w:val="20"/>
              </w:rPr>
              <w:t>G. Servicios para el Comité Permanente</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B2155DD" w14:textId="77777777" w:rsidR="004E6E64" w:rsidRPr="009E3947" w:rsidRDefault="004E6E64" w:rsidP="008A6720">
            <w:pPr>
              <w:ind w:left="0" w:firstLine="0"/>
              <w:jc w:val="right"/>
              <w:rPr>
                <w:rFonts w:eastAsia="Times New Roman" w:cs="Calibri"/>
                <w:sz w:val="20"/>
                <w:szCs w:val="20"/>
              </w:rPr>
            </w:pPr>
            <w:r w:rsidRPr="009E3947">
              <w:rPr>
                <w:sz w:val="20"/>
                <w:szCs w:val="20"/>
              </w:rPr>
              <w:t>150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28E7DC93" w14:textId="77777777" w:rsidR="004E6E64" w:rsidRPr="009E3947" w:rsidRDefault="004E6E64" w:rsidP="008A6720">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205AC59" w14:textId="123C16EC" w:rsidR="004E6E64" w:rsidRPr="009E3947" w:rsidRDefault="004E6E64" w:rsidP="008A6720">
            <w:pPr>
              <w:ind w:left="0" w:firstLine="0"/>
              <w:jc w:val="right"/>
              <w:rPr>
                <w:rFonts w:eastAsia="Times New Roman" w:cs="Calibri"/>
                <w:sz w:val="20"/>
                <w:szCs w:val="20"/>
              </w:rPr>
            </w:pPr>
            <w:r w:rsidRPr="009E3947">
              <w:rPr>
                <w:sz w:val="20"/>
                <w:szCs w:val="20"/>
              </w:rPr>
              <w:t>41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EB1ADF9" w14:textId="77777777" w:rsidR="004E6E64" w:rsidRPr="009E3947" w:rsidRDefault="004E6E64" w:rsidP="008A6720">
            <w:pPr>
              <w:ind w:left="0" w:firstLine="0"/>
              <w:jc w:val="right"/>
              <w:rPr>
                <w:rFonts w:eastAsia="Times New Roman" w:cs="Calibri"/>
                <w:sz w:val="20"/>
                <w:szCs w:val="20"/>
              </w:rPr>
            </w:pPr>
            <w:r w:rsidRPr="009E3947">
              <w:rPr>
                <w:sz w:val="20"/>
                <w:szCs w:val="20"/>
              </w:rPr>
              <w:t>191</w:t>
            </w:r>
          </w:p>
        </w:tc>
        <w:tc>
          <w:tcPr>
            <w:tcW w:w="1587" w:type="dxa"/>
            <w:tcBorders>
              <w:top w:val="single" w:sz="4" w:space="0" w:color="auto"/>
              <w:left w:val="nil"/>
              <w:bottom w:val="single" w:sz="4" w:space="0" w:color="auto"/>
              <w:right w:val="nil"/>
            </w:tcBorders>
            <w:shd w:val="clear" w:color="000000" w:fill="EAF1DD"/>
            <w:noWrap/>
            <w:vAlign w:val="center"/>
            <w:hideMark/>
          </w:tcPr>
          <w:p w14:paraId="516BE28D" w14:textId="1B796672" w:rsidR="004E6E64" w:rsidRPr="009E3947" w:rsidRDefault="004E6E64" w:rsidP="008A6720">
            <w:pPr>
              <w:ind w:left="0" w:firstLine="0"/>
              <w:jc w:val="right"/>
              <w:rPr>
                <w:rFonts w:eastAsia="Times New Roman" w:cs="Calibri"/>
                <w:sz w:val="20"/>
                <w:szCs w:val="20"/>
              </w:rPr>
            </w:pPr>
            <w:r w:rsidRPr="009E3947">
              <w:rPr>
                <w:sz w:val="20"/>
                <w:szCs w:val="20"/>
              </w:rPr>
              <w:t>238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35937D54" w14:textId="77777777" w:rsidR="004E6E64" w:rsidRPr="009E3947" w:rsidRDefault="004E6E64" w:rsidP="008A6720">
            <w:pPr>
              <w:ind w:left="0" w:firstLine="0"/>
              <w:jc w:val="right"/>
              <w:rPr>
                <w:rFonts w:eastAsia="Times New Roman" w:cs="Calibri"/>
                <w:sz w:val="20"/>
                <w:szCs w:val="20"/>
              </w:rPr>
            </w:pPr>
            <w:r w:rsidRPr="009E3947">
              <w:rPr>
                <w:sz w:val="20"/>
                <w:szCs w:val="20"/>
              </w:rPr>
              <w:t>84</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63BC379" w14:textId="2CEB1F07" w:rsidR="004E6E64" w:rsidRPr="009E3947" w:rsidRDefault="004E6E64" w:rsidP="008A6720">
            <w:pPr>
              <w:ind w:left="0" w:firstLine="0"/>
              <w:jc w:val="right"/>
              <w:rPr>
                <w:rFonts w:eastAsia="Times New Roman" w:cs="Calibri"/>
                <w:sz w:val="20"/>
                <w:szCs w:val="20"/>
              </w:rPr>
            </w:pPr>
            <w:r w:rsidRPr="009E3947">
              <w:rPr>
                <w:sz w:val="20"/>
                <w:szCs w:val="20"/>
              </w:rPr>
              <w:t>37</w:t>
            </w:r>
          </w:p>
        </w:tc>
      </w:tr>
      <w:tr w:rsidR="004E6E64" w:rsidRPr="009E3947" w14:paraId="45B39976" w14:textId="184AD3FB" w:rsidTr="004E6E64">
        <w:tc>
          <w:tcPr>
            <w:tcW w:w="3687" w:type="dxa"/>
            <w:tcBorders>
              <w:left w:val="single" w:sz="4" w:space="0" w:color="auto"/>
              <w:bottom w:val="nil"/>
              <w:right w:val="nil"/>
            </w:tcBorders>
            <w:shd w:val="clear" w:color="auto" w:fill="auto"/>
            <w:noWrap/>
            <w:vAlign w:val="center"/>
            <w:hideMark/>
          </w:tcPr>
          <w:p w14:paraId="7C2228D6" w14:textId="08FBAEDB" w:rsidR="004E6E64" w:rsidRPr="009E3947" w:rsidRDefault="004E6E64" w:rsidP="00F270A8">
            <w:pPr>
              <w:ind w:left="0" w:firstLine="0"/>
              <w:rPr>
                <w:rFonts w:eastAsia="Times New Roman" w:cs="Calibri"/>
                <w:sz w:val="20"/>
                <w:szCs w:val="20"/>
              </w:rPr>
            </w:pPr>
            <w:r w:rsidRPr="009E3947">
              <w:rPr>
                <w:sz w:val="20"/>
                <w:szCs w:val="20"/>
              </w:rPr>
              <w:t>Apoyo a los delegados del Comité Permanente</w:t>
            </w:r>
          </w:p>
        </w:tc>
        <w:tc>
          <w:tcPr>
            <w:tcW w:w="1587" w:type="dxa"/>
            <w:tcBorders>
              <w:left w:val="single" w:sz="4" w:space="0" w:color="auto"/>
              <w:bottom w:val="nil"/>
              <w:right w:val="single" w:sz="4" w:space="0" w:color="auto"/>
            </w:tcBorders>
            <w:shd w:val="clear" w:color="auto" w:fill="auto"/>
            <w:noWrap/>
            <w:vAlign w:val="center"/>
            <w:hideMark/>
          </w:tcPr>
          <w:p w14:paraId="45858AF5" w14:textId="3A6FC72C" w:rsidR="004E6E64" w:rsidRPr="009E3947" w:rsidRDefault="004E6E64" w:rsidP="00F270A8">
            <w:pPr>
              <w:ind w:left="0" w:firstLine="0"/>
              <w:jc w:val="right"/>
              <w:rPr>
                <w:rFonts w:eastAsia="Times New Roman" w:cs="Calibri"/>
                <w:sz w:val="20"/>
                <w:szCs w:val="20"/>
              </w:rPr>
            </w:pPr>
            <w:r w:rsidRPr="009E3947">
              <w:rPr>
                <w:sz w:val="20"/>
                <w:szCs w:val="20"/>
              </w:rPr>
              <w:t>45</w:t>
            </w:r>
          </w:p>
        </w:tc>
        <w:tc>
          <w:tcPr>
            <w:tcW w:w="1587" w:type="dxa"/>
            <w:tcBorders>
              <w:left w:val="nil"/>
              <w:bottom w:val="nil"/>
              <w:right w:val="single" w:sz="4" w:space="0" w:color="auto"/>
            </w:tcBorders>
            <w:shd w:val="clear" w:color="auto" w:fill="auto"/>
            <w:noWrap/>
            <w:vAlign w:val="center"/>
            <w:hideMark/>
          </w:tcPr>
          <w:p w14:paraId="2F30C487" w14:textId="6D38C4FD"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left w:val="nil"/>
              <w:bottom w:val="nil"/>
              <w:right w:val="single" w:sz="4" w:space="0" w:color="auto"/>
            </w:tcBorders>
            <w:shd w:val="clear" w:color="auto" w:fill="auto"/>
            <w:noWrap/>
            <w:vAlign w:val="center"/>
            <w:hideMark/>
          </w:tcPr>
          <w:p w14:paraId="7CF03B9E" w14:textId="35EA0E3B"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left w:val="nil"/>
              <w:bottom w:val="nil"/>
              <w:right w:val="single" w:sz="4" w:space="0" w:color="auto"/>
            </w:tcBorders>
            <w:shd w:val="clear" w:color="auto" w:fill="auto"/>
            <w:noWrap/>
            <w:vAlign w:val="center"/>
            <w:hideMark/>
          </w:tcPr>
          <w:p w14:paraId="6254A3FE" w14:textId="34A94576" w:rsidR="004E6E64" w:rsidRPr="009E3947" w:rsidRDefault="004E6E64" w:rsidP="00F270A8">
            <w:pPr>
              <w:ind w:left="0" w:firstLine="0"/>
              <w:jc w:val="right"/>
              <w:rPr>
                <w:rFonts w:eastAsia="Times New Roman" w:cs="Calibri"/>
                <w:sz w:val="20"/>
                <w:szCs w:val="20"/>
              </w:rPr>
            </w:pPr>
            <w:r w:rsidRPr="009E3947">
              <w:rPr>
                <w:sz w:val="20"/>
                <w:szCs w:val="20"/>
              </w:rPr>
              <w:t>45</w:t>
            </w:r>
          </w:p>
        </w:tc>
        <w:tc>
          <w:tcPr>
            <w:tcW w:w="1587" w:type="dxa"/>
            <w:tcBorders>
              <w:left w:val="nil"/>
              <w:bottom w:val="nil"/>
              <w:right w:val="nil"/>
            </w:tcBorders>
            <w:shd w:val="clear" w:color="auto" w:fill="auto"/>
            <w:noWrap/>
            <w:vAlign w:val="center"/>
            <w:hideMark/>
          </w:tcPr>
          <w:p w14:paraId="64243EC8" w14:textId="7364B336" w:rsidR="004E6E64" w:rsidRPr="009E3947" w:rsidRDefault="004E6E64" w:rsidP="00F270A8">
            <w:pPr>
              <w:ind w:left="0" w:firstLine="0"/>
              <w:jc w:val="right"/>
              <w:rPr>
                <w:rFonts w:eastAsia="Times New Roman" w:cs="Calibri"/>
                <w:sz w:val="20"/>
                <w:szCs w:val="20"/>
              </w:rPr>
            </w:pPr>
            <w:r w:rsidRPr="009E3947">
              <w:rPr>
                <w:sz w:val="20"/>
                <w:szCs w:val="20"/>
              </w:rPr>
              <w:t>54</w:t>
            </w:r>
          </w:p>
        </w:tc>
        <w:tc>
          <w:tcPr>
            <w:tcW w:w="1587" w:type="dxa"/>
            <w:tcBorders>
              <w:left w:val="single" w:sz="4" w:space="0" w:color="auto"/>
              <w:bottom w:val="nil"/>
              <w:right w:val="single" w:sz="4" w:space="0" w:color="auto"/>
            </w:tcBorders>
          </w:tcPr>
          <w:p w14:paraId="0C6039FC" w14:textId="1C2766C5" w:rsidR="004E6E64" w:rsidRPr="009E3947" w:rsidRDefault="004E6E64" w:rsidP="00F270A8">
            <w:pPr>
              <w:ind w:left="0" w:firstLine="0"/>
              <w:jc w:val="right"/>
              <w:rPr>
                <w:rFonts w:eastAsia="Times New Roman" w:cs="Calibri"/>
                <w:sz w:val="20"/>
                <w:szCs w:val="20"/>
              </w:rPr>
            </w:pPr>
            <w:r w:rsidRPr="009E3947">
              <w:rPr>
                <w:sz w:val="20"/>
                <w:szCs w:val="20"/>
              </w:rPr>
              <w:t>9</w:t>
            </w:r>
          </w:p>
        </w:tc>
        <w:tc>
          <w:tcPr>
            <w:tcW w:w="1587" w:type="dxa"/>
            <w:tcBorders>
              <w:left w:val="single" w:sz="4" w:space="0" w:color="auto"/>
              <w:bottom w:val="nil"/>
              <w:right w:val="single" w:sz="4" w:space="0" w:color="auto"/>
            </w:tcBorders>
            <w:shd w:val="clear" w:color="auto" w:fill="auto"/>
            <w:noWrap/>
            <w:vAlign w:val="center"/>
            <w:hideMark/>
          </w:tcPr>
          <w:p w14:paraId="7D33C258" w14:textId="2600EBBB"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2FA3CAAA" w14:textId="00793D26"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132880" w14:textId="09B31243" w:rsidR="004E6E64" w:rsidRPr="009E3947" w:rsidRDefault="004E6E64" w:rsidP="00F270A8">
            <w:pPr>
              <w:ind w:left="0" w:firstLine="0"/>
              <w:rPr>
                <w:rFonts w:eastAsia="Times New Roman" w:cs="Calibri"/>
                <w:sz w:val="20"/>
                <w:szCs w:val="20"/>
              </w:rPr>
            </w:pPr>
            <w:r w:rsidRPr="009E3947">
              <w:rPr>
                <w:sz w:val="20"/>
                <w:szCs w:val="20"/>
              </w:rPr>
              <w:t>Reuniones del Comité Permanente</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35D05228" w:rsidR="004E6E64" w:rsidRPr="009E3947" w:rsidRDefault="004E6E64" w:rsidP="00F270A8">
            <w:pPr>
              <w:ind w:left="0" w:firstLine="0"/>
              <w:jc w:val="right"/>
              <w:rPr>
                <w:rFonts w:eastAsia="Times New Roman" w:cs="Calibri"/>
                <w:sz w:val="20"/>
                <w:szCs w:val="20"/>
              </w:rPr>
            </w:pPr>
            <w:r w:rsidRPr="009E3947">
              <w:rPr>
                <w:sz w:val="20"/>
                <w:szCs w:val="20"/>
              </w:rPr>
              <w:t>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13EC9CC1"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451476CB"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4939784D" w:rsidR="004E6E64" w:rsidRPr="009E3947" w:rsidRDefault="004E6E64" w:rsidP="00F270A8">
            <w:pPr>
              <w:ind w:left="0" w:firstLine="0"/>
              <w:jc w:val="right"/>
              <w:rPr>
                <w:rFonts w:eastAsia="Times New Roman" w:cs="Calibri"/>
                <w:sz w:val="20"/>
                <w:szCs w:val="20"/>
              </w:rPr>
            </w:pPr>
            <w:r w:rsidRPr="009E3947">
              <w:rPr>
                <w:sz w:val="20"/>
                <w:szCs w:val="20"/>
              </w:rPr>
              <w:t>10</w:t>
            </w:r>
          </w:p>
        </w:tc>
        <w:tc>
          <w:tcPr>
            <w:tcW w:w="1587" w:type="dxa"/>
            <w:tcBorders>
              <w:top w:val="single" w:sz="4" w:space="0" w:color="auto"/>
              <w:left w:val="nil"/>
              <w:bottom w:val="single" w:sz="4" w:space="0" w:color="auto"/>
              <w:right w:val="nil"/>
            </w:tcBorders>
            <w:shd w:val="clear" w:color="auto" w:fill="auto"/>
            <w:noWrap/>
            <w:vAlign w:val="center"/>
            <w:hideMark/>
          </w:tcPr>
          <w:p w14:paraId="57471FBB" w14:textId="761870A8" w:rsidR="004E6E64" w:rsidRPr="009E3947" w:rsidRDefault="004E6E64" w:rsidP="00F270A8">
            <w:pPr>
              <w:ind w:left="0" w:firstLine="0"/>
              <w:jc w:val="right"/>
              <w:rPr>
                <w:rFonts w:eastAsia="Times New Roman" w:cs="Calibri"/>
                <w:sz w:val="20"/>
                <w:szCs w:val="20"/>
              </w:rPr>
            </w:pPr>
            <w:r w:rsidRPr="009E3947">
              <w:rPr>
                <w:sz w:val="20"/>
                <w:szCs w:val="20"/>
              </w:rPr>
              <w:t>37</w:t>
            </w:r>
          </w:p>
        </w:tc>
        <w:tc>
          <w:tcPr>
            <w:tcW w:w="1587" w:type="dxa"/>
            <w:tcBorders>
              <w:top w:val="single" w:sz="4" w:space="0" w:color="auto"/>
              <w:left w:val="single" w:sz="4" w:space="0" w:color="auto"/>
              <w:bottom w:val="single" w:sz="4" w:space="0" w:color="auto"/>
              <w:right w:val="single" w:sz="4" w:space="0" w:color="auto"/>
            </w:tcBorders>
          </w:tcPr>
          <w:p w14:paraId="415003A1" w14:textId="3999CF6C" w:rsidR="004E6E64" w:rsidRPr="009E3947" w:rsidRDefault="004E6E64" w:rsidP="00F270A8">
            <w:pPr>
              <w:ind w:left="0" w:firstLine="0"/>
              <w:jc w:val="right"/>
              <w:rPr>
                <w:rFonts w:eastAsia="Times New Roman" w:cs="Calibri"/>
                <w:sz w:val="20"/>
                <w:szCs w:val="20"/>
              </w:rPr>
            </w:pPr>
            <w:r w:rsidRPr="009E3947">
              <w:rPr>
                <w:sz w:val="20"/>
                <w:szCs w:val="20"/>
              </w:rPr>
              <w:t>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629D22E1"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12A86702" w14:textId="588CA6B6" w:rsidTr="004E6E64">
        <w:tc>
          <w:tcPr>
            <w:tcW w:w="3687" w:type="dxa"/>
            <w:tcBorders>
              <w:top w:val="nil"/>
              <w:left w:val="single" w:sz="4" w:space="0" w:color="auto"/>
              <w:bottom w:val="single" w:sz="4" w:space="0" w:color="auto"/>
              <w:right w:val="nil"/>
            </w:tcBorders>
            <w:shd w:val="clear" w:color="auto" w:fill="auto"/>
            <w:noWrap/>
            <w:vAlign w:val="center"/>
            <w:hideMark/>
          </w:tcPr>
          <w:p w14:paraId="39A2A8DC" w14:textId="462B9DDE" w:rsidR="004E6E64" w:rsidRPr="009E3947" w:rsidRDefault="004E6E64" w:rsidP="00F270A8">
            <w:pPr>
              <w:ind w:left="0" w:firstLine="0"/>
              <w:rPr>
                <w:rFonts w:eastAsia="Times New Roman" w:cs="Calibri"/>
                <w:sz w:val="20"/>
                <w:szCs w:val="20"/>
              </w:rPr>
            </w:pPr>
            <w:r w:rsidRPr="009E3947">
              <w:rPr>
                <w:sz w:val="20"/>
                <w:szCs w:val="20"/>
              </w:rPr>
              <w:t>Traducción para el Comité Permanente</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034D63E" w14:textId="125416EF" w:rsidR="004E6E64" w:rsidRPr="009E3947" w:rsidRDefault="004E6E64" w:rsidP="00F270A8">
            <w:pPr>
              <w:ind w:left="0" w:firstLine="0"/>
              <w:jc w:val="right"/>
              <w:rPr>
                <w:rFonts w:eastAsia="Times New Roman" w:cs="Calibri"/>
                <w:sz w:val="20"/>
                <w:szCs w:val="20"/>
              </w:rPr>
            </w:pPr>
            <w:r w:rsidRPr="009E3947">
              <w:rPr>
                <w:sz w:val="20"/>
                <w:szCs w:val="20"/>
              </w:rPr>
              <w:t>60</w:t>
            </w:r>
          </w:p>
        </w:tc>
        <w:tc>
          <w:tcPr>
            <w:tcW w:w="1587" w:type="dxa"/>
            <w:tcBorders>
              <w:top w:val="nil"/>
              <w:left w:val="nil"/>
              <w:bottom w:val="single" w:sz="4" w:space="0" w:color="auto"/>
              <w:right w:val="single" w:sz="4" w:space="0" w:color="auto"/>
            </w:tcBorders>
            <w:shd w:val="clear" w:color="auto" w:fill="auto"/>
            <w:noWrap/>
            <w:vAlign w:val="center"/>
            <w:hideMark/>
          </w:tcPr>
          <w:p w14:paraId="760BC596" w14:textId="3F008021"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3CA80D1E" w14:textId="11403966"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65854DB5" w14:textId="54386045" w:rsidR="004E6E64" w:rsidRPr="009E3947" w:rsidRDefault="004E6E64" w:rsidP="00F270A8">
            <w:pPr>
              <w:ind w:left="0" w:firstLine="0"/>
              <w:jc w:val="right"/>
              <w:rPr>
                <w:rFonts w:eastAsia="Times New Roman" w:cs="Calibri"/>
                <w:sz w:val="20"/>
                <w:szCs w:val="20"/>
              </w:rPr>
            </w:pPr>
            <w:r w:rsidRPr="009E3947">
              <w:rPr>
                <w:sz w:val="20"/>
                <w:szCs w:val="20"/>
              </w:rPr>
              <w:t>60</w:t>
            </w:r>
          </w:p>
        </w:tc>
        <w:tc>
          <w:tcPr>
            <w:tcW w:w="1587" w:type="dxa"/>
            <w:tcBorders>
              <w:top w:val="nil"/>
              <w:left w:val="nil"/>
              <w:bottom w:val="single" w:sz="4" w:space="0" w:color="auto"/>
              <w:right w:val="nil"/>
            </w:tcBorders>
            <w:shd w:val="clear" w:color="auto" w:fill="auto"/>
            <w:noWrap/>
            <w:vAlign w:val="center"/>
            <w:hideMark/>
          </w:tcPr>
          <w:p w14:paraId="4603156F" w14:textId="304708ED" w:rsidR="004E6E64" w:rsidRPr="009E3947" w:rsidRDefault="004E6E64" w:rsidP="00F270A8">
            <w:pPr>
              <w:ind w:left="0" w:firstLine="0"/>
              <w:jc w:val="right"/>
              <w:rPr>
                <w:rFonts w:eastAsia="Times New Roman" w:cs="Calibri"/>
                <w:sz w:val="20"/>
                <w:szCs w:val="20"/>
              </w:rPr>
            </w:pPr>
            <w:r w:rsidRPr="009E3947">
              <w:rPr>
                <w:sz w:val="20"/>
                <w:szCs w:val="20"/>
              </w:rPr>
              <w:t>110</w:t>
            </w:r>
          </w:p>
        </w:tc>
        <w:tc>
          <w:tcPr>
            <w:tcW w:w="1587" w:type="dxa"/>
            <w:tcBorders>
              <w:top w:val="nil"/>
              <w:left w:val="single" w:sz="4" w:space="0" w:color="auto"/>
              <w:bottom w:val="single" w:sz="4" w:space="0" w:color="auto"/>
              <w:right w:val="single" w:sz="4" w:space="0" w:color="auto"/>
            </w:tcBorders>
          </w:tcPr>
          <w:p w14:paraId="0C378EFC" w14:textId="0C6478DD" w:rsidR="004E6E64" w:rsidRPr="009E3947" w:rsidRDefault="004E6E64" w:rsidP="00F270A8">
            <w:pPr>
              <w:ind w:left="0" w:firstLine="0"/>
              <w:jc w:val="right"/>
              <w:rPr>
                <w:rFonts w:eastAsia="Times New Roman" w:cs="Calibri"/>
                <w:sz w:val="20"/>
                <w:szCs w:val="20"/>
              </w:rPr>
            </w:pPr>
            <w:r w:rsidRPr="009E3947">
              <w:rPr>
                <w:sz w:val="20"/>
                <w:szCs w:val="20"/>
              </w:rPr>
              <w:t>50</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08D9560" w14:textId="35A814ED"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314A6598" w14:textId="0621370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84771D" w14:textId="26E4827D" w:rsidR="004E6E64" w:rsidRPr="009E3947" w:rsidRDefault="004E6E64" w:rsidP="00F270A8">
            <w:pPr>
              <w:ind w:left="0" w:firstLine="0"/>
              <w:rPr>
                <w:rFonts w:eastAsia="Times New Roman" w:cs="Calibri"/>
                <w:sz w:val="20"/>
                <w:szCs w:val="20"/>
              </w:rPr>
            </w:pPr>
            <w:r w:rsidRPr="009E3947">
              <w:rPr>
                <w:sz w:val="20"/>
                <w:szCs w:val="20"/>
              </w:rPr>
              <w:t>Interpretación simultánea en las reuniones del Comité Permanente</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276EBE3E" w:rsidR="004E6E64" w:rsidRPr="009E3947" w:rsidRDefault="004E6E64" w:rsidP="00F270A8">
            <w:pPr>
              <w:ind w:left="0" w:firstLine="0"/>
              <w:jc w:val="right"/>
              <w:rPr>
                <w:rFonts w:eastAsia="Times New Roman" w:cs="Calibri"/>
                <w:sz w:val="20"/>
                <w:szCs w:val="20"/>
              </w:rPr>
            </w:pPr>
            <w:r w:rsidRPr="009E3947">
              <w:rPr>
                <w:sz w:val="20"/>
                <w:szCs w:val="20"/>
              </w:rPr>
              <w:t>35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5E851947"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3327A0F2"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1BE70304" w:rsidR="004E6E64" w:rsidRPr="009E3947" w:rsidRDefault="004E6E64" w:rsidP="00F270A8">
            <w:pPr>
              <w:ind w:left="0" w:firstLine="0"/>
              <w:jc w:val="right"/>
              <w:rPr>
                <w:rFonts w:eastAsia="Times New Roman" w:cs="Calibri"/>
                <w:sz w:val="20"/>
                <w:szCs w:val="20"/>
              </w:rPr>
            </w:pPr>
            <w:r w:rsidRPr="009E3947">
              <w:rPr>
                <w:sz w:val="20"/>
                <w:szCs w:val="20"/>
              </w:rPr>
              <w:t>35</w:t>
            </w:r>
          </w:p>
        </w:tc>
        <w:tc>
          <w:tcPr>
            <w:tcW w:w="1587" w:type="dxa"/>
            <w:tcBorders>
              <w:top w:val="single" w:sz="4" w:space="0" w:color="auto"/>
              <w:left w:val="nil"/>
              <w:bottom w:val="single" w:sz="4" w:space="0" w:color="auto"/>
              <w:right w:val="nil"/>
            </w:tcBorders>
            <w:shd w:val="clear" w:color="auto" w:fill="auto"/>
            <w:noWrap/>
            <w:vAlign w:val="center"/>
            <w:hideMark/>
          </w:tcPr>
          <w:p w14:paraId="439E8286" w14:textId="2B962E53" w:rsidR="004E6E64" w:rsidRPr="009E3947" w:rsidRDefault="004E6E64" w:rsidP="00F270A8">
            <w:pPr>
              <w:ind w:left="0" w:firstLine="0"/>
              <w:jc w:val="right"/>
              <w:rPr>
                <w:rFonts w:eastAsia="Times New Roman" w:cs="Calibri"/>
                <w:sz w:val="20"/>
                <w:szCs w:val="20"/>
              </w:rPr>
            </w:pPr>
            <w:r w:rsidRPr="009E3947">
              <w:rPr>
                <w:sz w:val="20"/>
                <w:szCs w:val="20"/>
              </w:rPr>
              <w:t>33</w:t>
            </w:r>
          </w:p>
        </w:tc>
        <w:tc>
          <w:tcPr>
            <w:tcW w:w="1587" w:type="dxa"/>
            <w:tcBorders>
              <w:top w:val="single" w:sz="4" w:space="0" w:color="auto"/>
              <w:left w:val="single" w:sz="4" w:space="0" w:color="auto"/>
              <w:bottom w:val="single" w:sz="4" w:space="0" w:color="auto"/>
              <w:right w:val="single" w:sz="4" w:space="0" w:color="auto"/>
            </w:tcBorders>
          </w:tcPr>
          <w:p w14:paraId="068A3BFA" w14:textId="22A485CD" w:rsidR="004E6E64" w:rsidRPr="009E3947" w:rsidRDefault="004E6E64" w:rsidP="00F270A8">
            <w:pPr>
              <w:ind w:left="0" w:firstLine="0"/>
              <w:jc w:val="right"/>
              <w:rPr>
                <w:rFonts w:eastAsia="Times New Roman" w:cs="Calibri"/>
                <w:sz w:val="20"/>
                <w:szCs w:val="20"/>
              </w:rPr>
            </w:pPr>
            <w:r w:rsidRPr="009E3947">
              <w:rPr>
                <w:sz w:val="20"/>
                <w:szCs w:val="20"/>
              </w:rPr>
              <w:t>(2)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1CADDEF8"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7CA1DBC5" w14:textId="7FF9980F"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284CF7" w14:textId="40F78C74" w:rsidR="004E6E64" w:rsidRPr="009E3947" w:rsidRDefault="004E6E64" w:rsidP="00F270A8">
            <w:pPr>
              <w:ind w:left="0" w:firstLine="0"/>
              <w:rPr>
                <w:rFonts w:eastAsia="Times New Roman" w:cs="Calibri"/>
                <w:sz w:val="20"/>
                <w:szCs w:val="20"/>
              </w:rPr>
            </w:pPr>
            <w:r w:rsidRPr="009E3947">
              <w:rPr>
                <w:sz w:val="20"/>
                <w:szCs w:val="20"/>
              </w:rPr>
              <w:t>Grupo de Trabajo sobre la Eficacia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63EA" w14:textId="73D40758"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18EED15" w14:textId="282AA691"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32A401C" w14:textId="538120BD" w:rsidR="004E6E64" w:rsidRPr="009E3947" w:rsidRDefault="004E6E64" w:rsidP="00F270A8">
            <w:pPr>
              <w:ind w:left="0" w:firstLine="0"/>
              <w:jc w:val="right"/>
              <w:rPr>
                <w:rFonts w:eastAsia="Times New Roman" w:cs="Calibri"/>
                <w:sz w:val="20"/>
                <w:szCs w:val="20"/>
              </w:rPr>
            </w:pPr>
            <w:r w:rsidRPr="009E3947">
              <w:rPr>
                <w:sz w:val="20"/>
                <w:szCs w:val="20"/>
              </w:rPr>
              <w:t>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4B73135" w14:textId="5A30340F" w:rsidR="004E6E64" w:rsidRPr="009E3947" w:rsidRDefault="004E6E64" w:rsidP="00F270A8">
            <w:pPr>
              <w:ind w:left="0" w:firstLine="0"/>
              <w:jc w:val="right"/>
              <w:rPr>
                <w:rFonts w:eastAsia="Times New Roman" w:cs="Calibri"/>
                <w:sz w:val="20"/>
                <w:szCs w:val="20"/>
              </w:rPr>
            </w:pPr>
            <w:r w:rsidRPr="009E3947">
              <w:rPr>
                <w:sz w:val="20"/>
                <w:szCs w:val="20"/>
              </w:rPr>
              <w:t>4</w:t>
            </w:r>
          </w:p>
        </w:tc>
        <w:tc>
          <w:tcPr>
            <w:tcW w:w="1587" w:type="dxa"/>
            <w:tcBorders>
              <w:top w:val="single" w:sz="4" w:space="0" w:color="auto"/>
              <w:left w:val="nil"/>
              <w:bottom w:val="single" w:sz="4" w:space="0" w:color="auto"/>
              <w:right w:val="nil"/>
            </w:tcBorders>
            <w:shd w:val="clear" w:color="auto" w:fill="auto"/>
            <w:noWrap/>
            <w:vAlign w:val="center"/>
            <w:hideMark/>
          </w:tcPr>
          <w:p w14:paraId="72E79AF0" w14:textId="311ADA97"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single" w:sz="4" w:space="0" w:color="auto"/>
              <w:bottom w:val="single" w:sz="4" w:space="0" w:color="auto"/>
              <w:right w:val="single" w:sz="4" w:space="0" w:color="auto"/>
            </w:tcBorders>
          </w:tcPr>
          <w:p w14:paraId="24F23B48" w14:textId="40ED737E"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6790" w14:textId="53A71CC7" w:rsidR="004E6E64" w:rsidRPr="009E3947" w:rsidRDefault="004E6E64" w:rsidP="00F270A8">
            <w:pPr>
              <w:ind w:left="0" w:firstLine="0"/>
              <w:jc w:val="right"/>
              <w:rPr>
                <w:rFonts w:eastAsia="Times New Roman" w:cs="Calibri"/>
                <w:sz w:val="20"/>
                <w:szCs w:val="20"/>
              </w:rPr>
            </w:pPr>
            <w:r w:rsidRPr="009E3947">
              <w:rPr>
                <w:sz w:val="20"/>
                <w:szCs w:val="20"/>
              </w:rPr>
              <w:t>4</w:t>
            </w:r>
          </w:p>
        </w:tc>
      </w:tr>
      <w:tr w:rsidR="004E6E64" w:rsidRPr="009E3947" w14:paraId="1550A1D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707BDF5" w14:textId="4EDFB530" w:rsidR="004E6E64" w:rsidRPr="009E3947" w:rsidRDefault="004E6E64" w:rsidP="00F270A8">
            <w:pPr>
              <w:ind w:left="0" w:firstLine="0"/>
              <w:rPr>
                <w:rFonts w:eastAsia="Times New Roman" w:cs="Calibri"/>
                <w:sz w:val="20"/>
                <w:szCs w:val="20"/>
              </w:rPr>
            </w:pPr>
            <w:r w:rsidRPr="009E3947">
              <w:rPr>
                <w:sz w:val="20"/>
                <w:szCs w:val="20"/>
              </w:rPr>
              <w:t>Mejora de la eficacia y colaboración (Res. XIV.3)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3BDF" w14:textId="22E58AC2"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567881A6" w14:textId="5B08FAD5"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8129A83" w14:textId="16DDE09C" w:rsidR="004E6E64" w:rsidRPr="009E3947" w:rsidRDefault="004E6E64" w:rsidP="00C469C4">
            <w:pPr>
              <w:ind w:left="0" w:firstLine="0"/>
              <w:jc w:val="right"/>
              <w:rPr>
                <w:rFonts w:eastAsia="Times New Roman" w:cs="Calibri"/>
                <w:sz w:val="20"/>
                <w:szCs w:val="20"/>
              </w:rPr>
            </w:pPr>
            <w:r w:rsidRPr="009E3947">
              <w:rPr>
                <w:sz w:val="20"/>
                <w:szCs w:val="20"/>
              </w:rPr>
              <w:t>7</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5FF2702" w14:textId="6FCB5676" w:rsidR="004E6E64" w:rsidRPr="009E3947" w:rsidRDefault="004E6E64" w:rsidP="00C469C4">
            <w:pPr>
              <w:ind w:left="0" w:firstLine="0"/>
              <w:jc w:val="right"/>
              <w:rPr>
                <w:rFonts w:eastAsia="Times New Roman" w:cs="Calibri"/>
                <w:sz w:val="20"/>
                <w:szCs w:val="20"/>
              </w:rPr>
            </w:pPr>
            <w:r w:rsidRPr="009E3947">
              <w:rPr>
                <w:sz w:val="20"/>
                <w:szCs w:val="20"/>
              </w:rPr>
              <w:t>7</w:t>
            </w:r>
          </w:p>
        </w:tc>
        <w:tc>
          <w:tcPr>
            <w:tcW w:w="1587" w:type="dxa"/>
            <w:tcBorders>
              <w:top w:val="single" w:sz="4" w:space="0" w:color="auto"/>
              <w:left w:val="nil"/>
              <w:bottom w:val="single" w:sz="4" w:space="0" w:color="auto"/>
              <w:right w:val="nil"/>
            </w:tcBorders>
            <w:shd w:val="clear" w:color="auto" w:fill="auto"/>
            <w:noWrap/>
            <w:vAlign w:val="center"/>
          </w:tcPr>
          <w:p w14:paraId="48883072" w14:textId="66C0F0E4"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single" w:sz="4" w:space="0" w:color="auto"/>
              <w:bottom w:val="single" w:sz="4" w:space="0" w:color="auto"/>
              <w:right w:val="single" w:sz="4" w:space="0" w:color="auto"/>
            </w:tcBorders>
            <w:vAlign w:val="center"/>
          </w:tcPr>
          <w:p w14:paraId="2BB77283" w14:textId="416A4B35" w:rsidR="004E6E64" w:rsidRPr="009E3947"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D10D" w14:textId="12E636C5" w:rsidR="004E6E64" w:rsidRPr="009E3947" w:rsidRDefault="004E6E64" w:rsidP="00C469C4">
            <w:pPr>
              <w:ind w:left="0" w:firstLine="0"/>
              <w:jc w:val="right"/>
              <w:rPr>
                <w:rFonts w:eastAsia="Times New Roman" w:cs="Calibri"/>
                <w:sz w:val="20"/>
                <w:szCs w:val="20"/>
              </w:rPr>
            </w:pPr>
            <w:r w:rsidRPr="009E3947">
              <w:rPr>
                <w:sz w:val="20"/>
                <w:szCs w:val="20"/>
              </w:rPr>
              <w:t>7</w:t>
            </w:r>
          </w:p>
        </w:tc>
      </w:tr>
      <w:tr w:rsidR="004E6E64" w:rsidRPr="009E3947" w14:paraId="222448C6" w14:textId="77777777" w:rsidTr="004E6E64">
        <w:tc>
          <w:tcPr>
            <w:tcW w:w="3687" w:type="dxa"/>
            <w:tcBorders>
              <w:top w:val="single" w:sz="4" w:space="0" w:color="auto"/>
              <w:left w:val="single" w:sz="4" w:space="0" w:color="auto"/>
              <w:bottom w:val="nil"/>
              <w:right w:val="nil"/>
            </w:tcBorders>
            <w:shd w:val="clear" w:color="auto" w:fill="auto"/>
            <w:noWrap/>
            <w:vAlign w:val="center"/>
          </w:tcPr>
          <w:p w14:paraId="424DC410" w14:textId="04EA12F2" w:rsidR="004E6E64" w:rsidRPr="009E3947" w:rsidRDefault="004E6E64" w:rsidP="00F270A8">
            <w:pPr>
              <w:ind w:left="0" w:firstLine="0"/>
              <w:rPr>
                <w:rFonts w:eastAsia="Times New Roman" w:cs="Calibri"/>
                <w:sz w:val="20"/>
                <w:szCs w:val="20"/>
              </w:rPr>
            </w:pPr>
            <w:r w:rsidRPr="009E3947">
              <w:rPr>
                <w:sz w:val="20"/>
                <w:szCs w:val="20"/>
              </w:rPr>
              <w:t>Examen de las resoluciones (Res. XIII.4)</w:t>
            </w:r>
          </w:p>
        </w:tc>
        <w:tc>
          <w:tcPr>
            <w:tcW w:w="1587" w:type="dxa"/>
            <w:tcBorders>
              <w:top w:val="single" w:sz="4" w:space="0" w:color="auto"/>
              <w:left w:val="single" w:sz="4" w:space="0" w:color="auto"/>
              <w:bottom w:val="nil"/>
              <w:right w:val="single" w:sz="4" w:space="0" w:color="auto"/>
            </w:tcBorders>
            <w:shd w:val="clear" w:color="auto" w:fill="auto"/>
            <w:noWrap/>
            <w:vAlign w:val="center"/>
          </w:tcPr>
          <w:p w14:paraId="3C677AD8" w14:textId="24CFD22C"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nil"/>
              <w:right w:val="single" w:sz="4" w:space="0" w:color="auto"/>
            </w:tcBorders>
            <w:shd w:val="clear" w:color="auto" w:fill="auto"/>
            <w:noWrap/>
            <w:vAlign w:val="center"/>
          </w:tcPr>
          <w:p w14:paraId="68E092EC" w14:textId="53BEBB13"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nil"/>
              <w:right w:val="single" w:sz="4" w:space="0" w:color="auto"/>
            </w:tcBorders>
            <w:shd w:val="clear" w:color="auto" w:fill="auto"/>
            <w:noWrap/>
            <w:vAlign w:val="center"/>
          </w:tcPr>
          <w:p w14:paraId="0A715B81" w14:textId="200DFEC7" w:rsidR="004E6E64" w:rsidRPr="009E3947" w:rsidRDefault="004E6E64" w:rsidP="00F270A8">
            <w:pPr>
              <w:ind w:left="0" w:firstLine="0"/>
              <w:jc w:val="right"/>
              <w:rPr>
                <w:rFonts w:eastAsia="Times New Roman" w:cs="Calibri"/>
                <w:sz w:val="20"/>
                <w:szCs w:val="20"/>
              </w:rPr>
            </w:pPr>
            <w:r w:rsidRPr="009E3947">
              <w:rPr>
                <w:sz w:val="20"/>
                <w:szCs w:val="20"/>
              </w:rPr>
              <w:t>30</w:t>
            </w:r>
          </w:p>
        </w:tc>
        <w:tc>
          <w:tcPr>
            <w:tcW w:w="1587" w:type="dxa"/>
            <w:tcBorders>
              <w:top w:val="single" w:sz="4" w:space="0" w:color="auto"/>
              <w:left w:val="nil"/>
              <w:bottom w:val="nil"/>
              <w:right w:val="single" w:sz="4" w:space="0" w:color="auto"/>
            </w:tcBorders>
            <w:shd w:val="clear" w:color="auto" w:fill="auto"/>
            <w:noWrap/>
            <w:vAlign w:val="center"/>
          </w:tcPr>
          <w:p w14:paraId="7D02AE75" w14:textId="19278071" w:rsidR="004E6E64" w:rsidRPr="009E3947" w:rsidRDefault="004E6E64" w:rsidP="00F270A8">
            <w:pPr>
              <w:ind w:left="0" w:firstLine="0"/>
              <w:jc w:val="right"/>
              <w:rPr>
                <w:rFonts w:eastAsia="Times New Roman" w:cs="Calibri"/>
                <w:sz w:val="20"/>
                <w:szCs w:val="20"/>
              </w:rPr>
            </w:pPr>
            <w:r w:rsidRPr="009E3947">
              <w:rPr>
                <w:sz w:val="20"/>
                <w:szCs w:val="20"/>
              </w:rPr>
              <w:t>30</w:t>
            </w:r>
          </w:p>
        </w:tc>
        <w:tc>
          <w:tcPr>
            <w:tcW w:w="1587" w:type="dxa"/>
            <w:tcBorders>
              <w:top w:val="single" w:sz="4" w:space="0" w:color="auto"/>
              <w:left w:val="nil"/>
              <w:bottom w:val="nil"/>
              <w:right w:val="nil"/>
            </w:tcBorders>
            <w:shd w:val="clear" w:color="auto" w:fill="auto"/>
            <w:noWrap/>
            <w:vAlign w:val="center"/>
          </w:tcPr>
          <w:p w14:paraId="6AEBC1A0" w14:textId="67EA1907" w:rsidR="004E6E64" w:rsidRPr="009E3947" w:rsidRDefault="004E6E64" w:rsidP="00F270A8">
            <w:pPr>
              <w:ind w:left="0" w:firstLine="0"/>
              <w:jc w:val="right"/>
              <w:rPr>
                <w:rFonts w:eastAsia="Times New Roman" w:cs="Calibri"/>
                <w:sz w:val="20"/>
                <w:szCs w:val="20"/>
              </w:rPr>
            </w:pPr>
            <w:r w:rsidRPr="009E3947">
              <w:rPr>
                <w:sz w:val="20"/>
                <w:szCs w:val="20"/>
              </w:rPr>
              <w:t>4</w:t>
            </w:r>
          </w:p>
        </w:tc>
        <w:tc>
          <w:tcPr>
            <w:tcW w:w="1587" w:type="dxa"/>
            <w:tcBorders>
              <w:top w:val="single" w:sz="4" w:space="0" w:color="auto"/>
              <w:left w:val="single" w:sz="4" w:space="0" w:color="auto"/>
              <w:bottom w:val="nil"/>
              <w:right w:val="single" w:sz="4" w:space="0" w:color="auto"/>
            </w:tcBorders>
          </w:tcPr>
          <w:p w14:paraId="71701287" w14:textId="512F9C6D" w:rsidR="004E6E64" w:rsidRPr="009E3947" w:rsidRDefault="004E6E64" w:rsidP="00064BD7">
            <w:pPr>
              <w:ind w:left="0" w:firstLine="0"/>
              <w:jc w:val="center"/>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tcPr>
          <w:p w14:paraId="7383CB89" w14:textId="124F479D" w:rsidR="004E6E64" w:rsidRPr="009E3947" w:rsidRDefault="004E6E64" w:rsidP="00F270A8">
            <w:pPr>
              <w:ind w:left="0" w:firstLine="0"/>
              <w:jc w:val="right"/>
              <w:rPr>
                <w:rFonts w:eastAsia="Times New Roman" w:cs="Calibri"/>
                <w:sz w:val="20"/>
                <w:szCs w:val="20"/>
              </w:rPr>
            </w:pPr>
            <w:r w:rsidRPr="009E3947">
              <w:rPr>
                <w:sz w:val="20"/>
                <w:szCs w:val="20"/>
              </w:rPr>
              <w:t>26</w:t>
            </w:r>
          </w:p>
        </w:tc>
      </w:tr>
      <w:tr w:rsidR="004E6E64" w:rsidRPr="009E3947" w14:paraId="20EC5353" w14:textId="595CA4B2" w:rsidTr="004E6E64">
        <w:tc>
          <w:tcPr>
            <w:tcW w:w="3687" w:type="dxa"/>
            <w:tcBorders>
              <w:top w:val="single" w:sz="4" w:space="0" w:color="auto"/>
              <w:left w:val="single" w:sz="4" w:space="0" w:color="auto"/>
              <w:bottom w:val="single" w:sz="4" w:space="0" w:color="auto"/>
              <w:right w:val="nil"/>
            </w:tcBorders>
            <w:shd w:val="clear" w:color="000000" w:fill="EAF1DD"/>
            <w:vAlign w:val="center"/>
            <w:hideMark/>
          </w:tcPr>
          <w:p w14:paraId="3D822A3B" w14:textId="0D3A64A9" w:rsidR="004E6E64" w:rsidRPr="009E3947" w:rsidRDefault="004E6E64" w:rsidP="00F270A8">
            <w:pPr>
              <w:ind w:left="0" w:firstLine="0"/>
              <w:rPr>
                <w:rFonts w:eastAsia="Times New Roman" w:cs="Calibri"/>
                <w:sz w:val="20"/>
                <w:szCs w:val="20"/>
              </w:rPr>
            </w:pPr>
            <w:r w:rsidRPr="009E3947">
              <w:rPr>
                <w:sz w:val="20"/>
                <w:szCs w:val="20"/>
              </w:rPr>
              <w:t>H. Gastos por servicios administrativos de la UICN (máximo)</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59AF2F9" w14:textId="2DF6DCAC" w:rsidR="004E6E64" w:rsidRPr="009E3947" w:rsidRDefault="004E6E64" w:rsidP="00C469C4">
            <w:pPr>
              <w:ind w:left="0" w:firstLine="0"/>
              <w:jc w:val="right"/>
              <w:rPr>
                <w:rFonts w:eastAsia="Times New Roman" w:cs="Calibri"/>
                <w:sz w:val="20"/>
                <w:szCs w:val="20"/>
              </w:rPr>
            </w:pPr>
            <w:r w:rsidRPr="009E3947">
              <w:rPr>
                <w:sz w:val="20"/>
                <w:szCs w:val="20"/>
              </w:rPr>
              <w:t>541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468169E" w14:textId="63F21814" w:rsidR="004E6E64" w:rsidRPr="009E3947" w:rsidRDefault="004E6E64" w:rsidP="00C469C4">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8389547" w14:textId="1950E4B9" w:rsidR="004E6E64" w:rsidRPr="009E3947" w:rsidRDefault="004E6E64" w:rsidP="00C469C4">
            <w:pPr>
              <w:ind w:left="0" w:firstLine="0"/>
              <w:jc w:val="right"/>
              <w:rPr>
                <w:rFonts w:eastAsia="Times New Roman" w:cs="Calibri"/>
                <w:sz w:val="20"/>
                <w:szCs w:val="20"/>
              </w:rPr>
            </w:pPr>
            <w:r w:rsidRPr="009E3947">
              <w:rPr>
                <w:sz w:val="20"/>
                <w:szCs w:val="20"/>
              </w:rPr>
              <w:t>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6718943" w14:textId="4F633E5C" w:rsidR="004E6E64" w:rsidRPr="009E3947" w:rsidRDefault="004E6E64" w:rsidP="00C469C4">
            <w:pPr>
              <w:ind w:left="0" w:firstLine="0"/>
              <w:jc w:val="right"/>
              <w:rPr>
                <w:rFonts w:eastAsia="Times New Roman" w:cs="Calibri"/>
                <w:sz w:val="20"/>
                <w:szCs w:val="20"/>
              </w:rPr>
            </w:pPr>
            <w:r w:rsidRPr="009E3947">
              <w:rPr>
                <w:sz w:val="20"/>
                <w:szCs w:val="20"/>
              </w:rPr>
              <w:t>542</w:t>
            </w:r>
          </w:p>
        </w:tc>
        <w:tc>
          <w:tcPr>
            <w:tcW w:w="1587" w:type="dxa"/>
            <w:tcBorders>
              <w:top w:val="single" w:sz="4" w:space="0" w:color="auto"/>
              <w:left w:val="nil"/>
              <w:bottom w:val="single" w:sz="4" w:space="0" w:color="auto"/>
              <w:right w:val="nil"/>
            </w:tcBorders>
            <w:shd w:val="clear" w:color="000000" w:fill="EAF1DD"/>
            <w:noWrap/>
            <w:vAlign w:val="center"/>
            <w:hideMark/>
          </w:tcPr>
          <w:p w14:paraId="1CAB8956" w14:textId="067AFD7F" w:rsidR="004E6E64" w:rsidRPr="009E3947" w:rsidRDefault="004E6E64" w:rsidP="00C469C4">
            <w:pPr>
              <w:ind w:left="0" w:firstLine="0"/>
              <w:jc w:val="right"/>
              <w:rPr>
                <w:rFonts w:eastAsia="Times New Roman" w:cs="Calibri"/>
                <w:sz w:val="20"/>
                <w:szCs w:val="20"/>
              </w:rPr>
            </w:pPr>
            <w:r w:rsidRPr="009E3947">
              <w:rPr>
                <w:sz w:val="20"/>
                <w:szCs w:val="20"/>
              </w:rPr>
              <w:t>534</w:t>
            </w:r>
          </w:p>
        </w:tc>
        <w:tc>
          <w:tcPr>
            <w:tcW w:w="1587" w:type="dxa"/>
            <w:tcBorders>
              <w:top w:val="single" w:sz="4" w:space="0" w:color="auto"/>
              <w:left w:val="single" w:sz="4" w:space="0" w:color="auto"/>
              <w:bottom w:val="single" w:sz="4" w:space="0" w:color="auto"/>
              <w:right w:val="single" w:sz="4" w:space="0" w:color="auto"/>
            </w:tcBorders>
            <w:shd w:val="clear" w:color="000000" w:fill="EAF1DD"/>
            <w:vAlign w:val="center"/>
          </w:tcPr>
          <w:p w14:paraId="4F02FFFE" w14:textId="140554EE" w:rsidR="004E6E64" w:rsidRPr="009E3947"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0EF8C76" w14:textId="53CC556D" w:rsidR="004E6E64" w:rsidRPr="009E3947" w:rsidRDefault="004E6E64" w:rsidP="00C469C4">
            <w:pPr>
              <w:ind w:left="0" w:firstLine="0"/>
              <w:jc w:val="right"/>
              <w:rPr>
                <w:rFonts w:eastAsia="Times New Roman" w:cs="Calibri"/>
                <w:sz w:val="20"/>
                <w:szCs w:val="20"/>
              </w:rPr>
            </w:pPr>
            <w:r w:rsidRPr="009E3947">
              <w:rPr>
                <w:sz w:val="20"/>
                <w:szCs w:val="20"/>
              </w:rPr>
              <w:t>8</w:t>
            </w:r>
          </w:p>
        </w:tc>
      </w:tr>
      <w:tr w:rsidR="004E6E64" w:rsidRPr="009E3947" w14:paraId="01E78EA6" w14:textId="1D5A194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545636E" w14:textId="522718A1" w:rsidR="004E6E64" w:rsidRPr="009E3947" w:rsidRDefault="004E6E64" w:rsidP="00F270A8">
            <w:pPr>
              <w:ind w:left="0" w:firstLine="0"/>
              <w:rPr>
                <w:rFonts w:eastAsia="Times New Roman" w:cs="Calibri"/>
                <w:sz w:val="20"/>
                <w:szCs w:val="20"/>
              </w:rPr>
            </w:pPr>
            <w:r w:rsidRPr="009E3947">
              <w:rPr>
                <w:sz w:val="20"/>
                <w:szCs w:val="20"/>
              </w:rPr>
              <w:t>Administración, RR.HH., finanzas y servicios informáticos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613DEF7D" w:rsidR="004E6E64" w:rsidRPr="009E3947" w:rsidRDefault="004E6E64" w:rsidP="00F270A8">
            <w:pPr>
              <w:ind w:left="0" w:firstLine="0"/>
              <w:jc w:val="right"/>
              <w:rPr>
                <w:rFonts w:eastAsia="Times New Roman" w:cs="Calibri"/>
                <w:sz w:val="20"/>
                <w:szCs w:val="20"/>
              </w:rPr>
            </w:pPr>
            <w:r w:rsidRPr="009E3947">
              <w:rPr>
                <w:sz w:val="20"/>
                <w:szCs w:val="20"/>
              </w:rPr>
              <w:t>541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3B7841E5"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448DB6AA" w:rsidR="004E6E64" w:rsidRPr="009E3947" w:rsidRDefault="004E6E64" w:rsidP="00F270A8">
            <w:pPr>
              <w:ind w:left="0" w:firstLine="0"/>
              <w:jc w:val="right"/>
              <w:rPr>
                <w:rFonts w:eastAsia="Times New Roman" w:cs="Calibri"/>
                <w:sz w:val="20"/>
                <w:szCs w:val="20"/>
              </w:rPr>
            </w:pPr>
            <w:r w:rsidRPr="009E3947">
              <w:rPr>
                <w:sz w:val="20"/>
                <w:szCs w:val="20"/>
              </w:rPr>
              <w:t>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0BA580BC" w:rsidR="004E6E64" w:rsidRPr="009E3947" w:rsidRDefault="004E6E64" w:rsidP="00F270A8">
            <w:pPr>
              <w:ind w:left="0" w:firstLine="0"/>
              <w:jc w:val="right"/>
              <w:rPr>
                <w:rFonts w:eastAsia="Times New Roman" w:cs="Calibri"/>
                <w:sz w:val="20"/>
                <w:szCs w:val="20"/>
              </w:rPr>
            </w:pPr>
            <w:r w:rsidRPr="009E3947">
              <w:rPr>
                <w:sz w:val="20"/>
                <w:szCs w:val="20"/>
              </w:rPr>
              <w:t>542</w:t>
            </w:r>
          </w:p>
        </w:tc>
        <w:tc>
          <w:tcPr>
            <w:tcW w:w="1587" w:type="dxa"/>
            <w:tcBorders>
              <w:top w:val="single" w:sz="4" w:space="0" w:color="auto"/>
              <w:left w:val="nil"/>
              <w:bottom w:val="single" w:sz="4" w:space="0" w:color="auto"/>
              <w:right w:val="nil"/>
            </w:tcBorders>
            <w:shd w:val="clear" w:color="auto" w:fill="auto"/>
            <w:noWrap/>
            <w:vAlign w:val="center"/>
            <w:hideMark/>
          </w:tcPr>
          <w:p w14:paraId="716B9128" w14:textId="60F62976" w:rsidR="004E6E64" w:rsidRPr="009E3947" w:rsidRDefault="004E6E64" w:rsidP="00F270A8">
            <w:pPr>
              <w:ind w:left="0" w:firstLine="0"/>
              <w:jc w:val="right"/>
              <w:rPr>
                <w:rFonts w:eastAsia="Times New Roman" w:cs="Calibri"/>
                <w:sz w:val="20"/>
                <w:szCs w:val="20"/>
              </w:rPr>
            </w:pPr>
            <w:r w:rsidRPr="009E3947">
              <w:rPr>
                <w:sz w:val="20"/>
                <w:szCs w:val="20"/>
              </w:rPr>
              <w:t>534</w:t>
            </w:r>
          </w:p>
        </w:tc>
        <w:tc>
          <w:tcPr>
            <w:tcW w:w="1587" w:type="dxa"/>
            <w:tcBorders>
              <w:top w:val="single" w:sz="4" w:space="0" w:color="auto"/>
              <w:left w:val="single" w:sz="4" w:space="0" w:color="auto"/>
              <w:bottom w:val="single" w:sz="4" w:space="0" w:color="auto"/>
              <w:right w:val="single" w:sz="4" w:space="0" w:color="auto"/>
            </w:tcBorders>
          </w:tcPr>
          <w:p w14:paraId="0B1A6C86" w14:textId="7CDA84D2"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614F40EA" w:rsidR="004E6E64" w:rsidRPr="009E3947" w:rsidRDefault="004E6E64" w:rsidP="00F270A8">
            <w:pPr>
              <w:ind w:left="0" w:firstLine="0"/>
              <w:jc w:val="right"/>
              <w:rPr>
                <w:rFonts w:eastAsia="Times New Roman" w:cs="Calibri"/>
                <w:sz w:val="20"/>
                <w:szCs w:val="20"/>
              </w:rPr>
            </w:pPr>
            <w:r w:rsidRPr="009E3947">
              <w:rPr>
                <w:sz w:val="20"/>
                <w:szCs w:val="20"/>
              </w:rPr>
              <w:t>8</w:t>
            </w:r>
          </w:p>
        </w:tc>
      </w:tr>
      <w:tr w:rsidR="004E6E64" w:rsidRPr="009E3947" w14:paraId="41523AEB" w14:textId="4366D69F" w:rsidTr="004E6E64">
        <w:tc>
          <w:tcPr>
            <w:tcW w:w="3687" w:type="dxa"/>
            <w:tcBorders>
              <w:top w:val="nil"/>
              <w:left w:val="single" w:sz="4" w:space="0" w:color="auto"/>
              <w:bottom w:val="nil"/>
              <w:right w:val="nil"/>
            </w:tcBorders>
            <w:shd w:val="clear" w:color="000000" w:fill="EAF1DD"/>
            <w:noWrap/>
            <w:vAlign w:val="center"/>
            <w:hideMark/>
          </w:tcPr>
          <w:p w14:paraId="2B58376B" w14:textId="37CE2BD7" w:rsidR="004E6E64" w:rsidRPr="009E3947" w:rsidRDefault="004E6E64" w:rsidP="00F270A8">
            <w:pPr>
              <w:ind w:left="0" w:firstLine="0"/>
              <w:rPr>
                <w:rFonts w:eastAsia="Times New Roman" w:cs="Calibri"/>
                <w:sz w:val="20"/>
                <w:szCs w:val="20"/>
              </w:rPr>
            </w:pPr>
            <w:r w:rsidRPr="009E3947">
              <w:rPr>
                <w:sz w:val="20"/>
                <w:szCs w:val="20"/>
              </w:rPr>
              <w:t>I.  Varios, Fondo de reserva</w:t>
            </w:r>
          </w:p>
        </w:tc>
        <w:tc>
          <w:tcPr>
            <w:tcW w:w="1587" w:type="dxa"/>
            <w:tcBorders>
              <w:top w:val="nil"/>
              <w:left w:val="single" w:sz="4" w:space="0" w:color="auto"/>
              <w:bottom w:val="nil"/>
              <w:right w:val="single" w:sz="4" w:space="0" w:color="auto"/>
            </w:tcBorders>
            <w:shd w:val="clear" w:color="000000" w:fill="EAF1DD"/>
            <w:noWrap/>
            <w:vAlign w:val="center"/>
            <w:hideMark/>
          </w:tcPr>
          <w:p w14:paraId="7252D7CA" w14:textId="21CDD7CF" w:rsidR="004E6E64" w:rsidRPr="009E3947" w:rsidRDefault="004E6E64" w:rsidP="00F270A8">
            <w:pPr>
              <w:ind w:left="0" w:firstLine="0"/>
              <w:jc w:val="right"/>
              <w:rPr>
                <w:rFonts w:eastAsia="Times New Roman" w:cs="Calibri"/>
                <w:sz w:val="20"/>
                <w:szCs w:val="20"/>
              </w:rPr>
            </w:pPr>
            <w:r w:rsidRPr="009E3947">
              <w:rPr>
                <w:sz w:val="20"/>
                <w:szCs w:val="20"/>
              </w:rPr>
              <w:t>109</w:t>
            </w:r>
          </w:p>
        </w:tc>
        <w:tc>
          <w:tcPr>
            <w:tcW w:w="1587" w:type="dxa"/>
            <w:tcBorders>
              <w:top w:val="nil"/>
              <w:left w:val="nil"/>
              <w:bottom w:val="nil"/>
              <w:right w:val="single" w:sz="4" w:space="0" w:color="auto"/>
            </w:tcBorders>
            <w:shd w:val="clear" w:color="000000" w:fill="EAF1DD"/>
            <w:noWrap/>
            <w:vAlign w:val="center"/>
            <w:hideMark/>
          </w:tcPr>
          <w:p w14:paraId="6F2D6202" w14:textId="7714DFB8" w:rsidR="004E6E64" w:rsidRPr="009E3947" w:rsidRDefault="004E6E64" w:rsidP="00F270A8">
            <w:pPr>
              <w:ind w:left="0" w:firstLine="0"/>
              <w:jc w:val="right"/>
              <w:rPr>
                <w:rFonts w:eastAsia="Times New Roman" w:cs="Calibri"/>
                <w:sz w:val="20"/>
                <w:szCs w:val="20"/>
              </w:rPr>
            </w:pPr>
            <w:r w:rsidRPr="009E3947">
              <w:rPr>
                <w:sz w:val="20"/>
                <w:szCs w:val="20"/>
              </w:rPr>
              <w:t>120</w:t>
            </w:r>
          </w:p>
        </w:tc>
        <w:tc>
          <w:tcPr>
            <w:tcW w:w="1587" w:type="dxa"/>
            <w:tcBorders>
              <w:top w:val="nil"/>
              <w:left w:val="nil"/>
              <w:bottom w:val="nil"/>
              <w:right w:val="single" w:sz="4" w:space="0" w:color="auto"/>
            </w:tcBorders>
            <w:shd w:val="clear" w:color="000000" w:fill="EAF1DD"/>
            <w:noWrap/>
            <w:vAlign w:val="center"/>
            <w:hideMark/>
          </w:tcPr>
          <w:p w14:paraId="3B15C9DB" w14:textId="387A448C"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nil"/>
              <w:left w:val="nil"/>
              <w:bottom w:val="nil"/>
              <w:right w:val="single" w:sz="4" w:space="0" w:color="auto"/>
            </w:tcBorders>
            <w:shd w:val="clear" w:color="000000" w:fill="EAF1DD"/>
            <w:noWrap/>
            <w:vAlign w:val="center"/>
            <w:hideMark/>
          </w:tcPr>
          <w:p w14:paraId="06CB8978" w14:textId="45A48C25" w:rsidR="004E6E64" w:rsidRPr="009E3947" w:rsidRDefault="004E6E64" w:rsidP="00F270A8">
            <w:pPr>
              <w:ind w:left="0" w:firstLine="0"/>
              <w:jc w:val="right"/>
              <w:rPr>
                <w:rFonts w:eastAsia="Times New Roman" w:cs="Calibri"/>
                <w:sz w:val="20"/>
                <w:szCs w:val="20"/>
              </w:rPr>
            </w:pPr>
            <w:r w:rsidRPr="009E3947">
              <w:rPr>
                <w:sz w:val="20"/>
                <w:szCs w:val="20"/>
              </w:rPr>
              <w:t>234</w:t>
            </w:r>
          </w:p>
        </w:tc>
        <w:tc>
          <w:tcPr>
            <w:tcW w:w="1587" w:type="dxa"/>
            <w:tcBorders>
              <w:top w:val="nil"/>
              <w:left w:val="nil"/>
              <w:bottom w:val="nil"/>
              <w:right w:val="nil"/>
            </w:tcBorders>
            <w:shd w:val="clear" w:color="000000" w:fill="EAF1DD"/>
            <w:noWrap/>
            <w:vAlign w:val="center"/>
            <w:hideMark/>
          </w:tcPr>
          <w:p w14:paraId="49657E09" w14:textId="74984C4A" w:rsidR="004E6E64" w:rsidRPr="009E3947" w:rsidRDefault="004E6E64" w:rsidP="00F270A8">
            <w:pPr>
              <w:ind w:left="0" w:firstLine="0"/>
              <w:jc w:val="right"/>
              <w:rPr>
                <w:rFonts w:eastAsia="Times New Roman" w:cs="Calibri"/>
                <w:sz w:val="20"/>
                <w:szCs w:val="20"/>
              </w:rPr>
            </w:pPr>
            <w:r w:rsidRPr="009E3947">
              <w:rPr>
                <w:sz w:val="20"/>
                <w:szCs w:val="20"/>
              </w:rPr>
              <w:t>106</w:t>
            </w:r>
          </w:p>
        </w:tc>
        <w:tc>
          <w:tcPr>
            <w:tcW w:w="1587" w:type="dxa"/>
            <w:tcBorders>
              <w:top w:val="nil"/>
              <w:left w:val="single" w:sz="4" w:space="0" w:color="auto"/>
              <w:bottom w:val="nil"/>
              <w:right w:val="single" w:sz="4" w:space="0" w:color="auto"/>
            </w:tcBorders>
            <w:shd w:val="clear" w:color="000000" w:fill="EAF1DD"/>
          </w:tcPr>
          <w:p w14:paraId="1F8E1692" w14:textId="1FFC0378"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single" w:sz="4" w:space="0" w:color="auto"/>
              <w:bottom w:val="nil"/>
              <w:right w:val="single" w:sz="4" w:space="0" w:color="auto"/>
            </w:tcBorders>
            <w:shd w:val="clear" w:color="000000" w:fill="EAF1DD"/>
            <w:noWrap/>
            <w:vAlign w:val="center"/>
            <w:hideMark/>
          </w:tcPr>
          <w:p w14:paraId="1B30FC78" w14:textId="35ADC788" w:rsidR="004E6E64" w:rsidRPr="009E3947" w:rsidRDefault="004E6E64" w:rsidP="00F270A8">
            <w:pPr>
              <w:ind w:left="0" w:firstLine="0"/>
              <w:jc w:val="right"/>
              <w:rPr>
                <w:rFonts w:eastAsia="Times New Roman" w:cs="Calibri"/>
                <w:sz w:val="20"/>
                <w:szCs w:val="20"/>
              </w:rPr>
            </w:pPr>
            <w:r w:rsidRPr="009E3947">
              <w:rPr>
                <w:sz w:val="20"/>
                <w:szCs w:val="20"/>
              </w:rPr>
              <w:t>128</w:t>
            </w:r>
          </w:p>
        </w:tc>
      </w:tr>
      <w:tr w:rsidR="004E6E64" w:rsidRPr="009E3947" w14:paraId="60B95A8F" w14:textId="2AA51A4B"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AB3379" w14:textId="5B4475F1" w:rsidR="004E6E64" w:rsidRPr="009E3947" w:rsidRDefault="004E6E64" w:rsidP="00F270A8">
            <w:pPr>
              <w:ind w:left="0" w:firstLine="0"/>
              <w:rPr>
                <w:rFonts w:eastAsia="Times New Roman" w:cs="Calibri"/>
                <w:sz w:val="20"/>
                <w:szCs w:val="20"/>
              </w:rPr>
            </w:pPr>
            <w:r w:rsidRPr="009E3947">
              <w:rPr>
                <w:sz w:val="20"/>
                <w:szCs w:val="20"/>
              </w:rPr>
              <w:t>Provisiones correspondientes al personal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10AE05F4" w:rsidR="004E6E64" w:rsidRPr="009E3947" w:rsidRDefault="004E6E64" w:rsidP="00F270A8">
            <w:pPr>
              <w:ind w:left="0" w:firstLine="0"/>
              <w:jc w:val="right"/>
              <w:rPr>
                <w:rFonts w:eastAsia="Times New Roman" w:cs="Calibri"/>
                <w:sz w:val="20"/>
                <w:szCs w:val="20"/>
              </w:rPr>
            </w:pPr>
            <w:r w:rsidRPr="009E3947">
              <w:rPr>
                <w:sz w:val="20"/>
                <w:szCs w:val="20"/>
              </w:rPr>
              <w:t>20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3DD8CFB3"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41A4E1AA"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199E4EDB" w:rsidR="004E6E64" w:rsidRPr="009E3947" w:rsidRDefault="004E6E64" w:rsidP="00F270A8">
            <w:pPr>
              <w:ind w:left="0" w:firstLine="0"/>
              <w:jc w:val="right"/>
              <w:rPr>
                <w:rFonts w:eastAsia="Times New Roman" w:cs="Calibri"/>
                <w:sz w:val="20"/>
                <w:szCs w:val="20"/>
              </w:rPr>
            </w:pPr>
            <w:r w:rsidRPr="009E3947">
              <w:rPr>
                <w:sz w:val="20"/>
                <w:szCs w:val="20"/>
              </w:rPr>
              <w:t>20</w:t>
            </w:r>
          </w:p>
        </w:tc>
        <w:tc>
          <w:tcPr>
            <w:tcW w:w="1587" w:type="dxa"/>
            <w:tcBorders>
              <w:top w:val="single" w:sz="4" w:space="0" w:color="auto"/>
              <w:left w:val="nil"/>
              <w:bottom w:val="single" w:sz="4" w:space="0" w:color="auto"/>
              <w:right w:val="nil"/>
            </w:tcBorders>
            <w:shd w:val="clear" w:color="auto" w:fill="auto"/>
            <w:noWrap/>
            <w:vAlign w:val="center"/>
            <w:hideMark/>
          </w:tcPr>
          <w:p w14:paraId="6B214F4C" w14:textId="66CC772F" w:rsidR="004E6E64" w:rsidRPr="009E3947" w:rsidRDefault="004E6E64" w:rsidP="00F270A8">
            <w:pPr>
              <w:ind w:left="0" w:firstLine="0"/>
              <w:jc w:val="right"/>
              <w:rPr>
                <w:rFonts w:eastAsia="Times New Roman" w:cs="Calibri"/>
                <w:sz w:val="20"/>
                <w:szCs w:val="20"/>
              </w:rPr>
            </w:pPr>
            <w:r w:rsidRPr="009E3947">
              <w:rPr>
                <w:sz w:val="20"/>
                <w:szCs w:val="20"/>
              </w:rPr>
              <w:t>31</w:t>
            </w:r>
          </w:p>
        </w:tc>
        <w:tc>
          <w:tcPr>
            <w:tcW w:w="1587" w:type="dxa"/>
            <w:tcBorders>
              <w:top w:val="single" w:sz="4" w:space="0" w:color="auto"/>
              <w:left w:val="single" w:sz="4" w:space="0" w:color="auto"/>
              <w:bottom w:val="single" w:sz="4" w:space="0" w:color="auto"/>
              <w:right w:val="single" w:sz="4" w:space="0" w:color="auto"/>
            </w:tcBorders>
          </w:tcPr>
          <w:p w14:paraId="30DA1397" w14:textId="7C86C93D" w:rsidR="004E6E64" w:rsidRPr="009E3947" w:rsidRDefault="004E6E64" w:rsidP="00F270A8">
            <w:pPr>
              <w:ind w:left="0" w:firstLine="0"/>
              <w:jc w:val="right"/>
              <w:rPr>
                <w:rFonts w:eastAsia="Times New Roman" w:cs="Calibri"/>
                <w:sz w:val="20"/>
                <w:szCs w:val="20"/>
              </w:rPr>
            </w:pPr>
            <w:r w:rsidRPr="009E3947">
              <w:rPr>
                <w:sz w:val="20"/>
                <w:szCs w:val="20"/>
              </w:rPr>
              <w:t>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176EA0D0" w:rsidR="004E6E64" w:rsidRPr="009E3947" w:rsidRDefault="004E6E64" w:rsidP="00F270A8">
            <w:pPr>
              <w:ind w:left="0" w:firstLine="0"/>
              <w:jc w:val="right"/>
              <w:rPr>
                <w:rFonts w:eastAsia="Times New Roman" w:cs="Calibri"/>
                <w:sz w:val="20"/>
                <w:szCs w:val="20"/>
              </w:rPr>
            </w:pPr>
            <w:r w:rsidRPr="009E3947">
              <w:rPr>
                <w:sz w:val="20"/>
                <w:szCs w:val="20"/>
              </w:rPr>
              <w:t>0</w:t>
            </w:r>
          </w:p>
        </w:tc>
      </w:tr>
      <w:tr w:rsidR="004E6E64" w:rsidRPr="009E3947" w14:paraId="017DDC6C" w14:textId="390B538C" w:rsidTr="004E6E64">
        <w:tc>
          <w:tcPr>
            <w:tcW w:w="3687" w:type="dxa"/>
            <w:tcBorders>
              <w:top w:val="nil"/>
              <w:left w:val="single" w:sz="4" w:space="0" w:color="auto"/>
              <w:bottom w:val="single" w:sz="4" w:space="0" w:color="auto"/>
              <w:right w:val="nil"/>
            </w:tcBorders>
            <w:shd w:val="clear" w:color="auto" w:fill="auto"/>
            <w:noWrap/>
            <w:vAlign w:val="center"/>
            <w:hideMark/>
          </w:tcPr>
          <w:p w14:paraId="41D402B4" w14:textId="1AEE6CD7" w:rsidR="004E6E64" w:rsidRPr="009E3947" w:rsidRDefault="004E6E64" w:rsidP="00F270A8">
            <w:pPr>
              <w:ind w:left="0" w:firstLine="0"/>
              <w:rPr>
                <w:rFonts w:eastAsia="Times New Roman" w:cs="Calibri"/>
                <w:sz w:val="20"/>
                <w:szCs w:val="20"/>
              </w:rPr>
            </w:pPr>
            <w:r w:rsidRPr="009E3947">
              <w:rPr>
                <w:sz w:val="20"/>
                <w:szCs w:val="20"/>
              </w:rPr>
              <w:t>Provisiones correspondientes a las contribuciones pendientes</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34205718" w:rsidR="004E6E64" w:rsidRPr="009E3947" w:rsidRDefault="004E6E64" w:rsidP="00F270A8">
            <w:pPr>
              <w:ind w:left="0" w:firstLine="0"/>
              <w:jc w:val="right"/>
              <w:rPr>
                <w:rFonts w:eastAsia="Times New Roman" w:cs="Calibri"/>
                <w:sz w:val="20"/>
                <w:szCs w:val="20"/>
              </w:rPr>
            </w:pPr>
            <w:r w:rsidRPr="009E3947">
              <w:rPr>
                <w:sz w:val="20"/>
                <w:szCs w:val="20"/>
              </w:rPr>
              <w:t>30</w:t>
            </w:r>
          </w:p>
        </w:tc>
        <w:tc>
          <w:tcPr>
            <w:tcW w:w="1587" w:type="dxa"/>
            <w:tcBorders>
              <w:top w:val="nil"/>
              <w:left w:val="nil"/>
              <w:bottom w:val="single" w:sz="4" w:space="0" w:color="auto"/>
              <w:right w:val="single" w:sz="4" w:space="0" w:color="auto"/>
            </w:tcBorders>
            <w:shd w:val="clear" w:color="auto" w:fill="auto"/>
            <w:noWrap/>
            <w:vAlign w:val="center"/>
            <w:hideMark/>
          </w:tcPr>
          <w:p w14:paraId="171F0778" w14:textId="57B9F2A8" w:rsidR="004E6E64" w:rsidRPr="009E3947" w:rsidRDefault="004E6E64" w:rsidP="00F270A8">
            <w:pPr>
              <w:ind w:left="0" w:firstLine="0"/>
              <w:jc w:val="right"/>
              <w:rPr>
                <w:rFonts w:eastAsia="Times New Roman" w:cs="Calibri"/>
                <w:sz w:val="20"/>
                <w:szCs w:val="20"/>
              </w:rPr>
            </w:pPr>
            <w:r w:rsidRPr="009E3947">
              <w:rPr>
                <w:sz w:val="20"/>
                <w:szCs w:val="20"/>
              </w:rPr>
              <w:t>120</w:t>
            </w:r>
          </w:p>
        </w:tc>
        <w:tc>
          <w:tcPr>
            <w:tcW w:w="1587" w:type="dxa"/>
            <w:tcBorders>
              <w:top w:val="nil"/>
              <w:left w:val="nil"/>
              <w:bottom w:val="single" w:sz="4" w:space="0" w:color="auto"/>
              <w:right w:val="single" w:sz="4" w:space="0" w:color="auto"/>
            </w:tcBorders>
            <w:shd w:val="clear" w:color="auto" w:fill="auto"/>
            <w:noWrap/>
            <w:vAlign w:val="center"/>
            <w:hideMark/>
          </w:tcPr>
          <w:p w14:paraId="1C6E34AD" w14:textId="139F070D"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single" w:sz="4" w:space="0" w:color="auto"/>
              <w:right w:val="single" w:sz="4" w:space="0" w:color="auto"/>
            </w:tcBorders>
            <w:shd w:val="clear" w:color="auto" w:fill="auto"/>
            <w:noWrap/>
            <w:vAlign w:val="center"/>
            <w:hideMark/>
          </w:tcPr>
          <w:p w14:paraId="4911DF5A" w14:textId="307FE3FA" w:rsidR="004E6E64" w:rsidRPr="009E3947" w:rsidRDefault="004E6E64" w:rsidP="00F270A8">
            <w:pPr>
              <w:ind w:left="0" w:firstLine="0"/>
              <w:jc w:val="right"/>
              <w:rPr>
                <w:rFonts w:eastAsia="Times New Roman" w:cs="Calibri"/>
                <w:sz w:val="20"/>
                <w:szCs w:val="20"/>
              </w:rPr>
            </w:pPr>
            <w:r w:rsidRPr="009E3947">
              <w:rPr>
                <w:sz w:val="20"/>
                <w:szCs w:val="20"/>
              </w:rPr>
              <w:t>150</w:t>
            </w:r>
          </w:p>
        </w:tc>
        <w:tc>
          <w:tcPr>
            <w:tcW w:w="1587" w:type="dxa"/>
            <w:tcBorders>
              <w:top w:val="nil"/>
              <w:left w:val="nil"/>
              <w:bottom w:val="single" w:sz="4" w:space="0" w:color="auto"/>
              <w:right w:val="nil"/>
            </w:tcBorders>
            <w:shd w:val="clear" w:color="auto" w:fill="auto"/>
            <w:noWrap/>
            <w:vAlign w:val="center"/>
            <w:hideMark/>
          </w:tcPr>
          <w:p w14:paraId="4DB262D3" w14:textId="5A3E5350" w:rsidR="004E6E64" w:rsidRPr="009E3947" w:rsidRDefault="004E6E64" w:rsidP="00F270A8">
            <w:pPr>
              <w:ind w:left="0" w:firstLine="0"/>
              <w:jc w:val="right"/>
              <w:rPr>
                <w:rFonts w:eastAsia="Times New Roman" w:cs="Calibri"/>
                <w:sz w:val="20"/>
                <w:szCs w:val="20"/>
              </w:rPr>
            </w:pPr>
            <w:r w:rsidRPr="009E3947">
              <w:rPr>
                <w:sz w:val="20"/>
                <w:szCs w:val="20"/>
              </w:rPr>
              <w:t>113</w:t>
            </w:r>
          </w:p>
        </w:tc>
        <w:tc>
          <w:tcPr>
            <w:tcW w:w="1587" w:type="dxa"/>
            <w:tcBorders>
              <w:top w:val="nil"/>
              <w:left w:val="single" w:sz="4" w:space="0" w:color="auto"/>
              <w:bottom w:val="single" w:sz="4" w:space="0" w:color="auto"/>
              <w:right w:val="single" w:sz="4" w:space="0" w:color="auto"/>
            </w:tcBorders>
          </w:tcPr>
          <w:p w14:paraId="417E1152" w14:textId="3B2BEFE6" w:rsidR="004E6E64" w:rsidRPr="009E3947" w:rsidRDefault="004E6E64" w:rsidP="00F270A8">
            <w:pPr>
              <w:ind w:left="0" w:firstLine="0"/>
              <w:jc w:val="right"/>
              <w:rPr>
                <w:rFonts w:eastAsia="Times New Roman" w:cs="Calibri"/>
                <w:sz w:val="20"/>
                <w:szCs w:val="20"/>
                <w:highlight w:val="green"/>
              </w:rPr>
            </w:pPr>
            <w:r w:rsidRPr="009E3947">
              <w:rPr>
                <w:sz w:val="20"/>
                <w:szCs w:val="20"/>
              </w:rPr>
              <w:t>(11)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726827F6" w:rsidR="004E6E64" w:rsidRPr="009E3947" w:rsidRDefault="004E6E64" w:rsidP="00F270A8">
            <w:pPr>
              <w:ind w:left="0" w:firstLine="0"/>
              <w:jc w:val="right"/>
              <w:rPr>
                <w:rFonts w:eastAsia="Times New Roman" w:cs="Calibri"/>
                <w:sz w:val="20"/>
                <w:szCs w:val="20"/>
              </w:rPr>
            </w:pPr>
            <w:r w:rsidRPr="009E3947">
              <w:rPr>
                <w:sz w:val="20"/>
                <w:szCs w:val="20"/>
              </w:rPr>
              <w:t>26</w:t>
            </w:r>
          </w:p>
        </w:tc>
      </w:tr>
      <w:tr w:rsidR="004E6E64" w:rsidRPr="009E3947" w14:paraId="7AC80196" w14:textId="27DCEEA6" w:rsidTr="00082B43">
        <w:tc>
          <w:tcPr>
            <w:tcW w:w="3687" w:type="dxa"/>
            <w:tcBorders>
              <w:top w:val="nil"/>
              <w:left w:val="single" w:sz="4" w:space="0" w:color="auto"/>
              <w:bottom w:val="nil"/>
              <w:right w:val="nil"/>
            </w:tcBorders>
            <w:shd w:val="clear" w:color="auto" w:fill="auto"/>
            <w:noWrap/>
            <w:vAlign w:val="center"/>
            <w:hideMark/>
          </w:tcPr>
          <w:p w14:paraId="34DA7549" w14:textId="17DEEC7F" w:rsidR="004E6E64" w:rsidRPr="009E3947" w:rsidRDefault="004E6E64" w:rsidP="00F270A8">
            <w:pPr>
              <w:ind w:left="0" w:firstLine="0"/>
              <w:rPr>
                <w:rFonts w:eastAsia="Times New Roman" w:cs="Calibri"/>
                <w:sz w:val="20"/>
                <w:szCs w:val="20"/>
              </w:rPr>
            </w:pPr>
            <w:r w:rsidRPr="009E3947">
              <w:rPr>
                <w:sz w:val="20"/>
                <w:szCs w:val="20"/>
              </w:rPr>
              <w:t>Ganancias/pérdidas por fluctuaciones del tipo de cambio</w:t>
            </w:r>
          </w:p>
        </w:tc>
        <w:tc>
          <w:tcPr>
            <w:tcW w:w="1587" w:type="dxa"/>
            <w:tcBorders>
              <w:top w:val="nil"/>
              <w:left w:val="single" w:sz="4" w:space="0" w:color="auto"/>
              <w:bottom w:val="nil"/>
              <w:right w:val="single" w:sz="4" w:space="0" w:color="auto"/>
            </w:tcBorders>
            <w:shd w:val="clear" w:color="auto" w:fill="auto"/>
            <w:noWrap/>
            <w:vAlign w:val="center"/>
            <w:hideMark/>
          </w:tcPr>
          <w:p w14:paraId="3BD23C60" w14:textId="5E239090"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0B62F3F6" w14:textId="156DC8A5"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6E35E9F9" w14:textId="2FB71DBC"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single" w:sz="4" w:space="0" w:color="auto"/>
            </w:tcBorders>
            <w:shd w:val="clear" w:color="auto" w:fill="auto"/>
            <w:noWrap/>
            <w:vAlign w:val="center"/>
            <w:hideMark/>
          </w:tcPr>
          <w:p w14:paraId="330703E4" w14:textId="7AE93FF2"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nil"/>
              <w:left w:val="nil"/>
              <w:bottom w:val="nil"/>
              <w:right w:val="nil"/>
            </w:tcBorders>
            <w:shd w:val="clear" w:color="auto" w:fill="auto"/>
            <w:noWrap/>
            <w:vAlign w:val="center"/>
            <w:hideMark/>
          </w:tcPr>
          <w:p w14:paraId="2F2D0557" w14:textId="238B2ADA" w:rsidR="004E6E64" w:rsidRPr="009E3947" w:rsidRDefault="004E6E64" w:rsidP="00F270A8">
            <w:pPr>
              <w:ind w:left="0" w:firstLine="0"/>
              <w:jc w:val="right"/>
              <w:rPr>
                <w:rFonts w:eastAsia="Times New Roman" w:cs="Calibri"/>
                <w:sz w:val="20"/>
                <w:szCs w:val="20"/>
              </w:rPr>
            </w:pPr>
            <w:r w:rsidRPr="009E3947">
              <w:rPr>
                <w:sz w:val="20"/>
                <w:szCs w:val="20"/>
              </w:rPr>
              <w:t>(76)</w:t>
            </w:r>
          </w:p>
        </w:tc>
        <w:tc>
          <w:tcPr>
            <w:tcW w:w="1587" w:type="dxa"/>
            <w:tcBorders>
              <w:top w:val="nil"/>
              <w:left w:val="single" w:sz="4" w:space="0" w:color="auto"/>
              <w:bottom w:val="nil"/>
              <w:right w:val="single" w:sz="4" w:space="0" w:color="auto"/>
            </w:tcBorders>
            <w:shd w:val="clear" w:color="auto" w:fill="auto"/>
          </w:tcPr>
          <w:p w14:paraId="5D70F19B" w14:textId="353E1E9A" w:rsidR="004E6E64" w:rsidRPr="009E3947"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B4A41B8" w14:textId="7F482826" w:rsidR="004E6E64" w:rsidRPr="009E3947" w:rsidRDefault="00F23187" w:rsidP="00F270A8">
            <w:pPr>
              <w:ind w:left="0" w:firstLine="0"/>
              <w:jc w:val="right"/>
              <w:rPr>
                <w:rFonts w:eastAsia="Times New Roman" w:cs="Calibri"/>
                <w:sz w:val="20"/>
                <w:szCs w:val="20"/>
              </w:rPr>
            </w:pPr>
            <w:r w:rsidRPr="009E3947">
              <w:rPr>
                <w:sz w:val="20"/>
                <w:szCs w:val="20"/>
              </w:rPr>
              <w:t>76</w:t>
            </w:r>
          </w:p>
        </w:tc>
      </w:tr>
      <w:tr w:rsidR="004E6E64" w:rsidRPr="009E3947" w14:paraId="099B3CA2" w14:textId="1511667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5F1DE36" w14:textId="61BC2846" w:rsidR="004E6E64" w:rsidRPr="009E3947" w:rsidRDefault="004E6E64" w:rsidP="00F270A8">
            <w:pPr>
              <w:ind w:left="0" w:firstLine="0"/>
              <w:rPr>
                <w:rFonts w:eastAsia="Times New Roman" w:cs="Calibri"/>
                <w:sz w:val="20"/>
                <w:szCs w:val="20"/>
              </w:rPr>
            </w:pPr>
            <w:r w:rsidRPr="009E3947">
              <w:rPr>
                <w:sz w:val="20"/>
                <w:szCs w:val="20"/>
              </w:rPr>
              <w:lastRenderedPageBreak/>
              <w:t>Servicios jurídicos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0A61FAB2" w:rsidR="004E6E64" w:rsidRPr="009E3947" w:rsidRDefault="004E6E64" w:rsidP="00F270A8">
            <w:pPr>
              <w:ind w:left="0" w:firstLine="0"/>
              <w:jc w:val="right"/>
              <w:rPr>
                <w:rFonts w:eastAsia="Times New Roman" w:cs="Calibri"/>
                <w:sz w:val="20"/>
                <w:szCs w:val="20"/>
              </w:rPr>
            </w:pPr>
            <w:r w:rsidRPr="009E3947">
              <w:rPr>
                <w:sz w:val="20"/>
                <w:szCs w:val="20"/>
              </w:rPr>
              <w:t>59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6BDB3C67" w:rsidR="004E6E64" w:rsidRPr="009E3947" w:rsidRDefault="004E6E64" w:rsidP="00F270A8">
            <w:pPr>
              <w:ind w:left="0" w:firstLine="0"/>
              <w:jc w:val="right"/>
              <w:rPr>
                <w:rFonts w:eastAsia="Times New Roman" w:cs="Calibri"/>
                <w:sz w:val="20"/>
                <w:szCs w:val="20"/>
              </w:rPr>
            </w:pPr>
            <w:r w:rsidRPr="009E3947">
              <w:rPr>
                <w:sz w:val="20"/>
                <w:szCs w:val="20"/>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1314D9B1" w:rsidR="004E6E64" w:rsidRPr="009E3947" w:rsidRDefault="004E6E64" w:rsidP="00F270A8">
            <w:pPr>
              <w:ind w:left="0" w:firstLine="0"/>
              <w:jc w:val="right"/>
              <w:rPr>
                <w:rFonts w:eastAsia="Times New Roman" w:cs="Calibri"/>
                <w:sz w:val="20"/>
                <w:szCs w:val="20"/>
              </w:rPr>
            </w:pPr>
            <w:r w:rsidRPr="009E3947">
              <w:rPr>
                <w:sz w:val="20"/>
                <w:szCs w:val="20"/>
              </w:rPr>
              <w:t>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21F01752" w:rsidR="004E6E64" w:rsidRPr="009E3947" w:rsidRDefault="004E6E64" w:rsidP="00F270A8">
            <w:pPr>
              <w:ind w:left="0" w:firstLine="0"/>
              <w:jc w:val="right"/>
              <w:rPr>
                <w:rFonts w:eastAsia="Times New Roman" w:cs="Calibri"/>
                <w:sz w:val="20"/>
                <w:szCs w:val="20"/>
              </w:rPr>
            </w:pPr>
            <w:r w:rsidRPr="009E3947">
              <w:rPr>
                <w:sz w:val="20"/>
                <w:szCs w:val="20"/>
              </w:rPr>
              <w:t>64</w:t>
            </w:r>
          </w:p>
        </w:tc>
        <w:tc>
          <w:tcPr>
            <w:tcW w:w="1587" w:type="dxa"/>
            <w:tcBorders>
              <w:top w:val="single" w:sz="4" w:space="0" w:color="auto"/>
              <w:left w:val="nil"/>
              <w:bottom w:val="single" w:sz="4" w:space="0" w:color="auto"/>
              <w:right w:val="nil"/>
            </w:tcBorders>
            <w:shd w:val="clear" w:color="auto" w:fill="auto"/>
            <w:noWrap/>
            <w:vAlign w:val="center"/>
            <w:hideMark/>
          </w:tcPr>
          <w:p w14:paraId="2BD6F180" w14:textId="2D58BBE7" w:rsidR="004E6E64" w:rsidRPr="009E3947" w:rsidRDefault="004E6E64" w:rsidP="00F270A8">
            <w:pPr>
              <w:ind w:left="0" w:firstLine="0"/>
              <w:jc w:val="right"/>
              <w:rPr>
                <w:rFonts w:eastAsia="Times New Roman" w:cs="Calibri"/>
                <w:sz w:val="20"/>
                <w:szCs w:val="20"/>
              </w:rPr>
            </w:pPr>
            <w:r w:rsidRPr="009E3947">
              <w:rPr>
                <w:sz w:val="20"/>
                <w:szCs w:val="20"/>
              </w:rPr>
              <w:t>38</w:t>
            </w:r>
          </w:p>
        </w:tc>
        <w:tc>
          <w:tcPr>
            <w:tcW w:w="1587" w:type="dxa"/>
            <w:tcBorders>
              <w:top w:val="single" w:sz="4" w:space="0" w:color="auto"/>
              <w:left w:val="single" w:sz="4" w:space="0" w:color="auto"/>
              <w:bottom w:val="single" w:sz="4" w:space="0" w:color="auto"/>
              <w:right w:val="single" w:sz="4" w:space="0" w:color="auto"/>
            </w:tcBorders>
          </w:tcPr>
          <w:p w14:paraId="621EB0B2" w14:textId="597F6A1C"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265F0E16" w:rsidR="004E6E64" w:rsidRPr="009E3947" w:rsidRDefault="004E6E64" w:rsidP="00F270A8">
            <w:pPr>
              <w:ind w:left="0" w:firstLine="0"/>
              <w:jc w:val="right"/>
              <w:rPr>
                <w:rFonts w:eastAsia="Times New Roman" w:cs="Calibri"/>
                <w:sz w:val="20"/>
                <w:szCs w:val="20"/>
              </w:rPr>
            </w:pPr>
            <w:r w:rsidRPr="009E3947">
              <w:rPr>
                <w:sz w:val="20"/>
                <w:szCs w:val="20"/>
              </w:rPr>
              <w:t>26</w:t>
            </w:r>
          </w:p>
        </w:tc>
      </w:tr>
      <w:tr w:rsidR="004E6E64" w:rsidRPr="009E3947" w14:paraId="575F8B0D" w14:textId="4A187860" w:rsidTr="004E6E64">
        <w:tc>
          <w:tcPr>
            <w:tcW w:w="3687" w:type="dxa"/>
            <w:tcBorders>
              <w:top w:val="nil"/>
              <w:left w:val="single" w:sz="4" w:space="0" w:color="auto"/>
              <w:bottom w:val="nil"/>
              <w:right w:val="nil"/>
            </w:tcBorders>
            <w:shd w:val="clear" w:color="000000" w:fill="D6E3BC"/>
            <w:noWrap/>
            <w:vAlign w:val="center"/>
            <w:hideMark/>
          </w:tcPr>
          <w:p w14:paraId="2371CDBF" w14:textId="0EB12835" w:rsidR="004E6E64" w:rsidRPr="009E3947" w:rsidRDefault="004E6E64" w:rsidP="00F270A8">
            <w:pPr>
              <w:ind w:left="0" w:firstLine="0"/>
              <w:rPr>
                <w:rFonts w:eastAsia="Times New Roman" w:cs="Calibri"/>
                <w:b/>
                <w:sz w:val="20"/>
                <w:szCs w:val="20"/>
              </w:rPr>
            </w:pPr>
            <w:r w:rsidRPr="009E3947">
              <w:rPr>
                <w:b/>
                <w:sz w:val="20"/>
                <w:szCs w:val="20"/>
              </w:rPr>
              <w:t>TOTAL, GASTOS</w:t>
            </w:r>
          </w:p>
        </w:tc>
        <w:tc>
          <w:tcPr>
            <w:tcW w:w="1587"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3F544E60" w:rsidR="004E6E64" w:rsidRPr="009E3947" w:rsidRDefault="004E6E64" w:rsidP="00F270A8">
            <w:pPr>
              <w:ind w:left="0" w:firstLine="0"/>
              <w:jc w:val="right"/>
              <w:rPr>
                <w:rFonts w:eastAsia="Times New Roman" w:cs="Calibri"/>
                <w:b/>
                <w:sz w:val="20"/>
                <w:szCs w:val="20"/>
              </w:rPr>
            </w:pPr>
            <w:r w:rsidRPr="009E3947">
              <w:rPr>
                <w:b/>
                <w:sz w:val="20"/>
                <w:szCs w:val="20"/>
              </w:rPr>
              <w:t>5</w:t>
            </w:r>
            <w:r w:rsidR="00A10967">
              <w:rPr>
                <w:b/>
                <w:sz w:val="20"/>
                <w:szCs w:val="20"/>
              </w:rPr>
              <w:t> </w:t>
            </w:r>
            <w:r w:rsidRPr="009E3947">
              <w:rPr>
                <w:b/>
                <w:sz w:val="20"/>
                <w:szCs w:val="20"/>
              </w:rPr>
              <w:t>081</w:t>
            </w:r>
          </w:p>
        </w:tc>
        <w:tc>
          <w:tcPr>
            <w:tcW w:w="1587" w:type="dxa"/>
            <w:tcBorders>
              <w:top w:val="nil"/>
              <w:left w:val="nil"/>
              <w:bottom w:val="single" w:sz="4" w:space="0" w:color="auto"/>
              <w:right w:val="single" w:sz="4" w:space="0" w:color="auto"/>
            </w:tcBorders>
            <w:shd w:val="clear" w:color="000000" w:fill="D6E3BC"/>
            <w:noWrap/>
            <w:vAlign w:val="center"/>
            <w:hideMark/>
          </w:tcPr>
          <w:p w14:paraId="6B7C3C00" w14:textId="3225E617" w:rsidR="004E6E64" w:rsidRPr="009E3947" w:rsidRDefault="004E6E64" w:rsidP="00F270A8">
            <w:pPr>
              <w:ind w:left="0" w:firstLine="0"/>
              <w:jc w:val="right"/>
              <w:rPr>
                <w:rFonts w:eastAsia="Times New Roman" w:cs="Calibri"/>
                <w:b/>
                <w:sz w:val="20"/>
                <w:szCs w:val="20"/>
              </w:rPr>
            </w:pPr>
            <w:r w:rsidRPr="009E3947">
              <w:rPr>
                <w:b/>
                <w:sz w:val="20"/>
                <w:szCs w:val="20"/>
              </w:rPr>
              <w:t>196</w:t>
            </w:r>
          </w:p>
        </w:tc>
        <w:tc>
          <w:tcPr>
            <w:tcW w:w="1587" w:type="dxa"/>
            <w:tcBorders>
              <w:top w:val="nil"/>
              <w:left w:val="nil"/>
              <w:bottom w:val="single" w:sz="4" w:space="0" w:color="auto"/>
              <w:right w:val="single" w:sz="4" w:space="0" w:color="auto"/>
            </w:tcBorders>
            <w:shd w:val="clear" w:color="000000" w:fill="D6E3BC"/>
            <w:noWrap/>
            <w:vAlign w:val="center"/>
            <w:hideMark/>
          </w:tcPr>
          <w:p w14:paraId="1816BF51" w14:textId="24E22901" w:rsidR="004E6E64" w:rsidRPr="009E3947" w:rsidRDefault="004E6E64" w:rsidP="00F270A8">
            <w:pPr>
              <w:ind w:left="0" w:firstLine="0"/>
              <w:jc w:val="right"/>
              <w:rPr>
                <w:rFonts w:eastAsia="Times New Roman" w:cs="Calibri"/>
                <w:b/>
                <w:sz w:val="20"/>
                <w:szCs w:val="20"/>
              </w:rPr>
            </w:pPr>
            <w:r w:rsidRPr="009E3947">
              <w:rPr>
                <w:b/>
                <w:sz w:val="20"/>
                <w:szCs w:val="20"/>
              </w:rPr>
              <w:t>1</w:t>
            </w:r>
            <w:r w:rsidR="00A10967">
              <w:rPr>
                <w:b/>
                <w:sz w:val="20"/>
                <w:szCs w:val="20"/>
              </w:rPr>
              <w:t> </w:t>
            </w:r>
            <w:r w:rsidRPr="009E3947">
              <w:rPr>
                <w:b/>
                <w:sz w:val="20"/>
                <w:szCs w:val="20"/>
              </w:rPr>
              <w:t>232</w:t>
            </w:r>
          </w:p>
        </w:tc>
        <w:tc>
          <w:tcPr>
            <w:tcW w:w="1587" w:type="dxa"/>
            <w:tcBorders>
              <w:top w:val="nil"/>
              <w:left w:val="nil"/>
              <w:bottom w:val="single" w:sz="4" w:space="0" w:color="auto"/>
              <w:right w:val="single" w:sz="4" w:space="0" w:color="auto"/>
            </w:tcBorders>
            <w:shd w:val="clear" w:color="000000" w:fill="D6E3BC"/>
            <w:noWrap/>
            <w:vAlign w:val="center"/>
            <w:hideMark/>
          </w:tcPr>
          <w:p w14:paraId="14045FA2" w14:textId="5D777DAC" w:rsidR="004E6E64" w:rsidRPr="009E3947" w:rsidRDefault="004E6E64" w:rsidP="00F270A8">
            <w:pPr>
              <w:ind w:left="0" w:firstLine="0"/>
              <w:jc w:val="right"/>
              <w:rPr>
                <w:rFonts w:eastAsia="Times New Roman" w:cs="Calibri"/>
                <w:b/>
                <w:sz w:val="20"/>
                <w:szCs w:val="20"/>
              </w:rPr>
            </w:pPr>
            <w:r w:rsidRPr="009E3947">
              <w:rPr>
                <w:b/>
                <w:sz w:val="20"/>
                <w:szCs w:val="20"/>
              </w:rPr>
              <w:t>6</w:t>
            </w:r>
            <w:r w:rsidR="00A10967">
              <w:rPr>
                <w:b/>
                <w:sz w:val="20"/>
                <w:szCs w:val="20"/>
              </w:rPr>
              <w:t> </w:t>
            </w:r>
            <w:r w:rsidRPr="009E3947">
              <w:rPr>
                <w:b/>
                <w:sz w:val="20"/>
                <w:szCs w:val="20"/>
              </w:rPr>
              <w:t>509</w:t>
            </w:r>
          </w:p>
        </w:tc>
        <w:tc>
          <w:tcPr>
            <w:tcW w:w="1587" w:type="dxa"/>
            <w:tcBorders>
              <w:top w:val="nil"/>
              <w:left w:val="nil"/>
              <w:bottom w:val="nil"/>
              <w:right w:val="nil"/>
            </w:tcBorders>
            <w:shd w:val="clear" w:color="000000" w:fill="D6E3BC"/>
            <w:noWrap/>
            <w:vAlign w:val="center"/>
            <w:hideMark/>
          </w:tcPr>
          <w:p w14:paraId="06D58DE4" w14:textId="10B0CA31" w:rsidR="004E6E64" w:rsidRPr="009E3947" w:rsidRDefault="00F1014B" w:rsidP="00F270A8">
            <w:pPr>
              <w:ind w:left="0" w:firstLine="0"/>
              <w:jc w:val="right"/>
              <w:rPr>
                <w:rFonts w:eastAsia="Times New Roman" w:cs="Calibri"/>
                <w:b/>
                <w:sz w:val="20"/>
                <w:szCs w:val="20"/>
              </w:rPr>
            </w:pPr>
            <w:r w:rsidRPr="009E3947">
              <w:rPr>
                <w:b/>
                <w:sz w:val="20"/>
                <w:szCs w:val="20"/>
              </w:rPr>
              <w:t>5</w:t>
            </w:r>
            <w:r w:rsidR="00A10967">
              <w:rPr>
                <w:b/>
                <w:sz w:val="20"/>
                <w:szCs w:val="20"/>
              </w:rPr>
              <w:t> </w:t>
            </w:r>
            <w:r w:rsidRPr="009E3947">
              <w:rPr>
                <w:b/>
                <w:sz w:val="20"/>
                <w:szCs w:val="20"/>
              </w:rPr>
              <w:t>370</w:t>
            </w:r>
          </w:p>
        </w:tc>
        <w:tc>
          <w:tcPr>
            <w:tcW w:w="1587" w:type="dxa"/>
            <w:tcBorders>
              <w:top w:val="single" w:sz="4" w:space="0" w:color="auto"/>
              <w:left w:val="single" w:sz="4" w:space="0" w:color="auto"/>
              <w:bottom w:val="single" w:sz="4" w:space="0" w:color="auto"/>
              <w:right w:val="single" w:sz="4" w:space="0" w:color="auto"/>
            </w:tcBorders>
            <w:shd w:val="clear" w:color="000000" w:fill="D6E3BC"/>
          </w:tcPr>
          <w:p w14:paraId="5D7B4A14" w14:textId="36F9B865" w:rsidR="004E6E64" w:rsidRPr="009E3947" w:rsidRDefault="004E6E64" w:rsidP="00F270A8">
            <w:pPr>
              <w:ind w:left="0" w:firstLine="0"/>
              <w:jc w:val="right"/>
              <w:rPr>
                <w:rFonts w:eastAsia="Times New Roman" w:cs="Calibri"/>
                <w:b/>
                <w:sz w:val="20"/>
                <w:szCs w:val="20"/>
              </w:rPr>
            </w:pPr>
            <w:r w:rsidRPr="009E3947">
              <w:rPr>
                <w:b/>
                <w:sz w:val="20"/>
                <w:szCs w:val="20"/>
              </w:rPr>
              <w:t>0</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97061AA" w14:textId="3FB01CF3" w:rsidR="004E6E64" w:rsidRPr="009E3947" w:rsidRDefault="004E6E64" w:rsidP="00F270A8">
            <w:pPr>
              <w:ind w:left="0" w:firstLine="0"/>
              <w:jc w:val="right"/>
              <w:rPr>
                <w:rFonts w:eastAsia="Times New Roman" w:cs="Calibri"/>
                <w:b/>
                <w:sz w:val="20"/>
                <w:szCs w:val="20"/>
              </w:rPr>
            </w:pPr>
            <w:r w:rsidRPr="009E3947">
              <w:rPr>
                <w:b/>
                <w:sz w:val="20"/>
                <w:szCs w:val="20"/>
              </w:rPr>
              <w:t>1</w:t>
            </w:r>
            <w:r w:rsidR="00A10967">
              <w:rPr>
                <w:b/>
                <w:sz w:val="20"/>
                <w:szCs w:val="20"/>
              </w:rPr>
              <w:t> </w:t>
            </w:r>
            <w:r w:rsidRPr="009E3947">
              <w:rPr>
                <w:b/>
                <w:sz w:val="20"/>
                <w:szCs w:val="20"/>
              </w:rPr>
              <w:t>065</w:t>
            </w:r>
          </w:p>
        </w:tc>
      </w:tr>
      <w:tr w:rsidR="004E6E64" w:rsidRPr="009E3947" w14:paraId="7D71DCD5" w14:textId="60593BA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6E4532B1" w:rsidR="004E6E64" w:rsidRPr="009E3947" w:rsidRDefault="004E6E64" w:rsidP="00F270A8">
            <w:pPr>
              <w:ind w:left="0" w:firstLine="0"/>
              <w:rPr>
                <w:rFonts w:eastAsia="Times New Roman" w:cs="Calibri"/>
                <w:sz w:val="20"/>
                <w:szCs w:val="20"/>
              </w:rPr>
            </w:pPr>
            <w:r w:rsidRPr="009E3947">
              <w:rPr>
                <w:sz w:val="20"/>
                <w:szCs w:val="20"/>
              </w:rPr>
              <w:t> Redondeo</w:t>
            </w:r>
          </w:p>
        </w:tc>
        <w:tc>
          <w:tcPr>
            <w:tcW w:w="1587" w:type="dxa"/>
            <w:tcBorders>
              <w:top w:val="nil"/>
              <w:left w:val="nil"/>
              <w:bottom w:val="single" w:sz="4" w:space="0" w:color="auto"/>
              <w:right w:val="nil"/>
            </w:tcBorders>
            <w:shd w:val="clear" w:color="auto" w:fill="auto"/>
            <w:noWrap/>
            <w:vAlign w:val="center"/>
            <w:hideMark/>
          </w:tcPr>
          <w:p w14:paraId="7C6A6E17" w14:textId="42C3992C" w:rsidR="004E6E64" w:rsidRPr="009E3947" w:rsidRDefault="004E6E64" w:rsidP="00F270A8">
            <w:pPr>
              <w:ind w:left="0" w:firstLine="0"/>
              <w:jc w:val="right"/>
              <w:rPr>
                <w:rFonts w:eastAsia="Times New Roman" w:cs="Calibri"/>
                <w:sz w:val="20"/>
                <w:szCs w:val="20"/>
              </w:rPr>
            </w:pPr>
            <w:r w:rsidRPr="009E3947">
              <w:rPr>
                <w:sz w:val="20"/>
                <w:szCs w:val="20"/>
              </w:rPr>
              <w:t> </w:t>
            </w:r>
          </w:p>
        </w:tc>
        <w:tc>
          <w:tcPr>
            <w:tcW w:w="1587" w:type="dxa"/>
            <w:tcBorders>
              <w:top w:val="nil"/>
              <w:left w:val="nil"/>
              <w:bottom w:val="single" w:sz="4" w:space="0" w:color="auto"/>
              <w:right w:val="nil"/>
            </w:tcBorders>
            <w:shd w:val="clear" w:color="auto" w:fill="auto"/>
            <w:noWrap/>
            <w:vAlign w:val="center"/>
            <w:hideMark/>
          </w:tcPr>
          <w:p w14:paraId="1A0E6796" w14:textId="64D80B04" w:rsidR="004E6E64" w:rsidRPr="009E3947" w:rsidRDefault="004E6E64" w:rsidP="00F270A8">
            <w:pPr>
              <w:ind w:left="0" w:firstLine="0"/>
              <w:jc w:val="right"/>
              <w:rPr>
                <w:rFonts w:eastAsia="Times New Roman" w:cs="Calibri"/>
                <w:sz w:val="20"/>
                <w:szCs w:val="20"/>
              </w:rPr>
            </w:pPr>
            <w:r w:rsidRPr="009E3947">
              <w:rPr>
                <w:sz w:val="20"/>
                <w:szCs w:val="20"/>
              </w:rPr>
              <w:t> </w:t>
            </w:r>
          </w:p>
        </w:tc>
        <w:tc>
          <w:tcPr>
            <w:tcW w:w="1587" w:type="dxa"/>
            <w:tcBorders>
              <w:top w:val="nil"/>
              <w:left w:val="nil"/>
              <w:bottom w:val="single" w:sz="4" w:space="0" w:color="auto"/>
              <w:right w:val="nil"/>
            </w:tcBorders>
            <w:shd w:val="clear" w:color="auto" w:fill="auto"/>
            <w:noWrap/>
            <w:vAlign w:val="center"/>
            <w:hideMark/>
          </w:tcPr>
          <w:p w14:paraId="35A8A974" w14:textId="4F2B9715" w:rsidR="004E6E64" w:rsidRPr="009E3947" w:rsidRDefault="004E6E64" w:rsidP="00F270A8">
            <w:pPr>
              <w:ind w:left="0" w:firstLine="0"/>
              <w:jc w:val="right"/>
              <w:rPr>
                <w:rFonts w:eastAsia="Times New Roman" w:cs="Calibri"/>
                <w:sz w:val="20"/>
                <w:szCs w:val="20"/>
              </w:rPr>
            </w:pPr>
            <w:r w:rsidRPr="009E3947">
              <w:rPr>
                <w:sz w:val="20"/>
                <w:szCs w:val="20"/>
              </w:rPr>
              <w:t> </w:t>
            </w:r>
          </w:p>
        </w:tc>
        <w:tc>
          <w:tcPr>
            <w:tcW w:w="1587" w:type="dxa"/>
            <w:tcBorders>
              <w:top w:val="nil"/>
              <w:left w:val="nil"/>
              <w:bottom w:val="single" w:sz="4" w:space="0" w:color="auto"/>
              <w:right w:val="nil"/>
            </w:tcBorders>
            <w:shd w:val="clear" w:color="auto" w:fill="auto"/>
            <w:noWrap/>
            <w:vAlign w:val="center"/>
            <w:hideMark/>
          </w:tcPr>
          <w:p w14:paraId="23F6E50E" w14:textId="5E7FE29F" w:rsidR="004E6E64" w:rsidRPr="009E3947" w:rsidRDefault="004E6E64" w:rsidP="00F270A8">
            <w:pPr>
              <w:ind w:left="0" w:firstLine="0"/>
              <w:jc w:val="right"/>
              <w:rPr>
                <w:rFonts w:eastAsia="Times New Roman" w:cs="Calibri"/>
                <w:sz w:val="20"/>
                <w:szCs w:val="20"/>
              </w:rPr>
            </w:pPr>
            <w:r w:rsidRPr="009E3947">
              <w:rPr>
                <w:sz w:val="20"/>
                <w:szCs w:val="20"/>
              </w:rPr>
              <w:t> </w:t>
            </w:r>
          </w:p>
        </w:tc>
        <w:tc>
          <w:tcPr>
            <w:tcW w:w="1587" w:type="dxa"/>
            <w:tcBorders>
              <w:top w:val="single" w:sz="4" w:space="0" w:color="auto"/>
              <w:left w:val="nil"/>
              <w:bottom w:val="single" w:sz="4" w:space="0" w:color="auto"/>
              <w:right w:val="nil"/>
            </w:tcBorders>
            <w:shd w:val="clear" w:color="auto" w:fill="auto"/>
            <w:noWrap/>
            <w:vAlign w:val="center"/>
            <w:hideMark/>
          </w:tcPr>
          <w:p w14:paraId="51BE0E58" w14:textId="226E1AD1" w:rsidR="004E6E64" w:rsidRPr="009E3947" w:rsidRDefault="004E6E64" w:rsidP="00F270A8">
            <w:pPr>
              <w:ind w:left="0" w:firstLine="0"/>
              <w:jc w:val="right"/>
              <w:rPr>
                <w:rFonts w:eastAsia="Times New Roman" w:cs="Calibri"/>
                <w:sz w:val="20"/>
                <w:szCs w:val="20"/>
              </w:rPr>
            </w:pPr>
            <w:r w:rsidRPr="009E3947">
              <w:rPr>
                <w:sz w:val="20"/>
                <w:szCs w:val="20"/>
              </w:rPr>
              <w:t>2</w:t>
            </w:r>
          </w:p>
        </w:tc>
        <w:tc>
          <w:tcPr>
            <w:tcW w:w="1587" w:type="dxa"/>
            <w:tcBorders>
              <w:top w:val="single" w:sz="4" w:space="0" w:color="auto"/>
              <w:left w:val="single" w:sz="4" w:space="0" w:color="auto"/>
              <w:bottom w:val="single" w:sz="4" w:space="0" w:color="auto"/>
              <w:right w:val="single" w:sz="4" w:space="0" w:color="auto"/>
            </w:tcBorders>
          </w:tcPr>
          <w:p w14:paraId="6DF5EFC5" w14:textId="7B3F1342" w:rsidR="004E6E64" w:rsidRPr="009E3947"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68094C87" w:rsidR="004E6E64" w:rsidRPr="009E3947" w:rsidRDefault="004E6E64" w:rsidP="00F270A8">
            <w:pPr>
              <w:ind w:left="0" w:firstLine="0"/>
              <w:jc w:val="right"/>
              <w:rPr>
                <w:rFonts w:eastAsia="Times New Roman" w:cs="Calibri"/>
                <w:sz w:val="20"/>
                <w:szCs w:val="20"/>
                <w:lang w:eastAsia="en-GB"/>
              </w:rPr>
            </w:pPr>
          </w:p>
        </w:tc>
      </w:tr>
      <w:tr w:rsidR="004E6E64" w:rsidRPr="009E3947" w14:paraId="5A189CE3" w14:textId="4848A9B9" w:rsidTr="004E6E64">
        <w:tc>
          <w:tcPr>
            <w:tcW w:w="3687" w:type="dxa"/>
            <w:tcBorders>
              <w:top w:val="single" w:sz="4" w:space="0" w:color="auto"/>
              <w:left w:val="single" w:sz="4" w:space="0" w:color="auto"/>
              <w:bottom w:val="single" w:sz="4" w:space="0" w:color="auto"/>
              <w:right w:val="nil"/>
            </w:tcBorders>
            <w:shd w:val="clear" w:color="000000" w:fill="D6E3BC"/>
            <w:vAlign w:val="center"/>
            <w:hideMark/>
          </w:tcPr>
          <w:p w14:paraId="1431CAEC" w14:textId="5A531637" w:rsidR="004E6E64" w:rsidRPr="009E3947" w:rsidRDefault="004E6E64" w:rsidP="00F270A8">
            <w:pPr>
              <w:ind w:left="0" w:firstLine="0"/>
              <w:rPr>
                <w:rFonts w:eastAsia="Times New Roman" w:cs="Calibri"/>
                <w:b/>
                <w:bCs/>
                <w:sz w:val="20"/>
                <w:szCs w:val="20"/>
              </w:rPr>
            </w:pPr>
            <w:r w:rsidRPr="009E3947">
              <w:rPr>
                <w:b/>
                <w:bCs/>
                <w:sz w:val="20"/>
                <w:szCs w:val="20"/>
              </w:rPr>
              <w:t>SUPERÁVIT/(DÉFICIT)</w:t>
            </w:r>
          </w:p>
        </w:tc>
        <w:tc>
          <w:tcPr>
            <w:tcW w:w="1587"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408828ED" w:rsidR="004E6E64" w:rsidRPr="009E3947" w:rsidRDefault="004E6E64" w:rsidP="00F270A8">
            <w:pPr>
              <w:ind w:left="0" w:firstLine="0"/>
              <w:jc w:val="right"/>
              <w:rPr>
                <w:rFonts w:eastAsia="Times New Roman" w:cs="Calibri"/>
                <w:b/>
                <w:bCs/>
                <w:sz w:val="20"/>
                <w:szCs w:val="20"/>
              </w:rPr>
            </w:pPr>
            <w:r w:rsidRPr="009E3947">
              <w:rPr>
                <w:b/>
                <w:bCs/>
                <w:sz w:val="20"/>
                <w:szCs w:val="20"/>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71D4AA14" w14:textId="4296E9FC" w:rsidR="004E6E64" w:rsidRPr="009E3947" w:rsidRDefault="004E6E64" w:rsidP="00F270A8">
            <w:pPr>
              <w:ind w:left="0" w:firstLine="0"/>
              <w:jc w:val="right"/>
              <w:rPr>
                <w:rFonts w:eastAsia="Times New Roman" w:cs="Calibri"/>
                <w:b/>
                <w:bCs/>
                <w:sz w:val="20"/>
                <w:szCs w:val="20"/>
              </w:rPr>
            </w:pPr>
            <w:r w:rsidRPr="009E3947">
              <w:rPr>
                <w:b/>
                <w:bCs/>
                <w:sz w:val="20"/>
                <w:szCs w:val="20"/>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068DBB07" w14:textId="329B32E0" w:rsidR="004E6E64" w:rsidRPr="009E3947" w:rsidRDefault="004E6E64" w:rsidP="00F270A8">
            <w:pPr>
              <w:ind w:left="0" w:firstLine="0"/>
              <w:jc w:val="right"/>
              <w:rPr>
                <w:rFonts w:eastAsia="Times New Roman" w:cs="Calibri"/>
                <w:b/>
                <w:bCs/>
                <w:sz w:val="20"/>
                <w:szCs w:val="20"/>
              </w:rPr>
            </w:pPr>
            <w:r w:rsidRPr="009E3947">
              <w:rPr>
                <w:b/>
                <w:bCs/>
                <w:sz w:val="20"/>
                <w:szCs w:val="20"/>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1EA33B66" w14:textId="4FF7058F" w:rsidR="004E6E64" w:rsidRPr="009E3947" w:rsidRDefault="004E6E64" w:rsidP="00F270A8">
            <w:pPr>
              <w:ind w:left="0" w:firstLine="0"/>
              <w:jc w:val="right"/>
              <w:rPr>
                <w:rFonts w:eastAsia="Times New Roman" w:cs="Calibri"/>
                <w:b/>
                <w:bCs/>
                <w:sz w:val="20"/>
                <w:szCs w:val="20"/>
              </w:rPr>
            </w:pPr>
            <w:r w:rsidRPr="009E3947">
              <w:rPr>
                <w:b/>
                <w:bCs/>
                <w:sz w:val="20"/>
                <w:szCs w:val="20"/>
              </w:rPr>
              <w:t> </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75078FD3" w:rsidR="004E6E64" w:rsidRPr="009E3947" w:rsidRDefault="004E6E64" w:rsidP="00F270A8">
            <w:pPr>
              <w:ind w:left="0" w:firstLine="0"/>
              <w:jc w:val="right"/>
              <w:rPr>
                <w:rFonts w:eastAsia="Times New Roman" w:cs="Calibri"/>
                <w:b/>
                <w:sz w:val="20"/>
                <w:szCs w:val="20"/>
              </w:rPr>
            </w:pPr>
            <w:r w:rsidRPr="009E3947">
              <w:rPr>
                <w:b/>
                <w:sz w:val="20"/>
                <w:szCs w:val="20"/>
              </w:rPr>
              <w:t>(282)</w:t>
            </w:r>
          </w:p>
        </w:tc>
        <w:tc>
          <w:tcPr>
            <w:tcW w:w="1587" w:type="dxa"/>
            <w:tcBorders>
              <w:top w:val="single" w:sz="4" w:space="0" w:color="auto"/>
              <w:left w:val="nil"/>
              <w:bottom w:val="single" w:sz="4" w:space="0" w:color="auto"/>
              <w:right w:val="nil"/>
            </w:tcBorders>
            <w:shd w:val="clear" w:color="000000" w:fill="D6E3BC"/>
          </w:tcPr>
          <w:p w14:paraId="7CF58837" w14:textId="5C9280F8" w:rsidR="004E6E64" w:rsidRPr="009E3947" w:rsidRDefault="004E6E64" w:rsidP="00F270A8">
            <w:pPr>
              <w:ind w:left="0" w:firstLine="0"/>
              <w:jc w:val="right"/>
              <w:rPr>
                <w:rFonts w:eastAsia="Times New Roman" w:cs="Calibri"/>
                <w:b/>
                <w:bCs/>
                <w:sz w:val="20"/>
                <w:szCs w:val="20"/>
                <w:lang w:eastAsia="en-GB"/>
              </w:rPr>
            </w:pP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361DBF47" w:rsidR="004E6E64" w:rsidRPr="009E3947" w:rsidRDefault="004E6E64" w:rsidP="00F270A8">
            <w:pPr>
              <w:ind w:left="0" w:firstLine="0"/>
              <w:jc w:val="right"/>
              <w:rPr>
                <w:rFonts w:eastAsia="Times New Roman" w:cs="Calibri"/>
                <w:b/>
                <w:bCs/>
                <w:sz w:val="20"/>
                <w:szCs w:val="20"/>
              </w:rPr>
            </w:pPr>
            <w:r w:rsidRPr="009E3947">
              <w:rPr>
                <w:b/>
                <w:bCs/>
                <w:sz w:val="20"/>
                <w:szCs w:val="20"/>
              </w:rPr>
              <w:t>1</w:t>
            </w:r>
            <w:r w:rsidR="00A10967">
              <w:rPr>
                <w:b/>
                <w:bCs/>
                <w:sz w:val="20"/>
                <w:szCs w:val="20"/>
              </w:rPr>
              <w:t> </w:t>
            </w:r>
            <w:r w:rsidRPr="009E3947">
              <w:rPr>
                <w:b/>
                <w:bCs/>
                <w:sz w:val="20"/>
                <w:szCs w:val="20"/>
              </w:rPr>
              <w:t>065</w:t>
            </w:r>
          </w:p>
        </w:tc>
      </w:tr>
    </w:tbl>
    <w:p w14:paraId="07B506A0" w14:textId="77777777" w:rsidR="00C26079" w:rsidRPr="009E3947" w:rsidRDefault="00C26079" w:rsidP="007A4B88">
      <w:pPr>
        <w:ind w:left="426" w:hanging="426"/>
        <w:rPr>
          <w:rFonts w:eastAsia="Times New Roman" w:cs="Calibri"/>
          <w:color w:val="000000"/>
          <w:sz w:val="20"/>
          <w:szCs w:val="20"/>
          <w:lang w:eastAsia="en-GB"/>
        </w:rPr>
        <w:sectPr w:rsidR="00C26079" w:rsidRPr="009E3947" w:rsidSect="00103CB4">
          <w:footerReference w:type="default" r:id="rId12"/>
          <w:pgSz w:w="16838" w:h="11906" w:orient="landscape" w:code="9"/>
          <w:pgMar w:top="1440" w:right="1440" w:bottom="1440" w:left="1440" w:header="709" w:footer="709" w:gutter="0"/>
          <w:cols w:space="708"/>
          <w:docGrid w:linePitch="360"/>
        </w:sectPr>
      </w:pPr>
    </w:p>
    <w:p w14:paraId="46CBCA24" w14:textId="425C301A" w:rsidR="00BA0F3C" w:rsidRPr="009E3947" w:rsidRDefault="001458BE" w:rsidP="007114B2">
      <w:pPr>
        <w:ind w:left="0" w:firstLine="0"/>
        <w:rPr>
          <w:rFonts w:asciiTheme="minorHAnsi" w:eastAsia="Times New Roman" w:hAnsiTheme="minorHAnsi" w:cs="Arial"/>
          <w:b/>
          <w:bCs/>
          <w:sz w:val="24"/>
          <w:szCs w:val="24"/>
        </w:rPr>
      </w:pPr>
      <w:r w:rsidRPr="009E3947">
        <w:rPr>
          <w:rFonts w:asciiTheme="minorHAnsi" w:hAnsiTheme="minorHAnsi"/>
          <w:b/>
          <w:bCs/>
          <w:sz w:val="24"/>
          <w:szCs w:val="24"/>
        </w:rPr>
        <w:lastRenderedPageBreak/>
        <w:t>Anexo 3</w:t>
      </w:r>
    </w:p>
    <w:p w14:paraId="1316B2C1" w14:textId="323056DC" w:rsidR="00330040" w:rsidRPr="009E3947" w:rsidRDefault="001458BE" w:rsidP="007114B2">
      <w:pPr>
        <w:ind w:left="0" w:firstLine="0"/>
        <w:rPr>
          <w:rFonts w:asciiTheme="minorHAnsi" w:eastAsia="Times New Roman" w:hAnsiTheme="minorHAnsi" w:cs="Arial"/>
          <w:b/>
          <w:bCs/>
        </w:rPr>
      </w:pPr>
      <w:r w:rsidRPr="009E3947">
        <w:rPr>
          <w:rFonts w:asciiTheme="minorHAnsi" w:hAnsiTheme="minorHAnsi"/>
          <w:b/>
          <w:bCs/>
        </w:rPr>
        <w:t>Proyectos financiados con fondos complementarios para el periodo comprendido entre el 1 de enero de 2024 y el 31 de diciembre de 2024</w:t>
      </w:r>
    </w:p>
    <w:p w14:paraId="68D44A43" w14:textId="77777777" w:rsidR="00413AEE" w:rsidRPr="009E3947" w:rsidRDefault="001458BE" w:rsidP="007114B2">
      <w:pPr>
        <w:ind w:left="0" w:firstLine="0"/>
        <w:rPr>
          <w:rFonts w:asciiTheme="minorHAnsi" w:eastAsia="Times New Roman" w:hAnsiTheme="minorHAnsi" w:cs="Arial"/>
          <w:bCs/>
          <w:i/>
          <w:sz w:val="20"/>
          <w:szCs w:val="20"/>
        </w:rPr>
      </w:pPr>
      <w:r w:rsidRPr="009E3947">
        <w:rPr>
          <w:rFonts w:asciiTheme="minorHAnsi" w:hAnsiTheme="minorHAnsi"/>
          <w:bCs/>
          <w:i/>
          <w:sz w:val="20"/>
          <w:szCs w:val="20"/>
        </w:rPr>
        <w:t>(en miles de francos suizos, con posibles diferencias por redondeo)</w:t>
      </w:r>
    </w:p>
    <w:p w14:paraId="3331D65D" w14:textId="6015E162" w:rsidR="00666EE5" w:rsidRPr="009E3947" w:rsidRDefault="00666EE5" w:rsidP="00F57402">
      <w:pPr>
        <w:ind w:left="0" w:firstLine="0"/>
        <w:rPr>
          <w:rFonts w:asciiTheme="minorHAnsi" w:eastAsia="Times New Roman" w:hAnsiTheme="minorHAnsi" w:cs="Arial"/>
          <w:bCs/>
          <w:lang w:eastAsia="en-GB"/>
        </w:rPr>
      </w:pPr>
    </w:p>
    <w:tbl>
      <w:tblPr>
        <w:tblW w:w="10066" w:type="dxa"/>
        <w:tblInd w:w="-426" w:type="dxa"/>
        <w:tblLayout w:type="fixed"/>
        <w:tblCellMar>
          <w:left w:w="57" w:type="dxa"/>
          <w:right w:w="57" w:type="dxa"/>
        </w:tblCellMar>
        <w:tblLook w:val="0000" w:firstRow="0" w:lastRow="0" w:firstColumn="0" w:lastColumn="0" w:noHBand="0" w:noVBand="0"/>
      </w:tblPr>
      <w:tblGrid>
        <w:gridCol w:w="992"/>
        <w:gridCol w:w="285"/>
        <w:gridCol w:w="2689"/>
        <w:gridCol w:w="1219"/>
        <w:gridCol w:w="1219"/>
        <w:gridCol w:w="1219"/>
        <w:gridCol w:w="1219"/>
        <w:gridCol w:w="1218"/>
        <w:gridCol w:w="6"/>
      </w:tblGrid>
      <w:tr w:rsidR="0012707B" w:rsidRPr="009E3947" w14:paraId="4786A962" w14:textId="645720DC" w:rsidTr="00420223">
        <w:trPr>
          <w:gridAfter w:val="1"/>
          <w:wAfter w:w="6" w:type="dxa"/>
        </w:trPr>
        <w:tc>
          <w:tcPr>
            <w:tcW w:w="992" w:type="dxa"/>
            <w:tcBorders>
              <w:top w:val="single" w:sz="12" w:space="0" w:color="auto"/>
              <w:left w:val="nil"/>
              <w:bottom w:val="nil"/>
              <w:right w:val="nil"/>
            </w:tcBorders>
            <w:shd w:val="clear" w:color="auto" w:fill="D6E3BC" w:themeFill="accent3" w:themeFillTint="66"/>
            <w:vAlign w:val="center"/>
          </w:tcPr>
          <w:p w14:paraId="19F98873" w14:textId="34303D5A" w:rsidR="0012707B" w:rsidRPr="009E3947" w:rsidRDefault="0012707B" w:rsidP="00132E65">
            <w:pPr>
              <w:ind w:left="0" w:firstLine="0"/>
              <w:jc w:val="center"/>
              <w:rPr>
                <w:rFonts w:eastAsiaTheme="minorHAnsi" w:cs="Calibri"/>
                <w:b/>
                <w:bCs/>
                <w:color w:val="000000"/>
                <w:sz w:val="20"/>
                <w:szCs w:val="20"/>
              </w:rPr>
            </w:pPr>
            <w:r w:rsidRPr="009E3947">
              <w:rPr>
                <w:b/>
                <w:bCs/>
                <w:color w:val="000000"/>
                <w:sz w:val="20"/>
                <w:szCs w:val="20"/>
              </w:rPr>
              <w:t>Número de proyecto</w:t>
            </w:r>
          </w:p>
        </w:tc>
        <w:tc>
          <w:tcPr>
            <w:tcW w:w="2974" w:type="dxa"/>
            <w:gridSpan w:val="2"/>
            <w:tcBorders>
              <w:top w:val="single" w:sz="12" w:space="0" w:color="auto"/>
              <w:left w:val="nil"/>
              <w:bottom w:val="nil"/>
              <w:right w:val="nil"/>
            </w:tcBorders>
            <w:shd w:val="clear" w:color="auto" w:fill="D6E3BC" w:themeFill="accent3" w:themeFillTint="66"/>
            <w:vAlign w:val="center"/>
          </w:tcPr>
          <w:p w14:paraId="14F47561" w14:textId="39AE7DBD" w:rsidR="0012707B" w:rsidRPr="009E3947" w:rsidRDefault="0012707B" w:rsidP="00132E65">
            <w:pPr>
              <w:ind w:left="0" w:firstLine="0"/>
              <w:jc w:val="center"/>
              <w:rPr>
                <w:rFonts w:eastAsiaTheme="minorHAnsi" w:cs="Calibri"/>
                <w:b/>
                <w:bCs/>
                <w:color w:val="000000"/>
                <w:sz w:val="20"/>
                <w:szCs w:val="20"/>
              </w:rPr>
            </w:pPr>
            <w:r w:rsidRPr="009E3947">
              <w:rPr>
                <w:b/>
                <w:bCs/>
                <w:color w:val="000000"/>
                <w:sz w:val="20"/>
                <w:szCs w:val="20"/>
              </w:rPr>
              <w:t>Nombre del proyecto</w:t>
            </w:r>
          </w:p>
        </w:tc>
        <w:tc>
          <w:tcPr>
            <w:tcW w:w="1219" w:type="dxa"/>
            <w:tcBorders>
              <w:top w:val="single" w:sz="12" w:space="0" w:color="auto"/>
              <w:left w:val="nil"/>
              <w:bottom w:val="nil"/>
              <w:right w:val="nil"/>
            </w:tcBorders>
            <w:shd w:val="clear" w:color="auto" w:fill="D6E3BC" w:themeFill="accent3" w:themeFillTint="66"/>
            <w:vAlign w:val="center"/>
          </w:tcPr>
          <w:p w14:paraId="75441390" w14:textId="3C52DAF4" w:rsidR="0012707B" w:rsidRPr="009E3947" w:rsidRDefault="0012707B" w:rsidP="00132E65">
            <w:pPr>
              <w:ind w:left="0" w:firstLine="0"/>
              <w:jc w:val="center"/>
              <w:rPr>
                <w:rFonts w:eastAsiaTheme="minorHAnsi" w:cs="Calibri"/>
                <w:b/>
                <w:bCs/>
                <w:color w:val="000000"/>
                <w:sz w:val="20"/>
                <w:szCs w:val="20"/>
              </w:rPr>
            </w:pPr>
            <w:r w:rsidRPr="009E3947">
              <w:rPr>
                <w:b/>
                <w:bCs/>
                <w:color w:val="000000"/>
                <w:sz w:val="20"/>
                <w:szCs w:val="20"/>
              </w:rPr>
              <w:t>Saldo (déficit) al 31 de diciembre de 2023</w:t>
            </w:r>
          </w:p>
        </w:tc>
        <w:tc>
          <w:tcPr>
            <w:tcW w:w="1219" w:type="dxa"/>
            <w:tcBorders>
              <w:top w:val="single" w:sz="12" w:space="0" w:color="auto"/>
              <w:left w:val="nil"/>
              <w:bottom w:val="nil"/>
              <w:right w:val="nil"/>
            </w:tcBorders>
            <w:shd w:val="clear" w:color="auto" w:fill="D6E3BC" w:themeFill="accent3" w:themeFillTint="66"/>
            <w:vAlign w:val="center"/>
          </w:tcPr>
          <w:p w14:paraId="0147B64D" w14:textId="038113A9" w:rsidR="0012707B" w:rsidRPr="009E3947" w:rsidRDefault="0012707B" w:rsidP="00132E65">
            <w:pPr>
              <w:ind w:left="0" w:firstLine="0"/>
              <w:jc w:val="center"/>
              <w:rPr>
                <w:rFonts w:eastAsiaTheme="minorHAnsi" w:cs="Calibri"/>
                <w:b/>
                <w:bCs/>
                <w:color w:val="000000"/>
                <w:sz w:val="20"/>
                <w:szCs w:val="20"/>
              </w:rPr>
            </w:pPr>
            <w:r w:rsidRPr="009E3947">
              <w:rPr>
                <w:b/>
                <w:bCs/>
                <w:color w:val="000000"/>
                <w:sz w:val="20"/>
                <w:szCs w:val="20"/>
              </w:rPr>
              <w:t>Ingresos durante 2024</w:t>
            </w:r>
          </w:p>
        </w:tc>
        <w:tc>
          <w:tcPr>
            <w:tcW w:w="1219" w:type="dxa"/>
            <w:tcBorders>
              <w:top w:val="single" w:sz="12" w:space="0" w:color="auto"/>
              <w:left w:val="nil"/>
              <w:bottom w:val="nil"/>
              <w:right w:val="nil"/>
            </w:tcBorders>
            <w:shd w:val="clear" w:color="auto" w:fill="D6E3BC" w:themeFill="accent3" w:themeFillTint="66"/>
            <w:vAlign w:val="center"/>
          </w:tcPr>
          <w:p w14:paraId="2B5A16DB" w14:textId="09DBF6CA" w:rsidR="0012707B" w:rsidRPr="009E3947" w:rsidRDefault="0012707B" w:rsidP="00132E65">
            <w:pPr>
              <w:ind w:left="0" w:firstLine="0"/>
              <w:jc w:val="center"/>
              <w:rPr>
                <w:rFonts w:eastAsiaTheme="minorHAnsi" w:cs="Calibri"/>
                <w:b/>
                <w:bCs/>
                <w:color w:val="000000"/>
                <w:sz w:val="20"/>
                <w:szCs w:val="20"/>
              </w:rPr>
            </w:pPr>
            <w:r w:rsidRPr="009E3947">
              <w:rPr>
                <w:b/>
                <w:bCs/>
                <w:color w:val="000000"/>
                <w:sz w:val="20"/>
                <w:szCs w:val="20"/>
              </w:rPr>
              <w:t>Gastos durante 2024</w:t>
            </w:r>
          </w:p>
        </w:tc>
        <w:tc>
          <w:tcPr>
            <w:tcW w:w="1219" w:type="dxa"/>
            <w:tcBorders>
              <w:top w:val="single" w:sz="12" w:space="0" w:color="auto"/>
              <w:left w:val="nil"/>
              <w:bottom w:val="nil"/>
              <w:right w:val="nil"/>
            </w:tcBorders>
            <w:shd w:val="clear" w:color="auto" w:fill="D6E3BC" w:themeFill="accent3" w:themeFillTint="66"/>
            <w:vAlign w:val="center"/>
          </w:tcPr>
          <w:p w14:paraId="3A2BA068" w14:textId="6B4A8302" w:rsidR="0012707B" w:rsidRPr="005B03B9" w:rsidRDefault="0012707B" w:rsidP="00132E65">
            <w:pPr>
              <w:ind w:left="0" w:firstLine="0"/>
              <w:jc w:val="center"/>
              <w:rPr>
                <w:rFonts w:eastAsiaTheme="minorHAnsi" w:cs="Calibri"/>
                <w:b/>
                <w:bCs/>
                <w:color w:val="000000"/>
                <w:sz w:val="18"/>
                <w:szCs w:val="18"/>
              </w:rPr>
            </w:pPr>
            <w:r w:rsidRPr="005B03B9">
              <w:rPr>
                <w:b/>
                <w:bCs/>
                <w:color w:val="000000"/>
                <w:sz w:val="18"/>
                <w:szCs w:val="18"/>
              </w:rPr>
              <w:t>Transferencias de proyectos y cargos cruzados</w:t>
            </w:r>
          </w:p>
        </w:tc>
        <w:tc>
          <w:tcPr>
            <w:tcW w:w="1218" w:type="dxa"/>
            <w:tcBorders>
              <w:top w:val="single" w:sz="12" w:space="0" w:color="auto"/>
              <w:left w:val="nil"/>
              <w:bottom w:val="nil"/>
              <w:right w:val="nil"/>
            </w:tcBorders>
            <w:shd w:val="clear" w:color="auto" w:fill="D6E3BC" w:themeFill="accent3" w:themeFillTint="66"/>
            <w:vAlign w:val="center"/>
          </w:tcPr>
          <w:p w14:paraId="372953F5" w14:textId="74C20A51" w:rsidR="0012707B" w:rsidRPr="009E3947" w:rsidRDefault="0012707B" w:rsidP="00132E65">
            <w:pPr>
              <w:ind w:left="0" w:firstLine="0"/>
              <w:jc w:val="center"/>
              <w:rPr>
                <w:rFonts w:eastAsiaTheme="minorHAnsi" w:cs="Calibri"/>
                <w:b/>
                <w:bCs/>
                <w:color w:val="000000"/>
                <w:sz w:val="20"/>
                <w:szCs w:val="20"/>
              </w:rPr>
            </w:pPr>
            <w:r w:rsidRPr="009E3947">
              <w:rPr>
                <w:b/>
                <w:bCs/>
                <w:color w:val="000000"/>
                <w:sz w:val="20"/>
                <w:szCs w:val="20"/>
              </w:rPr>
              <w:t>Saldo (déficit) al 31 de diciembre de 2024</w:t>
            </w:r>
          </w:p>
        </w:tc>
      </w:tr>
      <w:tr w:rsidR="00740865" w:rsidRPr="009E3947" w14:paraId="254FBD86" w14:textId="0FE62079" w:rsidTr="00420223">
        <w:trPr>
          <w:gridAfter w:val="1"/>
          <w:wAfter w:w="6" w:type="dxa"/>
        </w:trPr>
        <w:tc>
          <w:tcPr>
            <w:tcW w:w="992" w:type="dxa"/>
            <w:tcBorders>
              <w:top w:val="nil"/>
              <w:left w:val="nil"/>
              <w:bottom w:val="single" w:sz="12" w:space="0" w:color="auto"/>
              <w:right w:val="nil"/>
            </w:tcBorders>
            <w:shd w:val="clear" w:color="auto" w:fill="D6E3BC" w:themeFill="accent3" w:themeFillTint="66"/>
          </w:tcPr>
          <w:p w14:paraId="141CEF91" w14:textId="7D9489F6" w:rsidR="00740865" w:rsidRPr="009E3947" w:rsidRDefault="00740865" w:rsidP="00426820">
            <w:pPr>
              <w:jc w:val="center"/>
              <w:rPr>
                <w:rFonts w:eastAsiaTheme="minorHAnsi" w:cs="Calibri"/>
                <w:color w:val="000000"/>
              </w:rPr>
            </w:pPr>
          </w:p>
        </w:tc>
        <w:tc>
          <w:tcPr>
            <w:tcW w:w="2974" w:type="dxa"/>
            <w:gridSpan w:val="2"/>
            <w:tcBorders>
              <w:top w:val="nil"/>
              <w:left w:val="nil"/>
              <w:bottom w:val="single" w:sz="12" w:space="0" w:color="auto"/>
              <w:right w:val="nil"/>
            </w:tcBorders>
            <w:shd w:val="clear" w:color="auto" w:fill="D6E3BC" w:themeFill="accent3" w:themeFillTint="66"/>
          </w:tcPr>
          <w:p w14:paraId="351F54C9" w14:textId="467D8DBD" w:rsidR="00740865" w:rsidRPr="009E3947" w:rsidRDefault="00740865" w:rsidP="00426820">
            <w:pPr>
              <w:jc w:val="center"/>
              <w:rPr>
                <w:rFonts w:eastAsiaTheme="minorHAnsi" w:cs="Calibri"/>
                <w:color w:val="000000"/>
              </w:rPr>
            </w:pPr>
          </w:p>
        </w:tc>
        <w:tc>
          <w:tcPr>
            <w:tcW w:w="1219" w:type="dxa"/>
            <w:tcBorders>
              <w:top w:val="nil"/>
              <w:left w:val="nil"/>
              <w:bottom w:val="single" w:sz="12" w:space="0" w:color="auto"/>
              <w:right w:val="nil"/>
            </w:tcBorders>
            <w:shd w:val="clear" w:color="auto" w:fill="D6E3BC" w:themeFill="accent3" w:themeFillTint="66"/>
          </w:tcPr>
          <w:p w14:paraId="0E0464F6" w14:textId="59B370BD" w:rsidR="00740865" w:rsidRPr="009E3947" w:rsidRDefault="00740865" w:rsidP="00426820">
            <w:pPr>
              <w:jc w:val="center"/>
              <w:rPr>
                <w:rFonts w:eastAsiaTheme="minorHAnsi" w:cs="Calibri"/>
                <w:color w:val="000000"/>
                <w:sz w:val="20"/>
                <w:szCs w:val="20"/>
              </w:rPr>
            </w:pPr>
            <w:r w:rsidRPr="009E3947">
              <w:rPr>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59A1DED9" w14:textId="53F8DDC6" w:rsidR="00740865" w:rsidRPr="009E3947" w:rsidRDefault="00740865" w:rsidP="00426820">
            <w:pPr>
              <w:jc w:val="center"/>
              <w:rPr>
                <w:rFonts w:eastAsiaTheme="minorHAnsi" w:cs="Calibri"/>
                <w:color w:val="000000"/>
                <w:sz w:val="20"/>
                <w:szCs w:val="20"/>
              </w:rPr>
            </w:pPr>
            <w:r w:rsidRPr="009E3947">
              <w:rPr>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1EF0E7D" w14:textId="0D60C9FA" w:rsidR="00740865" w:rsidRPr="009E3947" w:rsidRDefault="00740865" w:rsidP="00426820">
            <w:pPr>
              <w:jc w:val="center"/>
              <w:rPr>
                <w:rFonts w:eastAsiaTheme="minorHAnsi" w:cs="Calibri"/>
                <w:color w:val="000000"/>
                <w:sz w:val="20"/>
                <w:szCs w:val="20"/>
              </w:rPr>
            </w:pPr>
            <w:r w:rsidRPr="009E3947">
              <w:rPr>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B0B9B37" w14:textId="55313584" w:rsidR="00740865" w:rsidRPr="009E3947" w:rsidRDefault="00740865" w:rsidP="00426820">
            <w:pPr>
              <w:jc w:val="center"/>
              <w:rPr>
                <w:rFonts w:eastAsiaTheme="minorHAnsi" w:cs="Calibri"/>
                <w:color w:val="000000"/>
                <w:sz w:val="20"/>
                <w:szCs w:val="20"/>
              </w:rPr>
            </w:pPr>
            <w:r w:rsidRPr="009E3947">
              <w:rPr>
                <w:color w:val="000000"/>
                <w:sz w:val="20"/>
                <w:szCs w:val="20"/>
              </w:rPr>
              <w:t>(DR)/CR</w:t>
            </w:r>
          </w:p>
        </w:tc>
        <w:tc>
          <w:tcPr>
            <w:tcW w:w="1218" w:type="dxa"/>
            <w:tcBorders>
              <w:top w:val="nil"/>
              <w:left w:val="nil"/>
              <w:bottom w:val="single" w:sz="12" w:space="0" w:color="auto"/>
              <w:right w:val="nil"/>
            </w:tcBorders>
            <w:shd w:val="clear" w:color="auto" w:fill="D6E3BC" w:themeFill="accent3" w:themeFillTint="66"/>
          </w:tcPr>
          <w:p w14:paraId="474E6399" w14:textId="5BDEDD8C" w:rsidR="00740865" w:rsidRPr="009E3947" w:rsidRDefault="00740865" w:rsidP="00426820">
            <w:pPr>
              <w:jc w:val="center"/>
              <w:rPr>
                <w:rFonts w:eastAsiaTheme="minorHAnsi" w:cs="Calibri"/>
                <w:color w:val="000000"/>
                <w:sz w:val="20"/>
                <w:szCs w:val="20"/>
              </w:rPr>
            </w:pPr>
            <w:r w:rsidRPr="009E3947">
              <w:rPr>
                <w:color w:val="000000"/>
                <w:sz w:val="20"/>
                <w:szCs w:val="20"/>
              </w:rPr>
              <w:t>(DR)/CR</w:t>
            </w:r>
          </w:p>
        </w:tc>
      </w:tr>
      <w:tr w:rsidR="00740865" w:rsidRPr="009E3947" w14:paraId="23043984" w14:textId="1D1434D4" w:rsidTr="00420223">
        <w:tc>
          <w:tcPr>
            <w:tcW w:w="3966" w:type="dxa"/>
            <w:gridSpan w:val="3"/>
            <w:tcBorders>
              <w:top w:val="nil"/>
              <w:left w:val="nil"/>
              <w:bottom w:val="nil"/>
              <w:right w:val="nil"/>
            </w:tcBorders>
          </w:tcPr>
          <w:p w14:paraId="486C1FA2" w14:textId="2D1EFADF" w:rsidR="00740865" w:rsidRPr="009E3947" w:rsidRDefault="00740865" w:rsidP="005953C3">
            <w:pPr>
              <w:spacing w:before="120"/>
              <w:rPr>
                <w:rFonts w:eastAsiaTheme="minorHAnsi" w:cs="Calibri"/>
                <w:b/>
                <w:bCs/>
                <w:color w:val="000000"/>
                <w:sz w:val="20"/>
                <w:szCs w:val="20"/>
                <w:u w:val="single"/>
              </w:rPr>
            </w:pPr>
            <w:r w:rsidRPr="009E3947">
              <w:rPr>
                <w:b/>
                <w:bCs/>
                <w:color w:val="000000"/>
                <w:sz w:val="20"/>
                <w:szCs w:val="20"/>
                <w:u w:val="single"/>
              </w:rPr>
              <w:t>Cooperación Internacional</w:t>
            </w:r>
          </w:p>
        </w:tc>
        <w:tc>
          <w:tcPr>
            <w:tcW w:w="1219" w:type="dxa"/>
            <w:tcBorders>
              <w:top w:val="nil"/>
              <w:left w:val="nil"/>
              <w:bottom w:val="nil"/>
              <w:right w:val="nil"/>
            </w:tcBorders>
          </w:tcPr>
          <w:p w14:paraId="77065F7E" w14:textId="188B16DA" w:rsidR="00740865" w:rsidRPr="009E3947" w:rsidRDefault="00740865" w:rsidP="00BC15DE">
            <w:pPr>
              <w:rPr>
                <w:rFonts w:eastAsiaTheme="minorHAnsi" w:cs="Calibri"/>
                <w:color w:val="000000"/>
              </w:rPr>
            </w:pPr>
          </w:p>
        </w:tc>
        <w:tc>
          <w:tcPr>
            <w:tcW w:w="1219" w:type="dxa"/>
            <w:tcBorders>
              <w:top w:val="nil"/>
              <w:left w:val="nil"/>
              <w:bottom w:val="nil"/>
              <w:right w:val="nil"/>
            </w:tcBorders>
          </w:tcPr>
          <w:p w14:paraId="4A8A5637" w14:textId="2AF87ADE" w:rsidR="00740865" w:rsidRPr="009E3947" w:rsidRDefault="00740865" w:rsidP="00BC15DE">
            <w:pPr>
              <w:rPr>
                <w:rFonts w:eastAsiaTheme="minorHAnsi" w:cs="Calibri"/>
                <w:color w:val="000000"/>
              </w:rPr>
            </w:pPr>
          </w:p>
        </w:tc>
        <w:tc>
          <w:tcPr>
            <w:tcW w:w="1219" w:type="dxa"/>
            <w:tcBorders>
              <w:top w:val="nil"/>
              <w:left w:val="nil"/>
              <w:bottom w:val="nil"/>
              <w:right w:val="nil"/>
            </w:tcBorders>
          </w:tcPr>
          <w:p w14:paraId="381A561F" w14:textId="198E700A" w:rsidR="00740865" w:rsidRPr="009E3947" w:rsidRDefault="00740865" w:rsidP="00BC15DE">
            <w:pPr>
              <w:rPr>
                <w:rFonts w:eastAsiaTheme="minorHAnsi" w:cs="Calibri"/>
                <w:color w:val="000000"/>
              </w:rPr>
            </w:pPr>
          </w:p>
        </w:tc>
        <w:tc>
          <w:tcPr>
            <w:tcW w:w="1219" w:type="dxa"/>
            <w:tcBorders>
              <w:top w:val="nil"/>
              <w:left w:val="nil"/>
              <w:bottom w:val="nil"/>
              <w:right w:val="nil"/>
            </w:tcBorders>
          </w:tcPr>
          <w:p w14:paraId="6566AA71" w14:textId="086CFDDD" w:rsidR="00740865" w:rsidRPr="009E3947" w:rsidRDefault="00740865" w:rsidP="00BC15DE">
            <w:pPr>
              <w:rPr>
                <w:rFonts w:eastAsiaTheme="minorHAnsi" w:cs="Calibri"/>
                <w:color w:val="000000"/>
              </w:rPr>
            </w:pPr>
          </w:p>
        </w:tc>
        <w:tc>
          <w:tcPr>
            <w:tcW w:w="1224" w:type="dxa"/>
            <w:gridSpan w:val="2"/>
            <w:tcBorders>
              <w:top w:val="nil"/>
              <w:left w:val="nil"/>
              <w:bottom w:val="nil"/>
              <w:right w:val="nil"/>
            </w:tcBorders>
          </w:tcPr>
          <w:p w14:paraId="2EA5A052" w14:textId="5853ACAC" w:rsidR="00740865" w:rsidRPr="009E3947" w:rsidRDefault="00740865" w:rsidP="00BC15DE">
            <w:pPr>
              <w:rPr>
                <w:rFonts w:eastAsiaTheme="minorHAnsi" w:cs="Calibri"/>
                <w:color w:val="000000"/>
              </w:rPr>
            </w:pPr>
          </w:p>
        </w:tc>
      </w:tr>
      <w:tr w:rsidR="00740865" w:rsidRPr="009E3947" w14:paraId="4D353306" w14:textId="14BCDEC2" w:rsidTr="00420223">
        <w:trPr>
          <w:gridAfter w:val="1"/>
          <w:wAfter w:w="6" w:type="dxa"/>
        </w:trPr>
        <w:tc>
          <w:tcPr>
            <w:tcW w:w="992" w:type="dxa"/>
            <w:tcBorders>
              <w:top w:val="nil"/>
              <w:left w:val="nil"/>
              <w:bottom w:val="nil"/>
              <w:right w:val="nil"/>
            </w:tcBorders>
          </w:tcPr>
          <w:p w14:paraId="741F3A9E" w14:textId="0F2A613E" w:rsidR="00740865" w:rsidRPr="009E3947" w:rsidRDefault="00740865" w:rsidP="00BC15DE">
            <w:pPr>
              <w:rPr>
                <w:rFonts w:eastAsiaTheme="minorHAnsi" w:cs="Calibri"/>
                <w:color w:val="000000"/>
                <w:sz w:val="20"/>
                <w:szCs w:val="20"/>
              </w:rPr>
            </w:pPr>
          </w:p>
        </w:tc>
        <w:tc>
          <w:tcPr>
            <w:tcW w:w="2974" w:type="dxa"/>
            <w:gridSpan w:val="2"/>
            <w:tcBorders>
              <w:top w:val="nil"/>
              <w:left w:val="nil"/>
              <w:bottom w:val="nil"/>
              <w:right w:val="nil"/>
            </w:tcBorders>
          </w:tcPr>
          <w:p w14:paraId="6D18AC0B" w14:textId="67E150E0" w:rsidR="00740865" w:rsidRPr="009E3947" w:rsidRDefault="00740865" w:rsidP="00BC15DE">
            <w:pPr>
              <w:rPr>
                <w:rFonts w:eastAsiaTheme="minorHAnsi" w:cs="Calibri"/>
                <w:color w:val="000000"/>
                <w:sz w:val="20"/>
                <w:szCs w:val="20"/>
              </w:rPr>
            </w:pPr>
          </w:p>
        </w:tc>
        <w:tc>
          <w:tcPr>
            <w:tcW w:w="1219" w:type="dxa"/>
            <w:tcBorders>
              <w:top w:val="nil"/>
              <w:left w:val="nil"/>
              <w:bottom w:val="nil"/>
              <w:right w:val="nil"/>
            </w:tcBorders>
          </w:tcPr>
          <w:p w14:paraId="668D0A85" w14:textId="49E89AE9" w:rsidR="00740865" w:rsidRPr="009E3947"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4BD97924" w14:textId="7B8BA7F2" w:rsidR="00740865" w:rsidRPr="009E3947"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71093856" w14:textId="7D682171" w:rsidR="00740865" w:rsidRPr="009E3947"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09C3286B" w14:textId="1ED7E4B0" w:rsidR="00740865" w:rsidRPr="009E3947" w:rsidRDefault="00740865" w:rsidP="00132E65">
            <w:pPr>
              <w:ind w:left="0" w:right="170" w:firstLine="0"/>
              <w:jc w:val="right"/>
              <w:rPr>
                <w:rFonts w:eastAsiaTheme="minorHAnsi" w:cs="Calibri"/>
                <w:color w:val="000000"/>
                <w:sz w:val="20"/>
                <w:szCs w:val="20"/>
              </w:rPr>
            </w:pPr>
          </w:p>
        </w:tc>
        <w:tc>
          <w:tcPr>
            <w:tcW w:w="1218" w:type="dxa"/>
            <w:tcBorders>
              <w:top w:val="nil"/>
              <w:left w:val="nil"/>
              <w:bottom w:val="nil"/>
              <w:right w:val="nil"/>
            </w:tcBorders>
          </w:tcPr>
          <w:p w14:paraId="1EF23703" w14:textId="5B6CF87F" w:rsidR="00740865" w:rsidRPr="009E3947" w:rsidRDefault="00740865" w:rsidP="00132E65">
            <w:pPr>
              <w:ind w:left="0" w:right="170" w:firstLine="0"/>
              <w:jc w:val="right"/>
              <w:rPr>
                <w:rFonts w:eastAsiaTheme="minorHAnsi" w:cs="Calibri"/>
                <w:color w:val="000000"/>
                <w:sz w:val="20"/>
                <w:szCs w:val="20"/>
              </w:rPr>
            </w:pPr>
          </w:p>
        </w:tc>
      </w:tr>
      <w:tr w:rsidR="00740865" w:rsidRPr="009E3947" w14:paraId="3E5E36E1" w14:textId="76FE401C" w:rsidTr="00420223">
        <w:trPr>
          <w:gridAfter w:val="1"/>
          <w:wAfter w:w="6" w:type="dxa"/>
        </w:trPr>
        <w:tc>
          <w:tcPr>
            <w:tcW w:w="992" w:type="dxa"/>
            <w:tcBorders>
              <w:top w:val="nil"/>
              <w:left w:val="nil"/>
              <w:bottom w:val="nil"/>
              <w:right w:val="nil"/>
            </w:tcBorders>
          </w:tcPr>
          <w:p w14:paraId="0CF34B38" w14:textId="2CBA6B48" w:rsidR="00740865" w:rsidRPr="009E3947" w:rsidRDefault="00740865" w:rsidP="00BC15DE">
            <w:pPr>
              <w:rPr>
                <w:rFonts w:eastAsiaTheme="minorHAnsi" w:cs="Calibri"/>
                <w:color w:val="000000"/>
                <w:sz w:val="20"/>
                <w:szCs w:val="20"/>
              </w:rPr>
            </w:pPr>
            <w:r w:rsidRPr="009E3947">
              <w:rPr>
                <w:color w:val="000000"/>
                <w:sz w:val="20"/>
                <w:szCs w:val="20"/>
              </w:rPr>
              <w:t>R100265</w:t>
            </w:r>
          </w:p>
        </w:tc>
        <w:tc>
          <w:tcPr>
            <w:tcW w:w="2974" w:type="dxa"/>
            <w:gridSpan w:val="2"/>
            <w:tcBorders>
              <w:top w:val="nil"/>
              <w:left w:val="nil"/>
              <w:bottom w:val="nil"/>
              <w:right w:val="nil"/>
            </w:tcBorders>
          </w:tcPr>
          <w:p w14:paraId="6C99553E" w14:textId="06B2627B" w:rsidR="00740865" w:rsidRPr="009E3947" w:rsidRDefault="00740865" w:rsidP="00BC15DE">
            <w:pPr>
              <w:rPr>
                <w:rFonts w:eastAsiaTheme="minorHAnsi" w:cs="Calibri"/>
                <w:color w:val="000000"/>
                <w:sz w:val="20"/>
                <w:szCs w:val="20"/>
              </w:rPr>
            </w:pPr>
            <w:r w:rsidRPr="009E3947">
              <w:rPr>
                <w:color w:val="000000"/>
                <w:sz w:val="20"/>
                <w:szCs w:val="20"/>
              </w:rPr>
              <w:t>SGA-Pre-2016</w:t>
            </w:r>
          </w:p>
        </w:tc>
        <w:tc>
          <w:tcPr>
            <w:tcW w:w="1219" w:type="dxa"/>
            <w:tcBorders>
              <w:top w:val="nil"/>
              <w:left w:val="nil"/>
              <w:bottom w:val="nil"/>
              <w:right w:val="nil"/>
            </w:tcBorders>
          </w:tcPr>
          <w:p w14:paraId="51682AAD" w14:textId="586DFEFA" w:rsidR="00740865" w:rsidRPr="009E3947" w:rsidRDefault="00967181" w:rsidP="00132E65">
            <w:pPr>
              <w:ind w:left="0" w:right="170" w:firstLine="0"/>
              <w:jc w:val="right"/>
              <w:rPr>
                <w:rFonts w:eastAsiaTheme="minorHAnsi" w:cs="Calibri"/>
                <w:color w:val="000000"/>
                <w:sz w:val="20"/>
                <w:szCs w:val="20"/>
              </w:rPr>
            </w:pPr>
            <w:r w:rsidRPr="009E3947">
              <w:rPr>
                <w:color w:val="000000"/>
                <w:sz w:val="20"/>
                <w:szCs w:val="20"/>
              </w:rPr>
              <w:t>148</w:t>
            </w:r>
          </w:p>
        </w:tc>
        <w:tc>
          <w:tcPr>
            <w:tcW w:w="1219" w:type="dxa"/>
            <w:tcBorders>
              <w:top w:val="nil"/>
              <w:left w:val="nil"/>
              <w:bottom w:val="nil"/>
              <w:right w:val="nil"/>
            </w:tcBorders>
          </w:tcPr>
          <w:p w14:paraId="243A1221" w14:textId="2695258B"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62D64950" w14:textId="0EDB9251" w:rsidR="00740865" w:rsidRPr="009E3947" w:rsidRDefault="0069206E" w:rsidP="00132E65">
            <w:pPr>
              <w:ind w:left="0" w:right="170" w:firstLine="0"/>
              <w:jc w:val="right"/>
              <w:rPr>
                <w:rFonts w:eastAsiaTheme="minorHAnsi" w:cs="Calibri"/>
                <w:color w:val="000000"/>
                <w:sz w:val="20"/>
                <w:szCs w:val="20"/>
              </w:rPr>
            </w:pPr>
            <w:r w:rsidRPr="009E3947">
              <w:rPr>
                <w:color w:val="000000"/>
                <w:sz w:val="20"/>
                <w:szCs w:val="20"/>
              </w:rPr>
              <w:t>(7)</w:t>
            </w:r>
          </w:p>
        </w:tc>
        <w:tc>
          <w:tcPr>
            <w:tcW w:w="1219" w:type="dxa"/>
            <w:tcBorders>
              <w:top w:val="nil"/>
              <w:left w:val="nil"/>
              <w:bottom w:val="nil"/>
              <w:right w:val="nil"/>
            </w:tcBorders>
          </w:tcPr>
          <w:p w14:paraId="51C76D49" w14:textId="1888EA92" w:rsidR="00740865" w:rsidRPr="009E3947" w:rsidRDefault="00D76E7B"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6AB86095" w14:textId="579B9EE8" w:rsidR="00740865" w:rsidRPr="009E3947" w:rsidRDefault="00D76E7B" w:rsidP="00132E65">
            <w:pPr>
              <w:ind w:left="0" w:right="170" w:firstLine="0"/>
              <w:jc w:val="right"/>
              <w:rPr>
                <w:rFonts w:eastAsiaTheme="minorHAnsi" w:cs="Calibri"/>
                <w:color w:val="000000"/>
                <w:sz w:val="20"/>
                <w:szCs w:val="20"/>
              </w:rPr>
            </w:pPr>
            <w:r w:rsidRPr="009E3947">
              <w:rPr>
                <w:color w:val="000000"/>
                <w:sz w:val="20"/>
                <w:szCs w:val="20"/>
              </w:rPr>
              <w:t>141</w:t>
            </w:r>
          </w:p>
        </w:tc>
      </w:tr>
      <w:tr w:rsidR="00465ECE" w:rsidRPr="009E3947" w14:paraId="3B0A4499" w14:textId="77777777" w:rsidTr="00420223">
        <w:trPr>
          <w:gridAfter w:val="1"/>
          <w:wAfter w:w="6" w:type="dxa"/>
        </w:trPr>
        <w:tc>
          <w:tcPr>
            <w:tcW w:w="992" w:type="dxa"/>
            <w:tcBorders>
              <w:top w:val="nil"/>
              <w:left w:val="nil"/>
              <w:bottom w:val="nil"/>
              <w:right w:val="nil"/>
            </w:tcBorders>
          </w:tcPr>
          <w:p w14:paraId="30E8CF97" w14:textId="642D9F82" w:rsidR="00465ECE" w:rsidRPr="009E3947" w:rsidRDefault="00465ECE" w:rsidP="00BC15DE">
            <w:pPr>
              <w:rPr>
                <w:rFonts w:eastAsiaTheme="minorHAnsi" w:cs="Calibri"/>
                <w:color w:val="000000"/>
                <w:sz w:val="20"/>
                <w:szCs w:val="20"/>
              </w:rPr>
            </w:pPr>
            <w:r w:rsidRPr="009E3947">
              <w:rPr>
                <w:color w:val="000000"/>
                <w:sz w:val="20"/>
                <w:szCs w:val="20"/>
              </w:rPr>
              <w:t>R100267</w:t>
            </w:r>
          </w:p>
        </w:tc>
        <w:tc>
          <w:tcPr>
            <w:tcW w:w="2974" w:type="dxa"/>
            <w:gridSpan w:val="2"/>
            <w:tcBorders>
              <w:top w:val="nil"/>
              <w:left w:val="nil"/>
              <w:bottom w:val="nil"/>
              <w:right w:val="nil"/>
            </w:tcBorders>
          </w:tcPr>
          <w:p w14:paraId="6E70A1B4" w14:textId="1EAE5BB3" w:rsidR="00465ECE" w:rsidRPr="009E3947" w:rsidRDefault="00465ECE" w:rsidP="00BC15DE">
            <w:pPr>
              <w:rPr>
                <w:rFonts w:eastAsiaTheme="minorHAnsi" w:cs="Calibri"/>
                <w:color w:val="000000"/>
                <w:sz w:val="20"/>
                <w:szCs w:val="20"/>
              </w:rPr>
            </w:pPr>
            <w:r w:rsidRPr="009E3947">
              <w:rPr>
                <w:color w:val="000000"/>
                <w:sz w:val="20"/>
                <w:szCs w:val="20"/>
              </w:rPr>
              <w:t>SGA-RSIS</w:t>
            </w:r>
          </w:p>
        </w:tc>
        <w:tc>
          <w:tcPr>
            <w:tcW w:w="1219" w:type="dxa"/>
            <w:tcBorders>
              <w:top w:val="nil"/>
              <w:left w:val="nil"/>
              <w:bottom w:val="nil"/>
              <w:right w:val="nil"/>
            </w:tcBorders>
          </w:tcPr>
          <w:p w14:paraId="71F86C06" w14:textId="466C56CC" w:rsidR="00465ECE" w:rsidRPr="009E3947" w:rsidRDefault="00D76E7B" w:rsidP="00132E65">
            <w:pPr>
              <w:ind w:left="0" w:right="170" w:firstLine="0"/>
              <w:jc w:val="right"/>
              <w:rPr>
                <w:rFonts w:eastAsiaTheme="minorHAnsi" w:cs="Calibri"/>
                <w:color w:val="000000"/>
                <w:sz w:val="20"/>
                <w:szCs w:val="20"/>
              </w:rPr>
            </w:pPr>
            <w:r w:rsidRPr="009E3947">
              <w:rPr>
                <w:color w:val="000000"/>
                <w:sz w:val="20"/>
                <w:szCs w:val="20"/>
              </w:rPr>
              <w:t>90</w:t>
            </w:r>
          </w:p>
        </w:tc>
        <w:tc>
          <w:tcPr>
            <w:tcW w:w="1219" w:type="dxa"/>
            <w:tcBorders>
              <w:top w:val="nil"/>
              <w:left w:val="nil"/>
              <w:bottom w:val="nil"/>
              <w:right w:val="nil"/>
            </w:tcBorders>
          </w:tcPr>
          <w:p w14:paraId="62552946" w14:textId="454AA860" w:rsidR="00465ECE" w:rsidRPr="009E3947" w:rsidRDefault="00D76E7B"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781D4F72" w14:textId="5C2A43AA" w:rsidR="00465ECE" w:rsidRPr="009E3947" w:rsidRDefault="00D76E7B" w:rsidP="00132E65">
            <w:pPr>
              <w:ind w:left="0" w:right="170" w:firstLine="0"/>
              <w:jc w:val="right"/>
              <w:rPr>
                <w:rFonts w:eastAsiaTheme="minorHAnsi" w:cs="Calibri"/>
                <w:color w:val="000000"/>
                <w:sz w:val="20"/>
                <w:szCs w:val="20"/>
              </w:rPr>
            </w:pPr>
            <w:r w:rsidRPr="009E3947">
              <w:rPr>
                <w:color w:val="000000"/>
                <w:sz w:val="20"/>
                <w:szCs w:val="20"/>
              </w:rPr>
              <w:t>(9)</w:t>
            </w:r>
          </w:p>
        </w:tc>
        <w:tc>
          <w:tcPr>
            <w:tcW w:w="1219" w:type="dxa"/>
            <w:tcBorders>
              <w:top w:val="nil"/>
              <w:left w:val="nil"/>
              <w:bottom w:val="nil"/>
              <w:right w:val="nil"/>
            </w:tcBorders>
          </w:tcPr>
          <w:p w14:paraId="177DD3A2" w14:textId="5C72B3F6" w:rsidR="00465ECE" w:rsidRPr="009E3947" w:rsidDel="00465ECE" w:rsidRDefault="009A1C62"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512CB435" w14:textId="376ED117" w:rsidR="00465ECE" w:rsidRPr="009E3947" w:rsidDel="00465ECE" w:rsidRDefault="009A1C62" w:rsidP="00132E65">
            <w:pPr>
              <w:ind w:left="0" w:right="170" w:firstLine="0"/>
              <w:jc w:val="right"/>
              <w:rPr>
                <w:rFonts w:eastAsiaTheme="minorHAnsi" w:cs="Calibri"/>
                <w:color w:val="000000"/>
                <w:sz w:val="20"/>
                <w:szCs w:val="20"/>
              </w:rPr>
            </w:pPr>
            <w:r w:rsidRPr="009E3947">
              <w:rPr>
                <w:color w:val="000000"/>
                <w:sz w:val="20"/>
                <w:szCs w:val="20"/>
              </w:rPr>
              <w:t>81</w:t>
            </w:r>
          </w:p>
        </w:tc>
      </w:tr>
      <w:tr w:rsidR="00740865" w:rsidRPr="009E3947" w14:paraId="174EA6FE" w14:textId="51334680" w:rsidTr="00420223">
        <w:trPr>
          <w:gridAfter w:val="1"/>
          <w:wAfter w:w="6" w:type="dxa"/>
        </w:trPr>
        <w:tc>
          <w:tcPr>
            <w:tcW w:w="992" w:type="dxa"/>
            <w:tcBorders>
              <w:top w:val="nil"/>
              <w:left w:val="nil"/>
              <w:bottom w:val="nil"/>
              <w:right w:val="nil"/>
            </w:tcBorders>
          </w:tcPr>
          <w:p w14:paraId="60010099" w14:textId="7346A01E" w:rsidR="00740865" w:rsidRPr="009E3947" w:rsidRDefault="00740865" w:rsidP="00BC15DE">
            <w:pPr>
              <w:rPr>
                <w:rFonts w:eastAsiaTheme="minorHAnsi" w:cs="Calibri"/>
                <w:color w:val="000000"/>
                <w:sz w:val="20"/>
                <w:szCs w:val="20"/>
              </w:rPr>
            </w:pPr>
            <w:r w:rsidRPr="009E3947">
              <w:rPr>
                <w:color w:val="000000"/>
                <w:sz w:val="20"/>
                <w:szCs w:val="20"/>
              </w:rPr>
              <w:t>R100364</w:t>
            </w:r>
          </w:p>
        </w:tc>
        <w:tc>
          <w:tcPr>
            <w:tcW w:w="2974" w:type="dxa"/>
            <w:gridSpan w:val="2"/>
            <w:tcBorders>
              <w:top w:val="nil"/>
              <w:left w:val="nil"/>
              <w:bottom w:val="nil"/>
              <w:right w:val="nil"/>
            </w:tcBorders>
          </w:tcPr>
          <w:p w14:paraId="2180C9F9" w14:textId="77798FAA" w:rsidR="00740865" w:rsidRPr="009E3947" w:rsidRDefault="00740865" w:rsidP="00BC15DE">
            <w:pPr>
              <w:rPr>
                <w:rFonts w:eastAsiaTheme="minorHAnsi" w:cs="Calibri"/>
                <w:color w:val="000000"/>
                <w:sz w:val="20"/>
                <w:szCs w:val="20"/>
              </w:rPr>
            </w:pPr>
            <w:r w:rsidRPr="009E3947">
              <w:rPr>
                <w:color w:val="000000"/>
                <w:sz w:val="20"/>
                <w:szCs w:val="20"/>
              </w:rPr>
              <w:t>WFF-2014</w:t>
            </w:r>
          </w:p>
        </w:tc>
        <w:tc>
          <w:tcPr>
            <w:tcW w:w="1219" w:type="dxa"/>
            <w:tcBorders>
              <w:top w:val="nil"/>
              <w:left w:val="nil"/>
              <w:bottom w:val="nil"/>
              <w:right w:val="nil"/>
            </w:tcBorders>
          </w:tcPr>
          <w:p w14:paraId="64D10782" w14:textId="688854C1" w:rsidR="00740865" w:rsidRPr="009E3947" w:rsidRDefault="0012707B" w:rsidP="00132E65">
            <w:pPr>
              <w:ind w:left="0" w:right="170" w:firstLine="0"/>
              <w:jc w:val="right"/>
              <w:rPr>
                <w:rFonts w:eastAsiaTheme="minorHAnsi" w:cs="Calibri"/>
                <w:color w:val="000000"/>
                <w:sz w:val="20"/>
                <w:szCs w:val="20"/>
              </w:rPr>
            </w:pPr>
            <w:r w:rsidRPr="009E3947">
              <w:rPr>
                <w:color w:val="000000"/>
                <w:sz w:val="20"/>
                <w:szCs w:val="20"/>
              </w:rPr>
              <w:t>26</w:t>
            </w:r>
          </w:p>
        </w:tc>
        <w:tc>
          <w:tcPr>
            <w:tcW w:w="1219" w:type="dxa"/>
            <w:tcBorders>
              <w:top w:val="nil"/>
              <w:left w:val="nil"/>
              <w:bottom w:val="nil"/>
              <w:right w:val="nil"/>
            </w:tcBorders>
          </w:tcPr>
          <w:p w14:paraId="4219ECF4" w14:textId="51286719"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77A4279A" w14:textId="4F1AA8EB" w:rsidR="00740865" w:rsidRPr="009E3947" w:rsidRDefault="0012707B"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6F902C6A" w14:textId="4CCF2C3E"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0904C6E3" w14:textId="42E11D71"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26</w:t>
            </w:r>
          </w:p>
        </w:tc>
      </w:tr>
      <w:tr w:rsidR="00740865" w:rsidRPr="009E3947" w14:paraId="18F4C442" w14:textId="58755ABF" w:rsidTr="00465ECE">
        <w:trPr>
          <w:gridAfter w:val="1"/>
          <w:wAfter w:w="6" w:type="dxa"/>
        </w:trPr>
        <w:tc>
          <w:tcPr>
            <w:tcW w:w="992" w:type="dxa"/>
            <w:tcBorders>
              <w:top w:val="nil"/>
              <w:left w:val="nil"/>
              <w:bottom w:val="nil"/>
              <w:right w:val="nil"/>
            </w:tcBorders>
          </w:tcPr>
          <w:p w14:paraId="3F691E6A" w14:textId="37247D29" w:rsidR="00740865" w:rsidRPr="009E3947" w:rsidRDefault="00740865" w:rsidP="00BC15DE">
            <w:pPr>
              <w:rPr>
                <w:rFonts w:eastAsiaTheme="minorHAnsi" w:cs="Calibri"/>
                <w:color w:val="000000"/>
                <w:sz w:val="20"/>
                <w:szCs w:val="20"/>
              </w:rPr>
            </w:pPr>
            <w:r w:rsidRPr="009E3947">
              <w:rPr>
                <w:color w:val="000000"/>
                <w:sz w:val="20"/>
                <w:szCs w:val="20"/>
              </w:rPr>
              <w:t>R100365</w:t>
            </w:r>
          </w:p>
        </w:tc>
        <w:tc>
          <w:tcPr>
            <w:tcW w:w="2974" w:type="dxa"/>
            <w:gridSpan w:val="2"/>
            <w:tcBorders>
              <w:top w:val="nil"/>
              <w:left w:val="nil"/>
              <w:bottom w:val="nil"/>
              <w:right w:val="nil"/>
            </w:tcBorders>
          </w:tcPr>
          <w:p w14:paraId="3EC08E91" w14:textId="302D05C1" w:rsidR="00740865" w:rsidRPr="009E3947" w:rsidRDefault="00740865" w:rsidP="00BC15DE">
            <w:pPr>
              <w:rPr>
                <w:rFonts w:eastAsiaTheme="minorHAnsi" w:cs="Calibri"/>
                <w:color w:val="000000"/>
                <w:sz w:val="20"/>
                <w:szCs w:val="20"/>
              </w:rPr>
            </w:pPr>
            <w:r w:rsidRPr="009E3947">
              <w:rPr>
                <w:color w:val="000000"/>
                <w:sz w:val="20"/>
                <w:szCs w:val="20"/>
              </w:rPr>
              <w:t>WFF - 2015-2021</w:t>
            </w:r>
          </w:p>
        </w:tc>
        <w:tc>
          <w:tcPr>
            <w:tcW w:w="1219" w:type="dxa"/>
            <w:tcBorders>
              <w:top w:val="nil"/>
              <w:left w:val="nil"/>
              <w:right w:val="nil"/>
            </w:tcBorders>
          </w:tcPr>
          <w:p w14:paraId="7C2A2424" w14:textId="31582856" w:rsidR="00740865" w:rsidRPr="009E3947" w:rsidRDefault="009A1C62" w:rsidP="00132E65">
            <w:pPr>
              <w:ind w:left="0" w:right="170" w:firstLine="0"/>
              <w:jc w:val="right"/>
              <w:rPr>
                <w:rFonts w:eastAsiaTheme="minorHAnsi" w:cs="Calibri"/>
                <w:color w:val="000000"/>
                <w:sz w:val="20"/>
                <w:szCs w:val="20"/>
              </w:rPr>
            </w:pPr>
            <w:r w:rsidRPr="009E3947">
              <w:rPr>
                <w:color w:val="000000"/>
                <w:sz w:val="20"/>
                <w:szCs w:val="20"/>
              </w:rPr>
              <w:t>150</w:t>
            </w:r>
          </w:p>
        </w:tc>
        <w:tc>
          <w:tcPr>
            <w:tcW w:w="1219" w:type="dxa"/>
            <w:tcBorders>
              <w:top w:val="nil"/>
              <w:left w:val="nil"/>
              <w:right w:val="nil"/>
            </w:tcBorders>
          </w:tcPr>
          <w:p w14:paraId="77B9869D" w14:textId="3A834558" w:rsidR="00740865" w:rsidRPr="009E3947" w:rsidRDefault="0069206E"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236E39E3" w14:textId="5312C567"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(7)</w:t>
            </w:r>
          </w:p>
        </w:tc>
        <w:tc>
          <w:tcPr>
            <w:tcW w:w="1219" w:type="dxa"/>
            <w:tcBorders>
              <w:top w:val="nil"/>
              <w:left w:val="nil"/>
              <w:bottom w:val="nil"/>
              <w:right w:val="nil"/>
            </w:tcBorders>
          </w:tcPr>
          <w:p w14:paraId="56AF6EE3" w14:textId="3A36588E" w:rsidR="00740865" w:rsidRPr="009E3947" w:rsidRDefault="0012707B"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233DE7DD" w14:textId="122BE38D"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143</w:t>
            </w:r>
          </w:p>
        </w:tc>
      </w:tr>
      <w:tr w:rsidR="00740865" w:rsidRPr="009E3947" w14:paraId="45847551" w14:textId="2A4DFCA7" w:rsidTr="00465ECE">
        <w:trPr>
          <w:gridAfter w:val="1"/>
          <w:wAfter w:w="6" w:type="dxa"/>
        </w:trPr>
        <w:tc>
          <w:tcPr>
            <w:tcW w:w="992" w:type="dxa"/>
            <w:tcBorders>
              <w:top w:val="nil"/>
              <w:left w:val="nil"/>
              <w:bottom w:val="nil"/>
              <w:right w:val="nil"/>
            </w:tcBorders>
          </w:tcPr>
          <w:p w14:paraId="0E4D241F" w14:textId="7AFC5603" w:rsidR="00740865" w:rsidRPr="009E3947" w:rsidRDefault="00740865" w:rsidP="00BC15DE">
            <w:pPr>
              <w:rPr>
                <w:rFonts w:eastAsiaTheme="minorHAnsi" w:cs="Calibri"/>
                <w:color w:val="000000"/>
                <w:sz w:val="20"/>
                <w:szCs w:val="20"/>
              </w:rPr>
            </w:pPr>
            <w:r w:rsidRPr="009E3947">
              <w:rPr>
                <w:color w:val="000000"/>
                <w:sz w:val="20"/>
                <w:szCs w:val="20"/>
              </w:rPr>
              <w:t>R100408</w:t>
            </w:r>
          </w:p>
        </w:tc>
        <w:tc>
          <w:tcPr>
            <w:tcW w:w="2974" w:type="dxa"/>
            <w:gridSpan w:val="2"/>
            <w:tcBorders>
              <w:top w:val="nil"/>
              <w:left w:val="nil"/>
              <w:bottom w:val="nil"/>
              <w:right w:val="nil"/>
            </w:tcBorders>
          </w:tcPr>
          <w:p w14:paraId="406F6C10" w14:textId="3D7CA5C1" w:rsidR="00740865" w:rsidRPr="00173434" w:rsidRDefault="00740865" w:rsidP="00BC15DE">
            <w:pPr>
              <w:rPr>
                <w:rFonts w:eastAsiaTheme="minorHAnsi" w:cs="Calibri"/>
                <w:color w:val="000000"/>
                <w:sz w:val="20"/>
                <w:szCs w:val="20"/>
                <w:lang w:val="en-GB"/>
              </w:rPr>
            </w:pPr>
            <w:r w:rsidRPr="00173434">
              <w:rPr>
                <w:color w:val="000000"/>
                <w:sz w:val="20"/>
                <w:szCs w:val="20"/>
                <w:lang w:val="en-GB"/>
              </w:rPr>
              <w:t>Nagao Wetland Fund (NEF Japón)</w:t>
            </w:r>
          </w:p>
        </w:tc>
        <w:tc>
          <w:tcPr>
            <w:tcW w:w="1219" w:type="dxa"/>
            <w:tcBorders>
              <w:top w:val="nil"/>
              <w:left w:val="nil"/>
              <w:right w:val="nil"/>
            </w:tcBorders>
          </w:tcPr>
          <w:p w14:paraId="0D918180" w14:textId="70BE4DBB" w:rsidR="00740865" w:rsidRPr="009E3947" w:rsidRDefault="009E7FF2" w:rsidP="00132E65">
            <w:pPr>
              <w:ind w:left="0" w:right="170" w:firstLine="0"/>
              <w:jc w:val="right"/>
              <w:rPr>
                <w:rFonts w:eastAsiaTheme="minorHAnsi" w:cs="Calibri"/>
                <w:color w:val="000000"/>
                <w:sz w:val="20"/>
                <w:szCs w:val="20"/>
              </w:rPr>
            </w:pPr>
            <w:r w:rsidRPr="009E3947">
              <w:rPr>
                <w:color w:val="000000"/>
                <w:sz w:val="20"/>
                <w:szCs w:val="20"/>
              </w:rPr>
              <w:t>131</w:t>
            </w:r>
          </w:p>
        </w:tc>
        <w:tc>
          <w:tcPr>
            <w:tcW w:w="1219" w:type="dxa"/>
            <w:tcBorders>
              <w:top w:val="nil"/>
              <w:left w:val="nil"/>
              <w:right w:val="nil"/>
            </w:tcBorders>
          </w:tcPr>
          <w:p w14:paraId="2221BD41" w14:textId="4FB8EBF4" w:rsidR="00740865" w:rsidRPr="009E3947" w:rsidRDefault="009A1C62" w:rsidP="00132E65">
            <w:pPr>
              <w:ind w:left="0" w:right="170" w:firstLine="0"/>
              <w:jc w:val="right"/>
              <w:rPr>
                <w:rFonts w:eastAsiaTheme="minorHAnsi" w:cs="Calibri"/>
                <w:color w:val="000000"/>
                <w:sz w:val="20"/>
                <w:szCs w:val="20"/>
              </w:rPr>
            </w:pPr>
            <w:r w:rsidRPr="009E3947">
              <w:rPr>
                <w:color w:val="000000"/>
                <w:sz w:val="20"/>
                <w:szCs w:val="20"/>
              </w:rPr>
              <w:t>59</w:t>
            </w:r>
          </w:p>
        </w:tc>
        <w:tc>
          <w:tcPr>
            <w:tcW w:w="1219" w:type="dxa"/>
            <w:tcBorders>
              <w:top w:val="nil"/>
              <w:left w:val="nil"/>
              <w:bottom w:val="nil"/>
              <w:right w:val="nil"/>
            </w:tcBorders>
          </w:tcPr>
          <w:p w14:paraId="03663178" w14:textId="38C5579D" w:rsidR="00740865" w:rsidRPr="009E3947" w:rsidRDefault="009A1C62" w:rsidP="00132E65">
            <w:pPr>
              <w:ind w:left="0" w:right="170" w:firstLine="0"/>
              <w:jc w:val="right"/>
              <w:rPr>
                <w:rFonts w:eastAsiaTheme="minorHAnsi" w:cs="Calibri"/>
                <w:color w:val="000000"/>
                <w:sz w:val="20"/>
                <w:szCs w:val="20"/>
              </w:rPr>
            </w:pPr>
            <w:r w:rsidRPr="009E3947">
              <w:rPr>
                <w:color w:val="000000"/>
                <w:sz w:val="20"/>
                <w:szCs w:val="20"/>
              </w:rPr>
              <w:t>(53)</w:t>
            </w:r>
          </w:p>
        </w:tc>
        <w:tc>
          <w:tcPr>
            <w:tcW w:w="1219" w:type="dxa"/>
            <w:tcBorders>
              <w:top w:val="nil"/>
              <w:left w:val="nil"/>
              <w:bottom w:val="nil"/>
              <w:right w:val="nil"/>
            </w:tcBorders>
          </w:tcPr>
          <w:p w14:paraId="02848DAF" w14:textId="05BEEF24"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(6)</w:t>
            </w:r>
          </w:p>
        </w:tc>
        <w:tc>
          <w:tcPr>
            <w:tcW w:w="1218" w:type="dxa"/>
            <w:tcBorders>
              <w:top w:val="nil"/>
              <w:left w:val="nil"/>
              <w:bottom w:val="nil"/>
              <w:right w:val="nil"/>
            </w:tcBorders>
          </w:tcPr>
          <w:p w14:paraId="323C11D2" w14:textId="08E8E809"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131</w:t>
            </w:r>
          </w:p>
        </w:tc>
      </w:tr>
      <w:tr w:rsidR="00465ECE" w:rsidRPr="009E3947" w14:paraId="67DE0341" w14:textId="77777777" w:rsidTr="00465ECE">
        <w:trPr>
          <w:gridAfter w:val="1"/>
          <w:wAfter w:w="6" w:type="dxa"/>
        </w:trPr>
        <w:tc>
          <w:tcPr>
            <w:tcW w:w="992" w:type="dxa"/>
            <w:tcBorders>
              <w:top w:val="nil"/>
              <w:left w:val="nil"/>
              <w:bottom w:val="nil"/>
              <w:right w:val="nil"/>
            </w:tcBorders>
          </w:tcPr>
          <w:p w14:paraId="6D540739" w14:textId="4E09281C" w:rsidR="00465ECE" w:rsidRPr="009E3947" w:rsidRDefault="00465ECE" w:rsidP="00BC15DE">
            <w:pPr>
              <w:rPr>
                <w:rFonts w:eastAsiaTheme="minorHAnsi" w:cs="Calibri"/>
                <w:color w:val="000000"/>
                <w:sz w:val="20"/>
                <w:szCs w:val="20"/>
              </w:rPr>
            </w:pPr>
            <w:r w:rsidRPr="009E3947">
              <w:rPr>
                <w:color w:val="000000"/>
                <w:sz w:val="20"/>
                <w:szCs w:val="20"/>
              </w:rPr>
              <w:t>R100409</w:t>
            </w:r>
          </w:p>
        </w:tc>
        <w:tc>
          <w:tcPr>
            <w:tcW w:w="2974" w:type="dxa"/>
            <w:gridSpan w:val="2"/>
            <w:tcBorders>
              <w:top w:val="nil"/>
              <w:left w:val="nil"/>
              <w:bottom w:val="nil"/>
              <w:right w:val="nil"/>
            </w:tcBorders>
          </w:tcPr>
          <w:p w14:paraId="4BA5F790" w14:textId="50ED2519" w:rsidR="00465ECE" w:rsidRPr="009E3947" w:rsidRDefault="00465ECE" w:rsidP="00BC15DE">
            <w:pPr>
              <w:rPr>
                <w:rFonts w:eastAsiaTheme="minorHAnsi" w:cs="Calibri"/>
                <w:color w:val="000000"/>
                <w:sz w:val="20"/>
                <w:szCs w:val="20"/>
              </w:rPr>
            </w:pPr>
            <w:r w:rsidRPr="009E3947">
              <w:rPr>
                <w:color w:val="000000"/>
                <w:sz w:val="20"/>
                <w:szCs w:val="20"/>
              </w:rPr>
              <w:t>ROK 2023-2025</w:t>
            </w:r>
          </w:p>
        </w:tc>
        <w:tc>
          <w:tcPr>
            <w:tcW w:w="1219" w:type="dxa"/>
            <w:tcBorders>
              <w:left w:val="nil"/>
              <w:bottom w:val="single" w:sz="12" w:space="0" w:color="auto"/>
              <w:right w:val="nil"/>
            </w:tcBorders>
          </w:tcPr>
          <w:p w14:paraId="391731D8" w14:textId="69057E07" w:rsidR="00465ECE" w:rsidRPr="009E3947" w:rsidDel="009E7FF2" w:rsidRDefault="009A1C62" w:rsidP="00132E65">
            <w:pPr>
              <w:ind w:left="0" w:right="170" w:firstLine="0"/>
              <w:jc w:val="right"/>
              <w:rPr>
                <w:rFonts w:eastAsiaTheme="minorHAnsi" w:cs="Calibri"/>
                <w:color w:val="000000"/>
                <w:sz w:val="20"/>
                <w:szCs w:val="20"/>
              </w:rPr>
            </w:pPr>
            <w:r w:rsidRPr="009E3947">
              <w:rPr>
                <w:color w:val="000000"/>
                <w:sz w:val="20"/>
                <w:szCs w:val="20"/>
              </w:rPr>
              <w:t>182</w:t>
            </w:r>
          </w:p>
        </w:tc>
        <w:tc>
          <w:tcPr>
            <w:tcW w:w="1219" w:type="dxa"/>
            <w:tcBorders>
              <w:left w:val="nil"/>
              <w:bottom w:val="single" w:sz="12" w:space="0" w:color="auto"/>
              <w:right w:val="nil"/>
            </w:tcBorders>
          </w:tcPr>
          <w:p w14:paraId="49DFFFD6" w14:textId="6A1A5E55" w:rsidR="00465ECE" w:rsidRPr="009E3947" w:rsidDel="00465ECE" w:rsidRDefault="00E7574E" w:rsidP="00132E65">
            <w:pPr>
              <w:ind w:left="0" w:right="170" w:firstLine="0"/>
              <w:jc w:val="right"/>
              <w:rPr>
                <w:rFonts w:eastAsiaTheme="minorHAnsi" w:cs="Calibri"/>
                <w:color w:val="000000"/>
                <w:sz w:val="20"/>
                <w:szCs w:val="20"/>
              </w:rPr>
            </w:pPr>
            <w:r w:rsidRPr="009E3947">
              <w:rPr>
                <w:color w:val="000000"/>
                <w:sz w:val="20"/>
                <w:szCs w:val="20"/>
              </w:rPr>
              <w:t>187</w:t>
            </w:r>
          </w:p>
        </w:tc>
        <w:tc>
          <w:tcPr>
            <w:tcW w:w="1219" w:type="dxa"/>
            <w:tcBorders>
              <w:top w:val="nil"/>
              <w:left w:val="nil"/>
              <w:bottom w:val="nil"/>
              <w:right w:val="nil"/>
            </w:tcBorders>
          </w:tcPr>
          <w:p w14:paraId="3166A2D0" w14:textId="10A1E482" w:rsidR="00465ECE" w:rsidRPr="009E3947" w:rsidRDefault="008D743E" w:rsidP="00132E65">
            <w:pPr>
              <w:ind w:left="0" w:right="170" w:firstLine="0"/>
              <w:jc w:val="right"/>
              <w:rPr>
                <w:rFonts w:eastAsiaTheme="minorHAnsi" w:cs="Calibri"/>
                <w:color w:val="000000"/>
                <w:sz w:val="20"/>
                <w:szCs w:val="20"/>
              </w:rPr>
            </w:pPr>
            <w:r w:rsidRPr="009E3947">
              <w:rPr>
                <w:color w:val="000000"/>
                <w:sz w:val="20"/>
                <w:szCs w:val="20"/>
              </w:rPr>
              <w:t>(63)</w:t>
            </w:r>
          </w:p>
        </w:tc>
        <w:tc>
          <w:tcPr>
            <w:tcW w:w="1219" w:type="dxa"/>
            <w:tcBorders>
              <w:top w:val="nil"/>
              <w:left w:val="nil"/>
              <w:bottom w:val="nil"/>
              <w:right w:val="nil"/>
            </w:tcBorders>
          </w:tcPr>
          <w:p w14:paraId="4980D8E2" w14:textId="2DC80BD8" w:rsidR="00465ECE" w:rsidRPr="009E3947" w:rsidDel="00465ECE" w:rsidRDefault="00E7574E" w:rsidP="00132E65">
            <w:pPr>
              <w:ind w:left="0" w:right="170" w:firstLine="0"/>
              <w:jc w:val="right"/>
              <w:rPr>
                <w:rFonts w:eastAsiaTheme="minorHAnsi" w:cs="Calibri"/>
                <w:color w:val="000000"/>
                <w:sz w:val="20"/>
                <w:szCs w:val="20"/>
              </w:rPr>
            </w:pPr>
            <w:r w:rsidRPr="009E3947">
              <w:rPr>
                <w:color w:val="000000"/>
                <w:sz w:val="20"/>
                <w:szCs w:val="20"/>
              </w:rPr>
              <w:t>(19)</w:t>
            </w:r>
          </w:p>
        </w:tc>
        <w:tc>
          <w:tcPr>
            <w:tcW w:w="1218" w:type="dxa"/>
            <w:tcBorders>
              <w:top w:val="nil"/>
              <w:left w:val="nil"/>
              <w:bottom w:val="nil"/>
              <w:right w:val="nil"/>
            </w:tcBorders>
          </w:tcPr>
          <w:p w14:paraId="6F0D2F57" w14:textId="6E7B3548" w:rsidR="00465ECE" w:rsidRPr="009E3947" w:rsidDel="00465ECE" w:rsidRDefault="00E7574E" w:rsidP="00132E65">
            <w:pPr>
              <w:ind w:left="0" w:right="170" w:firstLine="0"/>
              <w:jc w:val="right"/>
              <w:rPr>
                <w:rFonts w:eastAsiaTheme="minorHAnsi" w:cs="Calibri"/>
                <w:color w:val="000000"/>
                <w:sz w:val="20"/>
                <w:szCs w:val="20"/>
              </w:rPr>
            </w:pPr>
            <w:r w:rsidRPr="009E3947">
              <w:rPr>
                <w:color w:val="000000"/>
                <w:sz w:val="20"/>
                <w:szCs w:val="20"/>
              </w:rPr>
              <w:t>287</w:t>
            </w:r>
          </w:p>
        </w:tc>
      </w:tr>
      <w:tr w:rsidR="00740865" w:rsidRPr="009E3947" w14:paraId="55D196FC" w14:textId="6201387C"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5164F185" w14:textId="7F15B379" w:rsidR="00740865" w:rsidRPr="009E3947" w:rsidRDefault="00740865" w:rsidP="00BC15DE">
            <w:pPr>
              <w:rPr>
                <w:rFonts w:eastAsiaTheme="minorHAnsi" w:cs="Calibri"/>
                <w:b/>
                <w:bCs/>
                <w:color w:val="000000"/>
                <w:sz w:val="20"/>
                <w:szCs w:val="20"/>
              </w:rPr>
            </w:pPr>
            <w:r w:rsidRPr="009E3947">
              <w:rPr>
                <w:b/>
                <w:bCs/>
                <w:color w:val="000000"/>
                <w:sz w:val="20"/>
                <w:szCs w:val="20"/>
              </w:rPr>
              <w:t>Total, Cooperación Internacional</w:t>
            </w:r>
          </w:p>
        </w:tc>
        <w:tc>
          <w:tcPr>
            <w:tcW w:w="1219" w:type="dxa"/>
            <w:tcBorders>
              <w:top w:val="nil"/>
              <w:left w:val="nil"/>
              <w:bottom w:val="single" w:sz="12" w:space="0" w:color="auto"/>
              <w:right w:val="nil"/>
            </w:tcBorders>
            <w:shd w:val="clear" w:color="auto" w:fill="EAF1DD" w:themeFill="accent3" w:themeFillTint="33"/>
          </w:tcPr>
          <w:p w14:paraId="28924C64" w14:textId="5F6ED2EE" w:rsidR="00740865" w:rsidRPr="009E3947" w:rsidRDefault="008D743E" w:rsidP="00132E65">
            <w:pPr>
              <w:ind w:left="0" w:right="170" w:firstLine="0"/>
              <w:jc w:val="right"/>
              <w:rPr>
                <w:rFonts w:eastAsiaTheme="minorHAnsi" w:cs="Calibri"/>
                <w:b/>
                <w:bCs/>
                <w:color w:val="000000"/>
                <w:sz w:val="20"/>
                <w:szCs w:val="20"/>
              </w:rPr>
            </w:pPr>
            <w:r w:rsidRPr="009E3947">
              <w:rPr>
                <w:b/>
                <w:bCs/>
                <w:color w:val="000000"/>
                <w:sz w:val="20"/>
                <w:szCs w:val="20"/>
              </w:rPr>
              <w:t>726</w:t>
            </w:r>
          </w:p>
        </w:tc>
        <w:tc>
          <w:tcPr>
            <w:tcW w:w="1219" w:type="dxa"/>
            <w:tcBorders>
              <w:top w:val="nil"/>
              <w:left w:val="nil"/>
              <w:bottom w:val="single" w:sz="12" w:space="0" w:color="auto"/>
              <w:right w:val="nil"/>
            </w:tcBorders>
            <w:shd w:val="clear" w:color="auto" w:fill="EAF1DD" w:themeFill="accent3" w:themeFillTint="33"/>
          </w:tcPr>
          <w:p w14:paraId="0F896056" w14:textId="07B806DE" w:rsidR="00740865" w:rsidRPr="009E3947" w:rsidRDefault="00E7574E" w:rsidP="00132E65">
            <w:pPr>
              <w:ind w:left="0" w:right="170" w:firstLine="0"/>
              <w:jc w:val="right"/>
              <w:rPr>
                <w:rFonts w:eastAsiaTheme="minorHAnsi" w:cs="Calibri"/>
                <w:b/>
                <w:bCs/>
                <w:color w:val="000000"/>
                <w:sz w:val="20"/>
                <w:szCs w:val="20"/>
              </w:rPr>
            </w:pPr>
            <w:r w:rsidRPr="009E3947">
              <w:rPr>
                <w:b/>
                <w:bCs/>
                <w:color w:val="000000"/>
                <w:sz w:val="20"/>
                <w:szCs w:val="20"/>
              </w:rPr>
              <w:t>245</w:t>
            </w:r>
          </w:p>
        </w:tc>
        <w:tc>
          <w:tcPr>
            <w:tcW w:w="1219" w:type="dxa"/>
            <w:tcBorders>
              <w:top w:val="single" w:sz="12" w:space="0" w:color="auto"/>
              <w:left w:val="nil"/>
              <w:bottom w:val="single" w:sz="12" w:space="0" w:color="auto"/>
              <w:right w:val="nil"/>
            </w:tcBorders>
            <w:shd w:val="clear" w:color="auto" w:fill="EAF1DD" w:themeFill="accent3" w:themeFillTint="33"/>
          </w:tcPr>
          <w:p w14:paraId="24418C13" w14:textId="39EC21EE" w:rsidR="00740865" w:rsidRPr="009E3947" w:rsidRDefault="008D743E" w:rsidP="00132E65">
            <w:pPr>
              <w:ind w:left="0" w:right="170" w:firstLine="0"/>
              <w:jc w:val="right"/>
              <w:rPr>
                <w:rFonts w:eastAsiaTheme="minorHAnsi" w:cs="Calibri"/>
                <w:b/>
                <w:bCs/>
                <w:color w:val="000000"/>
                <w:sz w:val="20"/>
                <w:szCs w:val="20"/>
              </w:rPr>
            </w:pPr>
            <w:r w:rsidRPr="009E3947">
              <w:rPr>
                <w:b/>
                <w:bCs/>
                <w:color w:val="000000"/>
                <w:sz w:val="20"/>
                <w:szCs w:val="20"/>
              </w:rPr>
              <w:t>(139)</w:t>
            </w:r>
          </w:p>
        </w:tc>
        <w:tc>
          <w:tcPr>
            <w:tcW w:w="1219" w:type="dxa"/>
            <w:tcBorders>
              <w:top w:val="single" w:sz="12" w:space="0" w:color="auto"/>
              <w:left w:val="nil"/>
              <w:bottom w:val="single" w:sz="12" w:space="0" w:color="auto"/>
              <w:right w:val="nil"/>
            </w:tcBorders>
            <w:shd w:val="clear" w:color="auto" w:fill="EAF1DD" w:themeFill="accent3" w:themeFillTint="33"/>
          </w:tcPr>
          <w:p w14:paraId="01A77DA9" w14:textId="32DE728A" w:rsidR="00740865" w:rsidRPr="009E3947" w:rsidRDefault="00E7574E" w:rsidP="00132E65">
            <w:pPr>
              <w:ind w:left="0" w:right="170" w:firstLine="0"/>
              <w:jc w:val="right"/>
              <w:rPr>
                <w:rFonts w:eastAsiaTheme="minorHAnsi" w:cs="Calibri"/>
                <w:b/>
                <w:bCs/>
                <w:color w:val="000000"/>
                <w:sz w:val="20"/>
                <w:szCs w:val="20"/>
              </w:rPr>
            </w:pPr>
            <w:r w:rsidRPr="009E3947">
              <w:rPr>
                <w:b/>
                <w:bCs/>
                <w:color w:val="000000"/>
                <w:sz w:val="20"/>
                <w:szCs w:val="20"/>
              </w:rPr>
              <w:t>(25)</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18C7E2F" w14:textId="1ADCF220" w:rsidR="00740865" w:rsidRPr="009E3947" w:rsidRDefault="00E7574E" w:rsidP="00132E65">
            <w:pPr>
              <w:ind w:left="0" w:right="170" w:firstLine="0"/>
              <w:jc w:val="right"/>
              <w:rPr>
                <w:rFonts w:eastAsiaTheme="minorHAnsi" w:cs="Calibri"/>
                <w:b/>
                <w:bCs/>
                <w:color w:val="000000"/>
                <w:sz w:val="20"/>
                <w:szCs w:val="20"/>
              </w:rPr>
            </w:pPr>
            <w:r w:rsidRPr="009E3947">
              <w:rPr>
                <w:b/>
                <w:bCs/>
                <w:color w:val="000000"/>
                <w:sz w:val="20"/>
                <w:szCs w:val="20"/>
              </w:rPr>
              <w:t>809</w:t>
            </w:r>
          </w:p>
        </w:tc>
      </w:tr>
      <w:tr w:rsidR="00845750" w:rsidRPr="009E3947" w14:paraId="374F67C4" w14:textId="2E54BE86" w:rsidTr="00465ECE">
        <w:trPr>
          <w:gridAfter w:val="1"/>
          <w:wAfter w:w="6" w:type="dxa"/>
        </w:trPr>
        <w:tc>
          <w:tcPr>
            <w:tcW w:w="3966" w:type="dxa"/>
            <w:gridSpan w:val="3"/>
            <w:tcBorders>
              <w:top w:val="nil"/>
              <w:left w:val="nil"/>
              <w:bottom w:val="nil"/>
              <w:right w:val="nil"/>
            </w:tcBorders>
          </w:tcPr>
          <w:p w14:paraId="553186A0" w14:textId="29F9B51D" w:rsidR="00845750" w:rsidRPr="009E3947" w:rsidRDefault="00845750" w:rsidP="005953C3">
            <w:pPr>
              <w:spacing w:before="120"/>
              <w:rPr>
                <w:rFonts w:eastAsiaTheme="minorHAnsi" w:cs="Calibri"/>
                <w:b/>
                <w:bCs/>
                <w:color w:val="000000"/>
                <w:sz w:val="20"/>
                <w:szCs w:val="20"/>
                <w:u w:val="single"/>
              </w:rPr>
            </w:pPr>
            <w:r w:rsidRPr="009E3947">
              <w:rPr>
                <w:b/>
                <w:bCs/>
                <w:color w:val="000000"/>
                <w:sz w:val="20"/>
                <w:szCs w:val="20"/>
                <w:u w:val="single"/>
              </w:rPr>
              <w:t>Sitios de la Lista</w:t>
            </w:r>
          </w:p>
        </w:tc>
        <w:tc>
          <w:tcPr>
            <w:tcW w:w="1219" w:type="dxa"/>
            <w:tcBorders>
              <w:top w:val="nil"/>
              <w:left w:val="nil"/>
              <w:right w:val="nil"/>
            </w:tcBorders>
          </w:tcPr>
          <w:p w14:paraId="680681E3" w14:textId="794FA8F3" w:rsidR="00845750" w:rsidRPr="009E3947"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5CB1D288" w14:textId="00116C57" w:rsidR="00845750" w:rsidRPr="009E3947"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CE688EB" w14:textId="3775F509" w:rsidR="00845750" w:rsidRPr="009E3947"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31F6D39" w14:textId="43463349" w:rsidR="00845750" w:rsidRPr="009E3947" w:rsidRDefault="00845750" w:rsidP="00132E65">
            <w:pPr>
              <w:ind w:left="0" w:right="170" w:firstLine="0"/>
              <w:jc w:val="right"/>
              <w:rPr>
                <w:rFonts w:eastAsiaTheme="minorHAnsi" w:cs="Calibri"/>
                <w:color w:val="000000"/>
              </w:rPr>
            </w:pPr>
          </w:p>
        </w:tc>
        <w:tc>
          <w:tcPr>
            <w:tcW w:w="1218" w:type="dxa"/>
            <w:tcBorders>
              <w:top w:val="nil"/>
              <w:left w:val="nil"/>
              <w:right w:val="nil"/>
            </w:tcBorders>
          </w:tcPr>
          <w:p w14:paraId="07ADF2FC" w14:textId="772A56E6" w:rsidR="00845750" w:rsidRPr="009E3947" w:rsidRDefault="00845750" w:rsidP="00132E65">
            <w:pPr>
              <w:ind w:left="0" w:right="170" w:firstLine="0"/>
              <w:jc w:val="right"/>
              <w:rPr>
                <w:rFonts w:eastAsiaTheme="minorHAnsi" w:cs="Calibri"/>
                <w:color w:val="000000"/>
              </w:rPr>
            </w:pPr>
          </w:p>
        </w:tc>
      </w:tr>
      <w:tr w:rsidR="00740865" w:rsidRPr="009E3947" w14:paraId="7EF8E5E8" w14:textId="5E1F02C6" w:rsidTr="00465ECE">
        <w:trPr>
          <w:gridAfter w:val="1"/>
          <w:wAfter w:w="6" w:type="dxa"/>
        </w:trPr>
        <w:tc>
          <w:tcPr>
            <w:tcW w:w="992" w:type="dxa"/>
            <w:tcBorders>
              <w:top w:val="nil"/>
              <w:left w:val="nil"/>
              <w:bottom w:val="nil"/>
              <w:right w:val="nil"/>
            </w:tcBorders>
          </w:tcPr>
          <w:p w14:paraId="7C4CA935" w14:textId="041DF605" w:rsidR="00740865" w:rsidRPr="009E3947" w:rsidRDefault="00740865" w:rsidP="00BC15DE">
            <w:pPr>
              <w:rPr>
                <w:rFonts w:eastAsiaTheme="minorHAnsi" w:cs="Calibri"/>
                <w:color w:val="000000"/>
                <w:sz w:val="20"/>
                <w:szCs w:val="20"/>
              </w:rPr>
            </w:pPr>
            <w:r w:rsidRPr="009E3947">
              <w:rPr>
                <w:color w:val="000000"/>
                <w:sz w:val="20"/>
                <w:szCs w:val="20"/>
              </w:rPr>
              <w:t>R100110</w:t>
            </w:r>
          </w:p>
        </w:tc>
        <w:tc>
          <w:tcPr>
            <w:tcW w:w="2974" w:type="dxa"/>
            <w:gridSpan w:val="2"/>
            <w:tcBorders>
              <w:top w:val="nil"/>
              <w:left w:val="nil"/>
              <w:bottom w:val="nil"/>
              <w:right w:val="nil"/>
            </w:tcBorders>
          </w:tcPr>
          <w:p w14:paraId="240462BF" w14:textId="0C73E168" w:rsidR="00740865" w:rsidRPr="009E3947" w:rsidRDefault="00740865" w:rsidP="00BC15DE">
            <w:pPr>
              <w:rPr>
                <w:rFonts w:eastAsiaTheme="minorHAnsi" w:cs="Calibri"/>
                <w:color w:val="000000"/>
                <w:sz w:val="20"/>
                <w:szCs w:val="20"/>
              </w:rPr>
            </w:pPr>
            <w:r w:rsidRPr="009E3947">
              <w:rPr>
                <w:color w:val="000000"/>
                <w:sz w:val="20"/>
                <w:szCs w:val="20"/>
              </w:rPr>
              <w:t>MRA</w:t>
            </w:r>
          </w:p>
        </w:tc>
        <w:tc>
          <w:tcPr>
            <w:tcW w:w="1219" w:type="dxa"/>
            <w:tcBorders>
              <w:top w:val="nil"/>
              <w:left w:val="nil"/>
              <w:right w:val="nil"/>
            </w:tcBorders>
          </w:tcPr>
          <w:p w14:paraId="574D030A" w14:textId="3A5D76E2" w:rsidR="00740865" w:rsidRPr="009E3947" w:rsidRDefault="008D743E" w:rsidP="00132E65">
            <w:pPr>
              <w:ind w:left="0" w:right="170" w:firstLine="0"/>
              <w:jc w:val="right"/>
              <w:rPr>
                <w:rFonts w:eastAsiaTheme="minorHAnsi" w:cs="Calibri"/>
                <w:color w:val="000000"/>
                <w:sz w:val="20"/>
                <w:szCs w:val="20"/>
              </w:rPr>
            </w:pPr>
            <w:r w:rsidRPr="009E3947">
              <w:rPr>
                <w:color w:val="000000"/>
                <w:sz w:val="20"/>
                <w:szCs w:val="20"/>
              </w:rPr>
              <w:t>18</w:t>
            </w:r>
          </w:p>
        </w:tc>
        <w:tc>
          <w:tcPr>
            <w:tcW w:w="1219" w:type="dxa"/>
            <w:tcBorders>
              <w:top w:val="nil"/>
              <w:left w:val="nil"/>
              <w:right w:val="nil"/>
            </w:tcBorders>
          </w:tcPr>
          <w:p w14:paraId="407A85AD" w14:textId="008FBF91" w:rsidR="00740865" w:rsidRPr="009E3947" w:rsidRDefault="0069206E"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right w:val="nil"/>
            </w:tcBorders>
          </w:tcPr>
          <w:p w14:paraId="37671F08" w14:textId="61A906B5" w:rsidR="00740865" w:rsidRPr="009E3947" w:rsidRDefault="008D743E"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right w:val="nil"/>
            </w:tcBorders>
          </w:tcPr>
          <w:p w14:paraId="0A1E3FF0" w14:textId="30F24EB7" w:rsidR="00740865" w:rsidRPr="009E3947" w:rsidRDefault="0069206E"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right w:val="nil"/>
            </w:tcBorders>
          </w:tcPr>
          <w:p w14:paraId="45879F59" w14:textId="2CD6773A" w:rsidR="00740865"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18</w:t>
            </w:r>
          </w:p>
        </w:tc>
      </w:tr>
      <w:tr w:rsidR="00465ECE" w:rsidRPr="009E3947" w14:paraId="260F81AF" w14:textId="77777777" w:rsidTr="00465ECE">
        <w:trPr>
          <w:gridAfter w:val="1"/>
          <w:wAfter w:w="6" w:type="dxa"/>
        </w:trPr>
        <w:tc>
          <w:tcPr>
            <w:tcW w:w="992" w:type="dxa"/>
            <w:tcBorders>
              <w:top w:val="nil"/>
              <w:left w:val="nil"/>
              <w:bottom w:val="nil"/>
              <w:right w:val="nil"/>
            </w:tcBorders>
          </w:tcPr>
          <w:p w14:paraId="4D1FAF26" w14:textId="11387644" w:rsidR="00465ECE" w:rsidRPr="009E3947" w:rsidRDefault="00465ECE" w:rsidP="00BC15DE">
            <w:pPr>
              <w:rPr>
                <w:rFonts w:eastAsiaTheme="minorHAnsi" w:cs="Calibri"/>
                <w:color w:val="000000"/>
                <w:sz w:val="20"/>
                <w:szCs w:val="20"/>
              </w:rPr>
            </w:pPr>
            <w:r w:rsidRPr="009E3947">
              <w:rPr>
                <w:color w:val="000000"/>
                <w:sz w:val="20"/>
                <w:szCs w:val="20"/>
              </w:rPr>
              <w:t>R100108</w:t>
            </w:r>
          </w:p>
        </w:tc>
        <w:tc>
          <w:tcPr>
            <w:tcW w:w="2974" w:type="dxa"/>
            <w:gridSpan w:val="2"/>
            <w:tcBorders>
              <w:left w:val="nil"/>
              <w:bottom w:val="nil"/>
              <w:right w:val="nil"/>
            </w:tcBorders>
          </w:tcPr>
          <w:p w14:paraId="538F1859" w14:textId="35A15B9A" w:rsidR="00465ECE" w:rsidRPr="009E3947" w:rsidRDefault="00465ECE" w:rsidP="00BC15DE">
            <w:pPr>
              <w:rPr>
                <w:rFonts w:eastAsiaTheme="minorHAnsi" w:cs="Calibri"/>
                <w:color w:val="000000"/>
                <w:sz w:val="20"/>
                <w:szCs w:val="20"/>
              </w:rPr>
            </w:pPr>
            <w:r w:rsidRPr="009E3947">
              <w:rPr>
                <w:color w:val="000000"/>
                <w:sz w:val="20"/>
                <w:szCs w:val="20"/>
              </w:rPr>
              <w:t>MRA (CH 2016)</w:t>
            </w:r>
          </w:p>
        </w:tc>
        <w:tc>
          <w:tcPr>
            <w:tcW w:w="1219" w:type="dxa"/>
            <w:tcBorders>
              <w:left w:val="nil"/>
              <w:bottom w:val="single" w:sz="12" w:space="0" w:color="auto"/>
              <w:right w:val="nil"/>
            </w:tcBorders>
          </w:tcPr>
          <w:p w14:paraId="33A5FC7A" w14:textId="6C31891B" w:rsidR="00465ECE" w:rsidRPr="009E3947" w:rsidDel="009E7FF2" w:rsidRDefault="00465ECE" w:rsidP="00132E65">
            <w:pPr>
              <w:ind w:left="0" w:right="170" w:firstLine="0"/>
              <w:jc w:val="right"/>
              <w:rPr>
                <w:rFonts w:eastAsiaTheme="minorHAnsi" w:cs="Calibri"/>
                <w:color w:val="000000"/>
                <w:sz w:val="20"/>
                <w:szCs w:val="20"/>
              </w:rPr>
            </w:pPr>
            <w:r w:rsidRPr="009E3947">
              <w:rPr>
                <w:color w:val="000000"/>
                <w:sz w:val="20"/>
                <w:szCs w:val="20"/>
              </w:rPr>
              <w:t>45</w:t>
            </w:r>
          </w:p>
        </w:tc>
        <w:tc>
          <w:tcPr>
            <w:tcW w:w="1219" w:type="dxa"/>
            <w:tcBorders>
              <w:left w:val="nil"/>
              <w:bottom w:val="single" w:sz="12" w:space="0" w:color="auto"/>
              <w:right w:val="nil"/>
            </w:tcBorders>
          </w:tcPr>
          <w:p w14:paraId="01D3AE9D" w14:textId="4365B630" w:rsidR="00465ECE"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left w:val="nil"/>
              <w:bottom w:val="nil"/>
              <w:right w:val="nil"/>
            </w:tcBorders>
          </w:tcPr>
          <w:p w14:paraId="30DE6BCB" w14:textId="300B2023" w:rsidR="00465ECE"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left w:val="nil"/>
              <w:bottom w:val="single" w:sz="12" w:space="0" w:color="auto"/>
              <w:right w:val="nil"/>
            </w:tcBorders>
          </w:tcPr>
          <w:p w14:paraId="5FDA0B69" w14:textId="35DCAA3E" w:rsidR="00465ECE"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left w:val="nil"/>
              <w:bottom w:val="nil"/>
              <w:right w:val="nil"/>
            </w:tcBorders>
          </w:tcPr>
          <w:p w14:paraId="4AF4A29F" w14:textId="45CB4940" w:rsidR="00465ECE"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45</w:t>
            </w:r>
          </w:p>
        </w:tc>
      </w:tr>
      <w:tr w:rsidR="007E27A5" w:rsidRPr="009E3947" w14:paraId="178EBCEF" w14:textId="5DB7617A"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138E2799" w14:textId="3BC4B969" w:rsidR="007E27A5" w:rsidRPr="009E3947" w:rsidRDefault="007E27A5" w:rsidP="00BC15DE">
            <w:pPr>
              <w:rPr>
                <w:rFonts w:eastAsiaTheme="minorHAnsi" w:cs="Calibri"/>
                <w:b/>
                <w:bCs/>
                <w:color w:val="000000"/>
                <w:sz w:val="20"/>
                <w:szCs w:val="20"/>
              </w:rPr>
            </w:pPr>
            <w:r w:rsidRPr="009E3947">
              <w:rPr>
                <w:b/>
                <w:bCs/>
                <w:color w:val="000000"/>
                <w:sz w:val="20"/>
                <w:szCs w:val="20"/>
              </w:rPr>
              <w:t>Total, Humedales de la Lista</w:t>
            </w:r>
          </w:p>
        </w:tc>
        <w:tc>
          <w:tcPr>
            <w:tcW w:w="1219" w:type="dxa"/>
            <w:tcBorders>
              <w:top w:val="nil"/>
              <w:left w:val="nil"/>
              <w:bottom w:val="single" w:sz="12" w:space="0" w:color="auto"/>
              <w:right w:val="nil"/>
            </w:tcBorders>
            <w:shd w:val="clear" w:color="auto" w:fill="EAF1DD" w:themeFill="accent3" w:themeFillTint="33"/>
          </w:tcPr>
          <w:p w14:paraId="4F91D007" w14:textId="2C732798" w:rsidR="007E27A5" w:rsidRPr="009E3947" w:rsidRDefault="008D743E" w:rsidP="00132E65">
            <w:pPr>
              <w:ind w:left="0" w:right="170" w:firstLine="0"/>
              <w:jc w:val="right"/>
              <w:rPr>
                <w:rFonts w:eastAsiaTheme="minorHAnsi" w:cs="Calibri"/>
                <w:b/>
                <w:bCs/>
                <w:color w:val="000000"/>
                <w:sz w:val="20"/>
                <w:szCs w:val="20"/>
              </w:rPr>
            </w:pPr>
            <w:r w:rsidRPr="009E3947">
              <w:rPr>
                <w:b/>
                <w:bCs/>
                <w:color w:val="000000"/>
                <w:sz w:val="20"/>
                <w:szCs w:val="20"/>
              </w:rPr>
              <w:t>63</w:t>
            </w:r>
          </w:p>
        </w:tc>
        <w:tc>
          <w:tcPr>
            <w:tcW w:w="1219" w:type="dxa"/>
            <w:tcBorders>
              <w:top w:val="nil"/>
              <w:left w:val="nil"/>
              <w:bottom w:val="single" w:sz="12" w:space="0" w:color="auto"/>
              <w:right w:val="nil"/>
            </w:tcBorders>
            <w:shd w:val="clear" w:color="auto" w:fill="EAF1DD" w:themeFill="accent3" w:themeFillTint="33"/>
          </w:tcPr>
          <w:p w14:paraId="27E68645" w14:textId="50B2A4CE" w:rsidR="007E27A5" w:rsidRPr="009E3947" w:rsidRDefault="0069206E" w:rsidP="00132E65">
            <w:pPr>
              <w:ind w:left="0" w:right="170" w:firstLine="0"/>
              <w:jc w:val="right"/>
              <w:rPr>
                <w:rFonts w:eastAsiaTheme="minorHAnsi" w:cs="Calibri"/>
                <w:b/>
                <w:bCs/>
                <w:color w:val="000000"/>
                <w:sz w:val="20"/>
                <w:szCs w:val="20"/>
              </w:rPr>
            </w:pPr>
            <w:r w:rsidRPr="009E3947">
              <w:rPr>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51B9C3DB" w14:textId="6DA3C191" w:rsidR="007E27A5" w:rsidRPr="009E3947" w:rsidRDefault="008D743E" w:rsidP="00132E65">
            <w:pPr>
              <w:ind w:left="0" w:right="170" w:firstLine="0"/>
              <w:jc w:val="right"/>
              <w:rPr>
                <w:rFonts w:eastAsiaTheme="minorHAnsi" w:cs="Calibri"/>
                <w:b/>
                <w:bCs/>
                <w:color w:val="000000"/>
                <w:sz w:val="20"/>
                <w:szCs w:val="20"/>
              </w:rPr>
            </w:pPr>
            <w:r w:rsidRPr="009E3947">
              <w:rPr>
                <w:b/>
                <w:bCs/>
                <w:color w:val="000000"/>
                <w:sz w:val="20"/>
                <w:szCs w:val="20"/>
              </w:rPr>
              <w:t>-</w:t>
            </w:r>
          </w:p>
        </w:tc>
        <w:tc>
          <w:tcPr>
            <w:tcW w:w="1219" w:type="dxa"/>
            <w:tcBorders>
              <w:top w:val="nil"/>
              <w:left w:val="nil"/>
              <w:bottom w:val="single" w:sz="12" w:space="0" w:color="auto"/>
              <w:right w:val="nil"/>
            </w:tcBorders>
            <w:shd w:val="clear" w:color="auto" w:fill="EAF1DD" w:themeFill="accent3" w:themeFillTint="33"/>
          </w:tcPr>
          <w:p w14:paraId="5E9B8AA3" w14:textId="129E1B4C" w:rsidR="007E27A5" w:rsidRPr="009E3947" w:rsidRDefault="0069206E" w:rsidP="00132E65">
            <w:pPr>
              <w:ind w:left="0" w:right="170" w:firstLine="0"/>
              <w:jc w:val="right"/>
              <w:rPr>
                <w:rFonts w:eastAsiaTheme="minorHAnsi" w:cs="Calibri"/>
                <w:b/>
                <w:bCs/>
                <w:color w:val="000000"/>
                <w:sz w:val="20"/>
                <w:szCs w:val="20"/>
              </w:rPr>
            </w:pPr>
            <w:r w:rsidRPr="009E3947">
              <w:rPr>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0228681" w14:textId="6DA3D797" w:rsidR="007E27A5" w:rsidRPr="009E3947" w:rsidRDefault="00465ECE" w:rsidP="00132E65">
            <w:pPr>
              <w:ind w:left="0" w:right="170" w:firstLine="0"/>
              <w:jc w:val="right"/>
              <w:rPr>
                <w:rFonts w:eastAsiaTheme="minorHAnsi" w:cs="Calibri"/>
                <w:b/>
                <w:bCs/>
                <w:color w:val="000000"/>
                <w:sz w:val="20"/>
                <w:szCs w:val="20"/>
              </w:rPr>
            </w:pPr>
            <w:r w:rsidRPr="009E3947">
              <w:rPr>
                <w:b/>
                <w:bCs/>
                <w:color w:val="000000"/>
                <w:sz w:val="20"/>
                <w:szCs w:val="20"/>
              </w:rPr>
              <w:t>63</w:t>
            </w:r>
          </w:p>
        </w:tc>
      </w:tr>
      <w:tr w:rsidR="00740865" w:rsidRPr="009E3947" w14:paraId="75D2D758" w14:textId="59C3198F" w:rsidTr="00420223">
        <w:trPr>
          <w:gridAfter w:val="1"/>
          <w:wAfter w:w="6" w:type="dxa"/>
        </w:trPr>
        <w:tc>
          <w:tcPr>
            <w:tcW w:w="992" w:type="dxa"/>
            <w:tcBorders>
              <w:top w:val="nil"/>
              <w:left w:val="nil"/>
              <w:bottom w:val="nil"/>
              <w:right w:val="nil"/>
            </w:tcBorders>
          </w:tcPr>
          <w:p w14:paraId="59F2EDE5" w14:textId="665EE6F7" w:rsidR="00740865" w:rsidRPr="009E3947" w:rsidRDefault="00740865" w:rsidP="005953C3">
            <w:pPr>
              <w:spacing w:before="120"/>
              <w:rPr>
                <w:rFonts w:eastAsiaTheme="minorHAnsi" w:cs="Calibri"/>
                <w:b/>
                <w:bCs/>
                <w:color w:val="000000"/>
                <w:sz w:val="20"/>
                <w:szCs w:val="20"/>
                <w:u w:val="single"/>
              </w:rPr>
            </w:pPr>
            <w:r w:rsidRPr="009E3947">
              <w:rPr>
                <w:b/>
                <w:bCs/>
                <w:color w:val="000000"/>
                <w:sz w:val="20"/>
                <w:szCs w:val="20"/>
                <w:u w:val="single"/>
              </w:rPr>
              <w:t>Otros</w:t>
            </w:r>
          </w:p>
        </w:tc>
        <w:tc>
          <w:tcPr>
            <w:tcW w:w="2974" w:type="dxa"/>
            <w:gridSpan w:val="2"/>
            <w:tcBorders>
              <w:top w:val="nil"/>
              <w:left w:val="nil"/>
              <w:bottom w:val="nil"/>
              <w:right w:val="nil"/>
            </w:tcBorders>
          </w:tcPr>
          <w:p w14:paraId="579D588F" w14:textId="6CCF8500" w:rsidR="00740865" w:rsidRPr="009E3947" w:rsidRDefault="00740865" w:rsidP="00BC15DE">
            <w:pPr>
              <w:rPr>
                <w:rFonts w:eastAsiaTheme="minorHAnsi" w:cs="Calibri"/>
                <w:color w:val="000000"/>
              </w:rPr>
            </w:pPr>
          </w:p>
        </w:tc>
        <w:tc>
          <w:tcPr>
            <w:tcW w:w="1219" w:type="dxa"/>
            <w:tcBorders>
              <w:top w:val="nil"/>
              <w:left w:val="nil"/>
              <w:bottom w:val="nil"/>
              <w:right w:val="nil"/>
            </w:tcBorders>
          </w:tcPr>
          <w:p w14:paraId="4A5B5524" w14:textId="702E4DAE" w:rsidR="00740865" w:rsidRPr="009E3947"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2CDE3533" w14:textId="3B66EFA4" w:rsidR="00740865" w:rsidRPr="009E3947"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63ABA750" w14:textId="770441EA" w:rsidR="00740865" w:rsidRPr="009E3947"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B3E9455" w14:textId="796197F4" w:rsidR="00740865" w:rsidRPr="009E3947" w:rsidRDefault="00740865"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3ACD6CC7" w14:textId="300F65DA" w:rsidR="00740865" w:rsidRPr="009E3947" w:rsidRDefault="00740865" w:rsidP="00132E65">
            <w:pPr>
              <w:ind w:left="0" w:right="170" w:firstLine="0"/>
              <w:jc w:val="right"/>
              <w:rPr>
                <w:rFonts w:eastAsiaTheme="minorHAnsi" w:cs="Calibri"/>
                <w:color w:val="000000"/>
              </w:rPr>
            </w:pPr>
          </w:p>
        </w:tc>
      </w:tr>
      <w:tr w:rsidR="00740865" w:rsidRPr="009E3947" w14:paraId="063E56A5" w14:textId="6DCCDA69" w:rsidTr="00420223">
        <w:trPr>
          <w:gridAfter w:val="1"/>
          <w:wAfter w:w="6" w:type="dxa"/>
        </w:trPr>
        <w:tc>
          <w:tcPr>
            <w:tcW w:w="992" w:type="dxa"/>
            <w:tcBorders>
              <w:top w:val="nil"/>
              <w:left w:val="nil"/>
              <w:bottom w:val="nil"/>
              <w:right w:val="nil"/>
            </w:tcBorders>
          </w:tcPr>
          <w:p w14:paraId="349C4EFE" w14:textId="2CB87A16" w:rsidR="00740865" w:rsidRPr="009E3947" w:rsidRDefault="00740865" w:rsidP="00BC15DE">
            <w:pPr>
              <w:rPr>
                <w:rFonts w:eastAsiaTheme="minorHAnsi" w:cs="Calibri"/>
                <w:color w:val="000000"/>
                <w:sz w:val="20"/>
                <w:szCs w:val="20"/>
              </w:rPr>
            </w:pPr>
            <w:r w:rsidRPr="009E3947">
              <w:rPr>
                <w:color w:val="000000"/>
                <w:sz w:val="20"/>
                <w:szCs w:val="20"/>
              </w:rPr>
              <w:t>R100100</w:t>
            </w:r>
          </w:p>
        </w:tc>
        <w:tc>
          <w:tcPr>
            <w:tcW w:w="2974" w:type="dxa"/>
            <w:gridSpan w:val="2"/>
            <w:tcBorders>
              <w:top w:val="nil"/>
              <w:left w:val="nil"/>
              <w:bottom w:val="nil"/>
              <w:right w:val="nil"/>
            </w:tcBorders>
          </w:tcPr>
          <w:p w14:paraId="6B8F4235" w14:textId="3C30707D" w:rsidR="00740865" w:rsidRPr="009E3947" w:rsidRDefault="00740865" w:rsidP="00BC15DE">
            <w:pPr>
              <w:rPr>
                <w:rFonts w:eastAsiaTheme="minorHAnsi" w:cs="Calibri"/>
                <w:color w:val="000000"/>
                <w:sz w:val="20"/>
                <w:szCs w:val="20"/>
              </w:rPr>
            </w:pPr>
            <w:r w:rsidRPr="009E3947">
              <w:rPr>
                <w:color w:val="000000"/>
                <w:sz w:val="20"/>
                <w:szCs w:val="20"/>
              </w:rPr>
              <w:t>Administración</w:t>
            </w:r>
          </w:p>
        </w:tc>
        <w:tc>
          <w:tcPr>
            <w:tcW w:w="1219" w:type="dxa"/>
            <w:tcBorders>
              <w:top w:val="nil"/>
              <w:left w:val="nil"/>
              <w:bottom w:val="nil"/>
              <w:right w:val="nil"/>
            </w:tcBorders>
          </w:tcPr>
          <w:p w14:paraId="71EBE695" w14:textId="3E45C9CB" w:rsidR="00740865" w:rsidRPr="009E3947" w:rsidRDefault="008D743E" w:rsidP="00132E65">
            <w:pPr>
              <w:ind w:left="0" w:right="170" w:firstLine="0"/>
              <w:jc w:val="right"/>
              <w:rPr>
                <w:rFonts w:eastAsiaTheme="minorHAnsi" w:cs="Calibri"/>
                <w:color w:val="000000"/>
                <w:sz w:val="20"/>
                <w:szCs w:val="20"/>
              </w:rPr>
            </w:pPr>
            <w:r w:rsidRPr="009E3947">
              <w:rPr>
                <w:color w:val="000000"/>
                <w:sz w:val="20"/>
                <w:szCs w:val="20"/>
              </w:rPr>
              <w:t>333</w:t>
            </w:r>
          </w:p>
        </w:tc>
        <w:tc>
          <w:tcPr>
            <w:tcW w:w="1219" w:type="dxa"/>
            <w:tcBorders>
              <w:top w:val="nil"/>
              <w:left w:val="nil"/>
              <w:bottom w:val="nil"/>
              <w:right w:val="nil"/>
            </w:tcBorders>
          </w:tcPr>
          <w:p w14:paraId="01F9E1BC" w14:textId="54142DF3" w:rsidR="00740865" w:rsidRPr="009E3947" w:rsidRDefault="007F18B3"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6A55A9A8" w14:textId="29416EDF" w:rsidR="00740865" w:rsidRPr="009E3947" w:rsidRDefault="008D743E" w:rsidP="00132E65">
            <w:pPr>
              <w:ind w:left="0" w:right="170" w:firstLine="0"/>
              <w:jc w:val="right"/>
              <w:rPr>
                <w:rFonts w:eastAsiaTheme="minorHAnsi" w:cs="Calibri"/>
                <w:color w:val="000000"/>
                <w:sz w:val="20"/>
                <w:szCs w:val="20"/>
              </w:rPr>
            </w:pPr>
            <w:r w:rsidRPr="009E3947">
              <w:rPr>
                <w:color w:val="000000"/>
                <w:sz w:val="20"/>
                <w:szCs w:val="20"/>
              </w:rPr>
              <w:t>(24)</w:t>
            </w:r>
          </w:p>
        </w:tc>
        <w:tc>
          <w:tcPr>
            <w:tcW w:w="1219" w:type="dxa"/>
            <w:tcBorders>
              <w:top w:val="nil"/>
              <w:left w:val="nil"/>
              <w:bottom w:val="nil"/>
              <w:right w:val="nil"/>
            </w:tcBorders>
          </w:tcPr>
          <w:p w14:paraId="735A935B" w14:textId="4E473229"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70</w:t>
            </w:r>
          </w:p>
        </w:tc>
        <w:tc>
          <w:tcPr>
            <w:tcW w:w="1218" w:type="dxa"/>
            <w:tcBorders>
              <w:top w:val="nil"/>
              <w:left w:val="nil"/>
              <w:bottom w:val="nil"/>
              <w:right w:val="nil"/>
            </w:tcBorders>
          </w:tcPr>
          <w:p w14:paraId="74D40E87" w14:textId="1C5C1DDF"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379</w:t>
            </w:r>
          </w:p>
        </w:tc>
      </w:tr>
      <w:tr w:rsidR="00740865" w:rsidRPr="009E3947" w14:paraId="74E05369" w14:textId="6588B91C" w:rsidTr="00420223">
        <w:trPr>
          <w:gridAfter w:val="1"/>
          <w:wAfter w:w="6" w:type="dxa"/>
        </w:trPr>
        <w:tc>
          <w:tcPr>
            <w:tcW w:w="992" w:type="dxa"/>
            <w:tcBorders>
              <w:top w:val="nil"/>
              <w:left w:val="nil"/>
              <w:bottom w:val="nil"/>
              <w:right w:val="nil"/>
            </w:tcBorders>
          </w:tcPr>
          <w:p w14:paraId="208EA653" w14:textId="66E3DF5C" w:rsidR="00740865" w:rsidRPr="009E3947" w:rsidRDefault="00740865" w:rsidP="00BC15DE">
            <w:pPr>
              <w:rPr>
                <w:rFonts w:eastAsiaTheme="minorHAnsi" w:cs="Calibri"/>
                <w:color w:val="000000"/>
                <w:sz w:val="20"/>
                <w:szCs w:val="20"/>
              </w:rPr>
            </w:pPr>
            <w:r w:rsidRPr="009E3947">
              <w:rPr>
                <w:color w:val="000000"/>
                <w:sz w:val="20"/>
                <w:szCs w:val="20"/>
              </w:rPr>
              <w:t>R100102</w:t>
            </w:r>
          </w:p>
        </w:tc>
        <w:tc>
          <w:tcPr>
            <w:tcW w:w="2974" w:type="dxa"/>
            <w:gridSpan w:val="2"/>
            <w:tcBorders>
              <w:top w:val="nil"/>
              <w:left w:val="nil"/>
              <w:bottom w:val="nil"/>
              <w:right w:val="nil"/>
            </w:tcBorders>
          </w:tcPr>
          <w:p w14:paraId="1B8F8257" w14:textId="4EFCB7F2" w:rsidR="00740865" w:rsidRPr="009E3947" w:rsidRDefault="00740865" w:rsidP="00BC15DE">
            <w:pPr>
              <w:rPr>
                <w:rFonts w:eastAsiaTheme="minorHAnsi" w:cs="Calibri"/>
                <w:color w:val="000000"/>
                <w:sz w:val="20"/>
                <w:szCs w:val="20"/>
              </w:rPr>
            </w:pPr>
            <w:r w:rsidRPr="009E3947">
              <w:rPr>
                <w:color w:val="000000"/>
                <w:sz w:val="20"/>
                <w:szCs w:val="20"/>
              </w:rPr>
              <w:t>Remodelación del SISR</w:t>
            </w:r>
          </w:p>
        </w:tc>
        <w:tc>
          <w:tcPr>
            <w:tcW w:w="1219" w:type="dxa"/>
            <w:tcBorders>
              <w:top w:val="nil"/>
              <w:left w:val="nil"/>
              <w:bottom w:val="nil"/>
              <w:right w:val="nil"/>
            </w:tcBorders>
          </w:tcPr>
          <w:p w14:paraId="6B880251" w14:textId="01ED9271" w:rsidR="00740865" w:rsidRPr="009E3947" w:rsidRDefault="0069206E" w:rsidP="00132E65">
            <w:pPr>
              <w:ind w:left="0" w:right="170" w:firstLine="0"/>
              <w:jc w:val="right"/>
              <w:rPr>
                <w:rFonts w:eastAsiaTheme="minorHAnsi" w:cs="Calibri"/>
                <w:color w:val="000000"/>
                <w:sz w:val="20"/>
                <w:szCs w:val="20"/>
              </w:rPr>
            </w:pPr>
            <w:r w:rsidRPr="009E3947">
              <w:rPr>
                <w:color w:val="000000"/>
                <w:sz w:val="20"/>
                <w:szCs w:val="20"/>
              </w:rPr>
              <w:t>38</w:t>
            </w:r>
          </w:p>
        </w:tc>
        <w:tc>
          <w:tcPr>
            <w:tcW w:w="1219" w:type="dxa"/>
            <w:tcBorders>
              <w:top w:val="nil"/>
              <w:left w:val="nil"/>
              <w:bottom w:val="nil"/>
              <w:right w:val="nil"/>
            </w:tcBorders>
          </w:tcPr>
          <w:p w14:paraId="5BCDDEE7" w14:textId="64D92CAD"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03ED18F7" w14:textId="3B033B39" w:rsidR="00740865" w:rsidRPr="009E3947" w:rsidRDefault="008D743E" w:rsidP="00132E65">
            <w:pPr>
              <w:ind w:left="0" w:right="170" w:firstLine="0"/>
              <w:jc w:val="right"/>
              <w:rPr>
                <w:rFonts w:eastAsiaTheme="minorHAnsi" w:cs="Calibri"/>
                <w:color w:val="000000"/>
                <w:sz w:val="20"/>
                <w:szCs w:val="20"/>
              </w:rPr>
            </w:pPr>
            <w:r w:rsidRPr="009E3947">
              <w:rPr>
                <w:color w:val="000000"/>
                <w:sz w:val="20"/>
                <w:szCs w:val="20"/>
              </w:rPr>
              <w:t>(5)</w:t>
            </w:r>
          </w:p>
        </w:tc>
        <w:tc>
          <w:tcPr>
            <w:tcW w:w="1219" w:type="dxa"/>
            <w:tcBorders>
              <w:top w:val="nil"/>
              <w:left w:val="nil"/>
              <w:bottom w:val="nil"/>
              <w:right w:val="nil"/>
            </w:tcBorders>
          </w:tcPr>
          <w:p w14:paraId="39E3756D" w14:textId="11A38B7C"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661CAB31" w14:textId="0603C144" w:rsidR="00740865" w:rsidRPr="009E3947" w:rsidRDefault="008D743E" w:rsidP="00132E65">
            <w:pPr>
              <w:ind w:left="0" w:right="170" w:firstLine="0"/>
              <w:jc w:val="right"/>
              <w:rPr>
                <w:rFonts w:eastAsiaTheme="minorHAnsi" w:cs="Calibri"/>
                <w:color w:val="000000"/>
                <w:sz w:val="20"/>
                <w:szCs w:val="20"/>
              </w:rPr>
            </w:pPr>
            <w:r w:rsidRPr="009E3947">
              <w:rPr>
                <w:color w:val="000000"/>
                <w:sz w:val="20"/>
                <w:szCs w:val="20"/>
              </w:rPr>
              <w:t>33</w:t>
            </w:r>
          </w:p>
        </w:tc>
      </w:tr>
      <w:tr w:rsidR="00740865" w:rsidRPr="009E3947" w14:paraId="0A408C56" w14:textId="71376494" w:rsidTr="00420223">
        <w:trPr>
          <w:gridAfter w:val="1"/>
          <w:wAfter w:w="6" w:type="dxa"/>
        </w:trPr>
        <w:tc>
          <w:tcPr>
            <w:tcW w:w="992" w:type="dxa"/>
            <w:tcBorders>
              <w:top w:val="nil"/>
              <w:left w:val="nil"/>
              <w:bottom w:val="nil"/>
              <w:right w:val="nil"/>
            </w:tcBorders>
          </w:tcPr>
          <w:p w14:paraId="5CECD077" w14:textId="493251A5" w:rsidR="00740865" w:rsidRPr="009E3947" w:rsidRDefault="00740865" w:rsidP="00BC15DE">
            <w:pPr>
              <w:rPr>
                <w:rFonts w:eastAsiaTheme="minorHAnsi" w:cs="Calibri"/>
                <w:color w:val="000000"/>
                <w:sz w:val="20"/>
                <w:szCs w:val="20"/>
              </w:rPr>
            </w:pPr>
            <w:r w:rsidRPr="009E3947">
              <w:rPr>
                <w:color w:val="000000"/>
                <w:sz w:val="20"/>
                <w:szCs w:val="20"/>
              </w:rPr>
              <w:t>R100103</w:t>
            </w:r>
          </w:p>
        </w:tc>
        <w:tc>
          <w:tcPr>
            <w:tcW w:w="2974" w:type="dxa"/>
            <w:gridSpan w:val="2"/>
            <w:tcBorders>
              <w:top w:val="nil"/>
              <w:left w:val="nil"/>
              <w:bottom w:val="nil"/>
              <w:right w:val="nil"/>
            </w:tcBorders>
          </w:tcPr>
          <w:p w14:paraId="04063FAC" w14:textId="2A73050E" w:rsidR="00740865" w:rsidRPr="009E3947" w:rsidRDefault="00740865" w:rsidP="00BC15DE">
            <w:pPr>
              <w:rPr>
                <w:rFonts w:eastAsiaTheme="minorHAnsi" w:cs="Calibri"/>
                <w:color w:val="000000"/>
                <w:sz w:val="20"/>
                <w:szCs w:val="20"/>
              </w:rPr>
            </w:pPr>
            <w:r w:rsidRPr="009E3947">
              <w:rPr>
                <w:color w:val="000000"/>
                <w:sz w:val="20"/>
                <w:szCs w:val="20"/>
              </w:rPr>
              <w:t>Remodelación del sitio web</w:t>
            </w:r>
          </w:p>
        </w:tc>
        <w:tc>
          <w:tcPr>
            <w:tcW w:w="1219" w:type="dxa"/>
            <w:tcBorders>
              <w:top w:val="nil"/>
              <w:left w:val="nil"/>
              <w:bottom w:val="nil"/>
              <w:right w:val="nil"/>
            </w:tcBorders>
          </w:tcPr>
          <w:p w14:paraId="7EC5662C" w14:textId="591A1316" w:rsidR="00740865"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21</w:t>
            </w:r>
          </w:p>
        </w:tc>
        <w:tc>
          <w:tcPr>
            <w:tcW w:w="1219" w:type="dxa"/>
            <w:tcBorders>
              <w:top w:val="nil"/>
              <w:left w:val="nil"/>
              <w:bottom w:val="nil"/>
              <w:right w:val="nil"/>
            </w:tcBorders>
          </w:tcPr>
          <w:p w14:paraId="75EDAB21" w14:textId="1C9965AD"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39CB08A6" w14:textId="585B1479" w:rsidR="00740865"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3D17A54B" w14:textId="44585E03"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4F2CF1AE" w14:textId="4828945B" w:rsidR="00740865"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21</w:t>
            </w:r>
          </w:p>
        </w:tc>
      </w:tr>
      <w:tr w:rsidR="00740865" w:rsidRPr="009E3947" w14:paraId="01A56525" w14:textId="73455BA6" w:rsidTr="00420223">
        <w:trPr>
          <w:gridAfter w:val="1"/>
          <w:wAfter w:w="6" w:type="dxa"/>
        </w:trPr>
        <w:tc>
          <w:tcPr>
            <w:tcW w:w="992" w:type="dxa"/>
            <w:tcBorders>
              <w:top w:val="nil"/>
              <w:left w:val="nil"/>
              <w:bottom w:val="nil"/>
              <w:right w:val="nil"/>
            </w:tcBorders>
          </w:tcPr>
          <w:p w14:paraId="695476D6" w14:textId="751A766D" w:rsidR="00740865" w:rsidRPr="009E3947" w:rsidRDefault="00740865" w:rsidP="00BC15DE">
            <w:pPr>
              <w:rPr>
                <w:rFonts w:eastAsiaTheme="minorHAnsi" w:cs="Calibri"/>
                <w:color w:val="000000"/>
                <w:sz w:val="20"/>
                <w:szCs w:val="20"/>
              </w:rPr>
            </w:pPr>
            <w:r w:rsidRPr="009E3947">
              <w:rPr>
                <w:color w:val="000000"/>
                <w:sz w:val="20"/>
                <w:szCs w:val="20"/>
              </w:rPr>
              <w:t>R100104</w:t>
            </w:r>
          </w:p>
        </w:tc>
        <w:tc>
          <w:tcPr>
            <w:tcW w:w="2974" w:type="dxa"/>
            <w:gridSpan w:val="2"/>
            <w:tcBorders>
              <w:top w:val="nil"/>
              <w:left w:val="nil"/>
              <w:bottom w:val="nil"/>
              <w:right w:val="nil"/>
            </w:tcBorders>
          </w:tcPr>
          <w:p w14:paraId="685FE767" w14:textId="133E2CC3" w:rsidR="00740865" w:rsidRPr="009E3947" w:rsidRDefault="00740865" w:rsidP="00BC15DE">
            <w:pPr>
              <w:rPr>
                <w:rFonts w:eastAsiaTheme="minorHAnsi" w:cs="Calibri"/>
                <w:color w:val="000000"/>
                <w:sz w:val="20"/>
                <w:szCs w:val="20"/>
              </w:rPr>
            </w:pPr>
            <w:r w:rsidRPr="009E3947">
              <w:rPr>
                <w:color w:val="000000"/>
                <w:sz w:val="20"/>
                <w:szCs w:val="20"/>
              </w:rPr>
              <w:t>Desarrollo</w:t>
            </w:r>
          </w:p>
        </w:tc>
        <w:tc>
          <w:tcPr>
            <w:tcW w:w="1219" w:type="dxa"/>
            <w:tcBorders>
              <w:top w:val="nil"/>
              <w:left w:val="nil"/>
              <w:bottom w:val="nil"/>
              <w:right w:val="nil"/>
            </w:tcBorders>
          </w:tcPr>
          <w:p w14:paraId="423D3754" w14:textId="392D4BDC" w:rsidR="00740865"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22</w:t>
            </w:r>
          </w:p>
        </w:tc>
        <w:tc>
          <w:tcPr>
            <w:tcW w:w="1219" w:type="dxa"/>
            <w:tcBorders>
              <w:top w:val="nil"/>
              <w:left w:val="nil"/>
              <w:bottom w:val="nil"/>
              <w:right w:val="nil"/>
            </w:tcBorders>
          </w:tcPr>
          <w:p w14:paraId="41807459" w14:textId="07048FFC"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77FC4435" w14:textId="19C411F6" w:rsidR="00740865"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23D1A934" w14:textId="09514F95"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3D5504C9" w14:textId="6D67716E" w:rsidR="00740865"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22</w:t>
            </w:r>
          </w:p>
        </w:tc>
      </w:tr>
      <w:tr w:rsidR="00740865" w:rsidRPr="009E3947" w14:paraId="7F2A4229" w14:textId="2E859B13" w:rsidTr="00420223">
        <w:trPr>
          <w:gridAfter w:val="1"/>
          <w:wAfter w:w="6" w:type="dxa"/>
        </w:trPr>
        <w:tc>
          <w:tcPr>
            <w:tcW w:w="992" w:type="dxa"/>
            <w:tcBorders>
              <w:top w:val="nil"/>
              <w:left w:val="nil"/>
              <w:bottom w:val="nil"/>
              <w:right w:val="nil"/>
            </w:tcBorders>
          </w:tcPr>
          <w:p w14:paraId="4125F2EA" w14:textId="46D9F19B" w:rsidR="00740865" w:rsidRPr="009E3947" w:rsidRDefault="00740865" w:rsidP="00BC15DE">
            <w:pPr>
              <w:rPr>
                <w:rFonts w:eastAsiaTheme="minorHAnsi" w:cs="Calibri"/>
                <w:color w:val="000000"/>
                <w:sz w:val="20"/>
                <w:szCs w:val="20"/>
              </w:rPr>
            </w:pPr>
            <w:r w:rsidRPr="009E3947">
              <w:rPr>
                <w:color w:val="000000"/>
                <w:sz w:val="20"/>
                <w:szCs w:val="20"/>
              </w:rPr>
              <w:t>R100105</w:t>
            </w:r>
          </w:p>
        </w:tc>
        <w:tc>
          <w:tcPr>
            <w:tcW w:w="2974" w:type="dxa"/>
            <w:gridSpan w:val="2"/>
            <w:tcBorders>
              <w:top w:val="nil"/>
              <w:left w:val="nil"/>
              <w:bottom w:val="nil"/>
              <w:right w:val="nil"/>
            </w:tcBorders>
          </w:tcPr>
          <w:p w14:paraId="67E4D6DE" w14:textId="2EC046AD" w:rsidR="00740865" w:rsidRPr="009E3947" w:rsidRDefault="00740865" w:rsidP="00BC15DE">
            <w:pPr>
              <w:rPr>
                <w:rFonts w:eastAsiaTheme="minorHAnsi" w:cs="Calibri"/>
                <w:color w:val="000000"/>
                <w:sz w:val="20"/>
                <w:szCs w:val="20"/>
              </w:rPr>
            </w:pPr>
            <w:r w:rsidRPr="009E3947">
              <w:rPr>
                <w:color w:val="000000"/>
                <w:sz w:val="20"/>
                <w:szCs w:val="20"/>
              </w:rPr>
              <w:t>Examen científico</w:t>
            </w:r>
          </w:p>
        </w:tc>
        <w:tc>
          <w:tcPr>
            <w:tcW w:w="1219" w:type="dxa"/>
            <w:tcBorders>
              <w:top w:val="nil"/>
              <w:left w:val="nil"/>
              <w:bottom w:val="nil"/>
              <w:right w:val="nil"/>
            </w:tcBorders>
          </w:tcPr>
          <w:p w14:paraId="5114027A" w14:textId="287908C1"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33</w:t>
            </w:r>
          </w:p>
        </w:tc>
        <w:tc>
          <w:tcPr>
            <w:tcW w:w="1219" w:type="dxa"/>
            <w:tcBorders>
              <w:top w:val="nil"/>
              <w:left w:val="nil"/>
              <w:bottom w:val="nil"/>
              <w:right w:val="nil"/>
            </w:tcBorders>
          </w:tcPr>
          <w:p w14:paraId="07AFD784" w14:textId="4651A8B5"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7FEBAA95" w14:textId="14F2B8B9"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(2)</w:t>
            </w:r>
          </w:p>
        </w:tc>
        <w:tc>
          <w:tcPr>
            <w:tcW w:w="1219" w:type="dxa"/>
            <w:tcBorders>
              <w:top w:val="nil"/>
              <w:left w:val="nil"/>
              <w:bottom w:val="nil"/>
              <w:right w:val="nil"/>
            </w:tcBorders>
          </w:tcPr>
          <w:p w14:paraId="0EFC08D9" w14:textId="3F2E511B"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75EC23E7" w14:textId="3EA55A56" w:rsidR="00740865" w:rsidRPr="009E3947" w:rsidRDefault="00E7574E" w:rsidP="00132E65">
            <w:pPr>
              <w:ind w:left="0" w:right="170" w:firstLine="0"/>
              <w:jc w:val="right"/>
              <w:rPr>
                <w:rFonts w:eastAsiaTheme="minorHAnsi" w:cs="Calibri"/>
                <w:color w:val="000000"/>
                <w:sz w:val="20"/>
                <w:szCs w:val="20"/>
              </w:rPr>
            </w:pPr>
            <w:r w:rsidRPr="009E3947">
              <w:rPr>
                <w:color w:val="000000"/>
                <w:sz w:val="20"/>
                <w:szCs w:val="20"/>
              </w:rPr>
              <w:t>31</w:t>
            </w:r>
          </w:p>
        </w:tc>
      </w:tr>
      <w:tr w:rsidR="00740865" w:rsidRPr="009E3947" w14:paraId="75AB53F0" w14:textId="2B95FC3F" w:rsidTr="00420223">
        <w:trPr>
          <w:gridAfter w:val="1"/>
          <w:wAfter w:w="6" w:type="dxa"/>
        </w:trPr>
        <w:tc>
          <w:tcPr>
            <w:tcW w:w="992" w:type="dxa"/>
            <w:tcBorders>
              <w:top w:val="nil"/>
              <w:left w:val="nil"/>
              <w:bottom w:val="nil"/>
              <w:right w:val="nil"/>
            </w:tcBorders>
          </w:tcPr>
          <w:p w14:paraId="133918CE" w14:textId="569AE485" w:rsidR="00740865" w:rsidRPr="009E3947" w:rsidRDefault="00740865" w:rsidP="00BC15DE">
            <w:pPr>
              <w:rPr>
                <w:rFonts w:eastAsiaTheme="minorHAnsi" w:cs="Calibri"/>
                <w:color w:val="000000"/>
                <w:sz w:val="20"/>
                <w:szCs w:val="20"/>
              </w:rPr>
            </w:pPr>
            <w:r w:rsidRPr="009E3947">
              <w:rPr>
                <w:color w:val="000000"/>
                <w:sz w:val="20"/>
                <w:szCs w:val="20"/>
              </w:rPr>
              <w:t>R100106</w:t>
            </w:r>
          </w:p>
        </w:tc>
        <w:tc>
          <w:tcPr>
            <w:tcW w:w="2974" w:type="dxa"/>
            <w:gridSpan w:val="2"/>
            <w:tcBorders>
              <w:top w:val="nil"/>
              <w:left w:val="nil"/>
              <w:bottom w:val="nil"/>
              <w:right w:val="nil"/>
            </w:tcBorders>
          </w:tcPr>
          <w:p w14:paraId="10795EB2" w14:textId="0F3D9A23" w:rsidR="00740865" w:rsidRPr="009E3947" w:rsidRDefault="00740865" w:rsidP="00BC15DE">
            <w:pPr>
              <w:rPr>
                <w:rFonts w:eastAsiaTheme="minorHAnsi" w:cs="Calibri"/>
                <w:color w:val="000000"/>
                <w:sz w:val="20"/>
                <w:szCs w:val="20"/>
              </w:rPr>
            </w:pPr>
            <w:r w:rsidRPr="009E3947">
              <w:rPr>
                <w:color w:val="000000"/>
                <w:sz w:val="20"/>
                <w:szCs w:val="20"/>
              </w:rPr>
              <w:t>Plan Estratégico 2016</w:t>
            </w:r>
          </w:p>
        </w:tc>
        <w:tc>
          <w:tcPr>
            <w:tcW w:w="1219" w:type="dxa"/>
            <w:tcBorders>
              <w:top w:val="nil"/>
              <w:left w:val="nil"/>
              <w:bottom w:val="nil"/>
              <w:right w:val="nil"/>
            </w:tcBorders>
          </w:tcPr>
          <w:p w14:paraId="1B328D8F" w14:textId="494EDFB2"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18</w:t>
            </w:r>
          </w:p>
        </w:tc>
        <w:tc>
          <w:tcPr>
            <w:tcW w:w="1219" w:type="dxa"/>
            <w:tcBorders>
              <w:top w:val="nil"/>
              <w:left w:val="nil"/>
              <w:bottom w:val="nil"/>
              <w:right w:val="nil"/>
            </w:tcBorders>
          </w:tcPr>
          <w:p w14:paraId="7D6D77F1" w14:textId="71E8853B"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6B9F6650" w14:textId="004C12E9"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5D24FE60" w14:textId="017E2C78"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6F3F97B1" w14:textId="607CB76F"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18</w:t>
            </w:r>
          </w:p>
        </w:tc>
      </w:tr>
      <w:tr w:rsidR="00740865" w:rsidRPr="009E3947" w14:paraId="6CA9932E" w14:textId="7D84F2BB" w:rsidTr="00420223">
        <w:trPr>
          <w:gridAfter w:val="1"/>
          <w:wAfter w:w="6" w:type="dxa"/>
        </w:trPr>
        <w:tc>
          <w:tcPr>
            <w:tcW w:w="992" w:type="dxa"/>
            <w:tcBorders>
              <w:top w:val="nil"/>
              <w:left w:val="nil"/>
              <w:bottom w:val="nil"/>
              <w:right w:val="nil"/>
            </w:tcBorders>
          </w:tcPr>
          <w:p w14:paraId="1A4B96B5" w14:textId="3FD86D82" w:rsidR="00740865" w:rsidRPr="009E3947" w:rsidRDefault="00740865" w:rsidP="00BC15DE">
            <w:pPr>
              <w:rPr>
                <w:rFonts w:eastAsiaTheme="minorHAnsi" w:cs="Calibri"/>
                <w:color w:val="000000"/>
                <w:sz w:val="20"/>
                <w:szCs w:val="20"/>
              </w:rPr>
            </w:pPr>
            <w:r w:rsidRPr="009E3947">
              <w:rPr>
                <w:color w:val="000000"/>
                <w:sz w:val="20"/>
                <w:szCs w:val="20"/>
              </w:rPr>
              <w:t>R100190</w:t>
            </w:r>
          </w:p>
        </w:tc>
        <w:tc>
          <w:tcPr>
            <w:tcW w:w="2974" w:type="dxa"/>
            <w:gridSpan w:val="2"/>
            <w:tcBorders>
              <w:top w:val="nil"/>
              <w:left w:val="nil"/>
              <w:bottom w:val="nil"/>
              <w:right w:val="nil"/>
            </w:tcBorders>
          </w:tcPr>
          <w:p w14:paraId="60E166A8" w14:textId="6CEDE7D8" w:rsidR="00740865" w:rsidRPr="009E3947" w:rsidRDefault="00740865" w:rsidP="00BC15DE">
            <w:pPr>
              <w:rPr>
                <w:rFonts w:eastAsiaTheme="minorHAnsi" w:cs="Calibri"/>
                <w:color w:val="000000"/>
                <w:sz w:val="20"/>
                <w:szCs w:val="20"/>
              </w:rPr>
            </w:pPr>
            <w:r w:rsidRPr="009E3947">
              <w:rPr>
                <w:color w:val="000000"/>
                <w:sz w:val="20"/>
                <w:szCs w:val="20"/>
              </w:rPr>
              <w:t>Ciclo hidrológico</w:t>
            </w:r>
          </w:p>
        </w:tc>
        <w:tc>
          <w:tcPr>
            <w:tcW w:w="1219" w:type="dxa"/>
            <w:tcBorders>
              <w:top w:val="nil"/>
              <w:left w:val="nil"/>
              <w:bottom w:val="nil"/>
              <w:right w:val="nil"/>
            </w:tcBorders>
          </w:tcPr>
          <w:p w14:paraId="422C311E" w14:textId="7DE43E94"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11</w:t>
            </w:r>
          </w:p>
        </w:tc>
        <w:tc>
          <w:tcPr>
            <w:tcW w:w="1219" w:type="dxa"/>
            <w:tcBorders>
              <w:top w:val="nil"/>
              <w:left w:val="nil"/>
              <w:bottom w:val="nil"/>
              <w:right w:val="nil"/>
            </w:tcBorders>
          </w:tcPr>
          <w:p w14:paraId="34652FEE" w14:textId="3841B05F"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28EC83BF" w14:textId="688779DE" w:rsidR="00740865"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(10)</w:t>
            </w:r>
          </w:p>
        </w:tc>
        <w:tc>
          <w:tcPr>
            <w:tcW w:w="1219" w:type="dxa"/>
            <w:tcBorders>
              <w:top w:val="nil"/>
              <w:left w:val="nil"/>
              <w:bottom w:val="nil"/>
              <w:right w:val="nil"/>
            </w:tcBorders>
          </w:tcPr>
          <w:p w14:paraId="1486F867" w14:textId="741FF7B5"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18F43BDF" w14:textId="305B37AE" w:rsidR="00740865"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0</w:t>
            </w:r>
          </w:p>
        </w:tc>
      </w:tr>
      <w:tr w:rsidR="00740865" w:rsidRPr="009E3947" w14:paraId="5940F0FB" w14:textId="5886647C" w:rsidTr="00420223">
        <w:trPr>
          <w:gridAfter w:val="1"/>
          <w:wAfter w:w="6" w:type="dxa"/>
        </w:trPr>
        <w:tc>
          <w:tcPr>
            <w:tcW w:w="992" w:type="dxa"/>
            <w:tcBorders>
              <w:top w:val="nil"/>
              <w:left w:val="nil"/>
              <w:bottom w:val="nil"/>
              <w:right w:val="nil"/>
            </w:tcBorders>
          </w:tcPr>
          <w:p w14:paraId="40803C41" w14:textId="7060DD54" w:rsidR="00740865" w:rsidRPr="009E3947" w:rsidRDefault="00740865" w:rsidP="00BC15DE">
            <w:pPr>
              <w:rPr>
                <w:rFonts w:eastAsiaTheme="minorHAnsi" w:cs="Calibri"/>
                <w:color w:val="000000"/>
                <w:sz w:val="20"/>
                <w:szCs w:val="20"/>
              </w:rPr>
            </w:pPr>
            <w:r w:rsidRPr="009E3947">
              <w:rPr>
                <w:color w:val="000000"/>
                <w:sz w:val="20"/>
                <w:szCs w:val="20"/>
              </w:rPr>
              <w:t>R100311</w:t>
            </w:r>
          </w:p>
        </w:tc>
        <w:tc>
          <w:tcPr>
            <w:tcW w:w="2974" w:type="dxa"/>
            <w:gridSpan w:val="2"/>
            <w:tcBorders>
              <w:top w:val="nil"/>
              <w:left w:val="nil"/>
              <w:bottom w:val="nil"/>
              <w:right w:val="nil"/>
            </w:tcBorders>
          </w:tcPr>
          <w:p w14:paraId="12945CDD" w14:textId="4F17C0D9" w:rsidR="00740865" w:rsidRPr="009E3947" w:rsidRDefault="00740865" w:rsidP="00BC15DE">
            <w:pPr>
              <w:rPr>
                <w:rFonts w:eastAsiaTheme="minorHAnsi" w:cs="Calibri"/>
                <w:color w:val="000000"/>
                <w:sz w:val="20"/>
                <w:szCs w:val="20"/>
              </w:rPr>
            </w:pPr>
            <w:r w:rsidRPr="009E3947">
              <w:rPr>
                <w:color w:val="000000"/>
                <w:sz w:val="20"/>
                <w:szCs w:val="20"/>
              </w:rPr>
              <w:t>Río Cruces</w:t>
            </w:r>
          </w:p>
        </w:tc>
        <w:tc>
          <w:tcPr>
            <w:tcW w:w="1219" w:type="dxa"/>
            <w:tcBorders>
              <w:top w:val="nil"/>
              <w:left w:val="nil"/>
              <w:bottom w:val="nil"/>
              <w:right w:val="nil"/>
            </w:tcBorders>
          </w:tcPr>
          <w:p w14:paraId="60BB3631" w14:textId="5D4E1CDF"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52</w:t>
            </w:r>
          </w:p>
        </w:tc>
        <w:tc>
          <w:tcPr>
            <w:tcW w:w="1219" w:type="dxa"/>
            <w:tcBorders>
              <w:top w:val="nil"/>
              <w:left w:val="nil"/>
              <w:bottom w:val="nil"/>
              <w:right w:val="nil"/>
            </w:tcBorders>
          </w:tcPr>
          <w:p w14:paraId="091AE094" w14:textId="18B68143"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67263B05" w14:textId="2C89B08C"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40B323EE" w14:textId="3946B018"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337637A1" w14:textId="67DE5C43"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52</w:t>
            </w:r>
          </w:p>
        </w:tc>
      </w:tr>
      <w:tr w:rsidR="00740865" w:rsidRPr="009E3947" w14:paraId="50AE6CA0" w14:textId="7D8E2186" w:rsidTr="00420223">
        <w:trPr>
          <w:gridAfter w:val="1"/>
          <w:wAfter w:w="6" w:type="dxa"/>
        </w:trPr>
        <w:tc>
          <w:tcPr>
            <w:tcW w:w="992" w:type="dxa"/>
            <w:tcBorders>
              <w:top w:val="nil"/>
              <w:left w:val="nil"/>
              <w:bottom w:val="nil"/>
              <w:right w:val="nil"/>
            </w:tcBorders>
          </w:tcPr>
          <w:p w14:paraId="724FAB1D" w14:textId="00D17C34" w:rsidR="00740865" w:rsidRPr="009E3947" w:rsidRDefault="00465ECE" w:rsidP="00BC15DE">
            <w:pPr>
              <w:rPr>
                <w:rFonts w:eastAsiaTheme="minorHAnsi" w:cs="Calibri"/>
                <w:color w:val="000000"/>
                <w:sz w:val="20"/>
                <w:szCs w:val="20"/>
              </w:rPr>
            </w:pPr>
            <w:r w:rsidRPr="009E3947">
              <w:rPr>
                <w:color w:val="000000"/>
                <w:sz w:val="20"/>
                <w:szCs w:val="20"/>
              </w:rPr>
              <w:t>R100642</w:t>
            </w:r>
          </w:p>
        </w:tc>
        <w:tc>
          <w:tcPr>
            <w:tcW w:w="2974" w:type="dxa"/>
            <w:gridSpan w:val="2"/>
            <w:tcBorders>
              <w:top w:val="nil"/>
              <w:left w:val="nil"/>
              <w:bottom w:val="nil"/>
              <w:right w:val="nil"/>
            </w:tcBorders>
          </w:tcPr>
          <w:p w14:paraId="75647BEE" w14:textId="7F96802C" w:rsidR="00740865" w:rsidRPr="009E3947" w:rsidRDefault="00465ECE" w:rsidP="00BC15DE">
            <w:pPr>
              <w:rPr>
                <w:rFonts w:eastAsiaTheme="minorHAnsi" w:cs="Calibri"/>
                <w:color w:val="000000"/>
                <w:sz w:val="20"/>
                <w:szCs w:val="20"/>
              </w:rPr>
            </w:pPr>
            <w:r w:rsidRPr="009E3947">
              <w:rPr>
                <w:color w:val="000000"/>
                <w:sz w:val="20"/>
                <w:szCs w:val="20"/>
              </w:rPr>
              <w:t>COP15 – Zimbabwe</w:t>
            </w:r>
          </w:p>
        </w:tc>
        <w:tc>
          <w:tcPr>
            <w:tcW w:w="1219" w:type="dxa"/>
            <w:tcBorders>
              <w:top w:val="nil"/>
              <w:left w:val="nil"/>
              <w:bottom w:val="nil"/>
              <w:right w:val="nil"/>
            </w:tcBorders>
          </w:tcPr>
          <w:p w14:paraId="2AF3582B" w14:textId="2900273C" w:rsidR="00740865" w:rsidRPr="009E3947" w:rsidRDefault="00157335" w:rsidP="00132E65">
            <w:pPr>
              <w:ind w:left="0" w:right="170" w:firstLine="0"/>
              <w:jc w:val="right"/>
              <w:rPr>
                <w:rFonts w:eastAsiaTheme="minorHAnsi" w:cs="Calibri"/>
                <w:color w:val="000000"/>
                <w:sz w:val="20"/>
                <w:szCs w:val="20"/>
              </w:rPr>
            </w:pPr>
            <w:r w:rsidRPr="009E3947">
              <w:rPr>
                <w:color w:val="000000"/>
                <w:sz w:val="20"/>
                <w:szCs w:val="20"/>
              </w:rPr>
              <w:t>(7)</w:t>
            </w:r>
          </w:p>
        </w:tc>
        <w:tc>
          <w:tcPr>
            <w:tcW w:w="1219" w:type="dxa"/>
            <w:tcBorders>
              <w:top w:val="nil"/>
              <w:left w:val="nil"/>
              <w:bottom w:val="nil"/>
              <w:right w:val="nil"/>
            </w:tcBorders>
          </w:tcPr>
          <w:p w14:paraId="548A2317" w14:textId="77D11D6E" w:rsidR="00740865" w:rsidRPr="009E3947" w:rsidRDefault="00157335" w:rsidP="00132E65">
            <w:pPr>
              <w:ind w:left="0" w:right="170" w:firstLine="0"/>
              <w:jc w:val="right"/>
              <w:rPr>
                <w:rFonts w:eastAsiaTheme="minorHAnsi" w:cs="Calibri"/>
                <w:color w:val="000000"/>
                <w:sz w:val="20"/>
                <w:szCs w:val="20"/>
              </w:rPr>
            </w:pPr>
            <w:r w:rsidRPr="009E3947">
              <w:rPr>
                <w:color w:val="000000"/>
                <w:sz w:val="20"/>
                <w:szCs w:val="20"/>
              </w:rPr>
              <w:t>599</w:t>
            </w:r>
          </w:p>
        </w:tc>
        <w:tc>
          <w:tcPr>
            <w:tcW w:w="1219" w:type="dxa"/>
            <w:tcBorders>
              <w:top w:val="nil"/>
              <w:left w:val="nil"/>
              <w:bottom w:val="nil"/>
              <w:right w:val="nil"/>
            </w:tcBorders>
          </w:tcPr>
          <w:p w14:paraId="52710F68" w14:textId="6A8D2205" w:rsidR="00740865"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(9)</w:t>
            </w:r>
          </w:p>
        </w:tc>
        <w:tc>
          <w:tcPr>
            <w:tcW w:w="1219" w:type="dxa"/>
            <w:tcBorders>
              <w:top w:val="nil"/>
              <w:left w:val="nil"/>
              <w:bottom w:val="nil"/>
              <w:right w:val="nil"/>
            </w:tcBorders>
          </w:tcPr>
          <w:p w14:paraId="5668F1C1" w14:textId="7790606A" w:rsidR="00740865"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130F6550" w14:textId="77A59843" w:rsidR="00740865" w:rsidRPr="009E3947" w:rsidRDefault="00157335" w:rsidP="00132E65">
            <w:pPr>
              <w:ind w:left="0" w:right="170" w:firstLine="0"/>
              <w:jc w:val="right"/>
              <w:rPr>
                <w:rFonts w:eastAsiaTheme="minorHAnsi" w:cs="Calibri"/>
                <w:color w:val="000000"/>
                <w:sz w:val="20"/>
                <w:szCs w:val="20"/>
              </w:rPr>
            </w:pPr>
            <w:r w:rsidRPr="009E3947">
              <w:rPr>
                <w:color w:val="000000"/>
                <w:sz w:val="20"/>
                <w:szCs w:val="20"/>
              </w:rPr>
              <w:t>584</w:t>
            </w:r>
          </w:p>
        </w:tc>
      </w:tr>
      <w:tr w:rsidR="00067A3B" w:rsidRPr="009E3947" w14:paraId="3B957BE9" w14:textId="77777777" w:rsidTr="00420223">
        <w:trPr>
          <w:gridAfter w:val="1"/>
          <w:wAfter w:w="6" w:type="dxa"/>
        </w:trPr>
        <w:tc>
          <w:tcPr>
            <w:tcW w:w="992" w:type="dxa"/>
            <w:tcBorders>
              <w:top w:val="nil"/>
              <w:left w:val="nil"/>
              <w:bottom w:val="nil"/>
              <w:right w:val="nil"/>
            </w:tcBorders>
          </w:tcPr>
          <w:p w14:paraId="00ACF30A" w14:textId="11A08EE5" w:rsidR="00067A3B" w:rsidRPr="009E3947" w:rsidRDefault="00067A3B" w:rsidP="00BC15DE">
            <w:pPr>
              <w:rPr>
                <w:rFonts w:eastAsiaTheme="minorHAnsi" w:cs="Calibri"/>
                <w:color w:val="000000"/>
                <w:sz w:val="20"/>
                <w:szCs w:val="20"/>
              </w:rPr>
            </w:pPr>
            <w:r w:rsidRPr="009E3947">
              <w:rPr>
                <w:color w:val="000000"/>
                <w:sz w:val="20"/>
                <w:szCs w:val="20"/>
              </w:rPr>
              <w:t>R100643</w:t>
            </w:r>
          </w:p>
        </w:tc>
        <w:tc>
          <w:tcPr>
            <w:tcW w:w="2974" w:type="dxa"/>
            <w:gridSpan w:val="2"/>
            <w:tcBorders>
              <w:top w:val="nil"/>
              <w:left w:val="nil"/>
              <w:bottom w:val="nil"/>
              <w:right w:val="nil"/>
            </w:tcBorders>
          </w:tcPr>
          <w:p w14:paraId="05F482BB" w14:textId="30EA1FDE" w:rsidR="00067A3B" w:rsidRPr="009E3947" w:rsidRDefault="00067A3B" w:rsidP="00BC15DE">
            <w:pPr>
              <w:rPr>
                <w:rFonts w:eastAsiaTheme="minorHAnsi" w:cs="Calibri"/>
                <w:color w:val="000000"/>
                <w:sz w:val="20"/>
                <w:szCs w:val="20"/>
              </w:rPr>
            </w:pPr>
            <w:r w:rsidRPr="009E3947">
              <w:rPr>
                <w:sz w:val="20"/>
                <w:szCs w:val="20"/>
              </w:rPr>
              <w:t>Delegados patrocinados para la COP15</w:t>
            </w:r>
          </w:p>
        </w:tc>
        <w:tc>
          <w:tcPr>
            <w:tcW w:w="1219" w:type="dxa"/>
            <w:tcBorders>
              <w:top w:val="nil"/>
              <w:left w:val="nil"/>
              <w:bottom w:val="nil"/>
              <w:right w:val="nil"/>
            </w:tcBorders>
          </w:tcPr>
          <w:p w14:paraId="1047E6FA" w14:textId="0723AA0C" w:rsidR="00067A3B"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3174B5C8" w14:textId="3673D59E" w:rsidR="00067A3B"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95</w:t>
            </w:r>
          </w:p>
        </w:tc>
        <w:tc>
          <w:tcPr>
            <w:tcW w:w="1219" w:type="dxa"/>
            <w:tcBorders>
              <w:top w:val="nil"/>
              <w:left w:val="nil"/>
              <w:bottom w:val="nil"/>
              <w:right w:val="nil"/>
            </w:tcBorders>
          </w:tcPr>
          <w:p w14:paraId="656E93A0" w14:textId="08F210BA" w:rsidR="00067A3B"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5E224899" w14:textId="2E4E3D2B" w:rsidR="00067A3B" w:rsidRPr="009E3947" w:rsidRDefault="00067A3B"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64480FDD" w14:textId="14D6EC36" w:rsidR="00067A3B"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95</w:t>
            </w:r>
          </w:p>
        </w:tc>
      </w:tr>
      <w:tr w:rsidR="00F5268D" w:rsidRPr="009E3947" w14:paraId="157CFADF" w14:textId="77777777" w:rsidTr="00420223">
        <w:trPr>
          <w:gridAfter w:val="1"/>
          <w:wAfter w:w="6" w:type="dxa"/>
        </w:trPr>
        <w:tc>
          <w:tcPr>
            <w:tcW w:w="992" w:type="dxa"/>
            <w:tcBorders>
              <w:top w:val="nil"/>
              <w:left w:val="nil"/>
              <w:bottom w:val="nil"/>
              <w:right w:val="nil"/>
            </w:tcBorders>
          </w:tcPr>
          <w:p w14:paraId="52A94662" w14:textId="73BF38D3" w:rsidR="00F5268D" w:rsidRPr="009E3947" w:rsidRDefault="00F5268D" w:rsidP="00BC15DE">
            <w:pPr>
              <w:rPr>
                <w:rFonts w:eastAsiaTheme="minorHAnsi" w:cs="Calibri"/>
                <w:color w:val="000000"/>
                <w:sz w:val="20"/>
                <w:szCs w:val="20"/>
              </w:rPr>
            </w:pPr>
            <w:r w:rsidRPr="009E3947">
              <w:rPr>
                <w:color w:val="000000"/>
                <w:sz w:val="20"/>
                <w:szCs w:val="20"/>
              </w:rPr>
              <w:t>R100644</w:t>
            </w:r>
          </w:p>
        </w:tc>
        <w:tc>
          <w:tcPr>
            <w:tcW w:w="2974" w:type="dxa"/>
            <w:gridSpan w:val="2"/>
            <w:tcBorders>
              <w:top w:val="nil"/>
              <w:left w:val="nil"/>
              <w:bottom w:val="nil"/>
              <w:right w:val="nil"/>
            </w:tcBorders>
          </w:tcPr>
          <w:p w14:paraId="42FDF3D8" w14:textId="427CD506" w:rsidR="00F5268D" w:rsidRPr="009E3947" w:rsidRDefault="00F5268D" w:rsidP="00BC15DE">
            <w:pPr>
              <w:rPr>
                <w:rFonts w:eastAsiaTheme="minorHAnsi" w:cs="Calibri"/>
                <w:sz w:val="20"/>
                <w:szCs w:val="20"/>
              </w:rPr>
            </w:pPr>
            <w:r w:rsidRPr="009E3947">
              <w:rPr>
                <w:sz w:val="20"/>
                <w:szCs w:val="20"/>
              </w:rPr>
              <w:t>Apoyo de la Presidencia china</w:t>
            </w:r>
          </w:p>
        </w:tc>
        <w:tc>
          <w:tcPr>
            <w:tcW w:w="1219" w:type="dxa"/>
            <w:tcBorders>
              <w:top w:val="nil"/>
              <w:left w:val="nil"/>
              <w:bottom w:val="nil"/>
              <w:right w:val="nil"/>
            </w:tcBorders>
          </w:tcPr>
          <w:p w14:paraId="238081EF" w14:textId="0C8122F4" w:rsidR="00F5268D"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140566D9" w14:textId="31DD3927" w:rsidR="00F5268D" w:rsidRPr="009E3947" w:rsidDel="00F5268D" w:rsidRDefault="00F5268D" w:rsidP="00132E65">
            <w:pPr>
              <w:ind w:left="0" w:right="170" w:firstLine="0"/>
              <w:jc w:val="right"/>
              <w:rPr>
                <w:rFonts w:eastAsiaTheme="minorHAnsi" w:cs="Calibri"/>
                <w:color w:val="000000"/>
                <w:sz w:val="20"/>
                <w:szCs w:val="20"/>
              </w:rPr>
            </w:pPr>
            <w:r w:rsidRPr="009E3947">
              <w:rPr>
                <w:color w:val="000000"/>
                <w:sz w:val="20"/>
                <w:szCs w:val="20"/>
              </w:rPr>
              <w:t>188</w:t>
            </w:r>
          </w:p>
        </w:tc>
        <w:tc>
          <w:tcPr>
            <w:tcW w:w="1219" w:type="dxa"/>
            <w:tcBorders>
              <w:top w:val="nil"/>
              <w:left w:val="nil"/>
              <w:bottom w:val="nil"/>
              <w:right w:val="nil"/>
            </w:tcBorders>
          </w:tcPr>
          <w:p w14:paraId="2E474F13" w14:textId="0E6D31D1" w:rsidR="00F5268D"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(2)</w:t>
            </w:r>
          </w:p>
        </w:tc>
        <w:tc>
          <w:tcPr>
            <w:tcW w:w="1219" w:type="dxa"/>
            <w:tcBorders>
              <w:top w:val="nil"/>
              <w:left w:val="nil"/>
              <w:bottom w:val="nil"/>
              <w:right w:val="nil"/>
            </w:tcBorders>
          </w:tcPr>
          <w:p w14:paraId="00B1673E" w14:textId="760FA2F6" w:rsidR="00F5268D"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30D2791C" w14:textId="715FEE06" w:rsidR="00F5268D" w:rsidRPr="009E3947" w:rsidDel="00F5268D" w:rsidRDefault="00F5268D" w:rsidP="00132E65">
            <w:pPr>
              <w:ind w:left="0" w:right="170" w:firstLine="0"/>
              <w:jc w:val="right"/>
              <w:rPr>
                <w:rFonts w:eastAsiaTheme="minorHAnsi" w:cs="Calibri"/>
                <w:color w:val="000000"/>
                <w:sz w:val="20"/>
                <w:szCs w:val="20"/>
              </w:rPr>
            </w:pPr>
            <w:r w:rsidRPr="009E3947">
              <w:rPr>
                <w:color w:val="000000"/>
                <w:sz w:val="20"/>
                <w:szCs w:val="20"/>
              </w:rPr>
              <w:t>186</w:t>
            </w:r>
          </w:p>
        </w:tc>
      </w:tr>
      <w:tr w:rsidR="0069206E" w:rsidRPr="009E3947" w14:paraId="02DF6A6E" w14:textId="77777777" w:rsidTr="00420223">
        <w:trPr>
          <w:gridAfter w:val="1"/>
          <w:wAfter w:w="6" w:type="dxa"/>
        </w:trPr>
        <w:tc>
          <w:tcPr>
            <w:tcW w:w="992" w:type="dxa"/>
            <w:tcBorders>
              <w:top w:val="nil"/>
              <w:left w:val="nil"/>
              <w:bottom w:val="nil"/>
              <w:right w:val="nil"/>
            </w:tcBorders>
          </w:tcPr>
          <w:p w14:paraId="07E2C098" w14:textId="3EEC5B79" w:rsidR="0069206E" w:rsidRPr="009E3947" w:rsidRDefault="0069206E" w:rsidP="00BC15DE">
            <w:pPr>
              <w:rPr>
                <w:rFonts w:eastAsiaTheme="minorHAnsi" w:cs="Calibri"/>
                <w:color w:val="000000"/>
                <w:sz w:val="20"/>
                <w:szCs w:val="20"/>
              </w:rPr>
            </w:pPr>
            <w:r w:rsidRPr="009E3947">
              <w:rPr>
                <w:color w:val="000000"/>
                <w:sz w:val="20"/>
                <w:szCs w:val="20"/>
              </w:rPr>
              <w:t>R100817</w:t>
            </w:r>
          </w:p>
        </w:tc>
        <w:tc>
          <w:tcPr>
            <w:tcW w:w="2974" w:type="dxa"/>
            <w:gridSpan w:val="2"/>
            <w:tcBorders>
              <w:top w:val="nil"/>
              <w:left w:val="nil"/>
              <w:bottom w:val="nil"/>
              <w:right w:val="nil"/>
            </w:tcBorders>
          </w:tcPr>
          <w:p w14:paraId="21033DFE" w14:textId="3056ABC5" w:rsidR="0069206E" w:rsidRPr="009E3947" w:rsidRDefault="0069206E" w:rsidP="00BC15DE">
            <w:pPr>
              <w:rPr>
                <w:rFonts w:eastAsiaTheme="minorHAnsi" w:cs="Calibri"/>
                <w:color w:val="000000"/>
                <w:sz w:val="20"/>
                <w:szCs w:val="20"/>
              </w:rPr>
            </w:pPr>
            <w:r w:rsidRPr="009E3947">
              <w:rPr>
                <w:color w:val="000000"/>
                <w:sz w:val="20"/>
                <w:szCs w:val="20"/>
              </w:rPr>
              <w:t>Danone 2022-2024</w:t>
            </w:r>
          </w:p>
        </w:tc>
        <w:tc>
          <w:tcPr>
            <w:tcW w:w="1219" w:type="dxa"/>
            <w:tcBorders>
              <w:top w:val="nil"/>
              <w:left w:val="nil"/>
              <w:bottom w:val="nil"/>
              <w:right w:val="nil"/>
            </w:tcBorders>
          </w:tcPr>
          <w:p w14:paraId="146E0AA6" w14:textId="33D22B59" w:rsidR="0069206E"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63</w:t>
            </w:r>
          </w:p>
        </w:tc>
        <w:tc>
          <w:tcPr>
            <w:tcW w:w="1219" w:type="dxa"/>
            <w:tcBorders>
              <w:top w:val="nil"/>
              <w:left w:val="nil"/>
              <w:bottom w:val="nil"/>
              <w:right w:val="nil"/>
            </w:tcBorders>
          </w:tcPr>
          <w:p w14:paraId="5C9B3FD2" w14:textId="20D5B878" w:rsidR="0069206E"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66</w:t>
            </w:r>
          </w:p>
        </w:tc>
        <w:tc>
          <w:tcPr>
            <w:tcW w:w="1219" w:type="dxa"/>
            <w:tcBorders>
              <w:top w:val="nil"/>
              <w:left w:val="nil"/>
              <w:bottom w:val="nil"/>
              <w:right w:val="nil"/>
            </w:tcBorders>
          </w:tcPr>
          <w:p w14:paraId="4AEC3A00" w14:textId="143096FB" w:rsidR="0069206E"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(63)</w:t>
            </w:r>
          </w:p>
        </w:tc>
        <w:tc>
          <w:tcPr>
            <w:tcW w:w="1219" w:type="dxa"/>
            <w:tcBorders>
              <w:top w:val="nil"/>
              <w:left w:val="nil"/>
              <w:bottom w:val="nil"/>
              <w:right w:val="nil"/>
            </w:tcBorders>
          </w:tcPr>
          <w:p w14:paraId="6379DC41" w14:textId="271CD9FA" w:rsidR="0069206E"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(8)</w:t>
            </w:r>
          </w:p>
        </w:tc>
        <w:tc>
          <w:tcPr>
            <w:tcW w:w="1218" w:type="dxa"/>
            <w:tcBorders>
              <w:top w:val="nil"/>
              <w:left w:val="nil"/>
              <w:bottom w:val="nil"/>
              <w:right w:val="nil"/>
            </w:tcBorders>
          </w:tcPr>
          <w:p w14:paraId="550383AD" w14:textId="18E3078A" w:rsidR="0069206E"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58</w:t>
            </w:r>
          </w:p>
        </w:tc>
      </w:tr>
      <w:tr w:rsidR="00740865" w:rsidRPr="009E3947" w14:paraId="56B0652B" w14:textId="35C4D483" w:rsidTr="00420223">
        <w:trPr>
          <w:gridAfter w:val="1"/>
          <w:wAfter w:w="6" w:type="dxa"/>
        </w:trPr>
        <w:tc>
          <w:tcPr>
            <w:tcW w:w="992" w:type="dxa"/>
            <w:tcBorders>
              <w:top w:val="nil"/>
              <w:left w:val="nil"/>
              <w:bottom w:val="nil"/>
              <w:right w:val="nil"/>
            </w:tcBorders>
          </w:tcPr>
          <w:p w14:paraId="6AAE1B6B" w14:textId="77EE9701" w:rsidR="00740865" w:rsidRPr="009E3947" w:rsidRDefault="00740865" w:rsidP="00BC15DE">
            <w:pPr>
              <w:rPr>
                <w:rFonts w:eastAsiaTheme="minorHAnsi" w:cs="Calibri"/>
                <w:color w:val="000000"/>
                <w:sz w:val="20"/>
                <w:szCs w:val="20"/>
              </w:rPr>
            </w:pPr>
            <w:r w:rsidRPr="009E3947">
              <w:rPr>
                <w:color w:val="000000"/>
                <w:sz w:val="20"/>
                <w:szCs w:val="20"/>
              </w:rPr>
              <w:t>R100904</w:t>
            </w:r>
          </w:p>
        </w:tc>
        <w:tc>
          <w:tcPr>
            <w:tcW w:w="2974" w:type="dxa"/>
            <w:gridSpan w:val="2"/>
            <w:tcBorders>
              <w:top w:val="nil"/>
              <w:left w:val="nil"/>
              <w:bottom w:val="nil"/>
              <w:right w:val="nil"/>
            </w:tcBorders>
          </w:tcPr>
          <w:p w14:paraId="345EBF5A" w14:textId="631AFE36" w:rsidR="00740865" w:rsidRPr="009E3947" w:rsidRDefault="00740865" w:rsidP="00BC15DE">
            <w:pPr>
              <w:rPr>
                <w:rFonts w:eastAsiaTheme="minorHAnsi" w:cs="Calibri"/>
                <w:color w:val="000000"/>
                <w:sz w:val="20"/>
                <w:szCs w:val="20"/>
              </w:rPr>
            </w:pPr>
            <w:r w:rsidRPr="009E3947">
              <w:rPr>
                <w:color w:val="000000"/>
                <w:sz w:val="20"/>
                <w:szCs w:val="20"/>
              </w:rPr>
              <w:t>GECT</w:t>
            </w:r>
            <w:r w:rsidR="00A10967">
              <w:rPr>
                <w:color w:val="000000"/>
                <w:sz w:val="20"/>
                <w:szCs w:val="20"/>
              </w:rPr>
              <w:t> </w:t>
            </w:r>
            <w:r w:rsidRPr="009E3947">
              <w:rPr>
                <w:color w:val="000000"/>
                <w:sz w:val="20"/>
                <w:szCs w:val="20"/>
              </w:rPr>
              <w:t xml:space="preserve"> no básico</w:t>
            </w:r>
          </w:p>
        </w:tc>
        <w:tc>
          <w:tcPr>
            <w:tcW w:w="1219" w:type="dxa"/>
            <w:tcBorders>
              <w:top w:val="nil"/>
              <w:left w:val="nil"/>
              <w:bottom w:val="nil"/>
              <w:right w:val="nil"/>
            </w:tcBorders>
          </w:tcPr>
          <w:p w14:paraId="31DFA442" w14:textId="5C797CB1"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145</w:t>
            </w:r>
          </w:p>
        </w:tc>
        <w:tc>
          <w:tcPr>
            <w:tcW w:w="1219" w:type="dxa"/>
            <w:tcBorders>
              <w:top w:val="nil"/>
              <w:left w:val="nil"/>
              <w:bottom w:val="nil"/>
              <w:right w:val="nil"/>
            </w:tcBorders>
          </w:tcPr>
          <w:p w14:paraId="6BAD332B" w14:textId="3BB187A4"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6E90E57D" w14:textId="24AD634A"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47C0E9C4" w14:textId="2AC6D704"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4ED4D9B2" w14:textId="293372B8"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145</w:t>
            </w:r>
          </w:p>
        </w:tc>
      </w:tr>
      <w:tr w:rsidR="00740865" w:rsidRPr="009E3947" w14:paraId="6E0585EF" w14:textId="35D66747" w:rsidTr="00420223">
        <w:trPr>
          <w:gridAfter w:val="1"/>
          <w:wAfter w:w="6" w:type="dxa"/>
        </w:trPr>
        <w:tc>
          <w:tcPr>
            <w:tcW w:w="992" w:type="dxa"/>
            <w:tcBorders>
              <w:top w:val="nil"/>
              <w:left w:val="nil"/>
              <w:bottom w:val="nil"/>
              <w:right w:val="nil"/>
            </w:tcBorders>
          </w:tcPr>
          <w:p w14:paraId="482604DA" w14:textId="5B196CFF" w:rsidR="00740865" w:rsidRPr="009E3947" w:rsidRDefault="00740865" w:rsidP="00BC15DE">
            <w:pPr>
              <w:rPr>
                <w:rFonts w:eastAsiaTheme="minorHAnsi" w:cs="Calibri"/>
                <w:color w:val="000000"/>
                <w:sz w:val="20"/>
                <w:szCs w:val="20"/>
              </w:rPr>
            </w:pPr>
            <w:r w:rsidRPr="009E3947">
              <w:rPr>
                <w:color w:val="000000"/>
                <w:sz w:val="20"/>
                <w:szCs w:val="20"/>
              </w:rPr>
              <w:t>R100915</w:t>
            </w:r>
          </w:p>
        </w:tc>
        <w:tc>
          <w:tcPr>
            <w:tcW w:w="2974" w:type="dxa"/>
            <w:gridSpan w:val="2"/>
            <w:tcBorders>
              <w:top w:val="nil"/>
              <w:left w:val="nil"/>
              <w:bottom w:val="nil"/>
              <w:right w:val="nil"/>
            </w:tcBorders>
          </w:tcPr>
          <w:p w14:paraId="7594FE0D" w14:textId="34216C7C" w:rsidR="00740865" w:rsidRPr="009E3947" w:rsidRDefault="00F57402" w:rsidP="00BC15DE">
            <w:pPr>
              <w:rPr>
                <w:rFonts w:eastAsiaTheme="minorHAnsi" w:cs="Calibri"/>
                <w:color w:val="000000"/>
                <w:sz w:val="20"/>
                <w:szCs w:val="20"/>
              </w:rPr>
            </w:pPr>
            <w:r w:rsidRPr="009E3947">
              <w:rPr>
                <w:color w:val="000000"/>
                <w:sz w:val="20"/>
                <w:szCs w:val="20"/>
              </w:rPr>
              <w:t>Trabajo sobre género</w:t>
            </w:r>
          </w:p>
        </w:tc>
        <w:tc>
          <w:tcPr>
            <w:tcW w:w="1219" w:type="dxa"/>
            <w:tcBorders>
              <w:top w:val="nil"/>
              <w:left w:val="nil"/>
              <w:bottom w:val="nil"/>
              <w:right w:val="nil"/>
            </w:tcBorders>
          </w:tcPr>
          <w:p w14:paraId="6FE33746" w14:textId="7FA7325A" w:rsidR="00740865"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2</w:t>
            </w:r>
          </w:p>
        </w:tc>
        <w:tc>
          <w:tcPr>
            <w:tcW w:w="1219" w:type="dxa"/>
            <w:tcBorders>
              <w:top w:val="nil"/>
              <w:left w:val="nil"/>
              <w:bottom w:val="nil"/>
              <w:right w:val="nil"/>
            </w:tcBorders>
          </w:tcPr>
          <w:p w14:paraId="7ACC70B0" w14:textId="4C43991C" w:rsidR="00740865"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36</w:t>
            </w:r>
          </w:p>
        </w:tc>
        <w:tc>
          <w:tcPr>
            <w:tcW w:w="1219" w:type="dxa"/>
            <w:tcBorders>
              <w:top w:val="nil"/>
              <w:left w:val="nil"/>
              <w:bottom w:val="nil"/>
              <w:right w:val="nil"/>
            </w:tcBorders>
          </w:tcPr>
          <w:p w14:paraId="100BFE4F" w14:textId="14E1F2AD" w:rsidR="00740865"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(35)</w:t>
            </w:r>
          </w:p>
        </w:tc>
        <w:tc>
          <w:tcPr>
            <w:tcW w:w="1219" w:type="dxa"/>
            <w:tcBorders>
              <w:top w:val="nil"/>
              <w:left w:val="nil"/>
              <w:bottom w:val="nil"/>
              <w:right w:val="nil"/>
            </w:tcBorders>
          </w:tcPr>
          <w:p w14:paraId="3727E59B" w14:textId="089CB3E0" w:rsidR="00740865" w:rsidRPr="009E3947" w:rsidRDefault="00157335" w:rsidP="00132E65">
            <w:pPr>
              <w:ind w:left="0" w:right="170" w:firstLine="0"/>
              <w:jc w:val="right"/>
              <w:rPr>
                <w:rFonts w:eastAsiaTheme="minorHAnsi" w:cs="Calibri"/>
                <w:color w:val="000000"/>
                <w:sz w:val="20"/>
                <w:szCs w:val="20"/>
              </w:rPr>
            </w:pPr>
            <w:r w:rsidRPr="009E3947">
              <w:rPr>
                <w:color w:val="000000"/>
                <w:sz w:val="20"/>
                <w:szCs w:val="20"/>
              </w:rPr>
              <w:t>(3)</w:t>
            </w:r>
          </w:p>
        </w:tc>
        <w:tc>
          <w:tcPr>
            <w:tcW w:w="1218" w:type="dxa"/>
            <w:tcBorders>
              <w:top w:val="nil"/>
              <w:left w:val="nil"/>
              <w:bottom w:val="nil"/>
              <w:right w:val="nil"/>
            </w:tcBorders>
          </w:tcPr>
          <w:p w14:paraId="10A03B09" w14:textId="3B279EC8" w:rsidR="00740865"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0</w:t>
            </w:r>
          </w:p>
        </w:tc>
      </w:tr>
      <w:tr w:rsidR="00740865" w:rsidRPr="009E3947" w14:paraId="511DA490" w14:textId="1BA9BEFA" w:rsidTr="00420223">
        <w:trPr>
          <w:gridAfter w:val="1"/>
          <w:wAfter w:w="6" w:type="dxa"/>
        </w:trPr>
        <w:tc>
          <w:tcPr>
            <w:tcW w:w="992" w:type="dxa"/>
            <w:tcBorders>
              <w:top w:val="nil"/>
              <w:left w:val="nil"/>
              <w:bottom w:val="nil"/>
              <w:right w:val="nil"/>
            </w:tcBorders>
          </w:tcPr>
          <w:p w14:paraId="64F00E78" w14:textId="53C08D03" w:rsidR="00740865" w:rsidRPr="009E3947" w:rsidRDefault="0012707B" w:rsidP="00BC15DE">
            <w:pPr>
              <w:rPr>
                <w:rFonts w:eastAsiaTheme="minorHAnsi" w:cs="Calibri"/>
                <w:color w:val="000000"/>
                <w:sz w:val="20"/>
                <w:szCs w:val="20"/>
              </w:rPr>
            </w:pPr>
            <w:r w:rsidRPr="009E3947">
              <w:rPr>
                <w:color w:val="000000"/>
                <w:sz w:val="20"/>
                <w:szCs w:val="20"/>
              </w:rPr>
              <w:t>R100916</w:t>
            </w:r>
          </w:p>
        </w:tc>
        <w:tc>
          <w:tcPr>
            <w:tcW w:w="2974" w:type="dxa"/>
            <w:gridSpan w:val="2"/>
            <w:tcBorders>
              <w:top w:val="nil"/>
              <w:left w:val="nil"/>
              <w:bottom w:val="nil"/>
              <w:right w:val="nil"/>
            </w:tcBorders>
          </w:tcPr>
          <w:p w14:paraId="6867FA1E" w14:textId="7A4AD4C4" w:rsidR="00740865" w:rsidRPr="009E3947" w:rsidRDefault="0012707B" w:rsidP="00BC15DE">
            <w:pPr>
              <w:rPr>
                <w:rFonts w:eastAsiaTheme="minorHAnsi" w:cs="Calibri"/>
                <w:color w:val="000000"/>
                <w:sz w:val="20"/>
                <w:szCs w:val="20"/>
              </w:rPr>
            </w:pPr>
            <w:r w:rsidRPr="009E3947">
              <w:rPr>
                <w:color w:val="000000"/>
                <w:sz w:val="20"/>
                <w:szCs w:val="20"/>
              </w:rPr>
              <w:t>Creación de capacidad con cargo a fondos complementarios</w:t>
            </w:r>
          </w:p>
        </w:tc>
        <w:tc>
          <w:tcPr>
            <w:tcW w:w="1219" w:type="dxa"/>
            <w:tcBorders>
              <w:top w:val="nil"/>
              <w:left w:val="nil"/>
              <w:bottom w:val="nil"/>
              <w:right w:val="nil"/>
            </w:tcBorders>
          </w:tcPr>
          <w:p w14:paraId="77F339A5" w14:textId="7A032084" w:rsidR="00740865"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33</w:t>
            </w:r>
          </w:p>
        </w:tc>
        <w:tc>
          <w:tcPr>
            <w:tcW w:w="1219" w:type="dxa"/>
            <w:tcBorders>
              <w:top w:val="nil"/>
              <w:left w:val="nil"/>
              <w:bottom w:val="nil"/>
              <w:right w:val="nil"/>
            </w:tcBorders>
          </w:tcPr>
          <w:p w14:paraId="48F76C99" w14:textId="4F42FD9F" w:rsidR="00740865" w:rsidRPr="009E3947" w:rsidRDefault="00F57402"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570DF496" w14:textId="58A50A0E" w:rsidR="00740865"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(12)</w:t>
            </w:r>
          </w:p>
        </w:tc>
        <w:tc>
          <w:tcPr>
            <w:tcW w:w="1219" w:type="dxa"/>
            <w:tcBorders>
              <w:top w:val="nil"/>
              <w:left w:val="nil"/>
              <w:bottom w:val="nil"/>
              <w:right w:val="nil"/>
            </w:tcBorders>
          </w:tcPr>
          <w:p w14:paraId="4D6CF183" w14:textId="78DC8060"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677A1251" w14:textId="4E7F9B85" w:rsidR="00740865"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20</w:t>
            </w:r>
          </w:p>
        </w:tc>
      </w:tr>
      <w:tr w:rsidR="00740865" w:rsidRPr="009E3947" w14:paraId="4D815812" w14:textId="02092D6C" w:rsidTr="00420223">
        <w:trPr>
          <w:gridAfter w:val="1"/>
          <w:wAfter w:w="6" w:type="dxa"/>
        </w:trPr>
        <w:tc>
          <w:tcPr>
            <w:tcW w:w="992" w:type="dxa"/>
            <w:tcBorders>
              <w:top w:val="nil"/>
              <w:left w:val="nil"/>
              <w:bottom w:val="nil"/>
              <w:right w:val="nil"/>
            </w:tcBorders>
          </w:tcPr>
          <w:p w14:paraId="793EFACE" w14:textId="3B4497D5" w:rsidR="00740865" w:rsidRPr="009E3947" w:rsidRDefault="0012707B" w:rsidP="00BC15DE">
            <w:pPr>
              <w:rPr>
                <w:rFonts w:eastAsiaTheme="minorHAnsi" w:cs="Calibri"/>
                <w:color w:val="000000"/>
                <w:sz w:val="20"/>
                <w:szCs w:val="20"/>
              </w:rPr>
            </w:pPr>
            <w:r w:rsidRPr="009E3947">
              <w:rPr>
                <w:color w:val="000000"/>
                <w:sz w:val="20"/>
                <w:szCs w:val="20"/>
              </w:rPr>
              <w:t>R100917</w:t>
            </w:r>
          </w:p>
        </w:tc>
        <w:tc>
          <w:tcPr>
            <w:tcW w:w="2974" w:type="dxa"/>
            <w:gridSpan w:val="2"/>
            <w:tcBorders>
              <w:top w:val="nil"/>
              <w:left w:val="nil"/>
              <w:bottom w:val="nil"/>
              <w:right w:val="nil"/>
            </w:tcBorders>
          </w:tcPr>
          <w:p w14:paraId="0028B085" w14:textId="334125AC" w:rsidR="00740865" w:rsidRPr="009E3947" w:rsidRDefault="0012707B" w:rsidP="00BC15DE">
            <w:pPr>
              <w:rPr>
                <w:rFonts w:eastAsiaTheme="minorHAnsi" w:cs="Calibri"/>
                <w:color w:val="000000"/>
                <w:sz w:val="20"/>
                <w:szCs w:val="20"/>
              </w:rPr>
            </w:pPr>
            <w:r w:rsidRPr="009E3947">
              <w:rPr>
                <w:color w:val="000000"/>
                <w:sz w:val="20"/>
                <w:szCs w:val="20"/>
              </w:rPr>
              <w:t>Inventarios nacionales de humedales</w:t>
            </w:r>
          </w:p>
        </w:tc>
        <w:tc>
          <w:tcPr>
            <w:tcW w:w="1219" w:type="dxa"/>
            <w:tcBorders>
              <w:top w:val="nil"/>
              <w:left w:val="nil"/>
              <w:bottom w:val="nil"/>
              <w:right w:val="nil"/>
            </w:tcBorders>
          </w:tcPr>
          <w:p w14:paraId="34087F36" w14:textId="341742D0" w:rsidR="00740865" w:rsidRPr="009E3947" w:rsidRDefault="009E7FF2" w:rsidP="00132E65">
            <w:pPr>
              <w:ind w:left="0" w:right="170" w:firstLine="0"/>
              <w:jc w:val="right"/>
              <w:rPr>
                <w:rFonts w:eastAsiaTheme="minorHAnsi" w:cs="Calibri"/>
                <w:color w:val="000000"/>
                <w:sz w:val="20"/>
                <w:szCs w:val="20"/>
              </w:rPr>
            </w:pPr>
            <w:r w:rsidRPr="009E3947">
              <w:rPr>
                <w:color w:val="000000"/>
                <w:sz w:val="20"/>
                <w:szCs w:val="20"/>
              </w:rPr>
              <w:t>251</w:t>
            </w:r>
          </w:p>
        </w:tc>
        <w:tc>
          <w:tcPr>
            <w:tcW w:w="1219" w:type="dxa"/>
            <w:tcBorders>
              <w:top w:val="nil"/>
              <w:left w:val="nil"/>
              <w:bottom w:val="nil"/>
              <w:right w:val="nil"/>
            </w:tcBorders>
          </w:tcPr>
          <w:p w14:paraId="45050A7E" w14:textId="21AF0CF0" w:rsidR="00740865" w:rsidRPr="009E3947" w:rsidRDefault="00B07697" w:rsidP="00132E65">
            <w:pPr>
              <w:ind w:left="0" w:right="170" w:firstLine="0"/>
              <w:jc w:val="right"/>
              <w:rPr>
                <w:rFonts w:eastAsiaTheme="minorHAnsi" w:cs="Calibri"/>
                <w:color w:val="000000"/>
                <w:sz w:val="20"/>
                <w:szCs w:val="20"/>
              </w:rPr>
            </w:pPr>
            <w:r w:rsidRPr="009E3947">
              <w:rPr>
                <w:color w:val="000000"/>
                <w:sz w:val="20"/>
                <w:szCs w:val="20"/>
              </w:rPr>
              <w:t>50</w:t>
            </w:r>
          </w:p>
        </w:tc>
        <w:tc>
          <w:tcPr>
            <w:tcW w:w="1219" w:type="dxa"/>
            <w:tcBorders>
              <w:top w:val="nil"/>
              <w:left w:val="nil"/>
              <w:bottom w:val="nil"/>
              <w:right w:val="nil"/>
            </w:tcBorders>
          </w:tcPr>
          <w:p w14:paraId="6D705DC3" w14:textId="107E0E64"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(57)</w:t>
            </w:r>
          </w:p>
        </w:tc>
        <w:tc>
          <w:tcPr>
            <w:tcW w:w="1219" w:type="dxa"/>
            <w:tcBorders>
              <w:top w:val="nil"/>
              <w:left w:val="nil"/>
              <w:bottom w:val="nil"/>
              <w:right w:val="nil"/>
            </w:tcBorders>
          </w:tcPr>
          <w:p w14:paraId="0AC9E174" w14:textId="4EFADA55" w:rsidR="00740865"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(5)</w:t>
            </w:r>
          </w:p>
        </w:tc>
        <w:tc>
          <w:tcPr>
            <w:tcW w:w="1218" w:type="dxa"/>
            <w:tcBorders>
              <w:top w:val="nil"/>
              <w:left w:val="nil"/>
              <w:bottom w:val="nil"/>
              <w:right w:val="nil"/>
            </w:tcBorders>
          </w:tcPr>
          <w:p w14:paraId="7DDAC9EC" w14:textId="0896DE14" w:rsidR="00740865"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240</w:t>
            </w:r>
          </w:p>
        </w:tc>
      </w:tr>
      <w:tr w:rsidR="00F57402" w:rsidRPr="009E3947" w14:paraId="5997C106" w14:textId="77777777" w:rsidTr="00420223">
        <w:trPr>
          <w:gridAfter w:val="1"/>
          <w:wAfter w:w="6" w:type="dxa"/>
        </w:trPr>
        <w:tc>
          <w:tcPr>
            <w:tcW w:w="992" w:type="dxa"/>
            <w:tcBorders>
              <w:top w:val="nil"/>
              <w:left w:val="nil"/>
              <w:bottom w:val="nil"/>
              <w:right w:val="nil"/>
            </w:tcBorders>
          </w:tcPr>
          <w:p w14:paraId="7C58D952" w14:textId="5A5A7A3E" w:rsidR="00F57402" w:rsidRPr="009E3947" w:rsidRDefault="00F57402" w:rsidP="00BC15DE">
            <w:pPr>
              <w:rPr>
                <w:rFonts w:eastAsiaTheme="minorHAnsi" w:cs="Calibri"/>
                <w:color w:val="000000"/>
                <w:sz w:val="20"/>
                <w:szCs w:val="20"/>
              </w:rPr>
            </w:pPr>
            <w:r w:rsidRPr="009E3947">
              <w:rPr>
                <w:color w:val="000000"/>
                <w:sz w:val="20"/>
                <w:szCs w:val="20"/>
              </w:rPr>
              <w:t>R100918</w:t>
            </w:r>
          </w:p>
        </w:tc>
        <w:tc>
          <w:tcPr>
            <w:tcW w:w="2974" w:type="dxa"/>
            <w:gridSpan w:val="2"/>
            <w:tcBorders>
              <w:top w:val="nil"/>
              <w:left w:val="nil"/>
              <w:bottom w:val="nil"/>
              <w:right w:val="nil"/>
            </w:tcBorders>
          </w:tcPr>
          <w:p w14:paraId="779612C6" w14:textId="2494DF31" w:rsidR="00F57402" w:rsidRPr="009E3947" w:rsidRDefault="00F57402" w:rsidP="00BC15DE">
            <w:pPr>
              <w:rPr>
                <w:rFonts w:eastAsiaTheme="minorHAnsi" w:cs="Calibri"/>
                <w:color w:val="000000"/>
                <w:sz w:val="20"/>
                <w:szCs w:val="20"/>
              </w:rPr>
            </w:pPr>
            <w:r w:rsidRPr="009E3947">
              <w:rPr>
                <w:color w:val="000000"/>
                <w:sz w:val="20"/>
                <w:szCs w:val="20"/>
              </w:rPr>
              <w:t>La juventud y los humedales</w:t>
            </w:r>
          </w:p>
        </w:tc>
        <w:tc>
          <w:tcPr>
            <w:tcW w:w="1219" w:type="dxa"/>
            <w:tcBorders>
              <w:top w:val="nil"/>
              <w:left w:val="nil"/>
              <w:bottom w:val="nil"/>
              <w:right w:val="nil"/>
            </w:tcBorders>
          </w:tcPr>
          <w:p w14:paraId="535B3D06" w14:textId="371518D4" w:rsidR="00F57402" w:rsidRPr="009E3947" w:rsidDel="0069206E" w:rsidRDefault="009E7FF2" w:rsidP="00132E65">
            <w:pPr>
              <w:ind w:left="0" w:right="170" w:firstLine="0"/>
              <w:jc w:val="right"/>
              <w:rPr>
                <w:rFonts w:eastAsiaTheme="minorHAnsi" w:cs="Calibri"/>
                <w:color w:val="000000"/>
                <w:sz w:val="20"/>
                <w:szCs w:val="20"/>
              </w:rPr>
            </w:pPr>
            <w:r w:rsidRPr="009E3947">
              <w:rPr>
                <w:color w:val="000000"/>
                <w:sz w:val="20"/>
                <w:szCs w:val="20"/>
              </w:rPr>
              <w:t>139</w:t>
            </w:r>
          </w:p>
        </w:tc>
        <w:tc>
          <w:tcPr>
            <w:tcW w:w="1219" w:type="dxa"/>
            <w:tcBorders>
              <w:top w:val="nil"/>
              <w:left w:val="nil"/>
              <w:bottom w:val="nil"/>
              <w:right w:val="nil"/>
            </w:tcBorders>
          </w:tcPr>
          <w:p w14:paraId="6E40FC33" w14:textId="755739F5" w:rsidR="00F57402"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(62)</w:t>
            </w:r>
          </w:p>
        </w:tc>
        <w:tc>
          <w:tcPr>
            <w:tcW w:w="1219" w:type="dxa"/>
            <w:tcBorders>
              <w:top w:val="nil"/>
              <w:left w:val="nil"/>
              <w:bottom w:val="nil"/>
              <w:right w:val="nil"/>
            </w:tcBorders>
          </w:tcPr>
          <w:p w14:paraId="4E181561" w14:textId="2DC8FDAF" w:rsidR="00F57402" w:rsidRPr="009E3947" w:rsidRDefault="00F1014B" w:rsidP="00132E65">
            <w:pPr>
              <w:ind w:left="0" w:right="170" w:firstLine="0"/>
              <w:jc w:val="right"/>
              <w:rPr>
                <w:rFonts w:eastAsiaTheme="minorHAnsi" w:cs="Calibri"/>
                <w:color w:val="000000"/>
                <w:sz w:val="20"/>
                <w:szCs w:val="20"/>
              </w:rPr>
            </w:pPr>
            <w:r w:rsidRPr="009E3947">
              <w:rPr>
                <w:color w:val="000000"/>
                <w:sz w:val="20"/>
                <w:szCs w:val="20"/>
              </w:rPr>
              <w:t>(10)</w:t>
            </w:r>
          </w:p>
        </w:tc>
        <w:tc>
          <w:tcPr>
            <w:tcW w:w="1219" w:type="dxa"/>
            <w:tcBorders>
              <w:top w:val="nil"/>
              <w:left w:val="nil"/>
              <w:bottom w:val="nil"/>
              <w:right w:val="nil"/>
            </w:tcBorders>
          </w:tcPr>
          <w:p w14:paraId="0CF916F6" w14:textId="1E63039F" w:rsidR="00F57402" w:rsidRPr="009E3947" w:rsidRDefault="00465ECE"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4AF2A459" w14:textId="12B8E470" w:rsidR="00F57402" w:rsidRPr="009E3947" w:rsidRDefault="00F1014B" w:rsidP="00132E65">
            <w:pPr>
              <w:ind w:left="0" w:right="170" w:firstLine="0"/>
              <w:jc w:val="right"/>
              <w:rPr>
                <w:rFonts w:eastAsiaTheme="minorHAnsi" w:cs="Calibri"/>
                <w:color w:val="000000"/>
                <w:sz w:val="20"/>
                <w:szCs w:val="20"/>
              </w:rPr>
            </w:pPr>
            <w:r w:rsidRPr="009E3947">
              <w:rPr>
                <w:color w:val="000000"/>
                <w:sz w:val="20"/>
                <w:szCs w:val="20"/>
              </w:rPr>
              <w:t>67</w:t>
            </w:r>
          </w:p>
        </w:tc>
      </w:tr>
      <w:tr w:rsidR="00465ECE" w:rsidRPr="009E3947" w14:paraId="3780D9D6" w14:textId="77777777" w:rsidTr="00420223">
        <w:trPr>
          <w:gridAfter w:val="1"/>
          <w:wAfter w:w="6" w:type="dxa"/>
        </w:trPr>
        <w:tc>
          <w:tcPr>
            <w:tcW w:w="992" w:type="dxa"/>
            <w:tcBorders>
              <w:top w:val="nil"/>
              <w:left w:val="nil"/>
              <w:bottom w:val="nil"/>
              <w:right w:val="nil"/>
            </w:tcBorders>
          </w:tcPr>
          <w:p w14:paraId="3C041B1C" w14:textId="657611A2" w:rsidR="00465ECE" w:rsidRPr="009E3947" w:rsidRDefault="00465ECE" w:rsidP="00BC15DE">
            <w:pPr>
              <w:rPr>
                <w:rFonts w:eastAsiaTheme="minorHAnsi" w:cs="Calibri"/>
                <w:color w:val="000000"/>
                <w:sz w:val="20"/>
                <w:szCs w:val="20"/>
              </w:rPr>
            </w:pPr>
            <w:r w:rsidRPr="009E3947">
              <w:rPr>
                <w:color w:val="000000"/>
                <w:sz w:val="20"/>
                <w:szCs w:val="20"/>
              </w:rPr>
              <w:t>R100919</w:t>
            </w:r>
          </w:p>
        </w:tc>
        <w:tc>
          <w:tcPr>
            <w:tcW w:w="2974" w:type="dxa"/>
            <w:gridSpan w:val="2"/>
            <w:tcBorders>
              <w:top w:val="nil"/>
              <w:left w:val="nil"/>
              <w:bottom w:val="nil"/>
              <w:right w:val="nil"/>
            </w:tcBorders>
          </w:tcPr>
          <w:p w14:paraId="0490DA1E" w14:textId="654EFDC4" w:rsidR="00465ECE" w:rsidRPr="009E3947" w:rsidRDefault="00465ECE" w:rsidP="00BC15DE">
            <w:pPr>
              <w:rPr>
                <w:rFonts w:eastAsiaTheme="minorHAnsi" w:cs="Calibri"/>
                <w:color w:val="000000"/>
                <w:sz w:val="20"/>
                <w:szCs w:val="20"/>
              </w:rPr>
            </w:pPr>
            <w:r w:rsidRPr="009E3947">
              <w:rPr>
                <w:color w:val="000000"/>
                <w:sz w:val="20"/>
                <w:szCs w:val="20"/>
              </w:rPr>
              <w:t>Evaluación sobre Ucrania</w:t>
            </w:r>
          </w:p>
        </w:tc>
        <w:tc>
          <w:tcPr>
            <w:tcW w:w="1219" w:type="dxa"/>
            <w:tcBorders>
              <w:top w:val="nil"/>
              <w:left w:val="nil"/>
              <w:bottom w:val="nil"/>
              <w:right w:val="nil"/>
            </w:tcBorders>
          </w:tcPr>
          <w:p w14:paraId="440C5550" w14:textId="47440E8A" w:rsidR="00465ECE" w:rsidRPr="009E3947" w:rsidDel="009E7FF2" w:rsidRDefault="00734BED" w:rsidP="00132E65">
            <w:pPr>
              <w:ind w:left="0" w:right="170" w:firstLine="0"/>
              <w:jc w:val="right"/>
              <w:rPr>
                <w:rFonts w:eastAsiaTheme="minorHAnsi" w:cs="Calibri"/>
                <w:color w:val="000000"/>
                <w:sz w:val="20"/>
                <w:szCs w:val="20"/>
              </w:rPr>
            </w:pPr>
            <w:r w:rsidRPr="009E3947">
              <w:rPr>
                <w:color w:val="000000"/>
                <w:sz w:val="20"/>
                <w:szCs w:val="20"/>
              </w:rPr>
              <w:t>160</w:t>
            </w:r>
          </w:p>
        </w:tc>
        <w:tc>
          <w:tcPr>
            <w:tcW w:w="1219" w:type="dxa"/>
            <w:tcBorders>
              <w:top w:val="nil"/>
              <w:left w:val="nil"/>
              <w:bottom w:val="nil"/>
              <w:right w:val="nil"/>
            </w:tcBorders>
          </w:tcPr>
          <w:p w14:paraId="2831C28B" w14:textId="18EE9D00" w:rsidR="00465ECE"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13</w:t>
            </w:r>
          </w:p>
        </w:tc>
        <w:tc>
          <w:tcPr>
            <w:tcW w:w="1219" w:type="dxa"/>
            <w:tcBorders>
              <w:top w:val="nil"/>
              <w:left w:val="nil"/>
              <w:bottom w:val="nil"/>
              <w:right w:val="nil"/>
            </w:tcBorders>
          </w:tcPr>
          <w:p w14:paraId="1801183A" w14:textId="1ED247A9" w:rsidR="00465ECE"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(163)</w:t>
            </w:r>
          </w:p>
        </w:tc>
        <w:tc>
          <w:tcPr>
            <w:tcW w:w="1219" w:type="dxa"/>
            <w:tcBorders>
              <w:top w:val="nil"/>
              <w:left w:val="nil"/>
              <w:bottom w:val="nil"/>
              <w:right w:val="nil"/>
            </w:tcBorders>
          </w:tcPr>
          <w:p w14:paraId="7D0B38B7" w14:textId="1509CCD0" w:rsidR="00465ECE"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(1)</w:t>
            </w:r>
          </w:p>
        </w:tc>
        <w:tc>
          <w:tcPr>
            <w:tcW w:w="1218" w:type="dxa"/>
            <w:tcBorders>
              <w:top w:val="nil"/>
              <w:left w:val="nil"/>
              <w:bottom w:val="nil"/>
              <w:right w:val="nil"/>
            </w:tcBorders>
          </w:tcPr>
          <w:p w14:paraId="328BC7E8" w14:textId="0413E030" w:rsidR="00465ECE"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9</w:t>
            </w:r>
          </w:p>
        </w:tc>
      </w:tr>
      <w:tr w:rsidR="00740865" w:rsidRPr="009E3947" w14:paraId="27A23456" w14:textId="4A68FD25" w:rsidTr="00D11152">
        <w:trPr>
          <w:gridAfter w:val="1"/>
          <w:wAfter w:w="6" w:type="dxa"/>
        </w:trPr>
        <w:tc>
          <w:tcPr>
            <w:tcW w:w="992" w:type="dxa"/>
            <w:tcBorders>
              <w:top w:val="nil"/>
              <w:left w:val="nil"/>
              <w:bottom w:val="nil"/>
              <w:right w:val="nil"/>
            </w:tcBorders>
          </w:tcPr>
          <w:p w14:paraId="761C95C2" w14:textId="35204620" w:rsidR="00740865" w:rsidRPr="009E3947" w:rsidRDefault="00740865" w:rsidP="00BC15DE">
            <w:pPr>
              <w:rPr>
                <w:rFonts w:eastAsiaTheme="minorHAnsi" w:cs="Calibri"/>
                <w:color w:val="000000"/>
                <w:sz w:val="20"/>
                <w:szCs w:val="20"/>
              </w:rPr>
            </w:pPr>
            <w:r w:rsidRPr="009E3947">
              <w:rPr>
                <w:color w:val="000000"/>
                <w:sz w:val="20"/>
                <w:szCs w:val="20"/>
              </w:rPr>
              <w:t>R101006</w:t>
            </w:r>
          </w:p>
        </w:tc>
        <w:tc>
          <w:tcPr>
            <w:tcW w:w="2974" w:type="dxa"/>
            <w:gridSpan w:val="2"/>
            <w:tcBorders>
              <w:top w:val="nil"/>
              <w:left w:val="nil"/>
              <w:bottom w:val="nil"/>
              <w:right w:val="nil"/>
            </w:tcBorders>
          </w:tcPr>
          <w:p w14:paraId="41AA30E8" w14:textId="226A3095" w:rsidR="00740865" w:rsidRPr="009E3947" w:rsidRDefault="00740865" w:rsidP="00BC15DE">
            <w:pPr>
              <w:rPr>
                <w:rFonts w:eastAsiaTheme="minorHAnsi" w:cs="Calibri"/>
                <w:color w:val="000000"/>
                <w:sz w:val="20"/>
                <w:szCs w:val="20"/>
              </w:rPr>
            </w:pPr>
            <w:r w:rsidRPr="009E3947">
              <w:rPr>
                <w:color w:val="000000"/>
                <w:sz w:val="20"/>
                <w:szCs w:val="20"/>
              </w:rPr>
              <w:t>Cambio climático</w:t>
            </w:r>
          </w:p>
        </w:tc>
        <w:tc>
          <w:tcPr>
            <w:tcW w:w="1219" w:type="dxa"/>
            <w:tcBorders>
              <w:top w:val="nil"/>
              <w:left w:val="nil"/>
              <w:right w:val="nil"/>
            </w:tcBorders>
          </w:tcPr>
          <w:p w14:paraId="392310D2" w14:textId="739BC6D3"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50</w:t>
            </w:r>
          </w:p>
        </w:tc>
        <w:tc>
          <w:tcPr>
            <w:tcW w:w="1219" w:type="dxa"/>
            <w:tcBorders>
              <w:top w:val="nil"/>
              <w:left w:val="nil"/>
              <w:right w:val="nil"/>
            </w:tcBorders>
          </w:tcPr>
          <w:p w14:paraId="11490848" w14:textId="3A278630"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nil"/>
              <w:right w:val="nil"/>
            </w:tcBorders>
          </w:tcPr>
          <w:p w14:paraId="39CF6A47" w14:textId="1953AAE5"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(16)</w:t>
            </w:r>
          </w:p>
        </w:tc>
        <w:tc>
          <w:tcPr>
            <w:tcW w:w="1219" w:type="dxa"/>
            <w:tcBorders>
              <w:top w:val="nil"/>
              <w:left w:val="nil"/>
              <w:bottom w:val="nil"/>
              <w:right w:val="nil"/>
            </w:tcBorders>
          </w:tcPr>
          <w:p w14:paraId="652D0181" w14:textId="39CFC34C"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0A9F984B" w14:textId="7284059C"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34</w:t>
            </w:r>
          </w:p>
        </w:tc>
      </w:tr>
      <w:tr w:rsidR="00740865" w:rsidRPr="009E3947" w14:paraId="039372CF" w14:textId="4CAF2BC2" w:rsidTr="00D11152">
        <w:trPr>
          <w:gridAfter w:val="1"/>
          <w:wAfter w:w="6" w:type="dxa"/>
        </w:trPr>
        <w:tc>
          <w:tcPr>
            <w:tcW w:w="992" w:type="dxa"/>
            <w:tcBorders>
              <w:top w:val="nil"/>
              <w:left w:val="nil"/>
              <w:bottom w:val="nil"/>
              <w:right w:val="nil"/>
            </w:tcBorders>
          </w:tcPr>
          <w:p w14:paraId="14BE9ED6" w14:textId="38C45ED8" w:rsidR="00740865" w:rsidRPr="009E3947" w:rsidRDefault="00740865" w:rsidP="00BC15DE">
            <w:pPr>
              <w:rPr>
                <w:rFonts w:eastAsiaTheme="minorHAnsi" w:cs="Calibri"/>
                <w:color w:val="000000"/>
                <w:sz w:val="20"/>
                <w:szCs w:val="20"/>
              </w:rPr>
            </w:pPr>
            <w:r w:rsidRPr="009E3947">
              <w:rPr>
                <w:color w:val="000000"/>
                <w:sz w:val="20"/>
                <w:szCs w:val="20"/>
              </w:rPr>
              <w:t>R101007</w:t>
            </w:r>
          </w:p>
        </w:tc>
        <w:tc>
          <w:tcPr>
            <w:tcW w:w="2974" w:type="dxa"/>
            <w:gridSpan w:val="2"/>
            <w:tcBorders>
              <w:top w:val="nil"/>
              <w:left w:val="nil"/>
              <w:bottom w:val="nil"/>
              <w:right w:val="nil"/>
            </w:tcBorders>
          </w:tcPr>
          <w:p w14:paraId="6FE0382E" w14:textId="5ED67894" w:rsidR="00740865" w:rsidRPr="009E3947" w:rsidRDefault="00740865" w:rsidP="00BC15DE">
            <w:pPr>
              <w:rPr>
                <w:rFonts w:eastAsiaTheme="minorHAnsi" w:cs="Calibri"/>
                <w:color w:val="000000"/>
                <w:sz w:val="20"/>
                <w:szCs w:val="20"/>
              </w:rPr>
            </w:pPr>
            <w:r w:rsidRPr="009E3947">
              <w:rPr>
                <w:color w:val="000000"/>
                <w:sz w:val="20"/>
                <w:szCs w:val="20"/>
              </w:rPr>
              <w:t>Turberas tropicales</w:t>
            </w:r>
          </w:p>
        </w:tc>
        <w:tc>
          <w:tcPr>
            <w:tcW w:w="1219" w:type="dxa"/>
            <w:tcBorders>
              <w:top w:val="nil"/>
              <w:left w:val="nil"/>
              <w:right w:val="nil"/>
            </w:tcBorders>
          </w:tcPr>
          <w:p w14:paraId="07D81EA5" w14:textId="32BE3C50" w:rsidR="00740865" w:rsidRPr="009E3947" w:rsidRDefault="00D11152" w:rsidP="00132E65">
            <w:pPr>
              <w:ind w:left="0" w:right="170" w:firstLine="0"/>
              <w:jc w:val="right"/>
              <w:rPr>
                <w:rFonts w:eastAsiaTheme="minorHAnsi" w:cs="Calibri"/>
                <w:color w:val="000000"/>
                <w:sz w:val="20"/>
                <w:szCs w:val="20"/>
              </w:rPr>
            </w:pPr>
            <w:r w:rsidRPr="009E3947">
              <w:rPr>
                <w:color w:val="000000"/>
                <w:sz w:val="20"/>
                <w:szCs w:val="20"/>
              </w:rPr>
              <w:t>15</w:t>
            </w:r>
          </w:p>
        </w:tc>
        <w:tc>
          <w:tcPr>
            <w:tcW w:w="1219" w:type="dxa"/>
            <w:tcBorders>
              <w:top w:val="nil"/>
              <w:left w:val="nil"/>
              <w:right w:val="nil"/>
            </w:tcBorders>
          </w:tcPr>
          <w:p w14:paraId="091C6302" w14:textId="4DD82B0E"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12</w:t>
            </w:r>
          </w:p>
        </w:tc>
        <w:tc>
          <w:tcPr>
            <w:tcW w:w="1219" w:type="dxa"/>
            <w:tcBorders>
              <w:top w:val="nil"/>
              <w:left w:val="nil"/>
              <w:bottom w:val="nil"/>
              <w:right w:val="nil"/>
            </w:tcBorders>
          </w:tcPr>
          <w:p w14:paraId="210EE6A5" w14:textId="78F89BD0"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(15)</w:t>
            </w:r>
          </w:p>
        </w:tc>
        <w:tc>
          <w:tcPr>
            <w:tcW w:w="1219" w:type="dxa"/>
            <w:tcBorders>
              <w:top w:val="nil"/>
              <w:left w:val="nil"/>
              <w:bottom w:val="nil"/>
              <w:right w:val="nil"/>
            </w:tcBorders>
          </w:tcPr>
          <w:p w14:paraId="53B31425" w14:textId="3E93806B"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nil"/>
              <w:right w:val="nil"/>
            </w:tcBorders>
          </w:tcPr>
          <w:p w14:paraId="18189EDE" w14:textId="747E71B2" w:rsidR="00740865" w:rsidRPr="009E3947" w:rsidRDefault="00734BED" w:rsidP="00132E65">
            <w:pPr>
              <w:ind w:left="0" w:right="170" w:firstLine="0"/>
              <w:jc w:val="right"/>
              <w:rPr>
                <w:rFonts w:eastAsiaTheme="minorHAnsi" w:cs="Calibri"/>
                <w:color w:val="000000"/>
                <w:sz w:val="20"/>
                <w:szCs w:val="20"/>
              </w:rPr>
            </w:pPr>
            <w:r w:rsidRPr="009E3947">
              <w:rPr>
                <w:color w:val="000000"/>
                <w:sz w:val="20"/>
                <w:szCs w:val="20"/>
              </w:rPr>
              <w:t>12</w:t>
            </w:r>
          </w:p>
        </w:tc>
      </w:tr>
      <w:tr w:rsidR="00D11152" w:rsidRPr="009E3947" w14:paraId="69D9AA58" w14:textId="77777777" w:rsidTr="00D11152">
        <w:trPr>
          <w:gridAfter w:val="1"/>
          <w:wAfter w:w="6" w:type="dxa"/>
        </w:trPr>
        <w:tc>
          <w:tcPr>
            <w:tcW w:w="992" w:type="dxa"/>
            <w:tcBorders>
              <w:top w:val="nil"/>
              <w:left w:val="nil"/>
              <w:bottom w:val="nil"/>
              <w:right w:val="nil"/>
            </w:tcBorders>
          </w:tcPr>
          <w:p w14:paraId="19C21B7B" w14:textId="49B006ED" w:rsidR="00D11152" w:rsidRPr="009E3947" w:rsidRDefault="00D11152" w:rsidP="00BC15DE">
            <w:pPr>
              <w:rPr>
                <w:rFonts w:eastAsiaTheme="minorHAnsi" w:cs="Calibri"/>
                <w:color w:val="000000"/>
                <w:sz w:val="20"/>
                <w:szCs w:val="20"/>
              </w:rPr>
            </w:pPr>
            <w:r w:rsidRPr="009E3947">
              <w:rPr>
                <w:color w:val="000000"/>
                <w:sz w:val="20"/>
                <w:szCs w:val="20"/>
              </w:rPr>
              <w:t>R101008</w:t>
            </w:r>
          </w:p>
        </w:tc>
        <w:tc>
          <w:tcPr>
            <w:tcW w:w="2974" w:type="dxa"/>
            <w:gridSpan w:val="2"/>
            <w:tcBorders>
              <w:top w:val="nil"/>
              <w:left w:val="nil"/>
              <w:bottom w:val="nil"/>
              <w:right w:val="nil"/>
            </w:tcBorders>
          </w:tcPr>
          <w:p w14:paraId="46A4F3A2" w14:textId="64DCA54C" w:rsidR="00D11152" w:rsidRPr="009E3947" w:rsidRDefault="00D11152" w:rsidP="00BC15DE">
            <w:pPr>
              <w:rPr>
                <w:rFonts w:eastAsiaTheme="minorHAnsi" w:cs="Calibri"/>
                <w:color w:val="000000"/>
                <w:sz w:val="20"/>
                <w:szCs w:val="20"/>
              </w:rPr>
            </w:pPr>
            <w:r w:rsidRPr="009E3947">
              <w:rPr>
                <w:color w:val="000000"/>
                <w:sz w:val="20"/>
                <w:szCs w:val="20"/>
              </w:rPr>
              <w:t>Plan de trabajo del GECT 2023-2025</w:t>
            </w:r>
          </w:p>
        </w:tc>
        <w:tc>
          <w:tcPr>
            <w:tcW w:w="1219" w:type="dxa"/>
            <w:tcBorders>
              <w:left w:val="nil"/>
              <w:bottom w:val="single" w:sz="12" w:space="0" w:color="auto"/>
              <w:right w:val="nil"/>
            </w:tcBorders>
          </w:tcPr>
          <w:p w14:paraId="41235F4D" w14:textId="31DCB2AD" w:rsidR="00D11152" w:rsidRPr="009E3947" w:rsidDel="00D11152" w:rsidRDefault="00454E6F" w:rsidP="00132E65">
            <w:pPr>
              <w:ind w:left="0" w:right="170" w:firstLine="0"/>
              <w:jc w:val="right"/>
              <w:rPr>
                <w:rFonts w:eastAsiaTheme="minorHAnsi" w:cs="Calibri"/>
                <w:color w:val="000000"/>
                <w:sz w:val="20"/>
                <w:szCs w:val="20"/>
              </w:rPr>
            </w:pPr>
            <w:r w:rsidRPr="009E3947">
              <w:rPr>
                <w:color w:val="000000"/>
                <w:sz w:val="20"/>
                <w:szCs w:val="20"/>
              </w:rPr>
              <w:t>27</w:t>
            </w:r>
          </w:p>
        </w:tc>
        <w:tc>
          <w:tcPr>
            <w:tcW w:w="1219" w:type="dxa"/>
            <w:tcBorders>
              <w:left w:val="nil"/>
              <w:bottom w:val="single" w:sz="12" w:space="0" w:color="auto"/>
              <w:right w:val="nil"/>
            </w:tcBorders>
          </w:tcPr>
          <w:p w14:paraId="050BD176" w14:textId="098C30FC" w:rsidR="00D11152"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31</w:t>
            </w:r>
          </w:p>
        </w:tc>
        <w:tc>
          <w:tcPr>
            <w:tcW w:w="1219" w:type="dxa"/>
            <w:tcBorders>
              <w:top w:val="nil"/>
              <w:left w:val="nil"/>
              <w:bottom w:val="nil"/>
              <w:right w:val="nil"/>
            </w:tcBorders>
          </w:tcPr>
          <w:p w14:paraId="316F5018" w14:textId="19988C8C" w:rsidR="00D11152" w:rsidRPr="009E3947" w:rsidDel="00D11152" w:rsidRDefault="00454E6F" w:rsidP="00132E65">
            <w:pPr>
              <w:ind w:left="0" w:right="170" w:firstLine="0"/>
              <w:jc w:val="right"/>
              <w:rPr>
                <w:rFonts w:eastAsiaTheme="minorHAnsi" w:cs="Calibri"/>
                <w:color w:val="000000"/>
                <w:sz w:val="20"/>
                <w:szCs w:val="20"/>
              </w:rPr>
            </w:pPr>
            <w:r w:rsidRPr="009E3947">
              <w:rPr>
                <w:color w:val="000000"/>
                <w:sz w:val="20"/>
                <w:szCs w:val="20"/>
              </w:rPr>
              <w:t>(27)</w:t>
            </w:r>
          </w:p>
        </w:tc>
        <w:tc>
          <w:tcPr>
            <w:tcW w:w="1219" w:type="dxa"/>
            <w:tcBorders>
              <w:top w:val="nil"/>
              <w:left w:val="nil"/>
              <w:bottom w:val="nil"/>
              <w:right w:val="nil"/>
            </w:tcBorders>
          </w:tcPr>
          <w:p w14:paraId="1660735A" w14:textId="623FF914" w:rsidR="00D11152" w:rsidRPr="009E3947" w:rsidRDefault="00454E6F" w:rsidP="00132E65">
            <w:pPr>
              <w:ind w:left="0" w:right="170" w:firstLine="0"/>
              <w:jc w:val="right"/>
              <w:rPr>
                <w:rFonts w:eastAsiaTheme="minorHAnsi" w:cs="Calibri"/>
                <w:color w:val="000000"/>
                <w:sz w:val="20"/>
                <w:szCs w:val="20"/>
              </w:rPr>
            </w:pPr>
            <w:r w:rsidRPr="009E3947">
              <w:rPr>
                <w:color w:val="000000"/>
                <w:sz w:val="20"/>
                <w:szCs w:val="20"/>
              </w:rPr>
              <w:t>(3)</w:t>
            </w:r>
          </w:p>
        </w:tc>
        <w:tc>
          <w:tcPr>
            <w:tcW w:w="1218" w:type="dxa"/>
            <w:tcBorders>
              <w:top w:val="nil"/>
              <w:left w:val="nil"/>
              <w:bottom w:val="nil"/>
              <w:right w:val="nil"/>
            </w:tcBorders>
          </w:tcPr>
          <w:p w14:paraId="0D35F3E1" w14:textId="4B4363AF" w:rsidR="00D11152"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28</w:t>
            </w:r>
          </w:p>
        </w:tc>
      </w:tr>
      <w:tr w:rsidR="007E27A5" w:rsidRPr="009E3947" w14:paraId="05E47AA8" w14:textId="3C26674B"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3CC93BA8" w14:textId="47278AE5" w:rsidR="007E27A5" w:rsidRPr="009E3947" w:rsidRDefault="007E27A5" w:rsidP="00BC15DE">
            <w:pPr>
              <w:rPr>
                <w:rFonts w:eastAsiaTheme="minorHAnsi" w:cs="Calibri"/>
                <w:b/>
                <w:bCs/>
                <w:color w:val="000000"/>
                <w:sz w:val="20"/>
                <w:szCs w:val="20"/>
              </w:rPr>
            </w:pPr>
            <w:r w:rsidRPr="009E3947">
              <w:rPr>
                <w:b/>
                <w:bCs/>
                <w:color w:val="000000"/>
                <w:sz w:val="20"/>
                <w:szCs w:val="20"/>
              </w:rPr>
              <w:t>Total, Otros</w:t>
            </w:r>
          </w:p>
        </w:tc>
        <w:tc>
          <w:tcPr>
            <w:tcW w:w="1219" w:type="dxa"/>
            <w:tcBorders>
              <w:top w:val="nil"/>
              <w:left w:val="nil"/>
              <w:bottom w:val="single" w:sz="12" w:space="0" w:color="auto"/>
              <w:right w:val="nil"/>
            </w:tcBorders>
            <w:shd w:val="clear" w:color="auto" w:fill="EAF1DD" w:themeFill="accent3" w:themeFillTint="33"/>
          </w:tcPr>
          <w:p w14:paraId="0F02798C" w14:textId="515365D7" w:rsidR="007E27A5" w:rsidRPr="009E3947" w:rsidRDefault="00454E6F" w:rsidP="00132E65">
            <w:pPr>
              <w:ind w:left="0" w:right="170" w:firstLine="0"/>
              <w:jc w:val="right"/>
              <w:rPr>
                <w:rFonts w:eastAsiaTheme="minorHAnsi" w:cs="Calibri"/>
                <w:b/>
                <w:bCs/>
                <w:color w:val="000000"/>
                <w:sz w:val="20"/>
                <w:szCs w:val="20"/>
              </w:rPr>
            </w:pPr>
            <w:r w:rsidRPr="009E3947">
              <w:rPr>
                <w:b/>
                <w:bCs/>
                <w:color w:val="000000"/>
                <w:sz w:val="20"/>
                <w:szCs w:val="20"/>
              </w:rPr>
              <w:t>1</w:t>
            </w:r>
            <w:r w:rsidR="00A10967">
              <w:rPr>
                <w:b/>
                <w:bCs/>
                <w:color w:val="000000"/>
                <w:sz w:val="20"/>
                <w:szCs w:val="20"/>
              </w:rPr>
              <w:t> </w:t>
            </w:r>
            <w:r w:rsidRPr="009E3947">
              <w:rPr>
                <w:b/>
                <w:bCs/>
                <w:color w:val="000000"/>
                <w:sz w:val="20"/>
                <w:szCs w:val="20"/>
              </w:rPr>
              <w:t>406</w:t>
            </w:r>
          </w:p>
        </w:tc>
        <w:tc>
          <w:tcPr>
            <w:tcW w:w="1219" w:type="dxa"/>
            <w:tcBorders>
              <w:top w:val="nil"/>
              <w:left w:val="nil"/>
              <w:bottom w:val="single" w:sz="12" w:space="0" w:color="auto"/>
              <w:right w:val="nil"/>
            </w:tcBorders>
            <w:shd w:val="clear" w:color="auto" w:fill="EAF1DD" w:themeFill="accent3" w:themeFillTint="33"/>
          </w:tcPr>
          <w:p w14:paraId="6CFD9758" w14:textId="75FE6318" w:rsidR="007E27A5" w:rsidRPr="009E3947" w:rsidRDefault="00F5268D" w:rsidP="00132E65">
            <w:pPr>
              <w:ind w:left="0" w:right="170" w:firstLine="0"/>
              <w:jc w:val="right"/>
              <w:rPr>
                <w:rFonts w:eastAsiaTheme="minorHAnsi" w:cs="Calibri"/>
                <w:b/>
                <w:bCs/>
                <w:color w:val="000000"/>
                <w:sz w:val="20"/>
                <w:szCs w:val="20"/>
              </w:rPr>
            </w:pPr>
            <w:r w:rsidRPr="009E3947">
              <w:rPr>
                <w:b/>
                <w:bCs/>
                <w:color w:val="000000"/>
                <w:sz w:val="20"/>
                <w:szCs w:val="20"/>
              </w:rPr>
              <w:t>1</w:t>
            </w:r>
            <w:r w:rsidR="00A10967">
              <w:rPr>
                <w:b/>
                <w:bCs/>
                <w:color w:val="000000"/>
                <w:sz w:val="20"/>
                <w:szCs w:val="20"/>
              </w:rPr>
              <w:t> </w:t>
            </w:r>
            <w:r w:rsidRPr="009E3947">
              <w:rPr>
                <w:b/>
                <w:bCs/>
                <w:color w:val="000000"/>
                <w:sz w:val="20"/>
                <w:szCs w:val="20"/>
              </w:rPr>
              <w:t>028</w:t>
            </w:r>
          </w:p>
        </w:tc>
        <w:tc>
          <w:tcPr>
            <w:tcW w:w="1219" w:type="dxa"/>
            <w:tcBorders>
              <w:top w:val="single" w:sz="12" w:space="0" w:color="auto"/>
              <w:left w:val="nil"/>
              <w:bottom w:val="single" w:sz="12" w:space="0" w:color="auto"/>
              <w:right w:val="nil"/>
            </w:tcBorders>
            <w:shd w:val="clear" w:color="auto" w:fill="EAF1DD" w:themeFill="accent3" w:themeFillTint="33"/>
          </w:tcPr>
          <w:p w14:paraId="57A4009B" w14:textId="7AB2EF95" w:rsidR="007E27A5" w:rsidRPr="009E3947" w:rsidRDefault="00454E6F" w:rsidP="00132E65">
            <w:pPr>
              <w:ind w:left="0" w:right="170" w:firstLine="0"/>
              <w:jc w:val="right"/>
              <w:rPr>
                <w:rFonts w:eastAsiaTheme="minorHAnsi" w:cs="Calibri"/>
                <w:b/>
                <w:bCs/>
                <w:color w:val="000000"/>
                <w:sz w:val="20"/>
                <w:szCs w:val="20"/>
              </w:rPr>
            </w:pPr>
            <w:r w:rsidRPr="009E3947">
              <w:rPr>
                <w:b/>
                <w:bCs/>
                <w:color w:val="000000"/>
                <w:sz w:val="20"/>
                <w:szCs w:val="20"/>
              </w:rPr>
              <w:t>(449)</w:t>
            </w:r>
          </w:p>
        </w:tc>
        <w:tc>
          <w:tcPr>
            <w:tcW w:w="1219" w:type="dxa"/>
            <w:tcBorders>
              <w:top w:val="single" w:sz="12" w:space="0" w:color="auto"/>
              <w:left w:val="nil"/>
              <w:bottom w:val="single" w:sz="12" w:space="0" w:color="auto"/>
              <w:right w:val="nil"/>
            </w:tcBorders>
            <w:shd w:val="clear" w:color="auto" w:fill="EAF1DD" w:themeFill="accent3" w:themeFillTint="33"/>
          </w:tcPr>
          <w:p w14:paraId="49B81B0A" w14:textId="3D9E149A" w:rsidR="007E27A5" w:rsidRPr="009E3947" w:rsidRDefault="00F5268D" w:rsidP="00132E65">
            <w:pPr>
              <w:ind w:left="0" w:right="170" w:firstLine="0"/>
              <w:jc w:val="right"/>
              <w:rPr>
                <w:rFonts w:eastAsiaTheme="minorHAnsi" w:cs="Calibri"/>
                <w:b/>
                <w:bCs/>
                <w:color w:val="000000"/>
                <w:sz w:val="20"/>
                <w:szCs w:val="20"/>
              </w:rPr>
            </w:pPr>
            <w:r w:rsidRPr="009E3947">
              <w:rPr>
                <w:b/>
                <w:bCs/>
                <w:color w:val="000000"/>
                <w:sz w:val="20"/>
                <w:szCs w:val="20"/>
              </w:rPr>
              <w:t>50</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36F23B94" w14:textId="37CDE027" w:rsidR="007E27A5" w:rsidRPr="009E3947" w:rsidRDefault="00F5268D" w:rsidP="00132E65">
            <w:pPr>
              <w:ind w:left="0" w:right="170" w:firstLine="0"/>
              <w:jc w:val="right"/>
              <w:rPr>
                <w:rFonts w:eastAsiaTheme="minorHAnsi" w:cs="Calibri"/>
                <w:b/>
                <w:bCs/>
                <w:color w:val="000000"/>
                <w:sz w:val="20"/>
                <w:szCs w:val="20"/>
              </w:rPr>
            </w:pPr>
            <w:r w:rsidRPr="009E3947">
              <w:rPr>
                <w:b/>
                <w:bCs/>
                <w:color w:val="000000"/>
                <w:sz w:val="20"/>
                <w:szCs w:val="20"/>
              </w:rPr>
              <w:t>2</w:t>
            </w:r>
            <w:r w:rsidR="00A10967">
              <w:rPr>
                <w:b/>
                <w:bCs/>
                <w:color w:val="000000"/>
                <w:sz w:val="20"/>
                <w:szCs w:val="20"/>
              </w:rPr>
              <w:t> </w:t>
            </w:r>
            <w:r w:rsidRPr="009E3947">
              <w:rPr>
                <w:b/>
                <w:bCs/>
                <w:color w:val="000000"/>
                <w:sz w:val="20"/>
                <w:szCs w:val="20"/>
              </w:rPr>
              <w:t>035</w:t>
            </w:r>
          </w:p>
        </w:tc>
      </w:tr>
      <w:tr w:rsidR="00845750" w:rsidRPr="009E3947" w14:paraId="1C96D0AD" w14:textId="36FDFF8C" w:rsidTr="00845750">
        <w:trPr>
          <w:gridAfter w:val="1"/>
          <w:wAfter w:w="6" w:type="dxa"/>
        </w:trPr>
        <w:tc>
          <w:tcPr>
            <w:tcW w:w="3966" w:type="dxa"/>
            <w:gridSpan w:val="3"/>
            <w:tcBorders>
              <w:top w:val="nil"/>
              <w:left w:val="nil"/>
              <w:bottom w:val="nil"/>
              <w:right w:val="nil"/>
            </w:tcBorders>
          </w:tcPr>
          <w:p w14:paraId="7E56AB85" w14:textId="43808BC2" w:rsidR="00845750" w:rsidRPr="009E3947" w:rsidRDefault="00845750" w:rsidP="00432157">
            <w:pPr>
              <w:spacing w:before="120"/>
              <w:rPr>
                <w:rFonts w:eastAsiaTheme="minorHAnsi" w:cs="Calibri"/>
                <w:b/>
                <w:bCs/>
                <w:color w:val="000000"/>
                <w:sz w:val="20"/>
                <w:szCs w:val="20"/>
                <w:u w:val="single"/>
              </w:rPr>
            </w:pPr>
            <w:r w:rsidRPr="009E3947">
              <w:rPr>
                <w:b/>
                <w:bCs/>
                <w:color w:val="000000"/>
                <w:sz w:val="20"/>
                <w:szCs w:val="20"/>
                <w:u w:val="single"/>
              </w:rPr>
              <w:t>Iniciativas regionales</w:t>
            </w:r>
          </w:p>
        </w:tc>
        <w:tc>
          <w:tcPr>
            <w:tcW w:w="1219" w:type="dxa"/>
            <w:tcBorders>
              <w:top w:val="nil"/>
              <w:left w:val="nil"/>
              <w:bottom w:val="nil"/>
              <w:right w:val="nil"/>
            </w:tcBorders>
          </w:tcPr>
          <w:p w14:paraId="5DFF104A" w14:textId="0BBABB41" w:rsidR="00845750" w:rsidRPr="009E3947"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1D20D435" w14:textId="15AE7466" w:rsidR="00845750" w:rsidRPr="009E3947"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0F79A942" w14:textId="60B420FA" w:rsidR="00845750" w:rsidRPr="009E3947"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95EFEB3" w14:textId="7962124D" w:rsidR="00845750" w:rsidRPr="009E3947" w:rsidRDefault="00845750"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5C5DFBEE" w14:textId="4264FB00" w:rsidR="00845750" w:rsidRPr="009E3947" w:rsidRDefault="00845750" w:rsidP="00132E65">
            <w:pPr>
              <w:ind w:left="0" w:right="170" w:firstLine="0"/>
              <w:jc w:val="right"/>
              <w:rPr>
                <w:rFonts w:eastAsiaTheme="minorHAnsi" w:cs="Calibri"/>
                <w:color w:val="000000"/>
              </w:rPr>
            </w:pPr>
          </w:p>
        </w:tc>
      </w:tr>
      <w:tr w:rsidR="00740865" w:rsidRPr="009E3947" w14:paraId="071F609A" w14:textId="17AEBB91" w:rsidTr="00465ECE">
        <w:trPr>
          <w:gridAfter w:val="1"/>
          <w:wAfter w:w="6" w:type="dxa"/>
        </w:trPr>
        <w:tc>
          <w:tcPr>
            <w:tcW w:w="992" w:type="dxa"/>
            <w:tcBorders>
              <w:top w:val="nil"/>
              <w:left w:val="nil"/>
              <w:bottom w:val="nil"/>
              <w:right w:val="nil"/>
            </w:tcBorders>
          </w:tcPr>
          <w:p w14:paraId="60D02FF2" w14:textId="494181D0" w:rsidR="00740865" w:rsidRPr="009E3947" w:rsidRDefault="00740865" w:rsidP="00BC15DE">
            <w:pPr>
              <w:rPr>
                <w:rFonts w:eastAsiaTheme="minorHAnsi" w:cs="Calibri"/>
                <w:color w:val="000000"/>
                <w:sz w:val="20"/>
                <w:szCs w:val="20"/>
              </w:rPr>
            </w:pPr>
            <w:r w:rsidRPr="009E3947">
              <w:rPr>
                <w:color w:val="000000"/>
                <w:sz w:val="20"/>
                <w:szCs w:val="20"/>
              </w:rPr>
              <w:t>R100146</w:t>
            </w:r>
          </w:p>
        </w:tc>
        <w:tc>
          <w:tcPr>
            <w:tcW w:w="2974" w:type="dxa"/>
            <w:gridSpan w:val="2"/>
            <w:tcBorders>
              <w:top w:val="nil"/>
              <w:left w:val="nil"/>
              <w:bottom w:val="nil"/>
              <w:right w:val="nil"/>
            </w:tcBorders>
          </w:tcPr>
          <w:p w14:paraId="2DCC5279" w14:textId="711DEE3D" w:rsidR="00740865" w:rsidRPr="009E3947" w:rsidRDefault="00740865" w:rsidP="00BC15DE">
            <w:pPr>
              <w:rPr>
                <w:rFonts w:eastAsiaTheme="minorHAnsi" w:cs="Calibri"/>
                <w:color w:val="000000"/>
                <w:sz w:val="20"/>
                <w:szCs w:val="20"/>
              </w:rPr>
            </w:pPr>
            <w:r w:rsidRPr="009E3947">
              <w:rPr>
                <w:color w:val="000000"/>
                <w:sz w:val="20"/>
                <w:szCs w:val="20"/>
              </w:rPr>
              <w:t>Humedales del Caribe</w:t>
            </w:r>
          </w:p>
        </w:tc>
        <w:tc>
          <w:tcPr>
            <w:tcW w:w="1219" w:type="dxa"/>
            <w:tcBorders>
              <w:top w:val="nil"/>
              <w:left w:val="nil"/>
              <w:right w:val="nil"/>
            </w:tcBorders>
          </w:tcPr>
          <w:p w14:paraId="1284B397" w14:textId="4A1FA6A2" w:rsidR="00740865" w:rsidRPr="009E3947" w:rsidRDefault="009E7FF2" w:rsidP="00132E65">
            <w:pPr>
              <w:ind w:left="0" w:right="170" w:firstLine="0"/>
              <w:jc w:val="right"/>
              <w:rPr>
                <w:rFonts w:eastAsiaTheme="minorHAnsi" w:cs="Calibri"/>
                <w:color w:val="000000"/>
                <w:sz w:val="20"/>
                <w:szCs w:val="20"/>
              </w:rPr>
            </w:pPr>
            <w:r w:rsidRPr="009E3947">
              <w:rPr>
                <w:color w:val="000000"/>
                <w:sz w:val="20"/>
                <w:szCs w:val="20"/>
              </w:rPr>
              <w:t>(7)</w:t>
            </w:r>
          </w:p>
        </w:tc>
        <w:tc>
          <w:tcPr>
            <w:tcW w:w="1219" w:type="dxa"/>
            <w:tcBorders>
              <w:top w:val="nil"/>
              <w:left w:val="nil"/>
              <w:right w:val="nil"/>
            </w:tcBorders>
          </w:tcPr>
          <w:p w14:paraId="07EA7436" w14:textId="4AB5A6D1" w:rsidR="00740865" w:rsidRPr="009E3947" w:rsidRDefault="00F5268D" w:rsidP="00132E65">
            <w:pPr>
              <w:ind w:left="0" w:right="170" w:firstLine="0"/>
              <w:jc w:val="right"/>
              <w:rPr>
                <w:rFonts w:eastAsiaTheme="minorHAnsi" w:cs="Calibri"/>
                <w:color w:val="000000"/>
                <w:sz w:val="20"/>
                <w:szCs w:val="20"/>
              </w:rPr>
            </w:pPr>
            <w:r w:rsidRPr="009E3947">
              <w:rPr>
                <w:color w:val="000000"/>
                <w:sz w:val="20"/>
                <w:szCs w:val="20"/>
              </w:rPr>
              <w:t>253</w:t>
            </w:r>
          </w:p>
        </w:tc>
        <w:tc>
          <w:tcPr>
            <w:tcW w:w="1219" w:type="dxa"/>
            <w:tcBorders>
              <w:top w:val="nil"/>
              <w:left w:val="nil"/>
              <w:right w:val="nil"/>
            </w:tcBorders>
          </w:tcPr>
          <w:p w14:paraId="4878F29D" w14:textId="35CD7F76" w:rsidR="00740865" w:rsidRPr="009E3947" w:rsidRDefault="00A80B15" w:rsidP="00132E65">
            <w:pPr>
              <w:ind w:left="0" w:right="170" w:firstLine="0"/>
              <w:jc w:val="right"/>
              <w:rPr>
                <w:rFonts w:eastAsiaTheme="minorHAnsi" w:cs="Calibri"/>
                <w:color w:val="000000"/>
                <w:sz w:val="20"/>
                <w:szCs w:val="20"/>
              </w:rPr>
            </w:pPr>
            <w:r w:rsidRPr="009E3947">
              <w:rPr>
                <w:color w:val="000000"/>
                <w:sz w:val="20"/>
                <w:szCs w:val="20"/>
              </w:rPr>
              <w:t>(234)</w:t>
            </w:r>
          </w:p>
        </w:tc>
        <w:tc>
          <w:tcPr>
            <w:tcW w:w="1219" w:type="dxa"/>
            <w:tcBorders>
              <w:top w:val="nil"/>
              <w:left w:val="nil"/>
              <w:right w:val="nil"/>
            </w:tcBorders>
          </w:tcPr>
          <w:p w14:paraId="6300574F" w14:textId="279F9C0C" w:rsidR="00740865" w:rsidRPr="009E3947" w:rsidRDefault="00A80B15" w:rsidP="00132E65">
            <w:pPr>
              <w:ind w:left="0" w:right="170" w:firstLine="0"/>
              <w:jc w:val="right"/>
              <w:rPr>
                <w:rFonts w:eastAsiaTheme="minorHAnsi" w:cs="Calibri"/>
                <w:color w:val="000000"/>
                <w:sz w:val="20"/>
                <w:szCs w:val="20"/>
              </w:rPr>
            </w:pPr>
            <w:r w:rsidRPr="009E3947">
              <w:rPr>
                <w:color w:val="000000"/>
                <w:sz w:val="20"/>
                <w:szCs w:val="20"/>
              </w:rPr>
              <w:t>(26)</w:t>
            </w:r>
          </w:p>
        </w:tc>
        <w:tc>
          <w:tcPr>
            <w:tcW w:w="1218" w:type="dxa"/>
            <w:tcBorders>
              <w:top w:val="nil"/>
              <w:left w:val="nil"/>
              <w:right w:val="nil"/>
            </w:tcBorders>
          </w:tcPr>
          <w:p w14:paraId="1F226F95" w14:textId="71858BD6" w:rsidR="00740865" w:rsidRPr="009E3947" w:rsidRDefault="00D11152" w:rsidP="00132E65">
            <w:pPr>
              <w:ind w:left="0" w:right="170" w:firstLine="0"/>
              <w:jc w:val="right"/>
              <w:rPr>
                <w:rFonts w:eastAsiaTheme="minorHAnsi" w:cs="Calibri"/>
                <w:color w:val="000000"/>
                <w:sz w:val="20"/>
                <w:szCs w:val="20"/>
              </w:rPr>
            </w:pPr>
            <w:r w:rsidRPr="009E3947">
              <w:rPr>
                <w:color w:val="000000"/>
                <w:sz w:val="20"/>
                <w:szCs w:val="20"/>
              </w:rPr>
              <w:t>(14)</w:t>
            </w:r>
          </w:p>
        </w:tc>
      </w:tr>
      <w:tr w:rsidR="00740865" w:rsidRPr="009E3947" w14:paraId="426CA7EF" w14:textId="09A1CBA8" w:rsidTr="00465ECE">
        <w:trPr>
          <w:gridAfter w:val="1"/>
          <w:wAfter w:w="6" w:type="dxa"/>
        </w:trPr>
        <w:tc>
          <w:tcPr>
            <w:tcW w:w="992" w:type="dxa"/>
            <w:tcBorders>
              <w:top w:val="nil"/>
              <w:left w:val="nil"/>
              <w:bottom w:val="nil"/>
              <w:right w:val="nil"/>
            </w:tcBorders>
          </w:tcPr>
          <w:p w14:paraId="59C9B3A2" w14:textId="255E688B" w:rsidR="00740865" w:rsidRPr="009E3947" w:rsidRDefault="00740865" w:rsidP="00BC15DE">
            <w:pPr>
              <w:rPr>
                <w:rFonts w:eastAsiaTheme="minorHAnsi" w:cs="Calibri"/>
                <w:color w:val="000000"/>
                <w:sz w:val="20"/>
                <w:szCs w:val="20"/>
              </w:rPr>
            </w:pPr>
            <w:r w:rsidRPr="009E3947">
              <w:rPr>
                <w:color w:val="000000"/>
                <w:sz w:val="20"/>
                <w:szCs w:val="20"/>
              </w:rPr>
              <w:lastRenderedPageBreak/>
              <w:t>R100200</w:t>
            </w:r>
          </w:p>
        </w:tc>
        <w:tc>
          <w:tcPr>
            <w:tcW w:w="2974" w:type="dxa"/>
            <w:gridSpan w:val="2"/>
            <w:tcBorders>
              <w:top w:val="nil"/>
              <w:left w:val="nil"/>
              <w:bottom w:val="nil"/>
              <w:right w:val="nil"/>
            </w:tcBorders>
          </w:tcPr>
          <w:p w14:paraId="29FD36D4" w14:textId="27A478C0" w:rsidR="00740865" w:rsidRPr="009E3947" w:rsidRDefault="00740865" w:rsidP="00BC15DE">
            <w:pPr>
              <w:rPr>
                <w:rFonts w:eastAsiaTheme="minorHAnsi" w:cs="Calibri"/>
                <w:color w:val="000000"/>
                <w:sz w:val="20"/>
                <w:szCs w:val="20"/>
              </w:rPr>
            </w:pPr>
            <w:r w:rsidRPr="009E3947">
              <w:rPr>
                <w:color w:val="000000"/>
                <w:sz w:val="20"/>
                <w:szCs w:val="20"/>
              </w:rPr>
              <w:t>Contribuciones voluntarias de países africanos</w:t>
            </w:r>
            <w:r w:rsidR="00A10967">
              <w:rPr>
                <w:color w:val="000000"/>
                <w:sz w:val="20"/>
                <w:szCs w:val="20"/>
              </w:rPr>
              <w:t> </w:t>
            </w:r>
            <w:r w:rsidRPr="009E3947">
              <w:rPr>
                <w:color w:val="000000"/>
                <w:sz w:val="20"/>
                <w:szCs w:val="20"/>
              </w:rPr>
              <w:t xml:space="preserve"> iniciativas regionales de África</w:t>
            </w:r>
          </w:p>
        </w:tc>
        <w:tc>
          <w:tcPr>
            <w:tcW w:w="1219" w:type="dxa"/>
            <w:tcBorders>
              <w:top w:val="nil"/>
              <w:left w:val="nil"/>
              <w:bottom w:val="single" w:sz="12" w:space="0" w:color="auto"/>
              <w:right w:val="nil"/>
            </w:tcBorders>
          </w:tcPr>
          <w:p w14:paraId="722D28D9" w14:textId="27EED4D2" w:rsidR="00740865" w:rsidRPr="009E3947" w:rsidRDefault="00A80B15" w:rsidP="00132E65">
            <w:pPr>
              <w:ind w:left="0" w:right="170" w:firstLine="0"/>
              <w:jc w:val="right"/>
              <w:rPr>
                <w:rFonts w:eastAsiaTheme="minorHAnsi" w:cs="Calibri"/>
                <w:color w:val="000000"/>
                <w:sz w:val="20"/>
                <w:szCs w:val="20"/>
              </w:rPr>
            </w:pPr>
            <w:r w:rsidRPr="009E3947">
              <w:rPr>
                <w:color w:val="000000"/>
                <w:sz w:val="20"/>
                <w:szCs w:val="20"/>
              </w:rPr>
              <w:t>42</w:t>
            </w:r>
          </w:p>
        </w:tc>
        <w:tc>
          <w:tcPr>
            <w:tcW w:w="1219" w:type="dxa"/>
            <w:tcBorders>
              <w:top w:val="nil"/>
              <w:left w:val="nil"/>
              <w:bottom w:val="single" w:sz="12" w:space="0" w:color="auto"/>
              <w:right w:val="nil"/>
            </w:tcBorders>
          </w:tcPr>
          <w:p w14:paraId="4984F1C3" w14:textId="10673EAE" w:rsidR="00740865" w:rsidRPr="009E3947" w:rsidRDefault="00A80B15" w:rsidP="00132E65">
            <w:pPr>
              <w:ind w:left="0" w:right="170" w:firstLine="0"/>
              <w:jc w:val="right"/>
              <w:rPr>
                <w:rFonts w:eastAsiaTheme="minorHAnsi" w:cs="Calibri"/>
                <w:color w:val="000000"/>
                <w:sz w:val="20"/>
                <w:szCs w:val="20"/>
              </w:rPr>
            </w:pPr>
            <w:r w:rsidRPr="009E3947">
              <w:rPr>
                <w:color w:val="000000"/>
                <w:sz w:val="20"/>
                <w:szCs w:val="20"/>
              </w:rPr>
              <w:t>1</w:t>
            </w:r>
          </w:p>
        </w:tc>
        <w:tc>
          <w:tcPr>
            <w:tcW w:w="1219" w:type="dxa"/>
            <w:tcBorders>
              <w:top w:val="nil"/>
              <w:left w:val="nil"/>
              <w:bottom w:val="single" w:sz="12" w:space="0" w:color="auto"/>
              <w:right w:val="nil"/>
            </w:tcBorders>
          </w:tcPr>
          <w:p w14:paraId="0C3B9318" w14:textId="695FB4FA" w:rsidR="00740865" w:rsidRPr="009E3947" w:rsidRDefault="00F57402" w:rsidP="00132E65">
            <w:pPr>
              <w:ind w:left="0" w:right="170" w:firstLine="0"/>
              <w:jc w:val="right"/>
              <w:rPr>
                <w:rFonts w:eastAsiaTheme="minorHAnsi" w:cs="Calibri"/>
                <w:color w:val="000000"/>
                <w:sz w:val="20"/>
                <w:szCs w:val="20"/>
              </w:rPr>
            </w:pPr>
            <w:r w:rsidRPr="009E3947">
              <w:rPr>
                <w:color w:val="000000"/>
                <w:sz w:val="20"/>
                <w:szCs w:val="20"/>
              </w:rPr>
              <w:t>-</w:t>
            </w:r>
          </w:p>
        </w:tc>
        <w:tc>
          <w:tcPr>
            <w:tcW w:w="1219" w:type="dxa"/>
            <w:tcBorders>
              <w:top w:val="nil"/>
              <w:left w:val="nil"/>
              <w:bottom w:val="single" w:sz="12" w:space="0" w:color="auto"/>
              <w:right w:val="nil"/>
            </w:tcBorders>
          </w:tcPr>
          <w:p w14:paraId="6486BD9C" w14:textId="3A35CADF" w:rsidR="00740865" w:rsidRPr="009E3947" w:rsidRDefault="00740865" w:rsidP="00132E65">
            <w:pPr>
              <w:ind w:left="0" w:right="170" w:firstLine="0"/>
              <w:jc w:val="right"/>
              <w:rPr>
                <w:rFonts w:eastAsiaTheme="minorHAnsi" w:cs="Calibri"/>
                <w:color w:val="000000"/>
                <w:sz w:val="20"/>
                <w:szCs w:val="20"/>
              </w:rPr>
            </w:pPr>
            <w:r w:rsidRPr="009E3947">
              <w:rPr>
                <w:color w:val="000000"/>
                <w:sz w:val="20"/>
                <w:szCs w:val="20"/>
              </w:rPr>
              <w:t>-</w:t>
            </w:r>
          </w:p>
        </w:tc>
        <w:tc>
          <w:tcPr>
            <w:tcW w:w="1218" w:type="dxa"/>
            <w:tcBorders>
              <w:top w:val="nil"/>
              <w:left w:val="nil"/>
              <w:bottom w:val="single" w:sz="12" w:space="0" w:color="auto"/>
              <w:right w:val="nil"/>
            </w:tcBorders>
          </w:tcPr>
          <w:p w14:paraId="2024E4DD" w14:textId="63DC4A23" w:rsidR="00740865" w:rsidRPr="009E3947" w:rsidRDefault="00A80B15" w:rsidP="00132E65">
            <w:pPr>
              <w:ind w:left="0" w:right="170" w:firstLine="0"/>
              <w:jc w:val="right"/>
              <w:rPr>
                <w:rFonts w:eastAsiaTheme="minorHAnsi" w:cs="Calibri"/>
                <w:color w:val="000000"/>
                <w:sz w:val="20"/>
                <w:szCs w:val="20"/>
              </w:rPr>
            </w:pPr>
            <w:r w:rsidRPr="009E3947">
              <w:rPr>
                <w:color w:val="000000"/>
                <w:sz w:val="20"/>
                <w:szCs w:val="20"/>
              </w:rPr>
              <w:t>43</w:t>
            </w:r>
          </w:p>
        </w:tc>
      </w:tr>
      <w:tr w:rsidR="00740865" w:rsidRPr="009E3947" w14:paraId="71478A2B" w14:textId="3F03D91E" w:rsidTr="00465ECE">
        <w:tc>
          <w:tcPr>
            <w:tcW w:w="3966" w:type="dxa"/>
            <w:gridSpan w:val="3"/>
            <w:tcBorders>
              <w:top w:val="single" w:sz="12" w:space="0" w:color="auto"/>
              <w:left w:val="nil"/>
              <w:bottom w:val="single" w:sz="12" w:space="0" w:color="auto"/>
              <w:right w:val="nil"/>
            </w:tcBorders>
            <w:shd w:val="clear" w:color="auto" w:fill="EAF1DD" w:themeFill="accent3" w:themeFillTint="33"/>
          </w:tcPr>
          <w:p w14:paraId="5D7357C2" w14:textId="1F0E9120" w:rsidR="00740865" w:rsidRPr="009E3947" w:rsidRDefault="00740865" w:rsidP="00BC15DE">
            <w:pPr>
              <w:rPr>
                <w:rFonts w:eastAsiaTheme="minorHAnsi" w:cs="Calibri"/>
                <w:b/>
                <w:bCs/>
                <w:color w:val="000000"/>
                <w:sz w:val="20"/>
                <w:szCs w:val="20"/>
              </w:rPr>
            </w:pPr>
            <w:r w:rsidRPr="009E3947">
              <w:rPr>
                <w:b/>
                <w:bCs/>
                <w:color w:val="000000"/>
                <w:sz w:val="20"/>
                <w:szCs w:val="20"/>
              </w:rPr>
              <w:t>Total, Iniciativas regionales</w:t>
            </w:r>
          </w:p>
        </w:tc>
        <w:tc>
          <w:tcPr>
            <w:tcW w:w="1219" w:type="dxa"/>
            <w:tcBorders>
              <w:top w:val="single" w:sz="12" w:space="0" w:color="auto"/>
              <w:left w:val="nil"/>
              <w:bottom w:val="single" w:sz="12" w:space="0" w:color="auto"/>
              <w:right w:val="nil"/>
            </w:tcBorders>
            <w:shd w:val="clear" w:color="auto" w:fill="EAF1DD" w:themeFill="accent3" w:themeFillTint="33"/>
          </w:tcPr>
          <w:p w14:paraId="2CFAA8CF" w14:textId="15151202" w:rsidR="00740865" w:rsidRPr="009E3947" w:rsidRDefault="005A3081" w:rsidP="00132E65">
            <w:pPr>
              <w:ind w:left="0" w:right="170" w:firstLine="0"/>
              <w:jc w:val="right"/>
              <w:rPr>
                <w:rFonts w:eastAsiaTheme="minorHAnsi" w:cs="Calibri"/>
                <w:b/>
                <w:bCs/>
                <w:color w:val="000000"/>
                <w:sz w:val="20"/>
                <w:szCs w:val="20"/>
              </w:rPr>
            </w:pPr>
            <w:r w:rsidRPr="009E3947">
              <w:rPr>
                <w:b/>
                <w:bCs/>
                <w:color w:val="000000"/>
                <w:sz w:val="20"/>
                <w:szCs w:val="20"/>
              </w:rPr>
              <w:t>36</w:t>
            </w:r>
          </w:p>
        </w:tc>
        <w:tc>
          <w:tcPr>
            <w:tcW w:w="1219" w:type="dxa"/>
            <w:tcBorders>
              <w:top w:val="single" w:sz="12" w:space="0" w:color="auto"/>
              <w:left w:val="nil"/>
              <w:bottom w:val="single" w:sz="12" w:space="0" w:color="auto"/>
              <w:right w:val="nil"/>
            </w:tcBorders>
            <w:shd w:val="clear" w:color="auto" w:fill="EAF1DD" w:themeFill="accent3" w:themeFillTint="33"/>
          </w:tcPr>
          <w:p w14:paraId="272AE64A" w14:textId="2B5283C2" w:rsidR="00740865" w:rsidRPr="009E3947" w:rsidRDefault="00F5268D" w:rsidP="00132E65">
            <w:pPr>
              <w:ind w:left="0" w:right="170" w:firstLine="0"/>
              <w:jc w:val="right"/>
              <w:rPr>
                <w:rFonts w:eastAsiaTheme="minorHAnsi" w:cs="Calibri"/>
                <w:b/>
                <w:bCs/>
                <w:color w:val="000000"/>
                <w:sz w:val="20"/>
                <w:szCs w:val="20"/>
              </w:rPr>
            </w:pPr>
            <w:r w:rsidRPr="009E3947">
              <w:rPr>
                <w:b/>
                <w:bCs/>
                <w:color w:val="000000"/>
                <w:sz w:val="20"/>
                <w:szCs w:val="20"/>
              </w:rPr>
              <w:t>254</w:t>
            </w:r>
          </w:p>
        </w:tc>
        <w:tc>
          <w:tcPr>
            <w:tcW w:w="1219" w:type="dxa"/>
            <w:tcBorders>
              <w:top w:val="single" w:sz="12" w:space="0" w:color="auto"/>
              <w:left w:val="nil"/>
              <w:bottom w:val="single" w:sz="12" w:space="0" w:color="auto"/>
              <w:right w:val="nil"/>
            </w:tcBorders>
            <w:shd w:val="clear" w:color="auto" w:fill="EAF1DD" w:themeFill="accent3" w:themeFillTint="33"/>
          </w:tcPr>
          <w:p w14:paraId="33D17D99" w14:textId="17957C6D" w:rsidR="00740865" w:rsidRPr="009E3947" w:rsidRDefault="005A3081" w:rsidP="00132E65">
            <w:pPr>
              <w:ind w:left="0" w:right="170" w:firstLine="0"/>
              <w:jc w:val="right"/>
              <w:rPr>
                <w:rFonts w:eastAsiaTheme="minorHAnsi" w:cs="Calibri"/>
                <w:b/>
                <w:bCs/>
                <w:color w:val="000000"/>
                <w:sz w:val="20"/>
                <w:szCs w:val="20"/>
              </w:rPr>
            </w:pPr>
            <w:r w:rsidRPr="009E3947">
              <w:rPr>
                <w:b/>
                <w:bCs/>
                <w:color w:val="000000"/>
                <w:sz w:val="20"/>
                <w:szCs w:val="20"/>
              </w:rPr>
              <w:t>(234)</w:t>
            </w:r>
          </w:p>
        </w:tc>
        <w:tc>
          <w:tcPr>
            <w:tcW w:w="1219" w:type="dxa"/>
            <w:tcBorders>
              <w:top w:val="single" w:sz="12" w:space="0" w:color="auto"/>
              <w:left w:val="nil"/>
              <w:bottom w:val="single" w:sz="12" w:space="0" w:color="auto"/>
              <w:right w:val="nil"/>
            </w:tcBorders>
            <w:shd w:val="clear" w:color="auto" w:fill="EAF1DD" w:themeFill="accent3" w:themeFillTint="33"/>
          </w:tcPr>
          <w:p w14:paraId="06CC32D3" w14:textId="5CD317FF" w:rsidR="00740865" w:rsidRPr="009E3947" w:rsidRDefault="005A3081" w:rsidP="00132E65">
            <w:pPr>
              <w:ind w:left="0" w:right="170" w:firstLine="0"/>
              <w:jc w:val="right"/>
              <w:rPr>
                <w:rFonts w:eastAsiaTheme="minorHAnsi" w:cs="Calibri"/>
                <w:b/>
                <w:bCs/>
                <w:color w:val="000000"/>
                <w:sz w:val="20"/>
                <w:szCs w:val="20"/>
              </w:rPr>
            </w:pPr>
            <w:r w:rsidRPr="009E3947">
              <w:rPr>
                <w:b/>
                <w:bCs/>
                <w:color w:val="000000"/>
                <w:sz w:val="20"/>
                <w:szCs w:val="20"/>
              </w:rPr>
              <w:t>(26)</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62C66CC4" w14:textId="294C6688" w:rsidR="00740865" w:rsidRPr="009E3947" w:rsidRDefault="00F5268D" w:rsidP="00132E65">
            <w:pPr>
              <w:ind w:left="0" w:right="170" w:firstLine="0"/>
              <w:jc w:val="right"/>
              <w:rPr>
                <w:rFonts w:eastAsiaTheme="minorHAnsi" w:cs="Calibri"/>
                <w:b/>
                <w:bCs/>
                <w:color w:val="000000"/>
                <w:sz w:val="20"/>
                <w:szCs w:val="20"/>
              </w:rPr>
            </w:pPr>
            <w:r w:rsidRPr="009E3947">
              <w:rPr>
                <w:b/>
                <w:bCs/>
                <w:color w:val="000000"/>
                <w:sz w:val="20"/>
                <w:szCs w:val="20"/>
              </w:rPr>
              <w:t>29</w:t>
            </w:r>
          </w:p>
        </w:tc>
      </w:tr>
      <w:tr w:rsidR="00740865" w:rsidRPr="009E3947" w14:paraId="56311B9B" w14:textId="2688A538" w:rsidTr="00420223">
        <w:trPr>
          <w:gridAfter w:val="1"/>
          <w:wAfter w:w="6" w:type="dxa"/>
        </w:trPr>
        <w:tc>
          <w:tcPr>
            <w:tcW w:w="992" w:type="dxa"/>
            <w:tcBorders>
              <w:top w:val="nil"/>
              <w:left w:val="nil"/>
              <w:bottom w:val="nil"/>
              <w:right w:val="nil"/>
            </w:tcBorders>
          </w:tcPr>
          <w:p w14:paraId="608C9432" w14:textId="11AD2892" w:rsidR="00740865" w:rsidRPr="009E3947" w:rsidRDefault="00740865" w:rsidP="00BC15DE">
            <w:pPr>
              <w:rPr>
                <w:rFonts w:eastAsiaTheme="minorHAnsi" w:cs="Calibri"/>
                <w:color w:val="000000"/>
              </w:rPr>
            </w:pPr>
          </w:p>
        </w:tc>
        <w:tc>
          <w:tcPr>
            <w:tcW w:w="2974" w:type="dxa"/>
            <w:gridSpan w:val="2"/>
            <w:tcBorders>
              <w:top w:val="nil"/>
              <w:left w:val="nil"/>
              <w:bottom w:val="nil"/>
              <w:right w:val="nil"/>
            </w:tcBorders>
          </w:tcPr>
          <w:p w14:paraId="0C1E36AE" w14:textId="3AFA2642" w:rsidR="00740865" w:rsidRPr="009E3947" w:rsidRDefault="00740865" w:rsidP="00BC15DE">
            <w:pPr>
              <w:rPr>
                <w:rFonts w:eastAsiaTheme="minorHAnsi" w:cs="Calibri"/>
                <w:color w:val="000000"/>
              </w:rPr>
            </w:pPr>
          </w:p>
        </w:tc>
        <w:tc>
          <w:tcPr>
            <w:tcW w:w="1219" w:type="dxa"/>
            <w:tcBorders>
              <w:top w:val="nil"/>
              <w:left w:val="nil"/>
              <w:bottom w:val="nil"/>
              <w:right w:val="nil"/>
            </w:tcBorders>
          </w:tcPr>
          <w:p w14:paraId="7E2475FE" w14:textId="299A74D0" w:rsidR="00740865" w:rsidRPr="009E3947"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57CF87BC" w14:textId="25802A4D" w:rsidR="00740865" w:rsidRPr="009E3947" w:rsidRDefault="00740865" w:rsidP="00132E65">
            <w:pPr>
              <w:ind w:left="0" w:right="170" w:firstLine="0"/>
              <w:jc w:val="right"/>
              <w:rPr>
                <w:rFonts w:eastAsiaTheme="minorHAnsi" w:cs="Calibri"/>
                <w:color w:val="000000"/>
              </w:rPr>
            </w:pPr>
          </w:p>
        </w:tc>
        <w:tc>
          <w:tcPr>
            <w:tcW w:w="1219" w:type="dxa"/>
            <w:tcBorders>
              <w:top w:val="single" w:sz="12" w:space="0" w:color="auto"/>
              <w:left w:val="nil"/>
              <w:bottom w:val="double" w:sz="6" w:space="0" w:color="auto"/>
              <w:right w:val="nil"/>
            </w:tcBorders>
          </w:tcPr>
          <w:p w14:paraId="4F9717E1" w14:textId="40E3A48A" w:rsidR="00740865" w:rsidRPr="009E3947"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727BF1BF" w14:textId="782C106E" w:rsidR="00740865" w:rsidRPr="009E3947" w:rsidRDefault="00740865" w:rsidP="00132E65">
            <w:pPr>
              <w:ind w:left="0" w:right="170" w:firstLine="0"/>
              <w:jc w:val="right"/>
              <w:rPr>
                <w:rFonts w:eastAsiaTheme="minorHAnsi" w:cs="Calibri"/>
                <w:color w:val="000000"/>
              </w:rPr>
            </w:pPr>
          </w:p>
        </w:tc>
        <w:tc>
          <w:tcPr>
            <w:tcW w:w="1218" w:type="dxa"/>
            <w:tcBorders>
              <w:top w:val="single" w:sz="12" w:space="0" w:color="auto"/>
              <w:left w:val="nil"/>
              <w:bottom w:val="nil"/>
              <w:right w:val="nil"/>
            </w:tcBorders>
          </w:tcPr>
          <w:p w14:paraId="17F61284" w14:textId="4D7F450B" w:rsidR="00740865" w:rsidRPr="009E3947" w:rsidRDefault="00740865" w:rsidP="00132E65">
            <w:pPr>
              <w:ind w:left="0" w:right="170" w:firstLine="0"/>
              <w:jc w:val="right"/>
              <w:rPr>
                <w:rFonts w:eastAsiaTheme="minorHAnsi" w:cs="Calibri"/>
                <w:color w:val="000000"/>
              </w:rPr>
            </w:pPr>
          </w:p>
        </w:tc>
      </w:tr>
      <w:tr w:rsidR="00740865" w:rsidRPr="009E3947" w14:paraId="601E92A1" w14:textId="4F89E982" w:rsidTr="00420223">
        <w:trPr>
          <w:gridAfter w:val="1"/>
          <w:wAfter w:w="6" w:type="dxa"/>
        </w:trPr>
        <w:tc>
          <w:tcPr>
            <w:tcW w:w="1277" w:type="dxa"/>
            <w:gridSpan w:val="2"/>
            <w:tcBorders>
              <w:top w:val="double" w:sz="6" w:space="0" w:color="auto"/>
              <w:left w:val="nil"/>
              <w:bottom w:val="single" w:sz="12" w:space="0" w:color="auto"/>
              <w:right w:val="nil"/>
            </w:tcBorders>
            <w:shd w:val="clear" w:color="auto" w:fill="D6E3BC" w:themeFill="accent3" w:themeFillTint="66"/>
          </w:tcPr>
          <w:p w14:paraId="34FCF85A" w14:textId="6337103C" w:rsidR="00740865" w:rsidRPr="009E3947" w:rsidRDefault="00740865" w:rsidP="00BC15DE">
            <w:pPr>
              <w:rPr>
                <w:rFonts w:eastAsiaTheme="minorHAnsi" w:cs="Calibri"/>
                <w:b/>
                <w:bCs/>
                <w:color w:val="000000"/>
                <w:sz w:val="20"/>
                <w:szCs w:val="20"/>
              </w:rPr>
            </w:pPr>
            <w:r w:rsidRPr="009E3947">
              <w:rPr>
                <w:b/>
                <w:bCs/>
                <w:color w:val="000000"/>
                <w:sz w:val="20"/>
                <w:szCs w:val="20"/>
              </w:rPr>
              <w:t>Total general</w:t>
            </w:r>
          </w:p>
        </w:tc>
        <w:tc>
          <w:tcPr>
            <w:tcW w:w="2689" w:type="dxa"/>
            <w:tcBorders>
              <w:top w:val="double" w:sz="6" w:space="0" w:color="auto"/>
              <w:left w:val="nil"/>
              <w:bottom w:val="single" w:sz="12" w:space="0" w:color="auto"/>
              <w:right w:val="nil"/>
            </w:tcBorders>
            <w:shd w:val="clear" w:color="auto" w:fill="D6E3BC" w:themeFill="accent3" w:themeFillTint="66"/>
          </w:tcPr>
          <w:p w14:paraId="67D075E0" w14:textId="5276C528" w:rsidR="00740865" w:rsidRPr="009E3947" w:rsidRDefault="00740865" w:rsidP="00BC15DE">
            <w:pPr>
              <w:rPr>
                <w:rFonts w:eastAsiaTheme="minorHAnsi" w:cs="Calibri"/>
                <w:b/>
                <w:bCs/>
                <w:color w:val="000000"/>
                <w:sz w:val="20"/>
                <w:szCs w:val="20"/>
              </w:rPr>
            </w:pPr>
          </w:p>
        </w:tc>
        <w:tc>
          <w:tcPr>
            <w:tcW w:w="1219" w:type="dxa"/>
            <w:tcBorders>
              <w:top w:val="double" w:sz="6" w:space="0" w:color="auto"/>
              <w:left w:val="nil"/>
              <w:bottom w:val="single" w:sz="12" w:space="0" w:color="auto"/>
              <w:right w:val="nil"/>
            </w:tcBorders>
            <w:shd w:val="clear" w:color="auto" w:fill="D6E3BC" w:themeFill="accent3" w:themeFillTint="66"/>
          </w:tcPr>
          <w:p w14:paraId="434702C4" w14:textId="1697D076" w:rsidR="00740865" w:rsidRPr="009E3947" w:rsidRDefault="005A3081" w:rsidP="00132E65">
            <w:pPr>
              <w:ind w:left="0" w:right="170" w:firstLine="0"/>
              <w:jc w:val="right"/>
              <w:rPr>
                <w:rFonts w:eastAsiaTheme="minorHAnsi" w:cs="Calibri"/>
                <w:b/>
                <w:bCs/>
                <w:color w:val="000000"/>
                <w:sz w:val="20"/>
                <w:szCs w:val="20"/>
              </w:rPr>
            </w:pPr>
            <w:r w:rsidRPr="009E3947">
              <w:rPr>
                <w:b/>
                <w:bCs/>
                <w:color w:val="000000"/>
                <w:sz w:val="20"/>
                <w:szCs w:val="20"/>
              </w:rPr>
              <w:t>2,231</w:t>
            </w:r>
          </w:p>
        </w:tc>
        <w:tc>
          <w:tcPr>
            <w:tcW w:w="1219" w:type="dxa"/>
            <w:tcBorders>
              <w:top w:val="double" w:sz="6" w:space="0" w:color="auto"/>
              <w:left w:val="nil"/>
              <w:bottom w:val="single" w:sz="12" w:space="0" w:color="auto"/>
              <w:right w:val="nil"/>
            </w:tcBorders>
            <w:shd w:val="clear" w:color="auto" w:fill="D6E3BC" w:themeFill="accent3" w:themeFillTint="66"/>
          </w:tcPr>
          <w:p w14:paraId="164204BA" w14:textId="73064186" w:rsidR="00740865" w:rsidRPr="009E3947" w:rsidRDefault="00F57402" w:rsidP="00500437">
            <w:pPr>
              <w:ind w:left="0" w:right="170" w:firstLine="0"/>
              <w:jc w:val="right"/>
              <w:rPr>
                <w:rFonts w:eastAsiaTheme="minorHAnsi" w:cs="Calibri"/>
                <w:b/>
                <w:bCs/>
                <w:color w:val="000000"/>
                <w:sz w:val="20"/>
                <w:szCs w:val="20"/>
              </w:rPr>
            </w:pPr>
            <w:r w:rsidRPr="009E3947">
              <w:rPr>
                <w:b/>
                <w:bCs/>
                <w:color w:val="000000"/>
                <w:sz w:val="20"/>
                <w:szCs w:val="20"/>
              </w:rPr>
              <w:t>1,528</w:t>
            </w:r>
          </w:p>
        </w:tc>
        <w:tc>
          <w:tcPr>
            <w:tcW w:w="1219" w:type="dxa"/>
            <w:tcBorders>
              <w:top w:val="double" w:sz="6" w:space="0" w:color="auto"/>
              <w:left w:val="nil"/>
              <w:bottom w:val="single" w:sz="12" w:space="0" w:color="auto"/>
              <w:right w:val="nil"/>
            </w:tcBorders>
            <w:shd w:val="clear" w:color="auto" w:fill="D6E3BC" w:themeFill="accent3" w:themeFillTint="66"/>
          </w:tcPr>
          <w:p w14:paraId="7DBC2025" w14:textId="520CB4E1" w:rsidR="00740865" w:rsidRPr="009E3947" w:rsidRDefault="00D11152" w:rsidP="00132E65">
            <w:pPr>
              <w:ind w:left="0" w:right="170" w:firstLine="0"/>
              <w:jc w:val="right"/>
              <w:rPr>
                <w:rFonts w:eastAsiaTheme="minorHAnsi" w:cs="Calibri"/>
                <w:b/>
                <w:bCs/>
                <w:color w:val="000000"/>
                <w:sz w:val="20"/>
                <w:szCs w:val="20"/>
              </w:rPr>
            </w:pPr>
            <w:r w:rsidRPr="009E3947">
              <w:rPr>
                <w:b/>
                <w:bCs/>
                <w:color w:val="000000"/>
                <w:sz w:val="20"/>
                <w:szCs w:val="20"/>
              </w:rPr>
              <w:t>(822)</w:t>
            </w:r>
          </w:p>
        </w:tc>
        <w:tc>
          <w:tcPr>
            <w:tcW w:w="1219" w:type="dxa"/>
            <w:tcBorders>
              <w:top w:val="double" w:sz="6" w:space="0" w:color="auto"/>
              <w:left w:val="nil"/>
              <w:bottom w:val="single" w:sz="12" w:space="0" w:color="auto"/>
              <w:right w:val="nil"/>
            </w:tcBorders>
            <w:shd w:val="clear" w:color="auto" w:fill="D6E3BC" w:themeFill="accent3" w:themeFillTint="66"/>
          </w:tcPr>
          <w:p w14:paraId="352A1DB5" w14:textId="1277FCD1" w:rsidR="00740865" w:rsidRPr="009E3947" w:rsidRDefault="00386CAC" w:rsidP="00132E65">
            <w:pPr>
              <w:ind w:left="0" w:right="170" w:firstLine="0"/>
              <w:jc w:val="right"/>
              <w:rPr>
                <w:rFonts w:eastAsiaTheme="minorHAnsi" w:cs="Calibri"/>
                <w:b/>
                <w:bCs/>
                <w:color w:val="000000"/>
                <w:sz w:val="20"/>
                <w:szCs w:val="20"/>
              </w:rPr>
            </w:pPr>
            <w:r w:rsidRPr="009E3947">
              <w:rPr>
                <w:b/>
                <w:bCs/>
                <w:color w:val="000000"/>
                <w:sz w:val="20"/>
                <w:szCs w:val="20"/>
              </w:rPr>
              <w:t>0</w:t>
            </w:r>
          </w:p>
        </w:tc>
        <w:tc>
          <w:tcPr>
            <w:tcW w:w="1218" w:type="dxa"/>
            <w:tcBorders>
              <w:top w:val="double" w:sz="6" w:space="0" w:color="auto"/>
              <w:left w:val="nil"/>
              <w:bottom w:val="single" w:sz="12" w:space="0" w:color="auto"/>
              <w:right w:val="nil"/>
            </w:tcBorders>
            <w:shd w:val="clear" w:color="auto" w:fill="D6E3BC" w:themeFill="accent3" w:themeFillTint="66"/>
          </w:tcPr>
          <w:p w14:paraId="2BC282BF" w14:textId="4C83F7AD" w:rsidR="00740865" w:rsidRPr="009E3947" w:rsidRDefault="00D11152" w:rsidP="00132E65">
            <w:pPr>
              <w:ind w:left="0" w:right="170" w:firstLine="0"/>
              <w:jc w:val="right"/>
              <w:rPr>
                <w:rFonts w:eastAsiaTheme="minorHAnsi" w:cs="Calibri"/>
                <w:b/>
                <w:bCs/>
                <w:color w:val="000000"/>
                <w:sz w:val="20"/>
                <w:szCs w:val="20"/>
              </w:rPr>
            </w:pPr>
            <w:r w:rsidRPr="009E3947">
              <w:rPr>
                <w:b/>
                <w:bCs/>
                <w:color w:val="000000"/>
                <w:sz w:val="20"/>
                <w:szCs w:val="20"/>
              </w:rPr>
              <w:t>2,936</w:t>
            </w:r>
          </w:p>
        </w:tc>
      </w:tr>
    </w:tbl>
    <w:p w14:paraId="598367AD" w14:textId="77777777" w:rsidR="002D7FB5" w:rsidRPr="009E3947" w:rsidRDefault="002D7FB5" w:rsidP="00666EE5">
      <w:pPr>
        <w:rPr>
          <w:rFonts w:asciiTheme="minorHAnsi" w:eastAsia="Times New Roman" w:hAnsiTheme="minorHAnsi" w:cs="Arial"/>
          <w:b/>
          <w:bCs/>
          <w:sz w:val="24"/>
          <w:szCs w:val="24"/>
          <w:lang w:eastAsia="en-GB"/>
        </w:rPr>
      </w:pPr>
    </w:p>
    <w:p w14:paraId="70E128F9" w14:textId="7DC17CD0" w:rsidR="0074567B" w:rsidRPr="009E3947" w:rsidRDefault="0035205F" w:rsidP="00666EE5">
      <w:pPr>
        <w:rPr>
          <w:rFonts w:asciiTheme="minorHAnsi" w:eastAsia="Times New Roman" w:hAnsiTheme="minorHAnsi" w:cs="Arial"/>
          <w:b/>
          <w:bCs/>
          <w:sz w:val="24"/>
          <w:szCs w:val="24"/>
        </w:rPr>
      </w:pPr>
      <w:r w:rsidRPr="009E3947">
        <w:rPr>
          <w:rFonts w:asciiTheme="minorHAnsi" w:hAnsiTheme="minorHAnsi"/>
          <w:b/>
          <w:bCs/>
          <w:sz w:val="24"/>
          <w:szCs w:val="24"/>
        </w:rPr>
        <w:t>Anexo 4</w:t>
      </w:r>
    </w:p>
    <w:p w14:paraId="352429F1" w14:textId="45F8C6BB" w:rsidR="00132E65" w:rsidRPr="009E3947" w:rsidRDefault="0035205F" w:rsidP="00E42F5B">
      <w:pPr>
        <w:ind w:left="0" w:firstLine="0"/>
        <w:rPr>
          <w:rFonts w:asciiTheme="minorHAnsi" w:eastAsia="Times New Roman" w:hAnsiTheme="minorHAnsi" w:cs="Arial"/>
          <w:b/>
          <w:bCs/>
          <w:sz w:val="24"/>
          <w:szCs w:val="24"/>
        </w:rPr>
      </w:pPr>
      <w:r w:rsidRPr="009E3947">
        <w:rPr>
          <w:rFonts w:asciiTheme="minorHAnsi" w:hAnsiTheme="minorHAnsi"/>
          <w:b/>
          <w:bCs/>
          <w:sz w:val="24"/>
          <w:szCs w:val="24"/>
        </w:rPr>
        <w:t>Presupuesto básico propuesto para 2025</w:t>
      </w:r>
    </w:p>
    <w:p w14:paraId="2473019D" w14:textId="577DB0C2" w:rsidR="006A5240" w:rsidRPr="009E3947" w:rsidRDefault="00330040" w:rsidP="00E42F5B">
      <w:pPr>
        <w:ind w:left="0" w:firstLine="0"/>
        <w:rPr>
          <w:rFonts w:asciiTheme="minorHAnsi" w:eastAsia="Times New Roman" w:hAnsiTheme="minorHAnsi" w:cs="Arial"/>
          <w:bCs/>
          <w:i/>
          <w:sz w:val="20"/>
          <w:szCs w:val="20"/>
        </w:rPr>
      </w:pPr>
      <w:r w:rsidRPr="009E3947">
        <w:rPr>
          <w:rFonts w:asciiTheme="minorHAnsi" w:hAnsiTheme="minorHAnsi"/>
          <w:bCs/>
          <w:i/>
          <w:sz w:val="20"/>
          <w:szCs w:val="20"/>
        </w:rPr>
        <w:t>(en miles de francos suizos, con posibles diferencias por redondeo)</w:t>
      </w:r>
    </w:p>
    <w:p w14:paraId="0BF2D726" w14:textId="5BCC6140" w:rsidR="00132E65" w:rsidRPr="009E3947" w:rsidRDefault="00132E65" w:rsidP="00E42F5B">
      <w:pPr>
        <w:ind w:left="0" w:firstLine="0"/>
        <w:rPr>
          <w:rFonts w:asciiTheme="minorHAnsi" w:eastAsia="Times New Roman" w:hAnsiTheme="minorHAnsi" w:cs="Arial"/>
          <w:bCs/>
          <w:i/>
          <w:sz w:val="20"/>
          <w:szCs w:val="20"/>
          <w:lang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8235CC" w:rsidRPr="009E3947" w14:paraId="6927F712" w14:textId="1086AC5A" w:rsidTr="004F3C40">
        <w:trPr>
          <w:trHeight w:val="1758"/>
          <w:tblHeader/>
        </w:trPr>
        <w:tc>
          <w:tcPr>
            <w:tcW w:w="4541" w:type="dxa"/>
            <w:tcBorders>
              <w:top w:val="single" w:sz="4" w:space="0" w:color="auto"/>
              <w:left w:val="single" w:sz="4" w:space="0" w:color="auto"/>
              <w:right w:val="nil"/>
            </w:tcBorders>
            <w:shd w:val="clear" w:color="000000" w:fill="D6E3BC"/>
            <w:vAlign w:val="center"/>
            <w:hideMark/>
          </w:tcPr>
          <w:p w14:paraId="03B09E1E" w14:textId="3948AA05" w:rsidR="008235CC" w:rsidRPr="009E3947" w:rsidRDefault="006C4796" w:rsidP="008235CC">
            <w:pPr>
              <w:ind w:left="0" w:firstLine="0"/>
              <w:jc w:val="center"/>
              <w:rPr>
                <w:rFonts w:eastAsia="Times New Roman" w:cs="Calibri"/>
                <w:b/>
                <w:bCs/>
                <w:sz w:val="20"/>
                <w:szCs w:val="20"/>
              </w:rPr>
            </w:pPr>
            <w:r w:rsidRPr="009E3947">
              <w:rPr>
                <w:b/>
                <w:bCs/>
                <w:sz w:val="20"/>
                <w:szCs w:val="20"/>
              </w:rPr>
              <w:t xml:space="preserve">Presupuesto de Ramsar para 2025 </w:t>
            </w:r>
            <w:r w:rsidRPr="009E3947">
              <w:rPr>
                <w:b/>
                <w:bCs/>
                <w:sz w:val="20"/>
                <w:szCs w:val="20"/>
              </w:rPr>
              <w:br/>
              <w:t>Aprobado por la COP14</w:t>
            </w:r>
          </w:p>
          <w:p w14:paraId="268E8202" w14:textId="77777777" w:rsidR="008235CC" w:rsidRPr="009E3947" w:rsidRDefault="008235CC" w:rsidP="00651ADE">
            <w:pPr>
              <w:ind w:left="0" w:firstLine="0"/>
              <w:jc w:val="center"/>
              <w:rPr>
                <w:rFonts w:eastAsia="Times New Roman" w:cs="Calibri"/>
                <w:b/>
                <w:bCs/>
                <w:color w:val="000000"/>
                <w:sz w:val="20"/>
                <w:szCs w:val="20"/>
                <w:lang w:eastAsia="en-GB"/>
              </w:rPr>
            </w:pPr>
          </w:p>
          <w:p w14:paraId="4D83C9F3" w14:textId="76BF5E38" w:rsidR="008235CC" w:rsidRPr="009E3947" w:rsidRDefault="008235CC" w:rsidP="00651ADE">
            <w:pPr>
              <w:ind w:left="0" w:firstLine="0"/>
              <w:jc w:val="center"/>
              <w:rPr>
                <w:rFonts w:eastAsia="Times New Roman" w:cs="Calibri"/>
                <w:b/>
                <w:bCs/>
                <w:sz w:val="20"/>
                <w:szCs w:val="20"/>
              </w:rPr>
            </w:pPr>
            <w:r w:rsidRPr="009E3947">
              <w:rPr>
                <w:b/>
                <w:bCs/>
                <w:color w:val="000000"/>
                <w:sz w:val="20"/>
                <w:szCs w:val="20"/>
              </w:rPr>
              <w:t>en miles de francos suizos</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2D2BE2CB" w14:textId="77777777" w:rsidR="008235CC" w:rsidRPr="009E3947" w:rsidRDefault="008235CC" w:rsidP="00132E65">
            <w:pPr>
              <w:ind w:left="0" w:firstLine="0"/>
              <w:jc w:val="center"/>
              <w:rPr>
                <w:rFonts w:eastAsia="Times New Roman" w:cs="Calibri"/>
                <w:b/>
                <w:bCs/>
                <w:sz w:val="20"/>
                <w:szCs w:val="20"/>
              </w:rPr>
            </w:pPr>
            <w:r w:rsidRPr="009E3947">
              <w:rPr>
                <w:b/>
                <w:bCs/>
                <w:sz w:val="20"/>
                <w:szCs w:val="20"/>
              </w:rPr>
              <w:t>Presupuesto (aprobado por la COP14)</w:t>
            </w:r>
          </w:p>
          <w:p w14:paraId="3FC77236" w14:textId="77777777" w:rsidR="008235CC" w:rsidRPr="009E3947" w:rsidRDefault="008235CC" w:rsidP="00651ADE">
            <w:pPr>
              <w:ind w:left="0" w:firstLine="0"/>
              <w:jc w:val="center"/>
              <w:rPr>
                <w:rFonts w:eastAsia="Times New Roman" w:cs="Calibri"/>
                <w:b/>
                <w:bCs/>
                <w:color w:val="000000"/>
                <w:sz w:val="20"/>
                <w:szCs w:val="20"/>
                <w:lang w:eastAsia="en-GB"/>
              </w:rPr>
            </w:pPr>
          </w:p>
          <w:p w14:paraId="53E7564E" w14:textId="1625B618" w:rsidR="008235CC" w:rsidRPr="009E3947" w:rsidRDefault="008235CC" w:rsidP="00651ADE">
            <w:pPr>
              <w:ind w:left="0" w:firstLine="0"/>
              <w:jc w:val="center"/>
              <w:rPr>
                <w:rFonts w:eastAsia="Times New Roman" w:cs="Calibri"/>
                <w:b/>
                <w:bCs/>
                <w:sz w:val="20"/>
                <w:szCs w:val="20"/>
              </w:rPr>
            </w:pPr>
            <w:r w:rsidRPr="009E3947">
              <w:rPr>
                <w:b/>
                <w:bCs/>
                <w:color w:val="000000"/>
                <w:sz w:val="20"/>
                <w:szCs w:val="20"/>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5F51D4CE" w14:textId="77777777" w:rsidR="008235CC" w:rsidRPr="009E3947" w:rsidRDefault="008235CC" w:rsidP="00132E65">
            <w:pPr>
              <w:ind w:left="0" w:firstLine="0"/>
              <w:jc w:val="center"/>
              <w:rPr>
                <w:rFonts w:eastAsia="Times New Roman" w:cs="Calibri"/>
                <w:b/>
                <w:bCs/>
                <w:sz w:val="20"/>
                <w:szCs w:val="20"/>
              </w:rPr>
            </w:pPr>
            <w:r w:rsidRPr="009E3947">
              <w:rPr>
                <w:b/>
                <w:bCs/>
                <w:sz w:val="20"/>
                <w:szCs w:val="20"/>
              </w:rPr>
              <w:t xml:space="preserve">Uso del excedente del presupuesto de 2021 autorizado por la COP14 </w:t>
            </w:r>
          </w:p>
          <w:p w14:paraId="6CE6BECE" w14:textId="615DCE22" w:rsidR="008235CC" w:rsidRPr="009E3947" w:rsidRDefault="008235CC" w:rsidP="00651ADE">
            <w:pPr>
              <w:ind w:left="0" w:firstLine="0"/>
              <w:jc w:val="center"/>
              <w:rPr>
                <w:rFonts w:eastAsia="Times New Roman" w:cs="Calibri"/>
                <w:b/>
                <w:bCs/>
                <w:sz w:val="20"/>
                <w:szCs w:val="20"/>
              </w:rPr>
            </w:pPr>
            <w:r w:rsidRPr="009E3947">
              <w:rPr>
                <w:b/>
                <w:bCs/>
                <w:color w:val="000000"/>
                <w:sz w:val="20"/>
                <w:szCs w:val="20"/>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60DDC48B" w14:textId="73ECD14B" w:rsidR="008235CC" w:rsidRPr="009E3947" w:rsidRDefault="006C4796" w:rsidP="00132E65">
            <w:pPr>
              <w:ind w:left="0" w:firstLine="0"/>
              <w:jc w:val="center"/>
              <w:rPr>
                <w:rFonts w:eastAsia="Times New Roman" w:cs="Calibri"/>
                <w:b/>
                <w:bCs/>
                <w:sz w:val="20"/>
                <w:szCs w:val="20"/>
              </w:rPr>
            </w:pPr>
            <w:r w:rsidRPr="009E3947">
              <w:rPr>
                <w:b/>
                <w:bCs/>
                <w:sz w:val="20"/>
                <w:szCs w:val="20"/>
              </w:rPr>
              <w:t>Fondos de 2024 traspasados a 2025</w:t>
            </w:r>
          </w:p>
          <w:p w14:paraId="4B9C0C41" w14:textId="77777777" w:rsidR="008235CC" w:rsidRPr="009E3947" w:rsidRDefault="008235CC" w:rsidP="00651ADE">
            <w:pPr>
              <w:ind w:left="0" w:firstLine="0"/>
              <w:jc w:val="center"/>
              <w:rPr>
                <w:rFonts w:eastAsia="Times New Roman" w:cs="Calibri"/>
                <w:b/>
                <w:bCs/>
                <w:color w:val="000000"/>
                <w:sz w:val="20"/>
                <w:szCs w:val="20"/>
                <w:lang w:eastAsia="en-GB"/>
              </w:rPr>
            </w:pPr>
          </w:p>
          <w:p w14:paraId="6B32E82F" w14:textId="09B3A3B5" w:rsidR="008235CC" w:rsidRPr="009E3947" w:rsidRDefault="008235CC" w:rsidP="00651ADE">
            <w:pPr>
              <w:ind w:left="0" w:firstLine="0"/>
              <w:jc w:val="center"/>
              <w:rPr>
                <w:rFonts w:eastAsia="Times New Roman" w:cs="Calibri"/>
                <w:b/>
                <w:bCs/>
                <w:sz w:val="20"/>
                <w:szCs w:val="20"/>
              </w:rPr>
            </w:pPr>
            <w:r w:rsidRPr="009E3947">
              <w:rPr>
                <w:b/>
                <w:bCs/>
                <w:color w:val="000000"/>
                <w:sz w:val="20"/>
                <w:szCs w:val="20"/>
              </w:rPr>
              <w:t>(C)</w:t>
            </w:r>
          </w:p>
        </w:tc>
        <w:tc>
          <w:tcPr>
            <w:tcW w:w="1381" w:type="dxa"/>
            <w:tcBorders>
              <w:top w:val="single" w:sz="4" w:space="0" w:color="auto"/>
              <w:left w:val="nil"/>
              <w:right w:val="single" w:sz="4" w:space="0" w:color="auto"/>
            </w:tcBorders>
            <w:shd w:val="clear" w:color="auto" w:fill="D6E3BC" w:themeFill="accent3" w:themeFillTint="66"/>
            <w:vAlign w:val="center"/>
            <w:hideMark/>
          </w:tcPr>
          <w:p w14:paraId="4571B724" w14:textId="5F261086" w:rsidR="008235CC" w:rsidRPr="009E3947" w:rsidRDefault="008235CC" w:rsidP="00132E65">
            <w:pPr>
              <w:ind w:left="0" w:firstLine="0"/>
              <w:jc w:val="center"/>
              <w:rPr>
                <w:rFonts w:eastAsia="Times New Roman" w:cs="Calibri"/>
                <w:b/>
                <w:bCs/>
                <w:sz w:val="20"/>
                <w:szCs w:val="20"/>
              </w:rPr>
            </w:pPr>
            <w:r w:rsidRPr="009E3947">
              <w:rPr>
                <w:b/>
                <w:bCs/>
                <w:sz w:val="20"/>
                <w:szCs w:val="20"/>
              </w:rPr>
              <w:t>Total, presupuesto de 2025</w:t>
            </w:r>
          </w:p>
          <w:p w14:paraId="034F9BB7" w14:textId="35802DFD" w:rsidR="008235CC" w:rsidRPr="009E3947" w:rsidRDefault="008235CC" w:rsidP="00651ADE">
            <w:pPr>
              <w:ind w:left="0" w:firstLine="0"/>
              <w:jc w:val="center"/>
              <w:rPr>
                <w:rFonts w:eastAsia="Times New Roman" w:cs="Calibri"/>
                <w:b/>
                <w:bCs/>
                <w:color w:val="000000"/>
                <w:sz w:val="20"/>
                <w:szCs w:val="20"/>
                <w:lang w:eastAsia="en-GB"/>
              </w:rPr>
            </w:pPr>
          </w:p>
          <w:p w14:paraId="11710826" w14:textId="77777777" w:rsidR="008235CC" w:rsidRPr="009E3947" w:rsidRDefault="008235CC" w:rsidP="00651ADE">
            <w:pPr>
              <w:ind w:left="0" w:firstLine="0"/>
              <w:jc w:val="center"/>
              <w:rPr>
                <w:rFonts w:eastAsia="Times New Roman" w:cs="Calibri"/>
                <w:b/>
                <w:bCs/>
                <w:color w:val="000000"/>
                <w:sz w:val="20"/>
                <w:szCs w:val="20"/>
                <w:lang w:eastAsia="en-GB"/>
              </w:rPr>
            </w:pPr>
          </w:p>
          <w:p w14:paraId="3FE90314" w14:textId="2AF4A373" w:rsidR="008235CC" w:rsidRPr="009E3947" w:rsidRDefault="008235CC" w:rsidP="00651ADE">
            <w:pPr>
              <w:ind w:left="0" w:firstLine="0"/>
              <w:jc w:val="center"/>
              <w:rPr>
                <w:rFonts w:eastAsia="Times New Roman" w:cs="Calibri"/>
                <w:b/>
                <w:bCs/>
                <w:sz w:val="20"/>
                <w:szCs w:val="20"/>
              </w:rPr>
            </w:pPr>
            <w:r w:rsidRPr="009E3947">
              <w:rPr>
                <w:b/>
                <w:bCs/>
                <w:color w:val="000000"/>
                <w:sz w:val="20"/>
                <w:szCs w:val="20"/>
              </w:rPr>
              <w:t>(D)=</w:t>
            </w:r>
            <w:r w:rsidRPr="009E3947">
              <w:rPr>
                <w:b/>
                <w:bCs/>
                <w:color w:val="000000"/>
                <w:sz w:val="20"/>
                <w:szCs w:val="20"/>
              </w:rPr>
              <w:br/>
              <w:t>(A)+(B)+(C)</w:t>
            </w:r>
          </w:p>
        </w:tc>
      </w:tr>
      <w:tr w:rsidR="0091159B" w:rsidRPr="009E3947" w14:paraId="41EAA2AA" w14:textId="78CB9C8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F4EB5D8" w14:textId="237CB6EB" w:rsidR="0091159B" w:rsidRPr="009E3947" w:rsidRDefault="0091159B" w:rsidP="003360DC">
            <w:pPr>
              <w:ind w:left="0" w:firstLine="0"/>
              <w:rPr>
                <w:rFonts w:eastAsia="Times New Roman" w:cs="Calibri"/>
                <w:b/>
                <w:bCs/>
                <w:color w:val="000000"/>
                <w:sz w:val="20"/>
                <w:szCs w:val="20"/>
                <w:lang w:eastAsia="en-GB"/>
              </w:rPr>
            </w:pPr>
          </w:p>
          <w:p w14:paraId="047062DA" w14:textId="0282246D" w:rsidR="0091159B" w:rsidRPr="009E3947" w:rsidRDefault="0091159B" w:rsidP="003360DC">
            <w:pPr>
              <w:ind w:left="0" w:firstLine="0"/>
              <w:rPr>
                <w:rFonts w:eastAsia="Times New Roman" w:cs="Calibri"/>
                <w:b/>
                <w:bCs/>
                <w:color w:val="000000"/>
                <w:sz w:val="20"/>
                <w:szCs w:val="20"/>
              </w:rPr>
            </w:pPr>
            <w:r w:rsidRPr="009E3947">
              <w:rPr>
                <w:b/>
                <w:bCs/>
                <w:color w:val="000000"/>
                <w:sz w:val="20"/>
                <w:szCs w:val="20"/>
              </w:rPr>
              <w:t>INGRESOS</w:t>
            </w:r>
          </w:p>
        </w:tc>
        <w:tc>
          <w:tcPr>
            <w:tcW w:w="1381" w:type="dxa"/>
            <w:tcBorders>
              <w:top w:val="single" w:sz="4" w:space="0" w:color="auto"/>
              <w:left w:val="nil"/>
              <w:bottom w:val="nil"/>
              <w:right w:val="nil"/>
            </w:tcBorders>
            <w:shd w:val="clear" w:color="auto" w:fill="auto"/>
            <w:noWrap/>
            <w:vAlign w:val="center"/>
            <w:hideMark/>
          </w:tcPr>
          <w:p w14:paraId="668CE783" w14:textId="55BC0EE9" w:rsidR="0091159B" w:rsidRPr="009E3947"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69A6DC6" w14:textId="2A94EC05" w:rsidR="0091159B" w:rsidRPr="009E3947"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2D720EF6" w14:textId="2E2F5176" w:rsidR="0091159B" w:rsidRPr="009E3947" w:rsidRDefault="0091159B" w:rsidP="003360DC">
            <w:pPr>
              <w:ind w:left="0" w:firstLine="0"/>
              <w:rPr>
                <w:rFonts w:ascii="Arial" w:eastAsia="Times New Roman" w:hAnsi="Arial" w:cs="Arial"/>
                <w:color w:val="000000"/>
                <w:sz w:val="20"/>
                <w:szCs w:val="20"/>
              </w:rPr>
            </w:pPr>
            <w:r w:rsidRPr="009E3947">
              <w:rPr>
                <w:rFonts w:ascii="Arial" w:hAnsi="Arial"/>
                <w:color w:val="000000"/>
                <w:sz w:val="20"/>
                <w:szCs w:val="20"/>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2F17DF9F" w14:textId="1C2CABE8" w:rsidR="0091159B" w:rsidRPr="009E3947" w:rsidRDefault="0091159B" w:rsidP="003360DC">
            <w:pPr>
              <w:ind w:left="0" w:firstLine="0"/>
              <w:rPr>
                <w:rFonts w:ascii="Times New Roman" w:eastAsia="Times New Roman" w:hAnsi="Times New Roman"/>
                <w:sz w:val="20"/>
                <w:szCs w:val="20"/>
                <w:lang w:eastAsia="en-GB"/>
              </w:rPr>
            </w:pPr>
          </w:p>
        </w:tc>
      </w:tr>
      <w:tr w:rsidR="0091159B" w:rsidRPr="009E3947" w14:paraId="0461D59E" w14:textId="6BE50F73"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16F2DAC" w14:textId="0E454B42" w:rsidR="0091159B" w:rsidRPr="009E3947" w:rsidRDefault="0091159B" w:rsidP="001E336E">
            <w:pPr>
              <w:ind w:left="0" w:firstLine="0"/>
              <w:rPr>
                <w:rFonts w:eastAsia="Times New Roman" w:cs="Calibri"/>
                <w:color w:val="000000"/>
                <w:sz w:val="20"/>
                <w:szCs w:val="20"/>
              </w:rPr>
            </w:pPr>
            <w:r w:rsidRPr="009E3947">
              <w:rPr>
                <w:color w:val="000000"/>
                <w:sz w:val="20"/>
                <w:szCs w:val="20"/>
              </w:rPr>
              <w:t>Contribuciones de las Partes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3B8AEE0C"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3</w:t>
            </w:r>
            <w:r w:rsidR="00A10967">
              <w:rPr>
                <w:color w:val="000000"/>
                <w:sz w:val="20"/>
                <w:szCs w:val="20"/>
              </w:rPr>
              <w:t> </w:t>
            </w:r>
            <w:r w:rsidRPr="009E3947">
              <w:rPr>
                <w:color w:val="000000"/>
                <w:sz w:val="20"/>
                <w:szCs w:val="20"/>
              </w:rPr>
              <w:t>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17CBBCE0"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E19A288"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7C82C87A"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3</w:t>
            </w:r>
            <w:r w:rsidR="00A10967">
              <w:rPr>
                <w:color w:val="000000"/>
                <w:sz w:val="20"/>
                <w:szCs w:val="20"/>
              </w:rPr>
              <w:t> </w:t>
            </w:r>
            <w:r w:rsidRPr="009E3947">
              <w:rPr>
                <w:color w:val="000000"/>
                <w:sz w:val="20"/>
                <w:szCs w:val="20"/>
              </w:rPr>
              <w:t>779</w:t>
            </w:r>
          </w:p>
        </w:tc>
      </w:tr>
      <w:tr w:rsidR="0091159B" w:rsidRPr="009E3947" w14:paraId="46EC2EEF" w14:textId="4D84BE4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4D8EA58A" w:rsidR="0091159B" w:rsidRPr="009E3947" w:rsidRDefault="0091159B" w:rsidP="001E336E">
            <w:pPr>
              <w:ind w:left="0" w:firstLine="0"/>
              <w:rPr>
                <w:rFonts w:eastAsia="Times New Roman" w:cs="Calibri"/>
                <w:color w:val="000000"/>
                <w:sz w:val="20"/>
                <w:szCs w:val="20"/>
              </w:rPr>
            </w:pPr>
            <w:r w:rsidRPr="009E3947">
              <w:rPr>
                <w:color w:val="000000"/>
                <w:sz w:val="20"/>
                <w:szCs w:val="20"/>
              </w:rPr>
              <w:t>Contribuciones voluntarias</w:t>
            </w:r>
          </w:p>
        </w:tc>
        <w:tc>
          <w:tcPr>
            <w:tcW w:w="1381" w:type="dxa"/>
            <w:tcBorders>
              <w:top w:val="nil"/>
              <w:left w:val="nil"/>
              <w:bottom w:val="single" w:sz="4" w:space="0" w:color="auto"/>
              <w:right w:val="single" w:sz="4" w:space="0" w:color="auto"/>
            </w:tcBorders>
            <w:shd w:val="clear" w:color="auto" w:fill="auto"/>
            <w:noWrap/>
            <w:vAlign w:val="center"/>
            <w:hideMark/>
          </w:tcPr>
          <w:p w14:paraId="731E26E6" w14:textId="2148E4A8"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1</w:t>
            </w:r>
            <w:r w:rsidR="00A10967">
              <w:rPr>
                <w:color w:val="000000"/>
                <w:sz w:val="20"/>
                <w:szCs w:val="20"/>
              </w:rPr>
              <w:t> </w:t>
            </w:r>
            <w:r w:rsidRPr="009E3947">
              <w:rPr>
                <w:color w:val="000000"/>
                <w:sz w:val="20"/>
                <w:szCs w:val="20"/>
              </w:rPr>
              <w:t>065</w:t>
            </w:r>
          </w:p>
        </w:tc>
        <w:tc>
          <w:tcPr>
            <w:tcW w:w="1381" w:type="dxa"/>
            <w:tcBorders>
              <w:top w:val="nil"/>
              <w:left w:val="nil"/>
              <w:bottom w:val="single" w:sz="4" w:space="0" w:color="auto"/>
              <w:right w:val="single" w:sz="4" w:space="0" w:color="auto"/>
            </w:tcBorders>
            <w:shd w:val="clear" w:color="auto" w:fill="auto"/>
            <w:noWrap/>
            <w:vAlign w:val="center"/>
            <w:hideMark/>
          </w:tcPr>
          <w:p w14:paraId="66C7398B" w14:textId="3FAB0098"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1E42AED9"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E01758" w14:textId="259D91CE"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1</w:t>
            </w:r>
            <w:r w:rsidR="00A10967">
              <w:rPr>
                <w:color w:val="000000"/>
                <w:sz w:val="20"/>
                <w:szCs w:val="20"/>
              </w:rPr>
              <w:t> </w:t>
            </w:r>
            <w:r w:rsidRPr="009E3947">
              <w:rPr>
                <w:color w:val="000000"/>
                <w:sz w:val="20"/>
                <w:szCs w:val="20"/>
              </w:rPr>
              <w:t>065</w:t>
            </w:r>
          </w:p>
        </w:tc>
      </w:tr>
      <w:tr w:rsidR="0091159B" w:rsidRPr="009E3947" w14:paraId="45BB0A11" w14:textId="1BD639B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1364E0DF" w:rsidR="0091159B" w:rsidRPr="009E3947" w:rsidRDefault="0091159B" w:rsidP="001E336E">
            <w:pPr>
              <w:ind w:left="0" w:firstLine="0"/>
              <w:rPr>
                <w:rFonts w:eastAsia="Times New Roman" w:cs="Calibri"/>
                <w:color w:val="000000"/>
                <w:sz w:val="20"/>
                <w:szCs w:val="20"/>
              </w:rPr>
            </w:pPr>
            <w:r w:rsidRPr="009E3947">
              <w:rPr>
                <w:color w:val="000000"/>
                <w:sz w:val="20"/>
                <w:szCs w:val="20"/>
              </w:rPr>
              <w:t>Impuesto sobre la renta</w:t>
            </w:r>
          </w:p>
        </w:tc>
        <w:tc>
          <w:tcPr>
            <w:tcW w:w="1381" w:type="dxa"/>
            <w:tcBorders>
              <w:top w:val="nil"/>
              <w:left w:val="nil"/>
              <w:bottom w:val="single" w:sz="4" w:space="0" w:color="auto"/>
              <w:right w:val="single" w:sz="4" w:space="0" w:color="auto"/>
            </w:tcBorders>
            <w:shd w:val="clear" w:color="auto" w:fill="auto"/>
            <w:noWrap/>
            <w:vAlign w:val="center"/>
            <w:hideMark/>
          </w:tcPr>
          <w:p w14:paraId="158A1F04" w14:textId="0E4AA009"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6ED4AA00" w14:textId="5FEA2B8B"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35956F21"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B2C1A0" w14:textId="495D5016"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225</w:t>
            </w:r>
          </w:p>
        </w:tc>
      </w:tr>
      <w:tr w:rsidR="0091159B" w:rsidRPr="009E3947" w14:paraId="4516706A" w14:textId="7EA6D8A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7ABB980C" w:rsidR="0091159B" w:rsidRPr="009E3947" w:rsidRDefault="0091159B" w:rsidP="001E336E">
            <w:pPr>
              <w:ind w:left="0" w:firstLine="0"/>
              <w:rPr>
                <w:rFonts w:eastAsia="Times New Roman" w:cs="Calibri"/>
                <w:color w:val="000000"/>
                <w:sz w:val="20"/>
                <w:szCs w:val="20"/>
              </w:rPr>
            </w:pPr>
            <w:r w:rsidRPr="009E3947">
              <w:rPr>
                <w:color w:val="000000"/>
                <w:sz w:val="20"/>
                <w:szCs w:val="20"/>
              </w:rPr>
              <w:t>Otros ingresos (incluyendo ingresos por intereses)</w:t>
            </w:r>
          </w:p>
        </w:tc>
        <w:tc>
          <w:tcPr>
            <w:tcW w:w="1381" w:type="dxa"/>
            <w:tcBorders>
              <w:top w:val="nil"/>
              <w:left w:val="nil"/>
              <w:bottom w:val="single" w:sz="4" w:space="0" w:color="auto"/>
              <w:right w:val="single" w:sz="4" w:space="0" w:color="auto"/>
            </w:tcBorders>
            <w:shd w:val="clear" w:color="auto" w:fill="auto"/>
            <w:noWrap/>
            <w:vAlign w:val="center"/>
            <w:hideMark/>
          </w:tcPr>
          <w:p w14:paraId="02EFAB2F" w14:textId="4179FB4E"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F86DC5A" w14:textId="7FAAB3C7"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52BFCE55"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6CA2C67" w14:textId="03D432A0" w:rsidR="0091159B" w:rsidRPr="009E3947" w:rsidRDefault="0091159B" w:rsidP="001E336E">
            <w:pPr>
              <w:ind w:left="0" w:firstLine="0"/>
              <w:jc w:val="right"/>
              <w:rPr>
                <w:rFonts w:eastAsia="Times New Roman" w:cs="Calibri"/>
                <w:color w:val="000000"/>
                <w:sz w:val="20"/>
                <w:szCs w:val="20"/>
              </w:rPr>
            </w:pPr>
            <w:r w:rsidRPr="009E3947">
              <w:rPr>
                <w:color w:val="000000"/>
                <w:sz w:val="20"/>
                <w:szCs w:val="20"/>
              </w:rPr>
              <w:t>12</w:t>
            </w:r>
          </w:p>
        </w:tc>
      </w:tr>
      <w:tr w:rsidR="0091159B" w:rsidRPr="009E3947" w14:paraId="757D0DD4" w14:textId="4C03D7F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61D23ECE" w:rsidR="0091159B" w:rsidRPr="009E3947" w:rsidRDefault="0091159B" w:rsidP="001E336E">
            <w:pPr>
              <w:ind w:left="0" w:firstLine="0"/>
              <w:rPr>
                <w:rFonts w:eastAsia="Times New Roman" w:cs="Calibri"/>
                <w:b/>
                <w:bCs/>
                <w:color w:val="000000"/>
                <w:sz w:val="20"/>
                <w:szCs w:val="20"/>
              </w:rPr>
            </w:pPr>
            <w:r w:rsidRPr="009E3947">
              <w:rPr>
                <w:b/>
                <w:bCs/>
                <w:color w:val="000000"/>
                <w:sz w:val="20"/>
                <w:szCs w:val="20"/>
              </w:rPr>
              <w:t>TOTAL, INGRESOS</w:t>
            </w:r>
          </w:p>
        </w:tc>
        <w:tc>
          <w:tcPr>
            <w:tcW w:w="1381" w:type="dxa"/>
            <w:tcBorders>
              <w:top w:val="nil"/>
              <w:left w:val="nil"/>
              <w:bottom w:val="single" w:sz="4" w:space="0" w:color="auto"/>
              <w:right w:val="single" w:sz="4" w:space="0" w:color="auto"/>
            </w:tcBorders>
            <w:shd w:val="clear" w:color="000000" w:fill="EAF1DD"/>
            <w:noWrap/>
            <w:vAlign w:val="center"/>
            <w:hideMark/>
          </w:tcPr>
          <w:p w14:paraId="1A21C897" w14:textId="019E20B9" w:rsidR="0091159B" w:rsidRPr="009E3947" w:rsidRDefault="0091159B" w:rsidP="001E336E">
            <w:pPr>
              <w:ind w:left="0" w:firstLine="0"/>
              <w:jc w:val="right"/>
              <w:rPr>
                <w:rFonts w:eastAsia="Times New Roman" w:cs="Calibri"/>
                <w:b/>
                <w:bCs/>
                <w:color w:val="000000"/>
                <w:sz w:val="20"/>
                <w:szCs w:val="20"/>
              </w:rPr>
            </w:pPr>
            <w:r w:rsidRPr="009E3947">
              <w:rPr>
                <w:b/>
                <w:bCs/>
                <w:color w:val="000000"/>
                <w:sz w:val="20"/>
                <w:szCs w:val="20"/>
              </w:rPr>
              <w:t>5</w:t>
            </w:r>
            <w:r w:rsidR="00A10967">
              <w:rPr>
                <w:b/>
                <w:bCs/>
                <w:color w:val="000000"/>
                <w:sz w:val="20"/>
                <w:szCs w:val="20"/>
              </w:rPr>
              <w:t> </w:t>
            </w:r>
            <w:r w:rsidRPr="009E3947">
              <w:rPr>
                <w:b/>
                <w:bCs/>
                <w:color w:val="000000"/>
                <w:sz w:val="20"/>
                <w:szCs w:val="20"/>
              </w:rPr>
              <w:t>081</w:t>
            </w:r>
          </w:p>
        </w:tc>
        <w:tc>
          <w:tcPr>
            <w:tcW w:w="1381" w:type="dxa"/>
            <w:tcBorders>
              <w:top w:val="nil"/>
              <w:left w:val="nil"/>
              <w:bottom w:val="single" w:sz="4" w:space="0" w:color="auto"/>
              <w:right w:val="single" w:sz="4" w:space="0" w:color="auto"/>
            </w:tcBorders>
            <w:shd w:val="clear" w:color="000000" w:fill="EAF1DD"/>
            <w:noWrap/>
            <w:vAlign w:val="center"/>
            <w:hideMark/>
          </w:tcPr>
          <w:p w14:paraId="1D190493" w14:textId="41FA2472" w:rsidR="0091159B" w:rsidRPr="009E3947" w:rsidRDefault="0091159B" w:rsidP="001E336E">
            <w:pPr>
              <w:ind w:left="0" w:firstLine="0"/>
              <w:jc w:val="right"/>
              <w:rPr>
                <w:rFonts w:eastAsia="Times New Roman" w:cs="Calibri"/>
                <w:b/>
                <w:bCs/>
                <w:color w:val="000000"/>
                <w:sz w:val="20"/>
                <w:szCs w:val="20"/>
              </w:rPr>
            </w:pPr>
            <w:r w:rsidRPr="009E3947">
              <w:rPr>
                <w:b/>
                <w:bCs/>
                <w:color w:val="000000"/>
                <w:sz w:val="20"/>
                <w:szCs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34551097" w:rsidR="0091159B" w:rsidRPr="009E3947" w:rsidRDefault="0091159B" w:rsidP="001E336E">
            <w:pPr>
              <w:ind w:left="0" w:firstLine="0"/>
              <w:jc w:val="right"/>
              <w:rPr>
                <w:rFonts w:eastAsia="Times New Roman" w:cs="Calibri"/>
                <w:b/>
                <w:bCs/>
                <w:color w:val="000000"/>
                <w:sz w:val="20"/>
                <w:szCs w:val="20"/>
              </w:rPr>
            </w:pPr>
            <w:r w:rsidRPr="009E3947">
              <w:rPr>
                <w:b/>
                <w:bCs/>
                <w:color w:val="000000"/>
                <w:sz w:val="20"/>
                <w:szCs w:val="20"/>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4DA60790" w14:textId="5D3AB503" w:rsidR="0091159B" w:rsidRPr="009E3947" w:rsidRDefault="0091159B" w:rsidP="001E336E">
            <w:pPr>
              <w:ind w:left="0" w:firstLine="0"/>
              <w:jc w:val="right"/>
              <w:rPr>
                <w:rFonts w:eastAsia="Times New Roman" w:cs="Calibri"/>
                <w:b/>
                <w:bCs/>
                <w:color w:val="000000"/>
                <w:sz w:val="20"/>
                <w:szCs w:val="20"/>
              </w:rPr>
            </w:pPr>
            <w:r w:rsidRPr="009E3947">
              <w:rPr>
                <w:b/>
                <w:bCs/>
                <w:color w:val="000000"/>
                <w:sz w:val="20"/>
                <w:szCs w:val="20"/>
              </w:rPr>
              <w:t>5</w:t>
            </w:r>
            <w:r w:rsidR="00A10967">
              <w:rPr>
                <w:b/>
                <w:bCs/>
                <w:color w:val="000000"/>
                <w:sz w:val="20"/>
                <w:szCs w:val="20"/>
              </w:rPr>
              <w:t> </w:t>
            </w:r>
            <w:r w:rsidRPr="009E3947">
              <w:rPr>
                <w:b/>
                <w:bCs/>
                <w:color w:val="000000"/>
                <w:sz w:val="20"/>
                <w:szCs w:val="20"/>
              </w:rPr>
              <w:t>081</w:t>
            </w:r>
          </w:p>
        </w:tc>
      </w:tr>
      <w:tr w:rsidR="0091159B" w:rsidRPr="009E3947" w14:paraId="61B9137D" w14:textId="09710A60" w:rsidTr="004F3C40">
        <w:trPr>
          <w:trHeight w:val="270"/>
        </w:trPr>
        <w:tc>
          <w:tcPr>
            <w:tcW w:w="4541" w:type="dxa"/>
            <w:tcBorders>
              <w:top w:val="single" w:sz="4" w:space="0" w:color="auto"/>
              <w:left w:val="single" w:sz="4" w:space="0" w:color="auto"/>
            </w:tcBorders>
            <w:shd w:val="clear" w:color="auto" w:fill="auto"/>
            <w:noWrap/>
            <w:vAlign w:val="center"/>
            <w:hideMark/>
          </w:tcPr>
          <w:p w14:paraId="59887B25" w14:textId="4A80DD72" w:rsidR="0091159B" w:rsidRPr="009E3947" w:rsidRDefault="0091159B" w:rsidP="003360DC">
            <w:pPr>
              <w:ind w:left="0" w:firstLine="0"/>
              <w:rPr>
                <w:rFonts w:eastAsia="Times New Roman" w:cs="Calibri"/>
                <w:b/>
                <w:bCs/>
                <w:color w:val="000000"/>
                <w:sz w:val="20"/>
                <w:szCs w:val="20"/>
              </w:rPr>
            </w:pPr>
            <w:r w:rsidRPr="009E3947">
              <w:rPr>
                <w:b/>
                <w:bCs/>
                <w:color w:val="000000"/>
                <w:sz w:val="20"/>
                <w:szCs w:val="20"/>
              </w:rPr>
              <w:t> </w:t>
            </w:r>
          </w:p>
        </w:tc>
        <w:tc>
          <w:tcPr>
            <w:tcW w:w="1381" w:type="dxa"/>
            <w:tcBorders>
              <w:top w:val="single" w:sz="4" w:space="0" w:color="auto"/>
              <w:left w:val="nil"/>
              <w:bottom w:val="nil"/>
              <w:right w:val="nil"/>
            </w:tcBorders>
            <w:shd w:val="clear" w:color="auto" w:fill="auto"/>
            <w:noWrap/>
            <w:vAlign w:val="bottom"/>
            <w:hideMark/>
          </w:tcPr>
          <w:p w14:paraId="63E92177" w14:textId="4CBC3987" w:rsidR="0091159B" w:rsidRPr="009E3947"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01B5C912" w14:textId="6BF7C516" w:rsidR="0091159B" w:rsidRPr="009E3947"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F6E2A" w14:textId="1B50BD0E" w:rsidR="0091159B" w:rsidRPr="009E3947"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745AFD6C" w14:textId="31F46FC8" w:rsidR="0091159B" w:rsidRPr="009E3947" w:rsidRDefault="0091159B" w:rsidP="003360DC">
            <w:pPr>
              <w:ind w:left="0" w:firstLine="0"/>
              <w:rPr>
                <w:rFonts w:ascii="Times New Roman" w:eastAsia="Times New Roman" w:hAnsi="Times New Roman"/>
                <w:sz w:val="20"/>
                <w:szCs w:val="20"/>
                <w:lang w:eastAsia="en-GB"/>
              </w:rPr>
            </w:pPr>
          </w:p>
        </w:tc>
      </w:tr>
      <w:tr w:rsidR="0091159B" w:rsidRPr="009E3947" w14:paraId="45B6C9B2" w14:textId="7D1FEBA8" w:rsidTr="004F3C40">
        <w:trPr>
          <w:trHeight w:val="270"/>
        </w:trPr>
        <w:tc>
          <w:tcPr>
            <w:tcW w:w="4541" w:type="dxa"/>
            <w:tcBorders>
              <w:left w:val="single" w:sz="4" w:space="0" w:color="auto"/>
              <w:bottom w:val="single" w:sz="4" w:space="0" w:color="auto"/>
              <w:right w:val="nil"/>
            </w:tcBorders>
            <w:shd w:val="clear" w:color="auto" w:fill="auto"/>
            <w:noWrap/>
            <w:vAlign w:val="center"/>
            <w:hideMark/>
          </w:tcPr>
          <w:p w14:paraId="142D9AF9" w14:textId="09C4FFB2" w:rsidR="0091159B" w:rsidRPr="009E3947" w:rsidRDefault="0091159B" w:rsidP="003360DC">
            <w:pPr>
              <w:ind w:left="0" w:firstLine="0"/>
              <w:rPr>
                <w:rFonts w:eastAsia="Times New Roman" w:cs="Calibri"/>
                <w:b/>
                <w:bCs/>
                <w:color w:val="000000"/>
                <w:sz w:val="20"/>
                <w:szCs w:val="20"/>
              </w:rPr>
            </w:pPr>
            <w:r w:rsidRPr="009E3947">
              <w:rPr>
                <w:b/>
                <w:bCs/>
                <w:color w:val="000000"/>
                <w:sz w:val="20"/>
                <w:szCs w:val="20"/>
              </w:rPr>
              <w:t>GASTOS</w:t>
            </w:r>
          </w:p>
        </w:tc>
        <w:tc>
          <w:tcPr>
            <w:tcW w:w="1381" w:type="dxa"/>
            <w:tcBorders>
              <w:top w:val="nil"/>
              <w:left w:val="nil"/>
              <w:bottom w:val="single" w:sz="4" w:space="0" w:color="auto"/>
              <w:right w:val="nil"/>
            </w:tcBorders>
            <w:shd w:val="clear" w:color="auto" w:fill="auto"/>
            <w:noWrap/>
            <w:vAlign w:val="bottom"/>
            <w:hideMark/>
          </w:tcPr>
          <w:p w14:paraId="349EFFE6" w14:textId="4D89042B" w:rsidR="0091159B" w:rsidRPr="009E3947" w:rsidRDefault="0091159B" w:rsidP="003360DC">
            <w:pPr>
              <w:ind w:left="0" w:firstLine="0"/>
              <w:rPr>
                <w:rFonts w:eastAsia="Times New Roman" w:cs="Calibri"/>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52CBF24B" w14:textId="1C71C5AF" w:rsidR="0091159B" w:rsidRPr="009E3947" w:rsidRDefault="0091159B" w:rsidP="003360DC">
            <w:pPr>
              <w:ind w:left="0" w:firstLine="0"/>
              <w:rPr>
                <w:rFonts w:ascii="Times New Roman" w:eastAsia="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51B1BFB" w14:textId="53B978CE" w:rsidR="0091159B" w:rsidRPr="009E3947" w:rsidRDefault="0091159B" w:rsidP="003360DC">
            <w:pPr>
              <w:ind w:left="0" w:firstLine="0"/>
              <w:rPr>
                <w:rFonts w:ascii="Arial" w:eastAsia="Times New Roman" w:hAnsi="Arial" w:cs="Arial"/>
                <w:color w:val="000000"/>
                <w:sz w:val="20"/>
                <w:szCs w:val="20"/>
              </w:rPr>
            </w:pPr>
            <w:r w:rsidRPr="009E3947">
              <w:rPr>
                <w:rFonts w:ascii="Arial" w:hAnsi="Arial"/>
                <w:color w:val="000000"/>
                <w:sz w:val="20"/>
                <w:szCs w:val="20"/>
              </w:rPr>
              <w:t> </w:t>
            </w:r>
          </w:p>
        </w:tc>
        <w:tc>
          <w:tcPr>
            <w:tcW w:w="1381" w:type="dxa"/>
            <w:tcBorders>
              <w:top w:val="nil"/>
              <w:left w:val="nil"/>
              <w:bottom w:val="single" w:sz="4" w:space="0" w:color="auto"/>
              <w:right w:val="single" w:sz="4" w:space="0" w:color="auto"/>
            </w:tcBorders>
            <w:shd w:val="clear" w:color="auto" w:fill="auto"/>
            <w:noWrap/>
            <w:vAlign w:val="bottom"/>
            <w:hideMark/>
          </w:tcPr>
          <w:p w14:paraId="19FE23F9" w14:textId="29FA29BC" w:rsidR="0091159B" w:rsidRPr="009E3947" w:rsidRDefault="0091159B" w:rsidP="003360DC">
            <w:pPr>
              <w:ind w:left="0" w:firstLine="0"/>
              <w:rPr>
                <w:rFonts w:ascii="Times New Roman" w:eastAsia="Times New Roman" w:hAnsi="Times New Roman"/>
                <w:sz w:val="20"/>
                <w:szCs w:val="20"/>
                <w:lang w:eastAsia="en-GB"/>
              </w:rPr>
            </w:pPr>
          </w:p>
        </w:tc>
      </w:tr>
      <w:tr w:rsidR="0091159B" w:rsidRPr="009E3947" w14:paraId="7A79A610" w14:textId="79780162"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4CA08E7B" w:rsidR="0091159B" w:rsidRPr="009E3947" w:rsidRDefault="0091159B" w:rsidP="003360DC">
            <w:pPr>
              <w:ind w:left="0" w:firstLine="0"/>
              <w:rPr>
                <w:rFonts w:eastAsia="Times New Roman" w:cs="Calibri"/>
                <w:color w:val="000000"/>
                <w:sz w:val="20"/>
                <w:szCs w:val="20"/>
              </w:rPr>
            </w:pPr>
            <w:r w:rsidRPr="009E3947">
              <w:rPr>
                <w:color w:val="000000"/>
                <w:sz w:val="20"/>
                <w:szCs w:val="20"/>
              </w:rPr>
              <w:t>A.  Altos cargos de la Secretaría</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7ED69BB7" w:rsidR="0091159B" w:rsidRPr="009E3947" w:rsidRDefault="0091159B" w:rsidP="003360DC">
            <w:pPr>
              <w:ind w:left="0" w:firstLine="0"/>
              <w:jc w:val="right"/>
              <w:rPr>
                <w:rFonts w:eastAsia="Times New Roman" w:cs="Calibri"/>
                <w:b/>
                <w:bCs/>
                <w:color w:val="000000"/>
                <w:sz w:val="20"/>
                <w:szCs w:val="20"/>
              </w:rPr>
            </w:pPr>
            <w:r w:rsidRPr="009E3947">
              <w:rPr>
                <w:b/>
                <w:bCs/>
                <w:color w:val="000000"/>
                <w:sz w:val="20"/>
                <w:szCs w:val="20"/>
              </w:rPr>
              <w:t>1</w:t>
            </w:r>
            <w:r w:rsidR="00A10967">
              <w:rPr>
                <w:b/>
                <w:bCs/>
                <w:color w:val="000000"/>
                <w:sz w:val="20"/>
                <w:szCs w:val="20"/>
              </w:rPr>
              <w:t> </w:t>
            </w:r>
            <w:r w:rsidRPr="009E3947">
              <w:rPr>
                <w:b/>
                <w:bCs/>
                <w:color w:val="000000"/>
                <w:sz w:val="20"/>
                <w:szCs w:val="20"/>
              </w:rPr>
              <w:t>062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40723C93" w:rsidR="0091159B" w:rsidRPr="009E3947" w:rsidRDefault="0091159B" w:rsidP="003360DC">
            <w:pPr>
              <w:ind w:left="0" w:firstLine="0"/>
              <w:jc w:val="right"/>
              <w:rPr>
                <w:rFonts w:eastAsia="Times New Roman" w:cs="Calibri"/>
                <w:b/>
                <w:bCs/>
                <w:color w:val="000000"/>
                <w:sz w:val="20"/>
                <w:szCs w:val="20"/>
              </w:rPr>
            </w:pPr>
            <w:r w:rsidRPr="009E3947">
              <w:rPr>
                <w:b/>
                <w:bCs/>
                <w:color w:val="000000"/>
                <w:sz w:val="20"/>
                <w:szCs w:val="20"/>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16339960" w:rsidR="0091159B" w:rsidRPr="009E3947" w:rsidRDefault="00823B17" w:rsidP="003360DC">
            <w:pPr>
              <w:ind w:left="0" w:firstLine="0"/>
              <w:jc w:val="right"/>
              <w:rPr>
                <w:rFonts w:eastAsia="Times New Roman" w:cs="Calibri"/>
                <w:b/>
                <w:bCs/>
                <w:color w:val="000000"/>
                <w:sz w:val="20"/>
                <w:szCs w:val="20"/>
              </w:rPr>
            </w:pPr>
            <w:r w:rsidRPr="009E3947">
              <w:rPr>
                <w:b/>
                <w:bCs/>
                <w:color w:val="000000"/>
                <w:sz w:val="20"/>
                <w:szCs w:val="20"/>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256DF315" w:rsidR="0091159B" w:rsidRPr="009E3947" w:rsidRDefault="0091159B" w:rsidP="003360DC">
            <w:pPr>
              <w:ind w:left="0" w:firstLine="0"/>
              <w:jc w:val="right"/>
              <w:rPr>
                <w:rFonts w:eastAsia="Times New Roman" w:cs="Calibri"/>
                <w:b/>
                <w:bCs/>
                <w:color w:val="000000"/>
                <w:sz w:val="20"/>
                <w:szCs w:val="20"/>
              </w:rPr>
            </w:pPr>
            <w:r w:rsidRPr="009E3947">
              <w:rPr>
                <w:b/>
                <w:bCs/>
                <w:color w:val="000000"/>
                <w:sz w:val="20"/>
                <w:szCs w:val="20"/>
              </w:rPr>
              <w:t>1</w:t>
            </w:r>
            <w:r w:rsidR="00A10967">
              <w:rPr>
                <w:b/>
                <w:bCs/>
                <w:color w:val="000000"/>
                <w:sz w:val="20"/>
                <w:szCs w:val="20"/>
              </w:rPr>
              <w:t> </w:t>
            </w:r>
            <w:r w:rsidRPr="009E3947">
              <w:rPr>
                <w:b/>
                <w:bCs/>
                <w:color w:val="000000"/>
                <w:sz w:val="20"/>
                <w:szCs w:val="20"/>
              </w:rPr>
              <w:t>067</w:t>
            </w:r>
          </w:p>
        </w:tc>
      </w:tr>
      <w:tr w:rsidR="0091159B" w:rsidRPr="009E3947" w14:paraId="615C8B76" w14:textId="50DD656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0BDA09F6" w:rsidR="0091159B" w:rsidRPr="009E3947" w:rsidRDefault="0091159B" w:rsidP="003360DC">
            <w:pPr>
              <w:ind w:left="0" w:firstLine="0"/>
              <w:rPr>
                <w:rFonts w:eastAsia="Times New Roman" w:cs="Calibri"/>
                <w:sz w:val="20"/>
                <w:szCs w:val="20"/>
              </w:rPr>
            </w:pPr>
            <w:r w:rsidRPr="009E3947">
              <w:rPr>
                <w:sz w:val="20"/>
                <w:szCs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27A69344" w:rsidR="0091159B" w:rsidRPr="009E3947" w:rsidRDefault="0091159B" w:rsidP="003360DC">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022</w:t>
            </w:r>
          </w:p>
        </w:tc>
        <w:tc>
          <w:tcPr>
            <w:tcW w:w="1381" w:type="dxa"/>
            <w:tcBorders>
              <w:top w:val="nil"/>
              <w:left w:val="nil"/>
              <w:bottom w:val="single" w:sz="4" w:space="0" w:color="auto"/>
              <w:right w:val="single" w:sz="4" w:space="0" w:color="auto"/>
            </w:tcBorders>
            <w:shd w:val="clear" w:color="auto" w:fill="auto"/>
            <w:noWrap/>
            <w:vAlign w:val="center"/>
            <w:hideMark/>
          </w:tcPr>
          <w:p w14:paraId="6489F219" w14:textId="54BDD8A4"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122CEDD0"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1B46A3D" w14:textId="246FB426"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1</w:t>
            </w:r>
            <w:r w:rsidR="00A10967">
              <w:rPr>
                <w:color w:val="000000"/>
                <w:sz w:val="20"/>
                <w:szCs w:val="20"/>
              </w:rPr>
              <w:t> </w:t>
            </w:r>
            <w:r w:rsidRPr="009E3947">
              <w:rPr>
                <w:color w:val="000000"/>
                <w:sz w:val="20"/>
                <w:szCs w:val="20"/>
              </w:rPr>
              <w:t>022</w:t>
            </w:r>
          </w:p>
        </w:tc>
      </w:tr>
      <w:tr w:rsidR="0091159B" w:rsidRPr="009E3947" w14:paraId="2FF7C0BC" w14:textId="4D1D359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5887E161" w:rsidR="0091159B" w:rsidRPr="009E3947" w:rsidRDefault="0091159B" w:rsidP="003360DC">
            <w:pPr>
              <w:ind w:left="0" w:firstLine="0"/>
              <w:rPr>
                <w:rFonts w:eastAsia="Times New Roman" w:cs="Calibri"/>
                <w:sz w:val="20"/>
                <w:szCs w:val="20"/>
              </w:rPr>
            </w:pPr>
            <w:r w:rsidRPr="009E3947">
              <w:rPr>
                <w:sz w:val="20"/>
                <w:szCs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7A0A5624" w14:textId="6FDE3295" w:rsidR="0091159B" w:rsidRPr="009E3947" w:rsidRDefault="0091159B" w:rsidP="003360DC">
            <w:pPr>
              <w:ind w:left="0" w:firstLine="0"/>
              <w:jc w:val="right"/>
              <w:rPr>
                <w:rFonts w:eastAsia="Times New Roman" w:cs="Calibri"/>
                <w:sz w:val="20"/>
                <w:szCs w:val="20"/>
              </w:rPr>
            </w:pPr>
            <w:r w:rsidRPr="009E3947">
              <w:rPr>
                <w:sz w:val="20"/>
                <w:szCs w:val="20"/>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997AA9F" w14:textId="3A4770FF" w:rsidR="0091159B" w:rsidRPr="009E3947" w:rsidRDefault="0091159B" w:rsidP="003360DC">
            <w:pPr>
              <w:ind w:left="0" w:firstLine="0"/>
              <w:jc w:val="right"/>
              <w:rPr>
                <w:rFonts w:eastAsia="Times New Roman" w:cs="Calibri"/>
                <w:sz w:val="20"/>
                <w:szCs w:val="20"/>
              </w:rPr>
            </w:pPr>
            <w:r w:rsidRPr="009E3947">
              <w:rPr>
                <w:sz w:val="20"/>
                <w:szCs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2165696C" w:rsidR="0091159B" w:rsidRPr="009E3947" w:rsidRDefault="00823B17"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538BA9A3" w14:textId="4A8A2695" w:rsidR="0091159B" w:rsidRPr="009E3947" w:rsidRDefault="00823B17" w:rsidP="003360DC">
            <w:pPr>
              <w:ind w:left="0" w:firstLine="0"/>
              <w:jc w:val="right"/>
              <w:rPr>
                <w:rFonts w:eastAsia="Times New Roman" w:cs="Calibri"/>
                <w:color w:val="000000"/>
                <w:sz w:val="20"/>
                <w:szCs w:val="20"/>
              </w:rPr>
            </w:pPr>
            <w:r w:rsidRPr="009E3947">
              <w:rPr>
                <w:color w:val="000000"/>
                <w:sz w:val="20"/>
                <w:szCs w:val="20"/>
              </w:rPr>
              <w:t>45</w:t>
            </w:r>
          </w:p>
        </w:tc>
      </w:tr>
      <w:tr w:rsidR="0091159B" w:rsidRPr="009E3947" w14:paraId="6945CB12" w14:textId="7BF4AEAC"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EA9C310" w14:textId="059515F7" w:rsidR="0091159B" w:rsidRPr="009E3947" w:rsidRDefault="0091159B" w:rsidP="003360DC">
            <w:pPr>
              <w:ind w:left="0" w:firstLine="0"/>
              <w:rPr>
                <w:rFonts w:eastAsia="Times New Roman" w:cs="Calibri"/>
                <w:color w:val="000000"/>
                <w:sz w:val="20"/>
                <w:szCs w:val="20"/>
              </w:rPr>
            </w:pPr>
            <w:r w:rsidRPr="009E3947">
              <w:rPr>
                <w:color w:val="000000"/>
                <w:sz w:val="20"/>
                <w:szCs w:val="20"/>
              </w:rPr>
              <w:t>B.  Movilización de recursos y promoción</w:t>
            </w:r>
          </w:p>
        </w:tc>
        <w:tc>
          <w:tcPr>
            <w:tcW w:w="1381" w:type="dxa"/>
            <w:tcBorders>
              <w:top w:val="nil"/>
              <w:left w:val="nil"/>
              <w:bottom w:val="single" w:sz="4" w:space="0" w:color="auto"/>
              <w:right w:val="single" w:sz="4" w:space="0" w:color="auto"/>
            </w:tcBorders>
            <w:shd w:val="clear" w:color="000000" w:fill="EAF1DD"/>
            <w:noWrap/>
            <w:vAlign w:val="center"/>
            <w:hideMark/>
          </w:tcPr>
          <w:p w14:paraId="61AD23B0" w14:textId="09DDC1DB" w:rsidR="0091159B" w:rsidRPr="009E3947" w:rsidRDefault="0091159B" w:rsidP="003360DC">
            <w:pPr>
              <w:ind w:left="0" w:firstLine="0"/>
              <w:jc w:val="right"/>
              <w:rPr>
                <w:rFonts w:eastAsia="Times New Roman" w:cs="Calibri"/>
                <w:b/>
                <w:bCs/>
                <w:color w:val="000000"/>
                <w:sz w:val="20"/>
                <w:szCs w:val="20"/>
              </w:rPr>
            </w:pPr>
            <w:r w:rsidRPr="009E3947">
              <w:rPr>
                <w:b/>
                <w:bCs/>
                <w:color w:val="000000"/>
                <w:sz w:val="20"/>
                <w:szCs w:val="20"/>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A3EFFD6" w14:textId="789DD4CA" w:rsidR="0091159B" w:rsidRPr="009E3947" w:rsidRDefault="0091159B" w:rsidP="003360DC">
            <w:pPr>
              <w:ind w:left="0" w:firstLine="0"/>
              <w:jc w:val="right"/>
              <w:rPr>
                <w:rFonts w:eastAsia="Times New Roman" w:cs="Calibri"/>
                <w:b/>
                <w:bCs/>
                <w:color w:val="000000"/>
                <w:sz w:val="20"/>
                <w:szCs w:val="20"/>
              </w:rPr>
            </w:pPr>
            <w:r w:rsidRPr="009E3947">
              <w:rPr>
                <w:b/>
                <w:bCs/>
                <w:color w:val="000000"/>
                <w:sz w:val="20"/>
                <w:szCs w:val="20"/>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5254BC45"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82</w:t>
            </w:r>
          </w:p>
        </w:tc>
        <w:tc>
          <w:tcPr>
            <w:tcW w:w="1381" w:type="dxa"/>
            <w:tcBorders>
              <w:top w:val="nil"/>
              <w:left w:val="nil"/>
              <w:bottom w:val="single" w:sz="4" w:space="0" w:color="auto"/>
              <w:right w:val="single" w:sz="4" w:space="0" w:color="auto"/>
            </w:tcBorders>
            <w:shd w:val="clear" w:color="000000" w:fill="EAF1DD"/>
            <w:noWrap/>
            <w:vAlign w:val="center"/>
            <w:hideMark/>
          </w:tcPr>
          <w:p w14:paraId="54736064" w14:textId="17C789DF"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635</w:t>
            </w:r>
          </w:p>
        </w:tc>
      </w:tr>
      <w:tr w:rsidR="0091159B" w:rsidRPr="009E3947" w14:paraId="4674D97B" w14:textId="36397590"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74DDE6BB" w:rsidR="0091159B" w:rsidRPr="009E3947" w:rsidRDefault="0091159B" w:rsidP="003360DC">
            <w:pPr>
              <w:ind w:left="0" w:firstLine="0"/>
              <w:rPr>
                <w:rFonts w:eastAsia="Times New Roman" w:cs="Calibri"/>
                <w:sz w:val="20"/>
                <w:szCs w:val="20"/>
              </w:rPr>
            </w:pPr>
            <w:r w:rsidRPr="009E3947">
              <w:rPr>
                <w:sz w:val="20"/>
                <w:szCs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605894B5" w:rsidR="0091159B" w:rsidRPr="009E3947" w:rsidRDefault="0091159B" w:rsidP="003360DC">
            <w:pPr>
              <w:ind w:left="0" w:firstLine="0"/>
              <w:jc w:val="right"/>
              <w:rPr>
                <w:rFonts w:eastAsia="Times New Roman" w:cs="Calibri"/>
                <w:sz w:val="20"/>
                <w:szCs w:val="20"/>
              </w:rPr>
            </w:pPr>
            <w:r w:rsidRPr="009E3947">
              <w:rPr>
                <w:sz w:val="20"/>
                <w:szCs w:val="20"/>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1C77CB04" w14:textId="3C6C70EA"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43A0F426" w:rsidR="0091159B" w:rsidRPr="009E3947" w:rsidRDefault="00286AD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3992D8A" w14:textId="10C34022" w:rsidR="0091159B" w:rsidRPr="009E3947" w:rsidRDefault="00286ADB" w:rsidP="003360DC">
            <w:pPr>
              <w:ind w:left="0" w:firstLine="0"/>
              <w:jc w:val="right"/>
              <w:rPr>
                <w:rFonts w:eastAsia="Times New Roman" w:cs="Calibri"/>
                <w:color w:val="000000"/>
                <w:sz w:val="20"/>
                <w:szCs w:val="20"/>
              </w:rPr>
            </w:pPr>
            <w:r w:rsidRPr="009E3947">
              <w:rPr>
                <w:color w:val="000000"/>
                <w:sz w:val="20"/>
                <w:szCs w:val="20"/>
              </w:rPr>
              <w:t>352</w:t>
            </w:r>
          </w:p>
        </w:tc>
      </w:tr>
      <w:tr w:rsidR="0091159B" w:rsidRPr="009E3947" w14:paraId="3E53EC86" w14:textId="1FFC043B" w:rsidTr="004F3C40">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6CEA4D69" w:rsidR="0091159B" w:rsidRPr="009E3947" w:rsidRDefault="0091159B" w:rsidP="003360DC">
            <w:pPr>
              <w:ind w:left="0" w:firstLine="0"/>
              <w:rPr>
                <w:rFonts w:eastAsia="Times New Roman" w:cs="Calibri"/>
                <w:sz w:val="20"/>
                <w:szCs w:val="20"/>
              </w:rPr>
            </w:pPr>
            <w:r w:rsidRPr="009E3947">
              <w:rPr>
                <w:sz w:val="20"/>
                <w:szCs w:val="20"/>
              </w:rPr>
              <w:t>Programa de CECoP</w:t>
            </w:r>
          </w:p>
        </w:tc>
        <w:tc>
          <w:tcPr>
            <w:tcW w:w="1381" w:type="dxa"/>
            <w:tcBorders>
              <w:top w:val="nil"/>
              <w:left w:val="nil"/>
              <w:bottom w:val="single" w:sz="4" w:space="0" w:color="auto"/>
              <w:right w:val="single" w:sz="4" w:space="0" w:color="auto"/>
            </w:tcBorders>
            <w:shd w:val="clear" w:color="auto" w:fill="auto"/>
            <w:noWrap/>
            <w:vAlign w:val="center"/>
            <w:hideMark/>
          </w:tcPr>
          <w:p w14:paraId="14F6A850" w14:textId="5B528941" w:rsidR="0091159B" w:rsidRPr="009E3947" w:rsidRDefault="0091159B" w:rsidP="003360DC">
            <w:pPr>
              <w:ind w:left="0" w:firstLine="0"/>
              <w:jc w:val="right"/>
              <w:rPr>
                <w:rFonts w:eastAsia="Times New Roman" w:cs="Calibri"/>
                <w:sz w:val="20"/>
                <w:szCs w:val="20"/>
              </w:rPr>
            </w:pPr>
            <w:r w:rsidRPr="009E3947">
              <w:rPr>
                <w:sz w:val="20"/>
                <w:szCs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5A3D430" w14:textId="086867FF"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5D00EB94" w:rsidR="0091159B" w:rsidRPr="009E3947" w:rsidRDefault="00F5268D" w:rsidP="003360DC">
            <w:pPr>
              <w:ind w:left="0" w:firstLine="0"/>
              <w:jc w:val="right"/>
              <w:rPr>
                <w:rFonts w:eastAsia="Times New Roman" w:cs="Calibri"/>
                <w:sz w:val="20"/>
                <w:szCs w:val="20"/>
              </w:rPr>
            </w:pPr>
            <w:r w:rsidRPr="009E3947">
              <w:rPr>
                <w:sz w:val="20"/>
                <w:szCs w:val="20"/>
              </w:rPr>
              <w:t>44</w:t>
            </w:r>
          </w:p>
        </w:tc>
        <w:tc>
          <w:tcPr>
            <w:tcW w:w="1381" w:type="dxa"/>
            <w:tcBorders>
              <w:top w:val="nil"/>
              <w:left w:val="nil"/>
              <w:bottom w:val="single" w:sz="4" w:space="0" w:color="auto"/>
              <w:right w:val="single" w:sz="4" w:space="0" w:color="auto"/>
            </w:tcBorders>
            <w:shd w:val="clear" w:color="auto" w:fill="auto"/>
            <w:noWrap/>
            <w:vAlign w:val="center"/>
            <w:hideMark/>
          </w:tcPr>
          <w:p w14:paraId="3D49411E" w14:textId="075A761E"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74</w:t>
            </w:r>
          </w:p>
        </w:tc>
      </w:tr>
      <w:tr w:rsidR="0091159B" w:rsidRPr="009E3947" w14:paraId="72A09384" w14:textId="4D96F70D" w:rsidTr="004F3C40">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4A5953D" w14:textId="3B6AE3B7" w:rsidR="0091159B" w:rsidRPr="009E3947" w:rsidRDefault="0091159B" w:rsidP="003360DC">
            <w:pPr>
              <w:ind w:left="0" w:firstLine="0"/>
              <w:rPr>
                <w:rFonts w:eastAsia="Times New Roman" w:cs="Calibri"/>
                <w:sz w:val="20"/>
                <w:szCs w:val="20"/>
              </w:rPr>
            </w:pPr>
            <w:r w:rsidRPr="009E3947">
              <w:rPr>
                <w:sz w:val="20"/>
                <w:szCs w:val="20"/>
              </w:rPr>
              <w:t>Comunicaciones, traducciones, publicaciones e informes sobre la aplicación</w:t>
            </w:r>
          </w:p>
        </w:tc>
        <w:tc>
          <w:tcPr>
            <w:tcW w:w="1381" w:type="dxa"/>
            <w:tcBorders>
              <w:top w:val="nil"/>
              <w:left w:val="nil"/>
              <w:bottom w:val="single" w:sz="4" w:space="0" w:color="auto"/>
              <w:right w:val="single" w:sz="4" w:space="0" w:color="auto"/>
            </w:tcBorders>
            <w:shd w:val="clear" w:color="auto" w:fill="auto"/>
            <w:noWrap/>
            <w:vAlign w:val="center"/>
            <w:hideMark/>
          </w:tcPr>
          <w:p w14:paraId="4F5B26B7" w14:textId="4BE1E75C" w:rsidR="0091159B" w:rsidRPr="009E3947" w:rsidRDefault="0091159B" w:rsidP="003360DC">
            <w:pPr>
              <w:ind w:left="0" w:firstLine="0"/>
              <w:jc w:val="right"/>
              <w:rPr>
                <w:rFonts w:eastAsia="Times New Roman" w:cs="Calibri"/>
                <w:sz w:val="20"/>
                <w:szCs w:val="20"/>
              </w:rPr>
            </w:pPr>
            <w:r w:rsidRPr="009E3947">
              <w:rPr>
                <w:sz w:val="20"/>
                <w:szCs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76E92759" w14:textId="34759515" w:rsidR="0091159B" w:rsidRPr="009E3947" w:rsidRDefault="0091159B" w:rsidP="003360DC">
            <w:pPr>
              <w:ind w:left="0" w:firstLine="0"/>
              <w:jc w:val="right"/>
              <w:rPr>
                <w:rFonts w:eastAsia="Times New Roman" w:cs="Calibri"/>
                <w:sz w:val="20"/>
                <w:szCs w:val="20"/>
              </w:rPr>
            </w:pPr>
            <w:r w:rsidRPr="009E3947">
              <w:rPr>
                <w:sz w:val="20"/>
                <w:szCs w:val="20"/>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34721F36" w:rsidR="0091159B" w:rsidRPr="009E3947" w:rsidRDefault="00F5268D" w:rsidP="003360DC">
            <w:pPr>
              <w:ind w:left="0" w:firstLine="0"/>
              <w:jc w:val="right"/>
              <w:rPr>
                <w:rFonts w:eastAsia="Times New Roman" w:cs="Calibri"/>
                <w:sz w:val="20"/>
                <w:szCs w:val="20"/>
              </w:rPr>
            </w:pPr>
            <w:r w:rsidRPr="009E3947">
              <w:rPr>
                <w:sz w:val="20"/>
                <w:szCs w:val="20"/>
              </w:rPr>
              <w:t>24</w:t>
            </w:r>
          </w:p>
        </w:tc>
        <w:tc>
          <w:tcPr>
            <w:tcW w:w="1381" w:type="dxa"/>
            <w:tcBorders>
              <w:top w:val="nil"/>
              <w:left w:val="nil"/>
              <w:bottom w:val="single" w:sz="4" w:space="0" w:color="auto"/>
              <w:right w:val="single" w:sz="4" w:space="0" w:color="auto"/>
            </w:tcBorders>
            <w:shd w:val="clear" w:color="auto" w:fill="auto"/>
            <w:noWrap/>
            <w:vAlign w:val="center"/>
            <w:hideMark/>
          </w:tcPr>
          <w:p w14:paraId="1DE844B5" w14:textId="19242AF1"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124</w:t>
            </w:r>
          </w:p>
        </w:tc>
      </w:tr>
      <w:tr w:rsidR="0091159B" w:rsidRPr="009E3947" w14:paraId="754DFB5B" w14:textId="643D3F9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618D79DB" w:rsidR="0091159B" w:rsidRPr="009E3947" w:rsidRDefault="0091159B" w:rsidP="003360DC">
            <w:pPr>
              <w:ind w:left="0" w:firstLine="0"/>
              <w:rPr>
                <w:rFonts w:eastAsia="Times New Roman" w:cs="Calibri"/>
                <w:sz w:val="20"/>
                <w:szCs w:val="20"/>
              </w:rPr>
            </w:pPr>
            <w:r w:rsidRPr="009E3947">
              <w:rPr>
                <w:sz w:val="20"/>
                <w:szCs w:val="20"/>
              </w:rPr>
              <w:t>Apoyo y desarrollo del sitio web/servicios informáticos</w:t>
            </w:r>
          </w:p>
        </w:tc>
        <w:tc>
          <w:tcPr>
            <w:tcW w:w="1381" w:type="dxa"/>
            <w:tcBorders>
              <w:top w:val="nil"/>
              <w:left w:val="nil"/>
              <w:bottom w:val="single" w:sz="4" w:space="0" w:color="auto"/>
              <w:right w:val="single" w:sz="4" w:space="0" w:color="auto"/>
            </w:tcBorders>
            <w:shd w:val="clear" w:color="auto" w:fill="auto"/>
            <w:noWrap/>
            <w:vAlign w:val="center"/>
            <w:hideMark/>
          </w:tcPr>
          <w:p w14:paraId="64887C0A" w14:textId="237C5539" w:rsidR="0091159B" w:rsidRPr="009E3947" w:rsidRDefault="0091159B" w:rsidP="003360DC">
            <w:pPr>
              <w:ind w:left="0" w:firstLine="0"/>
              <w:jc w:val="right"/>
              <w:rPr>
                <w:rFonts w:eastAsia="Times New Roman" w:cs="Calibri"/>
                <w:sz w:val="20"/>
                <w:szCs w:val="20"/>
              </w:rPr>
            </w:pPr>
            <w:r w:rsidRPr="009E3947">
              <w:rPr>
                <w:sz w:val="20"/>
                <w:szCs w:val="20"/>
              </w:rPr>
              <w:t>56</w:t>
            </w:r>
          </w:p>
        </w:tc>
        <w:tc>
          <w:tcPr>
            <w:tcW w:w="1381" w:type="dxa"/>
            <w:tcBorders>
              <w:top w:val="nil"/>
              <w:left w:val="nil"/>
              <w:bottom w:val="single" w:sz="4" w:space="0" w:color="auto"/>
              <w:right w:val="single" w:sz="4" w:space="0" w:color="auto"/>
            </w:tcBorders>
            <w:shd w:val="clear" w:color="auto" w:fill="auto"/>
            <w:noWrap/>
            <w:vAlign w:val="center"/>
            <w:hideMark/>
          </w:tcPr>
          <w:p w14:paraId="630B7E6C" w14:textId="73DE1F1B"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1B902E9A" w:rsidR="0091159B" w:rsidRPr="009E3947" w:rsidRDefault="00F5268D" w:rsidP="003360DC">
            <w:pPr>
              <w:ind w:left="0" w:firstLine="0"/>
              <w:jc w:val="right"/>
              <w:rPr>
                <w:rFonts w:eastAsia="Times New Roman" w:cs="Calibri"/>
                <w:sz w:val="20"/>
                <w:szCs w:val="20"/>
              </w:rPr>
            </w:pPr>
            <w:r w:rsidRPr="009E3947">
              <w:rPr>
                <w:sz w:val="20"/>
                <w:szCs w:val="20"/>
              </w:rPr>
              <w:t>14</w:t>
            </w:r>
          </w:p>
        </w:tc>
        <w:tc>
          <w:tcPr>
            <w:tcW w:w="1381" w:type="dxa"/>
            <w:tcBorders>
              <w:top w:val="nil"/>
              <w:left w:val="nil"/>
              <w:bottom w:val="single" w:sz="4" w:space="0" w:color="auto"/>
              <w:right w:val="single" w:sz="4" w:space="0" w:color="auto"/>
            </w:tcBorders>
            <w:shd w:val="clear" w:color="auto" w:fill="auto"/>
            <w:noWrap/>
            <w:vAlign w:val="center"/>
            <w:hideMark/>
          </w:tcPr>
          <w:p w14:paraId="45AC127C" w14:textId="055895A0"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70</w:t>
            </w:r>
          </w:p>
        </w:tc>
      </w:tr>
      <w:tr w:rsidR="0091159B" w:rsidRPr="009E3947" w14:paraId="5D36C47E" w14:textId="47F235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32AC" w14:textId="68105669" w:rsidR="0091159B" w:rsidRPr="009E3947" w:rsidRDefault="0091159B" w:rsidP="003360DC">
            <w:pPr>
              <w:ind w:left="0" w:firstLine="0"/>
              <w:rPr>
                <w:rFonts w:eastAsia="Times New Roman" w:cs="Calibri"/>
                <w:sz w:val="20"/>
                <w:szCs w:val="20"/>
              </w:rPr>
            </w:pPr>
            <w:r w:rsidRPr="009E3947">
              <w:rPr>
                <w:sz w:val="20"/>
                <w:szCs w:val="20"/>
              </w:rPr>
              <w:t>Viajes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25DAC21" w14:textId="55CFEC09" w:rsidR="0091159B" w:rsidRPr="009E3947" w:rsidRDefault="0091159B" w:rsidP="003360DC">
            <w:pPr>
              <w:ind w:left="0" w:firstLine="0"/>
              <w:jc w:val="right"/>
              <w:rPr>
                <w:rFonts w:eastAsia="Times New Roman" w:cs="Calibri"/>
                <w:sz w:val="20"/>
                <w:szCs w:val="20"/>
              </w:rPr>
            </w:pPr>
            <w:r w:rsidRPr="009E3947">
              <w:rPr>
                <w:sz w:val="20"/>
                <w:szCs w:val="20"/>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EA137F2" w14:textId="249EF2B5" w:rsidR="0091159B" w:rsidRPr="009E3947" w:rsidRDefault="0091159B" w:rsidP="003360DC">
            <w:pPr>
              <w:ind w:left="0" w:firstLine="0"/>
              <w:jc w:val="right"/>
              <w:rPr>
                <w:rFonts w:eastAsia="Times New Roman" w:cs="Calibri"/>
                <w:sz w:val="20"/>
                <w:szCs w:val="20"/>
              </w:rPr>
            </w:pPr>
            <w:r w:rsidRPr="009E3947">
              <w:rPr>
                <w:sz w:val="20"/>
                <w:szCs w:val="20"/>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FD1A" w14:textId="5645E055" w:rsidR="0091159B" w:rsidRPr="009E3947" w:rsidRDefault="00890E7C"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7FAD7D5" w14:textId="51BBFA2A" w:rsidR="0091159B" w:rsidRPr="009E3947" w:rsidRDefault="00823B17" w:rsidP="003360DC">
            <w:pPr>
              <w:ind w:left="0" w:firstLine="0"/>
              <w:jc w:val="right"/>
              <w:rPr>
                <w:rFonts w:eastAsia="Times New Roman" w:cs="Calibri"/>
                <w:color w:val="000000"/>
                <w:sz w:val="20"/>
                <w:szCs w:val="20"/>
              </w:rPr>
            </w:pPr>
            <w:r w:rsidRPr="009E3947">
              <w:rPr>
                <w:color w:val="000000"/>
                <w:sz w:val="20"/>
                <w:szCs w:val="20"/>
              </w:rPr>
              <w:t>15</w:t>
            </w:r>
          </w:p>
        </w:tc>
      </w:tr>
      <w:tr w:rsidR="0091159B" w:rsidRPr="009E3947" w14:paraId="05F9EC88" w14:textId="67FAEF4A"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91D05DE" w14:textId="3205A99F" w:rsidR="0091159B" w:rsidRPr="009E3947" w:rsidRDefault="0091159B" w:rsidP="003360DC">
            <w:pPr>
              <w:ind w:left="0" w:firstLine="0"/>
              <w:rPr>
                <w:rFonts w:eastAsia="Times New Roman" w:cs="Calibri"/>
                <w:sz w:val="20"/>
                <w:szCs w:val="20"/>
              </w:rPr>
            </w:pPr>
            <w:r w:rsidRPr="009E3947">
              <w:rPr>
                <w:sz w:val="20"/>
                <w:szCs w:val="20"/>
              </w:rPr>
              <w:t>C.  Asesoramiento y apoyo regionales</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0976E54D" w14:textId="0D8D279D" w:rsidR="0091159B" w:rsidRPr="009E3947" w:rsidRDefault="0091159B" w:rsidP="003360DC">
            <w:pPr>
              <w:ind w:left="0" w:firstLine="0"/>
              <w:jc w:val="right"/>
              <w:rPr>
                <w:rFonts w:eastAsia="Times New Roman" w:cs="Calibri"/>
                <w:b/>
                <w:bCs/>
                <w:sz w:val="20"/>
                <w:szCs w:val="20"/>
              </w:rPr>
            </w:pPr>
            <w:r w:rsidRPr="009E3947">
              <w:rPr>
                <w:b/>
                <w:bCs/>
                <w:sz w:val="20"/>
                <w:szCs w:val="20"/>
              </w:rPr>
              <w:t>1</w:t>
            </w:r>
            <w:r w:rsidR="00A10967">
              <w:rPr>
                <w:b/>
                <w:bCs/>
                <w:sz w:val="20"/>
                <w:szCs w:val="20"/>
              </w:rPr>
              <w:t> </w:t>
            </w:r>
            <w:r w:rsidRPr="009E3947">
              <w:rPr>
                <w:b/>
                <w:bCs/>
                <w:sz w:val="20"/>
                <w:szCs w:val="20"/>
              </w:rPr>
              <w:t>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14771AC" w14:textId="75192714" w:rsidR="0091159B" w:rsidRPr="009E3947" w:rsidRDefault="0091159B" w:rsidP="003360DC">
            <w:pPr>
              <w:ind w:left="0" w:firstLine="0"/>
              <w:jc w:val="right"/>
              <w:rPr>
                <w:rFonts w:eastAsia="Times New Roman" w:cs="Calibri"/>
                <w:b/>
                <w:bCs/>
                <w:sz w:val="20"/>
                <w:szCs w:val="20"/>
              </w:rPr>
            </w:pPr>
            <w:r w:rsidRPr="009E3947">
              <w:rPr>
                <w:b/>
                <w:bCs/>
                <w:sz w:val="20"/>
                <w:szCs w:val="20"/>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E09DE4" w14:textId="3270E023"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266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76B491" w14:textId="4AC3616B"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1</w:t>
            </w:r>
            <w:r w:rsidR="00A10967">
              <w:rPr>
                <w:b/>
                <w:bCs/>
                <w:color w:val="000000"/>
                <w:sz w:val="20"/>
                <w:szCs w:val="20"/>
              </w:rPr>
              <w:t> </w:t>
            </w:r>
            <w:r w:rsidRPr="009E3947">
              <w:rPr>
                <w:b/>
                <w:bCs/>
                <w:color w:val="000000"/>
                <w:sz w:val="20"/>
                <w:szCs w:val="20"/>
              </w:rPr>
              <w:t>592</w:t>
            </w:r>
          </w:p>
        </w:tc>
      </w:tr>
      <w:tr w:rsidR="0091159B" w:rsidRPr="009E3947" w14:paraId="77563889" w14:textId="20775637"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20BAD3AF" w:rsidR="0091159B" w:rsidRPr="009E3947" w:rsidRDefault="0091159B" w:rsidP="003360DC">
            <w:pPr>
              <w:ind w:left="0" w:firstLine="0"/>
              <w:rPr>
                <w:rFonts w:eastAsia="Times New Roman" w:cs="Calibri"/>
                <w:sz w:val="20"/>
                <w:szCs w:val="20"/>
              </w:rPr>
            </w:pPr>
            <w:r w:rsidRPr="009E3947">
              <w:rPr>
                <w:sz w:val="20"/>
                <w:szCs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0D0E739F" w:rsidR="0091159B" w:rsidRPr="009E3947" w:rsidRDefault="0091159B" w:rsidP="003360DC">
            <w:pPr>
              <w:ind w:left="0" w:firstLine="0"/>
              <w:jc w:val="right"/>
              <w:rPr>
                <w:rFonts w:eastAsia="Times New Roman" w:cs="Calibri"/>
                <w:sz w:val="20"/>
                <w:szCs w:val="20"/>
              </w:rPr>
            </w:pPr>
            <w:r w:rsidRPr="009E3947">
              <w:rPr>
                <w:sz w:val="20"/>
                <w:szCs w:val="20"/>
              </w:rPr>
              <w:t>1</w:t>
            </w:r>
            <w:r w:rsidR="00A10967">
              <w:rPr>
                <w:sz w:val="20"/>
                <w:szCs w:val="20"/>
              </w:rPr>
              <w:t> </w:t>
            </w:r>
            <w:r w:rsidRPr="009E3947">
              <w:rPr>
                <w:sz w:val="20"/>
                <w:szCs w:val="20"/>
              </w:rPr>
              <w:t>249</w:t>
            </w:r>
          </w:p>
        </w:tc>
        <w:tc>
          <w:tcPr>
            <w:tcW w:w="1381" w:type="dxa"/>
            <w:tcBorders>
              <w:top w:val="nil"/>
              <w:left w:val="nil"/>
              <w:bottom w:val="single" w:sz="4" w:space="0" w:color="auto"/>
              <w:right w:val="single" w:sz="4" w:space="0" w:color="auto"/>
            </w:tcBorders>
            <w:shd w:val="clear" w:color="auto" w:fill="auto"/>
            <w:noWrap/>
            <w:vAlign w:val="center"/>
            <w:hideMark/>
          </w:tcPr>
          <w:p w14:paraId="335015BD" w14:textId="4F94E8D7"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2C314034"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181</w:t>
            </w:r>
          </w:p>
        </w:tc>
        <w:tc>
          <w:tcPr>
            <w:tcW w:w="1381" w:type="dxa"/>
            <w:tcBorders>
              <w:top w:val="nil"/>
              <w:left w:val="nil"/>
              <w:bottom w:val="single" w:sz="4" w:space="0" w:color="auto"/>
              <w:right w:val="single" w:sz="4" w:space="0" w:color="auto"/>
            </w:tcBorders>
            <w:shd w:val="clear" w:color="auto" w:fill="auto"/>
            <w:noWrap/>
            <w:vAlign w:val="center"/>
            <w:hideMark/>
          </w:tcPr>
          <w:p w14:paraId="3AC3746C" w14:textId="1F2AE33A" w:rsidR="0091159B" w:rsidRPr="009E3947" w:rsidRDefault="00DB1F06" w:rsidP="003360DC">
            <w:pPr>
              <w:ind w:left="0" w:firstLine="0"/>
              <w:jc w:val="right"/>
              <w:rPr>
                <w:rFonts w:eastAsia="Times New Roman" w:cs="Calibri"/>
                <w:color w:val="000000"/>
                <w:sz w:val="20"/>
                <w:szCs w:val="20"/>
              </w:rPr>
            </w:pPr>
            <w:r w:rsidRPr="009E3947">
              <w:rPr>
                <w:color w:val="000000"/>
                <w:sz w:val="20"/>
                <w:szCs w:val="20"/>
              </w:rPr>
              <w:t>1</w:t>
            </w:r>
            <w:r w:rsidR="00A10967">
              <w:rPr>
                <w:color w:val="000000"/>
                <w:sz w:val="20"/>
                <w:szCs w:val="20"/>
              </w:rPr>
              <w:t> </w:t>
            </w:r>
            <w:r w:rsidRPr="009E3947">
              <w:rPr>
                <w:color w:val="000000"/>
                <w:sz w:val="20"/>
                <w:szCs w:val="20"/>
              </w:rPr>
              <w:t>430</w:t>
            </w:r>
          </w:p>
        </w:tc>
      </w:tr>
      <w:tr w:rsidR="0091159B" w:rsidRPr="009E3947" w14:paraId="76E8954A" w14:textId="0A38426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1D333334" w:rsidR="0091159B" w:rsidRPr="009E3947" w:rsidRDefault="0091159B" w:rsidP="003360DC">
            <w:pPr>
              <w:ind w:left="0" w:firstLine="0"/>
              <w:rPr>
                <w:rFonts w:eastAsia="Times New Roman" w:cs="Calibri"/>
                <w:sz w:val="20"/>
                <w:szCs w:val="20"/>
              </w:rPr>
            </w:pPr>
            <w:r w:rsidRPr="009E3947">
              <w:rPr>
                <w:sz w:val="20"/>
                <w:szCs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10074124" w14:textId="504026B5" w:rsidR="0091159B" w:rsidRPr="009E3947" w:rsidRDefault="0091159B" w:rsidP="003360DC">
            <w:pPr>
              <w:ind w:left="0" w:firstLine="0"/>
              <w:jc w:val="right"/>
              <w:rPr>
                <w:rFonts w:eastAsia="Times New Roman" w:cs="Calibri"/>
                <w:sz w:val="20"/>
                <w:szCs w:val="20"/>
              </w:rPr>
            </w:pPr>
            <w:r w:rsidRPr="009E3947">
              <w:rPr>
                <w:sz w:val="20"/>
                <w:szCs w:val="20"/>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15AC3DF" w14:textId="4819DF45" w:rsidR="0091159B" w:rsidRPr="009E3947" w:rsidRDefault="0091159B" w:rsidP="003360DC">
            <w:pPr>
              <w:ind w:left="0" w:firstLine="0"/>
              <w:jc w:val="right"/>
              <w:rPr>
                <w:rFonts w:eastAsia="Times New Roman" w:cs="Calibri"/>
                <w:sz w:val="20"/>
                <w:szCs w:val="20"/>
              </w:rPr>
            </w:pPr>
            <w:r w:rsidRPr="009E3947">
              <w:rPr>
                <w:sz w:val="20"/>
                <w:szCs w:val="20"/>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173B3F0F" w:rsidR="0091159B" w:rsidRPr="009E3947" w:rsidRDefault="00DB1F06"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CC3999A" w14:textId="56EECD9B" w:rsidR="0091159B" w:rsidRPr="009E3947" w:rsidRDefault="00EE7826" w:rsidP="003360DC">
            <w:pPr>
              <w:ind w:left="0" w:firstLine="0"/>
              <w:jc w:val="right"/>
              <w:rPr>
                <w:rFonts w:eastAsia="Times New Roman" w:cs="Calibri"/>
                <w:color w:val="000000"/>
                <w:sz w:val="20"/>
                <w:szCs w:val="20"/>
              </w:rPr>
            </w:pPr>
            <w:r w:rsidRPr="009E3947">
              <w:rPr>
                <w:color w:val="000000"/>
                <w:sz w:val="20"/>
                <w:szCs w:val="20"/>
              </w:rPr>
              <w:t>77</w:t>
            </w:r>
          </w:p>
        </w:tc>
      </w:tr>
      <w:tr w:rsidR="0091159B" w:rsidRPr="009E3947" w14:paraId="1B8E8A1E" w14:textId="31BAD49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2B57F329" w:rsidR="0091159B" w:rsidRPr="009E3947" w:rsidRDefault="0091159B" w:rsidP="003360DC">
            <w:pPr>
              <w:ind w:left="0" w:firstLine="0"/>
              <w:rPr>
                <w:rFonts w:eastAsia="Times New Roman" w:cs="Calibri"/>
                <w:sz w:val="20"/>
                <w:szCs w:val="20"/>
              </w:rPr>
            </w:pPr>
            <w:r w:rsidRPr="009E3947">
              <w:rPr>
                <w:sz w:val="20"/>
                <w:szCs w:val="20"/>
              </w:rPr>
              <w:t>Misiones Ramsar de Asesoramiento</w:t>
            </w:r>
          </w:p>
        </w:tc>
        <w:tc>
          <w:tcPr>
            <w:tcW w:w="1381" w:type="dxa"/>
            <w:tcBorders>
              <w:top w:val="nil"/>
              <w:left w:val="nil"/>
              <w:bottom w:val="single" w:sz="4" w:space="0" w:color="auto"/>
              <w:right w:val="single" w:sz="4" w:space="0" w:color="auto"/>
            </w:tcBorders>
            <w:shd w:val="clear" w:color="auto" w:fill="auto"/>
            <w:noWrap/>
            <w:vAlign w:val="center"/>
            <w:hideMark/>
          </w:tcPr>
          <w:p w14:paraId="41DE8C80" w14:textId="681836E5"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11C0E744" w14:textId="03FEE894"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50D1CCC5"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85</w:t>
            </w:r>
          </w:p>
        </w:tc>
        <w:tc>
          <w:tcPr>
            <w:tcW w:w="1381" w:type="dxa"/>
            <w:tcBorders>
              <w:top w:val="nil"/>
              <w:left w:val="nil"/>
              <w:bottom w:val="single" w:sz="4" w:space="0" w:color="auto"/>
              <w:right w:val="single" w:sz="4" w:space="0" w:color="auto"/>
            </w:tcBorders>
            <w:shd w:val="clear" w:color="auto" w:fill="auto"/>
            <w:noWrap/>
            <w:vAlign w:val="center"/>
            <w:hideMark/>
          </w:tcPr>
          <w:p w14:paraId="29AAE135" w14:textId="1BA979C2"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85</w:t>
            </w:r>
          </w:p>
        </w:tc>
      </w:tr>
      <w:tr w:rsidR="0091159B" w:rsidRPr="009E3947" w14:paraId="674ADC2B" w14:textId="3F98F414"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6556EE6" w14:textId="6779F905" w:rsidR="0091159B" w:rsidRPr="009E3947" w:rsidRDefault="0091159B" w:rsidP="003360DC">
            <w:pPr>
              <w:ind w:left="0" w:firstLine="0"/>
              <w:rPr>
                <w:rFonts w:eastAsia="Times New Roman" w:cs="Calibri"/>
                <w:sz w:val="20"/>
                <w:szCs w:val="20"/>
              </w:rPr>
            </w:pPr>
            <w:r w:rsidRPr="009E3947">
              <w:rPr>
                <w:sz w:val="20"/>
                <w:szCs w:val="20"/>
              </w:rPr>
              <w:t>D.  Apoyo a las iniciativas regionales</w:t>
            </w:r>
          </w:p>
        </w:tc>
        <w:tc>
          <w:tcPr>
            <w:tcW w:w="1381" w:type="dxa"/>
            <w:tcBorders>
              <w:top w:val="nil"/>
              <w:left w:val="nil"/>
              <w:bottom w:val="single" w:sz="4" w:space="0" w:color="auto"/>
              <w:right w:val="single" w:sz="4" w:space="0" w:color="auto"/>
            </w:tcBorders>
            <w:shd w:val="clear" w:color="000000" w:fill="EAF1DD"/>
            <w:noWrap/>
            <w:vAlign w:val="center"/>
            <w:hideMark/>
          </w:tcPr>
          <w:p w14:paraId="568C4AC4" w14:textId="4D532B0E" w:rsidR="0091159B" w:rsidRPr="009E3947" w:rsidRDefault="0091159B" w:rsidP="003360DC">
            <w:pPr>
              <w:ind w:left="0" w:firstLine="0"/>
              <w:jc w:val="right"/>
              <w:rPr>
                <w:rFonts w:eastAsia="Times New Roman" w:cs="Calibri"/>
                <w:b/>
                <w:bCs/>
                <w:sz w:val="20"/>
                <w:szCs w:val="20"/>
              </w:rPr>
            </w:pPr>
            <w:r w:rsidRPr="009E3947">
              <w:rPr>
                <w:b/>
                <w:bCs/>
                <w:sz w:val="20"/>
                <w:szCs w:val="20"/>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5F1D198B" w14:textId="0AA783B1" w:rsidR="0091159B" w:rsidRPr="009E3947" w:rsidRDefault="0091159B" w:rsidP="003360DC">
            <w:pPr>
              <w:ind w:left="0" w:firstLine="0"/>
              <w:jc w:val="right"/>
              <w:rPr>
                <w:rFonts w:eastAsia="Times New Roman" w:cs="Calibri"/>
                <w:b/>
                <w:bCs/>
                <w:sz w:val="20"/>
                <w:szCs w:val="20"/>
              </w:rPr>
            </w:pPr>
            <w:r w:rsidRPr="009E3947">
              <w:rPr>
                <w:b/>
                <w:bCs/>
                <w:sz w:val="20"/>
                <w:szCs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4FB0D94C"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174</w:t>
            </w:r>
          </w:p>
        </w:tc>
        <w:tc>
          <w:tcPr>
            <w:tcW w:w="1381" w:type="dxa"/>
            <w:tcBorders>
              <w:top w:val="nil"/>
              <w:left w:val="nil"/>
              <w:bottom w:val="single" w:sz="4" w:space="0" w:color="auto"/>
              <w:right w:val="single" w:sz="4" w:space="0" w:color="auto"/>
            </w:tcBorders>
            <w:shd w:val="clear" w:color="000000" w:fill="EAF1DD"/>
            <w:noWrap/>
            <w:vAlign w:val="center"/>
            <w:hideMark/>
          </w:tcPr>
          <w:p w14:paraId="7AFA16D5" w14:textId="4E8D1FEF"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274</w:t>
            </w:r>
          </w:p>
        </w:tc>
      </w:tr>
      <w:tr w:rsidR="0091159B" w:rsidRPr="009E3947" w14:paraId="1CB74857" w14:textId="78C0D752"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77B811A6" w14:textId="41D67A98" w:rsidR="008235CC" w:rsidRPr="009E3947" w:rsidRDefault="0091159B" w:rsidP="008235CC">
            <w:pPr>
              <w:ind w:left="0" w:firstLine="0"/>
              <w:rPr>
                <w:rFonts w:eastAsia="Times New Roman" w:cs="Calibri"/>
                <w:sz w:val="20"/>
                <w:szCs w:val="20"/>
              </w:rPr>
            </w:pPr>
            <w:r w:rsidRPr="009E3947">
              <w:rPr>
                <w:sz w:val="20"/>
                <w:szCs w:val="20"/>
              </w:rPr>
              <w:t>Redes y centros regionales</w:t>
            </w:r>
            <w:r w:rsidR="00550F14">
              <w:rPr>
                <w:sz w:val="20"/>
                <w:szCs w:val="20"/>
              </w:rPr>
              <w:t xml:space="preserve"> - </w:t>
            </w:r>
            <w:r w:rsidR="00550F14" w:rsidRPr="009E3947">
              <w:rPr>
                <w:rFonts w:asciiTheme="minorHAnsi" w:hAnsiTheme="minorHAnsi"/>
                <w:sz w:val="20"/>
                <w:szCs w:val="20"/>
              </w:rPr>
              <w:t>no asignados</w:t>
            </w:r>
          </w:p>
          <w:p w14:paraId="3DED41F3" w14:textId="3AF04139" w:rsidR="0091159B" w:rsidRPr="009E3947" w:rsidRDefault="0091159B" w:rsidP="008235CC">
            <w:pPr>
              <w:ind w:left="0" w:firstLine="0"/>
              <w:rPr>
                <w:rFonts w:eastAsia="Times New Roman" w:cs="Calibri"/>
                <w:sz w:val="20"/>
                <w:szCs w:val="20"/>
                <w:lang w:eastAsia="en-GB"/>
              </w:rPr>
            </w:pP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156CEC33" w:rsidR="0091159B" w:rsidRPr="009E3947" w:rsidRDefault="00550F14" w:rsidP="003360DC">
            <w:pPr>
              <w:ind w:left="0" w:firstLine="0"/>
              <w:jc w:val="right"/>
              <w:rPr>
                <w:rFonts w:eastAsia="Times New Roman" w:cs="Calibri"/>
                <w:sz w:val="20"/>
                <w:szCs w:val="20"/>
              </w:rPr>
            </w:pPr>
            <w:r>
              <w:rPr>
                <w:sz w:val="20"/>
                <w:szCs w:val="20"/>
              </w:rPr>
              <w:t>40</w:t>
            </w:r>
          </w:p>
        </w:tc>
        <w:tc>
          <w:tcPr>
            <w:tcW w:w="1381" w:type="dxa"/>
            <w:tcBorders>
              <w:top w:val="nil"/>
              <w:left w:val="nil"/>
              <w:bottom w:val="single" w:sz="4" w:space="0" w:color="auto"/>
              <w:right w:val="single" w:sz="4" w:space="0" w:color="auto"/>
            </w:tcBorders>
            <w:shd w:val="clear" w:color="auto" w:fill="auto"/>
            <w:noWrap/>
            <w:vAlign w:val="center"/>
            <w:hideMark/>
          </w:tcPr>
          <w:p w14:paraId="14931F38" w14:textId="2594F176"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0F3FE289" w:rsidR="0091159B" w:rsidRPr="009E3947" w:rsidRDefault="001A74DB" w:rsidP="003360DC">
            <w:pPr>
              <w:ind w:left="0" w:firstLine="0"/>
              <w:jc w:val="right"/>
              <w:rPr>
                <w:rFonts w:eastAsia="Times New Roman" w:cs="Calibri"/>
                <w:color w:val="000000"/>
                <w:sz w:val="20"/>
                <w:szCs w:val="20"/>
              </w:rPr>
            </w:pPr>
            <w:r w:rsidRPr="009E3947">
              <w:rPr>
                <w:color w:val="000000"/>
                <w:sz w:val="20"/>
                <w:szCs w:val="20"/>
              </w:rPr>
              <w:t>155</w:t>
            </w:r>
          </w:p>
        </w:tc>
        <w:tc>
          <w:tcPr>
            <w:tcW w:w="1381" w:type="dxa"/>
            <w:tcBorders>
              <w:top w:val="nil"/>
              <w:left w:val="nil"/>
              <w:bottom w:val="single" w:sz="4" w:space="0" w:color="auto"/>
              <w:right w:val="single" w:sz="4" w:space="0" w:color="auto"/>
            </w:tcBorders>
            <w:shd w:val="clear" w:color="auto" w:fill="auto"/>
            <w:noWrap/>
            <w:vAlign w:val="center"/>
            <w:hideMark/>
          </w:tcPr>
          <w:p w14:paraId="26D38C3A" w14:textId="4F9B2A0D" w:rsidR="0091159B" w:rsidRPr="009E3947" w:rsidRDefault="00550F14" w:rsidP="003360DC">
            <w:pPr>
              <w:ind w:left="0" w:firstLine="0"/>
              <w:jc w:val="right"/>
              <w:rPr>
                <w:rFonts w:eastAsia="Times New Roman" w:cs="Calibri"/>
                <w:color w:val="000000"/>
                <w:sz w:val="20"/>
                <w:szCs w:val="20"/>
              </w:rPr>
            </w:pPr>
            <w:r>
              <w:rPr>
                <w:color w:val="000000"/>
                <w:sz w:val="20"/>
                <w:szCs w:val="20"/>
              </w:rPr>
              <w:t>195</w:t>
            </w:r>
          </w:p>
        </w:tc>
      </w:tr>
      <w:tr w:rsidR="00550F14" w:rsidRPr="009E3947" w14:paraId="4B860E06"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636A241D" w14:textId="4B668DE5" w:rsidR="00550F14" w:rsidRPr="009E3947" w:rsidRDefault="00550F14" w:rsidP="00550F14">
            <w:pPr>
              <w:ind w:left="0" w:firstLine="0"/>
              <w:rPr>
                <w:sz w:val="20"/>
                <w:szCs w:val="20"/>
              </w:rPr>
            </w:pPr>
            <w:r>
              <w:rPr>
                <w:rFonts w:eastAsia="Times New Roman" w:cs="Calibri"/>
                <w:sz w:val="20"/>
                <w:szCs w:val="20"/>
                <w:lang w:eastAsia="en-GB"/>
              </w:rPr>
              <w:t>IRR</w:t>
            </w:r>
            <w:r w:rsidRPr="00550F14">
              <w:rPr>
                <w:rFonts w:eastAsia="Times New Roman" w:cs="Calibri"/>
                <w:sz w:val="20"/>
                <w:szCs w:val="20"/>
                <w:lang w:eastAsia="en-GB"/>
              </w:rPr>
              <w:t xml:space="preserve"> Danube WILDisland  </w:t>
            </w:r>
            <w:r w:rsidRPr="006E25D3">
              <w:rPr>
                <w:rFonts w:eastAsia="Times New Roman" w:cs="Calibri"/>
                <w:sz w:val="20"/>
                <w:szCs w:val="20"/>
                <w:lang w:eastAsia="en-GB"/>
              </w:rPr>
              <w:t>2025</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79F84732" w14:textId="550953F8" w:rsidR="00550F14" w:rsidRDefault="00550F14" w:rsidP="00550F14">
            <w:pPr>
              <w:ind w:left="0" w:firstLine="0"/>
              <w:jc w:val="right"/>
              <w:rPr>
                <w:sz w:val="20"/>
                <w:szCs w:val="20"/>
              </w:rPr>
            </w:pPr>
            <w:r>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44D04120" w14:textId="61E7363F" w:rsidR="00550F14" w:rsidRPr="009E3947" w:rsidRDefault="00550F14" w:rsidP="00550F14">
            <w:pPr>
              <w:ind w:left="0" w:firstLine="0"/>
              <w:jc w:val="right"/>
              <w:rPr>
                <w:sz w:val="20"/>
                <w:szCs w:val="20"/>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45F3B20" w14:textId="7E18F0F7" w:rsidR="00550F14" w:rsidRPr="009E3947" w:rsidRDefault="00550F14" w:rsidP="00550F14">
            <w:pPr>
              <w:ind w:left="0" w:firstLine="0"/>
              <w:jc w:val="right"/>
              <w:rPr>
                <w:color w:val="000000"/>
                <w:sz w:val="20"/>
                <w:szCs w:val="20"/>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546BED93" w14:textId="1DE12B05" w:rsidR="00550F14" w:rsidRDefault="00550F14" w:rsidP="00550F14">
            <w:pPr>
              <w:ind w:left="0" w:firstLine="0"/>
              <w:jc w:val="right"/>
              <w:rPr>
                <w:color w:val="000000"/>
                <w:sz w:val="20"/>
                <w:szCs w:val="20"/>
              </w:rPr>
            </w:pPr>
            <w:r>
              <w:rPr>
                <w:rFonts w:eastAsia="Times New Roman" w:cs="Calibri"/>
                <w:color w:val="000000"/>
                <w:sz w:val="20"/>
                <w:szCs w:val="20"/>
                <w:lang w:eastAsia="en-GB"/>
              </w:rPr>
              <w:t>30</w:t>
            </w:r>
          </w:p>
        </w:tc>
      </w:tr>
      <w:tr w:rsidR="00550F14" w:rsidRPr="009E3947" w14:paraId="6AC60811"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7917527B" w14:textId="3E79202E" w:rsidR="00550F14" w:rsidRPr="009E3947" w:rsidRDefault="00550F14" w:rsidP="00550F14">
            <w:pPr>
              <w:ind w:left="0" w:firstLine="0"/>
              <w:rPr>
                <w:sz w:val="20"/>
                <w:szCs w:val="20"/>
              </w:rPr>
            </w:pPr>
            <w:r>
              <w:rPr>
                <w:rFonts w:eastAsia="Times New Roman" w:cs="Calibri"/>
                <w:sz w:val="20"/>
                <w:szCs w:val="20"/>
                <w:lang w:eastAsia="en-GB"/>
              </w:rPr>
              <w:t>IRR</w:t>
            </w:r>
            <w:r w:rsidRPr="00550F14">
              <w:rPr>
                <w:rFonts w:eastAsia="Times New Roman" w:cs="Calibri"/>
                <w:sz w:val="20"/>
                <w:szCs w:val="20"/>
                <w:lang w:eastAsia="en-GB"/>
              </w:rPr>
              <w:t xml:space="preserve"> para África Meridional (SARRI)</w:t>
            </w:r>
            <w:r w:rsidRPr="006E25D3">
              <w:rPr>
                <w:rFonts w:eastAsia="Times New Roman" w:cs="Calibri"/>
                <w:sz w:val="20"/>
                <w:szCs w:val="20"/>
                <w:lang w:eastAsia="en-GB"/>
              </w:rPr>
              <w:t>2025</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0EC42A47" w14:textId="36938D8A" w:rsidR="00550F14" w:rsidRDefault="00550F14" w:rsidP="00550F14">
            <w:pPr>
              <w:ind w:left="0" w:firstLine="0"/>
              <w:jc w:val="right"/>
              <w:rPr>
                <w:sz w:val="20"/>
                <w:szCs w:val="20"/>
              </w:rPr>
            </w:pPr>
            <w:r>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1696A75C" w14:textId="55A9AF23" w:rsidR="00550F14" w:rsidRPr="009E3947" w:rsidRDefault="00550F14" w:rsidP="00550F14">
            <w:pPr>
              <w:ind w:left="0" w:firstLine="0"/>
              <w:jc w:val="right"/>
              <w:rPr>
                <w:sz w:val="20"/>
                <w:szCs w:val="20"/>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2C9F256D" w14:textId="69B0C0E8" w:rsidR="00550F14" w:rsidRPr="009E3947" w:rsidRDefault="00550F14" w:rsidP="00550F14">
            <w:pPr>
              <w:ind w:left="0" w:firstLine="0"/>
              <w:jc w:val="right"/>
              <w:rPr>
                <w:color w:val="000000"/>
                <w:sz w:val="20"/>
                <w:szCs w:val="20"/>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706B987E" w14:textId="3CE57367" w:rsidR="00550F14" w:rsidRDefault="00550F14" w:rsidP="00550F14">
            <w:pPr>
              <w:ind w:left="0" w:firstLine="0"/>
              <w:jc w:val="right"/>
              <w:rPr>
                <w:color w:val="000000"/>
                <w:sz w:val="20"/>
                <w:szCs w:val="20"/>
              </w:rPr>
            </w:pPr>
            <w:r>
              <w:rPr>
                <w:rFonts w:eastAsia="Times New Roman" w:cs="Calibri"/>
                <w:color w:val="000000"/>
                <w:sz w:val="20"/>
                <w:szCs w:val="20"/>
                <w:lang w:eastAsia="en-GB"/>
              </w:rPr>
              <w:t>30</w:t>
            </w:r>
          </w:p>
        </w:tc>
      </w:tr>
      <w:tr w:rsidR="00F5268D" w:rsidRPr="009E3947" w14:paraId="370AFC0F"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75D735E3" w14:textId="12E30E81" w:rsidR="00F5268D" w:rsidRPr="009E3947" w:rsidRDefault="00F5268D" w:rsidP="008235CC">
            <w:pPr>
              <w:ind w:left="0" w:firstLine="0"/>
              <w:rPr>
                <w:rFonts w:eastAsia="Times New Roman" w:cs="Calibri"/>
                <w:sz w:val="20"/>
                <w:szCs w:val="20"/>
              </w:rPr>
            </w:pPr>
            <w:r w:rsidRPr="009E3947">
              <w:rPr>
                <w:sz w:val="20"/>
                <w:szCs w:val="20"/>
              </w:rPr>
              <w:t>Cuenca del Amazonas, traspaso de 2024</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C3B40F2" w14:textId="6A182B41" w:rsidR="00F5268D" w:rsidRPr="009E3947" w:rsidRDefault="00F5268D"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tcPr>
          <w:p w14:paraId="68376AF0" w14:textId="4731A196" w:rsidR="00F5268D" w:rsidRPr="009E3947" w:rsidRDefault="00F5268D"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10E7006" w14:textId="4B40B4FA" w:rsidR="00F5268D" w:rsidRPr="009E3947" w:rsidRDefault="00F5268D" w:rsidP="003360DC">
            <w:pPr>
              <w:ind w:left="0" w:firstLine="0"/>
              <w:jc w:val="right"/>
              <w:rPr>
                <w:rFonts w:eastAsia="Times New Roman" w:cs="Calibri"/>
                <w:color w:val="000000"/>
                <w:sz w:val="20"/>
                <w:szCs w:val="20"/>
              </w:rPr>
            </w:pPr>
            <w:r w:rsidRPr="009E3947">
              <w:rPr>
                <w:color w:val="000000"/>
                <w:sz w:val="20"/>
                <w:szCs w:val="20"/>
              </w:rPr>
              <w:t>19</w:t>
            </w:r>
          </w:p>
        </w:tc>
        <w:tc>
          <w:tcPr>
            <w:tcW w:w="1381" w:type="dxa"/>
            <w:tcBorders>
              <w:top w:val="nil"/>
              <w:left w:val="nil"/>
              <w:bottom w:val="single" w:sz="4" w:space="0" w:color="auto"/>
              <w:right w:val="single" w:sz="4" w:space="0" w:color="auto"/>
            </w:tcBorders>
            <w:shd w:val="clear" w:color="auto" w:fill="auto"/>
            <w:noWrap/>
            <w:vAlign w:val="center"/>
          </w:tcPr>
          <w:p w14:paraId="11EC732B" w14:textId="4E429AE0" w:rsidR="00F5268D" w:rsidRPr="009E3947" w:rsidRDefault="00F5268D" w:rsidP="003360DC">
            <w:pPr>
              <w:ind w:left="0" w:firstLine="0"/>
              <w:jc w:val="right"/>
              <w:rPr>
                <w:rFonts w:eastAsia="Times New Roman" w:cs="Calibri"/>
                <w:color w:val="000000"/>
                <w:sz w:val="20"/>
                <w:szCs w:val="20"/>
              </w:rPr>
            </w:pPr>
            <w:r w:rsidRPr="009E3947">
              <w:rPr>
                <w:color w:val="000000"/>
                <w:sz w:val="20"/>
                <w:szCs w:val="20"/>
              </w:rPr>
              <w:t>19</w:t>
            </w:r>
          </w:p>
        </w:tc>
      </w:tr>
      <w:tr w:rsidR="0091159B" w:rsidRPr="009E3947" w14:paraId="0DCF271F" w14:textId="2E4AAB10"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2B6AB60" w14:textId="21ACAE57" w:rsidR="0091159B" w:rsidRPr="009E3947" w:rsidRDefault="0091159B" w:rsidP="003360DC">
            <w:pPr>
              <w:ind w:left="0" w:firstLine="0"/>
              <w:rPr>
                <w:rFonts w:eastAsia="Times New Roman" w:cs="Calibri"/>
                <w:sz w:val="20"/>
                <w:szCs w:val="20"/>
              </w:rPr>
            </w:pPr>
            <w:r w:rsidRPr="009E3947">
              <w:rPr>
                <w:sz w:val="20"/>
                <w:szCs w:val="20"/>
              </w:rPr>
              <w:t>E.  Servicios científicos y técnicos</w:t>
            </w:r>
          </w:p>
        </w:tc>
        <w:tc>
          <w:tcPr>
            <w:tcW w:w="1381" w:type="dxa"/>
            <w:tcBorders>
              <w:top w:val="nil"/>
              <w:left w:val="nil"/>
              <w:bottom w:val="single" w:sz="4" w:space="0" w:color="auto"/>
              <w:right w:val="single" w:sz="4" w:space="0" w:color="auto"/>
            </w:tcBorders>
            <w:shd w:val="clear" w:color="000000" w:fill="EAF1DD"/>
            <w:noWrap/>
            <w:vAlign w:val="center"/>
            <w:hideMark/>
          </w:tcPr>
          <w:p w14:paraId="74D96AB2" w14:textId="3C066B03" w:rsidR="0091159B" w:rsidRPr="009E3947" w:rsidRDefault="00890E7C" w:rsidP="003360DC">
            <w:pPr>
              <w:ind w:left="0" w:firstLine="0"/>
              <w:jc w:val="right"/>
              <w:rPr>
                <w:rFonts w:eastAsia="Times New Roman" w:cs="Calibri"/>
                <w:b/>
                <w:bCs/>
                <w:sz w:val="20"/>
                <w:szCs w:val="20"/>
              </w:rPr>
            </w:pPr>
            <w:r w:rsidRPr="009E3947">
              <w:rPr>
                <w:b/>
                <w:bCs/>
                <w:sz w:val="20"/>
                <w:szCs w:val="20"/>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53DF3349" w14:textId="0C376A20" w:rsidR="0091159B" w:rsidRPr="009E3947" w:rsidRDefault="0091159B" w:rsidP="003360DC">
            <w:pPr>
              <w:ind w:left="0" w:firstLine="0"/>
              <w:jc w:val="right"/>
              <w:rPr>
                <w:rFonts w:eastAsia="Times New Roman" w:cs="Calibri"/>
                <w:b/>
                <w:bCs/>
                <w:sz w:val="20"/>
                <w:szCs w:val="20"/>
              </w:rPr>
            </w:pPr>
            <w:r w:rsidRPr="009E3947">
              <w:rPr>
                <w:b/>
                <w:bCs/>
                <w:sz w:val="20"/>
                <w:szCs w:val="20"/>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489E8BF9"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301</w:t>
            </w:r>
          </w:p>
        </w:tc>
        <w:tc>
          <w:tcPr>
            <w:tcW w:w="1381" w:type="dxa"/>
            <w:tcBorders>
              <w:top w:val="nil"/>
              <w:left w:val="nil"/>
              <w:bottom w:val="single" w:sz="4" w:space="0" w:color="auto"/>
              <w:right w:val="single" w:sz="4" w:space="0" w:color="auto"/>
            </w:tcBorders>
            <w:shd w:val="clear" w:color="000000" w:fill="EAF1DD"/>
            <w:noWrap/>
            <w:vAlign w:val="center"/>
            <w:hideMark/>
          </w:tcPr>
          <w:p w14:paraId="7E43E5AD" w14:textId="1F7DCA76"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1</w:t>
            </w:r>
            <w:r w:rsidR="00A10967">
              <w:rPr>
                <w:b/>
                <w:bCs/>
                <w:color w:val="000000"/>
                <w:sz w:val="20"/>
                <w:szCs w:val="20"/>
              </w:rPr>
              <w:t> </w:t>
            </w:r>
            <w:r w:rsidRPr="009E3947">
              <w:rPr>
                <w:b/>
                <w:bCs/>
                <w:color w:val="000000"/>
                <w:sz w:val="20"/>
                <w:szCs w:val="20"/>
              </w:rPr>
              <w:t>123</w:t>
            </w:r>
          </w:p>
        </w:tc>
      </w:tr>
      <w:tr w:rsidR="0091159B" w:rsidRPr="009E3947" w14:paraId="7C1C632A" w14:textId="3EB55D34"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01915A29" w:rsidR="0091159B" w:rsidRPr="009E3947" w:rsidRDefault="0091159B" w:rsidP="003360DC">
            <w:pPr>
              <w:ind w:left="0" w:firstLine="0"/>
              <w:rPr>
                <w:rFonts w:eastAsia="Times New Roman" w:cs="Calibri"/>
                <w:sz w:val="20"/>
                <w:szCs w:val="20"/>
              </w:rPr>
            </w:pPr>
            <w:r w:rsidRPr="009E3947">
              <w:rPr>
                <w:sz w:val="20"/>
                <w:szCs w:val="20"/>
              </w:rPr>
              <w:lastRenderedPageBreak/>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261BA7F8" w:rsidR="0091159B" w:rsidRPr="009E3947" w:rsidRDefault="00890E7C" w:rsidP="003360DC">
            <w:pPr>
              <w:ind w:left="0" w:firstLine="0"/>
              <w:jc w:val="right"/>
              <w:rPr>
                <w:rFonts w:eastAsia="Times New Roman" w:cs="Calibri"/>
                <w:sz w:val="20"/>
                <w:szCs w:val="20"/>
              </w:rPr>
            </w:pPr>
            <w:r w:rsidRPr="009E3947">
              <w:rPr>
                <w:sz w:val="20"/>
                <w:szCs w:val="20"/>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5A7BE263" w14:textId="6CF1578E"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36510724"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42</w:t>
            </w:r>
          </w:p>
        </w:tc>
        <w:tc>
          <w:tcPr>
            <w:tcW w:w="1381" w:type="dxa"/>
            <w:tcBorders>
              <w:top w:val="nil"/>
              <w:left w:val="nil"/>
              <w:bottom w:val="single" w:sz="4" w:space="0" w:color="auto"/>
              <w:right w:val="single" w:sz="4" w:space="0" w:color="auto"/>
            </w:tcBorders>
            <w:shd w:val="clear" w:color="auto" w:fill="auto"/>
            <w:noWrap/>
            <w:vAlign w:val="center"/>
            <w:hideMark/>
          </w:tcPr>
          <w:p w14:paraId="73075A34" w14:textId="5D8BCD5D"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691</w:t>
            </w:r>
          </w:p>
        </w:tc>
      </w:tr>
      <w:tr w:rsidR="0091159B" w:rsidRPr="009E3947" w14:paraId="072C241F" w14:textId="07C339B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4EC572AD" w:rsidR="0091159B" w:rsidRPr="009E3947" w:rsidRDefault="0091159B" w:rsidP="003360DC">
            <w:pPr>
              <w:ind w:left="0" w:firstLine="0"/>
              <w:rPr>
                <w:rFonts w:eastAsia="Times New Roman" w:cs="Calibri"/>
                <w:sz w:val="20"/>
                <w:szCs w:val="20"/>
              </w:rPr>
            </w:pPr>
            <w:r w:rsidRPr="009E3947">
              <w:rPr>
                <w:sz w:val="20"/>
                <w:szCs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124D3E7F" w14:textId="07CD2813" w:rsidR="0091159B" w:rsidRPr="009E3947" w:rsidRDefault="0091159B" w:rsidP="003360DC">
            <w:pPr>
              <w:ind w:left="0" w:firstLine="0"/>
              <w:jc w:val="right"/>
              <w:rPr>
                <w:rFonts w:eastAsia="Times New Roman" w:cs="Calibri"/>
                <w:sz w:val="20"/>
                <w:szCs w:val="20"/>
              </w:rPr>
            </w:pPr>
            <w:r w:rsidRPr="009E3947">
              <w:rPr>
                <w:sz w:val="20"/>
                <w:szCs w:val="20"/>
              </w:rPr>
              <w:t>18</w:t>
            </w:r>
          </w:p>
        </w:tc>
        <w:tc>
          <w:tcPr>
            <w:tcW w:w="1381" w:type="dxa"/>
            <w:tcBorders>
              <w:top w:val="nil"/>
              <w:left w:val="nil"/>
              <w:bottom w:val="single" w:sz="4" w:space="0" w:color="auto"/>
              <w:right w:val="single" w:sz="4" w:space="0" w:color="auto"/>
            </w:tcBorders>
            <w:shd w:val="clear" w:color="auto" w:fill="auto"/>
            <w:noWrap/>
            <w:vAlign w:val="center"/>
            <w:hideMark/>
          </w:tcPr>
          <w:p w14:paraId="386350AD" w14:textId="6487107B"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57524818"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2B2246D" w14:textId="0AA49C5C"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18</w:t>
            </w:r>
          </w:p>
        </w:tc>
      </w:tr>
      <w:tr w:rsidR="0091159B" w:rsidRPr="009E3947" w14:paraId="38E20EE3" w14:textId="7D4FEDB1"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678977AB" w:rsidR="0091159B" w:rsidRPr="009E3947" w:rsidRDefault="0091159B" w:rsidP="003360DC">
            <w:pPr>
              <w:ind w:left="0" w:firstLine="0"/>
              <w:rPr>
                <w:rFonts w:eastAsia="Times New Roman" w:cs="Calibri"/>
                <w:sz w:val="20"/>
                <w:szCs w:val="20"/>
              </w:rPr>
            </w:pPr>
            <w:r w:rsidRPr="009E3947">
              <w:rPr>
                <w:sz w:val="20"/>
                <w:szCs w:val="20"/>
              </w:rPr>
              <w:t>Viajes de la Presidencia del GECT</w:t>
            </w:r>
          </w:p>
        </w:tc>
        <w:tc>
          <w:tcPr>
            <w:tcW w:w="1381" w:type="dxa"/>
            <w:tcBorders>
              <w:top w:val="nil"/>
              <w:left w:val="nil"/>
              <w:bottom w:val="single" w:sz="4" w:space="0" w:color="auto"/>
              <w:right w:val="single" w:sz="4" w:space="0" w:color="auto"/>
            </w:tcBorders>
            <w:shd w:val="clear" w:color="auto" w:fill="auto"/>
            <w:noWrap/>
            <w:vAlign w:val="center"/>
            <w:hideMark/>
          </w:tcPr>
          <w:p w14:paraId="16F66083" w14:textId="1FC0D931" w:rsidR="0091159B" w:rsidRPr="009E3947" w:rsidRDefault="0091159B" w:rsidP="003360DC">
            <w:pPr>
              <w:ind w:left="0" w:firstLine="0"/>
              <w:jc w:val="right"/>
              <w:rPr>
                <w:rFonts w:eastAsia="Times New Roman" w:cs="Calibri"/>
                <w:sz w:val="20"/>
                <w:szCs w:val="20"/>
              </w:rPr>
            </w:pPr>
            <w:r w:rsidRPr="009E3947">
              <w:rPr>
                <w:sz w:val="20"/>
                <w:szCs w:val="20"/>
              </w:rPr>
              <w:t>5</w:t>
            </w:r>
          </w:p>
        </w:tc>
        <w:tc>
          <w:tcPr>
            <w:tcW w:w="1381" w:type="dxa"/>
            <w:tcBorders>
              <w:top w:val="nil"/>
              <w:left w:val="nil"/>
              <w:bottom w:val="single" w:sz="4" w:space="0" w:color="auto"/>
              <w:right w:val="single" w:sz="4" w:space="0" w:color="auto"/>
            </w:tcBorders>
            <w:shd w:val="clear" w:color="auto" w:fill="auto"/>
            <w:noWrap/>
            <w:vAlign w:val="center"/>
            <w:hideMark/>
          </w:tcPr>
          <w:p w14:paraId="04E13452" w14:textId="4458E48C"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7281E58C" w:rsidR="0091159B" w:rsidRPr="009E3947" w:rsidRDefault="00570AA1"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48106AE8" w14:textId="7C502F35" w:rsidR="0091159B" w:rsidRPr="009E3947" w:rsidRDefault="00570AA1" w:rsidP="003360DC">
            <w:pPr>
              <w:ind w:left="0" w:firstLine="0"/>
              <w:jc w:val="right"/>
              <w:rPr>
                <w:rFonts w:eastAsia="Times New Roman" w:cs="Calibri"/>
                <w:color w:val="000000"/>
                <w:sz w:val="20"/>
                <w:szCs w:val="20"/>
              </w:rPr>
            </w:pPr>
            <w:r w:rsidRPr="009E3947">
              <w:rPr>
                <w:color w:val="000000"/>
                <w:sz w:val="20"/>
                <w:szCs w:val="20"/>
              </w:rPr>
              <w:t>5</w:t>
            </w:r>
          </w:p>
        </w:tc>
      </w:tr>
      <w:tr w:rsidR="0091159B" w:rsidRPr="009E3947" w14:paraId="6969A50A" w14:textId="22AE87F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61F4AD" w14:textId="7E5EA066" w:rsidR="0091159B" w:rsidRPr="009E3947" w:rsidRDefault="0091159B" w:rsidP="003360DC">
            <w:pPr>
              <w:ind w:left="0" w:firstLine="0"/>
              <w:rPr>
                <w:rFonts w:eastAsia="Times New Roman" w:cs="Calibri"/>
                <w:sz w:val="20"/>
                <w:szCs w:val="20"/>
              </w:rPr>
            </w:pPr>
            <w:r w:rsidRPr="009E3947">
              <w:rPr>
                <w:sz w:val="20"/>
                <w:szCs w:val="20"/>
              </w:rPr>
              <w:t>Trabajo del GECT</w:t>
            </w:r>
          </w:p>
        </w:tc>
        <w:tc>
          <w:tcPr>
            <w:tcW w:w="1381" w:type="dxa"/>
            <w:tcBorders>
              <w:top w:val="nil"/>
              <w:left w:val="nil"/>
              <w:bottom w:val="single" w:sz="4" w:space="0" w:color="auto"/>
              <w:right w:val="single" w:sz="4" w:space="0" w:color="auto"/>
            </w:tcBorders>
            <w:shd w:val="clear" w:color="auto" w:fill="auto"/>
            <w:noWrap/>
            <w:vAlign w:val="center"/>
            <w:hideMark/>
          </w:tcPr>
          <w:p w14:paraId="6FF4855C" w14:textId="0F3C6810" w:rsidR="0091159B" w:rsidRPr="009E3947" w:rsidRDefault="0091159B" w:rsidP="003360DC">
            <w:pPr>
              <w:ind w:left="0" w:firstLine="0"/>
              <w:jc w:val="right"/>
              <w:rPr>
                <w:rFonts w:eastAsia="Times New Roman" w:cs="Calibri"/>
                <w:sz w:val="20"/>
                <w:szCs w:val="20"/>
              </w:rPr>
            </w:pPr>
            <w:r w:rsidRPr="009E3947">
              <w:rPr>
                <w:sz w:val="20"/>
                <w:szCs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AD0593" w14:textId="1B70DCCC" w:rsidR="0091159B" w:rsidRPr="009E3947" w:rsidRDefault="0091159B" w:rsidP="003360DC">
            <w:pPr>
              <w:ind w:left="0" w:firstLine="0"/>
              <w:jc w:val="right"/>
              <w:rPr>
                <w:rFonts w:eastAsia="Times New Roman" w:cs="Calibri"/>
                <w:sz w:val="20"/>
                <w:szCs w:val="20"/>
              </w:rPr>
            </w:pPr>
            <w:r w:rsidRPr="009E3947">
              <w:rPr>
                <w:sz w:val="20"/>
                <w:szCs w:val="20"/>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680F2E84"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65</w:t>
            </w:r>
          </w:p>
        </w:tc>
        <w:tc>
          <w:tcPr>
            <w:tcW w:w="1381" w:type="dxa"/>
            <w:tcBorders>
              <w:top w:val="nil"/>
              <w:left w:val="nil"/>
              <w:bottom w:val="single" w:sz="4" w:space="0" w:color="auto"/>
              <w:right w:val="single" w:sz="4" w:space="0" w:color="auto"/>
            </w:tcBorders>
            <w:shd w:val="clear" w:color="auto" w:fill="auto"/>
            <w:noWrap/>
            <w:vAlign w:val="center"/>
            <w:hideMark/>
          </w:tcPr>
          <w:p w14:paraId="20048B88" w14:textId="29786787"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105</w:t>
            </w:r>
          </w:p>
        </w:tc>
      </w:tr>
      <w:tr w:rsidR="0091159B" w:rsidRPr="009E3947" w14:paraId="5F8E0C89" w14:textId="2209F22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4ED5929" w14:textId="1CA33034" w:rsidR="0091159B" w:rsidRPr="009E3947" w:rsidRDefault="0091159B" w:rsidP="003360DC">
            <w:pPr>
              <w:ind w:left="0" w:firstLine="0"/>
              <w:rPr>
                <w:rFonts w:eastAsia="Times New Roman" w:cs="Calibri"/>
                <w:sz w:val="20"/>
                <w:szCs w:val="20"/>
              </w:rPr>
            </w:pPr>
            <w:r w:rsidRPr="009E3947">
              <w:rPr>
                <w:sz w:val="20"/>
                <w:szCs w:val="20"/>
              </w:rPr>
              <w:t>Reuniones del GECT</w:t>
            </w:r>
          </w:p>
        </w:tc>
        <w:tc>
          <w:tcPr>
            <w:tcW w:w="1381" w:type="dxa"/>
            <w:tcBorders>
              <w:top w:val="nil"/>
              <w:left w:val="nil"/>
              <w:bottom w:val="single" w:sz="4" w:space="0" w:color="auto"/>
              <w:right w:val="single" w:sz="4" w:space="0" w:color="auto"/>
            </w:tcBorders>
            <w:shd w:val="clear" w:color="auto" w:fill="auto"/>
            <w:noWrap/>
            <w:vAlign w:val="center"/>
            <w:hideMark/>
          </w:tcPr>
          <w:p w14:paraId="70823C47" w14:textId="3B7CFF13" w:rsidR="0091159B" w:rsidRPr="009E3947" w:rsidRDefault="0091159B" w:rsidP="003360DC">
            <w:pPr>
              <w:ind w:left="0" w:firstLine="0"/>
              <w:jc w:val="right"/>
              <w:rPr>
                <w:rFonts w:eastAsia="Times New Roman" w:cs="Calibri"/>
                <w:sz w:val="20"/>
                <w:szCs w:val="20"/>
              </w:rPr>
            </w:pPr>
            <w:r w:rsidRPr="009E3947">
              <w:rPr>
                <w:sz w:val="20"/>
                <w:szCs w:val="20"/>
              </w:rPr>
              <w:t>50</w:t>
            </w:r>
          </w:p>
        </w:tc>
        <w:tc>
          <w:tcPr>
            <w:tcW w:w="1381" w:type="dxa"/>
            <w:tcBorders>
              <w:top w:val="nil"/>
              <w:left w:val="nil"/>
              <w:bottom w:val="single" w:sz="4" w:space="0" w:color="auto"/>
              <w:right w:val="single" w:sz="4" w:space="0" w:color="auto"/>
            </w:tcBorders>
            <w:shd w:val="clear" w:color="auto" w:fill="auto"/>
            <w:noWrap/>
            <w:vAlign w:val="center"/>
            <w:hideMark/>
          </w:tcPr>
          <w:p w14:paraId="4F4F6D72" w14:textId="455260FB"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70290A30" w:rsidR="0091159B" w:rsidRPr="009E3947" w:rsidRDefault="00570AA1"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38A6694" w14:textId="7178C759" w:rsidR="0091159B" w:rsidRPr="009E3947" w:rsidRDefault="00570AA1" w:rsidP="003360DC">
            <w:pPr>
              <w:ind w:left="0" w:firstLine="0"/>
              <w:jc w:val="right"/>
              <w:rPr>
                <w:rFonts w:eastAsia="Times New Roman" w:cs="Calibri"/>
                <w:color w:val="000000"/>
                <w:sz w:val="20"/>
                <w:szCs w:val="20"/>
              </w:rPr>
            </w:pPr>
            <w:r w:rsidRPr="009E3947">
              <w:rPr>
                <w:color w:val="000000"/>
                <w:sz w:val="20"/>
                <w:szCs w:val="20"/>
              </w:rPr>
              <w:t>50</w:t>
            </w:r>
          </w:p>
        </w:tc>
      </w:tr>
      <w:tr w:rsidR="0091159B" w:rsidRPr="009E3947" w14:paraId="2F5A0C6D" w14:textId="1890628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729C11DE" w:rsidR="0091159B" w:rsidRPr="009E3947" w:rsidRDefault="0091159B" w:rsidP="003360DC">
            <w:pPr>
              <w:ind w:left="0" w:firstLine="0"/>
              <w:rPr>
                <w:rFonts w:eastAsia="Times New Roman" w:cs="Calibri"/>
                <w:sz w:val="20"/>
                <w:szCs w:val="20"/>
              </w:rPr>
            </w:pPr>
            <w:r w:rsidRPr="009E3947">
              <w:rPr>
                <w:sz w:val="20"/>
                <w:szCs w:val="20"/>
              </w:rPr>
              <w:t>Quinto Plan Estratégico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48B3E5CD" w14:textId="68665EF7"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883D718" w14:textId="3A562A88"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0B287D43"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12</w:t>
            </w:r>
          </w:p>
        </w:tc>
        <w:tc>
          <w:tcPr>
            <w:tcW w:w="1381" w:type="dxa"/>
            <w:tcBorders>
              <w:top w:val="nil"/>
              <w:left w:val="nil"/>
              <w:bottom w:val="single" w:sz="4" w:space="0" w:color="auto"/>
              <w:right w:val="single" w:sz="4" w:space="0" w:color="auto"/>
            </w:tcBorders>
            <w:shd w:val="clear" w:color="auto" w:fill="auto"/>
            <w:noWrap/>
            <w:vAlign w:val="center"/>
            <w:hideMark/>
          </w:tcPr>
          <w:p w14:paraId="02F941B2" w14:textId="2B5A374D"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12</w:t>
            </w:r>
          </w:p>
        </w:tc>
      </w:tr>
      <w:tr w:rsidR="0091159B" w:rsidRPr="009E3947" w14:paraId="7A9015F2" w14:textId="13D97C7C"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762051D1" w:rsidR="0091159B" w:rsidRPr="009E3947" w:rsidRDefault="0091159B" w:rsidP="003360DC">
            <w:pPr>
              <w:ind w:left="0" w:firstLine="0"/>
              <w:rPr>
                <w:rFonts w:eastAsia="Times New Roman" w:cs="Calibri"/>
                <w:sz w:val="20"/>
                <w:szCs w:val="20"/>
              </w:rPr>
            </w:pPr>
            <w:r w:rsidRPr="009E3947">
              <w:rPr>
                <w:sz w:val="20"/>
                <w:szCs w:val="20"/>
              </w:rPr>
              <w:t>ODS 6.61 (Inventarios)</w:t>
            </w:r>
          </w:p>
        </w:tc>
        <w:tc>
          <w:tcPr>
            <w:tcW w:w="1381" w:type="dxa"/>
            <w:tcBorders>
              <w:top w:val="nil"/>
              <w:left w:val="nil"/>
              <w:bottom w:val="single" w:sz="4" w:space="0" w:color="auto"/>
              <w:right w:val="single" w:sz="4" w:space="0" w:color="auto"/>
            </w:tcBorders>
            <w:shd w:val="clear" w:color="auto" w:fill="auto"/>
            <w:noWrap/>
            <w:vAlign w:val="center"/>
            <w:hideMark/>
          </w:tcPr>
          <w:p w14:paraId="65585AD6" w14:textId="50EFC665"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9A1AEF8" w14:textId="199AFA1E"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3F085525"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36</w:t>
            </w:r>
          </w:p>
        </w:tc>
        <w:tc>
          <w:tcPr>
            <w:tcW w:w="1381" w:type="dxa"/>
            <w:tcBorders>
              <w:top w:val="nil"/>
              <w:left w:val="nil"/>
              <w:bottom w:val="single" w:sz="4" w:space="0" w:color="auto"/>
              <w:right w:val="single" w:sz="4" w:space="0" w:color="auto"/>
            </w:tcBorders>
            <w:shd w:val="clear" w:color="auto" w:fill="auto"/>
            <w:noWrap/>
            <w:vAlign w:val="center"/>
            <w:hideMark/>
          </w:tcPr>
          <w:p w14:paraId="2469668E" w14:textId="3DB753EB"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36</w:t>
            </w:r>
          </w:p>
        </w:tc>
      </w:tr>
      <w:tr w:rsidR="0091159B" w:rsidRPr="009E3947" w14:paraId="71E19061" w14:textId="3A346300"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4A6E63F" w14:textId="02BEAFD4" w:rsidR="0091159B" w:rsidRPr="009E3947" w:rsidRDefault="0091159B" w:rsidP="003360DC">
            <w:pPr>
              <w:ind w:left="0" w:firstLine="0"/>
              <w:rPr>
                <w:rFonts w:eastAsia="Times New Roman" w:cs="Calibri"/>
                <w:sz w:val="20"/>
                <w:szCs w:val="20"/>
              </w:rPr>
            </w:pPr>
            <w:r w:rsidRPr="009E3947">
              <w:rPr>
                <w:sz w:val="20"/>
                <w:szCs w:val="20"/>
              </w:rPr>
              <w:t>Servicio de Información sobre Sitios Ramsar (mantenimiento y desarrollo)</w:t>
            </w:r>
          </w:p>
        </w:tc>
        <w:tc>
          <w:tcPr>
            <w:tcW w:w="1381" w:type="dxa"/>
            <w:tcBorders>
              <w:top w:val="nil"/>
              <w:left w:val="nil"/>
              <w:bottom w:val="single" w:sz="4" w:space="0" w:color="auto"/>
              <w:right w:val="single" w:sz="4" w:space="0" w:color="auto"/>
            </w:tcBorders>
            <w:shd w:val="clear" w:color="auto" w:fill="auto"/>
            <w:noWrap/>
            <w:vAlign w:val="center"/>
            <w:hideMark/>
          </w:tcPr>
          <w:p w14:paraId="11DB9FC9" w14:textId="3412543B" w:rsidR="0091159B" w:rsidRPr="009E3947" w:rsidRDefault="00400EC6" w:rsidP="003360DC">
            <w:pPr>
              <w:ind w:left="0" w:firstLine="0"/>
              <w:jc w:val="right"/>
              <w:rPr>
                <w:rFonts w:eastAsia="Times New Roman" w:cs="Calibri"/>
                <w:sz w:val="20"/>
                <w:szCs w:val="20"/>
              </w:rPr>
            </w:pPr>
            <w:r w:rsidRPr="009E3947">
              <w:rPr>
                <w:sz w:val="20"/>
                <w:szCs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318D8B88" w14:textId="4AC1E291"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E2EAC03" w14:textId="3D1B324B" w:rsidR="0091159B" w:rsidRPr="009E3947" w:rsidRDefault="00F5268D" w:rsidP="003360DC">
            <w:pPr>
              <w:ind w:left="0" w:firstLine="0"/>
              <w:jc w:val="right"/>
              <w:rPr>
                <w:rFonts w:eastAsia="Times New Roman" w:cs="Calibri"/>
                <w:sz w:val="20"/>
                <w:szCs w:val="20"/>
              </w:rPr>
            </w:pPr>
            <w:r w:rsidRPr="009E3947">
              <w:rPr>
                <w:sz w:val="20"/>
                <w:szCs w:val="20"/>
              </w:rPr>
              <w:t>84</w:t>
            </w:r>
          </w:p>
        </w:tc>
        <w:tc>
          <w:tcPr>
            <w:tcW w:w="1381" w:type="dxa"/>
            <w:tcBorders>
              <w:top w:val="nil"/>
              <w:left w:val="nil"/>
              <w:bottom w:val="single" w:sz="4" w:space="0" w:color="auto"/>
              <w:right w:val="single" w:sz="4" w:space="0" w:color="auto"/>
            </w:tcBorders>
            <w:shd w:val="clear" w:color="auto" w:fill="auto"/>
            <w:noWrap/>
            <w:vAlign w:val="center"/>
            <w:hideMark/>
          </w:tcPr>
          <w:p w14:paraId="5FC3B41C" w14:textId="57652B81"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144</w:t>
            </w:r>
          </w:p>
        </w:tc>
      </w:tr>
      <w:tr w:rsidR="00400EC6" w:rsidRPr="009E3947" w14:paraId="708B876D" w14:textId="7777777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E740" w14:textId="604D7E99" w:rsidR="00400EC6" w:rsidRPr="009E3947" w:rsidRDefault="00400EC6" w:rsidP="003360DC">
            <w:pPr>
              <w:ind w:left="0" w:firstLine="0"/>
              <w:rPr>
                <w:rFonts w:eastAsia="Times New Roman" w:cs="Calibri"/>
                <w:sz w:val="20"/>
                <w:szCs w:val="20"/>
              </w:rPr>
            </w:pPr>
            <w:r w:rsidRPr="009E3947">
              <w:rPr>
                <w:sz w:val="20"/>
                <w:szCs w:val="20"/>
              </w:rPr>
              <w:t>Servicio de Información sobre Sitios Ramsar (apoyo técnico para el trienio 2023-2025)</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4D7070D8" w14:textId="17FEAC98" w:rsidR="00400EC6" w:rsidRPr="009E3947" w:rsidDel="00400EC6" w:rsidRDefault="00400EC6" w:rsidP="003360DC">
            <w:pPr>
              <w:ind w:left="0" w:firstLine="0"/>
              <w:jc w:val="right"/>
              <w:rPr>
                <w:rFonts w:eastAsia="Times New Roman" w:cs="Calibri"/>
                <w:sz w:val="20"/>
                <w:szCs w:val="20"/>
              </w:rPr>
            </w:pPr>
            <w:r w:rsidRPr="009E3947">
              <w:rPr>
                <w:sz w:val="20"/>
                <w:szCs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6DA5EC34" w14:textId="2030041C" w:rsidR="00400EC6" w:rsidRPr="009E3947" w:rsidRDefault="00400EC6" w:rsidP="003360DC">
            <w:pPr>
              <w:ind w:left="0" w:firstLine="0"/>
              <w:jc w:val="right"/>
              <w:rPr>
                <w:rFonts w:eastAsia="Times New Roman" w:cs="Calibri"/>
                <w:sz w:val="20"/>
                <w:szCs w:val="20"/>
              </w:rPr>
            </w:pPr>
            <w:r w:rsidRPr="009E3947">
              <w:rPr>
                <w:sz w:val="20"/>
                <w:szCs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69A6" w14:textId="5F42DFE9" w:rsidR="00400EC6" w:rsidRPr="009E3947" w:rsidDel="00400EC6" w:rsidRDefault="00F5268D" w:rsidP="003360DC">
            <w:pPr>
              <w:ind w:left="0" w:firstLine="0"/>
              <w:jc w:val="right"/>
              <w:rPr>
                <w:rFonts w:eastAsia="Times New Roman" w:cs="Calibri"/>
                <w:sz w:val="20"/>
                <w:szCs w:val="20"/>
              </w:rPr>
            </w:pPr>
            <w:r w:rsidRPr="009E3947">
              <w:rPr>
                <w:sz w:val="20"/>
                <w:szCs w:val="20"/>
              </w:rPr>
              <w:t>62</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DD8C85E" w14:textId="2394C4A3" w:rsidR="00400EC6" w:rsidRPr="009E3947" w:rsidDel="00400EC6" w:rsidRDefault="00F5268D" w:rsidP="003360DC">
            <w:pPr>
              <w:ind w:left="0" w:firstLine="0"/>
              <w:jc w:val="right"/>
              <w:rPr>
                <w:rFonts w:eastAsia="Times New Roman" w:cs="Calibri"/>
                <w:color w:val="000000"/>
                <w:sz w:val="20"/>
                <w:szCs w:val="20"/>
              </w:rPr>
            </w:pPr>
            <w:r w:rsidRPr="009E3947">
              <w:rPr>
                <w:color w:val="000000"/>
                <w:sz w:val="20"/>
                <w:szCs w:val="20"/>
              </w:rPr>
              <w:t>62</w:t>
            </w:r>
          </w:p>
        </w:tc>
      </w:tr>
      <w:tr w:rsidR="0091159B" w:rsidRPr="009E3947" w14:paraId="0160769E" w14:textId="595403E9"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56CBCE4" w14:textId="6C1C20E2" w:rsidR="0091159B" w:rsidRPr="009E3947" w:rsidRDefault="0091159B" w:rsidP="00DF250E">
            <w:pPr>
              <w:keepNext/>
              <w:ind w:left="0" w:firstLine="0"/>
              <w:rPr>
                <w:rFonts w:eastAsia="Times New Roman" w:cs="Calibri"/>
                <w:sz w:val="20"/>
                <w:szCs w:val="20"/>
              </w:rPr>
            </w:pPr>
            <w:r w:rsidRPr="009E3947">
              <w:rPr>
                <w:sz w:val="20"/>
                <w:szCs w:val="20"/>
              </w:rPr>
              <w:t>F.  Administración/sitio 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7976725" w14:textId="75F19C07" w:rsidR="0091159B" w:rsidRPr="009E3947" w:rsidRDefault="00400EC6" w:rsidP="00DF250E">
            <w:pPr>
              <w:keepNext/>
              <w:ind w:left="0" w:firstLine="0"/>
              <w:jc w:val="right"/>
              <w:rPr>
                <w:rFonts w:eastAsia="Times New Roman" w:cs="Calibri"/>
                <w:b/>
                <w:bCs/>
                <w:sz w:val="20"/>
                <w:szCs w:val="20"/>
              </w:rPr>
            </w:pPr>
            <w:r w:rsidRPr="009E3947">
              <w:rPr>
                <w:b/>
                <w:bCs/>
                <w:sz w:val="20"/>
                <w:szCs w:val="20"/>
              </w:rPr>
              <w:t>478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65CDB12" w14:textId="5D86A9E5" w:rsidR="0091159B" w:rsidRPr="009E3947" w:rsidRDefault="0091159B" w:rsidP="00DF250E">
            <w:pPr>
              <w:keepNext/>
              <w:ind w:left="0" w:firstLine="0"/>
              <w:jc w:val="right"/>
              <w:rPr>
                <w:rFonts w:eastAsia="Times New Roman" w:cs="Calibri"/>
                <w:b/>
                <w:bCs/>
                <w:sz w:val="20"/>
                <w:szCs w:val="20"/>
              </w:rPr>
            </w:pPr>
            <w:r w:rsidRPr="009E3947">
              <w:rPr>
                <w:b/>
                <w:bCs/>
                <w:sz w:val="20"/>
                <w:szCs w:val="20"/>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4D1935" w14:textId="1D4876A3" w:rsidR="0091159B" w:rsidRPr="009E3947" w:rsidRDefault="00F5268D" w:rsidP="00DF250E">
            <w:pPr>
              <w:keepNext/>
              <w:ind w:left="0" w:firstLine="0"/>
              <w:jc w:val="right"/>
              <w:rPr>
                <w:rFonts w:eastAsia="Times New Roman" w:cs="Calibri"/>
                <w:b/>
                <w:bCs/>
                <w:color w:val="000000"/>
                <w:sz w:val="20"/>
                <w:szCs w:val="20"/>
              </w:rPr>
            </w:pPr>
            <w:r w:rsidRPr="009E3947">
              <w:rPr>
                <w:b/>
                <w:bCs/>
                <w:color w:val="000000"/>
                <w:sz w:val="20"/>
                <w:szCs w:val="20"/>
              </w:rPr>
              <w:t>145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EFAAA34" w14:textId="7FFC0162" w:rsidR="0091159B" w:rsidRPr="009E3947" w:rsidRDefault="00F5268D" w:rsidP="00DF250E">
            <w:pPr>
              <w:keepNext/>
              <w:ind w:left="0" w:firstLine="0"/>
              <w:jc w:val="right"/>
              <w:rPr>
                <w:rFonts w:eastAsia="Times New Roman" w:cs="Calibri"/>
                <w:b/>
                <w:bCs/>
                <w:color w:val="000000"/>
                <w:sz w:val="20"/>
                <w:szCs w:val="20"/>
              </w:rPr>
            </w:pPr>
            <w:r w:rsidRPr="009E3947">
              <w:rPr>
                <w:b/>
                <w:bCs/>
                <w:color w:val="000000"/>
                <w:sz w:val="20"/>
                <w:szCs w:val="20"/>
              </w:rPr>
              <w:t>634</w:t>
            </w:r>
          </w:p>
        </w:tc>
      </w:tr>
      <w:tr w:rsidR="0091159B" w:rsidRPr="009E3947" w14:paraId="3369E9A4" w14:textId="7B956228"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0726E0A8" w:rsidR="0091159B" w:rsidRPr="009E3947" w:rsidRDefault="0091159B" w:rsidP="003360DC">
            <w:pPr>
              <w:ind w:left="0" w:firstLine="0"/>
              <w:rPr>
                <w:rFonts w:eastAsia="Times New Roman" w:cs="Calibri"/>
                <w:sz w:val="20"/>
                <w:szCs w:val="20"/>
              </w:rPr>
            </w:pPr>
            <w:r w:rsidRPr="009E3947">
              <w:rPr>
                <w:sz w:val="20"/>
                <w:szCs w:val="20"/>
              </w:rPr>
              <w:t>Salarios, gastos sociales y otras prestaciones laborales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3682D3D1" w:rsidR="0091159B" w:rsidRPr="009E3947" w:rsidRDefault="0091159B" w:rsidP="003360DC">
            <w:pPr>
              <w:ind w:left="0" w:firstLine="0"/>
              <w:jc w:val="right"/>
              <w:rPr>
                <w:rFonts w:eastAsia="Times New Roman" w:cs="Calibri"/>
                <w:sz w:val="20"/>
                <w:szCs w:val="20"/>
              </w:rPr>
            </w:pPr>
            <w:r w:rsidRPr="009E3947">
              <w:rPr>
                <w:sz w:val="20"/>
                <w:szCs w:val="20"/>
              </w:rPr>
              <w:t>331</w:t>
            </w:r>
          </w:p>
        </w:tc>
        <w:tc>
          <w:tcPr>
            <w:tcW w:w="1381" w:type="dxa"/>
            <w:tcBorders>
              <w:top w:val="nil"/>
              <w:left w:val="nil"/>
              <w:bottom w:val="single" w:sz="4" w:space="0" w:color="auto"/>
              <w:right w:val="single" w:sz="4" w:space="0" w:color="auto"/>
            </w:tcBorders>
            <w:shd w:val="clear" w:color="auto" w:fill="auto"/>
            <w:noWrap/>
            <w:vAlign w:val="center"/>
            <w:hideMark/>
          </w:tcPr>
          <w:p w14:paraId="58A4CBDA" w14:textId="09DFF7B1"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1D926381" w:rsidR="0091159B" w:rsidRPr="009E3947" w:rsidRDefault="00C43F6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713FB0AE" w14:textId="14002029" w:rsidR="0091159B" w:rsidRPr="009E3947" w:rsidRDefault="00C43F6B" w:rsidP="003360DC">
            <w:pPr>
              <w:ind w:left="0" w:firstLine="0"/>
              <w:jc w:val="right"/>
              <w:rPr>
                <w:rFonts w:eastAsia="Times New Roman" w:cs="Calibri"/>
                <w:color w:val="000000"/>
                <w:sz w:val="20"/>
                <w:szCs w:val="20"/>
              </w:rPr>
            </w:pPr>
            <w:r w:rsidRPr="009E3947">
              <w:rPr>
                <w:color w:val="000000"/>
                <w:sz w:val="20"/>
                <w:szCs w:val="20"/>
              </w:rPr>
              <w:t>331</w:t>
            </w:r>
          </w:p>
        </w:tc>
      </w:tr>
      <w:tr w:rsidR="0091159B" w:rsidRPr="009E3947" w14:paraId="7C99C67D" w14:textId="75A06523"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2CE390CB" w:rsidR="0091159B" w:rsidRPr="009E3947" w:rsidRDefault="0091159B" w:rsidP="003360DC">
            <w:pPr>
              <w:ind w:left="0" w:firstLine="0"/>
              <w:rPr>
                <w:rFonts w:eastAsia="Times New Roman" w:cs="Calibri"/>
                <w:sz w:val="20"/>
                <w:szCs w:val="20"/>
              </w:rPr>
            </w:pPr>
            <w:r w:rsidRPr="009E3947">
              <w:rPr>
                <w:sz w:val="20"/>
                <w:szCs w:val="20"/>
              </w:rPr>
              <w:t>Costos de contratación y separación del personal</w:t>
            </w:r>
          </w:p>
        </w:tc>
        <w:tc>
          <w:tcPr>
            <w:tcW w:w="1381" w:type="dxa"/>
            <w:tcBorders>
              <w:top w:val="nil"/>
              <w:left w:val="nil"/>
              <w:bottom w:val="single" w:sz="4" w:space="0" w:color="auto"/>
              <w:right w:val="single" w:sz="4" w:space="0" w:color="auto"/>
            </w:tcBorders>
            <w:shd w:val="clear" w:color="auto" w:fill="auto"/>
            <w:noWrap/>
            <w:vAlign w:val="center"/>
            <w:hideMark/>
          </w:tcPr>
          <w:p w14:paraId="68111295" w14:textId="3E5D083B" w:rsidR="0091159B" w:rsidRPr="009E3947" w:rsidRDefault="00400EC6" w:rsidP="003360DC">
            <w:pPr>
              <w:ind w:left="0" w:firstLine="0"/>
              <w:jc w:val="right"/>
              <w:rPr>
                <w:rFonts w:eastAsia="Times New Roman" w:cs="Calibri"/>
                <w:sz w:val="20"/>
                <w:szCs w:val="20"/>
              </w:rPr>
            </w:pPr>
            <w:r w:rsidRPr="009E3947">
              <w:rPr>
                <w:sz w:val="20"/>
                <w:szCs w:val="20"/>
              </w:rPr>
              <w:t>52</w:t>
            </w:r>
          </w:p>
        </w:tc>
        <w:tc>
          <w:tcPr>
            <w:tcW w:w="1381" w:type="dxa"/>
            <w:tcBorders>
              <w:top w:val="nil"/>
              <w:left w:val="nil"/>
              <w:bottom w:val="single" w:sz="4" w:space="0" w:color="auto"/>
              <w:right w:val="single" w:sz="4" w:space="0" w:color="auto"/>
            </w:tcBorders>
            <w:shd w:val="clear" w:color="auto" w:fill="auto"/>
            <w:noWrap/>
            <w:vAlign w:val="center"/>
            <w:hideMark/>
          </w:tcPr>
          <w:p w14:paraId="7202C0CF" w14:textId="13694BF2"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01CE1952"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75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EA1B496" w14:textId="5AAE170F"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127</w:t>
            </w:r>
          </w:p>
        </w:tc>
      </w:tr>
      <w:tr w:rsidR="0091159B" w:rsidRPr="009E3947" w14:paraId="7CE774D3" w14:textId="41A8F06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2554DF23" w:rsidR="0091159B" w:rsidRPr="009E3947" w:rsidRDefault="0091159B" w:rsidP="003360DC">
            <w:pPr>
              <w:ind w:left="0" w:firstLine="0"/>
              <w:rPr>
                <w:rFonts w:eastAsia="Times New Roman" w:cs="Calibri"/>
                <w:sz w:val="20"/>
                <w:szCs w:val="20"/>
              </w:rPr>
            </w:pPr>
            <w:r w:rsidRPr="009E3947">
              <w:rPr>
                <w:sz w:val="20"/>
                <w:szCs w:val="20"/>
              </w:rPr>
              <w:t>Viajes</w:t>
            </w:r>
          </w:p>
        </w:tc>
        <w:tc>
          <w:tcPr>
            <w:tcW w:w="1381" w:type="dxa"/>
            <w:tcBorders>
              <w:top w:val="nil"/>
              <w:left w:val="nil"/>
              <w:bottom w:val="single" w:sz="4" w:space="0" w:color="auto"/>
              <w:right w:val="single" w:sz="4" w:space="0" w:color="auto"/>
            </w:tcBorders>
            <w:shd w:val="clear" w:color="auto" w:fill="auto"/>
            <w:noWrap/>
            <w:vAlign w:val="center"/>
            <w:hideMark/>
          </w:tcPr>
          <w:p w14:paraId="42043606" w14:textId="4400F916"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6995374" w14:textId="7460A3BF"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3A76BFA9"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1B6CD1C" w14:textId="3711D1C3"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r>
      <w:tr w:rsidR="0091159B" w:rsidRPr="009E3947" w14:paraId="430CA213" w14:textId="48360C5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78A6E03E" w:rsidR="0091159B" w:rsidRPr="009E3947" w:rsidRDefault="0091159B" w:rsidP="003360DC">
            <w:pPr>
              <w:ind w:left="0" w:firstLine="0"/>
              <w:rPr>
                <w:rFonts w:eastAsia="Times New Roman" w:cs="Calibri"/>
                <w:sz w:val="20"/>
                <w:szCs w:val="20"/>
              </w:rPr>
            </w:pPr>
            <w:r w:rsidRPr="009E3947">
              <w:rPr>
                <w:sz w:val="20"/>
                <w:szCs w:val="20"/>
              </w:rPr>
              <w:t>Equipo y suministros de oficina</w:t>
            </w:r>
          </w:p>
        </w:tc>
        <w:tc>
          <w:tcPr>
            <w:tcW w:w="1381" w:type="dxa"/>
            <w:tcBorders>
              <w:top w:val="nil"/>
              <w:left w:val="nil"/>
              <w:bottom w:val="single" w:sz="4" w:space="0" w:color="auto"/>
              <w:right w:val="single" w:sz="4" w:space="0" w:color="auto"/>
            </w:tcBorders>
            <w:shd w:val="clear" w:color="auto" w:fill="auto"/>
            <w:noWrap/>
            <w:vAlign w:val="center"/>
            <w:hideMark/>
          </w:tcPr>
          <w:p w14:paraId="15A2DB00" w14:textId="70FE60CB" w:rsidR="0091159B" w:rsidRPr="009E3947" w:rsidRDefault="0091159B" w:rsidP="003360DC">
            <w:pPr>
              <w:ind w:left="0" w:firstLine="0"/>
              <w:jc w:val="right"/>
              <w:rPr>
                <w:rFonts w:eastAsia="Times New Roman" w:cs="Calibri"/>
                <w:sz w:val="20"/>
                <w:szCs w:val="20"/>
              </w:rPr>
            </w:pPr>
            <w:r w:rsidRPr="009E3947">
              <w:rPr>
                <w:sz w:val="20"/>
                <w:szCs w:val="20"/>
              </w:rPr>
              <w:t>95</w:t>
            </w:r>
          </w:p>
        </w:tc>
        <w:tc>
          <w:tcPr>
            <w:tcW w:w="1381" w:type="dxa"/>
            <w:tcBorders>
              <w:top w:val="nil"/>
              <w:left w:val="nil"/>
              <w:bottom w:val="single" w:sz="4" w:space="0" w:color="auto"/>
              <w:right w:val="single" w:sz="4" w:space="0" w:color="auto"/>
            </w:tcBorders>
            <w:shd w:val="clear" w:color="auto" w:fill="auto"/>
            <w:noWrap/>
            <w:vAlign w:val="center"/>
            <w:hideMark/>
          </w:tcPr>
          <w:p w14:paraId="23B8409B" w14:textId="69D440A2"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63B78419"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14</w:t>
            </w:r>
          </w:p>
        </w:tc>
        <w:tc>
          <w:tcPr>
            <w:tcW w:w="1381" w:type="dxa"/>
            <w:tcBorders>
              <w:top w:val="nil"/>
              <w:left w:val="nil"/>
              <w:bottom w:val="single" w:sz="4" w:space="0" w:color="auto"/>
              <w:right w:val="single" w:sz="4" w:space="0" w:color="auto"/>
            </w:tcBorders>
            <w:shd w:val="clear" w:color="auto" w:fill="auto"/>
            <w:noWrap/>
            <w:vAlign w:val="center"/>
            <w:hideMark/>
          </w:tcPr>
          <w:p w14:paraId="2CD002EA" w14:textId="1253A846"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109</w:t>
            </w:r>
          </w:p>
        </w:tc>
      </w:tr>
      <w:tr w:rsidR="0091159B" w:rsidRPr="009E3947" w14:paraId="1514AC0E" w14:textId="259F3F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F4A" w14:textId="50B766E7" w:rsidR="0091159B" w:rsidRPr="009E3947" w:rsidRDefault="0091159B" w:rsidP="003360DC">
            <w:pPr>
              <w:ind w:left="0" w:firstLine="0"/>
              <w:rPr>
                <w:rFonts w:eastAsia="Times New Roman" w:cs="Calibri"/>
                <w:sz w:val="20"/>
                <w:szCs w:val="20"/>
              </w:rPr>
            </w:pPr>
            <w:r w:rsidRPr="009E3947">
              <w:rPr>
                <w:sz w:val="20"/>
                <w:szCs w:val="20"/>
              </w:rPr>
              <w:t>Planificación y creación de capacidad</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2FE24D" w14:textId="7F458BA6"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7096457" w14:textId="2A0B65F4" w:rsidR="0091159B" w:rsidRPr="009E3947" w:rsidRDefault="0091159B" w:rsidP="003360DC">
            <w:pPr>
              <w:ind w:left="0" w:firstLine="0"/>
              <w:jc w:val="right"/>
              <w:rPr>
                <w:rFonts w:eastAsia="Times New Roman" w:cs="Calibri"/>
                <w:sz w:val="20"/>
                <w:szCs w:val="20"/>
              </w:rPr>
            </w:pPr>
            <w:r w:rsidRPr="009E3947">
              <w:rPr>
                <w:sz w:val="20"/>
                <w:szCs w:val="20"/>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1234" w14:textId="2E6B3C34" w:rsidR="0091159B" w:rsidRPr="009E3947" w:rsidRDefault="00F5268D" w:rsidP="003360DC">
            <w:pPr>
              <w:ind w:left="0" w:firstLine="0"/>
              <w:jc w:val="right"/>
              <w:rPr>
                <w:rFonts w:eastAsia="Times New Roman" w:cs="Calibri"/>
                <w:sz w:val="20"/>
                <w:szCs w:val="20"/>
              </w:rPr>
            </w:pPr>
            <w:r w:rsidRPr="009E3947">
              <w:rPr>
                <w:sz w:val="20"/>
                <w:szCs w:val="20"/>
              </w:rPr>
              <w:t>56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4BCABB9" w14:textId="62F16843" w:rsidR="0091159B" w:rsidRPr="009E3947" w:rsidRDefault="00F5268D" w:rsidP="003360DC">
            <w:pPr>
              <w:ind w:left="0" w:firstLine="0"/>
              <w:jc w:val="right"/>
              <w:rPr>
                <w:rFonts w:eastAsia="Times New Roman" w:cs="Calibri"/>
                <w:color w:val="000000"/>
                <w:sz w:val="20"/>
                <w:szCs w:val="20"/>
              </w:rPr>
            </w:pPr>
            <w:r w:rsidRPr="009E3947">
              <w:rPr>
                <w:color w:val="000000"/>
                <w:sz w:val="20"/>
                <w:szCs w:val="20"/>
              </w:rPr>
              <w:t>67</w:t>
            </w:r>
          </w:p>
        </w:tc>
      </w:tr>
      <w:tr w:rsidR="0091159B" w:rsidRPr="009E3947" w14:paraId="74B43248" w14:textId="71FA1B8F" w:rsidTr="004F3C40">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55195260" w14:textId="1BD3CAF2" w:rsidR="0091159B" w:rsidRPr="009E3947" w:rsidRDefault="0091159B" w:rsidP="003360DC">
            <w:pPr>
              <w:ind w:left="0" w:firstLine="0"/>
              <w:rPr>
                <w:rFonts w:eastAsia="Times New Roman" w:cs="Calibri"/>
                <w:sz w:val="20"/>
                <w:szCs w:val="20"/>
              </w:rPr>
            </w:pPr>
            <w:r w:rsidRPr="009E3947">
              <w:rPr>
                <w:sz w:val="20"/>
                <w:szCs w:val="20"/>
              </w:rPr>
              <w:t>G. Servicios para el Comité Permanente</w:t>
            </w:r>
          </w:p>
        </w:tc>
        <w:tc>
          <w:tcPr>
            <w:tcW w:w="1381" w:type="dxa"/>
            <w:tcBorders>
              <w:left w:val="nil"/>
              <w:bottom w:val="single" w:sz="4" w:space="0" w:color="auto"/>
              <w:right w:val="single" w:sz="4" w:space="0" w:color="auto"/>
            </w:tcBorders>
            <w:shd w:val="clear" w:color="000000" w:fill="EAF1DD"/>
            <w:noWrap/>
            <w:vAlign w:val="center"/>
            <w:hideMark/>
          </w:tcPr>
          <w:p w14:paraId="477A1D0B" w14:textId="2FB4EC93" w:rsidR="0091159B" w:rsidRPr="009E3947" w:rsidRDefault="0091159B" w:rsidP="003360DC">
            <w:pPr>
              <w:ind w:left="0" w:firstLine="0"/>
              <w:jc w:val="right"/>
              <w:rPr>
                <w:rFonts w:eastAsia="Times New Roman" w:cs="Calibri"/>
                <w:b/>
                <w:bCs/>
                <w:sz w:val="20"/>
                <w:szCs w:val="20"/>
              </w:rPr>
            </w:pPr>
            <w:r w:rsidRPr="009E3947">
              <w:rPr>
                <w:b/>
                <w:bCs/>
                <w:sz w:val="20"/>
                <w:szCs w:val="20"/>
              </w:rPr>
              <w:t>150</w:t>
            </w:r>
          </w:p>
        </w:tc>
        <w:tc>
          <w:tcPr>
            <w:tcW w:w="1381" w:type="dxa"/>
            <w:tcBorders>
              <w:left w:val="nil"/>
              <w:bottom w:val="single" w:sz="4" w:space="0" w:color="auto"/>
              <w:right w:val="single" w:sz="4" w:space="0" w:color="auto"/>
            </w:tcBorders>
            <w:shd w:val="clear" w:color="000000" w:fill="EAF1DD"/>
            <w:noWrap/>
            <w:vAlign w:val="center"/>
            <w:hideMark/>
          </w:tcPr>
          <w:p w14:paraId="32B9059D" w14:textId="4AE48378" w:rsidR="0091159B" w:rsidRPr="009E3947" w:rsidRDefault="0091159B" w:rsidP="003360DC">
            <w:pPr>
              <w:ind w:left="0" w:firstLine="0"/>
              <w:jc w:val="right"/>
              <w:rPr>
                <w:rFonts w:eastAsia="Times New Roman" w:cs="Calibri"/>
                <w:b/>
                <w:bCs/>
                <w:sz w:val="20"/>
                <w:szCs w:val="20"/>
              </w:rPr>
            </w:pPr>
            <w:r w:rsidRPr="009E3947">
              <w:rPr>
                <w:b/>
                <w:bCs/>
                <w:sz w:val="20"/>
                <w:szCs w:val="20"/>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7F1930F9" w14:textId="6239B638"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37</w:t>
            </w:r>
          </w:p>
        </w:tc>
        <w:tc>
          <w:tcPr>
            <w:tcW w:w="1381" w:type="dxa"/>
            <w:tcBorders>
              <w:left w:val="nil"/>
              <w:bottom w:val="single" w:sz="4" w:space="0" w:color="auto"/>
              <w:right w:val="single" w:sz="4" w:space="0" w:color="auto"/>
            </w:tcBorders>
            <w:shd w:val="clear" w:color="000000" w:fill="EAF1DD"/>
            <w:noWrap/>
            <w:vAlign w:val="center"/>
            <w:hideMark/>
          </w:tcPr>
          <w:p w14:paraId="25421F36" w14:textId="5B10610D" w:rsidR="0091159B" w:rsidRPr="009E3947" w:rsidRDefault="00F5268D" w:rsidP="003360DC">
            <w:pPr>
              <w:ind w:left="0" w:firstLine="0"/>
              <w:jc w:val="right"/>
              <w:rPr>
                <w:rFonts w:eastAsia="Times New Roman" w:cs="Calibri"/>
                <w:b/>
                <w:bCs/>
                <w:color w:val="000000"/>
                <w:sz w:val="20"/>
                <w:szCs w:val="20"/>
              </w:rPr>
            </w:pPr>
            <w:r w:rsidRPr="009E3947">
              <w:rPr>
                <w:b/>
                <w:bCs/>
                <w:color w:val="000000"/>
                <w:sz w:val="20"/>
                <w:szCs w:val="20"/>
              </w:rPr>
              <w:t>187</w:t>
            </w:r>
          </w:p>
        </w:tc>
      </w:tr>
      <w:tr w:rsidR="0091159B" w:rsidRPr="009E3947" w14:paraId="48084237" w14:textId="37803D4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230022A1" w:rsidR="0091159B" w:rsidRPr="009E3947" w:rsidRDefault="0091159B" w:rsidP="003360DC">
            <w:pPr>
              <w:ind w:left="0" w:firstLine="0"/>
              <w:rPr>
                <w:rFonts w:eastAsia="Times New Roman" w:cs="Calibri"/>
                <w:sz w:val="20"/>
                <w:szCs w:val="20"/>
              </w:rPr>
            </w:pPr>
            <w:r w:rsidRPr="009E3947">
              <w:rPr>
                <w:sz w:val="20"/>
                <w:szCs w:val="20"/>
              </w:rPr>
              <w:t>Apoyo a los delegados del Comité Permanente</w:t>
            </w:r>
          </w:p>
        </w:tc>
        <w:tc>
          <w:tcPr>
            <w:tcW w:w="1381" w:type="dxa"/>
            <w:tcBorders>
              <w:top w:val="nil"/>
              <w:left w:val="nil"/>
              <w:bottom w:val="single" w:sz="4" w:space="0" w:color="auto"/>
              <w:right w:val="single" w:sz="4" w:space="0" w:color="auto"/>
            </w:tcBorders>
            <w:shd w:val="clear" w:color="auto" w:fill="auto"/>
            <w:noWrap/>
            <w:vAlign w:val="center"/>
            <w:hideMark/>
          </w:tcPr>
          <w:p w14:paraId="705D1EFB" w14:textId="573D40B2" w:rsidR="0091159B" w:rsidRPr="009E3947" w:rsidRDefault="0091159B" w:rsidP="003360DC">
            <w:pPr>
              <w:ind w:left="0" w:firstLine="0"/>
              <w:jc w:val="right"/>
              <w:rPr>
                <w:rFonts w:eastAsia="Times New Roman" w:cs="Calibri"/>
                <w:sz w:val="20"/>
                <w:szCs w:val="20"/>
              </w:rPr>
            </w:pPr>
            <w:r w:rsidRPr="009E3947">
              <w:rPr>
                <w:sz w:val="20"/>
                <w:szCs w:val="20"/>
              </w:rPr>
              <w:t>45</w:t>
            </w:r>
          </w:p>
        </w:tc>
        <w:tc>
          <w:tcPr>
            <w:tcW w:w="1381" w:type="dxa"/>
            <w:tcBorders>
              <w:top w:val="nil"/>
              <w:left w:val="nil"/>
              <w:bottom w:val="single" w:sz="4" w:space="0" w:color="auto"/>
              <w:right w:val="single" w:sz="4" w:space="0" w:color="auto"/>
            </w:tcBorders>
            <w:shd w:val="clear" w:color="auto" w:fill="auto"/>
            <w:noWrap/>
            <w:vAlign w:val="center"/>
            <w:hideMark/>
          </w:tcPr>
          <w:p w14:paraId="3F7A73E0" w14:textId="63E7CE12"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4ED96779"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E1B4A91" w14:textId="52378899"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45</w:t>
            </w:r>
          </w:p>
        </w:tc>
      </w:tr>
      <w:tr w:rsidR="0091159B" w:rsidRPr="009E3947" w14:paraId="26644D7B" w14:textId="366A5C0A"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4DBBDBFB" w:rsidR="0091159B" w:rsidRPr="009E3947" w:rsidRDefault="0091159B" w:rsidP="003360DC">
            <w:pPr>
              <w:ind w:left="0" w:firstLine="0"/>
              <w:rPr>
                <w:rFonts w:eastAsia="Times New Roman" w:cs="Calibri"/>
                <w:sz w:val="20"/>
                <w:szCs w:val="20"/>
              </w:rPr>
            </w:pPr>
            <w:r w:rsidRPr="009E3947">
              <w:rPr>
                <w:sz w:val="20"/>
                <w:szCs w:val="20"/>
              </w:rPr>
              <w:t>Reuniones del Comité Permanente</w:t>
            </w:r>
          </w:p>
        </w:tc>
        <w:tc>
          <w:tcPr>
            <w:tcW w:w="1381" w:type="dxa"/>
            <w:tcBorders>
              <w:top w:val="nil"/>
              <w:left w:val="nil"/>
              <w:bottom w:val="single" w:sz="4" w:space="0" w:color="auto"/>
              <w:right w:val="single" w:sz="4" w:space="0" w:color="auto"/>
            </w:tcBorders>
            <w:shd w:val="clear" w:color="auto" w:fill="auto"/>
            <w:noWrap/>
            <w:vAlign w:val="center"/>
            <w:hideMark/>
          </w:tcPr>
          <w:p w14:paraId="787856D4" w14:textId="3AF30A72" w:rsidR="0091159B" w:rsidRPr="009E3947" w:rsidRDefault="0091159B" w:rsidP="003360DC">
            <w:pPr>
              <w:ind w:left="0" w:firstLine="0"/>
              <w:jc w:val="right"/>
              <w:rPr>
                <w:rFonts w:eastAsia="Times New Roman" w:cs="Calibri"/>
                <w:sz w:val="20"/>
                <w:szCs w:val="20"/>
              </w:rPr>
            </w:pPr>
            <w:r w:rsidRPr="009E3947">
              <w:rPr>
                <w:sz w:val="20"/>
                <w:szCs w:val="20"/>
              </w:rPr>
              <w:t>10</w:t>
            </w:r>
          </w:p>
        </w:tc>
        <w:tc>
          <w:tcPr>
            <w:tcW w:w="1381" w:type="dxa"/>
            <w:tcBorders>
              <w:top w:val="nil"/>
              <w:left w:val="nil"/>
              <w:bottom w:val="single" w:sz="4" w:space="0" w:color="auto"/>
              <w:right w:val="single" w:sz="4" w:space="0" w:color="auto"/>
            </w:tcBorders>
            <w:shd w:val="clear" w:color="auto" w:fill="auto"/>
            <w:noWrap/>
            <w:vAlign w:val="center"/>
            <w:hideMark/>
          </w:tcPr>
          <w:p w14:paraId="3BA7FEB9" w14:textId="18E47E39"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1085626D"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284A96B" w14:textId="568F8458"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10</w:t>
            </w:r>
          </w:p>
        </w:tc>
      </w:tr>
      <w:tr w:rsidR="0091159B" w:rsidRPr="009E3947" w14:paraId="1443EB28" w14:textId="7C72707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26F3804A" w:rsidR="0091159B" w:rsidRPr="009E3947" w:rsidRDefault="0091159B" w:rsidP="003360DC">
            <w:pPr>
              <w:ind w:left="0" w:firstLine="0"/>
              <w:rPr>
                <w:rFonts w:eastAsia="Times New Roman" w:cs="Calibri"/>
                <w:sz w:val="20"/>
                <w:szCs w:val="20"/>
              </w:rPr>
            </w:pPr>
            <w:r w:rsidRPr="009E3947">
              <w:rPr>
                <w:sz w:val="20"/>
                <w:szCs w:val="20"/>
              </w:rPr>
              <w:t>Traducción para el Comité Permanente</w:t>
            </w:r>
          </w:p>
        </w:tc>
        <w:tc>
          <w:tcPr>
            <w:tcW w:w="1381" w:type="dxa"/>
            <w:tcBorders>
              <w:top w:val="nil"/>
              <w:left w:val="nil"/>
              <w:bottom w:val="single" w:sz="4" w:space="0" w:color="auto"/>
              <w:right w:val="single" w:sz="4" w:space="0" w:color="auto"/>
            </w:tcBorders>
            <w:shd w:val="clear" w:color="auto" w:fill="auto"/>
            <w:noWrap/>
            <w:vAlign w:val="center"/>
            <w:hideMark/>
          </w:tcPr>
          <w:p w14:paraId="3D7A125B" w14:textId="7458605C" w:rsidR="0091159B" w:rsidRPr="009E3947" w:rsidRDefault="0091159B" w:rsidP="003360DC">
            <w:pPr>
              <w:ind w:left="0" w:firstLine="0"/>
              <w:jc w:val="right"/>
              <w:rPr>
                <w:rFonts w:eastAsia="Times New Roman" w:cs="Calibri"/>
                <w:sz w:val="20"/>
                <w:szCs w:val="20"/>
              </w:rPr>
            </w:pPr>
            <w:r w:rsidRPr="009E3947">
              <w:rPr>
                <w:sz w:val="20"/>
                <w:szCs w:val="20"/>
              </w:rPr>
              <w:t>60</w:t>
            </w:r>
          </w:p>
        </w:tc>
        <w:tc>
          <w:tcPr>
            <w:tcW w:w="1381" w:type="dxa"/>
            <w:tcBorders>
              <w:top w:val="nil"/>
              <w:left w:val="nil"/>
              <w:bottom w:val="single" w:sz="4" w:space="0" w:color="auto"/>
              <w:right w:val="single" w:sz="4" w:space="0" w:color="auto"/>
            </w:tcBorders>
            <w:shd w:val="clear" w:color="auto" w:fill="auto"/>
            <w:noWrap/>
            <w:vAlign w:val="center"/>
            <w:hideMark/>
          </w:tcPr>
          <w:p w14:paraId="0F1EF1EC" w14:textId="7D759444"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22C5F5CF"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B465551" w14:textId="3578F597"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60</w:t>
            </w:r>
          </w:p>
        </w:tc>
      </w:tr>
      <w:tr w:rsidR="0091159B" w:rsidRPr="009E3947" w14:paraId="69A093D5" w14:textId="4350EE9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668D5E96" w:rsidR="0091159B" w:rsidRPr="009E3947" w:rsidRDefault="0091159B" w:rsidP="003360DC">
            <w:pPr>
              <w:ind w:left="0" w:firstLine="0"/>
              <w:rPr>
                <w:rFonts w:eastAsia="Times New Roman" w:cs="Calibri"/>
                <w:sz w:val="20"/>
                <w:szCs w:val="20"/>
              </w:rPr>
            </w:pPr>
            <w:r w:rsidRPr="009E3947">
              <w:rPr>
                <w:sz w:val="20"/>
                <w:szCs w:val="20"/>
              </w:rPr>
              <w:t>Interpretación simultánea en las reuniones del Comité Permanente</w:t>
            </w:r>
          </w:p>
        </w:tc>
        <w:tc>
          <w:tcPr>
            <w:tcW w:w="1381" w:type="dxa"/>
            <w:tcBorders>
              <w:top w:val="nil"/>
              <w:left w:val="nil"/>
              <w:bottom w:val="single" w:sz="4" w:space="0" w:color="auto"/>
              <w:right w:val="single" w:sz="4" w:space="0" w:color="auto"/>
            </w:tcBorders>
            <w:shd w:val="clear" w:color="auto" w:fill="auto"/>
            <w:noWrap/>
            <w:vAlign w:val="center"/>
            <w:hideMark/>
          </w:tcPr>
          <w:p w14:paraId="1A416976" w14:textId="37960A08" w:rsidR="0091159B" w:rsidRPr="009E3947" w:rsidRDefault="0091159B" w:rsidP="003360DC">
            <w:pPr>
              <w:ind w:left="0" w:firstLine="0"/>
              <w:jc w:val="right"/>
              <w:rPr>
                <w:rFonts w:eastAsia="Times New Roman" w:cs="Calibri"/>
                <w:sz w:val="20"/>
                <w:szCs w:val="20"/>
              </w:rPr>
            </w:pPr>
            <w:r w:rsidRPr="009E3947">
              <w:rPr>
                <w:sz w:val="20"/>
                <w:szCs w:val="20"/>
              </w:rPr>
              <w:t>35</w:t>
            </w:r>
          </w:p>
        </w:tc>
        <w:tc>
          <w:tcPr>
            <w:tcW w:w="1381" w:type="dxa"/>
            <w:tcBorders>
              <w:top w:val="nil"/>
              <w:left w:val="nil"/>
              <w:bottom w:val="single" w:sz="4" w:space="0" w:color="auto"/>
              <w:right w:val="single" w:sz="4" w:space="0" w:color="auto"/>
            </w:tcBorders>
            <w:shd w:val="clear" w:color="auto" w:fill="auto"/>
            <w:noWrap/>
            <w:vAlign w:val="center"/>
            <w:hideMark/>
          </w:tcPr>
          <w:p w14:paraId="5A7795CE" w14:textId="120BB7AA"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1ACC251C"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6501774" w14:textId="689B123A"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35</w:t>
            </w:r>
          </w:p>
        </w:tc>
      </w:tr>
      <w:tr w:rsidR="0091159B" w:rsidRPr="009E3947" w14:paraId="72A1A639" w14:textId="4F138BB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12DEF992" w:rsidR="0091159B" w:rsidRPr="009E3947" w:rsidRDefault="0091159B" w:rsidP="003360DC">
            <w:pPr>
              <w:ind w:left="0" w:firstLine="0"/>
              <w:rPr>
                <w:rFonts w:eastAsia="Times New Roman" w:cs="Calibri"/>
                <w:sz w:val="20"/>
                <w:szCs w:val="20"/>
              </w:rPr>
            </w:pPr>
            <w:r w:rsidRPr="009E3947">
              <w:rPr>
                <w:sz w:val="20"/>
                <w:szCs w:val="20"/>
              </w:rPr>
              <w:t>Grupo de Trabajo sobre la Eficacia</w:t>
            </w:r>
          </w:p>
        </w:tc>
        <w:tc>
          <w:tcPr>
            <w:tcW w:w="1381" w:type="dxa"/>
            <w:tcBorders>
              <w:top w:val="nil"/>
              <w:left w:val="nil"/>
              <w:bottom w:val="single" w:sz="4" w:space="0" w:color="auto"/>
              <w:right w:val="single" w:sz="4" w:space="0" w:color="auto"/>
            </w:tcBorders>
            <w:shd w:val="clear" w:color="auto" w:fill="auto"/>
            <w:noWrap/>
            <w:vAlign w:val="center"/>
            <w:hideMark/>
          </w:tcPr>
          <w:p w14:paraId="491A078A" w14:textId="0F19052C"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A01DFD" w14:textId="4DE82620"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65AAB821"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4</w:t>
            </w:r>
          </w:p>
        </w:tc>
        <w:tc>
          <w:tcPr>
            <w:tcW w:w="1381" w:type="dxa"/>
            <w:tcBorders>
              <w:top w:val="nil"/>
              <w:left w:val="nil"/>
              <w:bottom w:val="single" w:sz="4" w:space="0" w:color="auto"/>
              <w:right w:val="single" w:sz="4" w:space="0" w:color="auto"/>
            </w:tcBorders>
            <w:shd w:val="clear" w:color="auto" w:fill="auto"/>
            <w:noWrap/>
            <w:vAlign w:val="center"/>
            <w:hideMark/>
          </w:tcPr>
          <w:p w14:paraId="3A2D3045" w14:textId="6166B37C"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4</w:t>
            </w:r>
          </w:p>
        </w:tc>
      </w:tr>
      <w:tr w:rsidR="00400EC6" w:rsidRPr="009E3947" w14:paraId="04098544"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59044C40" w14:textId="54169C86" w:rsidR="00400EC6" w:rsidRPr="009E3947" w:rsidRDefault="00400EC6" w:rsidP="003360DC">
            <w:pPr>
              <w:ind w:left="0" w:firstLine="0"/>
              <w:rPr>
                <w:rFonts w:eastAsia="Times New Roman" w:cs="Calibri"/>
                <w:sz w:val="20"/>
                <w:szCs w:val="20"/>
              </w:rPr>
            </w:pPr>
            <w:r w:rsidRPr="009E3947">
              <w:rPr>
                <w:sz w:val="20"/>
                <w:szCs w:val="20"/>
              </w:rPr>
              <w:t>Mejora de la eficacia y colaboración (Res. XIV.3)</w:t>
            </w:r>
          </w:p>
        </w:tc>
        <w:tc>
          <w:tcPr>
            <w:tcW w:w="1381" w:type="dxa"/>
            <w:tcBorders>
              <w:top w:val="nil"/>
              <w:left w:val="nil"/>
              <w:bottom w:val="single" w:sz="4" w:space="0" w:color="auto"/>
              <w:right w:val="single" w:sz="4" w:space="0" w:color="auto"/>
            </w:tcBorders>
            <w:shd w:val="clear" w:color="auto" w:fill="auto"/>
            <w:noWrap/>
            <w:vAlign w:val="center"/>
          </w:tcPr>
          <w:p w14:paraId="14EE1AA7" w14:textId="027FA10B" w:rsidR="00400EC6" w:rsidRPr="009E3947" w:rsidRDefault="00400EC6"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tcPr>
          <w:p w14:paraId="0D81459F" w14:textId="7551C6BC" w:rsidR="00400EC6" w:rsidRPr="009E3947" w:rsidRDefault="00400EC6"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358AD25" w14:textId="5D420CCA" w:rsidR="00400EC6" w:rsidRPr="009E3947" w:rsidDel="00400EC6" w:rsidRDefault="00400EC6" w:rsidP="003360DC">
            <w:pPr>
              <w:ind w:left="0" w:firstLine="0"/>
              <w:jc w:val="right"/>
              <w:rPr>
                <w:rFonts w:eastAsia="Times New Roman" w:cs="Calibri"/>
                <w:color w:val="000000"/>
                <w:sz w:val="20"/>
                <w:szCs w:val="20"/>
              </w:rPr>
            </w:pPr>
            <w:r w:rsidRPr="009E3947">
              <w:rPr>
                <w:color w:val="000000"/>
                <w:sz w:val="20"/>
                <w:szCs w:val="20"/>
              </w:rPr>
              <w:t>7</w:t>
            </w:r>
          </w:p>
        </w:tc>
        <w:tc>
          <w:tcPr>
            <w:tcW w:w="1381" w:type="dxa"/>
            <w:tcBorders>
              <w:top w:val="nil"/>
              <w:left w:val="nil"/>
              <w:bottom w:val="single" w:sz="4" w:space="0" w:color="auto"/>
              <w:right w:val="single" w:sz="4" w:space="0" w:color="auto"/>
            </w:tcBorders>
            <w:shd w:val="clear" w:color="auto" w:fill="auto"/>
            <w:noWrap/>
            <w:vAlign w:val="center"/>
          </w:tcPr>
          <w:p w14:paraId="6BF729BF" w14:textId="49F180EB" w:rsidR="00400EC6" w:rsidRPr="009E3947" w:rsidDel="00400EC6" w:rsidRDefault="00400EC6" w:rsidP="003360DC">
            <w:pPr>
              <w:ind w:left="0" w:firstLine="0"/>
              <w:jc w:val="right"/>
              <w:rPr>
                <w:rFonts w:eastAsia="Times New Roman" w:cs="Calibri"/>
                <w:color w:val="000000"/>
                <w:sz w:val="20"/>
                <w:szCs w:val="20"/>
              </w:rPr>
            </w:pPr>
            <w:r w:rsidRPr="009E3947">
              <w:rPr>
                <w:color w:val="000000"/>
                <w:sz w:val="20"/>
                <w:szCs w:val="20"/>
              </w:rPr>
              <w:t>7</w:t>
            </w:r>
          </w:p>
        </w:tc>
      </w:tr>
      <w:tr w:rsidR="00400EC6" w:rsidRPr="009E3947" w14:paraId="456BED25"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6548A83" w14:textId="26CBFB20" w:rsidR="00400EC6" w:rsidRPr="009E3947" w:rsidRDefault="00400EC6" w:rsidP="003360DC">
            <w:pPr>
              <w:ind w:left="0" w:firstLine="0"/>
              <w:rPr>
                <w:rFonts w:eastAsia="Times New Roman" w:cs="Calibri"/>
                <w:sz w:val="20"/>
                <w:szCs w:val="20"/>
              </w:rPr>
            </w:pPr>
            <w:r w:rsidRPr="009E3947">
              <w:rPr>
                <w:sz w:val="20"/>
                <w:szCs w:val="20"/>
              </w:rPr>
              <w:t>Examen de las resoluciones (Res. XIII.4)</w:t>
            </w:r>
          </w:p>
        </w:tc>
        <w:tc>
          <w:tcPr>
            <w:tcW w:w="1381" w:type="dxa"/>
            <w:tcBorders>
              <w:top w:val="nil"/>
              <w:left w:val="nil"/>
              <w:bottom w:val="single" w:sz="4" w:space="0" w:color="auto"/>
              <w:right w:val="single" w:sz="4" w:space="0" w:color="auto"/>
            </w:tcBorders>
            <w:shd w:val="clear" w:color="auto" w:fill="auto"/>
            <w:noWrap/>
            <w:vAlign w:val="center"/>
          </w:tcPr>
          <w:p w14:paraId="14527C77" w14:textId="7A6DC746" w:rsidR="00400EC6" w:rsidRPr="009E3947" w:rsidRDefault="00400EC6"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tcPr>
          <w:p w14:paraId="3B7D8F89" w14:textId="6082C1A9" w:rsidR="00400EC6" w:rsidRPr="009E3947" w:rsidRDefault="00400EC6"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AF85E59" w14:textId="1E682058" w:rsidR="00400EC6" w:rsidRPr="009E3947" w:rsidDel="00400EC6" w:rsidRDefault="007F4EAB" w:rsidP="003360DC">
            <w:pPr>
              <w:ind w:left="0" w:firstLine="0"/>
              <w:jc w:val="right"/>
              <w:rPr>
                <w:rFonts w:eastAsia="Times New Roman" w:cs="Calibri"/>
                <w:color w:val="000000"/>
                <w:sz w:val="20"/>
                <w:szCs w:val="20"/>
              </w:rPr>
            </w:pPr>
            <w:r w:rsidRPr="009E3947">
              <w:rPr>
                <w:color w:val="000000"/>
                <w:sz w:val="20"/>
                <w:szCs w:val="20"/>
              </w:rPr>
              <w:t>26</w:t>
            </w:r>
          </w:p>
        </w:tc>
        <w:tc>
          <w:tcPr>
            <w:tcW w:w="1381" w:type="dxa"/>
            <w:tcBorders>
              <w:top w:val="nil"/>
              <w:left w:val="nil"/>
              <w:bottom w:val="single" w:sz="4" w:space="0" w:color="auto"/>
              <w:right w:val="single" w:sz="4" w:space="0" w:color="auto"/>
            </w:tcBorders>
            <w:shd w:val="clear" w:color="auto" w:fill="auto"/>
            <w:noWrap/>
            <w:vAlign w:val="center"/>
          </w:tcPr>
          <w:p w14:paraId="05486589" w14:textId="1BAD83AC" w:rsidR="00400EC6" w:rsidRPr="009E3947" w:rsidDel="00400EC6" w:rsidRDefault="007F4EAB" w:rsidP="003360DC">
            <w:pPr>
              <w:ind w:left="0" w:firstLine="0"/>
              <w:jc w:val="right"/>
              <w:rPr>
                <w:rFonts w:eastAsia="Times New Roman" w:cs="Calibri"/>
                <w:color w:val="000000"/>
                <w:sz w:val="20"/>
                <w:szCs w:val="20"/>
              </w:rPr>
            </w:pPr>
            <w:r w:rsidRPr="009E3947">
              <w:rPr>
                <w:color w:val="000000"/>
                <w:sz w:val="20"/>
                <w:szCs w:val="20"/>
              </w:rPr>
              <w:t>26</w:t>
            </w:r>
          </w:p>
        </w:tc>
      </w:tr>
      <w:tr w:rsidR="0091159B" w:rsidRPr="009E3947" w14:paraId="3D72D3CA" w14:textId="58246EEE" w:rsidTr="004F3C40">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AF53222" w14:textId="5C1B47F2" w:rsidR="0091159B" w:rsidRPr="009E3947" w:rsidRDefault="0091159B" w:rsidP="003360DC">
            <w:pPr>
              <w:ind w:left="0" w:firstLine="0"/>
              <w:rPr>
                <w:rFonts w:eastAsia="Times New Roman" w:cs="Calibri"/>
                <w:sz w:val="20"/>
                <w:szCs w:val="20"/>
              </w:rPr>
            </w:pPr>
            <w:r w:rsidRPr="009E3947">
              <w:rPr>
                <w:sz w:val="20"/>
                <w:szCs w:val="20"/>
              </w:rPr>
              <w:t>H.  Gastos por servicios administrativos de la UICN (máximo)</w:t>
            </w:r>
          </w:p>
        </w:tc>
        <w:tc>
          <w:tcPr>
            <w:tcW w:w="1381" w:type="dxa"/>
            <w:tcBorders>
              <w:top w:val="nil"/>
              <w:left w:val="nil"/>
              <w:bottom w:val="single" w:sz="4" w:space="0" w:color="auto"/>
              <w:right w:val="single" w:sz="4" w:space="0" w:color="auto"/>
            </w:tcBorders>
            <w:shd w:val="clear" w:color="000000" w:fill="EAF1DD"/>
            <w:noWrap/>
            <w:vAlign w:val="center"/>
            <w:hideMark/>
          </w:tcPr>
          <w:p w14:paraId="1B9108A3" w14:textId="31B784AF" w:rsidR="0091159B" w:rsidRPr="009E3947" w:rsidRDefault="0091159B" w:rsidP="003360DC">
            <w:pPr>
              <w:ind w:left="0" w:firstLine="0"/>
              <w:jc w:val="right"/>
              <w:rPr>
                <w:rFonts w:eastAsia="Times New Roman" w:cs="Calibri"/>
                <w:b/>
                <w:bCs/>
                <w:sz w:val="20"/>
                <w:szCs w:val="20"/>
              </w:rPr>
            </w:pPr>
            <w:r w:rsidRPr="009E3947">
              <w:rPr>
                <w:b/>
                <w:bCs/>
                <w:sz w:val="20"/>
                <w:szCs w:val="20"/>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2605173B" w14:textId="6869F3DB" w:rsidR="0091159B" w:rsidRPr="009E3947" w:rsidRDefault="0091159B" w:rsidP="003360DC">
            <w:pPr>
              <w:ind w:left="0" w:firstLine="0"/>
              <w:jc w:val="right"/>
              <w:rPr>
                <w:rFonts w:eastAsia="Times New Roman" w:cs="Calibri"/>
                <w:b/>
                <w:bCs/>
                <w:sz w:val="20"/>
                <w:szCs w:val="20"/>
              </w:rPr>
            </w:pPr>
            <w:r w:rsidRPr="009E3947">
              <w:rPr>
                <w:b/>
                <w:bCs/>
                <w:sz w:val="20"/>
                <w:szCs w:val="20"/>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7B0D60E3" w:rsidR="0091159B" w:rsidRPr="009E3947" w:rsidRDefault="00A85E2B" w:rsidP="003360DC">
            <w:pPr>
              <w:ind w:left="0" w:firstLine="0"/>
              <w:jc w:val="right"/>
              <w:rPr>
                <w:rFonts w:eastAsia="Times New Roman" w:cs="Calibri"/>
                <w:b/>
                <w:bCs/>
                <w:color w:val="000000"/>
                <w:sz w:val="20"/>
                <w:szCs w:val="20"/>
              </w:rPr>
            </w:pPr>
            <w:r w:rsidRPr="009E3947">
              <w:rPr>
                <w:b/>
                <w:bCs/>
                <w:color w:val="000000"/>
                <w:sz w:val="20"/>
                <w:szCs w:val="20"/>
              </w:rPr>
              <w:t>8</w:t>
            </w:r>
          </w:p>
        </w:tc>
        <w:tc>
          <w:tcPr>
            <w:tcW w:w="1381" w:type="dxa"/>
            <w:tcBorders>
              <w:top w:val="nil"/>
              <w:left w:val="nil"/>
              <w:bottom w:val="single" w:sz="4" w:space="0" w:color="auto"/>
              <w:right w:val="single" w:sz="4" w:space="0" w:color="auto"/>
            </w:tcBorders>
            <w:shd w:val="clear" w:color="000000" w:fill="EAF1DD"/>
            <w:noWrap/>
            <w:vAlign w:val="center"/>
            <w:hideMark/>
          </w:tcPr>
          <w:p w14:paraId="78C87664" w14:textId="1002EA9A" w:rsidR="0091159B" w:rsidRPr="009E3947" w:rsidRDefault="00A85E2B" w:rsidP="003360DC">
            <w:pPr>
              <w:ind w:left="0" w:firstLine="0"/>
              <w:jc w:val="right"/>
              <w:rPr>
                <w:rFonts w:eastAsia="Times New Roman" w:cs="Calibri"/>
                <w:b/>
                <w:bCs/>
                <w:color w:val="000000"/>
                <w:sz w:val="20"/>
                <w:szCs w:val="20"/>
              </w:rPr>
            </w:pPr>
            <w:r w:rsidRPr="009E3947">
              <w:rPr>
                <w:b/>
                <w:bCs/>
                <w:color w:val="000000"/>
                <w:sz w:val="20"/>
                <w:szCs w:val="20"/>
              </w:rPr>
              <w:t>549</w:t>
            </w:r>
          </w:p>
        </w:tc>
      </w:tr>
      <w:tr w:rsidR="0091159B" w:rsidRPr="009E3947" w14:paraId="795E07A2" w14:textId="00DC7C2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B0CA" w14:textId="08C073B6" w:rsidR="0091159B" w:rsidRPr="009E3947" w:rsidRDefault="0091159B" w:rsidP="003360DC">
            <w:pPr>
              <w:ind w:left="0" w:firstLine="0"/>
              <w:rPr>
                <w:rFonts w:eastAsia="Times New Roman" w:cs="Calibri"/>
                <w:sz w:val="20"/>
                <w:szCs w:val="20"/>
              </w:rPr>
            </w:pPr>
            <w:r w:rsidRPr="009E3947">
              <w:rPr>
                <w:sz w:val="20"/>
                <w:szCs w:val="20"/>
              </w:rPr>
              <w:t>Administración, RR.HH., finanzas y servicios informáticos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F122F5E" w14:textId="5A23B906" w:rsidR="0091159B" w:rsidRPr="009E3947" w:rsidRDefault="0091159B" w:rsidP="003360DC">
            <w:pPr>
              <w:ind w:left="0" w:firstLine="0"/>
              <w:jc w:val="right"/>
              <w:rPr>
                <w:rFonts w:eastAsia="Times New Roman" w:cs="Calibri"/>
                <w:sz w:val="20"/>
                <w:szCs w:val="20"/>
              </w:rPr>
            </w:pPr>
            <w:r w:rsidRPr="009E3947">
              <w:rPr>
                <w:sz w:val="20"/>
                <w:szCs w:val="20"/>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7AFF7E7" w14:textId="277E05F4"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08BA" w14:textId="5AEEBD0E" w:rsidR="0091159B" w:rsidRPr="009E3947" w:rsidRDefault="00A85E2B" w:rsidP="003360DC">
            <w:pPr>
              <w:ind w:left="0" w:firstLine="0"/>
              <w:jc w:val="right"/>
              <w:rPr>
                <w:rFonts w:eastAsia="Times New Roman" w:cs="Calibri"/>
                <w:color w:val="000000"/>
                <w:sz w:val="20"/>
                <w:szCs w:val="20"/>
              </w:rPr>
            </w:pPr>
            <w:r w:rsidRPr="009E3947">
              <w:rPr>
                <w:color w:val="000000"/>
                <w:sz w:val="20"/>
                <w:szCs w:val="20"/>
              </w:rPr>
              <w:t>8</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5B9488" w14:textId="56372EB6" w:rsidR="0091159B" w:rsidRPr="009E3947" w:rsidRDefault="00A85E2B" w:rsidP="003360DC">
            <w:pPr>
              <w:ind w:left="0" w:firstLine="0"/>
              <w:jc w:val="right"/>
              <w:rPr>
                <w:rFonts w:eastAsia="Times New Roman" w:cs="Calibri"/>
                <w:color w:val="000000"/>
                <w:sz w:val="20"/>
                <w:szCs w:val="20"/>
              </w:rPr>
            </w:pPr>
            <w:r w:rsidRPr="009E3947">
              <w:rPr>
                <w:color w:val="000000"/>
                <w:sz w:val="20"/>
                <w:szCs w:val="20"/>
              </w:rPr>
              <w:t>549</w:t>
            </w:r>
          </w:p>
        </w:tc>
      </w:tr>
      <w:tr w:rsidR="0091159B" w:rsidRPr="009E3947" w14:paraId="752B5C40" w14:textId="3D6D90F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757D713" w14:textId="0B1D8F33" w:rsidR="0091159B" w:rsidRPr="009E3947" w:rsidRDefault="0091159B" w:rsidP="003360DC">
            <w:pPr>
              <w:ind w:left="0" w:firstLine="0"/>
              <w:rPr>
                <w:rFonts w:eastAsia="Times New Roman" w:cs="Calibri"/>
                <w:sz w:val="20"/>
                <w:szCs w:val="20"/>
              </w:rPr>
            </w:pPr>
            <w:r w:rsidRPr="009E3947">
              <w:rPr>
                <w:sz w:val="20"/>
                <w:szCs w:val="20"/>
              </w:rPr>
              <w:t>I.  Varios, Fondo de reserva</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FE2CC3D" w14:textId="4E1EA8A4" w:rsidR="0091159B" w:rsidRPr="009E3947" w:rsidRDefault="0091159B" w:rsidP="003360DC">
            <w:pPr>
              <w:ind w:left="0" w:firstLine="0"/>
              <w:jc w:val="right"/>
              <w:rPr>
                <w:rFonts w:eastAsia="Times New Roman" w:cs="Calibri"/>
                <w:b/>
                <w:bCs/>
                <w:sz w:val="20"/>
                <w:szCs w:val="20"/>
              </w:rPr>
            </w:pPr>
            <w:r w:rsidRPr="009E3947">
              <w:rPr>
                <w:b/>
                <w:bCs/>
                <w:sz w:val="20"/>
                <w:szCs w:val="20"/>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AC24648" w14:textId="093885F1" w:rsidR="0091159B" w:rsidRPr="009E3947" w:rsidRDefault="0091159B" w:rsidP="003360DC">
            <w:pPr>
              <w:ind w:left="0" w:firstLine="0"/>
              <w:jc w:val="right"/>
              <w:rPr>
                <w:rFonts w:eastAsia="Times New Roman" w:cs="Calibri"/>
                <w:b/>
                <w:bCs/>
                <w:sz w:val="20"/>
                <w:szCs w:val="20"/>
              </w:rPr>
            </w:pPr>
            <w:r w:rsidRPr="009E3947">
              <w:rPr>
                <w:b/>
                <w:bCs/>
                <w:sz w:val="20"/>
                <w:szCs w:val="20"/>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A0F1764" w14:textId="6AA11DB2" w:rsidR="0091159B" w:rsidRPr="009E3947" w:rsidRDefault="007F4EAB" w:rsidP="003360DC">
            <w:pPr>
              <w:ind w:left="0" w:firstLine="0"/>
              <w:jc w:val="right"/>
              <w:rPr>
                <w:rFonts w:eastAsia="Times New Roman" w:cs="Calibri"/>
                <w:b/>
                <w:bCs/>
                <w:color w:val="000000"/>
                <w:sz w:val="20"/>
                <w:szCs w:val="20"/>
              </w:rPr>
            </w:pPr>
            <w:r w:rsidRPr="009E3947">
              <w:rPr>
                <w:b/>
                <w:bCs/>
                <w:color w:val="000000"/>
                <w:sz w:val="20"/>
                <w:szCs w:val="20"/>
              </w:rPr>
              <w:t>52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801B937" w14:textId="41FD290E" w:rsidR="0091159B" w:rsidRPr="009E3947" w:rsidRDefault="007F4EAB" w:rsidP="003360DC">
            <w:pPr>
              <w:ind w:left="0" w:firstLine="0"/>
              <w:jc w:val="right"/>
              <w:rPr>
                <w:rFonts w:eastAsia="Times New Roman" w:cs="Calibri"/>
                <w:b/>
                <w:bCs/>
                <w:color w:val="000000"/>
                <w:sz w:val="20"/>
                <w:szCs w:val="20"/>
              </w:rPr>
            </w:pPr>
            <w:r w:rsidRPr="009E3947">
              <w:rPr>
                <w:b/>
                <w:bCs/>
                <w:color w:val="000000"/>
                <w:sz w:val="20"/>
                <w:szCs w:val="20"/>
              </w:rPr>
              <w:t>281</w:t>
            </w:r>
          </w:p>
        </w:tc>
      </w:tr>
      <w:tr w:rsidR="0091159B" w:rsidRPr="009E3947" w14:paraId="084A71EE" w14:textId="03C7649F"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3F918996" w:rsidR="0091159B" w:rsidRPr="009E3947" w:rsidRDefault="0091159B" w:rsidP="003360DC">
            <w:pPr>
              <w:ind w:left="0" w:firstLine="0"/>
              <w:rPr>
                <w:rFonts w:eastAsia="Times New Roman" w:cs="Calibri"/>
                <w:sz w:val="20"/>
                <w:szCs w:val="20"/>
              </w:rPr>
            </w:pPr>
            <w:r w:rsidRPr="009E3947">
              <w:rPr>
                <w:sz w:val="20"/>
                <w:szCs w:val="20"/>
              </w:rPr>
              <w:t>Provisiones correspondientes al personal</w:t>
            </w:r>
          </w:p>
        </w:tc>
        <w:tc>
          <w:tcPr>
            <w:tcW w:w="1381" w:type="dxa"/>
            <w:tcBorders>
              <w:top w:val="nil"/>
              <w:left w:val="nil"/>
              <w:bottom w:val="single" w:sz="4" w:space="0" w:color="auto"/>
              <w:right w:val="single" w:sz="4" w:space="0" w:color="auto"/>
            </w:tcBorders>
            <w:shd w:val="clear" w:color="auto" w:fill="auto"/>
            <w:noWrap/>
            <w:vAlign w:val="center"/>
            <w:hideMark/>
          </w:tcPr>
          <w:p w14:paraId="73E4FD2D" w14:textId="720DA414" w:rsidR="0091159B" w:rsidRPr="009E3947" w:rsidRDefault="0091159B" w:rsidP="003360DC">
            <w:pPr>
              <w:ind w:left="0" w:firstLine="0"/>
              <w:jc w:val="right"/>
              <w:rPr>
                <w:rFonts w:eastAsia="Times New Roman" w:cs="Calibri"/>
                <w:sz w:val="20"/>
                <w:szCs w:val="20"/>
              </w:rPr>
            </w:pPr>
            <w:r w:rsidRPr="009E3947">
              <w:rPr>
                <w:sz w:val="20"/>
                <w:szCs w:val="20"/>
              </w:rPr>
              <w:t>20</w:t>
            </w:r>
          </w:p>
        </w:tc>
        <w:tc>
          <w:tcPr>
            <w:tcW w:w="1381" w:type="dxa"/>
            <w:tcBorders>
              <w:top w:val="nil"/>
              <w:left w:val="nil"/>
              <w:bottom w:val="single" w:sz="4" w:space="0" w:color="auto"/>
              <w:right w:val="single" w:sz="4" w:space="0" w:color="auto"/>
            </w:tcBorders>
            <w:shd w:val="clear" w:color="auto" w:fill="auto"/>
            <w:noWrap/>
            <w:vAlign w:val="center"/>
            <w:hideMark/>
          </w:tcPr>
          <w:p w14:paraId="32D19F3C" w14:textId="105C860F"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488FAB6A"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664BE2D8" w14:textId="58BDC8A6"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20</w:t>
            </w:r>
          </w:p>
        </w:tc>
      </w:tr>
      <w:tr w:rsidR="0091159B" w:rsidRPr="009E3947" w14:paraId="085EFCEC" w14:textId="47155506"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2B017BCC" w14:textId="2A849351" w:rsidR="0091159B" w:rsidRPr="009E3947" w:rsidRDefault="0091159B" w:rsidP="003360DC">
            <w:pPr>
              <w:ind w:left="0" w:firstLine="0"/>
              <w:rPr>
                <w:rFonts w:eastAsia="Times New Roman" w:cs="Calibri"/>
                <w:sz w:val="20"/>
                <w:szCs w:val="20"/>
              </w:rPr>
            </w:pPr>
            <w:r w:rsidRPr="009E3947">
              <w:rPr>
                <w:sz w:val="20"/>
                <w:szCs w:val="20"/>
              </w:rPr>
              <w:t>Provisiones correspondientes a las contribuciones pendientes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3B146504" w:rsidR="0091159B" w:rsidRPr="009E3947" w:rsidRDefault="0091159B" w:rsidP="003360DC">
            <w:pPr>
              <w:ind w:left="0" w:firstLine="0"/>
              <w:jc w:val="right"/>
              <w:rPr>
                <w:rFonts w:eastAsia="Times New Roman" w:cs="Calibri"/>
                <w:sz w:val="20"/>
                <w:szCs w:val="20"/>
              </w:rPr>
            </w:pPr>
            <w:r w:rsidRPr="009E3947">
              <w:rPr>
                <w:sz w:val="20"/>
                <w:szCs w:val="20"/>
              </w:rPr>
              <w:t>30</w:t>
            </w:r>
          </w:p>
        </w:tc>
        <w:tc>
          <w:tcPr>
            <w:tcW w:w="1381" w:type="dxa"/>
            <w:tcBorders>
              <w:top w:val="nil"/>
              <w:left w:val="nil"/>
              <w:bottom w:val="single" w:sz="4" w:space="0" w:color="auto"/>
              <w:right w:val="single" w:sz="4" w:space="0" w:color="auto"/>
            </w:tcBorders>
            <w:shd w:val="clear" w:color="auto" w:fill="auto"/>
            <w:noWrap/>
            <w:vAlign w:val="center"/>
            <w:hideMark/>
          </w:tcPr>
          <w:p w14:paraId="0AD7C4B7" w14:textId="18741516" w:rsidR="0091159B" w:rsidRPr="009E3947" w:rsidRDefault="0091159B" w:rsidP="003360DC">
            <w:pPr>
              <w:ind w:left="0" w:firstLine="0"/>
              <w:jc w:val="right"/>
              <w:rPr>
                <w:rFonts w:eastAsia="Times New Roman" w:cs="Calibri"/>
                <w:sz w:val="20"/>
                <w:szCs w:val="20"/>
              </w:rPr>
            </w:pPr>
            <w:r w:rsidRPr="009E3947">
              <w:rPr>
                <w:sz w:val="20"/>
                <w:szCs w:val="20"/>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281CCD70" w:rsidR="0091159B" w:rsidRPr="009E3947" w:rsidRDefault="007F4EAB" w:rsidP="003360DC">
            <w:pPr>
              <w:ind w:left="0" w:firstLine="0"/>
              <w:jc w:val="right"/>
              <w:rPr>
                <w:rFonts w:eastAsia="Times New Roman" w:cs="Calibri"/>
                <w:sz w:val="20"/>
                <w:szCs w:val="20"/>
              </w:rPr>
            </w:pPr>
            <w:r w:rsidRPr="009E3947">
              <w:rPr>
                <w:sz w:val="20"/>
                <w:szCs w:val="20"/>
              </w:rPr>
              <w:t>26</w:t>
            </w:r>
          </w:p>
        </w:tc>
        <w:tc>
          <w:tcPr>
            <w:tcW w:w="1381" w:type="dxa"/>
            <w:tcBorders>
              <w:top w:val="nil"/>
              <w:left w:val="nil"/>
              <w:bottom w:val="single" w:sz="4" w:space="0" w:color="auto"/>
              <w:right w:val="single" w:sz="4" w:space="0" w:color="auto"/>
            </w:tcBorders>
            <w:shd w:val="clear" w:color="auto" w:fill="auto"/>
            <w:noWrap/>
            <w:vAlign w:val="center"/>
            <w:hideMark/>
          </w:tcPr>
          <w:p w14:paraId="55C1D6EC" w14:textId="740202DF" w:rsidR="0091159B" w:rsidRPr="009E3947" w:rsidRDefault="007F4EAB" w:rsidP="003360DC">
            <w:pPr>
              <w:ind w:left="0" w:firstLine="0"/>
              <w:jc w:val="right"/>
              <w:rPr>
                <w:rFonts w:eastAsia="Times New Roman" w:cs="Calibri"/>
                <w:color w:val="000000"/>
                <w:sz w:val="20"/>
                <w:szCs w:val="20"/>
              </w:rPr>
            </w:pPr>
            <w:r w:rsidRPr="009E3947">
              <w:rPr>
                <w:color w:val="000000"/>
                <w:sz w:val="20"/>
                <w:szCs w:val="20"/>
              </w:rPr>
              <w:t>176</w:t>
            </w:r>
          </w:p>
        </w:tc>
      </w:tr>
      <w:tr w:rsidR="0091159B" w:rsidRPr="009E3947" w14:paraId="1ABBE1E8" w14:textId="54993FE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645E9070" w:rsidR="0091159B" w:rsidRPr="009E3947" w:rsidRDefault="0091159B" w:rsidP="003360DC">
            <w:pPr>
              <w:ind w:left="0" w:firstLine="0"/>
              <w:rPr>
                <w:rFonts w:eastAsia="Times New Roman" w:cs="Calibri"/>
                <w:sz w:val="20"/>
                <w:szCs w:val="20"/>
              </w:rPr>
            </w:pPr>
            <w:r w:rsidRPr="009E3947">
              <w:rPr>
                <w:sz w:val="20"/>
                <w:szCs w:val="20"/>
              </w:rPr>
              <w:t>Ganancias/pérdidas por fluctuaciones del tipo de cambio</w:t>
            </w:r>
          </w:p>
        </w:tc>
        <w:tc>
          <w:tcPr>
            <w:tcW w:w="1381" w:type="dxa"/>
            <w:tcBorders>
              <w:top w:val="nil"/>
              <w:left w:val="nil"/>
              <w:bottom w:val="single" w:sz="4" w:space="0" w:color="auto"/>
              <w:right w:val="single" w:sz="4" w:space="0" w:color="auto"/>
            </w:tcBorders>
            <w:shd w:val="clear" w:color="auto" w:fill="auto"/>
            <w:noWrap/>
            <w:vAlign w:val="center"/>
            <w:hideMark/>
          </w:tcPr>
          <w:p w14:paraId="57068BC9" w14:textId="1AD81273"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2D7384" w14:textId="6E487F9F"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6E54D94A"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BE4723" w14:textId="313EE30D" w:rsidR="0091159B" w:rsidRPr="009E3947" w:rsidRDefault="0091159B" w:rsidP="003360DC">
            <w:pPr>
              <w:ind w:left="0" w:firstLine="0"/>
              <w:jc w:val="right"/>
              <w:rPr>
                <w:rFonts w:eastAsia="Times New Roman" w:cs="Calibri"/>
                <w:color w:val="000000"/>
                <w:sz w:val="20"/>
                <w:szCs w:val="20"/>
              </w:rPr>
            </w:pPr>
            <w:r w:rsidRPr="009E3947">
              <w:rPr>
                <w:color w:val="000000"/>
                <w:sz w:val="20"/>
                <w:szCs w:val="20"/>
              </w:rPr>
              <w:t>0</w:t>
            </w:r>
          </w:p>
        </w:tc>
      </w:tr>
      <w:tr w:rsidR="0091159B" w:rsidRPr="009E3947" w14:paraId="1839E4C0" w14:textId="105C0EFD"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49BC2D70" w:rsidR="0091159B" w:rsidRPr="009E3947" w:rsidRDefault="0091159B" w:rsidP="003360DC">
            <w:pPr>
              <w:ind w:left="0" w:firstLine="0"/>
              <w:rPr>
                <w:rFonts w:eastAsia="Times New Roman" w:cs="Calibri"/>
                <w:sz w:val="20"/>
                <w:szCs w:val="20"/>
              </w:rPr>
            </w:pPr>
            <w:r w:rsidRPr="009E3947">
              <w:rPr>
                <w:sz w:val="20"/>
                <w:szCs w:val="20"/>
              </w:rPr>
              <w:t>Servicios jurídicos</w:t>
            </w:r>
          </w:p>
        </w:tc>
        <w:tc>
          <w:tcPr>
            <w:tcW w:w="1381" w:type="dxa"/>
            <w:tcBorders>
              <w:top w:val="nil"/>
              <w:left w:val="nil"/>
              <w:bottom w:val="single" w:sz="4" w:space="0" w:color="auto"/>
              <w:right w:val="single" w:sz="4" w:space="0" w:color="auto"/>
            </w:tcBorders>
            <w:shd w:val="clear" w:color="auto" w:fill="auto"/>
            <w:noWrap/>
            <w:vAlign w:val="center"/>
            <w:hideMark/>
          </w:tcPr>
          <w:p w14:paraId="1D3EF3C6" w14:textId="0601A44C" w:rsidR="0091159B" w:rsidRPr="009E3947" w:rsidRDefault="0091159B" w:rsidP="003360DC">
            <w:pPr>
              <w:ind w:left="0" w:firstLine="0"/>
              <w:jc w:val="right"/>
              <w:rPr>
                <w:rFonts w:eastAsia="Times New Roman" w:cs="Calibri"/>
                <w:sz w:val="20"/>
                <w:szCs w:val="20"/>
              </w:rPr>
            </w:pPr>
            <w:r w:rsidRPr="009E3947">
              <w:rPr>
                <w:sz w:val="20"/>
                <w:szCs w:val="20"/>
              </w:rPr>
              <w:t>59</w:t>
            </w:r>
          </w:p>
        </w:tc>
        <w:tc>
          <w:tcPr>
            <w:tcW w:w="1381" w:type="dxa"/>
            <w:tcBorders>
              <w:top w:val="nil"/>
              <w:left w:val="nil"/>
              <w:bottom w:val="single" w:sz="4" w:space="0" w:color="auto"/>
              <w:right w:val="single" w:sz="4" w:space="0" w:color="auto"/>
            </w:tcBorders>
            <w:shd w:val="clear" w:color="auto" w:fill="auto"/>
            <w:noWrap/>
            <w:vAlign w:val="center"/>
            <w:hideMark/>
          </w:tcPr>
          <w:p w14:paraId="131AB8EA" w14:textId="0808B37B" w:rsidR="0091159B" w:rsidRPr="009E3947" w:rsidRDefault="0091159B" w:rsidP="003360DC">
            <w:pPr>
              <w:ind w:left="0" w:firstLine="0"/>
              <w:jc w:val="right"/>
              <w:rPr>
                <w:rFonts w:eastAsia="Times New Roman" w:cs="Calibri"/>
                <w:sz w:val="20"/>
                <w:szCs w:val="20"/>
              </w:rPr>
            </w:pPr>
            <w:r w:rsidRPr="009E3947">
              <w:rPr>
                <w:sz w:val="20"/>
                <w:szCs w:val="20"/>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0C352644" w:rsidR="0091159B" w:rsidRPr="009E3947" w:rsidRDefault="007F4EAB" w:rsidP="003360DC">
            <w:pPr>
              <w:ind w:left="0" w:firstLine="0"/>
              <w:jc w:val="right"/>
              <w:rPr>
                <w:rFonts w:eastAsia="Times New Roman" w:cs="Calibri"/>
                <w:color w:val="000000"/>
                <w:sz w:val="20"/>
                <w:szCs w:val="20"/>
              </w:rPr>
            </w:pPr>
            <w:r w:rsidRPr="009E3947">
              <w:rPr>
                <w:color w:val="000000"/>
                <w:sz w:val="20"/>
                <w:szCs w:val="20"/>
              </w:rPr>
              <w:t>26</w:t>
            </w:r>
          </w:p>
        </w:tc>
        <w:tc>
          <w:tcPr>
            <w:tcW w:w="1381" w:type="dxa"/>
            <w:tcBorders>
              <w:top w:val="nil"/>
              <w:left w:val="nil"/>
              <w:bottom w:val="single" w:sz="4" w:space="0" w:color="auto"/>
              <w:right w:val="single" w:sz="4" w:space="0" w:color="auto"/>
            </w:tcBorders>
            <w:shd w:val="clear" w:color="auto" w:fill="auto"/>
            <w:noWrap/>
            <w:vAlign w:val="center"/>
            <w:hideMark/>
          </w:tcPr>
          <w:p w14:paraId="3E0D1DB8" w14:textId="6E09BEEA" w:rsidR="0091159B" w:rsidRPr="009E3947" w:rsidRDefault="007F4EAB" w:rsidP="003360DC">
            <w:pPr>
              <w:ind w:left="0" w:firstLine="0"/>
              <w:jc w:val="right"/>
              <w:rPr>
                <w:rFonts w:eastAsia="Times New Roman" w:cs="Calibri"/>
                <w:color w:val="000000"/>
                <w:sz w:val="20"/>
                <w:szCs w:val="20"/>
              </w:rPr>
            </w:pPr>
            <w:r w:rsidRPr="009E3947">
              <w:rPr>
                <w:color w:val="000000"/>
                <w:sz w:val="20"/>
                <w:szCs w:val="20"/>
              </w:rPr>
              <w:t>85</w:t>
            </w:r>
          </w:p>
        </w:tc>
      </w:tr>
      <w:tr w:rsidR="0091159B" w:rsidRPr="009E3947" w14:paraId="31AE2B9F" w14:textId="1CF86311" w:rsidTr="004F3C40">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5327ECEA" w:rsidR="0091159B" w:rsidRPr="009E3947" w:rsidRDefault="0091159B" w:rsidP="003360DC">
            <w:pPr>
              <w:ind w:left="0" w:firstLine="0"/>
              <w:rPr>
                <w:rFonts w:eastAsia="Times New Roman" w:cs="Calibri"/>
                <w:b/>
                <w:bCs/>
                <w:color w:val="000000"/>
                <w:sz w:val="20"/>
                <w:szCs w:val="20"/>
              </w:rPr>
            </w:pPr>
            <w:r w:rsidRPr="009E3947">
              <w:rPr>
                <w:b/>
                <w:bCs/>
                <w:color w:val="000000"/>
                <w:sz w:val="20"/>
                <w:szCs w:val="20"/>
              </w:rPr>
              <w:t>TOTAL, GASTOS</w:t>
            </w:r>
          </w:p>
        </w:tc>
        <w:tc>
          <w:tcPr>
            <w:tcW w:w="1381" w:type="dxa"/>
            <w:tcBorders>
              <w:top w:val="nil"/>
              <w:left w:val="nil"/>
              <w:bottom w:val="single" w:sz="4" w:space="0" w:color="auto"/>
              <w:right w:val="single" w:sz="4" w:space="0" w:color="auto"/>
            </w:tcBorders>
            <w:shd w:val="clear" w:color="000000" w:fill="D6E3BC"/>
            <w:noWrap/>
            <w:vAlign w:val="center"/>
            <w:hideMark/>
          </w:tcPr>
          <w:p w14:paraId="04202AFE" w14:textId="4A3B4019" w:rsidR="0091159B" w:rsidRPr="009E3947" w:rsidRDefault="0091159B" w:rsidP="003360DC">
            <w:pPr>
              <w:ind w:left="0" w:firstLine="0"/>
              <w:jc w:val="right"/>
              <w:rPr>
                <w:rFonts w:eastAsia="Times New Roman" w:cs="Calibri"/>
                <w:b/>
                <w:bCs/>
                <w:color w:val="000000"/>
                <w:sz w:val="20"/>
                <w:szCs w:val="20"/>
              </w:rPr>
            </w:pPr>
            <w:r w:rsidRPr="009E3947">
              <w:rPr>
                <w:b/>
                <w:bCs/>
                <w:color w:val="000000"/>
                <w:sz w:val="20"/>
                <w:szCs w:val="20"/>
              </w:rPr>
              <w:t>5</w:t>
            </w:r>
            <w:r w:rsidR="00A10967">
              <w:rPr>
                <w:b/>
                <w:bCs/>
                <w:color w:val="000000"/>
                <w:sz w:val="20"/>
                <w:szCs w:val="20"/>
              </w:rPr>
              <w:t> </w:t>
            </w:r>
            <w:r w:rsidRPr="009E3947">
              <w:rPr>
                <w:b/>
                <w:bCs/>
                <w:color w:val="000000"/>
                <w:sz w:val="20"/>
                <w:szCs w:val="20"/>
              </w:rPr>
              <w:t>081</w:t>
            </w:r>
          </w:p>
        </w:tc>
        <w:tc>
          <w:tcPr>
            <w:tcW w:w="1381" w:type="dxa"/>
            <w:tcBorders>
              <w:top w:val="nil"/>
              <w:left w:val="nil"/>
              <w:bottom w:val="single" w:sz="4" w:space="0" w:color="auto"/>
              <w:right w:val="single" w:sz="4" w:space="0" w:color="auto"/>
            </w:tcBorders>
            <w:shd w:val="clear" w:color="000000" w:fill="D6E3BC"/>
            <w:noWrap/>
            <w:vAlign w:val="center"/>
            <w:hideMark/>
          </w:tcPr>
          <w:p w14:paraId="611DF231" w14:textId="174DA79A" w:rsidR="0091159B" w:rsidRPr="009E3947" w:rsidRDefault="0091159B" w:rsidP="003360DC">
            <w:pPr>
              <w:ind w:left="0" w:firstLine="0"/>
              <w:jc w:val="right"/>
              <w:rPr>
                <w:rFonts w:eastAsia="Times New Roman" w:cs="Calibri"/>
                <w:b/>
                <w:bCs/>
                <w:color w:val="000000"/>
                <w:sz w:val="20"/>
                <w:szCs w:val="20"/>
              </w:rPr>
            </w:pPr>
            <w:r w:rsidRPr="009E3947">
              <w:rPr>
                <w:b/>
                <w:bCs/>
                <w:color w:val="000000"/>
                <w:sz w:val="20"/>
                <w:szCs w:val="20"/>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30838544" w:rsidR="0091159B" w:rsidRPr="009E3947" w:rsidRDefault="007F4EAB" w:rsidP="003360DC">
            <w:pPr>
              <w:ind w:left="0" w:firstLine="0"/>
              <w:jc w:val="right"/>
              <w:rPr>
                <w:rFonts w:eastAsia="Times New Roman" w:cs="Calibri"/>
                <w:b/>
                <w:bCs/>
                <w:color w:val="000000"/>
                <w:sz w:val="20"/>
                <w:szCs w:val="20"/>
              </w:rPr>
            </w:pPr>
            <w:r w:rsidRPr="009E3947">
              <w:rPr>
                <w:b/>
                <w:bCs/>
                <w:color w:val="000000"/>
                <w:sz w:val="20"/>
                <w:szCs w:val="20"/>
              </w:rPr>
              <w:t>1</w:t>
            </w:r>
            <w:r w:rsidR="00A10967">
              <w:rPr>
                <w:b/>
                <w:bCs/>
                <w:color w:val="000000"/>
                <w:sz w:val="20"/>
                <w:szCs w:val="20"/>
              </w:rPr>
              <w:t> </w:t>
            </w:r>
            <w:r w:rsidRPr="009E3947">
              <w:rPr>
                <w:b/>
                <w:bCs/>
                <w:color w:val="000000"/>
                <w:sz w:val="20"/>
                <w:szCs w:val="20"/>
              </w:rPr>
              <w:t>065</w:t>
            </w:r>
          </w:p>
        </w:tc>
        <w:tc>
          <w:tcPr>
            <w:tcW w:w="1381" w:type="dxa"/>
            <w:tcBorders>
              <w:top w:val="nil"/>
              <w:left w:val="nil"/>
              <w:bottom w:val="single" w:sz="4" w:space="0" w:color="auto"/>
              <w:right w:val="single" w:sz="4" w:space="0" w:color="auto"/>
            </w:tcBorders>
            <w:shd w:val="clear" w:color="000000" w:fill="D6E3BC"/>
            <w:noWrap/>
            <w:vAlign w:val="center"/>
            <w:hideMark/>
          </w:tcPr>
          <w:p w14:paraId="1253BE09" w14:textId="474E8DBD" w:rsidR="0091159B" w:rsidRPr="009E3947" w:rsidRDefault="007F4EAB" w:rsidP="003360DC">
            <w:pPr>
              <w:ind w:left="0" w:firstLine="0"/>
              <w:jc w:val="right"/>
              <w:rPr>
                <w:rFonts w:eastAsia="Times New Roman" w:cs="Calibri"/>
                <w:b/>
                <w:bCs/>
                <w:color w:val="000000"/>
                <w:sz w:val="20"/>
                <w:szCs w:val="20"/>
              </w:rPr>
            </w:pPr>
            <w:r w:rsidRPr="009E3947">
              <w:rPr>
                <w:b/>
                <w:bCs/>
                <w:color w:val="000000"/>
                <w:sz w:val="20"/>
                <w:szCs w:val="20"/>
              </w:rPr>
              <w:t>6</w:t>
            </w:r>
            <w:r w:rsidR="00A10967">
              <w:rPr>
                <w:b/>
                <w:bCs/>
                <w:color w:val="000000"/>
                <w:sz w:val="20"/>
                <w:szCs w:val="20"/>
              </w:rPr>
              <w:t> </w:t>
            </w:r>
            <w:r w:rsidRPr="009E3947">
              <w:rPr>
                <w:b/>
                <w:bCs/>
                <w:color w:val="000000"/>
                <w:sz w:val="20"/>
                <w:szCs w:val="20"/>
              </w:rPr>
              <w:t>342</w:t>
            </w:r>
          </w:p>
        </w:tc>
      </w:tr>
    </w:tbl>
    <w:p w14:paraId="70E015E5" w14:textId="12A6606F" w:rsidR="007E27A5" w:rsidRPr="009E3947" w:rsidRDefault="007E27A5" w:rsidP="007E27A5">
      <w:pPr>
        <w:ind w:left="0" w:firstLine="0"/>
        <w:rPr>
          <w:sz w:val="20"/>
          <w:szCs w:val="20"/>
        </w:rPr>
      </w:pPr>
    </w:p>
    <w:sectPr w:rsidR="007E27A5" w:rsidRPr="009E3947" w:rsidSect="00135A99">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2238" w14:textId="77777777" w:rsidR="00054B6A" w:rsidRDefault="00054B6A" w:rsidP="00DF2386">
      <w:r>
        <w:separator/>
      </w:r>
    </w:p>
  </w:endnote>
  <w:endnote w:type="continuationSeparator" w:id="0">
    <w:p w14:paraId="70E95C3F" w14:textId="77777777" w:rsidR="00054B6A" w:rsidRDefault="00054B6A" w:rsidP="00DF2386">
      <w:r>
        <w:continuationSeparator/>
      </w:r>
    </w:p>
  </w:endnote>
  <w:endnote w:type="continuationNotice" w:id="1">
    <w:p w14:paraId="56A4C0D5" w14:textId="77777777" w:rsidR="00054B6A" w:rsidRDefault="00054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EEEC" w14:textId="33D7F3F7" w:rsidR="008A6720" w:rsidRDefault="008A6720" w:rsidP="002137E0">
    <w:pPr>
      <w:pStyle w:val="Header"/>
      <w:rPr>
        <w:noProof/>
      </w:rPr>
    </w:pPr>
    <w:r>
      <w:rPr>
        <w:sz w:val="20"/>
        <w:szCs w:val="20"/>
      </w:rPr>
      <w:t>SC65 Doc.8.1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2</w:t>
        </w:r>
        <w:r w:rsidRPr="00F344DE">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1BB8" w14:textId="2193992D" w:rsidR="008A6720" w:rsidRDefault="008A6720" w:rsidP="00C26079">
    <w:pPr>
      <w:pStyle w:val="Header"/>
      <w:tabs>
        <w:tab w:val="clear" w:pos="9026"/>
        <w:tab w:val="right" w:pos="13892"/>
      </w:tabs>
      <w:rPr>
        <w:noProof/>
      </w:rPr>
    </w:pPr>
    <w:r>
      <w:rPr>
        <w:sz w:val="20"/>
        <w:szCs w:val="20"/>
      </w:rPr>
      <w:t>SC63 Doc.9.1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14</w:t>
        </w:r>
        <w:r w:rsidRPr="00F344DE">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31F7" w14:textId="2DB7203B" w:rsidR="008A6720" w:rsidRDefault="008A6720" w:rsidP="00834FE6">
    <w:pPr>
      <w:pStyle w:val="Header"/>
      <w:tabs>
        <w:tab w:val="clear" w:pos="9026"/>
        <w:tab w:val="right" w:pos="13892"/>
      </w:tabs>
      <w:rPr>
        <w:noProof/>
      </w:rPr>
    </w:pPr>
    <w:r>
      <w:rPr>
        <w:sz w:val="20"/>
        <w:szCs w:val="20"/>
      </w:rPr>
      <w:t>SC65 Doc.8.1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17</w:t>
        </w:r>
        <w:r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B029" w14:textId="77777777" w:rsidR="00054B6A" w:rsidRDefault="00054B6A" w:rsidP="00DF2386">
      <w:r>
        <w:separator/>
      </w:r>
    </w:p>
  </w:footnote>
  <w:footnote w:type="continuationSeparator" w:id="0">
    <w:p w14:paraId="7C5B626F" w14:textId="77777777" w:rsidR="00054B6A" w:rsidRDefault="00054B6A" w:rsidP="00DF2386">
      <w:r>
        <w:continuationSeparator/>
      </w:r>
    </w:p>
  </w:footnote>
  <w:footnote w:type="continuationNotice" w:id="1">
    <w:p w14:paraId="1327C2EF" w14:textId="77777777" w:rsidR="00054B6A" w:rsidRDefault="00054B6A"/>
  </w:footnote>
  <w:footnote w:id="2">
    <w:p w14:paraId="624F5C4B" w14:textId="0A2F7BAE" w:rsidR="008A6720" w:rsidRDefault="008A6720" w:rsidP="00633D7A">
      <w:pPr>
        <w:pStyle w:val="FootnoteText"/>
        <w:ind w:left="0" w:firstLine="0"/>
      </w:pPr>
      <w:r>
        <w:rPr>
          <w:rStyle w:val="FootnoteReference"/>
        </w:rPr>
        <w:footnoteRef/>
      </w:r>
      <w:r>
        <w:t xml:space="preserve"> </w:t>
      </w:r>
      <w:hyperlink r:id="rId1" w:history="1">
        <w:r w:rsidR="006271DC">
          <w:rPr>
            <w:rStyle w:val="Hyperlink"/>
          </w:rPr>
          <w:t>https://www.ramsar.org/es/document/sc64-doc91-cuestiones-financieras-y-presupuestarias-informe-sobre-cuestiones-financieras</w:t>
        </w:r>
      </w:hyperlink>
      <w:r>
        <w:t xml:space="preserve">. </w:t>
      </w:r>
    </w:p>
  </w:footnote>
  <w:footnote w:id="3">
    <w:p w14:paraId="0A323906" w14:textId="6674977A" w:rsidR="008A6720" w:rsidRPr="00173434" w:rsidRDefault="008A6720" w:rsidP="00082B43">
      <w:pPr>
        <w:pStyle w:val="FootnoteText"/>
        <w:ind w:left="0" w:firstLine="0"/>
        <w:rPr>
          <w:lang w:val="fr-FR"/>
        </w:rPr>
      </w:pPr>
      <w:r>
        <w:rPr>
          <w:rStyle w:val="FootnoteReference"/>
        </w:rPr>
        <w:footnoteRef/>
      </w:r>
      <w:r w:rsidRPr="00173434">
        <w:rPr>
          <w:lang w:val="fr-FR"/>
        </w:rPr>
        <w:t xml:space="preserve"> Véase </w:t>
      </w:r>
      <w:hyperlink r:id="rId2" w:history="1">
        <w:r w:rsidR="006271DC">
          <w:rPr>
            <w:rStyle w:val="Hyperlink"/>
            <w:lang w:val="fr-FR"/>
          </w:rPr>
          <w:t>https://www.ramsar.org/es/document/sc64-com2-cuestiones-financieras-y-presupuestarias-informe-de-la-reunion-del-subgrupo-de</w:t>
        </w:r>
      </w:hyperlink>
      <w:r w:rsidRPr="00173434">
        <w:rPr>
          <w:lang w:val="fr-FR"/>
        </w:rPr>
        <w:t>.</w:t>
      </w:r>
    </w:p>
  </w:footnote>
  <w:footnote w:id="4">
    <w:p w14:paraId="2CCB4366" w14:textId="1996945B" w:rsidR="008A6720" w:rsidRPr="00173434" w:rsidRDefault="008A6720" w:rsidP="00094AFB">
      <w:pPr>
        <w:pStyle w:val="FootnoteText"/>
        <w:ind w:left="0" w:firstLine="0"/>
        <w:rPr>
          <w:lang w:val="fr-FR"/>
        </w:rPr>
      </w:pPr>
      <w:r>
        <w:rPr>
          <w:rStyle w:val="FootnoteReference"/>
        </w:rPr>
        <w:footnoteRef/>
      </w:r>
      <w:r w:rsidRPr="00173434">
        <w:rPr>
          <w:lang w:val="fr-FR"/>
        </w:rPr>
        <w:t xml:space="preserve"> Véase </w:t>
      </w:r>
      <w:hyperlink r:id="rId3" w:history="1">
        <w:r w:rsidR="00173434" w:rsidRPr="005227E0">
          <w:rPr>
            <w:rStyle w:val="Hyperlink"/>
            <w:lang w:val="fr-FR"/>
          </w:rPr>
          <w:t>https://www.ramsar.org/document/financial-statements-year-ended-31-december-2024-report-independent-auditor</w:t>
        </w:r>
      </w:hyperlink>
      <w:r w:rsidRPr="00173434">
        <w:rPr>
          <w:lang w:val="fr-FR"/>
        </w:rPr>
        <w:t xml:space="preserve">. </w:t>
      </w:r>
    </w:p>
  </w:footnote>
  <w:footnote w:id="5">
    <w:p w14:paraId="5284F982" w14:textId="79BE2186" w:rsidR="008A6720" w:rsidRPr="00173434" w:rsidRDefault="008A6720" w:rsidP="004C118B">
      <w:pPr>
        <w:pStyle w:val="FootnoteText"/>
        <w:rPr>
          <w:lang w:val="fr-FR"/>
        </w:rPr>
      </w:pPr>
      <w:r>
        <w:rPr>
          <w:rStyle w:val="FootnoteReference"/>
        </w:rPr>
        <w:footnoteRef/>
      </w:r>
      <w:r w:rsidRPr="00173434">
        <w:rPr>
          <w:lang w:val="fr-FR"/>
        </w:rPr>
        <w:t xml:space="preserve"> Véase </w:t>
      </w:r>
      <w:hyperlink r:id="rId4" w:history="1">
        <w:r w:rsidR="006271DC">
          <w:rPr>
            <w:rStyle w:val="Hyperlink"/>
            <w:lang w:val="fr-FR"/>
          </w:rPr>
          <w:t>https://www.ramsar.org/es/document/resolucion-xiv1-cuestiones-financieras-y-presupuestarias</w:t>
        </w:r>
      </w:hyperlink>
      <w:r w:rsidRPr="00173434">
        <w:rPr>
          <w:lang w:val="fr-FR"/>
        </w:rPr>
        <w:t>.</w:t>
      </w:r>
    </w:p>
  </w:footnote>
  <w:footnote w:id="6">
    <w:p w14:paraId="6E7DDF55" w14:textId="08C63663" w:rsidR="008A6720" w:rsidRPr="00173434" w:rsidRDefault="008A6720" w:rsidP="008B5424">
      <w:pPr>
        <w:pStyle w:val="FootnoteText"/>
        <w:ind w:left="0" w:firstLine="0"/>
        <w:rPr>
          <w:lang w:val="fr-FR"/>
        </w:rPr>
      </w:pPr>
      <w:r>
        <w:rPr>
          <w:rStyle w:val="FootnoteReference"/>
        </w:rPr>
        <w:footnoteRef/>
      </w:r>
      <w:r w:rsidRPr="00173434">
        <w:rPr>
          <w:lang w:val="fr-FR"/>
        </w:rPr>
        <w:t xml:space="preserve"> Véase </w:t>
      </w:r>
      <w:hyperlink r:id="rId5" w:history="1">
        <w:r w:rsidR="006271DC">
          <w:rPr>
            <w:rStyle w:val="Hyperlink"/>
            <w:lang w:val="fr-FR"/>
          </w:rPr>
          <w:t>https://www.ramsar.org/es/document/sc64-com2-cuestiones-financieras-y-presupuestarias-informe-de-la-reunion-del-subgrupo-de</w:t>
        </w:r>
      </w:hyperlink>
      <w:r w:rsidRPr="00173434">
        <w:rPr>
          <w:lang w:val="fr-FR"/>
        </w:rPr>
        <w:t>.</w:t>
      </w:r>
    </w:p>
  </w:footnote>
  <w:footnote w:id="7">
    <w:p w14:paraId="41D9DB57" w14:textId="64E5A314" w:rsidR="008A6720" w:rsidRPr="00173434" w:rsidRDefault="008A6720" w:rsidP="00D27548">
      <w:pPr>
        <w:pStyle w:val="FootnoteText"/>
        <w:ind w:left="0" w:firstLine="0"/>
        <w:rPr>
          <w:lang w:val="fr-FR"/>
        </w:rPr>
      </w:pPr>
      <w:r>
        <w:rPr>
          <w:rStyle w:val="FootnoteReference"/>
        </w:rPr>
        <w:footnoteRef/>
      </w:r>
      <w:r w:rsidRPr="00173434">
        <w:rPr>
          <w:lang w:val="fr-FR"/>
        </w:rPr>
        <w:t xml:space="preserve"> Véase </w:t>
      </w:r>
      <w:hyperlink r:id="rId6" w:history="1">
        <w:r w:rsidR="006271DC">
          <w:rPr>
            <w:rStyle w:val="Hyperlink"/>
            <w:lang w:val="fr-FR"/>
          </w:rPr>
          <w:t>https://www.ramsar.org/es/document/resolucion-xiv1-cuestiones-financieras-y-presupuestarias</w:t>
        </w:r>
      </w:hyperlink>
      <w:r w:rsidRPr="00173434">
        <w:rPr>
          <w:lang w:val="fr-FR"/>
        </w:rPr>
        <w:t>.</w:t>
      </w:r>
    </w:p>
  </w:footnote>
  <w:footnote w:id="8">
    <w:p w14:paraId="1D76A701" w14:textId="5C65BD91" w:rsidR="008A6720" w:rsidRDefault="008A6720" w:rsidP="007A1F65">
      <w:pPr>
        <w:pStyle w:val="FootnoteText"/>
        <w:ind w:left="0" w:firstLine="0"/>
      </w:pPr>
      <w:r>
        <w:rPr>
          <w:rStyle w:val="FootnoteReference"/>
        </w:rPr>
        <w:footnoteRef/>
      </w:r>
      <w:r>
        <w:t xml:space="preserve"> Véa</w:t>
      </w:r>
      <w:r w:rsidR="00E37C3C">
        <w:t>n</w:t>
      </w:r>
      <w:r>
        <w:t xml:space="preserve">se las notas a los estados financieros auditados en </w:t>
      </w:r>
      <w:hyperlink r:id="rId7" w:history="1">
        <w:r w:rsidR="00173434" w:rsidRPr="005227E0">
          <w:rPr>
            <w:rStyle w:val="Hyperlink"/>
          </w:rPr>
          <w:t>https://www.ramsar.org/document/financial-statements-year-ended-31-december-2024-report-independent-auditor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4CD"/>
    <w:multiLevelType w:val="hybridMultilevel"/>
    <w:tmpl w:val="042C555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971CEE"/>
    <w:multiLevelType w:val="hybridMultilevel"/>
    <w:tmpl w:val="39FA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8446A"/>
    <w:multiLevelType w:val="hybridMultilevel"/>
    <w:tmpl w:val="73761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A7242"/>
    <w:multiLevelType w:val="hybridMultilevel"/>
    <w:tmpl w:val="C6148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142901">
    <w:abstractNumId w:val="1"/>
  </w:num>
  <w:num w:numId="2" w16cid:durableId="1990136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406013">
    <w:abstractNumId w:val="18"/>
  </w:num>
  <w:num w:numId="4" w16cid:durableId="1590384909">
    <w:abstractNumId w:val="11"/>
  </w:num>
  <w:num w:numId="5" w16cid:durableId="221329328">
    <w:abstractNumId w:val="17"/>
  </w:num>
  <w:num w:numId="6" w16cid:durableId="1838572798">
    <w:abstractNumId w:val="4"/>
  </w:num>
  <w:num w:numId="7" w16cid:durableId="1145780406">
    <w:abstractNumId w:val="3"/>
  </w:num>
  <w:num w:numId="8" w16cid:durableId="19551991">
    <w:abstractNumId w:val="10"/>
  </w:num>
  <w:num w:numId="9" w16cid:durableId="924069823">
    <w:abstractNumId w:val="9"/>
  </w:num>
  <w:num w:numId="10" w16cid:durableId="696008835">
    <w:abstractNumId w:val="19"/>
  </w:num>
  <w:num w:numId="11" w16cid:durableId="347485772">
    <w:abstractNumId w:val="13"/>
  </w:num>
  <w:num w:numId="12" w16cid:durableId="304354843">
    <w:abstractNumId w:val="7"/>
  </w:num>
  <w:num w:numId="13" w16cid:durableId="1765296343">
    <w:abstractNumId w:val="16"/>
  </w:num>
  <w:num w:numId="14" w16cid:durableId="38014944">
    <w:abstractNumId w:val="2"/>
  </w:num>
  <w:num w:numId="15" w16cid:durableId="1933931834">
    <w:abstractNumId w:val="14"/>
  </w:num>
  <w:num w:numId="16" w16cid:durableId="1427070989">
    <w:abstractNumId w:val="20"/>
  </w:num>
  <w:num w:numId="17" w16cid:durableId="1835798882">
    <w:abstractNumId w:val="8"/>
  </w:num>
  <w:num w:numId="18" w16cid:durableId="928539324">
    <w:abstractNumId w:val="12"/>
  </w:num>
  <w:num w:numId="19" w16cid:durableId="1341391850">
    <w:abstractNumId w:val="15"/>
  </w:num>
  <w:num w:numId="20" w16cid:durableId="123932730">
    <w:abstractNumId w:val="6"/>
  </w:num>
  <w:num w:numId="21" w16cid:durableId="167190770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779"/>
    <w:rsid w:val="00000A1B"/>
    <w:rsid w:val="000011E8"/>
    <w:rsid w:val="000012BB"/>
    <w:rsid w:val="000016C0"/>
    <w:rsid w:val="0000174B"/>
    <w:rsid w:val="00002887"/>
    <w:rsid w:val="0000371F"/>
    <w:rsid w:val="00003FF3"/>
    <w:rsid w:val="00004171"/>
    <w:rsid w:val="00004CF9"/>
    <w:rsid w:val="00005494"/>
    <w:rsid w:val="00005D80"/>
    <w:rsid w:val="00005E5F"/>
    <w:rsid w:val="00006A52"/>
    <w:rsid w:val="00006CF6"/>
    <w:rsid w:val="00007309"/>
    <w:rsid w:val="00007908"/>
    <w:rsid w:val="00010282"/>
    <w:rsid w:val="0001295D"/>
    <w:rsid w:val="00013A55"/>
    <w:rsid w:val="00013B5D"/>
    <w:rsid w:val="00014168"/>
    <w:rsid w:val="00014DD6"/>
    <w:rsid w:val="0001625B"/>
    <w:rsid w:val="00016CD1"/>
    <w:rsid w:val="00017583"/>
    <w:rsid w:val="00017A16"/>
    <w:rsid w:val="00020298"/>
    <w:rsid w:val="00020C2D"/>
    <w:rsid w:val="00020C56"/>
    <w:rsid w:val="00021A9B"/>
    <w:rsid w:val="00021F0E"/>
    <w:rsid w:val="00021F71"/>
    <w:rsid w:val="00023718"/>
    <w:rsid w:val="00024104"/>
    <w:rsid w:val="0002452B"/>
    <w:rsid w:val="00024537"/>
    <w:rsid w:val="00024832"/>
    <w:rsid w:val="00024E01"/>
    <w:rsid w:val="00025210"/>
    <w:rsid w:val="00025536"/>
    <w:rsid w:val="00026E09"/>
    <w:rsid w:val="0002702A"/>
    <w:rsid w:val="0002761D"/>
    <w:rsid w:val="00027805"/>
    <w:rsid w:val="000279C5"/>
    <w:rsid w:val="00027FCD"/>
    <w:rsid w:val="000308AC"/>
    <w:rsid w:val="000308D5"/>
    <w:rsid w:val="00030DC9"/>
    <w:rsid w:val="00031058"/>
    <w:rsid w:val="00031851"/>
    <w:rsid w:val="00031BCF"/>
    <w:rsid w:val="00031C72"/>
    <w:rsid w:val="0003253E"/>
    <w:rsid w:val="0003296A"/>
    <w:rsid w:val="00032B1D"/>
    <w:rsid w:val="00032E44"/>
    <w:rsid w:val="00034511"/>
    <w:rsid w:val="00034C8A"/>
    <w:rsid w:val="00037CE0"/>
    <w:rsid w:val="00041947"/>
    <w:rsid w:val="00042148"/>
    <w:rsid w:val="0004214F"/>
    <w:rsid w:val="00043287"/>
    <w:rsid w:val="00043CBA"/>
    <w:rsid w:val="000442E4"/>
    <w:rsid w:val="00044E14"/>
    <w:rsid w:val="00044E37"/>
    <w:rsid w:val="000456AF"/>
    <w:rsid w:val="0004646E"/>
    <w:rsid w:val="00046957"/>
    <w:rsid w:val="00047393"/>
    <w:rsid w:val="000476C5"/>
    <w:rsid w:val="000500B3"/>
    <w:rsid w:val="000506B6"/>
    <w:rsid w:val="000518FC"/>
    <w:rsid w:val="00051ADC"/>
    <w:rsid w:val="0005352B"/>
    <w:rsid w:val="00053929"/>
    <w:rsid w:val="0005393F"/>
    <w:rsid w:val="00054685"/>
    <w:rsid w:val="00054B6A"/>
    <w:rsid w:val="000555D5"/>
    <w:rsid w:val="00055C60"/>
    <w:rsid w:val="00056AA6"/>
    <w:rsid w:val="000575AD"/>
    <w:rsid w:val="00057851"/>
    <w:rsid w:val="000603B8"/>
    <w:rsid w:val="0006083C"/>
    <w:rsid w:val="0006178A"/>
    <w:rsid w:val="00062093"/>
    <w:rsid w:val="0006294A"/>
    <w:rsid w:val="00062A46"/>
    <w:rsid w:val="00062E4A"/>
    <w:rsid w:val="000630A0"/>
    <w:rsid w:val="0006326D"/>
    <w:rsid w:val="00063A71"/>
    <w:rsid w:val="00063F47"/>
    <w:rsid w:val="00064BD7"/>
    <w:rsid w:val="00064E24"/>
    <w:rsid w:val="00064EA7"/>
    <w:rsid w:val="00064EDC"/>
    <w:rsid w:val="000658C3"/>
    <w:rsid w:val="00065B4A"/>
    <w:rsid w:val="00065E42"/>
    <w:rsid w:val="000663B2"/>
    <w:rsid w:val="00066E98"/>
    <w:rsid w:val="000678A6"/>
    <w:rsid w:val="00067A3B"/>
    <w:rsid w:val="00067EDC"/>
    <w:rsid w:val="00070655"/>
    <w:rsid w:val="00070FD2"/>
    <w:rsid w:val="00071D98"/>
    <w:rsid w:val="00072062"/>
    <w:rsid w:val="00072AE1"/>
    <w:rsid w:val="000731E7"/>
    <w:rsid w:val="000732F2"/>
    <w:rsid w:val="00073E51"/>
    <w:rsid w:val="000743C9"/>
    <w:rsid w:val="00074DE8"/>
    <w:rsid w:val="00074E11"/>
    <w:rsid w:val="000751CA"/>
    <w:rsid w:val="00075D8D"/>
    <w:rsid w:val="00075FA2"/>
    <w:rsid w:val="00076ACB"/>
    <w:rsid w:val="000776EE"/>
    <w:rsid w:val="00077BC3"/>
    <w:rsid w:val="0008181C"/>
    <w:rsid w:val="0008185B"/>
    <w:rsid w:val="00081ACA"/>
    <w:rsid w:val="00082297"/>
    <w:rsid w:val="0008231A"/>
    <w:rsid w:val="0008295B"/>
    <w:rsid w:val="00082B43"/>
    <w:rsid w:val="00082D5E"/>
    <w:rsid w:val="00082F3B"/>
    <w:rsid w:val="00083393"/>
    <w:rsid w:val="0008366D"/>
    <w:rsid w:val="00083B07"/>
    <w:rsid w:val="000844F9"/>
    <w:rsid w:val="000845F9"/>
    <w:rsid w:val="00084E5D"/>
    <w:rsid w:val="00085C67"/>
    <w:rsid w:val="0008758E"/>
    <w:rsid w:val="000875B8"/>
    <w:rsid w:val="00087A0F"/>
    <w:rsid w:val="000901C1"/>
    <w:rsid w:val="000910EE"/>
    <w:rsid w:val="000924C8"/>
    <w:rsid w:val="00093119"/>
    <w:rsid w:val="000931DF"/>
    <w:rsid w:val="00093776"/>
    <w:rsid w:val="00093F6E"/>
    <w:rsid w:val="00094AFB"/>
    <w:rsid w:val="00095913"/>
    <w:rsid w:val="00096160"/>
    <w:rsid w:val="00096E3C"/>
    <w:rsid w:val="00096FAE"/>
    <w:rsid w:val="00097273"/>
    <w:rsid w:val="000974AE"/>
    <w:rsid w:val="00097AE2"/>
    <w:rsid w:val="00097AE5"/>
    <w:rsid w:val="00097C4A"/>
    <w:rsid w:val="000A0568"/>
    <w:rsid w:val="000A156E"/>
    <w:rsid w:val="000A212C"/>
    <w:rsid w:val="000A24E6"/>
    <w:rsid w:val="000A3E3E"/>
    <w:rsid w:val="000A5FB4"/>
    <w:rsid w:val="000B0779"/>
    <w:rsid w:val="000B0EA8"/>
    <w:rsid w:val="000B13F3"/>
    <w:rsid w:val="000B144E"/>
    <w:rsid w:val="000B16B8"/>
    <w:rsid w:val="000B1951"/>
    <w:rsid w:val="000B2366"/>
    <w:rsid w:val="000B2759"/>
    <w:rsid w:val="000B2A00"/>
    <w:rsid w:val="000B2CA0"/>
    <w:rsid w:val="000B2D8F"/>
    <w:rsid w:val="000B380C"/>
    <w:rsid w:val="000B4332"/>
    <w:rsid w:val="000B4BB1"/>
    <w:rsid w:val="000B67F6"/>
    <w:rsid w:val="000B6881"/>
    <w:rsid w:val="000B6A1F"/>
    <w:rsid w:val="000B711B"/>
    <w:rsid w:val="000B7D3C"/>
    <w:rsid w:val="000C0DAB"/>
    <w:rsid w:val="000C10F5"/>
    <w:rsid w:val="000C126C"/>
    <w:rsid w:val="000C2046"/>
    <w:rsid w:val="000C2336"/>
    <w:rsid w:val="000C240E"/>
    <w:rsid w:val="000C2489"/>
    <w:rsid w:val="000C3829"/>
    <w:rsid w:val="000C382B"/>
    <w:rsid w:val="000C3FCA"/>
    <w:rsid w:val="000C4EAF"/>
    <w:rsid w:val="000C5095"/>
    <w:rsid w:val="000C57BA"/>
    <w:rsid w:val="000C5FFB"/>
    <w:rsid w:val="000C6755"/>
    <w:rsid w:val="000C7083"/>
    <w:rsid w:val="000C7450"/>
    <w:rsid w:val="000C786F"/>
    <w:rsid w:val="000C79DC"/>
    <w:rsid w:val="000D00C5"/>
    <w:rsid w:val="000D040C"/>
    <w:rsid w:val="000D1BFA"/>
    <w:rsid w:val="000D2F2D"/>
    <w:rsid w:val="000D36C3"/>
    <w:rsid w:val="000D3FBF"/>
    <w:rsid w:val="000D46E7"/>
    <w:rsid w:val="000D4821"/>
    <w:rsid w:val="000D5C76"/>
    <w:rsid w:val="000D6AC7"/>
    <w:rsid w:val="000E0456"/>
    <w:rsid w:val="000E1138"/>
    <w:rsid w:val="000E146B"/>
    <w:rsid w:val="000E18F4"/>
    <w:rsid w:val="000E1B5B"/>
    <w:rsid w:val="000E2003"/>
    <w:rsid w:val="000E211D"/>
    <w:rsid w:val="000E2FA0"/>
    <w:rsid w:val="000E34D0"/>
    <w:rsid w:val="000E428D"/>
    <w:rsid w:val="000E4459"/>
    <w:rsid w:val="000E45B9"/>
    <w:rsid w:val="000E47E9"/>
    <w:rsid w:val="000E4EA1"/>
    <w:rsid w:val="000E6DC0"/>
    <w:rsid w:val="000E7F8A"/>
    <w:rsid w:val="000E7FB6"/>
    <w:rsid w:val="000F001B"/>
    <w:rsid w:val="000F051B"/>
    <w:rsid w:val="000F05DB"/>
    <w:rsid w:val="000F0730"/>
    <w:rsid w:val="000F1513"/>
    <w:rsid w:val="000F23C3"/>
    <w:rsid w:val="000F2B05"/>
    <w:rsid w:val="000F3DA7"/>
    <w:rsid w:val="000F4030"/>
    <w:rsid w:val="000F435C"/>
    <w:rsid w:val="000F466E"/>
    <w:rsid w:val="000F48F9"/>
    <w:rsid w:val="000F5281"/>
    <w:rsid w:val="000F5372"/>
    <w:rsid w:val="000F547A"/>
    <w:rsid w:val="000F55F2"/>
    <w:rsid w:val="000F58DE"/>
    <w:rsid w:val="000F5E23"/>
    <w:rsid w:val="000F66B9"/>
    <w:rsid w:val="000F688E"/>
    <w:rsid w:val="000F6B45"/>
    <w:rsid w:val="000F710F"/>
    <w:rsid w:val="001002FA"/>
    <w:rsid w:val="00101B08"/>
    <w:rsid w:val="00102BAF"/>
    <w:rsid w:val="00102BD7"/>
    <w:rsid w:val="00103196"/>
    <w:rsid w:val="001032EA"/>
    <w:rsid w:val="00103B40"/>
    <w:rsid w:val="00103CB4"/>
    <w:rsid w:val="00103D37"/>
    <w:rsid w:val="001052DC"/>
    <w:rsid w:val="00105960"/>
    <w:rsid w:val="00105D6D"/>
    <w:rsid w:val="001068D9"/>
    <w:rsid w:val="00106AEC"/>
    <w:rsid w:val="00106C18"/>
    <w:rsid w:val="00107704"/>
    <w:rsid w:val="00107F64"/>
    <w:rsid w:val="00107FE6"/>
    <w:rsid w:val="0011042A"/>
    <w:rsid w:val="00110613"/>
    <w:rsid w:val="00110B4F"/>
    <w:rsid w:val="00110C51"/>
    <w:rsid w:val="00110E66"/>
    <w:rsid w:val="00112016"/>
    <w:rsid w:val="0011271D"/>
    <w:rsid w:val="00112BAC"/>
    <w:rsid w:val="00112F62"/>
    <w:rsid w:val="00114BA0"/>
    <w:rsid w:val="00114DCB"/>
    <w:rsid w:val="00115F0E"/>
    <w:rsid w:val="00116212"/>
    <w:rsid w:val="001177FF"/>
    <w:rsid w:val="00120409"/>
    <w:rsid w:val="0012096C"/>
    <w:rsid w:val="00122175"/>
    <w:rsid w:val="0012223B"/>
    <w:rsid w:val="00122481"/>
    <w:rsid w:val="0012252E"/>
    <w:rsid w:val="0012277D"/>
    <w:rsid w:val="00123E7D"/>
    <w:rsid w:val="0012507E"/>
    <w:rsid w:val="00125819"/>
    <w:rsid w:val="00126808"/>
    <w:rsid w:val="0012707B"/>
    <w:rsid w:val="0012722A"/>
    <w:rsid w:val="00127828"/>
    <w:rsid w:val="00127B41"/>
    <w:rsid w:val="00131145"/>
    <w:rsid w:val="001319B8"/>
    <w:rsid w:val="0013219D"/>
    <w:rsid w:val="001326E7"/>
    <w:rsid w:val="00132E65"/>
    <w:rsid w:val="00133C51"/>
    <w:rsid w:val="0013410C"/>
    <w:rsid w:val="00134BDB"/>
    <w:rsid w:val="0013536D"/>
    <w:rsid w:val="001358A3"/>
    <w:rsid w:val="00135A99"/>
    <w:rsid w:val="00135E9D"/>
    <w:rsid w:val="001404C4"/>
    <w:rsid w:val="0014052F"/>
    <w:rsid w:val="00140C1B"/>
    <w:rsid w:val="00140EA0"/>
    <w:rsid w:val="001419BE"/>
    <w:rsid w:val="001438BD"/>
    <w:rsid w:val="00143C80"/>
    <w:rsid w:val="00144820"/>
    <w:rsid w:val="0014538A"/>
    <w:rsid w:val="00145434"/>
    <w:rsid w:val="001458BE"/>
    <w:rsid w:val="00146777"/>
    <w:rsid w:val="00146B5F"/>
    <w:rsid w:val="00146BA1"/>
    <w:rsid w:val="00147709"/>
    <w:rsid w:val="00147DAD"/>
    <w:rsid w:val="00150420"/>
    <w:rsid w:val="001504A4"/>
    <w:rsid w:val="001505AF"/>
    <w:rsid w:val="00150B35"/>
    <w:rsid w:val="00150C96"/>
    <w:rsid w:val="00150E18"/>
    <w:rsid w:val="00150F4B"/>
    <w:rsid w:val="00151B98"/>
    <w:rsid w:val="00152AA1"/>
    <w:rsid w:val="0015502B"/>
    <w:rsid w:val="00155171"/>
    <w:rsid w:val="001556D9"/>
    <w:rsid w:val="00155710"/>
    <w:rsid w:val="00155BC3"/>
    <w:rsid w:val="00155F5F"/>
    <w:rsid w:val="001571E1"/>
    <w:rsid w:val="00157335"/>
    <w:rsid w:val="001600DD"/>
    <w:rsid w:val="001614FA"/>
    <w:rsid w:val="00161871"/>
    <w:rsid w:val="00161BDA"/>
    <w:rsid w:val="00162710"/>
    <w:rsid w:val="00162EE8"/>
    <w:rsid w:val="00163294"/>
    <w:rsid w:val="00163F72"/>
    <w:rsid w:val="00164326"/>
    <w:rsid w:val="001644A8"/>
    <w:rsid w:val="001649E7"/>
    <w:rsid w:val="001653A7"/>
    <w:rsid w:val="00165A7B"/>
    <w:rsid w:val="00165F44"/>
    <w:rsid w:val="0016618E"/>
    <w:rsid w:val="00166FF9"/>
    <w:rsid w:val="001670DE"/>
    <w:rsid w:val="00167681"/>
    <w:rsid w:val="001709AB"/>
    <w:rsid w:val="00170A07"/>
    <w:rsid w:val="00171618"/>
    <w:rsid w:val="00172AC9"/>
    <w:rsid w:val="001730E3"/>
    <w:rsid w:val="00173434"/>
    <w:rsid w:val="0017480B"/>
    <w:rsid w:val="001748F5"/>
    <w:rsid w:val="00174E4A"/>
    <w:rsid w:val="00175433"/>
    <w:rsid w:val="001757C1"/>
    <w:rsid w:val="00175897"/>
    <w:rsid w:val="00175B8C"/>
    <w:rsid w:val="00176A64"/>
    <w:rsid w:val="00176B34"/>
    <w:rsid w:val="0017769A"/>
    <w:rsid w:val="00177F2C"/>
    <w:rsid w:val="0018037B"/>
    <w:rsid w:val="001808B3"/>
    <w:rsid w:val="001819B1"/>
    <w:rsid w:val="00181A6C"/>
    <w:rsid w:val="00182998"/>
    <w:rsid w:val="00182B75"/>
    <w:rsid w:val="00183EDE"/>
    <w:rsid w:val="0018460B"/>
    <w:rsid w:val="00184E6B"/>
    <w:rsid w:val="0018553C"/>
    <w:rsid w:val="001855E9"/>
    <w:rsid w:val="00185C02"/>
    <w:rsid w:val="00185E3A"/>
    <w:rsid w:val="00186339"/>
    <w:rsid w:val="0018640D"/>
    <w:rsid w:val="00186818"/>
    <w:rsid w:val="00186F3E"/>
    <w:rsid w:val="00187421"/>
    <w:rsid w:val="001918B8"/>
    <w:rsid w:val="001922F3"/>
    <w:rsid w:val="001938E4"/>
    <w:rsid w:val="00194AEB"/>
    <w:rsid w:val="00194B97"/>
    <w:rsid w:val="00195107"/>
    <w:rsid w:val="0019536E"/>
    <w:rsid w:val="0019556E"/>
    <w:rsid w:val="00195A41"/>
    <w:rsid w:val="0019617D"/>
    <w:rsid w:val="001968D7"/>
    <w:rsid w:val="00196992"/>
    <w:rsid w:val="00197873"/>
    <w:rsid w:val="001A104F"/>
    <w:rsid w:val="001A1EBA"/>
    <w:rsid w:val="001A29A6"/>
    <w:rsid w:val="001A2D10"/>
    <w:rsid w:val="001A2EE0"/>
    <w:rsid w:val="001A3867"/>
    <w:rsid w:val="001A3EA4"/>
    <w:rsid w:val="001A4DA4"/>
    <w:rsid w:val="001A74DB"/>
    <w:rsid w:val="001A77CC"/>
    <w:rsid w:val="001B074F"/>
    <w:rsid w:val="001B08FE"/>
    <w:rsid w:val="001B169C"/>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B7E69"/>
    <w:rsid w:val="001C0243"/>
    <w:rsid w:val="001C0990"/>
    <w:rsid w:val="001C11BE"/>
    <w:rsid w:val="001C1DE1"/>
    <w:rsid w:val="001C3229"/>
    <w:rsid w:val="001C48CC"/>
    <w:rsid w:val="001C5386"/>
    <w:rsid w:val="001C5E41"/>
    <w:rsid w:val="001C77BC"/>
    <w:rsid w:val="001D04CA"/>
    <w:rsid w:val="001D0741"/>
    <w:rsid w:val="001D0870"/>
    <w:rsid w:val="001D0B77"/>
    <w:rsid w:val="001D1E46"/>
    <w:rsid w:val="001D2107"/>
    <w:rsid w:val="001D2BF1"/>
    <w:rsid w:val="001D3678"/>
    <w:rsid w:val="001D3FD1"/>
    <w:rsid w:val="001D48BB"/>
    <w:rsid w:val="001D4DD2"/>
    <w:rsid w:val="001D58A8"/>
    <w:rsid w:val="001D5B80"/>
    <w:rsid w:val="001D60AC"/>
    <w:rsid w:val="001D697C"/>
    <w:rsid w:val="001D71EF"/>
    <w:rsid w:val="001D72F3"/>
    <w:rsid w:val="001E00E3"/>
    <w:rsid w:val="001E0171"/>
    <w:rsid w:val="001E0361"/>
    <w:rsid w:val="001E1873"/>
    <w:rsid w:val="001E1A30"/>
    <w:rsid w:val="001E2109"/>
    <w:rsid w:val="001E2987"/>
    <w:rsid w:val="001E336E"/>
    <w:rsid w:val="001E359B"/>
    <w:rsid w:val="001E45FF"/>
    <w:rsid w:val="001E4A43"/>
    <w:rsid w:val="001E67EE"/>
    <w:rsid w:val="001E6D3B"/>
    <w:rsid w:val="001E7677"/>
    <w:rsid w:val="001E7894"/>
    <w:rsid w:val="001E7ADD"/>
    <w:rsid w:val="001E7B2D"/>
    <w:rsid w:val="001E7BE8"/>
    <w:rsid w:val="001E7E9C"/>
    <w:rsid w:val="001E7FA6"/>
    <w:rsid w:val="001F0844"/>
    <w:rsid w:val="001F1A2B"/>
    <w:rsid w:val="001F1AD9"/>
    <w:rsid w:val="001F1F7D"/>
    <w:rsid w:val="001F2349"/>
    <w:rsid w:val="001F34DB"/>
    <w:rsid w:val="001F38EA"/>
    <w:rsid w:val="001F3DC3"/>
    <w:rsid w:val="001F4117"/>
    <w:rsid w:val="001F4428"/>
    <w:rsid w:val="001F4497"/>
    <w:rsid w:val="001F6253"/>
    <w:rsid w:val="001F657E"/>
    <w:rsid w:val="001F7360"/>
    <w:rsid w:val="001F7463"/>
    <w:rsid w:val="001F747F"/>
    <w:rsid w:val="001F760A"/>
    <w:rsid w:val="001F79E9"/>
    <w:rsid w:val="002005D2"/>
    <w:rsid w:val="00200A29"/>
    <w:rsid w:val="00200E88"/>
    <w:rsid w:val="00201722"/>
    <w:rsid w:val="00201A04"/>
    <w:rsid w:val="00201A89"/>
    <w:rsid w:val="002021BF"/>
    <w:rsid w:val="00202224"/>
    <w:rsid w:val="0020298B"/>
    <w:rsid w:val="00202BE8"/>
    <w:rsid w:val="00202D2F"/>
    <w:rsid w:val="002038EA"/>
    <w:rsid w:val="00203F33"/>
    <w:rsid w:val="002058A3"/>
    <w:rsid w:val="00206111"/>
    <w:rsid w:val="002064A3"/>
    <w:rsid w:val="00206AF7"/>
    <w:rsid w:val="0021024C"/>
    <w:rsid w:val="00210A8F"/>
    <w:rsid w:val="002113AE"/>
    <w:rsid w:val="00211A70"/>
    <w:rsid w:val="00211E61"/>
    <w:rsid w:val="00212942"/>
    <w:rsid w:val="002135D9"/>
    <w:rsid w:val="002137E0"/>
    <w:rsid w:val="00213A67"/>
    <w:rsid w:val="00213C8C"/>
    <w:rsid w:val="00214FA7"/>
    <w:rsid w:val="00214FE0"/>
    <w:rsid w:val="0021582A"/>
    <w:rsid w:val="00215D0B"/>
    <w:rsid w:val="00216155"/>
    <w:rsid w:val="00216504"/>
    <w:rsid w:val="002174A1"/>
    <w:rsid w:val="00217B35"/>
    <w:rsid w:val="00220A4E"/>
    <w:rsid w:val="00220E81"/>
    <w:rsid w:val="002214D7"/>
    <w:rsid w:val="0022294E"/>
    <w:rsid w:val="00222BB0"/>
    <w:rsid w:val="002234CE"/>
    <w:rsid w:val="002238A2"/>
    <w:rsid w:val="00224998"/>
    <w:rsid w:val="002249B1"/>
    <w:rsid w:val="002252C2"/>
    <w:rsid w:val="002253A7"/>
    <w:rsid w:val="00225A7C"/>
    <w:rsid w:val="002262E5"/>
    <w:rsid w:val="002262FE"/>
    <w:rsid w:val="002273E8"/>
    <w:rsid w:val="0023074E"/>
    <w:rsid w:val="0023128B"/>
    <w:rsid w:val="002314B9"/>
    <w:rsid w:val="002315BF"/>
    <w:rsid w:val="00231F97"/>
    <w:rsid w:val="002324F0"/>
    <w:rsid w:val="00232F14"/>
    <w:rsid w:val="00233763"/>
    <w:rsid w:val="00233BB2"/>
    <w:rsid w:val="00235E12"/>
    <w:rsid w:val="0023624E"/>
    <w:rsid w:val="0023713D"/>
    <w:rsid w:val="002371CB"/>
    <w:rsid w:val="002414B3"/>
    <w:rsid w:val="00241AFC"/>
    <w:rsid w:val="00241BD9"/>
    <w:rsid w:val="00242921"/>
    <w:rsid w:val="00242C38"/>
    <w:rsid w:val="00243C86"/>
    <w:rsid w:val="00243C9A"/>
    <w:rsid w:val="00243F73"/>
    <w:rsid w:val="00244094"/>
    <w:rsid w:val="00244848"/>
    <w:rsid w:val="00245529"/>
    <w:rsid w:val="002468FA"/>
    <w:rsid w:val="00246AB2"/>
    <w:rsid w:val="00246B9B"/>
    <w:rsid w:val="002473AC"/>
    <w:rsid w:val="0024781C"/>
    <w:rsid w:val="0025010D"/>
    <w:rsid w:val="0025180E"/>
    <w:rsid w:val="00251AF2"/>
    <w:rsid w:val="002538A3"/>
    <w:rsid w:val="00254016"/>
    <w:rsid w:val="00254020"/>
    <w:rsid w:val="00254205"/>
    <w:rsid w:val="0025488F"/>
    <w:rsid w:val="00255692"/>
    <w:rsid w:val="00255D02"/>
    <w:rsid w:val="00255EF0"/>
    <w:rsid w:val="00255FFD"/>
    <w:rsid w:val="002569BC"/>
    <w:rsid w:val="0025754C"/>
    <w:rsid w:val="00257AF6"/>
    <w:rsid w:val="00257D2F"/>
    <w:rsid w:val="00257DB6"/>
    <w:rsid w:val="0026197B"/>
    <w:rsid w:val="00264303"/>
    <w:rsid w:val="00264D73"/>
    <w:rsid w:val="002657EF"/>
    <w:rsid w:val="00267F59"/>
    <w:rsid w:val="002702BA"/>
    <w:rsid w:val="00270C34"/>
    <w:rsid w:val="00271D3D"/>
    <w:rsid w:val="00272226"/>
    <w:rsid w:val="00272303"/>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079"/>
    <w:rsid w:val="00280B31"/>
    <w:rsid w:val="00280F18"/>
    <w:rsid w:val="002819C0"/>
    <w:rsid w:val="0028217E"/>
    <w:rsid w:val="00282427"/>
    <w:rsid w:val="00283FA1"/>
    <w:rsid w:val="00284478"/>
    <w:rsid w:val="00284E2E"/>
    <w:rsid w:val="00285887"/>
    <w:rsid w:val="00285981"/>
    <w:rsid w:val="00285F05"/>
    <w:rsid w:val="00286ADB"/>
    <w:rsid w:val="00286D37"/>
    <w:rsid w:val="002875A7"/>
    <w:rsid w:val="00290389"/>
    <w:rsid w:val="00290674"/>
    <w:rsid w:val="002908BB"/>
    <w:rsid w:val="00291E74"/>
    <w:rsid w:val="0029351E"/>
    <w:rsid w:val="00295556"/>
    <w:rsid w:val="00295BB5"/>
    <w:rsid w:val="00295BEE"/>
    <w:rsid w:val="002A00E9"/>
    <w:rsid w:val="002A0A11"/>
    <w:rsid w:val="002A1371"/>
    <w:rsid w:val="002A1511"/>
    <w:rsid w:val="002A1A4B"/>
    <w:rsid w:val="002A1BB6"/>
    <w:rsid w:val="002A1D70"/>
    <w:rsid w:val="002A2AC5"/>
    <w:rsid w:val="002A3250"/>
    <w:rsid w:val="002A3B56"/>
    <w:rsid w:val="002A427A"/>
    <w:rsid w:val="002A5A4D"/>
    <w:rsid w:val="002A5B1A"/>
    <w:rsid w:val="002A5F1E"/>
    <w:rsid w:val="002A6569"/>
    <w:rsid w:val="002A6728"/>
    <w:rsid w:val="002A76E0"/>
    <w:rsid w:val="002A7726"/>
    <w:rsid w:val="002A7962"/>
    <w:rsid w:val="002B08BB"/>
    <w:rsid w:val="002B0C8B"/>
    <w:rsid w:val="002B0D26"/>
    <w:rsid w:val="002B10BB"/>
    <w:rsid w:val="002B1734"/>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415"/>
    <w:rsid w:val="002C071E"/>
    <w:rsid w:val="002C0F62"/>
    <w:rsid w:val="002C0F9E"/>
    <w:rsid w:val="002C12F1"/>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88A"/>
    <w:rsid w:val="002D3CC9"/>
    <w:rsid w:val="002D5184"/>
    <w:rsid w:val="002D5A4D"/>
    <w:rsid w:val="002D5BAE"/>
    <w:rsid w:val="002D6B55"/>
    <w:rsid w:val="002D6DD5"/>
    <w:rsid w:val="002D76F8"/>
    <w:rsid w:val="002D7FB5"/>
    <w:rsid w:val="002E0166"/>
    <w:rsid w:val="002E0DFE"/>
    <w:rsid w:val="002E1255"/>
    <w:rsid w:val="002E186A"/>
    <w:rsid w:val="002E1AB1"/>
    <w:rsid w:val="002E2167"/>
    <w:rsid w:val="002E22AF"/>
    <w:rsid w:val="002E2880"/>
    <w:rsid w:val="002E2EC4"/>
    <w:rsid w:val="002E3398"/>
    <w:rsid w:val="002E3C7E"/>
    <w:rsid w:val="002E4147"/>
    <w:rsid w:val="002E529F"/>
    <w:rsid w:val="002E5B1D"/>
    <w:rsid w:val="002E5F9E"/>
    <w:rsid w:val="002E612A"/>
    <w:rsid w:val="002E6166"/>
    <w:rsid w:val="002E6420"/>
    <w:rsid w:val="002E7D4F"/>
    <w:rsid w:val="002E7E84"/>
    <w:rsid w:val="002F0826"/>
    <w:rsid w:val="002F1E12"/>
    <w:rsid w:val="002F2543"/>
    <w:rsid w:val="002F261D"/>
    <w:rsid w:val="002F2BB4"/>
    <w:rsid w:val="002F2D08"/>
    <w:rsid w:val="002F312A"/>
    <w:rsid w:val="002F4CFC"/>
    <w:rsid w:val="002F5B7C"/>
    <w:rsid w:val="002F6793"/>
    <w:rsid w:val="002F6A98"/>
    <w:rsid w:val="002F74F9"/>
    <w:rsid w:val="002F777D"/>
    <w:rsid w:val="00301563"/>
    <w:rsid w:val="00301BD4"/>
    <w:rsid w:val="00301DF1"/>
    <w:rsid w:val="00302FEE"/>
    <w:rsid w:val="00302FF3"/>
    <w:rsid w:val="0030357A"/>
    <w:rsid w:val="003035C4"/>
    <w:rsid w:val="003039C8"/>
    <w:rsid w:val="00304ECC"/>
    <w:rsid w:val="00304F7C"/>
    <w:rsid w:val="00305FC7"/>
    <w:rsid w:val="003060F6"/>
    <w:rsid w:val="00306F34"/>
    <w:rsid w:val="0031018C"/>
    <w:rsid w:val="00310E68"/>
    <w:rsid w:val="003110A9"/>
    <w:rsid w:val="00311940"/>
    <w:rsid w:val="00311E13"/>
    <w:rsid w:val="00312531"/>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2E1B"/>
    <w:rsid w:val="00323684"/>
    <w:rsid w:val="003236D1"/>
    <w:rsid w:val="00323796"/>
    <w:rsid w:val="00323FF1"/>
    <w:rsid w:val="00324204"/>
    <w:rsid w:val="00324398"/>
    <w:rsid w:val="003243FB"/>
    <w:rsid w:val="00324E91"/>
    <w:rsid w:val="003254DB"/>
    <w:rsid w:val="00326625"/>
    <w:rsid w:val="0032745E"/>
    <w:rsid w:val="00327DAF"/>
    <w:rsid w:val="00327F63"/>
    <w:rsid w:val="00330040"/>
    <w:rsid w:val="00330F27"/>
    <w:rsid w:val="00331168"/>
    <w:rsid w:val="003320A4"/>
    <w:rsid w:val="003323B0"/>
    <w:rsid w:val="00332565"/>
    <w:rsid w:val="00332637"/>
    <w:rsid w:val="00332FCB"/>
    <w:rsid w:val="00333BAF"/>
    <w:rsid w:val="00334000"/>
    <w:rsid w:val="0033427E"/>
    <w:rsid w:val="00334B5D"/>
    <w:rsid w:val="00335206"/>
    <w:rsid w:val="00335504"/>
    <w:rsid w:val="003360DC"/>
    <w:rsid w:val="003367D4"/>
    <w:rsid w:val="00336A77"/>
    <w:rsid w:val="00337CA6"/>
    <w:rsid w:val="00340811"/>
    <w:rsid w:val="00340E62"/>
    <w:rsid w:val="00341810"/>
    <w:rsid w:val="00342C26"/>
    <w:rsid w:val="003432B8"/>
    <w:rsid w:val="00343932"/>
    <w:rsid w:val="003439AE"/>
    <w:rsid w:val="0034574A"/>
    <w:rsid w:val="00345828"/>
    <w:rsid w:val="00346BD5"/>
    <w:rsid w:val="00346E3E"/>
    <w:rsid w:val="00347439"/>
    <w:rsid w:val="00350A33"/>
    <w:rsid w:val="00351590"/>
    <w:rsid w:val="00351E0A"/>
    <w:rsid w:val="0035205F"/>
    <w:rsid w:val="003523B0"/>
    <w:rsid w:val="00352506"/>
    <w:rsid w:val="00352C56"/>
    <w:rsid w:val="003531DE"/>
    <w:rsid w:val="00353759"/>
    <w:rsid w:val="00353EDA"/>
    <w:rsid w:val="00354A66"/>
    <w:rsid w:val="00354EDB"/>
    <w:rsid w:val="00354F4E"/>
    <w:rsid w:val="00355FC7"/>
    <w:rsid w:val="003562A0"/>
    <w:rsid w:val="003576A1"/>
    <w:rsid w:val="00357790"/>
    <w:rsid w:val="0036085B"/>
    <w:rsid w:val="00361AFF"/>
    <w:rsid w:val="00363545"/>
    <w:rsid w:val="003641D1"/>
    <w:rsid w:val="00364316"/>
    <w:rsid w:val="0036438C"/>
    <w:rsid w:val="003644C5"/>
    <w:rsid w:val="00364A91"/>
    <w:rsid w:val="00364E8B"/>
    <w:rsid w:val="00364F16"/>
    <w:rsid w:val="00365A9B"/>
    <w:rsid w:val="00365F8A"/>
    <w:rsid w:val="0036608A"/>
    <w:rsid w:val="003667FF"/>
    <w:rsid w:val="00366F42"/>
    <w:rsid w:val="003672B9"/>
    <w:rsid w:val="0036778B"/>
    <w:rsid w:val="00367DEC"/>
    <w:rsid w:val="00370A11"/>
    <w:rsid w:val="0037103C"/>
    <w:rsid w:val="0037110C"/>
    <w:rsid w:val="00371F7C"/>
    <w:rsid w:val="00372580"/>
    <w:rsid w:val="0037349C"/>
    <w:rsid w:val="003736CC"/>
    <w:rsid w:val="00373FD6"/>
    <w:rsid w:val="00374172"/>
    <w:rsid w:val="0037483C"/>
    <w:rsid w:val="00376478"/>
    <w:rsid w:val="003766DA"/>
    <w:rsid w:val="00377657"/>
    <w:rsid w:val="00377C90"/>
    <w:rsid w:val="00377D33"/>
    <w:rsid w:val="00377F5E"/>
    <w:rsid w:val="00380059"/>
    <w:rsid w:val="003802F2"/>
    <w:rsid w:val="003814AD"/>
    <w:rsid w:val="0038188C"/>
    <w:rsid w:val="0038245C"/>
    <w:rsid w:val="00383EED"/>
    <w:rsid w:val="00383F07"/>
    <w:rsid w:val="0038491A"/>
    <w:rsid w:val="00384FC3"/>
    <w:rsid w:val="00385FC5"/>
    <w:rsid w:val="00386CAC"/>
    <w:rsid w:val="003906A4"/>
    <w:rsid w:val="003908F3"/>
    <w:rsid w:val="00390ED1"/>
    <w:rsid w:val="0039179A"/>
    <w:rsid w:val="0039249B"/>
    <w:rsid w:val="00394A74"/>
    <w:rsid w:val="003956B3"/>
    <w:rsid w:val="00395EA8"/>
    <w:rsid w:val="00396ABD"/>
    <w:rsid w:val="003A0924"/>
    <w:rsid w:val="003A0DBF"/>
    <w:rsid w:val="003A1334"/>
    <w:rsid w:val="003A168F"/>
    <w:rsid w:val="003A1881"/>
    <w:rsid w:val="003A3804"/>
    <w:rsid w:val="003A3AE1"/>
    <w:rsid w:val="003A415A"/>
    <w:rsid w:val="003A52BE"/>
    <w:rsid w:val="003A5866"/>
    <w:rsid w:val="003A6989"/>
    <w:rsid w:val="003A6C1E"/>
    <w:rsid w:val="003A6DE6"/>
    <w:rsid w:val="003A6E9F"/>
    <w:rsid w:val="003A790E"/>
    <w:rsid w:val="003B0AD8"/>
    <w:rsid w:val="003B0BC9"/>
    <w:rsid w:val="003B23AD"/>
    <w:rsid w:val="003B2F42"/>
    <w:rsid w:val="003B392E"/>
    <w:rsid w:val="003B3B7D"/>
    <w:rsid w:val="003B4658"/>
    <w:rsid w:val="003B4987"/>
    <w:rsid w:val="003B4B8D"/>
    <w:rsid w:val="003B5498"/>
    <w:rsid w:val="003B57FC"/>
    <w:rsid w:val="003B5828"/>
    <w:rsid w:val="003B58D4"/>
    <w:rsid w:val="003C00FC"/>
    <w:rsid w:val="003C048D"/>
    <w:rsid w:val="003C0ACD"/>
    <w:rsid w:val="003C11C7"/>
    <w:rsid w:val="003C167F"/>
    <w:rsid w:val="003C1A70"/>
    <w:rsid w:val="003C2E56"/>
    <w:rsid w:val="003C35D2"/>
    <w:rsid w:val="003C3C53"/>
    <w:rsid w:val="003C4036"/>
    <w:rsid w:val="003C4700"/>
    <w:rsid w:val="003C5CE3"/>
    <w:rsid w:val="003C627A"/>
    <w:rsid w:val="003C693A"/>
    <w:rsid w:val="003D02F4"/>
    <w:rsid w:val="003D0862"/>
    <w:rsid w:val="003D1632"/>
    <w:rsid w:val="003D1A17"/>
    <w:rsid w:val="003D1E05"/>
    <w:rsid w:val="003D2112"/>
    <w:rsid w:val="003D2534"/>
    <w:rsid w:val="003D4304"/>
    <w:rsid w:val="003D4B82"/>
    <w:rsid w:val="003D4CD6"/>
    <w:rsid w:val="003D5354"/>
    <w:rsid w:val="003D548E"/>
    <w:rsid w:val="003D6105"/>
    <w:rsid w:val="003D733E"/>
    <w:rsid w:val="003D7D81"/>
    <w:rsid w:val="003E0522"/>
    <w:rsid w:val="003E07A7"/>
    <w:rsid w:val="003E0E6D"/>
    <w:rsid w:val="003E2167"/>
    <w:rsid w:val="003E2EEA"/>
    <w:rsid w:val="003E310E"/>
    <w:rsid w:val="003E3555"/>
    <w:rsid w:val="003E3939"/>
    <w:rsid w:val="003E44D9"/>
    <w:rsid w:val="003E4F49"/>
    <w:rsid w:val="003E63A7"/>
    <w:rsid w:val="003E7324"/>
    <w:rsid w:val="003E762E"/>
    <w:rsid w:val="003F0CB8"/>
    <w:rsid w:val="003F0D8A"/>
    <w:rsid w:val="003F135F"/>
    <w:rsid w:val="003F1836"/>
    <w:rsid w:val="003F3307"/>
    <w:rsid w:val="003F3DE5"/>
    <w:rsid w:val="003F45F0"/>
    <w:rsid w:val="003F4B6D"/>
    <w:rsid w:val="003F55A0"/>
    <w:rsid w:val="003F621E"/>
    <w:rsid w:val="003F65E9"/>
    <w:rsid w:val="003F6FD8"/>
    <w:rsid w:val="003F7DF4"/>
    <w:rsid w:val="0040068A"/>
    <w:rsid w:val="00400EC6"/>
    <w:rsid w:val="00400F6E"/>
    <w:rsid w:val="00401624"/>
    <w:rsid w:val="00401F51"/>
    <w:rsid w:val="0040226B"/>
    <w:rsid w:val="00402328"/>
    <w:rsid w:val="0040314A"/>
    <w:rsid w:val="0040340A"/>
    <w:rsid w:val="00403646"/>
    <w:rsid w:val="0040377A"/>
    <w:rsid w:val="0040500A"/>
    <w:rsid w:val="00405D78"/>
    <w:rsid w:val="00405D9B"/>
    <w:rsid w:val="00407354"/>
    <w:rsid w:val="0041005A"/>
    <w:rsid w:val="00411499"/>
    <w:rsid w:val="00411932"/>
    <w:rsid w:val="0041217F"/>
    <w:rsid w:val="00413AEE"/>
    <w:rsid w:val="00413EC4"/>
    <w:rsid w:val="004142A8"/>
    <w:rsid w:val="004144E2"/>
    <w:rsid w:val="00414B55"/>
    <w:rsid w:val="00414EAE"/>
    <w:rsid w:val="0041534E"/>
    <w:rsid w:val="0041785F"/>
    <w:rsid w:val="00420223"/>
    <w:rsid w:val="0042091F"/>
    <w:rsid w:val="00421152"/>
    <w:rsid w:val="00421ABF"/>
    <w:rsid w:val="004228C7"/>
    <w:rsid w:val="00424AF8"/>
    <w:rsid w:val="00425178"/>
    <w:rsid w:val="0042566B"/>
    <w:rsid w:val="0042598C"/>
    <w:rsid w:val="00426820"/>
    <w:rsid w:val="0042798B"/>
    <w:rsid w:val="004301E0"/>
    <w:rsid w:val="0043030E"/>
    <w:rsid w:val="00430A7A"/>
    <w:rsid w:val="00432157"/>
    <w:rsid w:val="00432A60"/>
    <w:rsid w:val="00432AFB"/>
    <w:rsid w:val="0043385E"/>
    <w:rsid w:val="00434024"/>
    <w:rsid w:val="00434913"/>
    <w:rsid w:val="00435003"/>
    <w:rsid w:val="004356A8"/>
    <w:rsid w:val="00435DEA"/>
    <w:rsid w:val="00435F43"/>
    <w:rsid w:val="00437791"/>
    <w:rsid w:val="00437AD7"/>
    <w:rsid w:val="004403CF"/>
    <w:rsid w:val="00440644"/>
    <w:rsid w:val="00440E7F"/>
    <w:rsid w:val="004410EB"/>
    <w:rsid w:val="00441474"/>
    <w:rsid w:val="00441513"/>
    <w:rsid w:val="004426DF"/>
    <w:rsid w:val="00442BDD"/>
    <w:rsid w:val="00443003"/>
    <w:rsid w:val="00443025"/>
    <w:rsid w:val="0044415F"/>
    <w:rsid w:val="00444598"/>
    <w:rsid w:val="00444A1F"/>
    <w:rsid w:val="00444B67"/>
    <w:rsid w:val="004452C4"/>
    <w:rsid w:val="00445C65"/>
    <w:rsid w:val="00445E61"/>
    <w:rsid w:val="00447472"/>
    <w:rsid w:val="004474F8"/>
    <w:rsid w:val="004479ED"/>
    <w:rsid w:val="00447BC3"/>
    <w:rsid w:val="00450A97"/>
    <w:rsid w:val="00451361"/>
    <w:rsid w:val="00451CDB"/>
    <w:rsid w:val="0045200F"/>
    <w:rsid w:val="00453196"/>
    <w:rsid w:val="00453B4C"/>
    <w:rsid w:val="00453C82"/>
    <w:rsid w:val="00453CBF"/>
    <w:rsid w:val="004543F4"/>
    <w:rsid w:val="00454E6F"/>
    <w:rsid w:val="0045636F"/>
    <w:rsid w:val="004564E4"/>
    <w:rsid w:val="0045666A"/>
    <w:rsid w:val="00457280"/>
    <w:rsid w:val="00457C23"/>
    <w:rsid w:val="00457EAF"/>
    <w:rsid w:val="00460135"/>
    <w:rsid w:val="00460BC0"/>
    <w:rsid w:val="00463365"/>
    <w:rsid w:val="004637AC"/>
    <w:rsid w:val="00463B36"/>
    <w:rsid w:val="00463CEC"/>
    <w:rsid w:val="00463E7C"/>
    <w:rsid w:val="004645D3"/>
    <w:rsid w:val="00464D2B"/>
    <w:rsid w:val="00465271"/>
    <w:rsid w:val="00465ECE"/>
    <w:rsid w:val="004669A9"/>
    <w:rsid w:val="00466B04"/>
    <w:rsid w:val="00466E1C"/>
    <w:rsid w:val="00467887"/>
    <w:rsid w:val="00467A9F"/>
    <w:rsid w:val="00467C90"/>
    <w:rsid w:val="004709C5"/>
    <w:rsid w:val="0047303C"/>
    <w:rsid w:val="0047330E"/>
    <w:rsid w:val="00473A2B"/>
    <w:rsid w:val="00473B7E"/>
    <w:rsid w:val="0047485C"/>
    <w:rsid w:val="004749C1"/>
    <w:rsid w:val="00474A3D"/>
    <w:rsid w:val="00474E0B"/>
    <w:rsid w:val="004753C0"/>
    <w:rsid w:val="0047725A"/>
    <w:rsid w:val="00477550"/>
    <w:rsid w:val="00483069"/>
    <w:rsid w:val="004839E0"/>
    <w:rsid w:val="00483CE3"/>
    <w:rsid w:val="004844A8"/>
    <w:rsid w:val="0048471E"/>
    <w:rsid w:val="00484987"/>
    <w:rsid w:val="0048657F"/>
    <w:rsid w:val="00486F1A"/>
    <w:rsid w:val="00487D67"/>
    <w:rsid w:val="004906CE"/>
    <w:rsid w:val="00492D48"/>
    <w:rsid w:val="00492E50"/>
    <w:rsid w:val="004930A1"/>
    <w:rsid w:val="00494672"/>
    <w:rsid w:val="00494A7B"/>
    <w:rsid w:val="00495073"/>
    <w:rsid w:val="0049508A"/>
    <w:rsid w:val="004951C5"/>
    <w:rsid w:val="00495842"/>
    <w:rsid w:val="0049606F"/>
    <w:rsid w:val="00496196"/>
    <w:rsid w:val="00496317"/>
    <w:rsid w:val="004963DA"/>
    <w:rsid w:val="00496803"/>
    <w:rsid w:val="0049688C"/>
    <w:rsid w:val="00496914"/>
    <w:rsid w:val="00497009"/>
    <w:rsid w:val="004971BF"/>
    <w:rsid w:val="0049782E"/>
    <w:rsid w:val="004A1C0C"/>
    <w:rsid w:val="004A2ABC"/>
    <w:rsid w:val="004A2F10"/>
    <w:rsid w:val="004A3FFD"/>
    <w:rsid w:val="004A48FE"/>
    <w:rsid w:val="004A4983"/>
    <w:rsid w:val="004A50E5"/>
    <w:rsid w:val="004A565C"/>
    <w:rsid w:val="004A61B3"/>
    <w:rsid w:val="004A688C"/>
    <w:rsid w:val="004A763B"/>
    <w:rsid w:val="004B0FAF"/>
    <w:rsid w:val="004B185D"/>
    <w:rsid w:val="004B21BA"/>
    <w:rsid w:val="004B21F7"/>
    <w:rsid w:val="004B24A4"/>
    <w:rsid w:val="004B2A86"/>
    <w:rsid w:val="004B2F9C"/>
    <w:rsid w:val="004B3048"/>
    <w:rsid w:val="004B476E"/>
    <w:rsid w:val="004B4805"/>
    <w:rsid w:val="004B483C"/>
    <w:rsid w:val="004B4F8F"/>
    <w:rsid w:val="004B5C9B"/>
    <w:rsid w:val="004B64A4"/>
    <w:rsid w:val="004B6688"/>
    <w:rsid w:val="004B6DE6"/>
    <w:rsid w:val="004B75CB"/>
    <w:rsid w:val="004B7D93"/>
    <w:rsid w:val="004C00DF"/>
    <w:rsid w:val="004C03D9"/>
    <w:rsid w:val="004C0B65"/>
    <w:rsid w:val="004C118B"/>
    <w:rsid w:val="004C325C"/>
    <w:rsid w:val="004C386C"/>
    <w:rsid w:val="004C3CBA"/>
    <w:rsid w:val="004C3E8B"/>
    <w:rsid w:val="004C504A"/>
    <w:rsid w:val="004C5084"/>
    <w:rsid w:val="004C6D8E"/>
    <w:rsid w:val="004C7297"/>
    <w:rsid w:val="004C7511"/>
    <w:rsid w:val="004C798D"/>
    <w:rsid w:val="004D0395"/>
    <w:rsid w:val="004D04A2"/>
    <w:rsid w:val="004D08FB"/>
    <w:rsid w:val="004D0989"/>
    <w:rsid w:val="004D0F14"/>
    <w:rsid w:val="004D0F32"/>
    <w:rsid w:val="004D203A"/>
    <w:rsid w:val="004D20BE"/>
    <w:rsid w:val="004D23F7"/>
    <w:rsid w:val="004D25A8"/>
    <w:rsid w:val="004D26A3"/>
    <w:rsid w:val="004D30AB"/>
    <w:rsid w:val="004D419B"/>
    <w:rsid w:val="004D4506"/>
    <w:rsid w:val="004D47EA"/>
    <w:rsid w:val="004D4AD9"/>
    <w:rsid w:val="004D7734"/>
    <w:rsid w:val="004D7E5C"/>
    <w:rsid w:val="004E01FE"/>
    <w:rsid w:val="004E06D3"/>
    <w:rsid w:val="004E09E9"/>
    <w:rsid w:val="004E1047"/>
    <w:rsid w:val="004E1C7E"/>
    <w:rsid w:val="004E1F30"/>
    <w:rsid w:val="004E1F42"/>
    <w:rsid w:val="004E30C5"/>
    <w:rsid w:val="004E36F5"/>
    <w:rsid w:val="004E391E"/>
    <w:rsid w:val="004E59AF"/>
    <w:rsid w:val="004E68DE"/>
    <w:rsid w:val="004E6A21"/>
    <w:rsid w:val="004E6E64"/>
    <w:rsid w:val="004E6F89"/>
    <w:rsid w:val="004E6FCF"/>
    <w:rsid w:val="004E7A42"/>
    <w:rsid w:val="004E7DE3"/>
    <w:rsid w:val="004E7F8B"/>
    <w:rsid w:val="004F058A"/>
    <w:rsid w:val="004F0CF3"/>
    <w:rsid w:val="004F24E7"/>
    <w:rsid w:val="004F250A"/>
    <w:rsid w:val="004F31FF"/>
    <w:rsid w:val="004F3C40"/>
    <w:rsid w:val="004F40E8"/>
    <w:rsid w:val="004F4ACE"/>
    <w:rsid w:val="004F4ED1"/>
    <w:rsid w:val="004F5397"/>
    <w:rsid w:val="004F5AD0"/>
    <w:rsid w:val="004F635A"/>
    <w:rsid w:val="004F69F8"/>
    <w:rsid w:val="004F6BEB"/>
    <w:rsid w:val="004F6DD3"/>
    <w:rsid w:val="004F7181"/>
    <w:rsid w:val="004F72DA"/>
    <w:rsid w:val="00500437"/>
    <w:rsid w:val="00500CA7"/>
    <w:rsid w:val="005013AB"/>
    <w:rsid w:val="00501D4A"/>
    <w:rsid w:val="00502524"/>
    <w:rsid w:val="00502C54"/>
    <w:rsid w:val="00504793"/>
    <w:rsid w:val="00504DE2"/>
    <w:rsid w:val="005059DC"/>
    <w:rsid w:val="00507CA3"/>
    <w:rsid w:val="00507CAE"/>
    <w:rsid w:val="00507ECF"/>
    <w:rsid w:val="00510980"/>
    <w:rsid w:val="00510BD7"/>
    <w:rsid w:val="00510D85"/>
    <w:rsid w:val="005110EF"/>
    <w:rsid w:val="005113AA"/>
    <w:rsid w:val="00511834"/>
    <w:rsid w:val="005127EC"/>
    <w:rsid w:val="00513689"/>
    <w:rsid w:val="00513871"/>
    <w:rsid w:val="005139ED"/>
    <w:rsid w:val="005151D3"/>
    <w:rsid w:val="00515275"/>
    <w:rsid w:val="00516ECE"/>
    <w:rsid w:val="00517221"/>
    <w:rsid w:val="00517760"/>
    <w:rsid w:val="005202CD"/>
    <w:rsid w:val="00520563"/>
    <w:rsid w:val="00520788"/>
    <w:rsid w:val="0052079B"/>
    <w:rsid w:val="00520A09"/>
    <w:rsid w:val="005210D8"/>
    <w:rsid w:val="005213B0"/>
    <w:rsid w:val="005215EB"/>
    <w:rsid w:val="005219C3"/>
    <w:rsid w:val="005219C4"/>
    <w:rsid w:val="00522604"/>
    <w:rsid w:val="0052275F"/>
    <w:rsid w:val="00523648"/>
    <w:rsid w:val="0052399E"/>
    <w:rsid w:val="00523B6B"/>
    <w:rsid w:val="005244A4"/>
    <w:rsid w:val="005247E1"/>
    <w:rsid w:val="00525776"/>
    <w:rsid w:val="00526B39"/>
    <w:rsid w:val="0052703D"/>
    <w:rsid w:val="005271A6"/>
    <w:rsid w:val="0052720A"/>
    <w:rsid w:val="005273D4"/>
    <w:rsid w:val="005276E3"/>
    <w:rsid w:val="00527783"/>
    <w:rsid w:val="005277E7"/>
    <w:rsid w:val="00527B38"/>
    <w:rsid w:val="00527FB4"/>
    <w:rsid w:val="00527FC1"/>
    <w:rsid w:val="0053102E"/>
    <w:rsid w:val="005315C8"/>
    <w:rsid w:val="005320B4"/>
    <w:rsid w:val="00534D02"/>
    <w:rsid w:val="0053569F"/>
    <w:rsid w:val="005360D1"/>
    <w:rsid w:val="00537355"/>
    <w:rsid w:val="00540CB6"/>
    <w:rsid w:val="00540FEB"/>
    <w:rsid w:val="00541B20"/>
    <w:rsid w:val="00541F61"/>
    <w:rsid w:val="005423C8"/>
    <w:rsid w:val="00542521"/>
    <w:rsid w:val="00542C01"/>
    <w:rsid w:val="00542F90"/>
    <w:rsid w:val="00543775"/>
    <w:rsid w:val="00543909"/>
    <w:rsid w:val="00543927"/>
    <w:rsid w:val="00544E1D"/>
    <w:rsid w:val="00545537"/>
    <w:rsid w:val="00545582"/>
    <w:rsid w:val="00545B60"/>
    <w:rsid w:val="00545C26"/>
    <w:rsid w:val="005469DE"/>
    <w:rsid w:val="00550F14"/>
    <w:rsid w:val="0055118F"/>
    <w:rsid w:val="0055175A"/>
    <w:rsid w:val="00552061"/>
    <w:rsid w:val="005538B2"/>
    <w:rsid w:val="00553973"/>
    <w:rsid w:val="00553EF0"/>
    <w:rsid w:val="00555956"/>
    <w:rsid w:val="00555CC4"/>
    <w:rsid w:val="00555D44"/>
    <w:rsid w:val="00557AE6"/>
    <w:rsid w:val="00557C2F"/>
    <w:rsid w:val="0056228F"/>
    <w:rsid w:val="00562F9E"/>
    <w:rsid w:val="00563F68"/>
    <w:rsid w:val="0056596F"/>
    <w:rsid w:val="005679B4"/>
    <w:rsid w:val="00567A71"/>
    <w:rsid w:val="005701AA"/>
    <w:rsid w:val="00570AA1"/>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788"/>
    <w:rsid w:val="0058584A"/>
    <w:rsid w:val="0058659D"/>
    <w:rsid w:val="00586667"/>
    <w:rsid w:val="00586A7E"/>
    <w:rsid w:val="00586C35"/>
    <w:rsid w:val="005877EC"/>
    <w:rsid w:val="0059019B"/>
    <w:rsid w:val="005909BB"/>
    <w:rsid w:val="00591B93"/>
    <w:rsid w:val="00591F68"/>
    <w:rsid w:val="005923D9"/>
    <w:rsid w:val="005927AE"/>
    <w:rsid w:val="00592B40"/>
    <w:rsid w:val="005946B6"/>
    <w:rsid w:val="005951D6"/>
    <w:rsid w:val="005953C3"/>
    <w:rsid w:val="005953C4"/>
    <w:rsid w:val="005975E2"/>
    <w:rsid w:val="005A0768"/>
    <w:rsid w:val="005A1D04"/>
    <w:rsid w:val="005A3081"/>
    <w:rsid w:val="005A313D"/>
    <w:rsid w:val="005A324D"/>
    <w:rsid w:val="005A32DA"/>
    <w:rsid w:val="005A3656"/>
    <w:rsid w:val="005A3804"/>
    <w:rsid w:val="005A41C9"/>
    <w:rsid w:val="005A4408"/>
    <w:rsid w:val="005A4A88"/>
    <w:rsid w:val="005A4CF1"/>
    <w:rsid w:val="005A5AD3"/>
    <w:rsid w:val="005A75B7"/>
    <w:rsid w:val="005A78CA"/>
    <w:rsid w:val="005A7A18"/>
    <w:rsid w:val="005B03B9"/>
    <w:rsid w:val="005B3F7A"/>
    <w:rsid w:val="005B54A2"/>
    <w:rsid w:val="005B5EB9"/>
    <w:rsid w:val="005B6420"/>
    <w:rsid w:val="005B657F"/>
    <w:rsid w:val="005B69BD"/>
    <w:rsid w:val="005B6CE5"/>
    <w:rsid w:val="005C102F"/>
    <w:rsid w:val="005C136E"/>
    <w:rsid w:val="005C1A16"/>
    <w:rsid w:val="005C2CFD"/>
    <w:rsid w:val="005C353C"/>
    <w:rsid w:val="005C4B91"/>
    <w:rsid w:val="005C509C"/>
    <w:rsid w:val="005C53F3"/>
    <w:rsid w:val="005C665A"/>
    <w:rsid w:val="005C74A4"/>
    <w:rsid w:val="005C7511"/>
    <w:rsid w:val="005D00D4"/>
    <w:rsid w:val="005D0B42"/>
    <w:rsid w:val="005D0F51"/>
    <w:rsid w:val="005D10BE"/>
    <w:rsid w:val="005D12B9"/>
    <w:rsid w:val="005D1918"/>
    <w:rsid w:val="005D3576"/>
    <w:rsid w:val="005D3AFC"/>
    <w:rsid w:val="005D3E9D"/>
    <w:rsid w:val="005D43A8"/>
    <w:rsid w:val="005D4EFF"/>
    <w:rsid w:val="005D5242"/>
    <w:rsid w:val="005D5CE7"/>
    <w:rsid w:val="005D63B7"/>
    <w:rsid w:val="005D70F2"/>
    <w:rsid w:val="005D7E5B"/>
    <w:rsid w:val="005E160C"/>
    <w:rsid w:val="005E22DC"/>
    <w:rsid w:val="005E2844"/>
    <w:rsid w:val="005E2886"/>
    <w:rsid w:val="005E297F"/>
    <w:rsid w:val="005E2F27"/>
    <w:rsid w:val="005E321B"/>
    <w:rsid w:val="005E413E"/>
    <w:rsid w:val="005E4B12"/>
    <w:rsid w:val="005E4FDA"/>
    <w:rsid w:val="005E525C"/>
    <w:rsid w:val="005E64D3"/>
    <w:rsid w:val="005E69BE"/>
    <w:rsid w:val="005E6E2E"/>
    <w:rsid w:val="005E761F"/>
    <w:rsid w:val="005E77B0"/>
    <w:rsid w:val="005F093A"/>
    <w:rsid w:val="005F0DF6"/>
    <w:rsid w:val="005F11AE"/>
    <w:rsid w:val="005F22DA"/>
    <w:rsid w:val="005F24BB"/>
    <w:rsid w:val="005F280F"/>
    <w:rsid w:val="005F28AE"/>
    <w:rsid w:val="005F3A8D"/>
    <w:rsid w:val="005F4B7E"/>
    <w:rsid w:val="005F6D4D"/>
    <w:rsid w:val="006006A4"/>
    <w:rsid w:val="00600BDE"/>
    <w:rsid w:val="00600E5B"/>
    <w:rsid w:val="00601130"/>
    <w:rsid w:val="00601404"/>
    <w:rsid w:val="00601B5A"/>
    <w:rsid w:val="006032A6"/>
    <w:rsid w:val="006041A2"/>
    <w:rsid w:val="00604A35"/>
    <w:rsid w:val="00605E92"/>
    <w:rsid w:val="006078C7"/>
    <w:rsid w:val="00607902"/>
    <w:rsid w:val="006105C8"/>
    <w:rsid w:val="006114F4"/>
    <w:rsid w:val="006137D4"/>
    <w:rsid w:val="00613D8C"/>
    <w:rsid w:val="00613E01"/>
    <w:rsid w:val="00613FD0"/>
    <w:rsid w:val="00615A5C"/>
    <w:rsid w:val="00616014"/>
    <w:rsid w:val="00617575"/>
    <w:rsid w:val="00617E8B"/>
    <w:rsid w:val="00620208"/>
    <w:rsid w:val="00620DE3"/>
    <w:rsid w:val="0062158F"/>
    <w:rsid w:val="00622330"/>
    <w:rsid w:val="00622893"/>
    <w:rsid w:val="00624032"/>
    <w:rsid w:val="0062467F"/>
    <w:rsid w:val="00624B6F"/>
    <w:rsid w:val="00624F62"/>
    <w:rsid w:val="006256D3"/>
    <w:rsid w:val="00625846"/>
    <w:rsid w:val="00625BC9"/>
    <w:rsid w:val="00625E3E"/>
    <w:rsid w:val="00626AAF"/>
    <w:rsid w:val="00626ACC"/>
    <w:rsid w:val="006270A9"/>
    <w:rsid w:val="006271DC"/>
    <w:rsid w:val="00627BB7"/>
    <w:rsid w:val="00627E65"/>
    <w:rsid w:val="00630461"/>
    <w:rsid w:val="00630583"/>
    <w:rsid w:val="006308CF"/>
    <w:rsid w:val="00633B97"/>
    <w:rsid w:val="00633CFE"/>
    <w:rsid w:val="00633D7A"/>
    <w:rsid w:val="00633DD5"/>
    <w:rsid w:val="00634C3E"/>
    <w:rsid w:val="00634F24"/>
    <w:rsid w:val="00635ED0"/>
    <w:rsid w:val="00636B62"/>
    <w:rsid w:val="00641071"/>
    <w:rsid w:val="0064183C"/>
    <w:rsid w:val="006432D0"/>
    <w:rsid w:val="00643592"/>
    <w:rsid w:val="00644238"/>
    <w:rsid w:val="006443D2"/>
    <w:rsid w:val="00644A13"/>
    <w:rsid w:val="00645C8C"/>
    <w:rsid w:val="0064639B"/>
    <w:rsid w:val="006464E3"/>
    <w:rsid w:val="00646BCA"/>
    <w:rsid w:val="00646EEA"/>
    <w:rsid w:val="00646FF5"/>
    <w:rsid w:val="00647B1E"/>
    <w:rsid w:val="0065127D"/>
    <w:rsid w:val="0065136E"/>
    <w:rsid w:val="00651ADE"/>
    <w:rsid w:val="0065529D"/>
    <w:rsid w:val="006559BB"/>
    <w:rsid w:val="006567F6"/>
    <w:rsid w:val="00656BBF"/>
    <w:rsid w:val="0065726C"/>
    <w:rsid w:val="006574AD"/>
    <w:rsid w:val="00660691"/>
    <w:rsid w:val="006607FA"/>
    <w:rsid w:val="006612A0"/>
    <w:rsid w:val="00661911"/>
    <w:rsid w:val="00661923"/>
    <w:rsid w:val="00661D49"/>
    <w:rsid w:val="00661E90"/>
    <w:rsid w:val="00662CD5"/>
    <w:rsid w:val="006631A2"/>
    <w:rsid w:val="00663732"/>
    <w:rsid w:val="006646B9"/>
    <w:rsid w:val="00665023"/>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72A"/>
    <w:rsid w:val="00680C1A"/>
    <w:rsid w:val="00680FBF"/>
    <w:rsid w:val="0068105F"/>
    <w:rsid w:val="0068145C"/>
    <w:rsid w:val="006817ED"/>
    <w:rsid w:val="006819FA"/>
    <w:rsid w:val="006821F4"/>
    <w:rsid w:val="006823FE"/>
    <w:rsid w:val="00683388"/>
    <w:rsid w:val="0068385F"/>
    <w:rsid w:val="006838A9"/>
    <w:rsid w:val="006838C1"/>
    <w:rsid w:val="0068593E"/>
    <w:rsid w:val="00686F0D"/>
    <w:rsid w:val="006874C9"/>
    <w:rsid w:val="00690CB7"/>
    <w:rsid w:val="0069142E"/>
    <w:rsid w:val="006914F2"/>
    <w:rsid w:val="0069206E"/>
    <w:rsid w:val="00692191"/>
    <w:rsid w:val="006923A9"/>
    <w:rsid w:val="006924D5"/>
    <w:rsid w:val="006925E6"/>
    <w:rsid w:val="00692902"/>
    <w:rsid w:val="00692FBD"/>
    <w:rsid w:val="006941B2"/>
    <w:rsid w:val="00695141"/>
    <w:rsid w:val="006954F7"/>
    <w:rsid w:val="00695735"/>
    <w:rsid w:val="00696CD3"/>
    <w:rsid w:val="00697B83"/>
    <w:rsid w:val="006A0B54"/>
    <w:rsid w:val="006A102F"/>
    <w:rsid w:val="006A24F1"/>
    <w:rsid w:val="006A2C5A"/>
    <w:rsid w:val="006A2C8D"/>
    <w:rsid w:val="006A4032"/>
    <w:rsid w:val="006A46C5"/>
    <w:rsid w:val="006A4C5B"/>
    <w:rsid w:val="006A5240"/>
    <w:rsid w:val="006A663F"/>
    <w:rsid w:val="006A7588"/>
    <w:rsid w:val="006A7C3C"/>
    <w:rsid w:val="006A7C47"/>
    <w:rsid w:val="006A7D7C"/>
    <w:rsid w:val="006A7F4B"/>
    <w:rsid w:val="006A7F7E"/>
    <w:rsid w:val="006B0BAB"/>
    <w:rsid w:val="006B1364"/>
    <w:rsid w:val="006B2AFB"/>
    <w:rsid w:val="006B3330"/>
    <w:rsid w:val="006B42D7"/>
    <w:rsid w:val="006B595B"/>
    <w:rsid w:val="006B6981"/>
    <w:rsid w:val="006B6F03"/>
    <w:rsid w:val="006B74A1"/>
    <w:rsid w:val="006C02D3"/>
    <w:rsid w:val="006C0CAB"/>
    <w:rsid w:val="006C0D7B"/>
    <w:rsid w:val="006C120C"/>
    <w:rsid w:val="006C15C3"/>
    <w:rsid w:val="006C1657"/>
    <w:rsid w:val="006C2281"/>
    <w:rsid w:val="006C3F1C"/>
    <w:rsid w:val="006C4234"/>
    <w:rsid w:val="006C4796"/>
    <w:rsid w:val="006C4B0F"/>
    <w:rsid w:val="006C4E73"/>
    <w:rsid w:val="006C56C1"/>
    <w:rsid w:val="006C63FB"/>
    <w:rsid w:val="006C670E"/>
    <w:rsid w:val="006C72B2"/>
    <w:rsid w:val="006C77A7"/>
    <w:rsid w:val="006C79A5"/>
    <w:rsid w:val="006C7D9C"/>
    <w:rsid w:val="006C7F1C"/>
    <w:rsid w:val="006D1624"/>
    <w:rsid w:val="006D32FC"/>
    <w:rsid w:val="006D3531"/>
    <w:rsid w:val="006D37D1"/>
    <w:rsid w:val="006D4FE3"/>
    <w:rsid w:val="006D57CA"/>
    <w:rsid w:val="006D5829"/>
    <w:rsid w:val="006D598A"/>
    <w:rsid w:val="006D5F6F"/>
    <w:rsid w:val="006D6A50"/>
    <w:rsid w:val="006D777A"/>
    <w:rsid w:val="006D7EBC"/>
    <w:rsid w:val="006E0AA7"/>
    <w:rsid w:val="006E10B2"/>
    <w:rsid w:val="006E2CAB"/>
    <w:rsid w:val="006E2F73"/>
    <w:rsid w:val="006E3114"/>
    <w:rsid w:val="006E322F"/>
    <w:rsid w:val="006E3E7E"/>
    <w:rsid w:val="006E414B"/>
    <w:rsid w:val="006E53B3"/>
    <w:rsid w:val="006E65C6"/>
    <w:rsid w:val="006E735B"/>
    <w:rsid w:val="006E73A4"/>
    <w:rsid w:val="006E73DA"/>
    <w:rsid w:val="006E7DCE"/>
    <w:rsid w:val="006F17E1"/>
    <w:rsid w:val="006F21D2"/>
    <w:rsid w:val="006F4CE4"/>
    <w:rsid w:val="006F4FD1"/>
    <w:rsid w:val="006F558D"/>
    <w:rsid w:val="006F5710"/>
    <w:rsid w:val="006F57A0"/>
    <w:rsid w:val="006F5D9A"/>
    <w:rsid w:val="006F6175"/>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1E2"/>
    <w:rsid w:val="007114B2"/>
    <w:rsid w:val="0071181A"/>
    <w:rsid w:val="00711BC0"/>
    <w:rsid w:val="00712287"/>
    <w:rsid w:val="00713E0D"/>
    <w:rsid w:val="00714E11"/>
    <w:rsid w:val="00715CB9"/>
    <w:rsid w:val="00716705"/>
    <w:rsid w:val="00717072"/>
    <w:rsid w:val="00717CA8"/>
    <w:rsid w:val="00720451"/>
    <w:rsid w:val="00720947"/>
    <w:rsid w:val="00720ECD"/>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27B93"/>
    <w:rsid w:val="0073088A"/>
    <w:rsid w:val="00730A76"/>
    <w:rsid w:val="007314CE"/>
    <w:rsid w:val="007319AB"/>
    <w:rsid w:val="007319CE"/>
    <w:rsid w:val="00732405"/>
    <w:rsid w:val="00732B82"/>
    <w:rsid w:val="00732B8D"/>
    <w:rsid w:val="007333FE"/>
    <w:rsid w:val="00733561"/>
    <w:rsid w:val="00734084"/>
    <w:rsid w:val="00734BED"/>
    <w:rsid w:val="00735327"/>
    <w:rsid w:val="007358E2"/>
    <w:rsid w:val="007364AB"/>
    <w:rsid w:val="00736511"/>
    <w:rsid w:val="00736E0B"/>
    <w:rsid w:val="00736F06"/>
    <w:rsid w:val="0073706F"/>
    <w:rsid w:val="007400DD"/>
    <w:rsid w:val="00740865"/>
    <w:rsid w:val="00740B20"/>
    <w:rsid w:val="00744554"/>
    <w:rsid w:val="0074567B"/>
    <w:rsid w:val="00745A41"/>
    <w:rsid w:val="00747962"/>
    <w:rsid w:val="00747E18"/>
    <w:rsid w:val="00750416"/>
    <w:rsid w:val="0075106D"/>
    <w:rsid w:val="00751B3E"/>
    <w:rsid w:val="00751CEA"/>
    <w:rsid w:val="00751FF2"/>
    <w:rsid w:val="0075225E"/>
    <w:rsid w:val="00752764"/>
    <w:rsid w:val="0075376A"/>
    <w:rsid w:val="00753CDA"/>
    <w:rsid w:val="00755249"/>
    <w:rsid w:val="00755504"/>
    <w:rsid w:val="007558F4"/>
    <w:rsid w:val="00755F14"/>
    <w:rsid w:val="00756669"/>
    <w:rsid w:val="00756E28"/>
    <w:rsid w:val="00757D03"/>
    <w:rsid w:val="00757F30"/>
    <w:rsid w:val="0076049F"/>
    <w:rsid w:val="007610F9"/>
    <w:rsid w:val="00761FB6"/>
    <w:rsid w:val="00762092"/>
    <w:rsid w:val="007632DC"/>
    <w:rsid w:val="0076354F"/>
    <w:rsid w:val="007644D6"/>
    <w:rsid w:val="007646FE"/>
    <w:rsid w:val="007650B5"/>
    <w:rsid w:val="00766186"/>
    <w:rsid w:val="00766740"/>
    <w:rsid w:val="00766805"/>
    <w:rsid w:val="00766962"/>
    <w:rsid w:val="00766BD2"/>
    <w:rsid w:val="00766DEF"/>
    <w:rsid w:val="007672B7"/>
    <w:rsid w:val="0076745F"/>
    <w:rsid w:val="00767524"/>
    <w:rsid w:val="007701C2"/>
    <w:rsid w:val="0077086E"/>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056"/>
    <w:rsid w:val="00782369"/>
    <w:rsid w:val="00782645"/>
    <w:rsid w:val="00782B76"/>
    <w:rsid w:val="00782D04"/>
    <w:rsid w:val="007831D2"/>
    <w:rsid w:val="00783F0A"/>
    <w:rsid w:val="00784983"/>
    <w:rsid w:val="00784C15"/>
    <w:rsid w:val="007855E1"/>
    <w:rsid w:val="00785623"/>
    <w:rsid w:val="00785828"/>
    <w:rsid w:val="00785E06"/>
    <w:rsid w:val="0078678C"/>
    <w:rsid w:val="007867BB"/>
    <w:rsid w:val="00787271"/>
    <w:rsid w:val="00787E33"/>
    <w:rsid w:val="00790432"/>
    <w:rsid w:val="0079083B"/>
    <w:rsid w:val="00790C01"/>
    <w:rsid w:val="00790D1E"/>
    <w:rsid w:val="00790DB2"/>
    <w:rsid w:val="00792EB2"/>
    <w:rsid w:val="007933C8"/>
    <w:rsid w:val="0079366D"/>
    <w:rsid w:val="00793F47"/>
    <w:rsid w:val="00793F5F"/>
    <w:rsid w:val="00794FE7"/>
    <w:rsid w:val="00795936"/>
    <w:rsid w:val="007959E4"/>
    <w:rsid w:val="00796924"/>
    <w:rsid w:val="00797432"/>
    <w:rsid w:val="00797BC5"/>
    <w:rsid w:val="00797DFA"/>
    <w:rsid w:val="007A0716"/>
    <w:rsid w:val="007A1335"/>
    <w:rsid w:val="007A1F65"/>
    <w:rsid w:val="007A243E"/>
    <w:rsid w:val="007A27BC"/>
    <w:rsid w:val="007A2A6E"/>
    <w:rsid w:val="007A2D1C"/>
    <w:rsid w:val="007A3CB6"/>
    <w:rsid w:val="007A46B4"/>
    <w:rsid w:val="007A4875"/>
    <w:rsid w:val="007A4B88"/>
    <w:rsid w:val="007A4ECA"/>
    <w:rsid w:val="007A4ECC"/>
    <w:rsid w:val="007A61B7"/>
    <w:rsid w:val="007A6CC3"/>
    <w:rsid w:val="007A6E3F"/>
    <w:rsid w:val="007A75A2"/>
    <w:rsid w:val="007A7DAB"/>
    <w:rsid w:val="007B0668"/>
    <w:rsid w:val="007B18DD"/>
    <w:rsid w:val="007B1E33"/>
    <w:rsid w:val="007B228B"/>
    <w:rsid w:val="007B2601"/>
    <w:rsid w:val="007B2641"/>
    <w:rsid w:val="007B26DA"/>
    <w:rsid w:val="007B3700"/>
    <w:rsid w:val="007B531C"/>
    <w:rsid w:val="007B5A9D"/>
    <w:rsid w:val="007B7F5F"/>
    <w:rsid w:val="007C01AC"/>
    <w:rsid w:val="007C13FC"/>
    <w:rsid w:val="007C1B02"/>
    <w:rsid w:val="007C3013"/>
    <w:rsid w:val="007C37F9"/>
    <w:rsid w:val="007C4659"/>
    <w:rsid w:val="007C47AE"/>
    <w:rsid w:val="007C5105"/>
    <w:rsid w:val="007C5190"/>
    <w:rsid w:val="007C6B16"/>
    <w:rsid w:val="007C6E09"/>
    <w:rsid w:val="007C7095"/>
    <w:rsid w:val="007C7B46"/>
    <w:rsid w:val="007D02A0"/>
    <w:rsid w:val="007D0AE2"/>
    <w:rsid w:val="007D1724"/>
    <w:rsid w:val="007D188B"/>
    <w:rsid w:val="007D33F4"/>
    <w:rsid w:val="007D3C31"/>
    <w:rsid w:val="007D3C57"/>
    <w:rsid w:val="007D5070"/>
    <w:rsid w:val="007D61FD"/>
    <w:rsid w:val="007D6DA7"/>
    <w:rsid w:val="007D6EB5"/>
    <w:rsid w:val="007D744B"/>
    <w:rsid w:val="007E0A1A"/>
    <w:rsid w:val="007E0EA4"/>
    <w:rsid w:val="007E2564"/>
    <w:rsid w:val="007E27A5"/>
    <w:rsid w:val="007E2D4B"/>
    <w:rsid w:val="007E33F7"/>
    <w:rsid w:val="007E3BFD"/>
    <w:rsid w:val="007E45A0"/>
    <w:rsid w:val="007E471B"/>
    <w:rsid w:val="007E67D9"/>
    <w:rsid w:val="007E74CF"/>
    <w:rsid w:val="007F0695"/>
    <w:rsid w:val="007F0728"/>
    <w:rsid w:val="007F0A14"/>
    <w:rsid w:val="007F0D77"/>
    <w:rsid w:val="007F12A0"/>
    <w:rsid w:val="007F18B3"/>
    <w:rsid w:val="007F19C9"/>
    <w:rsid w:val="007F267F"/>
    <w:rsid w:val="007F2AF9"/>
    <w:rsid w:val="007F3094"/>
    <w:rsid w:val="007F3ABE"/>
    <w:rsid w:val="007F3E4C"/>
    <w:rsid w:val="007F4190"/>
    <w:rsid w:val="007F4EAB"/>
    <w:rsid w:val="007F501B"/>
    <w:rsid w:val="007F5D74"/>
    <w:rsid w:val="007F6533"/>
    <w:rsid w:val="00800D14"/>
    <w:rsid w:val="00801256"/>
    <w:rsid w:val="00801FCF"/>
    <w:rsid w:val="00802289"/>
    <w:rsid w:val="00802652"/>
    <w:rsid w:val="00802C57"/>
    <w:rsid w:val="00805B32"/>
    <w:rsid w:val="0080772E"/>
    <w:rsid w:val="00807A78"/>
    <w:rsid w:val="008111E4"/>
    <w:rsid w:val="0081351B"/>
    <w:rsid w:val="00814C9F"/>
    <w:rsid w:val="008153F9"/>
    <w:rsid w:val="0081667C"/>
    <w:rsid w:val="00816808"/>
    <w:rsid w:val="008173F3"/>
    <w:rsid w:val="00817A60"/>
    <w:rsid w:val="00821E72"/>
    <w:rsid w:val="00822751"/>
    <w:rsid w:val="008235CC"/>
    <w:rsid w:val="00823903"/>
    <w:rsid w:val="00823B17"/>
    <w:rsid w:val="00823FF6"/>
    <w:rsid w:val="00824E43"/>
    <w:rsid w:val="00824F48"/>
    <w:rsid w:val="00824FEA"/>
    <w:rsid w:val="00825424"/>
    <w:rsid w:val="00825A5B"/>
    <w:rsid w:val="00825F74"/>
    <w:rsid w:val="00826709"/>
    <w:rsid w:val="008267C6"/>
    <w:rsid w:val="00826B83"/>
    <w:rsid w:val="00827097"/>
    <w:rsid w:val="008276E8"/>
    <w:rsid w:val="00827D03"/>
    <w:rsid w:val="00830FDE"/>
    <w:rsid w:val="008328E9"/>
    <w:rsid w:val="00833347"/>
    <w:rsid w:val="00834967"/>
    <w:rsid w:val="00834C83"/>
    <w:rsid w:val="00834FE6"/>
    <w:rsid w:val="00835082"/>
    <w:rsid w:val="0083589B"/>
    <w:rsid w:val="00835BCB"/>
    <w:rsid w:val="00835CDC"/>
    <w:rsid w:val="00836E09"/>
    <w:rsid w:val="008374CD"/>
    <w:rsid w:val="00840536"/>
    <w:rsid w:val="00840602"/>
    <w:rsid w:val="008424C6"/>
    <w:rsid w:val="00842E75"/>
    <w:rsid w:val="00844945"/>
    <w:rsid w:val="00844E61"/>
    <w:rsid w:val="00845248"/>
    <w:rsid w:val="00845750"/>
    <w:rsid w:val="0084654B"/>
    <w:rsid w:val="008469B2"/>
    <w:rsid w:val="00847570"/>
    <w:rsid w:val="00847625"/>
    <w:rsid w:val="00847BAE"/>
    <w:rsid w:val="008506FD"/>
    <w:rsid w:val="008508CC"/>
    <w:rsid w:val="00850B09"/>
    <w:rsid w:val="008510C3"/>
    <w:rsid w:val="0085126E"/>
    <w:rsid w:val="00851503"/>
    <w:rsid w:val="00851BB8"/>
    <w:rsid w:val="00851E50"/>
    <w:rsid w:val="00852199"/>
    <w:rsid w:val="00852801"/>
    <w:rsid w:val="00852A48"/>
    <w:rsid w:val="00853C6D"/>
    <w:rsid w:val="0085489C"/>
    <w:rsid w:val="00855DE1"/>
    <w:rsid w:val="00855EBF"/>
    <w:rsid w:val="00856977"/>
    <w:rsid w:val="0085742B"/>
    <w:rsid w:val="0086106F"/>
    <w:rsid w:val="0086116F"/>
    <w:rsid w:val="00861214"/>
    <w:rsid w:val="00861279"/>
    <w:rsid w:val="0086165A"/>
    <w:rsid w:val="00862FC2"/>
    <w:rsid w:val="0086305C"/>
    <w:rsid w:val="00863425"/>
    <w:rsid w:val="00863B9D"/>
    <w:rsid w:val="00863BE6"/>
    <w:rsid w:val="008651E6"/>
    <w:rsid w:val="0086541E"/>
    <w:rsid w:val="008662B7"/>
    <w:rsid w:val="00866435"/>
    <w:rsid w:val="00866F17"/>
    <w:rsid w:val="00870CB6"/>
    <w:rsid w:val="00872444"/>
    <w:rsid w:val="0087246A"/>
    <w:rsid w:val="008729C3"/>
    <w:rsid w:val="00872B40"/>
    <w:rsid w:val="008737DE"/>
    <w:rsid w:val="00873CC5"/>
    <w:rsid w:val="00874019"/>
    <w:rsid w:val="0087649D"/>
    <w:rsid w:val="00876847"/>
    <w:rsid w:val="008773A4"/>
    <w:rsid w:val="008775BC"/>
    <w:rsid w:val="00877FE8"/>
    <w:rsid w:val="008803E6"/>
    <w:rsid w:val="00880FB8"/>
    <w:rsid w:val="00881014"/>
    <w:rsid w:val="0088121A"/>
    <w:rsid w:val="00881800"/>
    <w:rsid w:val="008825A0"/>
    <w:rsid w:val="00882609"/>
    <w:rsid w:val="00882C56"/>
    <w:rsid w:val="00882F1B"/>
    <w:rsid w:val="00883712"/>
    <w:rsid w:val="008845B7"/>
    <w:rsid w:val="00884A5D"/>
    <w:rsid w:val="00885591"/>
    <w:rsid w:val="008855BC"/>
    <w:rsid w:val="00885D3D"/>
    <w:rsid w:val="00886131"/>
    <w:rsid w:val="008861B8"/>
    <w:rsid w:val="00886249"/>
    <w:rsid w:val="00886676"/>
    <w:rsid w:val="00886B7C"/>
    <w:rsid w:val="00886C90"/>
    <w:rsid w:val="00890496"/>
    <w:rsid w:val="00890E7C"/>
    <w:rsid w:val="00891CBE"/>
    <w:rsid w:val="0089261A"/>
    <w:rsid w:val="00892CE9"/>
    <w:rsid w:val="00893636"/>
    <w:rsid w:val="008940A6"/>
    <w:rsid w:val="00894C5C"/>
    <w:rsid w:val="00894CE5"/>
    <w:rsid w:val="0089506B"/>
    <w:rsid w:val="00895280"/>
    <w:rsid w:val="00896643"/>
    <w:rsid w:val="00896D37"/>
    <w:rsid w:val="00897105"/>
    <w:rsid w:val="008A1922"/>
    <w:rsid w:val="008A1F61"/>
    <w:rsid w:val="008A23C2"/>
    <w:rsid w:val="008A347C"/>
    <w:rsid w:val="008A35E8"/>
    <w:rsid w:val="008A3B21"/>
    <w:rsid w:val="008A4511"/>
    <w:rsid w:val="008A4B2A"/>
    <w:rsid w:val="008A564F"/>
    <w:rsid w:val="008A63B8"/>
    <w:rsid w:val="008A6720"/>
    <w:rsid w:val="008A70CE"/>
    <w:rsid w:val="008A73A2"/>
    <w:rsid w:val="008A73C8"/>
    <w:rsid w:val="008A7E5E"/>
    <w:rsid w:val="008B1247"/>
    <w:rsid w:val="008B157F"/>
    <w:rsid w:val="008B2ABF"/>
    <w:rsid w:val="008B2B9E"/>
    <w:rsid w:val="008B490B"/>
    <w:rsid w:val="008B5424"/>
    <w:rsid w:val="008B5FEF"/>
    <w:rsid w:val="008B645E"/>
    <w:rsid w:val="008B654C"/>
    <w:rsid w:val="008B65DD"/>
    <w:rsid w:val="008C0483"/>
    <w:rsid w:val="008C0AA6"/>
    <w:rsid w:val="008C18DC"/>
    <w:rsid w:val="008C22B4"/>
    <w:rsid w:val="008C25E4"/>
    <w:rsid w:val="008C2DAE"/>
    <w:rsid w:val="008C33A8"/>
    <w:rsid w:val="008C35B8"/>
    <w:rsid w:val="008C3A00"/>
    <w:rsid w:val="008C4848"/>
    <w:rsid w:val="008C4BC0"/>
    <w:rsid w:val="008C5A89"/>
    <w:rsid w:val="008C6372"/>
    <w:rsid w:val="008C65CB"/>
    <w:rsid w:val="008C703C"/>
    <w:rsid w:val="008C7774"/>
    <w:rsid w:val="008D0288"/>
    <w:rsid w:val="008D03AE"/>
    <w:rsid w:val="008D106E"/>
    <w:rsid w:val="008D13C8"/>
    <w:rsid w:val="008D2C78"/>
    <w:rsid w:val="008D2D48"/>
    <w:rsid w:val="008D35AB"/>
    <w:rsid w:val="008D5860"/>
    <w:rsid w:val="008D5BB1"/>
    <w:rsid w:val="008D6157"/>
    <w:rsid w:val="008D743E"/>
    <w:rsid w:val="008D76BB"/>
    <w:rsid w:val="008E00BF"/>
    <w:rsid w:val="008E21D0"/>
    <w:rsid w:val="008E3029"/>
    <w:rsid w:val="008E36DB"/>
    <w:rsid w:val="008E3CFA"/>
    <w:rsid w:val="008E440C"/>
    <w:rsid w:val="008E4885"/>
    <w:rsid w:val="008E48BA"/>
    <w:rsid w:val="008E50F4"/>
    <w:rsid w:val="008E55BA"/>
    <w:rsid w:val="008E585B"/>
    <w:rsid w:val="008E66EE"/>
    <w:rsid w:val="008E683D"/>
    <w:rsid w:val="008E6995"/>
    <w:rsid w:val="008F1C5D"/>
    <w:rsid w:val="008F4B8B"/>
    <w:rsid w:val="008F4DA8"/>
    <w:rsid w:val="008F4FDC"/>
    <w:rsid w:val="008F58AF"/>
    <w:rsid w:val="008F5C19"/>
    <w:rsid w:val="008F5CCF"/>
    <w:rsid w:val="008F5E92"/>
    <w:rsid w:val="008F5F4B"/>
    <w:rsid w:val="008F65E7"/>
    <w:rsid w:val="008F739D"/>
    <w:rsid w:val="008F7A15"/>
    <w:rsid w:val="008F7FC4"/>
    <w:rsid w:val="00900074"/>
    <w:rsid w:val="00900459"/>
    <w:rsid w:val="00900A1A"/>
    <w:rsid w:val="00900C65"/>
    <w:rsid w:val="0090114F"/>
    <w:rsid w:val="00901BA8"/>
    <w:rsid w:val="00902261"/>
    <w:rsid w:val="00903E7A"/>
    <w:rsid w:val="00904A56"/>
    <w:rsid w:val="00904C0A"/>
    <w:rsid w:val="009059A9"/>
    <w:rsid w:val="009063E7"/>
    <w:rsid w:val="0090753F"/>
    <w:rsid w:val="00910060"/>
    <w:rsid w:val="00910C00"/>
    <w:rsid w:val="009112ED"/>
    <w:rsid w:val="00911363"/>
    <w:rsid w:val="0091159B"/>
    <w:rsid w:val="00912A83"/>
    <w:rsid w:val="009151C4"/>
    <w:rsid w:val="009153D4"/>
    <w:rsid w:val="00916078"/>
    <w:rsid w:val="00916860"/>
    <w:rsid w:val="00917B9D"/>
    <w:rsid w:val="00917DF5"/>
    <w:rsid w:val="00920684"/>
    <w:rsid w:val="009207CE"/>
    <w:rsid w:val="00920ED0"/>
    <w:rsid w:val="00920FA8"/>
    <w:rsid w:val="00921C2C"/>
    <w:rsid w:val="009223BB"/>
    <w:rsid w:val="009232F2"/>
    <w:rsid w:val="00923342"/>
    <w:rsid w:val="009238C5"/>
    <w:rsid w:val="00923B9F"/>
    <w:rsid w:val="00923F44"/>
    <w:rsid w:val="009244AD"/>
    <w:rsid w:val="00924E91"/>
    <w:rsid w:val="0092515E"/>
    <w:rsid w:val="00926A1B"/>
    <w:rsid w:val="00926EA6"/>
    <w:rsid w:val="009278C5"/>
    <w:rsid w:val="00927A2B"/>
    <w:rsid w:val="00930BA2"/>
    <w:rsid w:val="00931866"/>
    <w:rsid w:val="00931DCD"/>
    <w:rsid w:val="0093328F"/>
    <w:rsid w:val="0093362F"/>
    <w:rsid w:val="00933D1D"/>
    <w:rsid w:val="00934BF9"/>
    <w:rsid w:val="00934D5D"/>
    <w:rsid w:val="00936293"/>
    <w:rsid w:val="009364F7"/>
    <w:rsid w:val="00936F7F"/>
    <w:rsid w:val="0093795D"/>
    <w:rsid w:val="009379C8"/>
    <w:rsid w:val="009401C8"/>
    <w:rsid w:val="00940C29"/>
    <w:rsid w:val="0094138F"/>
    <w:rsid w:val="00941557"/>
    <w:rsid w:val="009417F0"/>
    <w:rsid w:val="00941945"/>
    <w:rsid w:val="00941E7E"/>
    <w:rsid w:val="00941F90"/>
    <w:rsid w:val="00942026"/>
    <w:rsid w:val="00942068"/>
    <w:rsid w:val="00942840"/>
    <w:rsid w:val="00942FBD"/>
    <w:rsid w:val="009433D2"/>
    <w:rsid w:val="0094664A"/>
    <w:rsid w:val="00946EF3"/>
    <w:rsid w:val="0094770B"/>
    <w:rsid w:val="00947DA1"/>
    <w:rsid w:val="0095098C"/>
    <w:rsid w:val="00952D57"/>
    <w:rsid w:val="00954B84"/>
    <w:rsid w:val="0095500A"/>
    <w:rsid w:val="0095593F"/>
    <w:rsid w:val="00955BF0"/>
    <w:rsid w:val="00955C94"/>
    <w:rsid w:val="0095723A"/>
    <w:rsid w:val="009574E5"/>
    <w:rsid w:val="00957F77"/>
    <w:rsid w:val="00960BF3"/>
    <w:rsid w:val="0096131F"/>
    <w:rsid w:val="009616D3"/>
    <w:rsid w:val="00961C92"/>
    <w:rsid w:val="00962C02"/>
    <w:rsid w:val="009645BE"/>
    <w:rsid w:val="00964643"/>
    <w:rsid w:val="009647EC"/>
    <w:rsid w:val="00965839"/>
    <w:rsid w:val="00965B6F"/>
    <w:rsid w:val="00966BF5"/>
    <w:rsid w:val="00966C0B"/>
    <w:rsid w:val="00967181"/>
    <w:rsid w:val="0096720C"/>
    <w:rsid w:val="00967837"/>
    <w:rsid w:val="00967BB4"/>
    <w:rsid w:val="00967D48"/>
    <w:rsid w:val="009705DA"/>
    <w:rsid w:val="00970747"/>
    <w:rsid w:val="00970795"/>
    <w:rsid w:val="00970813"/>
    <w:rsid w:val="009715DE"/>
    <w:rsid w:val="00972377"/>
    <w:rsid w:val="00972473"/>
    <w:rsid w:val="00973A19"/>
    <w:rsid w:val="00974BBB"/>
    <w:rsid w:val="00974E61"/>
    <w:rsid w:val="00975641"/>
    <w:rsid w:val="0097613E"/>
    <w:rsid w:val="00976533"/>
    <w:rsid w:val="00976D55"/>
    <w:rsid w:val="00977328"/>
    <w:rsid w:val="00977A88"/>
    <w:rsid w:val="009803E8"/>
    <w:rsid w:val="0098099A"/>
    <w:rsid w:val="00981C74"/>
    <w:rsid w:val="0098230A"/>
    <w:rsid w:val="00983E8B"/>
    <w:rsid w:val="0098711C"/>
    <w:rsid w:val="0098771A"/>
    <w:rsid w:val="00987AA8"/>
    <w:rsid w:val="00987D4A"/>
    <w:rsid w:val="00990503"/>
    <w:rsid w:val="00990677"/>
    <w:rsid w:val="00990AF0"/>
    <w:rsid w:val="0099128D"/>
    <w:rsid w:val="0099187E"/>
    <w:rsid w:val="00991931"/>
    <w:rsid w:val="00991A7D"/>
    <w:rsid w:val="009924BD"/>
    <w:rsid w:val="00993751"/>
    <w:rsid w:val="00993A67"/>
    <w:rsid w:val="00993B5C"/>
    <w:rsid w:val="00993E40"/>
    <w:rsid w:val="0099588A"/>
    <w:rsid w:val="00995C3B"/>
    <w:rsid w:val="0099769F"/>
    <w:rsid w:val="00997B4C"/>
    <w:rsid w:val="00997B52"/>
    <w:rsid w:val="00997D8E"/>
    <w:rsid w:val="009A08C3"/>
    <w:rsid w:val="009A0C33"/>
    <w:rsid w:val="009A14E0"/>
    <w:rsid w:val="009A176F"/>
    <w:rsid w:val="009A1C62"/>
    <w:rsid w:val="009A25E0"/>
    <w:rsid w:val="009A29FB"/>
    <w:rsid w:val="009A2FB6"/>
    <w:rsid w:val="009A351C"/>
    <w:rsid w:val="009A36BC"/>
    <w:rsid w:val="009A3BED"/>
    <w:rsid w:val="009A3C86"/>
    <w:rsid w:val="009A3EEF"/>
    <w:rsid w:val="009A4759"/>
    <w:rsid w:val="009A4FF6"/>
    <w:rsid w:val="009A51C2"/>
    <w:rsid w:val="009A5805"/>
    <w:rsid w:val="009A5C4A"/>
    <w:rsid w:val="009A65E1"/>
    <w:rsid w:val="009A7727"/>
    <w:rsid w:val="009A7BD8"/>
    <w:rsid w:val="009B0982"/>
    <w:rsid w:val="009B0B07"/>
    <w:rsid w:val="009B11E9"/>
    <w:rsid w:val="009B2267"/>
    <w:rsid w:val="009B2EB0"/>
    <w:rsid w:val="009B3163"/>
    <w:rsid w:val="009B3310"/>
    <w:rsid w:val="009B3EAA"/>
    <w:rsid w:val="009B44BD"/>
    <w:rsid w:val="009B4FB3"/>
    <w:rsid w:val="009B5C76"/>
    <w:rsid w:val="009B6078"/>
    <w:rsid w:val="009B6273"/>
    <w:rsid w:val="009B70F9"/>
    <w:rsid w:val="009B7477"/>
    <w:rsid w:val="009B75F1"/>
    <w:rsid w:val="009C13B9"/>
    <w:rsid w:val="009C1677"/>
    <w:rsid w:val="009C1E2A"/>
    <w:rsid w:val="009C47C7"/>
    <w:rsid w:val="009C4D29"/>
    <w:rsid w:val="009C4E55"/>
    <w:rsid w:val="009C5380"/>
    <w:rsid w:val="009C55B1"/>
    <w:rsid w:val="009C59EB"/>
    <w:rsid w:val="009C5CE3"/>
    <w:rsid w:val="009C67A2"/>
    <w:rsid w:val="009D009D"/>
    <w:rsid w:val="009D09AD"/>
    <w:rsid w:val="009D0B87"/>
    <w:rsid w:val="009D13E0"/>
    <w:rsid w:val="009D1EC5"/>
    <w:rsid w:val="009D2783"/>
    <w:rsid w:val="009D2CC9"/>
    <w:rsid w:val="009D3819"/>
    <w:rsid w:val="009D425A"/>
    <w:rsid w:val="009D46C0"/>
    <w:rsid w:val="009D5002"/>
    <w:rsid w:val="009D65B8"/>
    <w:rsid w:val="009D7BD2"/>
    <w:rsid w:val="009D7CF3"/>
    <w:rsid w:val="009E0AE8"/>
    <w:rsid w:val="009E0E95"/>
    <w:rsid w:val="009E3947"/>
    <w:rsid w:val="009E49FA"/>
    <w:rsid w:val="009E4AA0"/>
    <w:rsid w:val="009E4DC7"/>
    <w:rsid w:val="009E5117"/>
    <w:rsid w:val="009E5374"/>
    <w:rsid w:val="009E550A"/>
    <w:rsid w:val="009E5747"/>
    <w:rsid w:val="009E5BDE"/>
    <w:rsid w:val="009E699F"/>
    <w:rsid w:val="009E7651"/>
    <w:rsid w:val="009E7D0C"/>
    <w:rsid w:val="009E7FF2"/>
    <w:rsid w:val="009F0B00"/>
    <w:rsid w:val="009F25B9"/>
    <w:rsid w:val="009F2A50"/>
    <w:rsid w:val="009F345D"/>
    <w:rsid w:val="009F372A"/>
    <w:rsid w:val="009F406C"/>
    <w:rsid w:val="009F5180"/>
    <w:rsid w:val="009F5383"/>
    <w:rsid w:val="009F57D2"/>
    <w:rsid w:val="009F5E65"/>
    <w:rsid w:val="009F647A"/>
    <w:rsid w:val="009F6F1D"/>
    <w:rsid w:val="009F7208"/>
    <w:rsid w:val="00A0143B"/>
    <w:rsid w:val="00A03E09"/>
    <w:rsid w:val="00A03E4A"/>
    <w:rsid w:val="00A03E56"/>
    <w:rsid w:val="00A0434C"/>
    <w:rsid w:val="00A04BB1"/>
    <w:rsid w:val="00A04F22"/>
    <w:rsid w:val="00A050C4"/>
    <w:rsid w:val="00A066A1"/>
    <w:rsid w:val="00A07750"/>
    <w:rsid w:val="00A105B6"/>
    <w:rsid w:val="00A10967"/>
    <w:rsid w:val="00A10E2F"/>
    <w:rsid w:val="00A10F42"/>
    <w:rsid w:val="00A11E2B"/>
    <w:rsid w:val="00A1302C"/>
    <w:rsid w:val="00A13218"/>
    <w:rsid w:val="00A134D2"/>
    <w:rsid w:val="00A136F7"/>
    <w:rsid w:val="00A146A7"/>
    <w:rsid w:val="00A149C3"/>
    <w:rsid w:val="00A14AD4"/>
    <w:rsid w:val="00A14CEC"/>
    <w:rsid w:val="00A1501B"/>
    <w:rsid w:val="00A154A5"/>
    <w:rsid w:val="00A167E4"/>
    <w:rsid w:val="00A17890"/>
    <w:rsid w:val="00A17CF2"/>
    <w:rsid w:val="00A20021"/>
    <w:rsid w:val="00A205DC"/>
    <w:rsid w:val="00A21064"/>
    <w:rsid w:val="00A21B39"/>
    <w:rsid w:val="00A22065"/>
    <w:rsid w:val="00A22579"/>
    <w:rsid w:val="00A227A3"/>
    <w:rsid w:val="00A22823"/>
    <w:rsid w:val="00A234FD"/>
    <w:rsid w:val="00A237F8"/>
    <w:rsid w:val="00A2384B"/>
    <w:rsid w:val="00A245AB"/>
    <w:rsid w:val="00A24A70"/>
    <w:rsid w:val="00A250D6"/>
    <w:rsid w:val="00A25F96"/>
    <w:rsid w:val="00A260F0"/>
    <w:rsid w:val="00A26E36"/>
    <w:rsid w:val="00A279A7"/>
    <w:rsid w:val="00A27E73"/>
    <w:rsid w:val="00A30780"/>
    <w:rsid w:val="00A30FD0"/>
    <w:rsid w:val="00A31010"/>
    <w:rsid w:val="00A3128F"/>
    <w:rsid w:val="00A312FD"/>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1E03"/>
    <w:rsid w:val="00A42238"/>
    <w:rsid w:val="00A4305D"/>
    <w:rsid w:val="00A430ED"/>
    <w:rsid w:val="00A431A2"/>
    <w:rsid w:val="00A446A5"/>
    <w:rsid w:val="00A44872"/>
    <w:rsid w:val="00A47386"/>
    <w:rsid w:val="00A475AA"/>
    <w:rsid w:val="00A47D17"/>
    <w:rsid w:val="00A51FC7"/>
    <w:rsid w:val="00A523BE"/>
    <w:rsid w:val="00A5297A"/>
    <w:rsid w:val="00A534C0"/>
    <w:rsid w:val="00A53625"/>
    <w:rsid w:val="00A53F01"/>
    <w:rsid w:val="00A545D6"/>
    <w:rsid w:val="00A553C2"/>
    <w:rsid w:val="00A5575A"/>
    <w:rsid w:val="00A558E3"/>
    <w:rsid w:val="00A55E34"/>
    <w:rsid w:val="00A5646F"/>
    <w:rsid w:val="00A56C67"/>
    <w:rsid w:val="00A56D83"/>
    <w:rsid w:val="00A57073"/>
    <w:rsid w:val="00A5797D"/>
    <w:rsid w:val="00A57A90"/>
    <w:rsid w:val="00A57BA9"/>
    <w:rsid w:val="00A57DA1"/>
    <w:rsid w:val="00A60B73"/>
    <w:rsid w:val="00A60D34"/>
    <w:rsid w:val="00A61887"/>
    <w:rsid w:val="00A62090"/>
    <w:rsid w:val="00A6267E"/>
    <w:rsid w:val="00A642E0"/>
    <w:rsid w:val="00A64F9C"/>
    <w:rsid w:val="00A65008"/>
    <w:rsid w:val="00A653DC"/>
    <w:rsid w:val="00A66975"/>
    <w:rsid w:val="00A67F12"/>
    <w:rsid w:val="00A70AB5"/>
    <w:rsid w:val="00A70BAE"/>
    <w:rsid w:val="00A71418"/>
    <w:rsid w:val="00A71BFB"/>
    <w:rsid w:val="00A72C87"/>
    <w:rsid w:val="00A7307F"/>
    <w:rsid w:val="00A734D2"/>
    <w:rsid w:val="00A742BE"/>
    <w:rsid w:val="00A744EF"/>
    <w:rsid w:val="00A745F6"/>
    <w:rsid w:val="00A74D4B"/>
    <w:rsid w:val="00A74FCD"/>
    <w:rsid w:val="00A74FF1"/>
    <w:rsid w:val="00A75267"/>
    <w:rsid w:val="00A76AAD"/>
    <w:rsid w:val="00A76D19"/>
    <w:rsid w:val="00A7701F"/>
    <w:rsid w:val="00A77200"/>
    <w:rsid w:val="00A772AB"/>
    <w:rsid w:val="00A779A7"/>
    <w:rsid w:val="00A80080"/>
    <w:rsid w:val="00A80B15"/>
    <w:rsid w:val="00A81018"/>
    <w:rsid w:val="00A81DE3"/>
    <w:rsid w:val="00A82238"/>
    <w:rsid w:val="00A83A71"/>
    <w:rsid w:val="00A85520"/>
    <w:rsid w:val="00A85E2B"/>
    <w:rsid w:val="00A865C7"/>
    <w:rsid w:val="00A8663A"/>
    <w:rsid w:val="00A86768"/>
    <w:rsid w:val="00A86CE5"/>
    <w:rsid w:val="00A86DA6"/>
    <w:rsid w:val="00A86EB9"/>
    <w:rsid w:val="00A8720D"/>
    <w:rsid w:val="00A8724D"/>
    <w:rsid w:val="00A87681"/>
    <w:rsid w:val="00A87709"/>
    <w:rsid w:val="00A87A59"/>
    <w:rsid w:val="00A87BA0"/>
    <w:rsid w:val="00A900E8"/>
    <w:rsid w:val="00A90341"/>
    <w:rsid w:val="00A90443"/>
    <w:rsid w:val="00A90730"/>
    <w:rsid w:val="00A90C75"/>
    <w:rsid w:val="00A91246"/>
    <w:rsid w:val="00A917EF"/>
    <w:rsid w:val="00A925A3"/>
    <w:rsid w:val="00A93AD5"/>
    <w:rsid w:val="00A9471F"/>
    <w:rsid w:val="00A94971"/>
    <w:rsid w:val="00A949BD"/>
    <w:rsid w:val="00A94C44"/>
    <w:rsid w:val="00A94E83"/>
    <w:rsid w:val="00A960C8"/>
    <w:rsid w:val="00A963BF"/>
    <w:rsid w:val="00A968DF"/>
    <w:rsid w:val="00AA024A"/>
    <w:rsid w:val="00AA0C67"/>
    <w:rsid w:val="00AA14FC"/>
    <w:rsid w:val="00AA1B8D"/>
    <w:rsid w:val="00AA1E1E"/>
    <w:rsid w:val="00AA290B"/>
    <w:rsid w:val="00AA3DF1"/>
    <w:rsid w:val="00AA4C9A"/>
    <w:rsid w:val="00AA5751"/>
    <w:rsid w:val="00AA5AB6"/>
    <w:rsid w:val="00AA5DF5"/>
    <w:rsid w:val="00AA69CE"/>
    <w:rsid w:val="00AA7AFA"/>
    <w:rsid w:val="00AB0CA9"/>
    <w:rsid w:val="00AB232A"/>
    <w:rsid w:val="00AB2715"/>
    <w:rsid w:val="00AB332E"/>
    <w:rsid w:val="00AB4541"/>
    <w:rsid w:val="00AB4951"/>
    <w:rsid w:val="00AB49AB"/>
    <w:rsid w:val="00AB5653"/>
    <w:rsid w:val="00AB5DA9"/>
    <w:rsid w:val="00AB61F8"/>
    <w:rsid w:val="00AB73FC"/>
    <w:rsid w:val="00AC07E6"/>
    <w:rsid w:val="00AC07F1"/>
    <w:rsid w:val="00AC0B07"/>
    <w:rsid w:val="00AC1A50"/>
    <w:rsid w:val="00AC1C79"/>
    <w:rsid w:val="00AC3603"/>
    <w:rsid w:val="00AC5BA6"/>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4DF7"/>
    <w:rsid w:val="00AD6525"/>
    <w:rsid w:val="00AD6544"/>
    <w:rsid w:val="00AD6EB6"/>
    <w:rsid w:val="00AD751E"/>
    <w:rsid w:val="00AE0BE4"/>
    <w:rsid w:val="00AE0DE4"/>
    <w:rsid w:val="00AE109C"/>
    <w:rsid w:val="00AE14CA"/>
    <w:rsid w:val="00AE2219"/>
    <w:rsid w:val="00AE2A59"/>
    <w:rsid w:val="00AE2D1A"/>
    <w:rsid w:val="00AE2EA2"/>
    <w:rsid w:val="00AE3373"/>
    <w:rsid w:val="00AE3C1B"/>
    <w:rsid w:val="00AE402D"/>
    <w:rsid w:val="00AE43C7"/>
    <w:rsid w:val="00AE4A2C"/>
    <w:rsid w:val="00AE5291"/>
    <w:rsid w:val="00AE6660"/>
    <w:rsid w:val="00AE672A"/>
    <w:rsid w:val="00AE6807"/>
    <w:rsid w:val="00AE7DD0"/>
    <w:rsid w:val="00AF0D9D"/>
    <w:rsid w:val="00AF0F99"/>
    <w:rsid w:val="00AF27AC"/>
    <w:rsid w:val="00AF366A"/>
    <w:rsid w:val="00AF373D"/>
    <w:rsid w:val="00AF3C32"/>
    <w:rsid w:val="00AF4483"/>
    <w:rsid w:val="00AF4D09"/>
    <w:rsid w:val="00AF539B"/>
    <w:rsid w:val="00AF5422"/>
    <w:rsid w:val="00AF597F"/>
    <w:rsid w:val="00AF5B5A"/>
    <w:rsid w:val="00AF5F70"/>
    <w:rsid w:val="00AF67BE"/>
    <w:rsid w:val="00AF749F"/>
    <w:rsid w:val="00AF7B2E"/>
    <w:rsid w:val="00B007D4"/>
    <w:rsid w:val="00B008FA"/>
    <w:rsid w:val="00B00E07"/>
    <w:rsid w:val="00B0187C"/>
    <w:rsid w:val="00B01C83"/>
    <w:rsid w:val="00B01FA5"/>
    <w:rsid w:val="00B022E5"/>
    <w:rsid w:val="00B025DD"/>
    <w:rsid w:val="00B03C55"/>
    <w:rsid w:val="00B04516"/>
    <w:rsid w:val="00B052D8"/>
    <w:rsid w:val="00B054BE"/>
    <w:rsid w:val="00B074F6"/>
    <w:rsid w:val="00B07697"/>
    <w:rsid w:val="00B07A22"/>
    <w:rsid w:val="00B101C9"/>
    <w:rsid w:val="00B102AA"/>
    <w:rsid w:val="00B108EC"/>
    <w:rsid w:val="00B10EA9"/>
    <w:rsid w:val="00B119AF"/>
    <w:rsid w:val="00B1295D"/>
    <w:rsid w:val="00B1306B"/>
    <w:rsid w:val="00B130B2"/>
    <w:rsid w:val="00B13A85"/>
    <w:rsid w:val="00B14B69"/>
    <w:rsid w:val="00B14F8E"/>
    <w:rsid w:val="00B153DB"/>
    <w:rsid w:val="00B17032"/>
    <w:rsid w:val="00B17EAC"/>
    <w:rsid w:val="00B205B9"/>
    <w:rsid w:val="00B20664"/>
    <w:rsid w:val="00B2068E"/>
    <w:rsid w:val="00B20B9E"/>
    <w:rsid w:val="00B2110D"/>
    <w:rsid w:val="00B21AF1"/>
    <w:rsid w:val="00B21D97"/>
    <w:rsid w:val="00B220F4"/>
    <w:rsid w:val="00B22316"/>
    <w:rsid w:val="00B23624"/>
    <w:rsid w:val="00B24EE0"/>
    <w:rsid w:val="00B25892"/>
    <w:rsid w:val="00B25F54"/>
    <w:rsid w:val="00B2601D"/>
    <w:rsid w:val="00B26242"/>
    <w:rsid w:val="00B27AB1"/>
    <w:rsid w:val="00B27B64"/>
    <w:rsid w:val="00B3105C"/>
    <w:rsid w:val="00B31256"/>
    <w:rsid w:val="00B315A0"/>
    <w:rsid w:val="00B31939"/>
    <w:rsid w:val="00B32336"/>
    <w:rsid w:val="00B33709"/>
    <w:rsid w:val="00B33898"/>
    <w:rsid w:val="00B33A3A"/>
    <w:rsid w:val="00B34756"/>
    <w:rsid w:val="00B34A18"/>
    <w:rsid w:val="00B35466"/>
    <w:rsid w:val="00B35DEE"/>
    <w:rsid w:val="00B35FF3"/>
    <w:rsid w:val="00B362A8"/>
    <w:rsid w:val="00B3694E"/>
    <w:rsid w:val="00B37061"/>
    <w:rsid w:val="00B37DA4"/>
    <w:rsid w:val="00B42079"/>
    <w:rsid w:val="00B42A79"/>
    <w:rsid w:val="00B447BE"/>
    <w:rsid w:val="00B44F93"/>
    <w:rsid w:val="00B44FC3"/>
    <w:rsid w:val="00B450BC"/>
    <w:rsid w:val="00B45795"/>
    <w:rsid w:val="00B460F5"/>
    <w:rsid w:val="00B468CE"/>
    <w:rsid w:val="00B46BD3"/>
    <w:rsid w:val="00B47662"/>
    <w:rsid w:val="00B47A0A"/>
    <w:rsid w:val="00B47A2B"/>
    <w:rsid w:val="00B47E10"/>
    <w:rsid w:val="00B5204A"/>
    <w:rsid w:val="00B52876"/>
    <w:rsid w:val="00B5318A"/>
    <w:rsid w:val="00B53579"/>
    <w:rsid w:val="00B5364F"/>
    <w:rsid w:val="00B55BCE"/>
    <w:rsid w:val="00B56679"/>
    <w:rsid w:val="00B579CB"/>
    <w:rsid w:val="00B57B47"/>
    <w:rsid w:val="00B60835"/>
    <w:rsid w:val="00B60B96"/>
    <w:rsid w:val="00B613A2"/>
    <w:rsid w:val="00B61B3F"/>
    <w:rsid w:val="00B6236E"/>
    <w:rsid w:val="00B62468"/>
    <w:rsid w:val="00B626CD"/>
    <w:rsid w:val="00B6428C"/>
    <w:rsid w:val="00B66993"/>
    <w:rsid w:val="00B677D9"/>
    <w:rsid w:val="00B67EE6"/>
    <w:rsid w:val="00B70083"/>
    <w:rsid w:val="00B712B2"/>
    <w:rsid w:val="00B71B58"/>
    <w:rsid w:val="00B72C06"/>
    <w:rsid w:val="00B72C2B"/>
    <w:rsid w:val="00B7366D"/>
    <w:rsid w:val="00B75CAF"/>
    <w:rsid w:val="00B77030"/>
    <w:rsid w:val="00B77650"/>
    <w:rsid w:val="00B77808"/>
    <w:rsid w:val="00B8005A"/>
    <w:rsid w:val="00B821BB"/>
    <w:rsid w:val="00B82EC1"/>
    <w:rsid w:val="00B83775"/>
    <w:rsid w:val="00B837A3"/>
    <w:rsid w:val="00B83AD6"/>
    <w:rsid w:val="00B8400C"/>
    <w:rsid w:val="00B84445"/>
    <w:rsid w:val="00B847CF"/>
    <w:rsid w:val="00B862DA"/>
    <w:rsid w:val="00B8707C"/>
    <w:rsid w:val="00B87B18"/>
    <w:rsid w:val="00B87F4A"/>
    <w:rsid w:val="00B903A1"/>
    <w:rsid w:val="00B90C10"/>
    <w:rsid w:val="00B90F11"/>
    <w:rsid w:val="00B91929"/>
    <w:rsid w:val="00B94C5D"/>
    <w:rsid w:val="00B9530B"/>
    <w:rsid w:val="00B9653E"/>
    <w:rsid w:val="00B97377"/>
    <w:rsid w:val="00BA032B"/>
    <w:rsid w:val="00BA0CB9"/>
    <w:rsid w:val="00BA0F3C"/>
    <w:rsid w:val="00BA18F7"/>
    <w:rsid w:val="00BA1A86"/>
    <w:rsid w:val="00BA1EFA"/>
    <w:rsid w:val="00BA25D0"/>
    <w:rsid w:val="00BA2789"/>
    <w:rsid w:val="00BA2947"/>
    <w:rsid w:val="00BA2DE3"/>
    <w:rsid w:val="00BA3BBF"/>
    <w:rsid w:val="00BA403E"/>
    <w:rsid w:val="00BA5048"/>
    <w:rsid w:val="00BA5C94"/>
    <w:rsid w:val="00BA5E73"/>
    <w:rsid w:val="00BA6543"/>
    <w:rsid w:val="00BA6557"/>
    <w:rsid w:val="00BA7107"/>
    <w:rsid w:val="00BA737C"/>
    <w:rsid w:val="00BA73D5"/>
    <w:rsid w:val="00BA7542"/>
    <w:rsid w:val="00BA7D11"/>
    <w:rsid w:val="00BB1A0B"/>
    <w:rsid w:val="00BB22EA"/>
    <w:rsid w:val="00BB28F6"/>
    <w:rsid w:val="00BB295B"/>
    <w:rsid w:val="00BB2C4B"/>
    <w:rsid w:val="00BB2DFA"/>
    <w:rsid w:val="00BB3C83"/>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468D"/>
    <w:rsid w:val="00BC4FF5"/>
    <w:rsid w:val="00BC5A2F"/>
    <w:rsid w:val="00BC617C"/>
    <w:rsid w:val="00BC6EAC"/>
    <w:rsid w:val="00BC7774"/>
    <w:rsid w:val="00BD0DD2"/>
    <w:rsid w:val="00BD196C"/>
    <w:rsid w:val="00BD1DFC"/>
    <w:rsid w:val="00BD1F4F"/>
    <w:rsid w:val="00BD2756"/>
    <w:rsid w:val="00BD2863"/>
    <w:rsid w:val="00BD3296"/>
    <w:rsid w:val="00BD3DDE"/>
    <w:rsid w:val="00BD418B"/>
    <w:rsid w:val="00BD4C05"/>
    <w:rsid w:val="00BD5CBA"/>
    <w:rsid w:val="00BD60E7"/>
    <w:rsid w:val="00BD65F5"/>
    <w:rsid w:val="00BD6DB2"/>
    <w:rsid w:val="00BD75DB"/>
    <w:rsid w:val="00BD778B"/>
    <w:rsid w:val="00BE05CF"/>
    <w:rsid w:val="00BE07A3"/>
    <w:rsid w:val="00BE08B5"/>
    <w:rsid w:val="00BE0A0F"/>
    <w:rsid w:val="00BE0C6F"/>
    <w:rsid w:val="00BE12B7"/>
    <w:rsid w:val="00BE1BA2"/>
    <w:rsid w:val="00BE2571"/>
    <w:rsid w:val="00BE27BC"/>
    <w:rsid w:val="00BE3240"/>
    <w:rsid w:val="00BE48CD"/>
    <w:rsid w:val="00BE67F0"/>
    <w:rsid w:val="00BE69F0"/>
    <w:rsid w:val="00BF09C3"/>
    <w:rsid w:val="00BF0D31"/>
    <w:rsid w:val="00BF17F8"/>
    <w:rsid w:val="00BF1C57"/>
    <w:rsid w:val="00BF2BE8"/>
    <w:rsid w:val="00BF306E"/>
    <w:rsid w:val="00BF39D6"/>
    <w:rsid w:val="00BF3B3A"/>
    <w:rsid w:val="00BF4099"/>
    <w:rsid w:val="00BF4AFD"/>
    <w:rsid w:val="00BF4DB0"/>
    <w:rsid w:val="00BF5F30"/>
    <w:rsid w:val="00BF6210"/>
    <w:rsid w:val="00BF7BCA"/>
    <w:rsid w:val="00C000E9"/>
    <w:rsid w:val="00C005FF"/>
    <w:rsid w:val="00C00919"/>
    <w:rsid w:val="00C00A25"/>
    <w:rsid w:val="00C00B4D"/>
    <w:rsid w:val="00C0185E"/>
    <w:rsid w:val="00C0268B"/>
    <w:rsid w:val="00C02E87"/>
    <w:rsid w:val="00C03255"/>
    <w:rsid w:val="00C03734"/>
    <w:rsid w:val="00C03FC6"/>
    <w:rsid w:val="00C0407F"/>
    <w:rsid w:val="00C04BC6"/>
    <w:rsid w:val="00C05976"/>
    <w:rsid w:val="00C0603A"/>
    <w:rsid w:val="00C06E57"/>
    <w:rsid w:val="00C06F03"/>
    <w:rsid w:val="00C07033"/>
    <w:rsid w:val="00C07DBD"/>
    <w:rsid w:val="00C07F2A"/>
    <w:rsid w:val="00C1039F"/>
    <w:rsid w:val="00C10514"/>
    <w:rsid w:val="00C118DC"/>
    <w:rsid w:val="00C12190"/>
    <w:rsid w:val="00C13145"/>
    <w:rsid w:val="00C13B23"/>
    <w:rsid w:val="00C13F4F"/>
    <w:rsid w:val="00C140CD"/>
    <w:rsid w:val="00C1416F"/>
    <w:rsid w:val="00C14316"/>
    <w:rsid w:val="00C14322"/>
    <w:rsid w:val="00C14B83"/>
    <w:rsid w:val="00C14D49"/>
    <w:rsid w:val="00C150B4"/>
    <w:rsid w:val="00C15FC8"/>
    <w:rsid w:val="00C16883"/>
    <w:rsid w:val="00C17127"/>
    <w:rsid w:val="00C17496"/>
    <w:rsid w:val="00C2010A"/>
    <w:rsid w:val="00C21A80"/>
    <w:rsid w:val="00C22114"/>
    <w:rsid w:val="00C22215"/>
    <w:rsid w:val="00C22635"/>
    <w:rsid w:val="00C2327D"/>
    <w:rsid w:val="00C23752"/>
    <w:rsid w:val="00C237B5"/>
    <w:rsid w:val="00C2406E"/>
    <w:rsid w:val="00C2427E"/>
    <w:rsid w:val="00C26062"/>
    <w:rsid w:val="00C26079"/>
    <w:rsid w:val="00C263E4"/>
    <w:rsid w:val="00C266DC"/>
    <w:rsid w:val="00C303C3"/>
    <w:rsid w:val="00C3045E"/>
    <w:rsid w:val="00C309E0"/>
    <w:rsid w:val="00C31C53"/>
    <w:rsid w:val="00C31FE1"/>
    <w:rsid w:val="00C33E5A"/>
    <w:rsid w:val="00C342C9"/>
    <w:rsid w:val="00C34538"/>
    <w:rsid w:val="00C34747"/>
    <w:rsid w:val="00C34B21"/>
    <w:rsid w:val="00C35A35"/>
    <w:rsid w:val="00C35EBF"/>
    <w:rsid w:val="00C36222"/>
    <w:rsid w:val="00C363F1"/>
    <w:rsid w:val="00C36C76"/>
    <w:rsid w:val="00C378FE"/>
    <w:rsid w:val="00C37A25"/>
    <w:rsid w:val="00C410E4"/>
    <w:rsid w:val="00C42674"/>
    <w:rsid w:val="00C428E7"/>
    <w:rsid w:val="00C42F6F"/>
    <w:rsid w:val="00C43428"/>
    <w:rsid w:val="00C43683"/>
    <w:rsid w:val="00C43F6B"/>
    <w:rsid w:val="00C44990"/>
    <w:rsid w:val="00C44C9E"/>
    <w:rsid w:val="00C45173"/>
    <w:rsid w:val="00C4545A"/>
    <w:rsid w:val="00C45606"/>
    <w:rsid w:val="00C46150"/>
    <w:rsid w:val="00C467C8"/>
    <w:rsid w:val="00C469C4"/>
    <w:rsid w:val="00C46E30"/>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02D8"/>
    <w:rsid w:val="00C61174"/>
    <w:rsid w:val="00C62007"/>
    <w:rsid w:val="00C62065"/>
    <w:rsid w:val="00C62675"/>
    <w:rsid w:val="00C626A5"/>
    <w:rsid w:val="00C63E27"/>
    <w:rsid w:val="00C65278"/>
    <w:rsid w:val="00C65ABA"/>
    <w:rsid w:val="00C66CDE"/>
    <w:rsid w:val="00C700F9"/>
    <w:rsid w:val="00C70D1A"/>
    <w:rsid w:val="00C710C1"/>
    <w:rsid w:val="00C713AE"/>
    <w:rsid w:val="00C72A2A"/>
    <w:rsid w:val="00C730BF"/>
    <w:rsid w:val="00C7323D"/>
    <w:rsid w:val="00C73471"/>
    <w:rsid w:val="00C74413"/>
    <w:rsid w:val="00C7449E"/>
    <w:rsid w:val="00C74DB0"/>
    <w:rsid w:val="00C75087"/>
    <w:rsid w:val="00C7659C"/>
    <w:rsid w:val="00C76BBC"/>
    <w:rsid w:val="00C772EE"/>
    <w:rsid w:val="00C80619"/>
    <w:rsid w:val="00C81415"/>
    <w:rsid w:val="00C81805"/>
    <w:rsid w:val="00C819DA"/>
    <w:rsid w:val="00C820C3"/>
    <w:rsid w:val="00C8303A"/>
    <w:rsid w:val="00C83F88"/>
    <w:rsid w:val="00C83F9B"/>
    <w:rsid w:val="00C847BA"/>
    <w:rsid w:val="00C8597B"/>
    <w:rsid w:val="00C85D9D"/>
    <w:rsid w:val="00C865B8"/>
    <w:rsid w:val="00C86979"/>
    <w:rsid w:val="00C86BCB"/>
    <w:rsid w:val="00C875B3"/>
    <w:rsid w:val="00C907FE"/>
    <w:rsid w:val="00C908C0"/>
    <w:rsid w:val="00C911FC"/>
    <w:rsid w:val="00C91784"/>
    <w:rsid w:val="00C919EC"/>
    <w:rsid w:val="00C91D91"/>
    <w:rsid w:val="00C93113"/>
    <w:rsid w:val="00C93379"/>
    <w:rsid w:val="00C93FA8"/>
    <w:rsid w:val="00C946CD"/>
    <w:rsid w:val="00C94A20"/>
    <w:rsid w:val="00C94D44"/>
    <w:rsid w:val="00C954AB"/>
    <w:rsid w:val="00C96461"/>
    <w:rsid w:val="00C9664D"/>
    <w:rsid w:val="00C96788"/>
    <w:rsid w:val="00C9757F"/>
    <w:rsid w:val="00C976D0"/>
    <w:rsid w:val="00CA08CF"/>
    <w:rsid w:val="00CA090B"/>
    <w:rsid w:val="00CA0E3E"/>
    <w:rsid w:val="00CA1CC4"/>
    <w:rsid w:val="00CA1EF7"/>
    <w:rsid w:val="00CA2AB4"/>
    <w:rsid w:val="00CA2D72"/>
    <w:rsid w:val="00CA3881"/>
    <w:rsid w:val="00CA47B8"/>
    <w:rsid w:val="00CA4BD3"/>
    <w:rsid w:val="00CA5BD6"/>
    <w:rsid w:val="00CA6702"/>
    <w:rsid w:val="00CA6C66"/>
    <w:rsid w:val="00CB0294"/>
    <w:rsid w:val="00CB1C4F"/>
    <w:rsid w:val="00CB2726"/>
    <w:rsid w:val="00CB2B0E"/>
    <w:rsid w:val="00CB3186"/>
    <w:rsid w:val="00CB5586"/>
    <w:rsid w:val="00CB5FBE"/>
    <w:rsid w:val="00CB6134"/>
    <w:rsid w:val="00CB627D"/>
    <w:rsid w:val="00CB6A63"/>
    <w:rsid w:val="00CB6FE0"/>
    <w:rsid w:val="00CB7F07"/>
    <w:rsid w:val="00CC000A"/>
    <w:rsid w:val="00CC01F6"/>
    <w:rsid w:val="00CC0661"/>
    <w:rsid w:val="00CC0BEF"/>
    <w:rsid w:val="00CC217C"/>
    <w:rsid w:val="00CC24F5"/>
    <w:rsid w:val="00CC3058"/>
    <w:rsid w:val="00CC3282"/>
    <w:rsid w:val="00CC3682"/>
    <w:rsid w:val="00CC3A48"/>
    <w:rsid w:val="00CC5336"/>
    <w:rsid w:val="00CC555A"/>
    <w:rsid w:val="00CC6106"/>
    <w:rsid w:val="00CD175F"/>
    <w:rsid w:val="00CD188E"/>
    <w:rsid w:val="00CD1D81"/>
    <w:rsid w:val="00CD1F8C"/>
    <w:rsid w:val="00CD27F9"/>
    <w:rsid w:val="00CD3D1A"/>
    <w:rsid w:val="00CD426B"/>
    <w:rsid w:val="00CD6818"/>
    <w:rsid w:val="00CD689A"/>
    <w:rsid w:val="00CD6DAF"/>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13DA"/>
    <w:rsid w:val="00D026B6"/>
    <w:rsid w:val="00D02F95"/>
    <w:rsid w:val="00D03C3F"/>
    <w:rsid w:val="00D058BB"/>
    <w:rsid w:val="00D0731E"/>
    <w:rsid w:val="00D103B6"/>
    <w:rsid w:val="00D10CBB"/>
    <w:rsid w:val="00D1107C"/>
    <w:rsid w:val="00D11152"/>
    <w:rsid w:val="00D11F18"/>
    <w:rsid w:val="00D12B30"/>
    <w:rsid w:val="00D13B2B"/>
    <w:rsid w:val="00D15AEB"/>
    <w:rsid w:val="00D15FBC"/>
    <w:rsid w:val="00D160CB"/>
    <w:rsid w:val="00D16CF5"/>
    <w:rsid w:val="00D16F43"/>
    <w:rsid w:val="00D17B8F"/>
    <w:rsid w:val="00D17F48"/>
    <w:rsid w:val="00D17FBE"/>
    <w:rsid w:val="00D201A6"/>
    <w:rsid w:val="00D2050B"/>
    <w:rsid w:val="00D206C3"/>
    <w:rsid w:val="00D21975"/>
    <w:rsid w:val="00D22D75"/>
    <w:rsid w:val="00D22DA6"/>
    <w:rsid w:val="00D23E13"/>
    <w:rsid w:val="00D23E63"/>
    <w:rsid w:val="00D245A1"/>
    <w:rsid w:val="00D24D73"/>
    <w:rsid w:val="00D24E55"/>
    <w:rsid w:val="00D25320"/>
    <w:rsid w:val="00D25CC8"/>
    <w:rsid w:val="00D25CD1"/>
    <w:rsid w:val="00D25DFD"/>
    <w:rsid w:val="00D268F3"/>
    <w:rsid w:val="00D27548"/>
    <w:rsid w:val="00D27980"/>
    <w:rsid w:val="00D302CE"/>
    <w:rsid w:val="00D31278"/>
    <w:rsid w:val="00D31409"/>
    <w:rsid w:val="00D31C30"/>
    <w:rsid w:val="00D32114"/>
    <w:rsid w:val="00D32A47"/>
    <w:rsid w:val="00D340BA"/>
    <w:rsid w:val="00D3419E"/>
    <w:rsid w:val="00D3547F"/>
    <w:rsid w:val="00D36F52"/>
    <w:rsid w:val="00D375C2"/>
    <w:rsid w:val="00D37A5C"/>
    <w:rsid w:val="00D37BFC"/>
    <w:rsid w:val="00D41457"/>
    <w:rsid w:val="00D414B1"/>
    <w:rsid w:val="00D415E2"/>
    <w:rsid w:val="00D418B6"/>
    <w:rsid w:val="00D41D55"/>
    <w:rsid w:val="00D42055"/>
    <w:rsid w:val="00D4222B"/>
    <w:rsid w:val="00D427FC"/>
    <w:rsid w:val="00D434FB"/>
    <w:rsid w:val="00D43C97"/>
    <w:rsid w:val="00D4539F"/>
    <w:rsid w:val="00D4727D"/>
    <w:rsid w:val="00D475F4"/>
    <w:rsid w:val="00D47BE4"/>
    <w:rsid w:val="00D50BB9"/>
    <w:rsid w:val="00D51685"/>
    <w:rsid w:val="00D52AA9"/>
    <w:rsid w:val="00D534C9"/>
    <w:rsid w:val="00D535A9"/>
    <w:rsid w:val="00D53944"/>
    <w:rsid w:val="00D54A47"/>
    <w:rsid w:val="00D557C0"/>
    <w:rsid w:val="00D57862"/>
    <w:rsid w:val="00D57A82"/>
    <w:rsid w:val="00D57AB8"/>
    <w:rsid w:val="00D601CA"/>
    <w:rsid w:val="00D61C61"/>
    <w:rsid w:val="00D629B8"/>
    <w:rsid w:val="00D62EE2"/>
    <w:rsid w:val="00D63371"/>
    <w:rsid w:val="00D633E7"/>
    <w:rsid w:val="00D647C3"/>
    <w:rsid w:val="00D64944"/>
    <w:rsid w:val="00D67318"/>
    <w:rsid w:val="00D67434"/>
    <w:rsid w:val="00D67522"/>
    <w:rsid w:val="00D677A7"/>
    <w:rsid w:val="00D70209"/>
    <w:rsid w:val="00D70A42"/>
    <w:rsid w:val="00D72430"/>
    <w:rsid w:val="00D72597"/>
    <w:rsid w:val="00D72B9C"/>
    <w:rsid w:val="00D72DC8"/>
    <w:rsid w:val="00D72DDC"/>
    <w:rsid w:val="00D73142"/>
    <w:rsid w:val="00D73DDA"/>
    <w:rsid w:val="00D74271"/>
    <w:rsid w:val="00D7462E"/>
    <w:rsid w:val="00D751EA"/>
    <w:rsid w:val="00D755B7"/>
    <w:rsid w:val="00D7566A"/>
    <w:rsid w:val="00D75AFF"/>
    <w:rsid w:val="00D75D67"/>
    <w:rsid w:val="00D76E4A"/>
    <w:rsid w:val="00D76E7B"/>
    <w:rsid w:val="00D7776A"/>
    <w:rsid w:val="00D803EF"/>
    <w:rsid w:val="00D80622"/>
    <w:rsid w:val="00D80B50"/>
    <w:rsid w:val="00D812B8"/>
    <w:rsid w:val="00D8194D"/>
    <w:rsid w:val="00D81FD6"/>
    <w:rsid w:val="00D82040"/>
    <w:rsid w:val="00D82516"/>
    <w:rsid w:val="00D82766"/>
    <w:rsid w:val="00D84D91"/>
    <w:rsid w:val="00D84E5F"/>
    <w:rsid w:val="00D852AF"/>
    <w:rsid w:val="00D853C3"/>
    <w:rsid w:val="00D85F13"/>
    <w:rsid w:val="00D85F2C"/>
    <w:rsid w:val="00D87018"/>
    <w:rsid w:val="00D876BC"/>
    <w:rsid w:val="00D87A0A"/>
    <w:rsid w:val="00D90262"/>
    <w:rsid w:val="00D90922"/>
    <w:rsid w:val="00D90DF9"/>
    <w:rsid w:val="00D916C6"/>
    <w:rsid w:val="00D91AD3"/>
    <w:rsid w:val="00D91F5F"/>
    <w:rsid w:val="00D926E8"/>
    <w:rsid w:val="00D92B35"/>
    <w:rsid w:val="00D938AB"/>
    <w:rsid w:val="00D9413B"/>
    <w:rsid w:val="00D95CBC"/>
    <w:rsid w:val="00D960A0"/>
    <w:rsid w:val="00D9633A"/>
    <w:rsid w:val="00D964B2"/>
    <w:rsid w:val="00D9670C"/>
    <w:rsid w:val="00D96755"/>
    <w:rsid w:val="00D96DE7"/>
    <w:rsid w:val="00D9712F"/>
    <w:rsid w:val="00D97360"/>
    <w:rsid w:val="00D97394"/>
    <w:rsid w:val="00D97CAE"/>
    <w:rsid w:val="00DA12D0"/>
    <w:rsid w:val="00DA1926"/>
    <w:rsid w:val="00DA2706"/>
    <w:rsid w:val="00DA2B5B"/>
    <w:rsid w:val="00DA2E72"/>
    <w:rsid w:val="00DA3570"/>
    <w:rsid w:val="00DA46C2"/>
    <w:rsid w:val="00DA563F"/>
    <w:rsid w:val="00DA578B"/>
    <w:rsid w:val="00DA5D46"/>
    <w:rsid w:val="00DA6127"/>
    <w:rsid w:val="00DA6334"/>
    <w:rsid w:val="00DA6FAA"/>
    <w:rsid w:val="00DA7175"/>
    <w:rsid w:val="00DA7BE0"/>
    <w:rsid w:val="00DA7C0C"/>
    <w:rsid w:val="00DB10A8"/>
    <w:rsid w:val="00DB13B9"/>
    <w:rsid w:val="00DB19FD"/>
    <w:rsid w:val="00DB1F06"/>
    <w:rsid w:val="00DB21BD"/>
    <w:rsid w:val="00DB2DDB"/>
    <w:rsid w:val="00DB442F"/>
    <w:rsid w:val="00DB52BE"/>
    <w:rsid w:val="00DB5931"/>
    <w:rsid w:val="00DB623C"/>
    <w:rsid w:val="00DB6D9A"/>
    <w:rsid w:val="00DB7060"/>
    <w:rsid w:val="00DB7645"/>
    <w:rsid w:val="00DB787B"/>
    <w:rsid w:val="00DC0921"/>
    <w:rsid w:val="00DC0D32"/>
    <w:rsid w:val="00DC10B9"/>
    <w:rsid w:val="00DC1495"/>
    <w:rsid w:val="00DC1D97"/>
    <w:rsid w:val="00DC2160"/>
    <w:rsid w:val="00DC2BDC"/>
    <w:rsid w:val="00DC30C3"/>
    <w:rsid w:val="00DC34DB"/>
    <w:rsid w:val="00DC40CE"/>
    <w:rsid w:val="00DC41BA"/>
    <w:rsid w:val="00DC49DD"/>
    <w:rsid w:val="00DC5D11"/>
    <w:rsid w:val="00DC5FC9"/>
    <w:rsid w:val="00DC6804"/>
    <w:rsid w:val="00DC6EAD"/>
    <w:rsid w:val="00DC7020"/>
    <w:rsid w:val="00DC7204"/>
    <w:rsid w:val="00DC758C"/>
    <w:rsid w:val="00DC7854"/>
    <w:rsid w:val="00DD0118"/>
    <w:rsid w:val="00DD02FD"/>
    <w:rsid w:val="00DD06AD"/>
    <w:rsid w:val="00DD11D8"/>
    <w:rsid w:val="00DD24F7"/>
    <w:rsid w:val="00DD2ADE"/>
    <w:rsid w:val="00DD3D45"/>
    <w:rsid w:val="00DD51C7"/>
    <w:rsid w:val="00DD5BFC"/>
    <w:rsid w:val="00DD6086"/>
    <w:rsid w:val="00DD65A4"/>
    <w:rsid w:val="00DD6B53"/>
    <w:rsid w:val="00DD71E2"/>
    <w:rsid w:val="00DE0698"/>
    <w:rsid w:val="00DE0F22"/>
    <w:rsid w:val="00DE1179"/>
    <w:rsid w:val="00DE2E1C"/>
    <w:rsid w:val="00DE3558"/>
    <w:rsid w:val="00DE37B5"/>
    <w:rsid w:val="00DE4227"/>
    <w:rsid w:val="00DE43CA"/>
    <w:rsid w:val="00DE542C"/>
    <w:rsid w:val="00DE5D75"/>
    <w:rsid w:val="00DE6208"/>
    <w:rsid w:val="00DE6299"/>
    <w:rsid w:val="00DE63F0"/>
    <w:rsid w:val="00DE67E9"/>
    <w:rsid w:val="00DF0404"/>
    <w:rsid w:val="00DF1D6D"/>
    <w:rsid w:val="00DF2386"/>
    <w:rsid w:val="00DF250E"/>
    <w:rsid w:val="00DF47CD"/>
    <w:rsid w:val="00DF57C9"/>
    <w:rsid w:val="00DF64E5"/>
    <w:rsid w:val="00DF7909"/>
    <w:rsid w:val="00DF7BE2"/>
    <w:rsid w:val="00DF7FE7"/>
    <w:rsid w:val="00E00083"/>
    <w:rsid w:val="00E00C22"/>
    <w:rsid w:val="00E012A4"/>
    <w:rsid w:val="00E012F0"/>
    <w:rsid w:val="00E01342"/>
    <w:rsid w:val="00E02662"/>
    <w:rsid w:val="00E02813"/>
    <w:rsid w:val="00E0299B"/>
    <w:rsid w:val="00E02B6E"/>
    <w:rsid w:val="00E02E40"/>
    <w:rsid w:val="00E03835"/>
    <w:rsid w:val="00E03A76"/>
    <w:rsid w:val="00E03EC9"/>
    <w:rsid w:val="00E04803"/>
    <w:rsid w:val="00E0497A"/>
    <w:rsid w:val="00E06DA9"/>
    <w:rsid w:val="00E10665"/>
    <w:rsid w:val="00E10D99"/>
    <w:rsid w:val="00E11F92"/>
    <w:rsid w:val="00E12315"/>
    <w:rsid w:val="00E12F8F"/>
    <w:rsid w:val="00E14A7C"/>
    <w:rsid w:val="00E14B58"/>
    <w:rsid w:val="00E14EFF"/>
    <w:rsid w:val="00E1551C"/>
    <w:rsid w:val="00E15F60"/>
    <w:rsid w:val="00E16A60"/>
    <w:rsid w:val="00E16CC2"/>
    <w:rsid w:val="00E2039A"/>
    <w:rsid w:val="00E21282"/>
    <w:rsid w:val="00E215B3"/>
    <w:rsid w:val="00E217DA"/>
    <w:rsid w:val="00E227DA"/>
    <w:rsid w:val="00E2282D"/>
    <w:rsid w:val="00E2327D"/>
    <w:rsid w:val="00E246D8"/>
    <w:rsid w:val="00E253A0"/>
    <w:rsid w:val="00E25888"/>
    <w:rsid w:val="00E275A6"/>
    <w:rsid w:val="00E27915"/>
    <w:rsid w:val="00E27D44"/>
    <w:rsid w:val="00E27EBA"/>
    <w:rsid w:val="00E3014F"/>
    <w:rsid w:val="00E308E6"/>
    <w:rsid w:val="00E31C01"/>
    <w:rsid w:val="00E32304"/>
    <w:rsid w:val="00E32440"/>
    <w:rsid w:val="00E337BF"/>
    <w:rsid w:val="00E33B83"/>
    <w:rsid w:val="00E354E6"/>
    <w:rsid w:val="00E35DD4"/>
    <w:rsid w:val="00E3621C"/>
    <w:rsid w:val="00E362F2"/>
    <w:rsid w:val="00E36F84"/>
    <w:rsid w:val="00E373B7"/>
    <w:rsid w:val="00E37BA7"/>
    <w:rsid w:val="00E37C3C"/>
    <w:rsid w:val="00E37FD9"/>
    <w:rsid w:val="00E40A72"/>
    <w:rsid w:val="00E41079"/>
    <w:rsid w:val="00E414A4"/>
    <w:rsid w:val="00E42115"/>
    <w:rsid w:val="00E423AF"/>
    <w:rsid w:val="00E42F5B"/>
    <w:rsid w:val="00E43E6D"/>
    <w:rsid w:val="00E43EAD"/>
    <w:rsid w:val="00E43F8B"/>
    <w:rsid w:val="00E4405A"/>
    <w:rsid w:val="00E442B9"/>
    <w:rsid w:val="00E46367"/>
    <w:rsid w:val="00E46967"/>
    <w:rsid w:val="00E472B8"/>
    <w:rsid w:val="00E474AC"/>
    <w:rsid w:val="00E509AF"/>
    <w:rsid w:val="00E51FDB"/>
    <w:rsid w:val="00E521F3"/>
    <w:rsid w:val="00E523FF"/>
    <w:rsid w:val="00E526F8"/>
    <w:rsid w:val="00E529D9"/>
    <w:rsid w:val="00E53B79"/>
    <w:rsid w:val="00E53CE6"/>
    <w:rsid w:val="00E56B26"/>
    <w:rsid w:val="00E57506"/>
    <w:rsid w:val="00E5789B"/>
    <w:rsid w:val="00E61CC2"/>
    <w:rsid w:val="00E625A0"/>
    <w:rsid w:val="00E62FBE"/>
    <w:rsid w:val="00E63735"/>
    <w:rsid w:val="00E63F0B"/>
    <w:rsid w:val="00E64581"/>
    <w:rsid w:val="00E649D4"/>
    <w:rsid w:val="00E64BA3"/>
    <w:rsid w:val="00E651BE"/>
    <w:rsid w:val="00E658F0"/>
    <w:rsid w:val="00E65F4F"/>
    <w:rsid w:val="00E6689D"/>
    <w:rsid w:val="00E66D4B"/>
    <w:rsid w:val="00E675AE"/>
    <w:rsid w:val="00E7009D"/>
    <w:rsid w:val="00E7033E"/>
    <w:rsid w:val="00E71602"/>
    <w:rsid w:val="00E72774"/>
    <w:rsid w:val="00E72C60"/>
    <w:rsid w:val="00E736EE"/>
    <w:rsid w:val="00E74CDB"/>
    <w:rsid w:val="00E74FC5"/>
    <w:rsid w:val="00E755EA"/>
    <w:rsid w:val="00E7574E"/>
    <w:rsid w:val="00E75E9F"/>
    <w:rsid w:val="00E7726B"/>
    <w:rsid w:val="00E772E5"/>
    <w:rsid w:val="00E77FE6"/>
    <w:rsid w:val="00E808CD"/>
    <w:rsid w:val="00E8159A"/>
    <w:rsid w:val="00E81A97"/>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4DE"/>
    <w:rsid w:val="00E94759"/>
    <w:rsid w:val="00E950BB"/>
    <w:rsid w:val="00E9547E"/>
    <w:rsid w:val="00E95665"/>
    <w:rsid w:val="00E95D43"/>
    <w:rsid w:val="00E95F52"/>
    <w:rsid w:val="00E95F58"/>
    <w:rsid w:val="00E96563"/>
    <w:rsid w:val="00E97129"/>
    <w:rsid w:val="00E97CCB"/>
    <w:rsid w:val="00EA012D"/>
    <w:rsid w:val="00EA0263"/>
    <w:rsid w:val="00EA0987"/>
    <w:rsid w:val="00EA1333"/>
    <w:rsid w:val="00EA13DA"/>
    <w:rsid w:val="00EA1FDD"/>
    <w:rsid w:val="00EA1FF6"/>
    <w:rsid w:val="00EA2765"/>
    <w:rsid w:val="00EA312D"/>
    <w:rsid w:val="00EA33CB"/>
    <w:rsid w:val="00EA3486"/>
    <w:rsid w:val="00EA3A7F"/>
    <w:rsid w:val="00EA3FC2"/>
    <w:rsid w:val="00EA43CB"/>
    <w:rsid w:val="00EA444A"/>
    <w:rsid w:val="00EA44B5"/>
    <w:rsid w:val="00EA4DD8"/>
    <w:rsid w:val="00EA53E1"/>
    <w:rsid w:val="00EA683B"/>
    <w:rsid w:val="00EA782A"/>
    <w:rsid w:val="00EB1034"/>
    <w:rsid w:val="00EB151B"/>
    <w:rsid w:val="00EB2FE6"/>
    <w:rsid w:val="00EB4CBD"/>
    <w:rsid w:val="00EB642F"/>
    <w:rsid w:val="00EB682B"/>
    <w:rsid w:val="00EB6F37"/>
    <w:rsid w:val="00EB742B"/>
    <w:rsid w:val="00EB7DA6"/>
    <w:rsid w:val="00EC0504"/>
    <w:rsid w:val="00EC0525"/>
    <w:rsid w:val="00EC1205"/>
    <w:rsid w:val="00EC13B3"/>
    <w:rsid w:val="00EC1696"/>
    <w:rsid w:val="00EC1AA4"/>
    <w:rsid w:val="00EC21D1"/>
    <w:rsid w:val="00EC246F"/>
    <w:rsid w:val="00EC261F"/>
    <w:rsid w:val="00EC32C4"/>
    <w:rsid w:val="00EC3671"/>
    <w:rsid w:val="00EC4FE8"/>
    <w:rsid w:val="00EC61E0"/>
    <w:rsid w:val="00EC6CBC"/>
    <w:rsid w:val="00EC72B0"/>
    <w:rsid w:val="00ED018D"/>
    <w:rsid w:val="00ED0E29"/>
    <w:rsid w:val="00ED1169"/>
    <w:rsid w:val="00ED13F4"/>
    <w:rsid w:val="00ED1F5E"/>
    <w:rsid w:val="00ED36F8"/>
    <w:rsid w:val="00ED39D8"/>
    <w:rsid w:val="00ED45F1"/>
    <w:rsid w:val="00ED4690"/>
    <w:rsid w:val="00ED49D6"/>
    <w:rsid w:val="00ED5297"/>
    <w:rsid w:val="00ED555B"/>
    <w:rsid w:val="00ED6057"/>
    <w:rsid w:val="00ED620B"/>
    <w:rsid w:val="00ED64A9"/>
    <w:rsid w:val="00ED64C2"/>
    <w:rsid w:val="00ED696F"/>
    <w:rsid w:val="00ED72A8"/>
    <w:rsid w:val="00ED7BB2"/>
    <w:rsid w:val="00EE0EB6"/>
    <w:rsid w:val="00EE2010"/>
    <w:rsid w:val="00EE2291"/>
    <w:rsid w:val="00EE309D"/>
    <w:rsid w:val="00EE31AB"/>
    <w:rsid w:val="00EE458C"/>
    <w:rsid w:val="00EE484E"/>
    <w:rsid w:val="00EE4EE3"/>
    <w:rsid w:val="00EE5BD2"/>
    <w:rsid w:val="00EE5CBC"/>
    <w:rsid w:val="00EE63B0"/>
    <w:rsid w:val="00EE7199"/>
    <w:rsid w:val="00EE7826"/>
    <w:rsid w:val="00EE7A86"/>
    <w:rsid w:val="00EF08F0"/>
    <w:rsid w:val="00EF0AB8"/>
    <w:rsid w:val="00EF17AC"/>
    <w:rsid w:val="00EF29EA"/>
    <w:rsid w:val="00EF3C6A"/>
    <w:rsid w:val="00EF56B7"/>
    <w:rsid w:val="00EF5C41"/>
    <w:rsid w:val="00EF5C9D"/>
    <w:rsid w:val="00EF5E91"/>
    <w:rsid w:val="00EF666E"/>
    <w:rsid w:val="00EF7872"/>
    <w:rsid w:val="00F00883"/>
    <w:rsid w:val="00F00D3B"/>
    <w:rsid w:val="00F01352"/>
    <w:rsid w:val="00F02473"/>
    <w:rsid w:val="00F02552"/>
    <w:rsid w:val="00F02661"/>
    <w:rsid w:val="00F02CE6"/>
    <w:rsid w:val="00F0334B"/>
    <w:rsid w:val="00F03C83"/>
    <w:rsid w:val="00F04266"/>
    <w:rsid w:val="00F05742"/>
    <w:rsid w:val="00F05760"/>
    <w:rsid w:val="00F05E48"/>
    <w:rsid w:val="00F05E6F"/>
    <w:rsid w:val="00F06520"/>
    <w:rsid w:val="00F078F1"/>
    <w:rsid w:val="00F1014B"/>
    <w:rsid w:val="00F1054B"/>
    <w:rsid w:val="00F117D1"/>
    <w:rsid w:val="00F1291E"/>
    <w:rsid w:val="00F12CC5"/>
    <w:rsid w:val="00F12D14"/>
    <w:rsid w:val="00F12DEB"/>
    <w:rsid w:val="00F1556C"/>
    <w:rsid w:val="00F15D4B"/>
    <w:rsid w:val="00F165FF"/>
    <w:rsid w:val="00F174F3"/>
    <w:rsid w:val="00F175F5"/>
    <w:rsid w:val="00F17DB8"/>
    <w:rsid w:val="00F17E89"/>
    <w:rsid w:val="00F204C2"/>
    <w:rsid w:val="00F212AF"/>
    <w:rsid w:val="00F21C3F"/>
    <w:rsid w:val="00F228A7"/>
    <w:rsid w:val="00F23187"/>
    <w:rsid w:val="00F234CE"/>
    <w:rsid w:val="00F244A3"/>
    <w:rsid w:val="00F253B4"/>
    <w:rsid w:val="00F26404"/>
    <w:rsid w:val="00F270A8"/>
    <w:rsid w:val="00F279FE"/>
    <w:rsid w:val="00F27F55"/>
    <w:rsid w:val="00F3030C"/>
    <w:rsid w:val="00F30BFA"/>
    <w:rsid w:val="00F31921"/>
    <w:rsid w:val="00F32065"/>
    <w:rsid w:val="00F32A17"/>
    <w:rsid w:val="00F32D03"/>
    <w:rsid w:val="00F32D5B"/>
    <w:rsid w:val="00F341E5"/>
    <w:rsid w:val="00F3425A"/>
    <w:rsid w:val="00F3443C"/>
    <w:rsid w:val="00F344DE"/>
    <w:rsid w:val="00F35512"/>
    <w:rsid w:val="00F36780"/>
    <w:rsid w:val="00F36F5F"/>
    <w:rsid w:val="00F36FA4"/>
    <w:rsid w:val="00F376CC"/>
    <w:rsid w:val="00F41723"/>
    <w:rsid w:val="00F42A0E"/>
    <w:rsid w:val="00F4390C"/>
    <w:rsid w:val="00F43CEA"/>
    <w:rsid w:val="00F440F9"/>
    <w:rsid w:val="00F442BD"/>
    <w:rsid w:val="00F44D2C"/>
    <w:rsid w:val="00F45CC2"/>
    <w:rsid w:val="00F4778D"/>
    <w:rsid w:val="00F47FF5"/>
    <w:rsid w:val="00F512A1"/>
    <w:rsid w:val="00F51804"/>
    <w:rsid w:val="00F51E7B"/>
    <w:rsid w:val="00F5268D"/>
    <w:rsid w:val="00F534C1"/>
    <w:rsid w:val="00F5393C"/>
    <w:rsid w:val="00F53F39"/>
    <w:rsid w:val="00F53F92"/>
    <w:rsid w:val="00F54463"/>
    <w:rsid w:val="00F547A8"/>
    <w:rsid w:val="00F54855"/>
    <w:rsid w:val="00F55052"/>
    <w:rsid w:val="00F551D6"/>
    <w:rsid w:val="00F55389"/>
    <w:rsid w:val="00F553CC"/>
    <w:rsid w:val="00F5542F"/>
    <w:rsid w:val="00F55684"/>
    <w:rsid w:val="00F55A53"/>
    <w:rsid w:val="00F55DD3"/>
    <w:rsid w:val="00F567B1"/>
    <w:rsid w:val="00F573D2"/>
    <w:rsid w:val="00F57402"/>
    <w:rsid w:val="00F60C5C"/>
    <w:rsid w:val="00F60E86"/>
    <w:rsid w:val="00F61B66"/>
    <w:rsid w:val="00F62079"/>
    <w:rsid w:val="00F62368"/>
    <w:rsid w:val="00F624C0"/>
    <w:rsid w:val="00F62C4C"/>
    <w:rsid w:val="00F636DE"/>
    <w:rsid w:val="00F64385"/>
    <w:rsid w:val="00F64D2D"/>
    <w:rsid w:val="00F65080"/>
    <w:rsid w:val="00F6516D"/>
    <w:rsid w:val="00F6652D"/>
    <w:rsid w:val="00F6695E"/>
    <w:rsid w:val="00F66F94"/>
    <w:rsid w:val="00F70903"/>
    <w:rsid w:val="00F70A79"/>
    <w:rsid w:val="00F70F19"/>
    <w:rsid w:val="00F71EAD"/>
    <w:rsid w:val="00F72237"/>
    <w:rsid w:val="00F72F74"/>
    <w:rsid w:val="00F73E71"/>
    <w:rsid w:val="00F7408E"/>
    <w:rsid w:val="00F74893"/>
    <w:rsid w:val="00F76A53"/>
    <w:rsid w:val="00F81721"/>
    <w:rsid w:val="00F8252A"/>
    <w:rsid w:val="00F82F05"/>
    <w:rsid w:val="00F833C7"/>
    <w:rsid w:val="00F83985"/>
    <w:rsid w:val="00F83C91"/>
    <w:rsid w:val="00F83EC8"/>
    <w:rsid w:val="00F845D3"/>
    <w:rsid w:val="00F84BD4"/>
    <w:rsid w:val="00F852B9"/>
    <w:rsid w:val="00F861A9"/>
    <w:rsid w:val="00F86933"/>
    <w:rsid w:val="00F8732B"/>
    <w:rsid w:val="00F90439"/>
    <w:rsid w:val="00F9060F"/>
    <w:rsid w:val="00F9197D"/>
    <w:rsid w:val="00F91BD4"/>
    <w:rsid w:val="00F93D83"/>
    <w:rsid w:val="00F95092"/>
    <w:rsid w:val="00F95CA0"/>
    <w:rsid w:val="00F96BA5"/>
    <w:rsid w:val="00F973A1"/>
    <w:rsid w:val="00F97495"/>
    <w:rsid w:val="00FA030D"/>
    <w:rsid w:val="00FA048F"/>
    <w:rsid w:val="00FA0633"/>
    <w:rsid w:val="00FA07D3"/>
    <w:rsid w:val="00FA0846"/>
    <w:rsid w:val="00FA0C9F"/>
    <w:rsid w:val="00FA10E7"/>
    <w:rsid w:val="00FA1C88"/>
    <w:rsid w:val="00FA229C"/>
    <w:rsid w:val="00FA374C"/>
    <w:rsid w:val="00FA3C83"/>
    <w:rsid w:val="00FA42D8"/>
    <w:rsid w:val="00FA553B"/>
    <w:rsid w:val="00FA585B"/>
    <w:rsid w:val="00FA6A9A"/>
    <w:rsid w:val="00FA7271"/>
    <w:rsid w:val="00FA7A26"/>
    <w:rsid w:val="00FB03BD"/>
    <w:rsid w:val="00FB0811"/>
    <w:rsid w:val="00FB0B2B"/>
    <w:rsid w:val="00FB0D9D"/>
    <w:rsid w:val="00FB187B"/>
    <w:rsid w:val="00FB19B9"/>
    <w:rsid w:val="00FB1B8F"/>
    <w:rsid w:val="00FB1F2D"/>
    <w:rsid w:val="00FB2057"/>
    <w:rsid w:val="00FB41AD"/>
    <w:rsid w:val="00FB528C"/>
    <w:rsid w:val="00FB5403"/>
    <w:rsid w:val="00FB5632"/>
    <w:rsid w:val="00FB584E"/>
    <w:rsid w:val="00FB5B4B"/>
    <w:rsid w:val="00FB620F"/>
    <w:rsid w:val="00FB6359"/>
    <w:rsid w:val="00FB66C4"/>
    <w:rsid w:val="00FB6AC8"/>
    <w:rsid w:val="00FB7688"/>
    <w:rsid w:val="00FB7B82"/>
    <w:rsid w:val="00FB7D22"/>
    <w:rsid w:val="00FC0515"/>
    <w:rsid w:val="00FC0BF5"/>
    <w:rsid w:val="00FC192D"/>
    <w:rsid w:val="00FC2FAB"/>
    <w:rsid w:val="00FC3573"/>
    <w:rsid w:val="00FC40CB"/>
    <w:rsid w:val="00FC462B"/>
    <w:rsid w:val="00FC51FB"/>
    <w:rsid w:val="00FC5A34"/>
    <w:rsid w:val="00FC5AAA"/>
    <w:rsid w:val="00FD2082"/>
    <w:rsid w:val="00FD26F6"/>
    <w:rsid w:val="00FD2E2F"/>
    <w:rsid w:val="00FD30C7"/>
    <w:rsid w:val="00FD3719"/>
    <w:rsid w:val="00FD3733"/>
    <w:rsid w:val="00FD45BC"/>
    <w:rsid w:val="00FD47F3"/>
    <w:rsid w:val="00FD4F37"/>
    <w:rsid w:val="00FD5106"/>
    <w:rsid w:val="00FD591C"/>
    <w:rsid w:val="00FD5E8C"/>
    <w:rsid w:val="00FD67D3"/>
    <w:rsid w:val="00FD76FB"/>
    <w:rsid w:val="00FD7E3B"/>
    <w:rsid w:val="00FE01F5"/>
    <w:rsid w:val="00FE0913"/>
    <w:rsid w:val="00FE0B8A"/>
    <w:rsid w:val="00FE1016"/>
    <w:rsid w:val="00FE19A7"/>
    <w:rsid w:val="00FE2266"/>
    <w:rsid w:val="00FE3C89"/>
    <w:rsid w:val="00FE4857"/>
    <w:rsid w:val="00FE4F4B"/>
    <w:rsid w:val="00FE55E2"/>
    <w:rsid w:val="00FE6512"/>
    <w:rsid w:val="00FE657F"/>
    <w:rsid w:val="00FE7466"/>
    <w:rsid w:val="00FE77DF"/>
    <w:rsid w:val="00FF0082"/>
    <w:rsid w:val="00FF0744"/>
    <w:rsid w:val="00FF0BF2"/>
    <w:rsid w:val="00FF1234"/>
    <w:rsid w:val="00FF25EF"/>
    <w:rsid w:val="00FF2DC2"/>
    <w:rsid w:val="00FF35B1"/>
    <w:rsid w:val="00FF4EEC"/>
    <w:rsid w:val="00FF51BB"/>
    <w:rsid w:val="00FF6D39"/>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D1D83BC"/>
  <w15:docId w15:val="{9CA651F8-7D29-4110-B288-CF5F2A0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s-E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76BBC"/>
    <w:rPr>
      <w:color w:val="605E5C"/>
      <w:shd w:val="clear" w:color="auto" w:fill="E1DFDD"/>
    </w:rPr>
  </w:style>
  <w:style w:type="character" w:styleId="Mention">
    <w:name w:val="Mention"/>
    <w:basedOn w:val="DefaultParagraphFont"/>
    <w:uiPriority w:val="99"/>
    <w:unhideWhenUsed/>
    <w:rsid w:val="007358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65350099">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8828211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6305370">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54442818">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349175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46851372">
      <w:bodyDiv w:val="1"/>
      <w:marLeft w:val="0"/>
      <w:marRight w:val="0"/>
      <w:marTop w:val="0"/>
      <w:marBottom w:val="0"/>
      <w:divBdr>
        <w:top w:val="none" w:sz="0" w:space="0" w:color="auto"/>
        <w:left w:val="none" w:sz="0" w:space="0" w:color="auto"/>
        <w:bottom w:val="none" w:sz="0" w:space="0" w:color="auto"/>
        <w:right w:val="none" w:sz="0" w:space="0" w:color="auto"/>
      </w:divBdr>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47331436">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37641896">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08212375">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financial-statements-year-ended-31-december-2024-report-independent-auditor" TargetMode="External"/><Relationship Id="rId7" Type="http://schemas.openxmlformats.org/officeDocument/2006/relationships/hyperlink" Target="https://www.ramsar.org/document/financial-statements-year-ended-31-december-2024-report-independent-auditor" TargetMode="External"/><Relationship Id="rId2" Type="http://schemas.openxmlformats.org/officeDocument/2006/relationships/hyperlink" Target="https://www.ramsar.org/es/document/sc64-com2-cuestiones-financieras-y-presupuestarias-informe-de-la-reunion-del-subgrupo-de" TargetMode="External"/><Relationship Id="rId1" Type="http://schemas.openxmlformats.org/officeDocument/2006/relationships/hyperlink" Target="https://www.ramsar.org/es/document/sc64-doc91-cuestiones-financieras-y-presupuestarias-informe-sobre-cuestiones-financieras" TargetMode="External"/><Relationship Id="rId6" Type="http://schemas.openxmlformats.org/officeDocument/2006/relationships/hyperlink" Target="https://www.ramsar.org/es/document/resolucion-xiv1-cuestiones-financieras-y-presupuestarias" TargetMode="External"/><Relationship Id="rId5" Type="http://schemas.openxmlformats.org/officeDocument/2006/relationships/hyperlink" Target="https://www.ramsar.org/es/document/sc64-com2-cuestiones-financieras-y-presupuestarias-informe-de-la-reunion-del-subgrupo-de" TargetMode="External"/><Relationship Id="rId4" Type="http://schemas.openxmlformats.org/officeDocument/2006/relationships/hyperlink" Target="https://www.ramsar.org/es/document/resolucion-xiv1-cuestiones-financieras-y-presupuestar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A1E76-278B-452B-874A-3F1920C05DE7}">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D2F95A56-B9DE-4A13-AA2A-A10D8FCA4B5A}">
  <ds:schemaRefs>
    <ds:schemaRef ds:uri="http://schemas.openxmlformats.org/officeDocument/2006/bibliography"/>
  </ds:schemaRefs>
</ds:datastoreItem>
</file>

<file path=customXml/itemProps3.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4.xml><?xml version="1.0" encoding="utf-8"?>
<ds:datastoreItem xmlns:ds="http://schemas.openxmlformats.org/officeDocument/2006/customXml" ds:itemID="{EF56B8DF-4AAC-4CAB-B56C-CC513AEE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4921</Words>
  <Characters>28052</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32908</CharactersWithSpaces>
  <SharedDoc>false</SharedDoc>
  <HLinks>
    <vt:vector size="30" baseType="variant">
      <vt:variant>
        <vt:i4>3670066</vt:i4>
      </vt:variant>
      <vt:variant>
        <vt:i4>15</vt:i4>
      </vt:variant>
      <vt:variant>
        <vt:i4>0</vt:i4>
      </vt:variant>
      <vt:variant>
        <vt:i4>5</vt:i4>
      </vt:variant>
      <vt:variant>
        <vt:lpwstr>https://www.ramsar.org/document/financial-statements-year-ended-31-december-2023-report-independent-auditor</vt:lpwstr>
      </vt:variant>
      <vt:variant>
        <vt:lpwstr/>
      </vt:variant>
      <vt:variant>
        <vt:i4>1310826</vt:i4>
      </vt:variant>
      <vt:variant>
        <vt:i4>9</vt:i4>
      </vt:variant>
      <vt:variant>
        <vt:i4>0</vt:i4>
      </vt:variant>
      <vt:variant>
        <vt:i4>5</vt:i4>
      </vt:variant>
      <vt:variant>
        <vt:lpwstr>https://www.ramsar.org/sites/default/files/2025-01/SC64_com2_report_Subgroup_on_Finance_23jan2025_e.pdf</vt:lpwstr>
      </vt:variant>
      <vt:variant>
        <vt:lpwstr/>
      </vt:variant>
      <vt:variant>
        <vt:i4>2687009</vt:i4>
      </vt:variant>
      <vt:variant>
        <vt:i4>6</vt:i4>
      </vt:variant>
      <vt:variant>
        <vt:i4>0</vt:i4>
      </vt:variant>
      <vt:variant>
        <vt:i4>5</vt:i4>
      </vt:variant>
      <vt:variant>
        <vt:lpwstr>https://www.ramsar.org/document/resolution-xiv1-financial-budgetary-matters</vt:lpwstr>
      </vt:variant>
      <vt:variant>
        <vt:lpwstr/>
      </vt:variant>
      <vt:variant>
        <vt:i4>3670066</vt:i4>
      </vt:variant>
      <vt:variant>
        <vt:i4>3</vt:i4>
      </vt:variant>
      <vt:variant>
        <vt:i4>0</vt:i4>
      </vt:variant>
      <vt:variant>
        <vt:i4>5</vt:i4>
      </vt:variant>
      <vt:variant>
        <vt:lpwstr>https://www.ramsar.org/document/financial-statements-year-ended-31-december-2023-report-independent-auditor</vt:lpwstr>
      </vt:variant>
      <vt:variant>
        <vt:lpwstr/>
      </vt:variant>
      <vt:variant>
        <vt:i4>2687009</vt:i4>
      </vt:variant>
      <vt:variant>
        <vt:i4>0</vt:i4>
      </vt:variant>
      <vt:variant>
        <vt:i4>0</vt:i4>
      </vt:variant>
      <vt:variant>
        <vt:i4>5</vt:i4>
      </vt:variant>
      <vt:variant>
        <vt:lpwstr>https://www.ramsar.org/document/resolution-xiv1-financial-budgetary-matters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8</cp:revision>
  <cp:lastPrinted>2025-03-25T08:07:00Z</cp:lastPrinted>
  <dcterms:created xsi:type="dcterms:W3CDTF">2025-03-28T15:33:00Z</dcterms:created>
  <dcterms:modified xsi:type="dcterms:W3CDTF">2025-04-23T13:09:00Z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