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6DE92" w14:textId="2425D4FC" w:rsidR="00275F13" w:rsidRPr="00EA2DC3" w:rsidRDefault="00824762" w:rsidP="009417F9">
      <w:pPr>
        <w:pBdr>
          <w:top w:val="single" w:sz="12" w:space="0" w:color="auto" w:shadow="1"/>
          <w:left w:val="single" w:sz="12" w:space="4" w:color="auto" w:shadow="1"/>
          <w:bottom w:val="single" w:sz="12" w:space="1" w:color="auto" w:shadow="1"/>
          <w:right w:val="single" w:sz="12" w:space="7" w:color="auto" w:shadow="1"/>
        </w:pBdr>
        <w:ind w:right="4490"/>
        <w:rPr>
          <w:bCs/>
        </w:rPr>
      </w:pPr>
      <w:r w:rsidRPr="00EA2DC3">
        <w:t>LA CONVENCIÓN SOBRE LOS HUMEDALES</w:t>
      </w:r>
    </w:p>
    <w:p w14:paraId="46F54754" w14:textId="593CFA69" w:rsidR="00DF2386" w:rsidRPr="00EA2DC3" w:rsidRDefault="00791423" w:rsidP="009417F9">
      <w:pPr>
        <w:pBdr>
          <w:top w:val="single" w:sz="12" w:space="0" w:color="auto" w:shadow="1"/>
          <w:left w:val="single" w:sz="12" w:space="4" w:color="auto" w:shadow="1"/>
          <w:bottom w:val="single" w:sz="12" w:space="1" w:color="auto" w:shadow="1"/>
          <w:right w:val="single" w:sz="12" w:space="7" w:color="auto" w:shadow="1"/>
        </w:pBdr>
        <w:ind w:right="4490"/>
        <w:rPr>
          <w:bCs/>
        </w:rPr>
      </w:pPr>
      <w:r w:rsidRPr="00EA2DC3">
        <w:t>65ª reunión del Comité Permanente</w:t>
      </w:r>
    </w:p>
    <w:p w14:paraId="4ABE3583" w14:textId="0ECA77CD" w:rsidR="00DF2386" w:rsidRPr="00EA2DC3" w:rsidRDefault="00791423" w:rsidP="009417F9">
      <w:pPr>
        <w:pBdr>
          <w:top w:val="single" w:sz="12" w:space="0" w:color="auto" w:shadow="1"/>
          <w:left w:val="single" w:sz="12" w:space="4" w:color="auto" w:shadow="1"/>
          <w:bottom w:val="single" w:sz="12" w:space="1" w:color="auto" w:shadow="1"/>
          <w:right w:val="single" w:sz="12" w:space="7" w:color="auto" w:shadow="1"/>
        </w:pBdr>
        <w:ind w:right="4490"/>
        <w:rPr>
          <w:bCs/>
          <w:sz w:val="24"/>
          <w:szCs w:val="24"/>
        </w:rPr>
      </w:pPr>
      <w:r w:rsidRPr="00EA2DC3">
        <w:t xml:space="preserve">Victoria Falls (Zimbabwe), 23 de julio de 2025 </w:t>
      </w:r>
    </w:p>
    <w:p w14:paraId="7E17ADD0" w14:textId="0304D779" w:rsidR="00DF2386" w:rsidRPr="00EA2DC3" w:rsidRDefault="00DF2386" w:rsidP="00014168">
      <w:pPr>
        <w:outlineLvl w:val="0"/>
        <w:rPr>
          <w:b/>
        </w:rPr>
      </w:pPr>
    </w:p>
    <w:p w14:paraId="6D7412D9" w14:textId="21FD463A" w:rsidR="00DF2386" w:rsidRPr="00EA2DC3" w:rsidRDefault="00791423" w:rsidP="00014168">
      <w:pPr>
        <w:jc w:val="right"/>
        <w:rPr>
          <w:rFonts w:cs="Arial"/>
          <w:sz w:val="28"/>
          <w:szCs w:val="28"/>
        </w:rPr>
      </w:pPr>
      <w:r w:rsidRPr="00EA2DC3">
        <w:rPr>
          <w:b/>
          <w:sz w:val="28"/>
          <w:szCs w:val="28"/>
        </w:rPr>
        <w:t xml:space="preserve">SC65 Doc.8.2 </w:t>
      </w:r>
    </w:p>
    <w:p w14:paraId="19040CA4" w14:textId="77777777" w:rsidR="00DF2386" w:rsidRPr="00EA2DC3" w:rsidRDefault="00DF2386" w:rsidP="00014168">
      <w:pPr>
        <w:rPr>
          <w:rFonts w:cs="Arial"/>
          <w:b/>
          <w:sz w:val="28"/>
          <w:szCs w:val="28"/>
        </w:rPr>
      </w:pPr>
    </w:p>
    <w:p w14:paraId="6F8E9CD8" w14:textId="551669EA" w:rsidR="007804BE" w:rsidRPr="00EA2DC3" w:rsidRDefault="007804BE" w:rsidP="0016536F">
      <w:pPr>
        <w:ind w:left="0" w:firstLine="0"/>
        <w:jc w:val="center"/>
        <w:rPr>
          <w:rFonts w:cs="Arial"/>
          <w:b/>
          <w:sz w:val="28"/>
          <w:szCs w:val="28"/>
        </w:rPr>
      </w:pPr>
      <w:r w:rsidRPr="00EA2DC3">
        <w:rPr>
          <w:b/>
          <w:sz w:val="28"/>
          <w:szCs w:val="28"/>
        </w:rPr>
        <w:t>Cuestiones financieras y presupuestarias:</w:t>
      </w:r>
    </w:p>
    <w:p w14:paraId="150AA350" w14:textId="7B8AB211" w:rsidR="00DF2386" w:rsidRPr="00EA2DC3" w:rsidRDefault="005E1822" w:rsidP="0016536F">
      <w:pPr>
        <w:ind w:left="0" w:firstLine="0"/>
        <w:jc w:val="center"/>
        <w:rPr>
          <w:rFonts w:cs="Arial"/>
          <w:b/>
          <w:sz w:val="28"/>
          <w:szCs w:val="28"/>
        </w:rPr>
      </w:pPr>
      <w:r w:rsidRPr="00EA2DC3">
        <w:rPr>
          <w:b/>
          <w:sz w:val="28"/>
          <w:szCs w:val="28"/>
        </w:rPr>
        <w:t>información actualizada sobre las contribuciones anuales para 2024</w:t>
      </w:r>
    </w:p>
    <w:p w14:paraId="5427F22D" w14:textId="77777777" w:rsidR="00DF2386" w:rsidRPr="00EA2DC3" w:rsidRDefault="00DF2386" w:rsidP="00014168">
      <w:pPr>
        <w:rPr>
          <w:rFonts w:ascii="Garamond" w:hAnsi="Garamond" w:cs="Arial"/>
        </w:rPr>
      </w:pPr>
    </w:p>
    <w:p w14:paraId="1B829871" w14:textId="1756F5AF" w:rsidR="000C2489" w:rsidRPr="00EA2DC3" w:rsidRDefault="000C2489" w:rsidP="00014168">
      <w:pPr>
        <w:autoSpaceDE w:val="0"/>
        <w:autoSpaceDN w:val="0"/>
        <w:adjustRightInd w:val="0"/>
        <w:rPr>
          <w:rFonts w:asciiTheme="minorHAnsi" w:eastAsiaTheme="minorHAnsi" w:hAnsiTheme="minorHAnsi" w:cs="Calibri-Bold"/>
          <w:b/>
          <w:bCs/>
        </w:rPr>
      </w:pPr>
    </w:p>
    <w:p w14:paraId="7C1EF6B2" w14:textId="3835BCE6" w:rsidR="009E0AE8" w:rsidRPr="00EA2DC3" w:rsidRDefault="00EA2DC3" w:rsidP="00014168">
      <w:pPr>
        <w:rPr>
          <w:rFonts w:cs="Arial"/>
          <w:b/>
        </w:rPr>
      </w:pPr>
      <w:r w:rsidRPr="00EA2DC3">
        <w:rPr>
          <w:noProof/>
        </w:rPr>
        <mc:AlternateContent>
          <mc:Choice Requires="wps">
            <w:drawing>
              <wp:inline distT="0" distB="0" distL="0" distR="0" wp14:anchorId="009C8EB6" wp14:editId="75C9D264">
                <wp:extent cx="5731510" cy="1637414"/>
                <wp:effectExtent l="0" t="0" r="21590" b="2032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37414"/>
                        </a:xfrm>
                        <a:prstGeom prst="rect">
                          <a:avLst/>
                        </a:prstGeom>
                        <a:solidFill>
                          <a:srgbClr val="FFFFFF"/>
                        </a:solidFill>
                        <a:ln w="9525">
                          <a:solidFill>
                            <a:srgbClr val="000000"/>
                          </a:solidFill>
                          <a:miter lim="800000"/>
                          <a:headEnd/>
                          <a:tailEnd/>
                        </a:ln>
                      </wps:spPr>
                      <wps:txbx>
                        <w:txbxContent>
                          <w:p w14:paraId="085BC88E" w14:textId="77777777" w:rsidR="00EA2DC3" w:rsidRDefault="00EA2DC3" w:rsidP="00EA2DC3">
                            <w:pPr>
                              <w:rPr>
                                <w:b/>
                                <w:bCs/>
                              </w:rPr>
                            </w:pPr>
                            <w:r>
                              <w:rPr>
                                <w:b/>
                                <w:bCs/>
                              </w:rPr>
                              <w:t xml:space="preserve">Acción solicitada: </w:t>
                            </w:r>
                          </w:p>
                          <w:p w14:paraId="4429AE00" w14:textId="77777777" w:rsidR="00EA2DC3" w:rsidRDefault="00EA2DC3" w:rsidP="00EA2DC3">
                            <w:pPr>
                              <w:pStyle w:val="ColorfulList-Accent11"/>
                              <w:ind w:left="0"/>
                            </w:pPr>
                          </w:p>
                          <w:p w14:paraId="0E051B9B" w14:textId="77777777" w:rsidR="00EA2DC3" w:rsidRDefault="00EA2DC3" w:rsidP="00EA2DC3">
                            <w:pPr>
                              <w:pStyle w:val="ColorfulList-Accent11"/>
                              <w:ind w:left="0" w:firstLine="0"/>
                              <w:rPr>
                                <w:rFonts w:cs="Calibri"/>
                              </w:rPr>
                            </w:pPr>
                            <w:r>
                              <w:t>Se invita al Comité Permanente a hacer lo siguiente:</w:t>
                            </w:r>
                          </w:p>
                          <w:p w14:paraId="7500C878" w14:textId="77777777" w:rsidR="00EA2DC3" w:rsidRDefault="00EA2DC3" w:rsidP="00EA2DC3">
                            <w:pPr>
                              <w:pStyle w:val="ColorfulList-Accent11"/>
                              <w:ind w:left="0" w:firstLine="0"/>
                              <w:rPr>
                                <w:rFonts w:cs="Calibri"/>
                              </w:rPr>
                            </w:pPr>
                          </w:p>
                          <w:p w14:paraId="3A17A884" w14:textId="77777777" w:rsidR="00EA2DC3" w:rsidRPr="00CD1946" w:rsidRDefault="00EA2DC3" w:rsidP="00EA2DC3">
                            <w:pPr>
                              <w:pStyle w:val="ColorfulList-Accent11"/>
                              <w:ind w:left="425"/>
                              <w:rPr>
                                <w:rFonts w:cs="Calibri"/>
                              </w:rPr>
                            </w:pPr>
                            <w:r>
                              <w:t>i.</w:t>
                            </w:r>
                            <w:r>
                              <w:tab/>
                              <w:t xml:space="preserve">tomar nota de la modificación de la provisión anual para contribuciones pendientes de pagos al 31 de diciembre de 2024; y </w:t>
                            </w:r>
                          </w:p>
                          <w:p w14:paraId="38A8B2C9" w14:textId="77777777" w:rsidR="00EA2DC3" w:rsidRPr="00CD1946" w:rsidRDefault="00EA2DC3" w:rsidP="00EA2DC3">
                            <w:pPr>
                              <w:pStyle w:val="ColorfulList-Accent11"/>
                              <w:ind w:left="425"/>
                              <w:rPr>
                                <w:rFonts w:cs="Calibri"/>
                              </w:rPr>
                            </w:pPr>
                          </w:p>
                          <w:p w14:paraId="3ADF92E6" w14:textId="77777777" w:rsidR="00EA2DC3" w:rsidRDefault="00EA2DC3" w:rsidP="00EA2DC3">
                            <w:pPr>
                              <w:pStyle w:val="ColorfulList-Accent11"/>
                              <w:ind w:left="425"/>
                              <w:rPr>
                                <w:rFonts w:cs="Calibri"/>
                              </w:rPr>
                            </w:pPr>
                            <w:r>
                              <w:t>ii.</w:t>
                            </w:r>
                            <w:r>
                              <w:tab/>
                              <w:t>tomar nota del saldo actualizado de las contribuciones voluntarias de la región de África al 31 de enero de 2025.</w:t>
                            </w:r>
                          </w:p>
                          <w:p w14:paraId="2E135F24" w14:textId="77777777" w:rsidR="00EA2DC3" w:rsidRDefault="00EA2DC3" w:rsidP="00EA2DC3">
                            <w:pPr>
                              <w:pStyle w:val="ColorfulList-Accent11"/>
                              <w:ind w:left="0" w:firstLine="0"/>
                            </w:pPr>
                          </w:p>
                        </w:txbxContent>
                      </wps:txbx>
                      <wps:bodyPr rot="0" vert="horz" wrap="square" lIns="91440" tIns="45720" rIns="91440" bIns="45720" anchor="t" anchorCtr="0" upright="1">
                        <a:noAutofit/>
                      </wps:bodyPr>
                    </wps:wsp>
                  </a:graphicData>
                </a:graphic>
              </wp:inline>
            </w:drawing>
          </mc:Choice>
          <mc:Fallback>
            <w:pict>
              <v:shapetype w14:anchorId="009C8EB6" id="_x0000_t202" coordsize="21600,21600" o:spt="202" path="m,l,21600r21600,l21600,xe">
                <v:stroke joinstyle="miter"/>
                <v:path gradientshapeok="t" o:connecttype="rect"/>
              </v:shapetype>
              <v:shape id="Text Box 1" o:spid="_x0000_s1026" type="#_x0000_t202" style="width:451.3pt;height:1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">
                <v:textbox>
                  <w:txbxContent>
                    <w:p w14:paraId="085BC88E" w14:textId="77777777" w:rsidR="00EA2DC3" w:rsidRDefault="00EA2DC3" w:rsidP="00EA2DC3">
                      <w:pPr>
                        <w:rPr>
                          <w:b/>
                          <w:bCs/>
                        </w:rPr>
                      </w:pPr>
                      <w:r>
                        <w:rPr>
                          <w:b/>
                          <w:bCs/>
                        </w:rPr>
                        <w:t xml:space="preserve">Acción solicitada: </w:t>
                      </w:r>
                    </w:p>
                    <w:p w14:paraId="4429AE00" w14:textId="77777777" w:rsidR="00EA2DC3" w:rsidRDefault="00EA2DC3" w:rsidP="00EA2DC3">
                      <w:pPr>
                        <w:pStyle w:val="ColorfulList-Accent11"/>
                        <w:ind w:left="0"/>
                      </w:pPr>
                    </w:p>
                    <w:p w14:paraId="0E051B9B" w14:textId="77777777" w:rsidR="00EA2DC3" w:rsidRDefault="00EA2DC3" w:rsidP="00EA2DC3">
                      <w:pPr>
                        <w:pStyle w:val="ColorfulList-Accent11"/>
                        <w:ind w:left="0" w:firstLine="0"/>
                        <w:rPr>
                          <w:rFonts w:cs="Calibri"/>
                        </w:rPr>
                      </w:pPr>
                      <w:r>
                        <w:t>Se invita al Comité Permanente a hacer lo siguiente:</w:t>
                      </w:r>
                    </w:p>
                    <w:p w14:paraId="7500C878" w14:textId="77777777" w:rsidR="00EA2DC3" w:rsidRDefault="00EA2DC3" w:rsidP="00EA2DC3">
                      <w:pPr>
                        <w:pStyle w:val="ColorfulList-Accent11"/>
                        <w:ind w:left="0" w:firstLine="0"/>
                        <w:rPr>
                          <w:rFonts w:cs="Calibri"/>
                        </w:rPr>
                      </w:pPr>
                    </w:p>
                    <w:p w14:paraId="3A17A884" w14:textId="77777777" w:rsidR="00EA2DC3" w:rsidRPr="00CD1946" w:rsidRDefault="00EA2DC3" w:rsidP="00EA2DC3">
                      <w:pPr>
                        <w:pStyle w:val="ColorfulList-Accent11"/>
                        <w:ind w:left="425"/>
                        <w:rPr>
                          <w:rFonts w:cs="Calibri"/>
                        </w:rPr>
                      </w:pPr>
                      <w:r>
                        <w:t>i.</w:t>
                      </w:r>
                      <w:r>
                        <w:tab/>
                        <w:t xml:space="preserve">tomar nota de la modificación de la provisión anual para contribuciones pendientes de pagos al 31 de diciembre de 2024; y </w:t>
                      </w:r>
                    </w:p>
                    <w:p w14:paraId="38A8B2C9" w14:textId="77777777" w:rsidR="00EA2DC3" w:rsidRPr="00CD1946" w:rsidRDefault="00EA2DC3" w:rsidP="00EA2DC3">
                      <w:pPr>
                        <w:pStyle w:val="ColorfulList-Accent11"/>
                        <w:ind w:left="425"/>
                        <w:rPr>
                          <w:rFonts w:cs="Calibri"/>
                        </w:rPr>
                      </w:pPr>
                    </w:p>
                    <w:p w14:paraId="3ADF92E6" w14:textId="77777777" w:rsidR="00EA2DC3" w:rsidRDefault="00EA2DC3" w:rsidP="00EA2DC3">
                      <w:pPr>
                        <w:pStyle w:val="ColorfulList-Accent11"/>
                        <w:ind w:left="425"/>
                        <w:rPr>
                          <w:rFonts w:cs="Calibri"/>
                        </w:rPr>
                      </w:pPr>
                      <w:r>
                        <w:t>ii.</w:t>
                      </w:r>
                      <w:r>
                        <w:tab/>
                        <w:t>tomar nota del saldo actualizado de las contribuciones voluntarias de la región de África al 31 de enero de 2025.</w:t>
                      </w:r>
                    </w:p>
                    <w:p w14:paraId="2E135F24" w14:textId="77777777" w:rsidR="00EA2DC3" w:rsidRDefault="00EA2DC3" w:rsidP="00EA2DC3">
                      <w:pPr>
                        <w:pStyle w:val="ColorfulList-Accent11"/>
                        <w:ind w:left="0" w:firstLine="0"/>
                      </w:pPr>
                    </w:p>
                  </w:txbxContent>
                </v:textbox>
                <w10:anchorlock/>
              </v:shape>
            </w:pict>
          </mc:Fallback>
        </mc:AlternateContent>
      </w:r>
    </w:p>
    <w:p w14:paraId="571B824B" w14:textId="07DAB3D4" w:rsidR="009E4DFA" w:rsidRDefault="009E4DFA" w:rsidP="00014168">
      <w:pPr>
        <w:rPr>
          <w:rFonts w:cs="Arial"/>
          <w:b/>
        </w:rPr>
      </w:pPr>
    </w:p>
    <w:p w14:paraId="176593FC" w14:textId="77777777" w:rsidR="00254583" w:rsidRPr="00EA2DC3" w:rsidRDefault="00254583" w:rsidP="00014168">
      <w:pPr>
        <w:rPr>
          <w:rFonts w:cs="Arial"/>
          <w:b/>
        </w:rPr>
      </w:pPr>
    </w:p>
    <w:p w14:paraId="368852E9" w14:textId="5780FD69" w:rsidR="000C2489" w:rsidRPr="00EA2DC3" w:rsidRDefault="00D1615B" w:rsidP="00014168">
      <w:pPr>
        <w:rPr>
          <w:rFonts w:cs="Arial"/>
          <w:b/>
        </w:rPr>
      </w:pPr>
      <w:r w:rsidRPr="00EA2DC3">
        <w:rPr>
          <w:b/>
        </w:rPr>
        <w:t>Antecedentes</w:t>
      </w:r>
    </w:p>
    <w:p w14:paraId="6697EA2C" w14:textId="77777777" w:rsidR="009C7169" w:rsidRPr="00EA2DC3" w:rsidRDefault="009C7169" w:rsidP="00791423">
      <w:pPr>
        <w:rPr>
          <w:rFonts w:cs="Arial"/>
        </w:rPr>
      </w:pPr>
    </w:p>
    <w:p w14:paraId="0B4114F8" w14:textId="6FAFBBDD" w:rsidR="009C7169" w:rsidRPr="00EA2DC3" w:rsidRDefault="00A262EA" w:rsidP="00791423">
      <w:pPr>
        <w:rPr>
          <w:rFonts w:cs="Arial"/>
        </w:rPr>
      </w:pPr>
      <w:r w:rsidRPr="00EA2DC3">
        <w:t>1.</w:t>
      </w:r>
      <w:r w:rsidRPr="00EA2DC3">
        <w:tab/>
        <w:t>La Secretaría informó al Comité Permanente en su 64</w:t>
      </w:r>
      <w:r w:rsidRPr="00EA2DC3">
        <w:rPr>
          <w:vertAlign w:val="superscript"/>
        </w:rPr>
        <w:t>a</w:t>
      </w:r>
      <w:r w:rsidRPr="00EA2DC3">
        <w:t xml:space="preserve"> reunión (SC64), en el documento SC64 Doc.9.2 Rev.1, sobre el estado de las contribuciones anuales al 31 de diciembre de 2024 y las acciones previstas para 2025 a fin de seguir fomentando el pago de las contribuciones anuales</w:t>
      </w:r>
      <w:r w:rsidR="00B13260" w:rsidRPr="00EA2DC3">
        <w:rPr>
          <w:rStyle w:val="FootnoteReference"/>
          <w:rFonts w:cs="Arial"/>
        </w:rPr>
        <w:footnoteReference w:id="2"/>
      </w:r>
      <w:r w:rsidRPr="00EA2DC3">
        <w:t>. En el anexo 1 de dicho documento se indicaba el estado de las cuotas al 31 de diciembre de 2024 para cada una de las Partes Contratantes.</w:t>
      </w:r>
    </w:p>
    <w:p w14:paraId="56FB0D26" w14:textId="77777777" w:rsidR="009C7169" w:rsidRPr="00EA2DC3" w:rsidRDefault="009C7169" w:rsidP="00791423">
      <w:pPr>
        <w:rPr>
          <w:rFonts w:cs="Arial"/>
        </w:rPr>
      </w:pPr>
    </w:p>
    <w:p w14:paraId="0C00AA2D" w14:textId="4A8AA6A3" w:rsidR="00AF6002" w:rsidRPr="00EA2DC3" w:rsidRDefault="00A262EA" w:rsidP="00791423">
      <w:pPr>
        <w:rPr>
          <w:rFonts w:cs="Arial"/>
        </w:rPr>
      </w:pPr>
      <w:r w:rsidRPr="00EA2DC3">
        <w:t>2.</w:t>
      </w:r>
      <w:r w:rsidRPr="00EA2DC3">
        <w:tab/>
        <w:t>Mediante la Decisión SC64-40, partes i), ii) y iii)</w:t>
      </w:r>
      <w:r w:rsidR="00894D44" w:rsidRPr="00EA2DC3">
        <w:rPr>
          <w:rStyle w:val="FootnoteReference"/>
          <w:rFonts w:cs="Arial"/>
        </w:rPr>
        <w:footnoteReference w:id="3"/>
      </w:r>
      <w:r w:rsidRPr="00EA2DC3">
        <w:t>, el Comité Permanente tomó nota del estado de las cuotas asignadas al final de 2024, tomó nota del mismo como parte del proceso de auditoría, y tomó nota de las acciones para seguir fomentando el pago de las contribuciones anuales por las Partes Contratantes.</w:t>
      </w:r>
    </w:p>
    <w:p w14:paraId="105DBCA4" w14:textId="77777777" w:rsidR="009E4DFA" w:rsidRPr="00EA2DC3" w:rsidRDefault="009E4DFA" w:rsidP="00E1484F">
      <w:pPr>
        <w:rPr>
          <w:rFonts w:cs="Arial"/>
          <w:b/>
        </w:rPr>
      </w:pPr>
    </w:p>
    <w:p w14:paraId="7E8E1A17" w14:textId="421A9CA2" w:rsidR="00D1615B" w:rsidRPr="00EA2DC3" w:rsidRDefault="00D1615B" w:rsidP="0089531A">
      <w:pPr>
        <w:keepNext/>
        <w:rPr>
          <w:rFonts w:cs="Arial"/>
          <w:b/>
        </w:rPr>
      </w:pPr>
      <w:r w:rsidRPr="00EA2DC3">
        <w:rPr>
          <w:b/>
        </w:rPr>
        <w:t>Estado de las contribuciones anuales y provisión por mora</w:t>
      </w:r>
    </w:p>
    <w:p w14:paraId="32C1C199" w14:textId="77777777" w:rsidR="001B46E8" w:rsidRPr="00EA2DC3" w:rsidRDefault="001B46E8" w:rsidP="0089531A">
      <w:pPr>
        <w:keepNext/>
        <w:rPr>
          <w:rFonts w:cs="Arial"/>
          <w:b/>
        </w:rPr>
      </w:pPr>
    </w:p>
    <w:p w14:paraId="4C089A29" w14:textId="2BA51B4B" w:rsidR="001B46E8" w:rsidRPr="00EA2DC3" w:rsidRDefault="00D9682F" w:rsidP="001B46E8">
      <w:pPr>
        <w:rPr>
          <w:rFonts w:cs="Arial"/>
        </w:rPr>
      </w:pPr>
      <w:r w:rsidRPr="00EA2DC3">
        <w:t>3.</w:t>
      </w:r>
      <w:r w:rsidRPr="00EA2DC3">
        <w:tab/>
        <w:t xml:space="preserve">Al 31 de diciembre de 2024, 108 Partes Contratantes habían pagado todas sus contribuciones hasta 2023 inclusive (en comparación con las 106 Partes que, al final de 2023 habían pagado sus contribuciones correspondientes a los años hasta 2022). De estas 108 Partes, 85 también habían pagado sus contribuciones completas para 2024 (en comparación con 89 Partes en 2023). Estos resultados se resumen en la figura 1, a continuación. La Secretaría expresa a estas Partes Contratantes su agradecimiento por sus pagos constantes y puntuales. Además, en 2024, 10 Partes ya habían pagado un total de 487 000 francos suizos correspondientes a sus contribuciones para 2025. </w:t>
      </w:r>
    </w:p>
    <w:p w14:paraId="61C5B078" w14:textId="77777777" w:rsidR="001B46E8" w:rsidRPr="00EA2DC3" w:rsidRDefault="001B46E8" w:rsidP="0089531A">
      <w:pPr>
        <w:keepNext/>
        <w:rPr>
          <w:rFonts w:cs="Arial"/>
          <w:b/>
        </w:rPr>
      </w:pPr>
    </w:p>
    <w:p w14:paraId="2F29CCEF" w14:textId="77777777" w:rsidR="001B46E8" w:rsidRPr="00EA2DC3" w:rsidRDefault="001B46E8" w:rsidP="00254583">
      <w:pPr>
        <w:keepNext/>
        <w:ind w:left="0" w:firstLine="0"/>
        <w:rPr>
          <w:rFonts w:cs="Arial"/>
          <w:i/>
        </w:rPr>
      </w:pPr>
      <w:r w:rsidRPr="00EA2DC3">
        <w:rPr>
          <w:i/>
        </w:rPr>
        <w:t>Figura 1: Número de Partes Contratantes, por estado de contribuciones pendientes de pago al final de 2024</w:t>
      </w:r>
    </w:p>
    <w:p w14:paraId="4D3DD0C4" w14:textId="1BF3D026" w:rsidR="001B46E8" w:rsidRPr="00EA2DC3" w:rsidRDefault="00787E09" w:rsidP="001B46E8">
      <w:pPr>
        <w:rPr>
          <w:rFonts w:cs="Arial"/>
        </w:rPr>
      </w:pPr>
      <w:r w:rsidRPr="00EA2DC3">
        <w:rPr>
          <w:noProof/>
        </w:rPr>
        <w:drawing>
          <wp:inline distT="0" distB="0" distL="0" distR="0" wp14:anchorId="36943117" wp14:editId="42CF2AD9">
            <wp:extent cx="5852160" cy="2764301"/>
            <wp:effectExtent l="0" t="0" r="15240" b="17145"/>
            <wp:docPr id="20184343" name="Chart 1">
              <a:extLst xmlns:a="http://schemas.openxmlformats.org/drawingml/2006/main">
                <a:ext uri="{FF2B5EF4-FFF2-40B4-BE49-F238E27FC236}">
                  <a16:creationId xmlns:a16="http://schemas.microsoft.com/office/drawing/2014/main" id="{A6E9FAA9-4585-45FD-928A-5CF2A1B85F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9F7C29" w14:textId="77777777" w:rsidR="00A82C82" w:rsidRPr="00EA2DC3" w:rsidRDefault="00A82C82" w:rsidP="001B46E8">
      <w:pPr>
        <w:rPr>
          <w:rFonts w:cs="Arial"/>
        </w:rPr>
      </w:pPr>
    </w:p>
    <w:p w14:paraId="011B1AF1" w14:textId="77777777" w:rsidR="00A82C82" w:rsidRPr="00EA2DC3" w:rsidRDefault="00A82C82" w:rsidP="001B46E8">
      <w:pPr>
        <w:rPr>
          <w:rFonts w:cs="Arial"/>
        </w:rPr>
      </w:pPr>
    </w:p>
    <w:p w14:paraId="577EC119" w14:textId="08243B70" w:rsidR="001B46E8" w:rsidRPr="00EA2DC3" w:rsidRDefault="00D9682F" w:rsidP="001B46E8">
      <w:pPr>
        <w:rPr>
          <w:rFonts w:cs="Arial"/>
        </w:rPr>
      </w:pPr>
      <w:r w:rsidRPr="00EA2DC3">
        <w:t>4.</w:t>
      </w:r>
      <w:r w:rsidRPr="00EA2DC3">
        <w:tab/>
        <w:t xml:space="preserve">En el cuadro 1 que figura a continuación, se presenta un desglose comparativo del saldo de las contribuciones pendientes de pago al 31 de diciembre de 2023 y al 31 de diciembre de 2024. </w:t>
      </w:r>
      <w:r w:rsidR="008C5943">
        <w:t>El</w:t>
      </w:r>
      <w:r w:rsidRPr="00EA2DC3">
        <w:t xml:space="preserve"> cuadro refleja un incremento total del saldo de las contribuciones pendientes de pago de 262 000 francos suizos. </w:t>
      </w:r>
    </w:p>
    <w:p w14:paraId="34C2CA61" w14:textId="77777777" w:rsidR="001B46E8" w:rsidRPr="00EA2DC3" w:rsidRDefault="001B46E8" w:rsidP="001B46E8">
      <w:pPr>
        <w:rPr>
          <w:rFonts w:cs="Arial"/>
        </w:rPr>
      </w:pPr>
    </w:p>
    <w:p w14:paraId="2FDAAD1A" w14:textId="13B3FD9E" w:rsidR="001B46E8" w:rsidRPr="00EA2DC3" w:rsidRDefault="001B46E8" w:rsidP="001B46E8">
      <w:pPr>
        <w:keepNext/>
        <w:ind w:left="0" w:firstLine="0"/>
        <w:rPr>
          <w:rFonts w:cs="Arial"/>
        </w:rPr>
      </w:pPr>
      <w:r w:rsidRPr="00EA2DC3">
        <w:rPr>
          <w:i/>
        </w:rPr>
        <w:t>Cuadro 1: Saldos de las contribuciones pendientes de pago, al 31 de diciembre de 2023, en comparación con el 31 de diciembre de 2024 (en miles de francos suizos, incluidas las posibles diferencias de redondeo)</w:t>
      </w:r>
    </w:p>
    <w:tbl>
      <w:tblPr>
        <w:tblW w:w="929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396"/>
        <w:gridCol w:w="2299"/>
        <w:gridCol w:w="2299"/>
        <w:gridCol w:w="2299"/>
      </w:tblGrid>
      <w:tr w:rsidR="001B46E8" w:rsidRPr="00EA2DC3" w14:paraId="49A9F76D" w14:textId="77777777" w:rsidTr="00397883">
        <w:trPr>
          <w:trHeight w:val="829"/>
        </w:trPr>
        <w:tc>
          <w:tcPr>
            <w:tcW w:w="2396" w:type="dxa"/>
            <w:shd w:val="clear" w:color="auto" w:fill="C6D9F1" w:themeFill="text2" w:themeFillTint="33"/>
            <w:noWrap/>
            <w:vAlign w:val="center"/>
            <w:hideMark/>
          </w:tcPr>
          <w:p w14:paraId="732F8B52" w14:textId="77777777" w:rsidR="001B46E8" w:rsidRPr="00EA2DC3" w:rsidRDefault="001B46E8" w:rsidP="00397883">
            <w:pPr>
              <w:keepNext/>
              <w:ind w:left="0" w:firstLine="0"/>
              <w:jc w:val="center"/>
              <w:rPr>
                <w:b/>
              </w:rPr>
            </w:pPr>
            <w:r w:rsidRPr="00EA2DC3">
              <w:rPr>
                <w:b/>
              </w:rPr>
              <w:t xml:space="preserve">Año adeudado </w:t>
            </w:r>
          </w:p>
        </w:tc>
        <w:tc>
          <w:tcPr>
            <w:tcW w:w="2299" w:type="dxa"/>
            <w:shd w:val="clear" w:color="auto" w:fill="C6D9F1" w:themeFill="text2" w:themeFillTint="33"/>
          </w:tcPr>
          <w:p w14:paraId="0200B092" w14:textId="77777777" w:rsidR="001B46E8" w:rsidRPr="00EA2DC3" w:rsidRDefault="001B46E8" w:rsidP="00397883">
            <w:pPr>
              <w:keepNext/>
              <w:ind w:left="0" w:firstLine="0"/>
              <w:jc w:val="center"/>
              <w:rPr>
                <w:b/>
              </w:rPr>
            </w:pPr>
            <w:r w:rsidRPr="00EA2DC3">
              <w:rPr>
                <w:b/>
              </w:rPr>
              <w:t>Saldo de contribuciones pendientes (en miles de francos suizos)</w:t>
            </w:r>
            <w:r w:rsidRPr="00EA2DC3">
              <w:rPr>
                <w:b/>
              </w:rPr>
              <w:br/>
              <w:t>31/12/2023</w:t>
            </w:r>
          </w:p>
        </w:tc>
        <w:tc>
          <w:tcPr>
            <w:tcW w:w="2299" w:type="dxa"/>
            <w:shd w:val="clear" w:color="auto" w:fill="C6D9F1" w:themeFill="text2" w:themeFillTint="33"/>
            <w:vAlign w:val="bottom"/>
            <w:hideMark/>
          </w:tcPr>
          <w:p w14:paraId="6F82742E" w14:textId="77777777" w:rsidR="001B46E8" w:rsidRPr="00EA2DC3" w:rsidRDefault="001B46E8" w:rsidP="00397883">
            <w:pPr>
              <w:keepNext/>
              <w:ind w:left="0" w:firstLine="0"/>
              <w:jc w:val="center"/>
              <w:rPr>
                <w:b/>
              </w:rPr>
            </w:pPr>
            <w:r w:rsidRPr="00EA2DC3">
              <w:rPr>
                <w:b/>
              </w:rPr>
              <w:t>Saldo de contribuciones pendientes (en miles de francos suizos)</w:t>
            </w:r>
            <w:r w:rsidRPr="00EA2DC3">
              <w:rPr>
                <w:b/>
              </w:rPr>
              <w:br/>
              <w:t>31/12/2024</w:t>
            </w:r>
          </w:p>
        </w:tc>
        <w:tc>
          <w:tcPr>
            <w:tcW w:w="2299" w:type="dxa"/>
            <w:shd w:val="clear" w:color="auto" w:fill="C6D9F1" w:themeFill="text2" w:themeFillTint="33"/>
            <w:vAlign w:val="center"/>
            <w:hideMark/>
          </w:tcPr>
          <w:p w14:paraId="7AAFE9D1" w14:textId="77777777" w:rsidR="001B46E8" w:rsidRPr="00EA2DC3" w:rsidRDefault="001B46E8" w:rsidP="00397883">
            <w:pPr>
              <w:keepNext/>
              <w:ind w:left="0" w:firstLine="0"/>
              <w:jc w:val="center"/>
              <w:rPr>
                <w:b/>
              </w:rPr>
            </w:pPr>
            <w:r w:rsidRPr="00EA2DC3">
              <w:rPr>
                <w:b/>
              </w:rPr>
              <w:t>Variación (en miles de francos suizos)</w:t>
            </w:r>
            <w:r w:rsidRPr="00EA2DC3">
              <w:rPr>
                <w:b/>
              </w:rPr>
              <w:br/>
              <w:t xml:space="preserve">(2023 a 2024) </w:t>
            </w:r>
          </w:p>
        </w:tc>
      </w:tr>
      <w:tr w:rsidR="001B46E8" w:rsidRPr="00EA2DC3" w14:paraId="62D9DD8C" w14:textId="77777777" w:rsidTr="00397883">
        <w:tc>
          <w:tcPr>
            <w:tcW w:w="2396" w:type="dxa"/>
            <w:shd w:val="clear" w:color="auto" w:fill="auto"/>
            <w:noWrap/>
            <w:hideMark/>
          </w:tcPr>
          <w:p w14:paraId="1885FE38" w14:textId="77777777" w:rsidR="001B46E8" w:rsidRPr="00EA2DC3" w:rsidRDefault="001B46E8" w:rsidP="00397883">
            <w:pPr>
              <w:keepNext/>
              <w:ind w:left="0" w:firstLine="0"/>
              <w:jc w:val="center"/>
              <w:rPr>
                <w:rFonts w:asciiTheme="minorHAnsi" w:eastAsia="Times New Roman" w:hAnsiTheme="minorHAnsi" w:cs="Arial"/>
                <w:color w:val="000000"/>
              </w:rPr>
            </w:pPr>
            <w:r w:rsidRPr="00EA2DC3">
              <w:t>2015 o antes</w:t>
            </w:r>
          </w:p>
        </w:tc>
        <w:tc>
          <w:tcPr>
            <w:tcW w:w="2299" w:type="dxa"/>
            <w:vAlign w:val="center"/>
          </w:tcPr>
          <w:p w14:paraId="67767A37" w14:textId="77777777" w:rsidR="001B46E8" w:rsidRPr="00EA2DC3" w:rsidRDefault="001B46E8" w:rsidP="00397883">
            <w:pPr>
              <w:keepNext/>
              <w:ind w:left="0" w:firstLine="0"/>
              <w:jc w:val="right"/>
            </w:pPr>
            <w:r w:rsidRPr="00EA2DC3">
              <w:rPr>
                <w:color w:val="000000"/>
              </w:rPr>
              <w:t>358</w:t>
            </w:r>
          </w:p>
        </w:tc>
        <w:tc>
          <w:tcPr>
            <w:tcW w:w="2299" w:type="dxa"/>
            <w:shd w:val="clear" w:color="auto" w:fill="auto"/>
            <w:noWrap/>
            <w:hideMark/>
          </w:tcPr>
          <w:p w14:paraId="473B81F2" w14:textId="77777777" w:rsidR="001B46E8" w:rsidRPr="00EA2DC3" w:rsidRDefault="001B46E8" w:rsidP="00397883">
            <w:pPr>
              <w:keepNext/>
              <w:ind w:left="0" w:firstLine="0"/>
              <w:jc w:val="right"/>
              <w:rPr>
                <w:rFonts w:asciiTheme="minorHAnsi" w:eastAsia="Times New Roman" w:hAnsiTheme="minorHAnsi" w:cs="Arial"/>
                <w:color w:val="000000"/>
              </w:rPr>
            </w:pPr>
            <w:r w:rsidRPr="00EA2DC3">
              <w:t>345</w:t>
            </w:r>
          </w:p>
        </w:tc>
        <w:tc>
          <w:tcPr>
            <w:tcW w:w="2299" w:type="dxa"/>
            <w:shd w:val="clear" w:color="auto" w:fill="auto"/>
            <w:noWrap/>
            <w:vAlign w:val="center"/>
            <w:hideMark/>
          </w:tcPr>
          <w:p w14:paraId="50F50551" w14:textId="77777777" w:rsidR="001B46E8" w:rsidRPr="00EA2DC3" w:rsidRDefault="001B46E8" w:rsidP="00397883">
            <w:pPr>
              <w:keepNext/>
              <w:ind w:left="0" w:firstLine="0"/>
              <w:jc w:val="right"/>
              <w:rPr>
                <w:rFonts w:asciiTheme="minorHAnsi" w:eastAsia="Times New Roman" w:hAnsiTheme="minorHAnsi" w:cs="Arial"/>
                <w:color w:val="000000"/>
              </w:rPr>
            </w:pPr>
            <w:r w:rsidRPr="00EA2DC3">
              <w:rPr>
                <w:color w:val="000000"/>
              </w:rPr>
              <w:t>-13</w:t>
            </w:r>
          </w:p>
        </w:tc>
      </w:tr>
      <w:tr w:rsidR="001B46E8" w:rsidRPr="00EA2DC3" w14:paraId="7C2F2ADE" w14:textId="77777777" w:rsidTr="00397883">
        <w:tc>
          <w:tcPr>
            <w:tcW w:w="2396" w:type="dxa"/>
            <w:shd w:val="clear" w:color="auto" w:fill="auto"/>
            <w:noWrap/>
            <w:hideMark/>
          </w:tcPr>
          <w:p w14:paraId="5B153DFE" w14:textId="77777777" w:rsidR="001B46E8" w:rsidRPr="00EA2DC3" w:rsidRDefault="001B46E8" w:rsidP="00397883">
            <w:pPr>
              <w:keepNext/>
              <w:ind w:left="0" w:firstLine="0"/>
              <w:jc w:val="center"/>
              <w:rPr>
                <w:rFonts w:asciiTheme="minorHAnsi" w:eastAsia="Times New Roman" w:hAnsiTheme="minorHAnsi" w:cs="Arial"/>
                <w:color w:val="000000"/>
              </w:rPr>
            </w:pPr>
            <w:r w:rsidRPr="00EA2DC3">
              <w:t>2016</w:t>
            </w:r>
          </w:p>
        </w:tc>
        <w:tc>
          <w:tcPr>
            <w:tcW w:w="2299" w:type="dxa"/>
            <w:vAlign w:val="center"/>
          </w:tcPr>
          <w:p w14:paraId="58F815F5" w14:textId="77777777" w:rsidR="001B46E8" w:rsidRPr="00EA2DC3" w:rsidRDefault="001B46E8" w:rsidP="00397883">
            <w:pPr>
              <w:keepNext/>
              <w:ind w:left="0" w:firstLine="0"/>
              <w:jc w:val="right"/>
              <w:rPr>
                <w:rFonts w:asciiTheme="minorHAnsi" w:eastAsia="Times New Roman" w:hAnsiTheme="minorHAnsi" w:cs="Arial"/>
                <w:color w:val="000000"/>
              </w:rPr>
            </w:pPr>
            <w:r w:rsidRPr="00EA2DC3">
              <w:rPr>
                <w:color w:val="000000"/>
              </w:rPr>
              <w:t>75</w:t>
            </w:r>
          </w:p>
        </w:tc>
        <w:tc>
          <w:tcPr>
            <w:tcW w:w="2299" w:type="dxa"/>
            <w:shd w:val="clear" w:color="auto" w:fill="auto"/>
            <w:noWrap/>
          </w:tcPr>
          <w:p w14:paraId="406F4C4B" w14:textId="77777777" w:rsidR="001B46E8" w:rsidRPr="00EA2DC3" w:rsidRDefault="001B46E8" w:rsidP="00397883">
            <w:pPr>
              <w:keepNext/>
              <w:ind w:left="0" w:firstLine="0"/>
              <w:jc w:val="right"/>
              <w:rPr>
                <w:rFonts w:asciiTheme="minorHAnsi" w:eastAsia="Times New Roman" w:hAnsiTheme="minorHAnsi" w:cs="Arial"/>
                <w:color w:val="000000"/>
              </w:rPr>
            </w:pPr>
            <w:r w:rsidRPr="00EA2DC3">
              <w:t>72</w:t>
            </w:r>
          </w:p>
        </w:tc>
        <w:tc>
          <w:tcPr>
            <w:tcW w:w="2299" w:type="dxa"/>
            <w:shd w:val="clear" w:color="auto" w:fill="auto"/>
            <w:noWrap/>
            <w:vAlign w:val="center"/>
            <w:hideMark/>
          </w:tcPr>
          <w:p w14:paraId="08CEAF7E" w14:textId="77777777" w:rsidR="001B46E8" w:rsidRPr="00EA2DC3" w:rsidRDefault="001B46E8" w:rsidP="00397883">
            <w:pPr>
              <w:keepNext/>
              <w:ind w:left="0" w:firstLine="0"/>
              <w:jc w:val="right"/>
              <w:rPr>
                <w:rFonts w:asciiTheme="minorHAnsi" w:eastAsia="Times New Roman" w:hAnsiTheme="minorHAnsi" w:cs="Arial"/>
                <w:color w:val="000000"/>
              </w:rPr>
            </w:pPr>
            <w:r w:rsidRPr="00EA2DC3">
              <w:rPr>
                <w:color w:val="000000"/>
              </w:rPr>
              <w:t>-3</w:t>
            </w:r>
          </w:p>
        </w:tc>
      </w:tr>
      <w:tr w:rsidR="001B46E8" w:rsidRPr="00EA2DC3" w14:paraId="7B5AC52F" w14:textId="77777777" w:rsidTr="00397883">
        <w:tc>
          <w:tcPr>
            <w:tcW w:w="2396" w:type="dxa"/>
            <w:shd w:val="clear" w:color="auto" w:fill="auto"/>
            <w:noWrap/>
            <w:hideMark/>
          </w:tcPr>
          <w:p w14:paraId="388C8C65" w14:textId="77777777" w:rsidR="001B46E8" w:rsidRPr="00EA2DC3" w:rsidRDefault="001B46E8" w:rsidP="00397883">
            <w:pPr>
              <w:keepNext/>
              <w:ind w:left="0" w:firstLine="0"/>
              <w:jc w:val="center"/>
              <w:rPr>
                <w:rFonts w:asciiTheme="minorHAnsi" w:eastAsia="Times New Roman" w:hAnsiTheme="minorHAnsi" w:cs="Arial"/>
                <w:color w:val="000000"/>
              </w:rPr>
            </w:pPr>
            <w:r w:rsidRPr="00EA2DC3">
              <w:t>2017</w:t>
            </w:r>
          </w:p>
        </w:tc>
        <w:tc>
          <w:tcPr>
            <w:tcW w:w="2299" w:type="dxa"/>
            <w:vAlign w:val="center"/>
          </w:tcPr>
          <w:p w14:paraId="02F2E160" w14:textId="77777777" w:rsidR="001B46E8" w:rsidRPr="00EA2DC3" w:rsidRDefault="001B46E8" w:rsidP="00397883">
            <w:pPr>
              <w:keepNext/>
              <w:ind w:left="0" w:firstLine="0"/>
              <w:jc w:val="right"/>
            </w:pPr>
            <w:r w:rsidRPr="00EA2DC3">
              <w:rPr>
                <w:color w:val="000000"/>
              </w:rPr>
              <w:t>82</w:t>
            </w:r>
          </w:p>
        </w:tc>
        <w:tc>
          <w:tcPr>
            <w:tcW w:w="2299" w:type="dxa"/>
            <w:shd w:val="clear" w:color="auto" w:fill="auto"/>
            <w:noWrap/>
            <w:hideMark/>
          </w:tcPr>
          <w:p w14:paraId="3ABCDBD1" w14:textId="77777777" w:rsidR="001B46E8" w:rsidRPr="00EA2DC3" w:rsidRDefault="001B46E8" w:rsidP="00397883">
            <w:pPr>
              <w:keepNext/>
              <w:ind w:left="0" w:firstLine="0"/>
              <w:jc w:val="right"/>
              <w:rPr>
                <w:rFonts w:asciiTheme="minorHAnsi" w:eastAsia="Times New Roman" w:hAnsiTheme="minorHAnsi" w:cs="Arial"/>
                <w:color w:val="000000"/>
              </w:rPr>
            </w:pPr>
            <w:r w:rsidRPr="00EA2DC3">
              <w:t>79</w:t>
            </w:r>
          </w:p>
        </w:tc>
        <w:tc>
          <w:tcPr>
            <w:tcW w:w="2299" w:type="dxa"/>
            <w:shd w:val="clear" w:color="auto" w:fill="auto"/>
            <w:noWrap/>
            <w:vAlign w:val="center"/>
            <w:hideMark/>
          </w:tcPr>
          <w:p w14:paraId="7A49C6C1" w14:textId="77777777" w:rsidR="001B46E8" w:rsidRPr="00EA2DC3" w:rsidRDefault="001B46E8" w:rsidP="00397883">
            <w:pPr>
              <w:keepNext/>
              <w:ind w:left="0" w:firstLine="0"/>
              <w:jc w:val="right"/>
              <w:rPr>
                <w:rFonts w:asciiTheme="minorHAnsi" w:eastAsia="Times New Roman" w:hAnsiTheme="minorHAnsi" w:cs="Arial"/>
                <w:color w:val="000000"/>
              </w:rPr>
            </w:pPr>
            <w:r w:rsidRPr="00EA2DC3">
              <w:rPr>
                <w:color w:val="000000"/>
              </w:rPr>
              <w:t>-3</w:t>
            </w:r>
          </w:p>
        </w:tc>
      </w:tr>
      <w:tr w:rsidR="001B46E8" w:rsidRPr="00EA2DC3" w14:paraId="062101F4" w14:textId="77777777" w:rsidTr="00397883">
        <w:tc>
          <w:tcPr>
            <w:tcW w:w="2396" w:type="dxa"/>
            <w:shd w:val="clear" w:color="auto" w:fill="auto"/>
            <w:noWrap/>
            <w:hideMark/>
          </w:tcPr>
          <w:p w14:paraId="644B8BA4" w14:textId="77777777" w:rsidR="001B46E8" w:rsidRPr="00EA2DC3" w:rsidRDefault="001B46E8" w:rsidP="00397883">
            <w:pPr>
              <w:keepNext/>
              <w:ind w:left="0" w:firstLine="0"/>
              <w:jc w:val="center"/>
              <w:rPr>
                <w:rFonts w:asciiTheme="minorHAnsi" w:eastAsia="Times New Roman" w:hAnsiTheme="minorHAnsi" w:cs="Arial"/>
                <w:color w:val="000000"/>
              </w:rPr>
            </w:pPr>
            <w:r w:rsidRPr="00EA2DC3">
              <w:t>2018</w:t>
            </w:r>
          </w:p>
        </w:tc>
        <w:tc>
          <w:tcPr>
            <w:tcW w:w="2299" w:type="dxa"/>
            <w:vAlign w:val="center"/>
          </w:tcPr>
          <w:p w14:paraId="4138FE40" w14:textId="77777777" w:rsidR="001B46E8" w:rsidRPr="00EA2DC3" w:rsidRDefault="001B46E8" w:rsidP="00397883">
            <w:pPr>
              <w:keepNext/>
              <w:ind w:left="0" w:firstLine="0"/>
              <w:jc w:val="right"/>
            </w:pPr>
            <w:r w:rsidRPr="00EA2DC3">
              <w:rPr>
                <w:color w:val="000000"/>
              </w:rPr>
              <w:t>86</w:t>
            </w:r>
          </w:p>
        </w:tc>
        <w:tc>
          <w:tcPr>
            <w:tcW w:w="2299" w:type="dxa"/>
            <w:shd w:val="clear" w:color="auto" w:fill="auto"/>
            <w:noWrap/>
            <w:hideMark/>
          </w:tcPr>
          <w:p w14:paraId="427EB7C3" w14:textId="77777777" w:rsidR="001B46E8" w:rsidRPr="00EA2DC3" w:rsidRDefault="001B46E8" w:rsidP="00397883">
            <w:pPr>
              <w:keepNext/>
              <w:ind w:left="0" w:firstLine="0"/>
              <w:jc w:val="right"/>
              <w:rPr>
                <w:rFonts w:asciiTheme="minorHAnsi" w:eastAsia="Times New Roman" w:hAnsiTheme="minorHAnsi" w:cs="Arial"/>
                <w:color w:val="000000"/>
              </w:rPr>
            </w:pPr>
            <w:r w:rsidRPr="00EA2DC3">
              <w:t>83</w:t>
            </w:r>
          </w:p>
        </w:tc>
        <w:tc>
          <w:tcPr>
            <w:tcW w:w="2299" w:type="dxa"/>
            <w:shd w:val="clear" w:color="auto" w:fill="auto"/>
            <w:noWrap/>
            <w:vAlign w:val="center"/>
            <w:hideMark/>
          </w:tcPr>
          <w:p w14:paraId="125C9DDE" w14:textId="77777777" w:rsidR="001B46E8" w:rsidRPr="00EA2DC3" w:rsidRDefault="001B46E8" w:rsidP="00397883">
            <w:pPr>
              <w:keepNext/>
              <w:ind w:left="0" w:firstLine="0"/>
              <w:jc w:val="right"/>
              <w:rPr>
                <w:rFonts w:asciiTheme="minorHAnsi" w:eastAsia="Times New Roman" w:hAnsiTheme="minorHAnsi" w:cs="Arial"/>
                <w:color w:val="000000"/>
              </w:rPr>
            </w:pPr>
            <w:r w:rsidRPr="00EA2DC3">
              <w:rPr>
                <w:color w:val="000000"/>
              </w:rPr>
              <w:t>-3</w:t>
            </w:r>
          </w:p>
        </w:tc>
      </w:tr>
      <w:tr w:rsidR="001B46E8" w:rsidRPr="00EA2DC3" w14:paraId="46E25F9A" w14:textId="77777777" w:rsidTr="00397883">
        <w:tc>
          <w:tcPr>
            <w:tcW w:w="2396" w:type="dxa"/>
            <w:shd w:val="clear" w:color="auto" w:fill="auto"/>
            <w:noWrap/>
            <w:hideMark/>
          </w:tcPr>
          <w:p w14:paraId="3B5498E0" w14:textId="77777777" w:rsidR="001B46E8" w:rsidRPr="00EA2DC3" w:rsidRDefault="001B46E8" w:rsidP="00397883">
            <w:pPr>
              <w:keepNext/>
              <w:ind w:left="0" w:firstLine="0"/>
              <w:jc w:val="center"/>
              <w:rPr>
                <w:rFonts w:asciiTheme="minorHAnsi" w:eastAsia="Times New Roman" w:hAnsiTheme="minorHAnsi" w:cs="Arial"/>
                <w:color w:val="000000"/>
              </w:rPr>
            </w:pPr>
            <w:r w:rsidRPr="00EA2DC3">
              <w:t>2019</w:t>
            </w:r>
          </w:p>
        </w:tc>
        <w:tc>
          <w:tcPr>
            <w:tcW w:w="2299" w:type="dxa"/>
            <w:vAlign w:val="center"/>
          </w:tcPr>
          <w:p w14:paraId="37799BCC" w14:textId="77777777" w:rsidR="001B46E8" w:rsidRPr="00EA2DC3" w:rsidRDefault="001B46E8" w:rsidP="00397883">
            <w:pPr>
              <w:keepNext/>
              <w:ind w:left="0" w:firstLine="0"/>
              <w:jc w:val="right"/>
            </w:pPr>
            <w:r w:rsidRPr="00EA2DC3">
              <w:rPr>
                <w:color w:val="000000"/>
              </w:rPr>
              <w:t>119</w:t>
            </w:r>
          </w:p>
        </w:tc>
        <w:tc>
          <w:tcPr>
            <w:tcW w:w="2299" w:type="dxa"/>
            <w:shd w:val="clear" w:color="auto" w:fill="auto"/>
            <w:noWrap/>
            <w:hideMark/>
          </w:tcPr>
          <w:p w14:paraId="4F5AB374" w14:textId="77777777" w:rsidR="001B46E8" w:rsidRPr="00EA2DC3" w:rsidRDefault="001B46E8" w:rsidP="00397883">
            <w:pPr>
              <w:keepNext/>
              <w:ind w:left="0" w:firstLine="0"/>
              <w:jc w:val="right"/>
              <w:rPr>
                <w:rFonts w:asciiTheme="minorHAnsi" w:eastAsia="Times New Roman" w:hAnsiTheme="minorHAnsi" w:cs="Arial"/>
                <w:color w:val="000000"/>
              </w:rPr>
            </w:pPr>
            <w:r w:rsidRPr="00EA2DC3">
              <w:t>95</w:t>
            </w:r>
          </w:p>
        </w:tc>
        <w:tc>
          <w:tcPr>
            <w:tcW w:w="2299" w:type="dxa"/>
            <w:shd w:val="clear" w:color="auto" w:fill="auto"/>
            <w:noWrap/>
            <w:vAlign w:val="center"/>
            <w:hideMark/>
          </w:tcPr>
          <w:p w14:paraId="65A35AE1" w14:textId="77777777" w:rsidR="001B46E8" w:rsidRPr="00EA2DC3" w:rsidRDefault="001B46E8" w:rsidP="00397883">
            <w:pPr>
              <w:keepNext/>
              <w:ind w:left="0" w:firstLine="0"/>
              <w:jc w:val="right"/>
              <w:rPr>
                <w:rFonts w:asciiTheme="minorHAnsi" w:eastAsia="Times New Roman" w:hAnsiTheme="minorHAnsi" w:cs="Arial"/>
                <w:color w:val="000000"/>
              </w:rPr>
            </w:pPr>
            <w:r w:rsidRPr="00EA2DC3">
              <w:rPr>
                <w:color w:val="000000"/>
              </w:rPr>
              <w:t>-24</w:t>
            </w:r>
          </w:p>
        </w:tc>
      </w:tr>
      <w:tr w:rsidR="001B46E8" w:rsidRPr="00EA2DC3" w14:paraId="5CBC3DDD" w14:textId="77777777" w:rsidTr="00397883">
        <w:tc>
          <w:tcPr>
            <w:tcW w:w="2396" w:type="dxa"/>
            <w:shd w:val="clear" w:color="auto" w:fill="auto"/>
            <w:noWrap/>
            <w:hideMark/>
          </w:tcPr>
          <w:p w14:paraId="757A6611" w14:textId="77777777" w:rsidR="001B46E8" w:rsidRPr="00EA2DC3" w:rsidRDefault="001B46E8" w:rsidP="00397883">
            <w:pPr>
              <w:keepNext/>
              <w:ind w:left="0" w:firstLine="0"/>
              <w:jc w:val="center"/>
              <w:rPr>
                <w:rFonts w:asciiTheme="minorHAnsi" w:eastAsia="Times New Roman" w:hAnsiTheme="minorHAnsi" w:cs="Arial"/>
                <w:color w:val="000000"/>
              </w:rPr>
            </w:pPr>
            <w:r w:rsidRPr="00EA2DC3">
              <w:t>2020</w:t>
            </w:r>
          </w:p>
        </w:tc>
        <w:tc>
          <w:tcPr>
            <w:tcW w:w="2299" w:type="dxa"/>
            <w:vAlign w:val="center"/>
          </w:tcPr>
          <w:p w14:paraId="73AA932F" w14:textId="77777777" w:rsidR="001B46E8" w:rsidRPr="00EA2DC3" w:rsidRDefault="001B46E8" w:rsidP="00397883">
            <w:pPr>
              <w:keepNext/>
              <w:ind w:left="0" w:firstLine="0"/>
              <w:jc w:val="right"/>
            </w:pPr>
            <w:r w:rsidRPr="00EA2DC3">
              <w:rPr>
                <w:color w:val="000000"/>
              </w:rPr>
              <w:t>128</w:t>
            </w:r>
          </w:p>
        </w:tc>
        <w:tc>
          <w:tcPr>
            <w:tcW w:w="2299" w:type="dxa"/>
            <w:shd w:val="clear" w:color="auto" w:fill="auto"/>
            <w:noWrap/>
            <w:hideMark/>
          </w:tcPr>
          <w:p w14:paraId="71DD5966" w14:textId="77777777" w:rsidR="001B46E8" w:rsidRPr="00EA2DC3" w:rsidRDefault="001B46E8" w:rsidP="00397883">
            <w:pPr>
              <w:keepNext/>
              <w:ind w:left="0" w:firstLine="0"/>
              <w:jc w:val="right"/>
              <w:rPr>
                <w:rFonts w:asciiTheme="minorHAnsi" w:eastAsia="Times New Roman" w:hAnsiTheme="minorHAnsi" w:cs="Arial"/>
                <w:color w:val="000000"/>
              </w:rPr>
            </w:pPr>
            <w:r w:rsidRPr="00EA2DC3">
              <w:t>114</w:t>
            </w:r>
          </w:p>
        </w:tc>
        <w:tc>
          <w:tcPr>
            <w:tcW w:w="2299" w:type="dxa"/>
            <w:shd w:val="clear" w:color="auto" w:fill="auto"/>
            <w:noWrap/>
            <w:vAlign w:val="center"/>
            <w:hideMark/>
          </w:tcPr>
          <w:p w14:paraId="53BB8A7A" w14:textId="77777777" w:rsidR="001B46E8" w:rsidRPr="00EA2DC3" w:rsidRDefault="001B46E8" w:rsidP="00397883">
            <w:pPr>
              <w:keepNext/>
              <w:ind w:left="0" w:firstLine="0"/>
              <w:jc w:val="right"/>
              <w:rPr>
                <w:rFonts w:asciiTheme="minorHAnsi" w:eastAsia="Times New Roman" w:hAnsiTheme="minorHAnsi" w:cs="Arial"/>
                <w:color w:val="000000"/>
              </w:rPr>
            </w:pPr>
            <w:r w:rsidRPr="00EA2DC3">
              <w:rPr>
                <w:color w:val="000000"/>
              </w:rPr>
              <w:t>-14</w:t>
            </w:r>
          </w:p>
        </w:tc>
      </w:tr>
      <w:tr w:rsidR="001B46E8" w:rsidRPr="00EA2DC3" w14:paraId="750536D1" w14:textId="77777777" w:rsidTr="00397883">
        <w:tc>
          <w:tcPr>
            <w:tcW w:w="2396" w:type="dxa"/>
            <w:shd w:val="clear" w:color="auto" w:fill="auto"/>
            <w:noWrap/>
          </w:tcPr>
          <w:p w14:paraId="3C9E356E" w14:textId="77777777" w:rsidR="001B46E8" w:rsidRPr="00EA2DC3" w:rsidRDefault="001B46E8" w:rsidP="00397883">
            <w:pPr>
              <w:keepNext/>
              <w:ind w:left="0" w:firstLine="0"/>
              <w:jc w:val="center"/>
              <w:rPr>
                <w:rFonts w:asciiTheme="minorHAnsi" w:eastAsia="Times New Roman" w:hAnsiTheme="minorHAnsi" w:cs="Arial"/>
                <w:color w:val="000000"/>
              </w:rPr>
            </w:pPr>
            <w:r w:rsidRPr="00EA2DC3">
              <w:t>2021</w:t>
            </w:r>
          </w:p>
        </w:tc>
        <w:tc>
          <w:tcPr>
            <w:tcW w:w="2299" w:type="dxa"/>
            <w:vAlign w:val="center"/>
          </w:tcPr>
          <w:p w14:paraId="1C749741" w14:textId="77777777" w:rsidR="001B46E8" w:rsidRPr="00EA2DC3" w:rsidRDefault="001B46E8" w:rsidP="00397883">
            <w:pPr>
              <w:keepNext/>
              <w:ind w:left="0" w:firstLine="0"/>
              <w:jc w:val="right"/>
            </w:pPr>
            <w:r w:rsidRPr="00EA2DC3">
              <w:rPr>
                <w:color w:val="000000"/>
              </w:rPr>
              <w:t>186</w:t>
            </w:r>
          </w:p>
        </w:tc>
        <w:tc>
          <w:tcPr>
            <w:tcW w:w="2299" w:type="dxa"/>
            <w:shd w:val="clear" w:color="auto" w:fill="auto"/>
            <w:noWrap/>
          </w:tcPr>
          <w:p w14:paraId="3FDB475E" w14:textId="77777777" w:rsidR="001B46E8" w:rsidRPr="00EA2DC3" w:rsidRDefault="001B46E8" w:rsidP="00397883">
            <w:pPr>
              <w:keepNext/>
              <w:ind w:left="0" w:firstLine="0"/>
              <w:jc w:val="right"/>
              <w:rPr>
                <w:rFonts w:asciiTheme="minorHAnsi" w:eastAsia="Times New Roman" w:hAnsiTheme="minorHAnsi" w:cs="Arial"/>
                <w:color w:val="000000"/>
              </w:rPr>
            </w:pPr>
            <w:r w:rsidRPr="00EA2DC3">
              <w:t>126</w:t>
            </w:r>
          </w:p>
        </w:tc>
        <w:tc>
          <w:tcPr>
            <w:tcW w:w="2299" w:type="dxa"/>
            <w:shd w:val="clear" w:color="auto" w:fill="auto"/>
            <w:noWrap/>
            <w:vAlign w:val="center"/>
          </w:tcPr>
          <w:p w14:paraId="5A4DC82C" w14:textId="77777777" w:rsidR="001B46E8" w:rsidRPr="00EA2DC3" w:rsidRDefault="001B46E8" w:rsidP="00397883">
            <w:pPr>
              <w:keepNext/>
              <w:ind w:left="0" w:firstLine="0"/>
              <w:jc w:val="right"/>
              <w:rPr>
                <w:rFonts w:asciiTheme="minorHAnsi" w:eastAsia="Times New Roman" w:hAnsiTheme="minorHAnsi" w:cs="Arial"/>
                <w:color w:val="000000"/>
              </w:rPr>
            </w:pPr>
            <w:r w:rsidRPr="00EA2DC3">
              <w:rPr>
                <w:color w:val="000000"/>
              </w:rPr>
              <w:t>-60</w:t>
            </w:r>
          </w:p>
        </w:tc>
      </w:tr>
      <w:tr w:rsidR="001B46E8" w:rsidRPr="00EA2DC3" w14:paraId="08594658" w14:textId="77777777" w:rsidTr="00397883">
        <w:tc>
          <w:tcPr>
            <w:tcW w:w="2396" w:type="dxa"/>
            <w:shd w:val="clear" w:color="auto" w:fill="auto"/>
            <w:noWrap/>
          </w:tcPr>
          <w:p w14:paraId="6414F346" w14:textId="77777777" w:rsidR="001B46E8" w:rsidRPr="00EA2DC3" w:rsidRDefault="001B46E8" w:rsidP="00397883">
            <w:pPr>
              <w:keepNext/>
              <w:ind w:left="0" w:firstLine="0"/>
              <w:jc w:val="center"/>
              <w:rPr>
                <w:rFonts w:cs="Calibri"/>
                <w:color w:val="000000"/>
              </w:rPr>
            </w:pPr>
            <w:r w:rsidRPr="00EA2DC3">
              <w:t>2022</w:t>
            </w:r>
          </w:p>
        </w:tc>
        <w:tc>
          <w:tcPr>
            <w:tcW w:w="2299" w:type="dxa"/>
            <w:vAlign w:val="center"/>
          </w:tcPr>
          <w:p w14:paraId="12C5AE4E" w14:textId="77777777" w:rsidR="001B46E8" w:rsidRPr="00EA2DC3" w:rsidRDefault="001B46E8" w:rsidP="00397883">
            <w:pPr>
              <w:keepNext/>
              <w:ind w:left="0" w:firstLine="0"/>
              <w:jc w:val="right"/>
            </w:pPr>
            <w:r w:rsidRPr="00EA2DC3">
              <w:rPr>
                <w:color w:val="000000"/>
              </w:rPr>
              <w:t>265</w:t>
            </w:r>
          </w:p>
        </w:tc>
        <w:tc>
          <w:tcPr>
            <w:tcW w:w="2299" w:type="dxa"/>
            <w:shd w:val="clear" w:color="auto" w:fill="auto"/>
            <w:noWrap/>
          </w:tcPr>
          <w:p w14:paraId="44BCB310" w14:textId="77777777" w:rsidR="001B46E8" w:rsidRPr="00EA2DC3" w:rsidRDefault="001B46E8" w:rsidP="00397883">
            <w:pPr>
              <w:keepNext/>
              <w:ind w:left="0" w:firstLine="0"/>
              <w:jc w:val="right"/>
            </w:pPr>
            <w:r w:rsidRPr="00EA2DC3">
              <w:t>227</w:t>
            </w:r>
          </w:p>
        </w:tc>
        <w:tc>
          <w:tcPr>
            <w:tcW w:w="2299" w:type="dxa"/>
            <w:shd w:val="clear" w:color="auto" w:fill="auto"/>
            <w:noWrap/>
            <w:vAlign w:val="center"/>
          </w:tcPr>
          <w:p w14:paraId="162E46A8" w14:textId="77777777" w:rsidR="001B46E8" w:rsidRPr="00EA2DC3" w:rsidRDefault="001B46E8" w:rsidP="00397883">
            <w:pPr>
              <w:keepNext/>
              <w:ind w:left="0" w:firstLine="0"/>
              <w:jc w:val="right"/>
            </w:pPr>
            <w:r w:rsidRPr="00EA2DC3">
              <w:rPr>
                <w:color w:val="000000"/>
              </w:rPr>
              <w:t>-38</w:t>
            </w:r>
          </w:p>
        </w:tc>
      </w:tr>
      <w:tr w:rsidR="001B46E8" w:rsidRPr="00EA2DC3" w14:paraId="38857E6D" w14:textId="77777777" w:rsidTr="00397883">
        <w:tc>
          <w:tcPr>
            <w:tcW w:w="2396" w:type="dxa"/>
            <w:shd w:val="clear" w:color="auto" w:fill="auto"/>
            <w:noWrap/>
          </w:tcPr>
          <w:p w14:paraId="63EC50FE" w14:textId="77777777" w:rsidR="001B46E8" w:rsidRPr="00EA2DC3" w:rsidRDefault="001B46E8" w:rsidP="00397883">
            <w:pPr>
              <w:keepNext/>
              <w:ind w:left="0" w:firstLine="0"/>
              <w:jc w:val="center"/>
              <w:rPr>
                <w:rFonts w:cs="Calibri"/>
                <w:color w:val="000000"/>
              </w:rPr>
            </w:pPr>
            <w:r w:rsidRPr="00EA2DC3">
              <w:t>2023</w:t>
            </w:r>
          </w:p>
        </w:tc>
        <w:tc>
          <w:tcPr>
            <w:tcW w:w="2299" w:type="dxa"/>
            <w:vAlign w:val="center"/>
          </w:tcPr>
          <w:p w14:paraId="7BEC14DC" w14:textId="77777777" w:rsidR="001B46E8" w:rsidRPr="00EA2DC3" w:rsidRDefault="001B46E8" w:rsidP="00397883">
            <w:pPr>
              <w:keepNext/>
              <w:ind w:left="0" w:firstLine="0"/>
              <w:jc w:val="right"/>
            </w:pPr>
            <w:r w:rsidRPr="00EA2DC3">
              <w:rPr>
                <w:color w:val="000000"/>
              </w:rPr>
              <w:t>336</w:t>
            </w:r>
          </w:p>
        </w:tc>
        <w:tc>
          <w:tcPr>
            <w:tcW w:w="2299" w:type="dxa"/>
            <w:shd w:val="clear" w:color="auto" w:fill="auto"/>
            <w:noWrap/>
          </w:tcPr>
          <w:p w14:paraId="2AE92E0A" w14:textId="77777777" w:rsidR="001B46E8" w:rsidRPr="00EA2DC3" w:rsidRDefault="001B46E8" w:rsidP="00397883">
            <w:pPr>
              <w:keepNext/>
              <w:ind w:left="0" w:firstLine="0"/>
              <w:jc w:val="right"/>
            </w:pPr>
            <w:r w:rsidRPr="00EA2DC3">
              <w:t>283</w:t>
            </w:r>
          </w:p>
        </w:tc>
        <w:tc>
          <w:tcPr>
            <w:tcW w:w="2299" w:type="dxa"/>
            <w:shd w:val="clear" w:color="auto" w:fill="auto"/>
            <w:noWrap/>
            <w:vAlign w:val="center"/>
          </w:tcPr>
          <w:p w14:paraId="4E9801AF" w14:textId="77777777" w:rsidR="001B46E8" w:rsidRPr="00EA2DC3" w:rsidRDefault="001B46E8" w:rsidP="00397883">
            <w:pPr>
              <w:keepNext/>
              <w:ind w:left="0" w:firstLine="0"/>
              <w:jc w:val="right"/>
            </w:pPr>
            <w:r w:rsidRPr="00EA2DC3">
              <w:rPr>
                <w:color w:val="000000"/>
              </w:rPr>
              <w:t>-53</w:t>
            </w:r>
          </w:p>
        </w:tc>
      </w:tr>
      <w:tr w:rsidR="001B46E8" w:rsidRPr="00EA2DC3" w14:paraId="6431BEA4" w14:textId="77777777" w:rsidTr="00397883">
        <w:tc>
          <w:tcPr>
            <w:tcW w:w="2396" w:type="dxa"/>
            <w:shd w:val="clear" w:color="auto" w:fill="auto"/>
            <w:noWrap/>
          </w:tcPr>
          <w:p w14:paraId="744FEBFE" w14:textId="77777777" w:rsidR="001B46E8" w:rsidRPr="00EA2DC3" w:rsidRDefault="001B46E8" w:rsidP="00397883">
            <w:pPr>
              <w:keepNext/>
              <w:ind w:left="0" w:firstLine="0"/>
              <w:jc w:val="center"/>
            </w:pPr>
            <w:r w:rsidRPr="00EA2DC3">
              <w:t>2024</w:t>
            </w:r>
          </w:p>
        </w:tc>
        <w:tc>
          <w:tcPr>
            <w:tcW w:w="2299" w:type="dxa"/>
            <w:vAlign w:val="center"/>
          </w:tcPr>
          <w:p w14:paraId="391D6BA8" w14:textId="77777777" w:rsidR="001B46E8" w:rsidRPr="00EA2DC3" w:rsidRDefault="001B46E8" w:rsidP="00397883">
            <w:pPr>
              <w:keepNext/>
              <w:ind w:left="0" w:firstLine="0"/>
              <w:jc w:val="right"/>
            </w:pPr>
            <w:r w:rsidRPr="00EA2DC3">
              <w:rPr>
                <w:color w:val="000000"/>
              </w:rPr>
              <w:t>0</w:t>
            </w:r>
          </w:p>
        </w:tc>
        <w:tc>
          <w:tcPr>
            <w:tcW w:w="2299" w:type="dxa"/>
            <w:shd w:val="clear" w:color="auto" w:fill="auto"/>
            <w:noWrap/>
          </w:tcPr>
          <w:p w14:paraId="38B7D397" w14:textId="77777777" w:rsidR="001B46E8" w:rsidRPr="00EA2DC3" w:rsidRDefault="001B46E8" w:rsidP="00397883">
            <w:pPr>
              <w:keepNext/>
              <w:ind w:left="0" w:firstLine="0"/>
              <w:jc w:val="right"/>
            </w:pPr>
            <w:r w:rsidRPr="00EA2DC3">
              <w:t>472</w:t>
            </w:r>
          </w:p>
        </w:tc>
        <w:tc>
          <w:tcPr>
            <w:tcW w:w="2299" w:type="dxa"/>
            <w:shd w:val="clear" w:color="auto" w:fill="auto"/>
            <w:noWrap/>
            <w:vAlign w:val="center"/>
          </w:tcPr>
          <w:p w14:paraId="7F3D0D3C" w14:textId="77777777" w:rsidR="001B46E8" w:rsidRPr="00EA2DC3" w:rsidRDefault="001B46E8" w:rsidP="00397883">
            <w:pPr>
              <w:keepNext/>
              <w:ind w:left="0" w:firstLine="0"/>
              <w:jc w:val="right"/>
              <w:rPr>
                <w:rFonts w:cs="Calibri"/>
                <w:color w:val="000000"/>
              </w:rPr>
            </w:pPr>
            <w:r w:rsidRPr="00EA2DC3">
              <w:rPr>
                <w:color w:val="000000"/>
              </w:rPr>
              <w:t>472</w:t>
            </w:r>
          </w:p>
        </w:tc>
      </w:tr>
      <w:tr w:rsidR="001B46E8" w:rsidRPr="00EA2DC3" w14:paraId="6325DFD4" w14:textId="77777777" w:rsidTr="00397883">
        <w:trPr>
          <w:trHeight w:val="278"/>
        </w:trPr>
        <w:tc>
          <w:tcPr>
            <w:tcW w:w="2396" w:type="dxa"/>
            <w:shd w:val="clear" w:color="auto" w:fill="C6D9F1" w:themeFill="text2" w:themeFillTint="33"/>
            <w:noWrap/>
            <w:vAlign w:val="bottom"/>
            <w:hideMark/>
          </w:tcPr>
          <w:p w14:paraId="636B7F8E" w14:textId="77777777" w:rsidR="001B46E8" w:rsidRPr="00EA2DC3" w:rsidRDefault="001B46E8" w:rsidP="00397883">
            <w:pPr>
              <w:ind w:left="0" w:firstLine="0"/>
              <w:jc w:val="center"/>
              <w:rPr>
                <w:rFonts w:asciiTheme="minorHAnsi" w:eastAsia="Times New Roman" w:hAnsiTheme="minorHAnsi" w:cs="Arial"/>
                <w:b/>
                <w:bCs/>
                <w:color w:val="000000"/>
              </w:rPr>
            </w:pPr>
            <w:r w:rsidRPr="00EA2DC3">
              <w:rPr>
                <w:rFonts w:asciiTheme="minorHAnsi" w:hAnsiTheme="minorHAnsi"/>
                <w:b/>
                <w:bCs/>
                <w:color w:val="000000"/>
              </w:rPr>
              <w:t>Total</w:t>
            </w:r>
          </w:p>
        </w:tc>
        <w:tc>
          <w:tcPr>
            <w:tcW w:w="2299" w:type="dxa"/>
            <w:shd w:val="clear" w:color="auto" w:fill="C6D9F1" w:themeFill="text2" w:themeFillTint="33"/>
          </w:tcPr>
          <w:p w14:paraId="2E094C98" w14:textId="77777777" w:rsidR="001B46E8" w:rsidRPr="00EA2DC3" w:rsidRDefault="001B46E8" w:rsidP="00397883">
            <w:pPr>
              <w:ind w:left="0" w:firstLine="0"/>
              <w:jc w:val="right"/>
              <w:rPr>
                <w:b/>
              </w:rPr>
            </w:pPr>
            <w:r w:rsidRPr="00EA2DC3">
              <w:rPr>
                <w:b/>
              </w:rPr>
              <w:t>1 635</w:t>
            </w:r>
          </w:p>
        </w:tc>
        <w:tc>
          <w:tcPr>
            <w:tcW w:w="2299" w:type="dxa"/>
            <w:shd w:val="clear" w:color="auto" w:fill="C6D9F1" w:themeFill="text2" w:themeFillTint="33"/>
            <w:noWrap/>
            <w:hideMark/>
          </w:tcPr>
          <w:p w14:paraId="35CC2D2D" w14:textId="77777777" w:rsidR="001B46E8" w:rsidRPr="00EA2DC3" w:rsidRDefault="001B46E8" w:rsidP="00397883">
            <w:pPr>
              <w:ind w:left="0" w:firstLine="0"/>
              <w:jc w:val="right"/>
              <w:rPr>
                <w:rFonts w:asciiTheme="minorHAnsi" w:eastAsia="Times New Roman" w:hAnsiTheme="minorHAnsi" w:cs="Arial"/>
                <w:b/>
                <w:bCs/>
                <w:color w:val="000000"/>
              </w:rPr>
            </w:pPr>
            <w:r w:rsidRPr="00EA2DC3">
              <w:rPr>
                <w:b/>
              </w:rPr>
              <w:t>1 897</w:t>
            </w:r>
          </w:p>
        </w:tc>
        <w:tc>
          <w:tcPr>
            <w:tcW w:w="2299" w:type="dxa"/>
            <w:shd w:val="clear" w:color="auto" w:fill="C6D9F1" w:themeFill="text2" w:themeFillTint="33"/>
            <w:noWrap/>
            <w:hideMark/>
          </w:tcPr>
          <w:p w14:paraId="74EDD589" w14:textId="77777777" w:rsidR="001B46E8" w:rsidRPr="00EA2DC3" w:rsidRDefault="001B46E8" w:rsidP="00397883">
            <w:pPr>
              <w:ind w:left="0" w:firstLine="0"/>
              <w:jc w:val="right"/>
              <w:rPr>
                <w:rFonts w:asciiTheme="minorHAnsi" w:eastAsia="Times New Roman" w:hAnsiTheme="minorHAnsi" w:cs="Arial"/>
                <w:b/>
                <w:bCs/>
                <w:color w:val="000000"/>
              </w:rPr>
            </w:pPr>
            <w:r w:rsidRPr="00EA2DC3">
              <w:rPr>
                <w:b/>
              </w:rPr>
              <w:t>262</w:t>
            </w:r>
          </w:p>
        </w:tc>
      </w:tr>
    </w:tbl>
    <w:p w14:paraId="0F805A30" w14:textId="77777777" w:rsidR="001B46E8" w:rsidRPr="00EA2DC3" w:rsidRDefault="001B46E8" w:rsidP="0089531A">
      <w:pPr>
        <w:keepNext/>
        <w:rPr>
          <w:rFonts w:cs="Arial"/>
          <w:b/>
        </w:rPr>
      </w:pPr>
    </w:p>
    <w:p w14:paraId="2C8BCDDB" w14:textId="77777777" w:rsidR="003175F8" w:rsidRPr="00EA2DC3" w:rsidRDefault="003175F8" w:rsidP="0089531A">
      <w:pPr>
        <w:keepNext/>
        <w:rPr>
          <w:rFonts w:cs="Arial"/>
          <w:b/>
        </w:rPr>
      </w:pPr>
    </w:p>
    <w:p w14:paraId="4DF9320F" w14:textId="6B366764" w:rsidR="00A82C82" w:rsidRPr="00EA2DC3" w:rsidRDefault="00D9682F" w:rsidP="004737CA">
      <w:pPr>
        <w:rPr>
          <w:rFonts w:cs="Arial"/>
        </w:rPr>
      </w:pPr>
      <w:r w:rsidRPr="00EA2DC3">
        <w:t>5.</w:t>
      </w:r>
      <w:r w:rsidRPr="00EA2DC3">
        <w:tab/>
        <w:t>La figura 2 refleja las variaciones entre 2023 y 2024 de los saldos de las contribuciones pendientes por número de años adeudados. Los saldos de las contribuciones pendientes de pago por más de tres años aumentaron de 848 000 francos suizos al 31 de diciembre de 2023 a 915 000 francos suizos al 31 de diciembre de 2024.</w:t>
      </w:r>
    </w:p>
    <w:p w14:paraId="0C6BD51B" w14:textId="77777777" w:rsidR="00A82C82" w:rsidRPr="00EA2DC3" w:rsidRDefault="00A82C82" w:rsidP="0089531A">
      <w:pPr>
        <w:keepNext/>
        <w:rPr>
          <w:rFonts w:cs="Arial"/>
        </w:rPr>
      </w:pPr>
    </w:p>
    <w:p w14:paraId="2BA7D467" w14:textId="0C9FB842" w:rsidR="00A82C82" w:rsidRPr="00EA2DC3" w:rsidRDefault="00A82C82" w:rsidP="00254583">
      <w:pPr>
        <w:keepNext/>
        <w:ind w:left="0" w:firstLine="0"/>
        <w:rPr>
          <w:rFonts w:cs="Arial"/>
          <w:i/>
        </w:rPr>
      </w:pPr>
      <w:r w:rsidRPr="00EA2DC3">
        <w:rPr>
          <w:i/>
        </w:rPr>
        <w:t xml:space="preserve">Figura 2: Contribuciones pendientes (en miles de francos suizos), número de años adeudados, </w:t>
      </w:r>
      <w:r w:rsidR="00254583">
        <w:rPr>
          <w:i/>
        </w:rPr>
        <w:br/>
      </w:r>
      <w:r w:rsidRPr="00EA2DC3">
        <w:rPr>
          <w:i/>
        </w:rPr>
        <w:t>2023 y 2024</w:t>
      </w:r>
    </w:p>
    <w:p w14:paraId="608C2E29" w14:textId="77777777" w:rsidR="00A82C82" w:rsidRPr="00EA2DC3" w:rsidRDefault="00A82C82" w:rsidP="00A82C82">
      <w:pPr>
        <w:rPr>
          <w:rFonts w:cs="Arial"/>
          <w:i/>
        </w:rPr>
      </w:pPr>
      <w:r w:rsidRPr="00EA2DC3">
        <w:rPr>
          <w:noProof/>
          <w:bdr w:val="single" w:sz="4" w:space="0" w:color="auto"/>
        </w:rPr>
        <w:drawing>
          <wp:inline distT="0" distB="0" distL="0" distR="0" wp14:anchorId="631F4711" wp14:editId="148A7F5A">
            <wp:extent cx="5731510" cy="3200400"/>
            <wp:effectExtent l="0" t="0" r="2540" b="0"/>
            <wp:docPr id="1782221949" name="Chart 1">
              <a:extLst xmlns:a="http://schemas.openxmlformats.org/drawingml/2006/main">
                <a:ext uri="{FF2B5EF4-FFF2-40B4-BE49-F238E27FC236}">
                  <a16:creationId xmlns:a16="http://schemas.microsoft.com/office/drawing/2014/main" id="{6F34CD19-4D0C-4704-B3B1-19B1D633FA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D3C451" w14:textId="77777777" w:rsidR="00A82C82" w:rsidRPr="00EA2DC3" w:rsidRDefault="00A82C82" w:rsidP="00A82C82">
      <w:pPr>
        <w:ind w:left="0" w:firstLine="0"/>
        <w:rPr>
          <w:rFonts w:cs="Arial"/>
        </w:rPr>
      </w:pPr>
    </w:p>
    <w:p w14:paraId="2854F10D" w14:textId="3DD1BE36" w:rsidR="009F5BBB" w:rsidRPr="00EA2DC3" w:rsidRDefault="00D9682F" w:rsidP="009F5BBB">
      <w:pPr>
        <w:rPr>
          <w:rFonts w:cs="Arial"/>
        </w:rPr>
      </w:pPr>
      <w:r w:rsidRPr="00EA2DC3">
        <w:t>6.</w:t>
      </w:r>
      <w:r w:rsidRPr="00EA2DC3">
        <w:tab/>
        <w:t>El cuadro 2 que figura a continuación muestra el estado de las contribuciones al final de año desde 2020 hasta 2024 y la provisión correspondiente en caso de mora. La provisión por mora aumentó en 113 000 francos suizos hasta alcanzar un total de 1 526 000 francos suizos de 2023 a 2024. En los párrafos siguientes se explica el aumento de esta provisión desde 2020.</w:t>
      </w:r>
    </w:p>
    <w:p w14:paraId="5DB054EA" w14:textId="77777777" w:rsidR="009F5BBB" w:rsidRPr="00EA2DC3" w:rsidRDefault="009F5BBB" w:rsidP="009F5BBB">
      <w:pPr>
        <w:rPr>
          <w:rFonts w:cs="Arial"/>
        </w:rPr>
      </w:pPr>
    </w:p>
    <w:p w14:paraId="50B68300" w14:textId="72ECF745" w:rsidR="009F5BBB" w:rsidRPr="00EA2DC3" w:rsidRDefault="009F5BBB" w:rsidP="00254583">
      <w:pPr>
        <w:ind w:left="0" w:firstLine="0"/>
        <w:rPr>
          <w:rFonts w:cs="Arial"/>
          <w:i/>
        </w:rPr>
      </w:pPr>
      <w:r w:rsidRPr="00EA2DC3">
        <w:rPr>
          <w:i/>
        </w:rPr>
        <w:t xml:space="preserve">Cuadro 2: Estado de las contribuciones y de la provisión en caso de mora, 2020-2024 </w:t>
      </w:r>
      <w:r w:rsidR="00254583">
        <w:rPr>
          <w:i/>
        </w:rPr>
        <w:br/>
      </w:r>
      <w:r w:rsidRPr="00EA2DC3">
        <w:rPr>
          <w:i/>
        </w:rPr>
        <w:t>(en miles de francos suizos)</w:t>
      </w:r>
    </w:p>
    <w:tbl>
      <w:tblPr>
        <w:tblW w:w="907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bottom w:w="28" w:type="dxa"/>
        </w:tblCellMar>
        <w:tblLook w:val="04A0" w:firstRow="1" w:lastRow="0" w:firstColumn="1" w:lastColumn="0" w:noHBand="0" w:noVBand="1"/>
      </w:tblPr>
      <w:tblGrid>
        <w:gridCol w:w="4253"/>
        <w:gridCol w:w="964"/>
        <w:gridCol w:w="964"/>
        <w:gridCol w:w="964"/>
        <w:gridCol w:w="964"/>
        <w:gridCol w:w="964"/>
      </w:tblGrid>
      <w:tr w:rsidR="00FA5E7B" w:rsidRPr="00EA2DC3" w14:paraId="52150786" w14:textId="77777777" w:rsidTr="000769A2">
        <w:trPr>
          <w:trHeight w:val="278"/>
        </w:trPr>
        <w:tc>
          <w:tcPr>
            <w:tcW w:w="4253" w:type="dxa"/>
            <w:shd w:val="clear" w:color="auto" w:fill="C6D9F1" w:themeFill="text2" w:themeFillTint="33"/>
            <w:noWrap/>
            <w:hideMark/>
          </w:tcPr>
          <w:p w14:paraId="04CC89B8" w14:textId="77777777" w:rsidR="00FA5E7B" w:rsidRPr="00EA2DC3" w:rsidRDefault="00FA5E7B" w:rsidP="00FA5E7B">
            <w:pPr>
              <w:ind w:left="0" w:firstLine="0"/>
              <w:jc w:val="center"/>
              <w:rPr>
                <w:b/>
              </w:rPr>
            </w:pPr>
            <w:r w:rsidRPr="00EA2DC3">
              <w:rPr>
                <w:b/>
              </w:rPr>
              <w:t>Descripción</w:t>
            </w:r>
          </w:p>
        </w:tc>
        <w:tc>
          <w:tcPr>
            <w:tcW w:w="964" w:type="dxa"/>
            <w:shd w:val="clear" w:color="auto" w:fill="C6D9F1" w:themeFill="text2" w:themeFillTint="33"/>
          </w:tcPr>
          <w:p w14:paraId="35CC0ED8" w14:textId="5AC3CB30" w:rsidR="00FA5E7B" w:rsidRPr="00EA2DC3" w:rsidRDefault="00FA5E7B" w:rsidP="00FA5E7B">
            <w:pPr>
              <w:ind w:left="0" w:firstLine="0"/>
              <w:jc w:val="center"/>
              <w:rPr>
                <w:b/>
              </w:rPr>
            </w:pPr>
            <w:r w:rsidRPr="00EA2DC3">
              <w:rPr>
                <w:b/>
              </w:rPr>
              <w:t>2020</w:t>
            </w:r>
          </w:p>
        </w:tc>
        <w:tc>
          <w:tcPr>
            <w:tcW w:w="964" w:type="dxa"/>
            <w:shd w:val="clear" w:color="auto" w:fill="C6D9F1" w:themeFill="text2" w:themeFillTint="33"/>
          </w:tcPr>
          <w:p w14:paraId="70623461" w14:textId="35550105" w:rsidR="00FA5E7B" w:rsidRPr="00EA2DC3" w:rsidRDefault="00FA5E7B" w:rsidP="00FA5E7B">
            <w:pPr>
              <w:ind w:left="0" w:firstLine="0"/>
              <w:jc w:val="center"/>
              <w:rPr>
                <w:b/>
              </w:rPr>
            </w:pPr>
            <w:r w:rsidRPr="00EA2DC3">
              <w:rPr>
                <w:b/>
              </w:rPr>
              <w:t>2021</w:t>
            </w:r>
          </w:p>
        </w:tc>
        <w:tc>
          <w:tcPr>
            <w:tcW w:w="964" w:type="dxa"/>
            <w:shd w:val="clear" w:color="auto" w:fill="C6D9F1" w:themeFill="text2" w:themeFillTint="33"/>
          </w:tcPr>
          <w:p w14:paraId="02806B1F" w14:textId="52EB8C5A" w:rsidR="00FA5E7B" w:rsidRPr="00EA2DC3" w:rsidRDefault="00FA5E7B" w:rsidP="00FA5E7B">
            <w:pPr>
              <w:ind w:left="0" w:firstLine="0"/>
              <w:jc w:val="center"/>
              <w:rPr>
                <w:b/>
              </w:rPr>
            </w:pPr>
            <w:r w:rsidRPr="00EA2DC3">
              <w:rPr>
                <w:b/>
              </w:rPr>
              <w:t>2022</w:t>
            </w:r>
          </w:p>
        </w:tc>
        <w:tc>
          <w:tcPr>
            <w:tcW w:w="964" w:type="dxa"/>
            <w:shd w:val="clear" w:color="auto" w:fill="C6D9F1" w:themeFill="text2" w:themeFillTint="33"/>
          </w:tcPr>
          <w:p w14:paraId="139A3DBC" w14:textId="51AF6459" w:rsidR="00FA5E7B" w:rsidRPr="00EA2DC3" w:rsidRDefault="00FA5E7B" w:rsidP="00FA5E7B">
            <w:pPr>
              <w:ind w:left="0" w:firstLine="0"/>
              <w:jc w:val="center"/>
              <w:rPr>
                <w:b/>
              </w:rPr>
            </w:pPr>
            <w:r w:rsidRPr="00EA2DC3">
              <w:rPr>
                <w:b/>
              </w:rPr>
              <w:t>2023</w:t>
            </w:r>
          </w:p>
        </w:tc>
        <w:tc>
          <w:tcPr>
            <w:tcW w:w="964" w:type="dxa"/>
            <w:shd w:val="clear" w:color="auto" w:fill="C6D9F1" w:themeFill="text2" w:themeFillTint="33"/>
          </w:tcPr>
          <w:p w14:paraId="1F3F14FE" w14:textId="5226963D" w:rsidR="00FA5E7B" w:rsidRPr="00EA2DC3" w:rsidRDefault="00FA5E7B" w:rsidP="00FA5E7B">
            <w:pPr>
              <w:ind w:left="0" w:firstLine="0"/>
              <w:jc w:val="center"/>
              <w:rPr>
                <w:b/>
              </w:rPr>
            </w:pPr>
            <w:r w:rsidRPr="00EA2DC3">
              <w:rPr>
                <w:b/>
              </w:rPr>
              <w:t>2024</w:t>
            </w:r>
          </w:p>
        </w:tc>
      </w:tr>
      <w:tr w:rsidR="00FA5E7B" w:rsidRPr="00EA2DC3" w14:paraId="51DF0989" w14:textId="77777777" w:rsidTr="000769A2">
        <w:trPr>
          <w:trHeight w:val="278"/>
        </w:trPr>
        <w:tc>
          <w:tcPr>
            <w:tcW w:w="4253" w:type="dxa"/>
            <w:shd w:val="clear" w:color="auto" w:fill="auto"/>
            <w:noWrap/>
            <w:vAlign w:val="center"/>
          </w:tcPr>
          <w:p w14:paraId="0BCE82D0" w14:textId="77777777" w:rsidR="00FA5E7B" w:rsidRPr="00EA2DC3" w:rsidRDefault="00FA5E7B" w:rsidP="00FA5E7B">
            <w:pPr>
              <w:ind w:left="0" w:firstLine="0"/>
              <w:rPr>
                <w:rFonts w:asciiTheme="minorHAnsi" w:eastAsia="Times New Roman" w:hAnsiTheme="minorHAnsi" w:cs="Arial"/>
                <w:color w:val="000000"/>
              </w:rPr>
            </w:pPr>
            <w:r w:rsidRPr="00EA2DC3">
              <w:rPr>
                <w:rFonts w:asciiTheme="minorHAnsi" w:hAnsiTheme="minorHAnsi"/>
                <w:color w:val="000000"/>
              </w:rPr>
              <w:t>Cuotas de las Partes Contratantes</w:t>
            </w:r>
          </w:p>
        </w:tc>
        <w:tc>
          <w:tcPr>
            <w:tcW w:w="964" w:type="dxa"/>
            <w:vAlign w:val="center"/>
          </w:tcPr>
          <w:p w14:paraId="0C7D24F5" w14:textId="10C20EDC"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3 779</w:t>
            </w:r>
          </w:p>
        </w:tc>
        <w:tc>
          <w:tcPr>
            <w:tcW w:w="964" w:type="dxa"/>
            <w:vAlign w:val="center"/>
          </w:tcPr>
          <w:p w14:paraId="37FF71BE" w14:textId="225D857E"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3 779</w:t>
            </w:r>
          </w:p>
        </w:tc>
        <w:tc>
          <w:tcPr>
            <w:tcW w:w="964" w:type="dxa"/>
            <w:vAlign w:val="center"/>
          </w:tcPr>
          <w:p w14:paraId="5DBB5C57" w14:textId="6C25BF0D"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3 779</w:t>
            </w:r>
          </w:p>
        </w:tc>
        <w:tc>
          <w:tcPr>
            <w:tcW w:w="964" w:type="dxa"/>
            <w:vAlign w:val="center"/>
          </w:tcPr>
          <w:p w14:paraId="77D25908" w14:textId="6DCED242"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3 779</w:t>
            </w:r>
          </w:p>
        </w:tc>
        <w:tc>
          <w:tcPr>
            <w:tcW w:w="964" w:type="dxa"/>
            <w:vAlign w:val="center"/>
          </w:tcPr>
          <w:p w14:paraId="5BAE8988" w14:textId="77777777"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3 779</w:t>
            </w:r>
          </w:p>
        </w:tc>
      </w:tr>
      <w:tr w:rsidR="00FA5E7B" w:rsidRPr="00EA2DC3" w14:paraId="7B0A1D46" w14:textId="77777777" w:rsidTr="000769A2">
        <w:trPr>
          <w:trHeight w:val="278"/>
        </w:trPr>
        <w:tc>
          <w:tcPr>
            <w:tcW w:w="4253" w:type="dxa"/>
            <w:shd w:val="clear" w:color="auto" w:fill="auto"/>
            <w:noWrap/>
            <w:vAlign w:val="center"/>
            <w:hideMark/>
          </w:tcPr>
          <w:p w14:paraId="747DB285" w14:textId="77777777" w:rsidR="00FA5E7B" w:rsidRPr="00EA2DC3" w:rsidRDefault="00FA5E7B" w:rsidP="00FA5E7B">
            <w:pPr>
              <w:ind w:left="0" w:firstLine="0"/>
              <w:rPr>
                <w:rFonts w:asciiTheme="minorHAnsi" w:eastAsia="Times New Roman" w:hAnsiTheme="minorHAnsi" w:cs="Arial"/>
                <w:color w:val="000000"/>
              </w:rPr>
            </w:pPr>
            <w:r w:rsidRPr="00EA2DC3">
              <w:rPr>
                <w:rFonts w:asciiTheme="minorHAnsi" w:hAnsiTheme="minorHAnsi"/>
                <w:color w:val="000000"/>
              </w:rPr>
              <w:t>Contribución voluntaria de los Estados Unidos de América</w:t>
            </w:r>
          </w:p>
        </w:tc>
        <w:tc>
          <w:tcPr>
            <w:tcW w:w="964" w:type="dxa"/>
            <w:vAlign w:val="center"/>
          </w:tcPr>
          <w:p w14:paraId="15368BC9" w14:textId="6E58F014"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1 066</w:t>
            </w:r>
          </w:p>
        </w:tc>
        <w:tc>
          <w:tcPr>
            <w:tcW w:w="964" w:type="dxa"/>
            <w:vAlign w:val="center"/>
          </w:tcPr>
          <w:p w14:paraId="689D4E0C" w14:textId="2812B6DD"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1 066</w:t>
            </w:r>
          </w:p>
        </w:tc>
        <w:tc>
          <w:tcPr>
            <w:tcW w:w="964" w:type="dxa"/>
            <w:vAlign w:val="center"/>
          </w:tcPr>
          <w:p w14:paraId="75C80CC1" w14:textId="5C33D75C"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1 066</w:t>
            </w:r>
          </w:p>
        </w:tc>
        <w:tc>
          <w:tcPr>
            <w:tcW w:w="964" w:type="dxa"/>
            <w:vAlign w:val="center"/>
          </w:tcPr>
          <w:p w14:paraId="169E459F" w14:textId="7D1F8E18"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1 066</w:t>
            </w:r>
          </w:p>
        </w:tc>
        <w:tc>
          <w:tcPr>
            <w:tcW w:w="964" w:type="dxa"/>
            <w:vAlign w:val="center"/>
          </w:tcPr>
          <w:p w14:paraId="50E1A1D4" w14:textId="77777777"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1 066</w:t>
            </w:r>
          </w:p>
        </w:tc>
      </w:tr>
      <w:tr w:rsidR="00FA5E7B" w:rsidRPr="00EA2DC3" w14:paraId="6B6D3AD1" w14:textId="77777777" w:rsidTr="000769A2">
        <w:trPr>
          <w:trHeight w:val="278"/>
        </w:trPr>
        <w:tc>
          <w:tcPr>
            <w:tcW w:w="4253" w:type="dxa"/>
            <w:shd w:val="clear" w:color="auto" w:fill="auto"/>
            <w:noWrap/>
            <w:vAlign w:val="center"/>
            <w:hideMark/>
          </w:tcPr>
          <w:p w14:paraId="4E120FC6" w14:textId="77777777" w:rsidR="00FA5E7B" w:rsidRPr="00EA2DC3" w:rsidRDefault="00FA5E7B" w:rsidP="00FA5E7B">
            <w:pPr>
              <w:ind w:left="0" w:firstLine="0"/>
              <w:rPr>
                <w:rFonts w:asciiTheme="minorHAnsi" w:eastAsia="Times New Roman" w:hAnsiTheme="minorHAnsi" w:cs="Arial"/>
                <w:color w:val="000000"/>
              </w:rPr>
            </w:pPr>
            <w:r w:rsidRPr="00EA2DC3">
              <w:rPr>
                <w:rFonts w:asciiTheme="minorHAnsi" w:hAnsiTheme="minorHAnsi"/>
                <w:color w:val="000000"/>
              </w:rPr>
              <w:t>Contribuciones pendientes acumuladas al final del año</w:t>
            </w:r>
          </w:p>
        </w:tc>
        <w:tc>
          <w:tcPr>
            <w:tcW w:w="964" w:type="dxa"/>
            <w:vAlign w:val="center"/>
          </w:tcPr>
          <w:p w14:paraId="25F3F6D3" w14:textId="5F338A35"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1 674</w:t>
            </w:r>
          </w:p>
        </w:tc>
        <w:tc>
          <w:tcPr>
            <w:tcW w:w="964" w:type="dxa"/>
            <w:vAlign w:val="center"/>
          </w:tcPr>
          <w:p w14:paraId="1B50B29A" w14:textId="4DFEF684"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1 536</w:t>
            </w:r>
          </w:p>
        </w:tc>
        <w:tc>
          <w:tcPr>
            <w:tcW w:w="964" w:type="dxa"/>
            <w:vAlign w:val="center"/>
          </w:tcPr>
          <w:p w14:paraId="01E08F65" w14:textId="4F12536E"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1 594</w:t>
            </w:r>
          </w:p>
        </w:tc>
        <w:tc>
          <w:tcPr>
            <w:tcW w:w="964" w:type="dxa"/>
            <w:vAlign w:val="center"/>
          </w:tcPr>
          <w:p w14:paraId="1EE9DA2E" w14:textId="57D6C4C2"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1 635</w:t>
            </w:r>
          </w:p>
        </w:tc>
        <w:tc>
          <w:tcPr>
            <w:tcW w:w="964" w:type="dxa"/>
            <w:vAlign w:val="center"/>
          </w:tcPr>
          <w:p w14:paraId="0C63CAF1" w14:textId="4C841B29"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1 897</w:t>
            </w:r>
          </w:p>
        </w:tc>
      </w:tr>
      <w:tr w:rsidR="00FA5E7B" w:rsidRPr="00EA2DC3" w14:paraId="7C95B5AF" w14:textId="77777777" w:rsidTr="000769A2">
        <w:trPr>
          <w:trHeight w:val="552"/>
        </w:trPr>
        <w:tc>
          <w:tcPr>
            <w:tcW w:w="4253" w:type="dxa"/>
            <w:shd w:val="clear" w:color="auto" w:fill="auto"/>
            <w:vAlign w:val="center"/>
            <w:hideMark/>
          </w:tcPr>
          <w:p w14:paraId="587657C4" w14:textId="77777777" w:rsidR="00FA5E7B" w:rsidRPr="00EA2DC3" w:rsidRDefault="00FA5E7B" w:rsidP="00FA5E7B">
            <w:pPr>
              <w:ind w:left="0" w:firstLine="0"/>
              <w:rPr>
                <w:rFonts w:asciiTheme="minorHAnsi" w:eastAsia="Times New Roman" w:hAnsiTheme="minorHAnsi" w:cs="Arial"/>
                <w:color w:val="000000"/>
              </w:rPr>
            </w:pPr>
            <w:r w:rsidRPr="00EA2DC3">
              <w:rPr>
                <w:rFonts w:asciiTheme="minorHAnsi" w:hAnsiTheme="minorHAnsi"/>
                <w:color w:val="000000"/>
              </w:rPr>
              <w:t>Provisión en caso de mora (es decir, provisión para contribuciones pendientes de pago)</w:t>
            </w:r>
          </w:p>
        </w:tc>
        <w:tc>
          <w:tcPr>
            <w:tcW w:w="964" w:type="dxa"/>
            <w:vAlign w:val="center"/>
          </w:tcPr>
          <w:p w14:paraId="4F11CD26" w14:textId="756A6CB0"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990</w:t>
            </w:r>
          </w:p>
        </w:tc>
        <w:tc>
          <w:tcPr>
            <w:tcW w:w="964" w:type="dxa"/>
            <w:vAlign w:val="center"/>
          </w:tcPr>
          <w:p w14:paraId="78F80790" w14:textId="26F38284"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1 050</w:t>
            </w:r>
          </w:p>
        </w:tc>
        <w:tc>
          <w:tcPr>
            <w:tcW w:w="964" w:type="dxa"/>
            <w:vAlign w:val="center"/>
          </w:tcPr>
          <w:p w14:paraId="5E471A91" w14:textId="22822CB2"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1 202</w:t>
            </w:r>
          </w:p>
        </w:tc>
        <w:tc>
          <w:tcPr>
            <w:tcW w:w="964" w:type="dxa"/>
            <w:vAlign w:val="center"/>
          </w:tcPr>
          <w:p w14:paraId="68D3253C" w14:textId="597B69CA"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1 413</w:t>
            </w:r>
          </w:p>
        </w:tc>
        <w:tc>
          <w:tcPr>
            <w:tcW w:w="964" w:type="dxa"/>
            <w:vAlign w:val="center"/>
          </w:tcPr>
          <w:p w14:paraId="0748529B" w14:textId="5E2B13F7" w:rsidR="00FA5E7B" w:rsidRPr="00EA2DC3" w:rsidRDefault="00FA5E7B" w:rsidP="00FA5E7B">
            <w:pPr>
              <w:ind w:left="0" w:firstLine="0"/>
              <w:jc w:val="right"/>
              <w:rPr>
                <w:rFonts w:asciiTheme="minorHAnsi" w:eastAsia="Times New Roman" w:hAnsiTheme="minorHAnsi" w:cs="Arial"/>
                <w:color w:val="000000"/>
              </w:rPr>
            </w:pPr>
            <w:r w:rsidRPr="00EA2DC3">
              <w:rPr>
                <w:rFonts w:asciiTheme="minorHAnsi" w:hAnsiTheme="minorHAnsi"/>
                <w:color w:val="000000"/>
              </w:rPr>
              <w:t>1 526</w:t>
            </w:r>
          </w:p>
        </w:tc>
      </w:tr>
    </w:tbl>
    <w:p w14:paraId="1667EF51" w14:textId="77777777" w:rsidR="009F5BBB" w:rsidRPr="00EA2DC3" w:rsidRDefault="009F5BBB" w:rsidP="009F5BBB">
      <w:pPr>
        <w:rPr>
          <w:rFonts w:cs="Arial"/>
        </w:rPr>
      </w:pPr>
    </w:p>
    <w:p w14:paraId="62ECBEBB" w14:textId="77777777" w:rsidR="004737CA" w:rsidRPr="00EA2DC3" w:rsidRDefault="004737CA" w:rsidP="009F5BBB">
      <w:pPr>
        <w:rPr>
          <w:rFonts w:cs="Arial"/>
        </w:rPr>
      </w:pPr>
    </w:p>
    <w:p w14:paraId="0856E77D" w14:textId="0F404B6B" w:rsidR="00FA5E7B" w:rsidRPr="00EA2DC3" w:rsidRDefault="00D9682F" w:rsidP="00FA5E7B">
      <w:pPr>
        <w:rPr>
          <w:rFonts w:cs="Arial"/>
        </w:rPr>
      </w:pPr>
      <w:r w:rsidRPr="00EA2DC3">
        <w:t>7.</w:t>
      </w:r>
      <w:r w:rsidRPr="00EA2DC3">
        <w:tab/>
        <w:t>De conformidad con la Decisión SC57-39 del Comité Permanente, la provisión para las contribuciones en situación de mora se ha calculado desde 2019 según el método propuesto por el auditor externo. Por consiguiente, en 2024 se aplicó una provisión del 20 % a las contribuciones pendientes de pago por hasta dos años, el 60 % a las contribuciones pendientes de pago por tres años y el 80 % a las contribuciones pendientes de pago por cuatro años. Se aplicó una provisión del 100 % a los saldos pendientes por más de cuatro años.</w:t>
      </w:r>
    </w:p>
    <w:p w14:paraId="08FB49A1" w14:textId="77777777" w:rsidR="00FA5E7B" w:rsidRPr="00EA2DC3" w:rsidRDefault="00FA5E7B" w:rsidP="00FA5E7B">
      <w:pPr>
        <w:rPr>
          <w:rFonts w:cs="Arial"/>
        </w:rPr>
      </w:pPr>
    </w:p>
    <w:p w14:paraId="2B446734" w14:textId="4BFB3326" w:rsidR="00FA5E7B" w:rsidRPr="00EA2DC3" w:rsidRDefault="00D9682F" w:rsidP="00FA5E7B">
      <w:pPr>
        <w:rPr>
          <w:rFonts w:cs="Arial"/>
        </w:rPr>
      </w:pPr>
      <w:r w:rsidRPr="00EA2DC3">
        <w:lastRenderedPageBreak/>
        <w:t>8.</w:t>
      </w:r>
      <w:r w:rsidRPr="00EA2DC3">
        <w:tab/>
        <w:t xml:space="preserve">En 2024, se aplicó la provisión total del 100 % a 42 Partes Contratantes cuyas contribuciones pendientes de pago sumaban 1 423 000 francos suizos en total (en comparación con 44 Partes en 2023, que entonces tenían un total de contribuciones pendientes de pago de 1 324 000 francos suizos). De estas Partes, nueve llevaban más de diez años sin pagar ninguna contribución (en comparación con 11 Partes en 2023). </w:t>
      </w:r>
    </w:p>
    <w:p w14:paraId="7A37F4D4" w14:textId="77777777" w:rsidR="00FA5E7B" w:rsidRPr="00EA2DC3" w:rsidRDefault="00FA5E7B" w:rsidP="00FA5E7B">
      <w:pPr>
        <w:rPr>
          <w:rFonts w:cs="Arial"/>
        </w:rPr>
      </w:pPr>
    </w:p>
    <w:p w14:paraId="7459A6FF" w14:textId="0E878677" w:rsidR="0080200D" w:rsidRPr="00EA2DC3" w:rsidRDefault="0080200D" w:rsidP="004410A9">
      <w:pPr>
        <w:keepNext/>
        <w:rPr>
          <w:rFonts w:cs="Arial"/>
          <w:b/>
        </w:rPr>
      </w:pPr>
      <w:r w:rsidRPr="00EA2DC3">
        <w:rPr>
          <w:b/>
        </w:rPr>
        <w:t>Contribuciones voluntarias de la región de África</w:t>
      </w:r>
    </w:p>
    <w:p w14:paraId="2E686B24" w14:textId="77777777" w:rsidR="0080200D" w:rsidRPr="00EA2DC3" w:rsidRDefault="0080200D" w:rsidP="004410A9">
      <w:pPr>
        <w:keepNext/>
        <w:rPr>
          <w:rFonts w:cs="Arial"/>
          <w:b/>
        </w:rPr>
      </w:pPr>
    </w:p>
    <w:p w14:paraId="76E30A22" w14:textId="3B623432" w:rsidR="0080200D" w:rsidRPr="00EA2DC3" w:rsidRDefault="00D9682F" w:rsidP="00AD53FB">
      <w:pPr>
        <w:rPr>
          <w:rFonts w:cs="Arial"/>
        </w:rPr>
      </w:pPr>
      <w:r w:rsidRPr="00EA2DC3">
        <w:t>9.</w:t>
      </w:r>
      <w:r w:rsidRPr="00EA2DC3">
        <w:tab/>
        <w:t xml:space="preserve">En la 10ª reunión de la Conferencia de las Partes (COP10), en el párrafo 23 de la Resolución X.2 sobre </w:t>
      </w:r>
      <w:r w:rsidRPr="00EA2DC3">
        <w:rPr>
          <w:i/>
          <w:iCs/>
        </w:rPr>
        <w:t>Cuestiones financieras y presupuestarias</w:t>
      </w:r>
      <w:r w:rsidRPr="00EA2DC3">
        <w:t>, las Partes Contratantes de África cuyas cuotas anuales eran inferiores a 2 000 francos suizos acordaron aumentar sus cuotas hasta ese nivel. La diferencia entre los 2 000 francos suizos y sus cuotas se aportaría en forma de una contribución voluntaria destinada específicamente a iniciativas regionales de Ramsar (IRR) en África.</w:t>
      </w:r>
    </w:p>
    <w:p w14:paraId="15673373" w14:textId="77777777" w:rsidR="00D9682F" w:rsidRPr="00EA2DC3" w:rsidRDefault="00D9682F" w:rsidP="00D9682F">
      <w:pPr>
        <w:rPr>
          <w:rFonts w:cs="Arial"/>
        </w:rPr>
      </w:pPr>
    </w:p>
    <w:p w14:paraId="58366365" w14:textId="20165EE4" w:rsidR="00D9682F" w:rsidRPr="00EA2DC3" w:rsidRDefault="00D9682F" w:rsidP="00D9682F">
      <w:pPr>
        <w:rPr>
          <w:rFonts w:asciiTheme="minorHAnsi" w:eastAsia="Times New Roman" w:hAnsiTheme="minorHAnsi" w:cs="Arial"/>
          <w:b/>
          <w:bCs/>
          <w:color w:val="000000"/>
          <w:sz w:val="24"/>
          <w:szCs w:val="24"/>
        </w:rPr>
      </w:pPr>
      <w:r w:rsidRPr="00EA2DC3">
        <w:rPr>
          <w:rFonts w:asciiTheme="minorHAnsi" w:hAnsiTheme="minorHAnsi"/>
          <w:color w:val="000000" w:themeColor="text1"/>
        </w:rPr>
        <w:t>10.</w:t>
      </w:r>
      <w:r w:rsidRPr="00EA2DC3">
        <w:tab/>
        <w:t>En 2024, la Secretaría consultó a los representantes regionales de África ante el Comité Permanente sobre la utilización del saldo de 30 000 francos suizos de las contribuciones voluntarias de la región de África al final de 2023. De conformidad con las decisiones tomadas por los representantes regionales, este saldo de fondos se destinó íntegramente a cubrir los gastos de los delegados africanos en la reunión regional preparatoria de la COP15 que tuvo lugar en Marrakech, Marruecos, del 8 al 10 de enero de 2025.</w:t>
      </w:r>
    </w:p>
    <w:p w14:paraId="24DDA2FB" w14:textId="77777777" w:rsidR="00D9682F" w:rsidRPr="00EA2DC3" w:rsidRDefault="00D9682F" w:rsidP="00D9682F">
      <w:pPr>
        <w:rPr>
          <w:rFonts w:cs="Arial"/>
        </w:rPr>
      </w:pPr>
    </w:p>
    <w:p w14:paraId="41BA0AB8" w14:textId="49DA758C" w:rsidR="000510F4" w:rsidRPr="00EA2DC3" w:rsidRDefault="00D9682F" w:rsidP="00D9682F">
      <w:pPr>
        <w:rPr>
          <w:rFonts w:cs="Arial"/>
        </w:rPr>
      </w:pPr>
      <w:r w:rsidRPr="00EA2DC3">
        <w:t>11.</w:t>
      </w:r>
      <w:r w:rsidRPr="00EA2DC3">
        <w:tab/>
        <w:t>En el documento SC64 Doc.9.2 Rev.1</w:t>
      </w:r>
      <w:r w:rsidR="001230BA" w:rsidRPr="00EA2DC3">
        <w:rPr>
          <w:rStyle w:val="FootnoteReference"/>
          <w:rFonts w:cs="Arial"/>
        </w:rPr>
        <w:footnoteReference w:id="4"/>
      </w:r>
      <w:r w:rsidRPr="00EA2DC3">
        <w:t xml:space="preserve"> se informaba, en el párrafo 19 y en el anexo 2, sobre el estado de las contribuciones voluntarias africanas al 31 de diciembre de 2024. Como lo constató el Comité Permanente en la Decisión SC64-40, parte iv)</w:t>
      </w:r>
      <w:r w:rsidR="00894D44" w:rsidRPr="00EA2DC3">
        <w:rPr>
          <w:rStyle w:val="FootnoteReference"/>
          <w:rFonts w:cs="Arial"/>
        </w:rPr>
        <w:footnoteReference w:id="5"/>
      </w:r>
      <w:r w:rsidRPr="00EA2DC3">
        <w:t>, las contribuciones voluntarias de las Partes Contratantes de la región de África durante 2024 ascendieron a 1 000 francos suizos. Una cantidad adicional de 12 000 francos suizos está disponible para su posterior distribución, ya que la IRR a la que se asignó esta cuantía en 2020 no la ha solicitado. Por consiguiente, el saldo total disponible para nuevas distribuciones al 31 de enero de 2025 era de 13 000 francos suizos.</w:t>
      </w:r>
    </w:p>
    <w:p w14:paraId="49A2442A" w14:textId="77777777" w:rsidR="000510F4" w:rsidRPr="00EA2DC3" w:rsidRDefault="000510F4" w:rsidP="00671AC0">
      <w:pPr>
        <w:ind w:left="0" w:firstLine="0"/>
        <w:rPr>
          <w:rFonts w:cs="Arial"/>
        </w:rPr>
      </w:pPr>
    </w:p>
    <w:p w14:paraId="7ABD6FFF" w14:textId="0BF5E405" w:rsidR="001554EE" w:rsidRPr="00EA2DC3" w:rsidRDefault="001554EE" w:rsidP="001554EE">
      <w:pPr>
        <w:rPr>
          <w:rFonts w:cs="Arial"/>
        </w:rPr>
      </w:pPr>
      <w:r w:rsidRPr="00EA2DC3">
        <w:t>12.</w:t>
      </w:r>
      <w:r w:rsidRPr="00EA2DC3">
        <w:tab/>
        <w:t xml:space="preserve">En la Resolución XIV.1, párrafos 24 y 25, las Partes Contratantes acordaron el procedimiento de asignación de estas contribuciones. </w:t>
      </w:r>
    </w:p>
    <w:p w14:paraId="3B34FC3C" w14:textId="77777777" w:rsidR="001554EE" w:rsidRPr="00EA2DC3" w:rsidRDefault="001554EE" w:rsidP="00671AC0">
      <w:pPr>
        <w:ind w:left="0" w:firstLine="0"/>
        <w:rPr>
          <w:rFonts w:cs="Arial"/>
        </w:rPr>
      </w:pPr>
    </w:p>
    <w:p w14:paraId="18D0D4D2" w14:textId="77777777" w:rsidR="00744819" w:rsidRPr="00EA2DC3" w:rsidRDefault="00744819" w:rsidP="00F13D9B">
      <w:pPr>
        <w:rPr>
          <w:rFonts w:cs="Arial"/>
        </w:rPr>
      </w:pPr>
    </w:p>
    <w:p w14:paraId="02245101" w14:textId="29DDE6F3" w:rsidR="00E1484F" w:rsidRPr="00EA2DC3" w:rsidRDefault="00671AC0">
      <w:pPr>
        <w:rPr>
          <w:rFonts w:asciiTheme="minorHAnsi" w:eastAsia="Times New Roman" w:hAnsiTheme="minorHAnsi" w:cs="Arial"/>
          <w:b/>
          <w:bCs/>
          <w:color w:val="000000"/>
          <w:sz w:val="24"/>
          <w:szCs w:val="24"/>
        </w:rPr>
      </w:pPr>
      <w:r w:rsidRPr="00EA2DC3">
        <w:rPr>
          <w:rFonts w:asciiTheme="minorHAnsi" w:hAnsiTheme="minorHAnsi"/>
          <w:b/>
          <w:bCs/>
          <w:color w:val="000000"/>
          <w:sz w:val="24"/>
          <w:szCs w:val="24"/>
        </w:rPr>
        <w:tab/>
      </w:r>
    </w:p>
    <w:p w14:paraId="2AAAAA7C" w14:textId="56A953E0" w:rsidR="003D27CC" w:rsidRPr="00EA2DC3" w:rsidRDefault="003D27CC" w:rsidP="00844453">
      <w:pPr>
        <w:ind w:left="0" w:firstLine="0"/>
        <w:rPr>
          <w:rFonts w:cs="Arial"/>
        </w:rPr>
      </w:pPr>
    </w:p>
    <w:sectPr w:rsidR="003D27CC" w:rsidRPr="00EA2DC3" w:rsidSect="009F2D52">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E060" w14:textId="77777777" w:rsidR="000F688E" w:rsidRDefault="000F688E" w:rsidP="00DF2386">
      <w:r>
        <w:separator/>
      </w:r>
    </w:p>
  </w:endnote>
  <w:endnote w:type="continuationSeparator" w:id="0">
    <w:p w14:paraId="7A092205" w14:textId="77777777" w:rsidR="000F688E" w:rsidRDefault="000F688E" w:rsidP="00DF2386">
      <w:r>
        <w:continuationSeparator/>
      </w:r>
    </w:p>
  </w:endnote>
  <w:endnote w:type="continuationNotice" w:id="1">
    <w:p w14:paraId="66C963E0" w14:textId="77777777" w:rsidR="000F688E" w:rsidRDefault="000F6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0ECA" w14:textId="5426E4B6" w:rsidR="009F2D52" w:rsidRDefault="009F2D52" w:rsidP="009F2D52">
    <w:pPr>
      <w:pStyle w:val="Header"/>
      <w:rPr>
        <w:noProof/>
      </w:rPr>
    </w:pPr>
    <w:r>
      <w:rPr>
        <w:sz w:val="20"/>
        <w:szCs w:val="20"/>
      </w:rPr>
      <w:t>SC65 Doc.8.2</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sz w:val="20"/>
            <w:szCs w:val="20"/>
          </w:rPr>
          <w:t>3</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94475" w14:textId="77777777" w:rsidR="000F688E" w:rsidRDefault="000F688E" w:rsidP="00DF2386">
      <w:r>
        <w:separator/>
      </w:r>
    </w:p>
  </w:footnote>
  <w:footnote w:type="continuationSeparator" w:id="0">
    <w:p w14:paraId="48B78572" w14:textId="77777777" w:rsidR="000F688E" w:rsidRDefault="000F688E" w:rsidP="00DF2386">
      <w:r>
        <w:continuationSeparator/>
      </w:r>
    </w:p>
  </w:footnote>
  <w:footnote w:type="continuationNotice" w:id="1">
    <w:p w14:paraId="34B36691" w14:textId="77777777" w:rsidR="000F688E" w:rsidRDefault="000F688E"/>
  </w:footnote>
  <w:footnote w:id="2">
    <w:p w14:paraId="44A57814" w14:textId="5A75BA25" w:rsidR="00B13260" w:rsidRPr="009F2D52" w:rsidRDefault="00B13260" w:rsidP="00B13260">
      <w:pPr>
        <w:pStyle w:val="FootnoteText"/>
        <w:ind w:left="0" w:firstLine="0"/>
        <w:rPr>
          <w:lang w:val="fr-FR"/>
        </w:rPr>
      </w:pPr>
      <w:r>
        <w:rPr>
          <w:rStyle w:val="FootnoteReference"/>
        </w:rPr>
        <w:footnoteRef/>
      </w:r>
      <w:r w:rsidRPr="009F2D52">
        <w:rPr>
          <w:lang w:val="fr-FR"/>
        </w:rPr>
        <w:t xml:space="preserve"> Véase </w:t>
      </w:r>
      <w:hyperlink r:id="rId1" w:history="1">
        <w:r w:rsidR="00012001" w:rsidRPr="00EB703E">
          <w:rPr>
            <w:rStyle w:val="Hyperlink"/>
            <w:lang w:val="fr-FR"/>
          </w:rPr>
          <w:t>https://www.ramsar.org/es/document/sc64-doc92-rev1-cuestiones-financieras-y-presupuestarias-estado-de-las-contribuciones</w:t>
        </w:r>
      </w:hyperlink>
      <w:r w:rsidRPr="009F2D52">
        <w:rPr>
          <w:lang w:val="fr-FR"/>
        </w:rPr>
        <w:t xml:space="preserve">. </w:t>
      </w:r>
    </w:p>
  </w:footnote>
  <w:footnote w:id="3">
    <w:p w14:paraId="14BC26B1" w14:textId="0D24F1B2" w:rsidR="00894D44" w:rsidRPr="009F2D52" w:rsidRDefault="00894D44" w:rsidP="00894D44">
      <w:pPr>
        <w:pStyle w:val="FootnoteText"/>
        <w:rPr>
          <w:lang w:val="fr-FR"/>
        </w:rPr>
      </w:pPr>
      <w:r>
        <w:rPr>
          <w:rStyle w:val="FootnoteReference"/>
        </w:rPr>
        <w:footnoteRef/>
      </w:r>
      <w:r w:rsidRPr="009F2D52">
        <w:rPr>
          <w:lang w:val="fr-FR"/>
        </w:rPr>
        <w:t xml:space="preserve"> Véase </w:t>
      </w:r>
      <w:hyperlink r:id="rId2" w:history="1">
        <w:r w:rsidR="00012001" w:rsidRPr="00EB703E">
          <w:rPr>
            <w:rStyle w:val="Hyperlink"/>
            <w:lang w:val="fr-FR"/>
          </w:rPr>
          <w:t>https://www.ramsar.org/es/document/decisiones-de-la-64a-sesion-del-comite-permanente</w:t>
        </w:r>
      </w:hyperlink>
      <w:r w:rsidRPr="009F2D52">
        <w:rPr>
          <w:lang w:val="fr-FR"/>
        </w:rPr>
        <w:t xml:space="preserve">. </w:t>
      </w:r>
    </w:p>
  </w:footnote>
  <w:footnote w:id="4">
    <w:p w14:paraId="1196764B" w14:textId="3BE84515" w:rsidR="001230BA" w:rsidRPr="009F2D52" w:rsidRDefault="001230BA" w:rsidP="001230BA">
      <w:pPr>
        <w:pStyle w:val="FootnoteText"/>
        <w:ind w:left="0" w:firstLine="0"/>
        <w:rPr>
          <w:lang w:val="fr-FR"/>
        </w:rPr>
      </w:pPr>
      <w:r>
        <w:rPr>
          <w:rStyle w:val="FootnoteReference"/>
        </w:rPr>
        <w:footnoteRef/>
      </w:r>
      <w:r w:rsidRPr="009F2D52">
        <w:rPr>
          <w:lang w:val="fr-FR"/>
        </w:rPr>
        <w:t xml:space="preserve"> Véase </w:t>
      </w:r>
      <w:hyperlink r:id="rId3" w:history="1">
        <w:r w:rsidR="00012001" w:rsidRPr="00EB703E">
          <w:rPr>
            <w:rStyle w:val="Hyperlink"/>
            <w:lang w:val="fr-FR"/>
          </w:rPr>
          <w:t>https://www.ramsar.org/es/document/sc64-doc92-rev1-cuestiones-financieras-y-presupuestarias-estado-de-las-contribuciones</w:t>
        </w:r>
      </w:hyperlink>
      <w:r w:rsidRPr="009F2D52">
        <w:rPr>
          <w:lang w:val="fr-FR"/>
        </w:rPr>
        <w:t>.</w:t>
      </w:r>
    </w:p>
  </w:footnote>
  <w:footnote w:id="5">
    <w:p w14:paraId="19914B4F" w14:textId="24EA7657" w:rsidR="00894D44" w:rsidRPr="009F2D52" w:rsidRDefault="00894D44">
      <w:pPr>
        <w:pStyle w:val="FootnoteText"/>
        <w:rPr>
          <w:lang w:val="fr-FR"/>
        </w:rPr>
      </w:pPr>
      <w:r>
        <w:rPr>
          <w:rStyle w:val="FootnoteReference"/>
        </w:rPr>
        <w:footnoteRef/>
      </w:r>
      <w:r w:rsidRPr="009F2D52">
        <w:rPr>
          <w:lang w:val="fr-FR"/>
        </w:rPr>
        <w:t xml:space="preserve"> Véase </w:t>
      </w:r>
      <w:hyperlink r:id="rId4" w:history="1">
        <w:r w:rsidR="00012001" w:rsidRPr="00EB703E">
          <w:rPr>
            <w:rStyle w:val="Hyperlink"/>
            <w:lang w:val="fr-FR"/>
          </w:rPr>
          <w:t>https://www.ramsar.org/es/document/decisiones-de-la-64a-sesion-del-comite-permanente</w:t>
        </w:r>
      </w:hyperlink>
      <w:r w:rsidRPr="009F2D52">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396FC7"/>
    <w:multiLevelType w:val="hybridMultilevel"/>
    <w:tmpl w:val="FEC0927A"/>
    <w:lvl w:ilvl="0" w:tplc="C30C4E44">
      <w:start w:val="1"/>
      <w:numFmt w:val="decimal"/>
      <w:lvlText w:val="%1."/>
      <w:lvlJc w:val="left"/>
      <w:pPr>
        <w:ind w:left="688" w:hanging="428"/>
        <w:jc w:val="right"/>
      </w:pPr>
      <w:rPr>
        <w:rFonts w:ascii="Arial" w:eastAsia="Arial" w:hAnsi="Arial" w:hint="default"/>
        <w:spacing w:val="-11"/>
        <w:sz w:val="22"/>
        <w:szCs w:val="22"/>
      </w:rPr>
    </w:lvl>
    <w:lvl w:ilvl="1" w:tplc="12721ECE">
      <w:start w:val="1"/>
      <w:numFmt w:val="bullet"/>
      <w:lvlText w:val="•"/>
      <w:lvlJc w:val="left"/>
      <w:pPr>
        <w:ind w:left="970" w:hanging="425"/>
      </w:pPr>
      <w:rPr>
        <w:rFonts w:ascii="Arial" w:eastAsia="Arial" w:hAnsi="Arial" w:hint="default"/>
        <w:sz w:val="22"/>
        <w:szCs w:val="22"/>
      </w:rPr>
    </w:lvl>
    <w:lvl w:ilvl="2" w:tplc="160E8BC4">
      <w:start w:val="1"/>
      <w:numFmt w:val="bullet"/>
      <w:lvlText w:val="•"/>
      <w:lvlJc w:val="left"/>
      <w:pPr>
        <w:ind w:left="970" w:hanging="425"/>
      </w:pPr>
      <w:rPr>
        <w:rFonts w:hint="default"/>
      </w:rPr>
    </w:lvl>
    <w:lvl w:ilvl="3" w:tplc="4FC83C14">
      <w:start w:val="1"/>
      <w:numFmt w:val="bullet"/>
      <w:lvlText w:val="•"/>
      <w:lvlJc w:val="left"/>
      <w:pPr>
        <w:ind w:left="2015" w:hanging="425"/>
      </w:pPr>
      <w:rPr>
        <w:rFonts w:hint="default"/>
      </w:rPr>
    </w:lvl>
    <w:lvl w:ilvl="4" w:tplc="40F0ACA6">
      <w:start w:val="1"/>
      <w:numFmt w:val="bullet"/>
      <w:lvlText w:val="•"/>
      <w:lvlJc w:val="left"/>
      <w:pPr>
        <w:ind w:left="3059" w:hanging="425"/>
      </w:pPr>
      <w:rPr>
        <w:rFonts w:hint="default"/>
      </w:rPr>
    </w:lvl>
    <w:lvl w:ilvl="5" w:tplc="CCFC69E2">
      <w:start w:val="1"/>
      <w:numFmt w:val="bullet"/>
      <w:lvlText w:val="•"/>
      <w:lvlJc w:val="left"/>
      <w:pPr>
        <w:ind w:left="4103" w:hanging="425"/>
      </w:pPr>
      <w:rPr>
        <w:rFonts w:hint="default"/>
      </w:rPr>
    </w:lvl>
    <w:lvl w:ilvl="6" w:tplc="82789E2E">
      <w:start w:val="1"/>
      <w:numFmt w:val="bullet"/>
      <w:lvlText w:val="•"/>
      <w:lvlJc w:val="left"/>
      <w:pPr>
        <w:ind w:left="5147" w:hanging="425"/>
      </w:pPr>
      <w:rPr>
        <w:rFonts w:hint="default"/>
      </w:rPr>
    </w:lvl>
    <w:lvl w:ilvl="7" w:tplc="FB0479D6">
      <w:start w:val="1"/>
      <w:numFmt w:val="bullet"/>
      <w:lvlText w:val="•"/>
      <w:lvlJc w:val="left"/>
      <w:pPr>
        <w:ind w:left="6191" w:hanging="425"/>
      </w:pPr>
      <w:rPr>
        <w:rFonts w:hint="default"/>
      </w:rPr>
    </w:lvl>
    <w:lvl w:ilvl="8" w:tplc="8EFCFDA6">
      <w:start w:val="1"/>
      <w:numFmt w:val="bullet"/>
      <w:lvlText w:val="•"/>
      <w:lvlJc w:val="left"/>
      <w:pPr>
        <w:ind w:left="7236" w:hanging="425"/>
      </w:pPr>
      <w:rPr>
        <w:rFonts w:hint="default"/>
      </w:r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A0444A"/>
    <w:multiLevelType w:val="hybridMultilevel"/>
    <w:tmpl w:val="FA261AF4"/>
    <w:lvl w:ilvl="0" w:tplc="F0A8171C">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35B4D"/>
    <w:multiLevelType w:val="hybridMultilevel"/>
    <w:tmpl w:val="FBF21FA2"/>
    <w:lvl w:ilvl="0" w:tplc="271CC5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44E68"/>
    <w:multiLevelType w:val="hybridMultilevel"/>
    <w:tmpl w:val="A12475E6"/>
    <w:lvl w:ilvl="0" w:tplc="8018AFA2">
      <w:start w:val="1"/>
      <w:numFmt w:val="lowerLetter"/>
      <w:pStyle w:val="Listpara2"/>
      <w:lvlText w:val="%1."/>
      <w:lvlJc w:val="left"/>
      <w:pPr>
        <w:ind w:left="2030" w:hanging="360"/>
      </w:pPr>
      <w:rPr>
        <w:rFonts w:hint="default"/>
        <w:b w:val="0"/>
        <w:i w:val="0"/>
      </w:rPr>
    </w:lvl>
    <w:lvl w:ilvl="1" w:tplc="08090019" w:tentative="1">
      <w:start w:val="1"/>
      <w:numFmt w:val="lowerLetter"/>
      <w:lvlText w:val="%2."/>
      <w:lvlJc w:val="left"/>
      <w:pPr>
        <w:ind w:left="2750" w:hanging="360"/>
      </w:pPr>
    </w:lvl>
    <w:lvl w:ilvl="2" w:tplc="0809001B" w:tentative="1">
      <w:start w:val="1"/>
      <w:numFmt w:val="lowerRoman"/>
      <w:lvlText w:val="%3."/>
      <w:lvlJc w:val="right"/>
      <w:pPr>
        <w:ind w:left="3470" w:hanging="180"/>
      </w:pPr>
    </w:lvl>
    <w:lvl w:ilvl="3" w:tplc="0809000F" w:tentative="1">
      <w:start w:val="1"/>
      <w:numFmt w:val="decimal"/>
      <w:lvlText w:val="%4."/>
      <w:lvlJc w:val="left"/>
      <w:pPr>
        <w:ind w:left="4190" w:hanging="360"/>
      </w:pPr>
    </w:lvl>
    <w:lvl w:ilvl="4" w:tplc="08090019" w:tentative="1">
      <w:start w:val="1"/>
      <w:numFmt w:val="lowerLetter"/>
      <w:lvlText w:val="%5."/>
      <w:lvlJc w:val="left"/>
      <w:pPr>
        <w:ind w:left="4910" w:hanging="360"/>
      </w:pPr>
    </w:lvl>
    <w:lvl w:ilvl="5" w:tplc="0809001B" w:tentative="1">
      <w:start w:val="1"/>
      <w:numFmt w:val="lowerRoman"/>
      <w:lvlText w:val="%6."/>
      <w:lvlJc w:val="right"/>
      <w:pPr>
        <w:ind w:left="5630" w:hanging="180"/>
      </w:pPr>
    </w:lvl>
    <w:lvl w:ilvl="6" w:tplc="0809000F" w:tentative="1">
      <w:start w:val="1"/>
      <w:numFmt w:val="decimal"/>
      <w:lvlText w:val="%7."/>
      <w:lvlJc w:val="left"/>
      <w:pPr>
        <w:ind w:left="6350" w:hanging="360"/>
      </w:pPr>
    </w:lvl>
    <w:lvl w:ilvl="7" w:tplc="08090019" w:tentative="1">
      <w:start w:val="1"/>
      <w:numFmt w:val="lowerLetter"/>
      <w:lvlText w:val="%8."/>
      <w:lvlJc w:val="left"/>
      <w:pPr>
        <w:ind w:left="7070" w:hanging="360"/>
      </w:pPr>
    </w:lvl>
    <w:lvl w:ilvl="8" w:tplc="0809001B" w:tentative="1">
      <w:start w:val="1"/>
      <w:numFmt w:val="lowerRoman"/>
      <w:lvlText w:val="%9."/>
      <w:lvlJc w:val="right"/>
      <w:pPr>
        <w:ind w:left="7790" w:hanging="180"/>
      </w:pPr>
    </w:lvl>
  </w:abstractNum>
  <w:abstractNum w:abstractNumId="2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95B609E"/>
    <w:multiLevelType w:val="hybridMultilevel"/>
    <w:tmpl w:val="2E420FE8"/>
    <w:lvl w:ilvl="0" w:tplc="70BAF9DC">
      <w:start w:val="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0E13AB"/>
    <w:multiLevelType w:val="hybridMultilevel"/>
    <w:tmpl w:val="68F0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932F65"/>
    <w:multiLevelType w:val="hybridMultilevel"/>
    <w:tmpl w:val="43B25C34"/>
    <w:lvl w:ilvl="0" w:tplc="5572840C">
      <w:start w:val="1"/>
      <w:numFmt w:val="bullet"/>
      <w:lvlText w:val=""/>
      <w:lvlJc w:val="left"/>
      <w:pPr>
        <w:ind w:left="78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2576392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2235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06161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5645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5738368">
    <w:abstractNumId w:val="16"/>
  </w:num>
  <w:num w:numId="6" w16cid:durableId="181749018">
    <w:abstractNumId w:val="31"/>
  </w:num>
  <w:num w:numId="7" w16cid:durableId="1217088989">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1066943">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8869687">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6949005">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7676704">
    <w:abstractNumId w:val="31"/>
  </w:num>
  <w:num w:numId="12" w16cid:durableId="85000506">
    <w:abstractNumId w:val="4"/>
  </w:num>
  <w:num w:numId="13" w16cid:durableId="1327055704">
    <w:abstractNumId w:val="17"/>
  </w:num>
  <w:num w:numId="14" w16cid:durableId="697777534">
    <w:abstractNumId w:val="11"/>
  </w:num>
  <w:num w:numId="15" w16cid:durableId="1271861191">
    <w:abstractNumId w:val="2"/>
  </w:num>
  <w:num w:numId="16" w16cid:durableId="644312358">
    <w:abstractNumId w:val="14"/>
  </w:num>
  <w:num w:numId="17" w16cid:durableId="399719816">
    <w:abstractNumId w:val="24"/>
  </w:num>
  <w:num w:numId="18" w16cid:durableId="1840464081">
    <w:abstractNumId w:val="34"/>
  </w:num>
  <w:num w:numId="19" w16cid:durableId="2090076628">
    <w:abstractNumId w:val="33"/>
  </w:num>
  <w:num w:numId="20" w16cid:durableId="425808672">
    <w:abstractNumId w:val="26"/>
  </w:num>
  <w:num w:numId="21" w16cid:durableId="59838179">
    <w:abstractNumId w:val="28"/>
  </w:num>
  <w:num w:numId="22" w16cid:durableId="367221503">
    <w:abstractNumId w:val="15"/>
  </w:num>
  <w:num w:numId="23" w16cid:durableId="989943009">
    <w:abstractNumId w:val="25"/>
  </w:num>
  <w:num w:numId="24" w16cid:durableId="420183128">
    <w:abstractNumId w:val="21"/>
  </w:num>
  <w:num w:numId="25" w16cid:durableId="780611219">
    <w:abstractNumId w:val="32"/>
  </w:num>
  <w:num w:numId="26" w16cid:durableId="1416441494">
    <w:abstractNumId w:val="8"/>
  </w:num>
  <w:num w:numId="27" w16cid:durableId="2068412426">
    <w:abstractNumId w:val="0"/>
  </w:num>
  <w:num w:numId="28" w16cid:durableId="568468240">
    <w:abstractNumId w:val="10"/>
  </w:num>
  <w:num w:numId="29" w16cid:durableId="421948715">
    <w:abstractNumId w:val="3"/>
  </w:num>
  <w:num w:numId="30" w16cid:durableId="1457988714">
    <w:abstractNumId w:val="12"/>
  </w:num>
  <w:num w:numId="31" w16cid:durableId="1411656807">
    <w:abstractNumId w:val="18"/>
  </w:num>
  <w:num w:numId="32" w16cid:durableId="1614290979">
    <w:abstractNumId w:val="20"/>
  </w:num>
  <w:num w:numId="33" w16cid:durableId="1879967629">
    <w:abstractNumId w:val="29"/>
  </w:num>
  <w:num w:numId="34" w16cid:durableId="1077435023">
    <w:abstractNumId w:val="30"/>
  </w:num>
  <w:num w:numId="35" w16cid:durableId="1945651217">
    <w:abstractNumId w:val="19"/>
  </w:num>
  <w:num w:numId="36" w16cid:durableId="12267721">
    <w:abstractNumId w:val="22"/>
  </w:num>
  <w:num w:numId="37" w16cid:durableId="16950338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097"/>
    <w:rsid w:val="00000E1B"/>
    <w:rsid w:val="00001D31"/>
    <w:rsid w:val="00003DC3"/>
    <w:rsid w:val="00005A34"/>
    <w:rsid w:val="000061F2"/>
    <w:rsid w:val="00006D8E"/>
    <w:rsid w:val="00010F8D"/>
    <w:rsid w:val="00012001"/>
    <w:rsid w:val="00014104"/>
    <w:rsid w:val="00014168"/>
    <w:rsid w:val="00014646"/>
    <w:rsid w:val="0001527D"/>
    <w:rsid w:val="00017A16"/>
    <w:rsid w:val="0002051A"/>
    <w:rsid w:val="00022EBD"/>
    <w:rsid w:val="0002320F"/>
    <w:rsid w:val="000264AB"/>
    <w:rsid w:val="00026E09"/>
    <w:rsid w:val="000303E3"/>
    <w:rsid w:val="00032BD7"/>
    <w:rsid w:val="000339C1"/>
    <w:rsid w:val="00034156"/>
    <w:rsid w:val="000355FF"/>
    <w:rsid w:val="00037CE0"/>
    <w:rsid w:val="000403F7"/>
    <w:rsid w:val="00040A96"/>
    <w:rsid w:val="00045C40"/>
    <w:rsid w:val="00045C67"/>
    <w:rsid w:val="00051089"/>
    <w:rsid w:val="000510F4"/>
    <w:rsid w:val="00052702"/>
    <w:rsid w:val="00053929"/>
    <w:rsid w:val="00054CEB"/>
    <w:rsid w:val="0005549B"/>
    <w:rsid w:val="00056A7A"/>
    <w:rsid w:val="0006213D"/>
    <w:rsid w:val="00062512"/>
    <w:rsid w:val="000636B5"/>
    <w:rsid w:val="00063B50"/>
    <w:rsid w:val="00064110"/>
    <w:rsid w:val="00067EEA"/>
    <w:rsid w:val="0007258D"/>
    <w:rsid w:val="00073BC6"/>
    <w:rsid w:val="00074B0E"/>
    <w:rsid w:val="00074DE8"/>
    <w:rsid w:val="000758B9"/>
    <w:rsid w:val="000776F6"/>
    <w:rsid w:val="00081120"/>
    <w:rsid w:val="000833BA"/>
    <w:rsid w:val="00086C58"/>
    <w:rsid w:val="00094DD2"/>
    <w:rsid w:val="000958ED"/>
    <w:rsid w:val="000969A0"/>
    <w:rsid w:val="000A050A"/>
    <w:rsid w:val="000A3E3E"/>
    <w:rsid w:val="000A733E"/>
    <w:rsid w:val="000A78B6"/>
    <w:rsid w:val="000B030B"/>
    <w:rsid w:val="000B1804"/>
    <w:rsid w:val="000B5464"/>
    <w:rsid w:val="000B5BD5"/>
    <w:rsid w:val="000B70C4"/>
    <w:rsid w:val="000B7A2B"/>
    <w:rsid w:val="000C2489"/>
    <w:rsid w:val="000C4536"/>
    <w:rsid w:val="000C6028"/>
    <w:rsid w:val="000C64F8"/>
    <w:rsid w:val="000C767E"/>
    <w:rsid w:val="000D2999"/>
    <w:rsid w:val="000D369A"/>
    <w:rsid w:val="000D536F"/>
    <w:rsid w:val="000D5C76"/>
    <w:rsid w:val="000D7C6F"/>
    <w:rsid w:val="000E02B8"/>
    <w:rsid w:val="000E047B"/>
    <w:rsid w:val="000E0692"/>
    <w:rsid w:val="000E2490"/>
    <w:rsid w:val="000E2FA0"/>
    <w:rsid w:val="000E47B5"/>
    <w:rsid w:val="000E47E9"/>
    <w:rsid w:val="000E6839"/>
    <w:rsid w:val="000E6A7E"/>
    <w:rsid w:val="000E6FFA"/>
    <w:rsid w:val="000F2C0C"/>
    <w:rsid w:val="000F468C"/>
    <w:rsid w:val="000F48E2"/>
    <w:rsid w:val="000F688E"/>
    <w:rsid w:val="000F6978"/>
    <w:rsid w:val="00102075"/>
    <w:rsid w:val="001031DD"/>
    <w:rsid w:val="00103EF9"/>
    <w:rsid w:val="00105241"/>
    <w:rsid w:val="00105420"/>
    <w:rsid w:val="001105FA"/>
    <w:rsid w:val="001136DE"/>
    <w:rsid w:val="00115B96"/>
    <w:rsid w:val="0012096C"/>
    <w:rsid w:val="00120B76"/>
    <w:rsid w:val="0012187A"/>
    <w:rsid w:val="001228E5"/>
    <w:rsid w:val="00122C0E"/>
    <w:rsid w:val="001230BA"/>
    <w:rsid w:val="00123F8E"/>
    <w:rsid w:val="00124E9A"/>
    <w:rsid w:val="00127385"/>
    <w:rsid w:val="00127828"/>
    <w:rsid w:val="001302F6"/>
    <w:rsid w:val="00133E4E"/>
    <w:rsid w:val="0013507F"/>
    <w:rsid w:val="00135B42"/>
    <w:rsid w:val="00143C49"/>
    <w:rsid w:val="00143F53"/>
    <w:rsid w:val="00145088"/>
    <w:rsid w:val="00145541"/>
    <w:rsid w:val="00150750"/>
    <w:rsid w:val="001527E2"/>
    <w:rsid w:val="001554EE"/>
    <w:rsid w:val="001611AA"/>
    <w:rsid w:val="00161BDA"/>
    <w:rsid w:val="0016536F"/>
    <w:rsid w:val="00165F3B"/>
    <w:rsid w:val="00166EE8"/>
    <w:rsid w:val="00170114"/>
    <w:rsid w:val="00170AB4"/>
    <w:rsid w:val="00170BDE"/>
    <w:rsid w:val="00171618"/>
    <w:rsid w:val="00173C33"/>
    <w:rsid w:val="0017475B"/>
    <w:rsid w:val="00175181"/>
    <w:rsid w:val="00177904"/>
    <w:rsid w:val="00180661"/>
    <w:rsid w:val="00180710"/>
    <w:rsid w:val="001819B1"/>
    <w:rsid w:val="001837E8"/>
    <w:rsid w:val="00186290"/>
    <w:rsid w:val="00186378"/>
    <w:rsid w:val="001872AE"/>
    <w:rsid w:val="00187A82"/>
    <w:rsid w:val="0019696E"/>
    <w:rsid w:val="0019701A"/>
    <w:rsid w:val="001A2942"/>
    <w:rsid w:val="001A2D10"/>
    <w:rsid w:val="001A79E2"/>
    <w:rsid w:val="001B0C07"/>
    <w:rsid w:val="001B12EE"/>
    <w:rsid w:val="001B3B3C"/>
    <w:rsid w:val="001B46E8"/>
    <w:rsid w:val="001B48DF"/>
    <w:rsid w:val="001C1724"/>
    <w:rsid w:val="001C2851"/>
    <w:rsid w:val="001C5A10"/>
    <w:rsid w:val="001C5E41"/>
    <w:rsid w:val="001C61DC"/>
    <w:rsid w:val="001C77BC"/>
    <w:rsid w:val="001C7D86"/>
    <w:rsid w:val="001D48BB"/>
    <w:rsid w:val="001D61F9"/>
    <w:rsid w:val="001D6417"/>
    <w:rsid w:val="001D78EF"/>
    <w:rsid w:val="001D7B4E"/>
    <w:rsid w:val="001E00E3"/>
    <w:rsid w:val="001E3991"/>
    <w:rsid w:val="001E3C22"/>
    <w:rsid w:val="001E774B"/>
    <w:rsid w:val="001F2349"/>
    <w:rsid w:val="001F350D"/>
    <w:rsid w:val="001F4768"/>
    <w:rsid w:val="002005D2"/>
    <w:rsid w:val="00200A4E"/>
    <w:rsid w:val="002027B6"/>
    <w:rsid w:val="0020298B"/>
    <w:rsid w:val="002044C9"/>
    <w:rsid w:val="00205CC0"/>
    <w:rsid w:val="00206111"/>
    <w:rsid w:val="0021123F"/>
    <w:rsid w:val="00211A70"/>
    <w:rsid w:val="002137E0"/>
    <w:rsid w:val="002142B9"/>
    <w:rsid w:val="00215A44"/>
    <w:rsid w:val="00217EA3"/>
    <w:rsid w:val="00223333"/>
    <w:rsid w:val="00225997"/>
    <w:rsid w:val="002324D9"/>
    <w:rsid w:val="00232E87"/>
    <w:rsid w:val="00233ED6"/>
    <w:rsid w:val="002348CC"/>
    <w:rsid w:val="00234B9C"/>
    <w:rsid w:val="00235E7D"/>
    <w:rsid w:val="00236669"/>
    <w:rsid w:val="00236CB7"/>
    <w:rsid w:val="002379CF"/>
    <w:rsid w:val="002412AD"/>
    <w:rsid w:val="00241488"/>
    <w:rsid w:val="00242EDE"/>
    <w:rsid w:val="002514C2"/>
    <w:rsid w:val="00252F9B"/>
    <w:rsid w:val="00254583"/>
    <w:rsid w:val="00256946"/>
    <w:rsid w:val="00262F8B"/>
    <w:rsid w:val="00263CEA"/>
    <w:rsid w:val="00264574"/>
    <w:rsid w:val="00265284"/>
    <w:rsid w:val="002710F2"/>
    <w:rsid w:val="00273686"/>
    <w:rsid w:val="002741AC"/>
    <w:rsid w:val="00275F13"/>
    <w:rsid w:val="002819C0"/>
    <w:rsid w:val="00282923"/>
    <w:rsid w:val="00286EE7"/>
    <w:rsid w:val="002905E6"/>
    <w:rsid w:val="00291EF4"/>
    <w:rsid w:val="00292121"/>
    <w:rsid w:val="00294BC8"/>
    <w:rsid w:val="00295556"/>
    <w:rsid w:val="00295BB5"/>
    <w:rsid w:val="002979D2"/>
    <w:rsid w:val="00297A1A"/>
    <w:rsid w:val="002A123F"/>
    <w:rsid w:val="002A2388"/>
    <w:rsid w:val="002A3078"/>
    <w:rsid w:val="002A4877"/>
    <w:rsid w:val="002A49D9"/>
    <w:rsid w:val="002A52A0"/>
    <w:rsid w:val="002A5A4D"/>
    <w:rsid w:val="002A5DB3"/>
    <w:rsid w:val="002A64C7"/>
    <w:rsid w:val="002B10EE"/>
    <w:rsid w:val="002B21E1"/>
    <w:rsid w:val="002B4262"/>
    <w:rsid w:val="002B4764"/>
    <w:rsid w:val="002B7028"/>
    <w:rsid w:val="002B74BA"/>
    <w:rsid w:val="002C316A"/>
    <w:rsid w:val="002C3874"/>
    <w:rsid w:val="002C394F"/>
    <w:rsid w:val="002C44B4"/>
    <w:rsid w:val="002C4CD3"/>
    <w:rsid w:val="002C74CE"/>
    <w:rsid w:val="002C7FD7"/>
    <w:rsid w:val="002D2144"/>
    <w:rsid w:val="002D5A4D"/>
    <w:rsid w:val="002D7C2D"/>
    <w:rsid w:val="002E22AF"/>
    <w:rsid w:val="002E25C6"/>
    <w:rsid w:val="002E4F73"/>
    <w:rsid w:val="002E4F90"/>
    <w:rsid w:val="002E503C"/>
    <w:rsid w:val="002E6CA8"/>
    <w:rsid w:val="002F41C6"/>
    <w:rsid w:val="002F461B"/>
    <w:rsid w:val="002F464D"/>
    <w:rsid w:val="00302602"/>
    <w:rsid w:val="00302F39"/>
    <w:rsid w:val="00303821"/>
    <w:rsid w:val="0030427E"/>
    <w:rsid w:val="003104E6"/>
    <w:rsid w:val="00312FBA"/>
    <w:rsid w:val="00313D40"/>
    <w:rsid w:val="003147BE"/>
    <w:rsid w:val="003175F8"/>
    <w:rsid w:val="00322BFB"/>
    <w:rsid w:val="0032333C"/>
    <w:rsid w:val="00324398"/>
    <w:rsid w:val="00324926"/>
    <w:rsid w:val="003250A8"/>
    <w:rsid w:val="003300FA"/>
    <w:rsid w:val="00330652"/>
    <w:rsid w:val="00330DD7"/>
    <w:rsid w:val="00332067"/>
    <w:rsid w:val="003329B9"/>
    <w:rsid w:val="00333B20"/>
    <w:rsid w:val="003356A1"/>
    <w:rsid w:val="00335A7B"/>
    <w:rsid w:val="00335FEC"/>
    <w:rsid w:val="0034030B"/>
    <w:rsid w:val="00340A7C"/>
    <w:rsid w:val="003474F5"/>
    <w:rsid w:val="00354000"/>
    <w:rsid w:val="0035485D"/>
    <w:rsid w:val="00354FD7"/>
    <w:rsid w:val="00356A6E"/>
    <w:rsid w:val="003602A1"/>
    <w:rsid w:val="00362AA6"/>
    <w:rsid w:val="00362EA0"/>
    <w:rsid w:val="00363D7D"/>
    <w:rsid w:val="0036419C"/>
    <w:rsid w:val="00366A63"/>
    <w:rsid w:val="00367B80"/>
    <w:rsid w:val="003701F3"/>
    <w:rsid w:val="00370D36"/>
    <w:rsid w:val="00372066"/>
    <w:rsid w:val="00373726"/>
    <w:rsid w:val="0037602C"/>
    <w:rsid w:val="00376445"/>
    <w:rsid w:val="0038249A"/>
    <w:rsid w:val="00384C1F"/>
    <w:rsid w:val="00384FC3"/>
    <w:rsid w:val="00385B80"/>
    <w:rsid w:val="00390405"/>
    <w:rsid w:val="003904DC"/>
    <w:rsid w:val="003926C1"/>
    <w:rsid w:val="00392F1F"/>
    <w:rsid w:val="00393FD5"/>
    <w:rsid w:val="003944C2"/>
    <w:rsid w:val="00395744"/>
    <w:rsid w:val="003961A1"/>
    <w:rsid w:val="00396639"/>
    <w:rsid w:val="003A18B7"/>
    <w:rsid w:val="003A2E14"/>
    <w:rsid w:val="003A3804"/>
    <w:rsid w:val="003A52BE"/>
    <w:rsid w:val="003A5866"/>
    <w:rsid w:val="003A6737"/>
    <w:rsid w:val="003A6E9F"/>
    <w:rsid w:val="003A7A1D"/>
    <w:rsid w:val="003B1DCD"/>
    <w:rsid w:val="003B2D19"/>
    <w:rsid w:val="003B558E"/>
    <w:rsid w:val="003B5E1F"/>
    <w:rsid w:val="003B74DD"/>
    <w:rsid w:val="003C1C0E"/>
    <w:rsid w:val="003C2238"/>
    <w:rsid w:val="003C58A3"/>
    <w:rsid w:val="003D27CC"/>
    <w:rsid w:val="003D37A3"/>
    <w:rsid w:val="003D4CD6"/>
    <w:rsid w:val="003D7683"/>
    <w:rsid w:val="003E108B"/>
    <w:rsid w:val="003E1960"/>
    <w:rsid w:val="003E3842"/>
    <w:rsid w:val="003E38C5"/>
    <w:rsid w:val="003E426C"/>
    <w:rsid w:val="003F1048"/>
    <w:rsid w:val="003F2D80"/>
    <w:rsid w:val="003F41D1"/>
    <w:rsid w:val="003F5D1D"/>
    <w:rsid w:val="003F684C"/>
    <w:rsid w:val="003F6A79"/>
    <w:rsid w:val="003F76C9"/>
    <w:rsid w:val="00400560"/>
    <w:rsid w:val="00405B72"/>
    <w:rsid w:val="00406F37"/>
    <w:rsid w:val="00407789"/>
    <w:rsid w:val="004150E1"/>
    <w:rsid w:val="00420183"/>
    <w:rsid w:val="004208E3"/>
    <w:rsid w:val="004228C7"/>
    <w:rsid w:val="0042798B"/>
    <w:rsid w:val="004316A3"/>
    <w:rsid w:val="00432E31"/>
    <w:rsid w:val="00434579"/>
    <w:rsid w:val="00434913"/>
    <w:rsid w:val="0043781A"/>
    <w:rsid w:val="004410A9"/>
    <w:rsid w:val="00441D5A"/>
    <w:rsid w:val="00445461"/>
    <w:rsid w:val="00445510"/>
    <w:rsid w:val="00447430"/>
    <w:rsid w:val="004474F8"/>
    <w:rsid w:val="004504FB"/>
    <w:rsid w:val="0045056A"/>
    <w:rsid w:val="00450B70"/>
    <w:rsid w:val="004549BA"/>
    <w:rsid w:val="00455ECB"/>
    <w:rsid w:val="0045714B"/>
    <w:rsid w:val="004668FC"/>
    <w:rsid w:val="00466B64"/>
    <w:rsid w:val="004705B3"/>
    <w:rsid w:val="00470EFC"/>
    <w:rsid w:val="004717E1"/>
    <w:rsid w:val="00472A3C"/>
    <w:rsid w:val="004737CA"/>
    <w:rsid w:val="0047478D"/>
    <w:rsid w:val="00477550"/>
    <w:rsid w:val="0048185B"/>
    <w:rsid w:val="00482457"/>
    <w:rsid w:val="00483585"/>
    <w:rsid w:val="004844A8"/>
    <w:rsid w:val="00485F41"/>
    <w:rsid w:val="00487D70"/>
    <w:rsid w:val="00491329"/>
    <w:rsid w:val="004927F4"/>
    <w:rsid w:val="0049306A"/>
    <w:rsid w:val="00494EE3"/>
    <w:rsid w:val="00496803"/>
    <w:rsid w:val="004A08EA"/>
    <w:rsid w:val="004A12F8"/>
    <w:rsid w:val="004A14FF"/>
    <w:rsid w:val="004A2BD8"/>
    <w:rsid w:val="004A2BEC"/>
    <w:rsid w:val="004A3550"/>
    <w:rsid w:val="004A471D"/>
    <w:rsid w:val="004A6B49"/>
    <w:rsid w:val="004B1E90"/>
    <w:rsid w:val="004B2FB4"/>
    <w:rsid w:val="004B5A08"/>
    <w:rsid w:val="004B6688"/>
    <w:rsid w:val="004D5049"/>
    <w:rsid w:val="004D5769"/>
    <w:rsid w:val="004D6C1B"/>
    <w:rsid w:val="004D799B"/>
    <w:rsid w:val="004E1861"/>
    <w:rsid w:val="004E2E94"/>
    <w:rsid w:val="004F33B7"/>
    <w:rsid w:val="004F39B1"/>
    <w:rsid w:val="004F47E1"/>
    <w:rsid w:val="004F56AE"/>
    <w:rsid w:val="004F5EC1"/>
    <w:rsid w:val="004F67BC"/>
    <w:rsid w:val="004F68D2"/>
    <w:rsid w:val="004F7582"/>
    <w:rsid w:val="00500057"/>
    <w:rsid w:val="00501D65"/>
    <w:rsid w:val="0050488F"/>
    <w:rsid w:val="005071F9"/>
    <w:rsid w:val="00510E7B"/>
    <w:rsid w:val="0051113F"/>
    <w:rsid w:val="00515416"/>
    <w:rsid w:val="005166E2"/>
    <w:rsid w:val="00520211"/>
    <w:rsid w:val="00520ABE"/>
    <w:rsid w:val="00520DF0"/>
    <w:rsid w:val="0052143E"/>
    <w:rsid w:val="005239BF"/>
    <w:rsid w:val="005244A4"/>
    <w:rsid w:val="00525A15"/>
    <w:rsid w:val="00527783"/>
    <w:rsid w:val="00530889"/>
    <w:rsid w:val="00532215"/>
    <w:rsid w:val="0053626D"/>
    <w:rsid w:val="00536BAB"/>
    <w:rsid w:val="00537C78"/>
    <w:rsid w:val="00540CC5"/>
    <w:rsid w:val="00541457"/>
    <w:rsid w:val="00542773"/>
    <w:rsid w:val="00542B25"/>
    <w:rsid w:val="005440DC"/>
    <w:rsid w:val="00544D57"/>
    <w:rsid w:val="005470BC"/>
    <w:rsid w:val="0054750F"/>
    <w:rsid w:val="0055060C"/>
    <w:rsid w:val="00554107"/>
    <w:rsid w:val="00556E05"/>
    <w:rsid w:val="00562555"/>
    <w:rsid w:val="00562789"/>
    <w:rsid w:val="00564473"/>
    <w:rsid w:val="00564644"/>
    <w:rsid w:val="0056590A"/>
    <w:rsid w:val="0057022C"/>
    <w:rsid w:val="005704B0"/>
    <w:rsid w:val="00571CC2"/>
    <w:rsid w:val="00575673"/>
    <w:rsid w:val="005768E0"/>
    <w:rsid w:val="00576DCE"/>
    <w:rsid w:val="005814B5"/>
    <w:rsid w:val="00586BD4"/>
    <w:rsid w:val="0058757F"/>
    <w:rsid w:val="005904EA"/>
    <w:rsid w:val="00591FFC"/>
    <w:rsid w:val="00592021"/>
    <w:rsid w:val="00594AFE"/>
    <w:rsid w:val="005953C5"/>
    <w:rsid w:val="005A782B"/>
    <w:rsid w:val="005B1C93"/>
    <w:rsid w:val="005B44B0"/>
    <w:rsid w:val="005B450E"/>
    <w:rsid w:val="005B4DF7"/>
    <w:rsid w:val="005B6605"/>
    <w:rsid w:val="005C4359"/>
    <w:rsid w:val="005C5F9D"/>
    <w:rsid w:val="005C68F1"/>
    <w:rsid w:val="005C7339"/>
    <w:rsid w:val="005C76F8"/>
    <w:rsid w:val="005D073B"/>
    <w:rsid w:val="005D3CDC"/>
    <w:rsid w:val="005D3E9D"/>
    <w:rsid w:val="005E0D25"/>
    <w:rsid w:val="005E1822"/>
    <w:rsid w:val="005E21D0"/>
    <w:rsid w:val="005E3F35"/>
    <w:rsid w:val="005E5BD9"/>
    <w:rsid w:val="005E6D57"/>
    <w:rsid w:val="005F039D"/>
    <w:rsid w:val="005F1C69"/>
    <w:rsid w:val="005F3F7B"/>
    <w:rsid w:val="005F7295"/>
    <w:rsid w:val="00602357"/>
    <w:rsid w:val="00602E60"/>
    <w:rsid w:val="0061090C"/>
    <w:rsid w:val="00612264"/>
    <w:rsid w:val="0061276C"/>
    <w:rsid w:val="006154B7"/>
    <w:rsid w:val="0061741B"/>
    <w:rsid w:val="006174C2"/>
    <w:rsid w:val="006202D1"/>
    <w:rsid w:val="00621796"/>
    <w:rsid w:val="00621EF6"/>
    <w:rsid w:val="00623AD2"/>
    <w:rsid w:val="006256D3"/>
    <w:rsid w:val="00626DA0"/>
    <w:rsid w:val="00627BB7"/>
    <w:rsid w:val="006305BF"/>
    <w:rsid w:val="00630A26"/>
    <w:rsid w:val="006313D0"/>
    <w:rsid w:val="00632BF9"/>
    <w:rsid w:val="00633BFF"/>
    <w:rsid w:val="0063515F"/>
    <w:rsid w:val="00635288"/>
    <w:rsid w:val="00635765"/>
    <w:rsid w:val="00635BC8"/>
    <w:rsid w:val="00635C82"/>
    <w:rsid w:val="006363F3"/>
    <w:rsid w:val="0063650F"/>
    <w:rsid w:val="0064120D"/>
    <w:rsid w:val="00642819"/>
    <w:rsid w:val="006437CB"/>
    <w:rsid w:val="00643922"/>
    <w:rsid w:val="00644A13"/>
    <w:rsid w:val="00645CE8"/>
    <w:rsid w:val="0064684B"/>
    <w:rsid w:val="00650DA2"/>
    <w:rsid w:val="0065136E"/>
    <w:rsid w:val="00653C4E"/>
    <w:rsid w:val="00657D8F"/>
    <w:rsid w:val="0066095F"/>
    <w:rsid w:val="0066697D"/>
    <w:rsid w:val="006674BC"/>
    <w:rsid w:val="00670D71"/>
    <w:rsid w:val="006711CC"/>
    <w:rsid w:val="00671AC0"/>
    <w:rsid w:val="00672AD9"/>
    <w:rsid w:val="00673D23"/>
    <w:rsid w:val="00675AD6"/>
    <w:rsid w:val="0067636F"/>
    <w:rsid w:val="006774F3"/>
    <w:rsid w:val="00677F9D"/>
    <w:rsid w:val="0068550A"/>
    <w:rsid w:val="0068689D"/>
    <w:rsid w:val="0068704C"/>
    <w:rsid w:val="00691A71"/>
    <w:rsid w:val="006958FF"/>
    <w:rsid w:val="00695DE4"/>
    <w:rsid w:val="00697BEF"/>
    <w:rsid w:val="006A3412"/>
    <w:rsid w:val="006A359E"/>
    <w:rsid w:val="006A3ED5"/>
    <w:rsid w:val="006A7B67"/>
    <w:rsid w:val="006B0D78"/>
    <w:rsid w:val="006B1B12"/>
    <w:rsid w:val="006B3B75"/>
    <w:rsid w:val="006B3E4D"/>
    <w:rsid w:val="006B3ECB"/>
    <w:rsid w:val="006B69D1"/>
    <w:rsid w:val="006C0EDE"/>
    <w:rsid w:val="006C235D"/>
    <w:rsid w:val="006C2604"/>
    <w:rsid w:val="006C3C44"/>
    <w:rsid w:val="006C54D5"/>
    <w:rsid w:val="006C5654"/>
    <w:rsid w:val="006D4AA0"/>
    <w:rsid w:val="006D5359"/>
    <w:rsid w:val="006D5E91"/>
    <w:rsid w:val="006E0641"/>
    <w:rsid w:val="006E0CAD"/>
    <w:rsid w:val="006E3A2D"/>
    <w:rsid w:val="006E60AF"/>
    <w:rsid w:val="006E60B2"/>
    <w:rsid w:val="006E74AE"/>
    <w:rsid w:val="006E7DCE"/>
    <w:rsid w:val="006E7E77"/>
    <w:rsid w:val="006F024E"/>
    <w:rsid w:val="006F1066"/>
    <w:rsid w:val="006F1E88"/>
    <w:rsid w:val="006F293F"/>
    <w:rsid w:val="007007E8"/>
    <w:rsid w:val="007023A2"/>
    <w:rsid w:val="007031F1"/>
    <w:rsid w:val="00703A94"/>
    <w:rsid w:val="007050FF"/>
    <w:rsid w:val="00706322"/>
    <w:rsid w:val="00707F4E"/>
    <w:rsid w:val="00711E39"/>
    <w:rsid w:val="007120EB"/>
    <w:rsid w:val="00712931"/>
    <w:rsid w:val="00712F14"/>
    <w:rsid w:val="00716CDC"/>
    <w:rsid w:val="00717FAC"/>
    <w:rsid w:val="007215E3"/>
    <w:rsid w:val="00725600"/>
    <w:rsid w:val="00732A3B"/>
    <w:rsid w:val="007359DE"/>
    <w:rsid w:val="00737ACF"/>
    <w:rsid w:val="00741B74"/>
    <w:rsid w:val="00744514"/>
    <w:rsid w:val="00744819"/>
    <w:rsid w:val="00744EBD"/>
    <w:rsid w:val="00745064"/>
    <w:rsid w:val="007457A8"/>
    <w:rsid w:val="0074648B"/>
    <w:rsid w:val="0075032A"/>
    <w:rsid w:val="00752764"/>
    <w:rsid w:val="0075626E"/>
    <w:rsid w:val="00760D8D"/>
    <w:rsid w:val="00762ABF"/>
    <w:rsid w:val="0076460A"/>
    <w:rsid w:val="007657F5"/>
    <w:rsid w:val="00766879"/>
    <w:rsid w:val="00766962"/>
    <w:rsid w:val="00767F89"/>
    <w:rsid w:val="00771FBC"/>
    <w:rsid w:val="00773BE0"/>
    <w:rsid w:val="00775287"/>
    <w:rsid w:val="0077584F"/>
    <w:rsid w:val="00777EE1"/>
    <w:rsid w:val="007804BE"/>
    <w:rsid w:val="00782CFB"/>
    <w:rsid w:val="00783C7A"/>
    <w:rsid w:val="00784896"/>
    <w:rsid w:val="007859CE"/>
    <w:rsid w:val="00787E09"/>
    <w:rsid w:val="007904BE"/>
    <w:rsid w:val="007910D5"/>
    <w:rsid w:val="00791423"/>
    <w:rsid w:val="00797FF5"/>
    <w:rsid w:val="007A118B"/>
    <w:rsid w:val="007A13F2"/>
    <w:rsid w:val="007A5AAD"/>
    <w:rsid w:val="007A5FC1"/>
    <w:rsid w:val="007B0696"/>
    <w:rsid w:val="007B2F42"/>
    <w:rsid w:val="007B4BD3"/>
    <w:rsid w:val="007C0F7C"/>
    <w:rsid w:val="007C2EB8"/>
    <w:rsid w:val="007C329F"/>
    <w:rsid w:val="007C32D3"/>
    <w:rsid w:val="007C5D26"/>
    <w:rsid w:val="007D207F"/>
    <w:rsid w:val="007D33F4"/>
    <w:rsid w:val="007D5E88"/>
    <w:rsid w:val="007D621E"/>
    <w:rsid w:val="007D6A7F"/>
    <w:rsid w:val="007E3A53"/>
    <w:rsid w:val="007E486D"/>
    <w:rsid w:val="007E6771"/>
    <w:rsid w:val="007E7EF5"/>
    <w:rsid w:val="007F3ABE"/>
    <w:rsid w:val="007F4CAA"/>
    <w:rsid w:val="007F5E38"/>
    <w:rsid w:val="007F635F"/>
    <w:rsid w:val="007F78F1"/>
    <w:rsid w:val="007F7E18"/>
    <w:rsid w:val="00800D7C"/>
    <w:rsid w:val="008013B0"/>
    <w:rsid w:val="00801FCA"/>
    <w:rsid w:val="0080200D"/>
    <w:rsid w:val="0080280B"/>
    <w:rsid w:val="00811503"/>
    <w:rsid w:val="00821458"/>
    <w:rsid w:val="0082371B"/>
    <w:rsid w:val="008246D8"/>
    <w:rsid w:val="00824762"/>
    <w:rsid w:val="008328E9"/>
    <w:rsid w:val="00835170"/>
    <w:rsid w:val="0083596A"/>
    <w:rsid w:val="00835BCB"/>
    <w:rsid w:val="00835CDC"/>
    <w:rsid w:val="00842164"/>
    <w:rsid w:val="008427DA"/>
    <w:rsid w:val="00844453"/>
    <w:rsid w:val="00846EBB"/>
    <w:rsid w:val="00847BB3"/>
    <w:rsid w:val="00847D11"/>
    <w:rsid w:val="008503B5"/>
    <w:rsid w:val="00850B09"/>
    <w:rsid w:val="0085180F"/>
    <w:rsid w:val="00851934"/>
    <w:rsid w:val="00852A37"/>
    <w:rsid w:val="00853C1E"/>
    <w:rsid w:val="00855451"/>
    <w:rsid w:val="00855456"/>
    <w:rsid w:val="00862A2B"/>
    <w:rsid w:val="00863B9D"/>
    <w:rsid w:val="00863BE6"/>
    <w:rsid w:val="00863FB4"/>
    <w:rsid w:val="00865C09"/>
    <w:rsid w:val="00866005"/>
    <w:rsid w:val="00866F7A"/>
    <w:rsid w:val="00867596"/>
    <w:rsid w:val="00870635"/>
    <w:rsid w:val="00875511"/>
    <w:rsid w:val="008775BC"/>
    <w:rsid w:val="00877729"/>
    <w:rsid w:val="00880BF6"/>
    <w:rsid w:val="0088121A"/>
    <w:rsid w:val="00882F1B"/>
    <w:rsid w:val="00884857"/>
    <w:rsid w:val="00891737"/>
    <w:rsid w:val="00894D44"/>
    <w:rsid w:val="00894F0C"/>
    <w:rsid w:val="0089531A"/>
    <w:rsid w:val="00897E4B"/>
    <w:rsid w:val="008A1CFF"/>
    <w:rsid w:val="008A5384"/>
    <w:rsid w:val="008A53B5"/>
    <w:rsid w:val="008A5B05"/>
    <w:rsid w:val="008A70CE"/>
    <w:rsid w:val="008B2BE2"/>
    <w:rsid w:val="008B4237"/>
    <w:rsid w:val="008C0C92"/>
    <w:rsid w:val="008C1309"/>
    <w:rsid w:val="008C1B35"/>
    <w:rsid w:val="008C25E4"/>
    <w:rsid w:val="008C2744"/>
    <w:rsid w:val="008C2DAE"/>
    <w:rsid w:val="008C2FAC"/>
    <w:rsid w:val="008C4402"/>
    <w:rsid w:val="008C5943"/>
    <w:rsid w:val="008C5962"/>
    <w:rsid w:val="008D05EC"/>
    <w:rsid w:val="008D339E"/>
    <w:rsid w:val="008D453E"/>
    <w:rsid w:val="008D47FD"/>
    <w:rsid w:val="008D5008"/>
    <w:rsid w:val="008E14F6"/>
    <w:rsid w:val="008E178B"/>
    <w:rsid w:val="008E2BCA"/>
    <w:rsid w:val="008E33F4"/>
    <w:rsid w:val="008E4CE6"/>
    <w:rsid w:val="008E6F86"/>
    <w:rsid w:val="008F436F"/>
    <w:rsid w:val="00900357"/>
    <w:rsid w:val="0090050A"/>
    <w:rsid w:val="009005B1"/>
    <w:rsid w:val="0090207C"/>
    <w:rsid w:val="00904474"/>
    <w:rsid w:val="009055A1"/>
    <w:rsid w:val="009059A9"/>
    <w:rsid w:val="0090604A"/>
    <w:rsid w:val="00906C5C"/>
    <w:rsid w:val="00912031"/>
    <w:rsid w:val="0091539C"/>
    <w:rsid w:val="00922C65"/>
    <w:rsid w:val="00923DB5"/>
    <w:rsid w:val="00924861"/>
    <w:rsid w:val="0092515E"/>
    <w:rsid w:val="009257DA"/>
    <w:rsid w:val="0092696E"/>
    <w:rsid w:val="0093048B"/>
    <w:rsid w:val="009346D4"/>
    <w:rsid w:val="00934C8F"/>
    <w:rsid w:val="00940CAF"/>
    <w:rsid w:val="009413A3"/>
    <w:rsid w:val="009417F9"/>
    <w:rsid w:val="00942FBD"/>
    <w:rsid w:val="00946C01"/>
    <w:rsid w:val="0094770B"/>
    <w:rsid w:val="00951341"/>
    <w:rsid w:val="00951FE9"/>
    <w:rsid w:val="00952B54"/>
    <w:rsid w:val="00953963"/>
    <w:rsid w:val="009618BB"/>
    <w:rsid w:val="009647C2"/>
    <w:rsid w:val="00970BC8"/>
    <w:rsid w:val="00977645"/>
    <w:rsid w:val="009814E1"/>
    <w:rsid w:val="009825D5"/>
    <w:rsid w:val="00983691"/>
    <w:rsid w:val="00985159"/>
    <w:rsid w:val="00985C26"/>
    <w:rsid w:val="00986C48"/>
    <w:rsid w:val="00993460"/>
    <w:rsid w:val="009954C9"/>
    <w:rsid w:val="0099563C"/>
    <w:rsid w:val="00996F18"/>
    <w:rsid w:val="009A02A9"/>
    <w:rsid w:val="009A0B44"/>
    <w:rsid w:val="009A2761"/>
    <w:rsid w:val="009A5778"/>
    <w:rsid w:val="009A63CE"/>
    <w:rsid w:val="009B1DFD"/>
    <w:rsid w:val="009B2267"/>
    <w:rsid w:val="009B232B"/>
    <w:rsid w:val="009B25B5"/>
    <w:rsid w:val="009B57BB"/>
    <w:rsid w:val="009C0E3D"/>
    <w:rsid w:val="009C7169"/>
    <w:rsid w:val="009D149F"/>
    <w:rsid w:val="009D23FB"/>
    <w:rsid w:val="009D37F4"/>
    <w:rsid w:val="009D74FA"/>
    <w:rsid w:val="009E0AE8"/>
    <w:rsid w:val="009E4907"/>
    <w:rsid w:val="009E4DFA"/>
    <w:rsid w:val="009E5374"/>
    <w:rsid w:val="009F1791"/>
    <w:rsid w:val="009F2CD3"/>
    <w:rsid w:val="009F2D52"/>
    <w:rsid w:val="009F345D"/>
    <w:rsid w:val="009F4EE9"/>
    <w:rsid w:val="009F5BBB"/>
    <w:rsid w:val="00A02847"/>
    <w:rsid w:val="00A038F7"/>
    <w:rsid w:val="00A03B7B"/>
    <w:rsid w:val="00A061A9"/>
    <w:rsid w:val="00A13218"/>
    <w:rsid w:val="00A13DB0"/>
    <w:rsid w:val="00A2039E"/>
    <w:rsid w:val="00A227A3"/>
    <w:rsid w:val="00A2471C"/>
    <w:rsid w:val="00A25480"/>
    <w:rsid w:val="00A262EA"/>
    <w:rsid w:val="00A2706A"/>
    <w:rsid w:val="00A272FF"/>
    <w:rsid w:val="00A31AD8"/>
    <w:rsid w:val="00A33DA4"/>
    <w:rsid w:val="00A35983"/>
    <w:rsid w:val="00A36108"/>
    <w:rsid w:val="00A3612F"/>
    <w:rsid w:val="00A37ECB"/>
    <w:rsid w:val="00A44BCC"/>
    <w:rsid w:val="00A45BAB"/>
    <w:rsid w:val="00A510E8"/>
    <w:rsid w:val="00A530F2"/>
    <w:rsid w:val="00A570F1"/>
    <w:rsid w:val="00A60AD7"/>
    <w:rsid w:val="00A60B73"/>
    <w:rsid w:val="00A652D2"/>
    <w:rsid w:val="00A704F1"/>
    <w:rsid w:val="00A70EC8"/>
    <w:rsid w:val="00A70F7F"/>
    <w:rsid w:val="00A72FE1"/>
    <w:rsid w:val="00A74F08"/>
    <w:rsid w:val="00A75054"/>
    <w:rsid w:val="00A750D7"/>
    <w:rsid w:val="00A80080"/>
    <w:rsid w:val="00A81345"/>
    <w:rsid w:val="00A81444"/>
    <w:rsid w:val="00A81BCB"/>
    <w:rsid w:val="00A81DCD"/>
    <w:rsid w:val="00A82C58"/>
    <w:rsid w:val="00A82C82"/>
    <w:rsid w:val="00A847C1"/>
    <w:rsid w:val="00A86FE6"/>
    <w:rsid w:val="00A9484F"/>
    <w:rsid w:val="00A95456"/>
    <w:rsid w:val="00A95BAC"/>
    <w:rsid w:val="00A96D52"/>
    <w:rsid w:val="00AA5053"/>
    <w:rsid w:val="00AA6157"/>
    <w:rsid w:val="00AA634C"/>
    <w:rsid w:val="00AB040E"/>
    <w:rsid w:val="00AB0844"/>
    <w:rsid w:val="00AB1C0C"/>
    <w:rsid w:val="00AB1CD8"/>
    <w:rsid w:val="00AB1F4F"/>
    <w:rsid w:val="00AB4951"/>
    <w:rsid w:val="00AB6F7A"/>
    <w:rsid w:val="00AC01C9"/>
    <w:rsid w:val="00AC32B0"/>
    <w:rsid w:val="00AC3EB8"/>
    <w:rsid w:val="00AC4287"/>
    <w:rsid w:val="00AC4519"/>
    <w:rsid w:val="00AC457A"/>
    <w:rsid w:val="00AC49AE"/>
    <w:rsid w:val="00AC5C98"/>
    <w:rsid w:val="00AC7707"/>
    <w:rsid w:val="00AD11ED"/>
    <w:rsid w:val="00AD1EDC"/>
    <w:rsid w:val="00AD2047"/>
    <w:rsid w:val="00AD237F"/>
    <w:rsid w:val="00AD2B05"/>
    <w:rsid w:val="00AD53FB"/>
    <w:rsid w:val="00AE281A"/>
    <w:rsid w:val="00AE368F"/>
    <w:rsid w:val="00AE6F06"/>
    <w:rsid w:val="00AE75B7"/>
    <w:rsid w:val="00AF13AC"/>
    <w:rsid w:val="00AF27FB"/>
    <w:rsid w:val="00AF2825"/>
    <w:rsid w:val="00AF3968"/>
    <w:rsid w:val="00AF4CE0"/>
    <w:rsid w:val="00AF6002"/>
    <w:rsid w:val="00AF792F"/>
    <w:rsid w:val="00B0332F"/>
    <w:rsid w:val="00B077AD"/>
    <w:rsid w:val="00B07E37"/>
    <w:rsid w:val="00B10101"/>
    <w:rsid w:val="00B102B5"/>
    <w:rsid w:val="00B104DC"/>
    <w:rsid w:val="00B11A01"/>
    <w:rsid w:val="00B13260"/>
    <w:rsid w:val="00B13DB5"/>
    <w:rsid w:val="00B14613"/>
    <w:rsid w:val="00B1555F"/>
    <w:rsid w:val="00B17F54"/>
    <w:rsid w:val="00B215BF"/>
    <w:rsid w:val="00B251F4"/>
    <w:rsid w:val="00B27D86"/>
    <w:rsid w:val="00B315A0"/>
    <w:rsid w:val="00B3208E"/>
    <w:rsid w:val="00B32CF1"/>
    <w:rsid w:val="00B33127"/>
    <w:rsid w:val="00B34A18"/>
    <w:rsid w:val="00B35DEE"/>
    <w:rsid w:val="00B36B99"/>
    <w:rsid w:val="00B4071B"/>
    <w:rsid w:val="00B416B8"/>
    <w:rsid w:val="00B427C9"/>
    <w:rsid w:val="00B435E1"/>
    <w:rsid w:val="00B44605"/>
    <w:rsid w:val="00B461EA"/>
    <w:rsid w:val="00B468CE"/>
    <w:rsid w:val="00B5161B"/>
    <w:rsid w:val="00B51B94"/>
    <w:rsid w:val="00B53447"/>
    <w:rsid w:val="00B54BD8"/>
    <w:rsid w:val="00B56CCA"/>
    <w:rsid w:val="00B579CB"/>
    <w:rsid w:val="00B626CD"/>
    <w:rsid w:val="00B65B8E"/>
    <w:rsid w:val="00B666FB"/>
    <w:rsid w:val="00B70083"/>
    <w:rsid w:val="00B710DC"/>
    <w:rsid w:val="00B7121E"/>
    <w:rsid w:val="00B71614"/>
    <w:rsid w:val="00B76588"/>
    <w:rsid w:val="00B77566"/>
    <w:rsid w:val="00B83CC2"/>
    <w:rsid w:val="00B852EA"/>
    <w:rsid w:val="00B85F6A"/>
    <w:rsid w:val="00B908BF"/>
    <w:rsid w:val="00B9118D"/>
    <w:rsid w:val="00B91FD6"/>
    <w:rsid w:val="00B936AA"/>
    <w:rsid w:val="00B93EF5"/>
    <w:rsid w:val="00B94EEA"/>
    <w:rsid w:val="00BA4BE1"/>
    <w:rsid w:val="00BA4FBD"/>
    <w:rsid w:val="00BA5F32"/>
    <w:rsid w:val="00BA711D"/>
    <w:rsid w:val="00BB09C8"/>
    <w:rsid w:val="00BB1A63"/>
    <w:rsid w:val="00BB26E9"/>
    <w:rsid w:val="00BB28F6"/>
    <w:rsid w:val="00BB443C"/>
    <w:rsid w:val="00BB461A"/>
    <w:rsid w:val="00BB5322"/>
    <w:rsid w:val="00BB5336"/>
    <w:rsid w:val="00BB6867"/>
    <w:rsid w:val="00BC227D"/>
    <w:rsid w:val="00BC2609"/>
    <w:rsid w:val="00BC3F98"/>
    <w:rsid w:val="00BC5905"/>
    <w:rsid w:val="00BD5E13"/>
    <w:rsid w:val="00BD6C7B"/>
    <w:rsid w:val="00BE241D"/>
    <w:rsid w:val="00BE2682"/>
    <w:rsid w:val="00BE55E4"/>
    <w:rsid w:val="00BE5EAA"/>
    <w:rsid w:val="00BE6696"/>
    <w:rsid w:val="00BE7934"/>
    <w:rsid w:val="00BF0EBE"/>
    <w:rsid w:val="00BF3831"/>
    <w:rsid w:val="00BF76A0"/>
    <w:rsid w:val="00C02503"/>
    <w:rsid w:val="00C0276C"/>
    <w:rsid w:val="00C02E3D"/>
    <w:rsid w:val="00C041F3"/>
    <w:rsid w:val="00C05307"/>
    <w:rsid w:val="00C07843"/>
    <w:rsid w:val="00C12A76"/>
    <w:rsid w:val="00C13145"/>
    <w:rsid w:val="00C13418"/>
    <w:rsid w:val="00C13DFB"/>
    <w:rsid w:val="00C14F96"/>
    <w:rsid w:val="00C15542"/>
    <w:rsid w:val="00C20FEB"/>
    <w:rsid w:val="00C216CB"/>
    <w:rsid w:val="00C21FDE"/>
    <w:rsid w:val="00C31676"/>
    <w:rsid w:val="00C3223E"/>
    <w:rsid w:val="00C34B68"/>
    <w:rsid w:val="00C368D2"/>
    <w:rsid w:val="00C36ED2"/>
    <w:rsid w:val="00C40DCF"/>
    <w:rsid w:val="00C432A3"/>
    <w:rsid w:val="00C43D0C"/>
    <w:rsid w:val="00C45236"/>
    <w:rsid w:val="00C45D78"/>
    <w:rsid w:val="00C515A9"/>
    <w:rsid w:val="00C51926"/>
    <w:rsid w:val="00C52EE5"/>
    <w:rsid w:val="00C53B54"/>
    <w:rsid w:val="00C54AA5"/>
    <w:rsid w:val="00C56839"/>
    <w:rsid w:val="00C6119E"/>
    <w:rsid w:val="00C7020B"/>
    <w:rsid w:val="00C729CE"/>
    <w:rsid w:val="00C738A6"/>
    <w:rsid w:val="00C73BC3"/>
    <w:rsid w:val="00C771DC"/>
    <w:rsid w:val="00C81396"/>
    <w:rsid w:val="00C81D5A"/>
    <w:rsid w:val="00C81FD2"/>
    <w:rsid w:val="00C84F29"/>
    <w:rsid w:val="00C86A1F"/>
    <w:rsid w:val="00C96693"/>
    <w:rsid w:val="00C9769D"/>
    <w:rsid w:val="00CA54C1"/>
    <w:rsid w:val="00CA6594"/>
    <w:rsid w:val="00CB503B"/>
    <w:rsid w:val="00CB64B6"/>
    <w:rsid w:val="00CC1EB3"/>
    <w:rsid w:val="00CD03A4"/>
    <w:rsid w:val="00CD1716"/>
    <w:rsid w:val="00CD1741"/>
    <w:rsid w:val="00CD1946"/>
    <w:rsid w:val="00CD4371"/>
    <w:rsid w:val="00CD6459"/>
    <w:rsid w:val="00CD64D1"/>
    <w:rsid w:val="00CD76E9"/>
    <w:rsid w:val="00CE0665"/>
    <w:rsid w:val="00CE4793"/>
    <w:rsid w:val="00CE750F"/>
    <w:rsid w:val="00CE7F6C"/>
    <w:rsid w:val="00CF0538"/>
    <w:rsid w:val="00CF2A82"/>
    <w:rsid w:val="00CF2C45"/>
    <w:rsid w:val="00CF3D64"/>
    <w:rsid w:val="00CF5D17"/>
    <w:rsid w:val="00D00117"/>
    <w:rsid w:val="00D00F7F"/>
    <w:rsid w:val="00D03291"/>
    <w:rsid w:val="00D0652E"/>
    <w:rsid w:val="00D1107C"/>
    <w:rsid w:val="00D111A9"/>
    <w:rsid w:val="00D128DB"/>
    <w:rsid w:val="00D12923"/>
    <w:rsid w:val="00D15D8B"/>
    <w:rsid w:val="00D160CB"/>
    <w:rsid w:val="00D1615B"/>
    <w:rsid w:val="00D16C99"/>
    <w:rsid w:val="00D17B64"/>
    <w:rsid w:val="00D21591"/>
    <w:rsid w:val="00D21EB1"/>
    <w:rsid w:val="00D245A1"/>
    <w:rsid w:val="00D24648"/>
    <w:rsid w:val="00D24935"/>
    <w:rsid w:val="00D26D7C"/>
    <w:rsid w:val="00D27DD6"/>
    <w:rsid w:val="00D327F0"/>
    <w:rsid w:val="00D336C4"/>
    <w:rsid w:val="00D4106E"/>
    <w:rsid w:val="00D415E2"/>
    <w:rsid w:val="00D41E98"/>
    <w:rsid w:val="00D42055"/>
    <w:rsid w:val="00D504A1"/>
    <w:rsid w:val="00D573C5"/>
    <w:rsid w:val="00D647C3"/>
    <w:rsid w:val="00D6489A"/>
    <w:rsid w:val="00D64BAA"/>
    <w:rsid w:val="00D663C6"/>
    <w:rsid w:val="00D7015C"/>
    <w:rsid w:val="00D73323"/>
    <w:rsid w:val="00D77C51"/>
    <w:rsid w:val="00D801EB"/>
    <w:rsid w:val="00D80828"/>
    <w:rsid w:val="00D80AE2"/>
    <w:rsid w:val="00D814B0"/>
    <w:rsid w:val="00D819C2"/>
    <w:rsid w:val="00D81FEC"/>
    <w:rsid w:val="00D82896"/>
    <w:rsid w:val="00D91F5F"/>
    <w:rsid w:val="00D9234E"/>
    <w:rsid w:val="00D92890"/>
    <w:rsid w:val="00D95711"/>
    <w:rsid w:val="00D9633A"/>
    <w:rsid w:val="00D9682F"/>
    <w:rsid w:val="00DA15E5"/>
    <w:rsid w:val="00DA602E"/>
    <w:rsid w:val="00DA641B"/>
    <w:rsid w:val="00DB296A"/>
    <w:rsid w:val="00DB2C19"/>
    <w:rsid w:val="00DB38CC"/>
    <w:rsid w:val="00DB4623"/>
    <w:rsid w:val="00DB7498"/>
    <w:rsid w:val="00DB77D6"/>
    <w:rsid w:val="00DB7C87"/>
    <w:rsid w:val="00DC093B"/>
    <w:rsid w:val="00DC56EF"/>
    <w:rsid w:val="00DD7431"/>
    <w:rsid w:val="00DE0794"/>
    <w:rsid w:val="00DE494E"/>
    <w:rsid w:val="00DE6781"/>
    <w:rsid w:val="00DF2386"/>
    <w:rsid w:val="00DF35C0"/>
    <w:rsid w:val="00DF43E8"/>
    <w:rsid w:val="00DF7CA2"/>
    <w:rsid w:val="00DF7FE7"/>
    <w:rsid w:val="00E037C0"/>
    <w:rsid w:val="00E1484F"/>
    <w:rsid w:val="00E166D0"/>
    <w:rsid w:val="00E16A55"/>
    <w:rsid w:val="00E17566"/>
    <w:rsid w:val="00E2003D"/>
    <w:rsid w:val="00E25008"/>
    <w:rsid w:val="00E26ED0"/>
    <w:rsid w:val="00E3217E"/>
    <w:rsid w:val="00E32F16"/>
    <w:rsid w:val="00E33651"/>
    <w:rsid w:val="00E33ED2"/>
    <w:rsid w:val="00E34C36"/>
    <w:rsid w:val="00E36AEE"/>
    <w:rsid w:val="00E40E9B"/>
    <w:rsid w:val="00E414B2"/>
    <w:rsid w:val="00E414F3"/>
    <w:rsid w:val="00E4239D"/>
    <w:rsid w:val="00E44127"/>
    <w:rsid w:val="00E46367"/>
    <w:rsid w:val="00E535A8"/>
    <w:rsid w:val="00E559B4"/>
    <w:rsid w:val="00E57D75"/>
    <w:rsid w:val="00E618D6"/>
    <w:rsid w:val="00E6269A"/>
    <w:rsid w:val="00E6375B"/>
    <w:rsid w:val="00E63C59"/>
    <w:rsid w:val="00E63F0B"/>
    <w:rsid w:val="00E70DAB"/>
    <w:rsid w:val="00E71BF3"/>
    <w:rsid w:val="00E72B5C"/>
    <w:rsid w:val="00E7567C"/>
    <w:rsid w:val="00E76250"/>
    <w:rsid w:val="00E7785F"/>
    <w:rsid w:val="00E81F71"/>
    <w:rsid w:val="00E822CB"/>
    <w:rsid w:val="00E84B8C"/>
    <w:rsid w:val="00E858F5"/>
    <w:rsid w:val="00E90249"/>
    <w:rsid w:val="00E93A5B"/>
    <w:rsid w:val="00E94284"/>
    <w:rsid w:val="00E95438"/>
    <w:rsid w:val="00E9720D"/>
    <w:rsid w:val="00EA1E88"/>
    <w:rsid w:val="00EA2DC3"/>
    <w:rsid w:val="00EA3A7F"/>
    <w:rsid w:val="00EA40AD"/>
    <w:rsid w:val="00EA443F"/>
    <w:rsid w:val="00EA4BF9"/>
    <w:rsid w:val="00EB0D7B"/>
    <w:rsid w:val="00EB475E"/>
    <w:rsid w:val="00EC0DC4"/>
    <w:rsid w:val="00EC1805"/>
    <w:rsid w:val="00EC5CAD"/>
    <w:rsid w:val="00EC705C"/>
    <w:rsid w:val="00EC74F1"/>
    <w:rsid w:val="00ED060E"/>
    <w:rsid w:val="00ED2A95"/>
    <w:rsid w:val="00ED3E43"/>
    <w:rsid w:val="00ED3F1A"/>
    <w:rsid w:val="00ED51C5"/>
    <w:rsid w:val="00ED569A"/>
    <w:rsid w:val="00EE1D43"/>
    <w:rsid w:val="00EE35F9"/>
    <w:rsid w:val="00EE40BE"/>
    <w:rsid w:val="00EE4B6F"/>
    <w:rsid w:val="00EF2A68"/>
    <w:rsid w:val="00EF5698"/>
    <w:rsid w:val="00F029C8"/>
    <w:rsid w:val="00F02E6E"/>
    <w:rsid w:val="00F0597E"/>
    <w:rsid w:val="00F06972"/>
    <w:rsid w:val="00F078F1"/>
    <w:rsid w:val="00F109E7"/>
    <w:rsid w:val="00F1191B"/>
    <w:rsid w:val="00F1324D"/>
    <w:rsid w:val="00F13D9B"/>
    <w:rsid w:val="00F163C1"/>
    <w:rsid w:val="00F167D7"/>
    <w:rsid w:val="00F240FC"/>
    <w:rsid w:val="00F26289"/>
    <w:rsid w:val="00F2681C"/>
    <w:rsid w:val="00F26FD2"/>
    <w:rsid w:val="00F30F61"/>
    <w:rsid w:val="00F322C9"/>
    <w:rsid w:val="00F32D03"/>
    <w:rsid w:val="00F33E0C"/>
    <w:rsid w:val="00F344DE"/>
    <w:rsid w:val="00F3632B"/>
    <w:rsid w:val="00F367BD"/>
    <w:rsid w:val="00F42498"/>
    <w:rsid w:val="00F46056"/>
    <w:rsid w:val="00F4710D"/>
    <w:rsid w:val="00F513BB"/>
    <w:rsid w:val="00F51F92"/>
    <w:rsid w:val="00F53B81"/>
    <w:rsid w:val="00F54608"/>
    <w:rsid w:val="00F54FBD"/>
    <w:rsid w:val="00F55CD0"/>
    <w:rsid w:val="00F61C98"/>
    <w:rsid w:val="00F62F3C"/>
    <w:rsid w:val="00F70B6E"/>
    <w:rsid w:val="00F715D9"/>
    <w:rsid w:val="00F71B94"/>
    <w:rsid w:val="00F73E71"/>
    <w:rsid w:val="00F7459E"/>
    <w:rsid w:val="00F8122A"/>
    <w:rsid w:val="00F82AA3"/>
    <w:rsid w:val="00F848A7"/>
    <w:rsid w:val="00F86426"/>
    <w:rsid w:val="00F87D83"/>
    <w:rsid w:val="00F9198B"/>
    <w:rsid w:val="00F96F42"/>
    <w:rsid w:val="00F97C8F"/>
    <w:rsid w:val="00FA0FDD"/>
    <w:rsid w:val="00FA2641"/>
    <w:rsid w:val="00FA361D"/>
    <w:rsid w:val="00FA3669"/>
    <w:rsid w:val="00FA5A1B"/>
    <w:rsid w:val="00FA5E7B"/>
    <w:rsid w:val="00FA6057"/>
    <w:rsid w:val="00FA6E78"/>
    <w:rsid w:val="00FB17B0"/>
    <w:rsid w:val="00FB187E"/>
    <w:rsid w:val="00FB1F5A"/>
    <w:rsid w:val="00FB35A4"/>
    <w:rsid w:val="00FB3F6B"/>
    <w:rsid w:val="00FB7002"/>
    <w:rsid w:val="00FB7539"/>
    <w:rsid w:val="00FC4333"/>
    <w:rsid w:val="00FC773D"/>
    <w:rsid w:val="00FD14E2"/>
    <w:rsid w:val="00FD280C"/>
    <w:rsid w:val="00FE0365"/>
    <w:rsid w:val="00FE211B"/>
    <w:rsid w:val="00FF02FD"/>
    <w:rsid w:val="00FF0468"/>
    <w:rsid w:val="00FF0CE5"/>
    <w:rsid w:val="00FF206F"/>
    <w:rsid w:val="00FF400D"/>
    <w:rsid w:val="00FF734B"/>
    <w:rsid w:val="163FA1A3"/>
    <w:rsid w:val="3399B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6A950E7"/>
  <w15:docId w15:val="{39947197-4C44-4DD1-8E91-A5B8526C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520A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AB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D1615B"/>
    <w:pPr>
      <w:widowControl w:val="0"/>
      <w:ind w:left="548" w:firstLine="0"/>
    </w:pPr>
    <w:rPr>
      <w:rFonts w:ascii="Arial" w:eastAsia="Arial" w:hAnsi="Arial" w:cstheme="minorBidi"/>
    </w:rPr>
  </w:style>
  <w:style w:type="character" w:customStyle="1" w:styleId="BodyTextChar">
    <w:name w:val="Body Text Char"/>
    <w:basedOn w:val="DefaultParagraphFont"/>
    <w:link w:val="BodyText"/>
    <w:uiPriority w:val="1"/>
    <w:rsid w:val="00D1615B"/>
    <w:rPr>
      <w:rFonts w:ascii="Arial" w:eastAsia="Arial" w:hAnsi="Arial"/>
      <w:lang w:val="es-ES"/>
    </w:rPr>
  </w:style>
  <w:style w:type="character" w:styleId="FollowedHyperlink">
    <w:name w:val="FollowedHyperlink"/>
    <w:basedOn w:val="DefaultParagraphFont"/>
    <w:uiPriority w:val="99"/>
    <w:semiHidden/>
    <w:unhideWhenUsed/>
    <w:rsid w:val="00CA6594"/>
    <w:rPr>
      <w:color w:val="800080"/>
      <w:u w:val="single"/>
    </w:rPr>
  </w:style>
  <w:style w:type="paragraph" w:customStyle="1" w:styleId="xl65">
    <w:name w:val="xl65"/>
    <w:basedOn w:val="Normal"/>
    <w:rsid w:val="00CA6594"/>
    <w:pPr>
      <w:spacing w:before="100" w:beforeAutospacing="1" w:after="100" w:afterAutospacing="1"/>
      <w:ind w:left="0" w:firstLine="0"/>
    </w:pPr>
    <w:rPr>
      <w:rFonts w:ascii="Times New Roman" w:eastAsia="Times New Roman" w:hAnsi="Times New Roman"/>
      <w:sz w:val="26"/>
      <w:szCs w:val="26"/>
      <w:lang w:eastAsia="en-GB"/>
    </w:rPr>
  </w:style>
  <w:style w:type="paragraph" w:customStyle="1" w:styleId="xl66">
    <w:name w:val="xl66"/>
    <w:basedOn w:val="Normal"/>
    <w:rsid w:val="00CA6594"/>
    <w:pPr>
      <w:spacing w:before="100" w:beforeAutospacing="1" w:after="100" w:afterAutospacing="1"/>
      <w:ind w:left="0" w:firstLine="0"/>
      <w:jc w:val="center"/>
      <w:textAlignment w:val="top"/>
    </w:pPr>
    <w:rPr>
      <w:rFonts w:ascii="Times New Roman" w:eastAsia="Times New Roman" w:hAnsi="Times New Roman"/>
      <w:sz w:val="24"/>
      <w:szCs w:val="24"/>
      <w:lang w:eastAsia="en-GB"/>
    </w:rPr>
  </w:style>
  <w:style w:type="paragraph" w:customStyle="1" w:styleId="xl67">
    <w:name w:val="xl67"/>
    <w:basedOn w:val="Normal"/>
    <w:rsid w:val="00CA6594"/>
    <w:pPr>
      <w:spacing w:before="100" w:beforeAutospacing="1" w:after="100" w:afterAutospacing="1"/>
      <w:ind w:left="0" w:firstLine="0"/>
      <w:jc w:val="center"/>
    </w:pPr>
    <w:rPr>
      <w:rFonts w:ascii="Times New Roman" w:eastAsia="Times New Roman" w:hAnsi="Times New Roman"/>
      <w:sz w:val="24"/>
      <w:szCs w:val="24"/>
      <w:lang w:eastAsia="en-GB"/>
    </w:rPr>
  </w:style>
  <w:style w:type="paragraph" w:customStyle="1" w:styleId="xl68">
    <w:name w:val="xl68"/>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69">
    <w:name w:val="xl69"/>
    <w:basedOn w:val="Normal"/>
    <w:rsid w:val="00CA6594"/>
    <w:pPr>
      <w:pBdr>
        <w:top w:val="single" w:sz="4" w:space="0" w:color="auto"/>
        <w:left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0">
    <w:name w:val="xl70"/>
    <w:basedOn w:val="Normal"/>
    <w:rsid w:val="00CA6594"/>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1">
    <w:name w:val="xl71"/>
    <w:basedOn w:val="Normal"/>
    <w:rsid w:val="00CA6594"/>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2">
    <w:name w:val="xl72"/>
    <w:basedOn w:val="Normal"/>
    <w:rsid w:val="00CA6594"/>
    <w:pPr>
      <w:pBdr>
        <w:top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3">
    <w:name w:val="xl73"/>
    <w:basedOn w:val="Normal"/>
    <w:rsid w:val="00CA6594"/>
    <w:pPr>
      <w:pBdr>
        <w:top w:val="double" w:sz="6" w:space="0" w:color="000000"/>
        <w:left w:val="single" w:sz="12"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4">
    <w:name w:val="xl74"/>
    <w:basedOn w:val="Normal"/>
    <w:rsid w:val="00CA6594"/>
    <w:pPr>
      <w:pBdr>
        <w:top w:val="double" w:sz="6" w:space="0" w:color="000000"/>
        <w:left w:val="double" w:sz="6"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5">
    <w:name w:val="xl75"/>
    <w:basedOn w:val="Normal"/>
    <w:rsid w:val="00CA6594"/>
    <w:pPr>
      <w:pBdr>
        <w:top w:val="double" w:sz="6" w:space="0" w:color="000000"/>
        <w:left w:val="double" w:sz="6" w:space="0" w:color="000000"/>
        <w:bottom w:val="double" w:sz="6" w:space="0" w:color="000000"/>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6">
    <w:name w:val="xl76"/>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b/>
      <w:bCs/>
      <w:sz w:val="24"/>
      <w:szCs w:val="24"/>
      <w:lang w:eastAsia="en-GB"/>
    </w:rPr>
  </w:style>
  <w:style w:type="paragraph" w:customStyle="1" w:styleId="xl77">
    <w:name w:val="xl77"/>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8">
    <w:name w:val="xl78"/>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9">
    <w:name w:val="xl79"/>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0">
    <w:name w:val="xl80"/>
    <w:basedOn w:val="Normal"/>
    <w:rsid w:val="00CA6594"/>
    <w:pPr>
      <w:pBdr>
        <w:top w:val="single" w:sz="4" w:space="0" w:color="auto"/>
        <w:bottom w:val="single" w:sz="4"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1">
    <w:name w:val="xl8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center"/>
    </w:pPr>
    <w:rPr>
      <w:rFonts w:ascii="Times New Roman" w:eastAsia="Times New Roman" w:hAnsi="Times New Roman"/>
      <w:b/>
      <w:bCs/>
      <w:sz w:val="24"/>
      <w:szCs w:val="24"/>
      <w:lang w:eastAsia="en-GB"/>
    </w:rPr>
  </w:style>
  <w:style w:type="paragraph" w:customStyle="1" w:styleId="xl82">
    <w:name w:val="xl82"/>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3">
    <w:name w:val="xl83"/>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84">
    <w:name w:val="xl84"/>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5">
    <w:name w:val="xl85"/>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6">
    <w:name w:val="xl86"/>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7">
    <w:name w:val="xl87"/>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8">
    <w:name w:val="xl88"/>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9">
    <w:name w:val="xl89"/>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0">
    <w:name w:val="xl90"/>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91">
    <w:name w:val="xl9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2">
    <w:name w:val="xl92"/>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3">
    <w:name w:val="xl93"/>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4">
    <w:name w:val="xl94"/>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5">
    <w:name w:val="xl95"/>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6">
    <w:name w:val="xl96"/>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pPr>
    <w:rPr>
      <w:rFonts w:eastAsia="Times New Roman"/>
      <w:b/>
      <w:bCs/>
      <w:sz w:val="26"/>
      <w:szCs w:val="26"/>
      <w:lang w:eastAsia="en-GB"/>
    </w:rPr>
  </w:style>
  <w:style w:type="paragraph" w:customStyle="1" w:styleId="xl97">
    <w:name w:val="xl97"/>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right"/>
    </w:pPr>
    <w:rPr>
      <w:rFonts w:ascii="Times New Roman" w:eastAsia="Times New Roman" w:hAnsi="Times New Roman"/>
      <w:b/>
      <w:bCs/>
      <w:sz w:val="24"/>
      <w:szCs w:val="24"/>
      <w:lang w:eastAsia="en-GB"/>
    </w:rPr>
  </w:style>
  <w:style w:type="paragraph" w:customStyle="1" w:styleId="xl98">
    <w:name w:val="xl98"/>
    <w:basedOn w:val="Normal"/>
    <w:rsid w:val="00CA6594"/>
    <w:pPr>
      <w:pBdr>
        <w:top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99">
    <w:name w:val="xl99"/>
    <w:basedOn w:val="Normal"/>
    <w:rsid w:val="00CA6594"/>
    <w:pPr>
      <w:pBdr>
        <w:top w:val="single" w:sz="8" w:space="0" w:color="auto"/>
        <w:left w:val="single" w:sz="8" w:space="0" w:color="auto"/>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0">
    <w:name w:val="xl100"/>
    <w:basedOn w:val="Normal"/>
    <w:rsid w:val="00CA6594"/>
    <w:pPr>
      <w:pBdr>
        <w:left w:val="single" w:sz="8" w:space="0" w:color="auto"/>
        <w:bottom w:val="double" w:sz="6" w:space="0" w:color="000000"/>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1">
    <w:name w:val="xl101"/>
    <w:basedOn w:val="Normal"/>
    <w:rsid w:val="00CA6594"/>
    <w:pPr>
      <w:pBdr>
        <w:top w:val="single" w:sz="8" w:space="0" w:color="auto"/>
        <w:left w:val="single" w:sz="4"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2">
    <w:name w:val="xl102"/>
    <w:basedOn w:val="Normal"/>
    <w:rsid w:val="00CA6594"/>
    <w:pPr>
      <w:pBdr>
        <w:top w:val="single" w:sz="8" w:space="0" w:color="auto"/>
        <w:bottom w:val="single" w:sz="4" w:space="0" w:color="auto"/>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3">
    <w:name w:val="xl103"/>
    <w:basedOn w:val="Normal"/>
    <w:rsid w:val="00CA6594"/>
    <w:pPr>
      <w:pBdr>
        <w:top w:val="single" w:sz="8" w:space="0" w:color="auto"/>
        <w:left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4">
    <w:name w:val="xl104"/>
    <w:basedOn w:val="Normal"/>
    <w:rsid w:val="00CA6594"/>
    <w:pPr>
      <w:pBdr>
        <w:top w:val="single" w:sz="8" w:space="0" w:color="auto"/>
        <w:left w:val="single" w:sz="12" w:space="0" w:color="000000"/>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5">
    <w:name w:val="xl105"/>
    <w:basedOn w:val="Normal"/>
    <w:rsid w:val="00CA6594"/>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6">
    <w:name w:val="xl106"/>
    <w:basedOn w:val="Normal"/>
    <w:rsid w:val="00CA6594"/>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7">
    <w:name w:val="xl107"/>
    <w:basedOn w:val="Normal"/>
    <w:rsid w:val="00CA6594"/>
    <w:pPr>
      <w:spacing w:before="100" w:beforeAutospacing="1" w:after="100" w:afterAutospacing="1"/>
      <w:ind w:left="0" w:firstLine="0"/>
    </w:pPr>
    <w:rPr>
      <w:rFonts w:ascii="Times New Roman" w:eastAsia="Times New Roman" w:hAnsi="Times New Roman"/>
      <w:b/>
      <w:bCs/>
      <w:sz w:val="26"/>
      <w:szCs w:val="26"/>
      <w:lang w:eastAsia="en-GB"/>
    </w:rPr>
  </w:style>
  <w:style w:type="paragraph" w:customStyle="1" w:styleId="xl108">
    <w:name w:val="xl108"/>
    <w:basedOn w:val="Normal"/>
    <w:rsid w:val="00877729"/>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9">
    <w:name w:val="xl109"/>
    <w:basedOn w:val="Normal"/>
    <w:rsid w:val="00877729"/>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Standard">
    <w:name w:val="Standard"/>
    <w:rsid w:val="00520AB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customStyle="1" w:styleId="Listpara2">
    <w:name w:val="List para 2"/>
    <w:basedOn w:val="Normal"/>
    <w:qFormat/>
    <w:rsid w:val="00520ABE"/>
    <w:pPr>
      <w:numPr>
        <w:numId w:val="32"/>
      </w:numPr>
      <w:contextualSpacing/>
    </w:pPr>
    <w:rPr>
      <w:rFonts w:asciiTheme="majorHAnsi" w:hAnsiTheme="majorHAnsi"/>
      <w:bCs/>
    </w:rPr>
  </w:style>
  <w:style w:type="table" w:styleId="PlainTable1">
    <w:name w:val="Plain Table 1"/>
    <w:basedOn w:val="TableNormal"/>
    <w:uiPriority w:val="41"/>
    <w:rsid w:val="00520A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62EA0"/>
    <w:rPr>
      <w:color w:val="605E5C"/>
      <w:shd w:val="clear" w:color="auto" w:fill="E1DFDD"/>
    </w:rPr>
  </w:style>
  <w:style w:type="table" w:styleId="GridTable2-Accent1">
    <w:name w:val="Grid Table 2 Accent 1"/>
    <w:basedOn w:val="TableNormal"/>
    <w:uiPriority w:val="47"/>
    <w:rsid w:val="00BF0EBE"/>
    <w:rPr>
      <w:rFonts w:eastAsia="Calibri"/>
      <w:sz w:val="24"/>
      <w:szCs w:val="24"/>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006D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91737"/>
    <w:rPr>
      <w:color w:val="605E5C"/>
      <w:shd w:val="clear" w:color="auto" w:fill="E1DFDD"/>
    </w:rPr>
  </w:style>
  <w:style w:type="paragraph" w:styleId="NormalWeb">
    <w:name w:val="Normal (Web)"/>
    <w:basedOn w:val="Normal"/>
    <w:uiPriority w:val="99"/>
    <w:semiHidden/>
    <w:unhideWhenUsed/>
    <w:rsid w:val="00E90249"/>
    <w:pPr>
      <w:spacing w:before="100" w:beforeAutospacing="1" w:after="100" w:afterAutospacing="1"/>
      <w:ind w:left="0" w:firstLine="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2924">
      <w:bodyDiv w:val="1"/>
      <w:marLeft w:val="0"/>
      <w:marRight w:val="0"/>
      <w:marTop w:val="0"/>
      <w:marBottom w:val="0"/>
      <w:divBdr>
        <w:top w:val="none" w:sz="0" w:space="0" w:color="auto"/>
        <w:left w:val="none" w:sz="0" w:space="0" w:color="auto"/>
        <w:bottom w:val="none" w:sz="0" w:space="0" w:color="auto"/>
        <w:right w:val="none" w:sz="0" w:space="0" w:color="auto"/>
      </w:divBdr>
    </w:div>
    <w:div w:id="126247699">
      <w:bodyDiv w:val="1"/>
      <w:marLeft w:val="0"/>
      <w:marRight w:val="0"/>
      <w:marTop w:val="0"/>
      <w:marBottom w:val="0"/>
      <w:divBdr>
        <w:top w:val="none" w:sz="0" w:space="0" w:color="auto"/>
        <w:left w:val="none" w:sz="0" w:space="0" w:color="auto"/>
        <w:bottom w:val="none" w:sz="0" w:space="0" w:color="auto"/>
        <w:right w:val="none" w:sz="0" w:space="0" w:color="auto"/>
      </w:divBdr>
    </w:div>
    <w:div w:id="18147584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0426396">
      <w:bodyDiv w:val="1"/>
      <w:marLeft w:val="0"/>
      <w:marRight w:val="0"/>
      <w:marTop w:val="0"/>
      <w:marBottom w:val="0"/>
      <w:divBdr>
        <w:top w:val="none" w:sz="0" w:space="0" w:color="auto"/>
        <w:left w:val="none" w:sz="0" w:space="0" w:color="auto"/>
        <w:bottom w:val="none" w:sz="0" w:space="0" w:color="auto"/>
        <w:right w:val="none" w:sz="0" w:space="0" w:color="auto"/>
      </w:divBdr>
    </w:div>
    <w:div w:id="333654395">
      <w:bodyDiv w:val="1"/>
      <w:marLeft w:val="0"/>
      <w:marRight w:val="0"/>
      <w:marTop w:val="0"/>
      <w:marBottom w:val="0"/>
      <w:divBdr>
        <w:top w:val="none" w:sz="0" w:space="0" w:color="auto"/>
        <w:left w:val="none" w:sz="0" w:space="0" w:color="auto"/>
        <w:bottom w:val="none" w:sz="0" w:space="0" w:color="auto"/>
        <w:right w:val="none" w:sz="0" w:space="0" w:color="auto"/>
      </w:divBdr>
    </w:div>
    <w:div w:id="382869972">
      <w:bodyDiv w:val="1"/>
      <w:marLeft w:val="0"/>
      <w:marRight w:val="0"/>
      <w:marTop w:val="0"/>
      <w:marBottom w:val="0"/>
      <w:divBdr>
        <w:top w:val="none" w:sz="0" w:space="0" w:color="auto"/>
        <w:left w:val="none" w:sz="0" w:space="0" w:color="auto"/>
        <w:bottom w:val="none" w:sz="0" w:space="0" w:color="auto"/>
        <w:right w:val="none" w:sz="0" w:space="0" w:color="auto"/>
      </w:divBdr>
    </w:div>
    <w:div w:id="391731961">
      <w:bodyDiv w:val="1"/>
      <w:marLeft w:val="0"/>
      <w:marRight w:val="0"/>
      <w:marTop w:val="0"/>
      <w:marBottom w:val="0"/>
      <w:divBdr>
        <w:top w:val="none" w:sz="0" w:space="0" w:color="auto"/>
        <w:left w:val="none" w:sz="0" w:space="0" w:color="auto"/>
        <w:bottom w:val="none" w:sz="0" w:space="0" w:color="auto"/>
        <w:right w:val="none" w:sz="0" w:space="0" w:color="auto"/>
      </w:divBdr>
    </w:div>
    <w:div w:id="565262877">
      <w:bodyDiv w:val="1"/>
      <w:marLeft w:val="0"/>
      <w:marRight w:val="0"/>
      <w:marTop w:val="0"/>
      <w:marBottom w:val="0"/>
      <w:divBdr>
        <w:top w:val="none" w:sz="0" w:space="0" w:color="auto"/>
        <w:left w:val="none" w:sz="0" w:space="0" w:color="auto"/>
        <w:bottom w:val="none" w:sz="0" w:space="0" w:color="auto"/>
        <w:right w:val="none" w:sz="0" w:space="0" w:color="auto"/>
      </w:divBdr>
    </w:div>
    <w:div w:id="646907607">
      <w:bodyDiv w:val="1"/>
      <w:marLeft w:val="0"/>
      <w:marRight w:val="0"/>
      <w:marTop w:val="0"/>
      <w:marBottom w:val="0"/>
      <w:divBdr>
        <w:top w:val="none" w:sz="0" w:space="0" w:color="auto"/>
        <w:left w:val="none" w:sz="0" w:space="0" w:color="auto"/>
        <w:bottom w:val="none" w:sz="0" w:space="0" w:color="auto"/>
        <w:right w:val="none" w:sz="0" w:space="0" w:color="auto"/>
      </w:divBdr>
    </w:div>
    <w:div w:id="783424123">
      <w:bodyDiv w:val="1"/>
      <w:marLeft w:val="0"/>
      <w:marRight w:val="0"/>
      <w:marTop w:val="0"/>
      <w:marBottom w:val="0"/>
      <w:divBdr>
        <w:top w:val="none" w:sz="0" w:space="0" w:color="auto"/>
        <w:left w:val="none" w:sz="0" w:space="0" w:color="auto"/>
        <w:bottom w:val="none" w:sz="0" w:space="0" w:color="auto"/>
        <w:right w:val="none" w:sz="0" w:space="0" w:color="auto"/>
      </w:divBdr>
    </w:div>
    <w:div w:id="809445716">
      <w:bodyDiv w:val="1"/>
      <w:marLeft w:val="0"/>
      <w:marRight w:val="0"/>
      <w:marTop w:val="0"/>
      <w:marBottom w:val="0"/>
      <w:divBdr>
        <w:top w:val="none" w:sz="0" w:space="0" w:color="auto"/>
        <w:left w:val="none" w:sz="0" w:space="0" w:color="auto"/>
        <w:bottom w:val="none" w:sz="0" w:space="0" w:color="auto"/>
        <w:right w:val="none" w:sz="0" w:space="0" w:color="auto"/>
      </w:divBdr>
    </w:div>
    <w:div w:id="865751162">
      <w:bodyDiv w:val="1"/>
      <w:marLeft w:val="0"/>
      <w:marRight w:val="0"/>
      <w:marTop w:val="0"/>
      <w:marBottom w:val="0"/>
      <w:divBdr>
        <w:top w:val="none" w:sz="0" w:space="0" w:color="auto"/>
        <w:left w:val="none" w:sz="0" w:space="0" w:color="auto"/>
        <w:bottom w:val="none" w:sz="0" w:space="0" w:color="auto"/>
        <w:right w:val="none" w:sz="0" w:space="0" w:color="auto"/>
      </w:divBdr>
    </w:div>
    <w:div w:id="894437179">
      <w:bodyDiv w:val="1"/>
      <w:marLeft w:val="0"/>
      <w:marRight w:val="0"/>
      <w:marTop w:val="0"/>
      <w:marBottom w:val="0"/>
      <w:divBdr>
        <w:top w:val="none" w:sz="0" w:space="0" w:color="auto"/>
        <w:left w:val="none" w:sz="0" w:space="0" w:color="auto"/>
        <w:bottom w:val="none" w:sz="0" w:space="0" w:color="auto"/>
        <w:right w:val="none" w:sz="0" w:space="0" w:color="auto"/>
      </w:divBdr>
    </w:div>
    <w:div w:id="910047260">
      <w:bodyDiv w:val="1"/>
      <w:marLeft w:val="0"/>
      <w:marRight w:val="0"/>
      <w:marTop w:val="0"/>
      <w:marBottom w:val="0"/>
      <w:divBdr>
        <w:top w:val="none" w:sz="0" w:space="0" w:color="auto"/>
        <w:left w:val="none" w:sz="0" w:space="0" w:color="auto"/>
        <w:bottom w:val="none" w:sz="0" w:space="0" w:color="auto"/>
        <w:right w:val="none" w:sz="0" w:space="0" w:color="auto"/>
      </w:divBdr>
    </w:div>
    <w:div w:id="1096293074">
      <w:bodyDiv w:val="1"/>
      <w:marLeft w:val="0"/>
      <w:marRight w:val="0"/>
      <w:marTop w:val="0"/>
      <w:marBottom w:val="0"/>
      <w:divBdr>
        <w:top w:val="none" w:sz="0" w:space="0" w:color="auto"/>
        <w:left w:val="none" w:sz="0" w:space="0" w:color="auto"/>
        <w:bottom w:val="none" w:sz="0" w:space="0" w:color="auto"/>
        <w:right w:val="none" w:sz="0" w:space="0" w:color="auto"/>
      </w:divBdr>
    </w:div>
    <w:div w:id="1151755220">
      <w:bodyDiv w:val="1"/>
      <w:marLeft w:val="0"/>
      <w:marRight w:val="0"/>
      <w:marTop w:val="0"/>
      <w:marBottom w:val="0"/>
      <w:divBdr>
        <w:top w:val="none" w:sz="0" w:space="0" w:color="auto"/>
        <w:left w:val="none" w:sz="0" w:space="0" w:color="auto"/>
        <w:bottom w:val="none" w:sz="0" w:space="0" w:color="auto"/>
        <w:right w:val="none" w:sz="0" w:space="0" w:color="auto"/>
      </w:divBdr>
    </w:div>
    <w:div w:id="1335185269">
      <w:bodyDiv w:val="1"/>
      <w:marLeft w:val="0"/>
      <w:marRight w:val="0"/>
      <w:marTop w:val="0"/>
      <w:marBottom w:val="0"/>
      <w:divBdr>
        <w:top w:val="none" w:sz="0" w:space="0" w:color="auto"/>
        <w:left w:val="none" w:sz="0" w:space="0" w:color="auto"/>
        <w:bottom w:val="none" w:sz="0" w:space="0" w:color="auto"/>
        <w:right w:val="none" w:sz="0" w:space="0" w:color="auto"/>
      </w:divBdr>
    </w:div>
    <w:div w:id="1536850305">
      <w:bodyDiv w:val="1"/>
      <w:marLeft w:val="0"/>
      <w:marRight w:val="0"/>
      <w:marTop w:val="0"/>
      <w:marBottom w:val="0"/>
      <w:divBdr>
        <w:top w:val="none" w:sz="0" w:space="0" w:color="auto"/>
        <w:left w:val="none" w:sz="0" w:space="0" w:color="auto"/>
        <w:bottom w:val="none" w:sz="0" w:space="0" w:color="auto"/>
        <w:right w:val="none" w:sz="0" w:space="0" w:color="auto"/>
      </w:divBdr>
    </w:div>
    <w:div w:id="1541435623">
      <w:bodyDiv w:val="1"/>
      <w:marLeft w:val="0"/>
      <w:marRight w:val="0"/>
      <w:marTop w:val="0"/>
      <w:marBottom w:val="0"/>
      <w:divBdr>
        <w:top w:val="none" w:sz="0" w:space="0" w:color="auto"/>
        <w:left w:val="none" w:sz="0" w:space="0" w:color="auto"/>
        <w:bottom w:val="none" w:sz="0" w:space="0" w:color="auto"/>
        <w:right w:val="none" w:sz="0" w:space="0" w:color="auto"/>
      </w:divBdr>
    </w:div>
    <w:div w:id="1554580418">
      <w:bodyDiv w:val="1"/>
      <w:marLeft w:val="0"/>
      <w:marRight w:val="0"/>
      <w:marTop w:val="0"/>
      <w:marBottom w:val="0"/>
      <w:divBdr>
        <w:top w:val="none" w:sz="0" w:space="0" w:color="auto"/>
        <w:left w:val="none" w:sz="0" w:space="0" w:color="auto"/>
        <w:bottom w:val="none" w:sz="0" w:space="0" w:color="auto"/>
        <w:right w:val="none" w:sz="0" w:space="0" w:color="auto"/>
      </w:divBdr>
    </w:div>
    <w:div w:id="1667783687">
      <w:bodyDiv w:val="1"/>
      <w:marLeft w:val="0"/>
      <w:marRight w:val="0"/>
      <w:marTop w:val="0"/>
      <w:marBottom w:val="0"/>
      <w:divBdr>
        <w:top w:val="none" w:sz="0" w:space="0" w:color="auto"/>
        <w:left w:val="none" w:sz="0" w:space="0" w:color="auto"/>
        <w:bottom w:val="none" w:sz="0" w:space="0" w:color="auto"/>
        <w:right w:val="none" w:sz="0" w:space="0" w:color="auto"/>
      </w:divBdr>
    </w:div>
    <w:div w:id="1787962405">
      <w:bodyDiv w:val="1"/>
      <w:marLeft w:val="0"/>
      <w:marRight w:val="0"/>
      <w:marTop w:val="0"/>
      <w:marBottom w:val="0"/>
      <w:divBdr>
        <w:top w:val="none" w:sz="0" w:space="0" w:color="auto"/>
        <w:left w:val="none" w:sz="0" w:space="0" w:color="auto"/>
        <w:bottom w:val="none" w:sz="0" w:space="0" w:color="auto"/>
        <w:right w:val="none" w:sz="0" w:space="0" w:color="auto"/>
      </w:divBdr>
    </w:div>
    <w:div w:id="1993408935">
      <w:bodyDiv w:val="1"/>
      <w:marLeft w:val="0"/>
      <w:marRight w:val="0"/>
      <w:marTop w:val="0"/>
      <w:marBottom w:val="0"/>
      <w:divBdr>
        <w:top w:val="none" w:sz="0" w:space="0" w:color="auto"/>
        <w:left w:val="none" w:sz="0" w:space="0" w:color="auto"/>
        <w:bottom w:val="none" w:sz="0" w:space="0" w:color="auto"/>
        <w:right w:val="none" w:sz="0" w:space="0" w:color="auto"/>
      </w:divBdr>
    </w:div>
    <w:div w:id="20723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es/document/sc64-doc92-rev1-cuestiones-financieras-y-presupuestarias-estado-de-las-contribuciones" TargetMode="External"/><Relationship Id="rId2" Type="http://schemas.openxmlformats.org/officeDocument/2006/relationships/hyperlink" Target="https://www.ramsar.org/es/document/decisiones-de-la-64a-sesion-del-comite-permanente" TargetMode="External"/><Relationship Id="rId1" Type="http://schemas.openxmlformats.org/officeDocument/2006/relationships/hyperlink" Target="https://www.ramsar.org/es/document/sc64-doc92-rev1-cuestiones-financieras-y-presupuestarias-estado-de-las-contribuciones" TargetMode="External"/><Relationship Id="rId4" Type="http://schemas.openxmlformats.org/officeDocument/2006/relationships/hyperlink" Target="https://www.ramsar.org/es/document/decisiones-de-la-64a-sesion-del-comite-permanent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hglna01\data\CC98\1.%20COMMON\Meetings%20and%20Groups\Standing%20Committees\SC63\Documents\PUBLISHED\SC63%20Doc.9.2%20Annual%20contributions\drafts\ed%20charts%20stuf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hglna01\data\CC98\1.%20COMMON\Meetings%20and%20Groups\Standing%20Committees\SC63\Documents\PUBLISHED\SC63%20Doc.9.2%20Annual%20contributions\drafts\ed%20charts%20stuff.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Pt>
            <c:idx val="0"/>
            <c:bubble3D val="0"/>
            <c:spPr>
              <a:solidFill>
                <a:schemeClr val="accent1">
                  <a:tint val="58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0FB-4205-855D-8672BC5605DC}"/>
              </c:ext>
            </c:extLst>
          </c:dPt>
          <c:dPt>
            <c:idx val="1"/>
            <c:bubble3D val="0"/>
            <c:spPr>
              <a:solidFill>
                <a:schemeClr val="accent1">
                  <a:tint val="86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0FB-4205-855D-8672BC5605DC}"/>
              </c:ext>
            </c:extLst>
          </c:dPt>
          <c:dPt>
            <c:idx val="2"/>
            <c:bubble3D val="0"/>
            <c:spPr>
              <a:solidFill>
                <a:schemeClr val="accent1">
                  <a:shade val="86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0FB-4205-855D-8672BC5605DC}"/>
              </c:ext>
            </c:extLst>
          </c:dPt>
          <c:dPt>
            <c:idx val="3"/>
            <c:bubble3D val="0"/>
            <c:spPr>
              <a:solidFill>
                <a:schemeClr val="accent1">
                  <a:shade val="58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0FB-4205-855D-8672BC5605DC}"/>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Ninguna contribución pendiente:</a:t>
                    </a:r>
                    <a:r>
                      <a:rPr lang="en-US" baseline="0"/>
                      <a:t> </a:t>
                    </a:r>
                    <a:fld id="{0A7397B1-C062-4BA7-B636-488135C63524}" type="VALUE">
                      <a:rPr lang="en-US" baseline="0"/>
                      <a:pPr>
                        <a:defRPr>
                          <a:solidFill>
                            <a:schemeClr val="accent1"/>
                          </a:solidFill>
                        </a:defRPr>
                      </a:pPr>
                      <a:t>[VALUE]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0FB-4205-855D-8672BC5605DC}"/>
                </c:ext>
              </c:extLst>
            </c:dLbl>
            <c:dLbl>
              <c:idx val="1"/>
              <c:layout>
                <c:manualLayout>
                  <c:x val="5.5658081802274694E-3"/>
                  <c:y val="-4.8979887162622936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r>
                      <a:rPr lang="en-US"/>
                      <a:t>Contribuciones pendientes para 2024:</a:t>
                    </a:r>
                    <a:r>
                      <a:rPr lang="en-US" baseline="0"/>
                      <a:t> </a:t>
                    </a:r>
                    <a:fld id="{BFEE2DF9-0043-48A1-AA14-D0FD7602F655}" type="VALUE">
                      <a:rPr lang="en-US" baseline="0"/>
                      <a:pPr>
                        <a:defRPr>
                          <a:solidFill>
                            <a:schemeClr val="accent1"/>
                          </a:solidFill>
                        </a:defRPr>
                      </a:pPr>
                      <a:t>[VALUE]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41297047827953737"/>
                      <c:h val="0.16648497509239915"/>
                    </c:manualLayout>
                  </c15:layout>
                  <c15:dlblFieldTable/>
                  <c15:showDataLabelsRange val="0"/>
                </c:ext>
                <c:ext xmlns:c16="http://schemas.microsoft.com/office/drawing/2014/chart" uri="{C3380CC4-5D6E-409C-BE32-E72D297353CC}">
                  <c16:uniqueId val="{00000003-60FB-4205-855D-8672BC5605DC}"/>
                </c:ext>
              </c:extLst>
            </c:dLbl>
            <c:dLbl>
              <c:idx val="2"/>
              <c:layout>
                <c:manualLayout>
                  <c:x val="-1.3022089999153431E-2"/>
                  <c:y val="-8.2841651759169563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r>
                      <a:rPr lang="en-US"/>
                      <a:t>Contribuciones pendientes por hasta cuatro años</a:t>
                    </a:r>
                    <a:r>
                      <a:rPr lang="en-US" baseline="0"/>
                      <a:t>: </a:t>
                    </a:r>
                    <a:fld id="{E17D30AD-C00C-45EF-94B5-33032A27602D}" type="VALUE">
                      <a:rPr lang="en-US" baseline="0"/>
                      <a:pPr>
                        <a:defRPr>
                          <a:solidFill>
                            <a:schemeClr val="accent1"/>
                          </a:solidFill>
                        </a:defRPr>
                      </a:pPr>
                      <a:t>[VALUE]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31933012767935254"/>
                      <c:h val="0.26444428767561878"/>
                    </c:manualLayout>
                  </c15:layout>
                  <c15:dlblFieldTable/>
                  <c15:showDataLabelsRange val="0"/>
                </c:ext>
                <c:ext xmlns:c16="http://schemas.microsoft.com/office/drawing/2014/chart" uri="{C3380CC4-5D6E-409C-BE32-E72D297353CC}">
                  <c16:uniqueId val="{00000005-60FB-4205-855D-8672BC5605DC}"/>
                </c:ext>
              </c:extLst>
            </c:dLbl>
            <c:dLbl>
              <c:idx val="3"/>
              <c:layout>
                <c:manualLayout>
                  <c:x val="-1.9471516706908469E-3"/>
                  <c:y val="8.1541458641879658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r>
                      <a:rPr lang="en-US"/>
                      <a:t>Contribución pendiente desde hace más de cuatro años:</a:t>
                    </a:r>
                    <a:r>
                      <a:rPr lang="en-US" baseline="0"/>
                      <a:t> </a:t>
                    </a:r>
                    <a:fld id="{580D4B12-59E4-4918-BB98-1397F9B06A21}" type="VALUE">
                      <a:rPr lang="en-US" baseline="0"/>
                      <a:pPr>
                        <a:defRPr>
                          <a:solidFill>
                            <a:schemeClr val="accent1"/>
                          </a:solidFill>
                        </a:defRPr>
                      </a:pPr>
                      <a:t>[VALUE]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37995201771653536"/>
                      <c:h val="0.26675638667151441"/>
                    </c:manualLayout>
                  </c15:layout>
                  <c15:dlblFieldTable/>
                  <c15:showDataLabelsRange val="0"/>
                </c:ext>
                <c:ext xmlns:c16="http://schemas.microsoft.com/office/drawing/2014/chart" uri="{C3380CC4-5D6E-409C-BE32-E72D297353CC}">
                  <c16:uniqueId val="{00000007-60FB-4205-855D-8672BC5605D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fr-FR"/>
              </a:p>
            </c:tx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'SC65'!$A$62:$A$65</c:f>
              <c:strCache>
                <c:ptCount val="4"/>
                <c:pt idx="0">
                  <c:v>No contribution outstanding</c:v>
                </c:pt>
                <c:pt idx="1">
                  <c:v>Contribution for 2024 outstanding</c:v>
                </c:pt>
                <c:pt idx="2">
                  <c:v>Contribution outstanding for up to four years</c:v>
                </c:pt>
                <c:pt idx="3">
                  <c:v>Contribution outstanding for more than four years</c:v>
                </c:pt>
              </c:strCache>
            </c:strRef>
          </c:cat>
          <c:val>
            <c:numRef>
              <c:f>'SC65'!$B$62:$B$65</c:f>
              <c:numCache>
                <c:formatCode>General</c:formatCode>
                <c:ptCount val="4"/>
                <c:pt idx="0">
                  <c:v>85</c:v>
                </c:pt>
                <c:pt idx="1">
                  <c:v>23</c:v>
                </c:pt>
                <c:pt idx="2">
                  <c:v>22</c:v>
                </c:pt>
                <c:pt idx="3">
                  <c:v>42</c:v>
                </c:pt>
              </c:numCache>
            </c:numRef>
          </c:val>
          <c:extLst>
            <c:ext xmlns:c16="http://schemas.microsoft.com/office/drawing/2014/chart" uri="{C3380CC4-5D6E-409C-BE32-E72D297353CC}">
              <c16:uniqueId val="{00000008-60FB-4205-855D-8672BC5605DC}"/>
            </c:ext>
          </c:extLst>
        </c:ser>
        <c:dLbls>
          <c:dLblPos val="outEnd"/>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'SC65'!$B$18</c:f>
              <c:strCache>
                <c:ptCount val="1"/>
                <c:pt idx="0">
                  <c:v>End 2023</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'SC65'!$A$19:$A$27</c:f>
              <c:strCache>
                <c:ptCount val="9"/>
                <c:pt idx="0">
                  <c:v>1</c:v>
                </c:pt>
                <c:pt idx="1">
                  <c:v>2</c:v>
                </c:pt>
                <c:pt idx="2">
                  <c:v>3</c:v>
                </c:pt>
                <c:pt idx="3">
                  <c:v>4</c:v>
                </c:pt>
                <c:pt idx="4">
                  <c:v>5</c:v>
                </c:pt>
                <c:pt idx="5">
                  <c:v>6</c:v>
                </c:pt>
                <c:pt idx="6">
                  <c:v>7</c:v>
                </c:pt>
                <c:pt idx="7">
                  <c:v>8</c:v>
                </c:pt>
                <c:pt idx="8">
                  <c:v>9+</c:v>
                </c:pt>
              </c:strCache>
            </c:strRef>
          </c:cat>
          <c:val>
            <c:numRef>
              <c:f>'SC65'!$B$19:$B$27</c:f>
              <c:numCache>
                <c:formatCode>0</c:formatCode>
                <c:ptCount val="9"/>
                <c:pt idx="0">
                  <c:v>336</c:v>
                </c:pt>
                <c:pt idx="1">
                  <c:v>265</c:v>
                </c:pt>
                <c:pt idx="2">
                  <c:v>186</c:v>
                </c:pt>
                <c:pt idx="3">
                  <c:v>128</c:v>
                </c:pt>
                <c:pt idx="4">
                  <c:v>119</c:v>
                </c:pt>
                <c:pt idx="5">
                  <c:v>86</c:v>
                </c:pt>
                <c:pt idx="6">
                  <c:v>82</c:v>
                </c:pt>
                <c:pt idx="7">
                  <c:v>75</c:v>
                </c:pt>
                <c:pt idx="8">
                  <c:v>358</c:v>
                </c:pt>
              </c:numCache>
            </c:numRef>
          </c:val>
          <c:extLst>
            <c:ext xmlns:c16="http://schemas.microsoft.com/office/drawing/2014/chart" uri="{C3380CC4-5D6E-409C-BE32-E72D297353CC}">
              <c16:uniqueId val="{00000000-B446-4C12-B5DA-824BC9A013B0}"/>
            </c:ext>
          </c:extLst>
        </c:ser>
        <c:ser>
          <c:idx val="1"/>
          <c:order val="1"/>
          <c:tx>
            <c:strRef>
              <c:f>'SC65'!$C$18</c:f>
              <c:strCache>
                <c:ptCount val="1"/>
                <c:pt idx="0">
                  <c:v>End 2024</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'SC65'!$A$19:$A$27</c:f>
              <c:strCache>
                <c:ptCount val="9"/>
                <c:pt idx="0">
                  <c:v>1</c:v>
                </c:pt>
                <c:pt idx="1">
                  <c:v>2</c:v>
                </c:pt>
                <c:pt idx="2">
                  <c:v>3</c:v>
                </c:pt>
                <c:pt idx="3">
                  <c:v>4</c:v>
                </c:pt>
                <c:pt idx="4">
                  <c:v>5</c:v>
                </c:pt>
                <c:pt idx="5">
                  <c:v>6</c:v>
                </c:pt>
                <c:pt idx="6">
                  <c:v>7</c:v>
                </c:pt>
                <c:pt idx="7">
                  <c:v>8</c:v>
                </c:pt>
                <c:pt idx="8">
                  <c:v>9+</c:v>
                </c:pt>
              </c:strCache>
            </c:strRef>
          </c:cat>
          <c:val>
            <c:numRef>
              <c:f>'SC65'!$C$19:$C$27</c:f>
              <c:numCache>
                <c:formatCode>0</c:formatCode>
                <c:ptCount val="9"/>
                <c:pt idx="0">
                  <c:v>472</c:v>
                </c:pt>
                <c:pt idx="1">
                  <c:v>283</c:v>
                </c:pt>
                <c:pt idx="2">
                  <c:v>227</c:v>
                </c:pt>
                <c:pt idx="3">
                  <c:v>126</c:v>
                </c:pt>
                <c:pt idx="4">
                  <c:v>114</c:v>
                </c:pt>
                <c:pt idx="5">
                  <c:v>95</c:v>
                </c:pt>
                <c:pt idx="6">
                  <c:v>83</c:v>
                </c:pt>
                <c:pt idx="7">
                  <c:v>79</c:v>
                </c:pt>
                <c:pt idx="8">
                  <c:v>417</c:v>
                </c:pt>
              </c:numCache>
            </c:numRef>
          </c:val>
          <c:extLst>
            <c:ext xmlns:c16="http://schemas.microsoft.com/office/drawing/2014/chart" uri="{C3380CC4-5D6E-409C-BE32-E72D297353CC}">
              <c16:uniqueId val="{00000001-B446-4C12-B5DA-824BC9A013B0}"/>
            </c:ext>
          </c:extLst>
        </c:ser>
        <c:dLbls>
          <c:dLblPos val="outEnd"/>
          <c:showLegendKey val="0"/>
          <c:showVal val="1"/>
          <c:showCatName val="0"/>
          <c:showSerName val="0"/>
          <c:showPercent val="0"/>
          <c:showBubbleSize val="0"/>
        </c:dLbls>
        <c:gapWidth val="219"/>
        <c:overlap val="-27"/>
        <c:axId val="1327033103"/>
        <c:axId val="1333370927"/>
      </c:barChart>
      <c:catAx>
        <c:axId val="132703310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Número de años adeudados</a:t>
                </a:r>
              </a:p>
            </c:rich>
          </c:tx>
          <c:layout>
            <c:manualLayout>
              <c:xMode val="edge"/>
              <c:yMode val="edge"/>
              <c:x val="0.41576145311381529"/>
              <c:y val="0.8460230353558746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33370927"/>
        <c:crosses val="autoZero"/>
        <c:auto val="1"/>
        <c:lblAlgn val="ctr"/>
        <c:lblOffset val="100"/>
        <c:noMultiLvlLbl val="0"/>
      </c:catAx>
      <c:valAx>
        <c:axId val="13333709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Contribuciones pendientes (en miles de francos suizos)</a:t>
                </a:r>
              </a:p>
            </c:rich>
          </c:tx>
          <c:layout>
            <c:manualLayout>
              <c:xMode val="edge"/>
              <c:yMode val="edge"/>
              <c:x val="9.4697557886141703E-3"/>
              <c:y val="9.0515873015873022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27033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C9D29-8CCC-4B4B-B43F-6B69563E04D6}">
  <ds:schemaRefs>
    <ds:schemaRef ds:uri="http://schemas.openxmlformats.org/officeDocument/2006/bibliography"/>
  </ds:schemaRefs>
</ds:datastoreItem>
</file>

<file path=customXml/itemProps2.xml><?xml version="1.0" encoding="utf-8"?>
<ds:datastoreItem xmlns:ds="http://schemas.openxmlformats.org/officeDocument/2006/customXml" ds:itemID="{2B790A58-AEAD-4B03-BE8C-9E71A5E45EFF}">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495315D7-C6B1-4422-8A2F-086078F663DA}">
  <ds:schemaRefs>
    <ds:schemaRef ds:uri="http://schemas.microsoft.com/sharepoint/v3/contenttype/forms"/>
  </ds:schemaRefs>
</ds:datastoreItem>
</file>

<file path=customXml/itemProps4.xml><?xml version="1.0" encoding="utf-8"?>
<ds:datastoreItem xmlns:ds="http://schemas.openxmlformats.org/officeDocument/2006/customXml" ds:itemID="{3CDA583D-6EE5-4D8D-92D8-CB01AA84E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Wetlands;"STANKOVIC Sladjana"</dc:creator>
  <cp:lastModifiedBy>JENNINGS Edmund</cp:lastModifiedBy>
  <cp:revision>4</cp:revision>
  <cp:lastPrinted>2025-01-15T15:47:00Z</cp:lastPrinted>
  <dcterms:created xsi:type="dcterms:W3CDTF">2025-03-26T14:45:00Z</dcterms:created>
  <dcterms:modified xsi:type="dcterms:W3CDTF">2025-04-16T08:04:00Z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