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DE92" w14:textId="2425D4FC" w:rsidR="00275F13" w:rsidRPr="00520DF0" w:rsidRDefault="00824762" w:rsidP="009417F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</w:rPr>
      </w:pPr>
      <w:r>
        <w:t>CONVENTION SUR LES ZONES HUMIDES</w:t>
      </w:r>
    </w:p>
    <w:p w14:paraId="46F54754" w14:textId="593CFA69" w:rsidR="00DF2386" w:rsidRPr="00520DF0" w:rsidRDefault="00791423" w:rsidP="009417F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</w:rPr>
      </w:pPr>
      <w:r>
        <w:t>65</w:t>
      </w:r>
      <w:r>
        <w:rPr>
          <w:vertAlign w:val="superscript"/>
        </w:rPr>
        <w:t>e</w:t>
      </w:r>
      <w:r>
        <w:t> réunion du Comité permanent</w:t>
      </w:r>
    </w:p>
    <w:p w14:paraId="4ABE3583" w14:textId="0ECA77CD" w:rsidR="00DF2386" w:rsidRPr="00520DF0" w:rsidRDefault="00791423" w:rsidP="009417F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4490"/>
        <w:rPr>
          <w:bCs/>
          <w:sz w:val="24"/>
          <w:szCs w:val="24"/>
        </w:rPr>
      </w:pPr>
      <w:r>
        <w:t xml:space="preserve">Victoria Falls, Zimbabwe, 23 juillet 2025 </w:t>
      </w:r>
    </w:p>
    <w:p w14:paraId="7E17ADD0" w14:textId="0304D779" w:rsidR="00DF2386" w:rsidRPr="00520DF0" w:rsidRDefault="00DF2386" w:rsidP="00014168">
      <w:pPr>
        <w:outlineLvl w:val="0"/>
        <w:rPr>
          <w:b/>
        </w:rPr>
      </w:pPr>
    </w:p>
    <w:p w14:paraId="6D7412D9" w14:textId="21FD463A" w:rsidR="00DF2386" w:rsidRPr="00520DF0" w:rsidRDefault="00791423" w:rsidP="00014168">
      <w:pPr>
        <w:jc w:val="right"/>
        <w:rPr>
          <w:rFonts w:cs="Arial"/>
          <w:sz w:val="28"/>
          <w:szCs w:val="28"/>
        </w:rPr>
      </w:pPr>
      <w:r>
        <w:rPr>
          <w:b/>
          <w:sz w:val="28"/>
        </w:rPr>
        <w:t xml:space="preserve">SC65 Doc.8.2 </w:t>
      </w:r>
    </w:p>
    <w:p w14:paraId="19040CA4" w14:textId="77777777" w:rsidR="00DF2386" w:rsidRPr="00520DF0" w:rsidRDefault="00DF2386" w:rsidP="00014168">
      <w:pPr>
        <w:rPr>
          <w:rFonts w:cs="Arial"/>
          <w:b/>
          <w:sz w:val="28"/>
          <w:szCs w:val="28"/>
        </w:rPr>
      </w:pPr>
    </w:p>
    <w:p w14:paraId="6F8E9CD8" w14:textId="551669EA" w:rsidR="007804BE" w:rsidRPr="00520DF0" w:rsidRDefault="007804BE" w:rsidP="0016536F">
      <w:pPr>
        <w:ind w:left="0" w:firstLine="0"/>
        <w:jc w:val="center"/>
        <w:rPr>
          <w:rFonts w:cs="Arial"/>
          <w:b/>
          <w:sz w:val="28"/>
          <w:szCs w:val="28"/>
        </w:rPr>
      </w:pPr>
      <w:r>
        <w:rPr>
          <w:b/>
          <w:sz w:val="28"/>
        </w:rPr>
        <w:t>Questions financières et budgétaires :</w:t>
      </w:r>
    </w:p>
    <w:p w14:paraId="150AA350" w14:textId="4256F8BC" w:rsidR="00DF2386" w:rsidRPr="00520DF0" w:rsidRDefault="00FA7847" w:rsidP="0016536F">
      <w:pPr>
        <w:ind w:left="0" w:firstLine="0"/>
        <w:jc w:val="center"/>
        <w:rPr>
          <w:rFonts w:cs="Arial"/>
          <w:b/>
          <w:sz w:val="28"/>
          <w:szCs w:val="28"/>
        </w:rPr>
      </w:pPr>
      <w:r>
        <w:rPr>
          <w:b/>
          <w:sz w:val="28"/>
        </w:rPr>
        <w:t>m</w:t>
      </w:r>
      <w:r w:rsidR="005E1822">
        <w:rPr>
          <w:b/>
          <w:sz w:val="28"/>
        </w:rPr>
        <w:t>ise à jour sur les contributions annuelles pour 2024</w:t>
      </w:r>
    </w:p>
    <w:p w14:paraId="5427F22D" w14:textId="77777777" w:rsidR="00DF2386" w:rsidRPr="00520DF0" w:rsidRDefault="00DF2386" w:rsidP="00014168">
      <w:pPr>
        <w:rPr>
          <w:rFonts w:ascii="Garamond" w:hAnsi="Garamond" w:cs="Arial"/>
        </w:rPr>
      </w:pPr>
    </w:p>
    <w:p w14:paraId="1B829871" w14:textId="77777777" w:rsidR="000C2489" w:rsidRPr="00520DF0" w:rsidRDefault="000C2489" w:rsidP="00014168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92CD903" wp14:editId="1CD4AC34">
                <wp:extent cx="5840083" cy="1531089"/>
                <wp:effectExtent l="0" t="0" r="27940" b="1206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83" cy="1531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3836" w14:textId="79C45034" w:rsidR="005B4DF7" w:rsidRDefault="005B4DF7" w:rsidP="000C248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Mesures requises : </w:t>
                            </w:r>
                          </w:p>
                          <w:p w14:paraId="10582C63" w14:textId="77777777" w:rsidR="005B4DF7" w:rsidRDefault="005B4DF7" w:rsidP="000C2489">
                            <w:pPr>
                              <w:pStyle w:val="ColorfulList-Accent11"/>
                              <w:ind w:left="0"/>
                            </w:pPr>
                          </w:p>
                          <w:p w14:paraId="21AB915B" w14:textId="2C166CA4" w:rsidR="005B4DF7" w:rsidRDefault="005B4DF7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</w:rPr>
                            </w:pPr>
                            <w:r>
                              <w:t>Le Comité permanent est invité à noter :</w:t>
                            </w:r>
                          </w:p>
                          <w:p w14:paraId="73529BDA" w14:textId="77777777" w:rsidR="005B4DF7" w:rsidRDefault="005B4DF7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</w:rPr>
                            </w:pPr>
                          </w:p>
                          <w:p w14:paraId="3720E525" w14:textId="63C75C54" w:rsidR="005B4DF7" w:rsidRPr="00CD1946" w:rsidRDefault="005B4DF7" w:rsidP="000E047B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</w:rPr>
                            </w:pPr>
                            <w:r>
                              <w:t>i.</w:t>
                            </w:r>
                            <w:r>
                              <w:tab/>
                              <w:t xml:space="preserve">les changements dans les provisions </w:t>
                            </w:r>
                            <w:r w:rsidRPr="008B3F19">
                              <w:t>annuelles pour les contributions non reçues au</w:t>
                            </w:r>
                            <w:r>
                              <w:t xml:space="preserve"> 31 décembre 2024 ; et </w:t>
                            </w:r>
                          </w:p>
                          <w:p w14:paraId="315D6335" w14:textId="31AD2AD3" w:rsidR="005B4DF7" w:rsidRPr="00CD1946" w:rsidRDefault="005B4DF7" w:rsidP="000E047B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</w:rPr>
                            </w:pPr>
                          </w:p>
                          <w:p w14:paraId="5A7708BE" w14:textId="227DE17D" w:rsidR="005B4DF7" w:rsidRDefault="00E1484F" w:rsidP="00B17F54">
                            <w:pPr>
                              <w:pStyle w:val="ColorfulList-Accent11"/>
                              <w:ind w:left="425"/>
                              <w:rPr>
                                <w:rFonts w:cs="Calibri"/>
                              </w:rPr>
                            </w:pPr>
                            <w:r>
                              <w:t>ii.</w:t>
                            </w:r>
                            <w:r>
                              <w:tab/>
                              <w:t>le solde actualisé des contributions volontaires africaines au 31 janvier 2025.</w:t>
                            </w:r>
                          </w:p>
                          <w:p w14:paraId="239738D7" w14:textId="77777777" w:rsidR="005B4DF7" w:rsidRDefault="005B4DF7" w:rsidP="0021123F">
                            <w:pPr>
                              <w:pStyle w:val="ColorfulList-Accent11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2CD9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9.85pt;height:1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">
                <v:textbox>
                  <w:txbxContent>
                    <w:p w14:paraId="346B3836" w14:textId="79C45034" w:rsidR="005B4DF7" w:rsidRDefault="005B4DF7" w:rsidP="000C248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Mesures requises : </w:t>
                      </w:r>
                    </w:p>
                    <w:p w14:paraId="10582C63" w14:textId="77777777" w:rsidR="005B4DF7" w:rsidRDefault="005B4DF7" w:rsidP="000C2489">
                      <w:pPr>
                        <w:pStyle w:val="ColorfulList-Accent11"/>
                        <w:ind w:left="0"/>
                      </w:pPr>
                    </w:p>
                    <w:p w14:paraId="21AB915B" w14:textId="2C166CA4" w:rsidR="005B4DF7" w:rsidRDefault="005B4DF7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</w:rPr>
                      </w:pPr>
                      <w:r>
                        <w:t>Le Comité permanent est invité à noter :</w:t>
                      </w:r>
                    </w:p>
                    <w:p w14:paraId="73529BDA" w14:textId="77777777" w:rsidR="005B4DF7" w:rsidRDefault="005B4DF7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</w:rPr>
                      </w:pPr>
                    </w:p>
                    <w:p w14:paraId="3720E525" w14:textId="63C75C54" w:rsidR="005B4DF7" w:rsidRPr="00CD1946" w:rsidRDefault="005B4DF7" w:rsidP="000E047B">
                      <w:pPr>
                        <w:pStyle w:val="ColorfulList-Accent11"/>
                        <w:ind w:left="425"/>
                        <w:rPr>
                          <w:rFonts w:cs="Calibri"/>
                        </w:rPr>
                      </w:pPr>
                      <w:r>
                        <w:t>i.</w:t>
                      </w:r>
                      <w:r>
                        <w:tab/>
                        <w:t xml:space="preserve">les changements dans les provisions </w:t>
                      </w:r>
                      <w:r w:rsidRPr="008B3F19">
                        <w:t>annuelles pour les contributions non reçues au</w:t>
                      </w:r>
                      <w:r>
                        <w:t xml:space="preserve"> 31 décembre 2024 ; et </w:t>
                      </w:r>
                    </w:p>
                    <w:p w14:paraId="315D6335" w14:textId="31AD2AD3" w:rsidR="005B4DF7" w:rsidRPr="00CD1946" w:rsidRDefault="005B4DF7" w:rsidP="000E047B">
                      <w:pPr>
                        <w:pStyle w:val="ColorfulList-Accent11"/>
                        <w:ind w:left="425"/>
                        <w:rPr>
                          <w:rFonts w:cs="Calibri"/>
                        </w:rPr>
                      </w:pPr>
                    </w:p>
                    <w:p w14:paraId="5A7708BE" w14:textId="227DE17D" w:rsidR="005B4DF7" w:rsidRDefault="00E1484F" w:rsidP="00B17F54">
                      <w:pPr>
                        <w:pStyle w:val="ColorfulList-Accent11"/>
                        <w:ind w:left="425"/>
                        <w:rPr>
                          <w:rFonts w:cs="Calibri"/>
                        </w:rPr>
                      </w:pPr>
                      <w:r>
                        <w:t>ii.</w:t>
                      </w:r>
                      <w:r>
                        <w:tab/>
                        <w:t>le solde actualisé des contributions volontaires africaines au 31 janvier 2025.</w:t>
                      </w:r>
                    </w:p>
                    <w:p w14:paraId="239738D7" w14:textId="77777777" w:rsidR="005B4DF7" w:rsidRDefault="005B4DF7" w:rsidP="0021123F">
                      <w:pPr>
                        <w:pStyle w:val="ColorfulList-Accent11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1EF6B2" w14:textId="77777777" w:rsidR="009E0AE8" w:rsidRPr="00520DF0" w:rsidRDefault="009E0AE8" w:rsidP="00014168">
      <w:pPr>
        <w:rPr>
          <w:rFonts w:cs="Arial"/>
          <w:b/>
        </w:rPr>
      </w:pPr>
    </w:p>
    <w:p w14:paraId="571B824B" w14:textId="77777777" w:rsidR="009E4DFA" w:rsidRPr="00520DF0" w:rsidRDefault="009E4DFA" w:rsidP="00014168">
      <w:pPr>
        <w:rPr>
          <w:rFonts w:cs="Arial"/>
          <w:b/>
        </w:rPr>
      </w:pPr>
    </w:p>
    <w:p w14:paraId="368852E9" w14:textId="11A3E1D6" w:rsidR="000C2489" w:rsidRPr="00520DF0" w:rsidRDefault="00D1615B" w:rsidP="00014168">
      <w:pPr>
        <w:rPr>
          <w:rFonts w:cs="Arial"/>
          <w:b/>
        </w:rPr>
      </w:pPr>
      <w:r>
        <w:rPr>
          <w:b/>
        </w:rPr>
        <w:t>Contexte</w:t>
      </w:r>
    </w:p>
    <w:p w14:paraId="6697EA2C" w14:textId="77777777" w:rsidR="009C7169" w:rsidRDefault="009C7169" w:rsidP="00791423">
      <w:pPr>
        <w:rPr>
          <w:rFonts w:cs="Arial"/>
        </w:rPr>
      </w:pPr>
    </w:p>
    <w:p w14:paraId="0B4114F8" w14:textId="1FBD00F8" w:rsidR="009C7169" w:rsidRDefault="00A262EA" w:rsidP="00791423">
      <w:pPr>
        <w:rPr>
          <w:rFonts w:cs="Arial"/>
        </w:rPr>
      </w:pPr>
      <w:r>
        <w:t>1.</w:t>
      </w:r>
      <w:r>
        <w:tab/>
        <w:t>Lors de la 64</w:t>
      </w:r>
      <w:r>
        <w:rPr>
          <w:vertAlign w:val="superscript"/>
        </w:rPr>
        <w:t>e</w:t>
      </w:r>
      <w:r>
        <w:t> réunion du Comité permanent, le Secrétariat a rendu compte au Comité de l</w:t>
      </w:r>
      <w:r w:rsidR="00D1367F">
        <w:t>’</w:t>
      </w:r>
      <w:r>
        <w:t>état des contributions annuelles au 31 décembre 2024 et des mesures prévues, en 2025, pour continuer à encourager le paiement des contributions annuelles, tel que décrit dans le document SC64 Doc.9.2 Rev.1</w:t>
      </w:r>
      <w:r w:rsidR="00B13260">
        <w:rPr>
          <w:rStyle w:val="FootnoteReference"/>
          <w:rFonts w:cs="Arial"/>
        </w:rPr>
        <w:footnoteReference w:id="2"/>
      </w:r>
      <w:r>
        <w:t>. Dans l</w:t>
      </w:r>
      <w:r w:rsidR="00D1367F">
        <w:t>’</w:t>
      </w:r>
      <w:r>
        <w:t>annexe 1 de ce document, un tableau reprend l</w:t>
      </w:r>
      <w:r w:rsidR="00D1367F">
        <w:t>’</w:t>
      </w:r>
      <w:r>
        <w:t>état des contributions annuelles au 31 décembre 2024 pour chaque Partie contractante.</w:t>
      </w:r>
    </w:p>
    <w:p w14:paraId="56FB0D26" w14:textId="77777777" w:rsidR="009C7169" w:rsidRDefault="009C7169" w:rsidP="00791423">
      <w:pPr>
        <w:rPr>
          <w:rFonts w:cs="Arial"/>
        </w:rPr>
      </w:pPr>
    </w:p>
    <w:p w14:paraId="0C00AA2D" w14:textId="0EBAD2FC" w:rsidR="00AF6002" w:rsidRDefault="00A262EA" w:rsidP="00791423">
      <w:pPr>
        <w:rPr>
          <w:rFonts w:cs="Arial"/>
        </w:rPr>
      </w:pPr>
      <w:r>
        <w:t>2.</w:t>
      </w:r>
      <w:r>
        <w:tab/>
        <w:t>Dans la Décision SC64-40, alinéas i), ii) et iii)</w:t>
      </w:r>
      <w:r w:rsidR="00894D44">
        <w:rPr>
          <w:rStyle w:val="FootnoteReference"/>
          <w:rFonts w:cs="Arial"/>
        </w:rPr>
        <w:footnoteReference w:id="3"/>
      </w:r>
      <w:r>
        <w:t>, le Comité permanent note l</w:t>
      </w:r>
      <w:r w:rsidR="00D1367F">
        <w:t>’</w:t>
      </w:r>
      <w:r>
        <w:t>état des contributions annuelles à la fin de 2024 et en prend acte dans le cadre du processus d</w:t>
      </w:r>
      <w:r w:rsidR="00D1367F">
        <w:t>’</w:t>
      </w:r>
      <w:r>
        <w:t>audit ; il prend également note des mesures prévues en vue d</w:t>
      </w:r>
      <w:r w:rsidR="00D1367F">
        <w:t>’</w:t>
      </w:r>
      <w:r>
        <w:t>encourager les Parties contractantes à verser leurs contributions annuelles.</w:t>
      </w:r>
    </w:p>
    <w:p w14:paraId="105DBCA4" w14:textId="77777777" w:rsidR="009E4DFA" w:rsidRPr="00520DF0" w:rsidRDefault="009E4DFA" w:rsidP="00E1484F">
      <w:pPr>
        <w:rPr>
          <w:rFonts w:cs="Arial"/>
          <w:b/>
        </w:rPr>
      </w:pPr>
    </w:p>
    <w:p w14:paraId="7E8E1A17" w14:textId="421A9CA2" w:rsidR="00D1615B" w:rsidRDefault="00D1615B" w:rsidP="0089531A">
      <w:pPr>
        <w:keepNext/>
        <w:rPr>
          <w:rFonts w:cs="Arial"/>
          <w:b/>
        </w:rPr>
      </w:pPr>
      <w:r>
        <w:rPr>
          <w:b/>
        </w:rPr>
        <w:t>État des contributions annuelles et provision pour non-recouvrement</w:t>
      </w:r>
    </w:p>
    <w:p w14:paraId="32C1C199" w14:textId="77777777" w:rsidR="001B46E8" w:rsidRDefault="001B46E8" w:rsidP="0089531A">
      <w:pPr>
        <w:keepNext/>
        <w:rPr>
          <w:rFonts w:cs="Arial"/>
          <w:b/>
        </w:rPr>
      </w:pPr>
    </w:p>
    <w:p w14:paraId="4C089A29" w14:textId="7908CDEA" w:rsidR="001B46E8" w:rsidRPr="00520DF0" w:rsidRDefault="00D9682F" w:rsidP="001B46E8">
      <w:pPr>
        <w:rPr>
          <w:rFonts w:cs="Arial"/>
        </w:rPr>
      </w:pPr>
      <w:r>
        <w:t>3.</w:t>
      </w:r>
      <w:r>
        <w:tab/>
        <w:t>Au 31 décembre 2024, 108 Parties contractantes avaient versé toutes leurs contributions jusqu</w:t>
      </w:r>
      <w:r w:rsidR="00D1367F">
        <w:t>’</w:t>
      </w:r>
      <w:r>
        <w:t>en 2023 inclus (contre 106 Parties qui à la fin de 2023 avaient versé leurs contributions jusqu</w:t>
      </w:r>
      <w:r w:rsidR="00D1367F">
        <w:t>’</w:t>
      </w:r>
      <w:r>
        <w:t xml:space="preserve">en 2022 inclus). Sur ces 108 Parties, 85 avaient également versé la totalité de leurs contributions pour 2024 (contre 89 Parties en 2023). Tous ces points sont résumés dans la figure 1 ci-dessous. Le Secrétariat note avec satisfaction le versement prompt et régulier de ces Parties contractantes. En outre, en 2024, 10 Parties avaient déjà versé 487 000 CHF correspondant à leurs contributions de 2025. </w:t>
      </w:r>
    </w:p>
    <w:p w14:paraId="61C5B078" w14:textId="77777777" w:rsidR="001B46E8" w:rsidRDefault="001B46E8" w:rsidP="0089531A">
      <w:pPr>
        <w:keepNext/>
        <w:rPr>
          <w:rFonts w:cs="Arial"/>
          <w:b/>
        </w:rPr>
      </w:pPr>
    </w:p>
    <w:p w14:paraId="2F29CCEF" w14:textId="14F4B22A" w:rsidR="001B46E8" w:rsidRPr="00E90249" w:rsidRDefault="001B46E8" w:rsidP="00E80DB0">
      <w:pPr>
        <w:keepNext/>
        <w:ind w:left="0" w:firstLine="0"/>
        <w:rPr>
          <w:rFonts w:cs="Arial"/>
          <w:i/>
        </w:rPr>
      </w:pPr>
      <w:r>
        <w:rPr>
          <w:i/>
        </w:rPr>
        <w:t>Figure 1 : Nombre de Parties contractantes, selon l</w:t>
      </w:r>
      <w:r w:rsidR="00D1367F">
        <w:rPr>
          <w:i/>
        </w:rPr>
        <w:t>’</w:t>
      </w:r>
      <w:r>
        <w:rPr>
          <w:i/>
        </w:rPr>
        <w:t>état de leurs arriérés de contributions, à la fin de 2024</w:t>
      </w:r>
    </w:p>
    <w:p w14:paraId="4D3DD0C4" w14:textId="1BF3D026" w:rsidR="001B46E8" w:rsidRPr="003701F3" w:rsidRDefault="00787E09" w:rsidP="001B46E8">
      <w:pPr>
        <w:rPr>
          <w:rFonts w:cs="Arial"/>
        </w:rPr>
      </w:pPr>
      <w:r>
        <w:rPr>
          <w:noProof/>
        </w:rPr>
        <w:drawing>
          <wp:inline distT="0" distB="0" distL="0" distR="0" wp14:anchorId="36943117" wp14:editId="594D75F6">
            <wp:extent cx="5852160" cy="2764301"/>
            <wp:effectExtent l="0" t="0" r="15240" b="17145"/>
            <wp:docPr id="201843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6E9FAA9-4585-45FD-928A-5CF2A1B85F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9F7C29" w14:textId="77777777" w:rsidR="00A82C82" w:rsidRDefault="00A82C82" w:rsidP="001B46E8">
      <w:pPr>
        <w:rPr>
          <w:rFonts w:cs="Arial"/>
        </w:rPr>
      </w:pPr>
    </w:p>
    <w:p w14:paraId="011B1AF1" w14:textId="77777777" w:rsidR="00A82C82" w:rsidRDefault="00A82C82" w:rsidP="001B46E8">
      <w:pPr>
        <w:rPr>
          <w:rFonts w:cs="Arial"/>
        </w:rPr>
      </w:pPr>
    </w:p>
    <w:p w14:paraId="577EC119" w14:textId="2E948BB8" w:rsidR="001B46E8" w:rsidRDefault="00D9682F" w:rsidP="001B46E8">
      <w:pPr>
        <w:rPr>
          <w:rFonts w:cs="Arial"/>
        </w:rPr>
      </w:pPr>
      <w:r>
        <w:t>4.</w:t>
      </w:r>
      <w:r>
        <w:tab/>
        <w:t>Le tableau 1 ci-dessous présente un état comparatif du solde de contributions dues au 31 décembre 2023 et au 31 décembre 2024. Il montre aussi l</w:t>
      </w:r>
      <w:r w:rsidR="00D1367F">
        <w:t>’</w:t>
      </w:r>
      <w:r>
        <w:t xml:space="preserve">augmentation globale (262 000 CHF) du solde de contributions dues. </w:t>
      </w:r>
    </w:p>
    <w:p w14:paraId="34C2CA61" w14:textId="77777777" w:rsidR="001B46E8" w:rsidRDefault="001B46E8" w:rsidP="001B46E8">
      <w:pPr>
        <w:rPr>
          <w:rFonts w:cs="Arial"/>
        </w:rPr>
      </w:pPr>
    </w:p>
    <w:p w14:paraId="2FDAAD1A" w14:textId="666A006E" w:rsidR="001B46E8" w:rsidRPr="0038249A" w:rsidRDefault="001B46E8" w:rsidP="001B46E8">
      <w:pPr>
        <w:keepNext/>
        <w:ind w:left="0" w:firstLine="0"/>
        <w:rPr>
          <w:rFonts w:cs="Arial"/>
        </w:rPr>
      </w:pPr>
      <w:r>
        <w:rPr>
          <w:i/>
        </w:rPr>
        <w:t>Tableau 1 : Solde de contributions dues, 31 décembre 2023 par rapport au 31 décembre 2024 (en milliers de CHF, y compris les éventuels écarts d</w:t>
      </w:r>
      <w:r w:rsidR="00D1367F">
        <w:rPr>
          <w:i/>
        </w:rPr>
        <w:t>’</w:t>
      </w:r>
      <w:r>
        <w:rPr>
          <w:i/>
        </w:rPr>
        <w:t>arrondis)</w:t>
      </w:r>
    </w:p>
    <w:tbl>
      <w:tblPr>
        <w:tblW w:w="9293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2299"/>
        <w:gridCol w:w="2299"/>
        <w:gridCol w:w="2299"/>
      </w:tblGrid>
      <w:tr w:rsidR="001B46E8" w:rsidRPr="00186378" w14:paraId="49A9F76D" w14:textId="77777777" w:rsidTr="00397883">
        <w:trPr>
          <w:trHeight w:val="829"/>
        </w:trPr>
        <w:tc>
          <w:tcPr>
            <w:tcW w:w="2396" w:type="dxa"/>
            <w:shd w:val="clear" w:color="auto" w:fill="C6D9F1" w:themeFill="text2" w:themeFillTint="33"/>
            <w:noWrap/>
            <w:vAlign w:val="center"/>
            <w:hideMark/>
          </w:tcPr>
          <w:p w14:paraId="732F8B52" w14:textId="77777777" w:rsidR="001B46E8" w:rsidRPr="00186378" w:rsidRDefault="001B46E8" w:rsidP="00397883">
            <w:pPr>
              <w:keepNext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Année due </w:t>
            </w:r>
          </w:p>
        </w:tc>
        <w:tc>
          <w:tcPr>
            <w:tcW w:w="2299" w:type="dxa"/>
            <w:shd w:val="clear" w:color="auto" w:fill="C6D9F1" w:themeFill="text2" w:themeFillTint="33"/>
          </w:tcPr>
          <w:p w14:paraId="0200B092" w14:textId="77777777" w:rsidR="001B46E8" w:rsidRDefault="001B46E8" w:rsidP="00397883">
            <w:pPr>
              <w:keepNext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Soldes des contributions dues (milliers de CHF)</w:t>
            </w:r>
            <w:r>
              <w:rPr>
                <w:b/>
              </w:rPr>
              <w:br/>
              <w:t>31/12/2023</w:t>
            </w:r>
          </w:p>
        </w:tc>
        <w:tc>
          <w:tcPr>
            <w:tcW w:w="2299" w:type="dxa"/>
            <w:shd w:val="clear" w:color="auto" w:fill="C6D9F1" w:themeFill="text2" w:themeFillTint="33"/>
            <w:vAlign w:val="bottom"/>
            <w:hideMark/>
          </w:tcPr>
          <w:p w14:paraId="6F82742E" w14:textId="77777777" w:rsidR="001B46E8" w:rsidRPr="00186378" w:rsidRDefault="001B46E8" w:rsidP="00397883">
            <w:pPr>
              <w:keepNext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Soldes des contributions dues (milliers de CHF)</w:t>
            </w:r>
            <w:r>
              <w:rPr>
                <w:b/>
              </w:rPr>
              <w:br/>
              <w:t>31/12/2024</w:t>
            </w:r>
          </w:p>
        </w:tc>
        <w:tc>
          <w:tcPr>
            <w:tcW w:w="2299" w:type="dxa"/>
            <w:shd w:val="clear" w:color="auto" w:fill="C6D9F1" w:themeFill="text2" w:themeFillTint="33"/>
            <w:vAlign w:val="center"/>
            <w:hideMark/>
          </w:tcPr>
          <w:p w14:paraId="7AAFE9D1" w14:textId="77777777" w:rsidR="001B46E8" w:rsidRPr="00186378" w:rsidRDefault="001B46E8" w:rsidP="00397883">
            <w:pPr>
              <w:keepNext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Différence (milliers de CHF)</w:t>
            </w:r>
            <w:r>
              <w:rPr>
                <w:b/>
              </w:rPr>
              <w:br/>
              <w:t xml:space="preserve">(2023-2024) </w:t>
            </w:r>
          </w:p>
        </w:tc>
      </w:tr>
      <w:tr w:rsidR="001B46E8" w:rsidRPr="00186378" w14:paraId="62D9DD8C" w14:textId="77777777" w:rsidTr="00397883">
        <w:tc>
          <w:tcPr>
            <w:tcW w:w="2396" w:type="dxa"/>
            <w:shd w:val="clear" w:color="auto" w:fill="auto"/>
            <w:noWrap/>
            <w:hideMark/>
          </w:tcPr>
          <w:p w14:paraId="1885FE38" w14:textId="77777777" w:rsidR="001B46E8" w:rsidRPr="00186378" w:rsidRDefault="001B46E8" w:rsidP="00397883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>
              <w:t>2015 ou avant</w:t>
            </w:r>
          </w:p>
        </w:tc>
        <w:tc>
          <w:tcPr>
            <w:tcW w:w="2299" w:type="dxa"/>
            <w:vAlign w:val="center"/>
          </w:tcPr>
          <w:p w14:paraId="67767A37" w14:textId="77777777" w:rsidR="001B46E8" w:rsidRDefault="001B46E8" w:rsidP="00397883">
            <w:pPr>
              <w:keepNext/>
              <w:ind w:left="0" w:firstLine="0"/>
              <w:jc w:val="right"/>
            </w:pPr>
            <w:r>
              <w:rPr>
                <w:color w:val="000000"/>
              </w:rPr>
              <w:t>358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473B81F2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t>345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50F50551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color w:val="000000"/>
              </w:rPr>
              <w:t>-13</w:t>
            </w:r>
          </w:p>
        </w:tc>
      </w:tr>
      <w:tr w:rsidR="001B46E8" w:rsidRPr="00186378" w14:paraId="7C2F2ADE" w14:textId="77777777" w:rsidTr="00397883">
        <w:tc>
          <w:tcPr>
            <w:tcW w:w="2396" w:type="dxa"/>
            <w:shd w:val="clear" w:color="auto" w:fill="auto"/>
            <w:noWrap/>
            <w:hideMark/>
          </w:tcPr>
          <w:p w14:paraId="5B153DFE" w14:textId="77777777" w:rsidR="001B46E8" w:rsidRPr="00186378" w:rsidRDefault="001B46E8" w:rsidP="00397883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>
              <w:t>2016</w:t>
            </w:r>
          </w:p>
        </w:tc>
        <w:tc>
          <w:tcPr>
            <w:tcW w:w="2299" w:type="dxa"/>
            <w:vAlign w:val="center"/>
          </w:tcPr>
          <w:p w14:paraId="58F815F5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299" w:type="dxa"/>
            <w:shd w:val="clear" w:color="auto" w:fill="auto"/>
            <w:noWrap/>
          </w:tcPr>
          <w:p w14:paraId="406F4C4B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t>72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08CEAF7E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color w:val="000000"/>
              </w:rPr>
              <w:t>-3</w:t>
            </w:r>
          </w:p>
        </w:tc>
      </w:tr>
      <w:tr w:rsidR="001B46E8" w:rsidRPr="00186378" w14:paraId="7B5AC52F" w14:textId="77777777" w:rsidTr="00397883">
        <w:tc>
          <w:tcPr>
            <w:tcW w:w="2396" w:type="dxa"/>
            <w:shd w:val="clear" w:color="auto" w:fill="auto"/>
            <w:noWrap/>
            <w:hideMark/>
          </w:tcPr>
          <w:p w14:paraId="388C8C65" w14:textId="77777777" w:rsidR="001B46E8" w:rsidRPr="00186378" w:rsidRDefault="001B46E8" w:rsidP="00397883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>
              <w:t>2017</w:t>
            </w:r>
          </w:p>
        </w:tc>
        <w:tc>
          <w:tcPr>
            <w:tcW w:w="2299" w:type="dxa"/>
            <w:vAlign w:val="center"/>
          </w:tcPr>
          <w:p w14:paraId="02F2E160" w14:textId="77777777" w:rsidR="001B46E8" w:rsidRDefault="001B46E8" w:rsidP="00397883">
            <w:pPr>
              <w:keepNext/>
              <w:ind w:left="0" w:firstLine="0"/>
              <w:jc w:val="right"/>
            </w:pPr>
            <w:r>
              <w:rPr>
                <w:color w:val="000000"/>
              </w:rPr>
              <w:t>82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3ABCDBD1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t>79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7A49C6C1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color w:val="000000"/>
              </w:rPr>
              <w:t>-3</w:t>
            </w:r>
          </w:p>
        </w:tc>
      </w:tr>
      <w:tr w:rsidR="001B46E8" w:rsidRPr="00186378" w14:paraId="062101F4" w14:textId="77777777" w:rsidTr="00397883">
        <w:tc>
          <w:tcPr>
            <w:tcW w:w="2396" w:type="dxa"/>
            <w:shd w:val="clear" w:color="auto" w:fill="auto"/>
            <w:noWrap/>
            <w:hideMark/>
          </w:tcPr>
          <w:p w14:paraId="644B8BA4" w14:textId="77777777" w:rsidR="001B46E8" w:rsidRPr="00186378" w:rsidRDefault="001B46E8" w:rsidP="00397883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>
              <w:t>2018</w:t>
            </w:r>
          </w:p>
        </w:tc>
        <w:tc>
          <w:tcPr>
            <w:tcW w:w="2299" w:type="dxa"/>
            <w:vAlign w:val="center"/>
          </w:tcPr>
          <w:p w14:paraId="4138FE40" w14:textId="77777777" w:rsidR="001B46E8" w:rsidRDefault="001B46E8" w:rsidP="00397883">
            <w:pPr>
              <w:keepNext/>
              <w:ind w:left="0" w:firstLine="0"/>
              <w:jc w:val="right"/>
            </w:pPr>
            <w:r>
              <w:rPr>
                <w:color w:val="000000"/>
              </w:rPr>
              <w:t>86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427EB7C3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t>83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125C9DDE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color w:val="000000"/>
              </w:rPr>
              <w:t>-3</w:t>
            </w:r>
          </w:p>
        </w:tc>
      </w:tr>
      <w:tr w:rsidR="001B46E8" w:rsidRPr="00186378" w14:paraId="46E25F9A" w14:textId="77777777" w:rsidTr="00397883">
        <w:tc>
          <w:tcPr>
            <w:tcW w:w="2396" w:type="dxa"/>
            <w:shd w:val="clear" w:color="auto" w:fill="auto"/>
            <w:noWrap/>
            <w:hideMark/>
          </w:tcPr>
          <w:p w14:paraId="3B5498E0" w14:textId="77777777" w:rsidR="001B46E8" w:rsidRPr="00186378" w:rsidRDefault="001B46E8" w:rsidP="00397883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>
              <w:t>2019</w:t>
            </w:r>
          </w:p>
        </w:tc>
        <w:tc>
          <w:tcPr>
            <w:tcW w:w="2299" w:type="dxa"/>
            <w:vAlign w:val="center"/>
          </w:tcPr>
          <w:p w14:paraId="37799BCC" w14:textId="77777777" w:rsidR="001B46E8" w:rsidRDefault="001B46E8" w:rsidP="00397883">
            <w:pPr>
              <w:keepNext/>
              <w:ind w:left="0" w:firstLine="0"/>
              <w:jc w:val="right"/>
            </w:pPr>
            <w:r>
              <w:rPr>
                <w:color w:val="000000"/>
              </w:rPr>
              <w:t>119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4F5AB374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t>95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65A35AE1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</w:tr>
      <w:tr w:rsidR="001B46E8" w:rsidRPr="00186378" w14:paraId="5CBC3DDD" w14:textId="77777777" w:rsidTr="00397883">
        <w:tc>
          <w:tcPr>
            <w:tcW w:w="2396" w:type="dxa"/>
            <w:shd w:val="clear" w:color="auto" w:fill="auto"/>
            <w:noWrap/>
            <w:hideMark/>
          </w:tcPr>
          <w:p w14:paraId="757A6611" w14:textId="77777777" w:rsidR="001B46E8" w:rsidRPr="00186378" w:rsidRDefault="001B46E8" w:rsidP="00397883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>
              <w:t>2020</w:t>
            </w:r>
          </w:p>
        </w:tc>
        <w:tc>
          <w:tcPr>
            <w:tcW w:w="2299" w:type="dxa"/>
            <w:vAlign w:val="center"/>
          </w:tcPr>
          <w:p w14:paraId="73AA932F" w14:textId="77777777" w:rsidR="001B46E8" w:rsidRDefault="001B46E8" w:rsidP="00397883">
            <w:pPr>
              <w:keepNext/>
              <w:ind w:left="0" w:firstLine="0"/>
              <w:jc w:val="right"/>
            </w:pPr>
            <w:r>
              <w:rPr>
                <w:color w:val="000000"/>
              </w:rPr>
              <w:t>128</w:t>
            </w:r>
          </w:p>
        </w:tc>
        <w:tc>
          <w:tcPr>
            <w:tcW w:w="2299" w:type="dxa"/>
            <w:shd w:val="clear" w:color="auto" w:fill="auto"/>
            <w:noWrap/>
            <w:hideMark/>
          </w:tcPr>
          <w:p w14:paraId="71DD5966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t>114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53BB8A7A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</w:tr>
      <w:tr w:rsidR="001B46E8" w:rsidRPr="00186378" w14:paraId="750536D1" w14:textId="77777777" w:rsidTr="00397883">
        <w:tc>
          <w:tcPr>
            <w:tcW w:w="2396" w:type="dxa"/>
            <w:shd w:val="clear" w:color="auto" w:fill="auto"/>
            <w:noWrap/>
          </w:tcPr>
          <w:p w14:paraId="3C9E356E" w14:textId="77777777" w:rsidR="001B46E8" w:rsidRPr="00186378" w:rsidRDefault="001B46E8" w:rsidP="00397883">
            <w:pPr>
              <w:keepNext/>
              <w:ind w:left="0" w:firstLine="0"/>
              <w:jc w:val="center"/>
              <w:rPr>
                <w:rFonts w:asciiTheme="minorHAnsi" w:eastAsia="Times New Roman" w:hAnsiTheme="minorHAnsi" w:cs="Arial"/>
                <w:color w:val="000000"/>
              </w:rPr>
            </w:pPr>
            <w:r>
              <w:t>2021</w:t>
            </w:r>
          </w:p>
        </w:tc>
        <w:tc>
          <w:tcPr>
            <w:tcW w:w="2299" w:type="dxa"/>
            <w:vAlign w:val="center"/>
          </w:tcPr>
          <w:p w14:paraId="1C749741" w14:textId="77777777" w:rsidR="001B46E8" w:rsidRDefault="001B46E8" w:rsidP="00397883">
            <w:pPr>
              <w:keepNext/>
              <w:ind w:left="0" w:firstLine="0"/>
              <w:jc w:val="right"/>
            </w:pPr>
            <w:r>
              <w:rPr>
                <w:color w:val="000000"/>
              </w:rPr>
              <w:t>186</w:t>
            </w:r>
          </w:p>
        </w:tc>
        <w:tc>
          <w:tcPr>
            <w:tcW w:w="2299" w:type="dxa"/>
            <w:shd w:val="clear" w:color="auto" w:fill="auto"/>
            <w:noWrap/>
          </w:tcPr>
          <w:p w14:paraId="3FDB475E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t>126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5A4DC82C" w14:textId="77777777" w:rsidR="001B46E8" w:rsidRPr="00186378" w:rsidRDefault="001B46E8" w:rsidP="00397883">
            <w:pPr>
              <w:keepNext/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color w:val="000000"/>
              </w:rPr>
              <w:t>-60</w:t>
            </w:r>
          </w:p>
        </w:tc>
      </w:tr>
      <w:tr w:rsidR="001B46E8" w:rsidRPr="00186378" w14:paraId="08594658" w14:textId="77777777" w:rsidTr="00397883">
        <w:tc>
          <w:tcPr>
            <w:tcW w:w="2396" w:type="dxa"/>
            <w:shd w:val="clear" w:color="auto" w:fill="auto"/>
            <w:noWrap/>
          </w:tcPr>
          <w:p w14:paraId="6414F346" w14:textId="77777777" w:rsidR="001B46E8" w:rsidRDefault="001B46E8" w:rsidP="00397883">
            <w:pPr>
              <w:keepNext/>
              <w:ind w:left="0" w:firstLine="0"/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2299" w:type="dxa"/>
            <w:vAlign w:val="center"/>
          </w:tcPr>
          <w:p w14:paraId="12C5AE4E" w14:textId="77777777" w:rsidR="001B46E8" w:rsidRDefault="001B46E8" w:rsidP="00397883">
            <w:pPr>
              <w:keepNext/>
              <w:ind w:left="0" w:firstLine="0"/>
              <w:jc w:val="right"/>
            </w:pPr>
            <w:r>
              <w:rPr>
                <w:color w:val="000000"/>
              </w:rPr>
              <w:t>265</w:t>
            </w:r>
          </w:p>
        </w:tc>
        <w:tc>
          <w:tcPr>
            <w:tcW w:w="2299" w:type="dxa"/>
            <w:shd w:val="clear" w:color="auto" w:fill="auto"/>
            <w:noWrap/>
          </w:tcPr>
          <w:p w14:paraId="44BCB310" w14:textId="77777777" w:rsidR="001B46E8" w:rsidRPr="00B167C8" w:rsidRDefault="001B46E8" w:rsidP="00397883">
            <w:pPr>
              <w:keepNext/>
              <w:ind w:left="0" w:firstLine="0"/>
              <w:jc w:val="right"/>
            </w:pPr>
            <w:r>
              <w:t>227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162E46A8" w14:textId="77777777" w:rsidR="001B46E8" w:rsidRPr="00B167C8" w:rsidRDefault="001B46E8" w:rsidP="00397883">
            <w:pPr>
              <w:keepNext/>
              <w:ind w:left="0" w:firstLine="0"/>
              <w:jc w:val="right"/>
            </w:pPr>
            <w:r>
              <w:rPr>
                <w:color w:val="000000"/>
              </w:rPr>
              <w:t>-38</w:t>
            </w:r>
          </w:p>
        </w:tc>
      </w:tr>
      <w:tr w:rsidR="001B46E8" w:rsidRPr="00186378" w14:paraId="38857E6D" w14:textId="77777777" w:rsidTr="00397883">
        <w:tc>
          <w:tcPr>
            <w:tcW w:w="2396" w:type="dxa"/>
            <w:shd w:val="clear" w:color="auto" w:fill="auto"/>
            <w:noWrap/>
          </w:tcPr>
          <w:p w14:paraId="63EC50FE" w14:textId="77777777" w:rsidR="001B46E8" w:rsidRDefault="001B46E8" w:rsidP="00397883">
            <w:pPr>
              <w:keepNext/>
              <w:ind w:left="0" w:firstLine="0"/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2299" w:type="dxa"/>
            <w:vAlign w:val="center"/>
          </w:tcPr>
          <w:p w14:paraId="7BEC14DC" w14:textId="77777777" w:rsidR="001B46E8" w:rsidRDefault="001B46E8" w:rsidP="00397883">
            <w:pPr>
              <w:keepNext/>
              <w:ind w:left="0" w:firstLine="0"/>
              <w:jc w:val="right"/>
            </w:pPr>
            <w:r>
              <w:rPr>
                <w:color w:val="000000"/>
              </w:rPr>
              <w:t>336</w:t>
            </w:r>
          </w:p>
        </w:tc>
        <w:tc>
          <w:tcPr>
            <w:tcW w:w="2299" w:type="dxa"/>
            <w:shd w:val="clear" w:color="auto" w:fill="auto"/>
            <w:noWrap/>
          </w:tcPr>
          <w:p w14:paraId="2AE92E0A" w14:textId="77777777" w:rsidR="001B46E8" w:rsidRPr="00B167C8" w:rsidRDefault="001B46E8" w:rsidP="00397883">
            <w:pPr>
              <w:keepNext/>
              <w:ind w:left="0" w:firstLine="0"/>
              <w:jc w:val="right"/>
            </w:pPr>
            <w:r>
              <w:t>283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4E9801AF" w14:textId="77777777" w:rsidR="001B46E8" w:rsidRPr="001D1924" w:rsidRDefault="001B46E8" w:rsidP="00397883">
            <w:pPr>
              <w:keepNext/>
              <w:ind w:left="0" w:firstLine="0"/>
              <w:jc w:val="right"/>
            </w:pPr>
            <w:r>
              <w:rPr>
                <w:color w:val="000000"/>
              </w:rPr>
              <w:t>-53</w:t>
            </w:r>
          </w:p>
        </w:tc>
      </w:tr>
      <w:tr w:rsidR="001B46E8" w:rsidRPr="00186378" w14:paraId="6431BEA4" w14:textId="77777777" w:rsidTr="00397883">
        <w:tc>
          <w:tcPr>
            <w:tcW w:w="2396" w:type="dxa"/>
            <w:shd w:val="clear" w:color="auto" w:fill="auto"/>
            <w:noWrap/>
          </w:tcPr>
          <w:p w14:paraId="744FEBFE" w14:textId="77777777" w:rsidR="001B46E8" w:rsidRPr="008126AB" w:rsidRDefault="001B46E8" w:rsidP="00397883">
            <w:pPr>
              <w:keepNext/>
              <w:ind w:left="0" w:firstLine="0"/>
              <w:jc w:val="center"/>
            </w:pPr>
            <w:r>
              <w:t>2024</w:t>
            </w:r>
          </w:p>
        </w:tc>
        <w:tc>
          <w:tcPr>
            <w:tcW w:w="2299" w:type="dxa"/>
            <w:vAlign w:val="center"/>
          </w:tcPr>
          <w:p w14:paraId="391D6BA8" w14:textId="77777777" w:rsidR="001B46E8" w:rsidRDefault="001B46E8" w:rsidP="00397883">
            <w:pPr>
              <w:keepNext/>
              <w:ind w:left="0" w:firstLine="0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2299" w:type="dxa"/>
            <w:shd w:val="clear" w:color="auto" w:fill="auto"/>
            <w:noWrap/>
          </w:tcPr>
          <w:p w14:paraId="38B7D397" w14:textId="77777777" w:rsidR="001B46E8" w:rsidRPr="00330D14" w:rsidRDefault="001B46E8" w:rsidP="00397883">
            <w:pPr>
              <w:keepNext/>
              <w:ind w:left="0" w:firstLine="0"/>
              <w:jc w:val="right"/>
            </w:pPr>
            <w:r>
              <w:t>472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7F3D0D3C" w14:textId="77777777" w:rsidR="001B46E8" w:rsidRDefault="001B46E8" w:rsidP="00397883">
            <w:pPr>
              <w:keepNext/>
              <w:ind w:left="0" w:firstLine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</w:tr>
      <w:tr w:rsidR="001B46E8" w:rsidRPr="00C56839" w14:paraId="6325DFD4" w14:textId="77777777" w:rsidTr="00397883">
        <w:trPr>
          <w:trHeight w:val="278"/>
        </w:trPr>
        <w:tc>
          <w:tcPr>
            <w:tcW w:w="2396" w:type="dxa"/>
            <w:shd w:val="clear" w:color="auto" w:fill="C6D9F1" w:themeFill="text2" w:themeFillTint="33"/>
            <w:noWrap/>
            <w:vAlign w:val="bottom"/>
            <w:hideMark/>
          </w:tcPr>
          <w:p w14:paraId="636B7F8E" w14:textId="77777777" w:rsidR="001B46E8" w:rsidRPr="00C56839" w:rsidRDefault="001B46E8" w:rsidP="00397883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Total</w:t>
            </w:r>
          </w:p>
        </w:tc>
        <w:tc>
          <w:tcPr>
            <w:tcW w:w="2299" w:type="dxa"/>
            <w:shd w:val="clear" w:color="auto" w:fill="C6D9F1" w:themeFill="text2" w:themeFillTint="33"/>
          </w:tcPr>
          <w:p w14:paraId="2E094C98" w14:textId="77777777" w:rsidR="001B46E8" w:rsidRDefault="001B46E8" w:rsidP="00397883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1 635</w:t>
            </w:r>
          </w:p>
        </w:tc>
        <w:tc>
          <w:tcPr>
            <w:tcW w:w="2299" w:type="dxa"/>
            <w:shd w:val="clear" w:color="auto" w:fill="C6D9F1" w:themeFill="text2" w:themeFillTint="33"/>
            <w:noWrap/>
            <w:hideMark/>
          </w:tcPr>
          <w:p w14:paraId="35CC2D2D" w14:textId="77777777" w:rsidR="001B46E8" w:rsidRPr="00C56839" w:rsidRDefault="001B46E8" w:rsidP="00397883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b/>
              </w:rPr>
              <w:t>1 897</w:t>
            </w:r>
          </w:p>
        </w:tc>
        <w:tc>
          <w:tcPr>
            <w:tcW w:w="2299" w:type="dxa"/>
            <w:shd w:val="clear" w:color="auto" w:fill="C6D9F1" w:themeFill="text2" w:themeFillTint="33"/>
            <w:noWrap/>
            <w:hideMark/>
          </w:tcPr>
          <w:p w14:paraId="74EDD589" w14:textId="77777777" w:rsidR="001B46E8" w:rsidRPr="00C56839" w:rsidRDefault="001B46E8" w:rsidP="00397883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b/>
              </w:rPr>
              <w:t>262</w:t>
            </w:r>
          </w:p>
        </w:tc>
      </w:tr>
    </w:tbl>
    <w:p w14:paraId="0F805A30" w14:textId="77777777" w:rsidR="001B46E8" w:rsidRPr="00520DF0" w:rsidRDefault="001B46E8" w:rsidP="0089531A">
      <w:pPr>
        <w:keepNext/>
        <w:rPr>
          <w:rFonts w:cs="Arial"/>
          <w:b/>
        </w:rPr>
      </w:pPr>
    </w:p>
    <w:p w14:paraId="2C8BCDDB" w14:textId="77777777" w:rsidR="003175F8" w:rsidRDefault="003175F8" w:rsidP="0089531A">
      <w:pPr>
        <w:keepNext/>
        <w:rPr>
          <w:rFonts w:cs="Arial"/>
          <w:b/>
        </w:rPr>
      </w:pPr>
    </w:p>
    <w:p w14:paraId="4DF9320F" w14:textId="4F5BBB55" w:rsidR="00A82C82" w:rsidRDefault="00D9682F" w:rsidP="004737CA">
      <w:pPr>
        <w:rPr>
          <w:rFonts w:cs="Arial"/>
        </w:rPr>
      </w:pPr>
      <w:r>
        <w:t>5.</w:t>
      </w:r>
      <w:r>
        <w:tab/>
        <w:t>La figure 2 ci-dessous présente les changements, de 2023 à 2024, dans les soldes de contributions dues, selon le nombre d</w:t>
      </w:r>
      <w:r w:rsidR="00D1367F">
        <w:t>’</w:t>
      </w:r>
      <w:r>
        <w:t>années pour lesquelles ces contributions sont dues. Les soldes de contributions dues pour plus de trois ans sont passés de 848 000 CHF au 31 décembre 2023 à 915 000 CHF au 31 décembre 2024.</w:t>
      </w:r>
    </w:p>
    <w:p w14:paraId="0C6BD51B" w14:textId="77777777" w:rsidR="00A82C82" w:rsidRDefault="00A82C82" w:rsidP="0089531A">
      <w:pPr>
        <w:keepNext/>
        <w:rPr>
          <w:rFonts w:cs="Arial"/>
        </w:rPr>
      </w:pPr>
    </w:p>
    <w:p w14:paraId="2BA7D467" w14:textId="749D2837" w:rsidR="00A82C82" w:rsidRDefault="00A82C82" w:rsidP="00A82C82">
      <w:pPr>
        <w:keepNext/>
        <w:rPr>
          <w:rFonts w:cs="Arial"/>
          <w:i/>
        </w:rPr>
      </w:pPr>
      <w:r>
        <w:rPr>
          <w:i/>
        </w:rPr>
        <w:t>Figure 2 : Contributions dues (en milliers de CHF), nombre d</w:t>
      </w:r>
      <w:r w:rsidR="00D1367F">
        <w:rPr>
          <w:i/>
        </w:rPr>
        <w:t>’</w:t>
      </w:r>
      <w:r>
        <w:rPr>
          <w:i/>
        </w:rPr>
        <w:t>années dues, 2023 et 2024</w:t>
      </w:r>
    </w:p>
    <w:p w14:paraId="608C2E29" w14:textId="77777777" w:rsidR="00A82C82" w:rsidRPr="00236CB7" w:rsidRDefault="00A82C82" w:rsidP="00A82C82">
      <w:pPr>
        <w:rPr>
          <w:rFonts w:cs="Arial"/>
          <w:i/>
        </w:rPr>
      </w:pPr>
      <w:r>
        <w:rPr>
          <w:noProof/>
          <w:bdr w:val="single" w:sz="4" w:space="0" w:color="auto"/>
        </w:rPr>
        <w:drawing>
          <wp:inline distT="0" distB="0" distL="0" distR="0" wp14:anchorId="631F4711" wp14:editId="0B93C836">
            <wp:extent cx="5731510" cy="3200400"/>
            <wp:effectExtent l="0" t="0" r="2540" b="0"/>
            <wp:docPr id="17822219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F34CD19-4D0C-4704-B3B1-19B1D633FA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D3C451" w14:textId="77777777" w:rsidR="00A82C82" w:rsidRDefault="00A82C82" w:rsidP="00A82C82">
      <w:pPr>
        <w:ind w:left="0" w:firstLine="0"/>
        <w:rPr>
          <w:rFonts w:cs="Arial"/>
        </w:rPr>
      </w:pPr>
    </w:p>
    <w:p w14:paraId="2854F10D" w14:textId="16ED359C" w:rsidR="009F5BBB" w:rsidRDefault="00D9682F" w:rsidP="009F5BBB">
      <w:pPr>
        <w:rPr>
          <w:rFonts w:cs="Arial"/>
        </w:rPr>
      </w:pPr>
      <w:r>
        <w:t>6.</w:t>
      </w:r>
      <w:r>
        <w:tab/>
        <w:t>Le tableau 2 ci-dessous présente l</w:t>
      </w:r>
      <w:r w:rsidR="00D1367F">
        <w:t>’</w:t>
      </w:r>
      <w:r>
        <w:t>état des contributions en fin d</w:t>
      </w:r>
      <w:r w:rsidR="00D1367F">
        <w:t>’</w:t>
      </w:r>
      <w:r>
        <w:t>année</w:t>
      </w:r>
      <w:r w:rsidR="00134772">
        <w:t>,</w:t>
      </w:r>
      <w:r>
        <w:t xml:space="preserve"> de 2020 à 2024</w:t>
      </w:r>
      <w:r w:rsidR="00B00EA9">
        <w:t>,</w:t>
      </w:r>
      <w:r>
        <w:t xml:space="preserve"> et la provision correspondante pour le non-recouvrement des contributions. La provision pour non-recouvrement a augmenté de 113 000 CHF entre 2023 et 2024 pour atteindre 1 526 000 CHF à la fin de 2024. Les paragraphes ci-dessous décrivent l</w:t>
      </w:r>
      <w:r w:rsidR="00D1367F">
        <w:t>’</w:t>
      </w:r>
      <w:r>
        <w:t>augmentation de cette provision depuis 2020.</w:t>
      </w:r>
    </w:p>
    <w:p w14:paraId="5DB054EA" w14:textId="77777777" w:rsidR="009F5BBB" w:rsidRDefault="009F5BBB" w:rsidP="009F5BBB">
      <w:pPr>
        <w:rPr>
          <w:rFonts w:cs="Arial"/>
        </w:rPr>
      </w:pPr>
    </w:p>
    <w:p w14:paraId="50B68300" w14:textId="53523D1C" w:rsidR="009F5BBB" w:rsidRPr="00186378" w:rsidRDefault="009F5BBB" w:rsidP="00E80DB0">
      <w:pPr>
        <w:ind w:left="0" w:firstLine="0"/>
        <w:rPr>
          <w:rFonts w:cs="Arial"/>
          <w:i/>
        </w:rPr>
      </w:pPr>
      <w:r>
        <w:rPr>
          <w:i/>
        </w:rPr>
        <w:t xml:space="preserve">Tableau 2 : État des contributions et provision pour non-recouvrement, 2020-2024 </w:t>
      </w:r>
      <w:r w:rsidR="00E80DB0">
        <w:rPr>
          <w:i/>
        </w:rPr>
        <w:br/>
      </w:r>
      <w:r>
        <w:rPr>
          <w:i/>
        </w:rPr>
        <w:t>(en milliers de CHF)</w:t>
      </w:r>
    </w:p>
    <w:tbl>
      <w:tblPr>
        <w:tblW w:w="9073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3"/>
        <w:gridCol w:w="964"/>
        <w:gridCol w:w="964"/>
        <w:gridCol w:w="964"/>
        <w:gridCol w:w="964"/>
        <w:gridCol w:w="964"/>
      </w:tblGrid>
      <w:tr w:rsidR="00FA5E7B" w:rsidRPr="00186378" w14:paraId="52150786" w14:textId="77777777" w:rsidTr="000769A2">
        <w:trPr>
          <w:trHeight w:val="278"/>
        </w:trPr>
        <w:tc>
          <w:tcPr>
            <w:tcW w:w="4253" w:type="dxa"/>
            <w:shd w:val="clear" w:color="auto" w:fill="C6D9F1" w:themeFill="text2" w:themeFillTint="33"/>
            <w:noWrap/>
            <w:hideMark/>
          </w:tcPr>
          <w:p w14:paraId="04CC89B8" w14:textId="77777777" w:rsidR="00FA5E7B" w:rsidRPr="00186378" w:rsidRDefault="00FA5E7B" w:rsidP="00FA5E7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964" w:type="dxa"/>
            <w:shd w:val="clear" w:color="auto" w:fill="C6D9F1" w:themeFill="text2" w:themeFillTint="33"/>
          </w:tcPr>
          <w:p w14:paraId="35CC0ED8" w14:textId="5AC3CB30" w:rsidR="00FA5E7B" w:rsidRPr="00186378" w:rsidRDefault="00FA5E7B" w:rsidP="00FA5E7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64" w:type="dxa"/>
            <w:shd w:val="clear" w:color="auto" w:fill="C6D9F1" w:themeFill="text2" w:themeFillTint="33"/>
          </w:tcPr>
          <w:p w14:paraId="70623461" w14:textId="35550105" w:rsidR="00FA5E7B" w:rsidRDefault="00FA5E7B" w:rsidP="00FA5E7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64" w:type="dxa"/>
            <w:shd w:val="clear" w:color="auto" w:fill="C6D9F1" w:themeFill="text2" w:themeFillTint="33"/>
          </w:tcPr>
          <w:p w14:paraId="02806B1F" w14:textId="52EB8C5A" w:rsidR="00FA5E7B" w:rsidRDefault="00FA5E7B" w:rsidP="00FA5E7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64" w:type="dxa"/>
            <w:shd w:val="clear" w:color="auto" w:fill="C6D9F1" w:themeFill="text2" w:themeFillTint="33"/>
          </w:tcPr>
          <w:p w14:paraId="139A3DBC" w14:textId="51AF6459" w:rsidR="00FA5E7B" w:rsidRDefault="00FA5E7B" w:rsidP="00FA5E7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64" w:type="dxa"/>
            <w:shd w:val="clear" w:color="auto" w:fill="C6D9F1" w:themeFill="text2" w:themeFillTint="33"/>
          </w:tcPr>
          <w:p w14:paraId="1F3F14FE" w14:textId="5226963D" w:rsidR="00FA5E7B" w:rsidRDefault="00FA5E7B" w:rsidP="00FA5E7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FA5E7B" w:rsidRPr="00186378" w14:paraId="51DF0989" w14:textId="77777777" w:rsidTr="000769A2">
        <w:trPr>
          <w:trHeight w:val="278"/>
        </w:trPr>
        <w:tc>
          <w:tcPr>
            <w:tcW w:w="4253" w:type="dxa"/>
            <w:shd w:val="clear" w:color="auto" w:fill="auto"/>
            <w:noWrap/>
            <w:vAlign w:val="center"/>
          </w:tcPr>
          <w:p w14:paraId="0BCE82D0" w14:textId="77777777" w:rsidR="00FA5E7B" w:rsidRPr="00186378" w:rsidRDefault="00FA5E7B" w:rsidP="00FA5E7B">
            <w:pPr>
              <w:ind w:left="0" w:firstLine="0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Contributions obligatoires des Parties contractantes</w:t>
            </w:r>
          </w:p>
        </w:tc>
        <w:tc>
          <w:tcPr>
            <w:tcW w:w="964" w:type="dxa"/>
            <w:vAlign w:val="center"/>
          </w:tcPr>
          <w:p w14:paraId="0C7D24F5" w14:textId="10C20EDC" w:rsidR="00FA5E7B" w:rsidRPr="003701F3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3 779</w:t>
            </w:r>
          </w:p>
        </w:tc>
        <w:tc>
          <w:tcPr>
            <w:tcW w:w="964" w:type="dxa"/>
            <w:vAlign w:val="center"/>
          </w:tcPr>
          <w:p w14:paraId="37FF71BE" w14:textId="225D857E" w:rsidR="00FA5E7B" w:rsidRPr="003701F3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3 779</w:t>
            </w:r>
          </w:p>
        </w:tc>
        <w:tc>
          <w:tcPr>
            <w:tcW w:w="964" w:type="dxa"/>
            <w:vAlign w:val="center"/>
          </w:tcPr>
          <w:p w14:paraId="5DBB5C57" w14:textId="6C25BF0D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3 779</w:t>
            </w:r>
          </w:p>
        </w:tc>
        <w:tc>
          <w:tcPr>
            <w:tcW w:w="964" w:type="dxa"/>
            <w:vAlign w:val="center"/>
          </w:tcPr>
          <w:p w14:paraId="77D25908" w14:textId="6DCED242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3 779</w:t>
            </w:r>
          </w:p>
        </w:tc>
        <w:tc>
          <w:tcPr>
            <w:tcW w:w="964" w:type="dxa"/>
            <w:vAlign w:val="center"/>
          </w:tcPr>
          <w:p w14:paraId="5BAE8988" w14:textId="77777777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3 779</w:t>
            </w:r>
          </w:p>
        </w:tc>
      </w:tr>
      <w:tr w:rsidR="00FA5E7B" w:rsidRPr="00186378" w14:paraId="7B0A1D46" w14:textId="77777777" w:rsidTr="000769A2">
        <w:trPr>
          <w:trHeight w:val="278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47DB285" w14:textId="730F74DC" w:rsidR="00FA5E7B" w:rsidRPr="00186378" w:rsidRDefault="00FA5E7B" w:rsidP="00FA5E7B">
            <w:pPr>
              <w:ind w:left="0" w:firstLine="0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Contribution volontaire des États-Unis d</w:t>
            </w:r>
            <w:r w:rsidR="00D1367F">
              <w:rPr>
                <w:rFonts w:asciiTheme="minorHAnsi" w:hAnsiTheme="minorHAnsi"/>
                <w:color w:val="000000"/>
              </w:rPr>
              <w:t>’</w:t>
            </w:r>
            <w:r>
              <w:rPr>
                <w:rFonts w:asciiTheme="minorHAnsi" w:hAnsiTheme="minorHAnsi"/>
                <w:color w:val="000000"/>
              </w:rPr>
              <w:t>Amérique</w:t>
            </w:r>
          </w:p>
        </w:tc>
        <w:tc>
          <w:tcPr>
            <w:tcW w:w="964" w:type="dxa"/>
            <w:vAlign w:val="center"/>
          </w:tcPr>
          <w:p w14:paraId="15368BC9" w14:textId="6E58F014" w:rsidR="00FA5E7B" w:rsidRPr="003701F3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1 066</w:t>
            </w:r>
          </w:p>
        </w:tc>
        <w:tc>
          <w:tcPr>
            <w:tcW w:w="964" w:type="dxa"/>
            <w:vAlign w:val="center"/>
          </w:tcPr>
          <w:p w14:paraId="689D4E0C" w14:textId="2812B6DD" w:rsidR="00FA5E7B" w:rsidRPr="003701F3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1 066</w:t>
            </w:r>
          </w:p>
        </w:tc>
        <w:tc>
          <w:tcPr>
            <w:tcW w:w="964" w:type="dxa"/>
            <w:vAlign w:val="center"/>
          </w:tcPr>
          <w:p w14:paraId="75C80CC1" w14:textId="5C33D75C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1 066</w:t>
            </w:r>
          </w:p>
        </w:tc>
        <w:tc>
          <w:tcPr>
            <w:tcW w:w="964" w:type="dxa"/>
            <w:vAlign w:val="center"/>
          </w:tcPr>
          <w:p w14:paraId="169E459F" w14:textId="7D1F8E18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1 066</w:t>
            </w:r>
          </w:p>
        </w:tc>
        <w:tc>
          <w:tcPr>
            <w:tcW w:w="964" w:type="dxa"/>
            <w:vAlign w:val="center"/>
          </w:tcPr>
          <w:p w14:paraId="50E1A1D4" w14:textId="77777777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1 066</w:t>
            </w:r>
          </w:p>
        </w:tc>
      </w:tr>
      <w:tr w:rsidR="00FA5E7B" w:rsidRPr="00186378" w14:paraId="6B6D3AD1" w14:textId="77777777" w:rsidTr="000769A2">
        <w:trPr>
          <w:trHeight w:val="278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E120FC6" w14:textId="1815F810" w:rsidR="00FA5E7B" w:rsidRPr="00186378" w:rsidRDefault="00FA5E7B" w:rsidP="00FA5E7B">
            <w:pPr>
              <w:ind w:left="0" w:firstLine="0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Contributions cumulatives non reçues en fin d</w:t>
            </w:r>
            <w:r w:rsidR="00D1367F">
              <w:rPr>
                <w:rFonts w:asciiTheme="minorHAnsi" w:hAnsiTheme="minorHAnsi"/>
                <w:color w:val="000000"/>
              </w:rPr>
              <w:t>’</w:t>
            </w:r>
            <w:r>
              <w:rPr>
                <w:rFonts w:asciiTheme="minorHAnsi" w:hAnsiTheme="minorHAnsi"/>
                <w:color w:val="000000"/>
              </w:rPr>
              <w:t>année</w:t>
            </w:r>
          </w:p>
        </w:tc>
        <w:tc>
          <w:tcPr>
            <w:tcW w:w="964" w:type="dxa"/>
            <w:vAlign w:val="center"/>
          </w:tcPr>
          <w:p w14:paraId="25F3F6D3" w14:textId="5F338A35" w:rsidR="00FA5E7B" w:rsidRPr="003701F3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1 674</w:t>
            </w:r>
          </w:p>
        </w:tc>
        <w:tc>
          <w:tcPr>
            <w:tcW w:w="964" w:type="dxa"/>
            <w:vAlign w:val="center"/>
          </w:tcPr>
          <w:p w14:paraId="1B50B29A" w14:textId="4DFEF684" w:rsidR="00FA5E7B" w:rsidRPr="003701F3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1 536</w:t>
            </w:r>
          </w:p>
        </w:tc>
        <w:tc>
          <w:tcPr>
            <w:tcW w:w="964" w:type="dxa"/>
            <w:vAlign w:val="center"/>
          </w:tcPr>
          <w:p w14:paraId="01E08F65" w14:textId="4F12536E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1 594</w:t>
            </w:r>
          </w:p>
        </w:tc>
        <w:tc>
          <w:tcPr>
            <w:tcW w:w="964" w:type="dxa"/>
            <w:vAlign w:val="center"/>
          </w:tcPr>
          <w:p w14:paraId="1EE9DA2E" w14:textId="57D6C4C2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1 635</w:t>
            </w:r>
          </w:p>
        </w:tc>
        <w:tc>
          <w:tcPr>
            <w:tcW w:w="964" w:type="dxa"/>
            <w:vAlign w:val="center"/>
          </w:tcPr>
          <w:p w14:paraId="0C63CAF1" w14:textId="4C841B29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1 897</w:t>
            </w:r>
          </w:p>
        </w:tc>
      </w:tr>
      <w:tr w:rsidR="00FA5E7B" w:rsidRPr="00186378" w14:paraId="7C95B5AF" w14:textId="77777777" w:rsidTr="000769A2">
        <w:trPr>
          <w:trHeight w:val="552"/>
        </w:trPr>
        <w:tc>
          <w:tcPr>
            <w:tcW w:w="4253" w:type="dxa"/>
            <w:shd w:val="clear" w:color="auto" w:fill="auto"/>
            <w:vAlign w:val="center"/>
            <w:hideMark/>
          </w:tcPr>
          <w:p w14:paraId="587657C4" w14:textId="59733518" w:rsidR="00FA5E7B" w:rsidRPr="00186378" w:rsidRDefault="00FA5E7B" w:rsidP="00FA5E7B">
            <w:pPr>
              <w:ind w:left="0" w:firstLine="0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Provision pour non-recouvrement (c</w:t>
            </w:r>
            <w:r w:rsidR="00D1367F">
              <w:rPr>
                <w:rFonts w:asciiTheme="minorHAnsi" w:hAnsiTheme="minorHAnsi"/>
                <w:color w:val="000000"/>
              </w:rPr>
              <w:t>’</w:t>
            </w:r>
            <w:r>
              <w:rPr>
                <w:rFonts w:asciiTheme="minorHAnsi" w:hAnsiTheme="minorHAnsi"/>
                <w:color w:val="000000"/>
              </w:rPr>
              <w:t>est-à-dire provision pour les contributions non reçues)</w:t>
            </w:r>
          </w:p>
        </w:tc>
        <w:tc>
          <w:tcPr>
            <w:tcW w:w="964" w:type="dxa"/>
            <w:vAlign w:val="center"/>
          </w:tcPr>
          <w:p w14:paraId="4F11CD26" w14:textId="756A6CB0" w:rsidR="00FA5E7B" w:rsidRPr="003701F3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990</w:t>
            </w:r>
          </w:p>
        </w:tc>
        <w:tc>
          <w:tcPr>
            <w:tcW w:w="964" w:type="dxa"/>
            <w:vAlign w:val="center"/>
          </w:tcPr>
          <w:p w14:paraId="78F80790" w14:textId="26F38284" w:rsidR="00FA5E7B" w:rsidRPr="003701F3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1 050</w:t>
            </w:r>
          </w:p>
        </w:tc>
        <w:tc>
          <w:tcPr>
            <w:tcW w:w="964" w:type="dxa"/>
            <w:vAlign w:val="center"/>
          </w:tcPr>
          <w:p w14:paraId="5E471A91" w14:textId="22822CB2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1 202</w:t>
            </w:r>
          </w:p>
        </w:tc>
        <w:tc>
          <w:tcPr>
            <w:tcW w:w="964" w:type="dxa"/>
            <w:vAlign w:val="center"/>
          </w:tcPr>
          <w:p w14:paraId="68D3253C" w14:textId="597B69CA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1 413</w:t>
            </w:r>
          </w:p>
        </w:tc>
        <w:tc>
          <w:tcPr>
            <w:tcW w:w="964" w:type="dxa"/>
            <w:vAlign w:val="center"/>
          </w:tcPr>
          <w:p w14:paraId="0748529B" w14:textId="5E2B13F7" w:rsidR="00FA5E7B" w:rsidRDefault="00FA5E7B" w:rsidP="00FA5E7B">
            <w:pPr>
              <w:ind w:left="0" w:firstLine="0"/>
              <w:jc w:val="right"/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1 526</w:t>
            </w:r>
          </w:p>
        </w:tc>
      </w:tr>
    </w:tbl>
    <w:p w14:paraId="1667EF51" w14:textId="77777777" w:rsidR="009F5BBB" w:rsidRDefault="009F5BBB" w:rsidP="009F5BBB">
      <w:pPr>
        <w:rPr>
          <w:rFonts w:cs="Arial"/>
        </w:rPr>
      </w:pPr>
    </w:p>
    <w:p w14:paraId="62ECBEBB" w14:textId="77777777" w:rsidR="004737CA" w:rsidRPr="00133E4E" w:rsidRDefault="004737CA" w:rsidP="009F5BBB">
      <w:pPr>
        <w:rPr>
          <w:rFonts w:cs="Arial"/>
        </w:rPr>
      </w:pPr>
    </w:p>
    <w:p w14:paraId="0856E77D" w14:textId="031D8808" w:rsidR="00FA5E7B" w:rsidRDefault="00D9682F" w:rsidP="00FA5E7B">
      <w:pPr>
        <w:rPr>
          <w:rFonts w:cs="Arial"/>
        </w:rPr>
      </w:pPr>
      <w:r>
        <w:t>7.</w:t>
      </w:r>
      <w:r>
        <w:tab/>
        <w:t>Conformément à la Décision SC57-39 du Comité permanent, la provision pour non-recouvrement des arriérés de contributions a été calculée depuis 2019 selon la méthode proposée par l</w:t>
      </w:r>
      <w:r w:rsidR="00D1367F">
        <w:t>’</w:t>
      </w:r>
      <w:r>
        <w:t>auditeur externe. En conséquence, en 2024, une provision de 20 % a été appliquée sur les contributions non reçues pour deux ans maximum, 60 % sur les contributions non reçues pour trois ans et 80 % sur les contributions non reçues pour quatre ans. Une provision de 100 % a été appliquée sur les soldes d</w:t>
      </w:r>
      <w:r w:rsidR="00D1367F">
        <w:t>’</w:t>
      </w:r>
      <w:r>
        <w:t>arriérés de contributions de plus de quatre années.</w:t>
      </w:r>
    </w:p>
    <w:p w14:paraId="08FB49A1" w14:textId="77777777" w:rsidR="00FA5E7B" w:rsidRDefault="00FA5E7B" w:rsidP="00FA5E7B">
      <w:pPr>
        <w:rPr>
          <w:rFonts w:cs="Arial"/>
        </w:rPr>
      </w:pPr>
    </w:p>
    <w:p w14:paraId="2B446734" w14:textId="21CD79EF" w:rsidR="00FA5E7B" w:rsidRDefault="00D9682F" w:rsidP="00FA5E7B">
      <w:pPr>
        <w:rPr>
          <w:rFonts w:cs="Arial"/>
        </w:rPr>
      </w:pPr>
      <w:r>
        <w:t>8.</w:t>
      </w:r>
      <w:r>
        <w:tab/>
        <w:t>En 2024, la provision totale de 100 % a été appliquée à 42 Parties contractantes dont le total des arriérés de contributions s</w:t>
      </w:r>
      <w:r w:rsidR="00D1367F">
        <w:t>’</w:t>
      </w:r>
      <w:r>
        <w:t>élevait à 1 423 000 CHF (contre 44 Parties en 2023 dont le total des arriérés de contributions s</w:t>
      </w:r>
      <w:r w:rsidR="00D1367F">
        <w:t>’</w:t>
      </w:r>
      <w:r>
        <w:t>élevait à 1 324 000 CHF). Parmi ces Parties, neuf n</w:t>
      </w:r>
      <w:r w:rsidR="00D1367F">
        <w:t>’</w:t>
      </w:r>
      <w:r>
        <w:t xml:space="preserve">avaient versé aucune contribution depuis plus de dix ans (contre 11 Parties en 2023). </w:t>
      </w:r>
    </w:p>
    <w:p w14:paraId="7A37F4D4" w14:textId="77777777" w:rsidR="00FA5E7B" w:rsidRDefault="00FA5E7B" w:rsidP="00FA5E7B">
      <w:pPr>
        <w:rPr>
          <w:rFonts w:cs="Arial"/>
        </w:rPr>
      </w:pPr>
    </w:p>
    <w:p w14:paraId="7459A6FF" w14:textId="0E878677" w:rsidR="0080200D" w:rsidRPr="00520DF0" w:rsidRDefault="0080200D" w:rsidP="004410A9">
      <w:pPr>
        <w:keepNext/>
        <w:rPr>
          <w:rFonts w:cs="Arial"/>
          <w:b/>
        </w:rPr>
      </w:pPr>
      <w:r>
        <w:rPr>
          <w:b/>
        </w:rPr>
        <w:t>Contributions volontaires africaines</w:t>
      </w:r>
    </w:p>
    <w:p w14:paraId="2E686B24" w14:textId="77777777" w:rsidR="0080200D" w:rsidRPr="00520DF0" w:rsidRDefault="0080200D" w:rsidP="004410A9">
      <w:pPr>
        <w:keepNext/>
        <w:rPr>
          <w:rFonts w:cs="Arial"/>
          <w:b/>
        </w:rPr>
      </w:pPr>
    </w:p>
    <w:p w14:paraId="76E30A22" w14:textId="5E915F13" w:rsidR="0080200D" w:rsidRPr="00520DF0" w:rsidRDefault="00D9682F" w:rsidP="00AD53FB">
      <w:pPr>
        <w:rPr>
          <w:rFonts w:cs="Arial"/>
        </w:rPr>
      </w:pPr>
      <w:r>
        <w:t>9.</w:t>
      </w:r>
      <w:r>
        <w:tab/>
        <w:t xml:space="preserve">À la COP10, </w:t>
      </w:r>
      <w:r w:rsidR="00B66337">
        <w:t>comme indiqué au</w:t>
      </w:r>
      <w:r>
        <w:t xml:space="preserve"> paragraphe 23 de la Résolution X.2 </w:t>
      </w:r>
      <w:r>
        <w:rPr>
          <w:i/>
        </w:rPr>
        <w:t>Questions financières et budgétaires,</w:t>
      </w:r>
      <w:r>
        <w:t xml:space="preserve"> les Parties contractantes d</w:t>
      </w:r>
      <w:r w:rsidR="00D1367F">
        <w:t>’</w:t>
      </w:r>
      <w:r>
        <w:t>Afrique dont la contribution annuelle était fixée à moins de 2 000 CHF ont décidé de porter leur contribution à ce niveau. La différence entre le montant de 2 000 CHF et leur contribution obligatoire devenait une contribution volontaire spécifiquement allouée aux Initiatives régionales Ramsar (IRR) en Afrique.</w:t>
      </w:r>
    </w:p>
    <w:p w14:paraId="15673373" w14:textId="77777777" w:rsidR="00D9682F" w:rsidRDefault="00D9682F" w:rsidP="00D9682F">
      <w:pPr>
        <w:rPr>
          <w:rFonts w:cs="Arial"/>
        </w:rPr>
      </w:pPr>
    </w:p>
    <w:p w14:paraId="58366365" w14:textId="7831D62E" w:rsidR="00D9682F" w:rsidRPr="00520DF0" w:rsidRDefault="00D9682F" w:rsidP="00D9682F">
      <w:pPr>
        <w:rPr>
          <w:rFonts w:asciiTheme="minorHAnsi" w:eastAsia="Times New Roman" w:hAnsiTheme="minorHAnsi" w:cs="Arial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color w:val="000000" w:themeColor="text1"/>
        </w:rPr>
        <w:t>10.</w:t>
      </w:r>
      <w:r>
        <w:tab/>
        <w:t>En 2024, le Secrétariat a consulté les représentants de la région Afrique au Comité permanent pour décider de la destination du solde des contributions volontaires africaines qui s</w:t>
      </w:r>
      <w:r w:rsidR="00D1367F">
        <w:t>’</w:t>
      </w:r>
      <w:r>
        <w:t>élevait à 30 000 CHF à la fin de l</w:t>
      </w:r>
      <w:r w:rsidR="00D1367F">
        <w:t>’</w:t>
      </w:r>
      <w:r>
        <w:t>année 2023. Conformément aux décisions prises par les représentants régionaux, ce montant a été intégralement affecté aux frais de participation des délégués africains à la réunion préparatoire de la COP15 qui s</w:t>
      </w:r>
      <w:r w:rsidR="00D1367F">
        <w:t>’</w:t>
      </w:r>
      <w:r>
        <w:t>est tenue à Marrakech, au Maroc, du 8 au 10 janvier 2025.</w:t>
      </w:r>
    </w:p>
    <w:p w14:paraId="24DDA2FB" w14:textId="77777777" w:rsidR="00D9682F" w:rsidRPr="00520DF0" w:rsidRDefault="00D9682F" w:rsidP="00D9682F">
      <w:pPr>
        <w:rPr>
          <w:rFonts w:cs="Arial"/>
        </w:rPr>
      </w:pPr>
    </w:p>
    <w:p w14:paraId="41BA0AB8" w14:textId="6617F47F" w:rsidR="000510F4" w:rsidRDefault="00D9682F" w:rsidP="00D9682F">
      <w:pPr>
        <w:rPr>
          <w:rFonts w:cs="Arial"/>
        </w:rPr>
      </w:pPr>
      <w:r>
        <w:t>11.</w:t>
      </w:r>
      <w:r>
        <w:tab/>
        <w:t>Le statut des contributions volontaires africaines au 31 décembre 2024 est présenté au paragraphe 19 et à l</w:t>
      </w:r>
      <w:r w:rsidR="00D1367F">
        <w:t>’</w:t>
      </w:r>
      <w:r>
        <w:t>annexe 2 du document SC64 Doc.9.2 Rev.1</w:t>
      </w:r>
      <w:r w:rsidR="001230BA">
        <w:rPr>
          <w:rStyle w:val="FootnoteReference"/>
          <w:rFonts w:cs="Arial"/>
        </w:rPr>
        <w:footnoteReference w:id="4"/>
      </w:r>
      <w:r>
        <w:t>. Comme noté par le Comité permanent, dans sa Décision SC64-40 alinéa iv)</w:t>
      </w:r>
      <w:r w:rsidR="00894D44">
        <w:rPr>
          <w:rStyle w:val="FootnoteReference"/>
          <w:rFonts w:cs="Arial"/>
        </w:rPr>
        <w:footnoteReference w:id="5"/>
      </w:r>
      <w:r>
        <w:t>, les contributions volontaires versées par les Parties contractantes de la région Afrique, en 2024, se sont élevées à 1 000 CHF. Un montant complémentaire de 12 000 CHF est disponible pour être réparti ultérieurement, puisque l</w:t>
      </w:r>
      <w:r w:rsidR="00D1367F">
        <w:t>’</w:t>
      </w:r>
      <w:r>
        <w:t>IRR à qui il avait été alloué en 2020 ne l</w:t>
      </w:r>
      <w:r w:rsidR="00D1367F">
        <w:t>’</w:t>
      </w:r>
      <w:r>
        <w:t>a pas réclamé. Ainsi, au 31 janvier 2025, le solde total disponible pour répartition ultérieure était de 13 000 CHF.</w:t>
      </w:r>
    </w:p>
    <w:p w14:paraId="49A2442A" w14:textId="77777777" w:rsidR="000510F4" w:rsidRDefault="000510F4" w:rsidP="00671AC0">
      <w:pPr>
        <w:ind w:left="0" w:firstLine="0"/>
        <w:rPr>
          <w:rFonts w:cs="Arial"/>
        </w:rPr>
      </w:pPr>
    </w:p>
    <w:p w14:paraId="7ABD6FFF" w14:textId="11B74B74" w:rsidR="001554EE" w:rsidRDefault="001554EE" w:rsidP="001554EE">
      <w:pPr>
        <w:rPr>
          <w:rFonts w:cs="Arial"/>
        </w:rPr>
      </w:pPr>
      <w:r>
        <w:t>12.</w:t>
      </w:r>
      <w:r>
        <w:tab/>
        <w:t>Dans les paragraphes 24 et 25 de la Résolution XIV.1, les Parties contractantes ont convenu d</w:t>
      </w:r>
      <w:r w:rsidR="00D1367F">
        <w:t>’</w:t>
      </w:r>
      <w:r>
        <w:t>une procédure d</w:t>
      </w:r>
      <w:r w:rsidR="00D1367F">
        <w:t>’</w:t>
      </w:r>
      <w:r>
        <w:t xml:space="preserve">allocation de ces contributions. </w:t>
      </w:r>
    </w:p>
    <w:p w14:paraId="3B34FC3C" w14:textId="77777777" w:rsidR="001554EE" w:rsidRPr="00520DF0" w:rsidRDefault="001554EE" w:rsidP="00671AC0">
      <w:pPr>
        <w:ind w:left="0" w:firstLine="0"/>
        <w:rPr>
          <w:rFonts w:cs="Arial"/>
        </w:rPr>
      </w:pPr>
    </w:p>
    <w:p w14:paraId="18D0D4D2" w14:textId="77777777" w:rsidR="00744819" w:rsidRPr="00520DF0" w:rsidRDefault="00744819" w:rsidP="00F13D9B">
      <w:pPr>
        <w:rPr>
          <w:rFonts w:cs="Arial"/>
        </w:rPr>
      </w:pPr>
    </w:p>
    <w:p w14:paraId="02245101" w14:textId="29DDE6F3" w:rsidR="00E1484F" w:rsidRDefault="00671AC0">
      <w:pPr>
        <w:rPr>
          <w:rFonts w:asciiTheme="minorHAnsi" w:eastAsia="Times New Roman" w:hAnsiTheme="minorHAnsi" w:cs="Arial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</w:rPr>
        <w:tab/>
      </w:r>
    </w:p>
    <w:p w14:paraId="2AAAAA7C" w14:textId="56A953E0" w:rsidR="003D27CC" w:rsidRPr="00771FBC" w:rsidRDefault="003D27CC" w:rsidP="00844453">
      <w:pPr>
        <w:ind w:left="0" w:firstLine="0"/>
        <w:rPr>
          <w:rFonts w:cs="Arial"/>
        </w:rPr>
      </w:pPr>
    </w:p>
    <w:sectPr w:rsidR="003D27CC" w:rsidRPr="00771FBC" w:rsidSect="00245599">
      <w:footerReference w:type="defaul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B866" w14:textId="77777777" w:rsidR="00094DD2" w:rsidRDefault="00094DD2" w:rsidP="00DF2386">
      <w:r>
        <w:separator/>
      </w:r>
    </w:p>
  </w:endnote>
  <w:endnote w:type="continuationSeparator" w:id="0">
    <w:p w14:paraId="023E0895" w14:textId="77777777" w:rsidR="00094DD2" w:rsidRDefault="00094DD2" w:rsidP="00DF2386">
      <w:r>
        <w:continuationSeparator/>
      </w:r>
    </w:p>
  </w:endnote>
  <w:endnote w:type="continuationNotice" w:id="1">
    <w:p w14:paraId="2F44CD57" w14:textId="77777777" w:rsidR="00094DD2" w:rsidRDefault="00094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1CBC" w14:textId="1D3FF370" w:rsidR="00245599" w:rsidRPr="00245599" w:rsidRDefault="00245599" w:rsidP="00245599">
    <w:pPr>
      <w:pStyle w:val="Header"/>
      <w:rPr>
        <w:noProof/>
      </w:rPr>
    </w:pPr>
    <w:r>
      <w:rPr>
        <w:sz w:val="20"/>
        <w:szCs w:val="20"/>
      </w:rPr>
      <w:t>SC65 Doc.8.2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5F5DF" w14:textId="77777777" w:rsidR="00094DD2" w:rsidRDefault="00094DD2" w:rsidP="00DF2386">
      <w:r>
        <w:separator/>
      </w:r>
    </w:p>
  </w:footnote>
  <w:footnote w:type="continuationSeparator" w:id="0">
    <w:p w14:paraId="0B5C72DC" w14:textId="77777777" w:rsidR="00094DD2" w:rsidRDefault="00094DD2" w:rsidP="00DF2386">
      <w:r>
        <w:continuationSeparator/>
      </w:r>
    </w:p>
  </w:footnote>
  <w:footnote w:type="continuationNotice" w:id="1">
    <w:p w14:paraId="7A2B4EDD" w14:textId="77777777" w:rsidR="00094DD2" w:rsidRDefault="00094DD2"/>
  </w:footnote>
  <w:footnote w:id="2">
    <w:p w14:paraId="44A57814" w14:textId="7E5E5861" w:rsidR="00B13260" w:rsidRDefault="00B13260" w:rsidP="00B13260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Voir </w:t>
      </w:r>
      <w:hyperlink r:id="rId1" w:history="1">
        <w:r w:rsidR="0042355C" w:rsidRPr="00EB703E">
          <w:rPr>
            <w:rStyle w:val="Hyperlink"/>
          </w:rPr>
          <w:t>https://www.ramsar.org/fr/document/sc64-doc92-rev1-questions-financieres-et-budgetaires-etat-des-contributions-annuelles</w:t>
        </w:r>
      </w:hyperlink>
      <w:r>
        <w:t xml:space="preserve">. </w:t>
      </w:r>
    </w:p>
  </w:footnote>
  <w:footnote w:id="3">
    <w:p w14:paraId="14BC26B1" w14:textId="6D741077" w:rsidR="00894D44" w:rsidRDefault="00894D44" w:rsidP="00894D44">
      <w:pPr>
        <w:pStyle w:val="FootnoteText"/>
      </w:pPr>
      <w:r>
        <w:rPr>
          <w:rStyle w:val="FootnoteReference"/>
        </w:rPr>
        <w:footnoteRef/>
      </w:r>
      <w:r>
        <w:t xml:space="preserve"> Voir </w:t>
      </w:r>
      <w:hyperlink r:id="rId2" w:history="1">
        <w:r w:rsidR="0042355C" w:rsidRPr="00EB703E">
          <w:rPr>
            <w:rStyle w:val="Hyperlink"/>
          </w:rPr>
          <w:t>https://www.ramsar.org/fr/document/decisions-de-la-64e-reunion-du-comite-permanent</w:t>
        </w:r>
      </w:hyperlink>
      <w:r>
        <w:t xml:space="preserve">. </w:t>
      </w:r>
    </w:p>
  </w:footnote>
  <w:footnote w:id="4">
    <w:p w14:paraId="1196764B" w14:textId="30112E91" w:rsidR="001230BA" w:rsidRDefault="001230BA" w:rsidP="001230BA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Voir </w:t>
      </w:r>
      <w:hyperlink r:id="rId3" w:history="1">
        <w:r w:rsidR="0042355C" w:rsidRPr="00EB703E">
          <w:rPr>
            <w:rStyle w:val="Hyperlink"/>
          </w:rPr>
          <w:t>https://www.ramsar.org/fr/document/sc64-doc92-rev1-questions-financieres-et-budgetaires-etat-des-contributions-annuelles</w:t>
        </w:r>
      </w:hyperlink>
      <w:r>
        <w:t>.</w:t>
      </w:r>
    </w:p>
  </w:footnote>
  <w:footnote w:id="5">
    <w:p w14:paraId="19914B4F" w14:textId="7543BAF5" w:rsidR="00894D44" w:rsidRDefault="00894D44">
      <w:pPr>
        <w:pStyle w:val="FootnoteText"/>
      </w:pPr>
      <w:r>
        <w:rPr>
          <w:rStyle w:val="FootnoteReference"/>
        </w:rPr>
        <w:footnoteRef/>
      </w:r>
      <w:r>
        <w:t xml:space="preserve"> Voir </w:t>
      </w:r>
      <w:hyperlink r:id="rId4" w:history="1">
        <w:r w:rsidR="0042355C" w:rsidRPr="00EB703E">
          <w:rPr>
            <w:rStyle w:val="Hyperlink"/>
          </w:rPr>
          <w:t>https://www.ramsar.org/fr/document/decisions-de-la-64e-reunion-du-comite-permanent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96FC7"/>
    <w:multiLevelType w:val="hybridMultilevel"/>
    <w:tmpl w:val="FEC0927A"/>
    <w:lvl w:ilvl="0" w:tplc="C30C4E44">
      <w:start w:val="1"/>
      <w:numFmt w:val="decimal"/>
      <w:lvlText w:val="%1."/>
      <w:lvlJc w:val="left"/>
      <w:pPr>
        <w:ind w:left="688" w:hanging="428"/>
        <w:jc w:val="right"/>
      </w:pPr>
      <w:rPr>
        <w:rFonts w:ascii="Arial" w:eastAsia="Arial" w:hAnsi="Arial" w:hint="default"/>
        <w:spacing w:val="-11"/>
        <w:sz w:val="22"/>
        <w:szCs w:val="22"/>
      </w:rPr>
    </w:lvl>
    <w:lvl w:ilvl="1" w:tplc="12721ECE">
      <w:start w:val="1"/>
      <w:numFmt w:val="bullet"/>
      <w:lvlText w:val="•"/>
      <w:lvlJc w:val="left"/>
      <w:pPr>
        <w:ind w:left="970" w:hanging="425"/>
      </w:pPr>
      <w:rPr>
        <w:rFonts w:ascii="Arial" w:eastAsia="Arial" w:hAnsi="Arial" w:hint="default"/>
        <w:sz w:val="22"/>
        <w:szCs w:val="22"/>
      </w:rPr>
    </w:lvl>
    <w:lvl w:ilvl="2" w:tplc="160E8BC4">
      <w:start w:val="1"/>
      <w:numFmt w:val="bullet"/>
      <w:lvlText w:val="•"/>
      <w:lvlJc w:val="left"/>
      <w:pPr>
        <w:ind w:left="970" w:hanging="425"/>
      </w:pPr>
      <w:rPr>
        <w:rFonts w:hint="default"/>
      </w:rPr>
    </w:lvl>
    <w:lvl w:ilvl="3" w:tplc="4FC83C14">
      <w:start w:val="1"/>
      <w:numFmt w:val="bullet"/>
      <w:lvlText w:val="•"/>
      <w:lvlJc w:val="left"/>
      <w:pPr>
        <w:ind w:left="2015" w:hanging="425"/>
      </w:pPr>
      <w:rPr>
        <w:rFonts w:hint="default"/>
      </w:rPr>
    </w:lvl>
    <w:lvl w:ilvl="4" w:tplc="40F0ACA6">
      <w:start w:val="1"/>
      <w:numFmt w:val="bullet"/>
      <w:lvlText w:val="•"/>
      <w:lvlJc w:val="left"/>
      <w:pPr>
        <w:ind w:left="3059" w:hanging="425"/>
      </w:pPr>
      <w:rPr>
        <w:rFonts w:hint="default"/>
      </w:rPr>
    </w:lvl>
    <w:lvl w:ilvl="5" w:tplc="CCFC69E2">
      <w:start w:val="1"/>
      <w:numFmt w:val="bullet"/>
      <w:lvlText w:val="•"/>
      <w:lvlJc w:val="left"/>
      <w:pPr>
        <w:ind w:left="4103" w:hanging="425"/>
      </w:pPr>
      <w:rPr>
        <w:rFonts w:hint="default"/>
      </w:rPr>
    </w:lvl>
    <w:lvl w:ilvl="6" w:tplc="82789E2E">
      <w:start w:val="1"/>
      <w:numFmt w:val="bullet"/>
      <w:lvlText w:val="•"/>
      <w:lvlJc w:val="left"/>
      <w:pPr>
        <w:ind w:left="5147" w:hanging="425"/>
      </w:pPr>
      <w:rPr>
        <w:rFonts w:hint="default"/>
      </w:rPr>
    </w:lvl>
    <w:lvl w:ilvl="7" w:tplc="FB0479D6">
      <w:start w:val="1"/>
      <w:numFmt w:val="bullet"/>
      <w:lvlText w:val="•"/>
      <w:lvlJc w:val="left"/>
      <w:pPr>
        <w:ind w:left="6191" w:hanging="425"/>
      </w:pPr>
      <w:rPr>
        <w:rFonts w:hint="default"/>
      </w:rPr>
    </w:lvl>
    <w:lvl w:ilvl="8" w:tplc="8EFCFDA6">
      <w:start w:val="1"/>
      <w:numFmt w:val="bullet"/>
      <w:lvlText w:val="•"/>
      <w:lvlJc w:val="left"/>
      <w:pPr>
        <w:ind w:left="7236" w:hanging="425"/>
      </w:pPr>
      <w:rPr>
        <w:rFonts w:hint="default"/>
      </w:rPr>
    </w:lvl>
  </w:abstractNum>
  <w:abstractNum w:abstractNumId="13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444A"/>
    <w:multiLevelType w:val="hybridMultilevel"/>
    <w:tmpl w:val="FA261AF4"/>
    <w:lvl w:ilvl="0" w:tplc="F0A817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35B4D"/>
    <w:multiLevelType w:val="hybridMultilevel"/>
    <w:tmpl w:val="FBF21FA2"/>
    <w:lvl w:ilvl="0" w:tplc="271CC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44E68"/>
    <w:multiLevelType w:val="hybridMultilevel"/>
    <w:tmpl w:val="A12475E6"/>
    <w:lvl w:ilvl="0" w:tplc="8018AFA2">
      <w:start w:val="1"/>
      <w:numFmt w:val="lowerLetter"/>
      <w:pStyle w:val="Listpara2"/>
      <w:lvlText w:val="%1."/>
      <w:lvlJc w:val="left"/>
      <w:pPr>
        <w:ind w:left="203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50" w:hanging="360"/>
      </w:pPr>
    </w:lvl>
    <w:lvl w:ilvl="2" w:tplc="0809001B" w:tentative="1">
      <w:start w:val="1"/>
      <w:numFmt w:val="lowerRoman"/>
      <w:lvlText w:val="%3."/>
      <w:lvlJc w:val="right"/>
      <w:pPr>
        <w:ind w:left="3470" w:hanging="180"/>
      </w:pPr>
    </w:lvl>
    <w:lvl w:ilvl="3" w:tplc="0809000F" w:tentative="1">
      <w:start w:val="1"/>
      <w:numFmt w:val="decimal"/>
      <w:lvlText w:val="%4."/>
      <w:lvlJc w:val="left"/>
      <w:pPr>
        <w:ind w:left="4190" w:hanging="360"/>
      </w:pPr>
    </w:lvl>
    <w:lvl w:ilvl="4" w:tplc="08090019" w:tentative="1">
      <w:start w:val="1"/>
      <w:numFmt w:val="lowerLetter"/>
      <w:lvlText w:val="%5."/>
      <w:lvlJc w:val="left"/>
      <w:pPr>
        <w:ind w:left="4910" w:hanging="360"/>
      </w:pPr>
    </w:lvl>
    <w:lvl w:ilvl="5" w:tplc="0809001B" w:tentative="1">
      <w:start w:val="1"/>
      <w:numFmt w:val="lowerRoman"/>
      <w:lvlText w:val="%6."/>
      <w:lvlJc w:val="right"/>
      <w:pPr>
        <w:ind w:left="5630" w:hanging="180"/>
      </w:pPr>
    </w:lvl>
    <w:lvl w:ilvl="6" w:tplc="0809000F" w:tentative="1">
      <w:start w:val="1"/>
      <w:numFmt w:val="decimal"/>
      <w:lvlText w:val="%7."/>
      <w:lvlJc w:val="left"/>
      <w:pPr>
        <w:ind w:left="6350" w:hanging="360"/>
      </w:pPr>
    </w:lvl>
    <w:lvl w:ilvl="7" w:tplc="08090019" w:tentative="1">
      <w:start w:val="1"/>
      <w:numFmt w:val="lowerLetter"/>
      <w:lvlText w:val="%8."/>
      <w:lvlJc w:val="left"/>
      <w:pPr>
        <w:ind w:left="7070" w:hanging="360"/>
      </w:pPr>
    </w:lvl>
    <w:lvl w:ilvl="8" w:tplc="08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21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5B609E"/>
    <w:multiLevelType w:val="hybridMultilevel"/>
    <w:tmpl w:val="2E420FE8"/>
    <w:lvl w:ilvl="0" w:tplc="70BAF9D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E13AB"/>
    <w:multiLevelType w:val="hybridMultilevel"/>
    <w:tmpl w:val="68F0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32F65"/>
    <w:multiLevelType w:val="hybridMultilevel"/>
    <w:tmpl w:val="43B25C34"/>
    <w:lvl w:ilvl="0" w:tplc="557284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76838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421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21607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074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008330">
    <w:abstractNumId w:val="16"/>
  </w:num>
  <w:num w:numId="6" w16cid:durableId="704714905">
    <w:abstractNumId w:val="31"/>
  </w:num>
  <w:num w:numId="7" w16cid:durableId="1781993014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502655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2957569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2533513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7511160">
    <w:abstractNumId w:val="31"/>
  </w:num>
  <w:num w:numId="12" w16cid:durableId="1202208472">
    <w:abstractNumId w:val="4"/>
  </w:num>
  <w:num w:numId="13" w16cid:durableId="705058404">
    <w:abstractNumId w:val="17"/>
  </w:num>
  <w:num w:numId="14" w16cid:durableId="1394427777">
    <w:abstractNumId w:val="11"/>
  </w:num>
  <w:num w:numId="15" w16cid:durableId="212087362">
    <w:abstractNumId w:val="2"/>
  </w:num>
  <w:num w:numId="16" w16cid:durableId="1388257292">
    <w:abstractNumId w:val="14"/>
  </w:num>
  <w:num w:numId="17" w16cid:durableId="98766368">
    <w:abstractNumId w:val="24"/>
  </w:num>
  <w:num w:numId="18" w16cid:durableId="7877216">
    <w:abstractNumId w:val="34"/>
  </w:num>
  <w:num w:numId="19" w16cid:durableId="803693448">
    <w:abstractNumId w:val="33"/>
  </w:num>
  <w:num w:numId="20" w16cid:durableId="1501771662">
    <w:abstractNumId w:val="26"/>
  </w:num>
  <w:num w:numId="21" w16cid:durableId="5645267">
    <w:abstractNumId w:val="28"/>
  </w:num>
  <w:num w:numId="22" w16cid:durableId="106438758">
    <w:abstractNumId w:val="15"/>
  </w:num>
  <w:num w:numId="23" w16cid:durableId="934559711">
    <w:abstractNumId w:val="25"/>
  </w:num>
  <w:num w:numId="24" w16cid:durableId="707531840">
    <w:abstractNumId w:val="21"/>
  </w:num>
  <w:num w:numId="25" w16cid:durableId="1240291138">
    <w:abstractNumId w:val="32"/>
  </w:num>
  <w:num w:numId="26" w16cid:durableId="897277228">
    <w:abstractNumId w:val="8"/>
  </w:num>
  <w:num w:numId="27" w16cid:durableId="724135883">
    <w:abstractNumId w:val="0"/>
  </w:num>
  <w:num w:numId="28" w16cid:durableId="1667122802">
    <w:abstractNumId w:val="10"/>
  </w:num>
  <w:num w:numId="29" w16cid:durableId="516163662">
    <w:abstractNumId w:val="3"/>
  </w:num>
  <w:num w:numId="30" w16cid:durableId="104349977">
    <w:abstractNumId w:val="12"/>
  </w:num>
  <w:num w:numId="31" w16cid:durableId="1210537003">
    <w:abstractNumId w:val="18"/>
  </w:num>
  <w:num w:numId="32" w16cid:durableId="1004240421">
    <w:abstractNumId w:val="20"/>
  </w:num>
  <w:num w:numId="33" w16cid:durableId="1239556250">
    <w:abstractNumId w:val="29"/>
  </w:num>
  <w:num w:numId="34" w16cid:durableId="856112903">
    <w:abstractNumId w:val="30"/>
  </w:num>
  <w:num w:numId="35" w16cid:durableId="1443068607">
    <w:abstractNumId w:val="19"/>
  </w:num>
  <w:num w:numId="36" w16cid:durableId="1162426806">
    <w:abstractNumId w:val="22"/>
  </w:num>
  <w:num w:numId="37" w16cid:durableId="5363090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0097"/>
    <w:rsid w:val="00000E1B"/>
    <w:rsid w:val="00001D31"/>
    <w:rsid w:val="00003DC3"/>
    <w:rsid w:val="00005A34"/>
    <w:rsid w:val="000061F2"/>
    <w:rsid w:val="00006D8E"/>
    <w:rsid w:val="00010F8D"/>
    <w:rsid w:val="00014104"/>
    <w:rsid w:val="00014168"/>
    <w:rsid w:val="00014646"/>
    <w:rsid w:val="0001527D"/>
    <w:rsid w:val="00017A16"/>
    <w:rsid w:val="0002051A"/>
    <w:rsid w:val="00022EBD"/>
    <w:rsid w:val="0002320F"/>
    <w:rsid w:val="000264AB"/>
    <w:rsid w:val="00026E09"/>
    <w:rsid w:val="000303E3"/>
    <w:rsid w:val="00032BD7"/>
    <w:rsid w:val="000339C1"/>
    <w:rsid w:val="00034156"/>
    <w:rsid w:val="000355FF"/>
    <w:rsid w:val="00037CE0"/>
    <w:rsid w:val="000403F7"/>
    <w:rsid w:val="00040A96"/>
    <w:rsid w:val="00045C40"/>
    <w:rsid w:val="00045C67"/>
    <w:rsid w:val="00051089"/>
    <w:rsid w:val="000510F4"/>
    <w:rsid w:val="00052702"/>
    <w:rsid w:val="00053929"/>
    <w:rsid w:val="00054CEB"/>
    <w:rsid w:val="0005549B"/>
    <w:rsid w:val="00056A7A"/>
    <w:rsid w:val="0006213D"/>
    <w:rsid w:val="00062512"/>
    <w:rsid w:val="000636B5"/>
    <w:rsid w:val="00063B50"/>
    <w:rsid w:val="00064110"/>
    <w:rsid w:val="00067EEA"/>
    <w:rsid w:val="0007258D"/>
    <w:rsid w:val="00073BC6"/>
    <w:rsid w:val="00074B0E"/>
    <w:rsid w:val="00074DE8"/>
    <w:rsid w:val="000758B9"/>
    <w:rsid w:val="000776F6"/>
    <w:rsid w:val="00081120"/>
    <w:rsid w:val="000833BA"/>
    <w:rsid w:val="00086C58"/>
    <w:rsid w:val="00094DD2"/>
    <w:rsid w:val="000958ED"/>
    <w:rsid w:val="000969A0"/>
    <w:rsid w:val="000A050A"/>
    <w:rsid w:val="000A3E3E"/>
    <w:rsid w:val="000A733E"/>
    <w:rsid w:val="000A78B6"/>
    <w:rsid w:val="000B030B"/>
    <w:rsid w:val="000B1804"/>
    <w:rsid w:val="000B5464"/>
    <w:rsid w:val="000B5BD5"/>
    <w:rsid w:val="000B70C4"/>
    <w:rsid w:val="000B7A2B"/>
    <w:rsid w:val="000C2489"/>
    <w:rsid w:val="000C4536"/>
    <w:rsid w:val="000C6028"/>
    <w:rsid w:val="000C64F8"/>
    <w:rsid w:val="000D2999"/>
    <w:rsid w:val="000D369A"/>
    <w:rsid w:val="000D536F"/>
    <w:rsid w:val="000D5C76"/>
    <w:rsid w:val="000D7C6F"/>
    <w:rsid w:val="000E02B8"/>
    <w:rsid w:val="000E047B"/>
    <w:rsid w:val="000E0692"/>
    <w:rsid w:val="000E2490"/>
    <w:rsid w:val="000E2B76"/>
    <w:rsid w:val="000E2FA0"/>
    <w:rsid w:val="000E47B5"/>
    <w:rsid w:val="000E47E9"/>
    <w:rsid w:val="000E6839"/>
    <w:rsid w:val="000E6A7E"/>
    <w:rsid w:val="000E6FFA"/>
    <w:rsid w:val="000F2C0C"/>
    <w:rsid w:val="000F468C"/>
    <w:rsid w:val="000F48E2"/>
    <w:rsid w:val="000F6978"/>
    <w:rsid w:val="00102075"/>
    <w:rsid w:val="001031DD"/>
    <w:rsid w:val="00103EF9"/>
    <w:rsid w:val="00105241"/>
    <w:rsid w:val="00105420"/>
    <w:rsid w:val="001105FA"/>
    <w:rsid w:val="001136DE"/>
    <w:rsid w:val="00115B96"/>
    <w:rsid w:val="0012096C"/>
    <w:rsid w:val="00120B76"/>
    <w:rsid w:val="0012187A"/>
    <w:rsid w:val="001228E5"/>
    <w:rsid w:val="00122C0E"/>
    <w:rsid w:val="001230BA"/>
    <w:rsid w:val="00123F8E"/>
    <w:rsid w:val="00124E9A"/>
    <w:rsid w:val="00127385"/>
    <w:rsid w:val="00127828"/>
    <w:rsid w:val="001302F6"/>
    <w:rsid w:val="00133E4E"/>
    <w:rsid w:val="00134772"/>
    <w:rsid w:val="0013507F"/>
    <w:rsid w:val="00135B42"/>
    <w:rsid w:val="00143C49"/>
    <w:rsid w:val="00143F32"/>
    <w:rsid w:val="00143F53"/>
    <w:rsid w:val="00145088"/>
    <w:rsid w:val="00145541"/>
    <w:rsid w:val="00150750"/>
    <w:rsid w:val="001527E2"/>
    <w:rsid w:val="001554EE"/>
    <w:rsid w:val="001611AA"/>
    <w:rsid w:val="00161BDA"/>
    <w:rsid w:val="0016536F"/>
    <w:rsid w:val="00165F3B"/>
    <w:rsid w:val="00166EE8"/>
    <w:rsid w:val="00170114"/>
    <w:rsid w:val="00170AB4"/>
    <w:rsid w:val="00170BDE"/>
    <w:rsid w:val="00171618"/>
    <w:rsid w:val="00173C33"/>
    <w:rsid w:val="0017475B"/>
    <w:rsid w:val="00175181"/>
    <w:rsid w:val="00177904"/>
    <w:rsid w:val="00180661"/>
    <w:rsid w:val="00180710"/>
    <w:rsid w:val="001819B1"/>
    <w:rsid w:val="001837E8"/>
    <w:rsid w:val="00186290"/>
    <w:rsid w:val="00186378"/>
    <w:rsid w:val="001872AE"/>
    <w:rsid w:val="00187A82"/>
    <w:rsid w:val="00195ACC"/>
    <w:rsid w:val="0019696E"/>
    <w:rsid w:val="0019701A"/>
    <w:rsid w:val="001A2942"/>
    <w:rsid w:val="001A2D10"/>
    <w:rsid w:val="001A79E2"/>
    <w:rsid w:val="001B0C07"/>
    <w:rsid w:val="001B12EE"/>
    <w:rsid w:val="001B3B3C"/>
    <w:rsid w:val="001B46E8"/>
    <w:rsid w:val="001B48DF"/>
    <w:rsid w:val="001B6913"/>
    <w:rsid w:val="001C1724"/>
    <w:rsid w:val="001C2851"/>
    <w:rsid w:val="001C5A10"/>
    <w:rsid w:val="001C5E41"/>
    <w:rsid w:val="001C61DC"/>
    <w:rsid w:val="001C77BC"/>
    <w:rsid w:val="001C7D86"/>
    <w:rsid w:val="001D48BB"/>
    <w:rsid w:val="001D61F9"/>
    <w:rsid w:val="001D6417"/>
    <w:rsid w:val="001D78EF"/>
    <w:rsid w:val="001D7B4E"/>
    <w:rsid w:val="001E00E3"/>
    <w:rsid w:val="001E3991"/>
    <w:rsid w:val="001E3C22"/>
    <w:rsid w:val="001E774B"/>
    <w:rsid w:val="001F2349"/>
    <w:rsid w:val="001F350D"/>
    <w:rsid w:val="001F4768"/>
    <w:rsid w:val="002005D2"/>
    <w:rsid w:val="00200A4E"/>
    <w:rsid w:val="002027B6"/>
    <w:rsid w:val="0020298B"/>
    <w:rsid w:val="002044C9"/>
    <w:rsid w:val="00205CC0"/>
    <w:rsid w:val="00206111"/>
    <w:rsid w:val="0021123F"/>
    <w:rsid w:val="00211A70"/>
    <w:rsid w:val="002137E0"/>
    <w:rsid w:val="002142B9"/>
    <w:rsid w:val="00215A44"/>
    <w:rsid w:val="00217EA3"/>
    <w:rsid w:val="00223333"/>
    <w:rsid w:val="00225997"/>
    <w:rsid w:val="002324D9"/>
    <w:rsid w:val="00232E87"/>
    <w:rsid w:val="00233ED6"/>
    <w:rsid w:val="002348CC"/>
    <w:rsid w:val="00234B9C"/>
    <w:rsid w:val="00235E7D"/>
    <w:rsid w:val="00236669"/>
    <w:rsid w:val="00236CB7"/>
    <w:rsid w:val="002379CF"/>
    <w:rsid w:val="002412AD"/>
    <w:rsid w:val="00241488"/>
    <w:rsid w:val="00242EDE"/>
    <w:rsid w:val="00245599"/>
    <w:rsid w:val="002514C2"/>
    <w:rsid w:val="00252F9B"/>
    <w:rsid w:val="00256946"/>
    <w:rsid w:val="00262F8B"/>
    <w:rsid w:val="00263CEA"/>
    <w:rsid w:val="00264574"/>
    <w:rsid w:val="00265284"/>
    <w:rsid w:val="002710F2"/>
    <w:rsid w:val="00273686"/>
    <w:rsid w:val="002741AC"/>
    <w:rsid w:val="00275F13"/>
    <w:rsid w:val="002819C0"/>
    <w:rsid w:val="00282923"/>
    <w:rsid w:val="00286EE7"/>
    <w:rsid w:val="002905E6"/>
    <w:rsid w:val="00291EF4"/>
    <w:rsid w:val="00292121"/>
    <w:rsid w:val="00294BC8"/>
    <w:rsid w:val="00295556"/>
    <w:rsid w:val="00295BB5"/>
    <w:rsid w:val="002979D2"/>
    <w:rsid w:val="00297A1A"/>
    <w:rsid w:val="002A123F"/>
    <w:rsid w:val="002A2388"/>
    <w:rsid w:val="002A3078"/>
    <w:rsid w:val="002A4877"/>
    <w:rsid w:val="002A49D9"/>
    <w:rsid w:val="002A52A0"/>
    <w:rsid w:val="002A5A4D"/>
    <w:rsid w:val="002A5DB3"/>
    <w:rsid w:val="002A64C7"/>
    <w:rsid w:val="002B10EE"/>
    <w:rsid w:val="002B21E1"/>
    <w:rsid w:val="002B4262"/>
    <w:rsid w:val="002B4764"/>
    <w:rsid w:val="002B7028"/>
    <w:rsid w:val="002B74BA"/>
    <w:rsid w:val="002C316A"/>
    <w:rsid w:val="002C3874"/>
    <w:rsid w:val="002C394F"/>
    <w:rsid w:val="002C44B4"/>
    <w:rsid w:val="002C4CD3"/>
    <w:rsid w:val="002C74CE"/>
    <w:rsid w:val="002C7FD7"/>
    <w:rsid w:val="002D2144"/>
    <w:rsid w:val="002D5A4D"/>
    <w:rsid w:val="002D7C2D"/>
    <w:rsid w:val="002E22AF"/>
    <w:rsid w:val="002E25C6"/>
    <w:rsid w:val="002E4F73"/>
    <w:rsid w:val="002E4F90"/>
    <w:rsid w:val="002E503C"/>
    <w:rsid w:val="002E6CA8"/>
    <w:rsid w:val="002F41C6"/>
    <w:rsid w:val="002F461B"/>
    <w:rsid w:val="002F464D"/>
    <w:rsid w:val="00302602"/>
    <w:rsid w:val="00302F39"/>
    <w:rsid w:val="00303821"/>
    <w:rsid w:val="0030427E"/>
    <w:rsid w:val="003104E6"/>
    <w:rsid w:val="00312FBA"/>
    <w:rsid w:val="00313D40"/>
    <w:rsid w:val="003147BE"/>
    <w:rsid w:val="003175F8"/>
    <w:rsid w:val="00322BFB"/>
    <w:rsid w:val="0032333C"/>
    <w:rsid w:val="00324398"/>
    <w:rsid w:val="00324926"/>
    <w:rsid w:val="003250A8"/>
    <w:rsid w:val="003300FA"/>
    <w:rsid w:val="00330652"/>
    <w:rsid w:val="00330DD7"/>
    <w:rsid w:val="00332067"/>
    <w:rsid w:val="003329B9"/>
    <w:rsid w:val="00333B20"/>
    <w:rsid w:val="003356A1"/>
    <w:rsid w:val="00335A7B"/>
    <w:rsid w:val="00335FEC"/>
    <w:rsid w:val="0034030B"/>
    <w:rsid w:val="00340A7C"/>
    <w:rsid w:val="003474F5"/>
    <w:rsid w:val="00354000"/>
    <w:rsid w:val="0035485D"/>
    <w:rsid w:val="00354FD7"/>
    <w:rsid w:val="00356A6E"/>
    <w:rsid w:val="003602A1"/>
    <w:rsid w:val="00362AA6"/>
    <w:rsid w:val="00362EA0"/>
    <w:rsid w:val="00363D7D"/>
    <w:rsid w:val="0036419C"/>
    <w:rsid w:val="00366A63"/>
    <w:rsid w:val="00367B80"/>
    <w:rsid w:val="003701F3"/>
    <w:rsid w:val="00370D36"/>
    <w:rsid w:val="00372066"/>
    <w:rsid w:val="00373726"/>
    <w:rsid w:val="0037602C"/>
    <w:rsid w:val="00376445"/>
    <w:rsid w:val="0038249A"/>
    <w:rsid w:val="00384C1F"/>
    <w:rsid w:val="00384FC3"/>
    <w:rsid w:val="00385B80"/>
    <w:rsid w:val="00390405"/>
    <w:rsid w:val="003904DC"/>
    <w:rsid w:val="003926C1"/>
    <w:rsid w:val="00392F1F"/>
    <w:rsid w:val="00393FD5"/>
    <w:rsid w:val="003944C2"/>
    <w:rsid w:val="00395744"/>
    <w:rsid w:val="003961A1"/>
    <w:rsid w:val="00396639"/>
    <w:rsid w:val="003A18B7"/>
    <w:rsid w:val="003A2E14"/>
    <w:rsid w:val="003A3804"/>
    <w:rsid w:val="003A52BE"/>
    <w:rsid w:val="003A5866"/>
    <w:rsid w:val="003A6737"/>
    <w:rsid w:val="003A69CF"/>
    <w:rsid w:val="003A6E9F"/>
    <w:rsid w:val="003A7A1D"/>
    <w:rsid w:val="003B1DCD"/>
    <w:rsid w:val="003B2D19"/>
    <w:rsid w:val="003B558E"/>
    <w:rsid w:val="003B5E1F"/>
    <w:rsid w:val="003B74DD"/>
    <w:rsid w:val="003C1C0E"/>
    <w:rsid w:val="003C2238"/>
    <w:rsid w:val="003C58A3"/>
    <w:rsid w:val="003D27CC"/>
    <w:rsid w:val="003D37A3"/>
    <w:rsid w:val="003D4CD6"/>
    <w:rsid w:val="003D7683"/>
    <w:rsid w:val="003E108B"/>
    <w:rsid w:val="003E1960"/>
    <w:rsid w:val="003E3842"/>
    <w:rsid w:val="003E38C5"/>
    <w:rsid w:val="003E426C"/>
    <w:rsid w:val="003F1048"/>
    <w:rsid w:val="003F2D80"/>
    <w:rsid w:val="003F41D1"/>
    <w:rsid w:val="003F5D1D"/>
    <w:rsid w:val="003F684C"/>
    <w:rsid w:val="003F6A79"/>
    <w:rsid w:val="003F76C9"/>
    <w:rsid w:val="00400560"/>
    <w:rsid w:val="00405B72"/>
    <w:rsid w:val="00406F37"/>
    <w:rsid w:val="00407789"/>
    <w:rsid w:val="004150E1"/>
    <w:rsid w:val="00420183"/>
    <w:rsid w:val="004208E3"/>
    <w:rsid w:val="004228C7"/>
    <w:rsid w:val="0042355C"/>
    <w:rsid w:val="0042798B"/>
    <w:rsid w:val="004316A3"/>
    <w:rsid w:val="00432E31"/>
    <w:rsid w:val="00434579"/>
    <w:rsid w:val="00434913"/>
    <w:rsid w:val="0043781A"/>
    <w:rsid w:val="004410A9"/>
    <w:rsid w:val="00441D5A"/>
    <w:rsid w:val="00444C49"/>
    <w:rsid w:val="00445461"/>
    <w:rsid w:val="00445510"/>
    <w:rsid w:val="00447430"/>
    <w:rsid w:val="004474F8"/>
    <w:rsid w:val="004504FB"/>
    <w:rsid w:val="0045056A"/>
    <w:rsid w:val="00450B70"/>
    <w:rsid w:val="004549BA"/>
    <w:rsid w:val="00455ECB"/>
    <w:rsid w:val="0045714B"/>
    <w:rsid w:val="004668FC"/>
    <w:rsid w:val="00466B64"/>
    <w:rsid w:val="004705B3"/>
    <w:rsid w:val="00470EFC"/>
    <w:rsid w:val="004717E1"/>
    <w:rsid w:val="00472A3C"/>
    <w:rsid w:val="004737CA"/>
    <w:rsid w:val="0047478D"/>
    <w:rsid w:val="00477550"/>
    <w:rsid w:val="0048185B"/>
    <w:rsid w:val="00482457"/>
    <w:rsid w:val="00483585"/>
    <w:rsid w:val="004844A8"/>
    <w:rsid w:val="00485F41"/>
    <w:rsid w:val="00487D70"/>
    <w:rsid w:val="004927F4"/>
    <w:rsid w:val="0049306A"/>
    <w:rsid w:val="00494EE3"/>
    <w:rsid w:val="00496803"/>
    <w:rsid w:val="004A08EA"/>
    <w:rsid w:val="004A12F8"/>
    <w:rsid w:val="004A14FF"/>
    <w:rsid w:val="004A2BD8"/>
    <w:rsid w:val="004A2BEC"/>
    <w:rsid w:val="004A3550"/>
    <w:rsid w:val="004A471D"/>
    <w:rsid w:val="004A6B49"/>
    <w:rsid w:val="004B1E90"/>
    <w:rsid w:val="004B2FB4"/>
    <w:rsid w:val="004B5A08"/>
    <w:rsid w:val="004B6688"/>
    <w:rsid w:val="004D5049"/>
    <w:rsid w:val="004D5769"/>
    <w:rsid w:val="004D6C1B"/>
    <w:rsid w:val="004D799B"/>
    <w:rsid w:val="004E1861"/>
    <w:rsid w:val="004E2E94"/>
    <w:rsid w:val="004F33B7"/>
    <w:rsid w:val="004F39B1"/>
    <w:rsid w:val="004F47E1"/>
    <w:rsid w:val="004F56AE"/>
    <w:rsid w:val="004F5EC1"/>
    <w:rsid w:val="004F67BC"/>
    <w:rsid w:val="004F68D2"/>
    <w:rsid w:val="004F7582"/>
    <w:rsid w:val="00500057"/>
    <w:rsid w:val="00501D65"/>
    <w:rsid w:val="0050488F"/>
    <w:rsid w:val="005071F9"/>
    <w:rsid w:val="00510E7B"/>
    <w:rsid w:val="0051113F"/>
    <w:rsid w:val="00515416"/>
    <w:rsid w:val="005166E2"/>
    <w:rsid w:val="00520211"/>
    <w:rsid w:val="00520ABE"/>
    <w:rsid w:val="00520DF0"/>
    <w:rsid w:val="0052143E"/>
    <w:rsid w:val="005239BF"/>
    <w:rsid w:val="005244A4"/>
    <w:rsid w:val="00525A15"/>
    <w:rsid w:val="00527783"/>
    <w:rsid w:val="00530889"/>
    <w:rsid w:val="00532215"/>
    <w:rsid w:val="0053626D"/>
    <w:rsid w:val="00536BAB"/>
    <w:rsid w:val="00537C78"/>
    <w:rsid w:val="00540CC5"/>
    <w:rsid w:val="00541457"/>
    <w:rsid w:val="00542773"/>
    <w:rsid w:val="00542B25"/>
    <w:rsid w:val="005440DC"/>
    <w:rsid w:val="00544D57"/>
    <w:rsid w:val="005470BC"/>
    <w:rsid w:val="0054750F"/>
    <w:rsid w:val="0055060C"/>
    <w:rsid w:val="00554107"/>
    <w:rsid w:val="00556E05"/>
    <w:rsid w:val="00562555"/>
    <w:rsid w:val="00562789"/>
    <w:rsid w:val="00564473"/>
    <w:rsid w:val="00564644"/>
    <w:rsid w:val="0056590A"/>
    <w:rsid w:val="0057022C"/>
    <w:rsid w:val="005704B0"/>
    <w:rsid w:val="00571CC2"/>
    <w:rsid w:val="00575673"/>
    <w:rsid w:val="005768E0"/>
    <w:rsid w:val="00576DCE"/>
    <w:rsid w:val="005814B5"/>
    <w:rsid w:val="00586BD4"/>
    <w:rsid w:val="0058757F"/>
    <w:rsid w:val="005904EA"/>
    <w:rsid w:val="00591FFC"/>
    <w:rsid w:val="00592021"/>
    <w:rsid w:val="00594AFE"/>
    <w:rsid w:val="005953C5"/>
    <w:rsid w:val="005A782B"/>
    <w:rsid w:val="005B1C93"/>
    <w:rsid w:val="005B44B0"/>
    <w:rsid w:val="005B450E"/>
    <w:rsid w:val="005B4DF7"/>
    <w:rsid w:val="005B6605"/>
    <w:rsid w:val="005C4359"/>
    <w:rsid w:val="005C5F9D"/>
    <w:rsid w:val="005C68F1"/>
    <w:rsid w:val="005C7339"/>
    <w:rsid w:val="005C76F8"/>
    <w:rsid w:val="005D073B"/>
    <w:rsid w:val="005D3CDC"/>
    <w:rsid w:val="005D3E9D"/>
    <w:rsid w:val="005E0D25"/>
    <w:rsid w:val="005E1822"/>
    <w:rsid w:val="005E21D0"/>
    <w:rsid w:val="005E3F35"/>
    <w:rsid w:val="005E5BD9"/>
    <w:rsid w:val="005E6D57"/>
    <w:rsid w:val="005F039D"/>
    <w:rsid w:val="005F1C69"/>
    <w:rsid w:val="005F3F7B"/>
    <w:rsid w:val="005F7295"/>
    <w:rsid w:val="00602357"/>
    <w:rsid w:val="00602E60"/>
    <w:rsid w:val="0061090C"/>
    <w:rsid w:val="00612264"/>
    <w:rsid w:val="0061276C"/>
    <w:rsid w:val="006154B7"/>
    <w:rsid w:val="0061741B"/>
    <w:rsid w:val="006174C2"/>
    <w:rsid w:val="006202D1"/>
    <w:rsid w:val="00621796"/>
    <w:rsid w:val="00621EF6"/>
    <w:rsid w:val="00623AD2"/>
    <w:rsid w:val="006256D3"/>
    <w:rsid w:val="00626DA0"/>
    <w:rsid w:val="00627BB7"/>
    <w:rsid w:val="006305BF"/>
    <w:rsid w:val="00630A26"/>
    <w:rsid w:val="006313D0"/>
    <w:rsid w:val="00632BF9"/>
    <w:rsid w:val="00633BFF"/>
    <w:rsid w:val="0063515F"/>
    <w:rsid w:val="00635288"/>
    <w:rsid w:val="00635765"/>
    <w:rsid w:val="00635BC8"/>
    <w:rsid w:val="00635C82"/>
    <w:rsid w:val="006363F3"/>
    <w:rsid w:val="0063650F"/>
    <w:rsid w:val="0064120D"/>
    <w:rsid w:val="00642819"/>
    <w:rsid w:val="006437CB"/>
    <w:rsid w:val="00643922"/>
    <w:rsid w:val="00644A13"/>
    <w:rsid w:val="00645CE8"/>
    <w:rsid w:val="0064684B"/>
    <w:rsid w:val="00650DA2"/>
    <w:rsid w:val="0065136E"/>
    <w:rsid w:val="00653C4E"/>
    <w:rsid w:val="00657D8F"/>
    <w:rsid w:val="0066095F"/>
    <w:rsid w:val="0066697D"/>
    <w:rsid w:val="006674BC"/>
    <w:rsid w:val="00670D71"/>
    <w:rsid w:val="006711CC"/>
    <w:rsid w:val="00671AC0"/>
    <w:rsid w:val="00672AD9"/>
    <w:rsid w:val="00673D23"/>
    <w:rsid w:val="00675AD6"/>
    <w:rsid w:val="0067636F"/>
    <w:rsid w:val="006774F3"/>
    <w:rsid w:val="00677F9D"/>
    <w:rsid w:val="0068550A"/>
    <w:rsid w:val="0068689D"/>
    <w:rsid w:val="0068704C"/>
    <w:rsid w:val="00691A71"/>
    <w:rsid w:val="006958FF"/>
    <w:rsid w:val="00695DE4"/>
    <w:rsid w:val="00697BEF"/>
    <w:rsid w:val="006A3412"/>
    <w:rsid w:val="006A359E"/>
    <w:rsid w:val="006A3ED5"/>
    <w:rsid w:val="006A7B67"/>
    <w:rsid w:val="006B0D78"/>
    <w:rsid w:val="006B1B12"/>
    <w:rsid w:val="006B3B75"/>
    <w:rsid w:val="006B3E4D"/>
    <w:rsid w:val="006B69D1"/>
    <w:rsid w:val="006C0EDE"/>
    <w:rsid w:val="006C235D"/>
    <w:rsid w:val="006C2604"/>
    <w:rsid w:val="006C3C44"/>
    <w:rsid w:val="006C54D5"/>
    <w:rsid w:val="006C5654"/>
    <w:rsid w:val="006D4AA0"/>
    <w:rsid w:val="006D5359"/>
    <w:rsid w:val="006D5E91"/>
    <w:rsid w:val="006E0641"/>
    <w:rsid w:val="006E0CAD"/>
    <w:rsid w:val="006E3A2D"/>
    <w:rsid w:val="006E60AF"/>
    <w:rsid w:val="006E60B2"/>
    <w:rsid w:val="006E74AE"/>
    <w:rsid w:val="006E7DCE"/>
    <w:rsid w:val="006E7E77"/>
    <w:rsid w:val="006F024E"/>
    <w:rsid w:val="006F1066"/>
    <w:rsid w:val="006F1E88"/>
    <w:rsid w:val="006F293F"/>
    <w:rsid w:val="007007E8"/>
    <w:rsid w:val="007023A2"/>
    <w:rsid w:val="007031F1"/>
    <w:rsid w:val="00703A94"/>
    <w:rsid w:val="007050FF"/>
    <w:rsid w:val="00706322"/>
    <w:rsid w:val="00707F4E"/>
    <w:rsid w:val="00711E39"/>
    <w:rsid w:val="007120EB"/>
    <w:rsid w:val="00712931"/>
    <w:rsid w:val="00712F14"/>
    <w:rsid w:val="00716CDC"/>
    <w:rsid w:val="00717FAC"/>
    <w:rsid w:val="007215E3"/>
    <w:rsid w:val="00725600"/>
    <w:rsid w:val="00732A3B"/>
    <w:rsid w:val="007359DE"/>
    <w:rsid w:val="00737ACF"/>
    <w:rsid w:val="00741B74"/>
    <w:rsid w:val="00744514"/>
    <w:rsid w:val="00744819"/>
    <w:rsid w:val="00744EBD"/>
    <w:rsid w:val="00745064"/>
    <w:rsid w:val="007457A8"/>
    <w:rsid w:val="0074648B"/>
    <w:rsid w:val="0075032A"/>
    <w:rsid w:val="00752764"/>
    <w:rsid w:val="0075626E"/>
    <w:rsid w:val="00760D8D"/>
    <w:rsid w:val="00762ABF"/>
    <w:rsid w:val="0076460A"/>
    <w:rsid w:val="007657F5"/>
    <w:rsid w:val="00766879"/>
    <w:rsid w:val="00766962"/>
    <w:rsid w:val="00767F89"/>
    <w:rsid w:val="00771FBC"/>
    <w:rsid w:val="00773BE0"/>
    <w:rsid w:val="00775287"/>
    <w:rsid w:val="0077584F"/>
    <w:rsid w:val="00777EE1"/>
    <w:rsid w:val="007804BE"/>
    <w:rsid w:val="00782CFB"/>
    <w:rsid w:val="00783C7A"/>
    <w:rsid w:val="00784896"/>
    <w:rsid w:val="007859CE"/>
    <w:rsid w:val="00787E09"/>
    <w:rsid w:val="007904BE"/>
    <w:rsid w:val="007910D5"/>
    <w:rsid w:val="00791423"/>
    <w:rsid w:val="00797FF5"/>
    <w:rsid w:val="007A118B"/>
    <w:rsid w:val="007A13F2"/>
    <w:rsid w:val="007A5AAD"/>
    <w:rsid w:val="007A5FC1"/>
    <w:rsid w:val="007B0696"/>
    <w:rsid w:val="007B2F42"/>
    <w:rsid w:val="007B4BD3"/>
    <w:rsid w:val="007C0F7C"/>
    <w:rsid w:val="007C2EB8"/>
    <w:rsid w:val="007C329F"/>
    <w:rsid w:val="007C32D3"/>
    <w:rsid w:val="007C5D26"/>
    <w:rsid w:val="007D207F"/>
    <w:rsid w:val="007D33F4"/>
    <w:rsid w:val="007D5E88"/>
    <w:rsid w:val="007D621E"/>
    <w:rsid w:val="007D6A7F"/>
    <w:rsid w:val="007E3A53"/>
    <w:rsid w:val="007E486D"/>
    <w:rsid w:val="007E6771"/>
    <w:rsid w:val="007E7EF5"/>
    <w:rsid w:val="007F3ABE"/>
    <w:rsid w:val="007F4CAA"/>
    <w:rsid w:val="007F5E38"/>
    <w:rsid w:val="007F635F"/>
    <w:rsid w:val="007F78F1"/>
    <w:rsid w:val="007F7E18"/>
    <w:rsid w:val="00800D7C"/>
    <w:rsid w:val="008013B0"/>
    <w:rsid w:val="00801FCA"/>
    <w:rsid w:val="0080200D"/>
    <w:rsid w:val="0080280B"/>
    <w:rsid w:val="00811503"/>
    <w:rsid w:val="00821458"/>
    <w:rsid w:val="0082371B"/>
    <w:rsid w:val="008246D8"/>
    <w:rsid w:val="00824762"/>
    <w:rsid w:val="008328E9"/>
    <w:rsid w:val="00835170"/>
    <w:rsid w:val="0083596A"/>
    <w:rsid w:val="00835BCB"/>
    <w:rsid w:val="00835CDC"/>
    <w:rsid w:val="00842164"/>
    <w:rsid w:val="008427DA"/>
    <w:rsid w:val="00844453"/>
    <w:rsid w:val="00846EBB"/>
    <w:rsid w:val="00847BB3"/>
    <w:rsid w:val="00847D11"/>
    <w:rsid w:val="008503B5"/>
    <w:rsid w:val="00850B09"/>
    <w:rsid w:val="0085180F"/>
    <w:rsid w:val="00851934"/>
    <w:rsid w:val="00852A37"/>
    <w:rsid w:val="00853C1E"/>
    <w:rsid w:val="00855451"/>
    <w:rsid w:val="00855456"/>
    <w:rsid w:val="00862A2B"/>
    <w:rsid w:val="00863B9D"/>
    <w:rsid w:val="00863BE6"/>
    <w:rsid w:val="00863FB4"/>
    <w:rsid w:val="00865C09"/>
    <w:rsid w:val="00866005"/>
    <w:rsid w:val="00866F7A"/>
    <w:rsid w:val="00867596"/>
    <w:rsid w:val="00870635"/>
    <w:rsid w:val="00875511"/>
    <w:rsid w:val="008775BC"/>
    <w:rsid w:val="00877729"/>
    <w:rsid w:val="00880BF6"/>
    <w:rsid w:val="0088121A"/>
    <w:rsid w:val="00882F1B"/>
    <w:rsid w:val="00884857"/>
    <w:rsid w:val="00891737"/>
    <w:rsid w:val="00894D44"/>
    <w:rsid w:val="00894F0C"/>
    <w:rsid w:val="0089531A"/>
    <w:rsid w:val="00897E4B"/>
    <w:rsid w:val="008A1CFF"/>
    <w:rsid w:val="008A5384"/>
    <w:rsid w:val="008A53B5"/>
    <w:rsid w:val="008A5B05"/>
    <w:rsid w:val="008A70CE"/>
    <w:rsid w:val="008B2BE2"/>
    <w:rsid w:val="008B3F19"/>
    <w:rsid w:val="008B4237"/>
    <w:rsid w:val="008C0C92"/>
    <w:rsid w:val="008C1309"/>
    <w:rsid w:val="008C1B35"/>
    <w:rsid w:val="008C25E4"/>
    <w:rsid w:val="008C2744"/>
    <w:rsid w:val="008C2DAE"/>
    <w:rsid w:val="008C4402"/>
    <w:rsid w:val="008C5962"/>
    <w:rsid w:val="008D05EC"/>
    <w:rsid w:val="008D339E"/>
    <w:rsid w:val="008D453E"/>
    <w:rsid w:val="008D47FD"/>
    <w:rsid w:val="008D5008"/>
    <w:rsid w:val="008E14F6"/>
    <w:rsid w:val="008E178B"/>
    <w:rsid w:val="008E2BCA"/>
    <w:rsid w:val="008E33F4"/>
    <w:rsid w:val="008E4CE6"/>
    <w:rsid w:val="008E6F86"/>
    <w:rsid w:val="008F436F"/>
    <w:rsid w:val="00900357"/>
    <w:rsid w:val="0090050A"/>
    <w:rsid w:val="009005B1"/>
    <w:rsid w:val="0090207C"/>
    <w:rsid w:val="00904474"/>
    <w:rsid w:val="009055A1"/>
    <w:rsid w:val="009059A9"/>
    <w:rsid w:val="0090604A"/>
    <w:rsid w:val="00906C5C"/>
    <w:rsid w:val="00912031"/>
    <w:rsid w:val="0091539C"/>
    <w:rsid w:val="00922C65"/>
    <w:rsid w:val="00923DB5"/>
    <w:rsid w:val="00924861"/>
    <w:rsid w:val="0092515E"/>
    <w:rsid w:val="009257DA"/>
    <w:rsid w:val="0092696E"/>
    <w:rsid w:val="0093048B"/>
    <w:rsid w:val="009346D4"/>
    <w:rsid w:val="00934C8F"/>
    <w:rsid w:val="00940CAF"/>
    <w:rsid w:val="009413A3"/>
    <w:rsid w:val="009417F9"/>
    <w:rsid w:val="00942FBD"/>
    <w:rsid w:val="00946C01"/>
    <w:rsid w:val="0094770B"/>
    <w:rsid w:val="00951341"/>
    <w:rsid w:val="00951FE9"/>
    <w:rsid w:val="00952B54"/>
    <w:rsid w:val="00953963"/>
    <w:rsid w:val="009618BB"/>
    <w:rsid w:val="009647C2"/>
    <w:rsid w:val="00970BC8"/>
    <w:rsid w:val="00977645"/>
    <w:rsid w:val="009814E1"/>
    <w:rsid w:val="009825D5"/>
    <w:rsid w:val="00983691"/>
    <w:rsid w:val="00985159"/>
    <w:rsid w:val="00985C26"/>
    <w:rsid w:val="00986C48"/>
    <w:rsid w:val="00993460"/>
    <w:rsid w:val="009954C9"/>
    <w:rsid w:val="0099563C"/>
    <w:rsid w:val="00996F18"/>
    <w:rsid w:val="009A02A9"/>
    <w:rsid w:val="009A0B44"/>
    <w:rsid w:val="009A2761"/>
    <w:rsid w:val="009A5778"/>
    <w:rsid w:val="009A63CE"/>
    <w:rsid w:val="009B1DFD"/>
    <w:rsid w:val="009B2267"/>
    <w:rsid w:val="009B232B"/>
    <w:rsid w:val="009B25B5"/>
    <w:rsid w:val="009B57BB"/>
    <w:rsid w:val="009C0E3D"/>
    <w:rsid w:val="009C7169"/>
    <w:rsid w:val="009D149F"/>
    <w:rsid w:val="009D23FB"/>
    <w:rsid w:val="009D37F4"/>
    <w:rsid w:val="009D74FA"/>
    <w:rsid w:val="009E0AE8"/>
    <w:rsid w:val="009E4907"/>
    <w:rsid w:val="009E4DFA"/>
    <w:rsid w:val="009E5374"/>
    <w:rsid w:val="009F1791"/>
    <w:rsid w:val="009F2CD3"/>
    <w:rsid w:val="009F345D"/>
    <w:rsid w:val="009F4EE9"/>
    <w:rsid w:val="009F5BBB"/>
    <w:rsid w:val="00A02847"/>
    <w:rsid w:val="00A038F7"/>
    <w:rsid w:val="00A03B7B"/>
    <w:rsid w:val="00A061A9"/>
    <w:rsid w:val="00A13218"/>
    <w:rsid w:val="00A13DB0"/>
    <w:rsid w:val="00A2039E"/>
    <w:rsid w:val="00A227A3"/>
    <w:rsid w:val="00A2471C"/>
    <w:rsid w:val="00A25480"/>
    <w:rsid w:val="00A262EA"/>
    <w:rsid w:val="00A2706A"/>
    <w:rsid w:val="00A272FF"/>
    <w:rsid w:val="00A31AD8"/>
    <w:rsid w:val="00A33DA4"/>
    <w:rsid w:val="00A35983"/>
    <w:rsid w:val="00A36108"/>
    <w:rsid w:val="00A3612F"/>
    <w:rsid w:val="00A37ECB"/>
    <w:rsid w:val="00A44BCC"/>
    <w:rsid w:val="00A45BAB"/>
    <w:rsid w:val="00A510E8"/>
    <w:rsid w:val="00A530F2"/>
    <w:rsid w:val="00A570F1"/>
    <w:rsid w:val="00A60AD7"/>
    <w:rsid w:val="00A60B73"/>
    <w:rsid w:val="00A652D2"/>
    <w:rsid w:val="00A704F1"/>
    <w:rsid w:val="00A70EC8"/>
    <w:rsid w:val="00A70F7F"/>
    <w:rsid w:val="00A72FE1"/>
    <w:rsid w:val="00A74F08"/>
    <w:rsid w:val="00A75054"/>
    <w:rsid w:val="00A750D7"/>
    <w:rsid w:val="00A80080"/>
    <w:rsid w:val="00A81345"/>
    <w:rsid w:val="00A81444"/>
    <w:rsid w:val="00A81BCB"/>
    <w:rsid w:val="00A81DCD"/>
    <w:rsid w:val="00A82C58"/>
    <w:rsid w:val="00A82C82"/>
    <w:rsid w:val="00A847C1"/>
    <w:rsid w:val="00A86FE6"/>
    <w:rsid w:val="00A9484F"/>
    <w:rsid w:val="00A95456"/>
    <w:rsid w:val="00A95BAC"/>
    <w:rsid w:val="00A96D52"/>
    <w:rsid w:val="00AA5053"/>
    <w:rsid w:val="00AA6157"/>
    <w:rsid w:val="00AA634C"/>
    <w:rsid w:val="00AB040E"/>
    <w:rsid w:val="00AB0844"/>
    <w:rsid w:val="00AB1C0C"/>
    <w:rsid w:val="00AB1CD8"/>
    <w:rsid w:val="00AB1F4F"/>
    <w:rsid w:val="00AB4951"/>
    <w:rsid w:val="00AB6F7A"/>
    <w:rsid w:val="00AC01C9"/>
    <w:rsid w:val="00AC32B0"/>
    <w:rsid w:val="00AC3EB8"/>
    <w:rsid w:val="00AC4287"/>
    <w:rsid w:val="00AC4519"/>
    <w:rsid w:val="00AC457A"/>
    <w:rsid w:val="00AC49AE"/>
    <w:rsid w:val="00AC5C98"/>
    <w:rsid w:val="00AC7707"/>
    <w:rsid w:val="00AD11ED"/>
    <w:rsid w:val="00AD1EDC"/>
    <w:rsid w:val="00AD2047"/>
    <w:rsid w:val="00AD237F"/>
    <w:rsid w:val="00AD2B05"/>
    <w:rsid w:val="00AD53FB"/>
    <w:rsid w:val="00AE281A"/>
    <w:rsid w:val="00AE368F"/>
    <w:rsid w:val="00AE6F06"/>
    <w:rsid w:val="00AE75B7"/>
    <w:rsid w:val="00AF13AC"/>
    <w:rsid w:val="00AF2468"/>
    <w:rsid w:val="00AF27FB"/>
    <w:rsid w:val="00AF2825"/>
    <w:rsid w:val="00AF3968"/>
    <w:rsid w:val="00AF4CE0"/>
    <w:rsid w:val="00AF6002"/>
    <w:rsid w:val="00AF792F"/>
    <w:rsid w:val="00B00EA9"/>
    <w:rsid w:val="00B0332F"/>
    <w:rsid w:val="00B077AD"/>
    <w:rsid w:val="00B07E37"/>
    <w:rsid w:val="00B10101"/>
    <w:rsid w:val="00B102B5"/>
    <w:rsid w:val="00B104DC"/>
    <w:rsid w:val="00B11A01"/>
    <w:rsid w:val="00B13260"/>
    <w:rsid w:val="00B13DB5"/>
    <w:rsid w:val="00B14613"/>
    <w:rsid w:val="00B1555F"/>
    <w:rsid w:val="00B17F54"/>
    <w:rsid w:val="00B215BF"/>
    <w:rsid w:val="00B251F4"/>
    <w:rsid w:val="00B27D86"/>
    <w:rsid w:val="00B315A0"/>
    <w:rsid w:val="00B3208E"/>
    <w:rsid w:val="00B32CF1"/>
    <w:rsid w:val="00B33127"/>
    <w:rsid w:val="00B34A18"/>
    <w:rsid w:val="00B35DEE"/>
    <w:rsid w:val="00B36B99"/>
    <w:rsid w:val="00B4071B"/>
    <w:rsid w:val="00B416B8"/>
    <w:rsid w:val="00B427C9"/>
    <w:rsid w:val="00B435E1"/>
    <w:rsid w:val="00B44605"/>
    <w:rsid w:val="00B461EA"/>
    <w:rsid w:val="00B468CE"/>
    <w:rsid w:val="00B5161B"/>
    <w:rsid w:val="00B51B94"/>
    <w:rsid w:val="00B53447"/>
    <w:rsid w:val="00B54BD8"/>
    <w:rsid w:val="00B56CCA"/>
    <w:rsid w:val="00B579CB"/>
    <w:rsid w:val="00B626CD"/>
    <w:rsid w:val="00B65B8E"/>
    <w:rsid w:val="00B66337"/>
    <w:rsid w:val="00B666FB"/>
    <w:rsid w:val="00B70083"/>
    <w:rsid w:val="00B710DC"/>
    <w:rsid w:val="00B7121E"/>
    <w:rsid w:val="00B71614"/>
    <w:rsid w:val="00B76588"/>
    <w:rsid w:val="00B77566"/>
    <w:rsid w:val="00B83CC2"/>
    <w:rsid w:val="00B852EA"/>
    <w:rsid w:val="00B85F6A"/>
    <w:rsid w:val="00B908BF"/>
    <w:rsid w:val="00B9118D"/>
    <w:rsid w:val="00B91FD6"/>
    <w:rsid w:val="00B936AA"/>
    <w:rsid w:val="00B93EF5"/>
    <w:rsid w:val="00B94EEA"/>
    <w:rsid w:val="00BA4BE1"/>
    <w:rsid w:val="00BA4FBD"/>
    <w:rsid w:val="00BA5F32"/>
    <w:rsid w:val="00BA711D"/>
    <w:rsid w:val="00BB09C8"/>
    <w:rsid w:val="00BB1A63"/>
    <w:rsid w:val="00BB26E9"/>
    <w:rsid w:val="00BB28F6"/>
    <w:rsid w:val="00BB443C"/>
    <w:rsid w:val="00BB461A"/>
    <w:rsid w:val="00BB5322"/>
    <w:rsid w:val="00BB5336"/>
    <w:rsid w:val="00BB6867"/>
    <w:rsid w:val="00BC227D"/>
    <w:rsid w:val="00BC2609"/>
    <w:rsid w:val="00BC3F98"/>
    <w:rsid w:val="00BC4378"/>
    <w:rsid w:val="00BC5905"/>
    <w:rsid w:val="00BD5E13"/>
    <w:rsid w:val="00BD6C7B"/>
    <w:rsid w:val="00BE241D"/>
    <w:rsid w:val="00BE2682"/>
    <w:rsid w:val="00BE352B"/>
    <w:rsid w:val="00BE55E4"/>
    <w:rsid w:val="00BE5EAA"/>
    <w:rsid w:val="00BE6696"/>
    <w:rsid w:val="00BE7934"/>
    <w:rsid w:val="00BF0EBE"/>
    <w:rsid w:val="00BF3831"/>
    <w:rsid w:val="00BF76A0"/>
    <w:rsid w:val="00C02503"/>
    <w:rsid w:val="00C0276C"/>
    <w:rsid w:val="00C02E3D"/>
    <w:rsid w:val="00C041F3"/>
    <w:rsid w:val="00C05307"/>
    <w:rsid w:val="00C07843"/>
    <w:rsid w:val="00C12A76"/>
    <w:rsid w:val="00C13145"/>
    <w:rsid w:val="00C13418"/>
    <w:rsid w:val="00C13DFB"/>
    <w:rsid w:val="00C14F96"/>
    <w:rsid w:val="00C15542"/>
    <w:rsid w:val="00C2022D"/>
    <w:rsid w:val="00C20FEB"/>
    <w:rsid w:val="00C216CB"/>
    <w:rsid w:val="00C21FDE"/>
    <w:rsid w:val="00C31676"/>
    <w:rsid w:val="00C3223E"/>
    <w:rsid w:val="00C34B68"/>
    <w:rsid w:val="00C368D2"/>
    <w:rsid w:val="00C36ED2"/>
    <w:rsid w:val="00C40DCF"/>
    <w:rsid w:val="00C432A3"/>
    <w:rsid w:val="00C43D0C"/>
    <w:rsid w:val="00C44597"/>
    <w:rsid w:val="00C45236"/>
    <w:rsid w:val="00C45D78"/>
    <w:rsid w:val="00C515A9"/>
    <w:rsid w:val="00C51926"/>
    <w:rsid w:val="00C52EE5"/>
    <w:rsid w:val="00C53B54"/>
    <w:rsid w:val="00C54AA5"/>
    <w:rsid w:val="00C56839"/>
    <w:rsid w:val="00C6119E"/>
    <w:rsid w:val="00C7020B"/>
    <w:rsid w:val="00C729CE"/>
    <w:rsid w:val="00C738A6"/>
    <w:rsid w:val="00C73BC3"/>
    <w:rsid w:val="00C771DC"/>
    <w:rsid w:val="00C81396"/>
    <w:rsid w:val="00C81D5A"/>
    <w:rsid w:val="00C81FD2"/>
    <w:rsid w:val="00C84F29"/>
    <w:rsid w:val="00C86A1F"/>
    <w:rsid w:val="00C96693"/>
    <w:rsid w:val="00C9769D"/>
    <w:rsid w:val="00CA54C1"/>
    <w:rsid w:val="00CA6594"/>
    <w:rsid w:val="00CB503B"/>
    <w:rsid w:val="00CB64B6"/>
    <w:rsid w:val="00CC1EB3"/>
    <w:rsid w:val="00CD03A4"/>
    <w:rsid w:val="00CD1716"/>
    <w:rsid w:val="00CD1741"/>
    <w:rsid w:val="00CD1946"/>
    <w:rsid w:val="00CD4371"/>
    <w:rsid w:val="00CD6459"/>
    <w:rsid w:val="00CD64D1"/>
    <w:rsid w:val="00CD76E9"/>
    <w:rsid w:val="00CE0665"/>
    <w:rsid w:val="00CE4793"/>
    <w:rsid w:val="00CE750F"/>
    <w:rsid w:val="00CE7F6C"/>
    <w:rsid w:val="00CF0538"/>
    <w:rsid w:val="00CF2A82"/>
    <w:rsid w:val="00CF2C45"/>
    <w:rsid w:val="00CF3D64"/>
    <w:rsid w:val="00CF5D17"/>
    <w:rsid w:val="00D00117"/>
    <w:rsid w:val="00D00F7F"/>
    <w:rsid w:val="00D03291"/>
    <w:rsid w:val="00D0652E"/>
    <w:rsid w:val="00D1107C"/>
    <w:rsid w:val="00D111A9"/>
    <w:rsid w:val="00D128DB"/>
    <w:rsid w:val="00D12923"/>
    <w:rsid w:val="00D1367F"/>
    <w:rsid w:val="00D15D8B"/>
    <w:rsid w:val="00D160CB"/>
    <w:rsid w:val="00D1615B"/>
    <w:rsid w:val="00D16C99"/>
    <w:rsid w:val="00D17B64"/>
    <w:rsid w:val="00D21591"/>
    <w:rsid w:val="00D21EB1"/>
    <w:rsid w:val="00D245A1"/>
    <w:rsid w:val="00D24648"/>
    <w:rsid w:val="00D24935"/>
    <w:rsid w:val="00D26D7C"/>
    <w:rsid w:val="00D27DD6"/>
    <w:rsid w:val="00D327F0"/>
    <w:rsid w:val="00D336C4"/>
    <w:rsid w:val="00D4106E"/>
    <w:rsid w:val="00D415E2"/>
    <w:rsid w:val="00D41E98"/>
    <w:rsid w:val="00D42055"/>
    <w:rsid w:val="00D504A1"/>
    <w:rsid w:val="00D573C5"/>
    <w:rsid w:val="00D647C3"/>
    <w:rsid w:val="00D6489A"/>
    <w:rsid w:val="00D64BAA"/>
    <w:rsid w:val="00D663C6"/>
    <w:rsid w:val="00D7015C"/>
    <w:rsid w:val="00D73323"/>
    <w:rsid w:val="00D77C51"/>
    <w:rsid w:val="00D801EB"/>
    <w:rsid w:val="00D80828"/>
    <w:rsid w:val="00D80AE2"/>
    <w:rsid w:val="00D814B0"/>
    <w:rsid w:val="00D819C2"/>
    <w:rsid w:val="00D81FEC"/>
    <w:rsid w:val="00D82896"/>
    <w:rsid w:val="00D91F5F"/>
    <w:rsid w:val="00D9234E"/>
    <w:rsid w:val="00D92890"/>
    <w:rsid w:val="00D95711"/>
    <w:rsid w:val="00D9633A"/>
    <w:rsid w:val="00D9682F"/>
    <w:rsid w:val="00DA15E5"/>
    <w:rsid w:val="00DA602E"/>
    <w:rsid w:val="00DA641B"/>
    <w:rsid w:val="00DA7FA5"/>
    <w:rsid w:val="00DB296A"/>
    <w:rsid w:val="00DB2C19"/>
    <w:rsid w:val="00DB38CC"/>
    <w:rsid w:val="00DB4623"/>
    <w:rsid w:val="00DB7498"/>
    <w:rsid w:val="00DB77D6"/>
    <w:rsid w:val="00DB7C87"/>
    <w:rsid w:val="00DC093B"/>
    <w:rsid w:val="00DC56EF"/>
    <w:rsid w:val="00DD7431"/>
    <w:rsid w:val="00DE0794"/>
    <w:rsid w:val="00DE494E"/>
    <w:rsid w:val="00DE6781"/>
    <w:rsid w:val="00DF2386"/>
    <w:rsid w:val="00DF35C0"/>
    <w:rsid w:val="00DF43E8"/>
    <w:rsid w:val="00DF7CA2"/>
    <w:rsid w:val="00DF7FE7"/>
    <w:rsid w:val="00E037C0"/>
    <w:rsid w:val="00E1484F"/>
    <w:rsid w:val="00E166D0"/>
    <w:rsid w:val="00E16A55"/>
    <w:rsid w:val="00E17566"/>
    <w:rsid w:val="00E2003D"/>
    <w:rsid w:val="00E25008"/>
    <w:rsid w:val="00E26ED0"/>
    <w:rsid w:val="00E3217E"/>
    <w:rsid w:val="00E32F16"/>
    <w:rsid w:val="00E33651"/>
    <w:rsid w:val="00E33ED2"/>
    <w:rsid w:val="00E34C36"/>
    <w:rsid w:val="00E36AEE"/>
    <w:rsid w:val="00E40E9B"/>
    <w:rsid w:val="00E414B2"/>
    <w:rsid w:val="00E414F3"/>
    <w:rsid w:val="00E4239D"/>
    <w:rsid w:val="00E44127"/>
    <w:rsid w:val="00E46367"/>
    <w:rsid w:val="00E535A8"/>
    <w:rsid w:val="00E559B4"/>
    <w:rsid w:val="00E57D75"/>
    <w:rsid w:val="00E618D6"/>
    <w:rsid w:val="00E6269A"/>
    <w:rsid w:val="00E6375B"/>
    <w:rsid w:val="00E63C59"/>
    <w:rsid w:val="00E63F0B"/>
    <w:rsid w:val="00E70DAB"/>
    <w:rsid w:val="00E71BF3"/>
    <w:rsid w:val="00E72B5C"/>
    <w:rsid w:val="00E7567C"/>
    <w:rsid w:val="00E76250"/>
    <w:rsid w:val="00E7785F"/>
    <w:rsid w:val="00E80DB0"/>
    <w:rsid w:val="00E81F71"/>
    <w:rsid w:val="00E822CB"/>
    <w:rsid w:val="00E84B8C"/>
    <w:rsid w:val="00E858F5"/>
    <w:rsid w:val="00E90249"/>
    <w:rsid w:val="00E93A5B"/>
    <w:rsid w:val="00E94284"/>
    <w:rsid w:val="00E95438"/>
    <w:rsid w:val="00E9720D"/>
    <w:rsid w:val="00EA1E88"/>
    <w:rsid w:val="00EA3A7F"/>
    <w:rsid w:val="00EA40AD"/>
    <w:rsid w:val="00EA443F"/>
    <w:rsid w:val="00EA4BF9"/>
    <w:rsid w:val="00EB0D7B"/>
    <w:rsid w:val="00EB475E"/>
    <w:rsid w:val="00EC0DC4"/>
    <w:rsid w:val="00EC1805"/>
    <w:rsid w:val="00EC5CAD"/>
    <w:rsid w:val="00EC705C"/>
    <w:rsid w:val="00EC74F1"/>
    <w:rsid w:val="00ED060E"/>
    <w:rsid w:val="00ED2A95"/>
    <w:rsid w:val="00ED3E43"/>
    <w:rsid w:val="00ED3F1A"/>
    <w:rsid w:val="00ED51C5"/>
    <w:rsid w:val="00ED569A"/>
    <w:rsid w:val="00EE1D43"/>
    <w:rsid w:val="00EE35F9"/>
    <w:rsid w:val="00EE40BE"/>
    <w:rsid w:val="00EE4B6F"/>
    <w:rsid w:val="00EF2A68"/>
    <w:rsid w:val="00EF5698"/>
    <w:rsid w:val="00F029C8"/>
    <w:rsid w:val="00F02E6E"/>
    <w:rsid w:val="00F0597E"/>
    <w:rsid w:val="00F06972"/>
    <w:rsid w:val="00F078F1"/>
    <w:rsid w:val="00F109E7"/>
    <w:rsid w:val="00F1191B"/>
    <w:rsid w:val="00F1324D"/>
    <w:rsid w:val="00F13D9B"/>
    <w:rsid w:val="00F163C1"/>
    <w:rsid w:val="00F167D7"/>
    <w:rsid w:val="00F240FC"/>
    <w:rsid w:val="00F26289"/>
    <w:rsid w:val="00F2681C"/>
    <w:rsid w:val="00F26FD2"/>
    <w:rsid w:val="00F30F61"/>
    <w:rsid w:val="00F322C9"/>
    <w:rsid w:val="00F32D03"/>
    <w:rsid w:val="00F33E0C"/>
    <w:rsid w:val="00F344DE"/>
    <w:rsid w:val="00F3632B"/>
    <w:rsid w:val="00F367BD"/>
    <w:rsid w:val="00F42498"/>
    <w:rsid w:val="00F46056"/>
    <w:rsid w:val="00F4710D"/>
    <w:rsid w:val="00F513BB"/>
    <w:rsid w:val="00F51F92"/>
    <w:rsid w:val="00F53B81"/>
    <w:rsid w:val="00F54608"/>
    <w:rsid w:val="00F54FBD"/>
    <w:rsid w:val="00F55CD0"/>
    <w:rsid w:val="00F61C98"/>
    <w:rsid w:val="00F62F3C"/>
    <w:rsid w:val="00F70B6E"/>
    <w:rsid w:val="00F715D9"/>
    <w:rsid w:val="00F71B94"/>
    <w:rsid w:val="00F73E71"/>
    <w:rsid w:val="00F7459E"/>
    <w:rsid w:val="00F8122A"/>
    <w:rsid w:val="00F82AA3"/>
    <w:rsid w:val="00F848A7"/>
    <w:rsid w:val="00F86426"/>
    <w:rsid w:val="00F87D83"/>
    <w:rsid w:val="00F9198B"/>
    <w:rsid w:val="00F96F42"/>
    <w:rsid w:val="00F97C8F"/>
    <w:rsid w:val="00FA0FDD"/>
    <w:rsid w:val="00FA2641"/>
    <w:rsid w:val="00FA361D"/>
    <w:rsid w:val="00FA3669"/>
    <w:rsid w:val="00FA5A1B"/>
    <w:rsid w:val="00FA5E7B"/>
    <w:rsid w:val="00FA6057"/>
    <w:rsid w:val="00FA6E78"/>
    <w:rsid w:val="00FA7847"/>
    <w:rsid w:val="00FB17B0"/>
    <w:rsid w:val="00FB187E"/>
    <w:rsid w:val="00FB1F5A"/>
    <w:rsid w:val="00FB35A4"/>
    <w:rsid w:val="00FB3F6B"/>
    <w:rsid w:val="00FB7002"/>
    <w:rsid w:val="00FB7539"/>
    <w:rsid w:val="00FC4333"/>
    <w:rsid w:val="00FC773D"/>
    <w:rsid w:val="00FD14E2"/>
    <w:rsid w:val="00FD280C"/>
    <w:rsid w:val="00FE0365"/>
    <w:rsid w:val="00FE211B"/>
    <w:rsid w:val="00FF02FD"/>
    <w:rsid w:val="00FF0468"/>
    <w:rsid w:val="00FF0CE5"/>
    <w:rsid w:val="00FF206F"/>
    <w:rsid w:val="00FF400D"/>
    <w:rsid w:val="00FF734B"/>
    <w:rsid w:val="163FA1A3"/>
    <w:rsid w:val="3399B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950E7"/>
  <w15:docId w15:val="{39947197-4C44-4DD1-8E91-A5B8526C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A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D1615B"/>
    <w:pPr>
      <w:widowControl w:val="0"/>
      <w:ind w:left="548" w:firstLine="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1615B"/>
    <w:rPr>
      <w:rFonts w:ascii="Arial" w:eastAsia="Arial" w:hAnsi="Arial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CA6594"/>
    <w:rPr>
      <w:color w:val="800080"/>
      <w:u w:val="single"/>
    </w:rPr>
  </w:style>
  <w:style w:type="paragraph" w:customStyle="1" w:styleId="xl65">
    <w:name w:val="xl65"/>
    <w:basedOn w:val="Normal"/>
    <w:rsid w:val="00CA659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6"/>
      <w:szCs w:val="26"/>
      <w:lang w:eastAsia="en-GB"/>
    </w:rPr>
  </w:style>
  <w:style w:type="paragraph" w:customStyle="1" w:styleId="xl66">
    <w:name w:val="xl66"/>
    <w:basedOn w:val="Normal"/>
    <w:rsid w:val="00CA6594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A6594"/>
    <w:pP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CA65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CA6594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eastAsia="Times New Roman"/>
      <w:b/>
      <w:bCs/>
      <w:sz w:val="26"/>
      <w:szCs w:val="26"/>
      <w:lang w:eastAsia="en-GB"/>
    </w:rPr>
  </w:style>
  <w:style w:type="paragraph" w:customStyle="1" w:styleId="xl97">
    <w:name w:val="xl97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A6594"/>
    <w:pPr>
      <w:pBdr>
        <w:top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A65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0">
    <w:name w:val="xl100"/>
    <w:basedOn w:val="Normal"/>
    <w:rsid w:val="00CA6594"/>
    <w:pPr>
      <w:pBdr>
        <w:left w:val="single" w:sz="8" w:space="0" w:color="auto"/>
        <w:bottom w:val="double" w:sz="6" w:space="0" w:color="000000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1">
    <w:name w:val="xl101"/>
    <w:basedOn w:val="Normal"/>
    <w:rsid w:val="00CA65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A659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A659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A6594"/>
    <w:pPr>
      <w:pBdr>
        <w:top w:val="single" w:sz="8" w:space="0" w:color="auto"/>
        <w:left w:val="single" w:sz="12" w:space="0" w:color="000000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A6594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A6594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7">
    <w:name w:val="xl107"/>
    <w:basedOn w:val="Normal"/>
    <w:rsid w:val="00CA659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8">
    <w:name w:val="xl108"/>
    <w:basedOn w:val="Normal"/>
    <w:rsid w:val="00877729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9">
    <w:name w:val="xl109"/>
    <w:basedOn w:val="Normal"/>
    <w:rsid w:val="00877729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Standard">
    <w:name w:val="Standard"/>
    <w:rsid w:val="00520AB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Listpara2">
    <w:name w:val="List para 2"/>
    <w:basedOn w:val="Normal"/>
    <w:qFormat/>
    <w:rsid w:val="00520ABE"/>
    <w:pPr>
      <w:numPr>
        <w:numId w:val="32"/>
      </w:numPr>
      <w:contextualSpacing/>
    </w:pPr>
    <w:rPr>
      <w:rFonts w:asciiTheme="majorHAnsi" w:hAnsiTheme="majorHAnsi"/>
      <w:bCs/>
    </w:rPr>
  </w:style>
  <w:style w:type="table" w:styleId="PlainTable1">
    <w:name w:val="Plain Table 1"/>
    <w:basedOn w:val="TableNormal"/>
    <w:uiPriority w:val="41"/>
    <w:rsid w:val="00520AB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EA0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BF0EBE"/>
    <w:rPr>
      <w:rFonts w:eastAsia="Calibri"/>
      <w:sz w:val="24"/>
      <w:szCs w:val="24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Light">
    <w:name w:val="Grid Table Light"/>
    <w:basedOn w:val="TableNormal"/>
    <w:uiPriority w:val="40"/>
    <w:rsid w:val="00006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17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024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fr/document/sc64-doc92-rev1-questions-financieres-et-budgetaires-etat-des-contributions-annuelles" TargetMode="External"/><Relationship Id="rId2" Type="http://schemas.openxmlformats.org/officeDocument/2006/relationships/hyperlink" Target="https://www.ramsar.org/fr/document/decisions-de-la-64e-reunion-du-comite-permanent" TargetMode="External"/><Relationship Id="rId1" Type="http://schemas.openxmlformats.org/officeDocument/2006/relationships/hyperlink" Target="https://www.ramsar.org/fr/document/sc64-doc92-rev1-questions-financieres-et-budgetaires-etat-des-contributions-annuelles" TargetMode="External"/><Relationship Id="rId4" Type="http://schemas.openxmlformats.org/officeDocument/2006/relationships/hyperlink" Target="https://www.ramsar.org/fr/document/decisions-de-la-64e-reunion-du-comite-permane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hglna01\data\CC98\1.%20COMMON\Meetings%20and%20Groups\Standing%20Committees\SC63\Documents\PUBLISHED\SC63%20Doc.9.2%20Annual%20contributions\drafts\ed%20charts%20stuf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hglna01\data\CC98\1.%20COMMON\Meetings%20and%20Groups\Standing%20Committees\SC63\Documents\PUBLISHED\SC63%20Doc.9.2%20Annual%20contributions\drafts\ed%20charts%20stuff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0FB-4205-855D-8672BC5605DC}"/>
              </c:ext>
            </c:extLst>
          </c:dPt>
          <c:dPt>
            <c:idx val="1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0FB-4205-855D-8672BC5605DC}"/>
              </c:ext>
            </c:extLst>
          </c:dPt>
          <c:dPt>
            <c:idx val="2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0FB-4205-855D-8672BC5605DC}"/>
              </c:ext>
            </c:extLst>
          </c:dPt>
          <c:dPt>
            <c:idx val="3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0FB-4205-855D-8672BC5605DC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i="0" u="none" strike="noStrike" baseline="0">
                        <a:effectLst/>
                      </a:rPr>
                      <a:t>Aucun arriéré de contributions</a:t>
                    </a:r>
                    <a:r>
                      <a:rPr lang="en-US" baseline="0"/>
                      <a:t>, </a:t>
                    </a:r>
                    <a:fld id="{5D4DD6BB-611B-45E9-90BF-8673AA15A8A9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0FB-4205-855D-8672BC5605DC}"/>
                </c:ext>
              </c:extLst>
            </c:dLbl>
            <c:dLbl>
              <c:idx val="1"/>
              <c:layout>
                <c:manualLayout>
                  <c:x val="2.5097055373211788E-2"/>
                  <c:y val="-4.897991322513272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i="0" u="none" strike="noStrike" baseline="0">
                        <a:effectLst/>
                      </a:rPr>
                      <a:t>Contributions non reçues pour 2024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1297047827953737"/>
                      <c:h val="0.1664849750923991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60FB-4205-855D-8672BC5605DC}"/>
                </c:ext>
              </c:extLst>
            </c:dLbl>
            <c:dLbl>
              <c:idx val="2"/>
              <c:layout>
                <c:manualLayout>
                  <c:x val="-1.3022089999153431E-2"/>
                  <c:y val="-8.28416517591695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i="0" u="none" strike="noStrike" baseline="0">
                        <a:effectLst/>
                      </a:rPr>
                      <a:t>Contributions non reçues pour quatre ans maximum</a:t>
                    </a:r>
                    <a:r>
                      <a:rPr lang="en-US" baseline="0"/>
                      <a:t>, </a:t>
                    </a:r>
                    <a:fld id="{652F897E-C304-4E3B-BB74-14854878A5A5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933012767935254"/>
                      <c:h val="0.2644442876756187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0FB-4205-855D-8672BC5605DC}"/>
                </c:ext>
              </c:extLst>
            </c:dLbl>
            <c:dLbl>
              <c:idx val="3"/>
              <c:layout>
                <c:manualLayout>
                  <c:x val="-1.9471516706908469E-3"/>
                  <c:y val="8.15414586418796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i="0" u="none" strike="noStrike" baseline="0">
                        <a:effectLst/>
                      </a:rPr>
                      <a:t>Contributions non reçues pour plus de quatre ans</a:t>
                    </a:r>
                    <a:r>
                      <a:rPr lang="en-US" baseline="0"/>
                      <a:t>, </a:t>
                    </a:r>
                    <a:fld id="{B479D11A-3096-4076-99D7-19C1BDA3BD3F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995201771653536"/>
                      <c:h val="0.2667563866715144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0FB-4205-855D-8672BC5605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'SC65'!$A$62:$A$65</c:f>
              <c:strCache>
                <c:ptCount val="4"/>
                <c:pt idx="0">
                  <c:v>No contribution outstanding</c:v>
                </c:pt>
                <c:pt idx="1">
                  <c:v>Contribution for 2024 outstanding</c:v>
                </c:pt>
                <c:pt idx="2">
                  <c:v>Contribution outstanding for up to four years</c:v>
                </c:pt>
                <c:pt idx="3">
                  <c:v>Contribution outstanding for more than four years</c:v>
                </c:pt>
              </c:strCache>
            </c:strRef>
          </c:cat>
          <c:val>
            <c:numRef>
              <c:f>'SC65'!$B$62:$B$65</c:f>
              <c:numCache>
                <c:formatCode>General</c:formatCode>
                <c:ptCount val="4"/>
                <c:pt idx="0">
                  <c:v>85</c:v>
                </c:pt>
                <c:pt idx="1">
                  <c:v>23</c:v>
                </c:pt>
                <c:pt idx="2">
                  <c:v>22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0FB-4205-855D-8672BC5605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'SC65'!$B$18</c:f>
              <c:strCache>
                <c:ptCount val="1"/>
                <c:pt idx="0">
                  <c:v>End 2023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'SC65'!$A$19:$A$27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9+</c:v>
                </c:pt>
              </c:strCache>
            </c:strRef>
          </c:cat>
          <c:val>
            <c:numRef>
              <c:f>'SC65'!$B$19:$B$27</c:f>
              <c:numCache>
                <c:formatCode>0</c:formatCode>
                <c:ptCount val="9"/>
                <c:pt idx="0">
                  <c:v>336</c:v>
                </c:pt>
                <c:pt idx="1">
                  <c:v>265</c:v>
                </c:pt>
                <c:pt idx="2">
                  <c:v>186</c:v>
                </c:pt>
                <c:pt idx="3">
                  <c:v>128</c:v>
                </c:pt>
                <c:pt idx="4">
                  <c:v>119</c:v>
                </c:pt>
                <c:pt idx="5">
                  <c:v>86</c:v>
                </c:pt>
                <c:pt idx="6">
                  <c:v>82</c:v>
                </c:pt>
                <c:pt idx="7">
                  <c:v>75</c:v>
                </c:pt>
                <c:pt idx="8">
                  <c:v>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46-4C12-B5DA-824BC9A013B0}"/>
            </c:ext>
          </c:extLst>
        </c:ser>
        <c:ser>
          <c:idx val="1"/>
          <c:order val="1"/>
          <c:tx>
            <c:strRef>
              <c:f>'SC65'!$C$18</c:f>
              <c:strCache>
                <c:ptCount val="1"/>
                <c:pt idx="0">
                  <c:v>End 2024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'SC65'!$A$19:$A$27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9+</c:v>
                </c:pt>
              </c:strCache>
            </c:strRef>
          </c:cat>
          <c:val>
            <c:numRef>
              <c:f>'SC65'!$C$19:$C$27</c:f>
              <c:numCache>
                <c:formatCode>0</c:formatCode>
                <c:ptCount val="9"/>
                <c:pt idx="0">
                  <c:v>472</c:v>
                </c:pt>
                <c:pt idx="1">
                  <c:v>283</c:v>
                </c:pt>
                <c:pt idx="2">
                  <c:v>227</c:v>
                </c:pt>
                <c:pt idx="3">
                  <c:v>126</c:v>
                </c:pt>
                <c:pt idx="4">
                  <c:v>114</c:v>
                </c:pt>
                <c:pt idx="5">
                  <c:v>95</c:v>
                </c:pt>
                <c:pt idx="6">
                  <c:v>83</c:v>
                </c:pt>
                <c:pt idx="7">
                  <c:v>79</c:v>
                </c:pt>
                <c:pt idx="8">
                  <c:v>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46-4C12-B5DA-824BC9A013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27033103"/>
        <c:axId val="1333370927"/>
      </c:barChart>
      <c:catAx>
        <c:axId val="132703310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Nombre d</a:t>
                </a:r>
                <a:r>
                  <a:rPr lang="fr-FR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rPr>
                  <a:t>’</a:t>
                </a:r>
                <a:r>
                  <a:rPr lang="fr-FR"/>
                  <a:t>années dues</a:t>
                </a:r>
              </a:p>
            </c:rich>
          </c:tx>
          <c:layout>
            <c:manualLayout>
              <c:xMode val="edge"/>
              <c:yMode val="edge"/>
              <c:x val="0.41576145311381529"/>
              <c:y val="0.846023035355874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GB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3370927"/>
        <c:crosses val="autoZero"/>
        <c:auto val="1"/>
        <c:lblAlgn val="ctr"/>
        <c:lblOffset val="100"/>
        <c:noMultiLvlLbl val="0"/>
      </c:catAx>
      <c:valAx>
        <c:axId val="1333370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Contributions dues (milliers de CHF)</a:t>
                </a:r>
              </a:p>
            </c:rich>
          </c:tx>
          <c:layout>
            <c:manualLayout>
              <c:xMode val="edge"/>
              <c:yMode val="edge"/>
              <c:x val="9.46969696969697E-3"/>
              <c:y val="0.215194441871236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7033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15D7-C6B1-4422-8A2F-086078F66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A583D-6EE5-4D8D-92D8-CB01AA84E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90A58-AEAD-4B03-BE8C-9E71A5E45EFF}">
  <ds:schemaRefs>
    <ds:schemaRef ds:uri="http://purl.org/dc/elements/1.1/"/>
    <ds:schemaRef ds:uri="a3a2dff7-4331-4a95-9af9-6b2cd4e65ac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caa2b1f-0678-4421-92e9-1090174541b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F1C0FF-15B4-4948-8804-455E8B31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Convention on Wetlands;"STANKOVIC Sladjana"</dc:creator>
  <cp:lastModifiedBy>JENNINGS Edmund</cp:lastModifiedBy>
  <cp:revision>5</cp:revision>
  <cp:lastPrinted>2025-01-15T15:47:00Z</cp:lastPrinted>
  <dcterms:created xsi:type="dcterms:W3CDTF">2025-03-26T15:14:00Z</dcterms:created>
  <dcterms:modified xsi:type="dcterms:W3CDTF">2025-04-16T08:04:00Z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