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DE92" w14:textId="2425D4FC" w:rsidR="00275F13" w:rsidRPr="00520DF0" w:rsidRDefault="00824762"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sidRPr="00520DF0">
        <w:rPr>
          <w:bCs/>
        </w:rPr>
        <w:t xml:space="preserve">THE </w:t>
      </w:r>
      <w:r w:rsidR="00DF2386" w:rsidRPr="00520DF0">
        <w:rPr>
          <w:bCs/>
        </w:rPr>
        <w:t>CONVENTION ON WETLANDS</w:t>
      </w:r>
    </w:p>
    <w:p w14:paraId="46F54754" w14:textId="593CFA69" w:rsidR="00DF2386" w:rsidRPr="00520DF0" w:rsidRDefault="00791423"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sidRPr="00520DF0">
        <w:rPr>
          <w:bCs/>
        </w:rPr>
        <w:t>6</w:t>
      </w:r>
      <w:r>
        <w:rPr>
          <w:bCs/>
        </w:rPr>
        <w:t>5</w:t>
      </w:r>
      <w:r w:rsidRPr="00520DF0">
        <w:rPr>
          <w:bCs/>
        </w:rPr>
        <w:t xml:space="preserve">th </w:t>
      </w:r>
      <w:r w:rsidR="007457A8" w:rsidRPr="00520DF0">
        <w:rPr>
          <w:bCs/>
        </w:rPr>
        <w:t>m</w:t>
      </w:r>
      <w:r w:rsidR="00DF2386" w:rsidRPr="00520DF0">
        <w:rPr>
          <w:bCs/>
        </w:rPr>
        <w:t>eeting of the Standing Committee</w:t>
      </w:r>
    </w:p>
    <w:p w14:paraId="4ABE3583" w14:textId="0ECA77CD" w:rsidR="00DF2386" w:rsidRPr="00520DF0" w:rsidRDefault="00791423" w:rsidP="009417F9">
      <w:pPr>
        <w:pBdr>
          <w:top w:val="single" w:sz="12" w:space="0" w:color="auto" w:shadow="1"/>
          <w:left w:val="single" w:sz="12" w:space="4" w:color="auto" w:shadow="1"/>
          <w:bottom w:val="single" w:sz="12" w:space="1" w:color="auto" w:shadow="1"/>
          <w:right w:val="single" w:sz="12" w:space="7" w:color="auto" w:shadow="1"/>
        </w:pBdr>
        <w:ind w:right="4490"/>
        <w:rPr>
          <w:bCs/>
          <w:sz w:val="24"/>
          <w:szCs w:val="24"/>
        </w:rPr>
      </w:pPr>
      <w:r>
        <w:rPr>
          <w:bCs/>
        </w:rPr>
        <w:t xml:space="preserve">Victoria Falls, Zimbabwe, 23 July 2025 </w:t>
      </w:r>
    </w:p>
    <w:p w14:paraId="7E17ADD0" w14:textId="0304D779" w:rsidR="00DF2386" w:rsidRPr="00520DF0" w:rsidRDefault="00DF2386" w:rsidP="00014168">
      <w:pPr>
        <w:outlineLvl w:val="0"/>
        <w:rPr>
          <w:b/>
        </w:rPr>
      </w:pPr>
    </w:p>
    <w:p w14:paraId="6D7412D9" w14:textId="21FD463A" w:rsidR="00DF2386" w:rsidRPr="00520DF0" w:rsidRDefault="00791423" w:rsidP="00014168">
      <w:pPr>
        <w:jc w:val="right"/>
        <w:rPr>
          <w:rFonts w:cs="Arial"/>
          <w:sz w:val="28"/>
          <w:szCs w:val="28"/>
        </w:rPr>
      </w:pPr>
      <w:r w:rsidRPr="00520DF0">
        <w:rPr>
          <w:rFonts w:cs="Arial"/>
          <w:b/>
          <w:sz w:val="28"/>
          <w:szCs w:val="28"/>
        </w:rPr>
        <w:t>SC6</w:t>
      </w:r>
      <w:r>
        <w:rPr>
          <w:rFonts w:cs="Arial"/>
          <w:b/>
          <w:sz w:val="28"/>
          <w:szCs w:val="28"/>
        </w:rPr>
        <w:t>5</w:t>
      </w:r>
      <w:r w:rsidRPr="00520DF0">
        <w:rPr>
          <w:rFonts w:cs="Arial"/>
          <w:b/>
          <w:sz w:val="28"/>
          <w:szCs w:val="28"/>
        </w:rPr>
        <w:t xml:space="preserve"> </w:t>
      </w:r>
      <w:r w:rsidR="00AA5053" w:rsidRPr="00520DF0">
        <w:rPr>
          <w:rFonts w:cs="Arial"/>
          <w:b/>
          <w:sz w:val="28"/>
          <w:szCs w:val="28"/>
        </w:rPr>
        <w:t>Doc.</w:t>
      </w:r>
      <w:r>
        <w:rPr>
          <w:rFonts w:cs="Arial"/>
          <w:b/>
          <w:sz w:val="28"/>
          <w:szCs w:val="28"/>
        </w:rPr>
        <w:t>8</w:t>
      </w:r>
      <w:r w:rsidR="00BE241D" w:rsidRPr="00520DF0">
        <w:rPr>
          <w:rFonts w:cs="Arial"/>
          <w:b/>
          <w:sz w:val="28"/>
          <w:szCs w:val="28"/>
        </w:rPr>
        <w:t>.</w:t>
      </w:r>
      <w:r w:rsidR="007804BE" w:rsidRPr="00520DF0">
        <w:rPr>
          <w:rFonts w:cs="Arial"/>
          <w:b/>
          <w:sz w:val="28"/>
          <w:szCs w:val="28"/>
        </w:rPr>
        <w:t xml:space="preserve">2 </w:t>
      </w:r>
    </w:p>
    <w:p w14:paraId="19040CA4" w14:textId="77777777" w:rsidR="00DF2386" w:rsidRPr="00520DF0" w:rsidRDefault="00DF2386" w:rsidP="00014168">
      <w:pPr>
        <w:rPr>
          <w:rFonts w:cs="Arial"/>
          <w:b/>
          <w:sz w:val="28"/>
          <w:szCs w:val="28"/>
        </w:rPr>
      </w:pPr>
    </w:p>
    <w:p w14:paraId="6F8E9CD8" w14:textId="551669EA" w:rsidR="007804BE" w:rsidRPr="00520DF0" w:rsidRDefault="007804BE" w:rsidP="0016536F">
      <w:pPr>
        <w:ind w:left="0" w:firstLine="0"/>
        <w:jc w:val="center"/>
        <w:rPr>
          <w:rFonts w:cs="Arial"/>
          <w:b/>
          <w:sz w:val="28"/>
          <w:szCs w:val="28"/>
        </w:rPr>
      </w:pPr>
      <w:r w:rsidRPr="00520DF0">
        <w:rPr>
          <w:rFonts w:cs="Arial"/>
          <w:b/>
          <w:sz w:val="28"/>
          <w:szCs w:val="28"/>
        </w:rPr>
        <w:t>Financial and budgetary matters</w:t>
      </w:r>
      <w:r w:rsidR="006E60AF" w:rsidRPr="00520DF0">
        <w:rPr>
          <w:rFonts w:cs="Arial"/>
          <w:b/>
          <w:sz w:val="28"/>
          <w:szCs w:val="28"/>
        </w:rPr>
        <w:t>:</w:t>
      </w:r>
    </w:p>
    <w:p w14:paraId="150AA350" w14:textId="7B8AB211" w:rsidR="00DF2386" w:rsidRPr="00520DF0" w:rsidRDefault="005E1822" w:rsidP="0016536F">
      <w:pPr>
        <w:ind w:left="0" w:firstLine="0"/>
        <w:jc w:val="center"/>
        <w:rPr>
          <w:rFonts w:cs="Arial"/>
          <w:b/>
          <w:sz w:val="28"/>
          <w:szCs w:val="28"/>
        </w:rPr>
      </w:pPr>
      <w:r>
        <w:rPr>
          <w:rFonts w:cs="Arial"/>
          <w:b/>
          <w:sz w:val="28"/>
          <w:szCs w:val="28"/>
        </w:rPr>
        <w:t>Update on</w:t>
      </w:r>
      <w:r w:rsidR="00C96693" w:rsidRPr="00520DF0">
        <w:rPr>
          <w:rFonts w:cs="Arial"/>
          <w:b/>
          <w:sz w:val="28"/>
          <w:szCs w:val="28"/>
        </w:rPr>
        <w:t xml:space="preserve"> annual contributions</w:t>
      </w:r>
      <w:r>
        <w:rPr>
          <w:rFonts w:cs="Arial"/>
          <w:b/>
          <w:sz w:val="28"/>
          <w:szCs w:val="28"/>
        </w:rPr>
        <w:t xml:space="preserve"> for </w:t>
      </w:r>
      <w:r w:rsidR="000B5BD5">
        <w:rPr>
          <w:rFonts w:cs="Arial"/>
          <w:b/>
          <w:sz w:val="28"/>
          <w:szCs w:val="28"/>
        </w:rPr>
        <w:t>2024</w:t>
      </w:r>
    </w:p>
    <w:p w14:paraId="5427F22D" w14:textId="77777777" w:rsidR="00DF2386" w:rsidRPr="00520DF0" w:rsidRDefault="00DF2386" w:rsidP="00014168">
      <w:pPr>
        <w:rPr>
          <w:rFonts w:ascii="Garamond" w:hAnsi="Garamond" w:cs="Arial"/>
        </w:rPr>
      </w:pPr>
    </w:p>
    <w:p w14:paraId="1B829871" w14:textId="77777777" w:rsidR="000C2489" w:rsidRPr="00520DF0" w:rsidRDefault="000C2489" w:rsidP="00014168">
      <w:pPr>
        <w:autoSpaceDE w:val="0"/>
        <w:autoSpaceDN w:val="0"/>
        <w:adjustRightInd w:val="0"/>
        <w:rPr>
          <w:rFonts w:asciiTheme="minorHAnsi" w:eastAsiaTheme="minorHAnsi" w:hAnsiTheme="minorHAnsi" w:cs="Calibri-Bold"/>
          <w:b/>
          <w:bCs/>
        </w:rPr>
      </w:pPr>
      <w:r w:rsidRPr="00520DF0">
        <w:rPr>
          <w:noProof/>
          <w:lang w:eastAsia="en-GB"/>
        </w:rPr>
        <mc:AlternateContent>
          <mc:Choice Requires="wps">
            <w:drawing>
              <wp:inline distT="0" distB="0" distL="0" distR="0" wp14:anchorId="192CD903" wp14:editId="1CD4AC34">
                <wp:extent cx="5840083" cy="1531089"/>
                <wp:effectExtent l="0" t="0" r="2794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1531089"/>
                        </a:xfrm>
                        <a:prstGeom prst="rect">
                          <a:avLst/>
                        </a:prstGeom>
                        <a:solidFill>
                          <a:srgbClr val="FFFFFF"/>
                        </a:solidFill>
                        <a:ln w="9525">
                          <a:solidFill>
                            <a:srgbClr val="000000"/>
                          </a:solidFill>
                          <a:miter lim="800000"/>
                          <a:headEnd/>
                          <a:tailEnd/>
                        </a:ln>
                      </wps:spPr>
                      <wps:txbx>
                        <w:txbxContent>
                          <w:p w14:paraId="346B3836" w14:textId="79C45034" w:rsidR="005B4DF7" w:rsidRDefault="005B4DF7" w:rsidP="000C2489">
                            <w:pPr>
                              <w:rPr>
                                <w:b/>
                                <w:bCs/>
                              </w:rPr>
                            </w:pPr>
                            <w:r>
                              <w:rPr>
                                <w:b/>
                                <w:bCs/>
                              </w:rPr>
                              <w:t>Action</w:t>
                            </w:r>
                            <w:r w:rsidR="0075032A">
                              <w:rPr>
                                <w:b/>
                                <w:bCs/>
                              </w:rPr>
                              <w:t>s</w:t>
                            </w:r>
                            <w:r>
                              <w:rPr>
                                <w:b/>
                                <w:bCs/>
                              </w:rPr>
                              <w:t xml:space="preserve"> requested: </w:t>
                            </w:r>
                          </w:p>
                          <w:p w14:paraId="10582C63" w14:textId="77777777" w:rsidR="005B4DF7" w:rsidRDefault="005B4DF7" w:rsidP="000C2489">
                            <w:pPr>
                              <w:pStyle w:val="ColorfulList-Accent11"/>
                              <w:ind w:left="0"/>
                            </w:pPr>
                          </w:p>
                          <w:p w14:paraId="21AB915B" w14:textId="2C166CA4" w:rsidR="005B4DF7" w:rsidRDefault="005B4DF7" w:rsidP="00275F13">
                            <w:pPr>
                              <w:pStyle w:val="ColorfulList-Accent11"/>
                              <w:ind w:left="0" w:firstLine="0"/>
                              <w:rPr>
                                <w:rFonts w:cs="Calibri"/>
                              </w:rPr>
                            </w:pPr>
                            <w:r>
                              <w:t xml:space="preserve">The Standing Committee is </w:t>
                            </w:r>
                            <w:r>
                              <w:rPr>
                                <w:rFonts w:cs="Calibri"/>
                              </w:rPr>
                              <w:t>invited to:</w:t>
                            </w:r>
                          </w:p>
                          <w:p w14:paraId="73529BDA" w14:textId="77777777" w:rsidR="005B4DF7" w:rsidRDefault="005B4DF7" w:rsidP="00275F13">
                            <w:pPr>
                              <w:pStyle w:val="ColorfulList-Accent11"/>
                              <w:ind w:left="0" w:firstLine="0"/>
                              <w:rPr>
                                <w:rFonts w:cs="Calibri"/>
                              </w:rPr>
                            </w:pPr>
                          </w:p>
                          <w:p w14:paraId="3720E525" w14:textId="63C75C54" w:rsidR="005B4DF7" w:rsidRPr="00CD1946" w:rsidRDefault="005B4DF7" w:rsidP="000E047B">
                            <w:pPr>
                              <w:pStyle w:val="ColorfulList-Accent11"/>
                              <w:ind w:left="425"/>
                              <w:rPr>
                                <w:rFonts w:cs="Calibri"/>
                              </w:rPr>
                            </w:pPr>
                            <w:r w:rsidRPr="00CD1946">
                              <w:rPr>
                                <w:rFonts w:cs="Calibri"/>
                              </w:rPr>
                              <w:t>i.</w:t>
                            </w:r>
                            <w:r w:rsidRPr="00CD1946">
                              <w:rPr>
                                <w:rFonts w:cs="Calibri"/>
                              </w:rPr>
                              <w:tab/>
                              <w:t xml:space="preserve">note the change in the annual provision against contributions </w:t>
                            </w:r>
                            <w:r w:rsidR="00F70B6E">
                              <w:rPr>
                                <w:rFonts w:cs="Calibri"/>
                              </w:rPr>
                              <w:t xml:space="preserve">not received </w:t>
                            </w:r>
                            <w:r w:rsidR="001554EE">
                              <w:rPr>
                                <w:rFonts w:cs="Calibri"/>
                              </w:rPr>
                              <w:t>by 31 December</w:t>
                            </w:r>
                            <w:r w:rsidR="002A2388">
                              <w:rPr>
                                <w:rFonts w:cs="Calibri"/>
                              </w:rPr>
                              <w:t xml:space="preserve"> </w:t>
                            </w:r>
                            <w:r w:rsidR="007023A2">
                              <w:rPr>
                                <w:rFonts w:cs="Calibri"/>
                              </w:rPr>
                              <w:t>2024</w:t>
                            </w:r>
                            <w:r w:rsidRPr="00CD1946">
                              <w:rPr>
                                <w:rFonts w:cs="Calibri"/>
                              </w:rPr>
                              <w:t xml:space="preserve">; and </w:t>
                            </w:r>
                          </w:p>
                          <w:p w14:paraId="315D6335" w14:textId="31AD2AD3" w:rsidR="005B4DF7" w:rsidRPr="00CD1946" w:rsidRDefault="005B4DF7" w:rsidP="000E047B">
                            <w:pPr>
                              <w:pStyle w:val="ColorfulList-Accent11"/>
                              <w:ind w:left="425"/>
                              <w:rPr>
                                <w:rFonts w:cs="Calibri"/>
                              </w:rPr>
                            </w:pPr>
                          </w:p>
                          <w:p w14:paraId="5A7708BE" w14:textId="227DE17D" w:rsidR="005B4DF7" w:rsidRDefault="00E1484F" w:rsidP="00B17F54">
                            <w:pPr>
                              <w:pStyle w:val="ColorfulList-Accent11"/>
                              <w:ind w:left="425"/>
                              <w:rPr>
                                <w:rFonts w:cs="Calibri"/>
                              </w:rPr>
                            </w:pPr>
                            <w:r w:rsidRPr="00D9682F">
                              <w:rPr>
                                <w:rFonts w:cs="Calibri"/>
                              </w:rPr>
                              <w:t>ii</w:t>
                            </w:r>
                            <w:r w:rsidR="005B4DF7" w:rsidRPr="00D9682F">
                              <w:rPr>
                                <w:rFonts w:cs="Calibri"/>
                              </w:rPr>
                              <w:t>.</w:t>
                            </w:r>
                            <w:r w:rsidR="005B4DF7" w:rsidRPr="00D9682F">
                              <w:rPr>
                                <w:rFonts w:cs="Calibri"/>
                              </w:rPr>
                              <w:tab/>
                              <w:t xml:space="preserve">note the </w:t>
                            </w:r>
                            <w:r w:rsidR="00791423" w:rsidRPr="00D9682F">
                              <w:rPr>
                                <w:rFonts w:cs="Calibri"/>
                              </w:rPr>
                              <w:t xml:space="preserve">updated balance </w:t>
                            </w:r>
                            <w:r w:rsidR="005B4DF7" w:rsidRPr="00D9682F">
                              <w:rPr>
                                <w:rFonts w:cs="Calibri"/>
                              </w:rPr>
                              <w:t>of the African voluntary contributions</w:t>
                            </w:r>
                            <w:r w:rsidR="009B1DFD" w:rsidRPr="00D9682F">
                              <w:rPr>
                                <w:rFonts w:cs="Calibri"/>
                              </w:rPr>
                              <w:t xml:space="preserve"> as </w:t>
                            </w:r>
                            <w:r w:rsidR="00F42498" w:rsidRPr="00D9682F">
                              <w:rPr>
                                <w:rFonts w:cs="Calibri"/>
                              </w:rPr>
                              <w:t>of</w:t>
                            </w:r>
                            <w:r w:rsidR="009B1DFD" w:rsidRPr="00D9682F">
                              <w:rPr>
                                <w:rFonts w:cs="Calibri"/>
                              </w:rPr>
                              <w:t xml:space="preserve"> </w:t>
                            </w:r>
                            <w:r w:rsidR="009E4DFA" w:rsidRPr="00D9682F">
                              <w:rPr>
                                <w:rFonts w:cs="Calibri"/>
                              </w:rPr>
                              <w:t xml:space="preserve">31 </w:t>
                            </w:r>
                            <w:r w:rsidR="00791423" w:rsidRPr="00D9682F">
                              <w:rPr>
                                <w:rFonts w:cs="Calibri"/>
                              </w:rPr>
                              <w:t>January 2025</w:t>
                            </w:r>
                            <w:r w:rsidR="007023A2">
                              <w:rPr>
                                <w:rFonts w:cs="Calibri"/>
                              </w:rPr>
                              <w:t>.</w:t>
                            </w:r>
                          </w:p>
                          <w:p w14:paraId="239738D7" w14:textId="77777777" w:rsidR="005B4DF7" w:rsidRDefault="005B4DF7" w:rsidP="0021123F">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192CD903" id="_x0000_t202" coordsize="21600,21600" o:spt="202" path="m,l,21600r21600,l21600,xe">
                <v:stroke joinstyle="miter"/>
                <v:path gradientshapeok="t" o:connecttype="rect"/>
              </v:shapetype>
              <v:shape id="Text Box 1" o:spid="_x0000_s1026" type="#_x0000_t202" style="width:459.85pt;height:1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csFwIAACwEAAAOAAAAZHJzL2Uyb0RvYy54bWysU9tu2zAMfR+wfxD0vthJky0x4hRdugwD&#10;ugvQ7QMUWY6FyaJGKbG7rx8lu2l2exmmB0EUqUPy8Gh93beGnRR6Dbbk00nOmbISKm0PJf/yefdi&#10;yZkPwlbCgFUlf1CeX2+eP1t3rlAzaMBUChmBWF90ruRNCK7IMi8b1Qo/AacsOWvAVgQy8ZBVKDpC&#10;b002y/OXWQdYOQSpvKfb28HJNwm/rpUMH+vaq8BMyam2kHZM+z7u2WYtigMK12g5liH+oYpWaEtJ&#10;z1C3Igh2RP0bVKslgoc6TCS0GdS1lir1QN1M81+6uW+EU6kXIse7M03+/8HKD6d79wlZ6F9DTwNM&#10;TXh3B/KrZxa2jbAHdYMIXaNERYmnkbKsc74Yn0aqfeEjyL57DxUNWRwDJKC+xjayQn0yQqcBPJxJ&#10;V31gki4Xy3meL684k+SbLq6m+XKVcoji8blDH94qaFk8lBxpqglenO58iOWI4jEkZvNgdLXTxiQD&#10;D/utQXYSpIBdWiP6T2HGsq7kq8VsMTDwV4g8rT9BtDqQlI1uS748B4ki8vbGVkloQWgznKlkY0ci&#10;I3cDi6Hf9xQYCd1D9UCUIgySpS9GhwbwO2cdybXk/ttRoOLMvLM0ltV0Po/6TsZ88WpGBl569pce&#10;YSVBlTxwNhy3YfgTR4f60FCmQQgWbmiUtU4kP1U11k2STNyP3ydq/tJOUU+ffPMDAAD//wMAUEsD&#10;BBQABgAIAAAAIQChATkz3QAAAAUBAAAPAAAAZHJzL2Rvd25yZXYueG1sTI/BTsMwEETvSPyDtUhc&#10;EHVSqrYJcSqEBIIbFARXN94mEfY62G4a/p6FC1xWGs1o5m21mZwVI4bYe1KQzzIQSI03PbUKXl/u&#10;LtcgYtJktPWECr4wwqY+Pal0afyRnnHcplZwCcVSK+hSGkopY9Oh03HmByT29j44nViGVpqgj1zu&#10;rJxn2VI63RMvdHrA2w6bj+3BKVgvHsb3+Hj19NYs97ZIF6vx/jModX423VyDSDilvzD84DM61My0&#10;8wcyUVgF/Ej6vewVebECsVMwX+Q5yLqS/+nrbwAAAP//AwBQSwECLQAUAAYACAAAACEAtoM4kv4A&#10;AADhAQAAEwAAAAAAAAAAAAAAAAAAAAAAW0NvbnRlbnRfVHlwZXNdLnhtbFBLAQItABQABgAIAAAA&#10;IQA4/SH/1gAAAJQBAAALAAAAAAAAAAAAAAAAAC8BAABfcmVscy8ucmVsc1BLAQItABQABgAIAAAA&#10;IQDUtBcsFwIAACwEAAAOAAAAAAAAAAAAAAAAAC4CAABkcnMvZTJvRG9jLnhtbFBLAQItABQABgAI&#10;AAAAIQChATkz3QAAAAUBAAAPAAAAAAAAAAAAAAAAAHEEAABkcnMvZG93bnJldi54bWxQSwUGAAAA&#10;AAQABADzAAAAewUAAAAA&#10;">
                <v:textbox>
                  <w:txbxContent>
                    <w:p w14:paraId="346B3836" w14:textId="79C45034" w:rsidR="005B4DF7" w:rsidRDefault="005B4DF7" w:rsidP="000C2489">
                      <w:pPr>
                        <w:rPr>
                          <w:b/>
                          <w:bCs/>
                        </w:rPr>
                      </w:pPr>
                      <w:r>
                        <w:rPr>
                          <w:b/>
                          <w:bCs/>
                        </w:rPr>
                        <w:t>Action</w:t>
                      </w:r>
                      <w:r w:rsidR="0075032A">
                        <w:rPr>
                          <w:b/>
                          <w:bCs/>
                        </w:rPr>
                        <w:t>s</w:t>
                      </w:r>
                      <w:r>
                        <w:rPr>
                          <w:b/>
                          <w:bCs/>
                        </w:rPr>
                        <w:t xml:space="preserve"> requested: </w:t>
                      </w:r>
                    </w:p>
                    <w:p w14:paraId="10582C63" w14:textId="77777777" w:rsidR="005B4DF7" w:rsidRDefault="005B4DF7" w:rsidP="000C2489">
                      <w:pPr>
                        <w:pStyle w:val="ColorfulList-Accent11"/>
                        <w:ind w:left="0"/>
                      </w:pPr>
                    </w:p>
                    <w:p w14:paraId="21AB915B" w14:textId="2C166CA4" w:rsidR="005B4DF7" w:rsidRDefault="005B4DF7" w:rsidP="00275F13">
                      <w:pPr>
                        <w:pStyle w:val="ColorfulList-Accent11"/>
                        <w:ind w:left="0" w:firstLine="0"/>
                        <w:rPr>
                          <w:rFonts w:cs="Calibri"/>
                        </w:rPr>
                      </w:pPr>
                      <w:r>
                        <w:t xml:space="preserve">The Standing Committee is </w:t>
                      </w:r>
                      <w:r>
                        <w:rPr>
                          <w:rFonts w:cs="Calibri"/>
                        </w:rPr>
                        <w:t>invited to:</w:t>
                      </w:r>
                    </w:p>
                    <w:p w14:paraId="73529BDA" w14:textId="77777777" w:rsidR="005B4DF7" w:rsidRDefault="005B4DF7" w:rsidP="00275F13">
                      <w:pPr>
                        <w:pStyle w:val="ColorfulList-Accent11"/>
                        <w:ind w:left="0" w:firstLine="0"/>
                        <w:rPr>
                          <w:rFonts w:cs="Calibri"/>
                        </w:rPr>
                      </w:pPr>
                    </w:p>
                    <w:p w14:paraId="3720E525" w14:textId="63C75C54" w:rsidR="005B4DF7" w:rsidRPr="00CD1946" w:rsidRDefault="005B4DF7" w:rsidP="000E047B">
                      <w:pPr>
                        <w:pStyle w:val="ColorfulList-Accent11"/>
                        <w:ind w:left="425"/>
                        <w:rPr>
                          <w:rFonts w:cs="Calibri"/>
                        </w:rPr>
                      </w:pPr>
                      <w:r w:rsidRPr="00CD1946">
                        <w:rPr>
                          <w:rFonts w:cs="Calibri"/>
                        </w:rPr>
                        <w:t>i.</w:t>
                      </w:r>
                      <w:r w:rsidRPr="00CD1946">
                        <w:rPr>
                          <w:rFonts w:cs="Calibri"/>
                        </w:rPr>
                        <w:tab/>
                        <w:t xml:space="preserve">note the change in the annual provision against contributions </w:t>
                      </w:r>
                      <w:r w:rsidR="00F70B6E">
                        <w:rPr>
                          <w:rFonts w:cs="Calibri"/>
                        </w:rPr>
                        <w:t xml:space="preserve">not received </w:t>
                      </w:r>
                      <w:r w:rsidR="001554EE">
                        <w:rPr>
                          <w:rFonts w:cs="Calibri"/>
                        </w:rPr>
                        <w:t>by 31 December</w:t>
                      </w:r>
                      <w:r w:rsidR="002A2388">
                        <w:rPr>
                          <w:rFonts w:cs="Calibri"/>
                        </w:rPr>
                        <w:t xml:space="preserve"> </w:t>
                      </w:r>
                      <w:r w:rsidR="007023A2">
                        <w:rPr>
                          <w:rFonts w:cs="Calibri"/>
                        </w:rPr>
                        <w:t>2024</w:t>
                      </w:r>
                      <w:r w:rsidRPr="00CD1946">
                        <w:rPr>
                          <w:rFonts w:cs="Calibri"/>
                        </w:rPr>
                        <w:t xml:space="preserve">; and </w:t>
                      </w:r>
                    </w:p>
                    <w:p w14:paraId="315D6335" w14:textId="31AD2AD3" w:rsidR="005B4DF7" w:rsidRPr="00CD1946" w:rsidRDefault="005B4DF7" w:rsidP="000E047B">
                      <w:pPr>
                        <w:pStyle w:val="ColorfulList-Accent11"/>
                        <w:ind w:left="425"/>
                        <w:rPr>
                          <w:rFonts w:cs="Calibri"/>
                        </w:rPr>
                      </w:pPr>
                    </w:p>
                    <w:p w14:paraId="5A7708BE" w14:textId="227DE17D" w:rsidR="005B4DF7" w:rsidRDefault="00E1484F" w:rsidP="00B17F54">
                      <w:pPr>
                        <w:pStyle w:val="ColorfulList-Accent11"/>
                        <w:ind w:left="425"/>
                        <w:rPr>
                          <w:rFonts w:cs="Calibri"/>
                        </w:rPr>
                      </w:pPr>
                      <w:r w:rsidRPr="00D9682F">
                        <w:rPr>
                          <w:rFonts w:cs="Calibri"/>
                        </w:rPr>
                        <w:t>ii</w:t>
                      </w:r>
                      <w:r w:rsidR="005B4DF7" w:rsidRPr="00D9682F">
                        <w:rPr>
                          <w:rFonts w:cs="Calibri"/>
                        </w:rPr>
                        <w:t>.</w:t>
                      </w:r>
                      <w:r w:rsidR="005B4DF7" w:rsidRPr="00D9682F">
                        <w:rPr>
                          <w:rFonts w:cs="Calibri"/>
                        </w:rPr>
                        <w:tab/>
                        <w:t xml:space="preserve">note the </w:t>
                      </w:r>
                      <w:r w:rsidR="00791423" w:rsidRPr="00D9682F">
                        <w:rPr>
                          <w:rFonts w:cs="Calibri"/>
                        </w:rPr>
                        <w:t xml:space="preserve">updated balance </w:t>
                      </w:r>
                      <w:r w:rsidR="005B4DF7" w:rsidRPr="00D9682F">
                        <w:rPr>
                          <w:rFonts w:cs="Calibri"/>
                        </w:rPr>
                        <w:t>of the African voluntary contributions</w:t>
                      </w:r>
                      <w:r w:rsidR="009B1DFD" w:rsidRPr="00D9682F">
                        <w:rPr>
                          <w:rFonts w:cs="Calibri"/>
                        </w:rPr>
                        <w:t xml:space="preserve"> as </w:t>
                      </w:r>
                      <w:r w:rsidR="00F42498" w:rsidRPr="00D9682F">
                        <w:rPr>
                          <w:rFonts w:cs="Calibri"/>
                        </w:rPr>
                        <w:t>of</w:t>
                      </w:r>
                      <w:r w:rsidR="009B1DFD" w:rsidRPr="00D9682F">
                        <w:rPr>
                          <w:rFonts w:cs="Calibri"/>
                        </w:rPr>
                        <w:t xml:space="preserve"> </w:t>
                      </w:r>
                      <w:r w:rsidR="009E4DFA" w:rsidRPr="00D9682F">
                        <w:rPr>
                          <w:rFonts w:cs="Calibri"/>
                        </w:rPr>
                        <w:t xml:space="preserve">31 </w:t>
                      </w:r>
                      <w:r w:rsidR="00791423" w:rsidRPr="00D9682F">
                        <w:rPr>
                          <w:rFonts w:cs="Calibri"/>
                        </w:rPr>
                        <w:t>January 2025</w:t>
                      </w:r>
                      <w:r w:rsidR="007023A2">
                        <w:rPr>
                          <w:rFonts w:cs="Calibri"/>
                        </w:rPr>
                        <w:t>.</w:t>
                      </w:r>
                    </w:p>
                    <w:p w14:paraId="239738D7" w14:textId="77777777" w:rsidR="005B4DF7" w:rsidRDefault="005B4DF7" w:rsidP="0021123F">
                      <w:pPr>
                        <w:pStyle w:val="ColorfulList-Accent11"/>
                        <w:ind w:left="0" w:firstLine="0"/>
                      </w:pPr>
                    </w:p>
                  </w:txbxContent>
                </v:textbox>
                <w10:anchorlock/>
              </v:shape>
            </w:pict>
          </mc:Fallback>
        </mc:AlternateContent>
      </w:r>
    </w:p>
    <w:p w14:paraId="7C1EF6B2" w14:textId="77777777" w:rsidR="009E0AE8" w:rsidRPr="00520DF0" w:rsidRDefault="009E0AE8" w:rsidP="00014168">
      <w:pPr>
        <w:rPr>
          <w:rFonts w:cs="Arial"/>
          <w:b/>
        </w:rPr>
      </w:pPr>
    </w:p>
    <w:p w14:paraId="571B824B" w14:textId="77777777" w:rsidR="009E4DFA" w:rsidRPr="00520DF0" w:rsidRDefault="009E4DFA" w:rsidP="00014168">
      <w:pPr>
        <w:rPr>
          <w:rFonts w:cs="Arial"/>
          <w:b/>
        </w:rPr>
      </w:pPr>
    </w:p>
    <w:p w14:paraId="368852E9" w14:textId="11A3E1D6" w:rsidR="000C2489" w:rsidRPr="00520DF0" w:rsidRDefault="00D1615B" w:rsidP="00014168">
      <w:pPr>
        <w:rPr>
          <w:rFonts w:cs="Arial"/>
          <w:b/>
        </w:rPr>
      </w:pPr>
      <w:r w:rsidRPr="00520DF0">
        <w:rPr>
          <w:rFonts w:cs="Arial"/>
          <w:b/>
        </w:rPr>
        <w:t>Background</w:t>
      </w:r>
    </w:p>
    <w:p w14:paraId="6697EA2C" w14:textId="77777777" w:rsidR="009C7169" w:rsidRDefault="009C7169" w:rsidP="00791423">
      <w:pPr>
        <w:rPr>
          <w:rFonts w:cs="Arial"/>
        </w:rPr>
      </w:pPr>
    </w:p>
    <w:p w14:paraId="0B4114F8" w14:textId="6FAFBBDD" w:rsidR="009C7169" w:rsidRDefault="00A262EA" w:rsidP="00791423">
      <w:pPr>
        <w:rPr>
          <w:rFonts w:cs="Arial"/>
        </w:rPr>
      </w:pPr>
      <w:r>
        <w:rPr>
          <w:rFonts w:cs="Arial"/>
        </w:rPr>
        <w:t>1.</w:t>
      </w:r>
      <w:r>
        <w:rPr>
          <w:rFonts w:cs="Arial"/>
        </w:rPr>
        <w:tab/>
      </w:r>
      <w:r w:rsidR="009C7169">
        <w:rPr>
          <w:rFonts w:cs="Arial"/>
        </w:rPr>
        <w:t xml:space="preserve">The Secretariat reported to the Standing Committee at its 64th meeting (SC64) the status of annual contributions as of 31 December 2024 and the actions planned for 2025 to </w:t>
      </w:r>
      <w:r w:rsidR="009C7169" w:rsidRPr="009C7169">
        <w:rPr>
          <w:rFonts w:cs="Arial"/>
        </w:rPr>
        <w:t>continue encouraging the payment of annual contributions</w:t>
      </w:r>
      <w:r w:rsidR="00405B72">
        <w:rPr>
          <w:rFonts w:cs="Arial"/>
        </w:rPr>
        <w:t xml:space="preserve">, in document </w:t>
      </w:r>
      <w:r w:rsidR="00405B72" w:rsidRPr="00405B72">
        <w:rPr>
          <w:rFonts w:cs="Arial"/>
        </w:rPr>
        <w:t>SC64 Doc.9.2 Rev.1</w:t>
      </w:r>
      <w:r w:rsidR="00B13260">
        <w:rPr>
          <w:rStyle w:val="FootnoteReference"/>
          <w:rFonts w:cs="Arial"/>
        </w:rPr>
        <w:footnoteReference w:id="2"/>
      </w:r>
      <w:r w:rsidR="009C7169">
        <w:rPr>
          <w:rFonts w:cs="Arial"/>
        </w:rPr>
        <w:t>.</w:t>
      </w:r>
      <w:r w:rsidR="00B13260">
        <w:rPr>
          <w:rFonts w:cs="Arial"/>
        </w:rPr>
        <w:t xml:space="preserve"> Annex 1 of that document listed the s</w:t>
      </w:r>
      <w:r w:rsidR="00B13260" w:rsidRPr="00B13260">
        <w:rPr>
          <w:rFonts w:cs="Arial"/>
        </w:rPr>
        <w:t>tatus of assessed contributions as of 31 December 2024</w:t>
      </w:r>
      <w:r w:rsidR="00B13260">
        <w:rPr>
          <w:rFonts w:cs="Arial"/>
        </w:rPr>
        <w:t xml:space="preserve"> for each of the Contracting Parties.</w:t>
      </w:r>
    </w:p>
    <w:p w14:paraId="56FB0D26" w14:textId="77777777" w:rsidR="009C7169" w:rsidRDefault="009C7169" w:rsidP="00791423">
      <w:pPr>
        <w:rPr>
          <w:rFonts w:cs="Arial"/>
        </w:rPr>
      </w:pPr>
    </w:p>
    <w:p w14:paraId="0C00AA2D" w14:textId="4A8AA6A3" w:rsidR="00AF6002" w:rsidRDefault="00A262EA" w:rsidP="00791423">
      <w:pPr>
        <w:rPr>
          <w:rFonts w:cs="Arial"/>
        </w:rPr>
      </w:pPr>
      <w:r>
        <w:rPr>
          <w:rFonts w:cs="Arial"/>
        </w:rPr>
        <w:t>2</w:t>
      </w:r>
      <w:r w:rsidR="004B5A08" w:rsidRPr="00520DF0">
        <w:rPr>
          <w:rFonts w:cs="Arial"/>
        </w:rPr>
        <w:t>.</w:t>
      </w:r>
      <w:r w:rsidR="004B5A08" w:rsidRPr="00520DF0">
        <w:rPr>
          <w:rFonts w:cs="Arial"/>
        </w:rPr>
        <w:tab/>
      </w:r>
      <w:r w:rsidR="00791423">
        <w:rPr>
          <w:rFonts w:cs="Arial"/>
        </w:rPr>
        <w:t>Through Decision SC64-</w:t>
      </w:r>
      <w:r w:rsidR="00D92890">
        <w:rPr>
          <w:rFonts w:cs="Arial"/>
        </w:rPr>
        <w:t>40</w:t>
      </w:r>
      <w:r w:rsidR="001230BA">
        <w:rPr>
          <w:rFonts w:cs="Arial"/>
        </w:rPr>
        <w:t xml:space="preserve"> parts i), ii) and iii)</w:t>
      </w:r>
      <w:r w:rsidR="00894D44">
        <w:rPr>
          <w:rStyle w:val="FootnoteReference"/>
          <w:rFonts w:cs="Arial"/>
        </w:rPr>
        <w:footnoteReference w:id="3"/>
      </w:r>
      <w:r w:rsidR="00791423">
        <w:rPr>
          <w:rFonts w:cs="Arial"/>
        </w:rPr>
        <w:t xml:space="preserve">, the Standing Committee </w:t>
      </w:r>
      <w:r w:rsidR="00AF6002">
        <w:rPr>
          <w:rFonts w:cs="Arial"/>
        </w:rPr>
        <w:t xml:space="preserve">noted </w:t>
      </w:r>
      <w:r w:rsidR="00791423">
        <w:rPr>
          <w:rFonts w:cs="Arial"/>
        </w:rPr>
        <w:t xml:space="preserve">the status of assessed contributions as of </w:t>
      </w:r>
      <w:r w:rsidR="009C7169">
        <w:rPr>
          <w:rFonts w:cs="Arial"/>
        </w:rPr>
        <w:t>the end of</w:t>
      </w:r>
      <w:r w:rsidR="00791423">
        <w:rPr>
          <w:rFonts w:cs="Arial"/>
        </w:rPr>
        <w:t xml:space="preserve"> 2024</w:t>
      </w:r>
      <w:r w:rsidR="009C7169">
        <w:rPr>
          <w:rFonts w:cs="Arial"/>
        </w:rPr>
        <w:t xml:space="preserve"> and acknowledged it as part of the audit process</w:t>
      </w:r>
      <w:r w:rsidR="00AF6002">
        <w:rPr>
          <w:rFonts w:cs="Arial"/>
        </w:rPr>
        <w:t xml:space="preserve">, </w:t>
      </w:r>
      <w:r w:rsidR="009C7169">
        <w:rPr>
          <w:rFonts w:cs="Arial"/>
        </w:rPr>
        <w:t xml:space="preserve">and </w:t>
      </w:r>
      <w:r w:rsidR="00AF6002">
        <w:rPr>
          <w:rFonts w:cs="Arial"/>
        </w:rPr>
        <w:t>noted the actions to continue encouraging the payment of annual contributions by Contracting Parties.</w:t>
      </w:r>
    </w:p>
    <w:p w14:paraId="105DBCA4" w14:textId="77777777" w:rsidR="009E4DFA" w:rsidRPr="00520DF0" w:rsidRDefault="009E4DFA" w:rsidP="00E1484F">
      <w:pPr>
        <w:rPr>
          <w:rFonts w:cs="Arial"/>
          <w:b/>
        </w:rPr>
      </w:pPr>
    </w:p>
    <w:p w14:paraId="7E8E1A17" w14:textId="421A9CA2" w:rsidR="00D1615B" w:rsidRDefault="00D1615B" w:rsidP="0089531A">
      <w:pPr>
        <w:keepNext/>
        <w:rPr>
          <w:rFonts w:cs="Arial"/>
          <w:b/>
        </w:rPr>
      </w:pPr>
      <w:r w:rsidRPr="00520DF0">
        <w:rPr>
          <w:rFonts w:cs="Arial"/>
          <w:b/>
        </w:rPr>
        <w:t>Status of annual contributions</w:t>
      </w:r>
      <w:r w:rsidR="001B46E8">
        <w:rPr>
          <w:rFonts w:cs="Arial"/>
          <w:b/>
        </w:rPr>
        <w:t xml:space="preserve"> and p</w:t>
      </w:r>
      <w:r w:rsidR="00405B72">
        <w:rPr>
          <w:rFonts w:cs="Arial"/>
          <w:b/>
        </w:rPr>
        <w:t>rovision for non-collection</w:t>
      </w:r>
    </w:p>
    <w:p w14:paraId="32C1C199" w14:textId="77777777" w:rsidR="001B46E8" w:rsidRDefault="001B46E8" w:rsidP="0089531A">
      <w:pPr>
        <w:keepNext/>
        <w:rPr>
          <w:rFonts w:cs="Arial"/>
          <w:b/>
        </w:rPr>
      </w:pPr>
    </w:p>
    <w:p w14:paraId="4C089A29" w14:textId="2BA51B4B" w:rsidR="001B46E8" w:rsidRPr="00520DF0" w:rsidRDefault="00D9682F" w:rsidP="001B46E8">
      <w:pPr>
        <w:rPr>
          <w:rFonts w:cs="Arial"/>
        </w:rPr>
      </w:pPr>
      <w:r>
        <w:rPr>
          <w:rFonts w:cs="Arial"/>
        </w:rPr>
        <w:t>3</w:t>
      </w:r>
      <w:r w:rsidR="001B46E8">
        <w:rPr>
          <w:rFonts w:cs="Arial"/>
        </w:rPr>
        <w:t>.</w:t>
      </w:r>
      <w:r w:rsidR="001B46E8">
        <w:rPr>
          <w:rFonts w:cs="Arial"/>
        </w:rPr>
        <w:tab/>
        <w:t xml:space="preserve">As of 31 December 2024, 108 Contracting Parties had paid all their contributions up to and including 2023 (compared to 106 Parties that at the end of 2023 had paid their contributions for the years up to 2022). Of these 108 Parties, 85 had also paid their full contributions for 2024 (compared to 89 Parties in 2023). </w:t>
      </w:r>
      <w:r w:rsidR="00B13260">
        <w:rPr>
          <w:rFonts w:cs="Arial"/>
        </w:rPr>
        <w:t xml:space="preserve">These findings are summarized in </w:t>
      </w:r>
      <w:r w:rsidR="00B13260" w:rsidRPr="00F70B6E">
        <w:rPr>
          <w:rFonts w:cs="Arial"/>
        </w:rPr>
        <w:t>Figure 1 below.</w:t>
      </w:r>
      <w:r w:rsidR="00B13260">
        <w:rPr>
          <w:rFonts w:cs="Arial"/>
        </w:rPr>
        <w:t xml:space="preserve"> </w:t>
      </w:r>
      <w:r w:rsidR="001B46E8" w:rsidRPr="003701F3">
        <w:rPr>
          <w:rFonts w:cs="Arial"/>
        </w:rPr>
        <w:t xml:space="preserve">The Secretariat acknowledges, with appreciation, the consistent and prompt payment </w:t>
      </w:r>
      <w:r w:rsidR="00B13260">
        <w:rPr>
          <w:rFonts w:cs="Arial"/>
        </w:rPr>
        <w:t>by</w:t>
      </w:r>
      <w:r w:rsidR="001B46E8" w:rsidRPr="003701F3">
        <w:rPr>
          <w:rFonts w:cs="Arial"/>
        </w:rPr>
        <w:t xml:space="preserve"> these Contracting Parties. </w:t>
      </w:r>
      <w:r w:rsidR="001B46E8">
        <w:rPr>
          <w:rFonts w:cs="Arial"/>
        </w:rPr>
        <w:t>In addition, during 202</w:t>
      </w:r>
      <w:r w:rsidR="00B13260">
        <w:rPr>
          <w:rFonts w:cs="Arial"/>
        </w:rPr>
        <w:t>4</w:t>
      </w:r>
      <w:r w:rsidR="001B46E8">
        <w:rPr>
          <w:rFonts w:cs="Arial"/>
        </w:rPr>
        <w:t xml:space="preserve">, ten Parties had already paid a total of </w:t>
      </w:r>
      <w:r w:rsidR="001B46E8" w:rsidRPr="003701F3">
        <w:rPr>
          <w:rFonts w:cs="Arial"/>
        </w:rPr>
        <w:t xml:space="preserve">CHF </w:t>
      </w:r>
      <w:r w:rsidR="001B46E8">
        <w:rPr>
          <w:rFonts w:cs="Arial"/>
        </w:rPr>
        <w:t>487</w:t>
      </w:r>
      <w:r w:rsidR="001B46E8" w:rsidRPr="003701F3">
        <w:rPr>
          <w:rFonts w:cs="Arial"/>
        </w:rPr>
        <w:t>K towards their contributions for 202</w:t>
      </w:r>
      <w:r w:rsidR="00B13260">
        <w:rPr>
          <w:rFonts w:cs="Arial"/>
        </w:rPr>
        <w:t>5</w:t>
      </w:r>
      <w:r w:rsidR="001B46E8" w:rsidRPr="003701F3">
        <w:rPr>
          <w:rFonts w:cs="Arial"/>
        </w:rPr>
        <w:t xml:space="preserve">. </w:t>
      </w:r>
    </w:p>
    <w:p w14:paraId="61C5B078" w14:textId="77777777" w:rsidR="001B46E8" w:rsidRDefault="001B46E8" w:rsidP="0089531A">
      <w:pPr>
        <w:keepNext/>
        <w:rPr>
          <w:rFonts w:cs="Arial"/>
          <w:b/>
        </w:rPr>
      </w:pPr>
    </w:p>
    <w:p w14:paraId="2F29CCEF" w14:textId="77777777" w:rsidR="001B46E8" w:rsidRPr="00E90249" w:rsidRDefault="001B46E8" w:rsidP="00A82C82">
      <w:pPr>
        <w:keepNext/>
        <w:rPr>
          <w:rFonts w:cs="Arial"/>
          <w:i/>
        </w:rPr>
      </w:pPr>
      <w:r w:rsidRPr="00E90249">
        <w:rPr>
          <w:rFonts w:cs="Arial"/>
          <w:i/>
        </w:rPr>
        <w:t>Figure 1: Number of Contracting Parties, by status of outstanding contributions, as of end 202</w:t>
      </w:r>
      <w:r>
        <w:rPr>
          <w:rFonts w:cs="Arial"/>
          <w:i/>
        </w:rPr>
        <w:t>4</w:t>
      </w:r>
    </w:p>
    <w:p w14:paraId="4D3DD0C4" w14:textId="1BF3D026" w:rsidR="001B46E8" w:rsidRPr="003701F3" w:rsidRDefault="00787E09" w:rsidP="001B46E8">
      <w:pPr>
        <w:rPr>
          <w:rFonts w:cs="Arial"/>
        </w:rPr>
      </w:pPr>
      <w:r>
        <w:rPr>
          <w:noProof/>
        </w:rPr>
        <w:drawing>
          <wp:inline distT="0" distB="0" distL="0" distR="0" wp14:anchorId="36943117" wp14:editId="2756DB10">
            <wp:extent cx="5852160" cy="2764301"/>
            <wp:effectExtent l="0" t="0" r="15240" b="17145"/>
            <wp:docPr id="20184343" name="Chart 1">
              <a:extLst xmlns:a="http://schemas.openxmlformats.org/drawingml/2006/main">
                <a:ext uri="{FF2B5EF4-FFF2-40B4-BE49-F238E27FC236}">
                  <a16:creationId xmlns:a16="http://schemas.microsoft.com/office/drawing/2014/main" id="{A6E9FAA9-4585-45FD-928A-5CF2A1B85F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9F7C29" w14:textId="77777777" w:rsidR="00A82C82" w:rsidRDefault="00A82C82" w:rsidP="001B46E8">
      <w:pPr>
        <w:rPr>
          <w:rFonts w:cs="Arial"/>
        </w:rPr>
      </w:pPr>
    </w:p>
    <w:p w14:paraId="011B1AF1" w14:textId="77777777" w:rsidR="00A82C82" w:rsidRDefault="00A82C82" w:rsidP="001B46E8">
      <w:pPr>
        <w:rPr>
          <w:rFonts w:cs="Arial"/>
        </w:rPr>
      </w:pPr>
    </w:p>
    <w:p w14:paraId="577EC119" w14:textId="7593E130" w:rsidR="001B46E8" w:rsidRDefault="00D9682F" w:rsidP="001B46E8">
      <w:pPr>
        <w:rPr>
          <w:rFonts w:cs="Arial"/>
        </w:rPr>
      </w:pPr>
      <w:r>
        <w:rPr>
          <w:rFonts w:cs="Arial"/>
        </w:rPr>
        <w:t>4</w:t>
      </w:r>
      <w:r w:rsidR="001B46E8" w:rsidRPr="003701F3">
        <w:rPr>
          <w:rFonts w:cs="Arial"/>
        </w:rPr>
        <w:t>.</w:t>
      </w:r>
      <w:r w:rsidR="001B46E8" w:rsidRPr="003701F3">
        <w:rPr>
          <w:rFonts w:cs="Arial"/>
        </w:rPr>
        <w:tab/>
        <w:t xml:space="preserve">A </w:t>
      </w:r>
      <w:r w:rsidR="00A82C82">
        <w:rPr>
          <w:rFonts w:cs="Arial"/>
        </w:rPr>
        <w:t>compar</w:t>
      </w:r>
      <w:r w:rsidR="001554EE">
        <w:rPr>
          <w:rFonts w:cs="Arial"/>
        </w:rPr>
        <w:t>a</w:t>
      </w:r>
      <w:r w:rsidR="00A82C82">
        <w:rPr>
          <w:rFonts w:cs="Arial"/>
        </w:rPr>
        <w:t>tive breakdown</w:t>
      </w:r>
      <w:r w:rsidR="001B46E8" w:rsidRPr="003701F3">
        <w:rPr>
          <w:rFonts w:cs="Arial"/>
        </w:rPr>
        <w:t xml:space="preserve"> of the balance of outstanding contributions at 31 December 20</w:t>
      </w:r>
      <w:r w:rsidR="001B46E8">
        <w:rPr>
          <w:rFonts w:cs="Arial"/>
        </w:rPr>
        <w:t>2</w:t>
      </w:r>
      <w:r w:rsidR="00B13260">
        <w:rPr>
          <w:rFonts w:cs="Arial"/>
        </w:rPr>
        <w:t xml:space="preserve">3 </w:t>
      </w:r>
      <w:r w:rsidR="001B46E8" w:rsidRPr="003701F3">
        <w:rPr>
          <w:rFonts w:cs="Arial"/>
        </w:rPr>
        <w:t>and 31 December 20</w:t>
      </w:r>
      <w:r w:rsidR="001B46E8">
        <w:rPr>
          <w:rFonts w:cs="Arial"/>
        </w:rPr>
        <w:t>2</w:t>
      </w:r>
      <w:r w:rsidR="00B13260">
        <w:rPr>
          <w:rFonts w:cs="Arial"/>
        </w:rPr>
        <w:t>4</w:t>
      </w:r>
      <w:r w:rsidR="001B46E8" w:rsidRPr="003701F3">
        <w:rPr>
          <w:rFonts w:cs="Arial"/>
        </w:rPr>
        <w:t xml:space="preserve"> is shown in Table </w:t>
      </w:r>
      <w:r w:rsidR="004737CA">
        <w:rPr>
          <w:rFonts w:cs="Arial"/>
        </w:rPr>
        <w:t>1</w:t>
      </w:r>
      <w:r w:rsidR="001B46E8" w:rsidRPr="003701F3">
        <w:rPr>
          <w:rFonts w:cs="Arial"/>
        </w:rPr>
        <w:t xml:space="preserve"> below. </w:t>
      </w:r>
      <w:r w:rsidR="00A82C82">
        <w:rPr>
          <w:rFonts w:cs="Arial"/>
        </w:rPr>
        <w:t>The table</w:t>
      </w:r>
      <w:r w:rsidR="001B46E8" w:rsidRPr="003701F3">
        <w:rPr>
          <w:rFonts w:cs="Arial"/>
        </w:rPr>
        <w:t xml:space="preserve"> shows </w:t>
      </w:r>
      <w:r w:rsidR="001B46E8">
        <w:rPr>
          <w:rFonts w:cs="Arial"/>
        </w:rPr>
        <w:t>the</w:t>
      </w:r>
      <w:r w:rsidR="001B46E8" w:rsidRPr="003701F3">
        <w:rPr>
          <w:rFonts w:cs="Arial"/>
        </w:rPr>
        <w:t xml:space="preserve"> overall </w:t>
      </w:r>
      <w:r w:rsidR="001B46E8">
        <w:rPr>
          <w:rFonts w:cs="Arial"/>
        </w:rPr>
        <w:t>in</w:t>
      </w:r>
      <w:r w:rsidR="001B46E8" w:rsidRPr="003701F3">
        <w:rPr>
          <w:rFonts w:cs="Arial"/>
        </w:rPr>
        <w:t xml:space="preserve">crease in </w:t>
      </w:r>
      <w:r w:rsidR="00B13260">
        <w:rPr>
          <w:rFonts w:cs="Arial"/>
        </w:rPr>
        <w:t xml:space="preserve">the </w:t>
      </w:r>
      <w:r w:rsidR="001B46E8" w:rsidRPr="003701F3">
        <w:rPr>
          <w:rFonts w:cs="Arial"/>
        </w:rPr>
        <w:t xml:space="preserve">balance of outstanding contributions of CHF </w:t>
      </w:r>
      <w:r w:rsidR="001B46E8">
        <w:rPr>
          <w:rFonts w:cs="Arial"/>
        </w:rPr>
        <w:t>262</w:t>
      </w:r>
      <w:r w:rsidR="001B46E8" w:rsidRPr="003701F3">
        <w:rPr>
          <w:rFonts w:cs="Arial"/>
        </w:rPr>
        <w:t>K</w:t>
      </w:r>
      <w:r w:rsidR="001B46E8" w:rsidRPr="00544D57">
        <w:rPr>
          <w:rFonts w:cs="Arial"/>
        </w:rPr>
        <w:t>.</w:t>
      </w:r>
      <w:r w:rsidR="001B46E8" w:rsidRPr="00544D57" w:rsidDel="00F167D7">
        <w:rPr>
          <w:rFonts w:cs="Arial"/>
        </w:rPr>
        <w:t xml:space="preserve"> </w:t>
      </w:r>
    </w:p>
    <w:p w14:paraId="34C2CA61" w14:textId="77777777" w:rsidR="001B46E8" w:rsidRDefault="001B46E8" w:rsidP="001B46E8">
      <w:pPr>
        <w:rPr>
          <w:rFonts w:cs="Arial"/>
        </w:rPr>
      </w:pPr>
    </w:p>
    <w:p w14:paraId="2FDAAD1A" w14:textId="13B3FD9E" w:rsidR="001B46E8" w:rsidRPr="0038249A" w:rsidRDefault="001B46E8" w:rsidP="001B46E8">
      <w:pPr>
        <w:keepNext/>
        <w:ind w:left="0" w:firstLine="0"/>
        <w:rPr>
          <w:rFonts w:cs="Arial"/>
        </w:rPr>
      </w:pPr>
      <w:r w:rsidRPr="00186378">
        <w:rPr>
          <w:rFonts w:cs="Arial"/>
          <w:i/>
        </w:rPr>
        <w:t xml:space="preserve">Table </w:t>
      </w:r>
      <w:r w:rsidR="004737CA">
        <w:rPr>
          <w:rFonts w:cs="Arial"/>
          <w:i/>
        </w:rPr>
        <w:t>1</w:t>
      </w:r>
      <w:r w:rsidRPr="00186378">
        <w:rPr>
          <w:rFonts w:cs="Arial"/>
          <w:i/>
        </w:rPr>
        <w:t xml:space="preserve">: </w:t>
      </w:r>
      <w:r>
        <w:rPr>
          <w:rFonts w:cs="Arial"/>
          <w:i/>
        </w:rPr>
        <w:t>B</w:t>
      </w:r>
      <w:r w:rsidRPr="00186378">
        <w:rPr>
          <w:rFonts w:cs="Arial"/>
          <w:i/>
        </w:rPr>
        <w:t xml:space="preserve">alance </w:t>
      </w:r>
      <w:r>
        <w:rPr>
          <w:rFonts w:cs="Arial"/>
          <w:i/>
        </w:rPr>
        <w:t xml:space="preserve">of outstanding contributions, </w:t>
      </w:r>
      <w:r w:rsidRPr="00186378">
        <w:rPr>
          <w:rFonts w:cs="Arial"/>
          <w:i/>
        </w:rPr>
        <w:t>31 December 20</w:t>
      </w:r>
      <w:r>
        <w:rPr>
          <w:rFonts w:cs="Arial"/>
          <w:i/>
        </w:rPr>
        <w:t>2</w:t>
      </w:r>
      <w:r w:rsidR="00B13260">
        <w:rPr>
          <w:rFonts w:cs="Arial"/>
          <w:i/>
        </w:rPr>
        <w:t>3</w:t>
      </w:r>
      <w:r w:rsidRPr="00186378">
        <w:rPr>
          <w:rFonts w:cs="Arial"/>
          <w:i/>
        </w:rPr>
        <w:t xml:space="preserve"> compared to 31 December 20</w:t>
      </w:r>
      <w:r>
        <w:rPr>
          <w:rFonts w:cs="Arial"/>
          <w:i/>
        </w:rPr>
        <w:t>2</w:t>
      </w:r>
      <w:r w:rsidR="00B13260">
        <w:rPr>
          <w:rFonts w:cs="Arial"/>
          <w:i/>
        </w:rPr>
        <w:t>4</w:t>
      </w:r>
      <w:r>
        <w:rPr>
          <w:rFonts w:cs="Arial"/>
          <w:i/>
        </w:rPr>
        <w:t xml:space="preserve"> (in </w:t>
      </w:r>
      <w:r>
        <w:rPr>
          <w:i/>
          <w:iCs/>
        </w:rPr>
        <w:t>‘000 CHF, includes possible rounding differences)</w:t>
      </w:r>
    </w:p>
    <w:tbl>
      <w:tblPr>
        <w:tblW w:w="929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96"/>
        <w:gridCol w:w="2299"/>
        <w:gridCol w:w="2299"/>
        <w:gridCol w:w="2299"/>
      </w:tblGrid>
      <w:tr w:rsidR="001B46E8" w:rsidRPr="00186378" w14:paraId="49A9F76D" w14:textId="77777777" w:rsidTr="00397883">
        <w:trPr>
          <w:trHeight w:val="829"/>
        </w:trPr>
        <w:tc>
          <w:tcPr>
            <w:tcW w:w="2396" w:type="dxa"/>
            <w:shd w:val="clear" w:color="auto" w:fill="C6D9F1" w:themeFill="text2" w:themeFillTint="33"/>
            <w:noWrap/>
            <w:vAlign w:val="center"/>
            <w:hideMark/>
          </w:tcPr>
          <w:p w14:paraId="732F8B52" w14:textId="77777777" w:rsidR="001B46E8" w:rsidRPr="00186378" w:rsidRDefault="001B46E8" w:rsidP="00397883">
            <w:pPr>
              <w:keepNext/>
              <w:ind w:left="0" w:firstLine="0"/>
              <w:jc w:val="center"/>
              <w:rPr>
                <w:b/>
              </w:rPr>
            </w:pPr>
            <w:r w:rsidRPr="00186378">
              <w:rPr>
                <w:b/>
              </w:rPr>
              <w:t>Year</w:t>
            </w:r>
            <w:r>
              <w:rPr>
                <w:b/>
              </w:rPr>
              <w:t xml:space="preserve"> due </w:t>
            </w:r>
          </w:p>
        </w:tc>
        <w:tc>
          <w:tcPr>
            <w:tcW w:w="2299" w:type="dxa"/>
            <w:shd w:val="clear" w:color="auto" w:fill="C6D9F1" w:themeFill="text2" w:themeFillTint="33"/>
          </w:tcPr>
          <w:p w14:paraId="0200B092" w14:textId="77777777" w:rsidR="001B46E8" w:rsidRDefault="001B46E8" w:rsidP="00397883">
            <w:pPr>
              <w:keepNext/>
              <w:ind w:left="0" w:firstLine="0"/>
              <w:jc w:val="center"/>
              <w:rPr>
                <w:b/>
              </w:rPr>
            </w:pPr>
            <w:r>
              <w:rPr>
                <w:b/>
              </w:rPr>
              <w:t>Outstanding c</w:t>
            </w:r>
            <w:r w:rsidRPr="00186378">
              <w:rPr>
                <w:b/>
              </w:rPr>
              <w:t>ontribution balance</w:t>
            </w:r>
            <w:r>
              <w:rPr>
                <w:b/>
              </w:rPr>
              <w:t>s</w:t>
            </w:r>
            <w:r w:rsidRPr="00186378">
              <w:rPr>
                <w:b/>
              </w:rPr>
              <w:t xml:space="preserve"> (CHF </w:t>
            </w:r>
            <w:r>
              <w:rPr>
                <w:b/>
              </w:rPr>
              <w:t>‘</w:t>
            </w:r>
            <w:r w:rsidRPr="00186378">
              <w:rPr>
                <w:b/>
              </w:rPr>
              <w:t>000)</w:t>
            </w:r>
            <w:r w:rsidRPr="00186378">
              <w:rPr>
                <w:b/>
              </w:rPr>
              <w:br/>
              <w:t>31/12/20</w:t>
            </w:r>
            <w:r>
              <w:rPr>
                <w:b/>
              </w:rPr>
              <w:t>23</w:t>
            </w:r>
          </w:p>
        </w:tc>
        <w:tc>
          <w:tcPr>
            <w:tcW w:w="2299" w:type="dxa"/>
            <w:shd w:val="clear" w:color="auto" w:fill="C6D9F1" w:themeFill="text2" w:themeFillTint="33"/>
            <w:vAlign w:val="bottom"/>
            <w:hideMark/>
          </w:tcPr>
          <w:p w14:paraId="6F82742E" w14:textId="77777777" w:rsidR="001B46E8" w:rsidRPr="00186378" w:rsidRDefault="001B46E8" w:rsidP="00397883">
            <w:pPr>
              <w:keepNext/>
              <w:ind w:left="0" w:firstLine="0"/>
              <w:jc w:val="center"/>
              <w:rPr>
                <w:b/>
              </w:rPr>
            </w:pPr>
            <w:r>
              <w:rPr>
                <w:b/>
              </w:rPr>
              <w:t>Outstanding c</w:t>
            </w:r>
            <w:r w:rsidRPr="00186378">
              <w:rPr>
                <w:b/>
              </w:rPr>
              <w:t>ontribution balance</w:t>
            </w:r>
            <w:r>
              <w:rPr>
                <w:b/>
              </w:rPr>
              <w:t>s</w:t>
            </w:r>
            <w:r w:rsidRPr="00186378">
              <w:rPr>
                <w:b/>
              </w:rPr>
              <w:t xml:space="preserve"> (CHF </w:t>
            </w:r>
            <w:r>
              <w:rPr>
                <w:b/>
              </w:rPr>
              <w:t>‘</w:t>
            </w:r>
            <w:r w:rsidRPr="00186378">
              <w:rPr>
                <w:b/>
              </w:rPr>
              <w:t>000)</w:t>
            </w:r>
            <w:r w:rsidRPr="00186378">
              <w:rPr>
                <w:b/>
              </w:rPr>
              <w:br/>
              <w:t>31/12/20</w:t>
            </w:r>
            <w:r>
              <w:rPr>
                <w:b/>
              </w:rPr>
              <w:t>24</w:t>
            </w:r>
          </w:p>
        </w:tc>
        <w:tc>
          <w:tcPr>
            <w:tcW w:w="2299" w:type="dxa"/>
            <w:shd w:val="clear" w:color="auto" w:fill="C6D9F1" w:themeFill="text2" w:themeFillTint="33"/>
            <w:vAlign w:val="center"/>
            <w:hideMark/>
          </w:tcPr>
          <w:p w14:paraId="7AAFE9D1" w14:textId="77777777" w:rsidR="001B46E8" w:rsidRPr="00186378" w:rsidRDefault="001B46E8" w:rsidP="00397883">
            <w:pPr>
              <w:keepNext/>
              <w:ind w:left="0" w:firstLine="0"/>
              <w:jc w:val="center"/>
              <w:rPr>
                <w:b/>
              </w:rPr>
            </w:pPr>
            <w:r w:rsidRPr="00186378">
              <w:rPr>
                <w:b/>
              </w:rPr>
              <w:t xml:space="preserve">Change (CHF </w:t>
            </w:r>
            <w:r>
              <w:rPr>
                <w:b/>
              </w:rPr>
              <w:t>‘</w:t>
            </w:r>
            <w:r w:rsidRPr="00186378">
              <w:rPr>
                <w:b/>
              </w:rPr>
              <w:t>000)</w:t>
            </w:r>
            <w:r w:rsidRPr="00186378">
              <w:rPr>
                <w:b/>
              </w:rPr>
              <w:br/>
              <w:t>(20</w:t>
            </w:r>
            <w:r>
              <w:rPr>
                <w:b/>
              </w:rPr>
              <w:t>23 to 2024</w:t>
            </w:r>
            <w:r w:rsidRPr="00186378">
              <w:rPr>
                <w:b/>
              </w:rPr>
              <w:t xml:space="preserve">) </w:t>
            </w:r>
          </w:p>
        </w:tc>
      </w:tr>
      <w:tr w:rsidR="001B46E8" w:rsidRPr="00186378" w14:paraId="62D9DD8C" w14:textId="77777777" w:rsidTr="00397883">
        <w:tc>
          <w:tcPr>
            <w:tcW w:w="2396" w:type="dxa"/>
            <w:shd w:val="clear" w:color="auto" w:fill="auto"/>
            <w:noWrap/>
            <w:hideMark/>
          </w:tcPr>
          <w:p w14:paraId="1885FE38" w14:textId="77777777" w:rsidR="001B46E8" w:rsidRPr="00186378" w:rsidRDefault="001B46E8" w:rsidP="00397883">
            <w:pPr>
              <w:keepNext/>
              <w:ind w:left="0" w:firstLine="0"/>
              <w:jc w:val="center"/>
              <w:rPr>
                <w:rFonts w:asciiTheme="minorHAnsi" w:eastAsia="Times New Roman" w:hAnsiTheme="minorHAnsi" w:cs="Arial"/>
                <w:color w:val="000000"/>
                <w:lang w:eastAsia="en-GB"/>
              </w:rPr>
            </w:pPr>
            <w:r w:rsidRPr="008126AB">
              <w:t>201</w:t>
            </w:r>
            <w:r>
              <w:t>5 or before</w:t>
            </w:r>
          </w:p>
        </w:tc>
        <w:tc>
          <w:tcPr>
            <w:tcW w:w="2299" w:type="dxa"/>
            <w:vAlign w:val="center"/>
          </w:tcPr>
          <w:p w14:paraId="67767A37" w14:textId="77777777" w:rsidR="001B46E8" w:rsidRDefault="001B46E8" w:rsidP="00397883">
            <w:pPr>
              <w:keepNext/>
              <w:ind w:left="0" w:firstLine="0"/>
              <w:jc w:val="right"/>
            </w:pPr>
            <w:r>
              <w:rPr>
                <w:rFonts w:cs="Calibri"/>
                <w:color w:val="000000"/>
              </w:rPr>
              <w:t>358</w:t>
            </w:r>
          </w:p>
        </w:tc>
        <w:tc>
          <w:tcPr>
            <w:tcW w:w="2299" w:type="dxa"/>
            <w:shd w:val="clear" w:color="auto" w:fill="auto"/>
            <w:noWrap/>
            <w:hideMark/>
          </w:tcPr>
          <w:p w14:paraId="473B81F2"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t>345</w:t>
            </w:r>
          </w:p>
        </w:tc>
        <w:tc>
          <w:tcPr>
            <w:tcW w:w="2299" w:type="dxa"/>
            <w:shd w:val="clear" w:color="auto" w:fill="auto"/>
            <w:noWrap/>
            <w:vAlign w:val="center"/>
            <w:hideMark/>
          </w:tcPr>
          <w:p w14:paraId="50F50551"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rPr>
                <w:rFonts w:cs="Calibri"/>
                <w:color w:val="000000"/>
              </w:rPr>
              <w:t>-13</w:t>
            </w:r>
          </w:p>
        </w:tc>
      </w:tr>
      <w:tr w:rsidR="001B46E8" w:rsidRPr="00186378" w14:paraId="7C2F2ADE" w14:textId="77777777" w:rsidTr="00397883">
        <w:tc>
          <w:tcPr>
            <w:tcW w:w="2396" w:type="dxa"/>
            <w:shd w:val="clear" w:color="auto" w:fill="auto"/>
            <w:noWrap/>
            <w:hideMark/>
          </w:tcPr>
          <w:p w14:paraId="5B153DFE" w14:textId="77777777" w:rsidR="001B46E8" w:rsidRPr="00186378" w:rsidRDefault="001B46E8" w:rsidP="00397883">
            <w:pPr>
              <w:keepNext/>
              <w:ind w:left="0" w:firstLine="0"/>
              <w:jc w:val="center"/>
              <w:rPr>
                <w:rFonts w:asciiTheme="minorHAnsi" w:eastAsia="Times New Roman" w:hAnsiTheme="minorHAnsi" w:cs="Arial"/>
                <w:color w:val="000000"/>
                <w:lang w:eastAsia="en-GB"/>
              </w:rPr>
            </w:pPr>
            <w:r w:rsidRPr="008126AB">
              <w:t>2016</w:t>
            </w:r>
          </w:p>
        </w:tc>
        <w:tc>
          <w:tcPr>
            <w:tcW w:w="2299" w:type="dxa"/>
            <w:vAlign w:val="center"/>
          </w:tcPr>
          <w:p w14:paraId="58F815F5"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rPr>
                <w:rFonts w:cs="Calibri"/>
                <w:color w:val="000000"/>
              </w:rPr>
              <w:t>75</w:t>
            </w:r>
          </w:p>
        </w:tc>
        <w:tc>
          <w:tcPr>
            <w:tcW w:w="2299" w:type="dxa"/>
            <w:shd w:val="clear" w:color="auto" w:fill="auto"/>
            <w:noWrap/>
          </w:tcPr>
          <w:p w14:paraId="406F4C4B"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t>72</w:t>
            </w:r>
          </w:p>
        </w:tc>
        <w:tc>
          <w:tcPr>
            <w:tcW w:w="2299" w:type="dxa"/>
            <w:shd w:val="clear" w:color="auto" w:fill="auto"/>
            <w:noWrap/>
            <w:vAlign w:val="center"/>
            <w:hideMark/>
          </w:tcPr>
          <w:p w14:paraId="08CEAF7E"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rPr>
                <w:rFonts w:cs="Calibri"/>
                <w:color w:val="000000"/>
              </w:rPr>
              <w:t>-3</w:t>
            </w:r>
          </w:p>
        </w:tc>
      </w:tr>
      <w:tr w:rsidR="001B46E8" w:rsidRPr="00186378" w14:paraId="7B5AC52F" w14:textId="77777777" w:rsidTr="00397883">
        <w:tc>
          <w:tcPr>
            <w:tcW w:w="2396" w:type="dxa"/>
            <w:shd w:val="clear" w:color="auto" w:fill="auto"/>
            <w:noWrap/>
            <w:hideMark/>
          </w:tcPr>
          <w:p w14:paraId="388C8C65" w14:textId="77777777" w:rsidR="001B46E8" w:rsidRPr="00186378" w:rsidRDefault="001B46E8" w:rsidP="00397883">
            <w:pPr>
              <w:keepNext/>
              <w:ind w:left="0" w:firstLine="0"/>
              <w:jc w:val="center"/>
              <w:rPr>
                <w:rFonts w:asciiTheme="minorHAnsi" w:eastAsia="Times New Roman" w:hAnsiTheme="minorHAnsi" w:cs="Arial"/>
                <w:color w:val="000000"/>
                <w:lang w:eastAsia="en-GB"/>
              </w:rPr>
            </w:pPr>
            <w:r w:rsidRPr="008126AB">
              <w:t>2017</w:t>
            </w:r>
          </w:p>
        </w:tc>
        <w:tc>
          <w:tcPr>
            <w:tcW w:w="2299" w:type="dxa"/>
            <w:vAlign w:val="center"/>
          </w:tcPr>
          <w:p w14:paraId="02F2E160" w14:textId="77777777" w:rsidR="001B46E8" w:rsidRDefault="001B46E8" w:rsidP="00397883">
            <w:pPr>
              <w:keepNext/>
              <w:ind w:left="0" w:firstLine="0"/>
              <w:jc w:val="right"/>
            </w:pPr>
            <w:r>
              <w:rPr>
                <w:rFonts w:cs="Calibri"/>
                <w:color w:val="000000"/>
              </w:rPr>
              <w:t>82</w:t>
            </w:r>
          </w:p>
        </w:tc>
        <w:tc>
          <w:tcPr>
            <w:tcW w:w="2299" w:type="dxa"/>
            <w:shd w:val="clear" w:color="auto" w:fill="auto"/>
            <w:noWrap/>
            <w:hideMark/>
          </w:tcPr>
          <w:p w14:paraId="3ABCDBD1"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t>79</w:t>
            </w:r>
          </w:p>
        </w:tc>
        <w:tc>
          <w:tcPr>
            <w:tcW w:w="2299" w:type="dxa"/>
            <w:shd w:val="clear" w:color="auto" w:fill="auto"/>
            <w:noWrap/>
            <w:vAlign w:val="center"/>
            <w:hideMark/>
          </w:tcPr>
          <w:p w14:paraId="7A49C6C1"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rPr>
                <w:rFonts w:cs="Calibri"/>
                <w:color w:val="000000"/>
              </w:rPr>
              <w:t>-3</w:t>
            </w:r>
          </w:p>
        </w:tc>
      </w:tr>
      <w:tr w:rsidR="001B46E8" w:rsidRPr="00186378" w14:paraId="062101F4" w14:textId="77777777" w:rsidTr="00397883">
        <w:tc>
          <w:tcPr>
            <w:tcW w:w="2396" w:type="dxa"/>
            <w:shd w:val="clear" w:color="auto" w:fill="auto"/>
            <w:noWrap/>
            <w:hideMark/>
          </w:tcPr>
          <w:p w14:paraId="644B8BA4" w14:textId="77777777" w:rsidR="001B46E8" w:rsidRPr="00186378" w:rsidRDefault="001B46E8" w:rsidP="00397883">
            <w:pPr>
              <w:keepNext/>
              <w:ind w:left="0" w:firstLine="0"/>
              <w:jc w:val="center"/>
              <w:rPr>
                <w:rFonts w:asciiTheme="minorHAnsi" w:eastAsia="Times New Roman" w:hAnsiTheme="minorHAnsi" w:cs="Arial"/>
                <w:color w:val="000000"/>
                <w:lang w:eastAsia="en-GB"/>
              </w:rPr>
            </w:pPr>
            <w:r w:rsidRPr="008126AB">
              <w:t>2018</w:t>
            </w:r>
          </w:p>
        </w:tc>
        <w:tc>
          <w:tcPr>
            <w:tcW w:w="2299" w:type="dxa"/>
            <w:vAlign w:val="center"/>
          </w:tcPr>
          <w:p w14:paraId="4138FE40" w14:textId="77777777" w:rsidR="001B46E8" w:rsidRDefault="001B46E8" w:rsidP="00397883">
            <w:pPr>
              <w:keepNext/>
              <w:ind w:left="0" w:firstLine="0"/>
              <w:jc w:val="right"/>
            </w:pPr>
            <w:r>
              <w:rPr>
                <w:rFonts w:cs="Calibri"/>
                <w:color w:val="000000"/>
              </w:rPr>
              <w:t>86</w:t>
            </w:r>
          </w:p>
        </w:tc>
        <w:tc>
          <w:tcPr>
            <w:tcW w:w="2299" w:type="dxa"/>
            <w:shd w:val="clear" w:color="auto" w:fill="auto"/>
            <w:noWrap/>
            <w:hideMark/>
          </w:tcPr>
          <w:p w14:paraId="427EB7C3"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t>83</w:t>
            </w:r>
          </w:p>
        </w:tc>
        <w:tc>
          <w:tcPr>
            <w:tcW w:w="2299" w:type="dxa"/>
            <w:shd w:val="clear" w:color="auto" w:fill="auto"/>
            <w:noWrap/>
            <w:vAlign w:val="center"/>
            <w:hideMark/>
          </w:tcPr>
          <w:p w14:paraId="125C9DDE"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rPr>
                <w:rFonts w:cs="Calibri"/>
                <w:color w:val="000000"/>
              </w:rPr>
              <w:t>-3</w:t>
            </w:r>
          </w:p>
        </w:tc>
      </w:tr>
      <w:tr w:rsidR="001B46E8" w:rsidRPr="00186378" w14:paraId="46E25F9A" w14:textId="77777777" w:rsidTr="00397883">
        <w:tc>
          <w:tcPr>
            <w:tcW w:w="2396" w:type="dxa"/>
            <w:shd w:val="clear" w:color="auto" w:fill="auto"/>
            <w:noWrap/>
            <w:hideMark/>
          </w:tcPr>
          <w:p w14:paraId="3B5498E0" w14:textId="77777777" w:rsidR="001B46E8" w:rsidRPr="00186378" w:rsidRDefault="001B46E8" w:rsidP="00397883">
            <w:pPr>
              <w:keepNext/>
              <w:ind w:left="0" w:firstLine="0"/>
              <w:jc w:val="center"/>
              <w:rPr>
                <w:rFonts w:asciiTheme="minorHAnsi" w:eastAsia="Times New Roman" w:hAnsiTheme="minorHAnsi" w:cs="Arial"/>
                <w:color w:val="000000"/>
                <w:lang w:eastAsia="en-GB"/>
              </w:rPr>
            </w:pPr>
            <w:r w:rsidRPr="008126AB">
              <w:t>2019</w:t>
            </w:r>
          </w:p>
        </w:tc>
        <w:tc>
          <w:tcPr>
            <w:tcW w:w="2299" w:type="dxa"/>
            <w:vAlign w:val="center"/>
          </w:tcPr>
          <w:p w14:paraId="37799BCC" w14:textId="77777777" w:rsidR="001B46E8" w:rsidRDefault="001B46E8" w:rsidP="00397883">
            <w:pPr>
              <w:keepNext/>
              <w:ind w:left="0" w:firstLine="0"/>
              <w:jc w:val="right"/>
            </w:pPr>
            <w:r>
              <w:rPr>
                <w:rFonts w:cs="Calibri"/>
                <w:color w:val="000000"/>
              </w:rPr>
              <w:t>119</w:t>
            </w:r>
          </w:p>
        </w:tc>
        <w:tc>
          <w:tcPr>
            <w:tcW w:w="2299" w:type="dxa"/>
            <w:shd w:val="clear" w:color="auto" w:fill="auto"/>
            <w:noWrap/>
            <w:hideMark/>
          </w:tcPr>
          <w:p w14:paraId="4F5AB374"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t>95</w:t>
            </w:r>
          </w:p>
        </w:tc>
        <w:tc>
          <w:tcPr>
            <w:tcW w:w="2299" w:type="dxa"/>
            <w:shd w:val="clear" w:color="auto" w:fill="auto"/>
            <w:noWrap/>
            <w:vAlign w:val="center"/>
            <w:hideMark/>
          </w:tcPr>
          <w:p w14:paraId="65A35AE1"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rPr>
                <w:rFonts w:cs="Calibri"/>
                <w:color w:val="000000"/>
              </w:rPr>
              <w:t>-24</w:t>
            </w:r>
          </w:p>
        </w:tc>
      </w:tr>
      <w:tr w:rsidR="001B46E8" w:rsidRPr="00186378" w14:paraId="5CBC3DDD" w14:textId="77777777" w:rsidTr="00397883">
        <w:tc>
          <w:tcPr>
            <w:tcW w:w="2396" w:type="dxa"/>
            <w:shd w:val="clear" w:color="auto" w:fill="auto"/>
            <w:noWrap/>
            <w:hideMark/>
          </w:tcPr>
          <w:p w14:paraId="757A6611" w14:textId="77777777" w:rsidR="001B46E8" w:rsidRPr="00186378" w:rsidRDefault="001B46E8" w:rsidP="00397883">
            <w:pPr>
              <w:keepNext/>
              <w:ind w:left="0" w:firstLine="0"/>
              <w:jc w:val="center"/>
              <w:rPr>
                <w:rFonts w:asciiTheme="minorHAnsi" w:eastAsia="Times New Roman" w:hAnsiTheme="minorHAnsi" w:cs="Arial"/>
                <w:color w:val="000000"/>
                <w:lang w:eastAsia="en-GB"/>
              </w:rPr>
            </w:pPr>
            <w:r w:rsidRPr="008126AB">
              <w:t>2020</w:t>
            </w:r>
          </w:p>
        </w:tc>
        <w:tc>
          <w:tcPr>
            <w:tcW w:w="2299" w:type="dxa"/>
            <w:vAlign w:val="center"/>
          </w:tcPr>
          <w:p w14:paraId="73AA932F" w14:textId="77777777" w:rsidR="001B46E8" w:rsidRDefault="001B46E8" w:rsidP="00397883">
            <w:pPr>
              <w:keepNext/>
              <w:ind w:left="0" w:firstLine="0"/>
              <w:jc w:val="right"/>
            </w:pPr>
            <w:r>
              <w:rPr>
                <w:rFonts w:cs="Calibri"/>
                <w:color w:val="000000"/>
              </w:rPr>
              <w:t>128</w:t>
            </w:r>
          </w:p>
        </w:tc>
        <w:tc>
          <w:tcPr>
            <w:tcW w:w="2299" w:type="dxa"/>
            <w:shd w:val="clear" w:color="auto" w:fill="auto"/>
            <w:noWrap/>
            <w:hideMark/>
          </w:tcPr>
          <w:p w14:paraId="71DD5966"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t>114</w:t>
            </w:r>
          </w:p>
        </w:tc>
        <w:tc>
          <w:tcPr>
            <w:tcW w:w="2299" w:type="dxa"/>
            <w:shd w:val="clear" w:color="auto" w:fill="auto"/>
            <w:noWrap/>
            <w:vAlign w:val="center"/>
            <w:hideMark/>
          </w:tcPr>
          <w:p w14:paraId="53BB8A7A"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rPr>
                <w:rFonts w:cs="Calibri"/>
                <w:color w:val="000000"/>
              </w:rPr>
              <w:t>-14</w:t>
            </w:r>
          </w:p>
        </w:tc>
      </w:tr>
      <w:tr w:rsidR="001B46E8" w:rsidRPr="00186378" w14:paraId="750536D1" w14:textId="77777777" w:rsidTr="00397883">
        <w:tc>
          <w:tcPr>
            <w:tcW w:w="2396" w:type="dxa"/>
            <w:shd w:val="clear" w:color="auto" w:fill="auto"/>
            <w:noWrap/>
          </w:tcPr>
          <w:p w14:paraId="3C9E356E" w14:textId="77777777" w:rsidR="001B46E8" w:rsidRPr="00186378" w:rsidRDefault="001B46E8" w:rsidP="00397883">
            <w:pPr>
              <w:keepNext/>
              <w:ind w:left="0" w:firstLine="0"/>
              <w:jc w:val="center"/>
              <w:rPr>
                <w:rFonts w:asciiTheme="minorHAnsi" w:eastAsia="Times New Roman" w:hAnsiTheme="minorHAnsi" w:cs="Arial"/>
                <w:color w:val="000000"/>
                <w:lang w:eastAsia="en-GB"/>
              </w:rPr>
            </w:pPr>
            <w:r w:rsidRPr="008126AB">
              <w:t>2021</w:t>
            </w:r>
          </w:p>
        </w:tc>
        <w:tc>
          <w:tcPr>
            <w:tcW w:w="2299" w:type="dxa"/>
            <w:vAlign w:val="center"/>
          </w:tcPr>
          <w:p w14:paraId="1C749741" w14:textId="77777777" w:rsidR="001B46E8" w:rsidRDefault="001B46E8" w:rsidP="00397883">
            <w:pPr>
              <w:keepNext/>
              <w:ind w:left="0" w:firstLine="0"/>
              <w:jc w:val="right"/>
            </w:pPr>
            <w:r>
              <w:rPr>
                <w:rFonts w:cs="Calibri"/>
                <w:color w:val="000000"/>
              </w:rPr>
              <w:t>186</w:t>
            </w:r>
          </w:p>
        </w:tc>
        <w:tc>
          <w:tcPr>
            <w:tcW w:w="2299" w:type="dxa"/>
            <w:shd w:val="clear" w:color="auto" w:fill="auto"/>
            <w:noWrap/>
          </w:tcPr>
          <w:p w14:paraId="3FDB475E"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t>126</w:t>
            </w:r>
          </w:p>
        </w:tc>
        <w:tc>
          <w:tcPr>
            <w:tcW w:w="2299" w:type="dxa"/>
            <w:shd w:val="clear" w:color="auto" w:fill="auto"/>
            <w:noWrap/>
            <w:vAlign w:val="center"/>
          </w:tcPr>
          <w:p w14:paraId="5A4DC82C" w14:textId="77777777" w:rsidR="001B46E8" w:rsidRPr="00186378" w:rsidRDefault="001B46E8" w:rsidP="00397883">
            <w:pPr>
              <w:keepNext/>
              <w:ind w:left="0" w:firstLine="0"/>
              <w:jc w:val="right"/>
              <w:rPr>
                <w:rFonts w:asciiTheme="minorHAnsi" w:eastAsia="Times New Roman" w:hAnsiTheme="minorHAnsi" w:cs="Arial"/>
                <w:color w:val="000000"/>
                <w:lang w:eastAsia="en-GB"/>
              </w:rPr>
            </w:pPr>
            <w:r>
              <w:rPr>
                <w:rFonts w:cs="Calibri"/>
                <w:color w:val="000000"/>
              </w:rPr>
              <w:t>-60</w:t>
            </w:r>
          </w:p>
        </w:tc>
      </w:tr>
      <w:tr w:rsidR="001B46E8" w:rsidRPr="00186378" w14:paraId="08594658" w14:textId="77777777" w:rsidTr="00397883">
        <w:tc>
          <w:tcPr>
            <w:tcW w:w="2396" w:type="dxa"/>
            <w:shd w:val="clear" w:color="auto" w:fill="auto"/>
            <w:noWrap/>
          </w:tcPr>
          <w:p w14:paraId="6414F346" w14:textId="77777777" w:rsidR="001B46E8" w:rsidRDefault="001B46E8" w:rsidP="00397883">
            <w:pPr>
              <w:keepNext/>
              <w:ind w:left="0" w:firstLine="0"/>
              <w:jc w:val="center"/>
              <w:rPr>
                <w:rFonts w:cs="Calibri"/>
                <w:color w:val="000000"/>
              </w:rPr>
            </w:pPr>
            <w:r w:rsidRPr="008126AB">
              <w:t>2022</w:t>
            </w:r>
          </w:p>
        </w:tc>
        <w:tc>
          <w:tcPr>
            <w:tcW w:w="2299" w:type="dxa"/>
            <w:vAlign w:val="center"/>
          </w:tcPr>
          <w:p w14:paraId="12C5AE4E" w14:textId="77777777" w:rsidR="001B46E8" w:rsidRDefault="001B46E8" w:rsidP="00397883">
            <w:pPr>
              <w:keepNext/>
              <w:ind w:left="0" w:firstLine="0"/>
              <w:jc w:val="right"/>
            </w:pPr>
            <w:r>
              <w:rPr>
                <w:rFonts w:cs="Calibri"/>
                <w:color w:val="000000"/>
              </w:rPr>
              <w:t>265</w:t>
            </w:r>
          </w:p>
        </w:tc>
        <w:tc>
          <w:tcPr>
            <w:tcW w:w="2299" w:type="dxa"/>
            <w:shd w:val="clear" w:color="auto" w:fill="auto"/>
            <w:noWrap/>
          </w:tcPr>
          <w:p w14:paraId="44BCB310" w14:textId="77777777" w:rsidR="001B46E8" w:rsidRPr="00B167C8" w:rsidRDefault="001B46E8" w:rsidP="00397883">
            <w:pPr>
              <w:keepNext/>
              <w:ind w:left="0" w:firstLine="0"/>
              <w:jc w:val="right"/>
            </w:pPr>
            <w:r>
              <w:t>227</w:t>
            </w:r>
          </w:p>
        </w:tc>
        <w:tc>
          <w:tcPr>
            <w:tcW w:w="2299" w:type="dxa"/>
            <w:shd w:val="clear" w:color="auto" w:fill="auto"/>
            <w:noWrap/>
            <w:vAlign w:val="center"/>
          </w:tcPr>
          <w:p w14:paraId="162E46A8" w14:textId="77777777" w:rsidR="001B46E8" w:rsidRPr="00B167C8" w:rsidRDefault="001B46E8" w:rsidP="00397883">
            <w:pPr>
              <w:keepNext/>
              <w:ind w:left="0" w:firstLine="0"/>
              <w:jc w:val="right"/>
            </w:pPr>
            <w:r>
              <w:rPr>
                <w:rFonts w:cs="Calibri"/>
                <w:color w:val="000000"/>
              </w:rPr>
              <w:t>-38</w:t>
            </w:r>
          </w:p>
        </w:tc>
      </w:tr>
      <w:tr w:rsidR="001B46E8" w:rsidRPr="00186378" w14:paraId="38857E6D" w14:textId="77777777" w:rsidTr="00397883">
        <w:tc>
          <w:tcPr>
            <w:tcW w:w="2396" w:type="dxa"/>
            <w:shd w:val="clear" w:color="auto" w:fill="auto"/>
            <w:noWrap/>
          </w:tcPr>
          <w:p w14:paraId="63EC50FE" w14:textId="77777777" w:rsidR="001B46E8" w:rsidRDefault="001B46E8" w:rsidP="00397883">
            <w:pPr>
              <w:keepNext/>
              <w:ind w:left="0" w:firstLine="0"/>
              <w:jc w:val="center"/>
              <w:rPr>
                <w:rFonts w:cs="Calibri"/>
                <w:color w:val="000000"/>
              </w:rPr>
            </w:pPr>
            <w:r>
              <w:t>2023</w:t>
            </w:r>
          </w:p>
        </w:tc>
        <w:tc>
          <w:tcPr>
            <w:tcW w:w="2299" w:type="dxa"/>
            <w:vAlign w:val="center"/>
          </w:tcPr>
          <w:p w14:paraId="7BEC14DC" w14:textId="77777777" w:rsidR="001B46E8" w:rsidRDefault="001B46E8" w:rsidP="00397883">
            <w:pPr>
              <w:keepNext/>
              <w:ind w:left="0" w:firstLine="0"/>
              <w:jc w:val="right"/>
            </w:pPr>
            <w:r>
              <w:rPr>
                <w:rFonts w:cs="Calibri"/>
                <w:color w:val="000000"/>
              </w:rPr>
              <w:t>336</w:t>
            </w:r>
          </w:p>
        </w:tc>
        <w:tc>
          <w:tcPr>
            <w:tcW w:w="2299" w:type="dxa"/>
            <w:shd w:val="clear" w:color="auto" w:fill="auto"/>
            <w:noWrap/>
          </w:tcPr>
          <w:p w14:paraId="2AE92E0A" w14:textId="77777777" w:rsidR="001B46E8" w:rsidRPr="00B167C8" w:rsidRDefault="001B46E8" w:rsidP="00397883">
            <w:pPr>
              <w:keepNext/>
              <w:ind w:left="0" w:firstLine="0"/>
              <w:jc w:val="right"/>
            </w:pPr>
            <w:r>
              <w:t>283</w:t>
            </w:r>
          </w:p>
        </w:tc>
        <w:tc>
          <w:tcPr>
            <w:tcW w:w="2299" w:type="dxa"/>
            <w:shd w:val="clear" w:color="auto" w:fill="auto"/>
            <w:noWrap/>
            <w:vAlign w:val="center"/>
          </w:tcPr>
          <w:p w14:paraId="4E9801AF" w14:textId="77777777" w:rsidR="001B46E8" w:rsidRPr="001D1924" w:rsidRDefault="001B46E8" w:rsidP="00397883">
            <w:pPr>
              <w:keepNext/>
              <w:ind w:left="0" w:firstLine="0"/>
              <w:jc w:val="right"/>
            </w:pPr>
            <w:r>
              <w:rPr>
                <w:rFonts w:cs="Calibri"/>
                <w:color w:val="000000"/>
              </w:rPr>
              <w:t>-53</w:t>
            </w:r>
          </w:p>
        </w:tc>
      </w:tr>
      <w:tr w:rsidR="001B46E8" w:rsidRPr="00186378" w14:paraId="6431BEA4" w14:textId="77777777" w:rsidTr="00397883">
        <w:tc>
          <w:tcPr>
            <w:tcW w:w="2396" w:type="dxa"/>
            <w:shd w:val="clear" w:color="auto" w:fill="auto"/>
            <w:noWrap/>
          </w:tcPr>
          <w:p w14:paraId="744FEBFE" w14:textId="77777777" w:rsidR="001B46E8" w:rsidRPr="008126AB" w:rsidRDefault="001B46E8" w:rsidP="00397883">
            <w:pPr>
              <w:keepNext/>
              <w:ind w:left="0" w:firstLine="0"/>
              <w:jc w:val="center"/>
            </w:pPr>
            <w:r>
              <w:t>2024</w:t>
            </w:r>
          </w:p>
        </w:tc>
        <w:tc>
          <w:tcPr>
            <w:tcW w:w="2299" w:type="dxa"/>
            <w:vAlign w:val="center"/>
          </w:tcPr>
          <w:p w14:paraId="391D6BA8" w14:textId="77777777" w:rsidR="001B46E8" w:rsidRDefault="001B46E8" w:rsidP="00397883">
            <w:pPr>
              <w:keepNext/>
              <w:ind w:left="0" w:firstLine="0"/>
              <w:jc w:val="right"/>
            </w:pPr>
            <w:r>
              <w:rPr>
                <w:rFonts w:cs="Calibri"/>
                <w:color w:val="000000"/>
              </w:rPr>
              <w:t>0</w:t>
            </w:r>
          </w:p>
        </w:tc>
        <w:tc>
          <w:tcPr>
            <w:tcW w:w="2299" w:type="dxa"/>
            <w:shd w:val="clear" w:color="auto" w:fill="auto"/>
            <w:noWrap/>
          </w:tcPr>
          <w:p w14:paraId="38B7D397" w14:textId="77777777" w:rsidR="001B46E8" w:rsidRPr="00330D14" w:rsidRDefault="001B46E8" w:rsidP="00397883">
            <w:pPr>
              <w:keepNext/>
              <w:ind w:left="0" w:firstLine="0"/>
              <w:jc w:val="right"/>
            </w:pPr>
            <w:r>
              <w:t>472</w:t>
            </w:r>
          </w:p>
        </w:tc>
        <w:tc>
          <w:tcPr>
            <w:tcW w:w="2299" w:type="dxa"/>
            <w:shd w:val="clear" w:color="auto" w:fill="auto"/>
            <w:noWrap/>
            <w:vAlign w:val="center"/>
          </w:tcPr>
          <w:p w14:paraId="7F3D0D3C" w14:textId="77777777" w:rsidR="001B46E8" w:rsidRDefault="001B46E8" w:rsidP="00397883">
            <w:pPr>
              <w:keepNext/>
              <w:ind w:left="0" w:firstLine="0"/>
              <w:jc w:val="right"/>
              <w:rPr>
                <w:rFonts w:cs="Calibri"/>
                <w:color w:val="000000"/>
              </w:rPr>
            </w:pPr>
            <w:r>
              <w:rPr>
                <w:rFonts w:cs="Calibri"/>
                <w:color w:val="000000"/>
              </w:rPr>
              <w:t>472</w:t>
            </w:r>
          </w:p>
        </w:tc>
      </w:tr>
      <w:tr w:rsidR="001B46E8" w:rsidRPr="00C56839" w14:paraId="6325DFD4" w14:textId="77777777" w:rsidTr="00397883">
        <w:trPr>
          <w:trHeight w:val="278"/>
        </w:trPr>
        <w:tc>
          <w:tcPr>
            <w:tcW w:w="2396" w:type="dxa"/>
            <w:shd w:val="clear" w:color="auto" w:fill="C6D9F1" w:themeFill="text2" w:themeFillTint="33"/>
            <w:noWrap/>
            <w:vAlign w:val="bottom"/>
            <w:hideMark/>
          </w:tcPr>
          <w:p w14:paraId="636B7F8E" w14:textId="77777777" w:rsidR="001B46E8" w:rsidRPr="00C56839" w:rsidRDefault="001B46E8" w:rsidP="00397883">
            <w:pPr>
              <w:ind w:left="0" w:firstLine="0"/>
              <w:jc w:val="center"/>
              <w:rPr>
                <w:rFonts w:asciiTheme="minorHAnsi" w:eastAsia="Times New Roman" w:hAnsiTheme="minorHAnsi" w:cs="Arial"/>
                <w:b/>
                <w:bCs/>
                <w:color w:val="000000"/>
                <w:lang w:eastAsia="en-GB"/>
              </w:rPr>
            </w:pPr>
            <w:r w:rsidRPr="00C56839">
              <w:rPr>
                <w:rFonts w:asciiTheme="minorHAnsi" w:eastAsia="Times New Roman" w:hAnsiTheme="minorHAnsi" w:cs="Arial"/>
                <w:b/>
                <w:bCs/>
                <w:color w:val="000000"/>
                <w:lang w:eastAsia="en-GB"/>
              </w:rPr>
              <w:t>Total</w:t>
            </w:r>
          </w:p>
        </w:tc>
        <w:tc>
          <w:tcPr>
            <w:tcW w:w="2299" w:type="dxa"/>
            <w:shd w:val="clear" w:color="auto" w:fill="C6D9F1" w:themeFill="text2" w:themeFillTint="33"/>
          </w:tcPr>
          <w:p w14:paraId="2E094C98" w14:textId="77777777" w:rsidR="001B46E8" w:rsidRDefault="001B46E8" w:rsidP="00397883">
            <w:pPr>
              <w:ind w:left="0" w:firstLine="0"/>
              <w:jc w:val="right"/>
              <w:rPr>
                <w:b/>
              </w:rPr>
            </w:pPr>
            <w:r>
              <w:rPr>
                <w:b/>
              </w:rPr>
              <w:t>1,635</w:t>
            </w:r>
          </w:p>
        </w:tc>
        <w:tc>
          <w:tcPr>
            <w:tcW w:w="2299" w:type="dxa"/>
            <w:shd w:val="clear" w:color="auto" w:fill="C6D9F1" w:themeFill="text2" w:themeFillTint="33"/>
            <w:noWrap/>
            <w:hideMark/>
          </w:tcPr>
          <w:p w14:paraId="35CC2D2D" w14:textId="77777777" w:rsidR="001B46E8" w:rsidRPr="00C56839" w:rsidRDefault="001B46E8" w:rsidP="00397883">
            <w:pPr>
              <w:ind w:left="0" w:firstLine="0"/>
              <w:jc w:val="right"/>
              <w:rPr>
                <w:rFonts w:asciiTheme="minorHAnsi" w:eastAsia="Times New Roman" w:hAnsiTheme="minorHAnsi" w:cs="Arial"/>
                <w:b/>
                <w:bCs/>
                <w:color w:val="000000"/>
                <w:lang w:eastAsia="en-GB"/>
              </w:rPr>
            </w:pPr>
            <w:r>
              <w:rPr>
                <w:b/>
              </w:rPr>
              <w:t>1,897</w:t>
            </w:r>
          </w:p>
        </w:tc>
        <w:tc>
          <w:tcPr>
            <w:tcW w:w="2299" w:type="dxa"/>
            <w:shd w:val="clear" w:color="auto" w:fill="C6D9F1" w:themeFill="text2" w:themeFillTint="33"/>
            <w:noWrap/>
            <w:hideMark/>
          </w:tcPr>
          <w:p w14:paraId="74EDD589" w14:textId="77777777" w:rsidR="001B46E8" w:rsidRPr="00C56839" w:rsidRDefault="001B46E8" w:rsidP="00397883">
            <w:pPr>
              <w:ind w:left="0" w:firstLine="0"/>
              <w:jc w:val="right"/>
              <w:rPr>
                <w:rFonts w:asciiTheme="minorHAnsi" w:eastAsia="Times New Roman" w:hAnsiTheme="minorHAnsi" w:cs="Arial"/>
                <w:b/>
                <w:bCs/>
                <w:color w:val="000000"/>
                <w:lang w:eastAsia="en-GB"/>
              </w:rPr>
            </w:pPr>
            <w:r>
              <w:rPr>
                <w:b/>
              </w:rPr>
              <w:t>262</w:t>
            </w:r>
          </w:p>
        </w:tc>
      </w:tr>
    </w:tbl>
    <w:p w14:paraId="0F805A30" w14:textId="77777777" w:rsidR="001B46E8" w:rsidRPr="00520DF0" w:rsidRDefault="001B46E8" w:rsidP="0089531A">
      <w:pPr>
        <w:keepNext/>
        <w:rPr>
          <w:rFonts w:cs="Arial"/>
          <w:b/>
        </w:rPr>
      </w:pPr>
    </w:p>
    <w:p w14:paraId="2C8BCDDB" w14:textId="77777777" w:rsidR="003175F8" w:rsidRDefault="003175F8" w:rsidP="0089531A">
      <w:pPr>
        <w:keepNext/>
        <w:rPr>
          <w:rFonts w:cs="Arial"/>
          <w:b/>
        </w:rPr>
      </w:pPr>
    </w:p>
    <w:p w14:paraId="4DF9320F" w14:textId="6B366764" w:rsidR="00A82C82" w:rsidRDefault="00D9682F" w:rsidP="004737CA">
      <w:pPr>
        <w:rPr>
          <w:rFonts w:cs="Arial"/>
        </w:rPr>
      </w:pPr>
      <w:r>
        <w:rPr>
          <w:rFonts w:cs="Arial"/>
        </w:rPr>
        <w:t>5.</w:t>
      </w:r>
      <w:r>
        <w:rPr>
          <w:rFonts w:cs="Arial"/>
        </w:rPr>
        <w:tab/>
      </w:r>
      <w:r w:rsidR="00A82C82" w:rsidRPr="00891737">
        <w:rPr>
          <w:rFonts w:cs="Arial"/>
        </w:rPr>
        <w:t xml:space="preserve">Figure </w:t>
      </w:r>
      <w:r w:rsidR="00A82C82">
        <w:rPr>
          <w:rFonts w:cs="Arial"/>
        </w:rPr>
        <w:t xml:space="preserve">2 </w:t>
      </w:r>
      <w:r w:rsidR="00A82C82" w:rsidRPr="00891737">
        <w:rPr>
          <w:rFonts w:cs="Arial"/>
        </w:rPr>
        <w:t>below shows the changes from 202</w:t>
      </w:r>
      <w:r w:rsidR="00A82C82">
        <w:rPr>
          <w:rFonts w:cs="Arial"/>
        </w:rPr>
        <w:t xml:space="preserve">3 </w:t>
      </w:r>
      <w:r w:rsidR="00A82C82" w:rsidRPr="00891737">
        <w:rPr>
          <w:rFonts w:cs="Arial"/>
        </w:rPr>
        <w:t>to 202</w:t>
      </w:r>
      <w:r w:rsidR="00A82C82">
        <w:rPr>
          <w:rFonts w:cs="Arial"/>
        </w:rPr>
        <w:t>4</w:t>
      </w:r>
      <w:r w:rsidR="00A82C82" w:rsidRPr="00891737">
        <w:rPr>
          <w:rFonts w:cs="Arial"/>
        </w:rPr>
        <w:t xml:space="preserve"> in the balances of outstanding contributions, by the number of years for which they had been due.</w:t>
      </w:r>
      <w:r w:rsidR="00A82C82">
        <w:rPr>
          <w:rFonts w:cs="Arial"/>
        </w:rPr>
        <w:t xml:space="preserve"> </w:t>
      </w:r>
      <w:r w:rsidR="00A82C82" w:rsidRPr="003701F3">
        <w:rPr>
          <w:rFonts w:cs="Arial"/>
        </w:rPr>
        <w:t xml:space="preserve">The balances of contributions outstanding for over three years increased from CHF </w:t>
      </w:r>
      <w:r w:rsidR="00A82C82">
        <w:rPr>
          <w:rFonts w:cs="Arial"/>
        </w:rPr>
        <w:t>848</w:t>
      </w:r>
      <w:r w:rsidR="00A82C82" w:rsidRPr="003701F3">
        <w:rPr>
          <w:rFonts w:cs="Arial"/>
        </w:rPr>
        <w:t>K at 31 December 20</w:t>
      </w:r>
      <w:r w:rsidR="00A82C82">
        <w:rPr>
          <w:rFonts w:cs="Arial"/>
        </w:rPr>
        <w:t>23</w:t>
      </w:r>
      <w:r w:rsidR="00A82C82" w:rsidRPr="003701F3">
        <w:rPr>
          <w:rFonts w:cs="Arial"/>
        </w:rPr>
        <w:t xml:space="preserve"> to CHF </w:t>
      </w:r>
      <w:r w:rsidR="00A82C82">
        <w:rPr>
          <w:rFonts w:cs="Arial"/>
        </w:rPr>
        <w:t>915</w:t>
      </w:r>
      <w:r w:rsidR="00A82C82" w:rsidRPr="003701F3">
        <w:rPr>
          <w:rFonts w:cs="Arial"/>
        </w:rPr>
        <w:t>K at 31 December 20</w:t>
      </w:r>
      <w:r w:rsidR="00A82C82">
        <w:rPr>
          <w:rFonts w:cs="Arial"/>
        </w:rPr>
        <w:t>24</w:t>
      </w:r>
      <w:r w:rsidR="00A82C82" w:rsidRPr="003701F3">
        <w:rPr>
          <w:rFonts w:cs="Arial"/>
        </w:rPr>
        <w:t>.</w:t>
      </w:r>
    </w:p>
    <w:p w14:paraId="0C6BD51B" w14:textId="77777777" w:rsidR="00A82C82" w:rsidRDefault="00A82C82" w:rsidP="0089531A">
      <w:pPr>
        <w:keepNext/>
        <w:rPr>
          <w:rFonts w:cs="Arial"/>
        </w:rPr>
      </w:pPr>
    </w:p>
    <w:p w14:paraId="2BA7D467" w14:textId="77777777" w:rsidR="00A82C82" w:rsidRDefault="00A82C82" w:rsidP="00A82C82">
      <w:pPr>
        <w:keepNext/>
        <w:rPr>
          <w:rFonts w:cs="Arial"/>
          <w:i/>
        </w:rPr>
      </w:pPr>
      <w:r w:rsidRPr="00236CB7">
        <w:rPr>
          <w:rFonts w:cs="Arial"/>
          <w:i/>
        </w:rPr>
        <w:t xml:space="preserve">Figure </w:t>
      </w:r>
      <w:r>
        <w:rPr>
          <w:rFonts w:cs="Arial"/>
          <w:i/>
        </w:rPr>
        <w:t>2</w:t>
      </w:r>
      <w:r w:rsidRPr="00236CB7">
        <w:rPr>
          <w:rFonts w:cs="Arial"/>
          <w:i/>
        </w:rPr>
        <w:t>: Outstanding contributions</w:t>
      </w:r>
      <w:r>
        <w:rPr>
          <w:rFonts w:cs="Arial"/>
          <w:i/>
        </w:rPr>
        <w:t xml:space="preserve"> (in ‘000 CHF)</w:t>
      </w:r>
      <w:r w:rsidRPr="00236CB7">
        <w:rPr>
          <w:rFonts w:cs="Arial"/>
          <w:i/>
        </w:rPr>
        <w:t>, number of years due, 202</w:t>
      </w:r>
      <w:r>
        <w:rPr>
          <w:rFonts w:cs="Arial"/>
          <w:i/>
        </w:rPr>
        <w:t>3</w:t>
      </w:r>
      <w:r w:rsidRPr="00236CB7">
        <w:rPr>
          <w:rFonts w:cs="Arial"/>
          <w:i/>
        </w:rPr>
        <w:t xml:space="preserve"> and 20</w:t>
      </w:r>
      <w:r>
        <w:rPr>
          <w:rFonts w:cs="Arial"/>
          <w:i/>
        </w:rPr>
        <w:t>24</w:t>
      </w:r>
    </w:p>
    <w:p w14:paraId="608C2E29" w14:textId="77777777" w:rsidR="00A82C82" w:rsidRPr="00236CB7" w:rsidRDefault="00A82C82" w:rsidP="00A82C82">
      <w:pPr>
        <w:rPr>
          <w:rFonts w:cs="Arial"/>
          <w:i/>
        </w:rPr>
      </w:pPr>
      <w:r w:rsidRPr="00711E39">
        <w:rPr>
          <w:noProof/>
          <w:bdr w:val="single" w:sz="4" w:space="0" w:color="auto"/>
        </w:rPr>
        <w:drawing>
          <wp:inline distT="0" distB="0" distL="0" distR="0" wp14:anchorId="631F4711" wp14:editId="76F2684E">
            <wp:extent cx="5731510" cy="3200400"/>
            <wp:effectExtent l="0" t="0" r="2540" b="0"/>
            <wp:docPr id="1782221949" name="Chart 1">
              <a:extLst xmlns:a="http://schemas.openxmlformats.org/drawingml/2006/main">
                <a:ext uri="{FF2B5EF4-FFF2-40B4-BE49-F238E27FC236}">
                  <a16:creationId xmlns:a16="http://schemas.microsoft.com/office/drawing/2014/main" id="{6F34CD19-4D0C-4704-B3B1-19B1D633FA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D3C451" w14:textId="77777777" w:rsidR="00A82C82" w:rsidRDefault="00A82C82" w:rsidP="00A82C82">
      <w:pPr>
        <w:ind w:left="0" w:firstLine="0"/>
        <w:rPr>
          <w:rFonts w:cs="Arial"/>
        </w:rPr>
      </w:pPr>
    </w:p>
    <w:p w14:paraId="2854F10D" w14:textId="3DD1BE36" w:rsidR="009F5BBB" w:rsidRDefault="00D9682F" w:rsidP="009F5BBB">
      <w:pPr>
        <w:rPr>
          <w:rFonts w:cs="Arial"/>
        </w:rPr>
      </w:pPr>
      <w:r>
        <w:rPr>
          <w:rFonts w:cs="Arial"/>
        </w:rPr>
        <w:t>6</w:t>
      </w:r>
      <w:r w:rsidR="00A262EA">
        <w:rPr>
          <w:rFonts w:cs="Arial"/>
        </w:rPr>
        <w:t>.</w:t>
      </w:r>
      <w:r w:rsidR="009F5BBB">
        <w:rPr>
          <w:rFonts w:cs="Arial"/>
        </w:rPr>
        <w:tab/>
        <w:t xml:space="preserve">Table </w:t>
      </w:r>
      <w:r w:rsidR="004737CA">
        <w:rPr>
          <w:rFonts w:cs="Arial"/>
        </w:rPr>
        <w:t xml:space="preserve">2 </w:t>
      </w:r>
      <w:r w:rsidR="009F5BBB">
        <w:rPr>
          <w:rFonts w:cs="Arial"/>
        </w:rPr>
        <w:t xml:space="preserve">below shows the </w:t>
      </w:r>
      <w:r w:rsidR="00711E39">
        <w:rPr>
          <w:rFonts w:cs="Arial"/>
        </w:rPr>
        <w:t xml:space="preserve">year-end </w:t>
      </w:r>
      <w:r w:rsidR="009F5BBB">
        <w:rPr>
          <w:rFonts w:cs="Arial"/>
        </w:rPr>
        <w:t>status of contributions from 20</w:t>
      </w:r>
      <w:r w:rsidR="00FA5E7B">
        <w:rPr>
          <w:rFonts w:cs="Arial"/>
        </w:rPr>
        <w:t>20</w:t>
      </w:r>
      <w:r w:rsidR="009F5BBB">
        <w:rPr>
          <w:rFonts w:cs="Arial"/>
        </w:rPr>
        <w:t xml:space="preserve"> to 20</w:t>
      </w:r>
      <w:r w:rsidR="00FA5E7B">
        <w:rPr>
          <w:rFonts w:cs="Arial"/>
        </w:rPr>
        <w:t>24</w:t>
      </w:r>
      <w:r w:rsidR="009F5BBB">
        <w:rPr>
          <w:rFonts w:cs="Arial"/>
        </w:rPr>
        <w:t xml:space="preserve"> and the </w:t>
      </w:r>
      <w:r w:rsidR="004737CA">
        <w:rPr>
          <w:rFonts w:cs="Arial"/>
        </w:rPr>
        <w:t xml:space="preserve">resulting </w:t>
      </w:r>
      <w:r w:rsidR="009F5BBB">
        <w:rPr>
          <w:rFonts w:cs="Arial"/>
        </w:rPr>
        <w:t xml:space="preserve">provision for non-collection of contributions. The provision for non-collection increased by CHF </w:t>
      </w:r>
      <w:r w:rsidR="00FA5E7B">
        <w:rPr>
          <w:rFonts w:cs="Arial"/>
        </w:rPr>
        <w:t>113</w:t>
      </w:r>
      <w:r w:rsidR="009F5BBB">
        <w:rPr>
          <w:rFonts w:cs="Arial"/>
        </w:rPr>
        <w:t>K to CHF 1,</w:t>
      </w:r>
      <w:r w:rsidR="00FA5E7B">
        <w:rPr>
          <w:rFonts w:cs="Arial"/>
        </w:rPr>
        <w:t>526</w:t>
      </w:r>
      <w:r w:rsidR="009F5BBB">
        <w:rPr>
          <w:rFonts w:cs="Arial"/>
        </w:rPr>
        <w:t xml:space="preserve">K </w:t>
      </w:r>
      <w:r w:rsidR="004737CA">
        <w:rPr>
          <w:rFonts w:cs="Arial"/>
        </w:rPr>
        <w:t xml:space="preserve">from 2023 to </w:t>
      </w:r>
      <w:r w:rsidR="009F5BBB">
        <w:rPr>
          <w:rFonts w:cs="Arial"/>
        </w:rPr>
        <w:t>202</w:t>
      </w:r>
      <w:r w:rsidR="00FA5E7B">
        <w:rPr>
          <w:rFonts w:cs="Arial"/>
        </w:rPr>
        <w:t>4</w:t>
      </w:r>
      <w:r w:rsidR="009F5BBB">
        <w:rPr>
          <w:rFonts w:cs="Arial"/>
        </w:rPr>
        <w:t xml:space="preserve">. </w:t>
      </w:r>
      <w:r w:rsidR="00711E39">
        <w:rPr>
          <w:rFonts w:cs="Arial"/>
        </w:rPr>
        <w:t>The following p</w:t>
      </w:r>
      <w:r w:rsidR="00711E39" w:rsidRPr="00F70B6E">
        <w:rPr>
          <w:rFonts w:cs="Arial"/>
        </w:rPr>
        <w:t>aragraph</w:t>
      </w:r>
      <w:r w:rsidR="00711E39">
        <w:rPr>
          <w:rFonts w:cs="Arial"/>
        </w:rPr>
        <w:t>s</w:t>
      </w:r>
      <w:r w:rsidR="009F5BBB">
        <w:rPr>
          <w:rFonts w:cs="Arial"/>
        </w:rPr>
        <w:t xml:space="preserve"> explain the increase in this provision since 20</w:t>
      </w:r>
      <w:r w:rsidR="00FA5E7B">
        <w:rPr>
          <w:rFonts w:cs="Arial"/>
        </w:rPr>
        <w:t>20</w:t>
      </w:r>
      <w:r w:rsidR="009F5BBB">
        <w:rPr>
          <w:rFonts w:cs="Arial"/>
        </w:rPr>
        <w:t>.</w:t>
      </w:r>
    </w:p>
    <w:p w14:paraId="5DB054EA" w14:textId="77777777" w:rsidR="009F5BBB" w:rsidRDefault="009F5BBB" w:rsidP="009F5BBB">
      <w:pPr>
        <w:rPr>
          <w:rFonts w:cs="Arial"/>
        </w:rPr>
      </w:pPr>
    </w:p>
    <w:p w14:paraId="50B68300" w14:textId="327AE52D" w:rsidR="009F5BBB" w:rsidRPr="00186378" w:rsidRDefault="009F5BBB" w:rsidP="009F5BBB">
      <w:pPr>
        <w:rPr>
          <w:rFonts w:cs="Arial"/>
          <w:i/>
        </w:rPr>
      </w:pPr>
      <w:r w:rsidRPr="00F70B6E">
        <w:rPr>
          <w:rFonts w:cs="Arial"/>
          <w:i/>
        </w:rPr>
        <w:t xml:space="preserve">Table </w:t>
      </w:r>
      <w:r w:rsidR="004737CA">
        <w:rPr>
          <w:rFonts w:cs="Arial"/>
          <w:i/>
        </w:rPr>
        <w:t>2</w:t>
      </w:r>
      <w:r w:rsidRPr="00F70B6E">
        <w:rPr>
          <w:rFonts w:cs="Arial"/>
          <w:i/>
        </w:rPr>
        <w:t>: Status</w:t>
      </w:r>
      <w:r w:rsidRPr="00186378">
        <w:rPr>
          <w:rFonts w:cs="Arial"/>
          <w:i/>
        </w:rPr>
        <w:t xml:space="preserve"> of contributions and provision for non-collection, 20</w:t>
      </w:r>
      <w:r w:rsidR="00FA5E7B">
        <w:rPr>
          <w:rFonts w:cs="Arial"/>
          <w:i/>
        </w:rPr>
        <w:t>20</w:t>
      </w:r>
      <w:r w:rsidRPr="00186378">
        <w:rPr>
          <w:rFonts w:cs="Arial"/>
          <w:i/>
        </w:rPr>
        <w:t>-20</w:t>
      </w:r>
      <w:r>
        <w:rPr>
          <w:rFonts w:cs="Arial"/>
          <w:i/>
        </w:rPr>
        <w:t>2</w:t>
      </w:r>
      <w:r w:rsidR="00FA5E7B">
        <w:rPr>
          <w:rFonts w:cs="Arial"/>
          <w:i/>
        </w:rPr>
        <w:t>4</w:t>
      </w:r>
      <w:r>
        <w:rPr>
          <w:rFonts w:cs="Arial"/>
          <w:i/>
        </w:rPr>
        <w:t xml:space="preserve"> </w:t>
      </w:r>
      <w:r w:rsidRPr="00186378">
        <w:rPr>
          <w:rFonts w:cs="Arial"/>
          <w:i/>
        </w:rPr>
        <w:t>(CHF ‘000)</w:t>
      </w:r>
    </w:p>
    <w:tbl>
      <w:tblPr>
        <w:tblW w:w="907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bottom w:w="28" w:type="dxa"/>
        </w:tblCellMar>
        <w:tblLook w:val="04A0" w:firstRow="1" w:lastRow="0" w:firstColumn="1" w:lastColumn="0" w:noHBand="0" w:noVBand="1"/>
      </w:tblPr>
      <w:tblGrid>
        <w:gridCol w:w="4253"/>
        <w:gridCol w:w="964"/>
        <w:gridCol w:w="964"/>
        <w:gridCol w:w="964"/>
        <w:gridCol w:w="964"/>
        <w:gridCol w:w="964"/>
      </w:tblGrid>
      <w:tr w:rsidR="00FA5E7B" w:rsidRPr="00186378" w14:paraId="52150786" w14:textId="77777777" w:rsidTr="000769A2">
        <w:trPr>
          <w:trHeight w:val="278"/>
        </w:trPr>
        <w:tc>
          <w:tcPr>
            <w:tcW w:w="4253" w:type="dxa"/>
            <w:shd w:val="clear" w:color="auto" w:fill="C6D9F1" w:themeFill="text2" w:themeFillTint="33"/>
            <w:noWrap/>
            <w:hideMark/>
          </w:tcPr>
          <w:p w14:paraId="04CC89B8" w14:textId="77777777" w:rsidR="00FA5E7B" w:rsidRPr="00186378" w:rsidRDefault="00FA5E7B" w:rsidP="00FA5E7B">
            <w:pPr>
              <w:ind w:left="0" w:firstLine="0"/>
              <w:jc w:val="center"/>
              <w:rPr>
                <w:b/>
              </w:rPr>
            </w:pPr>
            <w:r w:rsidRPr="00186378">
              <w:rPr>
                <w:b/>
              </w:rPr>
              <w:t>Description</w:t>
            </w:r>
          </w:p>
        </w:tc>
        <w:tc>
          <w:tcPr>
            <w:tcW w:w="964" w:type="dxa"/>
            <w:shd w:val="clear" w:color="auto" w:fill="C6D9F1" w:themeFill="text2" w:themeFillTint="33"/>
          </w:tcPr>
          <w:p w14:paraId="35CC0ED8" w14:textId="5AC3CB30" w:rsidR="00FA5E7B" w:rsidRPr="00186378" w:rsidRDefault="00FA5E7B" w:rsidP="00FA5E7B">
            <w:pPr>
              <w:ind w:left="0" w:firstLine="0"/>
              <w:jc w:val="center"/>
              <w:rPr>
                <w:b/>
              </w:rPr>
            </w:pPr>
            <w:r>
              <w:rPr>
                <w:b/>
              </w:rPr>
              <w:t>2020</w:t>
            </w:r>
          </w:p>
        </w:tc>
        <w:tc>
          <w:tcPr>
            <w:tcW w:w="964" w:type="dxa"/>
            <w:shd w:val="clear" w:color="auto" w:fill="C6D9F1" w:themeFill="text2" w:themeFillTint="33"/>
          </w:tcPr>
          <w:p w14:paraId="70623461" w14:textId="35550105" w:rsidR="00FA5E7B" w:rsidRDefault="00FA5E7B" w:rsidP="00FA5E7B">
            <w:pPr>
              <w:ind w:left="0" w:firstLine="0"/>
              <w:jc w:val="center"/>
              <w:rPr>
                <w:b/>
              </w:rPr>
            </w:pPr>
            <w:r>
              <w:rPr>
                <w:b/>
              </w:rPr>
              <w:t>2021</w:t>
            </w:r>
          </w:p>
        </w:tc>
        <w:tc>
          <w:tcPr>
            <w:tcW w:w="964" w:type="dxa"/>
            <w:shd w:val="clear" w:color="auto" w:fill="C6D9F1" w:themeFill="text2" w:themeFillTint="33"/>
          </w:tcPr>
          <w:p w14:paraId="02806B1F" w14:textId="52EB8C5A" w:rsidR="00FA5E7B" w:rsidRDefault="00FA5E7B" w:rsidP="00FA5E7B">
            <w:pPr>
              <w:ind w:left="0" w:firstLine="0"/>
              <w:jc w:val="center"/>
              <w:rPr>
                <w:b/>
              </w:rPr>
            </w:pPr>
            <w:r>
              <w:rPr>
                <w:b/>
              </w:rPr>
              <w:t>2022</w:t>
            </w:r>
          </w:p>
        </w:tc>
        <w:tc>
          <w:tcPr>
            <w:tcW w:w="964" w:type="dxa"/>
            <w:shd w:val="clear" w:color="auto" w:fill="C6D9F1" w:themeFill="text2" w:themeFillTint="33"/>
          </w:tcPr>
          <w:p w14:paraId="139A3DBC" w14:textId="51AF6459" w:rsidR="00FA5E7B" w:rsidRDefault="00FA5E7B" w:rsidP="00FA5E7B">
            <w:pPr>
              <w:ind w:left="0" w:firstLine="0"/>
              <w:jc w:val="center"/>
              <w:rPr>
                <w:b/>
              </w:rPr>
            </w:pPr>
            <w:r>
              <w:rPr>
                <w:b/>
              </w:rPr>
              <w:t>2023</w:t>
            </w:r>
          </w:p>
        </w:tc>
        <w:tc>
          <w:tcPr>
            <w:tcW w:w="964" w:type="dxa"/>
            <w:shd w:val="clear" w:color="auto" w:fill="C6D9F1" w:themeFill="text2" w:themeFillTint="33"/>
          </w:tcPr>
          <w:p w14:paraId="1F3F14FE" w14:textId="5226963D" w:rsidR="00FA5E7B" w:rsidRDefault="00FA5E7B" w:rsidP="00FA5E7B">
            <w:pPr>
              <w:ind w:left="0" w:firstLine="0"/>
              <w:jc w:val="center"/>
              <w:rPr>
                <w:b/>
              </w:rPr>
            </w:pPr>
            <w:r>
              <w:rPr>
                <w:b/>
              </w:rPr>
              <w:t>2024</w:t>
            </w:r>
          </w:p>
        </w:tc>
      </w:tr>
      <w:tr w:rsidR="00FA5E7B" w:rsidRPr="00186378" w14:paraId="51DF0989" w14:textId="77777777" w:rsidTr="000769A2">
        <w:trPr>
          <w:trHeight w:val="278"/>
        </w:trPr>
        <w:tc>
          <w:tcPr>
            <w:tcW w:w="4253" w:type="dxa"/>
            <w:shd w:val="clear" w:color="auto" w:fill="auto"/>
            <w:noWrap/>
            <w:vAlign w:val="center"/>
          </w:tcPr>
          <w:p w14:paraId="0BCE82D0" w14:textId="77777777" w:rsidR="00FA5E7B" w:rsidRPr="00186378" w:rsidRDefault="00FA5E7B" w:rsidP="00FA5E7B">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Assessed contributions from Contracting Parties</w:t>
            </w:r>
          </w:p>
        </w:tc>
        <w:tc>
          <w:tcPr>
            <w:tcW w:w="964" w:type="dxa"/>
            <w:vAlign w:val="center"/>
          </w:tcPr>
          <w:p w14:paraId="0C7D24F5" w14:textId="10C20EDC" w:rsidR="00FA5E7B" w:rsidRPr="003701F3"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c>
          <w:tcPr>
            <w:tcW w:w="964" w:type="dxa"/>
            <w:vAlign w:val="center"/>
          </w:tcPr>
          <w:p w14:paraId="37FF71BE" w14:textId="225D857E" w:rsidR="00FA5E7B" w:rsidRPr="003701F3"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c>
          <w:tcPr>
            <w:tcW w:w="964" w:type="dxa"/>
            <w:vAlign w:val="center"/>
          </w:tcPr>
          <w:p w14:paraId="5DBB5C57" w14:textId="6C25BF0D"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c>
          <w:tcPr>
            <w:tcW w:w="964" w:type="dxa"/>
            <w:vAlign w:val="center"/>
          </w:tcPr>
          <w:p w14:paraId="77D25908" w14:textId="6DCED242"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c>
          <w:tcPr>
            <w:tcW w:w="964" w:type="dxa"/>
            <w:vAlign w:val="center"/>
          </w:tcPr>
          <w:p w14:paraId="5BAE8988" w14:textId="77777777"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3,779</w:t>
            </w:r>
          </w:p>
        </w:tc>
      </w:tr>
      <w:tr w:rsidR="00FA5E7B" w:rsidRPr="00186378" w14:paraId="7B0A1D46" w14:textId="77777777" w:rsidTr="000769A2">
        <w:trPr>
          <w:trHeight w:val="278"/>
        </w:trPr>
        <w:tc>
          <w:tcPr>
            <w:tcW w:w="4253" w:type="dxa"/>
            <w:shd w:val="clear" w:color="auto" w:fill="auto"/>
            <w:noWrap/>
            <w:vAlign w:val="center"/>
            <w:hideMark/>
          </w:tcPr>
          <w:p w14:paraId="747DB285" w14:textId="77777777" w:rsidR="00FA5E7B" w:rsidRPr="00186378" w:rsidRDefault="00FA5E7B" w:rsidP="00FA5E7B">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 xml:space="preserve">Voluntary contribution from </w:t>
            </w:r>
            <w:r>
              <w:rPr>
                <w:rFonts w:asciiTheme="minorHAnsi" w:eastAsia="Times New Roman" w:hAnsiTheme="minorHAnsi" w:cs="Arial"/>
                <w:color w:val="000000"/>
                <w:lang w:eastAsia="en-GB"/>
              </w:rPr>
              <w:t xml:space="preserve">the </w:t>
            </w:r>
            <w:r w:rsidRPr="00186378">
              <w:rPr>
                <w:rFonts w:asciiTheme="minorHAnsi" w:eastAsia="Times New Roman" w:hAnsiTheme="minorHAnsi" w:cs="Arial"/>
                <w:color w:val="000000"/>
                <w:lang w:eastAsia="en-GB"/>
              </w:rPr>
              <w:t>United States of America</w:t>
            </w:r>
          </w:p>
        </w:tc>
        <w:tc>
          <w:tcPr>
            <w:tcW w:w="964" w:type="dxa"/>
            <w:vAlign w:val="center"/>
          </w:tcPr>
          <w:p w14:paraId="15368BC9" w14:textId="6E58F014" w:rsidR="00FA5E7B" w:rsidRPr="003701F3"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c>
          <w:tcPr>
            <w:tcW w:w="964" w:type="dxa"/>
            <w:vAlign w:val="center"/>
          </w:tcPr>
          <w:p w14:paraId="689D4E0C" w14:textId="2812B6DD" w:rsidR="00FA5E7B" w:rsidRPr="003701F3"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c>
          <w:tcPr>
            <w:tcW w:w="964" w:type="dxa"/>
            <w:vAlign w:val="center"/>
          </w:tcPr>
          <w:p w14:paraId="75C80CC1" w14:textId="5C33D75C"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c>
          <w:tcPr>
            <w:tcW w:w="964" w:type="dxa"/>
            <w:vAlign w:val="center"/>
          </w:tcPr>
          <w:p w14:paraId="169E459F" w14:textId="7D1F8E18"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c>
          <w:tcPr>
            <w:tcW w:w="964" w:type="dxa"/>
            <w:vAlign w:val="center"/>
          </w:tcPr>
          <w:p w14:paraId="50E1A1D4" w14:textId="77777777"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1,066</w:t>
            </w:r>
          </w:p>
        </w:tc>
      </w:tr>
      <w:tr w:rsidR="00FA5E7B" w:rsidRPr="00186378" w14:paraId="6B6D3AD1" w14:textId="77777777" w:rsidTr="000769A2">
        <w:trPr>
          <w:trHeight w:val="278"/>
        </w:trPr>
        <w:tc>
          <w:tcPr>
            <w:tcW w:w="4253" w:type="dxa"/>
            <w:shd w:val="clear" w:color="auto" w:fill="auto"/>
            <w:noWrap/>
            <w:vAlign w:val="center"/>
            <w:hideMark/>
          </w:tcPr>
          <w:p w14:paraId="4E120FC6" w14:textId="77777777" w:rsidR="00FA5E7B" w:rsidRPr="00186378" w:rsidRDefault="00FA5E7B" w:rsidP="00FA5E7B">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Cumulative contributions not received</w:t>
            </w:r>
            <w:r>
              <w:rPr>
                <w:rFonts w:asciiTheme="minorHAnsi" w:eastAsia="Times New Roman" w:hAnsiTheme="minorHAnsi" w:cs="Arial"/>
                <w:color w:val="000000"/>
                <w:lang w:eastAsia="en-GB"/>
              </w:rPr>
              <w:t xml:space="preserve"> by year end</w:t>
            </w:r>
          </w:p>
        </w:tc>
        <w:tc>
          <w:tcPr>
            <w:tcW w:w="964" w:type="dxa"/>
            <w:vAlign w:val="center"/>
          </w:tcPr>
          <w:p w14:paraId="25F3F6D3" w14:textId="5F338A35" w:rsidR="00FA5E7B" w:rsidRPr="003701F3"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1,674</w:t>
            </w:r>
          </w:p>
        </w:tc>
        <w:tc>
          <w:tcPr>
            <w:tcW w:w="964" w:type="dxa"/>
            <w:vAlign w:val="center"/>
          </w:tcPr>
          <w:p w14:paraId="1B50B29A" w14:textId="4DFEF684" w:rsidR="00FA5E7B" w:rsidRPr="003701F3"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1,536</w:t>
            </w:r>
          </w:p>
        </w:tc>
        <w:tc>
          <w:tcPr>
            <w:tcW w:w="964" w:type="dxa"/>
            <w:vAlign w:val="center"/>
          </w:tcPr>
          <w:p w14:paraId="01E08F65" w14:textId="4F12536E" w:rsidR="00FA5E7B" w:rsidRDefault="00FA5E7B" w:rsidP="00FA5E7B">
            <w:pPr>
              <w:ind w:left="0" w:firstLine="0"/>
              <w:jc w:val="right"/>
              <w:rPr>
                <w:rFonts w:asciiTheme="minorHAnsi" w:eastAsia="Times New Roman" w:hAnsiTheme="minorHAnsi" w:cs="Arial"/>
                <w:color w:val="000000"/>
                <w:lang w:eastAsia="en-GB"/>
              </w:rPr>
            </w:pPr>
            <w:r w:rsidRPr="00863FB4">
              <w:rPr>
                <w:rFonts w:asciiTheme="minorHAnsi" w:eastAsia="Times New Roman" w:hAnsiTheme="minorHAnsi" w:cs="Arial"/>
                <w:color w:val="000000"/>
                <w:lang w:eastAsia="en-GB"/>
              </w:rPr>
              <w:t>1,594</w:t>
            </w:r>
          </w:p>
        </w:tc>
        <w:tc>
          <w:tcPr>
            <w:tcW w:w="964" w:type="dxa"/>
            <w:vAlign w:val="center"/>
          </w:tcPr>
          <w:p w14:paraId="1EE9DA2E" w14:textId="57D6C4C2"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1,635</w:t>
            </w:r>
          </w:p>
        </w:tc>
        <w:tc>
          <w:tcPr>
            <w:tcW w:w="964" w:type="dxa"/>
            <w:vAlign w:val="center"/>
          </w:tcPr>
          <w:p w14:paraId="0C63CAF1" w14:textId="4C841B29"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1,897</w:t>
            </w:r>
          </w:p>
        </w:tc>
      </w:tr>
      <w:tr w:rsidR="00FA5E7B" w:rsidRPr="00186378" w14:paraId="7C95B5AF" w14:textId="77777777" w:rsidTr="000769A2">
        <w:trPr>
          <w:trHeight w:val="552"/>
        </w:trPr>
        <w:tc>
          <w:tcPr>
            <w:tcW w:w="4253" w:type="dxa"/>
            <w:shd w:val="clear" w:color="auto" w:fill="auto"/>
            <w:vAlign w:val="center"/>
            <w:hideMark/>
          </w:tcPr>
          <w:p w14:paraId="587657C4" w14:textId="77777777" w:rsidR="00FA5E7B" w:rsidRPr="00186378" w:rsidRDefault="00FA5E7B" w:rsidP="00FA5E7B">
            <w:pPr>
              <w:ind w:left="0" w:firstLine="0"/>
              <w:rPr>
                <w:rFonts w:asciiTheme="minorHAnsi" w:eastAsia="Times New Roman" w:hAnsiTheme="minorHAnsi" w:cs="Arial"/>
                <w:color w:val="000000"/>
                <w:lang w:eastAsia="en-GB"/>
              </w:rPr>
            </w:pPr>
            <w:r w:rsidRPr="00186378">
              <w:rPr>
                <w:rFonts w:asciiTheme="minorHAnsi" w:eastAsia="Times New Roman" w:hAnsiTheme="minorHAnsi" w:cs="Arial"/>
                <w:color w:val="000000"/>
                <w:lang w:eastAsia="en-GB"/>
              </w:rPr>
              <w:t>Provision for non-collec</w:t>
            </w:r>
            <w:r>
              <w:rPr>
                <w:rFonts w:asciiTheme="minorHAnsi" w:eastAsia="Times New Roman" w:hAnsiTheme="minorHAnsi" w:cs="Arial"/>
                <w:color w:val="000000"/>
                <w:lang w:eastAsia="en-GB"/>
              </w:rPr>
              <w:t xml:space="preserve">tion (i.e. provision against </w:t>
            </w:r>
            <w:r w:rsidRPr="00186378">
              <w:rPr>
                <w:rFonts w:asciiTheme="minorHAnsi" w:eastAsia="Times New Roman" w:hAnsiTheme="minorHAnsi" w:cs="Arial"/>
                <w:color w:val="000000"/>
                <w:lang w:eastAsia="en-GB"/>
              </w:rPr>
              <w:t>contributions not received)</w:t>
            </w:r>
          </w:p>
        </w:tc>
        <w:tc>
          <w:tcPr>
            <w:tcW w:w="964" w:type="dxa"/>
            <w:vAlign w:val="center"/>
          </w:tcPr>
          <w:p w14:paraId="4F11CD26" w14:textId="756A6CB0" w:rsidR="00FA5E7B" w:rsidRPr="003701F3"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990</w:t>
            </w:r>
          </w:p>
        </w:tc>
        <w:tc>
          <w:tcPr>
            <w:tcW w:w="964" w:type="dxa"/>
            <w:vAlign w:val="center"/>
          </w:tcPr>
          <w:p w14:paraId="78F80790" w14:textId="26F38284" w:rsidR="00FA5E7B" w:rsidRPr="003701F3"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1,050</w:t>
            </w:r>
          </w:p>
        </w:tc>
        <w:tc>
          <w:tcPr>
            <w:tcW w:w="964" w:type="dxa"/>
            <w:vAlign w:val="center"/>
          </w:tcPr>
          <w:p w14:paraId="5E471A91" w14:textId="22822CB2"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1,202</w:t>
            </w:r>
          </w:p>
        </w:tc>
        <w:tc>
          <w:tcPr>
            <w:tcW w:w="964" w:type="dxa"/>
            <w:vAlign w:val="center"/>
          </w:tcPr>
          <w:p w14:paraId="68D3253C" w14:textId="597B69CA"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1,413</w:t>
            </w:r>
          </w:p>
        </w:tc>
        <w:tc>
          <w:tcPr>
            <w:tcW w:w="964" w:type="dxa"/>
            <w:vAlign w:val="center"/>
          </w:tcPr>
          <w:p w14:paraId="0748529B" w14:textId="5E2B13F7" w:rsidR="00FA5E7B" w:rsidRDefault="00FA5E7B" w:rsidP="00FA5E7B">
            <w:pPr>
              <w:ind w:left="0" w:firstLine="0"/>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1,526</w:t>
            </w:r>
          </w:p>
        </w:tc>
      </w:tr>
    </w:tbl>
    <w:p w14:paraId="1667EF51" w14:textId="77777777" w:rsidR="009F5BBB" w:rsidRDefault="009F5BBB" w:rsidP="009F5BBB">
      <w:pPr>
        <w:rPr>
          <w:rFonts w:cs="Arial"/>
        </w:rPr>
      </w:pPr>
    </w:p>
    <w:p w14:paraId="62ECBEBB" w14:textId="77777777" w:rsidR="004737CA" w:rsidRPr="00133E4E" w:rsidRDefault="004737CA" w:rsidP="009F5BBB">
      <w:pPr>
        <w:rPr>
          <w:rFonts w:cs="Arial"/>
        </w:rPr>
      </w:pPr>
    </w:p>
    <w:p w14:paraId="0856E77D" w14:textId="0F404B6B" w:rsidR="00FA5E7B" w:rsidRDefault="00D9682F" w:rsidP="00FA5E7B">
      <w:pPr>
        <w:rPr>
          <w:rFonts w:cs="Arial"/>
        </w:rPr>
      </w:pPr>
      <w:r>
        <w:rPr>
          <w:rFonts w:cs="Arial"/>
        </w:rPr>
        <w:t>7</w:t>
      </w:r>
      <w:r w:rsidR="00FA5E7B" w:rsidRPr="00F70B6E">
        <w:rPr>
          <w:rFonts w:cs="Arial"/>
        </w:rPr>
        <w:t>.</w:t>
      </w:r>
      <w:r w:rsidR="00FA5E7B">
        <w:rPr>
          <w:rFonts w:cs="Arial"/>
        </w:rPr>
        <w:tab/>
        <w:t xml:space="preserve">In accordance with Decision SC57-39 of the Standing Committee, </w:t>
      </w:r>
      <w:r w:rsidR="00FA5E7B" w:rsidRPr="00FF0CE5">
        <w:rPr>
          <w:rFonts w:cs="Arial"/>
        </w:rPr>
        <w:t xml:space="preserve">the provision </w:t>
      </w:r>
      <w:r w:rsidR="00FA5E7B">
        <w:rPr>
          <w:rFonts w:cs="Arial"/>
        </w:rPr>
        <w:t>for non-collection of outstanding contributions has been</w:t>
      </w:r>
      <w:r w:rsidR="00FA5E7B" w:rsidRPr="00FF0CE5">
        <w:rPr>
          <w:rFonts w:cs="Arial"/>
        </w:rPr>
        <w:t xml:space="preserve"> calculated</w:t>
      </w:r>
      <w:r w:rsidR="00FA5E7B">
        <w:rPr>
          <w:rFonts w:cs="Arial"/>
        </w:rPr>
        <w:t xml:space="preserve"> since 2019</w:t>
      </w:r>
      <w:r w:rsidR="00FA5E7B" w:rsidRPr="00FF0CE5">
        <w:rPr>
          <w:rFonts w:cs="Arial"/>
        </w:rPr>
        <w:t xml:space="preserve"> in accordance with the method proposed by the external auditor</w:t>
      </w:r>
      <w:r w:rsidR="00FA5E7B" w:rsidRPr="00544D57">
        <w:rPr>
          <w:rFonts w:cs="Arial"/>
        </w:rPr>
        <w:t xml:space="preserve">. </w:t>
      </w:r>
      <w:r w:rsidR="00FA5E7B">
        <w:rPr>
          <w:rFonts w:cs="Arial"/>
        </w:rPr>
        <w:t>Accordingly</w:t>
      </w:r>
      <w:r w:rsidR="00FA5E7B" w:rsidRPr="00544D57">
        <w:rPr>
          <w:rFonts w:cs="Arial"/>
        </w:rPr>
        <w:t xml:space="preserve">, </w:t>
      </w:r>
      <w:r w:rsidR="00FA5E7B">
        <w:rPr>
          <w:rFonts w:cs="Arial"/>
        </w:rPr>
        <w:t>in 2024</w:t>
      </w:r>
      <w:r w:rsidR="00B13260">
        <w:rPr>
          <w:rFonts w:cs="Arial"/>
        </w:rPr>
        <w:t>,</w:t>
      </w:r>
      <w:r w:rsidR="00FA5E7B">
        <w:rPr>
          <w:rFonts w:cs="Arial"/>
        </w:rPr>
        <w:t xml:space="preserve"> </w:t>
      </w:r>
      <w:r w:rsidR="00FA5E7B" w:rsidRPr="00544D57">
        <w:rPr>
          <w:rFonts w:cs="Arial"/>
        </w:rPr>
        <w:t xml:space="preserve">a provision of 20% was applied on contributions </w:t>
      </w:r>
      <w:r w:rsidR="00FA5E7B">
        <w:rPr>
          <w:rFonts w:cs="Arial"/>
        </w:rPr>
        <w:t>which had been outstanding for up to</w:t>
      </w:r>
      <w:r w:rsidR="00FA5E7B" w:rsidRPr="00544D57">
        <w:rPr>
          <w:rFonts w:cs="Arial"/>
        </w:rPr>
        <w:t xml:space="preserve"> two years, 60% on contributions </w:t>
      </w:r>
      <w:r w:rsidR="00FA5E7B">
        <w:rPr>
          <w:rFonts w:cs="Arial"/>
        </w:rPr>
        <w:t xml:space="preserve">which had been outstanding for </w:t>
      </w:r>
      <w:r w:rsidR="00FA5E7B" w:rsidRPr="00544D57">
        <w:rPr>
          <w:rFonts w:cs="Arial"/>
        </w:rPr>
        <w:t xml:space="preserve">three years, and 80% on contributions </w:t>
      </w:r>
      <w:r w:rsidR="00FA5E7B">
        <w:rPr>
          <w:rFonts w:cs="Arial"/>
        </w:rPr>
        <w:t xml:space="preserve">which had been outstanding for </w:t>
      </w:r>
      <w:r w:rsidR="00FA5E7B" w:rsidRPr="00544D57">
        <w:rPr>
          <w:rFonts w:cs="Arial"/>
        </w:rPr>
        <w:t xml:space="preserve">four years. </w:t>
      </w:r>
      <w:r w:rsidR="00FA5E7B">
        <w:rPr>
          <w:rFonts w:cs="Arial"/>
        </w:rPr>
        <w:t>A</w:t>
      </w:r>
      <w:r w:rsidR="00FA5E7B" w:rsidRPr="00544D57">
        <w:rPr>
          <w:rFonts w:cs="Arial"/>
        </w:rPr>
        <w:t xml:space="preserve"> provision of 100% was applied on</w:t>
      </w:r>
      <w:r w:rsidR="00FA5E7B" w:rsidRPr="00FF0CE5">
        <w:rPr>
          <w:rFonts w:cs="Arial"/>
        </w:rPr>
        <w:t xml:space="preserve"> </w:t>
      </w:r>
      <w:r w:rsidR="00FA5E7B">
        <w:rPr>
          <w:rFonts w:cs="Arial"/>
        </w:rPr>
        <w:t xml:space="preserve">balances </w:t>
      </w:r>
      <w:r w:rsidR="00FA5E7B" w:rsidRPr="00FF0CE5">
        <w:rPr>
          <w:rFonts w:cs="Arial"/>
        </w:rPr>
        <w:t xml:space="preserve">outstanding for </w:t>
      </w:r>
      <w:r w:rsidR="00FA5E7B">
        <w:rPr>
          <w:rFonts w:cs="Arial"/>
        </w:rPr>
        <w:t>more than four</w:t>
      </w:r>
      <w:r w:rsidR="00FA5E7B" w:rsidRPr="00FF0CE5">
        <w:rPr>
          <w:rFonts w:cs="Arial"/>
        </w:rPr>
        <w:t xml:space="preserve"> years.</w:t>
      </w:r>
    </w:p>
    <w:p w14:paraId="08FB49A1" w14:textId="77777777" w:rsidR="00FA5E7B" w:rsidRDefault="00FA5E7B" w:rsidP="00FA5E7B">
      <w:pPr>
        <w:rPr>
          <w:rFonts w:cs="Arial"/>
        </w:rPr>
      </w:pPr>
    </w:p>
    <w:p w14:paraId="2B446734" w14:textId="4BFB3326" w:rsidR="00FA5E7B" w:rsidRDefault="00D9682F" w:rsidP="00FA5E7B">
      <w:pPr>
        <w:rPr>
          <w:rFonts w:cs="Arial"/>
        </w:rPr>
      </w:pPr>
      <w:r>
        <w:rPr>
          <w:rFonts w:cs="Arial"/>
        </w:rPr>
        <w:t>8.</w:t>
      </w:r>
      <w:r w:rsidR="00FA5E7B">
        <w:rPr>
          <w:rFonts w:cs="Arial"/>
        </w:rPr>
        <w:tab/>
      </w:r>
      <w:r w:rsidR="00FA5E7B" w:rsidRPr="00233ED6">
        <w:rPr>
          <w:rFonts w:cs="Arial"/>
        </w:rPr>
        <w:t>In 20</w:t>
      </w:r>
      <w:r w:rsidR="00FA5E7B">
        <w:rPr>
          <w:rFonts w:cs="Arial"/>
        </w:rPr>
        <w:t>24</w:t>
      </w:r>
      <w:r w:rsidR="00FA5E7B" w:rsidRPr="00233ED6">
        <w:rPr>
          <w:rFonts w:cs="Arial"/>
        </w:rPr>
        <w:t xml:space="preserve"> the full provision of 100% </w:t>
      </w:r>
      <w:r w:rsidR="00FA5E7B">
        <w:rPr>
          <w:rFonts w:cs="Arial"/>
        </w:rPr>
        <w:t>was</w:t>
      </w:r>
      <w:r w:rsidR="00FA5E7B" w:rsidRPr="00233ED6">
        <w:rPr>
          <w:rFonts w:cs="Arial"/>
        </w:rPr>
        <w:t xml:space="preserve"> applied to </w:t>
      </w:r>
      <w:r w:rsidR="00232E87">
        <w:rPr>
          <w:rFonts w:cs="Arial"/>
        </w:rPr>
        <w:t>42</w:t>
      </w:r>
      <w:r w:rsidR="00FA5E7B" w:rsidRPr="00233ED6">
        <w:rPr>
          <w:rFonts w:cs="Arial"/>
        </w:rPr>
        <w:t xml:space="preserve"> </w:t>
      </w:r>
      <w:r w:rsidR="00FA5E7B">
        <w:rPr>
          <w:rFonts w:cs="Arial"/>
        </w:rPr>
        <w:t>Contracting Parties</w:t>
      </w:r>
      <w:r w:rsidR="00FA5E7B" w:rsidRPr="00233ED6">
        <w:rPr>
          <w:rFonts w:cs="Arial"/>
        </w:rPr>
        <w:t xml:space="preserve"> with total</w:t>
      </w:r>
      <w:r w:rsidR="00FA5E7B">
        <w:rPr>
          <w:rFonts w:cs="Arial"/>
        </w:rPr>
        <w:t xml:space="preserve"> </w:t>
      </w:r>
      <w:r w:rsidR="00FA5E7B" w:rsidRPr="00233ED6">
        <w:rPr>
          <w:rFonts w:cs="Arial"/>
        </w:rPr>
        <w:t xml:space="preserve">outstanding </w:t>
      </w:r>
      <w:r w:rsidR="00FA5E7B">
        <w:rPr>
          <w:rFonts w:cs="Arial"/>
        </w:rPr>
        <w:t>contributions</w:t>
      </w:r>
      <w:r w:rsidR="00FA5E7B" w:rsidRPr="00233ED6">
        <w:rPr>
          <w:rFonts w:cs="Arial"/>
        </w:rPr>
        <w:t xml:space="preserve"> of CHF </w:t>
      </w:r>
      <w:r w:rsidR="00FA5E7B">
        <w:rPr>
          <w:rFonts w:cs="Arial"/>
        </w:rPr>
        <w:t>1,</w:t>
      </w:r>
      <w:r w:rsidR="00232E87">
        <w:rPr>
          <w:rFonts w:cs="Arial"/>
        </w:rPr>
        <w:t>423</w:t>
      </w:r>
      <w:r w:rsidR="00FA5E7B" w:rsidRPr="00233ED6">
        <w:rPr>
          <w:rFonts w:cs="Arial"/>
        </w:rPr>
        <w:t>K</w:t>
      </w:r>
      <w:r w:rsidR="00FA5E7B">
        <w:rPr>
          <w:rFonts w:cs="Arial"/>
        </w:rPr>
        <w:t xml:space="preserve"> (</w:t>
      </w:r>
      <w:r w:rsidR="00232E87">
        <w:rPr>
          <w:rFonts w:cs="Arial"/>
        </w:rPr>
        <w:t>compared to 44</w:t>
      </w:r>
      <w:r w:rsidR="00FA5E7B">
        <w:rPr>
          <w:rFonts w:cs="Arial"/>
        </w:rPr>
        <w:t xml:space="preserve"> Parties in 202</w:t>
      </w:r>
      <w:r w:rsidR="00286EE7">
        <w:rPr>
          <w:rFonts w:cs="Arial"/>
        </w:rPr>
        <w:t>3</w:t>
      </w:r>
      <w:r w:rsidR="00FA5E7B">
        <w:rPr>
          <w:rFonts w:cs="Arial"/>
        </w:rPr>
        <w:t xml:space="preserve">, which then had total outstanding </w:t>
      </w:r>
      <w:r w:rsidR="00FA5E7B">
        <w:rPr>
          <w:rFonts w:cs="Arial"/>
        </w:rPr>
        <w:lastRenderedPageBreak/>
        <w:t>contributions of CHF 1,</w:t>
      </w:r>
      <w:r w:rsidR="00232E87">
        <w:rPr>
          <w:rFonts w:cs="Arial"/>
        </w:rPr>
        <w:t>324</w:t>
      </w:r>
      <w:r w:rsidR="00FA5E7B">
        <w:rPr>
          <w:rFonts w:cs="Arial"/>
        </w:rPr>
        <w:t xml:space="preserve">K). Of these Parties, </w:t>
      </w:r>
      <w:r w:rsidR="00F70B6E">
        <w:rPr>
          <w:rFonts w:cs="Arial"/>
        </w:rPr>
        <w:t xml:space="preserve">nine </w:t>
      </w:r>
      <w:r w:rsidR="00FA5E7B">
        <w:rPr>
          <w:rFonts w:cs="Arial"/>
        </w:rPr>
        <w:t>had not paid any contributions for more than ten years</w:t>
      </w:r>
      <w:r w:rsidR="005239BF">
        <w:rPr>
          <w:rFonts w:cs="Arial"/>
        </w:rPr>
        <w:t xml:space="preserve"> (compared to 11 Parties in 2023)</w:t>
      </w:r>
      <w:r w:rsidR="00FA5E7B">
        <w:rPr>
          <w:rFonts w:cs="Arial"/>
        </w:rPr>
        <w:t>.</w:t>
      </w:r>
      <w:r w:rsidR="00D17B64">
        <w:rPr>
          <w:rFonts w:cs="Arial"/>
        </w:rPr>
        <w:t xml:space="preserve"> </w:t>
      </w:r>
    </w:p>
    <w:p w14:paraId="7A37F4D4" w14:textId="77777777" w:rsidR="00FA5E7B" w:rsidRDefault="00FA5E7B" w:rsidP="00FA5E7B">
      <w:pPr>
        <w:rPr>
          <w:rFonts w:cs="Arial"/>
        </w:rPr>
      </w:pPr>
    </w:p>
    <w:p w14:paraId="7459A6FF" w14:textId="0E878677" w:rsidR="0080200D" w:rsidRPr="00520DF0" w:rsidRDefault="0080200D" w:rsidP="004410A9">
      <w:pPr>
        <w:keepNext/>
        <w:rPr>
          <w:rFonts w:cs="Arial"/>
          <w:b/>
        </w:rPr>
      </w:pPr>
      <w:r w:rsidRPr="00520DF0">
        <w:rPr>
          <w:rFonts w:cs="Arial"/>
          <w:b/>
        </w:rPr>
        <w:t>African voluntary contributions</w:t>
      </w:r>
    </w:p>
    <w:p w14:paraId="2E686B24" w14:textId="77777777" w:rsidR="0080200D" w:rsidRPr="00520DF0" w:rsidRDefault="0080200D" w:rsidP="004410A9">
      <w:pPr>
        <w:keepNext/>
        <w:rPr>
          <w:rFonts w:cs="Arial"/>
          <w:b/>
        </w:rPr>
      </w:pPr>
    </w:p>
    <w:p w14:paraId="76E30A22" w14:textId="3B623432" w:rsidR="0080200D" w:rsidRPr="00520DF0" w:rsidRDefault="00D9682F" w:rsidP="00AD53FB">
      <w:pPr>
        <w:rPr>
          <w:rFonts w:cs="Arial"/>
        </w:rPr>
      </w:pPr>
      <w:r>
        <w:rPr>
          <w:rFonts w:cs="Arial"/>
        </w:rPr>
        <w:t>9</w:t>
      </w:r>
      <w:r w:rsidR="00A60AD7" w:rsidRPr="00520DF0">
        <w:rPr>
          <w:rFonts w:cs="Arial"/>
        </w:rPr>
        <w:t>.</w:t>
      </w:r>
      <w:r w:rsidR="0061090C" w:rsidRPr="00520DF0">
        <w:rPr>
          <w:rFonts w:cs="Arial"/>
        </w:rPr>
        <w:tab/>
      </w:r>
      <w:r w:rsidR="0080200D" w:rsidRPr="00520DF0">
        <w:rPr>
          <w:rFonts w:cs="Arial"/>
        </w:rPr>
        <w:t xml:space="preserve">At </w:t>
      </w:r>
      <w:r w:rsidR="004410A9" w:rsidRPr="00520DF0">
        <w:rPr>
          <w:rFonts w:cs="Arial"/>
        </w:rPr>
        <w:t>COP10</w:t>
      </w:r>
      <w:r w:rsidR="0080200D" w:rsidRPr="00520DF0">
        <w:rPr>
          <w:rFonts w:cs="Arial"/>
        </w:rPr>
        <w:t xml:space="preserve">, through </w:t>
      </w:r>
      <w:r w:rsidR="00472A3C" w:rsidRPr="00520DF0">
        <w:rPr>
          <w:rFonts w:cs="Arial"/>
        </w:rPr>
        <w:t xml:space="preserve">paragraph 23 of </w:t>
      </w:r>
      <w:r w:rsidR="00855451" w:rsidRPr="00520DF0">
        <w:rPr>
          <w:rFonts w:cs="Arial"/>
        </w:rPr>
        <w:t>R</w:t>
      </w:r>
      <w:r w:rsidR="0091539C" w:rsidRPr="00520DF0">
        <w:rPr>
          <w:rFonts w:cs="Arial"/>
        </w:rPr>
        <w:t>esolution X.2</w:t>
      </w:r>
      <w:r w:rsidR="0080200D" w:rsidRPr="00520DF0">
        <w:rPr>
          <w:rFonts w:cs="Arial"/>
        </w:rPr>
        <w:t xml:space="preserve"> </w:t>
      </w:r>
      <w:r w:rsidR="00855451" w:rsidRPr="00520DF0">
        <w:rPr>
          <w:rFonts w:cs="Arial"/>
        </w:rPr>
        <w:t xml:space="preserve">on </w:t>
      </w:r>
      <w:r w:rsidR="00855451" w:rsidRPr="00520DF0">
        <w:rPr>
          <w:rFonts w:cs="Arial"/>
          <w:i/>
        </w:rPr>
        <w:t>Financial and budgetary matters,</w:t>
      </w:r>
      <w:r w:rsidR="00855451" w:rsidRPr="00520DF0">
        <w:rPr>
          <w:rFonts w:cs="Arial"/>
        </w:rPr>
        <w:t xml:space="preserve"> </w:t>
      </w:r>
      <w:r w:rsidR="0080200D" w:rsidRPr="00520DF0">
        <w:rPr>
          <w:rFonts w:cs="Arial"/>
        </w:rPr>
        <w:t xml:space="preserve">the Contracting Parties of Africa assessed with an annual contribution </w:t>
      </w:r>
      <w:r w:rsidR="00A96D52" w:rsidRPr="00520DF0">
        <w:rPr>
          <w:rFonts w:cs="Arial"/>
        </w:rPr>
        <w:t xml:space="preserve">of </w:t>
      </w:r>
      <w:r w:rsidR="0080200D" w:rsidRPr="00520DF0">
        <w:rPr>
          <w:rFonts w:cs="Arial"/>
        </w:rPr>
        <w:t xml:space="preserve">less than CHF 2,000 agreed to increase their payments to that level. The difference between CHF 2,000 and their assessed contribution was to be in the form of a voluntary contribution specifically earmarked for African </w:t>
      </w:r>
      <w:r w:rsidR="00312FBA" w:rsidRPr="00520DF0">
        <w:rPr>
          <w:rFonts w:cs="Arial"/>
        </w:rPr>
        <w:t xml:space="preserve">Ramsar </w:t>
      </w:r>
      <w:r w:rsidR="0080200D" w:rsidRPr="00520DF0">
        <w:rPr>
          <w:rFonts w:cs="Arial"/>
        </w:rPr>
        <w:t>Regional Initiatives</w:t>
      </w:r>
      <w:r>
        <w:rPr>
          <w:rFonts w:cs="Arial"/>
        </w:rPr>
        <w:t xml:space="preserve"> (RRIs)</w:t>
      </w:r>
      <w:r w:rsidR="0080200D" w:rsidRPr="00520DF0">
        <w:rPr>
          <w:rFonts w:cs="Arial"/>
        </w:rPr>
        <w:t>.</w:t>
      </w:r>
    </w:p>
    <w:p w14:paraId="15673373" w14:textId="77777777" w:rsidR="00D9682F" w:rsidRDefault="00D9682F" w:rsidP="00D9682F">
      <w:pPr>
        <w:rPr>
          <w:rFonts w:cs="Arial"/>
        </w:rPr>
      </w:pPr>
    </w:p>
    <w:p w14:paraId="58366365" w14:textId="20165EE4" w:rsidR="00D9682F" w:rsidRPr="00520DF0" w:rsidRDefault="00D9682F" w:rsidP="00D9682F">
      <w:pPr>
        <w:rPr>
          <w:rFonts w:asciiTheme="minorHAnsi" w:eastAsia="Times New Roman" w:hAnsiTheme="minorHAnsi" w:cs="Arial"/>
          <w:b/>
          <w:bCs/>
          <w:color w:val="000000"/>
          <w:sz w:val="24"/>
          <w:szCs w:val="24"/>
          <w:lang w:eastAsia="en-GB"/>
        </w:rPr>
      </w:pPr>
      <w:r>
        <w:rPr>
          <w:rFonts w:asciiTheme="minorHAnsi" w:eastAsia="Times New Roman" w:hAnsiTheme="minorHAnsi" w:cs="Arial"/>
          <w:color w:val="000000" w:themeColor="text1"/>
          <w:lang w:eastAsia="en-GB"/>
        </w:rPr>
        <w:t>1</w:t>
      </w:r>
      <w:r w:rsidR="001554EE">
        <w:rPr>
          <w:rFonts w:asciiTheme="minorHAnsi" w:eastAsia="Times New Roman" w:hAnsiTheme="minorHAnsi" w:cs="Arial"/>
          <w:color w:val="000000" w:themeColor="text1"/>
          <w:lang w:eastAsia="en-GB"/>
        </w:rPr>
        <w:t>0</w:t>
      </w:r>
      <w:r w:rsidRPr="3399B320">
        <w:rPr>
          <w:rFonts w:asciiTheme="minorHAnsi" w:eastAsia="Times New Roman" w:hAnsiTheme="minorHAnsi" w:cs="Arial"/>
          <w:color w:val="000000" w:themeColor="text1"/>
          <w:lang w:eastAsia="en-GB"/>
        </w:rPr>
        <w:t>.</w:t>
      </w:r>
      <w:r>
        <w:tab/>
        <w:t>In 2024 the Secretariat consulted the African Regional Representatives to the Standing Committee to decide on the use of the balance of the African voluntary contributions of CHF 30K at the end of 2023. In line with the decisions made by the Regional Representatives this balance of funds was allocated fully to cover the costs of African delegates to the regional preparatory meeting for COP15 that took place in Marrakesh, Morocco from 8 to 10 January 2025.</w:t>
      </w:r>
    </w:p>
    <w:p w14:paraId="24DDA2FB" w14:textId="77777777" w:rsidR="00D9682F" w:rsidRPr="00520DF0" w:rsidRDefault="00D9682F" w:rsidP="00D9682F">
      <w:pPr>
        <w:rPr>
          <w:rFonts w:cs="Arial"/>
        </w:rPr>
      </w:pPr>
    </w:p>
    <w:p w14:paraId="41BA0AB8" w14:textId="49DA758C" w:rsidR="000510F4" w:rsidRDefault="00D9682F" w:rsidP="00D9682F">
      <w:pPr>
        <w:rPr>
          <w:rFonts w:cs="Arial"/>
        </w:rPr>
      </w:pPr>
      <w:r>
        <w:rPr>
          <w:rFonts w:cs="Arial"/>
        </w:rPr>
        <w:t>1</w:t>
      </w:r>
      <w:r w:rsidR="001554EE">
        <w:rPr>
          <w:rFonts w:cs="Arial"/>
        </w:rPr>
        <w:t>1</w:t>
      </w:r>
      <w:r w:rsidR="000A78B6" w:rsidRPr="00520DF0">
        <w:rPr>
          <w:rFonts w:cs="Arial"/>
        </w:rPr>
        <w:t>.</w:t>
      </w:r>
      <w:r w:rsidR="000A78B6" w:rsidRPr="00520DF0">
        <w:rPr>
          <w:rFonts w:cs="Arial"/>
        </w:rPr>
        <w:tab/>
      </w:r>
      <w:r w:rsidR="001230BA">
        <w:rPr>
          <w:rFonts w:cs="Arial"/>
        </w:rPr>
        <w:t>Document SC64 Doc.9.2 Rev.1</w:t>
      </w:r>
      <w:r w:rsidR="001230BA">
        <w:rPr>
          <w:rStyle w:val="FootnoteReference"/>
          <w:rFonts w:cs="Arial"/>
        </w:rPr>
        <w:footnoteReference w:id="4"/>
      </w:r>
      <w:r w:rsidR="001230BA">
        <w:rPr>
          <w:rFonts w:cs="Arial"/>
        </w:rPr>
        <w:t xml:space="preserve"> reported at paragraph 19 and Annex 2 the status of African voluntary contributions as of 31 December 2024. As noted by the Standing Committee in Decision SC64-40 part iv)</w:t>
      </w:r>
      <w:r w:rsidR="00894D44">
        <w:rPr>
          <w:rStyle w:val="FootnoteReference"/>
          <w:rFonts w:cs="Arial"/>
        </w:rPr>
        <w:footnoteReference w:id="5"/>
      </w:r>
      <w:r w:rsidR="001230BA">
        <w:rPr>
          <w:rFonts w:cs="Arial"/>
        </w:rPr>
        <w:t>, v</w:t>
      </w:r>
      <w:r w:rsidR="001230BA" w:rsidRPr="00520DF0">
        <w:rPr>
          <w:rFonts w:cs="Arial"/>
        </w:rPr>
        <w:t xml:space="preserve">oluntary </w:t>
      </w:r>
      <w:r w:rsidR="000A78B6" w:rsidRPr="00520DF0">
        <w:rPr>
          <w:rFonts w:cs="Arial"/>
        </w:rPr>
        <w:t xml:space="preserve">contributions received from the Contracting Parties in the Africa region </w:t>
      </w:r>
      <w:r>
        <w:rPr>
          <w:rFonts w:cs="Arial"/>
        </w:rPr>
        <w:t>during</w:t>
      </w:r>
      <w:r w:rsidR="007A13F2" w:rsidRPr="00520DF0">
        <w:rPr>
          <w:rFonts w:cs="Arial"/>
        </w:rPr>
        <w:t xml:space="preserve"> </w:t>
      </w:r>
      <w:r w:rsidR="00040A96" w:rsidRPr="00520DF0">
        <w:rPr>
          <w:rFonts w:cs="Arial"/>
        </w:rPr>
        <w:t xml:space="preserve">2024 </w:t>
      </w:r>
      <w:r w:rsidR="000A78B6" w:rsidRPr="00520DF0">
        <w:rPr>
          <w:rFonts w:cs="Arial"/>
        </w:rPr>
        <w:t xml:space="preserve">amounted to CHF </w:t>
      </w:r>
      <w:r w:rsidR="00675AD6" w:rsidRPr="00520DF0">
        <w:rPr>
          <w:rFonts w:cs="Arial"/>
        </w:rPr>
        <w:t>1,000</w:t>
      </w:r>
      <w:r w:rsidR="000A78B6" w:rsidRPr="00520DF0">
        <w:rPr>
          <w:rFonts w:cs="Arial"/>
        </w:rPr>
        <w:t xml:space="preserve">. </w:t>
      </w:r>
      <w:r>
        <w:rPr>
          <w:rFonts w:cs="Arial"/>
        </w:rPr>
        <w:t xml:space="preserve">An additional </w:t>
      </w:r>
      <w:r w:rsidR="000510F4">
        <w:rPr>
          <w:rFonts w:cs="Arial"/>
        </w:rPr>
        <w:t xml:space="preserve">amount of CHF 12,000 is available for further distribution, since the RRI to </w:t>
      </w:r>
      <w:r w:rsidR="00737ACF">
        <w:rPr>
          <w:rFonts w:cs="Arial"/>
        </w:rPr>
        <w:t xml:space="preserve">which </w:t>
      </w:r>
      <w:r w:rsidR="000510F4">
        <w:rPr>
          <w:rFonts w:cs="Arial"/>
        </w:rPr>
        <w:t xml:space="preserve">this was allocated in 2020 has not requested it. Thus, the total available balance for further distribution as of 31 </w:t>
      </w:r>
      <w:r w:rsidR="000510F4" w:rsidRPr="00D9682F">
        <w:rPr>
          <w:rFonts w:cs="Arial"/>
        </w:rPr>
        <w:t xml:space="preserve">January 2025 </w:t>
      </w:r>
      <w:r w:rsidR="00737ACF">
        <w:rPr>
          <w:rFonts w:cs="Arial"/>
        </w:rPr>
        <w:t>was</w:t>
      </w:r>
      <w:r w:rsidR="00737ACF" w:rsidRPr="00D9682F">
        <w:rPr>
          <w:rFonts w:cs="Arial"/>
        </w:rPr>
        <w:t xml:space="preserve"> </w:t>
      </w:r>
      <w:r w:rsidR="000510F4" w:rsidRPr="00D9682F">
        <w:rPr>
          <w:rFonts w:cs="Arial"/>
        </w:rPr>
        <w:t>CHF 13,000.</w:t>
      </w:r>
    </w:p>
    <w:p w14:paraId="49A2442A" w14:textId="77777777" w:rsidR="000510F4" w:rsidRDefault="000510F4" w:rsidP="00671AC0">
      <w:pPr>
        <w:ind w:left="0" w:firstLine="0"/>
        <w:rPr>
          <w:rFonts w:cs="Arial"/>
        </w:rPr>
      </w:pPr>
    </w:p>
    <w:p w14:paraId="7ABD6FFF" w14:textId="0BF5E405" w:rsidR="001554EE" w:rsidRDefault="001554EE" w:rsidP="001554EE">
      <w:pPr>
        <w:rPr>
          <w:rFonts w:cs="Arial"/>
        </w:rPr>
      </w:pPr>
      <w:r>
        <w:rPr>
          <w:rFonts w:cs="Arial"/>
        </w:rPr>
        <w:t>12</w:t>
      </w:r>
      <w:r w:rsidRPr="00520DF0">
        <w:rPr>
          <w:rFonts w:cs="Arial"/>
        </w:rPr>
        <w:t>.</w:t>
      </w:r>
      <w:r w:rsidRPr="00520DF0">
        <w:rPr>
          <w:rFonts w:cs="Arial"/>
        </w:rPr>
        <w:tab/>
        <w:t xml:space="preserve">In Resolution XIV.1, paragraphs 24 and 25, the Contracting Parties agreed on the process </w:t>
      </w:r>
      <w:r>
        <w:rPr>
          <w:rFonts w:cs="Arial"/>
        </w:rPr>
        <w:t>for</w:t>
      </w:r>
      <w:r w:rsidRPr="00520DF0">
        <w:rPr>
          <w:rFonts w:cs="Arial"/>
        </w:rPr>
        <w:t xml:space="preserve"> allocation of these contributions. </w:t>
      </w:r>
    </w:p>
    <w:p w14:paraId="3B34FC3C" w14:textId="77777777" w:rsidR="001554EE" w:rsidRPr="00520DF0" w:rsidRDefault="001554EE" w:rsidP="00671AC0">
      <w:pPr>
        <w:ind w:left="0" w:firstLine="0"/>
        <w:rPr>
          <w:rFonts w:cs="Arial"/>
        </w:rPr>
      </w:pPr>
    </w:p>
    <w:p w14:paraId="18D0D4D2" w14:textId="77777777" w:rsidR="00744819" w:rsidRPr="00520DF0" w:rsidRDefault="00744819" w:rsidP="00F13D9B">
      <w:pPr>
        <w:rPr>
          <w:rFonts w:cs="Arial"/>
        </w:rPr>
      </w:pPr>
    </w:p>
    <w:p w14:paraId="02245101" w14:textId="29DDE6F3" w:rsidR="00E1484F" w:rsidRDefault="00671AC0">
      <w:pPr>
        <w:rPr>
          <w:rFonts w:asciiTheme="minorHAnsi" w:eastAsia="Times New Roman" w:hAnsiTheme="minorHAnsi" w:cs="Arial"/>
          <w:b/>
          <w:bCs/>
          <w:color w:val="000000"/>
          <w:sz w:val="24"/>
          <w:szCs w:val="24"/>
          <w:lang w:eastAsia="en-GB"/>
        </w:rPr>
      </w:pPr>
      <w:r w:rsidRPr="00520DF0">
        <w:rPr>
          <w:rFonts w:asciiTheme="minorHAnsi" w:eastAsia="Times New Roman" w:hAnsiTheme="minorHAnsi" w:cs="Arial"/>
          <w:b/>
          <w:bCs/>
          <w:color w:val="000000"/>
          <w:sz w:val="24"/>
          <w:szCs w:val="24"/>
          <w:lang w:eastAsia="en-GB"/>
        </w:rPr>
        <w:tab/>
      </w:r>
    </w:p>
    <w:p w14:paraId="2AAAAA7C" w14:textId="56A953E0" w:rsidR="003D27CC" w:rsidRPr="00771FBC" w:rsidRDefault="003D27CC" w:rsidP="00844453">
      <w:pPr>
        <w:ind w:left="0" w:firstLine="0"/>
        <w:rPr>
          <w:rFonts w:cs="Arial"/>
        </w:rPr>
      </w:pPr>
    </w:p>
    <w:sectPr w:rsidR="003D27CC" w:rsidRPr="00771FBC" w:rsidSect="00882980">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B866" w14:textId="77777777" w:rsidR="00094DD2" w:rsidRDefault="00094DD2" w:rsidP="00DF2386">
      <w:r>
        <w:separator/>
      </w:r>
    </w:p>
  </w:endnote>
  <w:endnote w:type="continuationSeparator" w:id="0">
    <w:p w14:paraId="023E0895" w14:textId="77777777" w:rsidR="00094DD2" w:rsidRDefault="00094DD2" w:rsidP="00DF2386">
      <w:r>
        <w:continuationSeparator/>
      </w:r>
    </w:p>
  </w:endnote>
  <w:endnote w:type="continuationNotice" w:id="1">
    <w:p w14:paraId="2F44CD57" w14:textId="77777777" w:rsidR="00094DD2" w:rsidRDefault="00094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6A9B" w14:textId="24FCA7A8" w:rsidR="00882980" w:rsidRDefault="00882980" w:rsidP="00882980">
    <w:pPr>
      <w:pStyle w:val="Header"/>
      <w:rPr>
        <w:noProof/>
      </w:rPr>
    </w:pPr>
    <w:r>
      <w:rPr>
        <w:sz w:val="20"/>
        <w:szCs w:val="20"/>
      </w:rPr>
      <w:t>SC65 Doc.8.2</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sz w:val="20"/>
            <w:szCs w:val="20"/>
          </w:rPr>
          <w:t>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5F5DF" w14:textId="77777777" w:rsidR="00094DD2" w:rsidRDefault="00094DD2" w:rsidP="00DF2386">
      <w:r>
        <w:separator/>
      </w:r>
    </w:p>
  </w:footnote>
  <w:footnote w:type="continuationSeparator" w:id="0">
    <w:p w14:paraId="0B5C72DC" w14:textId="77777777" w:rsidR="00094DD2" w:rsidRDefault="00094DD2" w:rsidP="00DF2386">
      <w:r>
        <w:continuationSeparator/>
      </w:r>
    </w:p>
  </w:footnote>
  <w:footnote w:type="continuationNotice" w:id="1">
    <w:p w14:paraId="7A2B4EDD" w14:textId="77777777" w:rsidR="00094DD2" w:rsidRDefault="00094DD2"/>
  </w:footnote>
  <w:footnote w:id="2">
    <w:p w14:paraId="44A57814" w14:textId="0BD4E54F" w:rsidR="00B13260" w:rsidRDefault="00B13260" w:rsidP="00B13260">
      <w:pPr>
        <w:pStyle w:val="FootnoteText"/>
        <w:ind w:left="0" w:firstLine="0"/>
      </w:pPr>
      <w:r>
        <w:rPr>
          <w:rStyle w:val="FootnoteReference"/>
        </w:rPr>
        <w:footnoteRef/>
      </w:r>
      <w:r>
        <w:t xml:space="preserve"> See </w:t>
      </w:r>
      <w:hyperlink r:id="rId1" w:history="1">
        <w:r w:rsidRPr="008D30E1">
          <w:rPr>
            <w:rStyle w:val="Hyperlink"/>
          </w:rPr>
          <w:t>https://www.ramsar.org/document/sc64-doc92-rev1-financial-budgetary-matters-status-annual-contributions</w:t>
        </w:r>
      </w:hyperlink>
      <w:r>
        <w:t xml:space="preserve">. </w:t>
      </w:r>
    </w:p>
  </w:footnote>
  <w:footnote w:id="3">
    <w:p w14:paraId="14BC26B1" w14:textId="61176640" w:rsidR="00894D44" w:rsidRDefault="00894D44" w:rsidP="00894D44">
      <w:pPr>
        <w:pStyle w:val="FootnoteText"/>
      </w:pPr>
      <w:r>
        <w:rPr>
          <w:rStyle w:val="FootnoteReference"/>
        </w:rPr>
        <w:footnoteRef/>
      </w:r>
      <w:r>
        <w:t xml:space="preserve"> See </w:t>
      </w:r>
      <w:hyperlink r:id="rId2" w:history="1">
        <w:r w:rsidRPr="008D30E1">
          <w:rPr>
            <w:rStyle w:val="Hyperlink"/>
          </w:rPr>
          <w:t>https://www.ramsar.org/document/decisions-64th-meeting-standing-committee</w:t>
        </w:r>
      </w:hyperlink>
      <w:r>
        <w:t xml:space="preserve">. </w:t>
      </w:r>
    </w:p>
  </w:footnote>
  <w:footnote w:id="4">
    <w:p w14:paraId="1196764B" w14:textId="172AF53D" w:rsidR="001230BA" w:rsidRDefault="001230BA" w:rsidP="001230BA">
      <w:pPr>
        <w:pStyle w:val="FootnoteText"/>
        <w:ind w:left="0" w:firstLine="0"/>
      </w:pPr>
      <w:r>
        <w:rPr>
          <w:rStyle w:val="FootnoteReference"/>
        </w:rPr>
        <w:footnoteRef/>
      </w:r>
      <w:r>
        <w:t xml:space="preserve"> See </w:t>
      </w:r>
      <w:hyperlink r:id="rId3" w:history="1">
        <w:r w:rsidRPr="008D30E1">
          <w:rPr>
            <w:rStyle w:val="Hyperlink"/>
          </w:rPr>
          <w:t>https://www.ramsar.org/document/sc64-doc92-rev1-financial-budgetary-matters-status-annual-contributions</w:t>
        </w:r>
      </w:hyperlink>
      <w:r>
        <w:t>.</w:t>
      </w:r>
    </w:p>
  </w:footnote>
  <w:footnote w:id="5">
    <w:p w14:paraId="19914B4F" w14:textId="0F5C7DD1" w:rsidR="00894D44" w:rsidRDefault="00894D44">
      <w:pPr>
        <w:pStyle w:val="FootnoteText"/>
      </w:pPr>
      <w:r>
        <w:rPr>
          <w:rStyle w:val="FootnoteReference"/>
        </w:rPr>
        <w:footnoteRef/>
      </w:r>
      <w:r>
        <w:t xml:space="preserve"> See </w:t>
      </w:r>
      <w:hyperlink r:id="rId4" w:history="1">
        <w:r w:rsidRPr="008D30E1">
          <w:rPr>
            <w:rStyle w:val="Hyperlink"/>
          </w:rPr>
          <w:t>https://www.ramsar.org/document/decisions-64th-meeting-standing-committee</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C30C4E44">
      <w:start w:val="1"/>
      <w:numFmt w:val="decimal"/>
      <w:lvlText w:val="%1."/>
      <w:lvlJc w:val="left"/>
      <w:pPr>
        <w:ind w:left="688" w:hanging="428"/>
        <w:jc w:val="right"/>
      </w:pPr>
      <w:rPr>
        <w:rFonts w:ascii="Arial" w:eastAsia="Arial" w:hAnsi="Arial" w:hint="default"/>
        <w:spacing w:val="-11"/>
        <w:sz w:val="22"/>
        <w:szCs w:val="22"/>
      </w:rPr>
    </w:lvl>
    <w:lvl w:ilvl="1" w:tplc="12721ECE">
      <w:start w:val="1"/>
      <w:numFmt w:val="bullet"/>
      <w:lvlText w:val="•"/>
      <w:lvlJc w:val="left"/>
      <w:pPr>
        <w:ind w:left="970" w:hanging="425"/>
      </w:pPr>
      <w:rPr>
        <w:rFonts w:ascii="Arial" w:eastAsia="Arial" w:hAnsi="Arial" w:hint="default"/>
        <w:sz w:val="22"/>
        <w:szCs w:val="22"/>
      </w:rPr>
    </w:lvl>
    <w:lvl w:ilvl="2" w:tplc="160E8BC4">
      <w:start w:val="1"/>
      <w:numFmt w:val="bullet"/>
      <w:lvlText w:val="•"/>
      <w:lvlJc w:val="left"/>
      <w:pPr>
        <w:ind w:left="970" w:hanging="425"/>
      </w:pPr>
      <w:rPr>
        <w:rFonts w:hint="default"/>
      </w:rPr>
    </w:lvl>
    <w:lvl w:ilvl="3" w:tplc="4FC83C14">
      <w:start w:val="1"/>
      <w:numFmt w:val="bullet"/>
      <w:lvlText w:val="•"/>
      <w:lvlJc w:val="left"/>
      <w:pPr>
        <w:ind w:left="2015" w:hanging="425"/>
      </w:pPr>
      <w:rPr>
        <w:rFonts w:hint="default"/>
      </w:rPr>
    </w:lvl>
    <w:lvl w:ilvl="4" w:tplc="40F0ACA6">
      <w:start w:val="1"/>
      <w:numFmt w:val="bullet"/>
      <w:lvlText w:val="•"/>
      <w:lvlJc w:val="left"/>
      <w:pPr>
        <w:ind w:left="3059" w:hanging="425"/>
      </w:pPr>
      <w:rPr>
        <w:rFonts w:hint="default"/>
      </w:rPr>
    </w:lvl>
    <w:lvl w:ilvl="5" w:tplc="CCFC69E2">
      <w:start w:val="1"/>
      <w:numFmt w:val="bullet"/>
      <w:lvlText w:val="•"/>
      <w:lvlJc w:val="left"/>
      <w:pPr>
        <w:ind w:left="4103" w:hanging="425"/>
      </w:pPr>
      <w:rPr>
        <w:rFonts w:hint="default"/>
      </w:rPr>
    </w:lvl>
    <w:lvl w:ilvl="6" w:tplc="82789E2E">
      <w:start w:val="1"/>
      <w:numFmt w:val="bullet"/>
      <w:lvlText w:val="•"/>
      <w:lvlJc w:val="left"/>
      <w:pPr>
        <w:ind w:left="5147" w:hanging="425"/>
      </w:pPr>
      <w:rPr>
        <w:rFonts w:hint="default"/>
      </w:rPr>
    </w:lvl>
    <w:lvl w:ilvl="7" w:tplc="FB0479D6">
      <w:start w:val="1"/>
      <w:numFmt w:val="bullet"/>
      <w:lvlText w:val="•"/>
      <w:lvlJc w:val="left"/>
      <w:pPr>
        <w:ind w:left="6191" w:hanging="425"/>
      </w:pPr>
      <w:rPr>
        <w:rFonts w:hint="default"/>
      </w:rPr>
    </w:lvl>
    <w:lvl w:ilvl="8" w:tplc="8EFCFDA6">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F0A817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271CC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70BAF9D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1768387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8421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2160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074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008330">
    <w:abstractNumId w:val="16"/>
  </w:num>
  <w:num w:numId="6" w16cid:durableId="704714905">
    <w:abstractNumId w:val="31"/>
  </w:num>
  <w:num w:numId="7" w16cid:durableId="1781993014">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50265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95756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2533513">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511160">
    <w:abstractNumId w:val="31"/>
  </w:num>
  <w:num w:numId="12" w16cid:durableId="1202208472">
    <w:abstractNumId w:val="4"/>
  </w:num>
  <w:num w:numId="13" w16cid:durableId="705058404">
    <w:abstractNumId w:val="17"/>
  </w:num>
  <w:num w:numId="14" w16cid:durableId="1394427777">
    <w:abstractNumId w:val="11"/>
  </w:num>
  <w:num w:numId="15" w16cid:durableId="212087362">
    <w:abstractNumId w:val="2"/>
  </w:num>
  <w:num w:numId="16" w16cid:durableId="1388257292">
    <w:abstractNumId w:val="14"/>
  </w:num>
  <w:num w:numId="17" w16cid:durableId="98766368">
    <w:abstractNumId w:val="24"/>
  </w:num>
  <w:num w:numId="18" w16cid:durableId="7877216">
    <w:abstractNumId w:val="34"/>
  </w:num>
  <w:num w:numId="19" w16cid:durableId="803693448">
    <w:abstractNumId w:val="33"/>
  </w:num>
  <w:num w:numId="20" w16cid:durableId="1501771662">
    <w:abstractNumId w:val="26"/>
  </w:num>
  <w:num w:numId="21" w16cid:durableId="5645267">
    <w:abstractNumId w:val="28"/>
  </w:num>
  <w:num w:numId="22" w16cid:durableId="106438758">
    <w:abstractNumId w:val="15"/>
  </w:num>
  <w:num w:numId="23" w16cid:durableId="934559711">
    <w:abstractNumId w:val="25"/>
  </w:num>
  <w:num w:numId="24" w16cid:durableId="707531840">
    <w:abstractNumId w:val="21"/>
  </w:num>
  <w:num w:numId="25" w16cid:durableId="1240291138">
    <w:abstractNumId w:val="32"/>
  </w:num>
  <w:num w:numId="26" w16cid:durableId="897277228">
    <w:abstractNumId w:val="8"/>
  </w:num>
  <w:num w:numId="27" w16cid:durableId="724135883">
    <w:abstractNumId w:val="0"/>
  </w:num>
  <w:num w:numId="28" w16cid:durableId="1667122802">
    <w:abstractNumId w:val="10"/>
  </w:num>
  <w:num w:numId="29" w16cid:durableId="516163662">
    <w:abstractNumId w:val="3"/>
  </w:num>
  <w:num w:numId="30" w16cid:durableId="104349977">
    <w:abstractNumId w:val="12"/>
  </w:num>
  <w:num w:numId="31" w16cid:durableId="1210537003">
    <w:abstractNumId w:val="18"/>
  </w:num>
  <w:num w:numId="32" w16cid:durableId="1004240421">
    <w:abstractNumId w:val="20"/>
  </w:num>
  <w:num w:numId="33" w16cid:durableId="1239556250">
    <w:abstractNumId w:val="29"/>
  </w:num>
  <w:num w:numId="34" w16cid:durableId="856112903">
    <w:abstractNumId w:val="30"/>
  </w:num>
  <w:num w:numId="35" w16cid:durableId="1443068607">
    <w:abstractNumId w:val="19"/>
  </w:num>
  <w:num w:numId="36" w16cid:durableId="1162426806">
    <w:abstractNumId w:val="22"/>
  </w:num>
  <w:num w:numId="37" w16cid:durableId="5363090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097"/>
    <w:rsid w:val="00000E1B"/>
    <w:rsid w:val="00001D31"/>
    <w:rsid w:val="00003DC3"/>
    <w:rsid w:val="00005A34"/>
    <w:rsid w:val="000061F2"/>
    <w:rsid w:val="00006D8E"/>
    <w:rsid w:val="00010F8D"/>
    <w:rsid w:val="00014104"/>
    <w:rsid w:val="00014168"/>
    <w:rsid w:val="00014646"/>
    <w:rsid w:val="0001527D"/>
    <w:rsid w:val="00017A16"/>
    <w:rsid w:val="0002051A"/>
    <w:rsid w:val="00022EBD"/>
    <w:rsid w:val="0002320F"/>
    <w:rsid w:val="000264AB"/>
    <w:rsid w:val="00026E09"/>
    <w:rsid w:val="000303E3"/>
    <w:rsid w:val="00032BD7"/>
    <w:rsid w:val="000339C1"/>
    <w:rsid w:val="00034156"/>
    <w:rsid w:val="000355FF"/>
    <w:rsid w:val="00037CE0"/>
    <w:rsid w:val="000403F7"/>
    <w:rsid w:val="00040A96"/>
    <w:rsid w:val="00045C40"/>
    <w:rsid w:val="00045C67"/>
    <w:rsid w:val="00051089"/>
    <w:rsid w:val="000510F4"/>
    <w:rsid w:val="00052702"/>
    <w:rsid w:val="00053929"/>
    <w:rsid w:val="00054CEB"/>
    <w:rsid w:val="0005549B"/>
    <w:rsid w:val="00056A7A"/>
    <w:rsid w:val="0006213D"/>
    <w:rsid w:val="00062512"/>
    <w:rsid w:val="000636B5"/>
    <w:rsid w:val="00063B50"/>
    <w:rsid w:val="00064110"/>
    <w:rsid w:val="00067EEA"/>
    <w:rsid w:val="0007258D"/>
    <w:rsid w:val="00073BC6"/>
    <w:rsid w:val="00074B0E"/>
    <w:rsid w:val="00074DE8"/>
    <w:rsid w:val="000758B9"/>
    <w:rsid w:val="000776F6"/>
    <w:rsid w:val="00081120"/>
    <w:rsid w:val="000833BA"/>
    <w:rsid w:val="00086C58"/>
    <w:rsid w:val="00094DD2"/>
    <w:rsid w:val="000958ED"/>
    <w:rsid w:val="000969A0"/>
    <w:rsid w:val="000A050A"/>
    <w:rsid w:val="000A3E3E"/>
    <w:rsid w:val="000A733E"/>
    <w:rsid w:val="000A78B6"/>
    <w:rsid w:val="000B030B"/>
    <w:rsid w:val="000B1804"/>
    <w:rsid w:val="000B5464"/>
    <w:rsid w:val="000B5BD5"/>
    <w:rsid w:val="000B70C4"/>
    <w:rsid w:val="000B7A2B"/>
    <w:rsid w:val="000C2489"/>
    <w:rsid w:val="000C4536"/>
    <w:rsid w:val="000C6028"/>
    <w:rsid w:val="000C64F8"/>
    <w:rsid w:val="000D2999"/>
    <w:rsid w:val="000D369A"/>
    <w:rsid w:val="000D536F"/>
    <w:rsid w:val="000D5C76"/>
    <w:rsid w:val="000D7C6F"/>
    <w:rsid w:val="000E02B8"/>
    <w:rsid w:val="000E047B"/>
    <w:rsid w:val="000E0692"/>
    <w:rsid w:val="000E2490"/>
    <w:rsid w:val="000E2FA0"/>
    <w:rsid w:val="000E47B5"/>
    <w:rsid w:val="000E47E9"/>
    <w:rsid w:val="000E6839"/>
    <w:rsid w:val="000E6A7E"/>
    <w:rsid w:val="000E6FFA"/>
    <w:rsid w:val="000F2C0C"/>
    <w:rsid w:val="000F468C"/>
    <w:rsid w:val="000F48E2"/>
    <w:rsid w:val="000F6978"/>
    <w:rsid w:val="00102075"/>
    <w:rsid w:val="001031DD"/>
    <w:rsid w:val="00103EF9"/>
    <w:rsid w:val="00105241"/>
    <w:rsid w:val="00105420"/>
    <w:rsid w:val="001105FA"/>
    <w:rsid w:val="001136DE"/>
    <w:rsid w:val="00115B96"/>
    <w:rsid w:val="0012096C"/>
    <w:rsid w:val="00120B76"/>
    <w:rsid w:val="0012187A"/>
    <w:rsid w:val="001228E5"/>
    <w:rsid w:val="00122C0E"/>
    <w:rsid w:val="001230BA"/>
    <w:rsid w:val="00123F8E"/>
    <w:rsid w:val="00124E9A"/>
    <w:rsid w:val="00127385"/>
    <w:rsid w:val="00127828"/>
    <w:rsid w:val="001302F6"/>
    <w:rsid w:val="00133E4E"/>
    <w:rsid w:val="0013507F"/>
    <w:rsid w:val="00135B42"/>
    <w:rsid w:val="00143C49"/>
    <w:rsid w:val="00143F53"/>
    <w:rsid w:val="00145088"/>
    <w:rsid w:val="00145541"/>
    <w:rsid w:val="00150750"/>
    <w:rsid w:val="001527E2"/>
    <w:rsid w:val="001554EE"/>
    <w:rsid w:val="001611AA"/>
    <w:rsid w:val="00161BDA"/>
    <w:rsid w:val="0016536F"/>
    <w:rsid w:val="00165F3B"/>
    <w:rsid w:val="00166EE8"/>
    <w:rsid w:val="00170114"/>
    <w:rsid w:val="00170AB4"/>
    <w:rsid w:val="00170BDE"/>
    <w:rsid w:val="00171618"/>
    <w:rsid w:val="00173C33"/>
    <w:rsid w:val="0017475B"/>
    <w:rsid w:val="00175181"/>
    <w:rsid w:val="00177904"/>
    <w:rsid w:val="00180661"/>
    <w:rsid w:val="00180710"/>
    <w:rsid w:val="001819B1"/>
    <w:rsid w:val="001837E8"/>
    <w:rsid w:val="00186290"/>
    <w:rsid w:val="00186378"/>
    <w:rsid w:val="001872AE"/>
    <w:rsid w:val="00187A82"/>
    <w:rsid w:val="0019696E"/>
    <w:rsid w:val="0019701A"/>
    <w:rsid w:val="001A2942"/>
    <w:rsid w:val="001A2D10"/>
    <w:rsid w:val="001A79E2"/>
    <w:rsid w:val="001B0C07"/>
    <w:rsid w:val="001B12EE"/>
    <w:rsid w:val="001B3B3C"/>
    <w:rsid w:val="001B46E8"/>
    <w:rsid w:val="001B48DF"/>
    <w:rsid w:val="001C1724"/>
    <w:rsid w:val="001C2851"/>
    <w:rsid w:val="001C5A10"/>
    <w:rsid w:val="001C5E41"/>
    <w:rsid w:val="001C61DC"/>
    <w:rsid w:val="001C77BC"/>
    <w:rsid w:val="001C7D86"/>
    <w:rsid w:val="001D48BB"/>
    <w:rsid w:val="001D61F9"/>
    <w:rsid w:val="001D6417"/>
    <w:rsid w:val="001D78EF"/>
    <w:rsid w:val="001D7B4E"/>
    <w:rsid w:val="001E00E3"/>
    <w:rsid w:val="001E3991"/>
    <w:rsid w:val="001E3C22"/>
    <w:rsid w:val="001E774B"/>
    <w:rsid w:val="001F2349"/>
    <w:rsid w:val="001F350D"/>
    <w:rsid w:val="001F4768"/>
    <w:rsid w:val="002005D2"/>
    <w:rsid w:val="00200A4E"/>
    <w:rsid w:val="002027B6"/>
    <w:rsid w:val="0020298B"/>
    <w:rsid w:val="002044C9"/>
    <w:rsid w:val="00205CC0"/>
    <w:rsid w:val="00206111"/>
    <w:rsid w:val="0021123F"/>
    <w:rsid w:val="00211A70"/>
    <w:rsid w:val="002137E0"/>
    <w:rsid w:val="002142B9"/>
    <w:rsid w:val="00215A44"/>
    <w:rsid w:val="00217EA3"/>
    <w:rsid w:val="00223333"/>
    <w:rsid w:val="00225997"/>
    <w:rsid w:val="002324D9"/>
    <w:rsid w:val="00232E87"/>
    <w:rsid w:val="0023351F"/>
    <w:rsid w:val="00233ED6"/>
    <w:rsid w:val="002348CC"/>
    <w:rsid w:val="00234B9C"/>
    <w:rsid w:val="00235E7D"/>
    <w:rsid w:val="00236669"/>
    <w:rsid w:val="00236CB7"/>
    <w:rsid w:val="002379CF"/>
    <w:rsid w:val="002412AD"/>
    <w:rsid w:val="00241488"/>
    <w:rsid w:val="00242EDE"/>
    <w:rsid w:val="002514C2"/>
    <w:rsid w:val="00252F9B"/>
    <w:rsid w:val="00256946"/>
    <w:rsid w:val="00262F8B"/>
    <w:rsid w:val="00263CEA"/>
    <w:rsid w:val="00264574"/>
    <w:rsid w:val="00265284"/>
    <w:rsid w:val="002710F2"/>
    <w:rsid w:val="00273686"/>
    <w:rsid w:val="002741AC"/>
    <w:rsid w:val="00275F13"/>
    <w:rsid w:val="002819C0"/>
    <w:rsid w:val="00282923"/>
    <w:rsid w:val="00286EE7"/>
    <w:rsid w:val="002905E6"/>
    <w:rsid w:val="00291EF4"/>
    <w:rsid w:val="00292121"/>
    <w:rsid w:val="00294BC8"/>
    <w:rsid w:val="00295556"/>
    <w:rsid w:val="00295BB5"/>
    <w:rsid w:val="002979D2"/>
    <w:rsid w:val="00297A1A"/>
    <w:rsid w:val="002A123F"/>
    <w:rsid w:val="002A2388"/>
    <w:rsid w:val="002A3078"/>
    <w:rsid w:val="002A4877"/>
    <w:rsid w:val="002A49D9"/>
    <w:rsid w:val="002A52A0"/>
    <w:rsid w:val="002A5A4D"/>
    <w:rsid w:val="002A5DB3"/>
    <w:rsid w:val="002A64C7"/>
    <w:rsid w:val="002B10EE"/>
    <w:rsid w:val="002B21E1"/>
    <w:rsid w:val="002B4262"/>
    <w:rsid w:val="002B4764"/>
    <w:rsid w:val="002B7028"/>
    <w:rsid w:val="002B74BA"/>
    <w:rsid w:val="002C316A"/>
    <w:rsid w:val="002C3874"/>
    <w:rsid w:val="002C394F"/>
    <w:rsid w:val="002C44B4"/>
    <w:rsid w:val="002C4CD3"/>
    <w:rsid w:val="002C74CE"/>
    <w:rsid w:val="002C7FD7"/>
    <w:rsid w:val="002D2144"/>
    <w:rsid w:val="002D5A4D"/>
    <w:rsid w:val="002D7C2D"/>
    <w:rsid w:val="002E22AF"/>
    <w:rsid w:val="002E25C6"/>
    <w:rsid w:val="002E4F73"/>
    <w:rsid w:val="002E4F90"/>
    <w:rsid w:val="002E503C"/>
    <w:rsid w:val="002E6CA8"/>
    <w:rsid w:val="002F41C6"/>
    <w:rsid w:val="002F461B"/>
    <w:rsid w:val="002F464D"/>
    <w:rsid w:val="00302602"/>
    <w:rsid w:val="00302F39"/>
    <w:rsid w:val="00303821"/>
    <w:rsid w:val="0030427E"/>
    <w:rsid w:val="003104E6"/>
    <w:rsid w:val="00312FBA"/>
    <w:rsid w:val="00313D40"/>
    <w:rsid w:val="003147BE"/>
    <w:rsid w:val="003175F8"/>
    <w:rsid w:val="00322BFB"/>
    <w:rsid w:val="0032333C"/>
    <w:rsid w:val="00324398"/>
    <w:rsid w:val="00324926"/>
    <w:rsid w:val="003250A8"/>
    <w:rsid w:val="003300FA"/>
    <w:rsid w:val="00330652"/>
    <w:rsid w:val="00330DD7"/>
    <w:rsid w:val="00332067"/>
    <w:rsid w:val="003329B9"/>
    <w:rsid w:val="00333B20"/>
    <w:rsid w:val="003356A1"/>
    <w:rsid w:val="00335A7B"/>
    <w:rsid w:val="00335FEC"/>
    <w:rsid w:val="0034030B"/>
    <w:rsid w:val="00340A7C"/>
    <w:rsid w:val="003474F5"/>
    <w:rsid w:val="00354000"/>
    <w:rsid w:val="0035485D"/>
    <w:rsid w:val="00354FD7"/>
    <w:rsid w:val="00356A6E"/>
    <w:rsid w:val="003602A1"/>
    <w:rsid w:val="00362AA6"/>
    <w:rsid w:val="00362EA0"/>
    <w:rsid w:val="00363D7D"/>
    <w:rsid w:val="0036419C"/>
    <w:rsid w:val="00366A63"/>
    <w:rsid w:val="00367B80"/>
    <w:rsid w:val="003701F3"/>
    <w:rsid w:val="00370D36"/>
    <w:rsid w:val="00372066"/>
    <w:rsid w:val="00373726"/>
    <w:rsid w:val="0037602C"/>
    <w:rsid w:val="00376445"/>
    <w:rsid w:val="0038249A"/>
    <w:rsid w:val="00384C1F"/>
    <w:rsid w:val="00384FC3"/>
    <w:rsid w:val="00385B80"/>
    <w:rsid w:val="00390405"/>
    <w:rsid w:val="003904DC"/>
    <w:rsid w:val="003926C1"/>
    <w:rsid w:val="00392F1F"/>
    <w:rsid w:val="00393FD5"/>
    <w:rsid w:val="003944C2"/>
    <w:rsid w:val="00395744"/>
    <w:rsid w:val="003961A1"/>
    <w:rsid w:val="00396639"/>
    <w:rsid w:val="003A18B7"/>
    <w:rsid w:val="003A2E14"/>
    <w:rsid w:val="003A3804"/>
    <w:rsid w:val="003A52BE"/>
    <w:rsid w:val="003A5866"/>
    <w:rsid w:val="003A6737"/>
    <w:rsid w:val="003A6E9F"/>
    <w:rsid w:val="003A7A1D"/>
    <w:rsid w:val="003B1DCD"/>
    <w:rsid w:val="003B2D19"/>
    <w:rsid w:val="003B558E"/>
    <w:rsid w:val="003B5E1F"/>
    <w:rsid w:val="003B74DD"/>
    <w:rsid w:val="003C1C0E"/>
    <w:rsid w:val="003C2238"/>
    <w:rsid w:val="003C58A3"/>
    <w:rsid w:val="003D27CC"/>
    <w:rsid w:val="003D37A3"/>
    <w:rsid w:val="003D4CD6"/>
    <w:rsid w:val="003D7683"/>
    <w:rsid w:val="003E108B"/>
    <w:rsid w:val="003E1960"/>
    <w:rsid w:val="003E3842"/>
    <w:rsid w:val="003E38C5"/>
    <w:rsid w:val="003E426C"/>
    <w:rsid w:val="003F1048"/>
    <w:rsid w:val="003F2D80"/>
    <w:rsid w:val="003F41D1"/>
    <w:rsid w:val="003F5D1D"/>
    <w:rsid w:val="003F684C"/>
    <w:rsid w:val="003F6A79"/>
    <w:rsid w:val="003F76C9"/>
    <w:rsid w:val="00400560"/>
    <w:rsid w:val="00405B72"/>
    <w:rsid w:val="00406F37"/>
    <w:rsid w:val="00407789"/>
    <w:rsid w:val="004150E1"/>
    <w:rsid w:val="00420183"/>
    <w:rsid w:val="004208E3"/>
    <w:rsid w:val="004228C7"/>
    <w:rsid w:val="0042798B"/>
    <w:rsid w:val="004316A3"/>
    <w:rsid w:val="00432E31"/>
    <w:rsid w:val="00434579"/>
    <w:rsid w:val="00434913"/>
    <w:rsid w:val="0043781A"/>
    <w:rsid w:val="004410A9"/>
    <w:rsid w:val="00441D5A"/>
    <w:rsid w:val="00445461"/>
    <w:rsid w:val="00445510"/>
    <w:rsid w:val="00447430"/>
    <w:rsid w:val="004474F8"/>
    <w:rsid w:val="004504FB"/>
    <w:rsid w:val="0045056A"/>
    <w:rsid w:val="00450B70"/>
    <w:rsid w:val="004549BA"/>
    <w:rsid w:val="00455ECB"/>
    <w:rsid w:val="0045714B"/>
    <w:rsid w:val="004668FC"/>
    <w:rsid w:val="00466B64"/>
    <w:rsid w:val="004705B3"/>
    <w:rsid w:val="00470EFC"/>
    <w:rsid w:val="004717E1"/>
    <w:rsid w:val="00472A3C"/>
    <w:rsid w:val="004737CA"/>
    <w:rsid w:val="0047478D"/>
    <w:rsid w:val="00477550"/>
    <w:rsid w:val="0048185B"/>
    <w:rsid w:val="00482457"/>
    <w:rsid w:val="00483585"/>
    <w:rsid w:val="004844A8"/>
    <w:rsid w:val="00485F41"/>
    <w:rsid w:val="00487D70"/>
    <w:rsid w:val="004927F4"/>
    <w:rsid w:val="0049306A"/>
    <w:rsid w:val="00494EE3"/>
    <w:rsid w:val="00496803"/>
    <w:rsid w:val="004A08EA"/>
    <w:rsid w:val="004A12F8"/>
    <w:rsid w:val="004A14FF"/>
    <w:rsid w:val="004A2BD8"/>
    <w:rsid w:val="004A2BEC"/>
    <w:rsid w:val="004A3550"/>
    <w:rsid w:val="004A471D"/>
    <w:rsid w:val="004A6B49"/>
    <w:rsid w:val="004B1E90"/>
    <w:rsid w:val="004B2FB4"/>
    <w:rsid w:val="004B5A08"/>
    <w:rsid w:val="004B6688"/>
    <w:rsid w:val="004D5049"/>
    <w:rsid w:val="004D5769"/>
    <w:rsid w:val="004D6C1B"/>
    <w:rsid w:val="004D799B"/>
    <w:rsid w:val="004E1861"/>
    <w:rsid w:val="004E2E94"/>
    <w:rsid w:val="004F33B7"/>
    <w:rsid w:val="004F39B1"/>
    <w:rsid w:val="004F47E1"/>
    <w:rsid w:val="004F56AE"/>
    <w:rsid w:val="004F5EC1"/>
    <w:rsid w:val="004F67BC"/>
    <w:rsid w:val="004F68D2"/>
    <w:rsid w:val="004F7582"/>
    <w:rsid w:val="00500057"/>
    <w:rsid w:val="00501D65"/>
    <w:rsid w:val="0050488F"/>
    <w:rsid w:val="005071F9"/>
    <w:rsid w:val="00510E7B"/>
    <w:rsid w:val="0051113F"/>
    <w:rsid w:val="00515416"/>
    <w:rsid w:val="005166E2"/>
    <w:rsid w:val="00520211"/>
    <w:rsid w:val="00520ABE"/>
    <w:rsid w:val="00520DF0"/>
    <w:rsid w:val="0052143E"/>
    <w:rsid w:val="005239BF"/>
    <w:rsid w:val="005244A4"/>
    <w:rsid w:val="00525A15"/>
    <w:rsid w:val="00527783"/>
    <w:rsid w:val="00530889"/>
    <w:rsid w:val="00532215"/>
    <w:rsid w:val="0053626D"/>
    <w:rsid w:val="00536BAB"/>
    <w:rsid w:val="00537C78"/>
    <w:rsid w:val="00540CC5"/>
    <w:rsid w:val="00541457"/>
    <w:rsid w:val="00542773"/>
    <w:rsid w:val="00542B25"/>
    <w:rsid w:val="005440DC"/>
    <w:rsid w:val="00544D57"/>
    <w:rsid w:val="005470BC"/>
    <w:rsid w:val="0054750F"/>
    <w:rsid w:val="0055060C"/>
    <w:rsid w:val="00554107"/>
    <w:rsid w:val="00556E05"/>
    <w:rsid w:val="00562555"/>
    <w:rsid w:val="00562789"/>
    <w:rsid w:val="00564473"/>
    <w:rsid w:val="00564644"/>
    <w:rsid w:val="0056590A"/>
    <w:rsid w:val="0057022C"/>
    <w:rsid w:val="005704B0"/>
    <w:rsid w:val="00571CC2"/>
    <w:rsid w:val="00575673"/>
    <w:rsid w:val="005768E0"/>
    <w:rsid w:val="00576DCE"/>
    <w:rsid w:val="005814B5"/>
    <w:rsid w:val="00586BD4"/>
    <w:rsid w:val="0058757F"/>
    <w:rsid w:val="005904EA"/>
    <w:rsid w:val="00591FFC"/>
    <w:rsid w:val="00592021"/>
    <w:rsid w:val="00594AFE"/>
    <w:rsid w:val="005953C5"/>
    <w:rsid w:val="005A782B"/>
    <w:rsid w:val="005B1C93"/>
    <w:rsid w:val="005B44B0"/>
    <w:rsid w:val="005B450E"/>
    <w:rsid w:val="005B4DF7"/>
    <w:rsid w:val="005B6605"/>
    <w:rsid w:val="005C4359"/>
    <w:rsid w:val="005C5F9D"/>
    <w:rsid w:val="005C68F1"/>
    <w:rsid w:val="005C7339"/>
    <w:rsid w:val="005C76F8"/>
    <w:rsid w:val="005D073B"/>
    <w:rsid w:val="005D3CDC"/>
    <w:rsid w:val="005D3E9D"/>
    <w:rsid w:val="005E0D25"/>
    <w:rsid w:val="005E1822"/>
    <w:rsid w:val="005E21D0"/>
    <w:rsid w:val="005E3F35"/>
    <w:rsid w:val="005E5BD9"/>
    <w:rsid w:val="005E6D57"/>
    <w:rsid w:val="005F039D"/>
    <w:rsid w:val="005F1C69"/>
    <w:rsid w:val="005F3F7B"/>
    <w:rsid w:val="005F7295"/>
    <w:rsid w:val="00602357"/>
    <w:rsid w:val="00602E60"/>
    <w:rsid w:val="0061090C"/>
    <w:rsid w:val="00612264"/>
    <w:rsid w:val="0061276C"/>
    <w:rsid w:val="006154B7"/>
    <w:rsid w:val="0061741B"/>
    <w:rsid w:val="006174C2"/>
    <w:rsid w:val="006202D1"/>
    <w:rsid w:val="00621796"/>
    <w:rsid w:val="00621EF6"/>
    <w:rsid w:val="00623AD2"/>
    <w:rsid w:val="006256D3"/>
    <w:rsid w:val="00626DA0"/>
    <w:rsid w:val="00627BB7"/>
    <w:rsid w:val="006305BF"/>
    <w:rsid w:val="00630A26"/>
    <w:rsid w:val="006313D0"/>
    <w:rsid w:val="00632BF9"/>
    <w:rsid w:val="00633BFF"/>
    <w:rsid w:val="0063515F"/>
    <w:rsid w:val="00635288"/>
    <w:rsid w:val="00635765"/>
    <w:rsid w:val="00635BC8"/>
    <w:rsid w:val="00635C82"/>
    <w:rsid w:val="006363F3"/>
    <w:rsid w:val="0063650F"/>
    <w:rsid w:val="0064120D"/>
    <w:rsid w:val="00642819"/>
    <w:rsid w:val="006437CB"/>
    <w:rsid w:val="00643922"/>
    <w:rsid w:val="00644A13"/>
    <w:rsid w:val="00645CE8"/>
    <w:rsid w:val="0064684B"/>
    <w:rsid w:val="00650DA2"/>
    <w:rsid w:val="0065136E"/>
    <w:rsid w:val="00653C4E"/>
    <w:rsid w:val="00657D8F"/>
    <w:rsid w:val="0066095F"/>
    <w:rsid w:val="0066697D"/>
    <w:rsid w:val="006674BC"/>
    <w:rsid w:val="00670D71"/>
    <w:rsid w:val="006711CC"/>
    <w:rsid w:val="00671AC0"/>
    <w:rsid w:val="00672AD9"/>
    <w:rsid w:val="00673D23"/>
    <w:rsid w:val="00675AD6"/>
    <w:rsid w:val="0067636F"/>
    <w:rsid w:val="006774F3"/>
    <w:rsid w:val="00677F9D"/>
    <w:rsid w:val="0068550A"/>
    <w:rsid w:val="0068689D"/>
    <w:rsid w:val="0068704C"/>
    <w:rsid w:val="00691A71"/>
    <w:rsid w:val="006958FF"/>
    <w:rsid w:val="00695DE4"/>
    <w:rsid w:val="00697BEF"/>
    <w:rsid w:val="006A3412"/>
    <w:rsid w:val="006A359E"/>
    <w:rsid w:val="006A3ED5"/>
    <w:rsid w:val="006A7B67"/>
    <w:rsid w:val="006B0D78"/>
    <w:rsid w:val="006B1B12"/>
    <w:rsid w:val="006B3B75"/>
    <w:rsid w:val="006B3E4D"/>
    <w:rsid w:val="006B69D1"/>
    <w:rsid w:val="006C0EDE"/>
    <w:rsid w:val="006C235D"/>
    <w:rsid w:val="006C2604"/>
    <w:rsid w:val="006C3C44"/>
    <w:rsid w:val="006C40EA"/>
    <w:rsid w:val="006C54D5"/>
    <w:rsid w:val="006C5654"/>
    <w:rsid w:val="006D4AA0"/>
    <w:rsid w:val="006D5359"/>
    <w:rsid w:val="006D5E91"/>
    <w:rsid w:val="006E0641"/>
    <w:rsid w:val="006E0CAD"/>
    <w:rsid w:val="006E3A2D"/>
    <w:rsid w:val="006E60AF"/>
    <w:rsid w:val="006E60B2"/>
    <w:rsid w:val="006E74AE"/>
    <w:rsid w:val="006E7DCE"/>
    <w:rsid w:val="006E7E77"/>
    <w:rsid w:val="006F024E"/>
    <w:rsid w:val="006F1066"/>
    <w:rsid w:val="006F1E88"/>
    <w:rsid w:val="006F293F"/>
    <w:rsid w:val="007007E8"/>
    <w:rsid w:val="007023A2"/>
    <w:rsid w:val="007031F1"/>
    <w:rsid w:val="00703A94"/>
    <w:rsid w:val="007050FF"/>
    <w:rsid w:val="00706322"/>
    <w:rsid w:val="00707F4E"/>
    <w:rsid w:val="00711E39"/>
    <w:rsid w:val="007120EB"/>
    <w:rsid w:val="00712931"/>
    <w:rsid w:val="00712F14"/>
    <w:rsid w:val="00716CDC"/>
    <w:rsid w:val="00717FAC"/>
    <w:rsid w:val="007215E3"/>
    <w:rsid w:val="00725600"/>
    <w:rsid w:val="00732A3B"/>
    <w:rsid w:val="007359DE"/>
    <w:rsid w:val="00737ACF"/>
    <w:rsid w:val="00741B74"/>
    <w:rsid w:val="00744514"/>
    <w:rsid w:val="00744819"/>
    <w:rsid w:val="00744EBD"/>
    <w:rsid w:val="00745064"/>
    <w:rsid w:val="007457A8"/>
    <w:rsid w:val="0074648B"/>
    <w:rsid w:val="0075032A"/>
    <w:rsid w:val="00752764"/>
    <w:rsid w:val="0075626E"/>
    <w:rsid w:val="00760D8D"/>
    <w:rsid w:val="00762ABF"/>
    <w:rsid w:val="0076460A"/>
    <w:rsid w:val="007657F5"/>
    <w:rsid w:val="00766879"/>
    <w:rsid w:val="00766962"/>
    <w:rsid w:val="00767F89"/>
    <w:rsid w:val="00771FBC"/>
    <w:rsid w:val="00773BE0"/>
    <w:rsid w:val="00775287"/>
    <w:rsid w:val="0077584F"/>
    <w:rsid w:val="00777EE1"/>
    <w:rsid w:val="007804BE"/>
    <w:rsid w:val="00782CFB"/>
    <w:rsid w:val="00783C7A"/>
    <w:rsid w:val="00784896"/>
    <w:rsid w:val="007859CE"/>
    <w:rsid w:val="00787E09"/>
    <w:rsid w:val="007904BE"/>
    <w:rsid w:val="007910D5"/>
    <w:rsid w:val="00791423"/>
    <w:rsid w:val="00797FF5"/>
    <w:rsid w:val="007A118B"/>
    <w:rsid w:val="007A13F2"/>
    <w:rsid w:val="007A5AAD"/>
    <w:rsid w:val="007A5FC1"/>
    <w:rsid w:val="007B0696"/>
    <w:rsid w:val="007B2F42"/>
    <w:rsid w:val="007B4BD3"/>
    <w:rsid w:val="007C0F7C"/>
    <w:rsid w:val="007C2EB8"/>
    <w:rsid w:val="007C329F"/>
    <w:rsid w:val="007C32D3"/>
    <w:rsid w:val="007C5D26"/>
    <w:rsid w:val="007D207F"/>
    <w:rsid w:val="007D33F4"/>
    <w:rsid w:val="007D4E23"/>
    <w:rsid w:val="007D5E88"/>
    <w:rsid w:val="007D621E"/>
    <w:rsid w:val="007D6A7F"/>
    <w:rsid w:val="007E3A53"/>
    <w:rsid w:val="007E486D"/>
    <w:rsid w:val="007E6771"/>
    <w:rsid w:val="007E7EF5"/>
    <w:rsid w:val="007F3ABE"/>
    <w:rsid w:val="007F4CAA"/>
    <w:rsid w:val="007F5E38"/>
    <w:rsid w:val="007F635F"/>
    <w:rsid w:val="007F78F1"/>
    <w:rsid w:val="007F7E18"/>
    <w:rsid w:val="00800D7C"/>
    <w:rsid w:val="008013B0"/>
    <w:rsid w:val="00801FCA"/>
    <w:rsid w:val="0080200D"/>
    <w:rsid w:val="0080280B"/>
    <w:rsid w:val="00811503"/>
    <w:rsid w:val="00821458"/>
    <w:rsid w:val="0082371B"/>
    <w:rsid w:val="008246D8"/>
    <w:rsid w:val="00824762"/>
    <w:rsid w:val="008328E9"/>
    <w:rsid w:val="00835170"/>
    <w:rsid w:val="0083596A"/>
    <w:rsid w:val="00835BCB"/>
    <w:rsid w:val="00835CDC"/>
    <w:rsid w:val="00842164"/>
    <w:rsid w:val="008427DA"/>
    <w:rsid w:val="00844453"/>
    <w:rsid w:val="00846EBB"/>
    <w:rsid w:val="00847BB3"/>
    <w:rsid w:val="00847D11"/>
    <w:rsid w:val="008503B5"/>
    <w:rsid w:val="00850B09"/>
    <w:rsid w:val="0085180F"/>
    <w:rsid w:val="00851934"/>
    <w:rsid w:val="00852A37"/>
    <w:rsid w:val="00853C1E"/>
    <w:rsid w:val="00855451"/>
    <w:rsid w:val="00855456"/>
    <w:rsid w:val="00862A2B"/>
    <w:rsid w:val="00863B9D"/>
    <w:rsid w:val="00863BE6"/>
    <w:rsid w:val="00863FB4"/>
    <w:rsid w:val="00865C09"/>
    <w:rsid w:val="00866005"/>
    <w:rsid w:val="00866F7A"/>
    <w:rsid w:val="00867596"/>
    <w:rsid w:val="00870635"/>
    <w:rsid w:val="00875511"/>
    <w:rsid w:val="008775BC"/>
    <w:rsid w:val="00877729"/>
    <w:rsid w:val="00880BF6"/>
    <w:rsid w:val="0088121A"/>
    <w:rsid w:val="00882980"/>
    <w:rsid w:val="00882F1B"/>
    <w:rsid w:val="00884857"/>
    <w:rsid w:val="00891737"/>
    <w:rsid w:val="00894D44"/>
    <w:rsid w:val="00894F0C"/>
    <w:rsid w:val="0089531A"/>
    <w:rsid w:val="00897E4B"/>
    <w:rsid w:val="008A1CFF"/>
    <w:rsid w:val="008A5384"/>
    <w:rsid w:val="008A53B5"/>
    <w:rsid w:val="008A5B05"/>
    <w:rsid w:val="008A70CE"/>
    <w:rsid w:val="008B2BE2"/>
    <w:rsid w:val="008B4237"/>
    <w:rsid w:val="008C0C92"/>
    <w:rsid w:val="008C1309"/>
    <w:rsid w:val="008C1B35"/>
    <w:rsid w:val="008C25E4"/>
    <w:rsid w:val="008C2744"/>
    <w:rsid w:val="008C2DAE"/>
    <w:rsid w:val="008C4402"/>
    <w:rsid w:val="008C5962"/>
    <w:rsid w:val="008D05EC"/>
    <w:rsid w:val="008D339E"/>
    <w:rsid w:val="008D453E"/>
    <w:rsid w:val="008D47FD"/>
    <w:rsid w:val="008D5008"/>
    <w:rsid w:val="008E14F6"/>
    <w:rsid w:val="008E178B"/>
    <w:rsid w:val="008E2BCA"/>
    <w:rsid w:val="008E33F4"/>
    <w:rsid w:val="008E4CE6"/>
    <w:rsid w:val="008E6F86"/>
    <w:rsid w:val="008F436F"/>
    <w:rsid w:val="00900357"/>
    <w:rsid w:val="0090050A"/>
    <w:rsid w:val="009005B1"/>
    <w:rsid w:val="0090207C"/>
    <w:rsid w:val="00904474"/>
    <w:rsid w:val="009055A1"/>
    <w:rsid w:val="009059A9"/>
    <w:rsid w:val="0090604A"/>
    <w:rsid w:val="00906C5C"/>
    <w:rsid w:val="00912031"/>
    <w:rsid w:val="0091539C"/>
    <w:rsid w:val="00922C65"/>
    <w:rsid w:val="00923DB5"/>
    <w:rsid w:val="00924861"/>
    <w:rsid w:val="0092515E"/>
    <w:rsid w:val="009257DA"/>
    <w:rsid w:val="0092696E"/>
    <w:rsid w:val="0093048B"/>
    <w:rsid w:val="009346D4"/>
    <w:rsid w:val="00934C8F"/>
    <w:rsid w:val="00940CAF"/>
    <w:rsid w:val="009413A3"/>
    <w:rsid w:val="009417F9"/>
    <w:rsid w:val="00942FBD"/>
    <w:rsid w:val="00946C01"/>
    <w:rsid w:val="0094770B"/>
    <w:rsid w:val="00951341"/>
    <w:rsid w:val="00951FE9"/>
    <w:rsid w:val="00952B54"/>
    <w:rsid w:val="00953963"/>
    <w:rsid w:val="009618BB"/>
    <w:rsid w:val="009647C2"/>
    <w:rsid w:val="00970BC8"/>
    <w:rsid w:val="00977645"/>
    <w:rsid w:val="009814E1"/>
    <w:rsid w:val="009825D5"/>
    <w:rsid w:val="00983691"/>
    <w:rsid w:val="00985159"/>
    <w:rsid w:val="00985C26"/>
    <w:rsid w:val="00986C48"/>
    <w:rsid w:val="00993460"/>
    <w:rsid w:val="009954C9"/>
    <w:rsid w:val="0099563C"/>
    <w:rsid w:val="00996F18"/>
    <w:rsid w:val="009A02A9"/>
    <w:rsid w:val="009A0B44"/>
    <w:rsid w:val="009A2761"/>
    <w:rsid w:val="009A5778"/>
    <w:rsid w:val="009A63CE"/>
    <w:rsid w:val="009B1DFD"/>
    <w:rsid w:val="009B2267"/>
    <w:rsid w:val="009B232B"/>
    <w:rsid w:val="009B25B5"/>
    <w:rsid w:val="009B57BB"/>
    <w:rsid w:val="009C0E3D"/>
    <w:rsid w:val="009C7169"/>
    <w:rsid w:val="009D149F"/>
    <w:rsid w:val="009D23FB"/>
    <w:rsid w:val="009D37F4"/>
    <w:rsid w:val="009D74FA"/>
    <w:rsid w:val="009E0AE8"/>
    <w:rsid w:val="009E4907"/>
    <w:rsid w:val="009E4DFA"/>
    <w:rsid w:val="009E5374"/>
    <w:rsid w:val="009F1791"/>
    <w:rsid w:val="009F2CD3"/>
    <w:rsid w:val="009F345D"/>
    <w:rsid w:val="009F4EE9"/>
    <w:rsid w:val="009F5BBB"/>
    <w:rsid w:val="00A02847"/>
    <w:rsid w:val="00A038F7"/>
    <w:rsid w:val="00A03B7B"/>
    <w:rsid w:val="00A061A9"/>
    <w:rsid w:val="00A13218"/>
    <w:rsid w:val="00A13DB0"/>
    <w:rsid w:val="00A2039E"/>
    <w:rsid w:val="00A227A3"/>
    <w:rsid w:val="00A2471C"/>
    <w:rsid w:val="00A25480"/>
    <w:rsid w:val="00A262EA"/>
    <w:rsid w:val="00A2706A"/>
    <w:rsid w:val="00A272FF"/>
    <w:rsid w:val="00A31AD8"/>
    <w:rsid w:val="00A33DA4"/>
    <w:rsid w:val="00A35983"/>
    <w:rsid w:val="00A36108"/>
    <w:rsid w:val="00A3612F"/>
    <w:rsid w:val="00A37ECB"/>
    <w:rsid w:val="00A44BCC"/>
    <w:rsid w:val="00A45BAB"/>
    <w:rsid w:val="00A510E8"/>
    <w:rsid w:val="00A530F2"/>
    <w:rsid w:val="00A570F1"/>
    <w:rsid w:val="00A60AD7"/>
    <w:rsid w:val="00A60B73"/>
    <w:rsid w:val="00A652D2"/>
    <w:rsid w:val="00A704F1"/>
    <w:rsid w:val="00A70EC8"/>
    <w:rsid w:val="00A70F7F"/>
    <w:rsid w:val="00A72FE1"/>
    <w:rsid w:val="00A74F08"/>
    <w:rsid w:val="00A75054"/>
    <w:rsid w:val="00A750D7"/>
    <w:rsid w:val="00A80080"/>
    <w:rsid w:val="00A81345"/>
    <w:rsid w:val="00A81444"/>
    <w:rsid w:val="00A81BCB"/>
    <w:rsid w:val="00A81DCD"/>
    <w:rsid w:val="00A82C58"/>
    <w:rsid w:val="00A82C82"/>
    <w:rsid w:val="00A847C1"/>
    <w:rsid w:val="00A86FE6"/>
    <w:rsid w:val="00A9484F"/>
    <w:rsid w:val="00A95456"/>
    <w:rsid w:val="00A95BAC"/>
    <w:rsid w:val="00A96D52"/>
    <w:rsid w:val="00AA5053"/>
    <w:rsid w:val="00AA6157"/>
    <w:rsid w:val="00AA634C"/>
    <w:rsid w:val="00AB040E"/>
    <w:rsid w:val="00AB0844"/>
    <w:rsid w:val="00AB1C0C"/>
    <w:rsid w:val="00AB1CD8"/>
    <w:rsid w:val="00AB1F4F"/>
    <w:rsid w:val="00AB4951"/>
    <w:rsid w:val="00AB6F7A"/>
    <w:rsid w:val="00AC01C9"/>
    <w:rsid w:val="00AC32B0"/>
    <w:rsid w:val="00AC3EB8"/>
    <w:rsid w:val="00AC4287"/>
    <w:rsid w:val="00AC4519"/>
    <w:rsid w:val="00AC457A"/>
    <w:rsid w:val="00AC49AE"/>
    <w:rsid w:val="00AC5C98"/>
    <w:rsid w:val="00AC7707"/>
    <w:rsid w:val="00AD11ED"/>
    <w:rsid w:val="00AD1EDC"/>
    <w:rsid w:val="00AD2047"/>
    <w:rsid w:val="00AD237F"/>
    <w:rsid w:val="00AD2B05"/>
    <w:rsid w:val="00AD53FB"/>
    <w:rsid w:val="00AE281A"/>
    <w:rsid w:val="00AE368F"/>
    <w:rsid w:val="00AE6F06"/>
    <w:rsid w:val="00AE75B7"/>
    <w:rsid w:val="00AF13AC"/>
    <w:rsid w:val="00AF27FB"/>
    <w:rsid w:val="00AF2825"/>
    <w:rsid w:val="00AF3968"/>
    <w:rsid w:val="00AF4CE0"/>
    <w:rsid w:val="00AF6002"/>
    <w:rsid w:val="00AF792F"/>
    <w:rsid w:val="00B0332F"/>
    <w:rsid w:val="00B077AD"/>
    <w:rsid w:val="00B07E37"/>
    <w:rsid w:val="00B10101"/>
    <w:rsid w:val="00B102B5"/>
    <w:rsid w:val="00B104DC"/>
    <w:rsid w:val="00B11A01"/>
    <w:rsid w:val="00B13260"/>
    <w:rsid w:val="00B13DB5"/>
    <w:rsid w:val="00B14613"/>
    <w:rsid w:val="00B1555F"/>
    <w:rsid w:val="00B17F54"/>
    <w:rsid w:val="00B215BF"/>
    <w:rsid w:val="00B251F4"/>
    <w:rsid w:val="00B27D86"/>
    <w:rsid w:val="00B315A0"/>
    <w:rsid w:val="00B3208E"/>
    <w:rsid w:val="00B32CF1"/>
    <w:rsid w:val="00B33127"/>
    <w:rsid w:val="00B34A18"/>
    <w:rsid w:val="00B35DEE"/>
    <w:rsid w:val="00B36B99"/>
    <w:rsid w:val="00B37BBF"/>
    <w:rsid w:val="00B4071B"/>
    <w:rsid w:val="00B416B8"/>
    <w:rsid w:val="00B41A52"/>
    <w:rsid w:val="00B427C9"/>
    <w:rsid w:val="00B435E1"/>
    <w:rsid w:val="00B44605"/>
    <w:rsid w:val="00B461EA"/>
    <w:rsid w:val="00B468CE"/>
    <w:rsid w:val="00B5161B"/>
    <w:rsid w:val="00B51B94"/>
    <w:rsid w:val="00B53447"/>
    <w:rsid w:val="00B54BD8"/>
    <w:rsid w:val="00B56CCA"/>
    <w:rsid w:val="00B579CB"/>
    <w:rsid w:val="00B626CD"/>
    <w:rsid w:val="00B65B8E"/>
    <w:rsid w:val="00B666FB"/>
    <w:rsid w:val="00B70083"/>
    <w:rsid w:val="00B710DC"/>
    <w:rsid w:val="00B7121E"/>
    <w:rsid w:val="00B71614"/>
    <w:rsid w:val="00B76588"/>
    <w:rsid w:val="00B77566"/>
    <w:rsid w:val="00B83CC2"/>
    <w:rsid w:val="00B852EA"/>
    <w:rsid w:val="00B85F6A"/>
    <w:rsid w:val="00B908BF"/>
    <w:rsid w:val="00B9118D"/>
    <w:rsid w:val="00B91FD6"/>
    <w:rsid w:val="00B936AA"/>
    <w:rsid w:val="00B93EF5"/>
    <w:rsid w:val="00B94EEA"/>
    <w:rsid w:val="00BA4BE1"/>
    <w:rsid w:val="00BA4FBD"/>
    <w:rsid w:val="00BA5F32"/>
    <w:rsid w:val="00BA711D"/>
    <w:rsid w:val="00BB09C8"/>
    <w:rsid w:val="00BB1A63"/>
    <w:rsid w:val="00BB26E9"/>
    <w:rsid w:val="00BB28F6"/>
    <w:rsid w:val="00BB443C"/>
    <w:rsid w:val="00BB461A"/>
    <w:rsid w:val="00BB5322"/>
    <w:rsid w:val="00BB5336"/>
    <w:rsid w:val="00BB6867"/>
    <w:rsid w:val="00BC227D"/>
    <w:rsid w:val="00BC2609"/>
    <w:rsid w:val="00BC3F98"/>
    <w:rsid w:val="00BC5905"/>
    <w:rsid w:val="00BD5E13"/>
    <w:rsid w:val="00BD6C7B"/>
    <w:rsid w:val="00BE241D"/>
    <w:rsid w:val="00BE2682"/>
    <w:rsid w:val="00BE55E4"/>
    <w:rsid w:val="00BE5EAA"/>
    <w:rsid w:val="00BE6696"/>
    <w:rsid w:val="00BE7934"/>
    <w:rsid w:val="00BF0EBE"/>
    <w:rsid w:val="00BF3831"/>
    <w:rsid w:val="00BF76A0"/>
    <w:rsid w:val="00C02503"/>
    <w:rsid w:val="00C0276C"/>
    <w:rsid w:val="00C02E3D"/>
    <w:rsid w:val="00C041F3"/>
    <w:rsid w:val="00C05307"/>
    <w:rsid w:val="00C07843"/>
    <w:rsid w:val="00C12A76"/>
    <w:rsid w:val="00C13145"/>
    <w:rsid w:val="00C13418"/>
    <w:rsid w:val="00C13DFB"/>
    <w:rsid w:val="00C14F96"/>
    <w:rsid w:val="00C15542"/>
    <w:rsid w:val="00C20FEB"/>
    <w:rsid w:val="00C216CB"/>
    <w:rsid w:val="00C21FDE"/>
    <w:rsid w:val="00C31676"/>
    <w:rsid w:val="00C3223E"/>
    <w:rsid w:val="00C34B68"/>
    <w:rsid w:val="00C368D2"/>
    <w:rsid w:val="00C36ED2"/>
    <w:rsid w:val="00C40DCF"/>
    <w:rsid w:val="00C432A3"/>
    <w:rsid w:val="00C43D0C"/>
    <w:rsid w:val="00C45236"/>
    <w:rsid w:val="00C45D78"/>
    <w:rsid w:val="00C515A9"/>
    <w:rsid w:val="00C51926"/>
    <w:rsid w:val="00C52EE5"/>
    <w:rsid w:val="00C53B54"/>
    <w:rsid w:val="00C54AA5"/>
    <w:rsid w:val="00C56839"/>
    <w:rsid w:val="00C6119E"/>
    <w:rsid w:val="00C7020B"/>
    <w:rsid w:val="00C729CE"/>
    <w:rsid w:val="00C738A6"/>
    <w:rsid w:val="00C73BC3"/>
    <w:rsid w:val="00C771DC"/>
    <w:rsid w:val="00C81396"/>
    <w:rsid w:val="00C81D5A"/>
    <w:rsid w:val="00C81FD2"/>
    <w:rsid w:val="00C84F29"/>
    <w:rsid w:val="00C86A1F"/>
    <w:rsid w:val="00C96693"/>
    <w:rsid w:val="00C9769D"/>
    <w:rsid w:val="00CA54C1"/>
    <w:rsid w:val="00CA6594"/>
    <w:rsid w:val="00CB503B"/>
    <w:rsid w:val="00CB64B6"/>
    <w:rsid w:val="00CC1EB3"/>
    <w:rsid w:val="00CD03A4"/>
    <w:rsid w:val="00CD1716"/>
    <w:rsid w:val="00CD1741"/>
    <w:rsid w:val="00CD1946"/>
    <w:rsid w:val="00CD4371"/>
    <w:rsid w:val="00CD6459"/>
    <w:rsid w:val="00CD64D1"/>
    <w:rsid w:val="00CD76E9"/>
    <w:rsid w:val="00CE0665"/>
    <w:rsid w:val="00CE4793"/>
    <w:rsid w:val="00CE750F"/>
    <w:rsid w:val="00CE7F6C"/>
    <w:rsid w:val="00CF0538"/>
    <w:rsid w:val="00CF2A82"/>
    <w:rsid w:val="00CF2C45"/>
    <w:rsid w:val="00CF3D64"/>
    <w:rsid w:val="00CF5D17"/>
    <w:rsid w:val="00D00117"/>
    <w:rsid w:val="00D00F7F"/>
    <w:rsid w:val="00D03291"/>
    <w:rsid w:val="00D0652E"/>
    <w:rsid w:val="00D1107C"/>
    <w:rsid w:val="00D111A9"/>
    <w:rsid w:val="00D128DB"/>
    <w:rsid w:val="00D12923"/>
    <w:rsid w:val="00D15D8B"/>
    <w:rsid w:val="00D160CB"/>
    <w:rsid w:val="00D1615B"/>
    <w:rsid w:val="00D16C99"/>
    <w:rsid w:val="00D17B64"/>
    <w:rsid w:val="00D21591"/>
    <w:rsid w:val="00D21EB1"/>
    <w:rsid w:val="00D245A1"/>
    <w:rsid w:val="00D24648"/>
    <w:rsid w:val="00D24935"/>
    <w:rsid w:val="00D26D7C"/>
    <w:rsid w:val="00D27DD6"/>
    <w:rsid w:val="00D327F0"/>
    <w:rsid w:val="00D336C4"/>
    <w:rsid w:val="00D4106E"/>
    <w:rsid w:val="00D415E2"/>
    <w:rsid w:val="00D41E98"/>
    <w:rsid w:val="00D42055"/>
    <w:rsid w:val="00D504A1"/>
    <w:rsid w:val="00D573C5"/>
    <w:rsid w:val="00D647C3"/>
    <w:rsid w:val="00D6489A"/>
    <w:rsid w:val="00D64BAA"/>
    <w:rsid w:val="00D663C6"/>
    <w:rsid w:val="00D7015C"/>
    <w:rsid w:val="00D73323"/>
    <w:rsid w:val="00D77C51"/>
    <w:rsid w:val="00D801EB"/>
    <w:rsid w:val="00D80828"/>
    <w:rsid w:val="00D80AE2"/>
    <w:rsid w:val="00D814B0"/>
    <w:rsid w:val="00D819C2"/>
    <w:rsid w:val="00D81FEC"/>
    <w:rsid w:val="00D82896"/>
    <w:rsid w:val="00D91F5F"/>
    <w:rsid w:val="00D9234E"/>
    <w:rsid w:val="00D92890"/>
    <w:rsid w:val="00D95711"/>
    <w:rsid w:val="00D9633A"/>
    <w:rsid w:val="00D9682F"/>
    <w:rsid w:val="00DA15E5"/>
    <w:rsid w:val="00DA602E"/>
    <w:rsid w:val="00DA641B"/>
    <w:rsid w:val="00DB296A"/>
    <w:rsid w:val="00DB2C19"/>
    <w:rsid w:val="00DB38CC"/>
    <w:rsid w:val="00DB4623"/>
    <w:rsid w:val="00DB7498"/>
    <w:rsid w:val="00DB77D6"/>
    <w:rsid w:val="00DB7C87"/>
    <w:rsid w:val="00DC093B"/>
    <w:rsid w:val="00DC56EF"/>
    <w:rsid w:val="00DD7431"/>
    <w:rsid w:val="00DE0794"/>
    <w:rsid w:val="00DE494E"/>
    <w:rsid w:val="00DE6781"/>
    <w:rsid w:val="00DF2386"/>
    <w:rsid w:val="00DF35C0"/>
    <w:rsid w:val="00DF43E8"/>
    <w:rsid w:val="00DF7CA2"/>
    <w:rsid w:val="00DF7FE7"/>
    <w:rsid w:val="00E037C0"/>
    <w:rsid w:val="00E1484F"/>
    <w:rsid w:val="00E166D0"/>
    <w:rsid w:val="00E16A55"/>
    <w:rsid w:val="00E17566"/>
    <w:rsid w:val="00E2003D"/>
    <w:rsid w:val="00E25008"/>
    <w:rsid w:val="00E26ED0"/>
    <w:rsid w:val="00E3217E"/>
    <w:rsid w:val="00E32F16"/>
    <w:rsid w:val="00E33651"/>
    <w:rsid w:val="00E33ED2"/>
    <w:rsid w:val="00E34C36"/>
    <w:rsid w:val="00E36AEE"/>
    <w:rsid w:val="00E40E9B"/>
    <w:rsid w:val="00E414B2"/>
    <w:rsid w:val="00E414F3"/>
    <w:rsid w:val="00E4239D"/>
    <w:rsid w:val="00E44127"/>
    <w:rsid w:val="00E46367"/>
    <w:rsid w:val="00E535A8"/>
    <w:rsid w:val="00E559B4"/>
    <w:rsid w:val="00E57D75"/>
    <w:rsid w:val="00E618D6"/>
    <w:rsid w:val="00E6269A"/>
    <w:rsid w:val="00E6375B"/>
    <w:rsid w:val="00E63C59"/>
    <w:rsid w:val="00E63F0B"/>
    <w:rsid w:val="00E70DAB"/>
    <w:rsid w:val="00E71BF3"/>
    <w:rsid w:val="00E72B5C"/>
    <w:rsid w:val="00E7567C"/>
    <w:rsid w:val="00E76250"/>
    <w:rsid w:val="00E7785F"/>
    <w:rsid w:val="00E81F71"/>
    <w:rsid w:val="00E822CB"/>
    <w:rsid w:val="00E84B8C"/>
    <w:rsid w:val="00E858F5"/>
    <w:rsid w:val="00E90249"/>
    <w:rsid w:val="00E93A5B"/>
    <w:rsid w:val="00E94284"/>
    <w:rsid w:val="00E95438"/>
    <w:rsid w:val="00E9720D"/>
    <w:rsid w:val="00EA1E88"/>
    <w:rsid w:val="00EA3A7F"/>
    <w:rsid w:val="00EA40AD"/>
    <w:rsid w:val="00EA443F"/>
    <w:rsid w:val="00EA4BF9"/>
    <w:rsid w:val="00EB0D7B"/>
    <w:rsid w:val="00EB475E"/>
    <w:rsid w:val="00EC0DC4"/>
    <w:rsid w:val="00EC1805"/>
    <w:rsid w:val="00EC5CAD"/>
    <w:rsid w:val="00EC705C"/>
    <w:rsid w:val="00EC74F1"/>
    <w:rsid w:val="00ED2A95"/>
    <w:rsid w:val="00ED3E43"/>
    <w:rsid w:val="00ED3F1A"/>
    <w:rsid w:val="00ED51C5"/>
    <w:rsid w:val="00ED569A"/>
    <w:rsid w:val="00EE1D43"/>
    <w:rsid w:val="00EE35F9"/>
    <w:rsid w:val="00EE40BE"/>
    <w:rsid w:val="00EE4B6F"/>
    <w:rsid w:val="00EF2A68"/>
    <w:rsid w:val="00EF5698"/>
    <w:rsid w:val="00F029C8"/>
    <w:rsid w:val="00F02E6E"/>
    <w:rsid w:val="00F0597E"/>
    <w:rsid w:val="00F06972"/>
    <w:rsid w:val="00F078F1"/>
    <w:rsid w:val="00F109E7"/>
    <w:rsid w:val="00F1191B"/>
    <w:rsid w:val="00F1324D"/>
    <w:rsid w:val="00F13D9B"/>
    <w:rsid w:val="00F163C1"/>
    <w:rsid w:val="00F167D7"/>
    <w:rsid w:val="00F240FC"/>
    <w:rsid w:val="00F26289"/>
    <w:rsid w:val="00F2681C"/>
    <w:rsid w:val="00F26FD2"/>
    <w:rsid w:val="00F30F61"/>
    <w:rsid w:val="00F322C9"/>
    <w:rsid w:val="00F32D03"/>
    <w:rsid w:val="00F33E0C"/>
    <w:rsid w:val="00F344DE"/>
    <w:rsid w:val="00F3632B"/>
    <w:rsid w:val="00F367BD"/>
    <w:rsid w:val="00F42498"/>
    <w:rsid w:val="00F46056"/>
    <w:rsid w:val="00F4710D"/>
    <w:rsid w:val="00F513BB"/>
    <w:rsid w:val="00F51F92"/>
    <w:rsid w:val="00F53B81"/>
    <w:rsid w:val="00F54608"/>
    <w:rsid w:val="00F54FBD"/>
    <w:rsid w:val="00F55CD0"/>
    <w:rsid w:val="00F61C98"/>
    <w:rsid w:val="00F62F3C"/>
    <w:rsid w:val="00F70B6E"/>
    <w:rsid w:val="00F715D9"/>
    <w:rsid w:val="00F71B94"/>
    <w:rsid w:val="00F73E71"/>
    <w:rsid w:val="00F7459E"/>
    <w:rsid w:val="00F8122A"/>
    <w:rsid w:val="00F82AA3"/>
    <w:rsid w:val="00F848A7"/>
    <w:rsid w:val="00F86426"/>
    <w:rsid w:val="00F87D83"/>
    <w:rsid w:val="00F9198B"/>
    <w:rsid w:val="00F96F42"/>
    <w:rsid w:val="00F97C8F"/>
    <w:rsid w:val="00FA0FDD"/>
    <w:rsid w:val="00FA2641"/>
    <w:rsid w:val="00FA361D"/>
    <w:rsid w:val="00FA3669"/>
    <w:rsid w:val="00FA5A1B"/>
    <w:rsid w:val="00FA5E7B"/>
    <w:rsid w:val="00FA6057"/>
    <w:rsid w:val="00FA6E78"/>
    <w:rsid w:val="00FB17B0"/>
    <w:rsid w:val="00FB187E"/>
    <w:rsid w:val="00FB1F5A"/>
    <w:rsid w:val="00FB35A4"/>
    <w:rsid w:val="00FB3F6B"/>
    <w:rsid w:val="00FB7002"/>
    <w:rsid w:val="00FB7539"/>
    <w:rsid w:val="00FC4333"/>
    <w:rsid w:val="00FC773D"/>
    <w:rsid w:val="00FD14E2"/>
    <w:rsid w:val="00FD280C"/>
    <w:rsid w:val="00FE0365"/>
    <w:rsid w:val="00FE211B"/>
    <w:rsid w:val="00FF02FD"/>
    <w:rsid w:val="00FF0468"/>
    <w:rsid w:val="00FF0CE5"/>
    <w:rsid w:val="00FF206F"/>
    <w:rsid w:val="00FF400D"/>
    <w:rsid w:val="00FF734B"/>
    <w:rsid w:val="163FA1A3"/>
    <w:rsid w:val="3399B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950E7"/>
  <w15:docId w15:val="{39947197-4C44-4DD1-8E91-A5B8526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lang w:val="en-US"/>
    </w:rPr>
  </w:style>
  <w:style w:type="character" w:customStyle="1" w:styleId="BodyTextChar">
    <w:name w:val="Body Text Char"/>
    <w:basedOn w:val="DefaultParagraphFont"/>
    <w:link w:val="BodyText"/>
    <w:uiPriority w:val="1"/>
    <w:rsid w:val="00D1615B"/>
    <w:rPr>
      <w:rFonts w:ascii="Arial" w:eastAsia="Arial" w:hAnsi="Arial"/>
      <w:lang w:val="en-U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styleId="PlainTable1">
    <w:name w:val="Plain Table 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62EA0"/>
    <w:rPr>
      <w:color w:val="605E5C"/>
      <w:shd w:val="clear" w:color="auto" w:fill="E1DFDD"/>
    </w:rPr>
  </w:style>
  <w:style w:type="table" w:styleId="GridTable2-Accent1">
    <w:name w:val="Grid Table 2 Accent 1"/>
    <w:basedOn w:val="TableNormal"/>
    <w:uiPriority w:val="47"/>
    <w:rsid w:val="00BF0EBE"/>
    <w:rPr>
      <w:rFonts w:eastAsia="Calibr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006D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91737"/>
    <w:rPr>
      <w:color w:val="605E5C"/>
      <w:shd w:val="clear" w:color="auto" w:fill="E1DFDD"/>
    </w:rPr>
  </w:style>
  <w:style w:type="paragraph" w:styleId="NormalWeb">
    <w:name w:val="Normal (Web)"/>
    <w:basedOn w:val="Normal"/>
    <w:uiPriority w:val="99"/>
    <w:semiHidden/>
    <w:unhideWhenUsed/>
    <w:rsid w:val="00E90249"/>
    <w:pPr>
      <w:spacing w:before="100" w:beforeAutospacing="1" w:after="100" w:afterAutospacing="1"/>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2924">
      <w:bodyDiv w:val="1"/>
      <w:marLeft w:val="0"/>
      <w:marRight w:val="0"/>
      <w:marTop w:val="0"/>
      <w:marBottom w:val="0"/>
      <w:divBdr>
        <w:top w:val="none" w:sz="0" w:space="0" w:color="auto"/>
        <w:left w:val="none" w:sz="0" w:space="0" w:color="auto"/>
        <w:bottom w:val="none" w:sz="0" w:space="0" w:color="auto"/>
        <w:right w:val="none" w:sz="0" w:space="0" w:color="auto"/>
      </w:divBdr>
    </w:div>
    <w:div w:id="126247699">
      <w:bodyDiv w:val="1"/>
      <w:marLeft w:val="0"/>
      <w:marRight w:val="0"/>
      <w:marTop w:val="0"/>
      <w:marBottom w:val="0"/>
      <w:divBdr>
        <w:top w:val="none" w:sz="0" w:space="0" w:color="auto"/>
        <w:left w:val="none" w:sz="0" w:space="0" w:color="auto"/>
        <w:bottom w:val="none" w:sz="0" w:space="0" w:color="auto"/>
        <w:right w:val="none" w:sz="0" w:space="0" w:color="auto"/>
      </w:divBdr>
    </w:div>
    <w:div w:id="18147584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0426396">
      <w:bodyDiv w:val="1"/>
      <w:marLeft w:val="0"/>
      <w:marRight w:val="0"/>
      <w:marTop w:val="0"/>
      <w:marBottom w:val="0"/>
      <w:divBdr>
        <w:top w:val="none" w:sz="0" w:space="0" w:color="auto"/>
        <w:left w:val="none" w:sz="0" w:space="0" w:color="auto"/>
        <w:bottom w:val="none" w:sz="0" w:space="0" w:color="auto"/>
        <w:right w:val="none" w:sz="0" w:space="0" w:color="auto"/>
      </w:divBdr>
    </w:div>
    <w:div w:id="333654395">
      <w:bodyDiv w:val="1"/>
      <w:marLeft w:val="0"/>
      <w:marRight w:val="0"/>
      <w:marTop w:val="0"/>
      <w:marBottom w:val="0"/>
      <w:divBdr>
        <w:top w:val="none" w:sz="0" w:space="0" w:color="auto"/>
        <w:left w:val="none" w:sz="0" w:space="0" w:color="auto"/>
        <w:bottom w:val="none" w:sz="0" w:space="0" w:color="auto"/>
        <w:right w:val="none" w:sz="0" w:space="0" w:color="auto"/>
      </w:divBdr>
    </w:div>
    <w:div w:id="382869972">
      <w:bodyDiv w:val="1"/>
      <w:marLeft w:val="0"/>
      <w:marRight w:val="0"/>
      <w:marTop w:val="0"/>
      <w:marBottom w:val="0"/>
      <w:divBdr>
        <w:top w:val="none" w:sz="0" w:space="0" w:color="auto"/>
        <w:left w:val="none" w:sz="0" w:space="0" w:color="auto"/>
        <w:bottom w:val="none" w:sz="0" w:space="0" w:color="auto"/>
        <w:right w:val="none" w:sz="0" w:space="0" w:color="auto"/>
      </w:divBdr>
    </w:div>
    <w:div w:id="391731961">
      <w:bodyDiv w:val="1"/>
      <w:marLeft w:val="0"/>
      <w:marRight w:val="0"/>
      <w:marTop w:val="0"/>
      <w:marBottom w:val="0"/>
      <w:divBdr>
        <w:top w:val="none" w:sz="0" w:space="0" w:color="auto"/>
        <w:left w:val="none" w:sz="0" w:space="0" w:color="auto"/>
        <w:bottom w:val="none" w:sz="0" w:space="0" w:color="auto"/>
        <w:right w:val="none" w:sz="0" w:space="0" w:color="auto"/>
      </w:divBdr>
    </w:div>
    <w:div w:id="565262877">
      <w:bodyDiv w:val="1"/>
      <w:marLeft w:val="0"/>
      <w:marRight w:val="0"/>
      <w:marTop w:val="0"/>
      <w:marBottom w:val="0"/>
      <w:divBdr>
        <w:top w:val="none" w:sz="0" w:space="0" w:color="auto"/>
        <w:left w:val="none" w:sz="0" w:space="0" w:color="auto"/>
        <w:bottom w:val="none" w:sz="0" w:space="0" w:color="auto"/>
        <w:right w:val="none" w:sz="0" w:space="0" w:color="auto"/>
      </w:divBdr>
    </w:div>
    <w:div w:id="646907607">
      <w:bodyDiv w:val="1"/>
      <w:marLeft w:val="0"/>
      <w:marRight w:val="0"/>
      <w:marTop w:val="0"/>
      <w:marBottom w:val="0"/>
      <w:divBdr>
        <w:top w:val="none" w:sz="0" w:space="0" w:color="auto"/>
        <w:left w:val="none" w:sz="0" w:space="0" w:color="auto"/>
        <w:bottom w:val="none" w:sz="0" w:space="0" w:color="auto"/>
        <w:right w:val="none" w:sz="0" w:space="0" w:color="auto"/>
      </w:divBdr>
    </w:div>
    <w:div w:id="783424123">
      <w:bodyDiv w:val="1"/>
      <w:marLeft w:val="0"/>
      <w:marRight w:val="0"/>
      <w:marTop w:val="0"/>
      <w:marBottom w:val="0"/>
      <w:divBdr>
        <w:top w:val="none" w:sz="0" w:space="0" w:color="auto"/>
        <w:left w:val="none" w:sz="0" w:space="0" w:color="auto"/>
        <w:bottom w:val="none" w:sz="0" w:space="0" w:color="auto"/>
        <w:right w:val="none" w:sz="0" w:space="0" w:color="auto"/>
      </w:divBdr>
    </w:div>
    <w:div w:id="809445716">
      <w:bodyDiv w:val="1"/>
      <w:marLeft w:val="0"/>
      <w:marRight w:val="0"/>
      <w:marTop w:val="0"/>
      <w:marBottom w:val="0"/>
      <w:divBdr>
        <w:top w:val="none" w:sz="0" w:space="0" w:color="auto"/>
        <w:left w:val="none" w:sz="0" w:space="0" w:color="auto"/>
        <w:bottom w:val="none" w:sz="0" w:space="0" w:color="auto"/>
        <w:right w:val="none" w:sz="0" w:space="0" w:color="auto"/>
      </w:divBdr>
    </w:div>
    <w:div w:id="865751162">
      <w:bodyDiv w:val="1"/>
      <w:marLeft w:val="0"/>
      <w:marRight w:val="0"/>
      <w:marTop w:val="0"/>
      <w:marBottom w:val="0"/>
      <w:divBdr>
        <w:top w:val="none" w:sz="0" w:space="0" w:color="auto"/>
        <w:left w:val="none" w:sz="0" w:space="0" w:color="auto"/>
        <w:bottom w:val="none" w:sz="0" w:space="0" w:color="auto"/>
        <w:right w:val="none" w:sz="0" w:space="0" w:color="auto"/>
      </w:divBdr>
    </w:div>
    <w:div w:id="894437179">
      <w:bodyDiv w:val="1"/>
      <w:marLeft w:val="0"/>
      <w:marRight w:val="0"/>
      <w:marTop w:val="0"/>
      <w:marBottom w:val="0"/>
      <w:divBdr>
        <w:top w:val="none" w:sz="0" w:space="0" w:color="auto"/>
        <w:left w:val="none" w:sz="0" w:space="0" w:color="auto"/>
        <w:bottom w:val="none" w:sz="0" w:space="0" w:color="auto"/>
        <w:right w:val="none" w:sz="0" w:space="0" w:color="auto"/>
      </w:divBdr>
    </w:div>
    <w:div w:id="910047260">
      <w:bodyDiv w:val="1"/>
      <w:marLeft w:val="0"/>
      <w:marRight w:val="0"/>
      <w:marTop w:val="0"/>
      <w:marBottom w:val="0"/>
      <w:divBdr>
        <w:top w:val="none" w:sz="0" w:space="0" w:color="auto"/>
        <w:left w:val="none" w:sz="0" w:space="0" w:color="auto"/>
        <w:bottom w:val="none" w:sz="0" w:space="0" w:color="auto"/>
        <w:right w:val="none" w:sz="0" w:space="0" w:color="auto"/>
      </w:divBdr>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
    <w:div w:id="1151755220">
      <w:bodyDiv w:val="1"/>
      <w:marLeft w:val="0"/>
      <w:marRight w:val="0"/>
      <w:marTop w:val="0"/>
      <w:marBottom w:val="0"/>
      <w:divBdr>
        <w:top w:val="none" w:sz="0" w:space="0" w:color="auto"/>
        <w:left w:val="none" w:sz="0" w:space="0" w:color="auto"/>
        <w:bottom w:val="none" w:sz="0" w:space="0" w:color="auto"/>
        <w:right w:val="none" w:sz="0" w:space="0" w:color="auto"/>
      </w:divBdr>
    </w:div>
    <w:div w:id="1335185269">
      <w:bodyDiv w:val="1"/>
      <w:marLeft w:val="0"/>
      <w:marRight w:val="0"/>
      <w:marTop w:val="0"/>
      <w:marBottom w:val="0"/>
      <w:divBdr>
        <w:top w:val="none" w:sz="0" w:space="0" w:color="auto"/>
        <w:left w:val="none" w:sz="0" w:space="0" w:color="auto"/>
        <w:bottom w:val="none" w:sz="0" w:space="0" w:color="auto"/>
        <w:right w:val="none" w:sz="0" w:space="0" w:color="auto"/>
      </w:divBdr>
    </w:div>
    <w:div w:id="1536850305">
      <w:bodyDiv w:val="1"/>
      <w:marLeft w:val="0"/>
      <w:marRight w:val="0"/>
      <w:marTop w:val="0"/>
      <w:marBottom w:val="0"/>
      <w:divBdr>
        <w:top w:val="none" w:sz="0" w:space="0" w:color="auto"/>
        <w:left w:val="none" w:sz="0" w:space="0" w:color="auto"/>
        <w:bottom w:val="none" w:sz="0" w:space="0" w:color="auto"/>
        <w:right w:val="none" w:sz="0" w:space="0" w:color="auto"/>
      </w:divBdr>
    </w:div>
    <w:div w:id="1541435623">
      <w:bodyDiv w:val="1"/>
      <w:marLeft w:val="0"/>
      <w:marRight w:val="0"/>
      <w:marTop w:val="0"/>
      <w:marBottom w:val="0"/>
      <w:divBdr>
        <w:top w:val="none" w:sz="0" w:space="0" w:color="auto"/>
        <w:left w:val="none" w:sz="0" w:space="0" w:color="auto"/>
        <w:bottom w:val="none" w:sz="0" w:space="0" w:color="auto"/>
        <w:right w:val="none" w:sz="0" w:space="0" w:color="auto"/>
      </w:divBdr>
    </w:div>
    <w:div w:id="1554580418">
      <w:bodyDiv w:val="1"/>
      <w:marLeft w:val="0"/>
      <w:marRight w:val="0"/>
      <w:marTop w:val="0"/>
      <w:marBottom w:val="0"/>
      <w:divBdr>
        <w:top w:val="none" w:sz="0" w:space="0" w:color="auto"/>
        <w:left w:val="none" w:sz="0" w:space="0" w:color="auto"/>
        <w:bottom w:val="none" w:sz="0" w:space="0" w:color="auto"/>
        <w:right w:val="none" w:sz="0" w:space="0" w:color="auto"/>
      </w:divBdr>
    </w:div>
    <w:div w:id="1667783687">
      <w:bodyDiv w:val="1"/>
      <w:marLeft w:val="0"/>
      <w:marRight w:val="0"/>
      <w:marTop w:val="0"/>
      <w:marBottom w:val="0"/>
      <w:divBdr>
        <w:top w:val="none" w:sz="0" w:space="0" w:color="auto"/>
        <w:left w:val="none" w:sz="0" w:space="0" w:color="auto"/>
        <w:bottom w:val="none" w:sz="0" w:space="0" w:color="auto"/>
        <w:right w:val="none" w:sz="0" w:space="0" w:color="auto"/>
      </w:divBdr>
    </w:div>
    <w:div w:id="1787962405">
      <w:bodyDiv w:val="1"/>
      <w:marLeft w:val="0"/>
      <w:marRight w:val="0"/>
      <w:marTop w:val="0"/>
      <w:marBottom w:val="0"/>
      <w:divBdr>
        <w:top w:val="none" w:sz="0" w:space="0" w:color="auto"/>
        <w:left w:val="none" w:sz="0" w:space="0" w:color="auto"/>
        <w:bottom w:val="none" w:sz="0" w:space="0" w:color="auto"/>
        <w:right w:val="none" w:sz="0" w:space="0" w:color="auto"/>
      </w:divBdr>
    </w:div>
    <w:div w:id="1993408935">
      <w:bodyDiv w:val="1"/>
      <w:marLeft w:val="0"/>
      <w:marRight w:val="0"/>
      <w:marTop w:val="0"/>
      <w:marBottom w:val="0"/>
      <w:divBdr>
        <w:top w:val="none" w:sz="0" w:space="0" w:color="auto"/>
        <w:left w:val="none" w:sz="0" w:space="0" w:color="auto"/>
        <w:bottom w:val="none" w:sz="0" w:space="0" w:color="auto"/>
        <w:right w:val="none" w:sz="0" w:space="0" w:color="auto"/>
      </w:divBdr>
    </w:div>
    <w:div w:id="20723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sc64-doc92-rev1-financial-budgetary-matters-status-annual-contributions" TargetMode="External"/><Relationship Id="rId2" Type="http://schemas.openxmlformats.org/officeDocument/2006/relationships/hyperlink" Target="https://www.ramsar.org/document/decisions-64th-meeting-standing-committee" TargetMode="External"/><Relationship Id="rId1" Type="http://schemas.openxmlformats.org/officeDocument/2006/relationships/hyperlink" Target="https://www.ramsar.org/document/sc64-doc92-rev1-financial-budgetary-matters-status-annual-contributions" TargetMode="External"/><Relationship Id="rId4" Type="http://schemas.openxmlformats.org/officeDocument/2006/relationships/hyperlink" Target="https://www.ramsar.org/document/decisions-64th-meeting-standing-committe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hglna01\data\CC98\1.%20COMMON\Meetings%20and%20Groups\Standing%20Committees\SC63\Documents\PUBLISHED\SC63%20Doc.9.2%20Annual%20contributions\drafts\ed%20charts%20stuf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hglna01\data\CC98\1.%20COMMON\Meetings%20and%20Groups\Standing%20Committees\SC63\Documents\PUBLISHED\SC63%20Doc.9.2%20Annual%20contributions\drafts\ed%20charts%20stuff.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tint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0FB-4205-855D-8672BC5605DC}"/>
              </c:ext>
            </c:extLst>
          </c:dPt>
          <c:dPt>
            <c:idx val="1"/>
            <c:bubble3D val="0"/>
            <c:spPr>
              <a:solidFill>
                <a:schemeClr val="accent1">
                  <a:tint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0FB-4205-855D-8672BC5605DC}"/>
              </c:ext>
            </c:extLst>
          </c:dPt>
          <c:dPt>
            <c:idx val="2"/>
            <c:bubble3D val="0"/>
            <c:spPr>
              <a:solidFill>
                <a:schemeClr val="accent1">
                  <a:shade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0FB-4205-855D-8672BC5605DC}"/>
              </c:ext>
            </c:extLst>
          </c:dPt>
          <c:dPt>
            <c:idx val="3"/>
            <c:bubble3D val="0"/>
            <c:spPr>
              <a:solidFill>
                <a:schemeClr val="accent1">
                  <a:shade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0FB-4205-855D-8672BC5605D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60FB-4205-855D-8672BC5605DC}"/>
                </c:ext>
              </c:extLst>
            </c:dLbl>
            <c:dLbl>
              <c:idx val="1"/>
              <c:layout>
                <c:manualLayout>
                  <c:x val="2.5097055373211788E-2"/>
                  <c:y val="-4.8979913225132725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41297047827953737"/>
                      <c:h val="0.16648497509239915"/>
                    </c:manualLayout>
                  </c15:layout>
                </c:ext>
                <c:ext xmlns:c16="http://schemas.microsoft.com/office/drawing/2014/chart" uri="{C3380CC4-5D6E-409C-BE32-E72D297353CC}">
                  <c16:uniqueId val="{00000003-60FB-4205-855D-8672BC5605DC}"/>
                </c:ext>
              </c:extLst>
            </c:dLbl>
            <c:dLbl>
              <c:idx val="2"/>
              <c:layout>
                <c:manualLayout>
                  <c:x val="-1.3022089999153431E-2"/>
                  <c:y val="-8.284165175916956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1933012767935254"/>
                      <c:h val="0.26444428767561878"/>
                    </c:manualLayout>
                  </c15:layout>
                </c:ext>
                <c:ext xmlns:c16="http://schemas.microsoft.com/office/drawing/2014/chart" uri="{C3380CC4-5D6E-409C-BE32-E72D297353CC}">
                  <c16:uniqueId val="{00000005-60FB-4205-855D-8672BC5605DC}"/>
                </c:ext>
              </c:extLst>
            </c:dLbl>
            <c:dLbl>
              <c:idx val="3"/>
              <c:layout>
                <c:manualLayout>
                  <c:x val="-1.9471516706908469E-3"/>
                  <c:y val="8.154145864187965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7995201771653536"/>
                      <c:h val="0.26675638667151441"/>
                    </c:manualLayout>
                  </c15:layout>
                </c:ext>
                <c:ext xmlns:c16="http://schemas.microsoft.com/office/drawing/2014/chart" uri="{C3380CC4-5D6E-409C-BE32-E72D297353CC}">
                  <c16:uniqueId val="{00000007-60FB-4205-855D-8672BC5605D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'SC65'!$A$62:$A$65</c:f>
              <c:strCache>
                <c:ptCount val="4"/>
                <c:pt idx="0">
                  <c:v>No contribution outstanding</c:v>
                </c:pt>
                <c:pt idx="1">
                  <c:v>Contribution for 2024 outstanding</c:v>
                </c:pt>
                <c:pt idx="2">
                  <c:v>Contribution outstanding for up to four years</c:v>
                </c:pt>
                <c:pt idx="3">
                  <c:v>Contribution outstanding for more than four years</c:v>
                </c:pt>
              </c:strCache>
            </c:strRef>
          </c:cat>
          <c:val>
            <c:numRef>
              <c:f>'SC65'!$B$62:$B$65</c:f>
              <c:numCache>
                <c:formatCode>General</c:formatCode>
                <c:ptCount val="4"/>
                <c:pt idx="0">
                  <c:v>85</c:v>
                </c:pt>
                <c:pt idx="1">
                  <c:v>23</c:v>
                </c:pt>
                <c:pt idx="2">
                  <c:v>22</c:v>
                </c:pt>
                <c:pt idx="3">
                  <c:v>42</c:v>
                </c:pt>
              </c:numCache>
            </c:numRef>
          </c:val>
          <c:extLst>
            <c:ext xmlns:c16="http://schemas.microsoft.com/office/drawing/2014/chart" uri="{C3380CC4-5D6E-409C-BE32-E72D297353CC}">
              <c16:uniqueId val="{00000008-60FB-4205-855D-8672BC5605DC}"/>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'SC65'!$B$18</c:f>
              <c:strCache>
                <c:ptCount val="1"/>
                <c:pt idx="0">
                  <c:v>End 2023</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'SC65'!$A$19:$A$27</c:f>
              <c:strCache>
                <c:ptCount val="9"/>
                <c:pt idx="0">
                  <c:v>1</c:v>
                </c:pt>
                <c:pt idx="1">
                  <c:v>2</c:v>
                </c:pt>
                <c:pt idx="2">
                  <c:v>3</c:v>
                </c:pt>
                <c:pt idx="3">
                  <c:v>4</c:v>
                </c:pt>
                <c:pt idx="4">
                  <c:v>5</c:v>
                </c:pt>
                <c:pt idx="5">
                  <c:v>6</c:v>
                </c:pt>
                <c:pt idx="6">
                  <c:v>7</c:v>
                </c:pt>
                <c:pt idx="7">
                  <c:v>8</c:v>
                </c:pt>
                <c:pt idx="8">
                  <c:v>9+</c:v>
                </c:pt>
              </c:strCache>
            </c:strRef>
          </c:cat>
          <c:val>
            <c:numRef>
              <c:f>'SC65'!$B$19:$B$27</c:f>
              <c:numCache>
                <c:formatCode>0</c:formatCode>
                <c:ptCount val="9"/>
                <c:pt idx="0">
                  <c:v>336</c:v>
                </c:pt>
                <c:pt idx="1">
                  <c:v>265</c:v>
                </c:pt>
                <c:pt idx="2">
                  <c:v>186</c:v>
                </c:pt>
                <c:pt idx="3">
                  <c:v>128</c:v>
                </c:pt>
                <c:pt idx="4">
                  <c:v>119</c:v>
                </c:pt>
                <c:pt idx="5">
                  <c:v>86</c:v>
                </c:pt>
                <c:pt idx="6">
                  <c:v>82</c:v>
                </c:pt>
                <c:pt idx="7">
                  <c:v>75</c:v>
                </c:pt>
                <c:pt idx="8">
                  <c:v>358</c:v>
                </c:pt>
              </c:numCache>
            </c:numRef>
          </c:val>
          <c:extLst>
            <c:ext xmlns:c16="http://schemas.microsoft.com/office/drawing/2014/chart" uri="{C3380CC4-5D6E-409C-BE32-E72D297353CC}">
              <c16:uniqueId val="{00000000-B446-4C12-B5DA-824BC9A013B0}"/>
            </c:ext>
          </c:extLst>
        </c:ser>
        <c:ser>
          <c:idx val="1"/>
          <c:order val="1"/>
          <c:tx>
            <c:strRef>
              <c:f>'SC65'!$C$18</c:f>
              <c:strCache>
                <c:ptCount val="1"/>
                <c:pt idx="0">
                  <c:v>End 2024</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'SC65'!$A$19:$A$27</c:f>
              <c:strCache>
                <c:ptCount val="9"/>
                <c:pt idx="0">
                  <c:v>1</c:v>
                </c:pt>
                <c:pt idx="1">
                  <c:v>2</c:v>
                </c:pt>
                <c:pt idx="2">
                  <c:v>3</c:v>
                </c:pt>
                <c:pt idx="3">
                  <c:v>4</c:v>
                </c:pt>
                <c:pt idx="4">
                  <c:v>5</c:v>
                </c:pt>
                <c:pt idx="5">
                  <c:v>6</c:v>
                </c:pt>
                <c:pt idx="6">
                  <c:v>7</c:v>
                </c:pt>
                <c:pt idx="7">
                  <c:v>8</c:v>
                </c:pt>
                <c:pt idx="8">
                  <c:v>9+</c:v>
                </c:pt>
              </c:strCache>
            </c:strRef>
          </c:cat>
          <c:val>
            <c:numRef>
              <c:f>'SC65'!$C$19:$C$27</c:f>
              <c:numCache>
                <c:formatCode>0</c:formatCode>
                <c:ptCount val="9"/>
                <c:pt idx="0">
                  <c:v>472</c:v>
                </c:pt>
                <c:pt idx="1">
                  <c:v>283</c:v>
                </c:pt>
                <c:pt idx="2">
                  <c:v>227</c:v>
                </c:pt>
                <c:pt idx="3">
                  <c:v>126</c:v>
                </c:pt>
                <c:pt idx="4">
                  <c:v>114</c:v>
                </c:pt>
                <c:pt idx="5">
                  <c:v>95</c:v>
                </c:pt>
                <c:pt idx="6">
                  <c:v>83</c:v>
                </c:pt>
                <c:pt idx="7">
                  <c:v>79</c:v>
                </c:pt>
                <c:pt idx="8">
                  <c:v>417</c:v>
                </c:pt>
              </c:numCache>
            </c:numRef>
          </c:val>
          <c:extLst>
            <c:ext xmlns:c16="http://schemas.microsoft.com/office/drawing/2014/chart" uri="{C3380CC4-5D6E-409C-BE32-E72D297353CC}">
              <c16:uniqueId val="{00000001-B446-4C12-B5DA-824BC9A013B0}"/>
            </c:ext>
          </c:extLst>
        </c:ser>
        <c:dLbls>
          <c:dLblPos val="outEnd"/>
          <c:showLegendKey val="0"/>
          <c:showVal val="1"/>
          <c:showCatName val="0"/>
          <c:showSerName val="0"/>
          <c:showPercent val="0"/>
          <c:showBubbleSize val="0"/>
        </c:dLbls>
        <c:gapWidth val="219"/>
        <c:overlap val="-27"/>
        <c:axId val="1327033103"/>
        <c:axId val="1333370927"/>
      </c:barChart>
      <c:catAx>
        <c:axId val="13270331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years</a:t>
                </a:r>
                <a:r>
                  <a:rPr lang="en-GB" baseline="0"/>
                  <a:t> due</a:t>
                </a:r>
                <a:endParaRPr lang="en-GB"/>
              </a:p>
            </c:rich>
          </c:tx>
          <c:layout>
            <c:manualLayout>
              <c:xMode val="edge"/>
              <c:yMode val="edge"/>
              <c:x val="0.41576145311381529"/>
              <c:y val="0.846023035355874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370927"/>
        <c:crosses val="autoZero"/>
        <c:auto val="1"/>
        <c:lblAlgn val="ctr"/>
        <c:lblOffset val="100"/>
        <c:noMultiLvlLbl val="0"/>
      </c:catAx>
      <c:valAx>
        <c:axId val="13333709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Outstanding contributions ('000 CHF)</a:t>
                </a:r>
              </a:p>
            </c:rich>
          </c:tx>
          <c:layout>
            <c:manualLayout>
              <c:xMode val="edge"/>
              <c:yMode val="edge"/>
              <c:x val="9.46969696969697E-3"/>
              <c:y val="0.215194441871236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7033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A583D-6EE5-4D8D-92D8-CB01AA84E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90A58-AEAD-4B03-BE8C-9E71A5E45EFF}">
  <ds:schemaRefs>
    <ds:schemaRef ds:uri="http://purl.org/dc/elements/1.1/"/>
    <ds:schemaRef ds:uri="a3a2dff7-4331-4a95-9af9-6b2cd4e65ac3"/>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caa2b1f-0678-4421-92e9-1090174541bd"/>
    <ds:schemaRef ds:uri="http://www.w3.org/XML/1998/namespace"/>
    <ds:schemaRef ds:uri="http://purl.org/dc/dcmitype/"/>
  </ds:schemaRefs>
</ds:datastoreItem>
</file>

<file path=customXml/itemProps3.xml><?xml version="1.0" encoding="utf-8"?>
<ds:datastoreItem xmlns:ds="http://schemas.openxmlformats.org/officeDocument/2006/customXml" ds:itemID="{80F1C0FF-15B4-4948-8804-455E8B311F8A}">
  <ds:schemaRefs>
    <ds:schemaRef ds:uri="http://schemas.openxmlformats.org/officeDocument/2006/bibliography"/>
  </ds:schemaRefs>
</ds:datastoreItem>
</file>

<file path=customXml/itemProps4.xml><?xml version="1.0" encoding="utf-8"?>
<ds:datastoreItem xmlns:ds="http://schemas.openxmlformats.org/officeDocument/2006/customXml" ds:itemID="{495315D7-C6B1-4422-8A2F-086078F66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Wetlands;"STANKOVIC Sladjana"</dc:creator>
  <cp:lastModifiedBy>JENNINGS Edmund</cp:lastModifiedBy>
  <cp:revision>2</cp:revision>
  <cp:lastPrinted>2025-01-15T15:47:00Z</cp:lastPrinted>
  <dcterms:created xsi:type="dcterms:W3CDTF">2025-04-16T08:08:00Z</dcterms:created>
  <dcterms:modified xsi:type="dcterms:W3CDTF">2025-04-16T08:08:00Z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