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6BA9" w14:textId="42673C27" w:rsidR="00940101" w:rsidRPr="007218C7" w:rsidRDefault="00940101" w:rsidP="000A2BFA">
      <w:pPr>
        <w:spacing w:after="0" w:line="240" w:lineRule="auto"/>
        <w:jc w:val="center"/>
        <w:outlineLvl w:val="0"/>
        <w:rPr>
          <w:rFonts w:ascii="Calibri" w:eastAsia="Times New Roman" w:hAnsi="Calibri" w:cs="Calibri Light"/>
          <w:b/>
          <w:bCs/>
          <w:sz w:val="24"/>
          <w:szCs w:val="24"/>
        </w:rPr>
      </w:pPr>
      <w:r w:rsidRPr="007218C7">
        <w:rPr>
          <w:rFonts w:ascii="Calibri" w:hAnsi="Calibri"/>
          <w:b/>
          <w:bCs/>
          <w:noProof/>
          <w:sz w:val="24"/>
          <w:szCs w:val="24"/>
        </w:rPr>
        <w:drawing>
          <wp:anchor distT="0" distB="0" distL="114300" distR="114300" simplePos="0" relativeHeight="251658241" behindDoc="0" locked="0" layoutInCell="1" allowOverlap="1" wp14:anchorId="32104CC1" wp14:editId="29D7E22B">
            <wp:simplePos x="0" y="0"/>
            <wp:positionH relativeFrom="margin">
              <wp:posOffset>0</wp:posOffset>
            </wp:positionH>
            <wp:positionV relativeFrom="margin">
              <wp:posOffset>-232410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CA17B3" w14:textId="1D609339" w:rsidR="00940101" w:rsidRPr="007218C7" w:rsidRDefault="00940101" w:rsidP="000A2BFA">
      <w:pPr>
        <w:spacing w:after="0" w:line="240" w:lineRule="auto"/>
        <w:jc w:val="center"/>
        <w:outlineLvl w:val="0"/>
        <w:rPr>
          <w:rFonts w:ascii="Calibri" w:eastAsia="Times New Roman" w:hAnsi="Calibri" w:cs="Calibri Light"/>
          <w:b/>
          <w:bCs/>
          <w:sz w:val="24"/>
          <w:szCs w:val="24"/>
        </w:rPr>
      </w:pPr>
      <w:r w:rsidRPr="007218C7">
        <w:rPr>
          <w:rFonts w:ascii="Calibri" w:hAnsi="Calibri"/>
          <w:b/>
          <w:bCs/>
          <w:sz w:val="24"/>
          <w:szCs w:val="24"/>
        </w:rPr>
        <w:t>15ª reunión de la Conferencia de las Partes Contratantes</w:t>
      </w:r>
    </w:p>
    <w:p w14:paraId="04FBF7B0" w14:textId="77777777" w:rsidR="00940101" w:rsidRPr="007218C7" w:rsidRDefault="00940101" w:rsidP="000A2BFA">
      <w:pPr>
        <w:spacing w:after="0" w:line="240" w:lineRule="auto"/>
        <w:jc w:val="center"/>
        <w:outlineLvl w:val="0"/>
        <w:rPr>
          <w:rFonts w:ascii="Calibri" w:eastAsia="Times New Roman" w:hAnsi="Calibri" w:cs="Calibri Light"/>
          <w:b/>
          <w:bCs/>
          <w:sz w:val="24"/>
          <w:szCs w:val="24"/>
        </w:rPr>
      </w:pPr>
      <w:r w:rsidRPr="007218C7">
        <w:rPr>
          <w:rFonts w:ascii="Calibri" w:hAnsi="Calibri"/>
          <w:b/>
          <w:bCs/>
          <w:sz w:val="24"/>
          <w:szCs w:val="24"/>
        </w:rPr>
        <w:t>en la Convención sobre los Humedales</w:t>
      </w:r>
    </w:p>
    <w:p w14:paraId="5159BD41" w14:textId="77777777" w:rsidR="00940101" w:rsidRPr="007218C7" w:rsidRDefault="00940101" w:rsidP="000A2BFA">
      <w:pPr>
        <w:spacing w:after="0" w:line="240" w:lineRule="auto"/>
        <w:jc w:val="center"/>
        <w:outlineLvl w:val="0"/>
        <w:rPr>
          <w:rFonts w:ascii="Calibri" w:eastAsia="Times New Roman" w:hAnsi="Calibri" w:cs="Calibri Light"/>
          <w:b/>
          <w:bCs/>
          <w:sz w:val="24"/>
          <w:szCs w:val="24"/>
        </w:rPr>
      </w:pPr>
    </w:p>
    <w:p w14:paraId="7ABE47CB" w14:textId="114547A1" w:rsidR="00940101" w:rsidRPr="007218C7" w:rsidRDefault="00940101" w:rsidP="000A2BFA">
      <w:pPr>
        <w:spacing w:after="0" w:line="240" w:lineRule="auto"/>
        <w:jc w:val="center"/>
        <w:outlineLvl w:val="0"/>
        <w:rPr>
          <w:rFonts w:ascii="Calibri" w:eastAsia="Times New Roman" w:hAnsi="Calibri" w:cs="Calibri Light"/>
          <w:b/>
          <w:bCs/>
          <w:sz w:val="24"/>
          <w:szCs w:val="24"/>
        </w:rPr>
      </w:pPr>
      <w:r w:rsidRPr="007218C7">
        <w:rPr>
          <w:rFonts w:ascii="Calibri" w:hAnsi="Calibri"/>
          <w:b/>
          <w:bCs/>
          <w:sz w:val="24"/>
          <w:szCs w:val="24"/>
        </w:rPr>
        <w:t>“Proteger los humedales para nuestro futuro común”</w:t>
      </w:r>
    </w:p>
    <w:p w14:paraId="70D52723" w14:textId="39DBDAFC" w:rsidR="00940101" w:rsidRPr="007218C7" w:rsidRDefault="00940101" w:rsidP="000A2BFA">
      <w:pPr>
        <w:spacing w:after="0" w:line="240" w:lineRule="auto"/>
        <w:jc w:val="center"/>
        <w:outlineLvl w:val="0"/>
        <w:rPr>
          <w:rFonts w:ascii="Calibri" w:eastAsia="Times New Roman" w:hAnsi="Calibri" w:cs="Calibri Light"/>
          <w:b/>
          <w:bCs/>
          <w:sz w:val="24"/>
          <w:szCs w:val="24"/>
        </w:rPr>
      </w:pPr>
      <w:r w:rsidRPr="007218C7">
        <w:rPr>
          <w:rFonts w:ascii="Calibri" w:hAnsi="Calibri"/>
          <w:b/>
          <w:bCs/>
          <w:sz w:val="24"/>
          <w:szCs w:val="24"/>
        </w:rPr>
        <w:t>Victoria Falls (Zimbabwe), 23 a 31 de julio de 2025</w:t>
      </w:r>
    </w:p>
    <w:p w14:paraId="3C4B553D" w14:textId="77777777" w:rsidR="00940101" w:rsidRPr="008B1136" w:rsidRDefault="00940101" w:rsidP="000A2BFA">
      <w:pPr>
        <w:spacing w:after="0" w:line="240" w:lineRule="auto"/>
        <w:jc w:val="center"/>
        <w:outlineLvl w:val="0"/>
        <w:rPr>
          <w:rFonts w:ascii="Calibri" w:eastAsia="Times New Roman" w:hAnsi="Calibri" w:cs="Calibri Light"/>
          <w:b/>
          <w:bCs/>
        </w:rPr>
      </w:pPr>
    </w:p>
    <w:p w14:paraId="3111D1D0" w14:textId="766BBF9B" w:rsidR="00940101" w:rsidRPr="008B1136" w:rsidRDefault="00940101" w:rsidP="000A2BFA">
      <w:pPr>
        <w:spacing w:after="0" w:line="240" w:lineRule="auto"/>
        <w:jc w:val="center"/>
        <w:outlineLvl w:val="0"/>
        <w:rPr>
          <w:rFonts w:ascii="Calibri" w:eastAsia="Times New Roman" w:hAnsi="Calibri" w:cs="Calibri Light"/>
          <w:b/>
          <w:bCs/>
        </w:rPr>
      </w:pPr>
    </w:p>
    <w:p w14:paraId="13AAEB70" w14:textId="77777777" w:rsidR="00940101" w:rsidRPr="008B1136" w:rsidRDefault="00940101" w:rsidP="000A2BFA">
      <w:pPr>
        <w:spacing w:after="0" w:line="240" w:lineRule="auto"/>
        <w:jc w:val="center"/>
        <w:outlineLvl w:val="0"/>
        <w:rPr>
          <w:rFonts w:ascii="Calibri" w:eastAsia="Times New Roman" w:hAnsi="Calibri" w:cs="Calibri Light"/>
          <w:b/>
          <w:bCs/>
        </w:rPr>
      </w:pPr>
    </w:p>
    <w:p w14:paraId="1F16D71F" w14:textId="2D887BCF" w:rsidR="00940101" w:rsidRPr="008B1136" w:rsidRDefault="00940101" w:rsidP="000A2BFA">
      <w:pPr>
        <w:spacing w:after="0" w:line="240" w:lineRule="auto"/>
        <w:jc w:val="right"/>
        <w:rPr>
          <w:rFonts w:ascii="Calibri" w:hAnsi="Calibri"/>
        </w:rPr>
      </w:pPr>
    </w:p>
    <w:p w14:paraId="7391A9F6" w14:textId="6EE783E4" w:rsidR="00E51FD3" w:rsidRPr="008B1136" w:rsidRDefault="008946C0" w:rsidP="000A2BFA">
      <w:pPr>
        <w:spacing w:after="0" w:line="240" w:lineRule="auto"/>
        <w:jc w:val="right"/>
        <w:rPr>
          <w:rFonts w:ascii="Calibri" w:hAnsi="Calibri" w:cs="Calibri"/>
          <w:sz w:val="28"/>
          <w:szCs w:val="28"/>
        </w:rPr>
      </w:pPr>
      <w:r w:rsidRPr="008B1136">
        <w:rPr>
          <w:rFonts w:ascii="Calibri" w:hAnsi="Calibri"/>
          <w:b/>
          <w:sz w:val="28"/>
          <w:szCs w:val="28"/>
        </w:rPr>
        <w:t>COP15 Inf.1</w:t>
      </w:r>
    </w:p>
    <w:p w14:paraId="2EFB25DF" w14:textId="77777777" w:rsidR="00E51FD3" w:rsidRPr="008B1136" w:rsidRDefault="00E51FD3" w:rsidP="000A2BFA">
      <w:pPr>
        <w:spacing w:after="0" w:line="240" w:lineRule="auto"/>
        <w:jc w:val="center"/>
        <w:rPr>
          <w:rFonts w:ascii="Calibri" w:hAnsi="Calibri" w:cs="Calibri"/>
          <w:b/>
          <w:bCs/>
          <w:sz w:val="28"/>
          <w:szCs w:val="28"/>
        </w:rPr>
      </w:pPr>
    </w:p>
    <w:p w14:paraId="18373828" w14:textId="62E185B3" w:rsidR="007B769F" w:rsidRPr="008B1136" w:rsidRDefault="007B769F" w:rsidP="000A2BFA">
      <w:pPr>
        <w:spacing w:after="0" w:line="240" w:lineRule="auto"/>
        <w:jc w:val="center"/>
        <w:rPr>
          <w:rFonts w:ascii="Calibri" w:hAnsi="Calibri" w:cs="Calibri"/>
          <w:b/>
          <w:bCs/>
          <w:sz w:val="28"/>
          <w:szCs w:val="28"/>
        </w:rPr>
      </w:pPr>
      <w:r w:rsidRPr="008B1136">
        <w:rPr>
          <w:rFonts w:ascii="Calibri" w:hAnsi="Calibri"/>
          <w:b/>
          <w:bCs/>
          <w:sz w:val="28"/>
          <w:szCs w:val="28"/>
        </w:rPr>
        <w:t>Documento informativo para apoyar el aumento del presupuesto básico de la Secretaría para 2026-</w:t>
      </w:r>
      <w:r w:rsidR="008B1136" w:rsidRPr="008B1136">
        <w:rPr>
          <w:rFonts w:ascii="Calibri" w:hAnsi="Calibri"/>
          <w:b/>
          <w:bCs/>
          <w:sz w:val="28"/>
          <w:szCs w:val="28"/>
        </w:rPr>
        <w:t>2028 presentado</w:t>
      </w:r>
      <w:r w:rsidRPr="008B1136">
        <w:rPr>
          <w:rFonts w:ascii="Calibri" w:hAnsi="Calibri"/>
          <w:b/>
          <w:bCs/>
          <w:sz w:val="28"/>
          <w:szCs w:val="28"/>
        </w:rPr>
        <w:t xml:space="preserve"> en el documento COP15 Doc.23.1</w:t>
      </w:r>
    </w:p>
    <w:p w14:paraId="4A9736A0" w14:textId="77777777" w:rsidR="007B769F" w:rsidRPr="008B1136" w:rsidRDefault="007B769F" w:rsidP="00F312DE">
      <w:pPr>
        <w:spacing w:after="0" w:line="240" w:lineRule="auto"/>
        <w:rPr>
          <w:rFonts w:ascii="Calibri" w:hAnsi="Calibri" w:cs="Calibri"/>
        </w:rPr>
      </w:pPr>
    </w:p>
    <w:p w14:paraId="414D9596" w14:textId="77777777" w:rsidR="001E2255" w:rsidRPr="008B1136" w:rsidRDefault="001E2255" w:rsidP="000A2BFA">
      <w:pPr>
        <w:spacing w:after="0" w:line="240" w:lineRule="auto"/>
        <w:rPr>
          <w:rFonts w:ascii="Calibri" w:hAnsi="Calibri" w:cs="Calibri"/>
        </w:rPr>
      </w:pPr>
    </w:p>
    <w:p w14:paraId="6F829654" w14:textId="723F561E" w:rsidR="001E2255" w:rsidRPr="008B1136" w:rsidRDefault="00995DB2" w:rsidP="000A2BFA">
      <w:pPr>
        <w:spacing w:after="0" w:line="240" w:lineRule="auto"/>
        <w:ind w:left="426" w:hanging="426"/>
        <w:rPr>
          <w:rFonts w:ascii="Calibri" w:hAnsi="Calibri" w:cs="Calibri"/>
        </w:rPr>
      </w:pPr>
      <w:r w:rsidRPr="008B1136">
        <w:rPr>
          <w:rFonts w:ascii="Calibri" w:hAnsi="Calibri"/>
        </w:rPr>
        <w:t>1.</w:t>
      </w:r>
      <w:r w:rsidRPr="008B1136">
        <w:rPr>
          <w:rFonts w:ascii="Calibri" w:hAnsi="Calibri"/>
        </w:rPr>
        <w:tab/>
        <w:t xml:space="preserve">A solicitud del Subgrupo de Finanzas y de las Partes Contratantes, la Secretaría ha preparado este documento informativo en el que se proporciona la justificación de los aumentos del presupuesto básico incluidos en los escenarios presupuestarios presentados en el proyecto de resolución sobre cuestiones financieras y presupuestarias (documento COP15 Doc.23.1). </w:t>
      </w:r>
    </w:p>
    <w:p w14:paraId="5ABA4499" w14:textId="2E307500" w:rsidR="00B0767D" w:rsidRPr="008B1136" w:rsidRDefault="00B0767D" w:rsidP="000A2BFA">
      <w:pPr>
        <w:spacing w:after="0" w:line="240" w:lineRule="auto"/>
        <w:ind w:left="426" w:hanging="426"/>
        <w:rPr>
          <w:rFonts w:ascii="Calibri" w:hAnsi="Calibri" w:cs="Calibri"/>
        </w:rPr>
      </w:pPr>
    </w:p>
    <w:p w14:paraId="569AF186" w14:textId="2C7E405B" w:rsidR="00041B13" w:rsidRPr="008B1136" w:rsidRDefault="00995DB2" w:rsidP="000A2BFA">
      <w:pPr>
        <w:spacing w:after="0" w:line="240" w:lineRule="auto"/>
        <w:ind w:left="426" w:hanging="426"/>
        <w:rPr>
          <w:rFonts w:ascii="Calibri" w:hAnsi="Calibri" w:cs="Calibri"/>
        </w:rPr>
      </w:pPr>
      <w:r w:rsidRPr="008B1136">
        <w:rPr>
          <w:rFonts w:ascii="Calibri" w:hAnsi="Calibri"/>
        </w:rPr>
        <w:t>2.</w:t>
      </w:r>
      <w:r w:rsidRPr="008B1136">
        <w:rPr>
          <w:rFonts w:ascii="Calibri" w:hAnsi="Calibri"/>
        </w:rPr>
        <w:tab/>
        <w:t xml:space="preserve">El presupuesto básico de la Secretaría se ha mantenido sin modificación en 5 081 000 francos suizos al año desde 2013, a pesar del creciente número de productos y tareas encargados por las Partes Contratantes a través de resoluciones y de los efectos de la inflación. En los gráficos siguientes se presentan ejemplos de este aumento de los productos y tareas: </w:t>
      </w:r>
    </w:p>
    <w:p w14:paraId="4B7F5DB7" w14:textId="661841DD" w:rsidR="00973134" w:rsidRPr="008B1136" w:rsidRDefault="00940101" w:rsidP="000A2BFA">
      <w:pPr>
        <w:spacing w:after="0" w:line="240" w:lineRule="auto"/>
        <w:jc w:val="both"/>
        <w:rPr>
          <w:rFonts w:ascii="Calibri" w:hAnsi="Calibri" w:cs="Calibri"/>
          <w:sz w:val="24"/>
          <w:szCs w:val="24"/>
        </w:rPr>
      </w:pPr>
      <w:r w:rsidRPr="008B1136">
        <w:rPr>
          <w:rFonts w:ascii="Calibri" w:hAnsi="Calibri"/>
          <w:noProof/>
        </w:rPr>
        <w:drawing>
          <wp:anchor distT="0" distB="0" distL="114300" distR="114300" simplePos="0" relativeHeight="251658240" behindDoc="0" locked="0" layoutInCell="1" allowOverlap="1" wp14:anchorId="0E3C3DE5" wp14:editId="321883D0">
            <wp:simplePos x="0" y="0"/>
            <wp:positionH relativeFrom="margin">
              <wp:posOffset>0</wp:posOffset>
            </wp:positionH>
            <wp:positionV relativeFrom="page">
              <wp:posOffset>5642932</wp:posOffset>
            </wp:positionV>
            <wp:extent cx="2640965" cy="1661795"/>
            <wp:effectExtent l="0" t="0" r="6985" b="14605"/>
            <wp:wrapSquare wrapText="bothSides"/>
            <wp:docPr id="3" name="Chart 3">
              <a:extLst xmlns:a="http://schemas.openxmlformats.org/drawingml/2006/main">
                <a:ext uri="{FF2B5EF4-FFF2-40B4-BE49-F238E27FC236}">
                  <a16:creationId xmlns:a16="http://schemas.microsoft.com/office/drawing/2014/main" id="{130884BD-716D-4198-9470-10ABC0DBA16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019BF4D" w14:textId="6C73F262" w:rsidR="00547F0E" w:rsidRPr="008B1136" w:rsidRDefault="00547F0E" w:rsidP="000A2BFA">
      <w:pPr>
        <w:spacing w:after="0" w:line="240" w:lineRule="auto"/>
        <w:rPr>
          <w:rFonts w:ascii="Calibri" w:eastAsia="Calibri" w:hAnsi="Calibri" w:cs="Calibri"/>
          <w:b/>
          <w:kern w:val="0"/>
          <w14:ligatures w14:val="none"/>
        </w:rPr>
        <w:sectPr w:rsidR="00547F0E" w:rsidRPr="008B1136" w:rsidSect="00C85890">
          <w:footerReference w:type="default" r:id="rId10"/>
          <w:pgSz w:w="11906" w:h="16838"/>
          <w:pgMar w:top="1440" w:right="1440" w:bottom="851" w:left="1440" w:header="709" w:footer="709" w:gutter="0"/>
          <w:cols w:space="708"/>
          <w:titlePg/>
          <w:docGrid w:linePitch="360"/>
        </w:sectPr>
      </w:pPr>
    </w:p>
    <w:p w14:paraId="1264417E" w14:textId="030D920F" w:rsidR="0023414E" w:rsidRPr="008B1136" w:rsidRDefault="007218C7" w:rsidP="000A2BFA">
      <w:pPr>
        <w:spacing w:after="0" w:line="240" w:lineRule="auto"/>
        <w:rPr>
          <w:rFonts w:ascii="Calibri" w:eastAsia="Calibri" w:hAnsi="Calibri" w:cs="Calibri"/>
          <w:kern w:val="0"/>
          <w14:ligatures w14:val="none"/>
        </w:rPr>
      </w:pPr>
      <w:r w:rsidRPr="008B1136">
        <w:rPr>
          <w:rFonts w:ascii="Calibri" w:hAnsi="Calibri"/>
          <w:noProof/>
        </w:rPr>
        <w:drawing>
          <wp:anchor distT="0" distB="0" distL="114300" distR="114300" simplePos="0" relativeHeight="251658242" behindDoc="0" locked="0" layoutInCell="1" allowOverlap="1" wp14:anchorId="19A0D014" wp14:editId="450A517F">
            <wp:simplePos x="0" y="0"/>
            <wp:positionH relativeFrom="column">
              <wp:posOffset>0</wp:posOffset>
            </wp:positionH>
            <wp:positionV relativeFrom="paragraph">
              <wp:posOffset>2018665</wp:posOffset>
            </wp:positionV>
            <wp:extent cx="2640965" cy="1661795"/>
            <wp:effectExtent l="0" t="0" r="6985" b="14605"/>
            <wp:wrapTopAndBottom/>
            <wp:docPr id="1" name="Chart 1">
              <a:extLst xmlns:a="http://schemas.openxmlformats.org/drawingml/2006/main">
                <a:ext uri="{FF2B5EF4-FFF2-40B4-BE49-F238E27FC236}">
                  <a16:creationId xmlns:a16="http://schemas.microsoft.com/office/drawing/2014/main" id="{5CD20A30-FEDC-417D-A091-40BC747DE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A273973" w14:textId="4DDF1AA2" w:rsidR="00940101" w:rsidRPr="008B1136" w:rsidRDefault="00940101" w:rsidP="000A2BFA">
      <w:pPr>
        <w:spacing w:after="0" w:line="240" w:lineRule="auto"/>
        <w:rPr>
          <w:rFonts w:ascii="Calibri" w:eastAsia="Calibri" w:hAnsi="Calibri" w:cs="Calibri"/>
          <w:kern w:val="0"/>
          <w14:ligatures w14:val="none"/>
        </w:rPr>
      </w:pPr>
    </w:p>
    <w:p w14:paraId="6933A56D" w14:textId="09CFCFB9" w:rsidR="00041A66" w:rsidRPr="008B1136" w:rsidRDefault="003521E8" w:rsidP="000A2BFA">
      <w:pPr>
        <w:spacing w:after="0" w:line="240" w:lineRule="auto"/>
        <w:rPr>
          <w:rFonts w:ascii="Calibri" w:eastAsia="Calibri" w:hAnsi="Calibri" w:cs="Calibri"/>
          <w:kern w:val="0"/>
          <w14:ligatures w14:val="none"/>
        </w:rPr>
      </w:pPr>
      <w:r w:rsidRPr="008B1136">
        <w:rPr>
          <w:rFonts w:ascii="Calibri" w:hAnsi="Calibri"/>
          <w:noProof/>
        </w:rPr>
        <w:drawing>
          <wp:inline distT="0" distB="0" distL="0" distR="0" wp14:anchorId="7A512A79" wp14:editId="5ABDF306">
            <wp:extent cx="2640965" cy="1662266"/>
            <wp:effectExtent l="0" t="0" r="6985" b="14605"/>
            <wp:docPr id="344078057" name="Chart 1">
              <a:extLst xmlns:a="http://schemas.openxmlformats.org/drawingml/2006/main">
                <a:ext uri="{FF2B5EF4-FFF2-40B4-BE49-F238E27FC236}">
                  <a16:creationId xmlns:a16="http://schemas.microsoft.com/office/drawing/2014/main" id="{BF89BF6F-68C6-8132-F821-23C368A72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6D4A66" w14:textId="77777777" w:rsidR="002117B1" w:rsidRPr="008B1136" w:rsidRDefault="002117B1" w:rsidP="000A2BFA">
      <w:pPr>
        <w:spacing w:after="0" w:line="240" w:lineRule="auto"/>
        <w:rPr>
          <w:rFonts w:ascii="Calibri" w:eastAsia="Calibri" w:hAnsi="Calibri" w:cs="Calibri"/>
          <w:kern w:val="0"/>
          <w14:ligatures w14:val="none"/>
        </w:rPr>
      </w:pPr>
    </w:p>
    <w:p w14:paraId="0341503F" w14:textId="0182161F" w:rsidR="0023414E" w:rsidRPr="008B1136" w:rsidRDefault="0023414E" w:rsidP="000A2BFA">
      <w:pPr>
        <w:spacing w:after="0" w:line="240" w:lineRule="auto"/>
        <w:rPr>
          <w:rFonts w:ascii="Calibri" w:eastAsia="Calibri" w:hAnsi="Calibri" w:cs="Calibri"/>
          <w:kern w:val="0"/>
          <w14:ligatures w14:val="none"/>
        </w:rPr>
      </w:pPr>
    </w:p>
    <w:p w14:paraId="38EF7D08" w14:textId="62B065CD" w:rsidR="003521E8" w:rsidRPr="008B1136" w:rsidRDefault="003521E8" w:rsidP="000A2BFA">
      <w:pPr>
        <w:spacing w:after="0" w:line="240" w:lineRule="auto"/>
        <w:rPr>
          <w:rFonts w:ascii="Calibri" w:eastAsia="Calibri" w:hAnsi="Calibri" w:cs="Calibri"/>
          <w:kern w:val="0"/>
          <w14:ligatures w14:val="none"/>
        </w:rPr>
        <w:sectPr w:rsidR="003521E8" w:rsidRPr="008B1136" w:rsidSect="00C85890">
          <w:type w:val="continuous"/>
          <w:pgSz w:w="11906" w:h="16838"/>
          <w:pgMar w:top="1440" w:right="1440" w:bottom="1440" w:left="1440" w:header="708" w:footer="708" w:gutter="0"/>
          <w:cols w:num="2" w:space="708"/>
          <w:docGrid w:linePitch="360"/>
        </w:sectPr>
      </w:pPr>
      <w:r w:rsidRPr="008B1136">
        <w:rPr>
          <w:rFonts w:ascii="Calibri" w:hAnsi="Calibri"/>
          <w:noProof/>
        </w:rPr>
        <w:drawing>
          <wp:inline distT="0" distB="0" distL="0" distR="0" wp14:anchorId="4C88BDB0" wp14:editId="094356B4">
            <wp:extent cx="2640965" cy="1661795"/>
            <wp:effectExtent l="0" t="0" r="6985" b="14605"/>
            <wp:docPr id="10" name="Chart 10">
              <a:extLst xmlns:a="http://schemas.openxmlformats.org/drawingml/2006/main">
                <a:ext uri="{FF2B5EF4-FFF2-40B4-BE49-F238E27FC236}">
                  <a16:creationId xmlns:a16="http://schemas.microsoft.com/office/drawing/2014/main" id="{DCD32534-0528-4348-9E75-D3837143D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39C775" w14:textId="348341FD" w:rsidR="00547F0E" w:rsidRPr="008B1136" w:rsidRDefault="00F726C1" w:rsidP="000A2BFA">
      <w:pPr>
        <w:spacing w:after="0" w:line="240" w:lineRule="auto"/>
        <w:rPr>
          <w:rFonts w:ascii="Calibri" w:eastAsia="Calibri" w:hAnsi="Calibri" w:cs="Calibri"/>
          <w:b/>
          <w:kern w:val="0"/>
          <w14:ligatures w14:val="none"/>
        </w:rPr>
      </w:pPr>
      <w:r w:rsidRPr="008B1136">
        <w:rPr>
          <w:rFonts w:ascii="Calibri" w:hAnsi="Calibri"/>
          <w:noProof/>
        </w:rPr>
        <w:lastRenderedPageBreak/>
        <w:drawing>
          <wp:anchor distT="0" distB="0" distL="114300" distR="114300" simplePos="0" relativeHeight="251659266" behindDoc="0" locked="0" layoutInCell="1" allowOverlap="1" wp14:anchorId="19A0AEEB" wp14:editId="2697776C">
            <wp:simplePos x="0" y="0"/>
            <wp:positionH relativeFrom="column">
              <wp:posOffset>3002157</wp:posOffset>
            </wp:positionH>
            <wp:positionV relativeFrom="paragraph">
              <wp:posOffset>32964</wp:posOffset>
            </wp:positionV>
            <wp:extent cx="2640965" cy="1661795"/>
            <wp:effectExtent l="0" t="0" r="6985" b="14605"/>
            <wp:wrapThrough wrapText="bothSides">
              <wp:wrapPolygon edited="0">
                <wp:start x="0" y="0"/>
                <wp:lineTo x="0" y="21542"/>
                <wp:lineTo x="21501" y="21542"/>
                <wp:lineTo x="21501" y="0"/>
                <wp:lineTo x="0" y="0"/>
              </wp:wrapPolygon>
            </wp:wrapThrough>
            <wp:docPr id="1389950677" name="Chart 1">
              <a:extLst xmlns:a="http://schemas.openxmlformats.org/drawingml/2006/main">
                <a:ext uri="{FF2B5EF4-FFF2-40B4-BE49-F238E27FC236}">
                  <a16:creationId xmlns:a16="http://schemas.microsoft.com/office/drawing/2014/main" id="{981659FB-BEC2-E4F1-154C-0B603EF40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8B1136">
        <w:rPr>
          <w:rFonts w:ascii="Calibri" w:hAnsi="Calibri"/>
          <w:noProof/>
        </w:rPr>
        <w:drawing>
          <wp:anchor distT="0" distB="0" distL="114300" distR="114300" simplePos="0" relativeHeight="251660290" behindDoc="0" locked="0" layoutInCell="1" allowOverlap="1" wp14:anchorId="54D0D116" wp14:editId="7DC746B1">
            <wp:simplePos x="0" y="0"/>
            <wp:positionH relativeFrom="column">
              <wp:posOffset>0</wp:posOffset>
            </wp:positionH>
            <wp:positionV relativeFrom="paragraph">
              <wp:posOffset>33228</wp:posOffset>
            </wp:positionV>
            <wp:extent cx="2640965" cy="1661795"/>
            <wp:effectExtent l="0" t="0" r="6985" b="14605"/>
            <wp:wrapNone/>
            <wp:docPr id="1145931717" name="Chart 1">
              <a:extLst xmlns:a="http://schemas.openxmlformats.org/drawingml/2006/main">
                <a:ext uri="{FF2B5EF4-FFF2-40B4-BE49-F238E27FC236}">
                  <a16:creationId xmlns:a16="http://schemas.microsoft.com/office/drawing/2014/main" id="{36D9E5D3-05A4-66D5-53FA-97716E1C1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3BA78AC" w14:textId="64773502" w:rsidR="00F726C1" w:rsidRPr="008B1136" w:rsidRDefault="00F726C1" w:rsidP="000A2BFA">
      <w:pPr>
        <w:spacing w:after="0" w:line="240" w:lineRule="auto"/>
        <w:rPr>
          <w:rFonts w:ascii="Calibri" w:eastAsia="Calibri" w:hAnsi="Calibri" w:cs="Calibri"/>
          <w:b/>
          <w:kern w:val="0"/>
          <w14:ligatures w14:val="none"/>
        </w:rPr>
      </w:pPr>
    </w:p>
    <w:p w14:paraId="730427A6" w14:textId="15677B00" w:rsidR="00F726C1" w:rsidRPr="008B1136" w:rsidRDefault="00F726C1" w:rsidP="000A2BFA">
      <w:pPr>
        <w:spacing w:after="0" w:line="240" w:lineRule="auto"/>
        <w:rPr>
          <w:rFonts w:ascii="Calibri" w:eastAsia="Calibri" w:hAnsi="Calibri" w:cs="Calibri"/>
          <w:b/>
          <w:kern w:val="0"/>
          <w14:ligatures w14:val="none"/>
        </w:rPr>
      </w:pPr>
    </w:p>
    <w:p w14:paraId="1060FE45" w14:textId="76FB7A4F" w:rsidR="00F726C1" w:rsidRPr="008B1136" w:rsidRDefault="00F726C1" w:rsidP="000A2BFA">
      <w:pPr>
        <w:spacing w:after="0" w:line="240" w:lineRule="auto"/>
        <w:rPr>
          <w:rFonts w:ascii="Calibri" w:eastAsia="Calibri" w:hAnsi="Calibri" w:cs="Calibri"/>
          <w:b/>
          <w:kern w:val="0"/>
          <w14:ligatures w14:val="none"/>
        </w:rPr>
      </w:pPr>
    </w:p>
    <w:p w14:paraId="566AB006" w14:textId="30862998" w:rsidR="00F726C1" w:rsidRPr="008B1136" w:rsidRDefault="00F726C1" w:rsidP="000A2BFA">
      <w:pPr>
        <w:spacing w:after="0" w:line="240" w:lineRule="auto"/>
        <w:rPr>
          <w:rFonts w:ascii="Calibri" w:eastAsia="Calibri" w:hAnsi="Calibri" w:cs="Calibri"/>
          <w:b/>
          <w:kern w:val="0"/>
          <w14:ligatures w14:val="none"/>
        </w:rPr>
      </w:pPr>
    </w:p>
    <w:p w14:paraId="68F56DD4" w14:textId="7E152AA6" w:rsidR="00F726C1" w:rsidRPr="008B1136" w:rsidRDefault="00F726C1" w:rsidP="000A2BFA">
      <w:pPr>
        <w:spacing w:after="0" w:line="240" w:lineRule="auto"/>
        <w:rPr>
          <w:rFonts w:ascii="Calibri" w:eastAsia="Calibri" w:hAnsi="Calibri" w:cs="Calibri"/>
          <w:b/>
          <w:kern w:val="0"/>
          <w14:ligatures w14:val="none"/>
        </w:rPr>
      </w:pPr>
    </w:p>
    <w:p w14:paraId="0ACE3286" w14:textId="1427A627" w:rsidR="00F726C1" w:rsidRPr="008B1136" w:rsidRDefault="00F726C1" w:rsidP="000A2BFA">
      <w:pPr>
        <w:spacing w:after="0" w:line="240" w:lineRule="auto"/>
        <w:rPr>
          <w:rFonts w:ascii="Calibri" w:eastAsia="Calibri" w:hAnsi="Calibri" w:cs="Calibri"/>
          <w:b/>
          <w:kern w:val="0"/>
          <w14:ligatures w14:val="none"/>
        </w:rPr>
      </w:pPr>
    </w:p>
    <w:p w14:paraId="56A34F69" w14:textId="66A5EAFF" w:rsidR="00F726C1" w:rsidRPr="008B1136" w:rsidRDefault="003A5579" w:rsidP="000A2BFA">
      <w:pPr>
        <w:spacing w:after="0" w:line="240" w:lineRule="auto"/>
        <w:rPr>
          <w:rFonts w:ascii="Calibri" w:eastAsia="Calibri" w:hAnsi="Calibri" w:cs="Calibri"/>
          <w:b/>
          <w:kern w:val="0"/>
          <w14:ligatures w14:val="none"/>
        </w:rPr>
      </w:pPr>
      <w:r w:rsidRPr="003A5579">
        <w:rPr>
          <w:rFonts w:ascii="Calibri" w:eastAsia="Times New Roman" w:hAnsi="Calibri" w:cs="Calibri Light"/>
          <w:b/>
          <w:bCs/>
          <w:noProof/>
        </w:rPr>
        <mc:AlternateContent>
          <mc:Choice Requires="wps">
            <w:drawing>
              <wp:anchor distT="45720" distB="45720" distL="114300" distR="114300" simplePos="0" relativeHeight="251662338" behindDoc="0" locked="0" layoutInCell="1" allowOverlap="1" wp14:anchorId="30C64120" wp14:editId="262BB50A">
                <wp:simplePos x="0" y="0"/>
                <wp:positionH relativeFrom="column">
                  <wp:posOffset>3295651</wp:posOffset>
                </wp:positionH>
                <wp:positionV relativeFrom="paragraph">
                  <wp:posOffset>149225</wp:posOffset>
                </wp:positionV>
                <wp:extent cx="838200" cy="3473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7345"/>
                        </a:xfrm>
                        <a:prstGeom prst="rect">
                          <a:avLst/>
                        </a:prstGeom>
                        <a:solidFill>
                          <a:srgbClr val="FFFFFF"/>
                        </a:solidFill>
                        <a:ln w="9525">
                          <a:noFill/>
                          <a:miter lim="800000"/>
                          <a:headEnd/>
                          <a:tailEnd/>
                        </a:ln>
                      </wps:spPr>
                      <wps:txbx>
                        <w:txbxContent>
                          <w:p w14:paraId="75CAF83F" w14:textId="7698553E" w:rsidR="003A5579" w:rsidRPr="003A5579" w:rsidRDefault="003A5579" w:rsidP="003A5579">
                            <w:pPr>
                              <w:spacing w:after="0" w:line="240" w:lineRule="auto"/>
                              <w:rPr>
                                <w:sz w:val="14"/>
                                <w:szCs w:val="14"/>
                                <w:lang w:val="en-GB"/>
                              </w:rPr>
                            </w:pPr>
                            <w:r w:rsidRPr="003A5579">
                              <w:rPr>
                                <w:sz w:val="14"/>
                                <w:szCs w:val="14"/>
                              </w:rPr>
                              <w:t>Número total de sitios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64120" id="_x0000_t202" coordsize="21600,21600" o:spt="202" path="m,l,21600r21600,l21600,xe">
                <v:stroke joinstyle="miter"/>
                <v:path gradientshapeok="t" o:connecttype="rect"/>
              </v:shapetype>
              <v:shape id="Text Box 2" o:spid="_x0000_s1026" type="#_x0000_t202" style="position:absolute;margin-left:259.5pt;margin-top:11.75pt;width:66pt;height:27.35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" stroked="f">
                <v:textbox>
                  <w:txbxContent>
                    <w:p w14:paraId="75CAF83F" w14:textId="7698553E" w:rsidR="003A5579" w:rsidRPr="003A5579" w:rsidRDefault="003A5579" w:rsidP="003A5579">
                      <w:pPr>
                        <w:spacing w:after="0" w:line="240" w:lineRule="auto"/>
                        <w:rPr>
                          <w:sz w:val="14"/>
                          <w:szCs w:val="14"/>
                          <w:lang w:val="en-GB"/>
                        </w:rPr>
                      </w:pPr>
                      <w:r w:rsidRPr="003A5579">
                        <w:rPr>
                          <w:sz w:val="14"/>
                          <w:szCs w:val="14"/>
                        </w:rPr>
                        <w:t>Número total de sitios</w:t>
                      </w:r>
                    </w:p>
                  </w:txbxContent>
                </v:textbox>
              </v:shape>
            </w:pict>
          </mc:Fallback>
        </mc:AlternateContent>
      </w:r>
      <w:r w:rsidRPr="003A5579">
        <w:rPr>
          <w:rFonts w:ascii="Calibri" w:eastAsia="Times New Roman" w:hAnsi="Calibri" w:cs="Calibri Light"/>
          <w:b/>
          <w:bCs/>
          <w:noProof/>
        </w:rPr>
        <mc:AlternateContent>
          <mc:Choice Requires="wps">
            <w:drawing>
              <wp:anchor distT="45720" distB="45720" distL="114300" distR="114300" simplePos="0" relativeHeight="251664386" behindDoc="0" locked="0" layoutInCell="1" allowOverlap="1" wp14:anchorId="2C9A2391" wp14:editId="422476BE">
                <wp:simplePos x="0" y="0"/>
                <wp:positionH relativeFrom="column">
                  <wp:posOffset>4229100</wp:posOffset>
                </wp:positionH>
                <wp:positionV relativeFrom="paragraph">
                  <wp:posOffset>149225</wp:posOffset>
                </wp:positionV>
                <wp:extent cx="1228725" cy="347345"/>
                <wp:effectExtent l="0" t="0" r="9525" b="0"/>
                <wp:wrapNone/>
                <wp:docPr id="205754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7345"/>
                        </a:xfrm>
                        <a:prstGeom prst="rect">
                          <a:avLst/>
                        </a:prstGeom>
                        <a:solidFill>
                          <a:srgbClr val="FFFFFF"/>
                        </a:solidFill>
                        <a:ln w="9525">
                          <a:noFill/>
                          <a:miter lim="800000"/>
                          <a:headEnd/>
                          <a:tailEnd/>
                        </a:ln>
                      </wps:spPr>
                      <wps:txbx>
                        <w:txbxContent>
                          <w:p w14:paraId="1E522756" w14:textId="1200028F" w:rsidR="003A5579" w:rsidRPr="003A5579" w:rsidRDefault="003A5579" w:rsidP="003A5579">
                            <w:pPr>
                              <w:spacing w:after="0" w:line="240" w:lineRule="auto"/>
                              <w:rPr>
                                <w:sz w:val="14"/>
                                <w:szCs w:val="14"/>
                              </w:rPr>
                            </w:pPr>
                            <w:r w:rsidRPr="003A5579">
                              <w:rPr>
                                <w:sz w:val="14"/>
                                <w:szCs w:val="14"/>
                              </w:rPr>
                              <w:t>Nuevos sitios añadidos durante el trienio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2391" id="_x0000_s1027" type="#_x0000_t202" style="position:absolute;margin-left:333pt;margin-top:11.75pt;width:96.75pt;height:27.3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4HDwIAAP0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" stroked="f">
                <v:textbox>
                  <w:txbxContent>
                    <w:p w14:paraId="1E522756" w14:textId="1200028F" w:rsidR="003A5579" w:rsidRPr="003A5579" w:rsidRDefault="003A5579" w:rsidP="003A5579">
                      <w:pPr>
                        <w:spacing w:after="0" w:line="240" w:lineRule="auto"/>
                        <w:rPr>
                          <w:sz w:val="14"/>
                          <w:szCs w:val="14"/>
                        </w:rPr>
                      </w:pPr>
                      <w:r w:rsidRPr="003A5579">
                        <w:rPr>
                          <w:sz w:val="14"/>
                          <w:szCs w:val="14"/>
                        </w:rPr>
                        <w:t>Nuevos sitios añadidos durante el trienio</w:t>
                      </w:r>
                    </w:p>
                  </w:txbxContent>
                </v:textbox>
              </v:shape>
            </w:pict>
          </mc:Fallback>
        </mc:AlternateContent>
      </w:r>
    </w:p>
    <w:p w14:paraId="3EB9D521" w14:textId="5064FCB7" w:rsidR="00F726C1" w:rsidRPr="008B1136" w:rsidRDefault="00F726C1" w:rsidP="000A2BFA">
      <w:pPr>
        <w:spacing w:after="0" w:line="240" w:lineRule="auto"/>
        <w:rPr>
          <w:rFonts w:ascii="Calibri" w:eastAsia="Calibri" w:hAnsi="Calibri" w:cs="Calibri"/>
          <w:b/>
          <w:kern w:val="0"/>
          <w14:ligatures w14:val="none"/>
        </w:rPr>
      </w:pPr>
    </w:p>
    <w:p w14:paraId="7022A761" w14:textId="692E9198" w:rsidR="00F726C1" w:rsidRPr="008B1136" w:rsidRDefault="00F726C1" w:rsidP="000A2BFA">
      <w:pPr>
        <w:spacing w:after="0" w:line="240" w:lineRule="auto"/>
        <w:rPr>
          <w:rFonts w:ascii="Calibri" w:eastAsia="Calibri" w:hAnsi="Calibri" w:cs="Calibri"/>
          <w:b/>
          <w:kern w:val="0"/>
          <w14:ligatures w14:val="none"/>
        </w:rPr>
      </w:pPr>
    </w:p>
    <w:p w14:paraId="581692B6" w14:textId="7B271F99" w:rsidR="00547F0E" w:rsidRPr="008B1136" w:rsidRDefault="00547F0E" w:rsidP="000A2BFA">
      <w:pPr>
        <w:spacing w:after="0" w:line="240" w:lineRule="auto"/>
        <w:rPr>
          <w:rFonts w:ascii="Calibri" w:eastAsia="Calibri" w:hAnsi="Calibri" w:cs="Calibri"/>
          <w:kern w:val="0"/>
          <w14:ligatures w14:val="none"/>
        </w:rPr>
      </w:pPr>
    </w:p>
    <w:p w14:paraId="175AC3A1" w14:textId="751F1787" w:rsidR="00606F72" w:rsidRPr="008B1136" w:rsidRDefault="00606F72" w:rsidP="000A2BFA">
      <w:pPr>
        <w:spacing w:after="0" w:line="240" w:lineRule="auto"/>
        <w:rPr>
          <w:rFonts w:ascii="Calibri" w:eastAsia="Calibri" w:hAnsi="Calibri" w:cs="Calibri"/>
          <w:kern w:val="0"/>
          <w14:ligatures w14:val="none"/>
        </w:rPr>
      </w:pPr>
    </w:p>
    <w:p w14:paraId="6A57CFFF" w14:textId="77777777" w:rsidR="00F726C1" w:rsidRPr="008B1136" w:rsidRDefault="00F726C1" w:rsidP="000A2BFA">
      <w:pPr>
        <w:spacing w:after="0" w:line="240" w:lineRule="auto"/>
        <w:rPr>
          <w:rFonts w:ascii="Calibri" w:eastAsia="Calibri" w:hAnsi="Calibri" w:cs="Calibri"/>
          <w:kern w:val="0"/>
          <w14:ligatures w14:val="none"/>
        </w:rPr>
        <w:sectPr w:rsidR="00F726C1" w:rsidRPr="008B1136" w:rsidSect="002E51E1">
          <w:pgSz w:w="11906" w:h="16838"/>
          <w:pgMar w:top="1440" w:right="1440" w:bottom="1440" w:left="1440" w:header="708" w:footer="708" w:gutter="0"/>
          <w:cols w:space="708"/>
          <w:docGrid w:linePitch="360"/>
        </w:sectPr>
      </w:pPr>
    </w:p>
    <w:p w14:paraId="063904A4" w14:textId="2829C8FA" w:rsidR="005557D3" w:rsidRPr="008B1136" w:rsidRDefault="00F726C1" w:rsidP="000A2BFA">
      <w:pPr>
        <w:spacing w:after="0" w:line="240" w:lineRule="auto"/>
        <w:rPr>
          <w:rFonts w:ascii="Calibri" w:hAnsi="Calibri" w:cs="Calibri"/>
          <w:b/>
          <w:bCs/>
        </w:rPr>
      </w:pPr>
      <w:r w:rsidRPr="008B1136">
        <w:rPr>
          <w:rFonts w:ascii="Calibri" w:hAnsi="Calibri"/>
          <w:b/>
          <w:bCs/>
        </w:rPr>
        <w:t>Resumen de los cuatro escenarios presentados</w:t>
      </w:r>
    </w:p>
    <w:p w14:paraId="1F0410F4" w14:textId="117CF5AF" w:rsidR="00F76419" w:rsidRPr="008B1136" w:rsidRDefault="00F76419" w:rsidP="000A2BFA">
      <w:pPr>
        <w:spacing w:after="0" w:line="240" w:lineRule="auto"/>
        <w:rPr>
          <w:rFonts w:ascii="Calibri" w:hAnsi="Calibri" w:cs="Calibri"/>
          <w:b/>
          <w:bCs/>
        </w:rPr>
      </w:pPr>
    </w:p>
    <w:p w14:paraId="67DD32E1" w14:textId="34A42F3E" w:rsidR="00F76419" w:rsidRPr="008B1136" w:rsidRDefault="00F76419" w:rsidP="009C676D">
      <w:pPr>
        <w:spacing w:after="0" w:line="240" w:lineRule="auto"/>
        <w:ind w:left="426" w:hanging="426"/>
        <w:rPr>
          <w:rFonts w:ascii="Calibri" w:hAnsi="Calibri" w:cs="Calibri"/>
        </w:rPr>
      </w:pPr>
      <w:r w:rsidRPr="008B1136">
        <w:rPr>
          <w:rFonts w:ascii="Calibri" w:hAnsi="Calibri"/>
        </w:rPr>
        <w:t>3.</w:t>
      </w:r>
      <w:r w:rsidRPr="008B1136">
        <w:rPr>
          <w:rFonts w:ascii="Calibri" w:hAnsi="Calibri"/>
        </w:rPr>
        <w:tab/>
        <w:t>Mediante la Decisión SC64-41 ii), el Comité Permanente aprobó cuatro escenarios presupuestarios para 2026-2028 que se someterán a la consideración de la COP15. Estos escenarios han sido recomendados por el Subgrupo de Finanzas tras amplios debates sobre los costes, beneficios e implicaciones estratégicas. Mediante la Decisión SC64-41 iii), el Comité Permanente solicitó que la Secretaría preparase un análisis narrativo y cuantitativo para explicar los respectivos costos y beneficios, así como las implicaciones normativas de cada escenario. En el cuadro 1 se resumen las características de los cuatro escenarios, mientras que en el cuadro 2 se ofrece una visión general de las principales implicaciones de cada uno de ellos.</w:t>
      </w:r>
    </w:p>
    <w:p w14:paraId="73B853F8" w14:textId="77777777" w:rsidR="00F76419" w:rsidRPr="008B1136" w:rsidRDefault="00F76419" w:rsidP="000A2BFA">
      <w:pPr>
        <w:spacing w:after="0" w:line="240" w:lineRule="auto"/>
        <w:rPr>
          <w:rFonts w:ascii="Calibri" w:hAnsi="Calibri" w:cs="Calibri"/>
          <w:b/>
          <w:bCs/>
        </w:rPr>
      </w:pPr>
    </w:p>
    <w:p w14:paraId="184DEA93" w14:textId="3263229A" w:rsidR="00F76419" w:rsidRPr="008B1136" w:rsidRDefault="00F76419" w:rsidP="009C676D">
      <w:pPr>
        <w:spacing w:after="0" w:line="240" w:lineRule="auto"/>
        <w:ind w:left="426" w:hanging="426"/>
        <w:contextualSpacing/>
        <w:rPr>
          <w:rFonts w:ascii="Calibri" w:hAnsi="Calibri" w:cs="Calibri"/>
          <w:iCs/>
          <w:color w:val="000000" w:themeColor="text1"/>
        </w:rPr>
      </w:pPr>
      <w:r w:rsidRPr="008B1136">
        <w:rPr>
          <w:rFonts w:ascii="Calibri" w:hAnsi="Calibri"/>
          <w:iCs/>
          <w:color w:val="000000" w:themeColor="text1"/>
        </w:rPr>
        <w:t>4.</w:t>
      </w:r>
      <w:r w:rsidRPr="008B1136">
        <w:rPr>
          <w:rFonts w:ascii="Calibri" w:hAnsi="Calibri"/>
          <w:iCs/>
          <w:color w:val="000000" w:themeColor="text1"/>
        </w:rPr>
        <w:tab/>
        <w:t>En el escenario correspondiente a un aumento del 0 %, se han incrementado algunos costes parciales relativos al personal existente para dar cumplimiento al criterio de equidad con la UICN según las recomendaciones de RR. HH. de la UICN.</w:t>
      </w:r>
      <w:r w:rsidRPr="008B1136">
        <w:rPr>
          <w:rFonts w:ascii="Calibri" w:hAnsi="Calibri"/>
          <w:bCs/>
          <w:iCs/>
          <w:color w:val="000000" w:themeColor="text1"/>
        </w:rPr>
        <w:t xml:space="preserve"> Sin embargo, éste no incluye los ajustes por coste laboral, o por rendimiento y ascensos. En esta hipótesis también se excluye la capacitación del personal y los servicios operativos para la COP16. </w:t>
      </w:r>
      <w:r w:rsidRPr="008B1136">
        <w:rPr>
          <w:rFonts w:ascii="Calibri" w:hAnsi="Calibri"/>
        </w:rPr>
        <w:t>Se han ajustado algunas partidas presupuestarias para compensar los ajustes parciales en relación con la aplicación del criterio de equidad, reflejando así el gasto real en el trienio 2023-2025</w:t>
      </w:r>
      <w:r w:rsidR="00F312DE" w:rsidRPr="008B1136">
        <w:rPr>
          <w:rStyle w:val="FootnoteReference"/>
          <w:rFonts w:ascii="Calibri" w:hAnsi="Calibri" w:cs="Calibri"/>
          <w:bCs/>
          <w:iCs/>
          <w:color w:val="000000" w:themeColor="text1"/>
        </w:rPr>
        <w:footnoteReference w:id="2"/>
      </w:r>
      <w:r w:rsidRPr="008B1136">
        <w:rPr>
          <w:rFonts w:ascii="Calibri" w:hAnsi="Calibri"/>
        </w:rPr>
        <w:t>.</w:t>
      </w:r>
    </w:p>
    <w:p w14:paraId="002CC713" w14:textId="77777777" w:rsidR="00F76419" w:rsidRPr="008B1136" w:rsidRDefault="00F76419" w:rsidP="009C676D">
      <w:pPr>
        <w:spacing w:after="0" w:line="240" w:lineRule="auto"/>
        <w:ind w:left="426" w:hanging="426"/>
        <w:contextualSpacing/>
        <w:rPr>
          <w:rFonts w:ascii="Calibri" w:hAnsi="Calibri" w:cs="Calibri"/>
          <w:iCs/>
          <w:color w:val="000000" w:themeColor="text1"/>
        </w:rPr>
      </w:pPr>
    </w:p>
    <w:p w14:paraId="50DDC3D2" w14:textId="2A232497" w:rsidR="00F76419" w:rsidRPr="008B1136" w:rsidRDefault="00F76419" w:rsidP="009C676D">
      <w:pPr>
        <w:spacing w:after="0" w:line="240" w:lineRule="auto"/>
        <w:ind w:left="426" w:hanging="426"/>
        <w:contextualSpacing/>
        <w:rPr>
          <w:rFonts w:ascii="Calibri" w:hAnsi="Calibri" w:cs="Calibri"/>
          <w:iCs/>
          <w:color w:val="000000" w:themeColor="text1"/>
        </w:rPr>
      </w:pPr>
      <w:r w:rsidRPr="008B1136">
        <w:rPr>
          <w:rFonts w:ascii="Calibri" w:hAnsi="Calibri"/>
          <w:iCs/>
          <w:color w:val="000000" w:themeColor="text1"/>
        </w:rPr>
        <w:t>5.</w:t>
      </w:r>
      <w:r w:rsidRPr="008B1136">
        <w:rPr>
          <w:rFonts w:ascii="Calibri" w:hAnsi="Calibri"/>
          <w:iCs/>
          <w:color w:val="000000" w:themeColor="text1"/>
        </w:rPr>
        <w:tab/>
      </w:r>
      <w:r w:rsidRPr="008B1136">
        <w:rPr>
          <w:rFonts w:ascii="Calibri" w:hAnsi="Calibri"/>
        </w:rPr>
        <w:t>En el escenario correspondiente a un aumento del 4,1 %, se han incrementado algunos gastos parciales del personal existente para aplicar el criterio de equidad según las recomendaciones de RR. HH. de la UICN, de la misma manera que en el escenario del 0 %, además de un ajuste por coste laboral, desempeño y ascensos.</w:t>
      </w:r>
      <w:r w:rsidRPr="008B1136">
        <w:rPr>
          <w:rFonts w:ascii="Calibri" w:hAnsi="Calibri"/>
          <w:bCs/>
        </w:rPr>
        <w:t xml:space="preserve"> En este escenario se ha incluido un nuevo puesto. La Secretaria General decidirá la mejor manera de utilizar este nuevo puesto en apoyo a las Partes Contratantes. Esta hipótesis no incluye la capacitación del personal ni los servicios operativos para la COP16. Al igual que en el escenario correspondiente a un aumento del 0 %, se han ajustado algunas partidas presupuestarias para compensar los ajustes parciales resultantes de la aplicación del criterio de equidad, los gastos de personal, y los ajustes por desempeño y promoción, reflejando así el gasto real en el trienio 2023-2025. </w:t>
      </w:r>
    </w:p>
    <w:p w14:paraId="66AE37AA" w14:textId="77777777" w:rsidR="00F76419" w:rsidRPr="008B1136" w:rsidRDefault="00F76419" w:rsidP="009C676D">
      <w:pPr>
        <w:spacing w:after="0" w:line="240" w:lineRule="auto"/>
        <w:ind w:left="426" w:hanging="426"/>
        <w:contextualSpacing/>
        <w:rPr>
          <w:rFonts w:ascii="Calibri" w:eastAsia="Batang" w:hAnsi="Calibri" w:cs="Calibri"/>
          <w:bCs/>
        </w:rPr>
      </w:pPr>
    </w:p>
    <w:p w14:paraId="449A5DF5" w14:textId="183C50EB" w:rsidR="00F76419" w:rsidRPr="008B1136" w:rsidRDefault="00F76419" w:rsidP="009C676D">
      <w:pPr>
        <w:pStyle w:val="MGfulltext"/>
        <w:spacing w:after="0"/>
        <w:ind w:left="426" w:hanging="426"/>
        <w:rPr>
          <w:rFonts w:ascii="Calibri" w:eastAsia="Batang" w:hAnsi="Calibri" w:cs="Calibri"/>
          <w:sz w:val="22"/>
          <w:szCs w:val="22"/>
        </w:rPr>
      </w:pPr>
      <w:r w:rsidRPr="008B1136">
        <w:rPr>
          <w:rFonts w:ascii="Calibri" w:hAnsi="Calibri"/>
          <w:sz w:val="22"/>
          <w:szCs w:val="22"/>
        </w:rPr>
        <w:t>6.</w:t>
      </w:r>
      <w:r w:rsidRPr="008B1136">
        <w:rPr>
          <w:rFonts w:ascii="Calibri" w:hAnsi="Calibri"/>
          <w:sz w:val="22"/>
          <w:szCs w:val="22"/>
        </w:rPr>
        <w:tab/>
        <w:t xml:space="preserve">En el escenario correspondiente a un aumento del 9,6  %, se ha incrementado el nivel de financiación básica destinado al personal, incluyendo para dos nuevos puestos, como se explica en los párrafos 11 y 12. En esta hipótesis se han ajustado los salarios de todo el personal para aplicar el criterio de equidad con los salarios de la UICN y se incluye un ajuste correspondiente al coste laboral, el desempeño y los ascensos de acuerdo con las políticas de Recursos Humanos de la UICN sobre remuneración global, desempeño y desarrollo. Esta hipótesis no incluye la capacitación del personal ni los servicios operativos para la COP16. Se han ajustado algunas </w:t>
      </w:r>
      <w:r w:rsidRPr="008B1136">
        <w:rPr>
          <w:rFonts w:ascii="Calibri" w:hAnsi="Calibri"/>
          <w:sz w:val="22"/>
          <w:szCs w:val="22"/>
        </w:rPr>
        <w:lastRenderedPageBreak/>
        <w:t>partidas presupuestarias para compensar los ajustes parciales resultantes de la aplicación del criterio de equidad, reflejando así el gasto real en el trienio 2023-2025.</w:t>
      </w:r>
    </w:p>
    <w:p w14:paraId="71135ABD" w14:textId="77777777" w:rsidR="00F76419" w:rsidRPr="008B1136" w:rsidRDefault="00F76419" w:rsidP="009C676D">
      <w:pPr>
        <w:pStyle w:val="ListParagraph"/>
        <w:spacing w:after="0" w:line="240" w:lineRule="auto"/>
        <w:ind w:left="426" w:hanging="426"/>
        <w:rPr>
          <w:rFonts w:ascii="Calibri" w:hAnsi="Calibri" w:cs="Calibri"/>
        </w:rPr>
      </w:pPr>
    </w:p>
    <w:p w14:paraId="0E8D0398" w14:textId="421C50EE" w:rsidR="00F76419" w:rsidRPr="008B1136" w:rsidRDefault="00F76419" w:rsidP="009C676D">
      <w:pPr>
        <w:pStyle w:val="MGfulltext"/>
        <w:spacing w:after="0"/>
        <w:ind w:left="426" w:hanging="426"/>
        <w:rPr>
          <w:rFonts w:ascii="Calibri" w:eastAsia="Batang" w:hAnsi="Calibri" w:cs="Calibri"/>
          <w:sz w:val="22"/>
          <w:szCs w:val="22"/>
        </w:rPr>
      </w:pPr>
      <w:r w:rsidRPr="008B1136">
        <w:rPr>
          <w:rFonts w:ascii="Calibri" w:hAnsi="Calibri"/>
          <w:sz w:val="22"/>
          <w:szCs w:val="22"/>
        </w:rPr>
        <w:t>7.</w:t>
      </w:r>
      <w:r w:rsidRPr="008B1136">
        <w:rPr>
          <w:rFonts w:ascii="Calibri" w:hAnsi="Calibri"/>
          <w:sz w:val="22"/>
          <w:szCs w:val="22"/>
        </w:rPr>
        <w:tab/>
        <w:t>El escenario correspondiente a un aumento del 11,3 % incluye todos los ajustes presentados en el escenario del 9,6 %, así como una asignación anual para la planificación de la Secretaría y la capacitación de su personal, con el fin de permitir al personal de la Secretaría llevar a cabo las actividades solicitadas por las Partes Contratantes y promover su bienestar general. Además, esta hipótesis también incluye una asignación en el año 2028 para los gastos correspondientes a la prestación de servicios relacionados con la COP16 (interpretación, traducción, redacción de informes y otros servicios de apoyo).</w:t>
      </w:r>
    </w:p>
    <w:p w14:paraId="52CF864E" w14:textId="77777777" w:rsidR="00F76419" w:rsidRPr="008B1136" w:rsidRDefault="00F76419" w:rsidP="009C676D">
      <w:pPr>
        <w:pStyle w:val="MGfulltext"/>
        <w:spacing w:after="0"/>
        <w:ind w:left="426" w:hanging="426"/>
        <w:rPr>
          <w:rFonts w:ascii="Calibri" w:eastAsia="Batang" w:hAnsi="Calibri" w:cs="Calibri"/>
          <w:sz w:val="22"/>
          <w:szCs w:val="22"/>
        </w:rPr>
      </w:pPr>
    </w:p>
    <w:p w14:paraId="7E603EFD" w14:textId="490AAB29" w:rsidR="00F76419" w:rsidRPr="008B1136" w:rsidRDefault="00F76419" w:rsidP="009C676D">
      <w:pPr>
        <w:pStyle w:val="ListParagraph"/>
        <w:spacing w:after="0" w:line="240" w:lineRule="auto"/>
        <w:ind w:left="426" w:hanging="426"/>
        <w:rPr>
          <w:rFonts w:ascii="Calibri" w:hAnsi="Calibri" w:cs="Calibri"/>
          <w:iCs/>
          <w:color w:val="000000" w:themeColor="text1"/>
        </w:rPr>
      </w:pPr>
      <w:r w:rsidRPr="008B1136">
        <w:rPr>
          <w:rFonts w:ascii="Calibri" w:hAnsi="Calibri"/>
          <w:bCs/>
          <w:iCs/>
          <w:color w:val="000000" w:themeColor="text1"/>
        </w:rPr>
        <w:t>8.</w:t>
      </w:r>
      <w:r w:rsidRPr="008B1136">
        <w:rPr>
          <w:rFonts w:ascii="Calibri" w:hAnsi="Calibri"/>
          <w:bCs/>
          <w:iCs/>
          <w:color w:val="000000" w:themeColor="text1"/>
        </w:rPr>
        <w:tab/>
      </w:r>
      <w:r w:rsidRPr="008B1136">
        <w:rPr>
          <w:rFonts w:ascii="Calibri" w:hAnsi="Calibri"/>
          <w:iCs/>
          <w:color w:val="000000" w:themeColor="text1"/>
        </w:rPr>
        <w:t xml:space="preserve">Todos los escenarios suponen la aprobación del uso del superávit de 2024 para provisiones por contribuciones pendientes de pago. </w:t>
      </w:r>
    </w:p>
    <w:p w14:paraId="6B7663D0" w14:textId="77777777" w:rsidR="005557D3" w:rsidRPr="008B1136" w:rsidRDefault="005557D3" w:rsidP="000A2BFA">
      <w:pPr>
        <w:spacing w:after="0" w:line="240" w:lineRule="auto"/>
        <w:rPr>
          <w:rFonts w:ascii="Calibri" w:hAnsi="Calibri" w:cs="Calibri"/>
          <w:b/>
          <w:bCs/>
        </w:rPr>
      </w:pPr>
    </w:p>
    <w:p w14:paraId="446A7B53" w14:textId="3A101F58" w:rsidR="00C303CD" w:rsidRPr="008B1136" w:rsidRDefault="001513A5" w:rsidP="000A2BFA">
      <w:pPr>
        <w:spacing w:after="0" w:line="240" w:lineRule="auto"/>
        <w:rPr>
          <w:rFonts w:ascii="Calibri" w:hAnsi="Calibri" w:cs="Calibri"/>
          <w:b/>
          <w:bCs/>
        </w:rPr>
      </w:pPr>
      <w:r w:rsidRPr="008B1136">
        <w:rPr>
          <w:rFonts w:ascii="Calibri" w:hAnsi="Calibri"/>
          <w:b/>
          <w:bCs/>
        </w:rPr>
        <w:t>Los aumentos propuestos en los diferentes escenarios cubren las siguientes áreas:</w:t>
      </w:r>
    </w:p>
    <w:p w14:paraId="6F23CE60" w14:textId="77777777" w:rsidR="00447123" w:rsidRPr="008B1136" w:rsidRDefault="00447123" w:rsidP="000A2BFA">
      <w:pPr>
        <w:spacing w:after="0" w:line="240" w:lineRule="auto"/>
        <w:rPr>
          <w:rFonts w:ascii="Calibri" w:hAnsi="Calibri" w:cs="Calibri"/>
        </w:rPr>
      </w:pPr>
    </w:p>
    <w:p w14:paraId="1E210621" w14:textId="3FAA4EC0" w:rsidR="00C303CD" w:rsidRPr="008B1136" w:rsidRDefault="00447123" w:rsidP="000A2BFA">
      <w:pPr>
        <w:spacing w:after="0" w:line="240" w:lineRule="auto"/>
        <w:ind w:left="426" w:hanging="426"/>
        <w:rPr>
          <w:rFonts w:ascii="Calibri" w:hAnsi="Calibri" w:cs="Calibri"/>
        </w:rPr>
      </w:pPr>
      <w:r w:rsidRPr="008B1136">
        <w:rPr>
          <w:rFonts w:ascii="Calibri" w:hAnsi="Calibri"/>
          <w:u w:val="single"/>
        </w:rPr>
        <w:t>Reforzar la capacidad de la Secretaría para contratar y retener personal cualificado</w:t>
      </w:r>
    </w:p>
    <w:p w14:paraId="1E47B7A9" w14:textId="77777777" w:rsidR="00C303CD" w:rsidRPr="008B1136" w:rsidRDefault="00C303CD" w:rsidP="000A2BFA">
      <w:pPr>
        <w:spacing w:after="0" w:line="240" w:lineRule="auto"/>
        <w:rPr>
          <w:rFonts w:ascii="Calibri" w:hAnsi="Calibri" w:cs="Calibri"/>
        </w:rPr>
      </w:pPr>
    </w:p>
    <w:p w14:paraId="618EE628" w14:textId="062D1522" w:rsidR="008A5CCC" w:rsidRPr="008B1136" w:rsidRDefault="009C676D" w:rsidP="000A2BFA">
      <w:pPr>
        <w:spacing w:after="0" w:line="240" w:lineRule="auto"/>
        <w:ind w:left="426" w:hanging="426"/>
        <w:rPr>
          <w:rFonts w:ascii="Calibri" w:hAnsi="Calibri" w:cs="Calibri"/>
        </w:rPr>
      </w:pPr>
      <w:r w:rsidRPr="008B1136">
        <w:rPr>
          <w:rFonts w:ascii="Calibri" w:hAnsi="Calibri"/>
        </w:rPr>
        <w:t>9.</w:t>
      </w:r>
      <w:r w:rsidRPr="008B1136">
        <w:rPr>
          <w:rFonts w:ascii="Calibri" w:hAnsi="Calibri"/>
        </w:rPr>
        <w:tab/>
        <w:t xml:space="preserve">El Grupo de Trabajo sobre el Fortalecimiento Institucional identificó la contratación de personal y la reducción de la rotación de personal como retos institucionales críticos. Las conclusiones del Grupo de Trabajo presentadas en el documento SC62 Doc.11 incluían que la remuneración del personal de la Secretaría no está armonizada con el marco de remuneración de la UICN y, por </w:t>
      </w:r>
      <w:r w:rsidR="008B1136" w:rsidRPr="008B1136">
        <w:rPr>
          <w:rFonts w:ascii="Calibri" w:hAnsi="Calibri"/>
        </w:rPr>
        <w:t>consiguiente, no</w:t>
      </w:r>
      <w:r w:rsidRPr="008B1136">
        <w:rPr>
          <w:rFonts w:ascii="Calibri" w:hAnsi="Calibri"/>
        </w:rPr>
        <w:t xml:space="preserve"> es competitiva en comparación con la UICN y el sistema de las Naciones Unidas. Un aumento del presupuesto básico resolverá la falta de competitividad en la remuneración del personal y contribuirá a:</w:t>
      </w:r>
    </w:p>
    <w:p w14:paraId="709ED6EB" w14:textId="77777777" w:rsidR="00427CE2" w:rsidRPr="008B1136" w:rsidRDefault="00427CE2" w:rsidP="000A2BFA">
      <w:pPr>
        <w:spacing w:after="0" w:line="240" w:lineRule="auto"/>
        <w:rPr>
          <w:rFonts w:ascii="Calibri" w:hAnsi="Calibri" w:cs="Calibri"/>
        </w:rPr>
      </w:pPr>
    </w:p>
    <w:p w14:paraId="0CFC3BC5" w14:textId="3F62050D" w:rsidR="000B142B" w:rsidRPr="008B1136" w:rsidRDefault="00275FEF" w:rsidP="000A2BFA">
      <w:pPr>
        <w:pStyle w:val="ListParagraph"/>
        <w:numPr>
          <w:ilvl w:val="1"/>
          <w:numId w:val="8"/>
        </w:numPr>
        <w:spacing w:after="0" w:line="240" w:lineRule="auto"/>
        <w:ind w:left="851" w:hanging="425"/>
        <w:contextualSpacing w:val="0"/>
        <w:rPr>
          <w:rFonts w:ascii="Calibri" w:hAnsi="Calibri" w:cs="Calibri"/>
        </w:rPr>
      </w:pPr>
      <w:r w:rsidRPr="008B1136">
        <w:rPr>
          <w:rFonts w:ascii="Calibri" w:hAnsi="Calibri"/>
        </w:rPr>
        <w:t>proporcionar equidad para el personal de la Secretaría dentro del marco de remuneración de la UICN y aumentar la competitividad en comparación con las organizaciones de las Naciones Unidas; y</w:t>
      </w:r>
    </w:p>
    <w:p w14:paraId="438DB395" w14:textId="3FF9DFBB" w:rsidR="000B142B" w:rsidRPr="008B1136" w:rsidRDefault="00275FEF" w:rsidP="000A2BFA">
      <w:pPr>
        <w:pStyle w:val="ListParagraph"/>
        <w:numPr>
          <w:ilvl w:val="1"/>
          <w:numId w:val="8"/>
        </w:numPr>
        <w:spacing w:after="0" w:line="240" w:lineRule="auto"/>
        <w:ind w:left="851" w:hanging="425"/>
        <w:contextualSpacing w:val="0"/>
        <w:rPr>
          <w:rFonts w:ascii="Calibri" w:hAnsi="Calibri" w:cs="Calibri"/>
        </w:rPr>
      </w:pPr>
      <w:r w:rsidRPr="008B1136">
        <w:rPr>
          <w:rFonts w:ascii="Calibri" w:hAnsi="Calibri"/>
        </w:rPr>
        <w:t>cubrir los ajustes por coste laboral, desempeño y ascensos de acuerdo con las políticas globales de remuneración de Recursos Humanos de la UICN.</w:t>
      </w:r>
    </w:p>
    <w:p w14:paraId="26847818" w14:textId="77777777" w:rsidR="009C676D" w:rsidRPr="008B1136" w:rsidRDefault="009C676D" w:rsidP="009C676D">
      <w:pPr>
        <w:spacing w:after="0" w:line="240" w:lineRule="auto"/>
        <w:rPr>
          <w:rFonts w:ascii="Calibri" w:hAnsi="Calibri" w:cs="Calibri"/>
        </w:rPr>
      </w:pPr>
    </w:p>
    <w:p w14:paraId="5881C6C0" w14:textId="3C831EDB" w:rsidR="009C676D" w:rsidRPr="008B1136" w:rsidRDefault="009C676D" w:rsidP="009C676D">
      <w:pPr>
        <w:spacing w:after="0" w:line="240" w:lineRule="auto"/>
        <w:ind w:left="426" w:hanging="426"/>
        <w:rPr>
          <w:rFonts w:ascii="Calibri" w:hAnsi="Calibri" w:cs="Calibri"/>
        </w:rPr>
      </w:pPr>
      <w:r w:rsidRPr="008B1136">
        <w:rPr>
          <w:rFonts w:ascii="Calibri" w:hAnsi="Calibri"/>
        </w:rPr>
        <w:t>10.</w:t>
      </w:r>
      <w:r w:rsidRPr="008B1136">
        <w:rPr>
          <w:rFonts w:ascii="Calibri" w:hAnsi="Calibri"/>
        </w:rPr>
        <w:tab/>
        <w:t>El presupuesto aprobado por la COP13 para 2019-2021 incluía una provisión para aplicar estos ajustes. En opinión de la Secretaría, es importante integrar estos ajustes.</w:t>
      </w:r>
    </w:p>
    <w:p w14:paraId="4BF811AD" w14:textId="77777777" w:rsidR="005E14F5" w:rsidRPr="008B1136" w:rsidRDefault="005E14F5" w:rsidP="000A2BFA">
      <w:pPr>
        <w:pStyle w:val="ListParagraph"/>
        <w:spacing w:after="0" w:line="240" w:lineRule="auto"/>
        <w:ind w:left="1440"/>
        <w:contextualSpacing w:val="0"/>
        <w:rPr>
          <w:rFonts w:ascii="Calibri" w:hAnsi="Calibri" w:cs="Calibri"/>
        </w:rPr>
      </w:pPr>
    </w:p>
    <w:p w14:paraId="01D4E286" w14:textId="78F1D500" w:rsidR="00447123" w:rsidRPr="008B1136" w:rsidRDefault="00447123" w:rsidP="000A2BFA">
      <w:pPr>
        <w:spacing w:after="0" w:line="240" w:lineRule="auto"/>
        <w:rPr>
          <w:rFonts w:ascii="Calibri" w:hAnsi="Calibri" w:cs="Calibri"/>
        </w:rPr>
      </w:pPr>
      <w:r w:rsidRPr="008B1136">
        <w:rPr>
          <w:rFonts w:ascii="Calibri" w:hAnsi="Calibri"/>
          <w:u w:val="single"/>
        </w:rPr>
        <w:t>Poder realizar un volumen cada vez mayor de productos y tareas encargados por las Partes Contratantes.</w:t>
      </w:r>
    </w:p>
    <w:p w14:paraId="7164FBA9" w14:textId="77777777" w:rsidR="007819B2" w:rsidRPr="008B1136" w:rsidRDefault="007819B2" w:rsidP="007819B2">
      <w:pPr>
        <w:spacing w:after="0" w:line="240" w:lineRule="auto"/>
        <w:rPr>
          <w:rFonts w:ascii="Calibri" w:hAnsi="Calibri" w:cs="Calibri"/>
        </w:rPr>
      </w:pPr>
    </w:p>
    <w:p w14:paraId="4A177615" w14:textId="11536378" w:rsidR="007819B2" w:rsidRPr="008B1136" w:rsidRDefault="002C0F29" w:rsidP="007819B2">
      <w:pPr>
        <w:spacing w:after="0" w:line="240" w:lineRule="auto"/>
        <w:ind w:left="426" w:hanging="426"/>
        <w:rPr>
          <w:rFonts w:ascii="Calibri" w:hAnsi="Calibri" w:cs="Calibri"/>
        </w:rPr>
      </w:pPr>
      <w:r w:rsidRPr="008B1136">
        <w:rPr>
          <w:rFonts w:ascii="Calibri" w:hAnsi="Calibri"/>
        </w:rPr>
        <w:t>11.</w:t>
      </w:r>
      <w:r w:rsidRPr="008B1136">
        <w:rPr>
          <w:rFonts w:ascii="Calibri" w:hAnsi="Calibri"/>
        </w:rPr>
        <w:tab/>
        <w:t>Las Partes Contratantes encargaron a la Secretaría que refuerce las comunicaciones aumentando sus actividades de divulgación y visibilidad y apoyando una mejor realización de la labor de CECoP (comunicación, fomento de capacidad, educación, participación y promoción). Para responder a esta necesidad, la Secretaría propone crear un nuevo puesto de Oficial de Comunicación que contribuirá a:</w:t>
      </w:r>
    </w:p>
    <w:p w14:paraId="0119EEDB" w14:textId="77777777" w:rsidR="007819B2" w:rsidRPr="008B1136" w:rsidRDefault="007819B2" w:rsidP="007819B2">
      <w:pPr>
        <w:spacing w:after="0" w:line="240" w:lineRule="auto"/>
        <w:rPr>
          <w:rFonts w:ascii="Calibri" w:hAnsi="Calibri" w:cs="Calibri"/>
        </w:rPr>
      </w:pPr>
    </w:p>
    <w:p w14:paraId="5AECF843" w14:textId="77777777" w:rsidR="007819B2" w:rsidRPr="008B1136" w:rsidRDefault="007819B2" w:rsidP="007819B2">
      <w:pPr>
        <w:pStyle w:val="ListParagraph"/>
        <w:numPr>
          <w:ilvl w:val="2"/>
          <w:numId w:val="10"/>
        </w:numPr>
        <w:spacing w:after="0" w:line="240" w:lineRule="auto"/>
        <w:ind w:left="851" w:hanging="425"/>
        <w:contextualSpacing w:val="0"/>
        <w:rPr>
          <w:rFonts w:ascii="Calibri" w:hAnsi="Calibri" w:cs="Calibri"/>
        </w:rPr>
      </w:pPr>
      <w:r w:rsidRPr="008B1136">
        <w:rPr>
          <w:rFonts w:ascii="Calibri" w:hAnsi="Calibri"/>
        </w:rPr>
        <w:t>desarrollar contenidos sobre los humedales y la Convención, aumentando la frecuencia y el alcance de los artículos de prensa, los artículos como líderes de opinión, los informes y las sesiones informativas;</w:t>
      </w:r>
    </w:p>
    <w:p w14:paraId="4FFCFEBA" w14:textId="77777777" w:rsidR="007819B2" w:rsidRPr="008B1136" w:rsidRDefault="007819B2" w:rsidP="007819B2">
      <w:pPr>
        <w:pStyle w:val="ListParagraph"/>
        <w:numPr>
          <w:ilvl w:val="2"/>
          <w:numId w:val="10"/>
        </w:numPr>
        <w:spacing w:after="0" w:line="240" w:lineRule="auto"/>
        <w:ind w:left="851" w:hanging="425"/>
        <w:contextualSpacing w:val="0"/>
        <w:rPr>
          <w:rFonts w:ascii="Calibri" w:hAnsi="Calibri" w:cs="Calibri"/>
        </w:rPr>
      </w:pPr>
      <w:r w:rsidRPr="008B1136">
        <w:rPr>
          <w:rFonts w:ascii="Calibri" w:hAnsi="Calibri"/>
        </w:rPr>
        <w:t>realizar la labor de CECoP (a escala mundial y en apoyo de las Partes Contratantes);</w:t>
      </w:r>
    </w:p>
    <w:p w14:paraId="37C50973" w14:textId="77777777" w:rsidR="007819B2" w:rsidRPr="008B1136" w:rsidRDefault="007819B2" w:rsidP="007819B2">
      <w:pPr>
        <w:pStyle w:val="ListParagraph"/>
        <w:numPr>
          <w:ilvl w:val="2"/>
          <w:numId w:val="10"/>
        </w:numPr>
        <w:spacing w:after="0" w:line="240" w:lineRule="auto"/>
        <w:ind w:left="851" w:hanging="425"/>
        <w:contextualSpacing w:val="0"/>
        <w:rPr>
          <w:rFonts w:ascii="Calibri" w:hAnsi="Calibri" w:cs="Calibri"/>
        </w:rPr>
      </w:pPr>
      <w:r w:rsidRPr="008B1136">
        <w:rPr>
          <w:rFonts w:ascii="Calibri" w:hAnsi="Calibri"/>
        </w:rPr>
        <w:t>llevar a cabo la labor de difusión y colocación de contenidos en los medios de comunicación; y</w:t>
      </w:r>
    </w:p>
    <w:p w14:paraId="1D085F7D" w14:textId="77777777" w:rsidR="007819B2" w:rsidRPr="008B1136" w:rsidRDefault="007819B2" w:rsidP="007819B2">
      <w:pPr>
        <w:pStyle w:val="ListParagraph"/>
        <w:numPr>
          <w:ilvl w:val="2"/>
          <w:numId w:val="10"/>
        </w:numPr>
        <w:spacing w:after="0" w:line="240" w:lineRule="auto"/>
        <w:ind w:left="851" w:hanging="425"/>
        <w:contextualSpacing w:val="0"/>
        <w:rPr>
          <w:rFonts w:ascii="Calibri" w:hAnsi="Calibri" w:cs="Calibri"/>
        </w:rPr>
      </w:pPr>
      <w:r w:rsidRPr="008B1136">
        <w:rPr>
          <w:rFonts w:ascii="Calibri" w:hAnsi="Calibri"/>
        </w:rPr>
        <w:t>promover y divulgar los productos del GECT.</w:t>
      </w:r>
    </w:p>
    <w:p w14:paraId="48255363" w14:textId="77777777" w:rsidR="007819B2" w:rsidRPr="008B1136" w:rsidRDefault="007819B2" w:rsidP="000A2BFA">
      <w:pPr>
        <w:spacing w:after="0" w:line="240" w:lineRule="auto"/>
        <w:ind w:left="426" w:hanging="426"/>
        <w:rPr>
          <w:rFonts w:ascii="Calibri" w:hAnsi="Calibri" w:cs="Calibri"/>
        </w:rPr>
      </w:pPr>
    </w:p>
    <w:p w14:paraId="14BA5009" w14:textId="471BAE76" w:rsidR="00343374" w:rsidRPr="008B1136" w:rsidRDefault="002C0F29" w:rsidP="000A2BFA">
      <w:pPr>
        <w:spacing w:after="0" w:line="240" w:lineRule="auto"/>
        <w:ind w:left="426" w:hanging="426"/>
        <w:rPr>
          <w:rFonts w:ascii="Calibri" w:hAnsi="Calibri" w:cs="Calibri"/>
        </w:rPr>
      </w:pPr>
      <w:r w:rsidRPr="008B1136">
        <w:rPr>
          <w:rFonts w:ascii="Calibri" w:hAnsi="Calibri"/>
        </w:rPr>
        <w:t>12.</w:t>
      </w:r>
      <w:r w:rsidRPr="008B1136">
        <w:rPr>
          <w:rFonts w:ascii="Calibri" w:hAnsi="Calibri"/>
        </w:rPr>
        <w:tab/>
        <w:t xml:space="preserve">Las Partes Contratantes también expresaron la necesidad de reforzar la capacidad de la Secretaría para ayudarles a completar los informes nacionales (IN), actualizar las Fichas Informativas Ramsar (FIR) y utilizar estos datos para mejorar la aplicación de la Convención. Para responder a esta necesidad, la Secretaría propone crear un nuevo puesto de Analista de Datos/Oficial de Informes que se encargará de: </w:t>
      </w:r>
    </w:p>
    <w:p w14:paraId="6D64F21B" w14:textId="06FF23EC" w:rsidR="00343374" w:rsidRPr="008B1136" w:rsidRDefault="00343374" w:rsidP="000A2BFA">
      <w:pPr>
        <w:spacing w:after="0" w:line="240" w:lineRule="auto"/>
        <w:rPr>
          <w:rFonts w:ascii="Calibri" w:eastAsia="Times New Roman" w:hAnsi="Calibri" w:cs="Calibri"/>
          <w:b/>
          <w:bCs/>
        </w:rPr>
      </w:pPr>
    </w:p>
    <w:p w14:paraId="54A8E560" w14:textId="52D0BB46" w:rsidR="00343374" w:rsidRPr="008B1136" w:rsidRDefault="00B90198" w:rsidP="000A2BFA">
      <w:pPr>
        <w:pStyle w:val="ListParagraph"/>
        <w:numPr>
          <w:ilvl w:val="1"/>
          <w:numId w:val="8"/>
        </w:numPr>
        <w:spacing w:after="0" w:line="240" w:lineRule="auto"/>
        <w:ind w:left="851" w:hanging="425"/>
        <w:contextualSpacing w:val="0"/>
        <w:rPr>
          <w:rFonts w:ascii="Calibri" w:hAnsi="Calibri" w:cs="Calibri"/>
        </w:rPr>
      </w:pPr>
      <w:r w:rsidRPr="008B1136">
        <w:rPr>
          <w:rFonts w:ascii="Calibri" w:hAnsi="Calibri"/>
        </w:rPr>
        <w:t>proporcionar un mayor apoyo a las Partes Contratantes en relación con la presentación de informes (actualizaciones de los IN y las FIR) mediante formación y orientación;</w:t>
      </w:r>
    </w:p>
    <w:p w14:paraId="6E747F8B" w14:textId="0E67D700" w:rsidR="00343374" w:rsidRPr="008B1136" w:rsidRDefault="00B90198" w:rsidP="000A2BFA">
      <w:pPr>
        <w:pStyle w:val="ListParagraph"/>
        <w:numPr>
          <w:ilvl w:val="1"/>
          <w:numId w:val="8"/>
        </w:numPr>
        <w:spacing w:after="0" w:line="240" w:lineRule="auto"/>
        <w:ind w:left="851" w:hanging="425"/>
        <w:contextualSpacing w:val="0"/>
        <w:rPr>
          <w:rFonts w:ascii="Calibri" w:hAnsi="Calibri" w:cs="Calibri"/>
        </w:rPr>
      </w:pPr>
      <w:r w:rsidRPr="008B1136">
        <w:rPr>
          <w:rFonts w:ascii="Calibri" w:hAnsi="Calibri"/>
        </w:rPr>
        <w:t>evitar la acumulación de FIR pendientes de examen por parte de la Secretaría;</w:t>
      </w:r>
    </w:p>
    <w:p w14:paraId="064DF860" w14:textId="40AFD645" w:rsidR="00343374" w:rsidRPr="008B1136" w:rsidRDefault="00B90198" w:rsidP="000A2BFA">
      <w:pPr>
        <w:pStyle w:val="ListParagraph"/>
        <w:numPr>
          <w:ilvl w:val="1"/>
          <w:numId w:val="8"/>
        </w:numPr>
        <w:spacing w:after="0" w:line="240" w:lineRule="auto"/>
        <w:ind w:left="851" w:hanging="425"/>
        <w:contextualSpacing w:val="0"/>
        <w:rPr>
          <w:rFonts w:ascii="Calibri" w:hAnsi="Calibri" w:cs="Calibri"/>
        </w:rPr>
      </w:pPr>
      <w:r w:rsidRPr="008B1136">
        <w:rPr>
          <w:rFonts w:ascii="Calibri" w:hAnsi="Calibri"/>
        </w:rPr>
        <w:t>reforzar la presentación de informes sobre los progresos realizados en la aplicación de la Convención basándose en las actualizaciones de los IN y las FIR;</w:t>
      </w:r>
    </w:p>
    <w:p w14:paraId="783E3E88" w14:textId="307A2912" w:rsidR="00343374" w:rsidRPr="008B1136" w:rsidRDefault="00B90198" w:rsidP="000A2BFA">
      <w:pPr>
        <w:pStyle w:val="ListParagraph"/>
        <w:numPr>
          <w:ilvl w:val="1"/>
          <w:numId w:val="8"/>
        </w:numPr>
        <w:spacing w:after="0" w:line="240" w:lineRule="auto"/>
        <w:ind w:left="851" w:hanging="425"/>
        <w:rPr>
          <w:rFonts w:ascii="Calibri" w:hAnsi="Calibri" w:cs="Calibri"/>
        </w:rPr>
      </w:pPr>
      <w:r w:rsidRPr="008B1136">
        <w:rPr>
          <w:rFonts w:ascii="Calibri" w:hAnsi="Calibri"/>
        </w:rPr>
        <w:t>aumentar la utilidad de las actualizaciones de los IN y las FIR para otras aplicaciones, incluido el trabajo realizado por el Grupo de Examen Científico y Técnico; </w:t>
      </w:r>
    </w:p>
    <w:p w14:paraId="4D4FC597" w14:textId="1C97A7B1" w:rsidR="00FF1100" w:rsidRPr="008B1136" w:rsidRDefault="00B90198" w:rsidP="000A2BFA">
      <w:pPr>
        <w:pStyle w:val="ListParagraph"/>
        <w:numPr>
          <w:ilvl w:val="1"/>
          <w:numId w:val="8"/>
        </w:numPr>
        <w:spacing w:after="0" w:line="240" w:lineRule="auto"/>
        <w:ind w:left="851" w:hanging="425"/>
        <w:rPr>
          <w:rFonts w:ascii="Calibri" w:hAnsi="Calibri" w:cs="Calibri"/>
        </w:rPr>
      </w:pPr>
      <w:r w:rsidRPr="008B1136">
        <w:rPr>
          <w:rFonts w:ascii="Calibri" w:hAnsi="Calibri"/>
        </w:rPr>
        <w:t>reforzar el apoyo a las Partes Contratantes en relación con los inventarios nacionales de humedales y la presentación de informes sobre el indicador 6.6.1 de los Objetivos de Desarrollo Sostenible; y</w:t>
      </w:r>
    </w:p>
    <w:p w14:paraId="7FFE9E81" w14:textId="4F2621FB" w:rsidR="6BB13223" w:rsidRPr="008B1136" w:rsidRDefault="00B90198" w:rsidP="000A2BFA">
      <w:pPr>
        <w:pStyle w:val="ListParagraph"/>
        <w:numPr>
          <w:ilvl w:val="1"/>
          <w:numId w:val="8"/>
        </w:numPr>
        <w:spacing w:after="0" w:line="240" w:lineRule="auto"/>
        <w:ind w:left="851" w:hanging="425"/>
        <w:rPr>
          <w:rFonts w:ascii="Calibri" w:hAnsi="Calibri" w:cs="Calibri"/>
        </w:rPr>
      </w:pPr>
      <w:r w:rsidRPr="008B1136">
        <w:rPr>
          <w:rFonts w:ascii="Calibri" w:hAnsi="Calibri"/>
        </w:rPr>
        <w:t>mejorar la eficacia de los procesos de manera que la Secretaría pueda aprovechar los datos disponibles para prestar servicios a los órganos subsidiarios y grupos de trabajo y preparar la documentación necesaria.</w:t>
      </w:r>
    </w:p>
    <w:p w14:paraId="3C5EC186" w14:textId="77777777" w:rsidR="00473CE3" w:rsidRPr="008B1136" w:rsidRDefault="00473CE3" w:rsidP="00473CE3">
      <w:pPr>
        <w:pStyle w:val="ListParagraph"/>
        <w:spacing w:after="0" w:line="240" w:lineRule="auto"/>
        <w:ind w:left="0"/>
        <w:rPr>
          <w:rFonts w:ascii="Calibri" w:hAnsi="Calibri" w:cs="Calibri"/>
          <w:iCs/>
          <w:color w:val="000000" w:themeColor="text1"/>
        </w:rPr>
      </w:pPr>
    </w:p>
    <w:p w14:paraId="07B82A7A" w14:textId="2C54D9E5" w:rsidR="00473CE3" w:rsidRPr="008B1136" w:rsidRDefault="00473CE3" w:rsidP="00473CE3">
      <w:pPr>
        <w:pStyle w:val="ListParagraph"/>
        <w:keepNext/>
        <w:spacing w:after="0" w:line="240" w:lineRule="auto"/>
        <w:ind w:left="0"/>
        <w:rPr>
          <w:rFonts w:ascii="Calibri" w:hAnsi="Calibri" w:cs="Calibri"/>
          <w:i/>
          <w:color w:val="000000" w:themeColor="text1"/>
        </w:rPr>
      </w:pPr>
      <w:r w:rsidRPr="008B1136">
        <w:rPr>
          <w:rFonts w:ascii="Calibri" w:hAnsi="Calibri"/>
          <w:i/>
          <w:color w:val="000000" w:themeColor="text1"/>
        </w:rPr>
        <w:t>Cuadro 1. Resumen de las implicaciones de los escenarios presupuestarios para 2026-2028 presentados a la COP15</w:t>
      </w:r>
    </w:p>
    <w:tbl>
      <w:tblPr>
        <w:tblStyle w:val="TableGrid"/>
        <w:tblW w:w="9401" w:type="dxa"/>
        <w:tblLook w:val="04A0" w:firstRow="1" w:lastRow="0" w:firstColumn="1" w:lastColumn="0" w:noHBand="0" w:noVBand="1"/>
      </w:tblPr>
      <w:tblGrid>
        <w:gridCol w:w="1161"/>
        <w:gridCol w:w="1402"/>
        <w:gridCol w:w="1731"/>
        <w:gridCol w:w="1122"/>
        <w:gridCol w:w="1359"/>
        <w:gridCol w:w="1382"/>
        <w:gridCol w:w="1244"/>
      </w:tblGrid>
      <w:tr w:rsidR="00473CE3" w:rsidRPr="008B1136" w14:paraId="271FD97C" w14:textId="77777777" w:rsidTr="003D5591">
        <w:tc>
          <w:tcPr>
            <w:tcW w:w="1208" w:type="dxa"/>
            <w:shd w:val="clear" w:color="auto" w:fill="DAE9F7" w:themeFill="text2" w:themeFillTint="1A"/>
            <w:vAlign w:val="center"/>
          </w:tcPr>
          <w:p w14:paraId="3F4244D7"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Escenario</w:t>
            </w:r>
          </w:p>
        </w:tc>
        <w:tc>
          <w:tcPr>
            <w:tcW w:w="1223" w:type="dxa"/>
            <w:shd w:val="clear" w:color="auto" w:fill="DAE9F7" w:themeFill="text2" w:themeFillTint="1A"/>
            <w:vAlign w:val="center"/>
          </w:tcPr>
          <w:p w14:paraId="6C57C09F"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Nuevos puestos en comparación con trienios anteriores</w:t>
            </w:r>
          </w:p>
        </w:tc>
        <w:tc>
          <w:tcPr>
            <w:tcW w:w="1796" w:type="dxa"/>
            <w:shd w:val="clear" w:color="auto" w:fill="DAE9F7" w:themeFill="text2" w:themeFillTint="1A"/>
            <w:vAlign w:val="center"/>
          </w:tcPr>
          <w:p w14:paraId="7D858FC4"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Ajustes por equidad para el personal existente según la recomendación de RR. HH.</w:t>
            </w:r>
          </w:p>
        </w:tc>
        <w:tc>
          <w:tcPr>
            <w:tcW w:w="1300" w:type="dxa"/>
            <w:shd w:val="clear" w:color="auto" w:fill="DAE9F7" w:themeFill="text2" w:themeFillTint="1A"/>
            <w:vAlign w:val="center"/>
          </w:tcPr>
          <w:p w14:paraId="07E943B9"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Ajuste del coste laboral</w:t>
            </w:r>
          </w:p>
        </w:tc>
        <w:tc>
          <w:tcPr>
            <w:tcW w:w="1406" w:type="dxa"/>
            <w:shd w:val="clear" w:color="auto" w:fill="DAE9F7" w:themeFill="text2" w:themeFillTint="1A"/>
            <w:vAlign w:val="center"/>
          </w:tcPr>
          <w:p w14:paraId="1AD7CAE1"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Ajustes por desempeño y promoción</w:t>
            </w:r>
          </w:p>
        </w:tc>
        <w:tc>
          <w:tcPr>
            <w:tcW w:w="1188" w:type="dxa"/>
            <w:shd w:val="clear" w:color="auto" w:fill="DAE9F7" w:themeFill="text2" w:themeFillTint="1A"/>
            <w:vAlign w:val="center"/>
          </w:tcPr>
          <w:p w14:paraId="638ED5D4"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Capacitación del personal</w:t>
            </w:r>
          </w:p>
        </w:tc>
        <w:tc>
          <w:tcPr>
            <w:tcW w:w="1280" w:type="dxa"/>
            <w:shd w:val="clear" w:color="auto" w:fill="DAE9F7" w:themeFill="text2" w:themeFillTint="1A"/>
            <w:vAlign w:val="center"/>
          </w:tcPr>
          <w:p w14:paraId="79AE19C7" w14:textId="77777777" w:rsidR="00473CE3" w:rsidRPr="008B1136" w:rsidRDefault="00473CE3" w:rsidP="003D5591">
            <w:pPr>
              <w:keepNext/>
              <w:ind w:left="0" w:firstLine="0"/>
              <w:contextualSpacing/>
              <w:jc w:val="center"/>
              <w:rPr>
                <w:rFonts w:ascii="Calibri" w:hAnsi="Calibri" w:cs="Calibri"/>
                <w:b/>
                <w:bCs/>
                <w:iCs/>
                <w:color w:val="000000" w:themeColor="text1"/>
              </w:rPr>
            </w:pPr>
            <w:r w:rsidRPr="008B1136">
              <w:rPr>
                <w:rFonts w:ascii="Calibri" w:hAnsi="Calibri"/>
                <w:b/>
                <w:bCs/>
                <w:iCs/>
                <w:color w:val="000000" w:themeColor="text1"/>
              </w:rPr>
              <w:t>Servicios operativos para la COP16 (no incluyen su acogida)</w:t>
            </w:r>
          </w:p>
        </w:tc>
      </w:tr>
      <w:tr w:rsidR="00473CE3" w:rsidRPr="008B1136" w14:paraId="04B9A72E" w14:textId="77777777" w:rsidTr="003D5591">
        <w:tc>
          <w:tcPr>
            <w:tcW w:w="1208" w:type="dxa"/>
          </w:tcPr>
          <w:p w14:paraId="0BE73CFF"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 xml:space="preserve">0 % </w:t>
            </w:r>
          </w:p>
        </w:tc>
        <w:tc>
          <w:tcPr>
            <w:tcW w:w="1223" w:type="dxa"/>
          </w:tcPr>
          <w:p w14:paraId="411BB909"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0</w:t>
            </w:r>
          </w:p>
        </w:tc>
        <w:tc>
          <w:tcPr>
            <w:tcW w:w="1796" w:type="dxa"/>
          </w:tcPr>
          <w:p w14:paraId="5F966329"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Parcial</w:t>
            </w:r>
          </w:p>
        </w:tc>
        <w:tc>
          <w:tcPr>
            <w:tcW w:w="1300" w:type="dxa"/>
          </w:tcPr>
          <w:p w14:paraId="27671462"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c>
          <w:tcPr>
            <w:tcW w:w="1406" w:type="dxa"/>
          </w:tcPr>
          <w:p w14:paraId="3885AA13"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c>
          <w:tcPr>
            <w:tcW w:w="1188" w:type="dxa"/>
          </w:tcPr>
          <w:p w14:paraId="7ADA76C3"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c>
          <w:tcPr>
            <w:tcW w:w="1280" w:type="dxa"/>
          </w:tcPr>
          <w:p w14:paraId="2A0B0B35" w14:textId="77777777" w:rsidR="00473CE3" w:rsidRPr="008B1136" w:rsidRDefault="00473CE3" w:rsidP="003D5591">
            <w:pPr>
              <w:keepNext/>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r>
      <w:tr w:rsidR="00473CE3" w:rsidRPr="008B1136" w14:paraId="7AA4CFBA" w14:textId="77777777" w:rsidTr="003D5591">
        <w:tc>
          <w:tcPr>
            <w:tcW w:w="1208" w:type="dxa"/>
          </w:tcPr>
          <w:p w14:paraId="614F48A8"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4,1 %</w:t>
            </w:r>
          </w:p>
        </w:tc>
        <w:tc>
          <w:tcPr>
            <w:tcW w:w="1223" w:type="dxa"/>
          </w:tcPr>
          <w:p w14:paraId="39A330AB"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1</w:t>
            </w:r>
          </w:p>
        </w:tc>
        <w:tc>
          <w:tcPr>
            <w:tcW w:w="1796" w:type="dxa"/>
          </w:tcPr>
          <w:p w14:paraId="448EEF94"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Parcial</w:t>
            </w:r>
          </w:p>
        </w:tc>
        <w:tc>
          <w:tcPr>
            <w:tcW w:w="1300" w:type="dxa"/>
          </w:tcPr>
          <w:p w14:paraId="3A89EA57"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406" w:type="dxa"/>
          </w:tcPr>
          <w:p w14:paraId="57EFE2D2"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188" w:type="dxa"/>
          </w:tcPr>
          <w:p w14:paraId="28DD7C9D"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c>
          <w:tcPr>
            <w:tcW w:w="1280" w:type="dxa"/>
          </w:tcPr>
          <w:p w14:paraId="54026335"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r>
      <w:tr w:rsidR="00473CE3" w:rsidRPr="008B1136" w14:paraId="55122376" w14:textId="77777777" w:rsidTr="003D5591">
        <w:tc>
          <w:tcPr>
            <w:tcW w:w="1208" w:type="dxa"/>
          </w:tcPr>
          <w:p w14:paraId="1FC20CDB"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9,6 %</w:t>
            </w:r>
          </w:p>
        </w:tc>
        <w:tc>
          <w:tcPr>
            <w:tcW w:w="1223" w:type="dxa"/>
          </w:tcPr>
          <w:p w14:paraId="7273F1D1"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2</w:t>
            </w:r>
          </w:p>
        </w:tc>
        <w:tc>
          <w:tcPr>
            <w:tcW w:w="1796" w:type="dxa"/>
          </w:tcPr>
          <w:p w14:paraId="6510CAF8"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Total</w:t>
            </w:r>
          </w:p>
        </w:tc>
        <w:tc>
          <w:tcPr>
            <w:tcW w:w="1300" w:type="dxa"/>
          </w:tcPr>
          <w:p w14:paraId="50478999"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406" w:type="dxa"/>
          </w:tcPr>
          <w:p w14:paraId="637695EF"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188" w:type="dxa"/>
          </w:tcPr>
          <w:p w14:paraId="5762EC7B"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c>
          <w:tcPr>
            <w:tcW w:w="1280" w:type="dxa"/>
          </w:tcPr>
          <w:p w14:paraId="091711CA"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No</w:t>
            </w:r>
          </w:p>
        </w:tc>
      </w:tr>
      <w:tr w:rsidR="00473CE3" w:rsidRPr="008B1136" w14:paraId="00485A21" w14:textId="77777777" w:rsidTr="003D5591">
        <w:tc>
          <w:tcPr>
            <w:tcW w:w="1208" w:type="dxa"/>
          </w:tcPr>
          <w:p w14:paraId="33E73EBC"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11,3 %</w:t>
            </w:r>
          </w:p>
        </w:tc>
        <w:tc>
          <w:tcPr>
            <w:tcW w:w="1223" w:type="dxa"/>
          </w:tcPr>
          <w:p w14:paraId="495E761B"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2</w:t>
            </w:r>
          </w:p>
        </w:tc>
        <w:tc>
          <w:tcPr>
            <w:tcW w:w="1796" w:type="dxa"/>
          </w:tcPr>
          <w:p w14:paraId="47E5D269"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Total</w:t>
            </w:r>
          </w:p>
        </w:tc>
        <w:tc>
          <w:tcPr>
            <w:tcW w:w="1300" w:type="dxa"/>
          </w:tcPr>
          <w:p w14:paraId="56C5CF80"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406" w:type="dxa"/>
          </w:tcPr>
          <w:p w14:paraId="7DB634AB"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188" w:type="dxa"/>
          </w:tcPr>
          <w:p w14:paraId="520F75C9"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c>
          <w:tcPr>
            <w:tcW w:w="1280" w:type="dxa"/>
          </w:tcPr>
          <w:p w14:paraId="36268EFD" w14:textId="77777777" w:rsidR="00473CE3" w:rsidRPr="008B1136" w:rsidRDefault="00473CE3" w:rsidP="003D5591">
            <w:pPr>
              <w:ind w:left="0" w:firstLine="0"/>
              <w:contextualSpacing/>
              <w:jc w:val="center"/>
              <w:rPr>
                <w:rFonts w:ascii="Calibri" w:hAnsi="Calibri" w:cs="Calibri"/>
                <w:iCs/>
                <w:color w:val="000000" w:themeColor="text1"/>
              </w:rPr>
            </w:pPr>
            <w:r w:rsidRPr="008B1136">
              <w:rPr>
                <w:rFonts w:ascii="Calibri" w:hAnsi="Calibri"/>
                <w:iCs/>
                <w:color w:val="000000" w:themeColor="text1"/>
              </w:rPr>
              <w:t>Sí</w:t>
            </w:r>
          </w:p>
        </w:tc>
      </w:tr>
    </w:tbl>
    <w:p w14:paraId="72B64BC6" w14:textId="77777777" w:rsidR="00473CE3" w:rsidRPr="008B1136" w:rsidRDefault="00473CE3" w:rsidP="00473CE3">
      <w:pPr>
        <w:spacing w:after="0" w:line="240" w:lineRule="auto"/>
        <w:rPr>
          <w:rFonts w:ascii="Calibri" w:hAnsi="Calibri" w:cs="Calibri"/>
          <w:b/>
          <w:bCs/>
        </w:rPr>
      </w:pPr>
    </w:p>
    <w:p w14:paraId="3C9ADC28" w14:textId="77777777" w:rsidR="002E51E1" w:rsidRPr="008B1136" w:rsidRDefault="002E51E1">
      <w:pPr>
        <w:rPr>
          <w:rFonts w:ascii="Calibri" w:hAnsi="Calibri" w:cs="Calibri"/>
        </w:rPr>
        <w:sectPr w:rsidR="002E51E1" w:rsidRPr="008B1136" w:rsidSect="00F726C1">
          <w:type w:val="continuous"/>
          <w:pgSz w:w="11906" w:h="16838"/>
          <w:pgMar w:top="1440" w:right="1440" w:bottom="1440" w:left="1440" w:header="708" w:footer="708" w:gutter="0"/>
          <w:cols w:space="708"/>
          <w:docGrid w:linePitch="360"/>
        </w:sectPr>
      </w:pPr>
    </w:p>
    <w:p w14:paraId="42CA3576" w14:textId="147E5647" w:rsidR="00C85890" w:rsidRPr="008B1136" w:rsidRDefault="00A20805" w:rsidP="002E51E1">
      <w:pPr>
        <w:spacing w:after="0" w:line="240" w:lineRule="auto"/>
        <w:rPr>
          <w:rFonts w:ascii="Calibri" w:hAnsi="Calibri" w:cs="Calibri"/>
          <w:i/>
          <w:iCs/>
        </w:rPr>
      </w:pPr>
      <w:r w:rsidRPr="008B1136">
        <w:rPr>
          <w:rFonts w:ascii="Calibri" w:hAnsi="Calibri"/>
          <w:i/>
          <w:iCs/>
        </w:rPr>
        <w:lastRenderedPageBreak/>
        <w:t>Cuadro 2. Resumen de las principales implicaciones de los escenarios presupuestarios para 2026-2028</w:t>
      </w:r>
    </w:p>
    <w:tbl>
      <w:tblPr>
        <w:tblStyle w:val="TableGrid"/>
        <w:tblW w:w="14312" w:type="dxa"/>
        <w:tblLook w:val="04A0" w:firstRow="1" w:lastRow="0" w:firstColumn="1" w:lastColumn="0" w:noHBand="0" w:noVBand="1"/>
      </w:tblPr>
      <w:tblGrid>
        <w:gridCol w:w="1589"/>
        <w:gridCol w:w="3156"/>
        <w:gridCol w:w="3793"/>
        <w:gridCol w:w="2957"/>
        <w:gridCol w:w="2817"/>
      </w:tblGrid>
      <w:tr w:rsidR="00DF6A21" w:rsidRPr="008B1136" w14:paraId="485427C5" w14:textId="77777777" w:rsidTr="00043D1B">
        <w:trPr>
          <w:tblHeader/>
        </w:trPr>
        <w:tc>
          <w:tcPr>
            <w:tcW w:w="1493" w:type="dxa"/>
            <w:shd w:val="clear" w:color="auto" w:fill="DAE9F7" w:themeFill="text2" w:themeFillTint="1A"/>
            <w:vAlign w:val="center"/>
          </w:tcPr>
          <w:p w14:paraId="45AE9DFD" w14:textId="77777777" w:rsidR="00A90311" w:rsidRPr="008B1136" w:rsidRDefault="004E1AB1" w:rsidP="00043D1B">
            <w:pPr>
              <w:jc w:val="center"/>
              <w:rPr>
                <w:rFonts w:ascii="Calibri" w:hAnsi="Calibri" w:cs="Calibri"/>
                <w:b/>
                <w:bCs/>
              </w:rPr>
            </w:pPr>
            <w:r w:rsidRPr="008B1136">
              <w:rPr>
                <w:rFonts w:ascii="Calibri" w:hAnsi="Calibri"/>
                <w:b/>
                <w:bCs/>
              </w:rPr>
              <w:t>Descripción</w:t>
            </w:r>
          </w:p>
          <w:p w14:paraId="524CB676" w14:textId="4F780489" w:rsidR="004E1AB1" w:rsidRPr="008B1136" w:rsidRDefault="004E1AB1" w:rsidP="00043D1B">
            <w:pPr>
              <w:jc w:val="center"/>
              <w:rPr>
                <w:rFonts w:ascii="Calibri" w:hAnsi="Calibri" w:cs="Calibri"/>
              </w:rPr>
            </w:pPr>
          </w:p>
        </w:tc>
        <w:tc>
          <w:tcPr>
            <w:tcW w:w="3180" w:type="dxa"/>
            <w:shd w:val="clear" w:color="auto" w:fill="DAE9F7" w:themeFill="text2" w:themeFillTint="1A"/>
            <w:vAlign w:val="center"/>
          </w:tcPr>
          <w:p w14:paraId="6400B28B" w14:textId="78D3A9FE" w:rsidR="00A90311" w:rsidRPr="008B1136" w:rsidRDefault="00A90311" w:rsidP="00043D1B">
            <w:pPr>
              <w:ind w:left="0" w:firstLine="0"/>
              <w:jc w:val="center"/>
              <w:outlineLvl w:val="1"/>
              <w:rPr>
                <w:rFonts w:ascii="Calibri" w:hAnsi="Calibri" w:cs="Calibri"/>
                <w:b/>
                <w:bCs/>
              </w:rPr>
            </w:pPr>
            <w:r w:rsidRPr="008B1136">
              <w:rPr>
                <w:rFonts w:ascii="Calibri" w:hAnsi="Calibri"/>
                <w:b/>
              </w:rPr>
              <w:t>Escenario con un aumento nominal del 0 %</w:t>
            </w:r>
          </w:p>
        </w:tc>
        <w:tc>
          <w:tcPr>
            <w:tcW w:w="3827" w:type="dxa"/>
            <w:shd w:val="clear" w:color="auto" w:fill="DAE9F7" w:themeFill="text2" w:themeFillTint="1A"/>
            <w:vAlign w:val="center"/>
          </w:tcPr>
          <w:p w14:paraId="744C8FFE" w14:textId="77777777" w:rsidR="00A90311" w:rsidRPr="008B1136" w:rsidRDefault="00A90311" w:rsidP="00043D1B">
            <w:pPr>
              <w:jc w:val="center"/>
              <w:rPr>
                <w:rFonts w:ascii="Calibri" w:hAnsi="Calibri" w:cs="Calibri"/>
                <w:b/>
                <w:bCs/>
              </w:rPr>
            </w:pPr>
            <w:r w:rsidRPr="008B1136">
              <w:rPr>
                <w:rFonts w:ascii="Calibri" w:hAnsi="Calibri"/>
                <w:b/>
                <w:bCs/>
              </w:rPr>
              <w:t xml:space="preserve">Escenario con un aumento </w:t>
            </w:r>
          </w:p>
          <w:p w14:paraId="09CE6AFF" w14:textId="2F4412DA" w:rsidR="004E1AB1" w:rsidRPr="008B1136" w:rsidRDefault="004E1AB1" w:rsidP="00043D1B">
            <w:pPr>
              <w:ind w:left="0" w:firstLine="0"/>
              <w:jc w:val="center"/>
              <w:outlineLvl w:val="1"/>
              <w:rPr>
                <w:rFonts w:ascii="Calibri" w:hAnsi="Calibri" w:cs="Calibri"/>
                <w:b/>
              </w:rPr>
            </w:pPr>
            <w:r w:rsidRPr="008B1136">
              <w:rPr>
                <w:rFonts w:ascii="Calibri" w:hAnsi="Calibri"/>
                <w:b/>
              </w:rPr>
              <w:t>nominal del 4,1 %</w:t>
            </w:r>
          </w:p>
        </w:tc>
        <w:tc>
          <w:tcPr>
            <w:tcW w:w="2977" w:type="dxa"/>
            <w:shd w:val="clear" w:color="auto" w:fill="DAE9F7" w:themeFill="text2" w:themeFillTint="1A"/>
            <w:vAlign w:val="center"/>
          </w:tcPr>
          <w:p w14:paraId="4EEB6CB6" w14:textId="6DE58486" w:rsidR="00A90311" w:rsidRPr="008B1136" w:rsidRDefault="00A90311" w:rsidP="00043D1B">
            <w:pPr>
              <w:ind w:left="0" w:firstLine="0"/>
              <w:jc w:val="center"/>
              <w:outlineLvl w:val="1"/>
              <w:rPr>
                <w:rFonts w:ascii="Calibri" w:hAnsi="Calibri" w:cs="Calibri"/>
                <w:b/>
                <w:bCs/>
              </w:rPr>
            </w:pPr>
            <w:r w:rsidRPr="008B1136">
              <w:rPr>
                <w:rFonts w:ascii="Calibri" w:hAnsi="Calibri"/>
                <w:b/>
              </w:rPr>
              <w:t>Escenario con un aumento nominal del 9,6 %</w:t>
            </w:r>
          </w:p>
        </w:tc>
        <w:tc>
          <w:tcPr>
            <w:tcW w:w="2835" w:type="dxa"/>
            <w:shd w:val="clear" w:color="auto" w:fill="DAE9F7" w:themeFill="text2" w:themeFillTint="1A"/>
            <w:vAlign w:val="center"/>
          </w:tcPr>
          <w:p w14:paraId="38B6652C" w14:textId="62B1685D" w:rsidR="009A469F" w:rsidRPr="008B1136" w:rsidRDefault="00A90311" w:rsidP="00043D1B">
            <w:pPr>
              <w:ind w:left="0" w:firstLine="0"/>
              <w:jc w:val="center"/>
              <w:outlineLvl w:val="1"/>
              <w:rPr>
                <w:rFonts w:ascii="Calibri" w:hAnsi="Calibri" w:cs="Calibri"/>
                <w:b/>
                <w:bCs/>
              </w:rPr>
            </w:pPr>
            <w:r w:rsidRPr="008B1136">
              <w:rPr>
                <w:rFonts w:ascii="Calibri" w:hAnsi="Calibri"/>
                <w:b/>
              </w:rPr>
              <w:t>Escenario con un aumento nominal del 11,3 %</w:t>
            </w:r>
          </w:p>
        </w:tc>
      </w:tr>
      <w:tr w:rsidR="00DF6A21" w:rsidRPr="008B1136" w14:paraId="0F5148EB" w14:textId="77777777" w:rsidTr="00736ED7">
        <w:tc>
          <w:tcPr>
            <w:tcW w:w="1493" w:type="dxa"/>
          </w:tcPr>
          <w:p w14:paraId="5F8681C9" w14:textId="03F692A0" w:rsidR="00A90311" w:rsidRPr="008B1136" w:rsidRDefault="00DB012E" w:rsidP="000A2BFA">
            <w:pPr>
              <w:ind w:left="0" w:firstLine="0"/>
              <w:outlineLvl w:val="1"/>
              <w:rPr>
                <w:rFonts w:ascii="Calibri" w:eastAsia="Calibri" w:hAnsi="Calibri" w:cs="Calibri"/>
                <w:b/>
              </w:rPr>
            </w:pPr>
            <w:r w:rsidRPr="008B1136">
              <w:rPr>
                <w:rFonts w:ascii="Calibri" w:hAnsi="Calibri"/>
                <w:b/>
              </w:rPr>
              <w:t>Ventajas y puntos fuertes</w:t>
            </w:r>
          </w:p>
        </w:tc>
        <w:tc>
          <w:tcPr>
            <w:tcW w:w="3180" w:type="dxa"/>
          </w:tcPr>
          <w:p w14:paraId="462DF853" w14:textId="1AE1908A" w:rsidR="009D0248" w:rsidRPr="008B1136" w:rsidRDefault="00CB5443" w:rsidP="000A2BFA">
            <w:pPr>
              <w:ind w:left="0" w:firstLine="0"/>
              <w:outlineLvl w:val="1"/>
              <w:rPr>
                <w:rFonts w:ascii="Calibri" w:eastAsia="Calibri" w:hAnsi="Calibri" w:cs="Calibri"/>
                <w:bCs/>
              </w:rPr>
            </w:pPr>
            <w:r w:rsidRPr="008B1136">
              <w:rPr>
                <w:rFonts w:ascii="Calibri" w:hAnsi="Calibri"/>
                <w:bCs/>
              </w:rPr>
              <w:t>No se incrementan las contribuciones asignadas a las Partes Contratantes.</w:t>
            </w:r>
          </w:p>
        </w:tc>
        <w:tc>
          <w:tcPr>
            <w:tcW w:w="3827" w:type="dxa"/>
          </w:tcPr>
          <w:p w14:paraId="1A119935" w14:textId="6108AEC9" w:rsidR="004404E8" w:rsidRPr="008B1136" w:rsidRDefault="004404E8" w:rsidP="000A2BFA">
            <w:pPr>
              <w:ind w:left="0" w:firstLine="0"/>
              <w:outlineLvl w:val="1"/>
              <w:rPr>
                <w:rFonts w:ascii="Calibri" w:eastAsia="Calibri" w:hAnsi="Calibri" w:cs="Calibri"/>
                <w:bCs/>
              </w:rPr>
            </w:pPr>
            <w:r w:rsidRPr="008B1136">
              <w:rPr>
                <w:rFonts w:ascii="Calibri" w:hAnsi="Calibri"/>
                <w:bCs/>
              </w:rPr>
              <w:t>Un miembro adicional del personal a fin de aumentar la capacidad de la Secretaría para apoyar a las Partes Contratantes.</w:t>
            </w:r>
          </w:p>
          <w:p w14:paraId="27AF65C3" w14:textId="77777777" w:rsidR="004404E8" w:rsidRPr="008B1136" w:rsidRDefault="004404E8" w:rsidP="000A2BFA">
            <w:pPr>
              <w:ind w:left="0" w:firstLine="0"/>
              <w:outlineLvl w:val="1"/>
              <w:rPr>
                <w:rFonts w:ascii="Calibri" w:eastAsia="Calibri" w:hAnsi="Calibri" w:cs="Calibri"/>
                <w:bCs/>
              </w:rPr>
            </w:pPr>
          </w:p>
          <w:p w14:paraId="6C9C6F1A" w14:textId="40737CF6" w:rsidR="009D0248" w:rsidRPr="008B1136" w:rsidRDefault="009D0248" w:rsidP="000A2BFA">
            <w:pPr>
              <w:ind w:left="0" w:firstLine="0"/>
              <w:outlineLvl w:val="1"/>
              <w:rPr>
                <w:rFonts w:ascii="Calibri" w:eastAsia="Calibri" w:hAnsi="Calibri" w:cs="Calibri"/>
                <w:bCs/>
              </w:rPr>
            </w:pPr>
            <w:r w:rsidRPr="008B1136">
              <w:rPr>
                <w:rFonts w:ascii="Calibri" w:hAnsi="Calibri"/>
                <w:bCs/>
              </w:rPr>
              <w:t>Es posible realizar algunos ajustes por equidad en la remuneración del personal, lo que puede redundar en una mayor retención del personal.</w:t>
            </w:r>
          </w:p>
        </w:tc>
        <w:tc>
          <w:tcPr>
            <w:tcW w:w="2977" w:type="dxa"/>
          </w:tcPr>
          <w:p w14:paraId="127D83FE" w14:textId="397B0909" w:rsidR="004404E8" w:rsidRPr="008B1136" w:rsidRDefault="004E1AB1" w:rsidP="000A2BFA">
            <w:pPr>
              <w:ind w:left="0" w:firstLine="0"/>
              <w:outlineLvl w:val="1"/>
              <w:rPr>
                <w:rFonts w:ascii="Calibri" w:eastAsia="Calibri" w:hAnsi="Calibri" w:cs="Calibri"/>
                <w:bCs/>
              </w:rPr>
            </w:pPr>
            <w:r w:rsidRPr="008B1136">
              <w:rPr>
                <w:rFonts w:ascii="Calibri" w:hAnsi="Calibri"/>
                <w:bCs/>
              </w:rPr>
              <w:t>La Secretaría estaría equipada para hacer frente a las crecientes demandas de las Partes Contratantes.</w:t>
            </w:r>
          </w:p>
          <w:p w14:paraId="02242ABB" w14:textId="77777777" w:rsidR="004404E8" w:rsidRPr="008B1136" w:rsidRDefault="004404E8" w:rsidP="000A2BFA">
            <w:pPr>
              <w:ind w:left="0" w:firstLine="0"/>
              <w:outlineLvl w:val="1"/>
              <w:rPr>
                <w:rFonts w:ascii="Calibri" w:eastAsia="Calibri" w:hAnsi="Calibri" w:cs="Calibri"/>
                <w:bCs/>
              </w:rPr>
            </w:pPr>
          </w:p>
          <w:p w14:paraId="3EB935AC" w14:textId="3F444034" w:rsidR="009A469F" w:rsidRPr="008B1136" w:rsidRDefault="009A469F" w:rsidP="000A2BFA">
            <w:pPr>
              <w:ind w:left="0" w:firstLine="0"/>
              <w:outlineLvl w:val="1"/>
              <w:rPr>
                <w:rFonts w:ascii="Calibri" w:eastAsia="Calibri" w:hAnsi="Calibri" w:cs="Calibri"/>
                <w:bCs/>
              </w:rPr>
            </w:pPr>
            <w:r w:rsidRPr="008B1136">
              <w:rPr>
                <w:rFonts w:ascii="Calibri" w:hAnsi="Calibri"/>
                <w:bCs/>
              </w:rPr>
              <w:t>La remuneración del personal estaría plenamente en equidad con el marco de remuneración de la UICN.</w:t>
            </w:r>
          </w:p>
          <w:p w14:paraId="72C8BF22" w14:textId="77777777" w:rsidR="009D0248" w:rsidRPr="008B1136" w:rsidRDefault="009D0248" w:rsidP="000A2BFA">
            <w:pPr>
              <w:ind w:left="0" w:firstLine="0"/>
              <w:outlineLvl w:val="1"/>
              <w:rPr>
                <w:rFonts w:ascii="Calibri" w:eastAsia="Calibri" w:hAnsi="Calibri" w:cs="Calibri"/>
                <w:bCs/>
              </w:rPr>
            </w:pPr>
          </w:p>
          <w:p w14:paraId="485F2850" w14:textId="07074662" w:rsidR="009D0248" w:rsidRPr="008B1136" w:rsidRDefault="00F2558A" w:rsidP="000A2BFA">
            <w:pPr>
              <w:ind w:left="0" w:firstLine="0"/>
              <w:outlineLvl w:val="1"/>
              <w:rPr>
                <w:rFonts w:ascii="Calibri" w:eastAsia="Calibri" w:hAnsi="Calibri" w:cs="Calibri"/>
                <w:bCs/>
              </w:rPr>
            </w:pPr>
            <w:r w:rsidRPr="008B1136">
              <w:rPr>
                <w:rFonts w:ascii="Calibri" w:hAnsi="Calibri"/>
                <w:bCs/>
              </w:rPr>
              <w:t>Mayor capacidad para contratar y retener personal cualificado.</w:t>
            </w:r>
          </w:p>
        </w:tc>
        <w:tc>
          <w:tcPr>
            <w:tcW w:w="2835" w:type="dxa"/>
          </w:tcPr>
          <w:p w14:paraId="5A2B7846" w14:textId="389E617A" w:rsidR="004E1AB1" w:rsidRPr="008B1136" w:rsidRDefault="004E1AB1" w:rsidP="000A2BFA">
            <w:pPr>
              <w:ind w:left="0" w:firstLine="0"/>
              <w:outlineLvl w:val="1"/>
              <w:rPr>
                <w:rFonts w:ascii="Calibri" w:eastAsia="Calibri" w:hAnsi="Calibri" w:cs="Calibri"/>
                <w:bCs/>
              </w:rPr>
            </w:pPr>
            <w:r w:rsidRPr="008B1136">
              <w:rPr>
                <w:rFonts w:ascii="Calibri" w:hAnsi="Calibri"/>
                <w:bCs/>
              </w:rPr>
              <w:t>La Secretaría estaría plenamente equipada para satisfacer las crecientes demandas de las Partes Contratantes.</w:t>
            </w:r>
          </w:p>
          <w:p w14:paraId="3CFCD2D7" w14:textId="77777777" w:rsidR="004E1AB1" w:rsidRPr="008B1136" w:rsidRDefault="004E1AB1" w:rsidP="000A2BFA">
            <w:pPr>
              <w:ind w:left="0" w:firstLine="0"/>
              <w:outlineLvl w:val="1"/>
              <w:rPr>
                <w:rFonts w:ascii="Calibri" w:eastAsia="Calibri" w:hAnsi="Calibri" w:cs="Calibri"/>
                <w:bCs/>
              </w:rPr>
            </w:pPr>
          </w:p>
          <w:p w14:paraId="6946FC24" w14:textId="58FD2729" w:rsidR="009D0248" w:rsidRPr="008B1136" w:rsidRDefault="009D0248" w:rsidP="000A2BFA">
            <w:pPr>
              <w:ind w:left="0" w:firstLine="0"/>
              <w:outlineLvl w:val="1"/>
              <w:rPr>
                <w:rFonts w:ascii="Calibri" w:eastAsia="Calibri" w:hAnsi="Calibri" w:cs="Calibri"/>
                <w:bCs/>
              </w:rPr>
            </w:pPr>
            <w:r w:rsidRPr="008B1136">
              <w:rPr>
                <w:rFonts w:ascii="Calibri" w:hAnsi="Calibri"/>
                <w:bCs/>
              </w:rPr>
              <w:t>La remuneración del personal estaría plenamente en equidad con el marco de remuneración de la UICN.</w:t>
            </w:r>
          </w:p>
          <w:p w14:paraId="5C4D524D" w14:textId="77777777" w:rsidR="009D0248" w:rsidRPr="008B1136" w:rsidRDefault="009D0248" w:rsidP="000A2BFA">
            <w:pPr>
              <w:ind w:left="0" w:firstLine="0"/>
              <w:outlineLvl w:val="1"/>
              <w:rPr>
                <w:rFonts w:ascii="Calibri" w:eastAsia="Calibri" w:hAnsi="Calibri" w:cs="Calibri"/>
                <w:bCs/>
              </w:rPr>
            </w:pPr>
          </w:p>
          <w:p w14:paraId="342E7533" w14:textId="2CCC55FF" w:rsidR="00A90311" w:rsidRPr="008B1136" w:rsidRDefault="004404E8" w:rsidP="000A2BFA">
            <w:pPr>
              <w:ind w:left="0" w:firstLine="0"/>
              <w:outlineLvl w:val="1"/>
              <w:rPr>
                <w:rFonts w:ascii="Calibri" w:eastAsia="Calibri" w:hAnsi="Calibri" w:cs="Calibri"/>
                <w:bCs/>
              </w:rPr>
            </w:pPr>
            <w:r w:rsidRPr="008B1136">
              <w:rPr>
                <w:rFonts w:ascii="Calibri" w:hAnsi="Calibri"/>
                <w:bCs/>
              </w:rPr>
              <w:t>Fondos disponibles para la capacitación del personal.</w:t>
            </w:r>
          </w:p>
          <w:p w14:paraId="5D80DF37" w14:textId="77777777" w:rsidR="004404E8" w:rsidRPr="008B1136" w:rsidRDefault="004404E8" w:rsidP="000A2BFA">
            <w:pPr>
              <w:ind w:left="0" w:firstLine="0"/>
              <w:outlineLvl w:val="1"/>
              <w:rPr>
                <w:rFonts w:ascii="Calibri" w:eastAsia="Calibri" w:hAnsi="Calibri" w:cs="Calibri"/>
                <w:bCs/>
              </w:rPr>
            </w:pPr>
          </w:p>
          <w:p w14:paraId="059A6640" w14:textId="48E041CD" w:rsidR="00F83939" w:rsidRPr="008B1136" w:rsidRDefault="004404E8" w:rsidP="000A2BFA">
            <w:pPr>
              <w:ind w:left="0" w:firstLine="0"/>
              <w:outlineLvl w:val="1"/>
              <w:rPr>
                <w:rFonts w:ascii="Calibri" w:eastAsia="Calibri" w:hAnsi="Calibri" w:cs="Calibri"/>
                <w:bCs/>
              </w:rPr>
            </w:pPr>
            <w:r w:rsidRPr="008B1136">
              <w:rPr>
                <w:rFonts w:ascii="Calibri" w:hAnsi="Calibri"/>
                <w:bCs/>
              </w:rPr>
              <w:t>Fondos disponibles para la acogida de la COP, aliviando la carga financiera para el país anfitrión.</w:t>
            </w:r>
          </w:p>
        </w:tc>
      </w:tr>
      <w:tr w:rsidR="00DF6A21" w:rsidRPr="008B1136" w14:paraId="216371D2" w14:textId="77777777" w:rsidTr="00736ED7">
        <w:tc>
          <w:tcPr>
            <w:tcW w:w="1493" w:type="dxa"/>
          </w:tcPr>
          <w:p w14:paraId="3C672488" w14:textId="26DB2D57" w:rsidR="00A90311" w:rsidRPr="008B1136" w:rsidRDefault="00DB012E" w:rsidP="000A2BFA">
            <w:pPr>
              <w:ind w:left="0" w:firstLine="0"/>
              <w:outlineLvl w:val="1"/>
              <w:rPr>
                <w:rFonts w:ascii="Calibri" w:eastAsia="Calibri" w:hAnsi="Calibri" w:cs="Calibri"/>
                <w:b/>
              </w:rPr>
            </w:pPr>
            <w:r w:rsidRPr="008B1136">
              <w:rPr>
                <w:rFonts w:ascii="Calibri" w:hAnsi="Calibri"/>
                <w:b/>
              </w:rPr>
              <w:t>Limitaciones y retos</w:t>
            </w:r>
          </w:p>
        </w:tc>
        <w:tc>
          <w:tcPr>
            <w:tcW w:w="3180" w:type="dxa"/>
          </w:tcPr>
          <w:p w14:paraId="044B3216" w14:textId="7806D543" w:rsidR="00CB5443" w:rsidRPr="008B1136" w:rsidRDefault="00CB5443" w:rsidP="000A2BFA">
            <w:pPr>
              <w:ind w:left="0" w:firstLine="0"/>
              <w:outlineLvl w:val="1"/>
              <w:rPr>
                <w:rFonts w:ascii="Calibri" w:eastAsia="Calibri" w:hAnsi="Calibri" w:cs="Calibri"/>
                <w:bCs/>
              </w:rPr>
            </w:pPr>
            <w:r w:rsidRPr="008B1136">
              <w:rPr>
                <w:rFonts w:ascii="Calibri" w:hAnsi="Calibri"/>
                <w:bCs/>
              </w:rPr>
              <w:t>Cualquier actividad adicional estaría financiada con contribuciones voluntarias.</w:t>
            </w:r>
          </w:p>
          <w:p w14:paraId="657A8936" w14:textId="77777777" w:rsidR="00CB5443" w:rsidRPr="008B1136" w:rsidRDefault="00CB5443" w:rsidP="000A2BFA">
            <w:pPr>
              <w:ind w:left="0" w:firstLine="0"/>
              <w:outlineLvl w:val="1"/>
              <w:rPr>
                <w:rFonts w:ascii="Calibri" w:eastAsia="Calibri" w:hAnsi="Calibri" w:cs="Calibri"/>
                <w:bCs/>
              </w:rPr>
            </w:pPr>
          </w:p>
          <w:p w14:paraId="7903EE66" w14:textId="29D6E954" w:rsidR="00706E53" w:rsidRPr="008B1136" w:rsidRDefault="009A469F" w:rsidP="000A2BFA">
            <w:pPr>
              <w:ind w:left="0" w:firstLine="0"/>
              <w:outlineLvl w:val="1"/>
              <w:rPr>
                <w:rFonts w:ascii="Calibri" w:eastAsia="Calibri" w:hAnsi="Calibri" w:cs="Calibri"/>
                <w:bCs/>
              </w:rPr>
            </w:pPr>
            <w:r w:rsidRPr="008B1136">
              <w:rPr>
                <w:rFonts w:ascii="Calibri" w:hAnsi="Calibri"/>
                <w:bCs/>
              </w:rPr>
              <w:t>La remuneración del personal no estaría en equidad con el marco de remuneración de la UICN.</w:t>
            </w:r>
          </w:p>
          <w:p w14:paraId="07F93601" w14:textId="77777777" w:rsidR="00CB5443" w:rsidRPr="008B1136" w:rsidRDefault="00CB5443" w:rsidP="000A2BFA">
            <w:pPr>
              <w:ind w:left="0" w:firstLine="0"/>
              <w:outlineLvl w:val="1"/>
              <w:rPr>
                <w:rFonts w:ascii="Calibri" w:eastAsia="Calibri" w:hAnsi="Calibri" w:cs="Calibri"/>
                <w:bCs/>
              </w:rPr>
            </w:pPr>
          </w:p>
          <w:p w14:paraId="5BF141FB" w14:textId="39305238" w:rsidR="00CB5443" w:rsidRPr="008B1136" w:rsidRDefault="00CB5443" w:rsidP="000A2BFA">
            <w:pPr>
              <w:ind w:left="0" w:firstLine="0"/>
              <w:outlineLvl w:val="1"/>
              <w:rPr>
                <w:rFonts w:ascii="Calibri" w:eastAsia="Calibri" w:hAnsi="Calibri" w:cs="Calibri"/>
                <w:bCs/>
              </w:rPr>
            </w:pPr>
            <w:r w:rsidRPr="008B1136">
              <w:rPr>
                <w:rFonts w:ascii="Calibri" w:hAnsi="Calibri"/>
                <w:bCs/>
              </w:rPr>
              <w:t xml:space="preserve">Riesgo de agotamiento del personal si la carga de trabajo sigue siendo elevada, con la </w:t>
            </w:r>
            <w:r w:rsidRPr="008B1136">
              <w:rPr>
                <w:rFonts w:ascii="Calibri" w:hAnsi="Calibri"/>
                <w:bCs/>
              </w:rPr>
              <w:lastRenderedPageBreak/>
              <w:t xml:space="preserve">consiguiente posible disminución de la eficacia. </w:t>
            </w:r>
          </w:p>
        </w:tc>
        <w:tc>
          <w:tcPr>
            <w:tcW w:w="3827" w:type="dxa"/>
          </w:tcPr>
          <w:p w14:paraId="4666B46F" w14:textId="5C713420" w:rsidR="00A90311" w:rsidRPr="008B1136" w:rsidRDefault="004404E8" w:rsidP="000A2BFA">
            <w:pPr>
              <w:ind w:left="0" w:firstLine="0"/>
              <w:outlineLvl w:val="1"/>
              <w:rPr>
                <w:rFonts w:ascii="Calibri" w:eastAsia="Calibri" w:hAnsi="Calibri" w:cs="Calibri"/>
                <w:bCs/>
              </w:rPr>
            </w:pPr>
            <w:r w:rsidRPr="008B1136">
              <w:rPr>
                <w:rFonts w:ascii="Calibri" w:hAnsi="Calibri"/>
                <w:bCs/>
              </w:rPr>
              <w:lastRenderedPageBreak/>
              <w:t>Capacidad limitada para el desarrollo profesional del personal.</w:t>
            </w:r>
          </w:p>
          <w:p w14:paraId="07A5F1A2" w14:textId="77777777" w:rsidR="004404E8" w:rsidRPr="008B1136" w:rsidRDefault="004404E8" w:rsidP="000A2BFA">
            <w:pPr>
              <w:ind w:left="0" w:firstLine="0"/>
              <w:outlineLvl w:val="1"/>
              <w:rPr>
                <w:rFonts w:ascii="Calibri" w:eastAsia="Calibri" w:hAnsi="Calibri" w:cs="Calibri"/>
                <w:bCs/>
              </w:rPr>
            </w:pPr>
          </w:p>
          <w:p w14:paraId="517D2C73" w14:textId="6898ED49" w:rsidR="009A469F" w:rsidRPr="008B1136" w:rsidRDefault="009A469F" w:rsidP="000A2BFA">
            <w:pPr>
              <w:ind w:left="0" w:firstLine="0"/>
              <w:outlineLvl w:val="1"/>
              <w:rPr>
                <w:rFonts w:ascii="Calibri" w:eastAsia="Calibri" w:hAnsi="Calibri" w:cs="Calibri"/>
                <w:bCs/>
              </w:rPr>
            </w:pPr>
            <w:r w:rsidRPr="008B1136">
              <w:rPr>
                <w:rFonts w:ascii="Calibri" w:hAnsi="Calibri"/>
                <w:bCs/>
              </w:rPr>
              <w:t>La remuneración del personal no estaría en equidad con el marco de remuneración de la UICN.</w:t>
            </w:r>
          </w:p>
        </w:tc>
        <w:tc>
          <w:tcPr>
            <w:tcW w:w="2977" w:type="dxa"/>
          </w:tcPr>
          <w:p w14:paraId="4A1F11B1" w14:textId="437C61A4" w:rsidR="009A469F" w:rsidRPr="008B1136" w:rsidRDefault="00F2558A" w:rsidP="000A2BFA">
            <w:pPr>
              <w:outlineLvl w:val="1"/>
              <w:rPr>
                <w:rFonts w:ascii="Calibri" w:eastAsia="Calibri" w:hAnsi="Calibri" w:cs="Calibri"/>
                <w:bCs/>
              </w:rPr>
            </w:pPr>
            <w:r w:rsidRPr="008B1136">
              <w:rPr>
                <w:rFonts w:ascii="Calibri" w:hAnsi="Calibri"/>
                <w:bCs/>
              </w:rPr>
              <w:t>No se aplica</w:t>
            </w:r>
          </w:p>
        </w:tc>
        <w:tc>
          <w:tcPr>
            <w:tcW w:w="2835" w:type="dxa"/>
          </w:tcPr>
          <w:p w14:paraId="24F68BF1" w14:textId="40538A87" w:rsidR="00A90311" w:rsidRPr="008B1136" w:rsidRDefault="00F2558A" w:rsidP="000A2BFA">
            <w:pPr>
              <w:outlineLvl w:val="1"/>
              <w:rPr>
                <w:rFonts w:ascii="Calibri" w:eastAsia="Calibri" w:hAnsi="Calibri" w:cs="Calibri"/>
                <w:bCs/>
              </w:rPr>
            </w:pPr>
            <w:r w:rsidRPr="008B1136">
              <w:rPr>
                <w:rFonts w:ascii="Calibri" w:hAnsi="Calibri"/>
                <w:bCs/>
              </w:rPr>
              <w:t>No se aplica</w:t>
            </w:r>
          </w:p>
        </w:tc>
      </w:tr>
      <w:tr w:rsidR="00DF6A21" w:rsidRPr="008B1136" w14:paraId="0B03787C" w14:textId="77777777" w:rsidTr="00736ED7">
        <w:tc>
          <w:tcPr>
            <w:tcW w:w="1493" w:type="dxa"/>
          </w:tcPr>
          <w:p w14:paraId="7F1253E3" w14:textId="63AC1864" w:rsidR="00A90311" w:rsidRPr="008B1136" w:rsidRDefault="00706E53" w:rsidP="000A2BFA">
            <w:pPr>
              <w:ind w:left="0" w:firstLine="0"/>
              <w:outlineLvl w:val="1"/>
              <w:rPr>
                <w:rFonts w:ascii="Calibri" w:eastAsia="Calibri" w:hAnsi="Calibri" w:cs="Calibri"/>
                <w:b/>
              </w:rPr>
            </w:pPr>
            <w:r w:rsidRPr="008B1136">
              <w:rPr>
                <w:rFonts w:ascii="Calibri" w:hAnsi="Calibri"/>
                <w:b/>
              </w:rPr>
              <w:t xml:space="preserve">Oportunidades </w:t>
            </w:r>
          </w:p>
        </w:tc>
        <w:tc>
          <w:tcPr>
            <w:tcW w:w="3180" w:type="dxa"/>
          </w:tcPr>
          <w:p w14:paraId="7D291A0E" w14:textId="0DCEF0F5" w:rsidR="00A90311" w:rsidRPr="008B1136" w:rsidRDefault="00137EC1" w:rsidP="000A2BFA">
            <w:pPr>
              <w:ind w:left="0" w:firstLine="0"/>
              <w:outlineLvl w:val="1"/>
              <w:rPr>
                <w:rFonts w:ascii="Calibri" w:eastAsia="Calibri" w:hAnsi="Calibri" w:cs="Calibri"/>
                <w:bCs/>
              </w:rPr>
            </w:pPr>
            <w:r w:rsidRPr="008B1136">
              <w:rPr>
                <w:rFonts w:ascii="Calibri" w:hAnsi="Calibri"/>
                <w:bCs/>
              </w:rPr>
              <w:t>Requiere un examen con las Partes de las actividades que ya no son necesarias.</w:t>
            </w:r>
          </w:p>
        </w:tc>
        <w:tc>
          <w:tcPr>
            <w:tcW w:w="3827" w:type="dxa"/>
          </w:tcPr>
          <w:p w14:paraId="065D6895" w14:textId="56FEACD6" w:rsidR="00A90311" w:rsidRPr="008B1136" w:rsidRDefault="00496E68" w:rsidP="000A2BFA">
            <w:pPr>
              <w:ind w:left="0" w:firstLine="0"/>
              <w:outlineLvl w:val="1"/>
              <w:rPr>
                <w:rFonts w:ascii="Calibri" w:eastAsia="Calibri" w:hAnsi="Calibri" w:cs="Calibri"/>
                <w:bCs/>
              </w:rPr>
            </w:pPr>
            <w:r w:rsidRPr="008B1136">
              <w:rPr>
                <w:rFonts w:ascii="Calibri" w:hAnsi="Calibri"/>
                <w:bCs/>
              </w:rPr>
              <w:t>Aumento limitado de la divulgación y la visibilidad de la Convención.</w:t>
            </w:r>
          </w:p>
          <w:p w14:paraId="6E2CE42E" w14:textId="77777777" w:rsidR="00B72306" w:rsidRPr="008B1136" w:rsidRDefault="00B72306" w:rsidP="000A2BFA">
            <w:pPr>
              <w:ind w:left="0" w:firstLine="0"/>
              <w:outlineLvl w:val="1"/>
              <w:rPr>
                <w:rFonts w:ascii="Calibri" w:eastAsia="Calibri" w:hAnsi="Calibri" w:cs="Calibri"/>
                <w:bCs/>
              </w:rPr>
            </w:pPr>
          </w:p>
          <w:p w14:paraId="2CD98F30" w14:textId="60BBD203" w:rsidR="00137EC1" w:rsidRPr="008B1136" w:rsidRDefault="00496E68" w:rsidP="000A2BFA">
            <w:pPr>
              <w:ind w:left="0" w:firstLine="0"/>
              <w:outlineLvl w:val="1"/>
              <w:rPr>
                <w:rFonts w:ascii="Calibri" w:eastAsia="Calibri" w:hAnsi="Calibri" w:cs="Calibri"/>
                <w:bCs/>
              </w:rPr>
            </w:pPr>
            <w:r w:rsidRPr="008B1136">
              <w:rPr>
                <w:rFonts w:ascii="Calibri" w:hAnsi="Calibri"/>
                <w:bCs/>
              </w:rPr>
              <w:t>Aumento limitado del apoyo a las Partes Contratantes en cuestiones de aplicación.</w:t>
            </w:r>
          </w:p>
        </w:tc>
        <w:tc>
          <w:tcPr>
            <w:tcW w:w="2977" w:type="dxa"/>
          </w:tcPr>
          <w:p w14:paraId="0032A168" w14:textId="77777777" w:rsidR="009A469F" w:rsidRPr="008B1136" w:rsidRDefault="009A469F" w:rsidP="000A2BFA">
            <w:pPr>
              <w:ind w:left="0" w:firstLine="0"/>
              <w:outlineLvl w:val="1"/>
              <w:rPr>
                <w:rFonts w:ascii="Calibri" w:eastAsia="Calibri" w:hAnsi="Calibri" w:cs="Calibri"/>
                <w:bCs/>
              </w:rPr>
            </w:pPr>
            <w:r w:rsidRPr="008B1136">
              <w:rPr>
                <w:rFonts w:ascii="Calibri" w:hAnsi="Calibri"/>
                <w:bCs/>
              </w:rPr>
              <w:t>Mayor divulgación y visibilidad de la Convención.</w:t>
            </w:r>
          </w:p>
          <w:p w14:paraId="400E1406" w14:textId="77777777" w:rsidR="009A469F" w:rsidRPr="008B1136" w:rsidRDefault="009A469F" w:rsidP="000A2BFA">
            <w:pPr>
              <w:ind w:left="0" w:firstLine="0"/>
              <w:outlineLvl w:val="1"/>
              <w:rPr>
                <w:rFonts w:ascii="Calibri" w:eastAsia="Calibri" w:hAnsi="Calibri" w:cs="Calibri"/>
                <w:bCs/>
              </w:rPr>
            </w:pPr>
          </w:p>
          <w:p w14:paraId="4FB01D70" w14:textId="01DF4A75" w:rsidR="00A90311" w:rsidRPr="008B1136" w:rsidRDefault="00424000" w:rsidP="000A2BFA">
            <w:pPr>
              <w:ind w:left="0" w:firstLine="0"/>
              <w:outlineLvl w:val="1"/>
              <w:rPr>
                <w:rFonts w:ascii="Calibri" w:eastAsia="Calibri" w:hAnsi="Calibri" w:cs="Calibri"/>
                <w:bCs/>
              </w:rPr>
            </w:pPr>
            <w:r w:rsidRPr="008B1136">
              <w:rPr>
                <w:rFonts w:ascii="Calibri" w:hAnsi="Calibri"/>
                <w:bCs/>
              </w:rPr>
              <w:t>Las Partes Contratantes reciben un apoyo más completo en relación con los informes nacionales y las actualizaciones de la Ficha Informativa Ramsar. Capacidad de aprovechar los datos y los conocimientos para mejorar la aplicación de la Convención.</w:t>
            </w:r>
          </w:p>
          <w:p w14:paraId="34D49683" w14:textId="77777777" w:rsidR="00137EC1" w:rsidRPr="008B1136" w:rsidRDefault="00137EC1" w:rsidP="000A2BFA">
            <w:pPr>
              <w:ind w:left="0" w:firstLine="0"/>
              <w:outlineLvl w:val="1"/>
              <w:rPr>
                <w:rFonts w:ascii="Calibri" w:eastAsia="Calibri" w:hAnsi="Calibri" w:cs="Calibri"/>
                <w:bCs/>
              </w:rPr>
            </w:pPr>
          </w:p>
          <w:p w14:paraId="3156E0E8" w14:textId="0E243BA3" w:rsidR="00137EC1" w:rsidRPr="008B1136" w:rsidRDefault="00AA57F5" w:rsidP="000A2BFA">
            <w:pPr>
              <w:ind w:left="0" w:firstLine="0"/>
              <w:outlineLvl w:val="1"/>
              <w:rPr>
                <w:rFonts w:ascii="Calibri" w:eastAsia="Calibri" w:hAnsi="Calibri" w:cs="Calibri"/>
                <w:bCs/>
              </w:rPr>
            </w:pPr>
            <w:r w:rsidRPr="008B1136">
              <w:rPr>
                <w:rFonts w:ascii="Calibri" w:hAnsi="Calibri"/>
                <w:bCs/>
              </w:rPr>
              <w:t>Mayor capacidad de la Secretaría para llevar a cabo nuevas tareas y actividades de apoyo a las Partes Contratantes.</w:t>
            </w:r>
          </w:p>
        </w:tc>
        <w:tc>
          <w:tcPr>
            <w:tcW w:w="2835" w:type="dxa"/>
          </w:tcPr>
          <w:p w14:paraId="78CA28E5" w14:textId="77777777" w:rsidR="00137EC1" w:rsidRPr="008B1136" w:rsidRDefault="00137EC1" w:rsidP="000A2BFA">
            <w:pPr>
              <w:ind w:left="0" w:firstLine="0"/>
              <w:outlineLvl w:val="1"/>
              <w:rPr>
                <w:rFonts w:ascii="Calibri" w:eastAsia="Calibri" w:hAnsi="Calibri" w:cs="Calibri"/>
                <w:bCs/>
              </w:rPr>
            </w:pPr>
            <w:r w:rsidRPr="008B1136">
              <w:rPr>
                <w:rFonts w:ascii="Calibri" w:hAnsi="Calibri"/>
                <w:bCs/>
              </w:rPr>
              <w:t>Mayor divulgación y visibilidad de la Convención.</w:t>
            </w:r>
          </w:p>
          <w:p w14:paraId="040304D1" w14:textId="77777777" w:rsidR="00137EC1" w:rsidRPr="008B1136" w:rsidRDefault="00137EC1" w:rsidP="000A2BFA">
            <w:pPr>
              <w:ind w:left="0" w:firstLine="0"/>
              <w:outlineLvl w:val="1"/>
              <w:rPr>
                <w:rFonts w:ascii="Calibri" w:eastAsia="Calibri" w:hAnsi="Calibri" w:cs="Calibri"/>
                <w:bCs/>
              </w:rPr>
            </w:pPr>
          </w:p>
          <w:p w14:paraId="3287542F" w14:textId="2F070077" w:rsidR="00F2558A" w:rsidRPr="008B1136" w:rsidRDefault="00F2558A" w:rsidP="000A2BFA">
            <w:pPr>
              <w:ind w:left="0" w:firstLine="0"/>
              <w:outlineLvl w:val="1"/>
              <w:rPr>
                <w:rFonts w:ascii="Calibri" w:eastAsia="Calibri" w:hAnsi="Calibri" w:cs="Calibri"/>
                <w:bCs/>
              </w:rPr>
            </w:pPr>
            <w:r w:rsidRPr="008B1136">
              <w:rPr>
                <w:rFonts w:ascii="Calibri" w:hAnsi="Calibri"/>
                <w:bCs/>
              </w:rPr>
              <w:t>Las Partes Contratantes reciben un apoyo más completo en relación con los informes nacionales y las actualizaciones de la Ficha Informativa Ramsar. Capacidad de aprovechar los datos y los conocimientos para mejorar la aplicación de la Convención.</w:t>
            </w:r>
          </w:p>
          <w:p w14:paraId="0C99B090" w14:textId="77777777" w:rsidR="00F2558A" w:rsidRPr="008B1136" w:rsidRDefault="00F2558A" w:rsidP="000A2BFA">
            <w:pPr>
              <w:ind w:left="0" w:firstLine="0"/>
              <w:outlineLvl w:val="1"/>
              <w:rPr>
                <w:rFonts w:ascii="Calibri" w:eastAsia="Calibri" w:hAnsi="Calibri" w:cs="Calibri"/>
                <w:bCs/>
              </w:rPr>
            </w:pPr>
          </w:p>
          <w:p w14:paraId="6CFEEE28" w14:textId="314019AF" w:rsidR="00A90311" w:rsidRPr="008B1136" w:rsidRDefault="009C676D" w:rsidP="000A2BFA">
            <w:pPr>
              <w:ind w:left="0" w:firstLine="0"/>
              <w:outlineLvl w:val="1"/>
              <w:rPr>
                <w:rFonts w:ascii="Calibri" w:eastAsia="Calibri" w:hAnsi="Calibri" w:cs="Calibri"/>
                <w:bCs/>
              </w:rPr>
            </w:pPr>
            <w:r w:rsidRPr="008B1136">
              <w:rPr>
                <w:rFonts w:ascii="Calibri" w:hAnsi="Calibri"/>
                <w:bCs/>
              </w:rPr>
              <w:t>Se refuerzan las competencias y habilidades del personal mediante la capacitación.</w:t>
            </w:r>
          </w:p>
        </w:tc>
      </w:tr>
      <w:tr w:rsidR="00DF6A21" w:rsidRPr="008B1136" w14:paraId="5621F93C" w14:textId="77777777" w:rsidTr="00736ED7">
        <w:tc>
          <w:tcPr>
            <w:tcW w:w="1493" w:type="dxa"/>
          </w:tcPr>
          <w:p w14:paraId="1F31DB94" w14:textId="0D77148B" w:rsidR="00A90311" w:rsidRPr="008B1136" w:rsidRDefault="00DB012E" w:rsidP="000A2BFA">
            <w:pPr>
              <w:ind w:left="0" w:firstLine="0"/>
              <w:outlineLvl w:val="1"/>
              <w:rPr>
                <w:rFonts w:ascii="Calibri" w:eastAsia="Calibri" w:hAnsi="Calibri" w:cs="Calibri"/>
                <w:b/>
              </w:rPr>
            </w:pPr>
            <w:r w:rsidRPr="008B1136">
              <w:rPr>
                <w:rFonts w:ascii="Calibri" w:hAnsi="Calibri"/>
                <w:b/>
              </w:rPr>
              <w:t>Riesgos y retos</w:t>
            </w:r>
          </w:p>
        </w:tc>
        <w:tc>
          <w:tcPr>
            <w:tcW w:w="3180" w:type="dxa"/>
          </w:tcPr>
          <w:p w14:paraId="694C4DFD" w14:textId="68A65410" w:rsidR="00706E53" w:rsidRPr="008B1136" w:rsidRDefault="00706E53" w:rsidP="000A2BFA">
            <w:pPr>
              <w:ind w:left="0" w:firstLine="0"/>
              <w:outlineLvl w:val="1"/>
              <w:rPr>
                <w:rFonts w:ascii="Calibri" w:eastAsia="Calibri" w:hAnsi="Calibri" w:cs="Calibri"/>
                <w:bCs/>
              </w:rPr>
            </w:pPr>
            <w:r w:rsidRPr="008B1136">
              <w:rPr>
                <w:rFonts w:ascii="Calibri" w:hAnsi="Calibri"/>
                <w:bCs/>
              </w:rPr>
              <w:t>Capacidad limitada para llevar a cabo nuevas tareas o actividades.</w:t>
            </w:r>
          </w:p>
          <w:p w14:paraId="2F58CCEF" w14:textId="77777777" w:rsidR="00706E53" w:rsidRPr="008B1136" w:rsidRDefault="00706E53" w:rsidP="000A2BFA">
            <w:pPr>
              <w:ind w:left="0" w:firstLine="0"/>
              <w:outlineLvl w:val="1"/>
              <w:rPr>
                <w:rFonts w:ascii="Calibri" w:eastAsia="Calibri" w:hAnsi="Calibri" w:cs="Calibri"/>
                <w:bCs/>
              </w:rPr>
            </w:pPr>
          </w:p>
          <w:p w14:paraId="01E0076D" w14:textId="03261E87" w:rsidR="00CB5443" w:rsidRPr="008B1136" w:rsidRDefault="00AA57F5" w:rsidP="000A2BFA">
            <w:pPr>
              <w:ind w:left="0" w:firstLine="0"/>
              <w:outlineLvl w:val="1"/>
              <w:rPr>
                <w:rFonts w:ascii="Calibri" w:eastAsia="Calibri" w:hAnsi="Calibri" w:cs="Calibri"/>
                <w:bCs/>
              </w:rPr>
            </w:pPr>
            <w:r w:rsidRPr="008B1136">
              <w:rPr>
                <w:rFonts w:ascii="Calibri" w:hAnsi="Calibri"/>
                <w:bCs/>
              </w:rPr>
              <w:t>Capacidad limitada para aumentar la visibilidad de la Convención y las sinergias con otros acuerdos ambientales multilaterales.</w:t>
            </w:r>
          </w:p>
          <w:p w14:paraId="78E19F32" w14:textId="77777777" w:rsidR="00CB5443" w:rsidRPr="008B1136" w:rsidRDefault="00CB5443" w:rsidP="000A2BFA">
            <w:pPr>
              <w:ind w:left="0" w:firstLine="0"/>
              <w:outlineLvl w:val="1"/>
              <w:rPr>
                <w:rFonts w:ascii="Calibri" w:eastAsia="Calibri" w:hAnsi="Calibri" w:cs="Calibri"/>
                <w:bCs/>
              </w:rPr>
            </w:pPr>
          </w:p>
          <w:p w14:paraId="4612FFB7" w14:textId="04A8CCC6" w:rsidR="00137EC1" w:rsidRPr="008B1136" w:rsidRDefault="00137EC1" w:rsidP="000A2BFA">
            <w:pPr>
              <w:ind w:left="0" w:firstLine="0"/>
              <w:outlineLvl w:val="1"/>
              <w:rPr>
                <w:rFonts w:ascii="Calibri" w:eastAsia="Calibri" w:hAnsi="Calibri" w:cs="Calibri"/>
                <w:bCs/>
              </w:rPr>
            </w:pPr>
            <w:r w:rsidRPr="008B1136">
              <w:rPr>
                <w:rFonts w:ascii="Calibri" w:hAnsi="Calibri"/>
                <w:bCs/>
              </w:rPr>
              <w:lastRenderedPageBreak/>
              <w:t>Insatisfacción del personal y alta rotación debido al exceso de trabajo.</w:t>
            </w:r>
          </w:p>
          <w:p w14:paraId="5AED0770" w14:textId="77777777" w:rsidR="00137EC1" w:rsidRPr="008B1136" w:rsidRDefault="00137EC1" w:rsidP="000A2BFA">
            <w:pPr>
              <w:ind w:left="0" w:firstLine="0"/>
              <w:outlineLvl w:val="1"/>
              <w:rPr>
                <w:rFonts w:ascii="Calibri" w:eastAsia="Calibri" w:hAnsi="Calibri" w:cs="Calibri"/>
                <w:bCs/>
              </w:rPr>
            </w:pPr>
          </w:p>
          <w:p w14:paraId="56C18EE3" w14:textId="558B921E" w:rsidR="00A90311" w:rsidRPr="008B1136" w:rsidRDefault="00706E53" w:rsidP="000A2BFA">
            <w:pPr>
              <w:ind w:left="0" w:firstLine="0"/>
              <w:outlineLvl w:val="1"/>
              <w:rPr>
                <w:rFonts w:ascii="Calibri" w:eastAsia="Calibri" w:hAnsi="Calibri" w:cs="Calibri"/>
                <w:bCs/>
              </w:rPr>
            </w:pPr>
            <w:r w:rsidRPr="008B1136">
              <w:rPr>
                <w:rFonts w:ascii="Calibri" w:hAnsi="Calibri"/>
                <w:bCs/>
              </w:rPr>
              <w:t>Riesgo de disminución de la calidad del servicio y la productividad.</w:t>
            </w:r>
          </w:p>
        </w:tc>
        <w:tc>
          <w:tcPr>
            <w:tcW w:w="3827" w:type="dxa"/>
          </w:tcPr>
          <w:p w14:paraId="5A93774D" w14:textId="61319AD9" w:rsidR="00A90311" w:rsidRPr="008B1136" w:rsidRDefault="00496E68" w:rsidP="000A2BFA">
            <w:pPr>
              <w:ind w:left="0" w:firstLine="0"/>
              <w:outlineLvl w:val="1"/>
              <w:rPr>
                <w:rFonts w:ascii="Calibri" w:eastAsia="Calibri" w:hAnsi="Calibri" w:cs="Calibri"/>
                <w:bCs/>
              </w:rPr>
            </w:pPr>
            <w:r w:rsidRPr="008B1136">
              <w:rPr>
                <w:rFonts w:ascii="Calibri" w:hAnsi="Calibri"/>
                <w:bCs/>
              </w:rPr>
              <w:lastRenderedPageBreak/>
              <w:t>Dificultad para satisfacer plenamente las solicitudes y expectativas de las Partes Contratantes.</w:t>
            </w:r>
          </w:p>
        </w:tc>
        <w:tc>
          <w:tcPr>
            <w:tcW w:w="2977" w:type="dxa"/>
          </w:tcPr>
          <w:p w14:paraId="6654A0D5" w14:textId="295D6ED6" w:rsidR="00A90311" w:rsidRPr="008B1136" w:rsidRDefault="00F2558A" w:rsidP="000A2BFA">
            <w:pPr>
              <w:outlineLvl w:val="1"/>
              <w:rPr>
                <w:rFonts w:ascii="Calibri" w:eastAsia="Calibri" w:hAnsi="Calibri" w:cs="Calibri"/>
                <w:bCs/>
              </w:rPr>
            </w:pPr>
            <w:r w:rsidRPr="008B1136">
              <w:rPr>
                <w:rFonts w:ascii="Calibri" w:hAnsi="Calibri"/>
                <w:bCs/>
              </w:rPr>
              <w:t>No se aplica</w:t>
            </w:r>
          </w:p>
        </w:tc>
        <w:tc>
          <w:tcPr>
            <w:tcW w:w="2835" w:type="dxa"/>
          </w:tcPr>
          <w:p w14:paraId="57AAFFBE" w14:textId="1B22B804" w:rsidR="00A90311" w:rsidRPr="008B1136" w:rsidRDefault="00F2558A" w:rsidP="000A2BFA">
            <w:pPr>
              <w:ind w:left="0" w:firstLine="0"/>
              <w:outlineLvl w:val="1"/>
              <w:rPr>
                <w:rFonts w:ascii="Calibri" w:eastAsia="Calibri" w:hAnsi="Calibri" w:cs="Calibri"/>
                <w:bCs/>
              </w:rPr>
            </w:pPr>
            <w:r w:rsidRPr="008B1136">
              <w:rPr>
                <w:rFonts w:ascii="Calibri" w:hAnsi="Calibri"/>
                <w:bCs/>
              </w:rPr>
              <w:t>No se aplica</w:t>
            </w:r>
          </w:p>
        </w:tc>
      </w:tr>
    </w:tbl>
    <w:p w14:paraId="09258D71" w14:textId="3A4E0402" w:rsidR="00DF6A21" w:rsidRPr="008B1136" w:rsidRDefault="00DF6A21" w:rsidP="000A2BFA">
      <w:pPr>
        <w:spacing w:after="0" w:line="240" w:lineRule="auto"/>
        <w:rPr>
          <w:rFonts w:ascii="Calibri" w:hAnsi="Calibri" w:cs="Calibri"/>
          <w:highlight w:val="yellow"/>
        </w:rPr>
      </w:pPr>
    </w:p>
    <w:sectPr w:rsidR="00DF6A21" w:rsidRPr="008B1136" w:rsidSect="009A2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60BA" w14:textId="77777777" w:rsidR="004E1332" w:rsidRDefault="004E1332" w:rsidP="001E2255">
      <w:pPr>
        <w:spacing w:after="0" w:line="240" w:lineRule="auto"/>
      </w:pPr>
      <w:r>
        <w:separator/>
      </w:r>
    </w:p>
  </w:endnote>
  <w:endnote w:type="continuationSeparator" w:id="0">
    <w:p w14:paraId="0D47ADBD" w14:textId="77777777" w:rsidR="004E1332" w:rsidRDefault="004E1332" w:rsidP="001E2255">
      <w:pPr>
        <w:spacing w:after="0" w:line="240" w:lineRule="auto"/>
      </w:pPr>
      <w:r>
        <w:continuationSeparator/>
      </w:r>
    </w:p>
  </w:endnote>
  <w:endnote w:type="continuationNotice" w:id="1">
    <w:p w14:paraId="7D9D53B3" w14:textId="77777777" w:rsidR="004E1332" w:rsidRDefault="004E1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8DF4" w14:textId="458B3F18" w:rsidR="00F92050" w:rsidRPr="00275FEF" w:rsidRDefault="00736ED7" w:rsidP="00275FEF">
    <w:pPr>
      <w:pStyle w:val="Header"/>
      <w:tabs>
        <w:tab w:val="clear" w:pos="4513"/>
        <w:tab w:val="clear" w:pos="9026"/>
        <w:tab w:val="right" w:pos="14040"/>
      </w:tabs>
      <w:rPr>
        <w:rFonts w:ascii="Calibri" w:hAnsi="Calibri" w:cs="Calibri"/>
        <w:noProof/>
      </w:rPr>
    </w:pPr>
    <w:r>
      <w:rPr>
        <w:rFonts w:ascii="Calibri" w:hAnsi="Calibri"/>
        <w:sz w:val="20"/>
        <w:szCs w:val="20"/>
      </w:rPr>
      <w:t xml:space="preserve">COP15 </w:t>
    </w:r>
    <w:r>
      <w:rPr>
        <w:rFonts w:ascii="Calibri" w:hAnsi="Calibri"/>
        <w:iCs/>
        <w:sz w:val="20"/>
        <w:szCs w:val="20"/>
      </w:rPr>
      <w:t>Inf.1</w:t>
    </w:r>
    <w:sdt>
      <w:sdtPr>
        <w:rPr>
          <w:rFonts w:ascii="Calibri" w:hAnsi="Calibri" w:cs="Calibri"/>
          <w:sz w:val="20"/>
          <w:szCs w:val="20"/>
        </w:rPr>
        <w:id w:val="134461106"/>
        <w:docPartObj>
          <w:docPartGallery w:val="Page Numbers (Top of Page)"/>
          <w:docPartUnique/>
        </w:docPartObj>
      </w:sdtPr>
      <w:sdtEndPr>
        <w:rPr>
          <w:noProof/>
          <w:sz w:val="22"/>
          <w:szCs w:val="22"/>
        </w:rPr>
      </w:sdtEndPr>
      <w:sdtContent>
        <w:r>
          <w:rPr>
            <w:rFonts w:ascii="Calibri" w:hAnsi="Calibri"/>
            <w:sz w:val="20"/>
            <w:szCs w:val="20"/>
          </w:rPr>
          <w:tab/>
        </w:r>
        <w:r w:rsidR="00275FEF" w:rsidRPr="00275FEF">
          <w:rPr>
            <w:rFonts w:ascii="Calibri" w:hAnsi="Calibri" w:cs="Calibri"/>
            <w:sz w:val="20"/>
            <w:szCs w:val="20"/>
          </w:rPr>
          <w:fldChar w:fldCharType="begin"/>
        </w:r>
        <w:r w:rsidR="00275FEF" w:rsidRPr="00275FEF">
          <w:rPr>
            <w:rFonts w:ascii="Calibri" w:hAnsi="Calibri" w:cs="Calibri"/>
            <w:sz w:val="20"/>
            <w:szCs w:val="20"/>
          </w:rPr>
          <w:instrText xml:space="preserve"> PAGE   \* MERGEFORMAT </w:instrText>
        </w:r>
        <w:r w:rsidR="00275FEF" w:rsidRPr="00275FEF">
          <w:rPr>
            <w:rFonts w:ascii="Calibri" w:hAnsi="Calibri" w:cs="Calibri"/>
            <w:sz w:val="20"/>
            <w:szCs w:val="20"/>
          </w:rPr>
          <w:fldChar w:fldCharType="separate"/>
        </w:r>
        <w:r w:rsidR="00275FEF" w:rsidRPr="00275FEF">
          <w:rPr>
            <w:rFonts w:ascii="Calibri" w:hAnsi="Calibri" w:cs="Calibri"/>
            <w:sz w:val="20"/>
            <w:szCs w:val="20"/>
          </w:rPr>
          <w:t>2</w:t>
        </w:r>
        <w:r w:rsidR="00275FEF" w:rsidRPr="00275FEF">
          <w:rPr>
            <w:rFonts w:ascii="Calibri" w:hAnsi="Calibri"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42E0" w14:textId="77777777" w:rsidR="004E1332" w:rsidRDefault="004E1332" w:rsidP="001E2255">
      <w:pPr>
        <w:spacing w:after="0" w:line="240" w:lineRule="auto"/>
      </w:pPr>
      <w:r>
        <w:separator/>
      </w:r>
    </w:p>
  </w:footnote>
  <w:footnote w:type="continuationSeparator" w:id="0">
    <w:p w14:paraId="6EB8FA96" w14:textId="77777777" w:rsidR="004E1332" w:rsidRDefault="004E1332" w:rsidP="001E2255">
      <w:pPr>
        <w:spacing w:after="0" w:line="240" w:lineRule="auto"/>
      </w:pPr>
      <w:r>
        <w:continuationSeparator/>
      </w:r>
    </w:p>
  </w:footnote>
  <w:footnote w:type="continuationNotice" w:id="1">
    <w:p w14:paraId="419BD2E9" w14:textId="77777777" w:rsidR="004E1332" w:rsidRDefault="004E1332">
      <w:pPr>
        <w:spacing w:after="0" w:line="240" w:lineRule="auto"/>
      </w:pPr>
    </w:p>
  </w:footnote>
  <w:footnote w:id="2">
    <w:p w14:paraId="1D0F017A" w14:textId="228E38D2" w:rsidR="00F312DE" w:rsidRPr="00F312DE" w:rsidRDefault="00F312DE">
      <w:pPr>
        <w:pStyle w:val="FootnoteText"/>
        <w:rPr>
          <w:rFonts w:ascii="Calibri" w:hAnsi="Calibri" w:cs="Calibri"/>
        </w:rPr>
      </w:pPr>
      <w:r>
        <w:rPr>
          <w:rStyle w:val="FootnoteReference"/>
          <w:rFonts w:ascii="Calibri" w:hAnsi="Calibri" w:cs="Calibri"/>
        </w:rPr>
        <w:footnoteRef/>
      </w:r>
      <w:r>
        <w:rPr>
          <w:rFonts w:ascii="Calibri" w:hAnsi="Calibri"/>
        </w:rPr>
        <w:t xml:space="preserve"> Véanse los cuadros del anexo 1 del documento COP15 Doc.23.1 para más detalles sobre los ajustes de las partidas presupuestarias.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147"/>
    <w:multiLevelType w:val="hybridMultilevel"/>
    <w:tmpl w:val="1026DB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D779E"/>
    <w:multiLevelType w:val="hybridMultilevel"/>
    <w:tmpl w:val="992A8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148B9"/>
    <w:multiLevelType w:val="hybridMultilevel"/>
    <w:tmpl w:val="6B3C5C2C"/>
    <w:lvl w:ilvl="0" w:tplc="A80A1792">
      <w:start w:val="1"/>
      <w:numFmt w:val="decimal"/>
      <w:lvlText w:val="%1."/>
      <w:lvlJc w:val="left"/>
      <w:pPr>
        <w:ind w:left="360" w:hanging="360"/>
      </w:pPr>
    </w:lvl>
    <w:lvl w:ilvl="1" w:tplc="840405F6">
      <w:start w:val="1"/>
      <w:numFmt w:val="lowerLetter"/>
      <w:lvlText w:val="%2."/>
      <w:lvlJc w:val="left"/>
      <w:pPr>
        <w:ind w:left="1080" w:hanging="360"/>
      </w:pPr>
    </w:lvl>
    <w:lvl w:ilvl="2" w:tplc="E7AAF75A">
      <w:start w:val="1"/>
      <w:numFmt w:val="lowerRoman"/>
      <w:lvlText w:val="%3."/>
      <w:lvlJc w:val="right"/>
      <w:pPr>
        <w:ind w:left="1800" w:hanging="180"/>
      </w:pPr>
    </w:lvl>
    <w:lvl w:ilvl="3" w:tplc="D55CE226">
      <w:start w:val="1"/>
      <w:numFmt w:val="decimal"/>
      <w:lvlText w:val="%4."/>
      <w:lvlJc w:val="left"/>
      <w:pPr>
        <w:ind w:left="2520" w:hanging="360"/>
      </w:pPr>
    </w:lvl>
    <w:lvl w:ilvl="4" w:tplc="4732BFB0">
      <w:start w:val="1"/>
      <w:numFmt w:val="lowerLetter"/>
      <w:lvlText w:val="%5."/>
      <w:lvlJc w:val="left"/>
      <w:pPr>
        <w:ind w:left="3240" w:hanging="360"/>
      </w:pPr>
    </w:lvl>
    <w:lvl w:ilvl="5" w:tplc="6742B144">
      <w:start w:val="1"/>
      <w:numFmt w:val="lowerRoman"/>
      <w:lvlText w:val="%6."/>
      <w:lvlJc w:val="right"/>
      <w:pPr>
        <w:ind w:left="3960" w:hanging="180"/>
      </w:pPr>
    </w:lvl>
    <w:lvl w:ilvl="6" w:tplc="F8FC8AA2">
      <w:start w:val="1"/>
      <w:numFmt w:val="decimal"/>
      <w:lvlText w:val="%7."/>
      <w:lvlJc w:val="left"/>
      <w:pPr>
        <w:ind w:left="4680" w:hanging="360"/>
      </w:pPr>
    </w:lvl>
    <w:lvl w:ilvl="7" w:tplc="CB448D94">
      <w:start w:val="1"/>
      <w:numFmt w:val="lowerLetter"/>
      <w:lvlText w:val="%8."/>
      <w:lvlJc w:val="left"/>
      <w:pPr>
        <w:ind w:left="5400" w:hanging="360"/>
      </w:pPr>
    </w:lvl>
    <w:lvl w:ilvl="8" w:tplc="0ACC8686">
      <w:start w:val="1"/>
      <w:numFmt w:val="lowerRoman"/>
      <w:lvlText w:val="%9."/>
      <w:lvlJc w:val="right"/>
      <w:pPr>
        <w:ind w:left="6120" w:hanging="180"/>
      </w:pPr>
    </w:lvl>
  </w:abstractNum>
  <w:abstractNum w:abstractNumId="3" w15:restartNumberingAfterBreak="0">
    <w:nsid w:val="142F7BAD"/>
    <w:multiLevelType w:val="hybridMultilevel"/>
    <w:tmpl w:val="67CC6D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424C56"/>
    <w:multiLevelType w:val="hybridMultilevel"/>
    <w:tmpl w:val="312A70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946DE"/>
    <w:multiLevelType w:val="hybridMultilevel"/>
    <w:tmpl w:val="D1E6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E32B3"/>
    <w:multiLevelType w:val="hybridMultilevel"/>
    <w:tmpl w:val="86C6D0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73F38"/>
    <w:multiLevelType w:val="hybridMultilevel"/>
    <w:tmpl w:val="B09853E2"/>
    <w:lvl w:ilvl="0" w:tplc="FFFFFFFF">
      <w:start w:val="1"/>
      <w:numFmt w:val="decimal"/>
      <w:lvlText w:val="%1)"/>
      <w:lvlJc w:val="left"/>
      <w:pPr>
        <w:ind w:left="720" w:hanging="360"/>
      </w:pPr>
      <w:rPr>
        <w:rFonts w:ascii="Arial" w:eastAsiaTheme="minorHAnsi" w:hAnsi="Arial" w:cs="Arial"/>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5518091C">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191ECA"/>
    <w:multiLevelType w:val="hybridMultilevel"/>
    <w:tmpl w:val="6CAA262A"/>
    <w:lvl w:ilvl="0" w:tplc="77B6155A">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D7D6A"/>
    <w:multiLevelType w:val="hybridMultilevel"/>
    <w:tmpl w:val="1BDAD9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C6E298E">
      <w:start w:val="1"/>
      <w:numFmt w:val="bullet"/>
      <w:lvlText w:val="-"/>
      <w:lvlJc w:val="left"/>
      <w:pPr>
        <w:ind w:left="2880" w:hanging="360"/>
      </w:pPr>
      <w:rPr>
        <w:rFonts w:ascii="Sitka Small" w:hAnsi="Sitka Smal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9507702">
    <w:abstractNumId w:val="2"/>
  </w:num>
  <w:num w:numId="2" w16cid:durableId="1859267496">
    <w:abstractNumId w:val="1"/>
  </w:num>
  <w:num w:numId="3" w16cid:durableId="1517381642">
    <w:abstractNumId w:val="8"/>
  </w:num>
  <w:num w:numId="4" w16cid:durableId="315306319">
    <w:abstractNumId w:val="9"/>
  </w:num>
  <w:num w:numId="5" w16cid:durableId="1920944952">
    <w:abstractNumId w:val="6"/>
  </w:num>
  <w:num w:numId="6" w16cid:durableId="193273615">
    <w:abstractNumId w:val="0"/>
  </w:num>
  <w:num w:numId="7" w16cid:durableId="36591451">
    <w:abstractNumId w:val="5"/>
  </w:num>
  <w:num w:numId="8" w16cid:durableId="1820532682">
    <w:abstractNumId w:val="7"/>
  </w:num>
  <w:num w:numId="9" w16cid:durableId="195822065">
    <w:abstractNumId w:val="4"/>
  </w:num>
  <w:num w:numId="10" w16cid:durableId="202329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55"/>
    <w:rsid w:val="000024EF"/>
    <w:rsid w:val="0000256B"/>
    <w:rsid w:val="000119E1"/>
    <w:rsid w:val="000141B3"/>
    <w:rsid w:val="00041A66"/>
    <w:rsid w:val="00041B13"/>
    <w:rsid w:val="00043D1B"/>
    <w:rsid w:val="00045AB1"/>
    <w:rsid w:val="00046361"/>
    <w:rsid w:val="00047B3B"/>
    <w:rsid w:val="00057DCB"/>
    <w:rsid w:val="000650E1"/>
    <w:rsid w:val="000724CD"/>
    <w:rsid w:val="00085F3B"/>
    <w:rsid w:val="000936D8"/>
    <w:rsid w:val="00097D6F"/>
    <w:rsid w:val="000A170C"/>
    <w:rsid w:val="000A2BFA"/>
    <w:rsid w:val="000A5274"/>
    <w:rsid w:val="000B026B"/>
    <w:rsid w:val="000B142B"/>
    <w:rsid w:val="000C353F"/>
    <w:rsid w:val="000C7EC5"/>
    <w:rsid w:val="000D066A"/>
    <w:rsid w:val="000F2494"/>
    <w:rsid w:val="000F5617"/>
    <w:rsid w:val="00102EFB"/>
    <w:rsid w:val="001037C8"/>
    <w:rsid w:val="00105A68"/>
    <w:rsid w:val="00106B95"/>
    <w:rsid w:val="00110268"/>
    <w:rsid w:val="00114A9B"/>
    <w:rsid w:val="00116FE6"/>
    <w:rsid w:val="00123287"/>
    <w:rsid w:val="001246D7"/>
    <w:rsid w:val="00137EC1"/>
    <w:rsid w:val="00141775"/>
    <w:rsid w:val="001473D4"/>
    <w:rsid w:val="0014774E"/>
    <w:rsid w:val="001513A5"/>
    <w:rsid w:val="00163AD6"/>
    <w:rsid w:val="001671D6"/>
    <w:rsid w:val="0017199B"/>
    <w:rsid w:val="00174F06"/>
    <w:rsid w:val="00181EA6"/>
    <w:rsid w:val="00181F2D"/>
    <w:rsid w:val="00185125"/>
    <w:rsid w:val="00187AFA"/>
    <w:rsid w:val="001912E6"/>
    <w:rsid w:val="0019501B"/>
    <w:rsid w:val="00196230"/>
    <w:rsid w:val="001A1A0A"/>
    <w:rsid w:val="001A2249"/>
    <w:rsid w:val="001A740F"/>
    <w:rsid w:val="001B1C01"/>
    <w:rsid w:val="001B2A19"/>
    <w:rsid w:val="001B5D94"/>
    <w:rsid w:val="001B6BC5"/>
    <w:rsid w:val="001B7ADE"/>
    <w:rsid w:val="001C29D2"/>
    <w:rsid w:val="001C30C3"/>
    <w:rsid w:val="001C3E44"/>
    <w:rsid w:val="001D4929"/>
    <w:rsid w:val="001D513D"/>
    <w:rsid w:val="001E2255"/>
    <w:rsid w:val="001F3038"/>
    <w:rsid w:val="001F5CE4"/>
    <w:rsid w:val="00202B4E"/>
    <w:rsid w:val="0020342B"/>
    <w:rsid w:val="00203A7C"/>
    <w:rsid w:val="00204FF9"/>
    <w:rsid w:val="002117B1"/>
    <w:rsid w:val="0023414E"/>
    <w:rsid w:val="002346B8"/>
    <w:rsid w:val="00236DB1"/>
    <w:rsid w:val="0023711D"/>
    <w:rsid w:val="00237F65"/>
    <w:rsid w:val="0024767D"/>
    <w:rsid w:val="00254B9F"/>
    <w:rsid w:val="00270687"/>
    <w:rsid w:val="00275FEF"/>
    <w:rsid w:val="00284B6F"/>
    <w:rsid w:val="0029035B"/>
    <w:rsid w:val="002A28A3"/>
    <w:rsid w:val="002B6C22"/>
    <w:rsid w:val="002C0F29"/>
    <w:rsid w:val="002C3C1B"/>
    <w:rsid w:val="002C47A8"/>
    <w:rsid w:val="002C634D"/>
    <w:rsid w:val="002D696D"/>
    <w:rsid w:val="002E51E1"/>
    <w:rsid w:val="002E5D2B"/>
    <w:rsid w:val="002E7645"/>
    <w:rsid w:val="002F5C9D"/>
    <w:rsid w:val="003039E7"/>
    <w:rsid w:val="003070C2"/>
    <w:rsid w:val="003127BD"/>
    <w:rsid w:val="00321CFE"/>
    <w:rsid w:val="003231A8"/>
    <w:rsid w:val="0033169C"/>
    <w:rsid w:val="00343374"/>
    <w:rsid w:val="00343BD1"/>
    <w:rsid w:val="003510FA"/>
    <w:rsid w:val="003521E8"/>
    <w:rsid w:val="00357F54"/>
    <w:rsid w:val="00360229"/>
    <w:rsid w:val="00361718"/>
    <w:rsid w:val="003660F7"/>
    <w:rsid w:val="00367553"/>
    <w:rsid w:val="003711C9"/>
    <w:rsid w:val="00380DEB"/>
    <w:rsid w:val="00381415"/>
    <w:rsid w:val="003835AB"/>
    <w:rsid w:val="00386E6E"/>
    <w:rsid w:val="00395663"/>
    <w:rsid w:val="003A129B"/>
    <w:rsid w:val="003A5579"/>
    <w:rsid w:val="003B4A22"/>
    <w:rsid w:val="003B6C47"/>
    <w:rsid w:val="003C123A"/>
    <w:rsid w:val="003C25BA"/>
    <w:rsid w:val="003C3DF6"/>
    <w:rsid w:val="003D2A11"/>
    <w:rsid w:val="003E6F7F"/>
    <w:rsid w:val="003F290D"/>
    <w:rsid w:val="00416212"/>
    <w:rsid w:val="00424000"/>
    <w:rsid w:val="00427CE2"/>
    <w:rsid w:val="0043143D"/>
    <w:rsid w:val="00432A42"/>
    <w:rsid w:val="004404E8"/>
    <w:rsid w:val="00440A35"/>
    <w:rsid w:val="00442557"/>
    <w:rsid w:val="004470C7"/>
    <w:rsid w:val="00447123"/>
    <w:rsid w:val="004525EC"/>
    <w:rsid w:val="00453047"/>
    <w:rsid w:val="00453CB7"/>
    <w:rsid w:val="004546FF"/>
    <w:rsid w:val="00464781"/>
    <w:rsid w:val="00470811"/>
    <w:rsid w:val="00473CE3"/>
    <w:rsid w:val="0047633F"/>
    <w:rsid w:val="004763F4"/>
    <w:rsid w:val="00485A6A"/>
    <w:rsid w:val="00495140"/>
    <w:rsid w:val="004956A7"/>
    <w:rsid w:val="00496E68"/>
    <w:rsid w:val="004B05CF"/>
    <w:rsid w:val="004B2833"/>
    <w:rsid w:val="004B313B"/>
    <w:rsid w:val="004B7AED"/>
    <w:rsid w:val="004C48B0"/>
    <w:rsid w:val="004D3ED5"/>
    <w:rsid w:val="004E1332"/>
    <w:rsid w:val="004E1AB1"/>
    <w:rsid w:val="004E336A"/>
    <w:rsid w:val="004F686F"/>
    <w:rsid w:val="004F75ED"/>
    <w:rsid w:val="00502559"/>
    <w:rsid w:val="00503F75"/>
    <w:rsid w:val="00510337"/>
    <w:rsid w:val="0051153D"/>
    <w:rsid w:val="00521215"/>
    <w:rsid w:val="00522A87"/>
    <w:rsid w:val="005468CF"/>
    <w:rsid w:val="00547F0E"/>
    <w:rsid w:val="005520E0"/>
    <w:rsid w:val="005557D3"/>
    <w:rsid w:val="0055585C"/>
    <w:rsid w:val="00576106"/>
    <w:rsid w:val="00576151"/>
    <w:rsid w:val="00576BC7"/>
    <w:rsid w:val="0058514D"/>
    <w:rsid w:val="005924D3"/>
    <w:rsid w:val="00593AB7"/>
    <w:rsid w:val="00593C93"/>
    <w:rsid w:val="005A08EE"/>
    <w:rsid w:val="005A2BC3"/>
    <w:rsid w:val="005A32C7"/>
    <w:rsid w:val="005A4963"/>
    <w:rsid w:val="005B28ED"/>
    <w:rsid w:val="005B47D6"/>
    <w:rsid w:val="005C4044"/>
    <w:rsid w:val="005D21DE"/>
    <w:rsid w:val="005D2E21"/>
    <w:rsid w:val="005E14F5"/>
    <w:rsid w:val="005E20D4"/>
    <w:rsid w:val="005E4137"/>
    <w:rsid w:val="005E5700"/>
    <w:rsid w:val="005E5DD8"/>
    <w:rsid w:val="005F1CD3"/>
    <w:rsid w:val="005F4B56"/>
    <w:rsid w:val="005F6339"/>
    <w:rsid w:val="00600CFC"/>
    <w:rsid w:val="00600D06"/>
    <w:rsid w:val="00600E70"/>
    <w:rsid w:val="006034CE"/>
    <w:rsid w:val="006050B8"/>
    <w:rsid w:val="0060601C"/>
    <w:rsid w:val="00606F72"/>
    <w:rsid w:val="0061168B"/>
    <w:rsid w:val="00612AE0"/>
    <w:rsid w:val="00613BA3"/>
    <w:rsid w:val="00630942"/>
    <w:rsid w:val="00634CCA"/>
    <w:rsid w:val="006366C2"/>
    <w:rsid w:val="006385EB"/>
    <w:rsid w:val="006437A2"/>
    <w:rsid w:val="00645632"/>
    <w:rsid w:val="0065216C"/>
    <w:rsid w:val="00657973"/>
    <w:rsid w:val="00663F94"/>
    <w:rsid w:val="00676131"/>
    <w:rsid w:val="00676B18"/>
    <w:rsid w:val="006777C9"/>
    <w:rsid w:val="00697866"/>
    <w:rsid w:val="00697FB2"/>
    <w:rsid w:val="006A0A3D"/>
    <w:rsid w:val="006A5ED7"/>
    <w:rsid w:val="006B10B9"/>
    <w:rsid w:val="006B7510"/>
    <w:rsid w:val="006C2103"/>
    <w:rsid w:val="006C477C"/>
    <w:rsid w:val="006C6B1B"/>
    <w:rsid w:val="006D1BFF"/>
    <w:rsid w:val="006D1D8E"/>
    <w:rsid w:val="006D60FB"/>
    <w:rsid w:val="006E0EBA"/>
    <w:rsid w:val="006E5F7B"/>
    <w:rsid w:val="006F5E12"/>
    <w:rsid w:val="006F61E0"/>
    <w:rsid w:val="006F70A6"/>
    <w:rsid w:val="00706E53"/>
    <w:rsid w:val="00716203"/>
    <w:rsid w:val="00717FB6"/>
    <w:rsid w:val="007218C7"/>
    <w:rsid w:val="0073311A"/>
    <w:rsid w:val="00734DC0"/>
    <w:rsid w:val="00736ED7"/>
    <w:rsid w:val="00742AA9"/>
    <w:rsid w:val="00751512"/>
    <w:rsid w:val="00753D9A"/>
    <w:rsid w:val="0076021B"/>
    <w:rsid w:val="00765C4F"/>
    <w:rsid w:val="007768B3"/>
    <w:rsid w:val="007800BD"/>
    <w:rsid w:val="007819B2"/>
    <w:rsid w:val="00783608"/>
    <w:rsid w:val="0079193A"/>
    <w:rsid w:val="00793F7C"/>
    <w:rsid w:val="00796518"/>
    <w:rsid w:val="007A12F8"/>
    <w:rsid w:val="007B3813"/>
    <w:rsid w:val="007B5DE0"/>
    <w:rsid w:val="007B769F"/>
    <w:rsid w:val="007B7FA0"/>
    <w:rsid w:val="007C3A9E"/>
    <w:rsid w:val="007D09DF"/>
    <w:rsid w:val="007D2B07"/>
    <w:rsid w:val="007E214F"/>
    <w:rsid w:val="007E31A5"/>
    <w:rsid w:val="007F0D9C"/>
    <w:rsid w:val="007F4101"/>
    <w:rsid w:val="007F493B"/>
    <w:rsid w:val="0080005A"/>
    <w:rsid w:val="0080127B"/>
    <w:rsid w:val="00805E6F"/>
    <w:rsid w:val="00814391"/>
    <w:rsid w:val="00815AA9"/>
    <w:rsid w:val="008179BA"/>
    <w:rsid w:val="008441E9"/>
    <w:rsid w:val="00844ED2"/>
    <w:rsid w:val="00845888"/>
    <w:rsid w:val="00854B9D"/>
    <w:rsid w:val="00856228"/>
    <w:rsid w:val="00857623"/>
    <w:rsid w:val="0086507E"/>
    <w:rsid w:val="008655BD"/>
    <w:rsid w:val="008665D3"/>
    <w:rsid w:val="0088121A"/>
    <w:rsid w:val="008818DD"/>
    <w:rsid w:val="00882FB4"/>
    <w:rsid w:val="00884285"/>
    <w:rsid w:val="008942D2"/>
    <w:rsid w:val="008946C0"/>
    <w:rsid w:val="008947AB"/>
    <w:rsid w:val="00894CCD"/>
    <w:rsid w:val="00896419"/>
    <w:rsid w:val="008A28A5"/>
    <w:rsid w:val="008A4BF4"/>
    <w:rsid w:val="008A5CCC"/>
    <w:rsid w:val="008B1136"/>
    <w:rsid w:val="008B3254"/>
    <w:rsid w:val="008B3375"/>
    <w:rsid w:val="008B7EE6"/>
    <w:rsid w:val="008C3B06"/>
    <w:rsid w:val="008D1D47"/>
    <w:rsid w:val="008D40E8"/>
    <w:rsid w:val="008D44EE"/>
    <w:rsid w:val="008D45F1"/>
    <w:rsid w:val="008D7108"/>
    <w:rsid w:val="008E301F"/>
    <w:rsid w:val="008E5DA7"/>
    <w:rsid w:val="008E5EDE"/>
    <w:rsid w:val="008F2F35"/>
    <w:rsid w:val="008F79D2"/>
    <w:rsid w:val="009076F2"/>
    <w:rsid w:val="00914749"/>
    <w:rsid w:val="00922F1C"/>
    <w:rsid w:val="00934F69"/>
    <w:rsid w:val="009372CD"/>
    <w:rsid w:val="00940101"/>
    <w:rsid w:val="009418C0"/>
    <w:rsid w:val="009421AD"/>
    <w:rsid w:val="009421EB"/>
    <w:rsid w:val="00942E7C"/>
    <w:rsid w:val="009470D3"/>
    <w:rsid w:val="00952CE6"/>
    <w:rsid w:val="00952D4F"/>
    <w:rsid w:val="0095405C"/>
    <w:rsid w:val="0097070E"/>
    <w:rsid w:val="00970970"/>
    <w:rsid w:val="00973134"/>
    <w:rsid w:val="00985B93"/>
    <w:rsid w:val="00985DA1"/>
    <w:rsid w:val="00991D8F"/>
    <w:rsid w:val="00992D73"/>
    <w:rsid w:val="00995DB2"/>
    <w:rsid w:val="009A24B9"/>
    <w:rsid w:val="009A469F"/>
    <w:rsid w:val="009A542E"/>
    <w:rsid w:val="009A68C4"/>
    <w:rsid w:val="009C676D"/>
    <w:rsid w:val="009D0248"/>
    <w:rsid w:val="009D7FB6"/>
    <w:rsid w:val="009E2A02"/>
    <w:rsid w:val="009F3EF5"/>
    <w:rsid w:val="009F4FAD"/>
    <w:rsid w:val="009F67D8"/>
    <w:rsid w:val="00A01464"/>
    <w:rsid w:val="00A070D9"/>
    <w:rsid w:val="00A1120A"/>
    <w:rsid w:val="00A17322"/>
    <w:rsid w:val="00A20805"/>
    <w:rsid w:val="00A235BD"/>
    <w:rsid w:val="00A33396"/>
    <w:rsid w:val="00A36C66"/>
    <w:rsid w:val="00A52DAC"/>
    <w:rsid w:val="00A52E41"/>
    <w:rsid w:val="00A54118"/>
    <w:rsid w:val="00A55202"/>
    <w:rsid w:val="00A60907"/>
    <w:rsid w:val="00A66A06"/>
    <w:rsid w:val="00A71FF7"/>
    <w:rsid w:val="00A8123B"/>
    <w:rsid w:val="00A84B1F"/>
    <w:rsid w:val="00A90311"/>
    <w:rsid w:val="00A919D8"/>
    <w:rsid w:val="00AA48AD"/>
    <w:rsid w:val="00AA57F5"/>
    <w:rsid w:val="00AA5AE8"/>
    <w:rsid w:val="00AA77E6"/>
    <w:rsid w:val="00AB3B17"/>
    <w:rsid w:val="00AB4248"/>
    <w:rsid w:val="00AD246C"/>
    <w:rsid w:val="00AD6D82"/>
    <w:rsid w:val="00AE1A8D"/>
    <w:rsid w:val="00AE1EC8"/>
    <w:rsid w:val="00AE2F8E"/>
    <w:rsid w:val="00AE6828"/>
    <w:rsid w:val="00AE7C0E"/>
    <w:rsid w:val="00AF0FF7"/>
    <w:rsid w:val="00AF12A8"/>
    <w:rsid w:val="00AF52B3"/>
    <w:rsid w:val="00AF5F35"/>
    <w:rsid w:val="00B04A00"/>
    <w:rsid w:val="00B0767D"/>
    <w:rsid w:val="00B1266A"/>
    <w:rsid w:val="00B16748"/>
    <w:rsid w:val="00B24A27"/>
    <w:rsid w:val="00B26650"/>
    <w:rsid w:val="00B27096"/>
    <w:rsid w:val="00B27BFA"/>
    <w:rsid w:val="00B32032"/>
    <w:rsid w:val="00B375E1"/>
    <w:rsid w:val="00B417BA"/>
    <w:rsid w:val="00B66E1E"/>
    <w:rsid w:val="00B67325"/>
    <w:rsid w:val="00B71AAF"/>
    <w:rsid w:val="00B72306"/>
    <w:rsid w:val="00B765D0"/>
    <w:rsid w:val="00B8235F"/>
    <w:rsid w:val="00B87B7D"/>
    <w:rsid w:val="00B90198"/>
    <w:rsid w:val="00B9036B"/>
    <w:rsid w:val="00B9057F"/>
    <w:rsid w:val="00BA0354"/>
    <w:rsid w:val="00BB297C"/>
    <w:rsid w:val="00BB6C2A"/>
    <w:rsid w:val="00BC0F35"/>
    <w:rsid w:val="00BC1433"/>
    <w:rsid w:val="00BC616F"/>
    <w:rsid w:val="00BD0D5C"/>
    <w:rsid w:val="00BD6910"/>
    <w:rsid w:val="00BE2ADF"/>
    <w:rsid w:val="00BE4208"/>
    <w:rsid w:val="00BF01C6"/>
    <w:rsid w:val="00BF1899"/>
    <w:rsid w:val="00BF3C1A"/>
    <w:rsid w:val="00C00A49"/>
    <w:rsid w:val="00C00BCF"/>
    <w:rsid w:val="00C02F06"/>
    <w:rsid w:val="00C070A2"/>
    <w:rsid w:val="00C11A0D"/>
    <w:rsid w:val="00C303CD"/>
    <w:rsid w:val="00C31978"/>
    <w:rsid w:val="00C326C9"/>
    <w:rsid w:val="00C342CB"/>
    <w:rsid w:val="00C41943"/>
    <w:rsid w:val="00C45728"/>
    <w:rsid w:val="00C47693"/>
    <w:rsid w:val="00C533CE"/>
    <w:rsid w:val="00C536C8"/>
    <w:rsid w:val="00C63771"/>
    <w:rsid w:val="00C64DE9"/>
    <w:rsid w:val="00C710DC"/>
    <w:rsid w:val="00C80E1F"/>
    <w:rsid w:val="00C8394C"/>
    <w:rsid w:val="00C857D5"/>
    <w:rsid w:val="00C85890"/>
    <w:rsid w:val="00C87802"/>
    <w:rsid w:val="00C92749"/>
    <w:rsid w:val="00C96D7A"/>
    <w:rsid w:val="00CB5443"/>
    <w:rsid w:val="00CB5BA0"/>
    <w:rsid w:val="00CC0AFF"/>
    <w:rsid w:val="00CC1D4E"/>
    <w:rsid w:val="00CC5495"/>
    <w:rsid w:val="00CC7CFB"/>
    <w:rsid w:val="00CD24B6"/>
    <w:rsid w:val="00CD3DED"/>
    <w:rsid w:val="00CD6BFC"/>
    <w:rsid w:val="00CD7992"/>
    <w:rsid w:val="00D007B2"/>
    <w:rsid w:val="00D04EAB"/>
    <w:rsid w:val="00D120F6"/>
    <w:rsid w:val="00D215DB"/>
    <w:rsid w:val="00D227DB"/>
    <w:rsid w:val="00D26C80"/>
    <w:rsid w:val="00D30126"/>
    <w:rsid w:val="00D33592"/>
    <w:rsid w:val="00D36D1D"/>
    <w:rsid w:val="00D37531"/>
    <w:rsid w:val="00D40589"/>
    <w:rsid w:val="00D41F04"/>
    <w:rsid w:val="00D4230E"/>
    <w:rsid w:val="00D42BB1"/>
    <w:rsid w:val="00D51E78"/>
    <w:rsid w:val="00D52C45"/>
    <w:rsid w:val="00D550E1"/>
    <w:rsid w:val="00D57A36"/>
    <w:rsid w:val="00D66871"/>
    <w:rsid w:val="00D708B4"/>
    <w:rsid w:val="00D8021B"/>
    <w:rsid w:val="00D861AF"/>
    <w:rsid w:val="00D879A2"/>
    <w:rsid w:val="00DA6CDF"/>
    <w:rsid w:val="00DA6CF9"/>
    <w:rsid w:val="00DB012E"/>
    <w:rsid w:val="00DC1FAE"/>
    <w:rsid w:val="00DC3BDF"/>
    <w:rsid w:val="00DC6E1A"/>
    <w:rsid w:val="00DD0F28"/>
    <w:rsid w:val="00DD511B"/>
    <w:rsid w:val="00DF1CEE"/>
    <w:rsid w:val="00DF6A21"/>
    <w:rsid w:val="00E05E44"/>
    <w:rsid w:val="00E12531"/>
    <w:rsid w:val="00E131B8"/>
    <w:rsid w:val="00E1562A"/>
    <w:rsid w:val="00E23458"/>
    <w:rsid w:val="00E23A49"/>
    <w:rsid w:val="00E25746"/>
    <w:rsid w:val="00E2585E"/>
    <w:rsid w:val="00E3287A"/>
    <w:rsid w:val="00E401D1"/>
    <w:rsid w:val="00E40BF6"/>
    <w:rsid w:val="00E51FD3"/>
    <w:rsid w:val="00E6416A"/>
    <w:rsid w:val="00E70C73"/>
    <w:rsid w:val="00E736AA"/>
    <w:rsid w:val="00E821CF"/>
    <w:rsid w:val="00E87B88"/>
    <w:rsid w:val="00E87C2C"/>
    <w:rsid w:val="00E97881"/>
    <w:rsid w:val="00EA4105"/>
    <w:rsid w:val="00EA5E27"/>
    <w:rsid w:val="00EB055A"/>
    <w:rsid w:val="00EB5E5F"/>
    <w:rsid w:val="00ED5C54"/>
    <w:rsid w:val="00EE4190"/>
    <w:rsid w:val="00EF4F08"/>
    <w:rsid w:val="00EF6DB9"/>
    <w:rsid w:val="00EF766F"/>
    <w:rsid w:val="00F0710A"/>
    <w:rsid w:val="00F07B4A"/>
    <w:rsid w:val="00F124B9"/>
    <w:rsid w:val="00F126C6"/>
    <w:rsid w:val="00F2558A"/>
    <w:rsid w:val="00F312DB"/>
    <w:rsid w:val="00F312DE"/>
    <w:rsid w:val="00F32478"/>
    <w:rsid w:val="00F35E06"/>
    <w:rsid w:val="00F37B86"/>
    <w:rsid w:val="00F50E47"/>
    <w:rsid w:val="00F51916"/>
    <w:rsid w:val="00F57499"/>
    <w:rsid w:val="00F70668"/>
    <w:rsid w:val="00F70EAA"/>
    <w:rsid w:val="00F724CE"/>
    <w:rsid w:val="00F726C1"/>
    <w:rsid w:val="00F76419"/>
    <w:rsid w:val="00F7774E"/>
    <w:rsid w:val="00F777B9"/>
    <w:rsid w:val="00F80C56"/>
    <w:rsid w:val="00F83669"/>
    <w:rsid w:val="00F83939"/>
    <w:rsid w:val="00F86862"/>
    <w:rsid w:val="00F8691E"/>
    <w:rsid w:val="00F92050"/>
    <w:rsid w:val="00FA7EF1"/>
    <w:rsid w:val="00FB3656"/>
    <w:rsid w:val="00FB3CB4"/>
    <w:rsid w:val="00FC1944"/>
    <w:rsid w:val="00FC2188"/>
    <w:rsid w:val="00FC5B95"/>
    <w:rsid w:val="00FD0EED"/>
    <w:rsid w:val="00FD506C"/>
    <w:rsid w:val="00FE2D98"/>
    <w:rsid w:val="00FE2DD9"/>
    <w:rsid w:val="00FE6365"/>
    <w:rsid w:val="00FF1100"/>
    <w:rsid w:val="00FF1D6C"/>
    <w:rsid w:val="00FF23E0"/>
    <w:rsid w:val="00FF660A"/>
    <w:rsid w:val="01E36967"/>
    <w:rsid w:val="0257D1C4"/>
    <w:rsid w:val="05A4BDC6"/>
    <w:rsid w:val="07FD992B"/>
    <w:rsid w:val="0810AE4F"/>
    <w:rsid w:val="087161FA"/>
    <w:rsid w:val="09D54560"/>
    <w:rsid w:val="0B4AA363"/>
    <w:rsid w:val="0BA600A2"/>
    <w:rsid w:val="0CDD7965"/>
    <w:rsid w:val="0DB2CD50"/>
    <w:rsid w:val="0DC996A7"/>
    <w:rsid w:val="0EA4F1E0"/>
    <w:rsid w:val="11F97C27"/>
    <w:rsid w:val="13C1630B"/>
    <w:rsid w:val="13F08CD2"/>
    <w:rsid w:val="14283E92"/>
    <w:rsid w:val="1A24D464"/>
    <w:rsid w:val="1BC6939A"/>
    <w:rsid w:val="1E6B3D91"/>
    <w:rsid w:val="1EB1B1ED"/>
    <w:rsid w:val="1EC9BF69"/>
    <w:rsid w:val="1F1C07C4"/>
    <w:rsid w:val="22A933F9"/>
    <w:rsid w:val="22EA1177"/>
    <w:rsid w:val="2333FB0A"/>
    <w:rsid w:val="242F0646"/>
    <w:rsid w:val="24E35F62"/>
    <w:rsid w:val="26A617D5"/>
    <w:rsid w:val="29CF5989"/>
    <w:rsid w:val="2C323B51"/>
    <w:rsid w:val="2C36F516"/>
    <w:rsid w:val="2CD9C2E6"/>
    <w:rsid w:val="2D675815"/>
    <w:rsid w:val="31D3878B"/>
    <w:rsid w:val="323957C3"/>
    <w:rsid w:val="32FB00C1"/>
    <w:rsid w:val="34E51105"/>
    <w:rsid w:val="361B36C1"/>
    <w:rsid w:val="3BA6A761"/>
    <w:rsid w:val="3DDF6E9C"/>
    <w:rsid w:val="3F038691"/>
    <w:rsid w:val="4108553A"/>
    <w:rsid w:val="41223F36"/>
    <w:rsid w:val="421A3314"/>
    <w:rsid w:val="43B408B3"/>
    <w:rsid w:val="4597DA66"/>
    <w:rsid w:val="46C8EE5E"/>
    <w:rsid w:val="48423D53"/>
    <w:rsid w:val="48CCE086"/>
    <w:rsid w:val="4AB968CC"/>
    <w:rsid w:val="4BB8B4EA"/>
    <w:rsid w:val="4C3FF3CA"/>
    <w:rsid w:val="4CEF902D"/>
    <w:rsid w:val="4D32FAFE"/>
    <w:rsid w:val="512E2041"/>
    <w:rsid w:val="52D3E385"/>
    <w:rsid w:val="54C178E2"/>
    <w:rsid w:val="54D01C03"/>
    <w:rsid w:val="55338225"/>
    <w:rsid w:val="56039042"/>
    <w:rsid w:val="564A2D92"/>
    <w:rsid w:val="5861BBA8"/>
    <w:rsid w:val="59E0D3A5"/>
    <w:rsid w:val="5D1EF1D4"/>
    <w:rsid w:val="5D8DAEE9"/>
    <w:rsid w:val="5EB23209"/>
    <w:rsid w:val="5F45263D"/>
    <w:rsid w:val="5FB0B25D"/>
    <w:rsid w:val="608E72AA"/>
    <w:rsid w:val="655FEC35"/>
    <w:rsid w:val="65D95B6F"/>
    <w:rsid w:val="66B92494"/>
    <w:rsid w:val="68A450B9"/>
    <w:rsid w:val="69CEE23B"/>
    <w:rsid w:val="6A570100"/>
    <w:rsid w:val="6B359841"/>
    <w:rsid w:val="6B3E6CE9"/>
    <w:rsid w:val="6B9672F3"/>
    <w:rsid w:val="6BB13223"/>
    <w:rsid w:val="6C491881"/>
    <w:rsid w:val="6CF8067A"/>
    <w:rsid w:val="6D3D01B2"/>
    <w:rsid w:val="6E78A89A"/>
    <w:rsid w:val="6F785491"/>
    <w:rsid w:val="700B0E3E"/>
    <w:rsid w:val="700E3898"/>
    <w:rsid w:val="7158126C"/>
    <w:rsid w:val="71B39171"/>
    <w:rsid w:val="7438973D"/>
    <w:rsid w:val="773DE899"/>
    <w:rsid w:val="774711CD"/>
    <w:rsid w:val="78F2AACA"/>
    <w:rsid w:val="79BAD265"/>
    <w:rsid w:val="7D3D85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270CB7"/>
  <w15:chartTrackingRefBased/>
  <w15:docId w15:val="{7D60A0DF-34B2-41D3-B2C0-1ACCE82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55"/>
  </w:style>
  <w:style w:type="paragraph" w:styleId="Heading1">
    <w:name w:val="heading 1"/>
    <w:basedOn w:val="Normal"/>
    <w:next w:val="Normal"/>
    <w:link w:val="Heading1Char"/>
    <w:uiPriority w:val="9"/>
    <w:qFormat/>
    <w:rsid w:val="001E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255"/>
    <w:rPr>
      <w:rFonts w:eastAsiaTheme="majorEastAsia" w:cstheme="majorBidi"/>
      <w:color w:val="272727" w:themeColor="text1" w:themeTint="D8"/>
    </w:rPr>
  </w:style>
  <w:style w:type="paragraph" w:styleId="Title">
    <w:name w:val="Title"/>
    <w:basedOn w:val="Normal"/>
    <w:next w:val="Normal"/>
    <w:link w:val="TitleChar"/>
    <w:uiPriority w:val="10"/>
    <w:qFormat/>
    <w:rsid w:val="001E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255"/>
    <w:pPr>
      <w:spacing w:before="160"/>
      <w:jc w:val="center"/>
    </w:pPr>
    <w:rPr>
      <w:i/>
      <w:iCs/>
      <w:color w:val="404040" w:themeColor="text1" w:themeTint="BF"/>
    </w:rPr>
  </w:style>
  <w:style w:type="character" w:customStyle="1" w:styleId="QuoteChar">
    <w:name w:val="Quote Char"/>
    <w:basedOn w:val="DefaultParagraphFont"/>
    <w:link w:val="Quote"/>
    <w:uiPriority w:val="29"/>
    <w:rsid w:val="001E2255"/>
    <w:rPr>
      <w:i/>
      <w:iCs/>
      <w:color w:val="404040" w:themeColor="text1" w:themeTint="BF"/>
    </w:rPr>
  </w:style>
  <w:style w:type="paragraph" w:styleId="ListParagraph">
    <w:name w:val="List Paragraph"/>
    <w:basedOn w:val="Normal"/>
    <w:uiPriority w:val="34"/>
    <w:qFormat/>
    <w:rsid w:val="001E2255"/>
    <w:pPr>
      <w:ind w:left="720"/>
      <w:contextualSpacing/>
    </w:pPr>
  </w:style>
  <w:style w:type="character" w:styleId="IntenseEmphasis">
    <w:name w:val="Intense Emphasis"/>
    <w:basedOn w:val="DefaultParagraphFont"/>
    <w:uiPriority w:val="21"/>
    <w:qFormat/>
    <w:rsid w:val="001E2255"/>
    <w:rPr>
      <w:i/>
      <w:iCs/>
      <w:color w:val="0F4761" w:themeColor="accent1" w:themeShade="BF"/>
    </w:rPr>
  </w:style>
  <w:style w:type="paragraph" w:styleId="IntenseQuote">
    <w:name w:val="Intense Quote"/>
    <w:basedOn w:val="Normal"/>
    <w:next w:val="Normal"/>
    <w:link w:val="IntenseQuoteChar"/>
    <w:uiPriority w:val="30"/>
    <w:qFormat/>
    <w:rsid w:val="001E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255"/>
    <w:rPr>
      <w:i/>
      <w:iCs/>
      <w:color w:val="0F4761" w:themeColor="accent1" w:themeShade="BF"/>
    </w:rPr>
  </w:style>
  <w:style w:type="character" w:styleId="IntenseReference">
    <w:name w:val="Intense Reference"/>
    <w:basedOn w:val="DefaultParagraphFont"/>
    <w:uiPriority w:val="32"/>
    <w:qFormat/>
    <w:rsid w:val="001E2255"/>
    <w:rPr>
      <w:b/>
      <w:bCs/>
      <w:smallCaps/>
      <w:color w:val="0F4761" w:themeColor="accent1" w:themeShade="BF"/>
      <w:spacing w:val="5"/>
    </w:rPr>
  </w:style>
  <w:style w:type="character" w:styleId="CommentReference">
    <w:name w:val="annotation reference"/>
    <w:basedOn w:val="DefaultParagraphFont"/>
    <w:uiPriority w:val="99"/>
    <w:semiHidden/>
    <w:unhideWhenUsed/>
    <w:rsid w:val="001E2255"/>
    <w:rPr>
      <w:sz w:val="16"/>
      <w:szCs w:val="16"/>
    </w:rPr>
  </w:style>
  <w:style w:type="paragraph" w:styleId="CommentText">
    <w:name w:val="annotation text"/>
    <w:basedOn w:val="Normal"/>
    <w:link w:val="CommentTextChar"/>
    <w:uiPriority w:val="99"/>
    <w:unhideWhenUsed/>
    <w:rsid w:val="001E2255"/>
    <w:pPr>
      <w:spacing w:line="240" w:lineRule="auto"/>
    </w:pPr>
    <w:rPr>
      <w:sz w:val="20"/>
      <w:szCs w:val="20"/>
    </w:rPr>
  </w:style>
  <w:style w:type="character" w:customStyle="1" w:styleId="CommentTextChar">
    <w:name w:val="Comment Text Char"/>
    <w:basedOn w:val="DefaultParagraphFont"/>
    <w:link w:val="CommentText"/>
    <w:uiPriority w:val="99"/>
    <w:rsid w:val="001E2255"/>
    <w:rPr>
      <w:sz w:val="20"/>
      <w:szCs w:val="20"/>
    </w:rPr>
  </w:style>
  <w:style w:type="paragraph" w:styleId="FootnoteText">
    <w:name w:val="footnote text"/>
    <w:basedOn w:val="Normal"/>
    <w:link w:val="FootnoteTextChar"/>
    <w:uiPriority w:val="99"/>
    <w:semiHidden/>
    <w:unhideWhenUsed/>
    <w:rsid w:val="00A17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255"/>
    <w:rPr>
      <w:sz w:val="20"/>
      <w:szCs w:val="20"/>
    </w:rPr>
  </w:style>
  <w:style w:type="character" w:styleId="FootnoteReference">
    <w:name w:val="footnote reference"/>
    <w:basedOn w:val="DefaultParagraphFont"/>
    <w:uiPriority w:val="99"/>
    <w:semiHidden/>
    <w:unhideWhenUsed/>
    <w:rsid w:val="001E2255"/>
    <w:rPr>
      <w:vertAlign w:val="superscript"/>
    </w:rPr>
  </w:style>
  <w:style w:type="character" w:styleId="Hyperlink">
    <w:name w:val="Hyperlink"/>
    <w:basedOn w:val="DefaultParagraphFont"/>
    <w:uiPriority w:val="99"/>
    <w:unhideWhenUsed/>
    <w:rsid w:val="00B71AAF"/>
    <w:rPr>
      <w:color w:val="0000FF"/>
      <w:u w:val="single"/>
    </w:rPr>
  </w:style>
  <w:style w:type="character" w:styleId="UnresolvedMention">
    <w:name w:val="Unresolved Mention"/>
    <w:basedOn w:val="DefaultParagraphFont"/>
    <w:uiPriority w:val="99"/>
    <w:semiHidden/>
    <w:unhideWhenUsed/>
    <w:rsid w:val="00D708B4"/>
    <w:rPr>
      <w:color w:val="605E5C"/>
      <w:shd w:val="clear" w:color="auto" w:fill="E1DFDD"/>
    </w:rPr>
  </w:style>
  <w:style w:type="paragraph" w:styleId="Revision">
    <w:name w:val="Revision"/>
    <w:hidden/>
    <w:uiPriority w:val="99"/>
    <w:semiHidden/>
    <w:rsid w:val="002E5D2B"/>
    <w:pPr>
      <w:spacing w:after="0" w:line="240" w:lineRule="auto"/>
    </w:pPr>
  </w:style>
  <w:style w:type="paragraph" w:styleId="Header">
    <w:name w:val="header"/>
    <w:basedOn w:val="Normal"/>
    <w:link w:val="HeaderChar"/>
    <w:uiPriority w:val="99"/>
    <w:unhideWhenUsed/>
    <w:rsid w:val="002E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2B"/>
  </w:style>
  <w:style w:type="paragraph" w:styleId="Footer">
    <w:name w:val="footer"/>
    <w:basedOn w:val="Normal"/>
    <w:link w:val="FooterChar"/>
    <w:uiPriority w:val="99"/>
    <w:unhideWhenUsed/>
    <w:rsid w:val="002E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2B"/>
  </w:style>
  <w:style w:type="paragraph" w:styleId="CommentSubject">
    <w:name w:val="annotation subject"/>
    <w:basedOn w:val="CommentText"/>
    <w:next w:val="CommentText"/>
    <w:link w:val="CommentSubjectChar"/>
    <w:uiPriority w:val="99"/>
    <w:semiHidden/>
    <w:unhideWhenUsed/>
    <w:rsid w:val="00EA5E27"/>
    <w:rPr>
      <w:b/>
      <w:bCs/>
    </w:rPr>
  </w:style>
  <w:style w:type="character" w:customStyle="1" w:styleId="CommentSubjectChar">
    <w:name w:val="Comment Subject Char"/>
    <w:basedOn w:val="CommentTextChar"/>
    <w:link w:val="CommentSubject"/>
    <w:uiPriority w:val="99"/>
    <w:semiHidden/>
    <w:rsid w:val="00EA5E27"/>
    <w:rPr>
      <w:b/>
      <w:bCs/>
      <w:sz w:val="20"/>
      <w:szCs w:val="20"/>
    </w:rPr>
  </w:style>
  <w:style w:type="table" w:styleId="TableGrid">
    <w:name w:val="Table Grid"/>
    <w:basedOn w:val="TableNormal"/>
    <w:uiPriority w:val="39"/>
    <w:rsid w:val="00A90311"/>
    <w:pPr>
      <w:spacing w:after="0" w:line="240" w:lineRule="auto"/>
      <w:ind w:left="425" w:hanging="425"/>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fulltext">
    <w:name w:val="MG_fulltext"/>
    <w:basedOn w:val="Normal"/>
    <w:link w:val="MGfulltextChar"/>
    <w:qFormat/>
    <w:rsid w:val="00F76419"/>
    <w:pPr>
      <w:spacing w:after="120" w:line="240" w:lineRule="auto"/>
    </w:pPr>
    <w:rPr>
      <w:rFonts w:ascii="Arial" w:eastAsia="Times New Roman" w:hAnsi="Arial" w:cs="Arial"/>
      <w:kern w:val="0"/>
      <w:sz w:val="24"/>
      <w:szCs w:val="24"/>
      <w14:ligatures w14:val="none"/>
    </w:rPr>
  </w:style>
  <w:style w:type="character" w:customStyle="1" w:styleId="MGfulltextChar">
    <w:name w:val="MG_fulltext Char"/>
    <w:basedOn w:val="DefaultParagraphFont"/>
    <w:link w:val="MGfulltext"/>
    <w:rsid w:val="00F76419"/>
    <w:rPr>
      <w:rFonts w:ascii="Arial" w:eastAsia="Times New Roman" w:hAnsi="Arial" w:cs="Arial"/>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2663">
      <w:bodyDiv w:val="1"/>
      <w:marLeft w:val="0"/>
      <w:marRight w:val="0"/>
      <w:marTop w:val="0"/>
      <w:marBottom w:val="0"/>
      <w:divBdr>
        <w:top w:val="none" w:sz="0" w:space="0" w:color="auto"/>
        <w:left w:val="none" w:sz="0" w:space="0" w:color="auto"/>
        <w:bottom w:val="none" w:sz="0" w:space="0" w:color="auto"/>
        <w:right w:val="none" w:sz="0" w:space="0" w:color="auto"/>
      </w:divBdr>
    </w:div>
    <w:div w:id="1045106406">
      <w:bodyDiv w:val="1"/>
      <w:marLeft w:val="0"/>
      <w:marRight w:val="0"/>
      <w:marTop w:val="0"/>
      <w:marBottom w:val="0"/>
      <w:divBdr>
        <w:top w:val="none" w:sz="0" w:space="0" w:color="auto"/>
        <w:left w:val="none" w:sz="0" w:space="0" w:color="auto"/>
        <w:bottom w:val="none" w:sz="0" w:space="0" w:color="auto"/>
        <w:right w:val="none" w:sz="0" w:space="0" w:color="auto"/>
      </w:divBdr>
    </w:div>
    <w:div w:id="1137529173">
      <w:bodyDiv w:val="1"/>
      <w:marLeft w:val="0"/>
      <w:marRight w:val="0"/>
      <w:marTop w:val="0"/>
      <w:marBottom w:val="0"/>
      <w:divBdr>
        <w:top w:val="none" w:sz="0" w:space="0" w:color="auto"/>
        <w:left w:val="none" w:sz="0" w:space="0" w:color="auto"/>
        <w:bottom w:val="none" w:sz="0" w:space="0" w:color="auto"/>
        <w:right w:val="none" w:sz="0" w:space="0" w:color="auto"/>
      </w:divBdr>
    </w:div>
    <w:div w:id="17339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hglna01\data\CC98\2.%20STAFF\Brace%20P%20-%20Administrative%20Assistant\SC44%20-%2062%20COP12%20-%2014%20Documents%20and%20page%20counts_pb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hglna01\data\CC98\2.%20STAFF\Brace%20P%20-%20Administrative%20Assistant\SC63\Data%20and%20graphs%20-%20proposed%20budget%20increase\SC44%20-%2062%20COP12%20-%2014%20Documents%20and%20page%20counts_pb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hglna01\data\CC98\2.%20STAFF\Brace%20P%20-%20Administrative%20Assistant\SC63\Instructions%20-%20COP,%20SC,%20Synergi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hglna01\data\CC98\2.%20STAFF\Brace%20P%20-%20Administrative%20Assistant\SC63\Data%20and%20graphs%20-%20proposed%20budget%20increase\Ramsar%20sites%20data_pb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s-ES" sz="1100"/>
              <a:t>Número de documentos para la COP</a:t>
            </a:r>
          </a:p>
        </c:rich>
      </c:tx>
      <c:layout>
        <c:manualLayout>
          <c:xMode val="edge"/>
          <c:yMode val="edge"/>
          <c:x val="0.19166857569108262"/>
          <c:y val="6.11387084447841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fr-FR"/>
        </a:p>
      </c:txPr>
    </c:title>
    <c:autoTitleDeleted val="0"/>
    <c:plotArea>
      <c:layout/>
      <c:barChart>
        <c:barDir val="col"/>
        <c:grouping val="clustered"/>
        <c:varyColors val="0"/>
        <c:ser>
          <c:idx val="0"/>
          <c:order val="0"/>
          <c:tx>
            <c:strRef>
              <c:f>Sheet1!$B$23</c:f>
              <c:strCache>
                <c:ptCount val="1"/>
                <c:pt idx="0">
                  <c:v>Number of Documents</c:v>
                </c:pt>
              </c:strCache>
            </c:strRef>
          </c:tx>
          <c:spPr>
            <a:solidFill>
              <a:schemeClr val="accent1"/>
            </a:solidFill>
            <a:ln>
              <a:noFill/>
            </a:ln>
            <a:effectLst/>
          </c:spPr>
          <c:invertIfNegative val="0"/>
          <c:cat>
            <c:strRef>
              <c:f>Sheet1!$A$24:$A$26</c:f>
              <c:strCache>
                <c:ptCount val="3"/>
                <c:pt idx="0">
                  <c:v>COP12</c:v>
                </c:pt>
                <c:pt idx="1">
                  <c:v>COP13</c:v>
                </c:pt>
                <c:pt idx="2">
                  <c:v>COP14</c:v>
                </c:pt>
              </c:strCache>
            </c:strRef>
          </c:cat>
          <c:val>
            <c:numRef>
              <c:f>Sheet1!$B$24:$B$26</c:f>
              <c:numCache>
                <c:formatCode>General</c:formatCode>
                <c:ptCount val="3"/>
                <c:pt idx="0">
                  <c:v>59</c:v>
                </c:pt>
                <c:pt idx="1">
                  <c:v>65</c:v>
                </c:pt>
                <c:pt idx="2">
                  <c:v>75</c:v>
                </c:pt>
              </c:numCache>
            </c:numRef>
          </c:val>
          <c:extLst>
            <c:ext xmlns:c16="http://schemas.microsoft.com/office/drawing/2014/chart" uri="{C3380CC4-5D6E-409C-BE32-E72D297353CC}">
              <c16:uniqueId val="{00000000-46FE-443D-A06C-83F532EA5750}"/>
            </c:ext>
          </c:extLst>
        </c:ser>
        <c:dLbls>
          <c:showLegendKey val="0"/>
          <c:showVal val="0"/>
          <c:showCatName val="0"/>
          <c:showSerName val="0"/>
          <c:showPercent val="0"/>
          <c:showBubbleSize val="0"/>
        </c:dLbls>
        <c:gapWidth val="219"/>
        <c:overlap val="-27"/>
        <c:axId val="489833567"/>
        <c:axId val="597428975"/>
      </c:barChart>
      <c:catAx>
        <c:axId val="48983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597428975"/>
        <c:crosses val="autoZero"/>
        <c:auto val="1"/>
        <c:lblAlgn val="ctr"/>
        <c:lblOffset val="100"/>
        <c:noMultiLvlLbl val="0"/>
      </c:catAx>
      <c:valAx>
        <c:axId val="597428975"/>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489833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s-ES" sz="1100"/>
              <a:t>Número de documentos para el Comité Permanente, por trienio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fr-FR"/>
        </a:p>
      </c:txPr>
    </c:title>
    <c:autoTitleDeleted val="0"/>
    <c:plotArea>
      <c:layout/>
      <c:barChart>
        <c:barDir val="col"/>
        <c:grouping val="clustered"/>
        <c:varyColors val="0"/>
        <c:ser>
          <c:idx val="0"/>
          <c:order val="0"/>
          <c:tx>
            <c:strRef>
              <c:f>Sheet1!$B$29</c:f>
              <c:strCache>
                <c:ptCount val="1"/>
                <c:pt idx="0">
                  <c:v>Number of Documents</c:v>
                </c:pt>
              </c:strCache>
            </c:strRef>
          </c:tx>
          <c:spPr>
            <a:solidFill>
              <a:schemeClr val="accent1"/>
            </a:solidFill>
            <a:ln>
              <a:noFill/>
            </a:ln>
            <a:effectLst/>
          </c:spPr>
          <c:invertIfNegative val="0"/>
          <c:cat>
            <c:strRef>
              <c:f>Sheet1!$A$30:$A$32</c:f>
              <c:strCache>
                <c:ptCount val="3"/>
                <c:pt idx="0">
                  <c:v>2012-2015</c:v>
                </c:pt>
                <c:pt idx="1">
                  <c:v>2015-2018</c:v>
                </c:pt>
                <c:pt idx="2">
                  <c:v>2018-2022</c:v>
                </c:pt>
              </c:strCache>
            </c:strRef>
          </c:cat>
          <c:val>
            <c:numRef>
              <c:f>Sheet1!$B$30:$B$32</c:f>
              <c:numCache>
                <c:formatCode>General</c:formatCode>
                <c:ptCount val="3"/>
                <c:pt idx="0">
                  <c:v>86</c:v>
                </c:pt>
                <c:pt idx="1">
                  <c:v>127</c:v>
                </c:pt>
                <c:pt idx="2">
                  <c:v>167</c:v>
                </c:pt>
              </c:numCache>
            </c:numRef>
          </c:val>
          <c:extLst>
            <c:ext xmlns:c16="http://schemas.microsoft.com/office/drawing/2014/chart" uri="{C3380CC4-5D6E-409C-BE32-E72D297353CC}">
              <c16:uniqueId val="{00000000-84B7-4684-A9B2-D08B02101BCD}"/>
            </c:ext>
          </c:extLst>
        </c:ser>
        <c:dLbls>
          <c:showLegendKey val="0"/>
          <c:showVal val="0"/>
          <c:showCatName val="0"/>
          <c:showSerName val="0"/>
          <c:showPercent val="0"/>
          <c:showBubbleSize val="0"/>
        </c:dLbls>
        <c:gapWidth val="219"/>
        <c:overlap val="-27"/>
        <c:axId val="493947103"/>
        <c:axId val="486850223"/>
      </c:barChart>
      <c:catAx>
        <c:axId val="49394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486850223"/>
        <c:crosses val="autoZero"/>
        <c:auto val="1"/>
        <c:lblAlgn val="ctr"/>
        <c:lblOffset val="100"/>
        <c:noMultiLvlLbl val="0"/>
      </c:catAx>
      <c:valAx>
        <c:axId val="486850223"/>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r-FR"/>
          </a:p>
        </c:txPr>
        <c:crossAx val="493947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s-ES"/>
              <a:t>Número de órganos subsidiarios, grupos de trabajo y subgrupos apoyados</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clustered"/>
        <c:varyColors val="0"/>
        <c:ser>
          <c:idx val="0"/>
          <c:order val="0"/>
          <c:tx>
            <c:strRef>
              <c:f>Sheet1!$B$34</c:f>
              <c:strCache>
                <c:ptCount val="1"/>
                <c:pt idx="0">
                  <c:v>Subsidiary bodies, Working Groups and Subgroups supported</c:v>
                </c:pt>
              </c:strCache>
            </c:strRef>
          </c:tx>
          <c:spPr>
            <a:solidFill>
              <a:schemeClr val="accent1"/>
            </a:solidFill>
            <a:ln>
              <a:noFill/>
            </a:ln>
            <a:effectLst/>
          </c:spPr>
          <c:invertIfNegative val="0"/>
          <c:cat>
            <c:strRef>
              <c:f>Sheet1!$A$35:$A$38</c:f>
              <c:strCache>
                <c:ptCount val="4"/>
                <c:pt idx="0">
                  <c:v>2012 - 2015</c:v>
                </c:pt>
                <c:pt idx="1">
                  <c:v>2015 - 2018</c:v>
                </c:pt>
                <c:pt idx="2">
                  <c:v>2018 - 2022</c:v>
                </c:pt>
                <c:pt idx="3">
                  <c:v>2022 - 2024</c:v>
                </c:pt>
              </c:strCache>
            </c:strRef>
          </c:cat>
          <c:val>
            <c:numRef>
              <c:f>Sheet1!$B$35:$B$38</c:f>
              <c:numCache>
                <c:formatCode>General</c:formatCode>
                <c:ptCount val="4"/>
                <c:pt idx="0">
                  <c:v>8</c:v>
                </c:pt>
                <c:pt idx="1">
                  <c:v>10</c:v>
                </c:pt>
                <c:pt idx="2">
                  <c:v>11</c:v>
                </c:pt>
                <c:pt idx="3">
                  <c:v>12</c:v>
                </c:pt>
              </c:numCache>
            </c:numRef>
          </c:val>
          <c:extLst>
            <c:ext xmlns:c16="http://schemas.microsoft.com/office/drawing/2014/chart" uri="{C3380CC4-5D6E-409C-BE32-E72D297353CC}">
              <c16:uniqueId val="{00000000-B4EF-4C78-A915-C7D6F9B64CBA}"/>
            </c:ext>
          </c:extLst>
        </c:ser>
        <c:dLbls>
          <c:showLegendKey val="0"/>
          <c:showVal val="0"/>
          <c:showCatName val="0"/>
          <c:showSerName val="0"/>
          <c:showPercent val="0"/>
          <c:showBubbleSize val="0"/>
        </c:dLbls>
        <c:gapWidth val="219"/>
        <c:overlap val="-27"/>
        <c:axId val="432322272"/>
        <c:axId val="432328032"/>
      </c:barChart>
      <c:catAx>
        <c:axId val="43232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432328032"/>
        <c:crosses val="autoZero"/>
        <c:auto val="1"/>
        <c:lblAlgn val="ctr"/>
        <c:lblOffset val="100"/>
        <c:noMultiLvlLbl val="0"/>
      </c:catAx>
      <c:valAx>
        <c:axId val="432328032"/>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43232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es-ES" sz="900" b="0" i="0" u="none" strike="noStrike">
                <a:effectLst/>
              </a:rPr>
              <a:t>Número de entidades con las que la Secretaría tiene instrucciones de colaborar en la resolución sobre sinergias adoptada en cada COP </a:t>
            </a:r>
          </a:p>
        </c:rich>
      </c:tx>
      <c:layout>
        <c:manualLayout>
          <c:xMode val="edge"/>
          <c:yMode val="edge"/>
          <c:x val="9.6477613296654816E-2"/>
          <c:y val="4.5854031333588077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fr-FR"/>
        </a:p>
      </c:txPr>
    </c:title>
    <c:autoTitleDeleted val="0"/>
    <c:plotArea>
      <c:layout/>
      <c:barChart>
        <c:barDir val="col"/>
        <c:grouping val="clustered"/>
        <c:varyColors val="0"/>
        <c:ser>
          <c:idx val="0"/>
          <c:order val="0"/>
          <c:tx>
            <c:strRef>
              <c:f>Sheet1!$B$12</c:f>
              <c:strCache>
                <c:ptCount val="1"/>
                <c:pt idx="0">
                  <c:v>Partnership requests</c:v>
                </c:pt>
              </c:strCache>
            </c:strRef>
          </c:tx>
          <c:spPr>
            <a:solidFill>
              <a:schemeClr val="accent1"/>
            </a:solidFill>
            <a:ln>
              <a:noFill/>
            </a:ln>
            <a:effectLst/>
          </c:spPr>
          <c:invertIfNegative val="0"/>
          <c:cat>
            <c:strRef>
              <c:f>Sheet1!$A$13:$A$16</c:f>
              <c:strCache>
                <c:ptCount val="4"/>
                <c:pt idx="0">
                  <c:v>COP11</c:v>
                </c:pt>
                <c:pt idx="1">
                  <c:v>COP12</c:v>
                </c:pt>
                <c:pt idx="2">
                  <c:v>COP13</c:v>
                </c:pt>
                <c:pt idx="3">
                  <c:v>COP14</c:v>
                </c:pt>
              </c:strCache>
            </c:strRef>
          </c:cat>
          <c:val>
            <c:numRef>
              <c:f>Sheet1!$B$13:$B$16</c:f>
              <c:numCache>
                <c:formatCode>General</c:formatCode>
                <c:ptCount val="4"/>
                <c:pt idx="0">
                  <c:v>15</c:v>
                </c:pt>
                <c:pt idx="1">
                  <c:v>15</c:v>
                </c:pt>
                <c:pt idx="2">
                  <c:v>17</c:v>
                </c:pt>
                <c:pt idx="3">
                  <c:v>18</c:v>
                </c:pt>
              </c:numCache>
            </c:numRef>
          </c:val>
          <c:extLst>
            <c:ext xmlns:c16="http://schemas.microsoft.com/office/drawing/2014/chart" uri="{C3380CC4-5D6E-409C-BE32-E72D297353CC}">
              <c16:uniqueId val="{00000000-211C-4F78-BBAE-42E95F62E3BE}"/>
            </c:ext>
          </c:extLst>
        </c:ser>
        <c:dLbls>
          <c:showLegendKey val="0"/>
          <c:showVal val="0"/>
          <c:showCatName val="0"/>
          <c:showSerName val="0"/>
          <c:showPercent val="0"/>
          <c:showBubbleSize val="0"/>
        </c:dLbls>
        <c:gapWidth val="219"/>
        <c:overlap val="-27"/>
        <c:axId val="1205623263"/>
        <c:axId val="930927359"/>
      </c:barChart>
      <c:catAx>
        <c:axId val="120562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30927359"/>
        <c:crosses val="autoZero"/>
        <c:auto val="1"/>
        <c:lblAlgn val="ctr"/>
        <c:lblOffset val="100"/>
        <c:noMultiLvlLbl val="0"/>
      </c:catAx>
      <c:valAx>
        <c:axId val="930927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05623263"/>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s-ES" sz="1000">
                <a:solidFill>
                  <a:sysClr val="windowText" lastClr="000000"/>
                </a:solidFill>
              </a:rPr>
              <a:t>Número total de sitios Ramsar</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fr-FR"/>
        </a:p>
      </c:txPr>
    </c:title>
    <c:autoTitleDeleted val="0"/>
    <c:plotArea>
      <c:layout/>
      <c:barChart>
        <c:barDir val="col"/>
        <c:grouping val="stacked"/>
        <c:varyColors val="0"/>
        <c:ser>
          <c:idx val="0"/>
          <c:order val="0"/>
          <c:tx>
            <c:strRef>
              <c:f>Sheet1!$B$40</c:f>
              <c:strCache>
                <c:ptCount val="1"/>
                <c:pt idx="0">
                  <c:v>Total number of Sites</c:v>
                </c:pt>
              </c:strCache>
            </c:strRef>
          </c:tx>
          <c:spPr>
            <a:solidFill>
              <a:schemeClr val="accent1"/>
            </a:solidFill>
            <a:ln>
              <a:noFill/>
            </a:ln>
            <a:effectLst/>
          </c:spPr>
          <c:invertIfNegative val="0"/>
          <c:cat>
            <c:strRef>
              <c:f>Sheet1!$A$41:$A$44</c:f>
              <c:strCache>
                <c:ptCount val="4"/>
                <c:pt idx="0">
                  <c:v>2012 - 2015</c:v>
                </c:pt>
                <c:pt idx="1">
                  <c:v>2015 - 2018</c:v>
                </c:pt>
                <c:pt idx="2">
                  <c:v>2018 - 2022</c:v>
                </c:pt>
                <c:pt idx="3">
                  <c:v>2022 - 2024</c:v>
                </c:pt>
              </c:strCache>
            </c:strRef>
          </c:cat>
          <c:val>
            <c:numRef>
              <c:f>Sheet1!$B$41:$B$44</c:f>
              <c:numCache>
                <c:formatCode>General</c:formatCode>
                <c:ptCount val="4"/>
                <c:pt idx="0">
                  <c:v>2039</c:v>
                </c:pt>
                <c:pt idx="1">
                  <c:v>2183</c:v>
                </c:pt>
                <c:pt idx="2">
                  <c:v>2314</c:v>
                </c:pt>
                <c:pt idx="3">
                  <c:v>2438</c:v>
                </c:pt>
              </c:numCache>
            </c:numRef>
          </c:val>
          <c:extLst>
            <c:ext xmlns:c16="http://schemas.microsoft.com/office/drawing/2014/chart" uri="{C3380CC4-5D6E-409C-BE32-E72D297353CC}">
              <c16:uniqueId val="{00000000-5B67-43D3-8D21-5CBF511484B9}"/>
            </c:ext>
          </c:extLst>
        </c:ser>
        <c:ser>
          <c:idx val="1"/>
          <c:order val="1"/>
          <c:tx>
            <c:strRef>
              <c:f>Sheet1!$C$40</c:f>
              <c:strCache>
                <c:ptCount val="1"/>
                <c:pt idx="0">
                  <c:v>New Sites added during triennium</c:v>
                </c:pt>
              </c:strCache>
            </c:strRef>
          </c:tx>
          <c:spPr>
            <a:solidFill>
              <a:schemeClr val="accent2"/>
            </a:solidFill>
            <a:ln>
              <a:noFill/>
            </a:ln>
            <a:effectLst/>
          </c:spPr>
          <c:invertIfNegative val="0"/>
          <c:cat>
            <c:strRef>
              <c:f>Sheet1!$A$41:$A$44</c:f>
              <c:strCache>
                <c:ptCount val="4"/>
                <c:pt idx="0">
                  <c:v>2012 - 2015</c:v>
                </c:pt>
                <c:pt idx="1">
                  <c:v>2015 - 2018</c:v>
                </c:pt>
                <c:pt idx="2">
                  <c:v>2018 - 2022</c:v>
                </c:pt>
                <c:pt idx="3">
                  <c:v>2022 - 2024</c:v>
                </c:pt>
              </c:strCache>
            </c:strRef>
          </c:cat>
          <c:val>
            <c:numRef>
              <c:f>Sheet1!$C$41:$C$44</c:f>
              <c:numCache>
                <c:formatCode>General</c:formatCode>
                <c:ptCount val="4"/>
                <c:pt idx="0">
                  <c:v>149</c:v>
                </c:pt>
                <c:pt idx="1">
                  <c:v>131</c:v>
                </c:pt>
                <c:pt idx="2">
                  <c:v>125</c:v>
                </c:pt>
                <c:pt idx="3">
                  <c:v>82</c:v>
                </c:pt>
              </c:numCache>
            </c:numRef>
          </c:val>
          <c:extLst>
            <c:ext xmlns:c16="http://schemas.microsoft.com/office/drawing/2014/chart" uri="{C3380CC4-5D6E-409C-BE32-E72D297353CC}">
              <c16:uniqueId val="{00000001-5B67-43D3-8D21-5CBF511484B9}"/>
            </c:ext>
          </c:extLst>
        </c:ser>
        <c:dLbls>
          <c:showLegendKey val="0"/>
          <c:showVal val="0"/>
          <c:showCatName val="0"/>
          <c:showSerName val="0"/>
          <c:showPercent val="0"/>
          <c:showBubbleSize val="0"/>
        </c:dLbls>
        <c:gapWidth val="150"/>
        <c:overlap val="100"/>
        <c:axId val="377350176"/>
        <c:axId val="377339616"/>
      </c:barChart>
      <c:catAx>
        <c:axId val="37735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377339616"/>
        <c:crosses val="autoZero"/>
        <c:auto val="1"/>
        <c:lblAlgn val="ctr"/>
        <c:lblOffset val="100"/>
        <c:noMultiLvlLbl val="0"/>
      </c:catAx>
      <c:valAx>
        <c:axId val="377339616"/>
        <c:scaling>
          <c:orientation val="minMax"/>
          <c:min val="1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7735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900">
                <a:solidFill>
                  <a:sysClr val="windowText" lastClr="000000"/>
                </a:solidFill>
              </a:rPr>
              <a:t>Actualizaciones de la Fichas Informativas Ramsar, finalizadas y en curso al final del trienio</a:t>
            </a:r>
          </a:p>
        </c:rich>
      </c:tx>
      <c:layout>
        <c:manualLayout>
          <c:xMode val="edge"/>
          <c:yMode val="edge"/>
          <c:x val="0.13218312245713215"/>
          <c:y val="1.528467711119602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Sheet1!$B$28</c:f>
              <c:strCache>
                <c:ptCount val="1"/>
                <c:pt idx="0">
                  <c:v>Ramsar site updates - completed and pending at end of triennium</c:v>
                </c:pt>
              </c:strCache>
            </c:strRef>
          </c:tx>
          <c:spPr>
            <a:solidFill>
              <a:schemeClr val="accent1"/>
            </a:solidFill>
            <a:ln>
              <a:noFill/>
            </a:ln>
            <a:effectLst/>
          </c:spPr>
          <c:invertIfNegative val="0"/>
          <c:cat>
            <c:strRef>
              <c:f>Sheet1!$A$29:$A$32</c:f>
              <c:strCache>
                <c:ptCount val="4"/>
                <c:pt idx="0">
                  <c:v>2012 - 2015</c:v>
                </c:pt>
                <c:pt idx="1">
                  <c:v>2015 - 2018</c:v>
                </c:pt>
                <c:pt idx="2">
                  <c:v>2018 - 2022</c:v>
                </c:pt>
                <c:pt idx="3">
                  <c:v>2022 - 2024</c:v>
                </c:pt>
              </c:strCache>
            </c:strRef>
          </c:cat>
          <c:val>
            <c:numRef>
              <c:f>Sheet1!$B$29:$B$32</c:f>
              <c:numCache>
                <c:formatCode>General</c:formatCode>
                <c:ptCount val="4"/>
                <c:pt idx="0">
                  <c:v>387</c:v>
                </c:pt>
                <c:pt idx="1">
                  <c:v>753</c:v>
                </c:pt>
                <c:pt idx="2">
                  <c:v>822</c:v>
                </c:pt>
                <c:pt idx="3">
                  <c:v>840</c:v>
                </c:pt>
              </c:numCache>
            </c:numRef>
          </c:val>
          <c:extLst>
            <c:ext xmlns:c16="http://schemas.microsoft.com/office/drawing/2014/chart" uri="{C3380CC4-5D6E-409C-BE32-E72D297353CC}">
              <c16:uniqueId val="{00000000-C500-4CBC-8C40-0A8380C72928}"/>
            </c:ext>
          </c:extLst>
        </c:ser>
        <c:dLbls>
          <c:showLegendKey val="0"/>
          <c:showVal val="0"/>
          <c:showCatName val="0"/>
          <c:showSerName val="0"/>
          <c:showPercent val="0"/>
          <c:showBubbleSize val="0"/>
        </c:dLbls>
        <c:gapWidth val="219"/>
        <c:overlap val="-27"/>
        <c:axId val="368399088"/>
        <c:axId val="377347776"/>
      </c:barChart>
      <c:catAx>
        <c:axId val="36839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377347776"/>
        <c:crosses val="autoZero"/>
        <c:auto val="1"/>
        <c:lblAlgn val="ctr"/>
        <c:lblOffset val="100"/>
        <c:noMultiLvlLbl val="0"/>
      </c:catAx>
      <c:valAx>
        <c:axId val="37734777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6839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AD2B-F853-47DD-98D1-CF580E27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2025-04-01T07:42:00Z</cp:lastPrinted>
  <dcterms:created xsi:type="dcterms:W3CDTF">2025-04-22T16:15:00Z</dcterms:created>
  <dcterms:modified xsi:type="dcterms:W3CDTF">2025-04-23T14:05:00Z</dcterms:modified>
</cp:coreProperties>
</file>