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76BA9" w14:textId="738F863D" w:rsidR="00940101" w:rsidRPr="003D0097" w:rsidRDefault="00940101" w:rsidP="000A2BFA">
      <w:pPr>
        <w:spacing w:after="0" w:line="240" w:lineRule="auto"/>
        <w:jc w:val="center"/>
        <w:outlineLvl w:val="0"/>
        <w:rPr>
          <w:rFonts w:ascii="Calibri" w:eastAsia="Times New Roman" w:hAnsi="Calibri" w:cs="Calibri Light"/>
          <w:b/>
          <w:bCs/>
          <w:sz w:val="24"/>
          <w:szCs w:val="24"/>
        </w:rPr>
      </w:pPr>
      <w:r w:rsidRPr="003D0097">
        <w:rPr>
          <w:rFonts w:ascii="Calibri" w:hAnsi="Calibri"/>
          <w:b/>
          <w:noProof/>
          <w:sz w:val="24"/>
          <w:szCs w:val="24"/>
        </w:rPr>
        <w:drawing>
          <wp:anchor distT="0" distB="0" distL="114300" distR="114300" simplePos="0" relativeHeight="251658241" behindDoc="0" locked="0" layoutInCell="1" allowOverlap="1" wp14:anchorId="32104CC1" wp14:editId="738C929E">
            <wp:simplePos x="0" y="0"/>
            <wp:positionH relativeFrom="margin">
              <wp:posOffset>0</wp:posOffset>
            </wp:positionH>
            <wp:positionV relativeFrom="margin">
              <wp:posOffset>-228600</wp:posOffset>
            </wp:positionV>
            <wp:extent cx="1733550" cy="1708150"/>
            <wp:effectExtent l="0" t="0" r="0" b="6350"/>
            <wp:wrapSquare wrapText="bothSides"/>
            <wp:docPr id="1916831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pic:cNvPicPr/>
                  </pic:nvPicPr>
                  <pic:blipFill>
                    <a:blip r:embed="rId8">
                      <a:extLst>
                        <a:ext uri="{28A0092B-C50C-407E-A947-70E740481C1C}">
                          <a14:useLocalDpi xmlns:a14="http://schemas.microsoft.com/office/drawing/2010/main" val="0"/>
                        </a:ext>
                      </a:extLst>
                    </a:blip>
                    <a:srcRect l="147" r="147"/>
                    <a:stretch>
                      <a:fillRect/>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5CA17B3" w14:textId="2E37C7D5" w:rsidR="00940101" w:rsidRPr="003D0097" w:rsidRDefault="00940101" w:rsidP="000A2BFA">
      <w:pPr>
        <w:spacing w:after="0" w:line="240" w:lineRule="auto"/>
        <w:jc w:val="center"/>
        <w:outlineLvl w:val="0"/>
        <w:rPr>
          <w:rFonts w:ascii="Calibri" w:eastAsia="Times New Roman" w:hAnsi="Calibri" w:cs="Calibri Light"/>
          <w:b/>
          <w:bCs/>
          <w:sz w:val="24"/>
          <w:szCs w:val="24"/>
        </w:rPr>
      </w:pPr>
      <w:r w:rsidRPr="003D0097">
        <w:rPr>
          <w:rFonts w:ascii="Calibri" w:hAnsi="Calibri"/>
          <w:b/>
          <w:sz w:val="24"/>
          <w:szCs w:val="24"/>
        </w:rPr>
        <w:t>15</w:t>
      </w:r>
      <w:r w:rsidRPr="003D0097">
        <w:rPr>
          <w:rFonts w:ascii="Calibri" w:hAnsi="Calibri"/>
          <w:b/>
          <w:sz w:val="24"/>
          <w:szCs w:val="24"/>
          <w:vertAlign w:val="superscript"/>
        </w:rPr>
        <w:t>e</w:t>
      </w:r>
      <w:r w:rsidRPr="003D0097">
        <w:rPr>
          <w:rFonts w:ascii="Calibri" w:hAnsi="Calibri"/>
          <w:b/>
          <w:sz w:val="24"/>
          <w:szCs w:val="24"/>
        </w:rPr>
        <w:t> session de la Conférence des Parties contractantes</w:t>
      </w:r>
    </w:p>
    <w:p w14:paraId="04FBF7B0" w14:textId="77777777" w:rsidR="00940101" w:rsidRPr="003D0097" w:rsidRDefault="00940101" w:rsidP="000A2BFA">
      <w:pPr>
        <w:spacing w:after="0" w:line="240" w:lineRule="auto"/>
        <w:jc w:val="center"/>
        <w:outlineLvl w:val="0"/>
        <w:rPr>
          <w:rFonts w:ascii="Calibri" w:eastAsia="Times New Roman" w:hAnsi="Calibri" w:cs="Calibri Light"/>
          <w:b/>
          <w:bCs/>
          <w:sz w:val="24"/>
          <w:szCs w:val="24"/>
        </w:rPr>
      </w:pPr>
      <w:r w:rsidRPr="003D0097">
        <w:rPr>
          <w:rFonts w:ascii="Calibri" w:hAnsi="Calibri"/>
          <w:b/>
          <w:sz w:val="24"/>
          <w:szCs w:val="24"/>
        </w:rPr>
        <w:t>à la Convention sur les zones humides</w:t>
      </w:r>
    </w:p>
    <w:p w14:paraId="5159BD41" w14:textId="77777777" w:rsidR="00940101" w:rsidRPr="003D0097" w:rsidRDefault="00940101" w:rsidP="000A2BFA">
      <w:pPr>
        <w:spacing w:after="0" w:line="240" w:lineRule="auto"/>
        <w:jc w:val="center"/>
        <w:outlineLvl w:val="0"/>
        <w:rPr>
          <w:rFonts w:ascii="Calibri" w:eastAsia="Times New Roman" w:hAnsi="Calibri" w:cs="Calibri Light"/>
          <w:b/>
          <w:bCs/>
          <w:sz w:val="24"/>
          <w:szCs w:val="24"/>
        </w:rPr>
      </w:pPr>
    </w:p>
    <w:p w14:paraId="7ABE47CB" w14:textId="77777777" w:rsidR="00940101" w:rsidRPr="003D0097" w:rsidRDefault="00940101" w:rsidP="000A2BFA">
      <w:pPr>
        <w:spacing w:after="0" w:line="240" w:lineRule="auto"/>
        <w:jc w:val="center"/>
        <w:outlineLvl w:val="0"/>
        <w:rPr>
          <w:rFonts w:ascii="Calibri" w:eastAsia="Times New Roman" w:hAnsi="Calibri" w:cs="Calibri Light"/>
          <w:b/>
          <w:bCs/>
          <w:sz w:val="24"/>
          <w:szCs w:val="24"/>
        </w:rPr>
      </w:pPr>
      <w:r w:rsidRPr="003D0097">
        <w:rPr>
          <w:rFonts w:ascii="Calibri" w:hAnsi="Calibri"/>
          <w:b/>
          <w:sz w:val="24"/>
          <w:szCs w:val="24"/>
        </w:rPr>
        <w:t>« Protéger les zones humides pour notre avenir commun »</w:t>
      </w:r>
    </w:p>
    <w:p w14:paraId="70D52723" w14:textId="77777777" w:rsidR="00940101" w:rsidRPr="003D0097" w:rsidRDefault="00940101" w:rsidP="000A2BFA">
      <w:pPr>
        <w:spacing w:after="0" w:line="240" w:lineRule="auto"/>
        <w:jc w:val="center"/>
        <w:outlineLvl w:val="0"/>
        <w:rPr>
          <w:rFonts w:ascii="Calibri" w:eastAsia="Times New Roman" w:hAnsi="Calibri" w:cs="Calibri Light"/>
          <w:b/>
          <w:bCs/>
          <w:sz w:val="24"/>
          <w:szCs w:val="24"/>
        </w:rPr>
      </w:pPr>
      <w:r w:rsidRPr="003D0097">
        <w:rPr>
          <w:rFonts w:ascii="Calibri" w:hAnsi="Calibri"/>
          <w:b/>
          <w:sz w:val="24"/>
          <w:szCs w:val="24"/>
        </w:rPr>
        <w:t>Victoria Falls, Zimbabwe, 23-31 juillet 2025</w:t>
      </w:r>
    </w:p>
    <w:p w14:paraId="3C4B553D" w14:textId="31A08A42" w:rsidR="00940101" w:rsidRPr="006D0AFC" w:rsidRDefault="00940101" w:rsidP="000A2BFA">
      <w:pPr>
        <w:spacing w:after="0" w:line="240" w:lineRule="auto"/>
        <w:jc w:val="center"/>
        <w:outlineLvl w:val="0"/>
        <w:rPr>
          <w:rFonts w:ascii="Calibri" w:eastAsia="Times New Roman" w:hAnsi="Calibri" w:cs="Calibri Light"/>
          <w:b/>
          <w:bCs/>
        </w:rPr>
      </w:pPr>
    </w:p>
    <w:p w14:paraId="3111D1D0" w14:textId="77777777" w:rsidR="00940101" w:rsidRPr="006D0AFC" w:rsidRDefault="00940101" w:rsidP="000A2BFA">
      <w:pPr>
        <w:spacing w:after="0" w:line="240" w:lineRule="auto"/>
        <w:jc w:val="center"/>
        <w:outlineLvl w:val="0"/>
        <w:rPr>
          <w:rFonts w:ascii="Calibri" w:eastAsia="Times New Roman" w:hAnsi="Calibri" w:cs="Calibri Light"/>
          <w:b/>
          <w:bCs/>
        </w:rPr>
      </w:pPr>
    </w:p>
    <w:p w14:paraId="13AAEB70" w14:textId="77777777" w:rsidR="00940101" w:rsidRPr="006D0AFC" w:rsidRDefault="00940101" w:rsidP="000A2BFA">
      <w:pPr>
        <w:spacing w:after="0" w:line="240" w:lineRule="auto"/>
        <w:jc w:val="center"/>
        <w:outlineLvl w:val="0"/>
        <w:rPr>
          <w:rFonts w:ascii="Calibri" w:eastAsia="Times New Roman" w:hAnsi="Calibri" w:cs="Calibri Light"/>
          <w:b/>
          <w:bCs/>
        </w:rPr>
      </w:pPr>
    </w:p>
    <w:p w14:paraId="1F16D71F" w14:textId="77777777" w:rsidR="00940101" w:rsidRPr="00321BB8" w:rsidRDefault="00940101" w:rsidP="000A2BFA">
      <w:pPr>
        <w:spacing w:after="0" w:line="240" w:lineRule="auto"/>
        <w:jc w:val="right"/>
        <w:rPr>
          <w:rFonts w:ascii="Calibri" w:hAnsi="Calibri"/>
        </w:rPr>
      </w:pPr>
    </w:p>
    <w:p w14:paraId="7391A9F6" w14:textId="6134923F" w:rsidR="00E51FD3" w:rsidRPr="00E51FD3" w:rsidRDefault="008946C0" w:rsidP="000A2BFA">
      <w:pPr>
        <w:spacing w:after="0" w:line="240" w:lineRule="auto"/>
        <w:jc w:val="right"/>
        <w:rPr>
          <w:rFonts w:ascii="Calibri" w:hAnsi="Calibri" w:cs="Calibri"/>
          <w:sz w:val="28"/>
          <w:szCs w:val="28"/>
        </w:rPr>
      </w:pPr>
      <w:r>
        <w:rPr>
          <w:rFonts w:ascii="Calibri" w:hAnsi="Calibri"/>
          <w:b/>
          <w:sz w:val="28"/>
        </w:rPr>
        <w:t>COP15 Inf.1</w:t>
      </w:r>
    </w:p>
    <w:p w14:paraId="2EFB25DF" w14:textId="77777777" w:rsidR="00E51FD3" w:rsidRPr="00E51FD3" w:rsidRDefault="00E51FD3" w:rsidP="000A2BFA">
      <w:pPr>
        <w:spacing w:after="0" w:line="240" w:lineRule="auto"/>
        <w:jc w:val="center"/>
        <w:rPr>
          <w:rFonts w:ascii="Calibri" w:hAnsi="Calibri" w:cs="Calibri"/>
          <w:b/>
          <w:bCs/>
          <w:sz w:val="28"/>
          <w:szCs w:val="28"/>
        </w:rPr>
      </w:pPr>
    </w:p>
    <w:p w14:paraId="18373828" w14:textId="32C2CA0B" w:rsidR="007B769F" w:rsidRPr="00E51FD3" w:rsidRDefault="007B769F" w:rsidP="000A2BFA">
      <w:pPr>
        <w:spacing w:after="0" w:line="240" w:lineRule="auto"/>
        <w:jc w:val="center"/>
        <w:rPr>
          <w:rFonts w:ascii="Calibri" w:hAnsi="Calibri" w:cs="Calibri"/>
          <w:b/>
          <w:bCs/>
          <w:sz w:val="28"/>
          <w:szCs w:val="28"/>
        </w:rPr>
      </w:pPr>
      <w:r>
        <w:rPr>
          <w:rFonts w:ascii="Calibri" w:hAnsi="Calibri"/>
          <w:b/>
          <w:sz w:val="28"/>
        </w:rPr>
        <w:t>Document d</w:t>
      </w:r>
      <w:r w:rsidR="00212CE8">
        <w:rPr>
          <w:rFonts w:ascii="Calibri" w:hAnsi="Calibri"/>
          <w:b/>
          <w:sz w:val="28"/>
        </w:rPr>
        <w:t>’</w:t>
      </w:r>
      <w:r>
        <w:rPr>
          <w:rFonts w:ascii="Calibri" w:hAnsi="Calibri"/>
          <w:b/>
          <w:sz w:val="28"/>
        </w:rPr>
        <w:t>information : motivation de l</w:t>
      </w:r>
      <w:r w:rsidR="00212CE8">
        <w:rPr>
          <w:rFonts w:ascii="Calibri" w:hAnsi="Calibri"/>
          <w:b/>
          <w:sz w:val="28"/>
        </w:rPr>
        <w:t>’</w:t>
      </w:r>
      <w:r>
        <w:rPr>
          <w:rFonts w:ascii="Calibri" w:hAnsi="Calibri"/>
          <w:b/>
          <w:sz w:val="28"/>
        </w:rPr>
        <w:t>augmentation du budget administratif du Secrétariat pour 2026-2028 présentée dans le document COP15 Doc.23.1</w:t>
      </w:r>
    </w:p>
    <w:p w14:paraId="4A9736A0" w14:textId="77777777" w:rsidR="007B769F" w:rsidRPr="00995DB2" w:rsidRDefault="007B769F" w:rsidP="00F312DE">
      <w:pPr>
        <w:spacing w:after="0" w:line="240" w:lineRule="auto"/>
        <w:rPr>
          <w:rFonts w:ascii="Calibri" w:hAnsi="Calibri" w:cs="Calibri"/>
        </w:rPr>
      </w:pPr>
    </w:p>
    <w:p w14:paraId="414D9596" w14:textId="77777777" w:rsidR="001E2255" w:rsidRPr="00995DB2" w:rsidRDefault="001E2255" w:rsidP="000A2BFA">
      <w:pPr>
        <w:spacing w:after="0" w:line="240" w:lineRule="auto"/>
        <w:rPr>
          <w:rFonts w:ascii="Calibri" w:hAnsi="Calibri" w:cs="Calibri"/>
        </w:rPr>
      </w:pPr>
    </w:p>
    <w:p w14:paraId="6F829654" w14:textId="5EB1CF25" w:rsidR="001E2255" w:rsidRPr="00E51FD3" w:rsidRDefault="00995DB2" w:rsidP="000A2BFA">
      <w:pPr>
        <w:spacing w:after="0" w:line="240" w:lineRule="auto"/>
        <w:ind w:left="426" w:hanging="426"/>
        <w:rPr>
          <w:rFonts w:ascii="Calibri" w:hAnsi="Calibri" w:cs="Calibri"/>
        </w:rPr>
      </w:pPr>
      <w:r>
        <w:rPr>
          <w:rFonts w:ascii="Calibri" w:hAnsi="Calibri"/>
        </w:rPr>
        <w:t>1.</w:t>
      </w:r>
      <w:r>
        <w:rPr>
          <w:rFonts w:ascii="Calibri" w:hAnsi="Calibri"/>
        </w:rPr>
        <w:tab/>
        <w:t>À la demande du Sous-groupe sur les finances et des Parties contractantes, le Secrétariat a préparé le présent document d</w:t>
      </w:r>
      <w:r w:rsidR="00212CE8">
        <w:rPr>
          <w:rFonts w:ascii="Calibri" w:hAnsi="Calibri"/>
        </w:rPr>
        <w:t>’</w:t>
      </w:r>
      <w:r>
        <w:rPr>
          <w:rFonts w:ascii="Calibri" w:hAnsi="Calibri"/>
        </w:rPr>
        <w:t xml:space="preserve">information qui explique les augmentations du budget administratif comprises dans les scénarios budgétaires présentés dans le projet de résolution sur les questions financières et budgétaires (document COP15 Doc.23.1). </w:t>
      </w:r>
    </w:p>
    <w:p w14:paraId="5ABA4499" w14:textId="200C4113" w:rsidR="00B0767D" w:rsidRPr="00E51FD3" w:rsidRDefault="00B0767D" w:rsidP="000A2BFA">
      <w:pPr>
        <w:spacing w:after="0" w:line="240" w:lineRule="auto"/>
        <w:ind w:left="426" w:hanging="426"/>
        <w:rPr>
          <w:rFonts w:ascii="Calibri" w:hAnsi="Calibri" w:cs="Calibri"/>
        </w:rPr>
      </w:pPr>
    </w:p>
    <w:p w14:paraId="569AF186" w14:textId="46BBC262" w:rsidR="00041B13" w:rsidRDefault="00995DB2" w:rsidP="000A2BFA">
      <w:pPr>
        <w:spacing w:after="0" w:line="240" w:lineRule="auto"/>
        <w:ind w:left="426" w:hanging="426"/>
        <w:rPr>
          <w:rFonts w:ascii="Calibri" w:hAnsi="Calibri" w:cs="Calibri"/>
        </w:rPr>
      </w:pPr>
      <w:r>
        <w:rPr>
          <w:rFonts w:ascii="Calibri" w:hAnsi="Calibri"/>
        </w:rPr>
        <w:t>2.</w:t>
      </w:r>
      <w:r>
        <w:rPr>
          <w:rFonts w:ascii="Calibri" w:hAnsi="Calibri"/>
        </w:rPr>
        <w:tab/>
        <w:t>Depuis 2013, malgré le nombre croissant de tâches et de produits demandés par les Parties contractantes dans le cadre des résolutions et les effets de l</w:t>
      </w:r>
      <w:r w:rsidR="00212CE8">
        <w:rPr>
          <w:rFonts w:ascii="Calibri" w:hAnsi="Calibri"/>
        </w:rPr>
        <w:t>’</w:t>
      </w:r>
      <w:r>
        <w:rPr>
          <w:rFonts w:ascii="Calibri" w:hAnsi="Calibri"/>
        </w:rPr>
        <w:t xml:space="preserve">inflation, le budget administratif du Secrétariat est resté inchangé, au montant de 5 081 000 CHF par an. Des exemples de cette augmentation des tâches et des produits demandés sont présentés dans les graphiques qui suivent : </w:t>
      </w:r>
    </w:p>
    <w:p w14:paraId="4B7F5DB7" w14:textId="3702A3D1" w:rsidR="00973134" w:rsidRPr="00E51FD3" w:rsidRDefault="0068735B" w:rsidP="000A2BFA">
      <w:pPr>
        <w:spacing w:after="0" w:line="240" w:lineRule="auto"/>
        <w:jc w:val="both"/>
        <w:rPr>
          <w:rFonts w:ascii="Calibri" w:hAnsi="Calibri" w:cs="Calibri"/>
          <w:sz w:val="24"/>
          <w:szCs w:val="24"/>
        </w:rPr>
      </w:pPr>
      <w:r>
        <w:rPr>
          <w:rFonts w:ascii="Calibri" w:hAnsi="Calibri"/>
          <w:noProof/>
        </w:rPr>
        <w:drawing>
          <wp:anchor distT="0" distB="0" distL="114300" distR="114300" simplePos="0" relativeHeight="251658240" behindDoc="0" locked="0" layoutInCell="1" allowOverlap="1" wp14:anchorId="0E3C3DE5" wp14:editId="4834B40F">
            <wp:simplePos x="0" y="0"/>
            <wp:positionH relativeFrom="margin">
              <wp:posOffset>39756</wp:posOffset>
            </wp:positionH>
            <wp:positionV relativeFrom="page">
              <wp:posOffset>5948376</wp:posOffset>
            </wp:positionV>
            <wp:extent cx="2640965" cy="1661795"/>
            <wp:effectExtent l="0" t="0" r="6985" b="14605"/>
            <wp:wrapSquare wrapText="bothSides"/>
            <wp:docPr id="3" name="Chart 3">
              <a:extLst xmlns:a="http://schemas.openxmlformats.org/drawingml/2006/main">
                <a:ext uri="{FF2B5EF4-FFF2-40B4-BE49-F238E27FC236}">
                  <a16:creationId xmlns:a16="http://schemas.microsoft.com/office/drawing/2014/main" id="{130884BD-716D-4198-9470-10ABC0DBA161}"/>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4019BF4D" w14:textId="6C73F262" w:rsidR="00547F0E" w:rsidRPr="00E51FD3" w:rsidRDefault="00547F0E" w:rsidP="000A2BFA">
      <w:pPr>
        <w:spacing w:after="0" w:line="240" w:lineRule="auto"/>
        <w:rPr>
          <w:rFonts w:ascii="Calibri" w:eastAsia="Calibri" w:hAnsi="Calibri" w:cs="Calibri"/>
          <w:b/>
          <w:kern w:val="0"/>
          <w14:ligatures w14:val="none"/>
        </w:rPr>
        <w:sectPr w:rsidR="00547F0E" w:rsidRPr="00E51FD3" w:rsidSect="00C85890">
          <w:footerReference w:type="default" r:id="rId10"/>
          <w:pgSz w:w="11906" w:h="16838"/>
          <w:pgMar w:top="1440" w:right="1440" w:bottom="851" w:left="1440" w:header="709" w:footer="709" w:gutter="0"/>
          <w:cols w:space="708"/>
          <w:titlePg/>
          <w:docGrid w:linePitch="360"/>
        </w:sectPr>
      </w:pPr>
    </w:p>
    <w:p w14:paraId="1264417E" w14:textId="2DC43CE3" w:rsidR="0023414E" w:rsidRDefault="008804FB" w:rsidP="000A2BFA">
      <w:pPr>
        <w:spacing w:after="0" w:line="240" w:lineRule="auto"/>
        <w:rPr>
          <w:rFonts w:ascii="Calibri" w:eastAsia="Calibri" w:hAnsi="Calibri" w:cs="Calibri"/>
          <w:kern w:val="0"/>
          <w14:ligatures w14:val="none"/>
        </w:rPr>
      </w:pPr>
      <w:r>
        <w:rPr>
          <w:rFonts w:ascii="Calibri" w:hAnsi="Calibri"/>
          <w:noProof/>
        </w:rPr>
        <w:drawing>
          <wp:anchor distT="0" distB="0" distL="114300" distR="114300" simplePos="0" relativeHeight="251658242" behindDoc="0" locked="0" layoutInCell="1" allowOverlap="1" wp14:anchorId="19A0D014" wp14:editId="5C60A67B">
            <wp:simplePos x="0" y="0"/>
            <wp:positionH relativeFrom="margin">
              <wp:align>left</wp:align>
            </wp:positionH>
            <wp:positionV relativeFrom="paragraph">
              <wp:posOffset>2021840</wp:posOffset>
            </wp:positionV>
            <wp:extent cx="2663190" cy="1661795"/>
            <wp:effectExtent l="0" t="0" r="3810" b="14605"/>
            <wp:wrapTopAndBottom/>
            <wp:docPr id="1" name="Chart 1">
              <a:extLst xmlns:a="http://schemas.openxmlformats.org/drawingml/2006/main">
                <a:ext uri="{FF2B5EF4-FFF2-40B4-BE49-F238E27FC236}">
                  <a16:creationId xmlns:a16="http://schemas.microsoft.com/office/drawing/2014/main" id="{5CD20A30-FEDC-417D-A091-40BC747DE3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7A273973" w14:textId="230FBCA1" w:rsidR="00940101" w:rsidRDefault="00940101" w:rsidP="000A2BFA">
      <w:pPr>
        <w:spacing w:after="0" w:line="240" w:lineRule="auto"/>
        <w:rPr>
          <w:rFonts w:ascii="Calibri" w:eastAsia="Calibri" w:hAnsi="Calibri" w:cs="Calibri"/>
          <w:kern w:val="0"/>
          <w14:ligatures w14:val="none"/>
        </w:rPr>
      </w:pPr>
    </w:p>
    <w:p w14:paraId="6933A56D" w14:textId="5AEA79CA" w:rsidR="00041A66" w:rsidRPr="00E51FD3" w:rsidRDefault="003521E8" w:rsidP="000A2BFA">
      <w:pPr>
        <w:spacing w:after="0" w:line="240" w:lineRule="auto"/>
        <w:rPr>
          <w:rFonts w:ascii="Calibri" w:eastAsia="Calibri" w:hAnsi="Calibri" w:cs="Calibri"/>
          <w:kern w:val="0"/>
          <w14:ligatures w14:val="none"/>
        </w:rPr>
      </w:pPr>
      <w:r>
        <w:rPr>
          <w:rFonts w:ascii="Calibri" w:hAnsi="Calibri"/>
          <w:noProof/>
        </w:rPr>
        <w:drawing>
          <wp:inline distT="0" distB="0" distL="0" distR="0" wp14:anchorId="7A512A79" wp14:editId="24464633">
            <wp:extent cx="2640965" cy="1662266"/>
            <wp:effectExtent l="0" t="0" r="6985" b="14605"/>
            <wp:docPr id="344078057" name="Chart 1">
              <a:extLst xmlns:a="http://schemas.openxmlformats.org/drawingml/2006/main">
                <a:ext uri="{FF2B5EF4-FFF2-40B4-BE49-F238E27FC236}">
                  <a16:creationId xmlns:a16="http://schemas.microsoft.com/office/drawing/2014/main" id="{BF89BF6F-68C6-8132-F821-23C368A72E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16D4A66" w14:textId="77777777" w:rsidR="002117B1" w:rsidRDefault="002117B1" w:rsidP="000A2BFA">
      <w:pPr>
        <w:spacing w:after="0" w:line="240" w:lineRule="auto"/>
        <w:rPr>
          <w:rFonts w:ascii="Calibri" w:eastAsia="Calibri" w:hAnsi="Calibri" w:cs="Calibri"/>
          <w:kern w:val="0"/>
          <w14:ligatures w14:val="none"/>
        </w:rPr>
      </w:pPr>
    </w:p>
    <w:p w14:paraId="0341503F" w14:textId="77777777" w:rsidR="0023414E" w:rsidRPr="00E51FD3" w:rsidRDefault="0023414E" w:rsidP="000A2BFA">
      <w:pPr>
        <w:spacing w:after="0" w:line="240" w:lineRule="auto"/>
        <w:rPr>
          <w:rFonts w:ascii="Calibri" w:eastAsia="Calibri" w:hAnsi="Calibri" w:cs="Calibri"/>
          <w:kern w:val="0"/>
          <w14:ligatures w14:val="none"/>
        </w:rPr>
      </w:pPr>
    </w:p>
    <w:p w14:paraId="38EF7D08" w14:textId="457A1A58" w:rsidR="003521E8" w:rsidRPr="00E51FD3" w:rsidRDefault="003521E8" w:rsidP="000A2BFA">
      <w:pPr>
        <w:spacing w:after="0" w:line="240" w:lineRule="auto"/>
        <w:rPr>
          <w:rFonts w:ascii="Calibri" w:eastAsia="Calibri" w:hAnsi="Calibri" w:cs="Calibri"/>
          <w:kern w:val="0"/>
          <w14:ligatures w14:val="none"/>
        </w:rPr>
        <w:sectPr w:rsidR="003521E8" w:rsidRPr="00E51FD3" w:rsidSect="00C85890">
          <w:type w:val="continuous"/>
          <w:pgSz w:w="11906" w:h="16838"/>
          <w:pgMar w:top="1440" w:right="1440" w:bottom="1440" w:left="1440" w:header="708" w:footer="708" w:gutter="0"/>
          <w:cols w:num="2" w:space="708"/>
          <w:docGrid w:linePitch="360"/>
        </w:sectPr>
      </w:pPr>
      <w:r>
        <w:rPr>
          <w:rFonts w:ascii="Calibri" w:hAnsi="Calibri"/>
          <w:noProof/>
        </w:rPr>
        <w:drawing>
          <wp:inline distT="0" distB="0" distL="0" distR="0" wp14:anchorId="4C88BDB0" wp14:editId="1A220F4C">
            <wp:extent cx="2640965" cy="1661795"/>
            <wp:effectExtent l="0" t="0" r="6985" b="14605"/>
            <wp:docPr id="10" name="Chart 10">
              <a:extLst xmlns:a="http://schemas.openxmlformats.org/drawingml/2006/main">
                <a:ext uri="{FF2B5EF4-FFF2-40B4-BE49-F238E27FC236}">
                  <a16:creationId xmlns:a16="http://schemas.microsoft.com/office/drawing/2014/main" id="{DCD32534-0528-4348-9E75-D3837143D0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439C775" w14:textId="43070D1A" w:rsidR="00547F0E" w:rsidRDefault="00F726C1" w:rsidP="000A2BFA">
      <w:pPr>
        <w:spacing w:after="0" w:line="240" w:lineRule="auto"/>
        <w:rPr>
          <w:rFonts w:ascii="Calibri" w:eastAsia="Calibri" w:hAnsi="Calibri" w:cs="Calibri"/>
          <w:b/>
          <w:kern w:val="0"/>
          <w14:ligatures w14:val="none"/>
        </w:rPr>
      </w:pPr>
      <w:r>
        <w:rPr>
          <w:rFonts w:ascii="Calibri" w:hAnsi="Calibri"/>
          <w:noProof/>
        </w:rPr>
        <w:lastRenderedPageBreak/>
        <w:drawing>
          <wp:anchor distT="0" distB="0" distL="114300" distR="114300" simplePos="0" relativeHeight="251659266" behindDoc="0" locked="0" layoutInCell="1" allowOverlap="1" wp14:anchorId="19A0AEEB" wp14:editId="76A6234C">
            <wp:simplePos x="0" y="0"/>
            <wp:positionH relativeFrom="column">
              <wp:posOffset>3002157</wp:posOffset>
            </wp:positionH>
            <wp:positionV relativeFrom="paragraph">
              <wp:posOffset>32964</wp:posOffset>
            </wp:positionV>
            <wp:extent cx="2640965" cy="1661795"/>
            <wp:effectExtent l="0" t="0" r="6985" b="14605"/>
            <wp:wrapThrough wrapText="bothSides">
              <wp:wrapPolygon edited="0">
                <wp:start x="0" y="0"/>
                <wp:lineTo x="0" y="21542"/>
                <wp:lineTo x="21501" y="21542"/>
                <wp:lineTo x="21501" y="0"/>
                <wp:lineTo x="0" y="0"/>
              </wp:wrapPolygon>
            </wp:wrapThrough>
            <wp:docPr id="1389950677" name="Chart 1">
              <a:extLst xmlns:a="http://schemas.openxmlformats.org/drawingml/2006/main">
                <a:ext uri="{FF2B5EF4-FFF2-40B4-BE49-F238E27FC236}">
                  <a16:creationId xmlns:a16="http://schemas.microsoft.com/office/drawing/2014/main" id="{981659FB-BEC2-E4F1-154C-0B603EF40F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ascii="Calibri" w:hAnsi="Calibri"/>
          <w:noProof/>
        </w:rPr>
        <w:drawing>
          <wp:anchor distT="0" distB="0" distL="114300" distR="114300" simplePos="0" relativeHeight="251660290" behindDoc="0" locked="0" layoutInCell="1" allowOverlap="1" wp14:anchorId="54D0D116" wp14:editId="7DC746B1">
            <wp:simplePos x="0" y="0"/>
            <wp:positionH relativeFrom="column">
              <wp:posOffset>0</wp:posOffset>
            </wp:positionH>
            <wp:positionV relativeFrom="paragraph">
              <wp:posOffset>33228</wp:posOffset>
            </wp:positionV>
            <wp:extent cx="2640965" cy="1661795"/>
            <wp:effectExtent l="0" t="0" r="6985" b="14605"/>
            <wp:wrapNone/>
            <wp:docPr id="1145931717" name="Chart 1">
              <a:extLst xmlns:a="http://schemas.openxmlformats.org/drawingml/2006/main">
                <a:ext uri="{FF2B5EF4-FFF2-40B4-BE49-F238E27FC236}">
                  <a16:creationId xmlns:a16="http://schemas.microsoft.com/office/drawing/2014/main" id="{36D9E5D3-05A4-66D5-53FA-97716E1C1C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14:paraId="33BA78AC" w14:textId="64773502" w:rsidR="00F726C1" w:rsidRDefault="00F726C1" w:rsidP="000A2BFA">
      <w:pPr>
        <w:spacing w:after="0" w:line="240" w:lineRule="auto"/>
        <w:rPr>
          <w:rFonts w:ascii="Calibri" w:eastAsia="Calibri" w:hAnsi="Calibri" w:cs="Calibri"/>
          <w:b/>
          <w:kern w:val="0"/>
          <w14:ligatures w14:val="none"/>
        </w:rPr>
      </w:pPr>
    </w:p>
    <w:p w14:paraId="730427A6" w14:textId="6CAF839A" w:rsidR="00F726C1" w:rsidRDefault="00F726C1" w:rsidP="000A2BFA">
      <w:pPr>
        <w:spacing w:after="0" w:line="240" w:lineRule="auto"/>
        <w:rPr>
          <w:rFonts w:ascii="Calibri" w:eastAsia="Calibri" w:hAnsi="Calibri" w:cs="Calibri"/>
          <w:b/>
          <w:kern w:val="0"/>
          <w14:ligatures w14:val="none"/>
        </w:rPr>
      </w:pPr>
    </w:p>
    <w:p w14:paraId="1060FE45" w14:textId="3AABF1AE" w:rsidR="00F726C1" w:rsidRDefault="00F726C1" w:rsidP="000A2BFA">
      <w:pPr>
        <w:spacing w:after="0" w:line="240" w:lineRule="auto"/>
        <w:rPr>
          <w:rFonts w:ascii="Calibri" w:eastAsia="Calibri" w:hAnsi="Calibri" w:cs="Calibri"/>
          <w:b/>
          <w:kern w:val="0"/>
          <w14:ligatures w14:val="none"/>
        </w:rPr>
      </w:pPr>
    </w:p>
    <w:p w14:paraId="566AB006" w14:textId="2D0B9021" w:rsidR="00F726C1" w:rsidRDefault="00F726C1" w:rsidP="000A2BFA">
      <w:pPr>
        <w:spacing w:after="0" w:line="240" w:lineRule="auto"/>
        <w:rPr>
          <w:rFonts w:ascii="Calibri" w:eastAsia="Calibri" w:hAnsi="Calibri" w:cs="Calibri"/>
          <w:b/>
          <w:kern w:val="0"/>
          <w14:ligatures w14:val="none"/>
        </w:rPr>
      </w:pPr>
    </w:p>
    <w:p w14:paraId="68F56DD4" w14:textId="160A5DE8" w:rsidR="00F726C1" w:rsidRDefault="00F726C1" w:rsidP="000A2BFA">
      <w:pPr>
        <w:spacing w:after="0" w:line="240" w:lineRule="auto"/>
        <w:rPr>
          <w:rFonts w:ascii="Calibri" w:eastAsia="Calibri" w:hAnsi="Calibri" w:cs="Calibri"/>
          <w:b/>
          <w:kern w:val="0"/>
          <w14:ligatures w14:val="none"/>
        </w:rPr>
      </w:pPr>
    </w:p>
    <w:p w14:paraId="0ACE3286" w14:textId="4E84476A" w:rsidR="00F726C1" w:rsidRDefault="00F726C1" w:rsidP="000A2BFA">
      <w:pPr>
        <w:spacing w:after="0" w:line="240" w:lineRule="auto"/>
        <w:rPr>
          <w:rFonts w:ascii="Calibri" w:eastAsia="Calibri" w:hAnsi="Calibri" w:cs="Calibri"/>
          <w:b/>
          <w:kern w:val="0"/>
          <w14:ligatures w14:val="none"/>
        </w:rPr>
      </w:pPr>
    </w:p>
    <w:p w14:paraId="56A34F69" w14:textId="5A4FC6CB" w:rsidR="00F726C1" w:rsidRDefault="00F726C1" w:rsidP="000A2BFA">
      <w:pPr>
        <w:spacing w:after="0" w:line="240" w:lineRule="auto"/>
        <w:rPr>
          <w:rFonts w:ascii="Calibri" w:eastAsia="Calibri" w:hAnsi="Calibri" w:cs="Calibri"/>
          <w:b/>
          <w:kern w:val="0"/>
          <w14:ligatures w14:val="none"/>
        </w:rPr>
      </w:pPr>
    </w:p>
    <w:p w14:paraId="3EB9D521" w14:textId="418A42CC" w:rsidR="00F726C1" w:rsidRDefault="00003A16" w:rsidP="000A2BFA">
      <w:pPr>
        <w:spacing w:after="0" w:line="240" w:lineRule="auto"/>
        <w:rPr>
          <w:rFonts w:ascii="Calibri" w:eastAsia="Calibri" w:hAnsi="Calibri" w:cs="Calibri"/>
          <w:b/>
          <w:kern w:val="0"/>
          <w14:ligatures w14:val="none"/>
        </w:rPr>
      </w:pPr>
      <w:r w:rsidRPr="003A5579">
        <w:rPr>
          <w:rFonts w:ascii="Calibri" w:eastAsia="Times New Roman" w:hAnsi="Calibri" w:cs="Calibri Light"/>
          <w:b/>
          <w:bCs/>
          <w:noProof/>
        </w:rPr>
        <mc:AlternateContent>
          <mc:Choice Requires="wps">
            <w:drawing>
              <wp:anchor distT="45720" distB="45720" distL="114300" distR="114300" simplePos="0" relativeHeight="251662338" behindDoc="0" locked="0" layoutInCell="1" allowOverlap="1" wp14:anchorId="29D1E5B1" wp14:editId="5DF2C0E2">
                <wp:simplePos x="0" y="0"/>
                <wp:positionH relativeFrom="column">
                  <wp:posOffset>3295403</wp:posOffset>
                </wp:positionH>
                <wp:positionV relativeFrom="paragraph">
                  <wp:posOffset>7620</wp:posOffset>
                </wp:positionV>
                <wp:extent cx="838200" cy="317657"/>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17657"/>
                        </a:xfrm>
                        <a:prstGeom prst="rect">
                          <a:avLst/>
                        </a:prstGeom>
                        <a:solidFill>
                          <a:srgbClr val="FFFFFF"/>
                        </a:solidFill>
                        <a:ln w="9525">
                          <a:noFill/>
                          <a:miter lim="800000"/>
                          <a:headEnd/>
                          <a:tailEnd/>
                        </a:ln>
                      </wps:spPr>
                      <wps:txbx>
                        <w:txbxContent>
                          <w:p w14:paraId="7A6909EE" w14:textId="6EA2D9C7" w:rsidR="00003A16" w:rsidRPr="003A5579" w:rsidRDefault="00003A16" w:rsidP="00003A16">
                            <w:pPr>
                              <w:spacing w:after="0" w:line="240" w:lineRule="auto"/>
                              <w:rPr>
                                <w:sz w:val="14"/>
                                <w:szCs w:val="14"/>
                                <w:lang w:val="en-GB"/>
                              </w:rPr>
                            </w:pPr>
                            <w:r>
                              <w:rPr>
                                <w:sz w:val="14"/>
                                <w:szCs w:val="14"/>
                              </w:rPr>
                              <w:t>N</w:t>
                            </w:r>
                            <w:r w:rsidRPr="00003A16">
                              <w:rPr>
                                <w:sz w:val="14"/>
                                <w:szCs w:val="14"/>
                              </w:rPr>
                              <w:t xml:space="preserve">ombre total de </w:t>
                            </w:r>
                            <w:r>
                              <w:rPr>
                                <w:sz w:val="14"/>
                                <w:szCs w:val="14"/>
                              </w:rPr>
                              <w:t>S</w:t>
                            </w:r>
                            <w:r w:rsidRPr="00003A16">
                              <w:rPr>
                                <w:sz w:val="14"/>
                                <w:szCs w:val="14"/>
                              </w:rPr>
                              <w:t>ites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D1E5B1" id="_x0000_t202" coordsize="21600,21600" o:spt="202" path="m,l,21600r21600,l21600,xe">
                <v:stroke joinstyle="miter"/>
                <v:path gradientshapeok="t" o:connecttype="rect"/>
              </v:shapetype>
              <v:shape id="Text Box 2" o:spid="_x0000_s1026" type="#_x0000_t202" style="position:absolute;margin-left:259.5pt;margin-top:.6pt;width:66pt;height:25pt;z-index:2516623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" stroked="f">
                <v:textbox>
                  <w:txbxContent>
                    <w:p w14:paraId="7A6909EE" w14:textId="6EA2D9C7" w:rsidR="00003A16" w:rsidRPr="003A5579" w:rsidRDefault="00003A16" w:rsidP="00003A16">
                      <w:pPr>
                        <w:spacing w:after="0" w:line="240" w:lineRule="auto"/>
                        <w:rPr>
                          <w:sz w:val="14"/>
                          <w:szCs w:val="14"/>
                          <w:lang w:val="en-GB"/>
                        </w:rPr>
                      </w:pPr>
                      <w:r>
                        <w:rPr>
                          <w:sz w:val="14"/>
                          <w:szCs w:val="14"/>
                        </w:rPr>
                        <w:t>N</w:t>
                      </w:r>
                      <w:r w:rsidRPr="00003A16">
                        <w:rPr>
                          <w:sz w:val="14"/>
                          <w:szCs w:val="14"/>
                        </w:rPr>
                        <w:t xml:space="preserve">ombre total de </w:t>
                      </w:r>
                      <w:r>
                        <w:rPr>
                          <w:sz w:val="14"/>
                          <w:szCs w:val="14"/>
                        </w:rPr>
                        <w:t>S</w:t>
                      </w:r>
                      <w:r w:rsidRPr="00003A16">
                        <w:rPr>
                          <w:sz w:val="14"/>
                          <w:szCs w:val="14"/>
                        </w:rPr>
                        <w:t>ites</w:t>
                      </w:r>
                    </w:p>
                  </w:txbxContent>
                </v:textbox>
              </v:shape>
            </w:pict>
          </mc:Fallback>
        </mc:AlternateContent>
      </w:r>
      <w:r w:rsidRPr="003A5579">
        <w:rPr>
          <w:rFonts w:ascii="Calibri" w:eastAsia="Times New Roman" w:hAnsi="Calibri" w:cs="Calibri Light"/>
          <w:b/>
          <w:bCs/>
          <w:noProof/>
        </w:rPr>
        <mc:AlternateContent>
          <mc:Choice Requires="wps">
            <w:drawing>
              <wp:anchor distT="45720" distB="45720" distL="114300" distR="114300" simplePos="0" relativeHeight="251664386" behindDoc="0" locked="0" layoutInCell="1" allowOverlap="1" wp14:anchorId="3EE12B41" wp14:editId="7FDCF78C">
                <wp:simplePos x="0" y="0"/>
                <wp:positionH relativeFrom="column">
                  <wp:posOffset>4221678</wp:posOffset>
                </wp:positionH>
                <wp:positionV relativeFrom="paragraph">
                  <wp:posOffset>7620</wp:posOffset>
                </wp:positionV>
                <wp:extent cx="1266825" cy="311719"/>
                <wp:effectExtent l="0" t="0" r="9525" b="0"/>
                <wp:wrapNone/>
                <wp:docPr id="18530371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311719"/>
                        </a:xfrm>
                        <a:prstGeom prst="rect">
                          <a:avLst/>
                        </a:prstGeom>
                        <a:solidFill>
                          <a:srgbClr val="FFFFFF"/>
                        </a:solidFill>
                        <a:ln w="9525">
                          <a:noFill/>
                          <a:miter lim="800000"/>
                          <a:headEnd/>
                          <a:tailEnd/>
                        </a:ln>
                      </wps:spPr>
                      <wps:txbx>
                        <w:txbxContent>
                          <w:p w14:paraId="447C9CD9" w14:textId="3F154997" w:rsidR="00003A16" w:rsidRPr="00003A16" w:rsidRDefault="00003A16" w:rsidP="00003A16">
                            <w:pPr>
                              <w:spacing w:after="0" w:line="240" w:lineRule="auto"/>
                              <w:rPr>
                                <w:sz w:val="14"/>
                                <w:szCs w:val="14"/>
                              </w:rPr>
                            </w:pPr>
                            <w:r>
                              <w:rPr>
                                <w:sz w:val="14"/>
                                <w:szCs w:val="14"/>
                              </w:rPr>
                              <w:t>N</w:t>
                            </w:r>
                            <w:r w:rsidRPr="00003A16">
                              <w:rPr>
                                <w:sz w:val="14"/>
                                <w:szCs w:val="14"/>
                              </w:rPr>
                              <w:t xml:space="preserve">ouveaux </w:t>
                            </w:r>
                            <w:r>
                              <w:rPr>
                                <w:sz w:val="14"/>
                                <w:szCs w:val="14"/>
                              </w:rPr>
                              <w:t>S</w:t>
                            </w:r>
                            <w:r w:rsidRPr="00003A16">
                              <w:rPr>
                                <w:sz w:val="14"/>
                                <w:szCs w:val="14"/>
                              </w:rPr>
                              <w:t>ites ajoutés au cours de la période triennale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E12B41" id="_x0000_s1027" type="#_x0000_t202" style="position:absolute;margin-left:332.4pt;margin-top:.6pt;width:99.75pt;height:24.55pt;z-index:25166438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" stroked="f">
                <v:textbox>
                  <w:txbxContent>
                    <w:p w14:paraId="447C9CD9" w14:textId="3F154997" w:rsidR="00003A16" w:rsidRPr="00003A16" w:rsidRDefault="00003A16" w:rsidP="00003A16">
                      <w:pPr>
                        <w:spacing w:after="0" w:line="240" w:lineRule="auto"/>
                        <w:rPr>
                          <w:sz w:val="14"/>
                          <w:szCs w:val="14"/>
                        </w:rPr>
                      </w:pPr>
                      <w:r>
                        <w:rPr>
                          <w:sz w:val="14"/>
                          <w:szCs w:val="14"/>
                        </w:rPr>
                        <w:t>N</w:t>
                      </w:r>
                      <w:r w:rsidRPr="00003A16">
                        <w:rPr>
                          <w:sz w:val="14"/>
                          <w:szCs w:val="14"/>
                        </w:rPr>
                        <w:t xml:space="preserve">ouveaux </w:t>
                      </w:r>
                      <w:r>
                        <w:rPr>
                          <w:sz w:val="14"/>
                          <w:szCs w:val="14"/>
                        </w:rPr>
                        <w:t>S</w:t>
                      </w:r>
                      <w:r w:rsidRPr="00003A16">
                        <w:rPr>
                          <w:sz w:val="14"/>
                          <w:szCs w:val="14"/>
                        </w:rPr>
                        <w:t>ites ajoutés au cours de la période triennale</w:t>
                      </w:r>
                    </w:p>
                  </w:txbxContent>
                </v:textbox>
              </v:shape>
            </w:pict>
          </mc:Fallback>
        </mc:AlternateContent>
      </w:r>
    </w:p>
    <w:p w14:paraId="7022A761" w14:textId="692E9198" w:rsidR="00F726C1" w:rsidRPr="00E51FD3" w:rsidRDefault="00F726C1" w:rsidP="000A2BFA">
      <w:pPr>
        <w:spacing w:after="0" w:line="240" w:lineRule="auto"/>
        <w:rPr>
          <w:rFonts w:ascii="Calibri" w:eastAsia="Calibri" w:hAnsi="Calibri" w:cs="Calibri"/>
          <w:b/>
          <w:kern w:val="0"/>
          <w14:ligatures w14:val="none"/>
        </w:rPr>
      </w:pPr>
    </w:p>
    <w:p w14:paraId="581692B6" w14:textId="7B271F99" w:rsidR="00547F0E" w:rsidRPr="00E51FD3" w:rsidRDefault="00547F0E" w:rsidP="000A2BFA">
      <w:pPr>
        <w:spacing w:after="0" w:line="240" w:lineRule="auto"/>
        <w:rPr>
          <w:rFonts w:ascii="Calibri" w:eastAsia="Calibri" w:hAnsi="Calibri" w:cs="Calibri"/>
          <w:kern w:val="0"/>
          <w14:ligatures w14:val="none"/>
        </w:rPr>
      </w:pPr>
    </w:p>
    <w:p w14:paraId="175AC3A1" w14:textId="751F1787" w:rsidR="00606F72" w:rsidRDefault="00606F72" w:rsidP="000A2BFA">
      <w:pPr>
        <w:spacing w:after="0" w:line="240" w:lineRule="auto"/>
        <w:rPr>
          <w:rFonts w:ascii="Calibri" w:eastAsia="Calibri" w:hAnsi="Calibri" w:cs="Calibri"/>
          <w:kern w:val="0"/>
          <w14:ligatures w14:val="none"/>
        </w:rPr>
      </w:pPr>
    </w:p>
    <w:p w14:paraId="6A57CFFF" w14:textId="77777777" w:rsidR="00F726C1" w:rsidRDefault="00F726C1" w:rsidP="000A2BFA">
      <w:pPr>
        <w:spacing w:after="0" w:line="240" w:lineRule="auto"/>
        <w:rPr>
          <w:rFonts w:ascii="Calibri" w:eastAsia="Calibri" w:hAnsi="Calibri" w:cs="Calibri"/>
          <w:kern w:val="0"/>
          <w14:ligatures w14:val="none"/>
        </w:rPr>
        <w:sectPr w:rsidR="00F726C1" w:rsidSect="002E51E1">
          <w:pgSz w:w="11906" w:h="16838"/>
          <w:pgMar w:top="1440" w:right="1440" w:bottom="1440" w:left="1440" w:header="708" w:footer="708" w:gutter="0"/>
          <w:cols w:space="708"/>
          <w:docGrid w:linePitch="360"/>
        </w:sectPr>
      </w:pPr>
    </w:p>
    <w:p w14:paraId="063904A4" w14:textId="2829C8FA" w:rsidR="005557D3" w:rsidRDefault="00F726C1" w:rsidP="000A2BFA">
      <w:pPr>
        <w:spacing w:after="0" w:line="240" w:lineRule="auto"/>
        <w:rPr>
          <w:rFonts w:ascii="Calibri" w:hAnsi="Calibri" w:cs="Calibri"/>
          <w:b/>
          <w:bCs/>
        </w:rPr>
      </w:pPr>
      <w:r>
        <w:rPr>
          <w:rFonts w:ascii="Calibri" w:hAnsi="Calibri"/>
          <w:b/>
        </w:rPr>
        <w:t>Résumé des quatre scénarios présentés</w:t>
      </w:r>
    </w:p>
    <w:p w14:paraId="1F0410F4" w14:textId="117CF5AF" w:rsidR="00F76419" w:rsidRDefault="00F76419" w:rsidP="000A2BFA">
      <w:pPr>
        <w:spacing w:after="0" w:line="240" w:lineRule="auto"/>
        <w:rPr>
          <w:rFonts w:ascii="Calibri" w:hAnsi="Calibri" w:cs="Calibri"/>
          <w:b/>
          <w:bCs/>
        </w:rPr>
      </w:pPr>
    </w:p>
    <w:p w14:paraId="67DD32E1" w14:textId="364E153E" w:rsidR="00F76419" w:rsidRPr="009C676D" w:rsidRDefault="00F76419" w:rsidP="009C676D">
      <w:pPr>
        <w:spacing w:after="0" w:line="240" w:lineRule="auto"/>
        <w:ind w:left="426" w:hanging="426"/>
        <w:rPr>
          <w:rFonts w:ascii="Calibri" w:hAnsi="Calibri" w:cs="Calibri"/>
        </w:rPr>
      </w:pPr>
      <w:r>
        <w:rPr>
          <w:rFonts w:ascii="Calibri" w:hAnsi="Calibri"/>
        </w:rPr>
        <w:t>3.</w:t>
      </w:r>
      <w:r>
        <w:rPr>
          <w:rFonts w:ascii="Calibri" w:hAnsi="Calibri"/>
        </w:rPr>
        <w:tab/>
        <w:t>Dans la Décision SC64-41 ii), le Comité permanent a approuvé quatre scénarios budgétaires pour 2026-2028, à présenter à la COP15, pour examen. Ces scénarios ont été recommandés par le Sous-groupe sur les finances après la tenue de débats approfondis sur les coûts, les avantages et les implications stratégiques. Dans la Décision SC64-41 iii), le Comité permanent a demandé au Secrétariat de préparer une analyse narrative et quantitative expliquant les coûts et les avantages respectifs, ainsi que les implications politiques de chaque scénario. Le tableau 1 ci-après résume les caractéristiques des quatre scénarios, tandis que le tableau 2 donne une vue d</w:t>
      </w:r>
      <w:r w:rsidR="00212CE8">
        <w:rPr>
          <w:rFonts w:ascii="Calibri" w:hAnsi="Calibri"/>
        </w:rPr>
        <w:t>’</w:t>
      </w:r>
      <w:r>
        <w:rPr>
          <w:rFonts w:ascii="Calibri" w:hAnsi="Calibri"/>
        </w:rPr>
        <w:t>ensemble des principales implications de chaque scénario.</w:t>
      </w:r>
    </w:p>
    <w:p w14:paraId="73B853F8" w14:textId="77777777" w:rsidR="00F76419" w:rsidRDefault="00F76419" w:rsidP="000A2BFA">
      <w:pPr>
        <w:spacing w:after="0" w:line="240" w:lineRule="auto"/>
        <w:rPr>
          <w:rFonts w:ascii="Calibri" w:hAnsi="Calibri" w:cs="Calibri"/>
          <w:b/>
          <w:bCs/>
        </w:rPr>
      </w:pPr>
    </w:p>
    <w:p w14:paraId="184DEA93" w14:textId="56DC0F98" w:rsidR="00F76419" w:rsidRPr="004F31B6" w:rsidRDefault="00F76419" w:rsidP="009C676D">
      <w:pPr>
        <w:spacing w:after="0" w:line="240" w:lineRule="auto"/>
        <w:ind w:left="426" w:hanging="426"/>
        <w:contextualSpacing/>
        <w:rPr>
          <w:rFonts w:ascii="Calibri" w:hAnsi="Calibri" w:cs="Calibri"/>
          <w:iCs/>
          <w:color w:val="000000" w:themeColor="text1"/>
        </w:rPr>
      </w:pPr>
      <w:r>
        <w:rPr>
          <w:rFonts w:ascii="Calibri" w:hAnsi="Calibri"/>
          <w:color w:val="000000" w:themeColor="text1"/>
        </w:rPr>
        <w:t>4.</w:t>
      </w:r>
      <w:r>
        <w:rPr>
          <w:rFonts w:ascii="Calibri" w:hAnsi="Calibri"/>
          <w:color w:val="000000" w:themeColor="text1"/>
        </w:rPr>
        <w:tab/>
        <w:t>Dans le scénario à 0 % d</w:t>
      </w:r>
      <w:r w:rsidR="00212CE8">
        <w:rPr>
          <w:rFonts w:ascii="Calibri" w:hAnsi="Calibri"/>
          <w:color w:val="000000" w:themeColor="text1"/>
        </w:rPr>
        <w:t>’</w:t>
      </w:r>
      <w:r>
        <w:rPr>
          <w:rFonts w:ascii="Calibri" w:hAnsi="Calibri"/>
          <w:color w:val="000000" w:themeColor="text1"/>
        </w:rPr>
        <w:t>augmentation, le montant de certaines dépenses liées au personnel en poste a été augmenté pour assurer l</w:t>
      </w:r>
      <w:r w:rsidR="00212CE8">
        <w:rPr>
          <w:rFonts w:ascii="Calibri" w:hAnsi="Calibri"/>
          <w:color w:val="000000" w:themeColor="text1"/>
        </w:rPr>
        <w:t>’</w:t>
      </w:r>
      <w:r>
        <w:rPr>
          <w:rFonts w:ascii="Calibri" w:hAnsi="Calibri"/>
          <w:color w:val="000000" w:themeColor="text1"/>
        </w:rPr>
        <w:t>équité avec l</w:t>
      </w:r>
      <w:r w:rsidR="00212CE8">
        <w:rPr>
          <w:rFonts w:ascii="Calibri" w:hAnsi="Calibri"/>
          <w:color w:val="000000" w:themeColor="text1"/>
        </w:rPr>
        <w:t>’</w:t>
      </w:r>
      <w:r>
        <w:rPr>
          <w:rFonts w:ascii="Calibri" w:hAnsi="Calibri"/>
          <w:color w:val="000000" w:themeColor="text1"/>
        </w:rPr>
        <w:t xml:space="preserve">UICN, conformément aux recommandations en matière de </w:t>
      </w:r>
      <w:r w:rsidR="00117D55">
        <w:rPr>
          <w:rFonts w:ascii="Calibri" w:hAnsi="Calibri"/>
          <w:color w:val="000000" w:themeColor="text1"/>
        </w:rPr>
        <w:t>ressources humaines (RH)</w:t>
      </w:r>
      <w:r>
        <w:rPr>
          <w:rFonts w:ascii="Calibri" w:hAnsi="Calibri"/>
          <w:color w:val="000000" w:themeColor="text1"/>
        </w:rPr>
        <w:t xml:space="preserve"> de l</w:t>
      </w:r>
      <w:r w:rsidR="00212CE8">
        <w:rPr>
          <w:rFonts w:ascii="Calibri" w:hAnsi="Calibri"/>
          <w:color w:val="000000" w:themeColor="text1"/>
        </w:rPr>
        <w:t>’</w:t>
      </w:r>
      <w:r>
        <w:rPr>
          <w:rFonts w:ascii="Calibri" w:hAnsi="Calibri"/>
          <w:color w:val="000000" w:themeColor="text1"/>
        </w:rPr>
        <w:t>UICN. Toutefois, il n</w:t>
      </w:r>
      <w:r w:rsidR="00212CE8">
        <w:rPr>
          <w:rFonts w:ascii="Calibri" w:hAnsi="Calibri"/>
          <w:color w:val="000000" w:themeColor="text1"/>
        </w:rPr>
        <w:t>’</w:t>
      </w:r>
      <w:r>
        <w:rPr>
          <w:rFonts w:ascii="Calibri" w:hAnsi="Calibri"/>
          <w:color w:val="000000" w:themeColor="text1"/>
        </w:rPr>
        <w:t xml:space="preserve">inclut pas les ajustements en matière de coût du travail, ou les performances et les promotions. Le renforcement des capacités du personnel et les services opérationnels pour la COP16 sont également exclus de ce scénario. </w:t>
      </w:r>
      <w:r>
        <w:rPr>
          <w:rFonts w:ascii="Calibri" w:hAnsi="Calibri"/>
        </w:rPr>
        <w:t>Certaines lignes budgétaires ont été ajustées pour compenser les ajustements partiels liés à l</w:t>
      </w:r>
      <w:r w:rsidR="00212CE8">
        <w:rPr>
          <w:rFonts w:ascii="Calibri" w:hAnsi="Calibri"/>
        </w:rPr>
        <w:t>’</w:t>
      </w:r>
      <w:r>
        <w:rPr>
          <w:rFonts w:ascii="Calibri" w:hAnsi="Calibri"/>
        </w:rPr>
        <w:t>équité salariale, reflétant les dépenses réelles au cours de la période triennale 2023-2025</w:t>
      </w:r>
      <w:r w:rsidR="00F312DE">
        <w:rPr>
          <w:rStyle w:val="FootnoteReference"/>
          <w:rFonts w:ascii="Calibri" w:hAnsi="Calibri" w:cs="Calibri"/>
          <w:bCs/>
          <w:iCs/>
          <w:color w:val="000000" w:themeColor="text1"/>
          <w:lang w:val="en-US"/>
        </w:rPr>
        <w:footnoteReference w:id="2"/>
      </w:r>
      <w:r>
        <w:rPr>
          <w:rFonts w:ascii="Calibri" w:hAnsi="Calibri"/>
        </w:rPr>
        <w:t>.</w:t>
      </w:r>
    </w:p>
    <w:p w14:paraId="002CC713" w14:textId="77777777" w:rsidR="00F76419" w:rsidRPr="006D0AFC" w:rsidRDefault="00F76419" w:rsidP="009C676D">
      <w:pPr>
        <w:spacing w:after="0" w:line="240" w:lineRule="auto"/>
        <w:ind w:left="426" w:hanging="426"/>
        <w:contextualSpacing/>
        <w:rPr>
          <w:rFonts w:ascii="Calibri" w:hAnsi="Calibri" w:cs="Calibri"/>
          <w:iCs/>
          <w:color w:val="000000" w:themeColor="text1"/>
        </w:rPr>
      </w:pPr>
    </w:p>
    <w:p w14:paraId="50DDC3D2" w14:textId="5D38D0DC" w:rsidR="00F76419" w:rsidRPr="004F31B6" w:rsidRDefault="00F76419" w:rsidP="009C676D">
      <w:pPr>
        <w:spacing w:after="0" w:line="240" w:lineRule="auto"/>
        <w:ind w:left="426" w:hanging="426"/>
        <w:contextualSpacing/>
        <w:rPr>
          <w:rFonts w:ascii="Calibri" w:hAnsi="Calibri" w:cs="Calibri"/>
          <w:iCs/>
          <w:color w:val="000000" w:themeColor="text1"/>
        </w:rPr>
      </w:pPr>
      <w:r>
        <w:rPr>
          <w:rFonts w:ascii="Calibri" w:hAnsi="Calibri"/>
          <w:color w:val="000000" w:themeColor="text1"/>
        </w:rPr>
        <w:t>5.</w:t>
      </w:r>
      <w:r>
        <w:rPr>
          <w:rFonts w:ascii="Calibri" w:hAnsi="Calibri"/>
          <w:color w:val="000000" w:themeColor="text1"/>
        </w:rPr>
        <w:tab/>
      </w:r>
      <w:r>
        <w:rPr>
          <w:rFonts w:ascii="Calibri" w:hAnsi="Calibri"/>
        </w:rPr>
        <w:t>Dans le scénario à 4,1 % d</w:t>
      </w:r>
      <w:r w:rsidR="00212CE8">
        <w:rPr>
          <w:rFonts w:ascii="Calibri" w:hAnsi="Calibri"/>
        </w:rPr>
        <w:t>’</w:t>
      </w:r>
      <w:r>
        <w:rPr>
          <w:rFonts w:ascii="Calibri" w:hAnsi="Calibri"/>
        </w:rPr>
        <w:t>augmentation, le montant de certaines dépenses liées au personnel en poste a été augmenté pour assurer l</w:t>
      </w:r>
      <w:r w:rsidR="00212CE8">
        <w:rPr>
          <w:rFonts w:ascii="Calibri" w:hAnsi="Calibri"/>
        </w:rPr>
        <w:t>’</w:t>
      </w:r>
      <w:r>
        <w:rPr>
          <w:rFonts w:ascii="Calibri" w:hAnsi="Calibri"/>
        </w:rPr>
        <w:t>équité avec l</w:t>
      </w:r>
      <w:r w:rsidR="00212CE8">
        <w:rPr>
          <w:rFonts w:ascii="Calibri" w:hAnsi="Calibri"/>
        </w:rPr>
        <w:t>’</w:t>
      </w:r>
      <w:r>
        <w:rPr>
          <w:rFonts w:ascii="Calibri" w:hAnsi="Calibri"/>
        </w:rPr>
        <w:t>UICN, conformément aux recommandations en matière de RH de l</w:t>
      </w:r>
      <w:r w:rsidR="00212CE8">
        <w:rPr>
          <w:rFonts w:ascii="Calibri" w:hAnsi="Calibri"/>
        </w:rPr>
        <w:t>’</w:t>
      </w:r>
      <w:r>
        <w:rPr>
          <w:rFonts w:ascii="Calibri" w:hAnsi="Calibri"/>
        </w:rPr>
        <w:t xml:space="preserve">UICN, comme proposé pour </w:t>
      </w:r>
      <w:r w:rsidR="006D0AFC">
        <w:rPr>
          <w:rFonts w:ascii="Calibri" w:hAnsi="Calibri"/>
        </w:rPr>
        <w:t>le scénario</w:t>
      </w:r>
      <w:r>
        <w:rPr>
          <w:rFonts w:ascii="Calibri" w:hAnsi="Calibri"/>
        </w:rPr>
        <w:t xml:space="preserve"> à 0 %, en plus d</w:t>
      </w:r>
      <w:r w:rsidR="00212CE8">
        <w:rPr>
          <w:rFonts w:ascii="Calibri" w:hAnsi="Calibri"/>
        </w:rPr>
        <w:t>’</w:t>
      </w:r>
      <w:r>
        <w:rPr>
          <w:rFonts w:ascii="Calibri" w:hAnsi="Calibri"/>
        </w:rPr>
        <w:t>un ajustement en matière de coût du travail, des performances et des promotions. Dans le cadre de ce scénario, un nouveau poste a été inclus. Le ou la Secrétaire général/e déciderait de la meilleure façon d</w:t>
      </w:r>
      <w:r w:rsidR="00212CE8">
        <w:rPr>
          <w:rFonts w:ascii="Calibri" w:hAnsi="Calibri"/>
        </w:rPr>
        <w:t>’</w:t>
      </w:r>
      <w:r>
        <w:rPr>
          <w:rFonts w:ascii="Calibri" w:hAnsi="Calibri"/>
        </w:rPr>
        <w:t>utiliser ce nouveau poste pour aider les Parties contractantes. Le renforcement des capacités du personnel et les services opérationnels pour la COP16 sont exclus de ce scénario. Comme dans le scénario à 0 %, certaines lignes budgétaires ont été ajustées pour compenser les ajustements partiels liés à l</w:t>
      </w:r>
      <w:r w:rsidR="00212CE8">
        <w:rPr>
          <w:rFonts w:ascii="Calibri" w:hAnsi="Calibri"/>
        </w:rPr>
        <w:t>’</w:t>
      </w:r>
      <w:r>
        <w:rPr>
          <w:rFonts w:ascii="Calibri" w:hAnsi="Calibri"/>
        </w:rPr>
        <w:t xml:space="preserve">équité salariale, aux coûts du travail, aux performances et promotions, reflétant les dépenses réelles au cours de la période triennale 2023-2025. </w:t>
      </w:r>
    </w:p>
    <w:p w14:paraId="66AE37AA" w14:textId="77777777" w:rsidR="00F76419" w:rsidRPr="006D0AFC" w:rsidRDefault="00F76419" w:rsidP="009C676D">
      <w:pPr>
        <w:spacing w:after="0" w:line="240" w:lineRule="auto"/>
        <w:ind w:left="426" w:hanging="426"/>
        <w:contextualSpacing/>
        <w:rPr>
          <w:rFonts w:ascii="Calibri" w:eastAsia="Batang" w:hAnsi="Calibri" w:cs="Calibri"/>
          <w:bCs/>
        </w:rPr>
      </w:pPr>
    </w:p>
    <w:p w14:paraId="449A5DF5" w14:textId="5C091250" w:rsidR="00F76419" w:rsidRPr="004F31B6" w:rsidRDefault="00F76419" w:rsidP="009C676D">
      <w:pPr>
        <w:pStyle w:val="MGfulltext"/>
        <w:spacing w:after="0"/>
        <w:ind w:left="426" w:hanging="426"/>
        <w:rPr>
          <w:rFonts w:ascii="Calibri" w:eastAsia="Batang" w:hAnsi="Calibri" w:cs="Calibri"/>
          <w:sz w:val="22"/>
          <w:szCs w:val="22"/>
        </w:rPr>
      </w:pPr>
      <w:r>
        <w:rPr>
          <w:rFonts w:ascii="Calibri" w:hAnsi="Calibri"/>
          <w:sz w:val="22"/>
        </w:rPr>
        <w:t>6.</w:t>
      </w:r>
      <w:r>
        <w:rPr>
          <w:rFonts w:ascii="Calibri" w:hAnsi="Calibri"/>
          <w:sz w:val="22"/>
        </w:rPr>
        <w:tab/>
        <w:t>Dans le scénario à 9,6 % d</w:t>
      </w:r>
      <w:r w:rsidR="00212CE8">
        <w:rPr>
          <w:rFonts w:ascii="Calibri" w:hAnsi="Calibri"/>
          <w:sz w:val="22"/>
        </w:rPr>
        <w:t>’</w:t>
      </w:r>
      <w:r>
        <w:rPr>
          <w:rFonts w:ascii="Calibri" w:hAnsi="Calibri"/>
          <w:sz w:val="22"/>
        </w:rPr>
        <w:t xml:space="preserve">augmentation, le niveau du financement administratif </w:t>
      </w:r>
      <w:r w:rsidR="00EA1B29">
        <w:rPr>
          <w:rFonts w:ascii="Calibri" w:hAnsi="Calibri"/>
          <w:sz w:val="22"/>
        </w:rPr>
        <w:t>a été augmenté</w:t>
      </w:r>
      <w:r>
        <w:rPr>
          <w:rFonts w:ascii="Calibri" w:hAnsi="Calibri"/>
          <w:sz w:val="22"/>
        </w:rPr>
        <w:t xml:space="preserve"> pour la rémunération du personnel, qui couvre deux nouveaux postes, comme expliqué aux paragraphes 11 et 12. Les salaires de l</w:t>
      </w:r>
      <w:r w:rsidR="00212CE8">
        <w:rPr>
          <w:rFonts w:ascii="Calibri" w:hAnsi="Calibri"/>
          <w:sz w:val="22"/>
        </w:rPr>
        <w:t>’</w:t>
      </w:r>
      <w:r>
        <w:rPr>
          <w:rFonts w:ascii="Calibri" w:hAnsi="Calibri"/>
          <w:sz w:val="22"/>
        </w:rPr>
        <w:t>ensemble du personnel sont ajustés pour assurer l</w:t>
      </w:r>
      <w:r w:rsidR="00212CE8">
        <w:rPr>
          <w:rFonts w:ascii="Calibri" w:hAnsi="Calibri"/>
          <w:sz w:val="22"/>
        </w:rPr>
        <w:t>’</w:t>
      </w:r>
      <w:r>
        <w:rPr>
          <w:rFonts w:ascii="Calibri" w:hAnsi="Calibri"/>
          <w:sz w:val="22"/>
        </w:rPr>
        <w:t>équité avec les salaires de l</w:t>
      </w:r>
      <w:r w:rsidR="00212CE8">
        <w:rPr>
          <w:rFonts w:ascii="Calibri" w:hAnsi="Calibri"/>
          <w:sz w:val="22"/>
        </w:rPr>
        <w:t>’</w:t>
      </w:r>
      <w:r>
        <w:rPr>
          <w:rFonts w:ascii="Calibri" w:hAnsi="Calibri"/>
          <w:sz w:val="22"/>
        </w:rPr>
        <w:t xml:space="preserve">UICN et comprennent un ajustement en matière de coût du travail, les performances et les promotions, conformément aux politiques des </w:t>
      </w:r>
      <w:r w:rsidR="00914CD2">
        <w:rPr>
          <w:rFonts w:ascii="Calibri" w:hAnsi="Calibri"/>
          <w:sz w:val="22"/>
        </w:rPr>
        <w:t>RH</w:t>
      </w:r>
      <w:r>
        <w:rPr>
          <w:rFonts w:ascii="Calibri" w:hAnsi="Calibri"/>
          <w:sz w:val="22"/>
        </w:rPr>
        <w:t xml:space="preserve"> de l</w:t>
      </w:r>
      <w:r w:rsidR="00212CE8">
        <w:rPr>
          <w:rFonts w:ascii="Calibri" w:hAnsi="Calibri"/>
          <w:sz w:val="22"/>
        </w:rPr>
        <w:t>’</w:t>
      </w:r>
      <w:r>
        <w:rPr>
          <w:rFonts w:ascii="Calibri" w:hAnsi="Calibri"/>
          <w:sz w:val="22"/>
        </w:rPr>
        <w:t xml:space="preserve">UICN </w:t>
      </w:r>
      <w:r>
        <w:rPr>
          <w:rFonts w:ascii="Calibri" w:hAnsi="Calibri"/>
          <w:sz w:val="22"/>
        </w:rPr>
        <w:lastRenderedPageBreak/>
        <w:t>relatives à la rémunération globale, aux performances et au développement. Le renforcement des capacités du personnel et les services opérationnels pour la COP16 sont exclus de ce scénario. Certaines lignes budgétaires ont été ajustées pour compenser les ajustements partiels liés à l</w:t>
      </w:r>
      <w:r w:rsidR="00212CE8">
        <w:rPr>
          <w:rFonts w:ascii="Calibri" w:hAnsi="Calibri"/>
          <w:sz w:val="22"/>
        </w:rPr>
        <w:t>’</w:t>
      </w:r>
      <w:r>
        <w:rPr>
          <w:rFonts w:ascii="Calibri" w:hAnsi="Calibri"/>
          <w:sz w:val="22"/>
        </w:rPr>
        <w:t>équité salariale, reflétant les dépenses réelles au cours de la période triennale 2023-2025.</w:t>
      </w:r>
    </w:p>
    <w:p w14:paraId="71135ABD" w14:textId="77777777" w:rsidR="00F76419" w:rsidRPr="004F31B6" w:rsidRDefault="00F76419" w:rsidP="009C676D">
      <w:pPr>
        <w:pStyle w:val="ListParagraph"/>
        <w:spacing w:after="0" w:line="240" w:lineRule="auto"/>
        <w:ind w:left="426" w:hanging="426"/>
        <w:rPr>
          <w:rFonts w:ascii="Calibri" w:hAnsi="Calibri" w:cs="Calibri"/>
        </w:rPr>
      </w:pPr>
    </w:p>
    <w:p w14:paraId="0E8D0398" w14:textId="5C4E3FF3" w:rsidR="00F76419" w:rsidRPr="006D0AFC" w:rsidRDefault="00F76419" w:rsidP="009C676D">
      <w:pPr>
        <w:pStyle w:val="MGfulltext"/>
        <w:spacing w:after="0"/>
        <w:ind w:left="426" w:hanging="426"/>
        <w:rPr>
          <w:rFonts w:ascii="Calibri" w:eastAsia="Batang" w:hAnsi="Calibri" w:cs="Calibri"/>
          <w:sz w:val="22"/>
          <w:szCs w:val="22"/>
        </w:rPr>
      </w:pPr>
      <w:r>
        <w:rPr>
          <w:rFonts w:ascii="Calibri" w:hAnsi="Calibri"/>
          <w:sz w:val="22"/>
        </w:rPr>
        <w:t>7.</w:t>
      </w:r>
      <w:r>
        <w:rPr>
          <w:rFonts w:ascii="Calibri" w:hAnsi="Calibri"/>
          <w:sz w:val="22"/>
        </w:rPr>
        <w:tab/>
        <w:t>Le scénario à 11,3 % d</w:t>
      </w:r>
      <w:r w:rsidR="00212CE8">
        <w:rPr>
          <w:rFonts w:ascii="Calibri" w:hAnsi="Calibri"/>
          <w:sz w:val="22"/>
        </w:rPr>
        <w:t>’</w:t>
      </w:r>
      <w:r>
        <w:rPr>
          <w:rFonts w:ascii="Calibri" w:hAnsi="Calibri"/>
          <w:sz w:val="22"/>
        </w:rPr>
        <w:t>augmentation comprend tous les ajustements, comme présentés dans le scénario à 9,6 %, ainsi qu</w:t>
      </w:r>
      <w:r w:rsidR="00212CE8">
        <w:rPr>
          <w:rFonts w:ascii="Calibri" w:hAnsi="Calibri"/>
          <w:sz w:val="22"/>
        </w:rPr>
        <w:t>’</w:t>
      </w:r>
      <w:r>
        <w:rPr>
          <w:rFonts w:ascii="Calibri" w:hAnsi="Calibri"/>
          <w:sz w:val="22"/>
        </w:rPr>
        <w:t xml:space="preserve">une allocation annuelle pour la planification et le renforcement des capacités du Secrétariat, afin de permettre au personnel du Secrétariat de </w:t>
      </w:r>
      <w:r w:rsidRPr="006D0AFC">
        <w:rPr>
          <w:rFonts w:ascii="Calibri" w:hAnsi="Calibri" w:cs="Calibri"/>
          <w:sz w:val="22"/>
          <w:szCs w:val="22"/>
        </w:rPr>
        <w:t>mener à bien les activités demandées par les Parties contractantes, et de promouvoir leur bien-être général. Ce scénario fait également apparaître une allocation en 2028 pour couvrir le coût des prestations de services associées à la COP16 (interprétation, traduction, rédaction de rapports et autres services de soutien).</w:t>
      </w:r>
    </w:p>
    <w:p w14:paraId="52CF864E" w14:textId="77777777" w:rsidR="00F76419" w:rsidRDefault="00F76419" w:rsidP="009C676D">
      <w:pPr>
        <w:pStyle w:val="MGfulltext"/>
        <w:spacing w:after="0"/>
        <w:ind w:left="426" w:hanging="426"/>
        <w:rPr>
          <w:rFonts w:ascii="Calibri" w:eastAsia="Batang" w:hAnsi="Calibri" w:cs="Calibri"/>
          <w:sz w:val="22"/>
          <w:szCs w:val="22"/>
        </w:rPr>
      </w:pPr>
    </w:p>
    <w:p w14:paraId="7E603EFD" w14:textId="02A2B3E6" w:rsidR="00F76419" w:rsidRDefault="00F76419" w:rsidP="009C676D">
      <w:pPr>
        <w:pStyle w:val="ListParagraph"/>
        <w:spacing w:after="0" w:line="240" w:lineRule="auto"/>
        <w:ind w:left="426" w:hanging="426"/>
        <w:rPr>
          <w:rFonts w:ascii="Calibri" w:hAnsi="Calibri" w:cs="Calibri"/>
          <w:iCs/>
          <w:color w:val="000000" w:themeColor="text1"/>
        </w:rPr>
      </w:pPr>
      <w:r>
        <w:rPr>
          <w:rFonts w:ascii="Calibri" w:hAnsi="Calibri"/>
          <w:color w:val="000000" w:themeColor="text1"/>
        </w:rPr>
        <w:t>8.</w:t>
      </w:r>
      <w:r>
        <w:rPr>
          <w:rFonts w:ascii="Calibri" w:hAnsi="Calibri"/>
          <w:color w:val="000000" w:themeColor="text1"/>
        </w:rPr>
        <w:tab/>
        <w:t>Tous les scénarios présupposent l</w:t>
      </w:r>
      <w:r w:rsidR="00212CE8">
        <w:rPr>
          <w:rFonts w:ascii="Calibri" w:hAnsi="Calibri"/>
          <w:color w:val="000000" w:themeColor="text1"/>
        </w:rPr>
        <w:t>’</w:t>
      </w:r>
      <w:r>
        <w:rPr>
          <w:rFonts w:ascii="Calibri" w:hAnsi="Calibri"/>
          <w:color w:val="000000" w:themeColor="text1"/>
        </w:rPr>
        <w:t>approbation de l</w:t>
      </w:r>
      <w:r w:rsidR="00212CE8">
        <w:rPr>
          <w:rFonts w:ascii="Calibri" w:hAnsi="Calibri"/>
          <w:color w:val="000000" w:themeColor="text1"/>
        </w:rPr>
        <w:t>’</w:t>
      </w:r>
      <w:r>
        <w:rPr>
          <w:rFonts w:ascii="Calibri" w:hAnsi="Calibri"/>
          <w:color w:val="000000" w:themeColor="text1"/>
        </w:rPr>
        <w:t>utilisation de l</w:t>
      </w:r>
      <w:r w:rsidR="00212CE8">
        <w:rPr>
          <w:rFonts w:ascii="Calibri" w:hAnsi="Calibri"/>
          <w:color w:val="000000" w:themeColor="text1"/>
        </w:rPr>
        <w:t>’</w:t>
      </w:r>
      <w:r>
        <w:rPr>
          <w:rFonts w:ascii="Calibri" w:hAnsi="Calibri"/>
          <w:color w:val="000000" w:themeColor="text1"/>
        </w:rPr>
        <w:t xml:space="preserve">excédent de 2024 pour couvrir les provisions pour contributions impayées. </w:t>
      </w:r>
    </w:p>
    <w:p w14:paraId="6B7663D0" w14:textId="77777777" w:rsidR="005557D3" w:rsidRDefault="005557D3" w:rsidP="000A2BFA">
      <w:pPr>
        <w:spacing w:after="0" w:line="240" w:lineRule="auto"/>
        <w:rPr>
          <w:rFonts w:ascii="Calibri" w:hAnsi="Calibri" w:cs="Calibri"/>
          <w:b/>
          <w:bCs/>
        </w:rPr>
      </w:pPr>
    </w:p>
    <w:p w14:paraId="446A7B53" w14:textId="3A101F58" w:rsidR="00C303CD" w:rsidRPr="00E51FD3" w:rsidRDefault="001513A5" w:rsidP="000A2BFA">
      <w:pPr>
        <w:spacing w:after="0" w:line="240" w:lineRule="auto"/>
        <w:rPr>
          <w:rFonts w:ascii="Calibri" w:hAnsi="Calibri" w:cs="Calibri"/>
          <w:b/>
          <w:bCs/>
        </w:rPr>
      </w:pPr>
      <w:r>
        <w:rPr>
          <w:rFonts w:ascii="Calibri" w:hAnsi="Calibri"/>
          <w:b/>
        </w:rPr>
        <w:t>Les augmentations proposées dans les scénarios concernent les domaines suivants :</w:t>
      </w:r>
    </w:p>
    <w:p w14:paraId="6F23CE60" w14:textId="77777777" w:rsidR="00447123" w:rsidRPr="00E51FD3" w:rsidRDefault="00447123" w:rsidP="000A2BFA">
      <w:pPr>
        <w:spacing w:after="0" w:line="240" w:lineRule="auto"/>
        <w:rPr>
          <w:rFonts w:ascii="Calibri" w:hAnsi="Calibri" w:cs="Calibri"/>
        </w:rPr>
      </w:pPr>
    </w:p>
    <w:p w14:paraId="1E210621" w14:textId="376404E7" w:rsidR="00C303CD" w:rsidRPr="0023414E" w:rsidRDefault="00447123" w:rsidP="000A2BFA">
      <w:pPr>
        <w:spacing w:after="0" w:line="240" w:lineRule="auto"/>
        <w:ind w:left="426" w:hanging="426"/>
        <w:rPr>
          <w:rFonts w:ascii="Calibri" w:hAnsi="Calibri" w:cs="Calibri"/>
        </w:rPr>
      </w:pPr>
      <w:r>
        <w:rPr>
          <w:rFonts w:ascii="Calibri" w:hAnsi="Calibri"/>
          <w:u w:val="single"/>
        </w:rPr>
        <w:t xml:space="preserve">Renforcement des capacités du Secrétariat à recruter et </w:t>
      </w:r>
      <w:r w:rsidR="00AC35BE">
        <w:rPr>
          <w:rFonts w:ascii="Calibri" w:hAnsi="Calibri"/>
          <w:u w:val="single"/>
        </w:rPr>
        <w:t>retenir</w:t>
      </w:r>
      <w:r>
        <w:rPr>
          <w:rFonts w:ascii="Calibri" w:hAnsi="Calibri"/>
          <w:u w:val="single"/>
        </w:rPr>
        <w:t xml:space="preserve"> un personnel qualifié</w:t>
      </w:r>
    </w:p>
    <w:p w14:paraId="1E47B7A9" w14:textId="77777777" w:rsidR="00C303CD" w:rsidRPr="00E51FD3" w:rsidRDefault="00C303CD" w:rsidP="000A2BFA">
      <w:pPr>
        <w:spacing w:after="0" w:line="240" w:lineRule="auto"/>
        <w:rPr>
          <w:rFonts w:ascii="Calibri" w:hAnsi="Calibri" w:cs="Calibri"/>
        </w:rPr>
      </w:pPr>
    </w:p>
    <w:p w14:paraId="618EE628" w14:textId="332D251B" w:rsidR="008A5CCC" w:rsidRPr="00844ED2" w:rsidRDefault="009C676D" w:rsidP="000A2BFA">
      <w:pPr>
        <w:spacing w:after="0" w:line="240" w:lineRule="auto"/>
        <w:ind w:left="426" w:hanging="426"/>
        <w:rPr>
          <w:rFonts w:ascii="Calibri" w:hAnsi="Calibri" w:cs="Calibri"/>
        </w:rPr>
      </w:pPr>
      <w:r>
        <w:rPr>
          <w:rFonts w:ascii="Calibri" w:hAnsi="Calibri"/>
        </w:rPr>
        <w:t>9.</w:t>
      </w:r>
      <w:r>
        <w:rPr>
          <w:rFonts w:ascii="Calibri" w:hAnsi="Calibri"/>
        </w:rPr>
        <w:tab/>
        <w:t>Le Groupe de travail sur le renforcement institutionnel a déterminé que le recrutement du personnel et la réduction du taux de renouvellement du personnel constituaient des défis institutionnels majeurs. Selon les résultats du Groupe de travail présentés dans le document SC62 Doc.11, la rémunération du personnel du Secrétariat n</w:t>
      </w:r>
      <w:r w:rsidR="00212CE8">
        <w:rPr>
          <w:rFonts w:ascii="Calibri" w:hAnsi="Calibri"/>
        </w:rPr>
        <w:t>’</w:t>
      </w:r>
      <w:r>
        <w:rPr>
          <w:rFonts w:ascii="Calibri" w:hAnsi="Calibri"/>
        </w:rPr>
        <w:t>est pas conforme au cadre de rémunération de l</w:t>
      </w:r>
      <w:r w:rsidR="00212CE8">
        <w:rPr>
          <w:rFonts w:ascii="Calibri" w:hAnsi="Calibri"/>
        </w:rPr>
        <w:t>’</w:t>
      </w:r>
      <w:r>
        <w:rPr>
          <w:rFonts w:ascii="Calibri" w:hAnsi="Calibri"/>
        </w:rPr>
        <w:t>UICN, et en conséquence n</w:t>
      </w:r>
      <w:r w:rsidR="00212CE8">
        <w:rPr>
          <w:rFonts w:ascii="Calibri" w:hAnsi="Calibri"/>
        </w:rPr>
        <w:t>’</w:t>
      </w:r>
      <w:r>
        <w:rPr>
          <w:rFonts w:ascii="Calibri" w:hAnsi="Calibri"/>
        </w:rPr>
        <w:t>est pas compétitive avec l</w:t>
      </w:r>
      <w:r w:rsidR="00212CE8">
        <w:rPr>
          <w:rFonts w:ascii="Calibri" w:hAnsi="Calibri"/>
        </w:rPr>
        <w:t>’</w:t>
      </w:r>
      <w:r>
        <w:rPr>
          <w:rFonts w:ascii="Calibri" w:hAnsi="Calibri"/>
        </w:rPr>
        <w:t>UICN et le système des Nations Unies. Une augmentation du budget administratif permettrait de remédier au manque de compétitivité de la rémunération du personnel et de contribuer :</w:t>
      </w:r>
    </w:p>
    <w:p w14:paraId="709ED6EB" w14:textId="77777777" w:rsidR="00427CE2" w:rsidRPr="00844ED2" w:rsidRDefault="00427CE2" w:rsidP="000A2BFA">
      <w:pPr>
        <w:spacing w:after="0" w:line="240" w:lineRule="auto"/>
        <w:rPr>
          <w:rFonts w:ascii="Calibri" w:hAnsi="Calibri" w:cs="Calibri"/>
        </w:rPr>
      </w:pPr>
    </w:p>
    <w:p w14:paraId="0CFC3BC5" w14:textId="10E042E9" w:rsidR="000B142B" w:rsidRPr="00844ED2" w:rsidRDefault="00275FEF" w:rsidP="000A2BFA">
      <w:pPr>
        <w:pStyle w:val="ListParagraph"/>
        <w:numPr>
          <w:ilvl w:val="1"/>
          <w:numId w:val="8"/>
        </w:numPr>
        <w:spacing w:after="0" w:line="240" w:lineRule="auto"/>
        <w:ind w:left="851" w:hanging="425"/>
        <w:contextualSpacing w:val="0"/>
        <w:rPr>
          <w:rFonts w:ascii="Calibri" w:hAnsi="Calibri" w:cs="Calibri"/>
        </w:rPr>
      </w:pPr>
      <w:r>
        <w:rPr>
          <w:rFonts w:ascii="Calibri" w:hAnsi="Calibri"/>
        </w:rPr>
        <w:t>à assurer l</w:t>
      </w:r>
      <w:r w:rsidR="00212CE8">
        <w:rPr>
          <w:rFonts w:ascii="Calibri" w:hAnsi="Calibri"/>
        </w:rPr>
        <w:t>’</w:t>
      </w:r>
      <w:r>
        <w:rPr>
          <w:rFonts w:ascii="Calibri" w:hAnsi="Calibri"/>
        </w:rPr>
        <w:t>équité pour le personnel du Secrétariat dans le cadre de rémunération de l</w:t>
      </w:r>
      <w:r w:rsidR="00212CE8">
        <w:rPr>
          <w:rFonts w:ascii="Calibri" w:hAnsi="Calibri"/>
        </w:rPr>
        <w:t>’</w:t>
      </w:r>
      <w:r>
        <w:rPr>
          <w:rFonts w:ascii="Calibri" w:hAnsi="Calibri"/>
        </w:rPr>
        <w:t>UICN et à accroître la compétitivité avec les organisations du système des Nations Unies ; et</w:t>
      </w:r>
    </w:p>
    <w:p w14:paraId="438DB395" w14:textId="1C4C4BF3" w:rsidR="000B142B" w:rsidRPr="00844ED2" w:rsidRDefault="00275FEF" w:rsidP="000A2BFA">
      <w:pPr>
        <w:pStyle w:val="ListParagraph"/>
        <w:numPr>
          <w:ilvl w:val="1"/>
          <w:numId w:val="8"/>
        </w:numPr>
        <w:spacing w:after="0" w:line="240" w:lineRule="auto"/>
        <w:ind w:left="851" w:hanging="425"/>
        <w:contextualSpacing w:val="0"/>
        <w:rPr>
          <w:rFonts w:ascii="Calibri" w:hAnsi="Calibri" w:cs="Calibri"/>
        </w:rPr>
      </w:pPr>
      <w:r>
        <w:rPr>
          <w:rFonts w:ascii="Calibri" w:hAnsi="Calibri"/>
        </w:rPr>
        <w:t xml:space="preserve">à couvrir les ajustements en matière de coût du travail, la performance et les promotions, conformément aux politiques des </w:t>
      </w:r>
      <w:r w:rsidR="00914CD2">
        <w:rPr>
          <w:rFonts w:ascii="Calibri" w:hAnsi="Calibri"/>
        </w:rPr>
        <w:t>RH</w:t>
      </w:r>
      <w:r>
        <w:rPr>
          <w:rFonts w:ascii="Calibri" w:hAnsi="Calibri"/>
        </w:rPr>
        <w:t xml:space="preserve"> de l</w:t>
      </w:r>
      <w:r w:rsidR="00212CE8">
        <w:rPr>
          <w:rFonts w:ascii="Calibri" w:hAnsi="Calibri"/>
        </w:rPr>
        <w:t>’</w:t>
      </w:r>
      <w:r>
        <w:rPr>
          <w:rFonts w:ascii="Calibri" w:hAnsi="Calibri"/>
        </w:rPr>
        <w:t>UICN relatives à la rémunération globale.</w:t>
      </w:r>
    </w:p>
    <w:p w14:paraId="26847818" w14:textId="77777777" w:rsidR="009C676D" w:rsidRPr="00844ED2" w:rsidRDefault="009C676D" w:rsidP="009C676D">
      <w:pPr>
        <w:spacing w:after="0" w:line="240" w:lineRule="auto"/>
        <w:rPr>
          <w:rFonts w:ascii="Calibri" w:hAnsi="Calibri" w:cs="Calibri"/>
        </w:rPr>
      </w:pPr>
    </w:p>
    <w:p w14:paraId="5881C6C0" w14:textId="77CD69CA" w:rsidR="009C676D" w:rsidRPr="009C676D" w:rsidRDefault="009C676D" w:rsidP="009C676D">
      <w:pPr>
        <w:spacing w:after="0" w:line="240" w:lineRule="auto"/>
        <w:ind w:left="426" w:hanging="426"/>
        <w:rPr>
          <w:rFonts w:ascii="Calibri" w:hAnsi="Calibri" w:cs="Calibri"/>
        </w:rPr>
      </w:pPr>
      <w:r>
        <w:rPr>
          <w:rFonts w:ascii="Calibri" w:hAnsi="Calibri"/>
        </w:rPr>
        <w:t>10.</w:t>
      </w:r>
      <w:r>
        <w:rPr>
          <w:rFonts w:ascii="Calibri" w:hAnsi="Calibri"/>
        </w:rPr>
        <w:tab/>
        <w:t>Le budget pour 2019-2021 approuvé par la COP13 prévoyait une provision pour la mise en œuvre de ces ajustements. Selon le Secrétariat, il est important d</w:t>
      </w:r>
      <w:r w:rsidR="00212CE8">
        <w:rPr>
          <w:rFonts w:ascii="Calibri" w:hAnsi="Calibri"/>
        </w:rPr>
        <w:t>’</w:t>
      </w:r>
      <w:r>
        <w:rPr>
          <w:rFonts w:ascii="Calibri" w:hAnsi="Calibri"/>
        </w:rPr>
        <w:t>intégrer ces ajustements.</w:t>
      </w:r>
    </w:p>
    <w:p w14:paraId="4BF811AD" w14:textId="77777777" w:rsidR="005E14F5" w:rsidRPr="00844ED2" w:rsidRDefault="005E14F5" w:rsidP="000A2BFA">
      <w:pPr>
        <w:pStyle w:val="ListParagraph"/>
        <w:spacing w:after="0" w:line="240" w:lineRule="auto"/>
        <w:ind w:left="1440"/>
        <w:contextualSpacing w:val="0"/>
        <w:rPr>
          <w:rFonts w:ascii="Calibri" w:hAnsi="Calibri" w:cs="Calibri"/>
        </w:rPr>
      </w:pPr>
    </w:p>
    <w:p w14:paraId="01D4E286" w14:textId="70EC1095" w:rsidR="00447123" w:rsidRPr="00844ED2" w:rsidRDefault="00447123" w:rsidP="000A2BFA">
      <w:pPr>
        <w:spacing w:after="0" w:line="240" w:lineRule="auto"/>
        <w:rPr>
          <w:rFonts w:ascii="Calibri" w:hAnsi="Calibri" w:cs="Calibri"/>
        </w:rPr>
      </w:pPr>
      <w:r>
        <w:rPr>
          <w:rFonts w:ascii="Calibri" w:hAnsi="Calibri"/>
          <w:u w:val="single"/>
        </w:rPr>
        <w:t>Exécution d</w:t>
      </w:r>
      <w:r w:rsidR="00212CE8">
        <w:rPr>
          <w:rFonts w:ascii="Calibri" w:hAnsi="Calibri"/>
          <w:u w:val="single"/>
        </w:rPr>
        <w:t>’</w:t>
      </w:r>
      <w:r>
        <w:rPr>
          <w:rFonts w:ascii="Calibri" w:hAnsi="Calibri"/>
          <w:u w:val="single"/>
        </w:rPr>
        <w:t>un volume croissant de produits et de tâches demandés par les Parties contractantes</w:t>
      </w:r>
    </w:p>
    <w:p w14:paraId="7164FBA9" w14:textId="77777777" w:rsidR="007819B2" w:rsidRPr="00844ED2" w:rsidRDefault="007819B2" w:rsidP="007819B2">
      <w:pPr>
        <w:spacing w:after="0" w:line="240" w:lineRule="auto"/>
        <w:rPr>
          <w:rFonts w:ascii="Calibri" w:hAnsi="Calibri" w:cs="Calibri"/>
        </w:rPr>
      </w:pPr>
    </w:p>
    <w:p w14:paraId="4A177615" w14:textId="15844EBB" w:rsidR="007819B2" w:rsidRPr="00E51FD3" w:rsidRDefault="002C0F29" w:rsidP="007819B2">
      <w:pPr>
        <w:spacing w:after="0" w:line="240" w:lineRule="auto"/>
        <w:ind w:left="426" w:hanging="426"/>
        <w:rPr>
          <w:rFonts w:ascii="Calibri" w:hAnsi="Calibri" w:cs="Calibri"/>
        </w:rPr>
      </w:pPr>
      <w:r>
        <w:rPr>
          <w:rFonts w:ascii="Calibri" w:hAnsi="Calibri"/>
        </w:rPr>
        <w:t>11.</w:t>
      </w:r>
      <w:r>
        <w:rPr>
          <w:rFonts w:ascii="Calibri" w:hAnsi="Calibri"/>
        </w:rPr>
        <w:tab/>
        <w:t>Les Parties contractantes ont demandé que le Secrétariat renforce la communication en multipliant ses activités d</w:t>
      </w:r>
      <w:r w:rsidR="00212CE8">
        <w:rPr>
          <w:rFonts w:ascii="Calibri" w:hAnsi="Calibri"/>
        </w:rPr>
        <w:t>’</w:t>
      </w:r>
      <w:r>
        <w:rPr>
          <w:rFonts w:ascii="Calibri" w:hAnsi="Calibri"/>
        </w:rPr>
        <w:t>information et de visibilité, et en soutenant une mise en œuvre plus efficace de la CESP (communication, renforcement des capacités, éducation, participation et plaidoyer). Pour répondre à ce besoin, le Secrétariat propose de créer un nouveau poste de chargé/e de communications, qui contribuera à assurer :</w:t>
      </w:r>
    </w:p>
    <w:p w14:paraId="0119EEDB" w14:textId="77777777" w:rsidR="007819B2" w:rsidRPr="00E51FD3" w:rsidRDefault="007819B2" w:rsidP="007819B2">
      <w:pPr>
        <w:spacing w:after="0" w:line="240" w:lineRule="auto"/>
        <w:rPr>
          <w:rFonts w:ascii="Calibri" w:hAnsi="Calibri" w:cs="Calibri"/>
        </w:rPr>
      </w:pPr>
    </w:p>
    <w:p w14:paraId="5AECF843" w14:textId="39EE6423" w:rsidR="007819B2" w:rsidRPr="00E51FD3" w:rsidRDefault="007819B2" w:rsidP="007819B2">
      <w:pPr>
        <w:pStyle w:val="ListParagraph"/>
        <w:numPr>
          <w:ilvl w:val="2"/>
          <w:numId w:val="10"/>
        </w:numPr>
        <w:spacing w:after="0" w:line="240" w:lineRule="auto"/>
        <w:ind w:left="851" w:hanging="425"/>
        <w:contextualSpacing w:val="0"/>
        <w:rPr>
          <w:rFonts w:ascii="Calibri" w:hAnsi="Calibri" w:cs="Calibri"/>
        </w:rPr>
      </w:pPr>
      <w:r>
        <w:rPr>
          <w:rFonts w:ascii="Calibri" w:hAnsi="Calibri"/>
        </w:rPr>
        <w:t>la création de contenus sur les zones humides et la Convention, en augmentant la fréquence et la portée des articles d</w:t>
      </w:r>
      <w:r w:rsidR="00212CE8">
        <w:rPr>
          <w:rFonts w:ascii="Calibri" w:hAnsi="Calibri"/>
        </w:rPr>
        <w:t>’</w:t>
      </w:r>
      <w:r>
        <w:rPr>
          <w:rFonts w:ascii="Calibri" w:hAnsi="Calibri"/>
        </w:rPr>
        <w:t>actualité, des documents de réflexion, des rapports et des notes d</w:t>
      </w:r>
      <w:r w:rsidR="00212CE8">
        <w:rPr>
          <w:rFonts w:ascii="Calibri" w:hAnsi="Calibri"/>
        </w:rPr>
        <w:t>’</w:t>
      </w:r>
      <w:r>
        <w:rPr>
          <w:rFonts w:ascii="Calibri" w:hAnsi="Calibri"/>
        </w:rPr>
        <w:t>information ;</w:t>
      </w:r>
    </w:p>
    <w:p w14:paraId="4FFCFEBA" w14:textId="77777777" w:rsidR="007819B2" w:rsidRPr="00E51FD3" w:rsidRDefault="007819B2" w:rsidP="007819B2">
      <w:pPr>
        <w:pStyle w:val="ListParagraph"/>
        <w:numPr>
          <w:ilvl w:val="2"/>
          <w:numId w:val="10"/>
        </w:numPr>
        <w:spacing w:after="0" w:line="240" w:lineRule="auto"/>
        <w:ind w:left="851" w:hanging="425"/>
        <w:contextualSpacing w:val="0"/>
        <w:rPr>
          <w:rFonts w:ascii="Calibri" w:hAnsi="Calibri" w:cs="Calibri"/>
        </w:rPr>
      </w:pPr>
      <w:r>
        <w:rPr>
          <w:rFonts w:ascii="Calibri" w:hAnsi="Calibri"/>
        </w:rPr>
        <w:t>la mise en œuvre de la CESP (au niveau mondial et en appui aux Parties contractantes) ;</w:t>
      </w:r>
    </w:p>
    <w:p w14:paraId="37C50973" w14:textId="35CA11D7" w:rsidR="007819B2" w:rsidRPr="00E51FD3" w:rsidRDefault="007819B2" w:rsidP="007819B2">
      <w:pPr>
        <w:pStyle w:val="ListParagraph"/>
        <w:numPr>
          <w:ilvl w:val="2"/>
          <w:numId w:val="10"/>
        </w:numPr>
        <w:spacing w:after="0" w:line="240" w:lineRule="auto"/>
        <w:ind w:left="851" w:hanging="425"/>
        <w:contextualSpacing w:val="0"/>
        <w:rPr>
          <w:rFonts w:ascii="Calibri" w:hAnsi="Calibri" w:cs="Calibri"/>
        </w:rPr>
      </w:pPr>
      <w:r>
        <w:rPr>
          <w:rFonts w:ascii="Calibri" w:hAnsi="Calibri"/>
        </w:rPr>
        <w:t>des articles d</w:t>
      </w:r>
      <w:r w:rsidR="00212CE8">
        <w:rPr>
          <w:rFonts w:ascii="Calibri" w:hAnsi="Calibri"/>
        </w:rPr>
        <w:t>’</w:t>
      </w:r>
      <w:r>
        <w:rPr>
          <w:rFonts w:ascii="Calibri" w:hAnsi="Calibri"/>
        </w:rPr>
        <w:t>information et la diffusion de messages destinés aux médias ; et</w:t>
      </w:r>
    </w:p>
    <w:p w14:paraId="1D085F7D" w14:textId="77777777" w:rsidR="007819B2" w:rsidRPr="00E51FD3" w:rsidRDefault="007819B2" w:rsidP="007819B2">
      <w:pPr>
        <w:pStyle w:val="ListParagraph"/>
        <w:numPr>
          <w:ilvl w:val="2"/>
          <w:numId w:val="10"/>
        </w:numPr>
        <w:spacing w:after="0" w:line="240" w:lineRule="auto"/>
        <w:ind w:left="851" w:hanging="425"/>
        <w:contextualSpacing w:val="0"/>
        <w:rPr>
          <w:rFonts w:ascii="Calibri" w:hAnsi="Calibri" w:cs="Calibri"/>
        </w:rPr>
      </w:pPr>
      <w:r>
        <w:rPr>
          <w:rFonts w:ascii="Calibri" w:hAnsi="Calibri"/>
        </w:rPr>
        <w:t>la promotion et la diffusion des produits du GEST.</w:t>
      </w:r>
    </w:p>
    <w:p w14:paraId="48255363" w14:textId="77777777" w:rsidR="007819B2" w:rsidRDefault="007819B2" w:rsidP="000A2BFA">
      <w:pPr>
        <w:spacing w:after="0" w:line="240" w:lineRule="auto"/>
        <w:ind w:left="426" w:hanging="426"/>
        <w:rPr>
          <w:rFonts w:ascii="Calibri" w:hAnsi="Calibri" w:cs="Calibri"/>
        </w:rPr>
      </w:pPr>
    </w:p>
    <w:p w14:paraId="14BA5009" w14:textId="72ED04D9" w:rsidR="00343374" w:rsidRPr="00E51FD3" w:rsidRDefault="002C0F29" w:rsidP="000A2BFA">
      <w:pPr>
        <w:spacing w:after="0" w:line="240" w:lineRule="auto"/>
        <w:ind w:left="426" w:hanging="426"/>
        <w:rPr>
          <w:rFonts w:ascii="Calibri" w:hAnsi="Calibri" w:cs="Calibri"/>
        </w:rPr>
      </w:pPr>
      <w:r>
        <w:rPr>
          <w:rFonts w:ascii="Calibri" w:hAnsi="Calibri"/>
        </w:rPr>
        <w:t>12.</w:t>
      </w:r>
      <w:r>
        <w:rPr>
          <w:rFonts w:ascii="Calibri" w:hAnsi="Calibri"/>
        </w:rPr>
        <w:tab/>
        <w:t>Les Parties contractantes ont exprimé le besoin de renforcer les capacités du Secrétariat en vue de les soutenir dans la réalisation des Rapports nationaux (RN), des mises à jour des Fiches descriptives Ramsar (FDR) et de l</w:t>
      </w:r>
      <w:r w:rsidR="00212CE8">
        <w:rPr>
          <w:rFonts w:ascii="Calibri" w:hAnsi="Calibri"/>
        </w:rPr>
        <w:t>’</w:t>
      </w:r>
      <w:r>
        <w:rPr>
          <w:rFonts w:ascii="Calibri" w:hAnsi="Calibri"/>
        </w:rPr>
        <w:t>utilisation de ces données pour améliorer l</w:t>
      </w:r>
      <w:r w:rsidR="00212CE8">
        <w:rPr>
          <w:rFonts w:ascii="Calibri" w:hAnsi="Calibri"/>
        </w:rPr>
        <w:t>’</w:t>
      </w:r>
      <w:r>
        <w:rPr>
          <w:rFonts w:ascii="Calibri" w:hAnsi="Calibri"/>
        </w:rPr>
        <w:t>application de la Convention. Pour répondre à ce besoin, le Secrétariat propose la création d</w:t>
      </w:r>
      <w:r w:rsidR="00212CE8">
        <w:rPr>
          <w:rFonts w:ascii="Calibri" w:hAnsi="Calibri"/>
        </w:rPr>
        <w:t>’</w:t>
      </w:r>
      <w:r>
        <w:rPr>
          <w:rFonts w:ascii="Calibri" w:hAnsi="Calibri"/>
        </w:rPr>
        <w:t>un nouveau poste d</w:t>
      </w:r>
      <w:r w:rsidR="00212CE8">
        <w:rPr>
          <w:rFonts w:ascii="Calibri" w:hAnsi="Calibri"/>
        </w:rPr>
        <w:t>’</w:t>
      </w:r>
      <w:r w:rsidR="00BB515D">
        <w:rPr>
          <w:rFonts w:ascii="Calibri" w:hAnsi="Calibri"/>
        </w:rPr>
        <w:t>a</w:t>
      </w:r>
      <w:r>
        <w:rPr>
          <w:rFonts w:ascii="Calibri" w:hAnsi="Calibri"/>
        </w:rPr>
        <w:t xml:space="preserve">nalyste des données / </w:t>
      </w:r>
      <w:r w:rsidR="00BB515D">
        <w:rPr>
          <w:rFonts w:ascii="Calibri" w:hAnsi="Calibri"/>
        </w:rPr>
        <w:t>r</w:t>
      </w:r>
      <w:r>
        <w:rPr>
          <w:rFonts w:ascii="Calibri" w:hAnsi="Calibri"/>
        </w:rPr>
        <w:t xml:space="preserve">esponsable des rapports qui : </w:t>
      </w:r>
    </w:p>
    <w:p w14:paraId="6D64F21B" w14:textId="06FF23EC" w:rsidR="00343374" w:rsidRPr="00E51FD3" w:rsidRDefault="00343374" w:rsidP="000A2BFA">
      <w:pPr>
        <w:spacing w:after="0" w:line="240" w:lineRule="auto"/>
        <w:rPr>
          <w:rFonts w:ascii="Calibri" w:eastAsia="Times New Roman" w:hAnsi="Calibri" w:cs="Calibri"/>
          <w:b/>
          <w:bCs/>
        </w:rPr>
      </w:pPr>
    </w:p>
    <w:p w14:paraId="54A8E560" w14:textId="52D0BB46" w:rsidR="00343374" w:rsidRPr="00E51FD3" w:rsidRDefault="00B90198" w:rsidP="000A2BFA">
      <w:pPr>
        <w:pStyle w:val="ListParagraph"/>
        <w:numPr>
          <w:ilvl w:val="1"/>
          <w:numId w:val="8"/>
        </w:numPr>
        <w:spacing w:after="0" w:line="240" w:lineRule="auto"/>
        <w:ind w:left="851" w:hanging="425"/>
        <w:contextualSpacing w:val="0"/>
        <w:rPr>
          <w:rFonts w:ascii="Calibri" w:hAnsi="Calibri" w:cs="Calibri"/>
        </w:rPr>
      </w:pPr>
      <w:r>
        <w:rPr>
          <w:rFonts w:ascii="Calibri" w:hAnsi="Calibri"/>
        </w:rPr>
        <w:t>apportera un appui renforcé aux Parties contractantes en matière de rapports (RN et mises à jour des FDR) par des activités de formation et des orientations ;</w:t>
      </w:r>
    </w:p>
    <w:p w14:paraId="6E747F8B" w14:textId="53A60AF6" w:rsidR="00343374" w:rsidRPr="00E51FD3" w:rsidRDefault="00B90198" w:rsidP="000A2BFA">
      <w:pPr>
        <w:pStyle w:val="ListParagraph"/>
        <w:numPr>
          <w:ilvl w:val="1"/>
          <w:numId w:val="8"/>
        </w:numPr>
        <w:spacing w:after="0" w:line="240" w:lineRule="auto"/>
        <w:ind w:left="851" w:hanging="425"/>
        <w:contextualSpacing w:val="0"/>
        <w:rPr>
          <w:rFonts w:ascii="Calibri" w:hAnsi="Calibri" w:cs="Calibri"/>
        </w:rPr>
      </w:pPr>
      <w:r>
        <w:rPr>
          <w:rFonts w:ascii="Calibri" w:hAnsi="Calibri"/>
        </w:rPr>
        <w:t>empêchera le retard dans l</w:t>
      </w:r>
      <w:r w:rsidR="00212CE8">
        <w:rPr>
          <w:rFonts w:ascii="Calibri" w:hAnsi="Calibri"/>
        </w:rPr>
        <w:t>’</w:t>
      </w:r>
      <w:r>
        <w:rPr>
          <w:rFonts w:ascii="Calibri" w:hAnsi="Calibri"/>
        </w:rPr>
        <w:t>examen des FDR par le Secrétariat ;</w:t>
      </w:r>
    </w:p>
    <w:p w14:paraId="064DF860" w14:textId="15841E23" w:rsidR="00343374" w:rsidRPr="00E51FD3" w:rsidRDefault="00B90198" w:rsidP="000A2BFA">
      <w:pPr>
        <w:pStyle w:val="ListParagraph"/>
        <w:numPr>
          <w:ilvl w:val="1"/>
          <w:numId w:val="8"/>
        </w:numPr>
        <w:spacing w:after="0" w:line="240" w:lineRule="auto"/>
        <w:ind w:left="851" w:hanging="425"/>
        <w:contextualSpacing w:val="0"/>
        <w:rPr>
          <w:rFonts w:ascii="Calibri" w:hAnsi="Calibri" w:cs="Calibri"/>
        </w:rPr>
      </w:pPr>
      <w:r>
        <w:rPr>
          <w:rFonts w:ascii="Calibri" w:hAnsi="Calibri"/>
        </w:rPr>
        <w:t>renforcera les rapports sur les progrès de l</w:t>
      </w:r>
      <w:r w:rsidR="00212CE8">
        <w:rPr>
          <w:rFonts w:ascii="Calibri" w:hAnsi="Calibri"/>
        </w:rPr>
        <w:t>’</w:t>
      </w:r>
      <w:r>
        <w:rPr>
          <w:rFonts w:ascii="Calibri" w:hAnsi="Calibri"/>
        </w:rPr>
        <w:t>application de la Convention sur la base des RN et des mises à jour des FDR ;</w:t>
      </w:r>
    </w:p>
    <w:p w14:paraId="783E3E88" w14:textId="0D3FD757" w:rsidR="00343374" w:rsidRPr="00E51FD3" w:rsidRDefault="00B90198" w:rsidP="000A2BFA">
      <w:pPr>
        <w:pStyle w:val="ListParagraph"/>
        <w:numPr>
          <w:ilvl w:val="1"/>
          <w:numId w:val="8"/>
        </w:numPr>
        <w:spacing w:after="0" w:line="240" w:lineRule="auto"/>
        <w:ind w:left="851" w:hanging="425"/>
        <w:rPr>
          <w:rFonts w:ascii="Calibri" w:hAnsi="Calibri" w:cs="Calibri"/>
        </w:rPr>
      </w:pPr>
      <w:r>
        <w:rPr>
          <w:rFonts w:ascii="Calibri" w:hAnsi="Calibri"/>
        </w:rPr>
        <w:t>renforcera l</w:t>
      </w:r>
      <w:r w:rsidR="00212CE8">
        <w:rPr>
          <w:rFonts w:ascii="Calibri" w:hAnsi="Calibri"/>
        </w:rPr>
        <w:t>’</w:t>
      </w:r>
      <w:r>
        <w:rPr>
          <w:rFonts w:ascii="Calibri" w:hAnsi="Calibri"/>
        </w:rPr>
        <w:t>utilité des RN et des mises à jour des FDR pour d</w:t>
      </w:r>
      <w:r w:rsidR="00212CE8">
        <w:rPr>
          <w:rFonts w:ascii="Calibri" w:hAnsi="Calibri"/>
        </w:rPr>
        <w:t>’</w:t>
      </w:r>
      <w:r>
        <w:rPr>
          <w:rFonts w:ascii="Calibri" w:hAnsi="Calibri"/>
        </w:rPr>
        <w:t>autres applications, y compris les travaux entrepris par le Groupe d</w:t>
      </w:r>
      <w:r w:rsidR="00212CE8">
        <w:rPr>
          <w:rFonts w:ascii="Calibri" w:hAnsi="Calibri"/>
        </w:rPr>
        <w:t>’</w:t>
      </w:r>
      <w:r>
        <w:rPr>
          <w:rFonts w:ascii="Calibri" w:hAnsi="Calibri"/>
        </w:rPr>
        <w:t>évaluation scientifique et technique ; </w:t>
      </w:r>
    </w:p>
    <w:p w14:paraId="4D4FC597" w14:textId="11B18CB6" w:rsidR="00FF1100" w:rsidRPr="00E51FD3" w:rsidRDefault="00B90198" w:rsidP="000A2BFA">
      <w:pPr>
        <w:pStyle w:val="ListParagraph"/>
        <w:numPr>
          <w:ilvl w:val="1"/>
          <w:numId w:val="8"/>
        </w:numPr>
        <w:spacing w:after="0" w:line="240" w:lineRule="auto"/>
        <w:ind w:left="851" w:hanging="425"/>
        <w:rPr>
          <w:rFonts w:ascii="Calibri" w:hAnsi="Calibri" w:cs="Calibri"/>
        </w:rPr>
      </w:pPr>
      <w:r>
        <w:rPr>
          <w:rFonts w:ascii="Calibri" w:hAnsi="Calibri"/>
        </w:rPr>
        <w:t>renforcera l</w:t>
      </w:r>
      <w:r w:rsidR="00212CE8">
        <w:rPr>
          <w:rFonts w:ascii="Calibri" w:hAnsi="Calibri"/>
        </w:rPr>
        <w:t>’</w:t>
      </w:r>
      <w:r>
        <w:rPr>
          <w:rFonts w:ascii="Calibri" w:hAnsi="Calibri"/>
        </w:rPr>
        <w:t>appui aux Parties contractantes en ce qui concerne les inventaires nationaux des zones humides et les rapports sur l</w:t>
      </w:r>
      <w:r w:rsidR="00212CE8">
        <w:rPr>
          <w:rFonts w:ascii="Calibri" w:hAnsi="Calibri"/>
        </w:rPr>
        <w:t>’</w:t>
      </w:r>
      <w:r>
        <w:rPr>
          <w:rFonts w:ascii="Calibri" w:hAnsi="Calibri"/>
        </w:rPr>
        <w:t>indicateur 6.6.1 de l</w:t>
      </w:r>
      <w:r w:rsidR="00212CE8">
        <w:rPr>
          <w:rFonts w:ascii="Calibri" w:hAnsi="Calibri"/>
        </w:rPr>
        <w:t>’</w:t>
      </w:r>
      <w:r>
        <w:rPr>
          <w:rFonts w:ascii="Calibri" w:hAnsi="Calibri"/>
        </w:rPr>
        <w:t>objectif 6 de développement durable ; et</w:t>
      </w:r>
    </w:p>
    <w:p w14:paraId="7FFE9E81" w14:textId="242B8C12" w:rsidR="6BB13223" w:rsidRPr="00E51FD3" w:rsidRDefault="00B90198" w:rsidP="000A2BFA">
      <w:pPr>
        <w:pStyle w:val="ListParagraph"/>
        <w:numPr>
          <w:ilvl w:val="1"/>
          <w:numId w:val="8"/>
        </w:numPr>
        <w:spacing w:after="0" w:line="240" w:lineRule="auto"/>
        <w:ind w:left="851" w:hanging="425"/>
        <w:rPr>
          <w:rFonts w:ascii="Calibri" w:hAnsi="Calibri" w:cs="Calibri"/>
        </w:rPr>
      </w:pPr>
      <w:r>
        <w:rPr>
          <w:rFonts w:ascii="Calibri" w:hAnsi="Calibri"/>
        </w:rPr>
        <w:t>renforcera l</w:t>
      </w:r>
      <w:r w:rsidR="00212CE8">
        <w:rPr>
          <w:rFonts w:ascii="Calibri" w:hAnsi="Calibri"/>
        </w:rPr>
        <w:t>’</w:t>
      </w:r>
      <w:r>
        <w:rPr>
          <w:rFonts w:ascii="Calibri" w:hAnsi="Calibri"/>
        </w:rPr>
        <w:t>efficacité du processus permettant au Secrétariat de s</w:t>
      </w:r>
      <w:r w:rsidR="00212CE8">
        <w:rPr>
          <w:rFonts w:ascii="Calibri" w:hAnsi="Calibri"/>
        </w:rPr>
        <w:t>’</w:t>
      </w:r>
      <w:r>
        <w:rPr>
          <w:rFonts w:ascii="Calibri" w:hAnsi="Calibri"/>
        </w:rPr>
        <w:t>appuyer sur les données disponibles pour servir les organes subsidiaires, les groupes de travail et la préparation de la documentation.</w:t>
      </w:r>
    </w:p>
    <w:p w14:paraId="3C5EC186" w14:textId="77777777" w:rsidR="00473CE3" w:rsidRPr="006D0AFC" w:rsidRDefault="00473CE3" w:rsidP="00473CE3">
      <w:pPr>
        <w:pStyle w:val="ListParagraph"/>
        <w:spacing w:after="0" w:line="240" w:lineRule="auto"/>
        <w:ind w:left="0"/>
        <w:rPr>
          <w:rFonts w:ascii="Calibri" w:hAnsi="Calibri" w:cs="Calibri"/>
          <w:iCs/>
          <w:color w:val="000000" w:themeColor="text1"/>
        </w:rPr>
      </w:pPr>
    </w:p>
    <w:p w14:paraId="07B82A7A" w14:textId="2C54D9E5" w:rsidR="00473CE3" w:rsidRPr="009C676D" w:rsidRDefault="00473CE3" w:rsidP="00473CE3">
      <w:pPr>
        <w:pStyle w:val="ListParagraph"/>
        <w:keepNext/>
        <w:spacing w:after="0" w:line="240" w:lineRule="auto"/>
        <w:ind w:left="0"/>
        <w:rPr>
          <w:rFonts w:ascii="Calibri" w:hAnsi="Calibri" w:cs="Calibri"/>
          <w:i/>
          <w:color w:val="000000" w:themeColor="text1"/>
        </w:rPr>
      </w:pPr>
      <w:r>
        <w:rPr>
          <w:rFonts w:ascii="Calibri" w:hAnsi="Calibri"/>
          <w:i/>
          <w:color w:val="000000" w:themeColor="text1"/>
        </w:rPr>
        <w:t>Tableau 1 : Résumé des implications des scénarios budgétaires pour 2026-2028 présentés à la COP15</w:t>
      </w:r>
    </w:p>
    <w:tbl>
      <w:tblPr>
        <w:tblStyle w:val="TableGrid"/>
        <w:tblW w:w="9067" w:type="dxa"/>
        <w:tblLayout w:type="fixed"/>
        <w:tblCellMar>
          <w:left w:w="28" w:type="dxa"/>
          <w:right w:w="28" w:type="dxa"/>
        </w:tblCellMar>
        <w:tblLook w:val="04A0" w:firstRow="1" w:lastRow="0" w:firstColumn="1" w:lastColumn="0" w:noHBand="0" w:noVBand="1"/>
      </w:tblPr>
      <w:tblGrid>
        <w:gridCol w:w="1000"/>
        <w:gridCol w:w="1344"/>
        <w:gridCol w:w="1762"/>
        <w:gridCol w:w="1205"/>
        <w:gridCol w:w="1205"/>
        <w:gridCol w:w="1206"/>
        <w:gridCol w:w="1345"/>
      </w:tblGrid>
      <w:tr w:rsidR="00473CE3" w:rsidRPr="00003A16" w14:paraId="271FD97C" w14:textId="77777777" w:rsidTr="00003A16">
        <w:tc>
          <w:tcPr>
            <w:tcW w:w="1000" w:type="dxa"/>
            <w:shd w:val="clear" w:color="auto" w:fill="DAE9F7" w:themeFill="text2" w:themeFillTint="1A"/>
            <w:vAlign w:val="center"/>
          </w:tcPr>
          <w:p w14:paraId="3F4244D7" w14:textId="77777777" w:rsidR="00473CE3" w:rsidRPr="00003A16" w:rsidRDefault="00473CE3" w:rsidP="003D5591">
            <w:pPr>
              <w:keepNext/>
              <w:ind w:left="0" w:firstLine="0"/>
              <w:contextualSpacing/>
              <w:jc w:val="center"/>
              <w:rPr>
                <w:rFonts w:ascii="Calibri" w:hAnsi="Calibri" w:cs="Calibri"/>
                <w:b/>
                <w:bCs/>
                <w:iCs/>
                <w:color w:val="000000" w:themeColor="text1"/>
                <w:spacing w:val="-4"/>
                <w:sz w:val="20"/>
                <w:szCs w:val="20"/>
              </w:rPr>
            </w:pPr>
            <w:r w:rsidRPr="00003A16">
              <w:rPr>
                <w:rFonts w:ascii="Calibri" w:hAnsi="Calibri"/>
                <w:b/>
                <w:color w:val="000000" w:themeColor="text1"/>
                <w:spacing w:val="-4"/>
                <w:sz w:val="20"/>
                <w:szCs w:val="20"/>
              </w:rPr>
              <w:t>Scénario</w:t>
            </w:r>
          </w:p>
        </w:tc>
        <w:tc>
          <w:tcPr>
            <w:tcW w:w="1344" w:type="dxa"/>
            <w:shd w:val="clear" w:color="auto" w:fill="DAE9F7" w:themeFill="text2" w:themeFillTint="1A"/>
            <w:vAlign w:val="center"/>
          </w:tcPr>
          <w:p w14:paraId="6C57C09F" w14:textId="77777777" w:rsidR="00473CE3" w:rsidRPr="00003A16" w:rsidRDefault="00473CE3" w:rsidP="003D5591">
            <w:pPr>
              <w:keepNext/>
              <w:ind w:left="0" w:firstLine="0"/>
              <w:contextualSpacing/>
              <w:jc w:val="center"/>
              <w:rPr>
                <w:rFonts w:ascii="Calibri" w:hAnsi="Calibri" w:cs="Calibri"/>
                <w:b/>
                <w:bCs/>
                <w:iCs/>
                <w:color w:val="000000" w:themeColor="text1"/>
                <w:spacing w:val="-4"/>
                <w:sz w:val="20"/>
                <w:szCs w:val="20"/>
              </w:rPr>
            </w:pPr>
            <w:r w:rsidRPr="00003A16">
              <w:rPr>
                <w:rFonts w:ascii="Calibri" w:hAnsi="Calibri"/>
                <w:b/>
                <w:color w:val="000000" w:themeColor="text1"/>
                <w:spacing w:val="-4"/>
                <w:sz w:val="20"/>
                <w:szCs w:val="20"/>
              </w:rPr>
              <w:t>Nombre de nouveaux postes par rapport aux périodes triennales précédentes</w:t>
            </w:r>
          </w:p>
        </w:tc>
        <w:tc>
          <w:tcPr>
            <w:tcW w:w="1762" w:type="dxa"/>
            <w:shd w:val="clear" w:color="auto" w:fill="DAE9F7" w:themeFill="text2" w:themeFillTint="1A"/>
            <w:vAlign w:val="center"/>
          </w:tcPr>
          <w:p w14:paraId="7D858FC4" w14:textId="39F75DE2" w:rsidR="00473CE3" w:rsidRPr="00003A16" w:rsidRDefault="00473CE3" w:rsidP="003D5591">
            <w:pPr>
              <w:keepNext/>
              <w:ind w:left="0" w:firstLine="0"/>
              <w:contextualSpacing/>
              <w:jc w:val="center"/>
              <w:rPr>
                <w:rFonts w:ascii="Calibri" w:hAnsi="Calibri" w:cs="Calibri"/>
                <w:b/>
                <w:bCs/>
                <w:iCs/>
                <w:color w:val="000000" w:themeColor="text1"/>
                <w:spacing w:val="-4"/>
                <w:sz w:val="20"/>
                <w:szCs w:val="20"/>
              </w:rPr>
            </w:pPr>
            <w:r w:rsidRPr="00003A16">
              <w:rPr>
                <w:rFonts w:ascii="Calibri" w:hAnsi="Calibri"/>
                <w:b/>
                <w:color w:val="000000" w:themeColor="text1"/>
                <w:spacing w:val="-4"/>
                <w:sz w:val="20"/>
                <w:szCs w:val="20"/>
              </w:rPr>
              <w:t>Ajustements liés à l</w:t>
            </w:r>
            <w:r w:rsidR="00212CE8" w:rsidRPr="00003A16">
              <w:rPr>
                <w:rFonts w:ascii="Calibri" w:hAnsi="Calibri"/>
                <w:b/>
                <w:color w:val="000000" w:themeColor="text1"/>
                <w:spacing w:val="-4"/>
                <w:sz w:val="20"/>
                <w:szCs w:val="20"/>
              </w:rPr>
              <w:t>’</w:t>
            </w:r>
            <w:r w:rsidRPr="00003A16">
              <w:rPr>
                <w:rFonts w:ascii="Calibri" w:hAnsi="Calibri"/>
                <w:b/>
                <w:color w:val="000000" w:themeColor="text1"/>
                <w:spacing w:val="-4"/>
                <w:sz w:val="20"/>
                <w:szCs w:val="20"/>
              </w:rPr>
              <w:t>équité salariale pour le personnel en poste, conformément à la recommandation des RH</w:t>
            </w:r>
          </w:p>
        </w:tc>
        <w:tc>
          <w:tcPr>
            <w:tcW w:w="1205" w:type="dxa"/>
            <w:shd w:val="clear" w:color="auto" w:fill="DAE9F7" w:themeFill="text2" w:themeFillTint="1A"/>
            <w:vAlign w:val="center"/>
          </w:tcPr>
          <w:p w14:paraId="07E943B9" w14:textId="77777777" w:rsidR="00473CE3" w:rsidRPr="00003A16" w:rsidRDefault="00473CE3" w:rsidP="003D5591">
            <w:pPr>
              <w:keepNext/>
              <w:ind w:left="0" w:firstLine="0"/>
              <w:contextualSpacing/>
              <w:jc w:val="center"/>
              <w:rPr>
                <w:rFonts w:ascii="Calibri" w:hAnsi="Calibri" w:cs="Calibri"/>
                <w:b/>
                <w:bCs/>
                <w:iCs/>
                <w:color w:val="000000" w:themeColor="text1"/>
                <w:spacing w:val="-4"/>
                <w:sz w:val="20"/>
                <w:szCs w:val="20"/>
              </w:rPr>
            </w:pPr>
            <w:r w:rsidRPr="00003A16">
              <w:rPr>
                <w:rFonts w:ascii="Calibri" w:hAnsi="Calibri"/>
                <w:b/>
                <w:color w:val="000000" w:themeColor="text1"/>
                <w:spacing w:val="-4"/>
                <w:sz w:val="20"/>
                <w:szCs w:val="20"/>
              </w:rPr>
              <w:t>Ajustement en matière de coût du travail</w:t>
            </w:r>
          </w:p>
        </w:tc>
        <w:tc>
          <w:tcPr>
            <w:tcW w:w="1205" w:type="dxa"/>
            <w:shd w:val="clear" w:color="auto" w:fill="DAE9F7" w:themeFill="text2" w:themeFillTint="1A"/>
            <w:vAlign w:val="center"/>
          </w:tcPr>
          <w:p w14:paraId="1AD7CAE1" w14:textId="77777777" w:rsidR="00473CE3" w:rsidRPr="00003A16" w:rsidRDefault="00473CE3" w:rsidP="003D5591">
            <w:pPr>
              <w:keepNext/>
              <w:ind w:left="0" w:firstLine="0"/>
              <w:contextualSpacing/>
              <w:jc w:val="center"/>
              <w:rPr>
                <w:rFonts w:ascii="Calibri" w:hAnsi="Calibri" w:cs="Calibri"/>
                <w:b/>
                <w:bCs/>
                <w:iCs/>
                <w:color w:val="000000" w:themeColor="text1"/>
                <w:spacing w:val="-4"/>
                <w:sz w:val="20"/>
                <w:szCs w:val="20"/>
              </w:rPr>
            </w:pPr>
            <w:r w:rsidRPr="00003A16">
              <w:rPr>
                <w:rFonts w:ascii="Calibri" w:hAnsi="Calibri"/>
                <w:b/>
                <w:color w:val="000000" w:themeColor="text1"/>
                <w:spacing w:val="-4"/>
                <w:sz w:val="20"/>
                <w:szCs w:val="20"/>
              </w:rPr>
              <w:t>Ajustements en matière de performances et de promotions</w:t>
            </w:r>
          </w:p>
        </w:tc>
        <w:tc>
          <w:tcPr>
            <w:tcW w:w="1206" w:type="dxa"/>
            <w:shd w:val="clear" w:color="auto" w:fill="DAE9F7" w:themeFill="text2" w:themeFillTint="1A"/>
            <w:vAlign w:val="center"/>
          </w:tcPr>
          <w:p w14:paraId="638ED5D4" w14:textId="77777777" w:rsidR="00473CE3" w:rsidRPr="00003A16" w:rsidRDefault="00473CE3" w:rsidP="003D5591">
            <w:pPr>
              <w:keepNext/>
              <w:ind w:left="0" w:firstLine="0"/>
              <w:contextualSpacing/>
              <w:jc w:val="center"/>
              <w:rPr>
                <w:rFonts w:ascii="Calibri" w:hAnsi="Calibri" w:cs="Calibri"/>
                <w:b/>
                <w:bCs/>
                <w:iCs/>
                <w:color w:val="000000" w:themeColor="text1"/>
                <w:spacing w:val="-4"/>
                <w:sz w:val="20"/>
                <w:szCs w:val="20"/>
              </w:rPr>
            </w:pPr>
            <w:r w:rsidRPr="00003A16">
              <w:rPr>
                <w:rFonts w:ascii="Calibri" w:hAnsi="Calibri"/>
                <w:b/>
                <w:color w:val="000000" w:themeColor="text1"/>
                <w:spacing w:val="-4"/>
                <w:sz w:val="20"/>
                <w:szCs w:val="20"/>
              </w:rPr>
              <w:t>Renforcement des capacités du personnel</w:t>
            </w:r>
          </w:p>
        </w:tc>
        <w:tc>
          <w:tcPr>
            <w:tcW w:w="1345" w:type="dxa"/>
            <w:shd w:val="clear" w:color="auto" w:fill="DAE9F7" w:themeFill="text2" w:themeFillTint="1A"/>
            <w:vAlign w:val="center"/>
          </w:tcPr>
          <w:p w14:paraId="79AE19C7" w14:textId="700C3108" w:rsidR="00473CE3" w:rsidRPr="00003A16" w:rsidRDefault="00473CE3" w:rsidP="003D5591">
            <w:pPr>
              <w:keepNext/>
              <w:ind w:left="0" w:firstLine="0"/>
              <w:contextualSpacing/>
              <w:jc w:val="center"/>
              <w:rPr>
                <w:rFonts w:ascii="Calibri" w:hAnsi="Calibri" w:cs="Calibri"/>
                <w:b/>
                <w:bCs/>
                <w:iCs/>
                <w:color w:val="000000" w:themeColor="text1"/>
                <w:spacing w:val="-4"/>
                <w:sz w:val="20"/>
                <w:szCs w:val="20"/>
              </w:rPr>
            </w:pPr>
            <w:r w:rsidRPr="00003A16">
              <w:rPr>
                <w:rFonts w:ascii="Calibri" w:hAnsi="Calibri"/>
                <w:b/>
                <w:color w:val="000000" w:themeColor="text1"/>
                <w:spacing w:val="-4"/>
                <w:sz w:val="20"/>
                <w:szCs w:val="20"/>
              </w:rPr>
              <w:t>Services opérationnels pour la COP16 (pas l</w:t>
            </w:r>
            <w:r w:rsidR="00212CE8" w:rsidRPr="00003A16">
              <w:rPr>
                <w:rFonts w:ascii="Calibri" w:hAnsi="Calibri"/>
                <w:b/>
                <w:color w:val="000000" w:themeColor="text1"/>
                <w:spacing w:val="-4"/>
                <w:sz w:val="20"/>
                <w:szCs w:val="20"/>
              </w:rPr>
              <w:t>’</w:t>
            </w:r>
            <w:r w:rsidRPr="00003A16">
              <w:rPr>
                <w:rFonts w:ascii="Calibri" w:hAnsi="Calibri"/>
                <w:b/>
                <w:color w:val="000000" w:themeColor="text1"/>
                <w:spacing w:val="-4"/>
                <w:sz w:val="20"/>
                <w:szCs w:val="20"/>
              </w:rPr>
              <w:t>organisation)</w:t>
            </w:r>
          </w:p>
        </w:tc>
      </w:tr>
      <w:tr w:rsidR="00473CE3" w:rsidRPr="00003A16" w14:paraId="04B9A72E" w14:textId="77777777" w:rsidTr="00003A16">
        <w:tc>
          <w:tcPr>
            <w:tcW w:w="1000" w:type="dxa"/>
          </w:tcPr>
          <w:p w14:paraId="0BE73CFF" w14:textId="77777777" w:rsidR="00473CE3" w:rsidRPr="00003A16" w:rsidRDefault="00473CE3" w:rsidP="003D5591">
            <w:pPr>
              <w:keepNext/>
              <w:ind w:left="0" w:firstLine="0"/>
              <w:contextualSpacing/>
              <w:jc w:val="center"/>
              <w:rPr>
                <w:rFonts w:ascii="Calibri" w:hAnsi="Calibri" w:cs="Calibri"/>
                <w:iCs/>
                <w:color w:val="000000" w:themeColor="text1"/>
                <w:spacing w:val="-4"/>
                <w:sz w:val="20"/>
                <w:szCs w:val="20"/>
              </w:rPr>
            </w:pPr>
            <w:r w:rsidRPr="00003A16">
              <w:rPr>
                <w:rFonts w:ascii="Calibri" w:hAnsi="Calibri"/>
                <w:color w:val="000000" w:themeColor="text1"/>
                <w:spacing w:val="-4"/>
                <w:sz w:val="20"/>
                <w:szCs w:val="20"/>
              </w:rPr>
              <w:t xml:space="preserve">0 % </w:t>
            </w:r>
          </w:p>
        </w:tc>
        <w:tc>
          <w:tcPr>
            <w:tcW w:w="1344" w:type="dxa"/>
          </w:tcPr>
          <w:p w14:paraId="411BB909" w14:textId="77777777" w:rsidR="00473CE3" w:rsidRPr="00003A16" w:rsidRDefault="00473CE3" w:rsidP="003D5591">
            <w:pPr>
              <w:keepNext/>
              <w:ind w:left="0" w:firstLine="0"/>
              <w:contextualSpacing/>
              <w:jc w:val="center"/>
              <w:rPr>
                <w:rFonts w:ascii="Calibri" w:hAnsi="Calibri" w:cs="Calibri"/>
                <w:iCs/>
                <w:color w:val="000000" w:themeColor="text1"/>
                <w:spacing w:val="-4"/>
                <w:sz w:val="20"/>
                <w:szCs w:val="20"/>
              </w:rPr>
            </w:pPr>
            <w:r w:rsidRPr="00003A16">
              <w:rPr>
                <w:rFonts w:ascii="Calibri" w:hAnsi="Calibri"/>
                <w:color w:val="000000" w:themeColor="text1"/>
                <w:spacing w:val="-4"/>
                <w:sz w:val="20"/>
                <w:szCs w:val="20"/>
              </w:rPr>
              <w:t>0</w:t>
            </w:r>
          </w:p>
        </w:tc>
        <w:tc>
          <w:tcPr>
            <w:tcW w:w="1762" w:type="dxa"/>
          </w:tcPr>
          <w:p w14:paraId="5F966329" w14:textId="77777777" w:rsidR="00473CE3" w:rsidRPr="00003A16" w:rsidRDefault="00473CE3" w:rsidP="003D5591">
            <w:pPr>
              <w:keepNext/>
              <w:ind w:left="0" w:firstLine="0"/>
              <w:contextualSpacing/>
              <w:jc w:val="center"/>
              <w:rPr>
                <w:rFonts w:ascii="Calibri" w:hAnsi="Calibri" w:cs="Calibri"/>
                <w:iCs/>
                <w:color w:val="000000" w:themeColor="text1"/>
                <w:spacing w:val="-4"/>
                <w:sz w:val="20"/>
                <w:szCs w:val="20"/>
              </w:rPr>
            </w:pPr>
            <w:r w:rsidRPr="00003A16">
              <w:rPr>
                <w:rFonts w:ascii="Calibri" w:hAnsi="Calibri"/>
                <w:color w:val="000000" w:themeColor="text1"/>
                <w:spacing w:val="-4"/>
                <w:sz w:val="20"/>
                <w:szCs w:val="20"/>
              </w:rPr>
              <w:t>En partie</w:t>
            </w:r>
          </w:p>
        </w:tc>
        <w:tc>
          <w:tcPr>
            <w:tcW w:w="1205" w:type="dxa"/>
          </w:tcPr>
          <w:p w14:paraId="27671462" w14:textId="77777777" w:rsidR="00473CE3" w:rsidRPr="00003A16" w:rsidRDefault="00473CE3" w:rsidP="003D5591">
            <w:pPr>
              <w:keepNext/>
              <w:ind w:left="0" w:firstLine="0"/>
              <w:contextualSpacing/>
              <w:jc w:val="center"/>
              <w:rPr>
                <w:rFonts w:ascii="Calibri" w:hAnsi="Calibri" w:cs="Calibri"/>
                <w:iCs/>
                <w:color w:val="000000" w:themeColor="text1"/>
                <w:spacing w:val="-4"/>
                <w:sz w:val="20"/>
                <w:szCs w:val="20"/>
              </w:rPr>
            </w:pPr>
            <w:r w:rsidRPr="00003A16">
              <w:rPr>
                <w:rFonts w:ascii="Calibri" w:hAnsi="Calibri"/>
                <w:color w:val="000000" w:themeColor="text1"/>
                <w:spacing w:val="-4"/>
                <w:sz w:val="20"/>
                <w:szCs w:val="20"/>
              </w:rPr>
              <w:t>Non</w:t>
            </w:r>
          </w:p>
        </w:tc>
        <w:tc>
          <w:tcPr>
            <w:tcW w:w="1205" w:type="dxa"/>
          </w:tcPr>
          <w:p w14:paraId="3885AA13" w14:textId="77777777" w:rsidR="00473CE3" w:rsidRPr="00003A16" w:rsidRDefault="00473CE3" w:rsidP="003D5591">
            <w:pPr>
              <w:keepNext/>
              <w:ind w:left="0" w:firstLine="0"/>
              <w:contextualSpacing/>
              <w:jc w:val="center"/>
              <w:rPr>
                <w:rFonts w:ascii="Calibri" w:hAnsi="Calibri" w:cs="Calibri"/>
                <w:iCs/>
                <w:color w:val="000000" w:themeColor="text1"/>
                <w:spacing w:val="-4"/>
                <w:sz w:val="20"/>
                <w:szCs w:val="20"/>
              </w:rPr>
            </w:pPr>
            <w:r w:rsidRPr="00003A16">
              <w:rPr>
                <w:rFonts w:ascii="Calibri" w:hAnsi="Calibri"/>
                <w:color w:val="000000" w:themeColor="text1"/>
                <w:spacing w:val="-4"/>
                <w:sz w:val="20"/>
                <w:szCs w:val="20"/>
              </w:rPr>
              <w:t>Non</w:t>
            </w:r>
          </w:p>
        </w:tc>
        <w:tc>
          <w:tcPr>
            <w:tcW w:w="1206" w:type="dxa"/>
          </w:tcPr>
          <w:p w14:paraId="7ADA76C3" w14:textId="77777777" w:rsidR="00473CE3" w:rsidRPr="00003A16" w:rsidRDefault="00473CE3" w:rsidP="003D5591">
            <w:pPr>
              <w:keepNext/>
              <w:ind w:left="0" w:firstLine="0"/>
              <w:contextualSpacing/>
              <w:jc w:val="center"/>
              <w:rPr>
                <w:rFonts w:ascii="Calibri" w:hAnsi="Calibri" w:cs="Calibri"/>
                <w:iCs/>
                <w:color w:val="000000" w:themeColor="text1"/>
                <w:spacing w:val="-4"/>
                <w:sz w:val="20"/>
                <w:szCs w:val="20"/>
              </w:rPr>
            </w:pPr>
            <w:r w:rsidRPr="00003A16">
              <w:rPr>
                <w:rFonts w:ascii="Calibri" w:hAnsi="Calibri"/>
                <w:color w:val="000000" w:themeColor="text1"/>
                <w:spacing w:val="-4"/>
                <w:sz w:val="20"/>
                <w:szCs w:val="20"/>
              </w:rPr>
              <w:t>Non</w:t>
            </w:r>
          </w:p>
        </w:tc>
        <w:tc>
          <w:tcPr>
            <w:tcW w:w="1345" w:type="dxa"/>
          </w:tcPr>
          <w:p w14:paraId="2A0B0B35" w14:textId="77777777" w:rsidR="00473CE3" w:rsidRPr="00003A16" w:rsidRDefault="00473CE3" w:rsidP="003D5591">
            <w:pPr>
              <w:keepNext/>
              <w:ind w:left="0" w:firstLine="0"/>
              <w:contextualSpacing/>
              <w:jc w:val="center"/>
              <w:rPr>
                <w:rFonts w:ascii="Calibri" w:hAnsi="Calibri" w:cs="Calibri"/>
                <w:iCs/>
                <w:color w:val="000000" w:themeColor="text1"/>
                <w:spacing w:val="-4"/>
                <w:sz w:val="20"/>
                <w:szCs w:val="20"/>
              </w:rPr>
            </w:pPr>
            <w:r w:rsidRPr="00003A16">
              <w:rPr>
                <w:rFonts w:ascii="Calibri" w:hAnsi="Calibri"/>
                <w:color w:val="000000" w:themeColor="text1"/>
                <w:spacing w:val="-4"/>
                <w:sz w:val="20"/>
                <w:szCs w:val="20"/>
              </w:rPr>
              <w:t>Non</w:t>
            </w:r>
          </w:p>
        </w:tc>
      </w:tr>
      <w:tr w:rsidR="00473CE3" w:rsidRPr="00003A16" w14:paraId="7AA4CFBA" w14:textId="77777777" w:rsidTr="00003A16">
        <w:tc>
          <w:tcPr>
            <w:tcW w:w="1000" w:type="dxa"/>
          </w:tcPr>
          <w:p w14:paraId="614F48A8" w14:textId="77777777" w:rsidR="00473CE3" w:rsidRPr="00003A16" w:rsidRDefault="00473CE3" w:rsidP="003D5591">
            <w:pPr>
              <w:ind w:left="0" w:firstLine="0"/>
              <w:contextualSpacing/>
              <w:jc w:val="center"/>
              <w:rPr>
                <w:rFonts w:ascii="Calibri" w:hAnsi="Calibri" w:cs="Calibri"/>
                <w:iCs/>
                <w:color w:val="000000" w:themeColor="text1"/>
                <w:spacing w:val="-4"/>
                <w:sz w:val="20"/>
                <w:szCs w:val="20"/>
              </w:rPr>
            </w:pPr>
            <w:r w:rsidRPr="00003A16">
              <w:rPr>
                <w:rFonts w:ascii="Calibri" w:hAnsi="Calibri"/>
                <w:color w:val="000000" w:themeColor="text1"/>
                <w:spacing w:val="-4"/>
                <w:sz w:val="20"/>
                <w:szCs w:val="20"/>
              </w:rPr>
              <w:t>4,1 %</w:t>
            </w:r>
          </w:p>
        </w:tc>
        <w:tc>
          <w:tcPr>
            <w:tcW w:w="1344" w:type="dxa"/>
          </w:tcPr>
          <w:p w14:paraId="39A330AB" w14:textId="77777777" w:rsidR="00473CE3" w:rsidRPr="00003A16" w:rsidRDefault="00473CE3" w:rsidP="003D5591">
            <w:pPr>
              <w:ind w:left="0" w:firstLine="0"/>
              <w:contextualSpacing/>
              <w:jc w:val="center"/>
              <w:rPr>
                <w:rFonts w:ascii="Calibri" w:hAnsi="Calibri" w:cs="Calibri"/>
                <w:iCs/>
                <w:color w:val="000000" w:themeColor="text1"/>
                <w:spacing w:val="-4"/>
                <w:sz w:val="20"/>
                <w:szCs w:val="20"/>
              </w:rPr>
            </w:pPr>
            <w:r w:rsidRPr="00003A16">
              <w:rPr>
                <w:rFonts w:ascii="Calibri" w:hAnsi="Calibri"/>
                <w:color w:val="000000" w:themeColor="text1"/>
                <w:spacing w:val="-4"/>
                <w:sz w:val="20"/>
                <w:szCs w:val="20"/>
              </w:rPr>
              <w:t>1</w:t>
            </w:r>
          </w:p>
        </w:tc>
        <w:tc>
          <w:tcPr>
            <w:tcW w:w="1762" w:type="dxa"/>
          </w:tcPr>
          <w:p w14:paraId="448EEF94" w14:textId="77777777" w:rsidR="00473CE3" w:rsidRPr="00003A16" w:rsidRDefault="00473CE3" w:rsidP="003D5591">
            <w:pPr>
              <w:ind w:left="0" w:firstLine="0"/>
              <w:contextualSpacing/>
              <w:jc w:val="center"/>
              <w:rPr>
                <w:rFonts w:ascii="Calibri" w:hAnsi="Calibri" w:cs="Calibri"/>
                <w:iCs/>
                <w:color w:val="000000" w:themeColor="text1"/>
                <w:spacing w:val="-4"/>
                <w:sz w:val="20"/>
                <w:szCs w:val="20"/>
              </w:rPr>
            </w:pPr>
            <w:r w:rsidRPr="00003A16">
              <w:rPr>
                <w:rFonts w:ascii="Calibri" w:hAnsi="Calibri"/>
                <w:color w:val="000000" w:themeColor="text1"/>
                <w:spacing w:val="-4"/>
                <w:sz w:val="20"/>
                <w:szCs w:val="20"/>
              </w:rPr>
              <w:t>En partie</w:t>
            </w:r>
          </w:p>
        </w:tc>
        <w:tc>
          <w:tcPr>
            <w:tcW w:w="1205" w:type="dxa"/>
          </w:tcPr>
          <w:p w14:paraId="3A89EA57" w14:textId="77777777" w:rsidR="00473CE3" w:rsidRPr="00003A16" w:rsidRDefault="00473CE3" w:rsidP="003D5591">
            <w:pPr>
              <w:ind w:left="0" w:firstLine="0"/>
              <w:contextualSpacing/>
              <w:jc w:val="center"/>
              <w:rPr>
                <w:rFonts w:ascii="Calibri" w:hAnsi="Calibri" w:cs="Calibri"/>
                <w:iCs/>
                <w:color w:val="000000" w:themeColor="text1"/>
                <w:spacing w:val="-4"/>
                <w:sz w:val="20"/>
                <w:szCs w:val="20"/>
              </w:rPr>
            </w:pPr>
            <w:r w:rsidRPr="00003A16">
              <w:rPr>
                <w:rFonts w:ascii="Calibri" w:hAnsi="Calibri"/>
                <w:color w:val="000000" w:themeColor="text1"/>
                <w:spacing w:val="-4"/>
                <w:sz w:val="20"/>
                <w:szCs w:val="20"/>
              </w:rPr>
              <w:t>Oui</w:t>
            </w:r>
          </w:p>
        </w:tc>
        <w:tc>
          <w:tcPr>
            <w:tcW w:w="1205" w:type="dxa"/>
          </w:tcPr>
          <w:p w14:paraId="57EFE2D2" w14:textId="77777777" w:rsidR="00473CE3" w:rsidRPr="00003A16" w:rsidRDefault="00473CE3" w:rsidP="003D5591">
            <w:pPr>
              <w:ind w:left="0" w:firstLine="0"/>
              <w:contextualSpacing/>
              <w:jc w:val="center"/>
              <w:rPr>
                <w:rFonts w:ascii="Calibri" w:hAnsi="Calibri" w:cs="Calibri"/>
                <w:iCs/>
                <w:color w:val="000000" w:themeColor="text1"/>
                <w:spacing w:val="-4"/>
                <w:sz w:val="20"/>
                <w:szCs w:val="20"/>
              </w:rPr>
            </w:pPr>
            <w:r w:rsidRPr="00003A16">
              <w:rPr>
                <w:rFonts w:ascii="Calibri" w:hAnsi="Calibri"/>
                <w:color w:val="000000" w:themeColor="text1"/>
                <w:spacing w:val="-4"/>
                <w:sz w:val="20"/>
                <w:szCs w:val="20"/>
              </w:rPr>
              <w:t>Oui</w:t>
            </w:r>
          </w:p>
        </w:tc>
        <w:tc>
          <w:tcPr>
            <w:tcW w:w="1206" w:type="dxa"/>
          </w:tcPr>
          <w:p w14:paraId="28DD7C9D" w14:textId="77777777" w:rsidR="00473CE3" w:rsidRPr="00003A16" w:rsidRDefault="00473CE3" w:rsidP="003D5591">
            <w:pPr>
              <w:ind w:left="0" w:firstLine="0"/>
              <w:contextualSpacing/>
              <w:jc w:val="center"/>
              <w:rPr>
                <w:rFonts w:ascii="Calibri" w:hAnsi="Calibri" w:cs="Calibri"/>
                <w:iCs/>
                <w:color w:val="000000" w:themeColor="text1"/>
                <w:spacing w:val="-4"/>
                <w:sz w:val="20"/>
                <w:szCs w:val="20"/>
              </w:rPr>
            </w:pPr>
            <w:r w:rsidRPr="00003A16">
              <w:rPr>
                <w:rFonts w:ascii="Calibri" w:hAnsi="Calibri"/>
                <w:color w:val="000000" w:themeColor="text1"/>
                <w:spacing w:val="-4"/>
                <w:sz w:val="20"/>
                <w:szCs w:val="20"/>
              </w:rPr>
              <w:t>Non</w:t>
            </w:r>
          </w:p>
        </w:tc>
        <w:tc>
          <w:tcPr>
            <w:tcW w:w="1345" w:type="dxa"/>
          </w:tcPr>
          <w:p w14:paraId="54026335" w14:textId="77777777" w:rsidR="00473CE3" w:rsidRPr="00003A16" w:rsidRDefault="00473CE3" w:rsidP="003D5591">
            <w:pPr>
              <w:ind w:left="0" w:firstLine="0"/>
              <w:contextualSpacing/>
              <w:jc w:val="center"/>
              <w:rPr>
                <w:rFonts w:ascii="Calibri" w:hAnsi="Calibri" w:cs="Calibri"/>
                <w:iCs/>
                <w:color w:val="000000" w:themeColor="text1"/>
                <w:spacing w:val="-4"/>
                <w:sz w:val="20"/>
                <w:szCs w:val="20"/>
              </w:rPr>
            </w:pPr>
            <w:r w:rsidRPr="00003A16">
              <w:rPr>
                <w:rFonts w:ascii="Calibri" w:hAnsi="Calibri"/>
                <w:color w:val="000000" w:themeColor="text1"/>
                <w:spacing w:val="-4"/>
                <w:sz w:val="20"/>
                <w:szCs w:val="20"/>
              </w:rPr>
              <w:t>Non</w:t>
            </w:r>
          </w:p>
        </w:tc>
      </w:tr>
      <w:tr w:rsidR="00473CE3" w:rsidRPr="00003A16" w14:paraId="55122376" w14:textId="77777777" w:rsidTr="00003A16">
        <w:tc>
          <w:tcPr>
            <w:tcW w:w="1000" w:type="dxa"/>
          </w:tcPr>
          <w:p w14:paraId="1FC20CDB" w14:textId="77777777" w:rsidR="00473CE3" w:rsidRPr="00003A16" w:rsidRDefault="00473CE3" w:rsidP="003D5591">
            <w:pPr>
              <w:ind w:left="0" w:firstLine="0"/>
              <w:contextualSpacing/>
              <w:jc w:val="center"/>
              <w:rPr>
                <w:rFonts w:ascii="Calibri" w:hAnsi="Calibri" w:cs="Calibri"/>
                <w:iCs/>
                <w:color w:val="000000" w:themeColor="text1"/>
                <w:spacing w:val="-4"/>
                <w:sz w:val="20"/>
                <w:szCs w:val="20"/>
              </w:rPr>
            </w:pPr>
            <w:r w:rsidRPr="00003A16">
              <w:rPr>
                <w:rFonts w:ascii="Calibri" w:hAnsi="Calibri"/>
                <w:color w:val="000000" w:themeColor="text1"/>
                <w:spacing w:val="-4"/>
                <w:sz w:val="20"/>
                <w:szCs w:val="20"/>
              </w:rPr>
              <w:t>9,6 %</w:t>
            </w:r>
          </w:p>
        </w:tc>
        <w:tc>
          <w:tcPr>
            <w:tcW w:w="1344" w:type="dxa"/>
          </w:tcPr>
          <w:p w14:paraId="7273F1D1" w14:textId="77777777" w:rsidR="00473CE3" w:rsidRPr="00003A16" w:rsidRDefault="00473CE3" w:rsidP="003D5591">
            <w:pPr>
              <w:ind w:left="0" w:firstLine="0"/>
              <w:contextualSpacing/>
              <w:jc w:val="center"/>
              <w:rPr>
                <w:rFonts w:ascii="Calibri" w:hAnsi="Calibri" w:cs="Calibri"/>
                <w:iCs/>
                <w:color w:val="000000" w:themeColor="text1"/>
                <w:spacing w:val="-4"/>
                <w:sz w:val="20"/>
                <w:szCs w:val="20"/>
              </w:rPr>
            </w:pPr>
            <w:r w:rsidRPr="00003A16">
              <w:rPr>
                <w:rFonts w:ascii="Calibri" w:hAnsi="Calibri"/>
                <w:color w:val="000000" w:themeColor="text1"/>
                <w:spacing w:val="-4"/>
                <w:sz w:val="20"/>
                <w:szCs w:val="20"/>
              </w:rPr>
              <w:t>2</w:t>
            </w:r>
          </w:p>
        </w:tc>
        <w:tc>
          <w:tcPr>
            <w:tcW w:w="1762" w:type="dxa"/>
          </w:tcPr>
          <w:p w14:paraId="6510CAF8" w14:textId="77777777" w:rsidR="00473CE3" w:rsidRPr="00003A16" w:rsidRDefault="00473CE3" w:rsidP="003D5591">
            <w:pPr>
              <w:ind w:left="0" w:firstLine="0"/>
              <w:contextualSpacing/>
              <w:jc w:val="center"/>
              <w:rPr>
                <w:rFonts w:ascii="Calibri" w:hAnsi="Calibri" w:cs="Calibri"/>
                <w:iCs/>
                <w:color w:val="000000" w:themeColor="text1"/>
                <w:spacing w:val="-4"/>
                <w:sz w:val="20"/>
                <w:szCs w:val="20"/>
              </w:rPr>
            </w:pPr>
            <w:r w:rsidRPr="00003A16">
              <w:rPr>
                <w:rFonts w:ascii="Calibri" w:hAnsi="Calibri"/>
                <w:color w:val="000000" w:themeColor="text1"/>
                <w:spacing w:val="-4"/>
                <w:sz w:val="20"/>
                <w:szCs w:val="20"/>
              </w:rPr>
              <w:t>En totalité</w:t>
            </w:r>
          </w:p>
        </w:tc>
        <w:tc>
          <w:tcPr>
            <w:tcW w:w="1205" w:type="dxa"/>
          </w:tcPr>
          <w:p w14:paraId="50478999" w14:textId="77777777" w:rsidR="00473CE3" w:rsidRPr="00003A16" w:rsidRDefault="00473CE3" w:rsidP="003D5591">
            <w:pPr>
              <w:ind w:left="0" w:firstLine="0"/>
              <w:contextualSpacing/>
              <w:jc w:val="center"/>
              <w:rPr>
                <w:rFonts w:ascii="Calibri" w:hAnsi="Calibri" w:cs="Calibri"/>
                <w:iCs/>
                <w:color w:val="000000" w:themeColor="text1"/>
                <w:spacing w:val="-4"/>
                <w:sz w:val="20"/>
                <w:szCs w:val="20"/>
              </w:rPr>
            </w:pPr>
            <w:r w:rsidRPr="00003A16">
              <w:rPr>
                <w:rFonts w:ascii="Calibri" w:hAnsi="Calibri"/>
                <w:color w:val="000000" w:themeColor="text1"/>
                <w:spacing w:val="-4"/>
                <w:sz w:val="20"/>
                <w:szCs w:val="20"/>
              </w:rPr>
              <w:t>Oui</w:t>
            </w:r>
          </w:p>
        </w:tc>
        <w:tc>
          <w:tcPr>
            <w:tcW w:w="1205" w:type="dxa"/>
          </w:tcPr>
          <w:p w14:paraId="637695EF" w14:textId="77777777" w:rsidR="00473CE3" w:rsidRPr="00003A16" w:rsidRDefault="00473CE3" w:rsidP="003D5591">
            <w:pPr>
              <w:ind w:left="0" w:firstLine="0"/>
              <w:contextualSpacing/>
              <w:jc w:val="center"/>
              <w:rPr>
                <w:rFonts w:ascii="Calibri" w:hAnsi="Calibri" w:cs="Calibri"/>
                <w:iCs/>
                <w:color w:val="000000" w:themeColor="text1"/>
                <w:spacing w:val="-4"/>
                <w:sz w:val="20"/>
                <w:szCs w:val="20"/>
              </w:rPr>
            </w:pPr>
            <w:r w:rsidRPr="00003A16">
              <w:rPr>
                <w:rFonts w:ascii="Calibri" w:hAnsi="Calibri"/>
                <w:color w:val="000000" w:themeColor="text1"/>
                <w:spacing w:val="-4"/>
                <w:sz w:val="20"/>
                <w:szCs w:val="20"/>
              </w:rPr>
              <w:t>Oui</w:t>
            </w:r>
          </w:p>
        </w:tc>
        <w:tc>
          <w:tcPr>
            <w:tcW w:w="1206" w:type="dxa"/>
          </w:tcPr>
          <w:p w14:paraId="5762EC7B" w14:textId="77777777" w:rsidR="00473CE3" w:rsidRPr="00003A16" w:rsidRDefault="00473CE3" w:rsidP="003D5591">
            <w:pPr>
              <w:ind w:left="0" w:firstLine="0"/>
              <w:contextualSpacing/>
              <w:jc w:val="center"/>
              <w:rPr>
                <w:rFonts w:ascii="Calibri" w:hAnsi="Calibri" w:cs="Calibri"/>
                <w:iCs/>
                <w:color w:val="000000" w:themeColor="text1"/>
                <w:spacing w:val="-4"/>
                <w:sz w:val="20"/>
                <w:szCs w:val="20"/>
              </w:rPr>
            </w:pPr>
            <w:r w:rsidRPr="00003A16">
              <w:rPr>
                <w:rFonts w:ascii="Calibri" w:hAnsi="Calibri"/>
                <w:color w:val="000000" w:themeColor="text1"/>
                <w:spacing w:val="-4"/>
                <w:sz w:val="20"/>
                <w:szCs w:val="20"/>
              </w:rPr>
              <w:t>Non</w:t>
            </w:r>
          </w:p>
        </w:tc>
        <w:tc>
          <w:tcPr>
            <w:tcW w:w="1345" w:type="dxa"/>
          </w:tcPr>
          <w:p w14:paraId="091711CA" w14:textId="77777777" w:rsidR="00473CE3" w:rsidRPr="00003A16" w:rsidRDefault="00473CE3" w:rsidP="003D5591">
            <w:pPr>
              <w:ind w:left="0" w:firstLine="0"/>
              <w:contextualSpacing/>
              <w:jc w:val="center"/>
              <w:rPr>
                <w:rFonts w:ascii="Calibri" w:hAnsi="Calibri" w:cs="Calibri"/>
                <w:iCs/>
                <w:color w:val="000000" w:themeColor="text1"/>
                <w:spacing w:val="-4"/>
                <w:sz w:val="20"/>
                <w:szCs w:val="20"/>
              </w:rPr>
            </w:pPr>
            <w:r w:rsidRPr="00003A16">
              <w:rPr>
                <w:rFonts w:ascii="Calibri" w:hAnsi="Calibri"/>
                <w:color w:val="000000" w:themeColor="text1"/>
                <w:spacing w:val="-4"/>
                <w:sz w:val="20"/>
                <w:szCs w:val="20"/>
              </w:rPr>
              <w:t>Non</w:t>
            </w:r>
          </w:p>
        </w:tc>
      </w:tr>
      <w:tr w:rsidR="00473CE3" w:rsidRPr="00003A16" w14:paraId="00485A21" w14:textId="77777777" w:rsidTr="00003A16">
        <w:tc>
          <w:tcPr>
            <w:tcW w:w="1000" w:type="dxa"/>
          </w:tcPr>
          <w:p w14:paraId="33E73EBC" w14:textId="77777777" w:rsidR="00473CE3" w:rsidRPr="00003A16" w:rsidRDefault="00473CE3" w:rsidP="003D5591">
            <w:pPr>
              <w:ind w:left="0" w:firstLine="0"/>
              <w:contextualSpacing/>
              <w:jc w:val="center"/>
              <w:rPr>
                <w:rFonts w:ascii="Calibri" w:hAnsi="Calibri" w:cs="Calibri"/>
                <w:iCs/>
                <w:color w:val="000000" w:themeColor="text1"/>
                <w:spacing w:val="-4"/>
                <w:sz w:val="20"/>
                <w:szCs w:val="20"/>
              </w:rPr>
            </w:pPr>
            <w:r w:rsidRPr="00003A16">
              <w:rPr>
                <w:rFonts w:ascii="Calibri" w:hAnsi="Calibri"/>
                <w:color w:val="000000" w:themeColor="text1"/>
                <w:spacing w:val="-4"/>
                <w:sz w:val="20"/>
                <w:szCs w:val="20"/>
              </w:rPr>
              <w:t>11,3 %</w:t>
            </w:r>
          </w:p>
        </w:tc>
        <w:tc>
          <w:tcPr>
            <w:tcW w:w="1344" w:type="dxa"/>
          </w:tcPr>
          <w:p w14:paraId="495E761B" w14:textId="77777777" w:rsidR="00473CE3" w:rsidRPr="00003A16" w:rsidRDefault="00473CE3" w:rsidP="003D5591">
            <w:pPr>
              <w:ind w:left="0" w:firstLine="0"/>
              <w:contextualSpacing/>
              <w:jc w:val="center"/>
              <w:rPr>
                <w:rFonts w:ascii="Calibri" w:hAnsi="Calibri" w:cs="Calibri"/>
                <w:iCs/>
                <w:color w:val="000000" w:themeColor="text1"/>
                <w:spacing w:val="-4"/>
                <w:sz w:val="20"/>
                <w:szCs w:val="20"/>
              </w:rPr>
            </w:pPr>
            <w:r w:rsidRPr="00003A16">
              <w:rPr>
                <w:rFonts w:ascii="Calibri" w:hAnsi="Calibri"/>
                <w:color w:val="000000" w:themeColor="text1"/>
                <w:spacing w:val="-4"/>
                <w:sz w:val="20"/>
                <w:szCs w:val="20"/>
              </w:rPr>
              <w:t>2</w:t>
            </w:r>
          </w:p>
        </w:tc>
        <w:tc>
          <w:tcPr>
            <w:tcW w:w="1762" w:type="dxa"/>
          </w:tcPr>
          <w:p w14:paraId="47E5D269" w14:textId="77777777" w:rsidR="00473CE3" w:rsidRPr="00003A16" w:rsidRDefault="00473CE3" w:rsidP="003D5591">
            <w:pPr>
              <w:ind w:left="0" w:firstLine="0"/>
              <w:contextualSpacing/>
              <w:jc w:val="center"/>
              <w:rPr>
                <w:rFonts w:ascii="Calibri" w:hAnsi="Calibri" w:cs="Calibri"/>
                <w:iCs/>
                <w:color w:val="000000" w:themeColor="text1"/>
                <w:spacing w:val="-4"/>
                <w:sz w:val="20"/>
                <w:szCs w:val="20"/>
              </w:rPr>
            </w:pPr>
            <w:r w:rsidRPr="00003A16">
              <w:rPr>
                <w:rFonts w:ascii="Calibri" w:hAnsi="Calibri"/>
                <w:color w:val="000000" w:themeColor="text1"/>
                <w:spacing w:val="-4"/>
                <w:sz w:val="20"/>
                <w:szCs w:val="20"/>
              </w:rPr>
              <w:t>En totalité</w:t>
            </w:r>
          </w:p>
        </w:tc>
        <w:tc>
          <w:tcPr>
            <w:tcW w:w="1205" w:type="dxa"/>
          </w:tcPr>
          <w:p w14:paraId="56C5CF80" w14:textId="77777777" w:rsidR="00473CE3" w:rsidRPr="00003A16" w:rsidRDefault="00473CE3" w:rsidP="003D5591">
            <w:pPr>
              <w:ind w:left="0" w:firstLine="0"/>
              <w:contextualSpacing/>
              <w:jc w:val="center"/>
              <w:rPr>
                <w:rFonts w:ascii="Calibri" w:hAnsi="Calibri" w:cs="Calibri"/>
                <w:iCs/>
                <w:color w:val="000000" w:themeColor="text1"/>
                <w:spacing w:val="-4"/>
                <w:sz w:val="20"/>
                <w:szCs w:val="20"/>
              </w:rPr>
            </w:pPr>
            <w:r w:rsidRPr="00003A16">
              <w:rPr>
                <w:rFonts w:ascii="Calibri" w:hAnsi="Calibri"/>
                <w:color w:val="000000" w:themeColor="text1"/>
                <w:spacing w:val="-4"/>
                <w:sz w:val="20"/>
                <w:szCs w:val="20"/>
              </w:rPr>
              <w:t>Oui</w:t>
            </w:r>
          </w:p>
        </w:tc>
        <w:tc>
          <w:tcPr>
            <w:tcW w:w="1205" w:type="dxa"/>
          </w:tcPr>
          <w:p w14:paraId="7DB634AB" w14:textId="77777777" w:rsidR="00473CE3" w:rsidRPr="00003A16" w:rsidRDefault="00473CE3" w:rsidP="003D5591">
            <w:pPr>
              <w:ind w:left="0" w:firstLine="0"/>
              <w:contextualSpacing/>
              <w:jc w:val="center"/>
              <w:rPr>
                <w:rFonts w:ascii="Calibri" w:hAnsi="Calibri" w:cs="Calibri"/>
                <w:iCs/>
                <w:color w:val="000000" w:themeColor="text1"/>
                <w:spacing w:val="-4"/>
                <w:sz w:val="20"/>
                <w:szCs w:val="20"/>
              </w:rPr>
            </w:pPr>
            <w:r w:rsidRPr="00003A16">
              <w:rPr>
                <w:rFonts w:ascii="Calibri" w:hAnsi="Calibri"/>
                <w:color w:val="000000" w:themeColor="text1"/>
                <w:spacing w:val="-4"/>
                <w:sz w:val="20"/>
                <w:szCs w:val="20"/>
              </w:rPr>
              <w:t>Oui</w:t>
            </w:r>
          </w:p>
        </w:tc>
        <w:tc>
          <w:tcPr>
            <w:tcW w:w="1206" w:type="dxa"/>
          </w:tcPr>
          <w:p w14:paraId="520F75C9" w14:textId="77777777" w:rsidR="00473CE3" w:rsidRPr="00003A16" w:rsidRDefault="00473CE3" w:rsidP="003D5591">
            <w:pPr>
              <w:ind w:left="0" w:firstLine="0"/>
              <w:contextualSpacing/>
              <w:jc w:val="center"/>
              <w:rPr>
                <w:rFonts w:ascii="Calibri" w:hAnsi="Calibri" w:cs="Calibri"/>
                <w:iCs/>
                <w:color w:val="000000" w:themeColor="text1"/>
                <w:spacing w:val="-4"/>
                <w:sz w:val="20"/>
                <w:szCs w:val="20"/>
              </w:rPr>
            </w:pPr>
            <w:r w:rsidRPr="00003A16">
              <w:rPr>
                <w:rFonts w:ascii="Calibri" w:hAnsi="Calibri"/>
                <w:color w:val="000000" w:themeColor="text1"/>
                <w:spacing w:val="-4"/>
                <w:sz w:val="20"/>
                <w:szCs w:val="20"/>
              </w:rPr>
              <w:t>Oui</w:t>
            </w:r>
          </w:p>
        </w:tc>
        <w:tc>
          <w:tcPr>
            <w:tcW w:w="1345" w:type="dxa"/>
          </w:tcPr>
          <w:p w14:paraId="36268EFD" w14:textId="77777777" w:rsidR="00473CE3" w:rsidRPr="00003A16" w:rsidRDefault="00473CE3" w:rsidP="003D5591">
            <w:pPr>
              <w:ind w:left="0" w:firstLine="0"/>
              <w:contextualSpacing/>
              <w:jc w:val="center"/>
              <w:rPr>
                <w:rFonts w:ascii="Calibri" w:hAnsi="Calibri" w:cs="Calibri"/>
                <w:iCs/>
                <w:color w:val="000000" w:themeColor="text1"/>
                <w:spacing w:val="-4"/>
                <w:sz w:val="20"/>
                <w:szCs w:val="20"/>
              </w:rPr>
            </w:pPr>
            <w:r w:rsidRPr="00003A16">
              <w:rPr>
                <w:rFonts w:ascii="Calibri" w:hAnsi="Calibri"/>
                <w:color w:val="000000" w:themeColor="text1"/>
                <w:spacing w:val="-4"/>
                <w:sz w:val="20"/>
                <w:szCs w:val="20"/>
              </w:rPr>
              <w:t>Oui</w:t>
            </w:r>
          </w:p>
        </w:tc>
      </w:tr>
    </w:tbl>
    <w:p w14:paraId="72B64BC6" w14:textId="77777777" w:rsidR="00473CE3" w:rsidRDefault="00473CE3" w:rsidP="00473CE3">
      <w:pPr>
        <w:spacing w:after="0" w:line="240" w:lineRule="auto"/>
        <w:rPr>
          <w:rFonts w:ascii="Calibri" w:hAnsi="Calibri" w:cs="Calibri"/>
          <w:b/>
          <w:bCs/>
        </w:rPr>
      </w:pPr>
    </w:p>
    <w:p w14:paraId="3C9ADC28" w14:textId="77777777" w:rsidR="002E51E1" w:rsidRDefault="002E51E1">
      <w:pPr>
        <w:rPr>
          <w:rFonts w:ascii="Calibri" w:hAnsi="Calibri" w:cs="Calibri"/>
        </w:rPr>
        <w:sectPr w:rsidR="002E51E1" w:rsidSect="00F726C1">
          <w:type w:val="continuous"/>
          <w:pgSz w:w="11906" w:h="16838"/>
          <w:pgMar w:top="1440" w:right="1440" w:bottom="1440" w:left="1440" w:header="708" w:footer="708" w:gutter="0"/>
          <w:cols w:space="708"/>
          <w:docGrid w:linePitch="360"/>
        </w:sectPr>
      </w:pPr>
    </w:p>
    <w:p w14:paraId="42CA3576" w14:textId="109FA58C" w:rsidR="00C85890" w:rsidRPr="00F86862" w:rsidRDefault="00A20805" w:rsidP="002E51E1">
      <w:pPr>
        <w:spacing w:after="0" w:line="240" w:lineRule="auto"/>
        <w:rPr>
          <w:rFonts w:ascii="Calibri" w:hAnsi="Calibri" w:cs="Calibri"/>
          <w:i/>
          <w:iCs/>
        </w:rPr>
      </w:pPr>
      <w:r>
        <w:rPr>
          <w:rFonts w:ascii="Calibri" w:hAnsi="Calibri"/>
          <w:i/>
        </w:rPr>
        <w:lastRenderedPageBreak/>
        <w:t>Tableau 2 : Vue d</w:t>
      </w:r>
      <w:r w:rsidR="00212CE8">
        <w:rPr>
          <w:rFonts w:ascii="Calibri" w:hAnsi="Calibri"/>
          <w:i/>
        </w:rPr>
        <w:t>’</w:t>
      </w:r>
      <w:r>
        <w:rPr>
          <w:rFonts w:ascii="Calibri" w:hAnsi="Calibri"/>
          <w:i/>
        </w:rPr>
        <w:t>ensemble des principales implications des scénarios budgétaires pour 2026-2028</w:t>
      </w:r>
    </w:p>
    <w:tbl>
      <w:tblPr>
        <w:tblStyle w:val="TableGrid"/>
        <w:tblW w:w="14312" w:type="dxa"/>
        <w:tblLook w:val="04A0" w:firstRow="1" w:lastRow="0" w:firstColumn="1" w:lastColumn="0" w:noHBand="0" w:noVBand="1"/>
      </w:tblPr>
      <w:tblGrid>
        <w:gridCol w:w="1493"/>
        <w:gridCol w:w="3180"/>
        <w:gridCol w:w="3827"/>
        <w:gridCol w:w="2977"/>
        <w:gridCol w:w="2835"/>
      </w:tblGrid>
      <w:tr w:rsidR="00DF6A21" w:rsidRPr="009C676D" w14:paraId="485427C5" w14:textId="77777777" w:rsidTr="00043D1B">
        <w:trPr>
          <w:tblHeader/>
        </w:trPr>
        <w:tc>
          <w:tcPr>
            <w:tcW w:w="1493" w:type="dxa"/>
            <w:shd w:val="clear" w:color="auto" w:fill="DAE9F7" w:themeFill="text2" w:themeFillTint="1A"/>
            <w:vAlign w:val="center"/>
          </w:tcPr>
          <w:p w14:paraId="45AE9DFD" w14:textId="77777777" w:rsidR="00A90311" w:rsidRPr="000A2BFA" w:rsidRDefault="004E1AB1" w:rsidP="00043D1B">
            <w:pPr>
              <w:jc w:val="center"/>
              <w:rPr>
                <w:rFonts w:ascii="Calibri" w:hAnsi="Calibri" w:cs="Calibri"/>
                <w:b/>
                <w:bCs/>
              </w:rPr>
            </w:pPr>
            <w:r>
              <w:rPr>
                <w:rFonts w:ascii="Calibri" w:hAnsi="Calibri"/>
                <w:b/>
              </w:rPr>
              <w:t>Description</w:t>
            </w:r>
          </w:p>
          <w:p w14:paraId="524CB676" w14:textId="4F780489" w:rsidR="004E1AB1" w:rsidRPr="000A2BFA" w:rsidRDefault="004E1AB1" w:rsidP="00043D1B">
            <w:pPr>
              <w:jc w:val="center"/>
              <w:rPr>
                <w:rFonts w:ascii="Calibri" w:hAnsi="Calibri" w:cs="Calibri"/>
              </w:rPr>
            </w:pPr>
          </w:p>
        </w:tc>
        <w:tc>
          <w:tcPr>
            <w:tcW w:w="3180" w:type="dxa"/>
            <w:shd w:val="clear" w:color="auto" w:fill="DAE9F7" w:themeFill="text2" w:themeFillTint="1A"/>
            <w:vAlign w:val="center"/>
          </w:tcPr>
          <w:p w14:paraId="6400B28B" w14:textId="7BE61151" w:rsidR="00A90311" w:rsidRPr="000A2BFA" w:rsidRDefault="00A90311" w:rsidP="00043D1B">
            <w:pPr>
              <w:ind w:left="0" w:firstLine="0"/>
              <w:jc w:val="center"/>
              <w:outlineLvl w:val="1"/>
              <w:rPr>
                <w:rFonts w:ascii="Calibri" w:hAnsi="Calibri" w:cs="Calibri"/>
                <w:b/>
                <w:bCs/>
              </w:rPr>
            </w:pPr>
            <w:r>
              <w:rPr>
                <w:rFonts w:ascii="Calibri" w:hAnsi="Calibri"/>
                <w:b/>
              </w:rPr>
              <w:t>Scénario à 0 % d</w:t>
            </w:r>
            <w:r w:rsidR="00212CE8">
              <w:rPr>
                <w:rFonts w:ascii="Calibri" w:hAnsi="Calibri"/>
                <w:b/>
              </w:rPr>
              <w:t>’</w:t>
            </w:r>
            <w:r>
              <w:rPr>
                <w:rFonts w:ascii="Calibri" w:hAnsi="Calibri"/>
                <w:b/>
              </w:rPr>
              <w:t>augmentation nominale</w:t>
            </w:r>
          </w:p>
        </w:tc>
        <w:tc>
          <w:tcPr>
            <w:tcW w:w="3827" w:type="dxa"/>
            <w:shd w:val="clear" w:color="auto" w:fill="DAE9F7" w:themeFill="text2" w:themeFillTint="1A"/>
            <w:vAlign w:val="center"/>
          </w:tcPr>
          <w:p w14:paraId="09CE6AFF" w14:textId="69F95241" w:rsidR="004E1AB1" w:rsidRPr="003047E9" w:rsidRDefault="00A90311" w:rsidP="003047E9">
            <w:pPr>
              <w:jc w:val="center"/>
              <w:rPr>
                <w:rFonts w:ascii="Calibri" w:hAnsi="Calibri" w:cs="Calibri"/>
                <w:b/>
                <w:bCs/>
              </w:rPr>
            </w:pPr>
            <w:r>
              <w:rPr>
                <w:rFonts w:ascii="Calibri" w:hAnsi="Calibri"/>
                <w:b/>
              </w:rPr>
              <w:t>Scénario à 4,1 %</w:t>
            </w:r>
            <w:r w:rsidR="003047E9">
              <w:rPr>
                <w:rFonts w:ascii="Calibri" w:hAnsi="Calibri"/>
                <w:b/>
              </w:rPr>
              <w:t xml:space="preserve"> </w:t>
            </w:r>
            <w:r w:rsidR="004E1AB1">
              <w:rPr>
                <w:rFonts w:ascii="Calibri" w:hAnsi="Calibri"/>
                <w:b/>
              </w:rPr>
              <w:t>d</w:t>
            </w:r>
            <w:r w:rsidR="00212CE8">
              <w:rPr>
                <w:rFonts w:ascii="Calibri" w:hAnsi="Calibri"/>
                <w:b/>
              </w:rPr>
              <w:t>’</w:t>
            </w:r>
            <w:r w:rsidR="004E1AB1">
              <w:rPr>
                <w:rFonts w:ascii="Calibri" w:hAnsi="Calibri"/>
                <w:b/>
              </w:rPr>
              <w:t>augmentation nominale</w:t>
            </w:r>
          </w:p>
        </w:tc>
        <w:tc>
          <w:tcPr>
            <w:tcW w:w="2977" w:type="dxa"/>
            <w:shd w:val="clear" w:color="auto" w:fill="DAE9F7" w:themeFill="text2" w:themeFillTint="1A"/>
            <w:vAlign w:val="center"/>
          </w:tcPr>
          <w:p w14:paraId="4EEB6CB6" w14:textId="070BF401" w:rsidR="00A90311" w:rsidRPr="000A2BFA" w:rsidRDefault="00A90311" w:rsidP="00043D1B">
            <w:pPr>
              <w:ind w:left="0" w:firstLine="0"/>
              <w:jc w:val="center"/>
              <w:outlineLvl w:val="1"/>
              <w:rPr>
                <w:rFonts w:ascii="Calibri" w:hAnsi="Calibri" w:cs="Calibri"/>
                <w:b/>
                <w:bCs/>
              </w:rPr>
            </w:pPr>
            <w:r>
              <w:rPr>
                <w:rFonts w:ascii="Calibri" w:hAnsi="Calibri"/>
                <w:b/>
              </w:rPr>
              <w:t>Scénario à 9,6 % d</w:t>
            </w:r>
            <w:r w:rsidR="00212CE8">
              <w:rPr>
                <w:rFonts w:ascii="Calibri" w:hAnsi="Calibri"/>
                <w:b/>
              </w:rPr>
              <w:t>’</w:t>
            </w:r>
            <w:r>
              <w:rPr>
                <w:rFonts w:ascii="Calibri" w:hAnsi="Calibri"/>
                <w:b/>
              </w:rPr>
              <w:t>augmentation nominale</w:t>
            </w:r>
          </w:p>
        </w:tc>
        <w:tc>
          <w:tcPr>
            <w:tcW w:w="2835" w:type="dxa"/>
            <w:shd w:val="clear" w:color="auto" w:fill="DAE9F7" w:themeFill="text2" w:themeFillTint="1A"/>
            <w:vAlign w:val="center"/>
          </w:tcPr>
          <w:p w14:paraId="38B6652C" w14:textId="3ECDF031" w:rsidR="009A469F" w:rsidRPr="000A2BFA" w:rsidRDefault="00A90311" w:rsidP="00043D1B">
            <w:pPr>
              <w:ind w:left="0" w:firstLine="0"/>
              <w:jc w:val="center"/>
              <w:outlineLvl w:val="1"/>
              <w:rPr>
                <w:rFonts w:ascii="Calibri" w:hAnsi="Calibri" w:cs="Calibri"/>
                <w:b/>
                <w:bCs/>
              </w:rPr>
            </w:pPr>
            <w:r>
              <w:rPr>
                <w:rFonts w:ascii="Calibri" w:hAnsi="Calibri"/>
                <w:b/>
              </w:rPr>
              <w:t>Scénario à 11,3 % d</w:t>
            </w:r>
            <w:r w:rsidR="00212CE8">
              <w:rPr>
                <w:rFonts w:ascii="Calibri" w:hAnsi="Calibri"/>
                <w:b/>
              </w:rPr>
              <w:t>’</w:t>
            </w:r>
            <w:r>
              <w:rPr>
                <w:rFonts w:ascii="Calibri" w:hAnsi="Calibri"/>
                <w:b/>
              </w:rPr>
              <w:t>augmentation nominale</w:t>
            </w:r>
          </w:p>
        </w:tc>
      </w:tr>
      <w:tr w:rsidR="00DF6A21" w:rsidRPr="009C676D" w14:paraId="0F5148EB" w14:textId="77777777" w:rsidTr="00736ED7">
        <w:tc>
          <w:tcPr>
            <w:tcW w:w="1493" w:type="dxa"/>
          </w:tcPr>
          <w:p w14:paraId="5F8681C9" w14:textId="03F692A0" w:rsidR="00A90311" w:rsidRPr="009C676D" w:rsidRDefault="00DB012E" w:rsidP="000A2BFA">
            <w:pPr>
              <w:ind w:left="0" w:firstLine="0"/>
              <w:outlineLvl w:val="1"/>
              <w:rPr>
                <w:rFonts w:ascii="Calibri" w:eastAsia="Calibri" w:hAnsi="Calibri" w:cs="Calibri"/>
                <w:b/>
              </w:rPr>
            </w:pPr>
            <w:r>
              <w:rPr>
                <w:rFonts w:ascii="Calibri" w:hAnsi="Calibri"/>
                <w:b/>
              </w:rPr>
              <w:t>Avantages et points forts</w:t>
            </w:r>
          </w:p>
        </w:tc>
        <w:tc>
          <w:tcPr>
            <w:tcW w:w="3180" w:type="dxa"/>
          </w:tcPr>
          <w:p w14:paraId="462DF853" w14:textId="59BCAC98" w:rsidR="009D0248" w:rsidRPr="009C676D" w:rsidRDefault="00CB5443" w:rsidP="000A2BFA">
            <w:pPr>
              <w:ind w:left="0" w:firstLine="0"/>
              <w:outlineLvl w:val="1"/>
              <w:rPr>
                <w:rFonts w:ascii="Calibri" w:eastAsia="Calibri" w:hAnsi="Calibri" w:cs="Calibri"/>
                <w:bCs/>
              </w:rPr>
            </w:pPr>
            <w:r>
              <w:rPr>
                <w:rFonts w:ascii="Calibri" w:hAnsi="Calibri"/>
              </w:rPr>
              <w:t>Pas d</w:t>
            </w:r>
            <w:r w:rsidR="00212CE8">
              <w:rPr>
                <w:rFonts w:ascii="Calibri" w:hAnsi="Calibri"/>
              </w:rPr>
              <w:t>’</w:t>
            </w:r>
            <w:r>
              <w:rPr>
                <w:rFonts w:ascii="Calibri" w:hAnsi="Calibri"/>
              </w:rPr>
              <w:t>augmentation des contributions obligatoires pour les Parties contractantes.</w:t>
            </w:r>
          </w:p>
        </w:tc>
        <w:tc>
          <w:tcPr>
            <w:tcW w:w="3827" w:type="dxa"/>
          </w:tcPr>
          <w:p w14:paraId="1A119935" w14:textId="4E2C0B29" w:rsidR="004404E8" w:rsidRPr="009C676D" w:rsidRDefault="008D3355" w:rsidP="000A2BFA">
            <w:pPr>
              <w:ind w:left="0" w:firstLine="0"/>
              <w:outlineLvl w:val="1"/>
              <w:rPr>
                <w:rFonts w:ascii="Calibri" w:eastAsia="Calibri" w:hAnsi="Calibri" w:cs="Calibri"/>
                <w:bCs/>
              </w:rPr>
            </w:pPr>
            <w:r>
              <w:rPr>
                <w:rFonts w:ascii="Calibri" w:hAnsi="Calibri"/>
              </w:rPr>
              <w:t>M</w:t>
            </w:r>
            <w:r w:rsidR="004404E8">
              <w:rPr>
                <w:rFonts w:ascii="Calibri" w:hAnsi="Calibri"/>
              </w:rPr>
              <w:t>embre supplémentaire du personnel pour renforcer les capacités du Secrétariat à soutenir les Parties contractantes.</w:t>
            </w:r>
          </w:p>
          <w:p w14:paraId="27AF65C3" w14:textId="77777777" w:rsidR="004404E8" w:rsidRPr="009C676D" w:rsidRDefault="004404E8" w:rsidP="000A2BFA">
            <w:pPr>
              <w:ind w:left="0" w:firstLine="0"/>
              <w:outlineLvl w:val="1"/>
              <w:rPr>
                <w:rFonts w:ascii="Calibri" w:eastAsia="Calibri" w:hAnsi="Calibri" w:cs="Calibri"/>
                <w:bCs/>
              </w:rPr>
            </w:pPr>
          </w:p>
          <w:p w14:paraId="6C9C6F1A" w14:textId="78DD6C85" w:rsidR="009D0248" w:rsidRPr="009C676D" w:rsidRDefault="009D0248" w:rsidP="000A2BFA">
            <w:pPr>
              <w:ind w:left="0" w:firstLine="0"/>
              <w:outlineLvl w:val="1"/>
              <w:rPr>
                <w:rFonts w:ascii="Calibri" w:eastAsia="Calibri" w:hAnsi="Calibri" w:cs="Calibri"/>
                <w:bCs/>
              </w:rPr>
            </w:pPr>
            <w:r>
              <w:rPr>
                <w:rFonts w:ascii="Calibri" w:hAnsi="Calibri"/>
              </w:rPr>
              <w:t>Certains ajustements relatifs à l</w:t>
            </w:r>
            <w:r w:rsidR="00212CE8">
              <w:rPr>
                <w:rFonts w:ascii="Calibri" w:hAnsi="Calibri"/>
              </w:rPr>
              <w:t>’</w:t>
            </w:r>
            <w:r>
              <w:rPr>
                <w:rFonts w:ascii="Calibri" w:hAnsi="Calibri"/>
              </w:rPr>
              <w:t xml:space="preserve">équité en matière de rémunération du personnel </w:t>
            </w:r>
            <w:r w:rsidR="00701608">
              <w:rPr>
                <w:rFonts w:ascii="Calibri" w:hAnsi="Calibri"/>
              </w:rPr>
              <w:t xml:space="preserve">sont </w:t>
            </w:r>
            <w:r>
              <w:rPr>
                <w:rFonts w:ascii="Calibri" w:hAnsi="Calibri"/>
              </w:rPr>
              <w:t>possibles afin d</w:t>
            </w:r>
            <w:r w:rsidR="00212CE8">
              <w:rPr>
                <w:rFonts w:ascii="Calibri" w:hAnsi="Calibri"/>
              </w:rPr>
              <w:t>’</w:t>
            </w:r>
            <w:r>
              <w:rPr>
                <w:rFonts w:ascii="Calibri" w:hAnsi="Calibri"/>
              </w:rPr>
              <w:t>améliorer la rétention du personnel.</w:t>
            </w:r>
          </w:p>
        </w:tc>
        <w:tc>
          <w:tcPr>
            <w:tcW w:w="2977" w:type="dxa"/>
          </w:tcPr>
          <w:p w14:paraId="127D83FE" w14:textId="31D447D3" w:rsidR="004404E8" w:rsidRPr="009C676D" w:rsidRDefault="004E1AB1" w:rsidP="000A2BFA">
            <w:pPr>
              <w:ind w:left="0" w:firstLine="0"/>
              <w:outlineLvl w:val="1"/>
              <w:rPr>
                <w:rFonts w:ascii="Calibri" w:eastAsia="Calibri" w:hAnsi="Calibri" w:cs="Calibri"/>
                <w:bCs/>
              </w:rPr>
            </w:pPr>
            <w:r>
              <w:rPr>
                <w:rFonts w:ascii="Calibri" w:hAnsi="Calibri"/>
              </w:rPr>
              <w:t>Secrétariat doté de moyens pour répondre à l</w:t>
            </w:r>
            <w:r w:rsidR="00212CE8">
              <w:rPr>
                <w:rFonts w:ascii="Calibri" w:hAnsi="Calibri"/>
              </w:rPr>
              <w:t>’</w:t>
            </w:r>
            <w:r>
              <w:rPr>
                <w:rFonts w:ascii="Calibri" w:hAnsi="Calibri"/>
              </w:rPr>
              <w:t>augmentation des demandes des Parties contractantes.</w:t>
            </w:r>
          </w:p>
          <w:p w14:paraId="02242ABB" w14:textId="77777777" w:rsidR="004404E8" w:rsidRPr="009C676D" w:rsidRDefault="004404E8" w:rsidP="000A2BFA">
            <w:pPr>
              <w:ind w:left="0" w:firstLine="0"/>
              <w:outlineLvl w:val="1"/>
              <w:rPr>
                <w:rFonts w:ascii="Calibri" w:eastAsia="Calibri" w:hAnsi="Calibri" w:cs="Calibri"/>
                <w:bCs/>
              </w:rPr>
            </w:pPr>
          </w:p>
          <w:p w14:paraId="3EB935AC" w14:textId="643C954F" w:rsidR="009A469F" w:rsidRPr="009C676D" w:rsidRDefault="009A469F" w:rsidP="000A2BFA">
            <w:pPr>
              <w:ind w:left="0" w:firstLine="0"/>
              <w:outlineLvl w:val="1"/>
              <w:rPr>
                <w:rFonts w:ascii="Calibri" w:eastAsia="Calibri" w:hAnsi="Calibri" w:cs="Calibri"/>
                <w:bCs/>
              </w:rPr>
            </w:pPr>
            <w:r>
              <w:rPr>
                <w:rFonts w:ascii="Calibri" w:hAnsi="Calibri"/>
              </w:rPr>
              <w:t>Rémunération du personnel entièrement équitable avec le cadre de rémunération de l</w:t>
            </w:r>
            <w:r w:rsidR="00212CE8">
              <w:rPr>
                <w:rFonts w:ascii="Calibri" w:hAnsi="Calibri"/>
              </w:rPr>
              <w:t>’</w:t>
            </w:r>
            <w:r>
              <w:rPr>
                <w:rFonts w:ascii="Calibri" w:hAnsi="Calibri"/>
              </w:rPr>
              <w:t>UICN.</w:t>
            </w:r>
          </w:p>
          <w:p w14:paraId="72C8BF22" w14:textId="77777777" w:rsidR="009D0248" w:rsidRPr="009C676D" w:rsidRDefault="009D0248" w:rsidP="000A2BFA">
            <w:pPr>
              <w:ind w:left="0" w:firstLine="0"/>
              <w:outlineLvl w:val="1"/>
              <w:rPr>
                <w:rFonts w:ascii="Calibri" w:eastAsia="Calibri" w:hAnsi="Calibri" w:cs="Calibri"/>
                <w:bCs/>
              </w:rPr>
            </w:pPr>
          </w:p>
          <w:p w14:paraId="485F2850" w14:textId="07074662" w:rsidR="009D0248" w:rsidRPr="009C676D" w:rsidRDefault="00F2558A" w:rsidP="000A2BFA">
            <w:pPr>
              <w:ind w:left="0" w:firstLine="0"/>
              <w:outlineLvl w:val="1"/>
              <w:rPr>
                <w:rFonts w:ascii="Calibri" w:eastAsia="Calibri" w:hAnsi="Calibri" w:cs="Calibri"/>
                <w:bCs/>
              </w:rPr>
            </w:pPr>
            <w:r>
              <w:rPr>
                <w:rFonts w:ascii="Calibri" w:hAnsi="Calibri"/>
              </w:rPr>
              <w:t>Capacité améliorée à recruter et à retenir le personnel qualifié.</w:t>
            </w:r>
          </w:p>
        </w:tc>
        <w:tc>
          <w:tcPr>
            <w:tcW w:w="2835" w:type="dxa"/>
          </w:tcPr>
          <w:p w14:paraId="5A2B7846" w14:textId="35DCAC08" w:rsidR="004E1AB1" w:rsidRPr="009C676D" w:rsidRDefault="004E1AB1" w:rsidP="000A2BFA">
            <w:pPr>
              <w:ind w:left="0" w:firstLine="0"/>
              <w:outlineLvl w:val="1"/>
              <w:rPr>
                <w:rFonts w:ascii="Calibri" w:eastAsia="Calibri" w:hAnsi="Calibri" w:cs="Calibri"/>
                <w:bCs/>
              </w:rPr>
            </w:pPr>
            <w:r>
              <w:rPr>
                <w:rFonts w:ascii="Calibri" w:hAnsi="Calibri"/>
              </w:rPr>
              <w:t>Secrétariat doté de moyens complets pour répondre à l</w:t>
            </w:r>
            <w:r w:rsidR="00212CE8">
              <w:rPr>
                <w:rFonts w:ascii="Calibri" w:hAnsi="Calibri"/>
              </w:rPr>
              <w:t>’</w:t>
            </w:r>
            <w:r>
              <w:rPr>
                <w:rFonts w:ascii="Calibri" w:hAnsi="Calibri"/>
              </w:rPr>
              <w:t>augmentation des demandes des Parties contractantes.</w:t>
            </w:r>
          </w:p>
          <w:p w14:paraId="3CFCD2D7" w14:textId="77777777" w:rsidR="004E1AB1" w:rsidRPr="009C676D" w:rsidRDefault="004E1AB1" w:rsidP="000A2BFA">
            <w:pPr>
              <w:ind w:left="0" w:firstLine="0"/>
              <w:outlineLvl w:val="1"/>
              <w:rPr>
                <w:rFonts w:ascii="Calibri" w:eastAsia="Calibri" w:hAnsi="Calibri" w:cs="Calibri"/>
                <w:bCs/>
              </w:rPr>
            </w:pPr>
          </w:p>
          <w:p w14:paraId="6946FC24" w14:textId="0A851B85" w:rsidR="009D0248" w:rsidRPr="009C676D" w:rsidRDefault="009D0248" w:rsidP="000A2BFA">
            <w:pPr>
              <w:ind w:left="0" w:firstLine="0"/>
              <w:outlineLvl w:val="1"/>
              <w:rPr>
                <w:rFonts w:ascii="Calibri" w:eastAsia="Calibri" w:hAnsi="Calibri" w:cs="Calibri"/>
                <w:bCs/>
              </w:rPr>
            </w:pPr>
            <w:r>
              <w:rPr>
                <w:rFonts w:ascii="Calibri" w:hAnsi="Calibri"/>
              </w:rPr>
              <w:t>Rémunération du personnel entièrement équitable avec le cadre de rémunération de l</w:t>
            </w:r>
            <w:r w:rsidR="00212CE8">
              <w:rPr>
                <w:rFonts w:ascii="Calibri" w:hAnsi="Calibri"/>
              </w:rPr>
              <w:t>’</w:t>
            </w:r>
            <w:r>
              <w:rPr>
                <w:rFonts w:ascii="Calibri" w:hAnsi="Calibri"/>
              </w:rPr>
              <w:t>UICN.</w:t>
            </w:r>
          </w:p>
          <w:p w14:paraId="5C4D524D" w14:textId="77777777" w:rsidR="009D0248" w:rsidRPr="009C676D" w:rsidRDefault="009D0248" w:rsidP="000A2BFA">
            <w:pPr>
              <w:ind w:left="0" w:firstLine="0"/>
              <w:outlineLvl w:val="1"/>
              <w:rPr>
                <w:rFonts w:ascii="Calibri" w:eastAsia="Calibri" w:hAnsi="Calibri" w:cs="Calibri"/>
                <w:bCs/>
              </w:rPr>
            </w:pPr>
          </w:p>
          <w:p w14:paraId="342E7533" w14:textId="42633CEF" w:rsidR="00A90311" w:rsidRPr="009C676D" w:rsidRDefault="004404E8" w:rsidP="000A2BFA">
            <w:pPr>
              <w:ind w:left="0" w:firstLine="0"/>
              <w:outlineLvl w:val="1"/>
              <w:rPr>
                <w:rFonts w:ascii="Calibri" w:eastAsia="Calibri" w:hAnsi="Calibri" w:cs="Calibri"/>
                <w:bCs/>
              </w:rPr>
            </w:pPr>
            <w:r>
              <w:rPr>
                <w:rFonts w:ascii="Calibri" w:hAnsi="Calibri"/>
              </w:rPr>
              <w:t xml:space="preserve">Fonds disponibles pour le renforcement </w:t>
            </w:r>
            <w:r w:rsidR="00634218">
              <w:rPr>
                <w:rFonts w:ascii="Calibri" w:hAnsi="Calibri"/>
              </w:rPr>
              <w:t>d</w:t>
            </w:r>
            <w:r>
              <w:rPr>
                <w:rFonts w:ascii="Calibri" w:hAnsi="Calibri"/>
              </w:rPr>
              <w:t>es capacités du personnel.</w:t>
            </w:r>
          </w:p>
          <w:p w14:paraId="5D80DF37" w14:textId="77777777" w:rsidR="004404E8" w:rsidRPr="009C676D" w:rsidRDefault="004404E8" w:rsidP="000A2BFA">
            <w:pPr>
              <w:ind w:left="0" w:firstLine="0"/>
              <w:outlineLvl w:val="1"/>
              <w:rPr>
                <w:rFonts w:ascii="Calibri" w:eastAsia="Calibri" w:hAnsi="Calibri" w:cs="Calibri"/>
                <w:bCs/>
              </w:rPr>
            </w:pPr>
          </w:p>
          <w:p w14:paraId="059A6640" w14:textId="797CB781" w:rsidR="00F83939" w:rsidRPr="009C676D" w:rsidRDefault="004404E8" w:rsidP="000A2BFA">
            <w:pPr>
              <w:ind w:left="0" w:firstLine="0"/>
              <w:outlineLvl w:val="1"/>
              <w:rPr>
                <w:rFonts w:ascii="Calibri" w:eastAsia="Calibri" w:hAnsi="Calibri" w:cs="Calibri"/>
                <w:bCs/>
              </w:rPr>
            </w:pPr>
            <w:r>
              <w:rPr>
                <w:rFonts w:ascii="Calibri" w:hAnsi="Calibri"/>
              </w:rPr>
              <w:t>Fonds disponibles pour l</w:t>
            </w:r>
            <w:r w:rsidR="00212CE8">
              <w:rPr>
                <w:rFonts w:ascii="Calibri" w:hAnsi="Calibri"/>
              </w:rPr>
              <w:t>’</w:t>
            </w:r>
            <w:r>
              <w:rPr>
                <w:rFonts w:ascii="Calibri" w:hAnsi="Calibri"/>
              </w:rPr>
              <w:t>organisation de la COP, allégeant ainsi la charge financière du pays hôte.</w:t>
            </w:r>
          </w:p>
        </w:tc>
      </w:tr>
      <w:tr w:rsidR="00DF6A21" w:rsidRPr="009C676D" w14:paraId="216371D2" w14:textId="77777777" w:rsidTr="00736ED7">
        <w:tc>
          <w:tcPr>
            <w:tcW w:w="1493" w:type="dxa"/>
          </w:tcPr>
          <w:p w14:paraId="3C672488" w14:textId="26DB2D57" w:rsidR="00A90311" w:rsidRPr="009C676D" w:rsidRDefault="00DB012E" w:rsidP="000A2BFA">
            <w:pPr>
              <w:ind w:left="0" w:firstLine="0"/>
              <w:outlineLvl w:val="1"/>
              <w:rPr>
                <w:rFonts w:ascii="Calibri" w:eastAsia="Calibri" w:hAnsi="Calibri" w:cs="Calibri"/>
                <w:b/>
              </w:rPr>
            </w:pPr>
            <w:r>
              <w:rPr>
                <w:rFonts w:ascii="Calibri" w:hAnsi="Calibri"/>
                <w:b/>
              </w:rPr>
              <w:t>Limites et difficultés</w:t>
            </w:r>
          </w:p>
        </w:tc>
        <w:tc>
          <w:tcPr>
            <w:tcW w:w="3180" w:type="dxa"/>
          </w:tcPr>
          <w:p w14:paraId="044B3216" w14:textId="7806D543" w:rsidR="00CB5443" w:rsidRPr="009C676D" w:rsidRDefault="00CB5443" w:rsidP="000A2BFA">
            <w:pPr>
              <w:ind w:left="0" w:firstLine="0"/>
              <w:outlineLvl w:val="1"/>
              <w:rPr>
                <w:rFonts w:ascii="Calibri" w:eastAsia="Calibri" w:hAnsi="Calibri" w:cs="Calibri"/>
                <w:bCs/>
              </w:rPr>
            </w:pPr>
            <w:r>
              <w:rPr>
                <w:rFonts w:ascii="Calibri" w:hAnsi="Calibri"/>
              </w:rPr>
              <w:t>Toute activité supplémentaire financée par les contributions volontaires.</w:t>
            </w:r>
          </w:p>
          <w:p w14:paraId="657A8936" w14:textId="77777777" w:rsidR="00CB5443" w:rsidRPr="009C676D" w:rsidRDefault="00CB5443" w:rsidP="000A2BFA">
            <w:pPr>
              <w:ind w:left="0" w:firstLine="0"/>
              <w:outlineLvl w:val="1"/>
              <w:rPr>
                <w:rFonts w:ascii="Calibri" w:eastAsia="Calibri" w:hAnsi="Calibri" w:cs="Calibri"/>
                <w:bCs/>
              </w:rPr>
            </w:pPr>
          </w:p>
          <w:p w14:paraId="7903EE66" w14:textId="076A7C21" w:rsidR="00706E53" w:rsidRPr="009C676D" w:rsidRDefault="009A469F" w:rsidP="000A2BFA">
            <w:pPr>
              <w:ind w:left="0" w:firstLine="0"/>
              <w:outlineLvl w:val="1"/>
              <w:rPr>
                <w:rFonts w:ascii="Calibri" w:eastAsia="Calibri" w:hAnsi="Calibri" w:cs="Calibri"/>
                <w:bCs/>
              </w:rPr>
            </w:pPr>
            <w:r>
              <w:rPr>
                <w:rFonts w:ascii="Calibri" w:hAnsi="Calibri"/>
              </w:rPr>
              <w:t>Rémunération du personnel n</w:t>
            </w:r>
            <w:r w:rsidR="00212CE8">
              <w:rPr>
                <w:rFonts w:ascii="Calibri" w:hAnsi="Calibri"/>
              </w:rPr>
              <w:t>’</w:t>
            </w:r>
            <w:r>
              <w:rPr>
                <w:rFonts w:ascii="Calibri" w:hAnsi="Calibri"/>
              </w:rPr>
              <w:t>est pas équitable avec le cadre de rémunération de l</w:t>
            </w:r>
            <w:r w:rsidR="00212CE8">
              <w:rPr>
                <w:rFonts w:ascii="Calibri" w:hAnsi="Calibri"/>
              </w:rPr>
              <w:t>’</w:t>
            </w:r>
            <w:r>
              <w:rPr>
                <w:rFonts w:ascii="Calibri" w:hAnsi="Calibri"/>
              </w:rPr>
              <w:t>UICN.</w:t>
            </w:r>
          </w:p>
          <w:p w14:paraId="07F93601" w14:textId="77777777" w:rsidR="00CB5443" w:rsidRPr="009C676D" w:rsidRDefault="00CB5443" w:rsidP="000A2BFA">
            <w:pPr>
              <w:ind w:left="0" w:firstLine="0"/>
              <w:outlineLvl w:val="1"/>
              <w:rPr>
                <w:rFonts w:ascii="Calibri" w:eastAsia="Calibri" w:hAnsi="Calibri" w:cs="Calibri"/>
                <w:bCs/>
              </w:rPr>
            </w:pPr>
          </w:p>
          <w:p w14:paraId="5BF141FB" w14:textId="0B6C62DF" w:rsidR="00CB5443" w:rsidRPr="009C676D" w:rsidRDefault="00CB5443" w:rsidP="000A2BFA">
            <w:pPr>
              <w:ind w:left="0" w:firstLine="0"/>
              <w:outlineLvl w:val="1"/>
              <w:rPr>
                <w:rFonts w:ascii="Calibri" w:eastAsia="Calibri" w:hAnsi="Calibri" w:cs="Calibri"/>
                <w:bCs/>
              </w:rPr>
            </w:pPr>
            <w:r>
              <w:rPr>
                <w:rFonts w:ascii="Calibri" w:hAnsi="Calibri"/>
              </w:rPr>
              <w:t>Risque d</w:t>
            </w:r>
            <w:r w:rsidR="00212CE8">
              <w:rPr>
                <w:rFonts w:ascii="Calibri" w:hAnsi="Calibri"/>
              </w:rPr>
              <w:t>’</w:t>
            </w:r>
            <w:r>
              <w:rPr>
                <w:rFonts w:ascii="Calibri" w:hAnsi="Calibri"/>
              </w:rPr>
              <w:t xml:space="preserve">épuisement professionnel du personnel si la charge de travail reste élevée, ce </w:t>
            </w:r>
            <w:r>
              <w:rPr>
                <w:rFonts w:ascii="Calibri" w:hAnsi="Calibri"/>
              </w:rPr>
              <w:lastRenderedPageBreak/>
              <w:t>qui pourrait entraîner une baisse de l</w:t>
            </w:r>
            <w:r w:rsidR="00212CE8">
              <w:rPr>
                <w:rFonts w:ascii="Calibri" w:hAnsi="Calibri"/>
              </w:rPr>
              <w:t>’</w:t>
            </w:r>
            <w:r>
              <w:rPr>
                <w:rFonts w:ascii="Calibri" w:hAnsi="Calibri"/>
              </w:rPr>
              <w:t xml:space="preserve">efficacité. </w:t>
            </w:r>
          </w:p>
        </w:tc>
        <w:tc>
          <w:tcPr>
            <w:tcW w:w="3827" w:type="dxa"/>
          </w:tcPr>
          <w:p w14:paraId="4666B46F" w14:textId="5C713420" w:rsidR="00A90311" w:rsidRPr="009C676D" w:rsidRDefault="004404E8" w:rsidP="000A2BFA">
            <w:pPr>
              <w:ind w:left="0" w:firstLine="0"/>
              <w:outlineLvl w:val="1"/>
              <w:rPr>
                <w:rFonts w:ascii="Calibri" w:eastAsia="Calibri" w:hAnsi="Calibri" w:cs="Calibri"/>
                <w:bCs/>
              </w:rPr>
            </w:pPr>
            <w:r>
              <w:rPr>
                <w:rFonts w:ascii="Calibri" w:hAnsi="Calibri"/>
              </w:rPr>
              <w:lastRenderedPageBreak/>
              <w:t>Capacité limitée du personnel en matière de perfectionnement professionnel.</w:t>
            </w:r>
          </w:p>
          <w:p w14:paraId="07A5F1A2" w14:textId="77777777" w:rsidR="004404E8" w:rsidRPr="009C676D" w:rsidRDefault="004404E8" w:rsidP="000A2BFA">
            <w:pPr>
              <w:ind w:left="0" w:firstLine="0"/>
              <w:outlineLvl w:val="1"/>
              <w:rPr>
                <w:rFonts w:ascii="Calibri" w:eastAsia="Calibri" w:hAnsi="Calibri" w:cs="Calibri"/>
                <w:bCs/>
              </w:rPr>
            </w:pPr>
          </w:p>
          <w:p w14:paraId="517D2C73" w14:textId="309A872C" w:rsidR="009A469F" w:rsidRPr="009C676D" w:rsidRDefault="009A469F" w:rsidP="000A2BFA">
            <w:pPr>
              <w:ind w:left="0" w:firstLine="0"/>
              <w:outlineLvl w:val="1"/>
              <w:rPr>
                <w:rFonts w:ascii="Calibri" w:eastAsia="Calibri" w:hAnsi="Calibri" w:cs="Calibri"/>
                <w:bCs/>
              </w:rPr>
            </w:pPr>
            <w:r>
              <w:rPr>
                <w:rFonts w:ascii="Calibri" w:hAnsi="Calibri"/>
              </w:rPr>
              <w:t>Rémunération du personnel n</w:t>
            </w:r>
            <w:r w:rsidR="00212CE8">
              <w:rPr>
                <w:rFonts w:ascii="Calibri" w:hAnsi="Calibri"/>
              </w:rPr>
              <w:t>’</w:t>
            </w:r>
            <w:r>
              <w:rPr>
                <w:rFonts w:ascii="Calibri" w:hAnsi="Calibri"/>
              </w:rPr>
              <w:t>est pas équitable avec le cadre de rémunération de l</w:t>
            </w:r>
            <w:r w:rsidR="00212CE8">
              <w:rPr>
                <w:rFonts w:ascii="Calibri" w:hAnsi="Calibri"/>
              </w:rPr>
              <w:t>’</w:t>
            </w:r>
            <w:r>
              <w:rPr>
                <w:rFonts w:ascii="Calibri" w:hAnsi="Calibri"/>
              </w:rPr>
              <w:t>UICN.</w:t>
            </w:r>
          </w:p>
        </w:tc>
        <w:tc>
          <w:tcPr>
            <w:tcW w:w="2977" w:type="dxa"/>
          </w:tcPr>
          <w:p w14:paraId="4A1F11B1" w14:textId="437C61A4" w:rsidR="009A469F" w:rsidRPr="009C676D" w:rsidRDefault="00F2558A" w:rsidP="000A2BFA">
            <w:pPr>
              <w:outlineLvl w:val="1"/>
              <w:rPr>
                <w:rFonts w:ascii="Calibri" w:eastAsia="Calibri" w:hAnsi="Calibri" w:cs="Calibri"/>
                <w:bCs/>
              </w:rPr>
            </w:pPr>
            <w:r>
              <w:rPr>
                <w:rFonts w:ascii="Calibri" w:hAnsi="Calibri"/>
              </w:rPr>
              <w:t>s.o.</w:t>
            </w:r>
          </w:p>
        </w:tc>
        <w:tc>
          <w:tcPr>
            <w:tcW w:w="2835" w:type="dxa"/>
          </w:tcPr>
          <w:p w14:paraId="24F68BF1" w14:textId="40538A87" w:rsidR="00A90311" w:rsidRPr="009C676D" w:rsidRDefault="00F2558A" w:rsidP="000A2BFA">
            <w:pPr>
              <w:outlineLvl w:val="1"/>
              <w:rPr>
                <w:rFonts w:ascii="Calibri" w:eastAsia="Calibri" w:hAnsi="Calibri" w:cs="Calibri"/>
                <w:bCs/>
              </w:rPr>
            </w:pPr>
            <w:r>
              <w:rPr>
                <w:rFonts w:ascii="Calibri" w:hAnsi="Calibri"/>
              </w:rPr>
              <w:t>s.o.</w:t>
            </w:r>
          </w:p>
        </w:tc>
      </w:tr>
      <w:tr w:rsidR="00DF6A21" w:rsidRPr="009C676D" w14:paraId="0B03787C" w14:textId="77777777" w:rsidTr="00736ED7">
        <w:tc>
          <w:tcPr>
            <w:tcW w:w="1493" w:type="dxa"/>
          </w:tcPr>
          <w:p w14:paraId="7F1253E3" w14:textId="63AC1864" w:rsidR="00A90311" w:rsidRPr="009C676D" w:rsidRDefault="00706E53" w:rsidP="000A2BFA">
            <w:pPr>
              <w:ind w:left="0" w:firstLine="0"/>
              <w:outlineLvl w:val="1"/>
              <w:rPr>
                <w:rFonts w:ascii="Calibri" w:eastAsia="Calibri" w:hAnsi="Calibri" w:cs="Calibri"/>
                <w:b/>
              </w:rPr>
            </w:pPr>
            <w:r>
              <w:rPr>
                <w:rFonts w:ascii="Calibri" w:hAnsi="Calibri"/>
                <w:b/>
              </w:rPr>
              <w:t xml:space="preserve">Possibilités </w:t>
            </w:r>
          </w:p>
        </w:tc>
        <w:tc>
          <w:tcPr>
            <w:tcW w:w="3180" w:type="dxa"/>
          </w:tcPr>
          <w:p w14:paraId="7D291A0E" w14:textId="0DCEF0F5" w:rsidR="00A90311" w:rsidRPr="009C676D" w:rsidRDefault="00137EC1" w:rsidP="000A2BFA">
            <w:pPr>
              <w:ind w:left="0" w:firstLine="0"/>
              <w:outlineLvl w:val="1"/>
              <w:rPr>
                <w:rFonts w:ascii="Calibri" w:eastAsia="Calibri" w:hAnsi="Calibri" w:cs="Calibri"/>
                <w:bCs/>
              </w:rPr>
            </w:pPr>
            <w:r>
              <w:rPr>
                <w:rFonts w:ascii="Calibri" w:hAnsi="Calibri"/>
              </w:rPr>
              <w:t>Nécessite un examen avec les Parties concernant les activités qui ne sont plus nécessaires.</w:t>
            </w:r>
          </w:p>
        </w:tc>
        <w:tc>
          <w:tcPr>
            <w:tcW w:w="3827" w:type="dxa"/>
          </w:tcPr>
          <w:p w14:paraId="065D6895" w14:textId="4769D138" w:rsidR="00A90311" w:rsidRPr="009C676D" w:rsidRDefault="00496E68" w:rsidP="000A2BFA">
            <w:pPr>
              <w:ind w:left="0" w:firstLine="0"/>
              <w:outlineLvl w:val="1"/>
              <w:rPr>
                <w:rFonts w:ascii="Calibri" w:eastAsia="Calibri" w:hAnsi="Calibri" w:cs="Calibri"/>
                <w:bCs/>
              </w:rPr>
            </w:pPr>
            <w:r>
              <w:rPr>
                <w:rFonts w:ascii="Calibri" w:hAnsi="Calibri"/>
              </w:rPr>
              <w:t>Augmentation limitée des activités d</w:t>
            </w:r>
            <w:r w:rsidR="00212CE8">
              <w:rPr>
                <w:rFonts w:ascii="Calibri" w:hAnsi="Calibri"/>
              </w:rPr>
              <w:t>’</w:t>
            </w:r>
            <w:r>
              <w:rPr>
                <w:rFonts w:ascii="Calibri" w:hAnsi="Calibri"/>
              </w:rPr>
              <w:t>information et de visibilité de la Convention.</w:t>
            </w:r>
          </w:p>
          <w:p w14:paraId="6E2CE42E" w14:textId="77777777" w:rsidR="00B72306" w:rsidRPr="009C676D" w:rsidRDefault="00B72306" w:rsidP="000A2BFA">
            <w:pPr>
              <w:ind w:left="0" w:firstLine="0"/>
              <w:outlineLvl w:val="1"/>
              <w:rPr>
                <w:rFonts w:ascii="Calibri" w:eastAsia="Calibri" w:hAnsi="Calibri" w:cs="Calibri"/>
                <w:bCs/>
              </w:rPr>
            </w:pPr>
          </w:p>
          <w:p w14:paraId="2CD98F30" w14:textId="38F160CA" w:rsidR="00137EC1" w:rsidRPr="009C676D" w:rsidRDefault="00496E68" w:rsidP="000A2BFA">
            <w:pPr>
              <w:ind w:left="0" w:firstLine="0"/>
              <w:outlineLvl w:val="1"/>
              <w:rPr>
                <w:rFonts w:ascii="Calibri" w:eastAsia="Calibri" w:hAnsi="Calibri" w:cs="Calibri"/>
                <w:bCs/>
              </w:rPr>
            </w:pPr>
            <w:r>
              <w:rPr>
                <w:rFonts w:ascii="Calibri" w:hAnsi="Calibri"/>
              </w:rPr>
              <w:t>Augmentation limitée du soutien aux Parties contractantes en matière d</w:t>
            </w:r>
            <w:r w:rsidR="00212CE8">
              <w:rPr>
                <w:rFonts w:ascii="Calibri" w:hAnsi="Calibri"/>
              </w:rPr>
              <w:t>’</w:t>
            </w:r>
            <w:r>
              <w:rPr>
                <w:rFonts w:ascii="Calibri" w:hAnsi="Calibri"/>
              </w:rPr>
              <w:t>application.</w:t>
            </w:r>
          </w:p>
        </w:tc>
        <w:tc>
          <w:tcPr>
            <w:tcW w:w="2977" w:type="dxa"/>
          </w:tcPr>
          <w:p w14:paraId="0032A168" w14:textId="6AC3939C" w:rsidR="009A469F" w:rsidRPr="009C676D" w:rsidRDefault="009A469F" w:rsidP="000A2BFA">
            <w:pPr>
              <w:ind w:left="0" w:firstLine="0"/>
              <w:outlineLvl w:val="1"/>
              <w:rPr>
                <w:rFonts w:ascii="Calibri" w:eastAsia="Calibri" w:hAnsi="Calibri" w:cs="Calibri"/>
                <w:bCs/>
              </w:rPr>
            </w:pPr>
            <w:r>
              <w:rPr>
                <w:rFonts w:ascii="Calibri" w:hAnsi="Calibri"/>
              </w:rPr>
              <w:t>Augmentation des activités d</w:t>
            </w:r>
            <w:r w:rsidR="00212CE8">
              <w:rPr>
                <w:rFonts w:ascii="Calibri" w:hAnsi="Calibri"/>
              </w:rPr>
              <w:t>’</w:t>
            </w:r>
            <w:r>
              <w:rPr>
                <w:rFonts w:ascii="Calibri" w:hAnsi="Calibri"/>
              </w:rPr>
              <w:t>information et de visibilité de la Convention.</w:t>
            </w:r>
          </w:p>
          <w:p w14:paraId="400E1406" w14:textId="77777777" w:rsidR="009A469F" w:rsidRPr="009C676D" w:rsidRDefault="009A469F" w:rsidP="000A2BFA">
            <w:pPr>
              <w:ind w:left="0" w:firstLine="0"/>
              <w:outlineLvl w:val="1"/>
              <w:rPr>
                <w:rFonts w:ascii="Calibri" w:eastAsia="Calibri" w:hAnsi="Calibri" w:cs="Calibri"/>
                <w:bCs/>
              </w:rPr>
            </w:pPr>
          </w:p>
          <w:p w14:paraId="4FB01D70" w14:textId="47F305C1" w:rsidR="00A90311" w:rsidRPr="009C676D" w:rsidRDefault="00424000" w:rsidP="000A2BFA">
            <w:pPr>
              <w:ind w:left="0" w:firstLine="0"/>
              <w:outlineLvl w:val="1"/>
              <w:rPr>
                <w:rFonts w:ascii="Calibri" w:eastAsia="Calibri" w:hAnsi="Calibri" w:cs="Calibri"/>
                <w:bCs/>
              </w:rPr>
            </w:pPr>
            <w:r>
              <w:rPr>
                <w:rFonts w:ascii="Calibri" w:hAnsi="Calibri"/>
              </w:rPr>
              <w:t>Les Parties contractantes sont plus largement soutenu</w:t>
            </w:r>
            <w:r w:rsidR="00BE36A6">
              <w:rPr>
                <w:rFonts w:ascii="Calibri" w:hAnsi="Calibri"/>
              </w:rPr>
              <w:t>e</w:t>
            </w:r>
            <w:r>
              <w:rPr>
                <w:rFonts w:ascii="Calibri" w:hAnsi="Calibri"/>
              </w:rPr>
              <w:t>s pour ce qui est des rapports nationaux et des mises à jour des fiches descriptives Ramsar. Capacité à mettre à profit les données et les connaissances pour améliorer l</w:t>
            </w:r>
            <w:r w:rsidR="00212CE8">
              <w:rPr>
                <w:rFonts w:ascii="Calibri" w:hAnsi="Calibri"/>
              </w:rPr>
              <w:t>’</w:t>
            </w:r>
            <w:r>
              <w:rPr>
                <w:rFonts w:ascii="Calibri" w:hAnsi="Calibri"/>
              </w:rPr>
              <w:t>application de la Convention.</w:t>
            </w:r>
          </w:p>
          <w:p w14:paraId="34D49683" w14:textId="77777777" w:rsidR="00137EC1" w:rsidRPr="009C676D" w:rsidRDefault="00137EC1" w:rsidP="000A2BFA">
            <w:pPr>
              <w:ind w:left="0" w:firstLine="0"/>
              <w:outlineLvl w:val="1"/>
              <w:rPr>
                <w:rFonts w:ascii="Calibri" w:eastAsia="Calibri" w:hAnsi="Calibri" w:cs="Calibri"/>
                <w:bCs/>
              </w:rPr>
            </w:pPr>
          </w:p>
          <w:p w14:paraId="3156E0E8" w14:textId="2AE2C122" w:rsidR="00137EC1" w:rsidRPr="009C676D" w:rsidRDefault="00AA57F5" w:rsidP="000A2BFA">
            <w:pPr>
              <w:ind w:left="0" w:firstLine="0"/>
              <w:outlineLvl w:val="1"/>
              <w:rPr>
                <w:rFonts w:ascii="Calibri" w:eastAsia="Calibri" w:hAnsi="Calibri" w:cs="Calibri"/>
                <w:bCs/>
              </w:rPr>
            </w:pPr>
            <w:r>
              <w:rPr>
                <w:rFonts w:ascii="Calibri" w:hAnsi="Calibri"/>
              </w:rPr>
              <w:t>Renforcement des capacités du Secrétariat pour s</w:t>
            </w:r>
            <w:r w:rsidR="00212CE8">
              <w:rPr>
                <w:rFonts w:ascii="Calibri" w:hAnsi="Calibri"/>
              </w:rPr>
              <w:t>’</w:t>
            </w:r>
            <w:r>
              <w:rPr>
                <w:rFonts w:ascii="Calibri" w:hAnsi="Calibri"/>
              </w:rPr>
              <w:t>acquitter de nouvelles tâches et activités visant à soutenir les Parties contractantes.</w:t>
            </w:r>
          </w:p>
        </w:tc>
        <w:tc>
          <w:tcPr>
            <w:tcW w:w="2835" w:type="dxa"/>
          </w:tcPr>
          <w:p w14:paraId="78CA28E5" w14:textId="2B487C4A" w:rsidR="00137EC1" w:rsidRPr="009C676D" w:rsidRDefault="00137EC1" w:rsidP="000A2BFA">
            <w:pPr>
              <w:ind w:left="0" w:firstLine="0"/>
              <w:outlineLvl w:val="1"/>
              <w:rPr>
                <w:rFonts w:ascii="Calibri" w:eastAsia="Calibri" w:hAnsi="Calibri" w:cs="Calibri"/>
                <w:bCs/>
              </w:rPr>
            </w:pPr>
            <w:r>
              <w:rPr>
                <w:rFonts w:ascii="Calibri" w:hAnsi="Calibri"/>
              </w:rPr>
              <w:t>Augmentation des activités d</w:t>
            </w:r>
            <w:r w:rsidR="00212CE8">
              <w:rPr>
                <w:rFonts w:ascii="Calibri" w:hAnsi="Calibri"/>
              </w:rPr>
              <w:t>’</w:t>
            </w:r>
            <w:r>
              <w:rPr>
                <w:rFonts w:ascii="Calibri" w:hAnsi="Calibri"/>
              </w:rPr>
              <w:t>information et de visibilité de la Convention.</w:t>
            </w:r>
          </w:p>
          <w:p w14:paraId="040304D1" w14:textId="77777777" w:rsidR="00137EC1" w:rsidRPr="009C676D" w:rsidRDefault="00137EC1" w:rsidP="000A2BFA">
            <w:pPr>
              <w:ind w:left="0" w:firstLine="0"/>
              <w:outlineLvl w:val="1"/>
              <w:rPr>
                <w:rFonts w:ascii="Calibri" w:eastAsia="Calibri" w:hAnsi="Calibri" w:cs="Calibri"/>
                <w:bCs/>
              </w:rPr>
            </w:pPr>
          </w:p>
          <w:p w14:paraId="3287542F" w14:textId="513086EB" w:rsidR="00F2558A" w:rsidRPr="009C676D" w:rsidRDefault="00F2558A" w:rsidP="000A2BFA">
            <w:pPr>
              <w:ind w:left="0" w:firstLine="0"/>
              <w:outlineLvl w:val="1"/>
              <w:rPr>
                <w:rFonts w:ascii="Calibri" w:eastAsia="Calibri" w:hAnsi="Calibri" w:cs="Calibri"/>
                <w:bCs/>
              </w:rPr>
            </w:pPr>
            <w:r>
              <w:rPr>
                <w:rFonts w:ascii="Calibri" w:hAnsi="Calibri"/>
              </w:rPr>
              <w:t>Les Parties contractantes sont plus largement soutenu</w:t>
            </w:r>
            <w:r w:rsidR="00BE36A6">
              <w:rPr>
                <w:rFonts w:ascii="Calibri" w:hAnsi="Calibri"/>
              </w:rPr>
              <w:t>e</w:t>
            </w:r>
            <w:r>
              <w:rPr>
                <w:rFonts w:ascii="Calibri" w:hAnsi="Calibri"/>
              </w:rPr>
              <w:t>s pour ce qui est des rapports nationaux et des mises à jour des fiches descriptives Ramsar. Capacité à mettre à profit les données et les connaissances pour améliorer l</w:t>
            </w:r>
            <w:r w:rsidR="00212CE8">
              <w:rPr>
                <w:rFonts w:ascii="Calibri" w:hAnsi="Calibri"/>
              </w:rPr>
              <w:t>’</w:t>
            </w:r>
            <w:r>
              <w:rPr>
                <w:rFonts w:ascii="Calibri" w:hAnsi="Calibri"/>
              </w:rPr>
              <w:t>application de la Convention.</w:t>
            </w:r>
          </w:p>
          <w:p w14:paraId="0C99B090" w14:textId="77777777" w:rsidR="00F2558A" w:rsidRPr="009C676D" w:rsidRDefault="00F2558A" w:rsidP="000A2BFA">
            <w:pPr>
              <w:ind w:left="0" w:firstLine="0"/>
              <w:outlineLvl w:val="1"/>
              <w:rPr>
                <w:rFonts w:ascii="Calibri" w:eastAsia="Calibri" w:hAnsi="Calibri" w:cs="Calibri"/>
                <w:bCs/>
              </w:rPr>
            </w:pPr>
          </w:p>
          <w:p w14:paraId="6CFEEE28" w14:textId="314019AF" w:rsidR="00A90311" w:rsidRPr="009C676D" w:rsidRDefault="009C676D" w:rsidP="000A2BFA">
            <w:pPr>
              <w:ind w:left="0" w:firstLine="0"/>
              <w:outlineLvl w:val="1"/>
              <w:rPr>
                <w:rFonts w:ascii="Calibri" w:eastAsia="Calibri" w:hAnsi="Calibri" w:cs="Calibri"/>
                <w:bCs/>
              </w:rPr>
            </w:pPr>
            <w:r>
              <w:rPr>
                <w:rFonts w:ascii="Calibri" w:hAnsi="Calibri"/>
              </w:rPr>
              <w:t>Les compétences et les aptitudes du personnel sont améliorées grâce au renforcement des capacités.</w:t>
            </w:r>
          </w:p>
        </w:tc>
      </w:tr>
      <w:tr w:rsidR="00DF6A21" w:rsidRPr="009C676D" w14:paraId="5621F93C" w14:textId="77777777" w:rsidTr="00736ED7">
        <w:tc>
          <w:tcPr>
            <w:tcW w:w="1493" w:type="dxa"/>
          </w:tcPr>
          <w:p w14:paraId="1F31DB94" w14:textId="0D77148B" w:rsidR="00A90311" w:rsidRPr="009C676D" w:rsidRDefault="00DB012E" w:rsidP="000A2BFA">
            <w:pPr>
              <w:ind w:left="0" w:firstLine="0"/>
              <w:outlineLvl w:val="1"/>
              <w:rPr>
                <w:rFonts w:ascii="Calibri" w:eastAsia="Calibri" w:hAnsi="Calibri" w:cs="Calibri"/>
                <w:b/>
              </w:rPr>
            </w:pPr>
            <w:r>
              <w:rPr>
                <w:rFonts w:ascii="Calibri" w:hAnsi="Calibri"/>
                <w:b/>
              </w:rPr>
              <w:t>Risques et difficultés</w:t>
            </w:r>
          </w:p>
        </w:tc>
        <w:tc>
          <w:tcPr>
            <w:tcW w:w="3180" w:type="dxa"/>
          </w:tcPr>
          <w:p w14:paraId="694C4DFD" w14:textId="68A65410" w:rsidR="00706E53" w:rsidRPr="009C676D" w:rsidRDefault="00706E53" w:rsidP="000A2BFA">
            <w:pPr>
              <w:ind w:left="0" w:firstLine="0"/>
              <w:outlineLvl w:val="1"/>
              <w:rPr>
                <w:rFonts w:ascii="Calibri" w:eastAsia="Calibri" w:hAnsi="Calibri" w:cs="Calibri"/>
                <w:bCs/>
              </w:rPr>
            </w:pPr>
            <w:r>
              <w:rPr>
                <w:rFonts w:ascii="Calibri" w:hAnsi="Calibri"/>
              </w:rPr>
              <w:t>Capacité limitée à gérer de nouvelles tâches ou activités.</w:t>
            </w:r>
          </w:p>
          <w:p w14:paraId="2F58CCEF" w14:textId="77777777" w:rsidR="00706E53" w:rsidRPr="009C676D" w:rsidRDefault="00706E53" w:rsidP="000A2BFA">
            <w:pPr>
              <w:ind w:left="0" w:firstLine="0"/>
              <w:outlineLvl w:val="1"/>
              <w:rPr>
                <w:rFonts w:ascii="Calibri" w:eastAsia="Calibri" w:hAnsi="Calibri" w:cs="Calibri"/>
                <w:bCs/>
              </w:rPr>
            </w:pPr>
          </w:p>
          <w:p w14:paraId="01E0076D" w14:textId="4DB4BBFD" w:rsidR="00CB5443" w:rsidRPr="009C676D" w:rsidRDefault="00AA57F5" w:rsidP="000A2BFA">
            <w:pPr>
              <w:ind w:left="0" w:firstLine="0"/>
              <w:outlineLvl w:val="1"/>
              <w:rPr>
                <w:rFonts w:ascii="Calibri" w:eastAsia="Calibri" w:hAnsi="Calibri" w:cs="Calibri"/>
                <w:bCs/>
              </w:rPr>
            </w:pPr>
            <w:r>
              <w:rPr>
                <w:rFonts w:ascii="Calibri" w:hAnsi="Calibri"/>
              </w:rPr>
              <w:t>Capacité limitée à mieux faire connaître la Convention et renfo</w:t>
            </w:r>
            <w:r w:rsidR="00BE36A6">
              <w:rPr>
                <w:rFonts w:ascii="Calibri" w:hAnsi="Calibri"/>
              </w:rPr>
              <w:t>r</w:t>
            </w:r>
            <w:r>
              <w:rPr>
                <w:rFonts w:ascii="Calibri" w:hAnsi="Calibri"/>
              </w:rPr>
              <w:t>cer les synergies avec d</w:t>
            </w:r>
            <w:r w:rsidR="00212CE8">
              <w:rPr>
                <w:rFonts w:ascii="Calibri" w:hAnsi="Calibri"/>
              </w:rPr>
              <w:t>’</w:t>
            </w:r>
            <w:r>
              <w:rPr>
                <w:rFonts w:ascii="Calibri" w:hAnsi="Calibri"/>
              </w:rPr>
              <w:t>autres accords multilatéraux sur l</w:t>
            </w:r>
            <w:r w:rsidR="00212CE8">
              <w:rPr>
                <w:rFonts w:ascii="Calibri" w:hAnsi="Calibri"/>
              </w:rPr>
              <w:t>’</w:t>
            </w:r>
            <w:r>
              <w:rPr>
                <w:rFonts w:ascii="Calibri" w:hAnsi="Calibri"/>
              </w:rPr>
              <w:t>environnement.</w:t>
            </w:r>
          </w:p>
          <w:p w14:paraId="78E19F32" w14:textId="77777777" w:rsidR="00CB5443" w:rsidRPr="009C676D" w:rsidRDefault="00CB5443" w:rsidP="000A2BFA">
            <w:pPr>
              <w:ind w:left="0" w:firstLine="0"/>
              <w:outlineLvl w:val="1"/>
              <w:rPr>
                <w:rFonts w:ascii="Calibri" w:eastAsia="Calibri" w:hAnsi="Calibri" w:cs="Calibri"/>
                <w:bCs/>
              </w:rPr>
            </w:pPr>
          </w:p>
          <w:p w14:paraId="4612FFB7" w14:textId="04A8CCC6" w:rsidR="00137EC1" w:rsidRPr="009C676D" w:rsidRDefault="00137EC1" w:rsidP="000A2BFA">
            <w:pPr>
              <w:ind w:left="0" w:firstLine="0"/>
              <w:outlineLvl w:val="1"/>
              <w:rPr>
                <w:rFonts w:ascii="Calibri" w:eastAsia="Calibri" w:hAnsi="Calibri" w:cs="Calibri"/>
                <w:bCs/>
              </w:rPr>
            </w:pPr>
            <w:r>
              <w:rPr>
                <w:rFonts w:ascii="Calibri" w:hAnsi="Calibri"/>
              </w:rPr>
              <w:lastRenderedPageBreak/>
              <w:t>Insatisfaction des employés et taux de renouvellement élevé dû à la surcharge de travail.</w:t>
            </w:r>
          </w:p>
          <w:p w14:paraId="5AED0770" w14:textId="77777777" w:rsidR="00137EC1" w:rsidRPr="009C676D" w:rsidRDefault="00137EC1" w:rsidP="000A2BFA">
            <w:pPr>
              <w:ind w:left="0" w:firstLine="0"/>
              <w:outlineLvl w:val="1"/>
              <w:rPr>
                <w:rFonts w:ascii="Calibri" w:eastAsia="Calibri" w:hAnsi="Calibri" w:cs="Calibri"/>
                <w:bCs/>
              </w:rPr>
            </w:pPr>
          </w:p>
          <w:p w14:paraId="56C18EE3" w14:textId="558B921E" w:rsidR="00A90311" w:rsidRPr="009C676D" w:rsidRDefault="00706E53" w:rsidP="000A2BFA">
            <w:pPr>
              <w:ind w:left="0" w:firstLine="0"/>
              <w:outlineLvl w:val="1"/>
              <w:rPr>
                <w:rFonts w:ascii="Calibri" w:eastAsia="Calibri" w:hAnsi="Calibri" w:cs="Calibri"/>
                <w:bCs/>
              </w:rPr>
            </w:pPr>
            <w:r>
              <w:rPr>
                <w:rFonts w:ascii="Calibri" w:hAnsi="Calibri"/>
              </w:rPr>
              <w:t>Risque de baisse de la qualité du service et de la productivité.</w:t>
            </w:r>
          </w:p>
        </w:tc>
        <w:tc>
          <w:tcPr>
            <w:tcW w:w="3827" w:type="dxa"/>
          </w:tcPr>
          <w:p w14:paraId="5A93774D" w14:textId="61319AD9" w:rsidR="00A90311" w:rsidRPr="009C676D" w:rsidRDefault="00496E68" w:rsidP="000A2BFA">
            <w:pPr>
              <w:ind w:left="0" w:firstLine="0"/>
              <w:outlineLvl w:val="1"/>
              <w:rPr>
                <w:rFonts w:ascii="Calibri" w:eastAsia="Calibri" w:hAnsi="Calibri" w:cs="Calibri"/>
                <w:bCs/>
              </w:rPr>
            </w:pPr>
            <w:r>
              <w:rPr>
                <w:rFonts w:ascii="Calibri" w:hAnsi="Calibri"/>
              </w:rPr>
              <w:lastRenderedPageBreak/>
              <w:t>Difficulté à satisfaire pleinement les demandes et les attentes des Parties contractantes.</w:t>
            </w:r>
          </w:p>
        </w:tc>
        <w:tc>
          <w:tcPr>
            <w:tcW w:w="2977" w:type="dxa"/>
          </w:tcPr>
          <w:p w14:paraId="6654A0D5" w14:textId="295D6ED6" w:rsidR="00A90311" w:rsidRPr="009C676D" w:rsidRDefault="00F2558A" w:rsidP="000A2BFA">
            <w:pPr>
              <w:outlineLvl w:val="1"/>
              <w:rPr>
                <w:rFonts w:ascii="Calibri" w:eastAsia="Calibri" w:hAnsi="Calibri" w:cs="Calibri"/>
                <w:bCs/>
              </w:rPr>
            </w:pPr>
            <w:r>
              <w:rPr>
                <w:rFonts w:ascii="Calibri" w:hAnsi="Calibri"/>
              </w:rPr>
              <w:t>s.o.</w:t>
            </w:r>
          </w:p>
        </w:tc>
        <w:tc>
          <w:tcPr>
            <w:tcW w:w="2835" w:type="dxa"/>
          </w:tcPr>
          <w:p w14:paraId="57AAFFBE" w14:textId="1B22B804" w:rsidR="00A90311" w:rsidRPr="009C676D" w:rsidRDefault="00F2558A" w:rsidP="000A2BFA">
            <w:pPr>
              <w:ind w:left="0" w:firstLine="0"/>
              <w:outlineLvl w:val="1"/>
              <w:rPr>
                <w:rFonts w:ascii="Calibri" w:eastAsia="Calibri" w:hAnsi="Calibri" w:cs="Calibri"/>
                <w:bCs/>
              </w:rPr>
            </w:pPr>
            <w:r>
              <w:rPr>
                <w:rFonts w:ascii="Calibri" w:hAnsi="Calibri"/>
              </w:rPr>
              <w:t>s.o.</w:t>
            </w:r>
          </w:p>
        </w:tc>
      </w:tr>
    </w:tbl>
    <w:p w14:paraId="09258D71" w14:textId="3A4E0402" w:rsidR="00DF6A21" w:rsidRPr="00DB012E" w:rsidRDefault="00DF6A21" w:rsidP="000A2BFA">
      <w:pPr>
        <w:spacing w:after="0" w:line="240" w:lineRule="auto"/>
        <w:rPr>
          <w:rFonts w:ascii="Calibri" w:hAnsi="Calibri" w:cs="Calibri"/>
          <w:highlight w:val="yellow"/>
        </w:rPr>
      </w:pPr>
    </w:p>
    <w:sectPr w:rsidR="00DF6A21" w:rsidRPr="00DB012E" w:rsidSect="009A24B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A72EC" w14:textId="77777777" w:rsidR="00720032" w:rsidRDefault="00720032" w:rsidP="001E2255">
      <w:pPr>
        <w:spacing w:after="0" w:line="240" w:lineRule="auto"/>
      </w:pPr>
      <w:r>
        <w:separator/>
      </w:r>
    </w:p>
  </w:endnote>
  <w:endnote w:type="continuationSeparator" w:id="0">
    <w:p w14:paraId="6BA4AD26" w14:textId="77777777" w:rsidR="00720032" w:rsidRDefault="00720032" w:rsidP="001E2255">
      <w:pPr>
        <w:spacing w:after="0" w:line="240" w:lineRule="auto"/>
      </w:pPr>
      <w:r>
        <w:continuationSeparator/>
      </w:r>
    </w:p>
  </w:endnote>
  <w:endnote w:type="continuationNotice" w:id="1">
    <w:p w14:paraId="5FD8D99C" w14:textId="77777777" w:rsidR="00720032" w:rsidRDefault="007200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mall">
    <w:panose1 w:val="00000000000000000000"/>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58DF4" w14:textId="458B3F18" w:rsidR="00F92050" w:rsidRPr="00275FEF" w:rsidRDefault="00736ED7" w:rsidP="00275FEF">
    <w:pPr>
      <w:pStyle w:val="Header"/>
      <w:tabs>
        <w:tab w:val="clear" w:pos="4513"/>
        <w:tab w:val="clear" w:pos="9026"/>
        <w:tab w:val="right" w:pos="14040"/>
      </w:tabs>
      <w:rPr>
        <w:rFonts w:ascii="Calibri" w:hAnsi="Calibri" w:cs="Calibri"/>
        <w:noProof/>
      </w:rPr>
    </w:pPr>
    <w:r>
      <w:rPr>
        <w:rFonts w:ascii="Calibri" w:hAnsi="Calibri"/>
        <w:sz w:val="20"/>
      </w:rPr>
      <w:t>COP15 Inf.1</w:t>
    </w:r>
    <w:sdt>
      <w:sdtPr>
        <w:rPr>
          <w:rFonts w:ascii="Calibri" w:hAnsi="Calibri" w:cs="Calibri"/>
          <w:sz w:val="20"/>
          <w:szCs w:val="20"/>
        </w:rPr>
        <w:id w:val="134461106"/>
        <w:docPartObj>
          <w:docPartGallery w:val="Page Numbers (Top of Page)"/>
          <w:docPartUnique/>
        </w:docPartObj>
      </w:sdtPr>
      <w:sdtEndPr>
        <w:rPr>
          <w:noProof/>
          <w:sz w:val="22"/>
          <w:szCs w:val="22"/>
        </w:rPr>
      </w:sdtEndPr>
      <w:sdtContent>
        <w:r>
          <w:rPr>
            <w:rFonts w:ascii="Calibri" w:hAnsi="Calibri"/>
            <w:sz w:val="20"/>
          </w:rPr>
          <w:tab/>
        </w:r>
        <w:r w:rsidR="00275FEF" w:rsidRPr="00275FEF">
          <w:rPr>
            <w:rFonts w:ascii="Calibri" w:hAnsi="Calibri" w:cs="Calibri"/>
            <w:sz w:val="20"/>
          </w:rPr>
          <w:fldChar w:fldCharType="begin"/>
        </w:r>
        <w:r w:rsidR="00275FEF" w:rsidRPr="00275FEF">
          <w:rPr>
            <w:rFonts w:ascii="Calibri" w:hAnsi="Calibri" w:cs="Calibri"/>
            <w:sz w:val="20"/>
          </w:rPr>
          <w:instrText xml:space="preserve"> PAGE   \* MERGEFORMAT </w:instrText>
        </w:r>
        <w:r w:rsidR="00275FEF" w:rsidRPr="00275FEF">
          <w:rPr>
            <w:rFonts w:ascii="Calibri" w:hAnsi="Calibri" w:cs="Calibri"/>
            <w:sz w:val="20"/>
          </w:rPr>
          <w:fldChar w:fldCharType="separate"/>
        </w:r>
        <w:r w:rsidR="00275FEF" w:rsidRPr="00275FEF">
          <w:rPr>
            <w:rFonts w:ascii="Calibri" w:hAnsi="Calibri" w:cs="Calibri"/>
            <w:sz w:val="20"/>
          </w:rPr>
          <w:t>2</w:t>
        </w:r>
        <w:r w:rsidR="00275FEF" w:rsidRPr="00275FEF">
          <w:rPr>
            <w:rFonts w:ascii="Calibri" w:hAnsi="Calibri" w:cs="Calibri"/>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B7CCD" w14:textId="77777777" w:rsidR="00720032" w:rsidRDefault="00720032" w:rsidP="001E2255">
      <w:pPr>
        <w:spacing w:after="0" w:line="240" w:lineRule="auto"/>
      </w:pPr>
      <w:r>
        <w:separator/>
      </w:r>
    </w:p>
  </w:footnote>
  <w:footnote w:type="continuationSeparator" w:id="0">
    <w:p w14:paraId="26AE9D31" w14:textId="77777777" w:rsidR="00720032" w:rsidRDefault="00720032" w:rsidP="001E2255">
      <w:pPr>
        <w:spacing w:after="0" w:line="240" w:lineRule="auto"/>
      </w:pPr>
      <w:r>
        <w:continuationSeparator/>
      </w:r>
    </w:p>
  </w:footnote>
  <w:footnote w:type="continuationNotice" w:id="1">
    <w:p w14:paraId="57909320" w14:textId="77777777" w:rsidR="00720032" w:rsidRDefault="00720032">
      <w:pPr>
        <w:spacing w:after="0" w:line="240" w:lineRule="auto"/>
      </w:pPr>
    </w:p>
  </w:footnote>
  <w:footnote w:id="2">
    <w:p w14:paraId="1D0F017A" w14:textId="3F584C66" w:rsidR="00F312DE" w:rsidRPr="00F312DE" w:rsidRDefault="00F312DE">
      <w:pPr>
        <w:pStyle w:val="FootnoteText"/>
        <w:rPr>
          <w:rFonts w:ascii="Calibri" w:hAnsi="Calibri" w:cs="Calibri"/>
        </w:rPr>
      </w:pPr>
      <w:r>
        <w:rPr>
          <w:rStyle w:val="FootnoteReference"/>
          <w:rFonts w:ascii="Calibri" w:hAnsi="Calibri" w:cs="Calibri"/>
        </w:rPr>
        <w:footnoteRef/>
      </w:r>
      <w:r>
        <w:rPr>
          <w:rFonts w:ascii="Calibri" w:hAnsi="Calibri"/>
        </w:rPr>
        <w:t xml:space="preserve"> Voir les tableaux à l</w:t>
      </w:r>
      <w:r w:rsidR="00212CE8">
        <w:rPr>
          <w:rFonts w:ascii="Calibri" w:hAnsi="Calibri"/>
        </w:rPr>
        <w:t>’</w:t>
      </w:r>
      <w:r>
        <w:rPr>
          <w:rFonts w:ascii="Calibri" w:hAnsi="Calibri"/>
        </w:rPr>
        <w:t>annexe 1 du document COP15 Doc.23.1 pour des précisions sur les ajustements des lignes budgétaires.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B1147"/>
    <w:multiLevelType w:val="hybridMultilevel"/>
    <w:tmpl w:val="1026DB8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6D779E"/>
    <w:multiLevelType w:val="hybridMultilevel"/>
    <w:tmpl w:val="992A8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0148B9"/>
    <w:multiLevelType w:val="hybridMultilevel"/>
    <w:tmpl w:val="6B3C5C2C"/>
    <w:lvl w:ilvl="0" w:tplc="A80A1792">
      <w:start w:val="1"/>
      <w:numFmt w:val="decimal"/>
      <w:lvlText w:val="%1."/>
      <w:lvlJc w:val="left"/>
      <w:pPr>
        <w:ind w:left="360" w:hanging="360"/>
      </w:pPr>
    </w:lvl>
    <w:lvl w:ilvl="1" w:tplc="840405F6">
      <w:start w:val="1"/>
      <w:numFmt w:val="lowerLetter"/>
      <w:lvlText w:val="%2."/>
      <w:lvlJc w:val="left"/>
      <w:pPr>
        <w:ind w:left="1080" w:hanging="360"/>
      </w:pPr>
    </w:lvl>
    <w:lvl w:ilvl="2" w:tplc="E7AAF75A">
      <w:start w:val="1"/>
      <w:numFmt w:val="lowerRoman"/>
      <w:lvlText w:val="%3."/>
      <w:lvlJc w:val="right"/>
      <w:pPr>
        <w:ind w:left="1800" w:hanging="180"/>
      </w:pPr>
    </w:lvl>
    <w:lvl w:ilvl="3" w:tplc="D55CE226">
      <w:start w:val="1"/>
      <w:numFmt w:val="decimal"/>
      <w:lvlText w:val="%4."/>
      <w:lvlJc w:val="left"/>
      <w:pPr>
        <w:ind w:left="2520" w:hanging="360"/>
      </w:pPr>
    </w:lvl>
    <w:lvl w:ilvl="4" w:tplc="4732BFB0">
      <w:start w:val="1"/>
      <w:numFmt w:val="lowerLetter"/>
      <w:lvlText w:val="%5."/>
      <w:lvlJc w:val="left"/>
      <w:pPr>
        <w:ind w:left="3240" w:hanging="360"/>
      </w:pPr>
    </w:lvl>
    <w:lvl w:ilvl="5" w:tplc="6742B144">
      <w:start w:val="1"/>
      <w:numFmt w:val="lowerRoman"/>
      <w:lvlText w:val="%6."/>
      <w:lvlJc w:val="right"/>
      <w:pPr>
        <w:ind w:left="3960" w:hanging="180"/>
      </w:pPr>
    </w:lvl>
    <w:lvl w:ilvl="6" w:tplc="F8FC8AA2">
      <w:start w:val="1"/>
      <w:numFmt w:val="decimal"/>
      <w:lvlText w:val="%7."/>
      <w:lvlJc w:val="left"/>
      <w:pPr>
        <w:ind w:left="4680" w:hanging="360"/>
      </w:pPr>
    </w:lvl>
    <w:lvl w:ilvl="7" w:tplc="CB448D94">
      <w:start w:val="1"/>
      <w:numFmt w:val="lowerLetter"/>
      <w:lvlText w:val="%8."/>
      <w:lvlJc w:val="left"/>
      <w:pPr>
        <w:ind w:left="5400" w:hanging="360"/>
      </w:pPr>
    </w:lvl>
    <w:lvl w:ilvl="8" w:tplc="0ACC8686">
      <w:start w:val="1"/>
      <w:numFmt w:val="lowerRoman"/>
      <w:lvlText w:val="%9."/>
      <w:lvlJc w:val="right"/>
      <w:pPr>
        <w:ind w:left="6120" w:hanging="180"/>
      </w:pPr>
    </w:lvl>
  </w:abstractNum>
  <w:abstractNum w:abstractNumId="3" w15:restartNumberingAfterBreak="0">
    <w:nsid w:val="142F7BAD"/>
    <w:multiLevelType w:val="hybridMultilevel"/>
    <w:tmpl w:val="67CC6DE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440" w:hanging="360"/>
      </w:pPr>
      <w:rPr>
        <w:rFonts w:ascii="Symbol" w:hAnsi="Symbol" w:hint="default"/>
      </w:rPr>
    </w:lvl>
    <w:lvl w:ilvl="3" w:tplc="FFFFFFFF">
      <w:start w:val="1"/>
      <w:numFmt w:val="bullet"/>
      <w:lvlText w:val="-"/>
      <w:lvlJc w:val="left"/>
      <w:pPr>
        <w:ind w:left="2880" w:hanging="360"/>
      </w:pPr>
      <w:rPr>
        <w:rFonts w:ascii="Sitka Small" w:hAnsi="Sitka Smal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8424C56"/>
    <w:multiLevelType w:val="hybridMultilevel"/>
    <w:tmpl w:val="312A70B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440" w:hanging="360"/>
      </w:pPr>
      <w:rPr>
        <w:rFonts w:ascii="Symbol" w:hAnsi="Symbol" w:hint="default"/>
      </w:rPr>
    </w:lvl>
    <w:lvl w:ilvl="3" w:tplc="FFFFFFFF">
      <w:start w:val="1"/>
      <w:numFmt w:val="bullet"/>
      <w:lvlText w:val="-"/>
      <w:lvlJc w:val="left"/>
      <w:pPr>
        <w:ind w:left="2880" w:hanging="360"/>
      </w:pPr>
      <w:rPr>
        <w:rFonts w:ascii="Sitka Small" w:hAnsi="Sitka Smal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B6946DE"/>
    <w:multiLevelType w:val="hybridMultilevel"/>
    <w:tmpl w:val="D1E60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0E32B3"/>
    <w:multiLevelType w:val="hybridMultilevel"/>
    <w:tmpl w:val="86C6D09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6873F38"/>
    <w:multiLevelType w:val="hybridMultilevel"/>
    <w:tmpl w:val="B09853E2"/>
    <w:lvl w:ilvl="0" w:tplc="FFFFFFFF">
      <w:start w:val="1"/>
      <w:numFmt w:val="decimal"/>
      <w:lvlText w:val="%1)"/>
      <w:lvlJc w:val="left"/>
      <w:pPr>
        <w:ind w:left="720" w:hanging="360"/>
      </w:pPr>
      <w:rPr>
        <w:rFonts w:ascii="Arial" w:eastAsiaTheme="minorHAnsi" w:hAnsi="Arial" w:cs="Arial"/>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5518091C">
      <w:start w:val="1"/>
      <w:numFmt w:val="decimal"/>
      <w:lvlText w:val="%5."/>
      <w:lvlJc w:val="left"/>
      <w:pPr>
        <w:ind w:left="3600" w:hanging="360"/>
      </w:pPr>
      <w:rPr>
        <w:rFont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1191ECA"/>
    <w:multiLevelType w:val="hybridMultilevel"/>
    <w:tmpl w:val="6CAA262A"/>
    <w:lvl w:ilvl="0" w:tplc="77B6155A">
      <w:start w:val="1"/>
      <w:numFmt w:val="decimal"/>
      <w:lvlText w:val="%1)"/>
      <w:lvlJc w:val="left"/>
      <w:pPr>
        <w:ind w:left="720" w:hanging="360"/>
      </w:pPr>
      <w:rPr>
        <w:rFonts w:ascii="Arial" w:eastAsiaTheme="minorHAnsi" w:hAnsi="Arial" w:cs="Arial"/>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7D7D6A"/>
    <w:multiLevelType w:val="hybridMultilevel"/>
    <w:tmpl w:val="1BDAD9D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CC6E298E">
      <w:start w:val="1"/>
      <w:numFmt w:val="bullet"/>
      <w:lvlText w:val="-"/>
      <w:lvlJc w:val="left"/>
      <w:pPr>
        <w:ind w:left="2880" w:hanging="360"/>
      </w:pPr>
      <w:rPr>
        <w:rFonts w:ascii="Sitka Small" w:hAnsi="Sitka Smal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94198850">
    <w:abstractNumId w:val="2"/>
  </w:num>
  <w:num w:numId="2" w16cid:durableId="581449257">
    <w:abstractNumId w:val="1"/>
  </w:num>
  <w:num w:numId="3" w16cid:durableId="1992371858">
    <w:abstractNumId w:val="8"/>
  </w:num>
  <w:num w:numId="4" w16cid:durableId="792790553">
    <w:abstractNumId w:val="9"/>
  </w:num>
  <w:num w:numId="5" w16cid:durableId="1526016316">
    <w:abstractNumId w:val="6"/>
  </w:num>
  <w:num w:numId="6" w16cid:durableId="42483766">
    <w:abstractNumId w:val="0"/>
  </w:num>
  <w:num w:numId="7" w16cid:durableId="452291691">
    <w:abstractNumId w:val="5"/>
  </w:num>
  <w:num w:numId="8" w16cid:durableId="50153219">
    <w:abstractNumId w:val="7"/>
  </w:num>
  <w:num w:numId="9" w16cid:durableId="1162351347">
    <w:abstractNumId w:val="4"/>
  </w:num>
  <w:num w:numId="10" w16cid:durableId="18203458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255"/>
    <w:rsid w:val="000024EF"/>
    <w:rsid w:val="0000256B"/>
    <w:rsid w:val="00003A16"/>
    <w:rsid w:val="000119E1"/>
    <w:rsid w:val="000141B3"/>
    <w:rsid w:val="00041A66"/>
    <w:rsid w:val="00041B13"/>
    <w:rsid w:val="00043D1B"/>
    <w:rsid w:val="00045AB1"/>
    <w:rsid w:val="00046361"/>
    <w:rsid w:val="00047B3B"/>
    <w:rsid w:val="000650E1"/>
    <w:rsid w:val="000724CD"/>
    <w:rsid w:val="00085F3B"/>
    <w:rsid w:val="000936D8"/>
    <w:rsid w:val="00097D6F"/>
    <w:rsid w:val="000A170C"/>
    <w:rsid w:val="000A2BFA"/>
    <w:rsid w:val="000A5274"/>
    <w:rsid w:val="000B026B"/>
    <w:rsid w:val="000B142B"/>
    <w:rsid w:val="000C353F"/>
    <w:rsid w:val="000C7EC5"/>
    <w:rsid w:val="000D066A"/>
    <w:rsid w:val="000F2494"/>
    <w:rsid w:val="000F5617"/>
    <w:rsid w:val="00102EFB"/>
    <w:rsid w:val="001037C8"/>
    <w:rsid w:val="00106B95"/>
    <w:rsid w:val="00110268"/>
    <w:rsid w:val="00113B45"/>
    <w:rsid w:val="00114A9B"/>
    <w:rsid w:val="00116FE6"/>
    <w:rsid w:val="00117D55"/>
    <w:rsid w:val="00123287"/>
    <w:rsid w:val="001246D7"/>
    <w:rsid w:val="00137EC1"/>
    <w:rsid w:val="00141775"/>
    <w:rsid w:val="001473D4"/>
    <w:rsid w:val="0014774E"/>
    <w:rsid w:val="001513A5"/>
    <w:rsid w:val="00163AD6"/>
    <w:rsid w:val="001671D6"/>
    <w:rsid w:val="0017199B"/>
    <w:rsid w:val="00174F06"/>
    <w:rsid w:val="00181EA6"/>
    <w:rsid w:val="00181F2D"/>
    <w:rsid w:val="00185125"/>
    <w:rsid w:val="00187AFA"/>
    <w:rsid w:val="001912E6"/>
    <w:rsid w:val="0019501B"/>
    <w:rsid w:val="00196230"/>
    <w:rsid w:val="001A1A0A"/>
    <w:rsid w:val="001A2249"/>
    <w:rsid w:val="001A740F"/>
    <w:rsid w:val="001B1C01"/>
    <w:rsid w:val="001B5D94"/>
    <w:rsid w:val="001B6BC5"/>
    <w:rsid w:val="001B7ADE"/>
    <w:rsid w:val="001C29D2"/>
    <w:rsid w:val="001C30C3"/>
    <w:rsid w:val="001C3E44"/>
    <w:rsid w:val="001D513D"/>
    <w:rsid w:val="001E2255"/>
    <w:rsid w:val="001F3038"/>
    <w:rsid w:val="001F5CE4"/>
    <w:rsid w:val="00202B4E"/>
    <w:rsid w:val="0020342B"/>
    <w:rsid w:val="00203A7C"/>
    <w:rsid w:val="00203B88"/>
    <w:rsid w:val="00204FF9"/>
    <w:rsid w:val="002117B1"/>
    <w:rsid w:val="00212CE8"/>
    <w:rsid w:val="0023414E"/>
    <w:rsid w:val="002346B8"/>
    <w:rsid w:val="00236DB1"/>
    <w:rsid w:val="0023711D"/>
    <w:rsid w:val="00237F65"/>
    <w:rsid w:val="0024767D"/>
    <w:rsid w:val="00254B9F"/>
    <w:rsid w:val="00270687"/>
    <w:rsid w:val="00275FEF"/>
    <w:rsid w:val="00284B6F"/>
    <w:rsid w:val="0029035B"/>
    <w:rsid w:val="002A1B7A"/>
    <w:rsid w:val="002A28A3"/>
    <w:rsid w:val="002B6C22"/>
    <w:rsid w:val="002C0F29"/>
    <w:rsid w:val="002C3C1B"/>
    <w:rsid w:val="002C47A8"/>
    <w:rsid w:val="002C634D"/>
    <w:rsid w:val="002D696D"/>
    <w:rsid w:val="002E51E1"/>
    <w:rsid w:val="002E5D2B"/>
    <w:rsid w:val="002E7645"/>
    <w:rsid w:val="002F5C9D"/>
    <w:rsid w:val="003039E7"/>
    <w:rsid w:val="003047E9"/>
    <w:rsid w:val="003070C2"/>
    <w:rsid w:val="003127BD"/>
    <w:rsid w:val="00321CFE"/>
    <w:rsid w:val="003231A8"/>
    <w:rsid w:val="0033169C"/>
    <w:rsid w:val="00343374"/>
    <w:rsid w:val="00343BD1"/>
    <w:rsid w:val="003510FA"/>
    <w:rsid w:val="003521E8"/>
    <w:rsid w:val="00357F54"/>
    <w:rsid w:val="00360F86"/>
    <w:rsid w:val="00361718"/>
    <w:rsid w:val="003660F7"/>
    <w:rsid w:val="00367553"/>
    <w:rsid w:val="003711C9"/>
    <w:rsid w:val="00380DEB"/>
    <w:rsid w:val="00381415"/>
    <w:rsid w:val="003835AB"/>
    <w:rsid w:val="00386E6E"/>
    <w:rsid w:val="00395663"/>
    <w:rsid w:val="003A129B"/>
    <w:rsid w:val="003B6C47"/>
    <w:rsid w:val="003C123A"/>
    <w:rsid w:val="003C25BA"/>
    <w:rsid w:val="003C3DF6"/>
    <w:rsid w:val="003D0097"/>
    <w:rsid w:val="003D03CD"/>
    <w:rsid w:val="003D2A11"/>
    <w:rsid w:val="003E6F7F"/>
    <w:rsid w:val="003F290D"/>
    <w:rsid w:val="00416212"/>
    <w:rsid w:val="00424000"/>
    <w:rsid w:val="00427CE2"/>
    <w:rsid w:val="0043143D"/>
    <w:rsid w:val="00432A42"/>
    <w:rsid w:val="004404E8"/>
    <w:rsid w:val="00440A35"/>
    <w:rsid w:val="00442557"/>
    <w:rsid w:val="004470C7"/>
    <w:rsid w:val="00447123"/>
    <w:rsid w:val="004525EC"/>
    <w:rsid w:val="00453047"/>
    <w:rsid w:val="00453CB7"/>
    <w:rsid w:val="004546FF"/>
    <w:rsid w:val="00464781"/>
    <w:rsid w:val="00470811"/>
    <w:rsid w:val="00473CE3"/>
    <w:rsid w:val="0047633F"/>
    <w:rsid w:val="004763F4"/>
    <w:rsid w:val="00485A6A"/>
    <w:rsid w:val="00495140"/>
    <w:rsid w:val="004956A7"/>
    <w:rsid w:val="00496E68"/>
    <w:rsid w:val="004B05CF"/>
    <w:rsid w:val="004B2833"/>
    <w:rsid w:val="004B313B"/>
    <w:rsid w:val="004B7AED"/>
    <w:rsid w:val="004C48B0"/>
    <w:rsid w:val="004D3ED5"/>
    <w:rsid w:val="004E1AB1"/>
    <w:rsid w:val="004E336A"/>
    <w:rsid w:val="004F686F"/>
    <w:rsid w:val="004F75ED"/>
    <w:rsid w:val="00502559"/>
    <w:rsid w:val="00503F75"/>
    <w:rsid w:val="00510337"/>
    <w:rsid w:val="0051153D"/>
    <w:rsid w:val="00521215"/>
    <w:rsid w:val="00522A87"/>
    <w:rsid w:val="005245B5"/>
    <w:rsid w:val="005468CF"/>
    <w:rsid w:val="00547F0E"/>
    <w:rsid w:val="005520E0"/>
    <w:rsid w:val="005557D3"/>
    <w:rsid w:val="0055585C"/>
    <w:rsid w:val="00576106"/>
    <w:rsid w:val="00576151"/>
    <w:rsid w:val="00576BC7"/>
    <w:rsid w:val="0058514D"/>
    <w:rsid w:val="005924D3"/>
    <w:rsid w:val="00593AB7"/>
    <w:rsid w:val="00593C93"/>
    <w:rsid w:val="005A08EE"/>
    <w:rsid w:val="005A2BC3"/>
    <w:rsid w:val="005A32C7"/>
    <w:rsid w:val="005A4963"/>
    <w:rsid w:val="005B28ED"/>
    <w:rsid w:val="005B47D6"/>
    <w:rsid w:val="005C4044"/>
    <w:rsid w:val="005D21DE"/>
    <w:rsid w:val="005D2E21"/>
    <w:rsid w:val="005E14F5"/>
    <w:rsid w:val="005E20D4"/>
    <w:rsid w:val="005E4137"/>
    <w:rsid w:val="005E5700"/>
    <w:rsid w:val="005E5DD8"/>
    <w:rsid w:val="005F1CD3"/>
    <w:rsid w:val="005F4B56"/>
    <w:rsid w:val="005F6339"/>
    <w:rsid w:val="00600CFC"/>
    <w:rsid w:val="00600D06"/>
    <w:rsid w:val="00600E70"/>
    <w:rsid w:val="006034CE"/>
    <w:rsid w:val="006050B8"/>
    <w:rsid w:val="0060601C"/>
    <w:rsid w:val="00606F72"/>
    <w:rsid w:val="0061168B"/>
    <w:rsid w:val="00612AE0"/>
    <w:rsid w:val="00613BA3"/>
    <w:rsid w:val="00630942"/>
    <w:rsid w:val="00634218"/>
    <w:rsid w:val="00634CCA"/>
    <w:rsid w:val="006366C2"/>
    <w:rsid w:val="006385EB"/>
    <w:rsid w:val="006437A2"/>
    <w:rsid w:val="00645632"/>
    <w:rsid w:val="00647E7E"/>
    <w:rsid w:val="0065216C"/>
    <w:rsid w:val="00657973"/>
    <w:rsid w:val="00663F94"/>
    <w:rsid w:val="00676131"/>
    <w:rsid w:val="00676B18"/>
    <w:rsid w:val="006777C9"/>
    <w:rsid w:val="0068735B"/>
    <w:rsid w:val="00697866"/>
    <w:rsid w:val="00697FB2"/>
    <w:rsid w:val="006A0A3D"/>
    <w:rsid w:val="006A5ED7"/>
    <w:rsid w:val="006B10B9"/>
    <w:rsid w:val="006B7510"/>
    <w:rsid w:val="006C2103"/>
    <w:rsid w:val="006C477C"/>
    <w:rsid w:val="006C6B1B"/>
    <w:rsid w:val="006D0AFC"/>
    <w:rsid w:val="006D1BFF"/>
    <w:rsid w:val="006D1D8E"/>
    <w:rsid w:val="006D60FB"/>
    <w:rsid w:val="006E0EBA"/>
    <w:rsid w:val="006E5F7B"/>
    <w:rsid w:val="006F5E12"/>
    <w:rsid w:val="006F61E0"/>
    <w:rsid w:val="006F70A6"/>
    <w:rsid w:val="00701608"/>
    <w:rsid w:val="00706E53"/>
    <w:rsid w:val="00716203"/>
    <w:rsid w:val="00717FB6"/>
    <w:rsid w:val="00720032"/>
    <w:rsid w:val="0073311A"/>
    <w:rsid w:val="00734DC0"/>
    <w:rsid w:val="00736ED7"/>
    <w:rsid w:val="00742AA9"/>
    <w:rsid w:val="00751512"/>
    <w:rsid w:val="00753D9A"/>
    <w:rsid w:val="0076021B"/>
    <w:rsid w:val="00765C4F"/>
    <w:rsid w:val="007768B3"/>
    <w:rsid w:val="007800BD"/>
    <w:rsid w:val="007819B2"/>
    <w:rsid w:val="00783608"/>
    <w:rsid w:val="0079193A"/>
    <w:rsid w:val="00793F7C"/>
    <w:rsid w:val="00796518"/>
    <w:rsid w:val="007A12F8"/>
    <w:rsid w:val="007B3813"/>
    <w:rsid w:val="007B5DE0"/>
    <w:rsid w:val="007B769F"/>
    <w:rsid w:val="007B7FA0"/>
    <w:rsid w:val="007C3A9E"/>
    <w:rsid w:val="007D09DF"/>
    <w:rsid w:val="007D2B07"/>
    <w:rsid w:val="007E214F"/>
    <w:rsid w:val="007E31A5"/>
    <w:rsid w:val="007F0D9C"/>
    <w:rsid w:val="007F4101"/>
    <w:rsid w:val="007F493B"/>
    <w:rsid w:val="0080005A"/>
    <w:rsid w:val="0080127B"/>
    <w:rsid w:val="00805E6F"/>
    <w:rsid w:val="00814391"/>
    <w:rsid w:val="00815AA9"/>
    <w:rsid w:val="008179BA"/>
    <w:rsid w:val="008441E9"/>
    <w:rsid w:val="00844ED2"/>
    <w:rsid w:val="00845888"/>
    <w:rsid w:val="00854B9D"/>
    <w:rsid w:val="00856228"/>
    <w:rsid w:val="00857623"/>
    <w:rsid w:val="0086507E"/>
    <w:rsid w:val="008655BD"/>
    <w:rsid w:val="008665D3"/>
    <w:rsid w:val="00871D48"/>
    <w:rsid w:val="008804FB"/>
    <w:rsid w:val="0088121A"/>
    <w:rsid w:val="008818DD"/>
    <w:rsid w:val="00882FB4"/>
    <w:rsid w:val="00884285"/>
    <w:rsid w:val="008942D2"/>
    <w:rsid w:val="008946C0"/>
    <w:rsid w:val="008947AB"/>
    <w:rsid w:val="00894CCD"/>
    <w:rsid w:val="00896419"/>
    <w:rsid w:val="008A28A5"/>
    <w:rsid w:val="008A4BF4"/>
    <w:rsid w:val="008A5CCC"/>
    <w:rsid w:val="008B3254"/>
    <w:rsid w:val="008B3375"/>
    <w:rsid w:val="008B7EE6"/>
    <w:rsid w:val="008C3B06"/>
    <w:rsid w:val="008D1D47"/>
    <w:rsid w:val="008D3355"/>
    <w:rsid w:val="008D40E8"/>
    <w:rsid w:val="008D44EE"/>
    <w:rsid w:val="008D45F1"/>
    <w:rsid w:val="008D7108"/>
    <w:rsid w:val="008E15D3"/>
    <w:rsid w:val="008E301F"/>
    <w:rsid w:val="008E5DA7"/>
    <w:rsid w:val="008E5EDE"/>
    <w:rsid w:val="008F2F35"/>
    <w:rsid w:val="008F79D2"/>
    <w:rsid w:val="009076F2"/>
    <w:rsid w:val="00914749"/>
    <w:rsid w:val="00914CD2"/>
    <w:rsid w:val="00922F1C"/>
    <w:rsid w:val="00934F69"/>
    <w:rsid w:val="009372CD"/>
    <w:rsid w:val="00940101"/>
    <w:rsid w:val="009418C0"/>
    <w:rsid w:val="009421AD"/>
    <w:rsid w:val="009421EB"/>
    <w:rsid w:val="00942E7C"/>
    <w:rsid w:val="009470D3"/>
    <w:rsid w:val="00952CE6"/>
    <w:rsid w:val="00952D4F"/>
    <w:rsid w:val="0095405C"/>
    <w:rsid w:val="0097070E"/>
    <w:rsid w:val="00970970"/>
    <w:rsid w:val="00973134"/>
    <w:rsid w:val="00985B93"/>
    <w:rsid w:val="00985DA1"/>
    <w:rsid w:val="00991D8F"/>
    <w:rsid w:val="00992D73"/>
    <w:rsid w:val="00995DB2"/>
    <w:rsid w:val="009A24B9"/>
    <w:rsid w:val="009A469F"/>
    <w:rsid w:val="009A542E"/>
    <w:rsid w:val="009A68C4"/>
    <w:rsid w:val="009C676D"/>
    <w:rsid w:val="009D0248"/>
    <w:rsid w:val="009D7FB6"/>
    <w:rsid w:val="009E2A02"/>
    <w:rsid w:val="009F3EF5"/>
    <w:rsid w:val="009F4FAD"/>
    <w:rsid w:val="009F67D8"/>
    <w:rsid w:val="00A01464"/>
    <w:rsid w:val="00A070D9"/>
    <w:rsid w:val="00A1120A"/>
    <w:rsid w:val="00A17322"/>
    <w:rsid w:val="00A20805"/>
    <w:rsid w:val="00A235BD"/>
    <w:rsid w:val="00A33396"/>
    <w:rsid w:val="00A36C66"/>
    <w:rsid w:val="00A52DAC"/>
    <w:rsid w:val="00A52E41"/>
    <w:rsid w:val="00A54118"/>
    <w:rsid w:val="00A55202"/>
    <w:rsid w:val="00A60907"/>
    <w:rsid w:val="00A66A06"/>
    <w:rsid w:val="00A71FF7"/>
    <w:rsid w:val="00A8123B"/>
    <w:rsid w:val="00A84B1F"/>
    <w:rsid w:val="00A90311"/>
    <w:rsid w:val="00A919D8"/>
    <w:rsid w:val="00AA48AD"/>
    <w:rsid w:val="00AA57F5"/>
    <w:rsid w:val="00AA5AE8"/>
    <w:rsid w:val="00AA77E6"/>
    <w:rsid w:val="00AB3B17"/>
    <w:rsid w:val="00AB4248"/>
    <w:rsid w:val="00AC35BE"/>
    <w:rsid w:val="00AD246C"/>
    <w:rsid w:val="00AD6D82"/>
    <w:rsid w:val="00AE1A8D"/>
    <w:rsid w:val="00AE1EC8"/>
    <w:rsid w:val="00AE2F8E"/>
    <w:rsid w:val="00AE6828"/>
    <w:rsid w:val="00AE7C0E"/>
    <w:rsid w:val="00AF0FF7"/>
    <w:rsid w:val="00AF12A8"/>
    <w:rsid w:val="00AF52B3"/>
    <w:rsid w:val="00AF5F35"/>
    <w:rsid w:val="00B04A00"/>
    <w:rsid w:val="00B0767D"/>
    <w:rsid w:val="00B1266A"/>
    <w:rsid w:val="00B16748"/>
    <w:rsid w:val="00B24A27"/>
    <w:rsid w:val="00B26650"/>
    <w:rsid w:val="00B27096"/>
    <w:rsid w:val="00B27BFA"/>
    <w:rsid w:val="00B32032"/>
    <w:rsid w:val="00B375E1"/>
    <w:rsid w:val="00B417BA"/>
    <w:rsid w:val="00B66E1E"/>
    <w:rsid w:val="00B67325"/>
    <w:rsid w:val="00B71AAF"/>
    <w:rsid w:val="00B72306"/>
    <w:rsid w:val="00B765D0"/>
    <w:rsid w:val="00B8235F"/>
    <w:rsid w:val="00B87B7D"/>
    <w:rsid w:val="00B90198"/>
    <w:rsid w:val="00B9036B"/>
    <w:rsid w:val="00B9057F"/>
    <w:rsid w:val="00BA0354"/>
    <w:rsid w:val="00BB297C"/>
    <w:rsid w:val="00BB515D"/>
    <w:rsid w:val="00BB6C2A"/>
    <w:rsid w:val="00BC0F35"/>
    <w:rsid w:val="00BC1433"/>
    <w:rsid w:val="00BC616F"/>
    <w:rsid w:val="00BD0D5C"/>
    <w:rsid w:val="00BD6910"/>
    <w:rsid w:val="00BE2ADF"/>
    <w:rsid w:val="00BE36A6"/>
    <w:rsid w:val="00BE4208"/>
    <w:rsid w:val="00BF01C6"/>
    <w:rsid w:val="00BF1899"/>
    <w:rsid w:val="00BF3C1A"/>
    <w:rsid w:val="00C00A49"/>
    <w:rsid w:val="00C00BCF"/>
    <w:rsid w:val="00C02F06"/>
    <w:rsid w:val="00C070A2"/>
    <w:rsid w:val="00C11A0D"/>
    <w:rsid w:val="00C211C8"/>
    <w:rsid w:val="00C303CD"/>
    <w:rsid w:val="00C31978"/>
    <w:rsid w:val="00C326C9"/>
    <w:rsid w:val="00C342CB"/>
    <w:rsid w:val="00C41943"/>
    <w:rsid w:val="00C45728"/>
    <w:rsid w:val="00C47693"/>
    <w:rsid w:val="00C533CE"/>
    <w:rsid w:val="00C536C8"/>
    <w:rsid w:val="00C63771"/>
    <w:rsid w:val="00C64DE9"/>
    <w:rsid w:val="00C710DC"/>
    <w:rsid w:val="00C80E1F"/>
    <w:rsid w:val="00C8394C"/>
    <w:rsid w:val="00C857D5"/>
    <w:rsid w:val="00C85890"/>
    <w:rsid w:val="00C87802"/>
    <w:rsid w:val="00C92749"/>
    <w:rsid w:val="00C96D7A"/>
    <w:rsid w:val="00CB5443"/>
    <w:rsid w:val="00CB5BA0"/>
    <w:rsid w:val="00CC0AFF"/>
    <w:rsid w:val="00CC1D4E"/>
    <w:rsid w:val="00CC5495"/>
    <w:rsid w:val="00CC7CFB"/>
    <w:rsid w:val="00CD24B6"/>
    <w:rsid w:val="00CD3DED"/>
    <w:rsid w:val="00CD6BFC"/>
    <w:rsid w:val="00CD7992"/>
    <w:rsid w:val="00D007B2"/>
    <w:rsid w:val="00D04EAB"/>
    <w:rsid w:val="00D120F6"/>
    <w:rsid w:val="00D215DB"/>
    <w:rsid w:val="00D227DB"/>
    <w:rsid w:val="00D26C80"/>
    <w:rsid w:val="00D30126"/>
    <w:rsid w:val="00D33592"/>
    <w:rsid w:val="00D36D1D"/>
    <w:rsid w:val="00D37531"/>
    <w:rsid w:val="00D40589"/>
    <w:rsid w:val="00D41F04"/>
    <w:rsid w:val="00D4230E"/>
    <w:rsid w:val="00D42BB1"/>
    <w:rsid w:val="00D51E78"/>
    <w:rsid w:val="00D52C45"/>
    <w:rsid w:val="00D550E1"/>
    <w:rsid w:val="00D57A36"/>
    <w:rsid w:val="00D66871"/>
    <w:rsid w:val="00D708B4"/>
    <w:rsid w:val="00D8021B"/>
    <w:rsid w:val="00D861AF"/>
    <w:rsid w:val="00D879A2"/>
    <w:rsid w:val="00DA6CDF"/>
    <w:rsid w:val="00DA6CF9"/>
    <w:rsid w:val="00DB012E"/>
    <w:rsid w:val="00DC1FAE"/>
    <w:rsid w:val="00DC3BDF"/>
    <w:rsid w:val="00DC6E1A"/>
    <w:rsid w:val="00DD0F28"/>
    <w:rsid w:val="00DD511B"/>
    <w:rsid w:val="00DF1CEE"/>
    <w:rsid w:val="00DF6A21"/>
    <w:rsid w:val="00E05E44"/>
    <w:rsid w:val="00E12531"/>
    <w:rsid w:val="00E131B8"/>
    <w:rsid w:val="00E1562A"/>
    <w:rsid w:val="00E23458"/>
    <w:rsid w:val="00E23A49"/>
    <w:rsid w:val="00E25746"/>
    <w:rsid w:val="00E2585E"/>
    <w:rsid w:val="00E3287A"/>
    <w:rsid w:val="00E401D1"/>
    <w:rsid w:val="00E40BF6"/>
    <w:rsid w:val="00E51FD3"/>
    <w:rsid w:val="00E6416A"/>
    <w:rsid w:val="00E70C73"/>
    <w:rsid w:val="00E736AA"/>
    <w:rsid w:val="00E821CF"/>
    <w:rsid w:val="00E87B88"/>
    <w:rsid w:val="00E87C2C"/>
    <w:rsid w:val="00E97881"/>
    <w:rsid w:val="00EA1B29"/>
    <w:rsid w:val="00EA4105"/>
    <w:rsid w:val="00EA5E27"/>
    <w:rsid w:val="00EB055A"/>
    <w:rsid w:val="00EB5E5F"/>
    <w:rsid w:val="00ED5C54"/>
    <w:rsid w:val="00EE4190"/>
    <w:rsid w:val="00EF4F08"/>
    <w:rsid w:val="00EF6DB9"/>
    <w:rsid w:val="00EF766F"/>
    <w:rsid w:val="00F07B4A"/>
    <w:rsid w:val="00F124B9"/>
    <w:rsid w:val="00F126C6"/>
    <w:rsid w:val="00F170C6"/>
    <w:rsid w:val="00F2558A"/>
    <w:rsid w:val="00F312DB"/>
    <w:rsid w:val="00F312DE"/>
    <w:rsid w:val="00F32478"/>
    <w:rsid w:val="00F35E06"/>
    <w:rsid w:val="00F37B86"/>
    <w:rsid w:val="00F50E47"/>
    <w:rsid w:val="00F51916"/>
    <w:rsid w:val="00F57499"/>
    <w:rsid w:val="00F70668"/>
    <w:rsid w:val="00F70EAA"/>
    <w:rsid w:val="00F724CE"/>
    <w:rsid w:val="00F726C1"/>
    <w:rsid w:val="00F76419"/>
    <w:rsid w:val="00F7774E"/>
    <w:rsid w:val="00F777B9"/>
    <w:rsid w:val="00F80C56"/>
    <w:rsid w:val="00F83669"/>
    <w:rsid w:val="00F83939"/>
    <w:rsid w:val="00F86862"/>
    <w:rsid w:val="00F8691E"/>
    <w:rsid w:val="00F92050"/>
    <w:rsid w:val="00FA7EF1"/>
    <w:rsid w:val="00FB3656"/>
    <w:rsid w:val="00FB3CB4"/>
    <w:rsid w:val="00FC1944"/>
    <w:rsid w:val="00FC2188"/>
    <w:rsid w:val="00FC5B95"/>
    <w:rsid w:val="00FD0EED"/>
    <w:rsid w:val="00FD506C"/>
    <w:rsid w:val="00FE2D98"/>
    <w:rsid w:val="00FE2DD9"/>
    <w:rsid w:val="00FE3561"/>
    <w:rsid w:val="00FE6365"/>
    <w:rsid w:val="00FF1100"/>
    <w:rsid w:val="00FF1D6C"/>
    <w:rsid w:val="00FF23E0"/>
    <w:rsid w:val="00FF660A"/>
    <w:rsid w:val="01E36967"/>
    <w:rsid w:val="0257D1C4"/>
    <w:rsid w:val="05A4BDC6"/>
    <w:rsid w:val="07FD992B"/>
    <w:rsid w:val="0810AE4F"/>
    <w:rsid w:val="087161FA"/>
    <w:rsid w:val="09D54560"/>
    <w:rsid w:val="0B4AA363"/>
    <w:rsid w:val="0BA600A2"/>
    <w:rsid w:val="0CDD7965"/>
    <w:rsid w:val="0DB2CD50"/>
    <w:rsid w:val="0DC996A7"/>
    <w:rsid w:val="0EA4F1E0"/>
    <w:rsid w:val="11F97C27"/>
    <w:rsid w:val="13C1630B"/>
    <w:rsid w:val="13F08CD2"/>
    <w:rsid w:val="14283E92"/>
    <w:rsid w:val="1A24D464"/>
    <w:rsid w:val="1BC6939A"/>
    <w:rsid w:val="1E6B3D91"/>
    <w:rsid w:val="1EB1B1ED"/>
    <w:rsid w:val="1EC9BF69"/>
    <w:rsid w:val="1F1C07C4"/>
    <w:rsid w:val="22A933F9"/>
    <w:rsid w:val="22EA1177"/>
    <w:rsid w:val="2333FB0A"/>
    <w:rsid w:val="242F0646"/>
    <w:rsid w:val="24E35F62"/>
    <w:rsid w:val="26A617D5"/>
    <w:rsid w:val="29CF5989"/>
    <w:rsid w:val="2C323B51"/>
    <w:rsid w:val="2C36F516"/>
    <w:rsid w:val="2CD9C2E6"/>
    <w:rsid w:val="2D675815"/>
    <w:rsid w:val="31D3878B"/>
    <w:rsid w:val="323957C3"/>
    <w:rsid w:val="32FB00C1"/>
    <w:rsid w:val="34E51105"/>
    <w:rsid w:val="361B36C1"/>
    <w:rsid w:val="3BA6A761"/>
    <w:rsid w:val="3DDF6E9C"/>
    <w:rsid w:val="3F038691"/>
    <w:rsid w:val="4108553A"/>
    <w:rsid w:val="41223F36"/>
    <w:rsid w:val="421A3314"/>
    <w:rsid w:val="43B408B3"/>
    <w:rsid w:val="4597DA66"/>
    <w:rsid w:val="46C8EE5E"/>
    <w:rsid w:val="48423D53"/>
    <w:rsid w:val="48CCE086"/>
    <w:rsid w:val="4AB968CC"/>
    <w:rsid w:val="4BB8B4EA"/>
    <w:rsid w:val="4C3FF3CA"/>
    <w:rsid w:val="4CEF902D"/>
    <w:rsid w:val="4D32FAFE"/>
    <w:rsid w:val="512E2041"/>
    <w:rsid w:val="52D3E385"/>
    <w:rsid w:val="54C178E2"/>
    <w:rsid w:val="54D01C03"/>
    <w:rsid w:val="55338225"/>
    <w:rsid w:val="56039042"/>
    <w:rsid w:val="564A2D92"/>
    <w:rsid w:val="5861BBA8"/>
    <w:rsid w:val="59E0D3A5"/>
    <w:rsid w:val="5D1EF1D4"/>
    <w:rsid w:val="5D8DAEE9"/>
    <w:rsid w:val="5EB23209"/>
    <w:rsid w:val="5F45263D"/>
    <w:rsid w:val="5FB0B25D"/>
    <w:rsid w:val="608E72AA"/>
    <w:rsid w:val="655FEC35"/>
    <w:rsid w:val="65D95B6F"/>
    <w:rsid w:val="66B92494"/>
    <w:rsid w:val="68A450B9"/>
    <w:rsid w:val="69CEE23B"/>
    <w:rsid w:val="6A570100"/>
    <w:rsid w:val="6B359841"/>
    <w:rsid w:val="6B3E6CE9"/>
    <w:rsid w:val="6B9672F3"/>
    <w:rsid w:val="6BB13223"/>
    <w:rsid w:val="6C491881"/>
    <w:rsid w:val="6CF8067A"/>
    <w:rsid w:val="6D3D01B2"/>
    <w:rsid w:val="6E78A89A"/>
    <w:rsid w:val="6F785491"/>
    <w:rsid w:val="700B0E3E"/>
    <w:rsid w:val="700E3898"/>
    <w:rsid w:val="7158126C"/>
    <w:rsid w:val="71B39171"/>
    <w:rsid w:val="7438973D"/>
    <w:rsid w:val="773DE899"/>
    <w:rsid w:val="774711CD"/>
    <w:rsid w:val="78F2AACA"/>
    <w:rsid w:val="79BAD265"/>
    <w:rsid w:val="7D3D850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70CB7"/>
  <w15:chartTrackingRefBased/>
  <w15:docId w15:val="{7D60A0DF-34B2-41D3-B2C0-1ACCE8292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255"/>
  </w:style>
  <w:style w:type="paragraph" w:styleId="Heading1">
    <w:name w:val="heading 1"/>
    <w:basedOn w:val="Normal"/>
    <w:next w:val="Normal"/>
    <w:link w:val="Heading1Char"/>
    <w:uiPriority w:val="9"/>
    <w:qFormat/>
    <w:rsid w:val="001E22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22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22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22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22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22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22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22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22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22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22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22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22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22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22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22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22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2255"/>
    <w:rPr>
      <w:rFonts w:eastAsiaTheme="majorEastAsia" w:cstheme="majorBidi"/>
      <w:color w:val="272727" w:themeColor="text1" w:themeTint="D8"/>
    </w:rPr>
  </w:style>
  <w:style w:type="paragraph" w:styleId="Title">
    <w:name w:val="Title"/>
    <w:basedOn w:val="Normal"/>
    <w:next w:val="Normal"/>
    <w:link w:val="TitleChar"/>
    <w:uiPriority w:val="10"/>
    <w:qFormat/>
    <w:rsid w:val="001E22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22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22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22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2255"/>
    <w:pPr>
      <w:spacing w:before="160"/>
      <w:jc w:val="center"/>
    </w:pPr>
    <w:rPr>
      <w:i/>
      <w:iCs/>
      <w:color w:val="404040" w:themeColor="text1" w:themeTint="BF"/>
    </w:rPr>
  </w:style>
  <w:style w:type="character" w:customStyle="1" w:styleId="QuoteChar">
    <w:name w:val="Quote Char"/>
    <w:basedOn w:val="DefaultParagraphFont"/>
    <w:link w:val="Quote"/>
    <w:uiPriority w:val="29"/>
    <w:rsid w:val="001E2255"/>
    <w:rPr>
      <w:i/>
      <w:iCs/>
      <w:color w:val="404040" w:themeColor="text1" w:themeTint="BF"/>
    </w:rPr>
  </w:style>
  <w:style w:type="paragraph" w:styleId="ListParagraph">
    <w:name w:val="List Paragraph"/>
    <w:basedOn w:val="Normal"/>
    <w:uiPriority w:val="34"/>
    <w:qFormat/>
    <w:rsid w:val="001E2255"/>
    <w:pPr>
      <w:ind w:left="720"/>
      <w:contextualSpacing/>
    </w:pPr>
  </w:style>
  <w:style w:type="character" w:styleId="IntenseEmphasis">
    <w:name w:val="Intense Emphasis"/>
    <w:basedOn w:val="DefaultParagraphFont"/>
    <w:uiPriority w:val="21"/>
    <w:qFormat/>
    <w:rsid w:val="001E2255"/>
    <w:rPr>
      <w:i/>
      <w:iCs/>
      <w:color w:val="0F4761" w:themeColor="accent1" w:themeShade="BF"/>
    </w:rPr>
  </w:style>
  <w:style w:type="paragraph" w:styleId="IntenseQuote">
    <w:name w:val="Intense Quote"/>
    <w:basedOn w:val="Normal"/>
    <w:next w:val="Normal"/>
    <w:link w:val="IntenseQuoteChar"/>
    <w:uiPriority w:val="30"/>
    <w:qFormat/>
    <w:rsid w:val="001E22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2255"/>
    <w:rPr>
      <w:i/>
      <w:iCs/>
      <w:color w:val="0F4761" w:themeColor="accent1" w:themeShade="BF"/>
    </w:rPr>
  </w:style>
  <w:style w:type="character" w:styleId="IntenseReference">
    <w:name w:val="Intense Reference"/>
    <w:basedOn w:val="DefaultParagraphFont"/>
    <w:uiPriority w:val="32"/>
    <w:qFormat/>
    <w:rsid w:val="001E2255"/>
    <w:rPr>
      <w:b/>
      <w:bCs/>
      <w:smallCaps/>
      <w:color w:val="0F4761" w:themeColor="accent1" w:themeShade="BF"/>
      <w:spacing w:val="5"/>
    </w:rPr>
  </w:style>
  <w:style w:type="character" w:styleId="CommentReference">
    <w:name w:val="annotation reference"/>
    <w:basedOn w:val="DefaultParagraphFont"/>
    <w:uiPriority w:val="99"/>
    <w:semiHidden/>
    <w:unhideWhenUsed/>
    <w:rsid w:val="001E2255"/>
    <w:rPr>
      <w:sz w:val="16"/>
      <w:szCs w:val="16"/>
    </w:rPr>
  </w:style>
  <w:style w:type="paragraph" w:styleId="CommentText">
    <w:name w:val="annotation text"/>
    <w:basedOn w:val="Normal"/>
    <w:link w:val="CommentTextChar"/>
    <w:uiPriority w:val="99"/>
    <w:unhideWhenUsed/>
    <w:rsid w:val="001E2255"/>
    <w:pPr>
      <w:spacing w:line="240" w:lineRule="auto"/>
    </w:pPr>
    <w:rPr>
      <w:sz w:val="20"/>
      <w:szCs w:val="20"/>
    </w:rPr>
  </w:style>
  <w:style w:type="character" w:customStyle="1" w:styleId="CommentTextChar">
    <w:name w:val="Comment Text Char"/>
    <w:basedOn w:val="DefaultParagraphFont"/>
    <w:link w:val="CommentText"/>
    <w:uiPriority w:val="99"/>
    <w:rsid w:val="001E2255"/>
    <w:rPr>
      <w:sz w:val="20"/>
      <w:szCs w:val="20"/>
    </w:rPr>
  </w:style>
  <w:style w:type="paragraph" w:styleId="FootnoteText">
    <w:name w:val="footnote text"/>
    <w:basedOn w:val="Normal"/>
    <w:link w:val="FootnoteTextChar"/>
    <w:uiPriority w:val="99"/>
    <w:semiHidden/>
    <w:unhideWhenUsed/>
    <w:rsid w:val="00A173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2255"/>
    <w:rPr>
      <w:sz w:val="20"/>
      <w:szCs w:val="20"/>
    </w:rPr>
  </w:style>
  <w:style w:type="character" w:styleId="FootnoteReference">
    <w:name w:val="footnote reference"/>
    <w:basedOn w:val="DefaultParagraphFont"/>
    <w:uiPriority w:val="99"/>
    <w:semiHidden/>
    <w:unhideWhenUsed/>
    <w:rsid w:val="001E2255"/>
    <w:rPr>
      <w:vertAlign w:val="superscript"/>
    </w:rPr>
  </w:style>
  <w:style w:type="character" w:styleId="Hyperlink">
    <w:name w:val="Hyperlink"/>
    <w:basedOn w:val="DefaultParagraphFont"/>
    <w:uiPriority w:val="99"/>
    <w:unhideWhenUsed/>
    <w:rsid w:val="00B71AAF"/>
    <w:rPr>
      <w:color w:val="0000FF"/>
      <w:u w:val="single"/>
    </w:rPr>
  </w:style>
  <w:style w:type="character" w:styleId="UnresolvedMention">
    <w:name w:val="Unresolved Mention"/>
    <w:basedOn w:val="DefaultParagraphFont"/>
    <w:uiPriority w:val="99"/>
    <w:semiHidden/>
    <w:unhideWhenUsed/>
    <w:rsid w:val="00D708B4"/>
    <w:rPr>
      <w:color w:val="605E5C"/>
      <w:shd w:val="clear" w:color="auto" w:fill="E1DFDD"/>
    </w:rPr>
  </w:style>
  <w:style w:type="paragraph" w:styleId="Revision">
    <w:name w:val="Revision"/>
    <w:hidden/>
    <w:uiPriority w:val="99"/>
    <w:semiHidden/>
    <w:rsid w:val="002E5D2B"/>
    <w:pPr>
      <w:spacing w:after="0" w:line="240" w:lineRule="auto"/>
    </w:pPr>
  </w:style>
  <w:style w:type="paragraph" w:styleId="Header">
    <w:name w:val="header"/>
    <w:basedOn w:val="Normal"/>
    <w:link w:val="HeaderChar"/>
    <w:uiPriority w:val="99"/>
    <w:unhideWhenUsed/>
    <w:rsid w:val="002E5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5D2B"/>
  </w:style>
  <w:style w:type="paragraph" w:styleId="Footer">
    <w:name w:val="footer"/>
    <w:basedOn w:val="Normal"/>
    <w:link w:val="FooterChar"/>
    <w:uiPriority w:val="99"/>
    <w:unhideWhenUsed/>
    <w:rsid w:val="002E5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5D2B"/>
  </w:style>
  <w:style w:type="paragraph" w:styleId="CommentSubject">
    <w:name w:val="annotation subject"/>
    <w:basedOn w:val="CommentText"/>
    <w:next w:val="CommentText"/>
    <w:link w:val="CommentSubjectChar"/>
    <w:uiPriority w:val="99"/>
    <w:semiHidden/>
    <w:unhideWhenUsed/>
    <w:rsid w:val="00EA5E27"/>
    <w:rPr>
      <w:b/>
      <w:bCs/>
    </w:rPr>
  </w:style>
  <w:style w:type="character" w:customStyle="1" w:styleId="CommentSubjectChar">
    <w:name w:val="Comment Subject Char"/>
    <w:basedOn w:val="CommentTextChar"/>
    <w:link w:val="CommentSubject"/>
    <w:uiPriority w:val="99"/>
    <w:semiHidden/>
    <w:rsid w:val="00EA5E27"/>
    <w:rPr>
      <w:b/>
      <w:bCs/>
      <w:sz w:val="20"/>
      <w:szCs w:val="20"/>
    </w:rPr>
  </w:style>
  <w:style w:type="table" w:styleId="TableGrid">
    <w:name w:val="Table Grid"/>
    <w:basedOn w:val="TableNormal"/>
    <w:uiPriority w:val="39"/>
    <w:rsid w:val="00A90311"/>
    <w:pPr>
      <w:spacing w:after="0" w:line="240" w:lineRule="auto"/>
      <w:ind w:left="425" w:hanging="425"/>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Gfulltext">
    <w:name w:val="MG_fulltext"/>
    <w:basedOn w:val="Normal"/>
    <w:link w:val="MGfulltextChar"/>
    <w:qFormat/>
    <w:rsid w:val="00F76419"/>
    <w:pPr>
      <w:spacing w:after="120" w:line="240" w:lineRule="auto"/>
    </w:pPr>
    <w:rPr>
      <w:rFonts w:ascii="Arial" w:eastAsia="Times New Roman" w:hAnsi="Arial" w:cs="Arial"/>
      <w:kern w:val="0"/>
      <w:sz w:val="24"/>
      <w:szCs w:val="24"/>
      <w14:ligatures w14:val="none"/>
    </w:rPr>
  </w:style>
  <w:style w:type="character" w:customStyle="1" w:styleId="MGfulltextChar">
    <w:name w:val="MG_fulltext Char"/>
    <w:basedOn w:val="DefaultParagraphFont"/>
    <w:link w:val="MGfulltext"/>
    <w:rsid w:val="00F76419"/>
    <w:rPr>
      <w:rFonts w:ascii="Arial" w:eastAsia="Times New Roman" w:hAnsi="Arial" w:cs="Arial"/>
      <w:kern w:val="0"/>
      <w:sz w:val="24"/>
      <w:szCs w:val="24"/>
      <w:lang w:val="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412663">
      <w:bodyDiv w:val="1"/>
      <w:marLeft w:val="0"/>
      <w:marRight w:val="0"/>
      <w:marTop w:val="0"/>
      <w:marBottom w:val="0"/>
      <w:divBdr>
        <w:top w:val="none" w:sz="0" w:space="0" w:color="auto"/>
        <w:left w:val="none" w:sz="0" w:space="0" w:color="auto"/>
        <w:bottom w:val="none" w:sz="0" w:space="0" w:color="auto"/>
        <w:right w:val="none" w:sz="0" w:space="0" w:color="auto"/>
      </w:divBdr>
    </w:div>
    <w:div w:id="1045106406">
      <w:bodyDiv w:val="1"/>
      <w:marLeft w:val="0"/>
      <w:marRight w:val="0"/>
      <w:marTop w:val="0"/>
      <w:marBottom w:val="0"/>
      <w:divBdr>
        <w:top w:val="none" w:sz="0" w:space="0" w:color="auto"/>
        <w:left w:val="none" w:sz="0" w:space="0" w:color="auto"/>
        <w:bottom w:val="none" w:sz="0" w:space="0" w:color="auto"/>
        <w:right w:val="none" w:sz="0" w:space="0" w:color="auto"/>
      </w:divBdr>
    </w:div>
    <w:div w:id="1137529173">
      <w:bodyDiv w:val="1"/>
      <w:marLeft w:val="0"/>
      <w:marRight w:val="0"/>
      <w:marTop w:val="0"/>
      <w:marBottom w:val="0"/>
      <w:divBdr>
        <w:top w:val="none" w:sz="0" w:space="0" w:color="auto"/>
        <w:left w:val="none" w:sz="0" w:space="0" w:color="auto"/>
        <w:bottom w:val="none" w:sz="0" w:space="0" w:color="auto"/>
        <w:right w:val="none" w:sz="0" w:space="0" w:color="auto"/>
      </w:divBdr>
    </w:div>
    <w:div w:id="173396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hglna01\data\CC98\2.%20STAFF\Brace%20P%20-%20Administrative%20Assistant\SC44%20-%2062%20COP12%20-%2014%20Documents%20and%20page%20counts_pb3.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hglna01\data\CC98\2.%20STAFF\Brace%20P%20-%20Administrative%20Assistant\SC63\Data%20and%20graphs%20-%20proposed%20budget%20increase\SC44%20-%2062%20COP12%20-%2014%20Documents%20and%20page%20counts_pb3.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hglna01\data\CC98\2.%20STAFF\Brace%20P%20-%20Administrative%20Assistant\SC63\Data%20and%20graphs%20-%20proposed%20budget%20increase\Ramsar%20sites%20data_pb2.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hglna01\data\CC98\2.%20STAFF\Brace%20P%20-%20Administrative%20Assistant\SC63\Instructions%20-%20COP,%20SC,%20Synergies.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hglna01\data\CC98\2.%20STAFF\Brace%20P%20-%20Administrative%20Assistant\SC63\Data%20and%20graphs%20-%20proposed%20budget%20increase\Ramsar%20sites%20data_pb2.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hglna01\data\CC98\2.%20STAFF\Brace%20P%20-%20Administrative%20Assistant\SC63\Data%20and%20graphs%20-%20proposed%20budget%20increase\Ramsar%20sites%20data_pb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fr-FR" sz="1100"/>
              <a:t>Nombre de documents pour la COP</a:t>
            </a:r>
          </a:p>
        </c:rich>
      </c:tx>
      <c:layout>
        <c:manualLayout>
          <c:xMode val="edge"/>
          <c:yMode val="edge"/>
          <c:x val="0.1772420308485724"/>
          <c:y val="6.113870844478410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en-US"/>
        </a:p>
      </c:txPr>
    </c:title>
    <c:autoTitleDeleted val="0"/>
    <c:plotArea>
      <c:layout/>
      <c:barChart>
        <c:barDir val="col"/>
        <c:grouping val="clustered"/>
        <c:varyColors val="0"/>
        <c:ser>
          <c:idx val="0"/>
          <c:order val="0"/>
          <c:tx>
            <c:strRef>
              <c:f>Sheet1!$B$23</c:f>
              <c:strCache>
                <c:ptCount val="1"/>
                <c:pt idx="0">
                  <c:v>Number of Documents</c:v>
                </c:pt>
              </c:strCache>
            </c:strRef>
          </c:tx>
          <c:spPr>
            <a:solidFill>
              <a:schemeClr val="accent1"/>
            </a:solidFill>
            <a:ln>
              <a:noFill/>
            </a:ln>
            <a:effectLst/>
          </c:spPr>
          <c:invertIfNegative val="0"/>
          <c:cat>
            <c:strRef>
              <c:f>Sheet1!$A$24:$A$26</c:f>
              <c:strCache>
                <c:ptCount val="3"/>
                <c:pt idx="0">
                  <c:v>COP12</c:v>
                </c:pt>
                <c:pt idx="1">
                  <c:v>COP13</c:v>
                </c:pt>
                <c:pt idx="2">
                  <c:v>COP14</c:v>
                </c:pt>
              </c:strCache>
            </c:strRef>
          </c:cat>
          <c:val>
            <c:numRef>
              <c:f>Sheet1!$B$24:$B$26</c:f>
              <c:numCache>
                <c:formatCode>General</c:formatCode>
                <c:ptCount val="3"/>
                <c:pt idx="0">
                  <c:v>59</c:v>
                </c:pt>
                <c:pt idx="1">
                  <c:v>65</c:v>
                </c:pt>
                <c:pt idx="2">
                  <c:v>75</c:v>
                </c:pt>
              </c:numCache>
            </c:numRef>
          </c:val>
          <c:extLst>
            <c:ext xmlns:c16="http://schemas.microsoft.com/office/drawing/2014/chart" uri="{C3380CC4-5D6E-409C-BE32-E72D297353CC}">
              <c16:uniqueId val="{00000000-46FE-443D-A06C-83F532EA5750}"/>
            </c:ext>
          </c:extLst>
        </c:ser>
        <c:dLbls>
          <c:showLegendKey val="0"/>
          <c:showVal val="0"/>
          <c:showCatName val="0"/>
          <c:showSerName val="0"/>
          <c:showPercent val="0"/>
          <c:showBubbleSize val="0"/>
        </c:dLbls>
        <c:gapWidth val="219"/>
        <c:overlap val="-27"/>
        <c:axId val="489833567"/>
        <c:axId val="597428975"/>
      </c:barChart>
      <c:catAx>
        <c:axId val="4898335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97428975"/>
        <c:crosses val="autoZero"/>
        <c:auto val="1"/>
        <c:lblAlgn val="ctr"/>
        <c:lblOffset val="100"/>
        <c:noMultiLvlLbl val="0"/>
      </c:catAx>
      <c:valAx>
        <c:axId val="597428975"/>
        <c:scaling>
          <c:orientation val="minMax"/>
          <c:min val="4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8983356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solidFill>
            <a:schemeClr val="tx1"/>
          </a:solidFill>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fr-FR" sz="1100"/>
              <a:t>Nombre de documents pour le Comité permanent, par période triennale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en-US"/>
        </a:p>
      </c:txPr>
    </c:title>
    <c:autoTitleDeleted val="0"/>
    <c:plotArea>
      <c:layout/>
      <c:barChart>
        <c:barDir val="col"/>
        <c:grouping val="clustered"/>
        <c:varyColors val="0"/>
        <c:ser>
          <c:idx val="0"/>
          <c:order val="0"/>
          <c:tx>
            <c:strRef>
              <c:f>Sheet1!$B$29</c:f>
              <c:strCache>
                <c:ptCount val="1"/>
                <c:pt idx="0">
                  <c:v>Number of Documents</c:v>
                </c:pt>
              </c:strCache>
            </c:strRef>
          </c:tx>
          <c:spPr>
            <a:solidFill>
              <a:schemeClr val="accent1"/>
            </a:solidFill>
            <a:ln>
              <a:noFill/>
            </a:ln>
            <a:effectLst/>
          </c:spPr>
          <c:invertIfNegative val="0"/>
          <c:cat>
            <c:strRef>
              <c:f>Sheet1!$A$30:$A$32</c:f>
              <c:strCache>
                <c:ptCount val="3"/>
                <c:pt idx="0">
                  <c:v>2012-2015</c:v>
                </c:pt>
                <c:pt idx="1">
                  <c:v>2015-2018</c:v>
                </c:pt>
                <c:pt idx="2">
                  <c:v>2018-2022</c:v>
                </c:pt>
              </c:strCache>
            </c:strRef>
          </c:cat>
          <c:val>
            <c:numRef>
              <c:f>Sheet1!$B$30:$B$32</c:f>
              <c:numCache>
                <c:formatCode>General</c:formatCode>
                <c:ptCount val="3"/>
                <c:pt idx="0">
                  <c:v>86</c:v>
                </c:pt>
                <c:pt idx="1">
                  <c:v>127</c:v>
                </c:pt>
                <c:pt idx="2">
                  <c:v>167</c:v>
                </c:pt>
              </c:numCache>
            </c:numRef>
          </c:val>
          <c:extLst>
            <c:ext xmlns:c16="http://schemas.microsoft.com/office/drawing/2014/chart" uri="{C3380CC4-5D6E-409C-BE32-E72D297353CC}">
              <c16:uniqueId val="{00000000-84B7-4684-A9B2-D08B02101BCD}"/>
            </c:ext>
          </c:extLst>
        </c:ser>
        <c:dLbls>
          <c:showLegendKey val="0"/>
          <c:showVal val="0"/>
          <c:showCatName val="0"/>
          <c:showSerName val="0"/>
          <c:showPercent val="0"/>
          <c:showBubbleSize val="0"/>
        </c:dLbls>
        <c:gapWidth val="219"/>
        <c:overlap val="-27"/>
        <c:axId val="493947103"/>
        <c:axId val="486850223"/>
      </c:barChart>
      <c:catAx>
        <c:axId val="4939471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86850223"/>
        <c:crosses val="autoZero"/>
        <c:auto val="1"/>
        <c:lblAlgn val="ctr"/>
        <c:lblOffset val="100"/>
        <c:noMultiLvlLbl val="0"/>
      </c:catAx>
      <c:valAx>
        <c:axId val="486850223"/>
        <c:scaling>
          <c:orientation val="minMax"/>
          <c:min val="4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9394710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solidFill>
            <a:schemeClr val="tx1"/>
          </a:solidFill>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50" b="0" i="0" u="none" strike="noStrike" kern="1200" spc="0" baseline="0">
                <a:solidFill>
                  <a:sysClr val="windowText" lastClr="000000"/>
                </a:solidFill>
                <a:latin typeface="+mn-lt"/>
                <a:ea typeface="+mn-ea"/>
                <a:cs typeface="+mn-cs"/>
              </a:defRPr>
            </a:pPr>
            <a:r>
              <a:rPr lang="fr-FR"/>
              <a:t>Nombre d</a:t>
            </a:r>
            <a:r>
              <a:rPr lang="fr-FR" sz="1050" b="0" i="0" u="none" strike="noStrike" kern="1200" spc="0" baseline="0">
                <a:solidFill>
                  <a:sysClr val="windowText" lastClr="000000"/>
                </a:solidFill>
                <a:latin typeface="+mn-lt"/>
                <a:ea typeface="+mn-ea"/>
                <a:cs typeface="+mn-cs"/>
              </a:rPr>
              <a:t>’</a:t>
            </a:r>
            <a:r>
              <a:rPr lang="fr-FR"/>
              <a:t>organes subsidiaires, de groupes de travail et de sous-groupes bénéficiant d</a:t>
            </a:r>
            <a:r>
              <a:rPr lang="fr-FR" sz="1050" b="0" i="0" u="none" strike="noStrike" kern="1200" spc="0" baseline="0">
                <a:solidFill>
                  <a:sysClr val="windowText" lastClr="000000"/>
                </a:solidFill>
                <a:latin typeface="+mn-lt"/>
                <a:ea typeface="+mn-ea"/>
                <a:cs typeface="+mn-cs"/>
              </a:rPr>
              <a:t>’</a:t>
            </a:r>
            <a:r>
              <a:rPr lang="fr-FR"/>
              <a:t>un appui</a:t>
            </a:r>
          </a:p>
        </c:rich>
      </c:tx>
      <c:overlay val="0"/>
      <c:spPr>
        <a:noFill/>
        <a:ln>
          <a:noFill/>
        </a:ln>
        <a:effectLst/>
      </c:spPr>
      <c:txPr>
        <a:bodyPr rot="0" spcFirstLastPara="1" vertOverflow="ellipsis" vert="horz" wrap="square" anchor="ctr" anchorCtr="1"/>
        <a:lstStyle/>
        <a:p>
          <a:pPr>
            <a:defRPr sz="1050" b="0"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Sheet1!$B$34</c:f>
              <c:strCache>
                <c:ptCount val="1"/>
                <c:pt idx="0">
                  <c:v>Subsidiary bodies, Working Groups and Subgroups supported</c:v>
                </c:pt>
              </c:strCache>
            </c:strRef>
          </c:tx>
          <c:spPr>
            <a:solidFill>
              <a:schemeClr val="accent1"/>
            </a:solidFill>
            <a:ln>
              <a:noFill/>
            </a:ln>
            <a:effectLst/>
          </c:spPr>
          <c:invertIfNegative val="0"/>
          <c:cat>
            <c:strRef>
              <c:f>Sheet1!$A$35:$A$38</c:f>
              <c:strCache>
                <c:ptCount val="4"/>
                <c:pt idx="0">
                  <c:v>2012 - 2015</c:v>
                </c:pt>
                <c:pt idx="1">
                  <c:v>2015 - 2018</c:v>
                </c:pt>
                <c:pt idx="2">
                  <c:v>2018 - 2022</c:v>
                </c:pt>
                <c:pt idx="3">
                  <c:v>2022 - 2024</c:v>
                </c:pt>
              </c:strCache>
            </c:strRef>
          </c:cat>
          <c:val>
            <c:numRef>
              <c:f>Sheet1!$B$35:$B$38</c:f>
              <c:numCache>
                <c:formatCode>General</c:formatCode>
                <c:ptCount val="4"/>
                <c:pt idx="0">
                  <c:v>8</c:v>
                </c:pt>
                <c:pt idx="1">
                  <c:v>10</c:v>
                </c:pt>
                <c:pt idx="2">
                  <c:v>11</c:v>
                </c:pt>
                <c:pt idx="3">
                  <c:v>12</c:v>
                </c:pt>
              </c:numCache>
            </c:numRef>
          </c:val>
          <c:extLst>
            <c:ext xmlns:c16="http://schemas.microsoft.com/office/drawing/2014/chart" uri="{C3380CC4-5D6E-409C-BE32-E72D297353CC}">
              <c16:uniqueId val="{00000000-B4EF-4C78-A915-C7D6F9B64CBA}"/>
            </c:ext>
          </c:extLst>
        </c:ser>
        <c:dLbls>
          <c:showLegendKey val="0"/>
          <c:showVal val="0"/>
          <c:showCatName val="0"/>
          <c:showSerName val="0"/>
          <c:showPercent val="0"/>
          <c:showBubbleSize val="0"/>
        </c:dLbls>
        <c:gapWidth val="219"/>
        <c:overlap val="-27"/>
        <c:axId val="432322272"/>
        <c:axId val="432328032"/>
      </c:barChart>
      <c:catAx>
        <c:axId val="432322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432328032"/>
        <c:crosses val="autoZero"/>
        <c:auto val="1"/>
        <c:lblAlgn val="ctr"/>
        <c:lblOffset val="100"/>
        <c:noMultiLvlLbl val="0"/>
      </c:catAx>
      <c:valAx>
        <c:axId val="432328032"/>
        <c:scaling>
          <c:orientation val="minMax"/>
          <c:min val="2"/>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323222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chemeClr val="tx1"/>
                </a:solidFill>
                <a:latin typeface="+mn-lt"/>
                <a:ea typeface="+mn-ea"/>
                <a:cs typeface="+mn-cs"/>
              </a:defRPr>
            </a:pPr>
            <a:r>
              <a:rPr lang="fr-FR" sz="900" b="0" i="0" u="none" strike="noStrike">
                <a:effectLst/>
              </a:rPr>
              <a:t>Nombre d</a:t>
            </a:r>
            <a:r>
              <a:rPr lang="fr-FR" sz="900" b="0" i="0" u="none" strike="noStrike" kern="1200" spc="0" baseline="0">
                <a:solidFill>
                  <a:sysClr val="windowText" lastClr="000000"/>
                </a:solidFill>
                <a:effectLst/>
                <a:latin typeface="+mn-lt"/>
                <a:ea typeface="+mn-ea"/>
                <a:cs typeface="+mn-cs"/>
              </a:rPr>
              <a:t>’</a:t>
            </a:r>
            <a:r>
              <a:rPr lang="fr-FR" sz="900" b="0" i="0" u="none" strike="noStrike">
                <a:effectLst/>
              </a:rPr>
              <a:t>entités avec lesquelles le Secrétariat a instruction de collaborer dans la résolution sur les synergies adoptée à chaque COP </a:t>
            </a:r>
          </a:p>
        </c:rich>
      </c:tx>
      <c:layout>
        <c:manualLayout>
          <c:xMode val="edge"/>
          <c:yMode val="edge"/>
          <c:x val="9.6477613296654816E-2"/>
          <c:y val="4.5854031333588077E-2"/>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solidFill>
              <a:latin typeface="+mn-lt"/>
              <a:ea typeface="+mn-ea"/>
              <a:cs typeface="+mn-cs"/>
            </a:defRPr>
          </a:pPr>
          <a:endParaRPr lang="en-US"/>
        </a:p>
      </c:txPr>
    </c:title>
    <c:autoTitleDeleted val="0"/>
    <c:plotArea>
      <c:layout/>
      <c:barChart>
        <c:barDir val="col"/>
        <c:grouping val="clustered"/>
        <c:varyColors val="0"/>
        <c:ser>
          <c:idx val="0"/>
          <c:order val="0"/>
          <c:tx>
            <c:strRef>
              <c:f>Sheet1!$B$12</c:f>
              <c:strCache>
                <c:ptCount val="1"/>
                <c:pt idx="0">
                  <c:v>Partnership requests</c:v>
                </c:pt>
              </c:strCache>
            </c:strRef>
          </c:tx>
          <c:spPr>
            <a:solidFill>
              <a:schemeClr val="accent1"/>
            </a:solidFill>
            <a:ln>
              <a:noFill/>
            </a:ln>
            <a:effectLst/>
          </c:spPr>
          <c:invertIfNegative val="0"/>
          <c:cat>
            <c:strRef>
              <c:f>Sheet1!$A$13:$A$16</c:f>
              <c:strCache>
                <c:ptCount val="4"/>
                <c:pt idx="0">
                  <c:v>COP11</c:v>
                </c:pt>
                <c:pt idx="1">
                  <c:v>COP12</c:v>
                </c:pt>
                <c:pt idx="2">
                  <c:v>COP13</c:v>
                </c:pt>
                <c:pt idx="3">
                  <c:v>COP14</c:v>
                </c:pt>
              </c:strCache>
            </c:strRef>
          </c:cat>
          <c:val>
            <c:numRef>
              <c:f>Sheet1!$B$13:$B$16</c:f>
              <c:numCache>
                <c:formatCode>General</c:formatCode>
                <c:ptCount val="4"/>
                <c:pt idx="0">
                  <c:v>15</c:v>
                </c:pt>
                <c:pt idx="1">
                  <c:v>15</c:v>
                </c:pt>
                <c:pt idx="2">
                  <c:v>17</c:v>
                </c:pt>
                <c:pt idx="3">
                  <c:v>18</c:v>
                </c:pt>
              </c:numCache>
            </c:numRef>
          </c:val>
          <c:extLst>
            <c:ext xmlns:c16="http://schemas.microsoft.com/office/drawing/2014/chart" uri="{C3380CC4-5D6E-409C-BE32-E72D297353CC}">
              <c16:uniqueId val="{00000000-211C-4F78-BBAE-42E95F62E3BE}"/>
            </c:ext>
          </c:extLst>
        </c:ser>
        <c:dLbls>
          <c:showLegendKey val="0"/>
          <c:showVal val="0"/>
          <c:showCatName val="0"/>
          <c:showSerName val="0"/>
          <c:showPercent val="0"/>
          <c:showBubbleSize val="0"/>
        </c:dLbls>
        <c:gapWidth val="219"/>
        <c:overlap val="-27"/>
        <c:axId val="1205623263"/>
        <c:axId val="930927359"/>
      </c:barChart>
      <c:catAx>
        <c:axId val="12056232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0927359"/>
        <c:crosses val="autoZero"/>
        <c:auto val="1"/>
        <c:lblAlgn val="ctr"/>
        <c:lblOffset val="100"/>
        <c:noMultiLvlLbl val="0"/>
      </c:catAx>
      <c:valAx>
        <c:axId val="9309273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05623263"/>
        <c:crosses val="autoZero"/>
        <c:crossBetween val="between"/>
        <c:majorUnit val="1"/>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ysClr val="windowText" lastClr="000000"/>
                </a:solidFill>
                <a:latin typeface="+mn-lt"/>
                <a:ea typeface="+mn-ea"/>
                <a:cs typeface="+mn-cs"/>
              </a:defRPr>
            </a:pPr>
            <a:r>
              <a:rPr lang="fr-FR" sz="1000">
                <a:solidFill>
                  <a:sysClr val="windowText" lastClr="000000"/>
                </a:solidFill>
              </a:rPr>
              <a:t>Nombre total de Sites Ramsar</a:t>
            </a:r>
          </a:p>
        </c:rich>
      </c:tx>
      <c:overlay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mn-lt"/>
              <a:ea typeface="+mn-ea"/>
              <a:cs typeface="+mn-cs"/>
            </a:defRPr>
          </a:pPr>
          <a:endParaRPr lang="en-GB"/>
        </a:p>
      </c:txPr>
    </c:title>
    <c:autoTitleDeleted val="0"/>
    <c:plotArea>
      <c:layout/>
      <c:barChart>
        <c:barDir val="col"/>
        <c:grouping val="stacked"/>
        <c:varyColors val="0"/>
        <c:ser>
          <c:idx val="0"/>
          <c:order val="0"/>
          <c:tx>
            <c:strRef>
              <c:f>Sheet1!$B$40</c:f>
              <c:strCache>
                <c:ptCount val="1"/>
                <c:pt idx="0">
                  <c:v>Total number of Sites</c:v>
                </c:pt>
              </c:strCache>
            </c:strRef>
          </c:tx>
          <c:spPr>
            <a:solidFill>
              <a:schemeClr val="accent1"/>
            </a:solidFill>
            <a:ln>
              <a:noFill/>
            </a:ln>
            <a:effectLst/>
          </c:spPr>
          <c:invertIfNegative val="0"/>
          <c:cat>
            <c:strRef>
              <c:f>Sheet1!$A$41:$A$44</c:f>
              <c:strCache>
                <c:ptCount val="4"/>
                <c:pt idx="0">
                  <c:v>2012 - 2015</c:v>
                </c:pt>
                <c:pt idx="1">
                  <c:v>2015 - 2018</c:v>
                </c:pt>
                <c:pt idx="2">
                  <c:v>2018 - 2022</c:v>
                </c:pt>
                <c:pt idx="3">
                  <c:v>2022 - 2024</c:v>
                </c:pt>
              </c:strCache>
            </c:strRef>
          </c:cat>
          <c:val>
            <c:numRef>
              <c:f>Sheet1!$B$41:$B$44</c:f>
              <c:numCache>
                <c:formatCode>General</c:formatCode>
                <c:ptCount val="4"/>
                <c:pt idx="0">
                  <c:v>2039</c:v>
                </c:pt>
                <c:pt idx="1">
                  <c:v>2183</c:v>
                </c:pt>
                <c:pt idx="2">
                  <c:v>2314</c:v>
                </c:pt>
                <c:pt idx="3">
                  <c:v>2438</c:v>
                </c:pt>
              </c:numCache>
            </c:numRef>
          </c:val>
          <c:extLst>
            <c:ext xmlns:c16="http://schemas.microsoft.com/office/drawing/2014/chart" uri="{C3380CC4-5D6E-409C-BE32-E72D297353CC}">
              <c16:uniqueId val="{00000000-5B67-43D3-8D21-5CBF511484B9}"/>
            </c:ext>
          </c:extLst>
        </c:ser>
        <c:ser>
          <c:idx val="1"/>
          <c:order val="1"/>
          <c:tx>
            <c:strRef>
              <c:f>Sheet1!$C$40</c:f>
              <c:strCache>
                <c:ptCount val="1"/>
                <c:pt idx="0">
                  <c:v>New Sites added during triennium</c:v>
                </c:pt>
              </c:strCache>
            </c:strRef>
          </c:tx>
          <c:spPr>
            <a:solidFill>
              <a:schemeClr val="accent2"/>
            </a:solidFill>
            <a:ln>
              <a:noFill/>
            </a:ln>
            <a:effectLst/>
          </c:spPr>
          <c:invertIfNegative val="0"/>
          <c:cat>
            <c:strRef>
              <c:f>Sheet1!$A$41:$A$44</c:f>
              <c:strCache>
                <c:ptCount val="4"/>
                <c:pt idx="0">
                  <c:v>2012 - 2015</c:v>
                </c:pt>
                <c:pt idx="1">
                  <c:v>2015 - 2018</c:v>
                </c:pt>
                <c:pt idx="2">
                  <c:v>2018 - 2022</c:v>
                </c:pt>
                <c:pt idx="3">
                  <c:v>2022 - 2024</c:v>
                </c:pt>
              </c:strCache>
            </c:strRef>
          </c:cat>
          <c:val>
            <c:numRef>
              <c:f>Sheet1!$C$41:$C$44</c:f>
              <c:numCache>
                <c:formatCode>General</c:formatCode>
                <c:ptCount val="4"/>
                <c:pt idx="0">
                  <c:v>149</c:v>
                </c:pt>
                <c:pt idx="1">
                  <c:v>131</c:v>
                </c:pt>
                <c:pt idx="2">
                  <c:v>125</c:v>
                </c:pt>
                <c:pt idx="3">
                  <c:v>82</c:v>
                </c:pt>
              </c:numCache>
            </c:numRef>
          </c:val>
          <c:extLst>
            <c:ext xmlns:c16="http://schemas.microsoft.com/office/drawing/2014/chart" uri="{C3380CC4-5D6E-409C-BE32-E72D297353CC}">
              <c16:uniqueId val="{00000001-5B67-43D3-8D21-5CBF511484B9}"/>
            </c:ext>
          </c:extLst>
        </c:ser>
        <c:dLbls>
          <c:showLegendKey val="0"/>
          <c:showVal val="0"/>
          <c:showCatName val="0"/>
          <c:showSerName val="0"/>
          <c:showPercent val="0"/>
          <c:showBubbleSize val="0"/>
        </c:dLbls>
        <c:gapWidth val="150"/>
        <c:overlap val="100"/>
        <c:axId val="377350176"/>
        <c:axId val="377339616"/>
      </c:barChart>
      <c:catAx>
        <c:axId val="377350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377339616"/>
        <c:crosses val="autoZero"/>
        <c:auto val="1"/>
        <c:lblAlgn val="ctr"/>
        <c:lblOffset val="100"/>
        <c:noMultiLvlLbl val="0"/>
      </c:catAx>
      <c:valAx>
        <c:axId val="377339616"/>
        <c:scaling>
          <c:orientation val="minMax"/>
          <c:min val="18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77350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fr-FR" sz="900">
                <a:solidFill>
                  <a:sysClr val="windowText" lastClr="000000"/>
                </a:solidFill>
              </a:rPr>
              <a:t>Mises à jour des Fiches descriptives Ramsar, terminées et en cours à la fin de la période triennale</a:t>
            </a:r>
          </a:p>
        </c:rich>
      </c:tx>
      <c:layout>
        <c:manualLayout>
          <c:xMode val="edge"/>
          <c:yMode val="edge"/>
          <c:x val="0.13218312245713215"/>
          <c:y val="1.5284677111196026E-2"/>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Sheet1!$B$28</c:f>
              <c:strCache>
                <c:ptCount val="1"/>
                <c:pt idx="0">
                  <c:v>Ramsar site updates - completed and pending at end of triennium</c:v>
                </c:pt>
              </c:strCache>
            </c:strRef>
          </c:tx>
          <c:spPr>
            <a:solidFill>
              <a:schemeClr val="accent1"/>
            </a:solidFill>
            <a:ln>
              <a:noFill/>
            </a:ln>
            <a:effectLst/>
          </c:spPr>
          <c:invertIfNegative val="0"/>
          <c:cat>
            <c:strRef>
              <c:f>Sheet1!$A$29:$A$32</c:f>
              <c:strCache>
                <c:ptCount val="4"/>
                <c:pt idx="0">
                  <c:v>2012 - 2015</c:v>
                </c:pt>
                <c:pt idx="1">
                  <c:v>2015 - 2018</c:v>
                </c:pt>
                <c:pt idx="2">
                  <c:v>2018 - 2022</c:v>
                </c:pt>
                <c:pt idx="3">
                  <c:v>2022 - 2024</c:v>
                </c:pt>
              </c:strCache>
            </c:strRef>
          </c:cat>
          <c:val>
            <c:numRef>
              <c:f>Sheet1!$B$29:$B$32</c:f>
              <c:numCache>
                <c:formatCode>General</c:formatCode>
                <c:ptCount val="4"/>
                <c:pt idx="0">
                  <c:v>387</c:v>
                </c:pt>
                <c:pt idx="1">
                  <c:v>753</c:v>
                </c:pt>
                <c:pt idx="2">
                  <c:v>822</c:v>
                </c:pt>
                <c:pt idx="3">
                  <c:v>840</c:v>
                </c:pt>
              </c:numCache>
            </c:numRef>
          </c:val>
          <c:extLst>
            <c:ext xmlns:c16="http://schemas.microsoft.com/office/drawing/2014/chart" uri="{C3380CC4-5D6E-409C-BE32-E72D297353CC}">
              <c16:uniqueId val="{00000000-C500-4CBC-8C40-0A8380C72928}"/>
            </c:ext>
          </c:extLst>
        </c:ser>
        <c:dLbls>
          <c:showLegendKey val="0"/>
          <c:showVal val="0"/>
          <c:showCatName val="0"/>
          <c:showSerName val="0"/>
          <c:showPercent val="0"/>
          <c:showBubbleSize val="0"/>
        </c:dLbls>
        <c:gapWidth val="219"/>
        <c:overlap val="-27"/>
        <c:axId val="368399088"/>
        <c:axId val="377347776"/>
      </c:barChart>
      <c:catAx>
        <c:axId val="368399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377347776"/>
        <c:crosses val="autoZero"/>
        <c:auto val="1"/>
        <c:lblAlgn val="ctr"/>
        <c:lblOffset val="100"/>
        <c:noMultiLvlLbl val="0"/>
      </c:catAx>
      <c:valAx>
        <c:axId val="377347776"/>
        <c:scaling>
          <c:orientation val="minMax"/>
          <c:min val="2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683990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057D5-A8F7-4C9D-A796-A0C9270BF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1897</Words>
  <Characters>10817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12689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3</cp:revision>
  <cp:lastPrinted>2025-04-01T07:42:00Z</cp:lastPrinted>
  <dcterms:created xsi:type="dcterms:W3CDTF">2025-04-23T13:53:00Z</dcterms:created>
  <dcterms:modified xsi:type="dcterms:W3CDTF">2025-04-23T14:05:00Z</dcterms:modified>
</cp:coreProperties>
</file>