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6BA9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  <w:r w:rsidRPr="00321BB8">
        <w:rPr>
          <w:rFonts w:ascii="Calibri" w:eastAsia="Times New Roman" w:hAnsi="Calibri" w:cs="Calibri Light"/>
          <w:b/>
          <w:bCs/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32104CC1" wp14:editId="469BF6FD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for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for a conventi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A17B3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  <w:r w:rsidRPr="00321BB8">
        <w:rPr>
          <w:rFonts w:ascii="Calibri" w:eastAsia="Times New Roman" w:hAnsi="Calibri" w:cs="Calibri Light"/>
          <w:b/>
          <w:bCs/>
          <w:lang w:val="en-US"/>
        </w:rPr>
        <w:t>15th meeting of the Conference of the Contracting Parties</w:t>
      </w:r>
    </w:p>
    <w:p w14:paraId="04FBF7B0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  <w:r w:rsidRPr="00321BB8">
        <w:rPr>
          <w:rFonts w:ascii="Calibri" w:eastAsia="Times New Roman" w:hAnsi="Calibri" w:cs="Calibri Light"/>
          <w:b/>
          <w:bCs/>
          <w:lang w:val="en-US"/>
        </w:rPr>
        <w:t>to the Convention on Wetlands</w:t>
      </w:r>
    </w:p>
    <w:p w14:paraId="5159BD41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</w:p>
    <w:p w14:paraId="7ABE47CB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  <w:r w:rsidRPr="00321BB8">
        <w:rPr>
          <w:rFonts w:ascii="Calibri" w:eastAsia="Times New Roman" w:hAnsi="Calibri" w:cs="Calibri Light"/>
          <w:b/>
          <w:bCs/>
          <w:lang w:val="en-US"/>
        </w:rPr>
        <w:t>“Protecting wetlands for our common future”</w:t>
      </w:r>
    </w:p>
    <w:p w14:paraId="70D52723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  <w:r w:rsidRPr="00321BB8">
        <w:rPr>
          <w:rFonts w:ascii="Calibri" w:eastAsia="Times New Roman" w:hAnsi="Calibri" w:cs="Calibri Light"/>
          <w:b/>
          <w:bCs/>
          <w:lang w:val="en-US"/>
        </w:rPr>
        <w:t>Victoria Falls, Zimbabwe, 23-31 July 2025</w:t>
      </w:r>
    </w:p>
    <w:p w14:paraId="3C4B553D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</w:p>
    <w:p w14:paraId="3111D1D0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</w:p>
    <w:p w14:paraId="13AAEB70" w14:textId="77777777" w:rsidR="00940101" w:rsidRPr="00321BB8" w:rsidRDefault="00940101" w:rsidP="000A2BFA">
      <w:pPr>
        <w:spacing w:after="0" w:line="240" w:lineRule="auto"/>
        <w:jc w:val="center"/>
        <w:outlineLvl w:val="0"/>
        <w:rPr>
          <w:rFonts w:ascii="Calibri" w:eastAsia="Times New Roman" w:hAnsi="Calibri" w:cs="Calibri Light"/>
          <w:b/>
          <w:bCs/>
          <w:lang w:val="en-US"/>
        </w:rPr>
      </w:pPr>
    </w:p>
    <w:p w14:paraId="1F16D71F" w14:textId="77777777" w:rsidR="00940101" w:rsidRPr="00321BB8" w:rsidRDefault="00940101" w:rsidP="000A2BFA">
      <w:pPr>
        <w:spacing w:after="0" w:line="240" w:lineRule="auto"/>
        <w:jc w:val="right"/>
        <w:rPr>
          <w:rFonts w:ascii="Calibri" w:hAnsi="Calibri"/>
        </w:rPr>
      </w:pPr>
    </w:p>
    <w:p w14:paraId="7391A9F6" w14:textId="6134923F" w:rsidR="00E51FD3" w:rsidRPr="00E51FD3" w:rsidRDefault="008946C0" w:rsidP="000A2BFA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COP15</w:t>
      </w:r>
      <w:r w:rsidRPr="00E51FD3">
        <w:rPr>
          <w:rFonts w:ascii="Calibri" w:hAnsi="Calibri" w:cs="Calibri"/>
          <w:b/>
          <w:sz w:val="28"/>
          <w:szCs w:val="28"/>
        </w:rPr>
        <w:t xml:space="preserve"> </w:t>
      </w:r>
      <w:r w:rsidR="00E51FD3" w:rsidRPr="00E51FD3">
        <w:rPr>
          <w:rFonts w:ascii="Calibri" w:hAnsi="Calibri" w:cs="Calibri"/>
          <w:b/>
          <w:sz w:val="28"/>
          <w:szCs w:val="28"/>
        </w:rPr>
        <w:t>Inf.1</w:t>
      </w:r>
    </w:p>
    <w:p w14:paraId="2EFB25DF" w14:textId="77777777" w:rsidR="00E51FD3" w:rsidRPr="00E51FD3" w:rsidRDefault="00E51FD3" w:rsidP="000A2BFA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8373828" w14:textId="71775240" w:rsidR="007B769F" w:rsidRPr="00E51FD3" w:rsidRDefault="007B769F" w:rsidP="000A2BFA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51FD3">
        <w:rPr>
          <w:rFonts w:ascii="Calibri" w:hAnsi="Calibri" w:cs="Calibri"/>
          <w:b/>
          <w:bCs/>
          <w:sz w:val="28"/>
          <w:szCs w:val="28"/>
        </w:rPr>
        <w:t xml:space="preserve">Information document </w:t>
      </w:r>
      <w:r w:rsidR="43B408B3" w:rsidRPr="00E51FD3">
        <w:rPr>
          <w:rFonts w:ascii="Calibri" w:hAnsi="Calibri" w:cs="Calibri"/>
          <w:b/>
          <w:bCs/>
          <w:sz w:val="28"/>
          <w:szCs w:val="28"/>
        </w:rPr>
        <w:t>to support</w:t>
      </w:r>
      <w:r w:rsidRPr="00E51FD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75FEF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="0051153D" w:rsidRPr="00E51FD3">
        <w:rPr>
          <w:rFonts w:ascii="Calibri" w:hAnsi="Calibri" w:cs="Calibri"/>
          <w:b/>
          <w:bCs/>
          <w:sz w:val="28"/>
          <w:szCs w:val="28"/>
        </w:rPr>
        <w:t>2026</w:t>
      </w:r>
      <w:r w:rsidRPr="00E51FD3">
        <w:rPr>
          <w:rFonts w:ascii="Calibri" w:hAnsi="Calibri" w:cs="Calibri"/>
          <w:b/>
          <w:bCs/>
          <w:sz w:val="28"/>
          <w:szCs w:val="28"/>
        </w:rPr>
        <w:t xml:space="preserve">-2028 </w:t>
      </w:r>
      <w:r w:rsidR="54D01C03" w:rsidRPr="00E51FD3">
        <w:rPr>
          <w:rFonts w:ascii="Calibri" w:hAnsi="Calibri" w:cs="Calibri"/>
          <w:b/>
          <w:bCs/>
          <w:sz w:val="28"/>
          <w:szCs w:val="28"/>
        </w:rPr>
        <w:t xml:space="preserve">increase </w:t>
      </w:r>
      <w:r w:rsidR="00CD24B6">
        <w:rPr>
          <w:rFonts w:ascii="Calibri" w:hAnsi="Calibri" w:cs="Calibri"/>
          <w:b/>
          <w:bCs/>
          <w:sz w:val="28"/>
          <w:szCs w:val="28"/>
        </w:rPr>
        <w:t>in</w:t>
      </w:r>
      <w:r w:rsidR="00CD24B6" w:rsidRPr="00E51FD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14283E92" w:rsidRPr="00E51FD3">
        <w:rPr>
          <w:rFonts w:ascii="Calibri" w:hAnsi="Calibri" w:cs="Calibri"/>
          <w:b/>
          <w:bCs/>
          <w:sz w:val="28"/>
          <w:szCs w:val="28"/>
        </w:rPr>
        <w:t xml:space="preserve">the Secretariat </w:t>
      </w:r>
      <w:r w:rsidR="00CD24B6" w:rsidRPr="00E51FD3">
        <w:rPr>
          <w:rFonts w:ascii="Calibri" w:hAnsi="Calibri" w:cs="Calibri"/>
          <w:b/>
          <w:bCs/>
          <w:sz w:val="28"/>
          <w:szCs w:val="28"/>
        </w:rPr>
        <w:t xml:space="preserve">core budget </w:t>
      </w:r>
      <w:r w:rsidR="14283E92" w:rsidRPr="00E51FD3">
        <w:rPr>
          <w:rFonts w:ascii="Calibri" w:hAnsi="Calibri" w:cs="Calibri"/>
          <w:b/>
          <w:bCs/>
          <w:sz w:val="28"/>
          <w:szCs w:val="28"/>
        </w:rPr>
        <w:t xml:space="preserve">presented in </w:t>
      </w:r>
      <w:r w:rsidR="00CD24B6">
        <w:rPr>
          <w:rFonts w:ascii="Calibri" w:hAnsi="Calibri" w:cs="Calibri"/>
          <w:b/>
          <w:bCs/>
          <w:sz w:val="28"/>
          <w:szCs w:val="28"/>
        </w:rPr>
        <w:t>d</w:t>
      </w:r>
      <w:r w:rsidR="00CD24B6" w:rsidRPr="00E51FD3">
        <w:rPr>
          <w:rFonts w:ascii="Calibri" w:hAnsi="Calibri" w:cs="Calibri"/>
          <w:b/>
          <w:bCs/>
          <w:sz w:val="28"/>
          <w:szCs w:val="28"/>
        </w:rPr>
        <w:t xml:space="preserve">ocument </w:t>
      </w:r>
      <w:r w:rsidR="008946C0">
        <w:rPr>
          <w:rFonts w:ascii="Calibri" w:hAnsi="Calibri" w:cs="Calibri"/>
          <w:b/>
          <w:bCs/>
          <w:sz w:val="28"/>
          <w:szCs w:val="28"/>
        </w:rPr>
        <w:t>COP15 Doc.23.1</w:t>
      </w:r>
    </w:p>
    <w:p w14:paraId="4A9736A0" w14:textId="77777777" w:rsidR="007B769F" w:rsidRPr="00995DB2" w:rsidRDefault="007B769F" w:rsidP="00F312DE">
      <w:pPr>
        <w:spacing w:after="0" w:line="240" w:lineRule="auto"/>
        <w:rPr>
          <w:rFonts w:ascii="Calibri" w:hAnsi="Calibri" w:cs="Calibri"/>
        </w:rPr>
      </w:pPr>
    </w:p>
    <w:p w14:paraId="414D9596" w14:textId="77777777" w:rsidR="001E2255" w:rsidRPr="00995DB2" w:rsidRDefault="001E2255" w:rsidP="000A2BFA">
      <w:pPr>
        <w:spacing w:after="0" w:line="240" w:lineRule="auto"/>
        <w:rPr>
          <w:rFonts w:ascii="Calibri" w:hAnsi="Calibri" w:cs="Calibri"/>
        </w:rPr>
      </w:pPr>
    </w:p>
    <w:p w14:paraId="6F829654" w14:textId="2DEDCADD" w:rsidR="001E2255" w:rsidRPr="00E51FD3" w:rsidRDefault="00995DB2" w:rsidP="000A2BFA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</w:r>
      <w:r w:rsidR="001E2255" w:rsidRPr="00E51FD3">
        <w:rPr>
          <w:rFonts w:ascii="Calibri" w:hAnsi="Calibri" w:cs="Calibri"/>
        </w:rPr>
        <w:t xml:space="preserve">At </w:t>
      </w:r>
      <w:r w:rsidR="00952CE6" w:rsidRPr="00E51FD3">
        <w:rPr>
          <w:rFonts w:ascii="Calibri" w:hAnsi="Calibri" w:cs="Calibri"/>
        </w:rPr>
        <w:t>the request of the Subgroup on Finance</w:t>
      </w:r>
      <w:r w:rsidR="0CDD7965" w:rsidRPr="00E51FD3">
        <w:rPr>
          <w:rFonts w:ascii="Calibri" w:hAnsi="Calibri" w:cs="Calibri"/>
        </w:rPr>
        <w:t xml:space="preserve"> and the Contracting Parties</w:t>
      </w:r>
      <w:r w:rsidR="00952CE6" w:rsidRPr="00E51FD3">
        <w:rPr>
          <w:rFonts w:ascii="Calibri" w:hAnsi="Calibri" w:cs="Calibri"/>
        </w:rPr>
        <w:t xml:space="preserve">, the Secretariat has prepared this </w:t>
      </w:r>
      <w:r w:rsidR="00952CE6" w:rsidRPr="00D861AF">
        <w:rPr>
          <w:rFonts w:ascii="Calibri" w:hAnsi="Calibri" w:cs="Calibri"/>
        </w:rPr>
        <w:t>information document</w:t>
      </w:r>
      <w:r w:rsidR="00952CE6" w:rsidRPr="00E51FD3">
        <w:rPr>
          <w:rFonts w:ascii="Calibri" w:hAnsi="Calibri" w:cs="Calibri"/>
        </w:rPr>
        <w:t xml:space="preserve"> which </w:t>
      </w:r>
      <w:r w:rsidR="00447123" w:rsidRPr="00E51FD3">
        <w:rPr>
          <w:rFonts w:ascii="Calibri" w:hAnsi="Calibri" w:cs="Calibri"/>
        </w:rPr>
        <w:t>provides</w:t>
      </w:r>
      <w:r w:rsidR="00952CE6" w:rsidRPr="00E51FD3">
        <w:rPr>
          <w:rFonts w:ascii="Calibri" w:hAnsi="Calibri" w:cs="Calibri"/>
        </w:rPr>
        <w:t xml:space="preserve"> the </w:t>
      </w:r>
      <w:r w:rsidR="00CC0AFF">
        <w:rPr>
          <w:rFonts w:ascii="Calibri" w:hAnsi="Calibri" w:cs="Calibri"/>
        </w:rPr>
        <w:t xml:space="preserve">rationale </w:t>
      </w:r>
      <w:r w:rsidR="00952CE6" w:rsidRPr="00E51FD3">
        <w:rPr>
          <w:rFonts w:ascii="Calibri" w:hAnsi="Calibri" w:cs="Calibri"/>
        </w:rPr>
        <w:t xml:space="preserve">for </w:t>
      </w:r>
      <w:r w:rsidR="005557D3">
        <w:rPr>
          <w:rFonts w:ascii="Calibri" w:hAnsi="Calibri" w:cs="Calibri"/>
        </w:rPr>
        <w:t>the</w:t>
      </w:r>
      <w:r w:rsidR="005557D3" w:rsidRPr="00E51FD3">
        <w:rPr>
          <w:rFonts w:ascii="Calibri" w:hAnsi="Calibri" w:cs="Calibri"/>
        </w:rPr>
        <w:t xml:space="preserve"> </w:t>
      </w:r>
      <w:r w:rsidR="00952CE6" w:rsidRPr="00E51FD3">
        <w:rPr>
          <w:rFonts w:ascii="Calibri" w:hAnsi="Calibri" w:cs="Calibri"/>
        </w:rPr>
        <w:t>core budget increase</w:t>
      </w:r>
      <w:r w:rsidR="005557D3">
        <w:rPr>
          <w:rFonts w:ascii="Calibri" w:hAnsi="Calibri" w:cs="Calibri"/>
        </w:rPr>
        <w:t xml:space="preserve">s included in the </w:t>
      </w:r>
      <w:r w:rsidR="00447123" w:rsidRPr="00E51FD3">
        <w:rPr>
          <w:rFonts w:ascii="Calibri" w:hAnsi="Calibri" w:cs="Calibri"/>
        </w:rPr>
        <w:t xml:space="preserve">budget </w:t>
      </w:r>
      <w:r w:rsidR="000A2BFA">
        <w:rPr>
          <w:rFonts w:ascii="Calibri" w:hAnsi="Calibri" w:cs="Calibri"/>
        </w:rPr>
        <w:t>scenarios presented in the d</w:t>
      </w:r>
      <w:r w:rsidR="000A2BFA" w:rsidRPr="000A2BFA">
        <w:rPr>
          <w:rFonts w:ascii="Calibri" w:hAnsi="Calibri" w:cs="Calibri"/>
        </w:rPr>
        <w:t>raft resolution on financial and budgetary matters (document COP15 Doc.23.1)</w:t>
      </w:r>
      <w:r w:rsidR="001C30C3" w:rsidRPr="00E51FD3">
        <w:rPr>
          <w:rFonts w:ascii="Calibri" w:hAnsi="Calibri" w:cs="Calibri"/>
        </w:rPr>
        <w:t xml:space="preserve">. </w:t>
      </w:r>
    </w:p>
    <w:p w14:paraId="5ABA4499" w14:textId="2E307500" w:rsidR="00B0767D" w:rsidRPr="00E51FD3" w:rsidRDefault="00B0767D" w:rsidP="000A2BFA">
      <w:pPr>
        <w:spacing w:after="0" w:line="240" w:lineRule="auto"/>
        <w:ind w:left="426" w:hanging="426"/>
        <w:rPr>
          <w:rFonts w:ascii="Calibri" w:hAnsi="Calibri" w:cs="Calibri"/>
        </w:rPr>
      </w:pPr>
    </w:p>
    <w:p w14:paraId="569AF186" w14:textId="2964E89B" w:rsidR="00041B13" w:rsidRDefault="00995DB2" w:rsidP="000A2BFA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r w:rsidR="00B0767D" w:rsidRPr="00E51FD3">
        <w:rPr>
          <w:rFonts w:ascii="Calibri" w:hAnsi="Calibri" w:cs="Calibri"/>
        </w:rPr>
        <w:t xml:space="preserve">The core budget of the Secretariat has remained unchanged </w:t>
      </w:r>
      <w:r w:rsidR="0019501B" w:rsidRPr="00E51FD3">
        <w:rPr>
          <w:rFonts w:ascii="Calibri" w:hAnsi="Calibri" w:cs="Calibri"/>
        </w:rPr>
        <w:t>at CHF 5</w:t>
      </w:r>
      <w:r w:rsidR="00284B6F" w:rsidRPr="00E51FD3">
        <w:rPr>
          <w:rFonts w:ascii="Calibri" w:hAnsi="Calibri" w:cs="Calibri"/>
        </w:rPr>
        <w:t xml:space="preserve">,081,000 </w:t>
      </w:r>
      <w:r w:rsidR="0EA4F1E0" w:rsidRPr="00E51FD3">
        <w:rPr>
          <w:rFonts w:ascii="Calibri" w:hAnsi="Calibri" w:cs="Calibri"/>
        </w:rPr>
        <w:t xml:space="preserve">per year </w:t>
      </w:r>
      <w:r w:rsidR="00284B6F" w:rsidRPr="00E51FD3">
        <w:rPr>
          <w:rFonts w:ascii="Calibri" w:hAnsi="Calibri" w:cs="Calibri"/>
        </w:rPr>
        <w:t>since 2013</w:t>
      </w:r>
      <w:r w:rsidR="000A2BFA">
        <w:rPr>
          <w:rFonts w:ascii="Calibri" w:hAnsi="Calibri" w:cs="Calibri"/>
        </w:rPr>
        <w:t>,</w:t>
      </w:r>
      <w:r w:rsidR="00284B6F" w:rsidRPr="00E51FD3">
        <w:rPr>
          <w:rFonts w:ascii="Calibri" w:hAnsi="Calibri" w:cs="Calibri"/>
        </w:rPr>
        <w:t xml:space="preserve"> despite the </w:t>
      </w:r>
      <w:r w:rsidR="005D21DE" w:rsidRPr="00E51FD3">
        <w:rPr>
          <w:rFonts w:ascii="Calibri" w:hAnsi="Calibri" w:cs="Calibri"/>
        </w:rPr>
        <w:t xml:space="preserve">growing number of deliverables </w:t>
      </w:r>
      <w:r w:rsidR="000A2BFA">
        <w:rPr>
          <w:rFonts w:ascii="Calibri" w:hAnsi="Calibri" w:cs="Calibri"/>
        </w:rPr>
        <w:t>mandated</w:t>
      </w:r>
      <w:r w:rsidR="000A2BFA" w:rsidRPr="00E51FD3">
        <w:rPr>
          <w:rFonts w:ascii="Calibri" w:hAnsi="Calibri" w:cs="Calibri"/>
        </w:rPr>
        <w:t xml:space="preserve"> </w:t>
      </w:r>
      <w:r w:rsidR="005D21DE" w:rsidRPr="00E51FD3">
        <w:rPr>
          <w:rFonts w:ascii="Calibri" w:hAnsi="Calibri" w:cs="Calibri"/>
        </w:rPr>
        <w:t xml:space="preserve">by Contracting Parties </w:t>
      </w:r>
      <w:r w:rsidR="000A2BFA">
        <w:rPr>
          <w:rFonts w:ascii="Calibri" w:hAnsi="Calibri" w:cs="Calibri"/>
        </w:rPr>
        <w:t xml:space="preserve">through Resolutions </w:t>
      </w:r>
      <w:r w:rsidR="005D21DE" w:rsidRPr="00E51FD3">
        <w:rPr>
          <w:rFonts w:ascii="Calibri" w:hAnsi="Calibri" w:cs="Calibri"/>
        </w:rPr>
        <w:t>and the impact</w:t>
      </w:r>
      <w:r w:rsidR="000A2BFA">
        <w:rPr>
          <w:rFonts w:ascii="Calibri" w:hAnsi="Calibri" w:cs="Calibri"/>
        </w:rPr>
        <w:t>s</w:t>
      </w:r>
      <w:r w:rsidR="005D21DE" w:rsidRPr="00E51FD3">
        <w:rPr>
          <w:rFonts w:ascii="Calibri" w:hAnsi="Calibri" w:cs="Calibri"/>
        </w:rPr>
        <w:t xml:space="preserve"> of inflation. </w:t>
      </w:r>
      <w:r w:rsidR="00663F94" w:rsidRPr="00E51FD3">
        <w:rPr>
          <w:rFonts w:ascii="Calibri" w:hAnsi="Calibri" w:cs="Calibri"/>
        </w:rPr>
        <w:t xml:space="preserve">Examples </w:t>
      </w:r>
      <w:r w:rsidR="000A2BFA">
        <w:rPr>
          <w:rFonts w:ascii="Calibri" w:hAnsi="Calibri" w:cs="Calibri"/>
        </w:rPr>
        <w:t xml:space="preserve">of this </w:t>
      </w:r>
      <w:r w:rsidR="002E51E1">
        <w:rPr>
          <w:rFonts w:ascii="Calibri" w:hAnsi="Calibri" w:cs="Calibri"/>
        </w:rPr>
        <w:t xml:space="preserve">increase in deliverables </w:t>
      </w:r>
      <w:r w:rsidR="002117B1" w:rsidRPr="00E51FD3">
        <w:rPr>
          <w:rFonts w:ascii="Calibri" w:hAnsi="Calibri" w:cs="Calibri"/>
        </w:rPr>
        <w:t xml:space="preserve">are presented in </w:t>
      </w:r>
      <w:r w:rsidR="00275FEF">
        <w:rPr>
          <w:rFonts w:ascii="Calibri" w:hAnsi="Calibri" w:cs="Calibri"/>
        </w:rPr>
        <w:t xml:space="preserve">the </w:t>
      </w:r>
      <w:r w:rsidR="002117B1" w:rsidRPr="00E51FD3">
        <w:rPr>
          <w:rFonts w:ascii="Calibri" w:hAnsi="Calibri" w:cs="Calibri"/>
        </w:rPr>
        <w:t>graphs</w:t>
      </w:r>
      <w:r w:rsidR="00275FEF" w:rsidRPr="00275FEF">
        <w:rPr>
          <w:rFonts w:ascii="Calibri" w:hAnsi="Calibri" w:cs="Calibri"/>
        </w:rPr>
        <w:t xml:space="preserve"> </w:t>
      </w:r>
      <w:r w:rsidR="00275FEF" w:rsidRPr="00E51FD3">
        <w:rPr>
          <w:rFonts w:ascii="Calibri" w:hAnsi="Calibri" w:cs="Calibri"/>
        </w:rPr>
        <w:t>below</w:t>
      </w:r>
      <w:r w:rsidR="002117B1" w:rsidRPr="00E51FD3">
        <w:rPr>
          <w:rFonts w:ascii="Calibri" w:hAnsi="Calibri" w:cs="Calibri"/>
        </w:rPr>
        <w:t>:</w:t>
      </w:r>
      <w:r w:rsidR="00663F94" w:rsidRPr="00E51FD3">
        <w:rPr>
          <w:rFonts w:ascii="Calibri" w:hAnsi="Calibri" w:cs="Calibri"/>
        </w:rPr>
        <w:t xml:space="preserve"> </w:t>
      </w:r>
    </w:p>
    <w:p w14:paraId="4B7F5DB7" w14:textId="6805B0D2" w:rsidR="00973134" w:rsidRPr="00E51FD3" w:rsidRDefault="00940101" w:rsidP="000A2B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1FD3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0E3C3DE5" wp14:editId="3FE6A4D4">
            <wp:simplePos x="0" y="0"/>
            <wp:positionH relativeFrom="margin">
              <wp:posOffset>0</wp:posOffset>
            </wp:positionH>
            <wp:positionV relativeFrom="page">
              <wp:posOffset>5551243</wp:posOffset>
            </wp:positionV>
            <wp:extent cx="2640965" cy="1661795"/>
            <wp:effectExtent l="0" t="0" r="6985" b="14605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30884BD-716D-4198-9470-10ABC0DBA16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4019BF4D" w14:textId="6C73F262" w:rsidR="00547F0E" w:rsidRPr="00E51FD3" w:rsidRDefault="00547F0E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  <w:sectPr w:rsidR="00547F0E" w:rsidRPr="00E51FD3" w:rsidSect="00C85890">
          <w:footerReference w:type="default" r:id="rId10"/>
          <w:pgSz w:w="11906" w:h="16838"/>
          <w:pgMar w:top="1440" w:right="1440" w:bottom="851" w:left="1440" w:header="709" w:footer="709" w:gutter="0"/>
          <w:cols w:space="708"/>
          <w:titlePg/>
          <w:docGrid w:linePitch="360"/>
        </w:sectPr>
      </w:pPr>
    </w:p>
    <w:p w14:paraId="1264417E" w14:textId="777F9115" w:rsidR="0023414E" w:rsidRDefault="0023414E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A273973" w14:textId="73EDCAE3" w:rsidR="00940101" w:rsidRDefault="00940101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17322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8242" behindDoc="0" locked="0" layoutInCell="1" allowOverlap="1" wp14:anchorId="19A0D014" wp14:editId="1A5BD409">
            <wp:simplePos x="0" y="0"/>
            <wp:positionH relativeFrom="column">
              <wp:posOffset>0</wp:posOffset>
            </wp:positionH>
            <wp:positionV relativeFrom="paragraph">
              <wp:posOffset>171966</wp:posOffset>
            </wp:positionV>
            <wp:extent cx="2640965" cy="1661795"/>
            <wp:effectExtent l="0" t="0" r="6985" b="14605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D20A30-FEDC-417D-A091-40BC747DE3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6933A56D" w14:textId="09CFCFB9" w:rsidR="00041A66" w:rsidRPr="00E51FD3" w:rsidRDefault="003521E8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51FD3">
        <w:rPr>
          <w:rFonts w:ascii="Calibri" w:eastAsia="Calibri" w:hAnsi="Calibri" w:cs="Calibri"/>
          <w:noProof/>
          <w:kern w:val="0"/>
          <w14:ligatures w14:val="none"/>
        </w:rPr>
        <w:drawing>
          <wp:inline distT="0" distB="0" distL="0" distR="0" wp14:anchorId="7A512A79" wp14:editId="5ABDF306">
            <wp:extent cx="2640965" cy="1662266"/>
            <wp:effectExtent l="0" t="0" r="6985" b="14605"/>
            <wp:docPr id="3440780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F89BF6F-68C6-8132-F821-23C368A72E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6D4A66" w14:textId="77777777" w:rsidR="002117B1" w:rsidRDefault="002117B1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341503F" w14:textId="77777777" w:rsidR="0023414E" w:rsidRPr="00E51FD3" w:rsidRDefault="0023414E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EF7D08" w14:textId="63DB4C0D" w:rsidR="003521E8" w:rsidRPr="00E51FD3" w:rsidRDefault="003521E8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3521E8" w:rsidRPr="00E51FD3" w:rsidSect="00C8589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51FD3">
        <w:rPr>
          <w:rFonts w:ascii="Calibri" w:eastAsia="Calibri" w:hAnsi="Calibri" w:cs="Calibri"/>
          <w:noProof/>
          <w:kern w:val="0"/>
          <w14:ligatures w14:val="none"/>
        </w:rPr>
        <w:drawing>
          <wp:inline distT="0" distB="0" distL="0" distR="0" wp14:anchorId="4C88BDB0" wp14:editId="3700CD31">
            <wp:extent cx="2640965" cy="1661795"/>
            <wp:effectExtent l="0" t="0" r="6985" b="1460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CD32534-0528-4348-9E75-D3837143D0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39C775" w14:textId="26F42685" w:rsidR="00547F0E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E51FD3">
        <w:rPr>
          <w:rFonts w:ascii="Calibri" w:eastAsia="Calibri" w:hAnsi="Calibri" w:cs="Calibri"/>
          <w:noProof/>
          <w:kern w:val="0"/>
          <w14:ligatures w14:val="none"/>
        </w:rPr>
        <w:lastRenderedPageBreak/>
        <w:drawing>
          <wp:anchor distT="0" distB="0" distL="114300" distR="114300" simplePos="0" relativeHeight="251659266" behindDoc="0" locked="0" layoutInCell="1" allowOverlap="1" wp14:anchorId="19A0AEEB" wp14:editId="2DD03157">
            <wp:simplePos x="0" y="0"/>
            <wp:positionH relativeFrom="column">
              <wp:posOffset>3002157</wp:posOffset>
            </wp:positionH>
            <wp:positionV relativeFrom="paragraph">
              <wp:posOffset>32964</wp:posOffset>
            </wp:positionV>
            <wp:extent cx="2640965" cy="1661795"/>
            <wp:effectExtent l="0" t="0" r="6985" b="14605"/>
            <wp:wrapThrough wrapText="bothSides">
              <wp:wrapPolygon edited="0">
                <wp:start x="0" y="0"/>
                <wp:lineTo x="0" y="21542"/>
                <wp:lineTo x="21501" y="21542"/>
                <wp:lineTo x="21501" y="0"/>
                <wp:lineTo x="0" y="0"/>
              </wp:wrapPolygon>
            </wp:wrapThrough>
            <wp:docPr id="13899506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1659FB-BEC2-E4F1-154C-0B603EF40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E51FD3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660290" behindDoc="0" locked="0" layoutInCell="1" allowOverlap="1" wp14:anchorId="54D0D116" wp14:editId="7DC746B1">
            <wp:simplePos x="0" y="0"/>
            <wp:positionH relativeFrom="column">
              <wp:posOffset>0</wp:posOffset>
            </wp:positionH>
            <wp:positionV relativeFrom="paragraph">
              <wp:posOffset>33228</wp:posOffset>
            </wp:positionV>
            <wp:extent cx="2640965" cy="1661795"/>
            <wp:effectExtent l="0" t="0" r="6985" b="14605"/>
            <wp:wrapNone/>
            <wp:docPr id="11459317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6D9E5D3-05A4-66D5-53FA-97716E1C1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A78AC" w14:textId="64773502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30427A6" w14:textId="6CAF839A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060FE45" w14:textId="76FB7A4F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66AB006" w14:textId="1B6CEC81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8F56DD4" w14:textId="7E152AA6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0ACE3286" w14:textId="64681086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6A34F69" w14:textId="1EC7A43D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EB9D521" w14:textId="404B154B" w:rsidR="00F726C1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022A761" w14:textId="692E9198" w:rsidR="00F726C1" w:rsidRPr="00E51FD3" w:rsidRDefault="00F726C1" w:rsidP="000A2BFA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81692B6" w14:textId="7B271F99" w:rsidR="00547F0E" w:rsidRPr="00E51FD3" w:rsidRDefault="00547F0E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75AC3A1" w14:textId="751F1787" w:rsidR="00606F72" w:rsidRDefault="00606F72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57CFFF" w14:textId="77777777" w:rsidR="00F726C1" w:rsidRDefault="00F726C1" w:rsidP="000A2BFA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F726C1" w:rsidSect="002E51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3904A4" w14:textId="2829C8FA" w:rsidR="005557D3" w:rsidRDefault="00F726C1" w:rsidP="000A2BF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</w:t>
      </w:r>
      <w:r w:rsidR="005557D3">
        <w:rPr>
          <w:rFonts w:ascii="Calibri" w:hAnsi="Calibri" w:cs="Calibri"/>
          <w:b/>
          <w:bCs/>
        </w:rPr>
        <w:t xml:space="preserve">mmary of the </w:t>
      </w:r>
      <w:r w:rsidR="00F76419">
        <w:rPr>
          <w:rFonts w:ascii="Calibri" w:hAnsi="Calibri" w:cs="Calibri"/>
          <w:b/>
          <w:bCs/>
        </w:rPr>
        <w:t>four scenarios presented</w:t>
      </w:r>
    </w:p>
    <w:p w14:paraId="1F0410F4" w14:textId="117CF5AF" w:rsidR="00F76419" w:rsidRDefault="00F76419" w:rsidP="000A2BFA">
      <w:pPr>
        <w:spacing w:after="0" w:line="240" w:lineRule="auto"/>
        <w:rPr>
          <w:rFonts w:ascii="Calibri" w:hAnsi="Calibri" w:cs="Calibri"/>
          <w:b/>
          <w:bCs/>
        </w:rPr>
      </w:pPr>
    </w:p>
    <w:p w14:paraId="67DD32E1" w14:textId="34A42F3E" w:rsidR="00F76419" w:rsidRPr="009C676D" w:rsidRDefault="00F76419" w:rsidP="009C676D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Through Decision SC64-41 ii), the Standing Committee</w:t>
      </w:r>
      <w:r w:rsidRPr="004763F4">
        <w:rPr>
          <w:rFonts w:ascii="Calibri" w:hAnsi="Calibri" w:cs="Calibri"/>
        </w:rPr>
        <w:t xml:space="preserve"> approved </w:t>
      </w:r>
      <w:r>
        <w:rPr>
          <w:rFonts w:ascii="Calibri" w:hAnsi="Calibri" w:cs="Calibri"/>
        </w:rPr>
        <w:t>four</w:t>
      </w:r>
      <w:r w:rsidRPr="004763F4">
        <w:rPr>
          <w:rFonts w:ascii="Calibri" w:hAnsi="Calibri" w:cs="Calibri"/>
        </w:rPr>
        <w:t xml:space="preserve"> 2026-2028 budget scenarios to be presented to COP15 for consideration</w:t>
      </w:r>
      <w:r>
        <w:rPr>
          <w:rFonts w:ascii="Calibri" w:hAnsi="Calibri" w:cs="Calibri"/>
        </w:rPr>
        <w:t>. These scenarios have been recommended by the Subgroup on Finance following extensive discussions on the costs, benefits and strategic implications. T</w:t>
      </w:r>
      <w:r w:rsidRPr="004E1AB1">
        <w:rPr>
          <w:rFonts w:ascii="Calibri" w:hAnsi="Calibri" w:cs="Calibri"/>
        </w:rPr>
        <w:t>hrough Decision SC64-41 iii)</w:t>
      </w:r>
      <w:r>
        <w:rPr>
          <w:rFonts w:ascii="Calibri" w:hAnsi="Calibri" w:cs="Calibri"/>
        </w:rPr>
        <w:t>,</w:t>
      </w:r>
      <w:r w:rsidRPr="004E1AB1">
        <w:rPr>
          <w:rFonts w:ascii="Calibri" w:hAnsi="Calibri" w:cs="Calibri"/>
        </w:rPr>
        <w:t xml:space="preserve"> the Standing Committe</w:t>
      </w:r>
      <w:r>
        <w:rPr>
          <w:rFonts w:ascii="Calibri" w:hAnsi="Calibri" w:cs="Calibri"/>
        </w:rPr>
        <w:t>e</w:t>
      </w:r>
      <w:r w:rsidRPr="004E1AB1">
        <w:rPr>
          <w:rFonts w:ascii="Calibri" w:hAnsi="Calibri" w:cs="Calibri"/>
        </w:rPr>
        <w:t xml:space="preserve"> requested that the Secretariat prepare a narrative and quantitative analysis explaining the respective costs and benefits, as well as policy implications for each scenario</w:t>
      </w:r>
      <w:r>
        <w:rPr>
          <w:rFonts w:ascii="Calibri" w:hAnsi="Calibri" w:cs="Calibri"/>
        </w:rPr>
        <w:t>.</w:t>
      </w:r>
      <w:r w:rsidR="00FD506C">
        <w:rPr>
          <w:rFonts w:ascii="Calibri" w:hAnsi="Calibri" w:cs="Calibri"/>
        </w:rPr>
        <w:t xml:space="preserve"> </w:t>
      </w:r>
      <w:r w:rsidR="009421AD" w:rsidRPr="009421AD">
        <w:rPr>
          <w:rFonts w:ascii="Calibri" w:hAnsi="Calibri" w:cs="Calibri"/>
        </w:rPr>
        <w:t xml:space="preserve">Table 1 below summarizes the features of the four scenarios, while Table 2 below provides an overview of main implications of </w:t>
      </w:r>
      <w:r w:rsidR="002A28A3">
        <w:rPr>
          <w:rFonts w:ascii="Calibri" w:hAnsi="Calibri" w:cs="Calibri"/>
        </w:rPr>
        <w:t>each scenario</w:t>
      </w:r>
      <w:r w:rsidR="009421AD">
        <w:rPr>
          <w:rFonts w:ascii="Calibri" w:hAnsi="Calibri" w:cs="Calibri"/>
        </w:rPr>
        <w:t>.</w:t>
      </w:r>
    </w:p>
    <w:p w14:paraId="73B853F8" w14:textId="77777777" w:rsidR="00F76419" w:rsidRDefault="00F76419" w:rsidP="000A2BFA">
      <w:pPr>
        <w:spacing w:after="0" w:line="240" w:lineRule="auto"/>
        <w:rPr>
          <w:rFonts w:ascii="Calibri" w:hAnsi="Calibri" w:cs="Calibri"/>
          <w:b/>
          <w:bCs/>
        </w:rPr>
      </w:pPr>
    </w:p>
    <w:p w14:paraId="184DEA93" w14:textId="3263229A" w:rsidR="00F76419" w:rsidRPr="004F31B6" w:rsidRDefault="00F76419" w:rsidP="009C676D">
      <w:pPr>
        <w:spacing w:after="0" w:line="240" w:lineRule="auto"/>
        <w:ind w:left="426" w:hanging="426"/>
        <w:contextualSpacing/>
        <w:rPr>
          <w:rFonts w:ascii="Calibri" w:hAnsi="Calibri" w:cs="Calibri"/>
          <w:iCs/>
          <w:color w:val="000000" w:themeColor="text1"/>
          <w:lang w:val="en-US"/>
        </w:rPr>
      </w:pPr>
      <w:r>
        <w:rPr>
          <w:rFonts w:ascii="Calibri" w:hAnsi="Calibri" w:cs="Calibri"/>
          <w:iCs/>
          <w:color w:val="000000" w:themeColor="text1"/>
        </w:rPr>
        <w:t>4.</w:t>
      </w:r>
      <w:r>
        <w:rPr>
          <w:rFonts w:ascii="Calibri" w:hAnsi="Calibri" w:cs="Calibri"/>
          <w:iCs/>
          <w:color w:val="000000" w:themeColor="text1"/>
        </w:rPr>
        <w:tab/>
      </w:r>
      <w:r w:rsidRPr="004F31B6">
        <w:rPr>
          <w:rFonts w:ascii="Calibri" w:hAnsi="Calibri" w:cs="Calibri"/>
          <w:iCs/>
          <w:color w:val="000000" w:themeColor="text1"/>
        </w:rPr>
        <w:t xml:space="preserve">Under the 0% increase scenario, </w:t>
      </w:r>
      <w:r w:rsidR="001F5CE4">
        <w:rPr>
          <w:rFonts w:ascii="Calibri" w:hAnsi="Calibri" w:cs="Calibri"/>
          <w:iCs/>
          <w:color w:val="000000" w:themeColor="text1"/>
        </w:rPr>
        <w:t>some</w:t>
      </w:r>
      <w:r w:rsidR="00630942">
        <w:rPr>
          <w:rFonts w:ascii="Calibri" w:hAnsi="Calibri" w:cs="Calibri"/>
          <w:iCs/>
          <w:color w:val="000000" w:themeColor="text1"/>
        </w:rPr>
        <w:t xml:space="preserve"> partial 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 xml:space="preserve">existing staff costs have been increased </w:t>
      </w:r>
      <w:r w:rsidR="00630942">
        <w:rPr>
          <w:rFonts w:ascii="Calibri" w:hAnsi="Calibri" w:cs="Calibri"/>
          <w:bCs/>
          <w:iCs/>
          <w:color w:val="000000" w:themeColor="text1"/>
          <w:lang w:val="en-US"/>
        </w:rPr>
        <w:t xml:space="preserve">to meet the equity </w:t>
      </w:r>
      <w:r w:rsidR="0047633F">
        <w:rPr>
          <w:rFonts w:ascii="Calibri" w:hAnsi="Calibri" w:cs="Calibri"/>
          <w:bCs/>
          <w:iCs/>
          <w:color w:val="000000" w:themeColor="text1"/>
          <w:lang w:val="en-US"/>
        </w:rPr>
        <w:t>with the IUCN</w:t>
      </w:r>
      <w:r w:rsidR="00630942">
        <w:rPr>
          <w:rFonts w:ascii="Calibri" w:hAnsi="Calibri" w:cs="Calibri"/>
          <w:bCs/>
          <w:iCs/>
          <w:color w:val="000000" w:themeColor="text1"/>
          <w:lang w:val="en-US"/>
        </w:rPr>
        <w:t xml:space="preserve"> as per the IUCN HR recommendations. However, </w:t>
      </w:r>
      <w:r w:rsidR="002C0F29">
        <w:rPr>
          <w:rFonts w:ascii="Calibri" w:hAnsi="Calibri" w:cs="Calibri"/>
          <w:bCs/>
          <w:iCs/>
          <w:color w:val="000000" w:themeColor="text1"/>
          <w:lang w:val="en-US"/>
        </w:rPr>
        <w:t xml:space="preserve">it 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>do</w:t>
      </w:r>
      <w:r w:rsidR="002C0F29">
        <w:rPr>
          <w:rFonts w:ascii="Calibri" w:hAnsi="Calibri" w:cs="Calibri"/>
          <w:bCs/>
          <w:iCs/>
          <w:color w:val="000000" w:themeColor="text1"/>
          <w:lang w:val="en-US"/>
        </w:rPr>
        <w:t>es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 xml:space="preserve"> not include cost-of-labour adjustments, </w:t>
      </w:r>
      <w:r w:rsidR="002C0F29">
        <w:rPr>
          <w:rFonts w:ascii="Calibri" w:hAnsi="Calibri" w:cs="Calibri"/>
          <w:bCs/>
          <w:iCs/>
          <w:color w:val="000000" w:themeColor="text1"/>
          <w:lang w:val="en-US"/>
        </w:rPr>
        <w:t xml:space="preserve">or 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>performance and promotions.</w:t>
      </w:r>
      <w:r w:rsidR="00110268">
        <w:rPr>
          <w:rFonts w:ascii="Calibri" w:hAnsi="Calibri" w:cs="Calibri"/>
          <w:bCs/>
          <w:iCs/>
          <w:color w:val="000000" w:themeColor="text1"/>
          <w:lang w:val="en-US"/>
        </w:rPr>
        <w:t xml:space="preserve"> </w:t>
      </w:r>
      <w:r w:rsidR="00110268" w:rsidRPr="00593C93">
        <w:rPr>
          <w:rFonts w:ascii="Calibri" w:hAnsi="Calibri" w:cs="Calibri"/>
          <w:bCs/>
          <w:iCs/>
          <w:color w:val="000000" w:themeColor="text1"/>
          <w:lang w:val="en-US"/>
        </w:rPr>
        <w:t>Staff capacity building and COP16 operational services are also excluded from this scenario.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 xml:space="preserve"> Some budget lines have been adjusted to compensate</w:t>
      </w:r>
      <w:r w:rsidR="00110268">
        <w:rPr>
          <w:rFonts w:ascii="Calibri" w:hAnsi="Calibri" w:cs="Calibri"/>
          <w:bCs/>
          <w:iCs/>
          <w:color w:val="000000" w:themeColor="text1"/>
          <w:lang w:val="en-US"/>
        </w:rPr>
        <w:t xml:space="preserve"> the </w:t>
      </w:r>
      <w:r w:rsidR="00495140">
        <w:rPr>
          <w:rFonts w:ascii="Calibri" w:hAnsi="Calibri" w:cs="Calibri"/>
          <w:bCs/>
          <w:iCs/>
          <w:color w:val="000000" w:themeColor="text1"/>
          <w:lang w:val="en-US"/>
        </w:rPr>
        <w:t xml:space="preserve">partial </w:t>
      </w:r>
      <w:r w:rsidR="00110268">
        <w:rPr>
          <w:rFonts w:ascii="Calibri" w:hAnsi="Calibri" w:cs="Calibri"/>
          <w:bCs/>
          <w:iCs/>
          <w:color w:val="000000" w:themeColor="text1"/>
          <w:lang w:val="en-US"/>
        </w:rPr>
        <w:t>equity</w:t>
      </w:r>
      <w:r w:rsidR="00495140">
        <w:rPr>
          <w:rFonts w:ascii="Calibri" w:hAnsi="Calibri" w:cs="Calibri"/>
          <w:bCs/>
          <w:iCs/>
          <w:color w:val="000000" w:themeColor="text1"/>
          <w:lang w:val="en-US"/>
        </w:rPr>
        <w:t xml:space="preserve"> </w:t>
      </w:r>
      <w:r w:rsidR="00110268">
        <w:rPr>
          <w:rFonts w:ascii="Calibri" w:hAnsi="Calibri" w:cs="Calibri"/>
          <w:bCs/>
          <w:iCs/>
          <w:color w:val="000000" w:themeColor="text1"/>
          <w:lang w:val="en-US"/>
        </w:rPr>
        <w:t>adjustments</w:t>
      </w:r>
      <w:r>
        <w:rPr>
          <w:rFonts w:ascii="Calibri" w:hAnsi="Calibri" w:cs="Calibri"/>
          <w:bCs/>
          <w:iCs/>
          <w:color w:val="000000" w:themeColor="text1"/>
          <w:lang w:val="en-US"/>
        </w:rPr>
        <w:t xml:space="preserve">, 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>reflect</w:t>
      </w:r>
      <w:r>
        <w:rPr>
          <w:rFonts w:ascii="Calibri" w:hAnsi="Calibri" w:cs="Calibri"/>
          <w:bCs/>
          <w:iCs/>
          <w:color w:val="000000" w:themeColor="text1"/>
          <w:lang w:val="en-US"/>
        </w:rPr>
        <w:t>ing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 xml:space="preserve"> actual expenditure in the </w:t>
      </w:r>
      <w:r w:rsidRPr="004F31B6">
        <w:rPr>
          <w:rFonts w:ascii="Calibri" w:eastAsia="Batang" w:hAnsi="Calibri" w:cs="Calibri"/>
        </w:rPr>
        <w:t xml:space="preserve">2023-2025 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>triennium.</w:t>
      </w:r>
      <w:r w:rsidR="00F312DE">
        <w:rPr>
          <w:rStyle w:val="FootnoteReference"/>
          <w:rFonts w:ascii="Calibri" w:hAnsi="Calibri" w:cs="Calibri"/>
          <w:bCs/>
          <w:iCs/>
          <w:color w:val="000000" w:themeColor="text1"/>
          <w:lang w:val="en-US"/>
        </w:rPr>
        <w:footnoteReference w:id="2"/>
      </w:r>
    </w:p>
    <w:p w14:paraId="002CC713" w14:textId="77777777" w:rsidR="00F76419" w:rsidRPr="004F31B6" w:rsidRDefault="00F76419" w:rsidP="009C676D">
      <w:pPr>
        <w:spacing w:after="0" w:line="240" w:lineRule="auto"/>
        <w:ind w:left="426" w:hanging="426"/>
        <w:contextualSpacing/>
        <w:rPr>
          <w:rFonts w:ascii="Calibri" w:hAnsi="Calibri" w:cs="Calibri"/>
          <w:iCs/>
          <w:color w:val="000000" w:themeColor="text1"/>
          <w:lang w:val="en-US"/>
        </w:rPr>
      </w:pPr>
    </w:p>
    <w:p w14:paraId="50DDC3D2" w14:textId="2A232497" w:rsidR="00F76419" w:rsidRPr="004F31B6" w:rsidRDefault="00F76419" w:rsidP="009C676D">
      <w:pPr>
        <w:spacing w:after="0" w:line="240" w:lineRule="auto"/>
        <w:ind w:left="426" w:hanging="426"/>
        <w:contextualSpacing/>
        <w:rPr>
          <w:rFonts w:ascii="Calibri" w:hAnsi="Calibri" w:cs="Calibri"/>
          <w:iCs/>
          <w:color w:val="000000" w:themeColor="text1"/>
          <w:lang w:val="en-US"/>
        </w:rPr>
      </w:pPr>
      <w:r>
        <w:rPr>
          <w:rFonts w:ascii="Calibri" w:hAnsi="Calibri" w:cs="Calibri"/>
          <w:iCs/>
          <w:color w:val="000000" w:themeColor="text1"/>
          <w:lang w:val="en-US"/>
        </w:rPr>
        <w:t>5.</w:t>
      </w:r>
      <w:r>
        <w:rPr>
          <w:rFonts w:ascii="Calibri" w:hAnsi="Calibri" w:cs="Calibri"/>
          <w:iCs/>
          <w:color w:val="000000" w:themeColor="text1"/>
          <w:lang w:val="en-US"/>
        </w:rPr>
        <w:tab/>
      </w:r>
      <w:r w:rsidRPr="004F31B6">
        <w:rPr>
          <w:rFonts w:ascii="Calibri" w:hAnsi="Calibri" w:cs="Calibri"/>
          <w:iCs/>
          <w:color w:val="000000" w:themeColor="text1"/>
          <w:lang w:val="en-US"/>
        </w:rPr>
        <w:t xml:space="preserve">Under the 4.1% increase scenario, </w:t>
      </w:r>
      <w:r w:rsidR="00495140">
        <w:rPr>
          <w:rFonts w:ascii="Calibri" w:hAnsi="Calibri" w:cs="Calibri"/>
          <w:iCs/>
          <w:color w:val="000000" w:themeColor="text1"/>
          <w:lang w:val="en-US"/>
        </w:rPr>
        <w:t xml:space="preserve">some partial existing </w:t>
      </w:r>
      <w:r w:rsidRPr="004F31B6">
        <w:rPr>
          <w:rFonts w:ascii="Calibri" w:hAnsi="Calibri" w:cs="Calibri"/>
          <w:iCs/>
          <w:color w:val="000000" w:themeColor="text1"/>
          <w:lang w:val="en-US"/>
        </w:rPr>
        <w:t>staff</w:t>
      </w:r>
      <w:r w:rsidRPr="004F31B6">
        <w:rPr>
          <w:rFonts w:ascii="Calibri" w:eastAsia="Batang" w:hAnsi="Calibri" w:cs="Calibri"/>
          <w:bCs/>
        </w:rPr>
        <w:t xml:space="preserve"> costs have been increased </w:t>
      </w:r>
      <w:r w:rsidR="00495140">
        <w:rPr>
          <w:rFonts w:ascii="Calibri" w:eastAsia="Batang" w:hAnsi="Calibri" w:cs="Calibri"/>
          <w:bCs/>
        </w:rPr>
        <w:t xml:space="preserve">to meet equity </w:t>
      </w:r>
      <w:r w:rsidR="0047633F">
        <w:rPr>
          <w:rFonts w:ascii="Calibri" w:eastAsia="Batang" w:hAnsi="Calibri" w:cs="Calibri"/>
          <w:bCs/>
        </w:rPr>
        <w:t xml:space="preserve">with IUCN </w:t>
      </w:r>
      <w:r w:rsidR="00D550E1">
        <w:rPr>
          <w:rFonts w:ascii="Calibri" w:eastAsia="Batang" w:hAnsi="Calibri" w:cs="Calibri"/>
          <w:bCs/>
        </w:rPr>
        <w:t xml:space="preserve">within the IUCN HR recommendations, </w:t>
      </w:r>
      <w:r w:rsidRPr="004F31B6">
        <w:rPr>
          <w:rFonts w:ascii="Calibri" w:eastAsia="Batang" w:hAnsi="Calibri" w:cs="Calibri"/>
          <w:bCs/>
        </w:rPr>
        <w:t>as proposed for the 0% scenario</w:t>
      </w:r>
      <w:r w:rsidR="002C0F29">
        <w:rPr>
          <w:rFonts w:ascii="Calibri" w:eastAsia="Batang" w:hAnsi="Calibri" w:cs="Calibri"/>
          <w:bCs/>
        </w:rPr>
        <w:t>, in</w:t>
      </w:r>
      <w:r>
        <w:rPr>
          <w:rFonts w:ascii="Calibri" w:eastAsia="Batang" w:hAnsi="Calibri" w:cs="Calibri"/>
          <w:bCs/>
        </w:rPr>
        <w:t xml:space="preserve"> addition to a c</w:t>
      </w:r>
      <w:r w:rsidRPr="00F76419">
        <w:rPr>
          <w:rFonts w:ascii="Calibri" w:eastAsia="Batang" w:hAnsi="Calibri" w:cs="Calibri"/>
          <w:bCs/>
        </w:rPr>
        <w:t>ost</w:t>
      </w:r>
      <w:r>
        <w:rPr>
          <w:rFonts w:ascii="Calibri" w:eastAsia="Batang" w:hAnsi="Calibri" w:cs="Calibri"/>
          <w:bCs/>
        </w:rPr>
        <w:t>-</w:t>
      </w:r>
      <w:r w:rsidRPr="00F76419">
        <w:rPr>
          <w:rFonts w:ascii="Calibri" w:eastAsia="Batang" w:hAnsi="Calibri" w:cs="Calibri"/>
          <w:bCs/>
        </w:rPr>
        <w:t>of</w:t>
      </w:r>
      <w:r>
        <w:rPr>
          <w:rFonts w:ascii="Calibri" w:eastAsia="Batang" w:hAnsi="Calibri" w:cs="Calibri"/>
          <w:bCs/>
        </w:rPr>
        <w:t>-</w:t>
      </w:r>
      <w:r w:rsidRPr="00F76419">
        <w:rPr>
          <w:rFonts w:ascii="Calibri" w:eastAsia="Batang" w:hAnsi="Calibri" w:cs="Calibri"/>
          <w:bCs/>
        </w:rPr>
        <w:t>labour adjustment</w:t>
      </w:r>
      <w:r w:rsidR="00D30126">
        <w:rPr>
          <w:rFonts w:ascii="Calibri" w:eastAsia="Batang" w:hAnsi="Calibri" w:cs="Calibri"/>
          <w:bCs/>
        </w:rPr>
        <w:t>, performance and promotions</w:t>
      </w:r>
      <w:r w:rsidR="00B87B7D">
        <w:rPr>
          <w:rFonts w:ascii="Calibri" w:eastAsia="Batang" w:hAnsi="Calibri" w:cs="Calibri"/>
          <w:bCs/>
        </w:rPr>
        <w:t>.</w:t>
      </w:r>
      <w:r w:rsidR="005D2E21">
        <w:rPr>
          <w:rFonts w:ascii="Calibri" w:eastAsia="Batang" w:hAnsi="Calibri" w:cs="Calibri"/>
          <w:bCs/>
        </w:rPr>
        <w:t xml:space="preserve"> Within this scenario </w:t>
      </w:r>
      <w:r w:rsidRPr="004F31B6">
        <w:rPr>
          <w:rFonts w:ascii="Calibri" w:eastAsia="Batang" w:hAnsi="Calibri" w:cs="Calibri"/>
          <w:bCs/>
        </w:rPr>
        <w:t>one new position has been included.</w:t>
      </w:r>
      <w:r w:rsidR="005D2E21">
        <w:rPr>
          <w:rFonts w:ascii="Calibri" w:eastAsia="Batang" w:hAnsi="Calibri" w:cs="Calibri"/>
          <w:bCs/>
        </w:rPr>
        <w:t xml:space="preserve"> </w:t>
      </w:r>
      <w:r w:rsidR="001D513D" w:rsidRPr="00593C93">
        <w:rPr>
          <w:rFonts w:ascii="Calibri" w:eastAsia="Batang" w:hAnsi="Calibri" w:cs="Calibri"/>
          <w:bCs/>
        </w:rPr>
        <w:t>The S</w:t>
      </w:r>
      <w:r w:rsidR="00E87B88" w:rsidRPr="00D861AF">
        <w:rPr>
          <w:rFonts w:ascii="Calibri" w:eastAsia="Batang" w:hAnsi="Calibri" w:cs="Calibri"/>
          <w:bCs/>
        </w:rPr>
        <w:t xml:space="preserve">ecretary General </w:t>
      </w:r>
      <w:r w:rsidR="001D513D" w:rsidRPr="00593C93">
        <w:rPr>
          <w:rFonts w:ascii="Calibri" w:eastAsia="Batang" w:hAnsi="Calibri" w:cs="Calibri"/>
          <w:bCs/>
        </w:rPr>
        <w:t xml:space="preserve">would </w:t>
      </w:r>
      <w:r w:rsidR="006D1D8E" w:rsidRPr="00593C93">
        <w:rPr>
          <w:rFonts w:ascii="Calibri" w:eastAsia="Batang" w:hAnsi="Calibri" w:cs="Calibri"/>
          <w:bCs/>
        </w:rPr>
        <w:t xml:space="preserve">decide </w:t>
      </w:r>
      <w:r w:rsidR="00521215" w:rsidRPr="00D861AF">
        <w:rPr>
          <w:rFonts w:ascii="Calibri" w:eastAsia="Batang" w:hAnsi="Calibri" w:cs="Calibri"/>
          <w:bCs/>
        </w:rPr>
        <w:t xml:space="preserve">how this </w:t>
      </w:r>
      <w:r w:rsidR="00416212" w:rsidRPr="00D861AF">
        <w:rPr>
          <w:rFonts w:ascii="Calibri" w:eastAsia="Batang" w:hAnsi="Calibri" w:cs="Calibri"/>
          <w:bCs/>
        </w:rPr>
        <w:t>new position would be best utilised in support to the Contracting Parties</w:t>
      </w:r>
      <w:r w:rsidR="00D26C80" w:rsidRPr="00593C93">
        <w:rPr>
          <w:rFonts w:ascii="Calibri" w:eastAsia="Batang" w:hAnsi="Calibri" w:cs="Calibri"/>
          <w:bCs/>
        </w:rPr>
        <w:t>.</w:t>
      </w:r>
      <w:r w:rsidRPr="00593C93">
        <w:rPr>
          <w:rFonts w:ascii="Calibri" w:eastAsia="Batang" w:hAnsi="Calibri" w:cs="Calibri"/>
          <w:bCs/>
        </w:rPr>
        <w:t xml:space="preserve"> </w:t>
      </w:r>
      <w:r w:rsidR="00D30126" w:rsidRPr="00593C93">
        <w:rPr>
          <w:rFonts w:ascii="Calibri" w:eastAsia="Batang" w:hAnsi="Calibri" w:cs="Calibri"/>
          <w:bCs/>
        </w:rPr>
        <w:t>Staff capacity building and COP16 operational services are excluded from this scenario</w:t>
      </w:r>
      <w:r w:rsidR="00AF5F35" w:rsidRPr="00593C93">
        <w:rPr>
          <w:rFonts w:ascii="Calibri" w:eastAsia="Batang" w:hAnsi="Calibri" w:cs="Calibri"/>
          <w:bCs/>
        </w:rPr>
        <w:t>.</w:t>
      </w:r>
      <w:r w:rsidR="00AF5F35">
        <w:rPr>
          <w:rFonts w:ascii="Calibri" w:eastAsia="Batang" w:hAnsi="Calibri" w:cs="Calibri"/>
          <w:bCs/>
        </w:rPr>
        <w:t xml:space="preserve"> </w:t>
      </w:r>
      <w:r w:rsidR="002C0F29">
        <w:rPr>
          <w:rFonts w:ascii="Calibri" w:eastAsia="Batang" w:hAnsi="Calibri" w:cs="Calibri"/>
          <w:bCs/>
        </w:rPr>
        <w:t>A</w:t>
      </w:r>
      <w:r w:rsidR="00AF5F35">
        <w:rPr>
          <w:rFonts w:ascii="Calibri" w:eastAsia="Batang" w:hAnsi="Calibri" w:cs="Calibri"/>
          <w:bCs/>
        </w:rPr>
        <w:t xml:space="preserve">s under </w:t>
      </w:r>
      <w:r w:rsidR="002C0F29">
        <w:rPr>
          <w:rFonts w:ascii="Calibri" w:eastAsia="Batang" w:hAnsi="Calibri" w:cs="Calibri"/>
          <w:bCs/>
        </w:rPr>
        <w:t xml:space="preserve">the 0% </w:t>
      </w:r>
      <w:r w:rsidR="00AF5F35">
        <w:rPr>
          <w:rFonts w:ascii="Calibri" w:eastAsia="Batang" w:hAnsi="Calibri" w:cs="Calibri"/>
          <w:bCs/>
        </w:rPr>
        <w:t xml:space="preserve">scenario, </w:t>
      </w:r>
      <w:r w:rsidR="0076021B">
        <w:rPr>
          <w:rFonts w:ascii="Calibri" w:eastAsia="Batang" w:hAnsi="Calibri" w:cs="Calibri"/>
          <w:bCs/>
        </w:rPr>
        <w:t>some budget lines have been adjusted to compensate the staff partial equity</w:t>
      </w:r>
      <w:r w:rsidR="00E97881">
        <w:rPr>
          <w:rFonts w:ascii="Calibri" w:eastAsia="Batang" w:hAnsi="Calibri" w:cs="Calibri"/>
          <w:bCs/>
        </w:rPr>
        <w:t>, costs of labour, performance and promotion</w:t>
      </w:r>
      <w:r w:rsidR="0076021B">
        <w:rPr>
          <w:rFonts w:ascii="Calibri" w:eastAsia="Batang" w:hAnsi="Calibri" w:cs="Calibri"/>
          <w:bCs/>
        </w:rPr>
        <w:t xml:space="preserve"> adjustments</w:t>
      </w:r>
      <w:r w:rsidR="00E97881">
        <w:rPr>
          <w:rFonts w:ascii="Calibri" w:eastAsia="Batang" w:hAnsi="Calibri" w:cs="Calibri"/>
          <w:bCs/>
        </w:rPr>
        <w:t>, reflecting actual expenditure in the 2023-2025 triennium.</w:t>
      </w:r>
      <w:r w:rsidR="0076021B">
        <w:rPr>
          <w:rFonts w:ascii="Calibri" w:eastAsia="Batang" w:hAnsi="Calibri" w:cs="Calibri"/>
          <w:bCs/>
        </w:rPr>
        <w:t xml:space="preserve"> </w:t>
      </w:r>
    </w:p>
    <w:p w14:paraId="66AE37AA" w14:textId="77777777" w:rsidR="00F76419" w:rsidRPr="004F31B6" w:rsidRDefault="00F76419" w:rsidP="009C676D">
      <w:pPr>
        <w:spacing w:after="0" w:line="240" w:lineRule="auto"/>
        <w:ind w:left="426" w:hanging="426"/>
        <w:contextualSpacing/>
        <w:rPr>
          <w:rFonts w:ascii="Calibri" w:eastAsia="Batang" w:hAnsi="Calibri" w:cs="Calibri"/>
          <w:bCs/>
          <w:lang w:val="en-US"/>
        </w:rPr>
      </w:pPr>
    </w:p>
    <w:p w14:paraId="449A5DF5" w14:textId="183C50EB" w:rsidR="00F76419" w:rsidRPr="004F31B6" w:rsidRDefault="00F76419" w:rsidP="009C676D">
      <w:pPr>
        <w:pStyle w:val="MGfulltext"/>
        <w:spacing w:after="0"/>
        <w:ind w:left="426" w:hanging="426"/>
        <w:rPr>
          <w:rFonts w:ascii="Calibri" w:eastAsia="Batang" w:hAnsi="Calibri" w:cs="Calibri"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>6.</w:t>
      </w:r>
      <w:r>
        <w:rPr>
          <w:rFonts w:ascii="Calibri" w:eastAsia="Batang" w:hAnsi="Calibri" w:cs="Calibri"/>
          <w:sz w:val="22"/>
          <w:szCs w:val="22"/>
        </w:rPr>
        <w:tab/>
        <w:t>Under t</w:t>
      </w:r>
      <w:r w:rsidRPr="004F31B6">
        <w:rPr>
          <w:rFonts w:ascii="Calibri" w:eastAsia="Batang" w:hAnsi="Calibri" w:cs="Calibri"/>
          <w:sz w:val="22"/>
          <w:szCs w:val="22"/>
        </w:rPr>
        <w:t>he 9.6% increase scenario</w:t>
      </w:r>
      <w:r>
        <w:rPr>
          <w:rFonts w:ascii="Calibri" w:eastAsia="Batang" w:hAnsi="Calibri" w:cs="Calibri"/>
          <w:sz w:val="22"/>
          <w:szCs w:val="22"/>
        </w:rPr>
        <w:t>,</w:t>
      </w:r>
      <w:r w:rsidRPr="004F31B6">
        <w:rPr>
          <w:rFonts w:ascii="Calibri" w:eastAsia="Batang" w:hAnsi="Calibri" w:cs="Calibri"/>
          <w:sz w:val="22"/>
          <w:szCs w:val="22"/>
        </w:rPr>
        <w:t xml:space="preserve"> </w:t>
      </w:r>
      <w:r>
        <w:rPr>
          <w:rFonts w:ascii="Calibri" w:eastAsia="Batang" w:hAnsi="Calibri" w:cs="Calibri"/>
          <w:sz w:val="22"/>
          <w:szCs w:val="22"/>
        </w:rPr>
        <w:t>t</w:t>
      </w:r>
      <w:r w:rsidRPr="004F31B6">
        <w:rPr>
          <w:rFonts w:ascii="Calibri" w:eastAsia="Batang" w:hAnsi="Calibri" w:cs="Calibri"/>
          <w:sz w:val="22"/>
          <w:szCs w:val="22"/>
        </w:rPr>
        <w:t xml:space="preserve">he level of core funding for staffing </w:t>
      </w:r>
      <w:r>
        <w:rPr>
          <w:rFonts w:ascii="Calibri" w:eastAsia="Batang" w:hAnsi="Calibri" w:cs="Calibri"/>
          <w:sz w:val="22"/>
          <w:szCs w:val="22"/>
        </w:rPr>
        <w:t>has been increased</w:t>
      </w:r>
      <w:r w:rsidRPr="004F31B6">
        <w:rPr>
          <w:rFonts w:ascii="Calibri" w:eastAsia="Batang" w:hAnsi="Calibri" w:cs="Calibri"/>
          <w:sz w:val="22"/>
          <w:szCs w:val="22"/>
        </w:rPr>
        <w:t xml:space="preserve">, including for two new positions, </w:t>
      </w:r>
      <w:r w:rsidR="00D26C80">
        <w:rPr>
          <w:rFonts w:ascii="Calibri" w:eastAsia="Batang" w:hAnsi="Calibri" w:cs="Calibri"/>
          <w:sz w:val="22"/>
          <w:szCs w:val="22"/>
        </w:rPr>
        <w:t>as explained in paragraphs 11 and 12</w:t>
      </w:r>
      <w:r w:rsidRPr="004F31B6">
        <w:rPr>
          <w:rFonts w:ascii="Calibri" w:eastAsia="Batang" w:hAnsi="Calibri" w:cs="Calibri"/>
          <w:sz w:val="22"/>
          <w:szCs w:val="22"/>
        </w:rPr>
        <w:t>.</w:t>
      </w:r>
      <w:r w:rsidRPr="00FB517D">
        <w:rPr>
          <w:rFonts w:ascii="Calibri" w:eastAsia="Batang" w:hAnsi="Calibri" w:cs="Calibri"/>
          <w:sz w:val="22"/>
          <w:szCs w:val="22"/>
        </w:rPr>
        <w:t xml:space="preserve"> </w:t>
      </w:r>
      <w:r w:rsidRPr="004F31B6">
        <w:rPr>
          <w:rFonts w:ascii="Calibri" w:eastAsia="Batang" w:hAnsi="Calibri" w:cs="Calibri"/>
          <w:sz w:val="22"/>
          <w:szCs w:val="22"/>
        </w:rPr>
        <w:t xml:space="preserve">Staff salaries </w:t>
      </w:r>
      <w:r w:rsidR="008F2F35">
        <w:rPr>
          <w:rFonts w:ascii="Calibri" w:eastAsia="Batang" w:hAnsi="Calibri" w:cs="Calibri"/>
          <w:sz w:val="22"/>
          <w:szCs w:val="22"/>
        </w:rPr>
        <w:t xml:space="preserve">for all staff </w:t>
      </w:r>
      <w:r w:rsidR="0047633F">
        <w:rPr>
          <w:rFonts w:ascii="Calibri" w:eastAsia="Batang" w:hAnsi="Calibri" w:cs="Calibri"/>
          <w:sz w:val="22"/>
          <w:szCs w:val="22"/>
        </w:rPr>
        <w:t xml:space="preserve">are adjusted to meet the equity with the IUCN salaries and </w:t>
      </w:r>
      <w:r w:rsidRPr="004F31B6">
        <w:rPr>
          <w:rFonts w:ascii="Calibri" w:eastAsia="Batang" w:hAnsi="Calibri" w:cs="Calibri"/>
          <w:sz w:val="22"/>
          <w:szCs w:val="22"/>
        </w:rPr>
        <w:t>include a cost-of-labour adjustment, performance and promotions in line with the IUCN Human Resources policies on global compensation, performance and development</w:t>
      </w:r>
      <w:r w:rsidRPr="00593C93">
        <w:rPr>
          <w:rFonts w:ascii="Calibri" w:eastAsia="Batang" w:hAnsi="Calibri" w:cs="Calibri"/>
          <w:sz w:val="22"/>
          <w:szCs w:val="22"/>
        </w:rPr>
        <w:t xml:space="preserve">. </w:t>
      </w:r>
      <w:r w:rsidR="00D37531" w:rsidRPr="00593C93">
        <w:rPr>
          <w:rFonts w:ascii="Calibri" w:eastAsia="Batang" w:hAnsi="Calibri" w:cs="Calibri"/>
          <w:sz w:val="22"/>
          <w:szCs w:val="22"/>
        </w:rPr>
        <w:t>Staff capacity building and COP16 operational services are excluded from this scenario</w:t>
      </w:r>
      <w:r w:rsidRPr="00593C93">
        <w:rPr>
          <w:rFonts w:ascii="Calibri" w:eastAsia="Batang" w:hAnsi="Calibri" w:cs="Calibri"/>
          <w:sz w:val="22"/>
          <w:szCs w:val="22"/>
        </w:rPr>
        <w:t xml:space="preserve">. </w:t>
      </w:r>
      <w:r w:rsidR="00B32032" w:rsidRPr="00593C93">
        <w:rPr>
          <w:rFonts w:ascii="Calibri" w:eastAsia="Batang" w:hAnsi="Calibri" w:cs="Calibri"/>
          <w:sz w:val="22"/>
          <w:szCs w:val="22"/>
        </w:rPr>
        <w:t>S</w:t>
      </w:r>
      <w:r w:rsidR="00B32032" w:rsidRPr="00B32032">
        <w:rPr>
          <w:rFonts w:ascii="Calibri" w:eastAsia="Batang" w:hAnsi="Calibri" w:cs="Calibri"/>
          <w:sz w:val="22"/>
          <w:szCs w:val="22"/>
        </w:rPr>
        <w:t>ome budget lines have been adjusted to compensate the partial equity adjustments, reflecting actual expenditure in the 2023-2025 triennium</w:t>
      </w:r>
      <w:r w:rsidR="00043D1B">
        <w:rPr>
          <w:rFonts w:ascii="Calibri" w:eastAsia="Batang" w:hAnsi="Calibri" w:cs="Calibri"/>
          <w:sz w:val="22"/>
          <w:szCs w:val="22"/>
        </w:rPr>
        <w:t>.</w:t>
      </w:r>
    </w:p>
    <w:p w14:paraId="71135ABD" w14:textId="77777777" w:rsidR="00F76419" w:rsidRPr="004F31B6" w:rsidRDefault="00F76419" w:rsidP="009C676D">
      <w:pPr>
        <w:pStyle w:val="ListParagraph"/>
        <w:spacing w:after="0" w:line="240" w:lineRule="auto"/>
        <w:ind w:left="426" w:hanging="426"/>
        <w:rPr>
          <w:rFonts w:ascii="Calibri" w:hAnsi="Calibri" w:cs="Calibri"/>
        </w:rPr>
      </w:pPr>
    </w:p>
    <w:p w14:paraId="0E8D0398" w14:textId="421C50EE" w:rsidR="00F76419" w:rsidRDefault="00F76419" w:rsidP="009C676D">
      <w:pPr>
        <w:pStyle w:val="MGfulltext"/>
        <w:spacing w:after="0"/>
        <w:ind w:left="426" w:hanging="426"/>
        <w:rPr>
          <w:rFonts w:ascii="Calibri" w:eastAsia="Batang" w:hAnsi="Calibri" w:cs="Calibri"/>
          <w:sz w:val="22"/>
          <w:szCs w:val="22"/>
        </w:rPr>
      </w:pPr>
      <w:r>
        <w:rPr>
          <w:rFonts w:ascii="Calibri" w:eastAsia="Batang" w:hAnsi="Calibri" w:cs="Calibri"/>
          <w:sz w:val="22"/>
          <w:szCs w:val="22"/>
        </w:rPr>
        <w:t>7.</w:t>
      </w:r>
      <w:r>
        <w:rPr>
          <w:rFonts w:ascii="Calibri" w:eastAsia="Batang" w:hAnsi="Calibri" w:cs="Calibri"/>
          <w:sz w:val="22"/>
          <w:szCs w:val="22"/>
        </w:rPr>
        <w:tab/>
      </w:r>
      <w:r w:rsidRPr="004F31B6">
        <w:rPr>
          <w:rFonts w:ascii="Calibri" w:eastAsia="Batang" w:hAnsi="Calibri" w:cs="Calibri"/>
          <w:sz w:val="22"/>
          <w:szCs w:val="22"/>
        </w:rPr>
        <w:t xml:space="preserve">The </w:t>
      </w:r>
      <w:r w:rsidRPr="004F31B6">
        <w:rPr>
          <w:rFonts w:ascii="Calibri" w:eastAsia="Batang" w:hAnsi="Calibri" w:cs="Calibri"/>
          <w:bCs/>
          <w:sz w:val="22"/>
          <w:szCs w:val="22"/>
        </w:rPr>
        <w:t>11.3% increase scenario</w:t>
      </w:r>
      <w:r w:rsidR="00B32032">
        <w:rPr>
          <w:rFonts w:ascii="Calibri" w:eastAsia="Batang" w:hAnsi="Calibri" w:cs="Calibri"/>
          <w:bCs/>
          <w:sz w:val="22"/>
          <w:szCs w:val="22"/>
        </w:rPr>
        <w:t xml:space="preserve"> </w:t>
      </w:r>
      <w:r w:rsidR="00FE2D98">
        <w:rPr>
          <w:rFonts w:ascii="Calibri" w:eastAsia="Batang" w:hAnsi="Calibri" w:cs="Calibri"/>
          <w:bCs/>
          <w:sz w:val="22"/>
          <w:szCs w:val="22"/>
        </w:rPr>
        <w:t xml:space="preserve">includes all adjustments as presented under scenario 9.6%, </w:t>
      </w:r>
      <w:r w:rsidR="007E31A5">
        <w:rPr>
          <w:rFonts w:ascii="Calibri" w:eastAsia="Batang" w:hAnsi="Calibri" w:cs="Calibri"/>
          <w:bCs/>
          <w:sz w:val="22"/>
          <w:szCs w:val="22"/>
        </w:rPr>
        <w:t xml:space="preserve">and includes </w:t>
      </w:r>
      <w:r w:rsidR="007E31A5">
        <w:rPr>
          <w:rFonts w:ascii="Calibri" w:eastAsia="Batang" w:hAnsi="Calibri" w:cs="Calibri"/>
          <w:sz w:val="22"/>
          <w:szCs w:val="22"/>
        </w:rPr>
        <w:t xml:space="preserve">an annual </w:t>
      </w:r>
      <w:r w:rsidR="007E31A5" w:rsidRPr="004F31B6">
        <w:rPr>
          <w:rFonts w:ascii="Calibri" w:eastAsia="Batang" w:hAnsi="Calibri" w:cs="Calibri"/>
          <w:sz w:val="22"/>
          <w:szCs w:val="22"/>
        </w:rPr>
        <w:t xml:space="preserve">allocation </w:t>
      </w:r>
      <w:r w:rsidR="007E31A5">
        <w:rPr>
          <w:rFonts w:ascii="Calibri" w:eastAsia="Batang" w:hAnsi="Calibri" w:cs="Calibri"/>
          <w:sz w:val="22"/>
          <w:szCs w:val="22"/>
        </w:rPr>
        <w:t xml:space="preserve">for </w:t>
      </w:r>
      <w:r w:rsidR="00097D6F">
        <w:rPr>
          <w:rFonts w:ascii="Calibri" w:eastAsia="Batang" w:hAnsi="Calibri" w:cs="Calibri"/>
          <w:sz w:val="22"/>
          <w:szCs w:val="22"/>
        </w:rPr>
        <w:t xml:space="preserve">Secretariat </w:t>
      </w:r>
      <w:r w:rsidR="007E31A5">
        <w:rPr>
          <w:rFonts w:ascii="Calibri" w:eastAsia="Batang" w:hAnsi="Calibri" w:cs="Calibri"/>
          <w:sz w:val="22"/>
          <w:szCs w:val="22"/>
        </w:rPr>
        <w:t xml:space="preserve">planning and </w:t>
      </w:r>
      <w:r w:rsidR="00097D6F">
        <w:rPr>
          <w:rFonts w:ascii="Calibri" w:eastAsia="Batang" w:hAnsi="Calibri" w:cs="Calibri"/>
          <w:sz w:val="22"/>
          <w:szCs w:val="22"/>
        </w:rPr>
        <w:t xml:space="preserve">staff </w:t>
      </w:r>
      <w:r w:rsidR="007E31A5">
        <w:rPr>
          <w:rFonts w:ascii="Calibri" w:eastAsia="Batang" w:hAnsi="Calibri" w:cs="Calibri"/>
          <w:sz w:val="22"/>
          <w:szCs w:val="22"/>
        </w:rPr>
        <w:t>capacity building</w:t>
      </w:r>
      <w:r w:rsidR="005E20D4" w:rsidRPr="005E20D4">
        <w:rPr>
          <w:rFonts w:ascii="Calibri" w:eastAsia="Batang" w:hAnsi="Calibri" w:cs="Calibri"/>
          <w:sz w:val="22"/>
          <w:szCs w:val="22"/>
        </w:rPr>
        <w:t xml:space="preserve">, to enable the Secretariat staff to deliver on activities requested by the Contracting Parties, and to promote </w:t>
      </w:r>
      <w:r w:rsidR="005E20D4" w:rsidRPr="005E20D4">
        <w:rPr>
          <w:rFonts w:ascii="Calibri" w:eastAsia="Batang" w:hAnsi="Calibri" w:cs="Calibri"/>
          <w:sz w:val="22"/>
          <w:szCs w:val="22"/>
        </w:rPr>
        <w:lastRenderedPageBreak/>
        <w:t>their overall wellbeing</w:t>
      </w:r>
      <w:r w:rsidR="00097D6F">
        <w:rPr>
          <w:rFonts w:ascii="Calibri" w:eastAsia="Batang" w:hAnsi="Calibri" w:cs="Calibri"/>
          <w:sz w:val="22"/>
          <w:szCs w:val="22"/>
        </w:rPr>
        <w:t>. Additionally, this scenario</w:t>
      </w:r>
      <w:r w:rsidR="005E20D4">
        <w:rPr>
          <w:rFonts w:ascii="Calibri" w:eastAsia="Batang" w:hAnsi="Calibri" w:cs="Calibri"/>
          <w:sz w:val="22"/>
          <w:szCs w:val="22"/>
        </w:rPr>
        <w:t xml:space="preserve"> </w:t>
      </w:r>
      <w:r>
        <w:rPr>
          <w:rFonts w:ascii="Calibri" w:eastAsia="Batang" w:hAnsi="Calibri" w:cs="Calibri"/>
          <w:bCs/>
          <w:sz w:val="22"/>
          <w:szCs w:val="22"/>
        </w:rPr>
        <w:t xml:space="preserve">also </w:t>
      </w:r>
      <w:r w:rsidRPr="004F31B6">
        <w:rPr>
          <w:rFonts w:ascii="Calibri" w:eastAsia="Batang" w:hAnsi="Calibri" w:cs="Calibri"/>
          <w:bCs/>
          <w:sz w:val="22"/>
          <w:szCs w:val="22"/>
        </w:rPr>
        <w:t>features</w:t>
      </w:r>
      <w:r w:rsidRPr="004F31B6">
        <w:rPr>
          <w:rFonts w:ascii="Calibri" w:eastAsia="Batang" w:hAnsi="Calibri" w:cs="Calibri"/>
          <w:b/>
          <w:sz w:val="22"/>
          <w:szCs w:val="22"/>
        </w:rPr>
        <w:t xml:space="preserve"> </w:t>
      </w:r>
      <w:r w:rsidRPr="004F31B6">
        <w:rPr>
          <w:rFonts w:ascii="Calibri" w:eastAsia="Batang" w:hAnsi="Calibri" w:cs="Calibri"/>
          <w:sz w:val="22"/>
          <w:szCs w:val="22"/>
        </w:rPr>
        <w:t>an allocation in year 2028 for costs associated with the provision of services related to COP</w:t>
      </w:r>
      <w:r w:rsidR="00187AFA">
        <w:rPr>
          <w:rFonts w:ascii="Calibri" w:eastAsia="Batang" w:hAnsi="Calibri" w:cs="Calibri"/>
          <w:sz w:val="22"/>
          <w:szCs w:val="22"/>
        </w:rPr>
        <w:t>16</w:t>
      </w:r>
      <w:r w:rsidRPr="004F31B6">
        <w:rPr>
          <w:rFonts w:ascii="Calibri" w:eastAsia="Batang" w:hAnsi="Calibri" w:cs="Calibri"/>
          <w:sz w:val="22"/>
          <w:szCs w:val="22"/>
        </w:rPr>
        <w:t xml:space="preserve"> (interpretation, translation, report writing and other support services).</w:t>
      </w:r>
    </w:p>
    <w:p w14:paraId="52CF864E" w14:textId="77777777" w:rsidR="00F76419" w:rsidRDefault="00F76419" w:rsidP="009C676D">
      <w:pPr>
        <w:pStyle w:val="MGfulltext"/>
        <w:spacing w:after="0"/>
        <w:ind w:left="426" w:hanging="426"/>
        <w:rPr>
          <w:rFonts w:ascii="Calibri" w:eastAsia="Batang" w:hAnsi="Calibri" w:cs="Calibri"/>
          <w:sz w:val="22"/>
          <w:szCs w:val="22"/>
        </w:rPr>
      </w:pPr>
    </w:p>
    <w:p w14:paraId="7E603EFD" w14:textId="490AAB29" w:rsidR="00F76419" w:rsidRDefault="00F76419" w:rsidP="009C676D">
      <w:pPr>
        <w:pStyle w:val="ListParagraph"/>
        <w:spacing w:after="0" w:line="240" w:lineRule="auto"/>
        <w:ind w:left="426" w:hanging="426"/>
        <w:rPr>
          <w:rFonts w:ascii="Calibri" w:hAnsi="Calibri" w:cs="Calibri"/>
          <w:iCs/>
          <w:color w:val="000000" w:themeColor="text1"/>
          <w:lang w:val="en-US"/>
        </w:rPr>
      </w:pPr>
      <w:r>
        <w:rPr>
          <w:rFonts w:ascii="Calibri" w:hAnsi="Calibri" w:cs="Calibri"/>
          <w:bCs/>
          <w:iCs/>
          <w:color w:val="000000" w:themeColor="text1"/>
          <w:lang w:val="en-US"/>
        </w:rPr>
        <w:t>8.</w:t>
      </w:r>
      <w:r>
        <w:rPr>
          <w:rFonts w:ascii="Calibri" w:hAnsi="Calibri" w:cs="Calibri"/>
          <w:bCs/>
          <w:iCs/>
          <w:color w:val="000000" w:themeColor="text1"/>
          <w:lang w:val="en-US"/>
        </w:rPr>
        <w:tab/>
        <w:t>All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 xml:space="preserve"> scenario</w:t>
      </w:r>
      <w:r>
        <w:rPr>
          <w:rFonts w:ascii="Calibri" w:hAnsi="Calibri" w:cs="Calibri"/>
          <w:bCs/>
          <w:iCs/>
          <w:color w:val="000000" w:themeColor="text1"/>
          <w:lang w:val="en-US"/>
        </w:rPr>
        <w:t>s</w:t>
      </w:r>
      <w:r w:rsidRPr="004F31B6">
        <w:rPr>
          <w:rFonts w:ascii="Calibri" w:hAnsi="Calibri" w:cs="Calibri"/>
          <w:bCs/>
          <w:iCs/>
          <w:color w:val="000000" w:themeColor="text1"/>
          <w:lang w:val="en-US"/>
        </w:rPr>
        <w:t xml:space="preserve"> </w:t>
      </w:r>
      <w:r w:rsidRPr="004F31B6">
        <w:rPr>
          <w:rFonts w:ascii="Calibri" w:hAnsi="Calibri" w:cs="Calibri"/>
          <w:iCs/>
          <w:color w:val="000000" w:themeColor="text1"/>
          <w:lang w:val="en-US"/>
        </w:rPr>
        <w:t>assume approval of the use of 2024 surplus for provisions for outstanding contributions.</w:t>
      </w:r>
      <w:r>
        <w:rPr>
          <w:rFonts w:ascii="Calibri" w:hAnsi="Calibri" w:cs="Calibri"/>
          <w:iCs/>
          <w:color w:val="000000" w:themeColor="text1"/>
          <w:lang w:val="en-US"/>
        </w:rPr>
        <w:t xml:space="preserve"> </w:t>
      </w:r>
    </w:p>
    <w:p w14:paraId="6B7663D0" w14:textId="77777777" w:rsidR="005557D3" w:rsidRDefault="005557D3" w:rsidP="000A2BFA">
      <w:pPr>
        <w:spacing w:after="0" w:line="240" w:lineRule="auto"/>
        <w:rPr>
          <w:rFonts w:ascii="Calibri" w:hAnsi="Calibri" w:cs="Calibri"/>
          <w:b/>
          <w:bCs/>
        </w:rPr>
      </w:pPr>
    </w:p>
    <w:p w14:paraId="446A7B53" w14:textId="3A101F58" w:rsidR="00C303CD" w:rsidRPr="00E51FD3" w:rsidRDefault="001513A5" w:rsidP="000A2BFA">
      <w:pPr>
        <w:spacing w:after="0" w:line="240" w:lineRule="auto"/>
        <w:rPr>
          <w:rFonts w:ascii="Calibri" w:hAnsi="Calibri" w:cs="Calibri"/>
          <w:b/>
          <w:bCs/>
        </w:rPr>
      </w:pPr>
      <w:r w:rsidRPr="00E51FD3">
        <w:rPr>
          <w:rFonts w:ascii="Calibri" w:hAnsi="Calibri" w:cs="Calibri"/>
          <w:b/>
          <w:bCs/>
        </w:rPr>
        <w:t>The proposed increase</w:t>
      </w:r>
      <w:r w:rsidR="009C676D">
        <w:rPr>
          <w:rFonts w:ascii="Calibri" w:hAnsi="Calibri" w:cs="Calibri"/>
          <w:b/>
          <w:bCs/>
        </w:rPr>
        <w:t>s</w:t>
      </w:r>
      <w:r w:rsidRPr="00E51FD3">
        <w:rPr>
          <w:rFonts w:ascii="Calibri" w:hAnsi="Calibri" w:cs="Calibri"/>
          <w:b/>
          <w:bCs/>
        </w:rPr>
        <w:t xml:space="preserve"> </w:t>
      </w:r>
      <w:r w:rsidR="00357F54" w:rsidRPr="00E51FD3">
        <w:rPr>
          <w:rFonts w:ascii="Calibri" w:hAnsi="Calibri" w:cs="Calibri"/>
          <w:b/>
          <w:bCs/>
        </w:rPr>
        <w:t xml:space="preserve">in the </w:t>
      </w:r>
      <w:r w:rsidR="009C676D">
        <w:rPr>
          <w:rFonts w:ascii="Calibri" w:hAnsi="Calibri" w:cs="Calibri"/>
          <w:b/>
          <w:bCs/>
        </w:rPr>
        <w:t>scenarios</w:t>
      </w:r>
      <w:r w:rsidR="00357F54" w:rsidRPr="00E51FD3">
        <w:rPr>
          <w:rFonts w:ascii="Calibri" w:hAnsi="Calibri" w:cs="Calibri"/>
          <w:b/>
          <w:bCs/>
        </w:rPr>
        <w:t xml:space="preserve"> addres</w:t>
      </w:r>
      <w:r w:rsidR="009C676D">
        <w:rPr>
          <w:rFonts w:ascii="Calibri" w:hAnsi="Calibri" w:cs="Calibri"/>
          <w:b/>
          <w:bCs/>
        </w:rPr>
        <w:t>s</w:t>
      </w:r>
      <w:r w:rsidR="006366C2" w:rsidRPr="00E51FD3">
        <w:rPr>
          <w:rFonts w:ascii="Calibri" w:hAnsi="Calibri" w:cs="Calibri"/>
          <w:b/>
          <w:bCs/>
        </w:rPr>
        <w:t xml:space="preserve"> the following </w:t>
      </w:r>
      <w:r w:rsidR="000C7EC5" w:rsidRPr="00E51FD3">
        <w:rPr>
          <w:rFonts w:ascii="Calibri" w:hAnsi="Calibri" w:cs="Calibri"/>
          <w:b/>
          <w:bCs/>
        </w:rPr>
        <w:t>areas:</w:t>
      </w:r>
    </w:p>
    <w:p w14:paraId="6F23CE60" w14:textId="77777777" w:rsidR="00447123" w:rsidRPr="00E51FD3" w:rsidRDefault="00447123" w:rsidP="000A2BFA">
      <w:pPr>
        <w:spacing w:after="0" w:line="240" w:lineRule="auto"/>
        <w:rPr>
          <w:rFonts w:ascii="Calibri" w:hAnsi="Calibri" w:cs="Calibri"/>
        </w:rPr>
      </w:pPr>
    </w:p>
    <w:p w14:paraId="1E210621" w14:textId="3FAA4EC0" w:rsidR="00C303CD" w:rsidRPr="0023414E" w:rsidRDefault="00447123" w:rsidP="000A2BFA">
      <w:pPr>
        <w:spacing w:after="0" w:line="240" w:lineRule="auto"/>
        <w:ind w:left="426" w:hanging="426"/>
        <w:rPr>
          <w:rFonts w:ascii="Calibri" w:hAnsi="Calibri" w:cs="Calibri"/>
        </w:rPr>
      </w:pPr>
      <w:r w:rsidRPr="0023414E">
        <w:rPr>
          <w:rFonts w:ascii="Calibri" w:hAnsi="Calibri" w:cs="Calibri"/>
          <w:u w:val="single"/>
        </w:rPr>
        <w:t>S</w:t>
      </w:r>
      <w:r w:rsidR="001C29D2" w:rsidRPr="0023414E">
        <w:rPr>
          <w:rFonts w:ascii="Calibri" w:hAnsi="Calibri" w:cs="Calibri"/>
          <w:u w:val="single"/>
        </w:rPr>
        <w:t>trengthening the Secretariat</w:t>
      </w:r>
      <w:r w:rsidR="00A8123B" w:rsidRPr="0023414E">
        <w:rPr>
          <w:rFonts w:ascii="Calibri" w:hAnsi="Calibri" w:cs="Calibri"/>
          <w:u w:val="single"/>
        </w:rPr>
        <w:t>’</w:t>
      </w:r>
      <w:r w:rsidR="001C29D2" w:rsidRPr="0023414E">
        <w:rPr>
          <w:rFonts w:ascii="Calibri" w:hAnsi="Calibri" w:cs="Calibri"/>
          <w:u w:val="single"/>
        </w:rPr>
        <w:t>s ability to recruit and retain qualified staff</w:t>
      </w:r>
    </w:p>
    <w:p w14:paraId="1E47B7A9" w14:textId="77777777" w:rsidR="00C303CD" w:rsidRPr="00E51FD3" w:rsidRDefault="00C303CD" w:rsidP="000A2BFA">
      <w:pPr>
        <w:spacing w:after="0" w:line="240" w:lineRule="auto"/>
        <w:rPr>
          <w:rFonts w:ascii="Calibri" w:hAnsi="Calibri" w:cs="Calibri"/>
        </w:rPr>
      </w:pPr>
    </w:p>
    <w:p w14:paraId="618EE628" w14:textId="178F43BF" w:rsidR="008A5CCC" w:rsidRPr="00844ED2" w:rsidRDefault="009C676D" w:rsidP="000A2BFA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23414E">
        <w:rPr>
          <w:rFonts w:ascii="Calibri" w:hAnsi="Calibri" w:cs="Calibri"/>
        </w:rPr>
        <w:t>.</w:t>
      </w:r>
      <w:r w:rsidR="0023414E">
        <w:rPr>
          <w:rFonts w:ascii="Calibri" w:hAnsi="Calibri" w:cs="Calibri"/>
        </w:rPr>
        <w:tab/>
      </w:r>
      <w:r w:rsidR="774711CD" w:rsidRPr="00E51FD3">
        <w:rPr>
          <w:rFonts w:ascii="Calibri" w:hAnsi="Calibri" w:cs="Calibri"/>
        </w:rPr>
        <w:t>T</w:t>
      </w:r>
      <w:r w:rsidR="001C29D2" w:rsidRPr="00E51FD3">
        <w:rPr>
          <w:rFonts w:ascii="Calibri" w:hAnsi="Calibri" w:cs="Calibri"/>
        </w:rPr>
        <w:t xml:space="preserve">he </w:t>
      </w:r>
      <w:r w:rsidR="00805E6F" w:rsidRPr="00E51FD3">
        <w:rPr>
          <w:rFonts w:ascii="Calibri" w:hAnsi="Calibri" w:cs="Calibri"/>
        </w:rPr>
        <w:t xml:space="preserve">Working Group </w:t>
      </w:r>
      <w:r w:rsidR="00275FEF">
        <w:rPr>
          <w:rFonts w:ascii="Calibri" w:hAnsi="Calibri" w:cs="Calibri"/>
        </w:rPr>
        <w:t xml:space="preserve">on </w:t>
      </w:r>
      <w:r w:rsidR="00275FEF" w:rsidRPr="00E51FD3">
        <w:rPr>
          <w:rFonts w:ascii="Calibri" w:hAnsi="Calibri" w:cs="Calibri"/>
        </w:rPr>
        <w:t xml:space="preserve">Institutional Strengthening </w:t>
      </w:r>
      <w:r w:rsidR="24E35F62" w:rsidRPr="00E51FD3">
        <w:rPr>
          <w:rFonts w:ascii="Calibri" w:hAnsi="Calibri" w:cs="Calibri"/>
        </w:rPr>
        <w:t xml:space="preserve">has </w:t>
      </w:r>
      <w:r w:rsidR="00805E6F" w:rsidRPr="00E51FD3">
        <w:rPr>
          <w:rFonts w:ascii="Calibri" w:hAnsi="Calibri" w:cs="Calibri"/>
        </w:rPr>
        <w:t xml:space="preserve">identified </w:t>
      </w:r>
      <w:r w:rsidR="00BD6910" w:rsidRPr="00E51FD3">
        <w:rPr>
          <w:rFonts w:ascii="Calibri" w:hAnsi="Calibri" w:cs="Calibri"/>
        </w:rPr>
        <w:t>recruitment of staff and reduction of staff turnover as critical instit</w:t>
      </w:r>
      <w:r w:rsidR="00F7774E" w:rsidRPr="00E51FD3">
        <w:rPr>
          <w:rFonts w:ascii="Calibri" w:hAnsi="Calibri" w:cs="Calibri"/>
        </w:rPr>
        <w:t>utional challenge</w:t>
      </w:r>
      <w:r w:rsidR="00275FEF">
        <w:rPr>
          <w:rFonts w:ascii="Calibri" w:hAnsi="Calibri" w:cs="Calibri"/>
        </w:rPr>
        <w:t>s</w:t>
      </w:r>
      <w:r w:rsidR="54C178E2" w:rsidRPr="00E51FD3">
        <w:rPr>
          <w:rFonts w:ascii="Calibri" w:hAnsi="Calibri" w:cs="Calibri"/>
        </w:rPr>
        <w:t>.</w:t>
      </w:r>
      <w:r w:rsidR="29CF5989" w:rsidRPr="00E51FD3">
        <w:rPr>
          <w:rFonts w:ascii="Calibri" w:hAnsi="Calibri" w:cs="Calibri"/>
        </w:rPr>
        <w:t xml:space="preserve"> </w:t>
      </w:r>
      <w:r w:rsidR="00F7774E" w:rsidRPr="00E51FD3">
        <w:rPr>
          <w:rFonts w:ascii="Calibri" w:hAnsi="Calibri" w:cs="Calibri"/>
        </w:rPr>
        <w:t xml:space="preserve">The findings of the </w:t>
      </w:r>
      <w:r w:rsidR="00447123" w:rsidRPr="00E51FD3">
        <w:rPr>
          <w:rFonts w:ascii="Calibri" w:hAnsi="Calibri" w:cs="Calibri"/>
        </w:rPr>
        <w:t>W</w:t>
      </w:r>
      <w:r w:rsidR="00F7774E" w:rsidRPr="00E51FD3">
        <w:rPr>
          <w:rFonts w:ascii="Calibri" w:hAnsi="Calibri" w:cs="Calibri"/>
        </w:rPr>
        <w:t xml:space="preserve">orking Group as presented in SC62 Doc.11 </w:t>
      </w:r>
      <w:r w:rsidR="00275FEF">
        <w:rPr>
          <w:rFonts w:ascii="Calibri" w:hAnsi="Calibri" w:cs="Calibri"/>
        </w:rPr>
        <w:t>included</w:t>
      </w:r>
      <w:r w:rsidR="00275FEF" w:rsidRPr="00E51FD3">
        <w:rPr>
          <w:rFonts w:ascii="Calibri" w:hAnsi="Calibri" w:cs="Calibri"/>
        </w:rPr>
        <w:t xml:space="preserve"> </w:t>
      </w:r>
      <w:r w:rsidR="00AF52B3" w:rsidRPr="00E51FD3">
        <w:rPr>
          <w:rFonts w:ascii="Calibri" w:hAnsi="Calibri" w:cs="Calibri"/>
        </w:rPr>
        <w:t xml:space="preserve">that Secretariat staff compensation is not in alignment with the IUCN compensation framework and </w:t>
      </w:r>
      <w:r w:rsidR="00BF01C6" w:rsidRPr="00E51FD3">
        <w:rPr>
          <w:rFonts w:ascii="Calibri" w:hAnsi="Calibri" w:cs="Calibri"/>
        </w:rPr>
        <w:t xml:space="preserve">therefore </w:t>
      </w:r>
      <w:r w:rsidR="00AF52B3" w:rsidRPr="00E51FD3">
        <w:rPr>
          <w:rFonts w:ascii="Calibri" w:hAnsi="Calibri" w:cs="Calibri"/>
        </w:rPr>
        <w:t xml:space="preserve">is not competitive in comparison to </w:t>
      </w:r>
      <w:r w:rsidR="001C3E44">
        <w:rPr>
          <w:rFonts w:ascii="Calibri" w:hAnsi="Calibri" w:cs="Calibri"/>
        </w:rPr>
        <w:t xml:space="preserve">IUCN and </w:t>
      </w:r>
      <w:r w:rsidR="00AF52B3" w:rsidRPr="00E51FD3">
        <w:rPr>
          <w:rFonts w:ascii="Calibri" w:hAnsi="Calibri" w:cs="Calibri"/>
        </w:rPr>
        <w:t>the UN system.</w:t>
      </w:r>
      <w:r w:rsidR="00B67325" w:rsidRPr="00E51FD3">
        <w:rPr>
          <w:rFonts w:ascii="Calibri" w:hAnsi="Calibri" w:cs="Calibri"/>
        </w:rPr>
        <w:t xml:space="preserve"> A </w:t>
      </w:r>
      <w:r w:rsidR="00AE1EC8" w:rsidRPr="00E51FD3">
        <w:rPr>
          <w:rFonts w:ascii="Calibri" w:hAnsi="Calibri" w:cs="Calibri"/>
        </w:rPr>
        <w:t xml:space="preserve">core </w:t>
      </w:r>
      <w:r w:rsidR="00B67325" w:rsidRPr="00E51FD3">
        <w:rPr>
          <w:rFonts w:ascii="Calibri" w:hAnsi="Calibri" w:cs="Calibri"/>
        </w:rPr>
        <w:t xml:space="preserve">budget increase will address the lack of competitiveness in staff </w:t>
      </w:r>
      <w:r w:rsidR="00B67325" w:rsidRPr="00844ED2">
        <w:rPr>
          <w:rFonts w:ascii="Calibri" w:hAnsi="Calibri" w:cs="Calibri"/>
        </w:rPr>
        <w:t>compensation</w:t>
      </w:r>
      <w:r w:rsidR="00102EFB" w:rsidRPr="00844ED2">
        <w:rPr>
          <w:rFonts w:ascii="Calibri" w:hAnsi="Calibri" w:cs="Calibri"/>
        </w:rPr>
        <w:t xml:space="preserve"> and will</w:t>
      </w:r>
      <w:r w:rsidR="00FC5B95" w:rsidRPr="00844ED2">
        <w:rPr>
          <w:rFonts w:ascii="Calibri" w:hAnsi="Calibri" w:cs="Calibri"/>
        </w:rPr>
        <w:t xml:space="preserve"> help</w:t>
      </w:r>
      <w:r w:rsidR="00275FEF" w:rsidRPr="00844ED2">
        <w:rPr>
          <w:rFonts w:ascii="Calibri" w:hAnsi="Calibri" w:cs="Calibri"/>
        </w:rPr>
        <w:t xml:space="preserve"> to</w:t>
      </w:r>
      <w:r w:rsidR="00FC5B95" w:rsidRPr="00844ED2">
        <w:rPr>
          <w:rFonts w:ascii="Calibri" w:hAnsi="Calibri" w:cs="Calibri"/>
        </w:rPr>
        <w:t>:</w:t>
      </w:r>
    </w:p>
    <w:p w14:paraId="709ED6EB" w14:textId="77777777" w:rsidR="00427CE2" w:rsidRPr="00844ED2" w:rsidRDefault="00427CE2" w:rsidP="000A2BFA">
      <w:pPr>
        <w:spacing w:after="0" w:line="240" w:lineRule="auto"/>
        <w:rPr>
          <w:rFonts w:ascii="Calibri" w:hAnsi="Calibri" w:cs="Calibri"/>
        </w:rPr>
      </w:pPr>
    </w:p>
    <w:p w14:paraId="0CFC3BC5" w14:textId="3F62050D" w:rsidR="000B142B" w:rsidRPr="00844ED2" w:rsidRDefault="00275FEF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 w:rsidRPr="00844ED2">
        <w:rPr>
          <w:rFonts w:ascii="Calibri" w:hAnsi="Calibri" w:cs="Calibri"/>
        </w:rPr>
        <w:t xml:space="preserve">provide </w:t>
      </w:r>
      <w:r w:rsidR="000B142B" w:rsidRPr="004470C7">
        <w:rPr>
          <w:rFonts w:ascii="Calibri" w:hAnsi="Calibri" w:cs="Calibri"/>
        </w:rPr>
        <w:t xml:space="preserve">equity for </w:t>
      </w:r>
      <w:r w:rsidR="004E336A" w:rsidRPr="004470C7">
        <w:rPr>
          <w:rFonts w:ascii="Calibri" w:hAnsi="Calibri" w:cs="Calibri"/>
        </w:rPr>
        <w:t xml:space="preserve">Secretariat </w:t>
      </w:r>
      <w:r w:rsidR="000B142B" w:rsidRPr="004470C7">
        <w:rPr>
          <w:rFonts w:ascii="Calibri" w:hAnsi="Calibri" w:cs="Calibri"/>
        </w:rPr>
        <w:t>staff</w:t>
      </w:r>
      <w:r w:rsidR="000B142B" w:rsidRPr="00844ED2">
        <w:rPr>
          <w:rFonts w:ascii="Calibri" w:hAnsi="Calibri" w:cs="Calibri"/>
        </w:rPr>
        <w:t xml:space="preserve"> within the IUCN compensation framework and </w:t>
      </w:r>
      <w:r w:rsidR="004E336A" w:rsidRPr="00844ED2">
        <w:rPr>
          <w:rFonts w:ascii="Calibri" w:hAnsi="Calibri" w:cs="Calibri"/>
        </w:rPr>
        <w:t xml:space="preserve">increase </w:t>
      </w:r>
      <w:r w:rsidR="000B142B" w:rsidRPr="00844ED2">
        <w:rPr>
          <w:rFonts w:ascii="Calibri" w:hAnsi="Calibri" w:cs="Calibri"/>
        </w:rPr>
        <w:t>competitiveness with UN organizations</w:t>
      </w:r>
      <w:r w:rsidRPr="00844ED2">
        <w:rPr>
          <w:rFonts w:ascii="Calibri" w:hAnsi="Calibri" w:cs="Calibri"/>
        </w:rPr>
        <w:t>; and</w:t>
      </w:r>
    </w:p>
    <w:p w14:paraId="438DB395" w14:textId="3FF9DFBB" w:rsidR="000B142B" w:rsidRPr="00844ED2" w:rsidRDefault="00275FEF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 w:rsidRPr="00844ED2">
        <w:rPr>
          <w:rFonts w:ascii="Calibri" w:hAnsi="Calibri" w:cs="Calibri"/>
        </w:rPr>
        <w:t xml:space="preserve">cover </w:t>
      </w:r>
      <w:r w:rsidR="000B142B" w:rsidRPr="00844ED2">
        <w:rPr>
          <w:rFonts w:ascii="Calibri" w:hAnsi="Calibri" w:cs="Calibri"/>
        </w:rPr>
        <w:t xml:space="preserve">for cost-of-labour </w:t>
      </w:r>
      <w:r w:rsidR="000B142B" w:rsidRPr="004470C7">
        <w:rPr>
          <w:rFonts w:ascii="Calibri" w:hAnsi="Calibri" w:cs="Calibri"/>
        </w:rPr>
        <w:t>adjustments</w:t>
      </w:r>
      <w:r w:rsidR="000B142B" w:rsidRPr="00844ED2">
        <w:rPr>
          <w:rFonts w:ascii="Calibri" w:hAnsi="Calibri" w:cs="Calibri"/>
        </w:rPr>
        <w:t>, performance and promotions in line with the IUCN Human Resources global compensation policies</w:t>
      </w:r>
      <w:r w:rsidR="00447123" w:rsidRPr="00844ED2">
        <w:rPr>
          <w:rFonts w:ascii="Calibri" w:hAnsi="Calibri" w:cs="Calibri"/>
        </w:rPr>
        <w:t>.</w:t>
      </w:r>
    </w:p>
    <w:p w14:paraId="26847818" w14:textId="77777777" w:rsidR="009C676D" w:rsidRPr="00844ED2" w:rsidRDefault="009C676D" w:rsidP="009C676D">
      <w:pPr>
        <w:spacing w:after="0" w:line="240" w:lineRule="auto"/>
        <w:rPr>
          <w:rFonts w:ascii="Calibri" w:hAnsi="Calibri" w:cs="Calibri"/>
        </w:rPr>
      </w:pPr>
    </w:p>
    <w:p w14:paraId="5881C6C0" w14:textId="3C831EDB" w:rsidR="009C676D" w:rsidRPr="009C676D" w:rsidRDefault="009C676D" w:rsidP="009C676D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</w:r>
      <w:r w:rsidRPr="009C676D">
        <w:rPr>
          <w:rFonts w:ascii="Calibri" w:hAnsi="Calibri" w:cs="Calibri"/>
        </w:rPr>
        <w:t>The COP13-approved budget for 2019-2021 included a provision to implement these adjustments. In the view of the Secretariat, it is important to embed these adjustments.</w:t>
      </w:r>
    </w:p>
    <w:p w14:paraId="4BF811AD" w14:textId="77777777" w:rsidR="005E14F5" w:rsidRPr="00844ED2" w:rsidRDefault="005E14F5" w:rsidP="000A2BFA">
      <w:pPr>
        <w:pStyle w:val="ListParagraph"/>
        <w:spacing w:after="0" w:line="240" w:lineRule="auto"/>
        <w:ind w:left="1440"/>
        <w:contextualSpacing w:val="0"/>
        <w:rPr>
          <w:rFonts w:ascii="Calibri" w:hAnsi="Calibri" w:cs="Calibri"/>
        </w:rPr>
      </w:pPr>
    </w:p>
    <w:p w14:paraId="01D4E286" w14:textId="78F1D500" w:rsidR="00447123" w:rsidRPr="00844ED2" w:rsidRDefault="00447123" w:rsidP="000A2BFA">
      <w:pPr>
        <w:spacing w:after="0" w:line="240" w:lineRule="auto"/>
        <w:rPr>
          <w:rFonts w:ascii="Calibri" w:hAnsi="Calibri" w:cs="Calibri"/>
        </w:rPr>
      </w:pPr>
      <w:r w:rsidRPr="00844ED2">
        <w:rPr>
          <w:rFonts w:ascii="Calibri" w:hAnsi="Calibri" w:cs="Calibri"/>
          <w:u w:val="single"/>
        </w:rPr>
        <w:t xml:space="preserve">Meeting an </w:t>
      </w:r>
      <w:r w:rsidRPr="004470C7">
        <w:rPr>
          <w:rFonts w:ascii="Calibri" w:hAnsi="Calibri" w:cs="Calibri"/>
          <w:u w:val="single"/>
        </w:rPr>
        <w:t>increasing volume of deliverables and tasks</w:t>
      </w:r>
      <w:r w:rsidRPr="00844ED2">
        <w:rPr>
          <w:rFonts w:ascii="Calibri" w:hAnsi="Calibri" w:cs="Calibri"/>
          <w:u w:val="single"/>
        </w:rPr>
        <w:t xml:space="preserve"> </w:t>
      </w:r>
      <w:r w:rsidR="009C676D" w:rsidRPr="00844ED2">
        <w:rPr>
          <w:rFonts w:ascii="Calibri" w:hAnsi="Calibri" w:cs="Calibri"/>
          <w:u w:val="single"/>
        </w:rPr>
        <w:t>mandated</w:t>
      </w:r>
      <w:r w:rsidRPr="00844ED2">
        <w:rPr>
          <w:rFonts w:ascii="Calibri" w:hAnsi="Calibri" w:cs="Calibri"/>
          <w:u w:val="single"/>
        </w:rPr>
        <w:t xml:space="preserve"> by Contracting Parties</w:t>
      </w:r>
    </w:p>
    <w:p w14:paraId="7164FBA9" w14:textId="77777777" w:rsidR="007819B2" w:rsidRPr="00844ED2" w:rsidRDefault="007819B2" w:rsidP="007819B2">
      <w:pPr>
        <w:spacing w:after="0" w:line="240" w:lineRule="auto"/>
        <w:rPr>
          <w:rFonts w:ascii="Calibri" w:hAnsi="Calibri" w:cs="Calibri"/>
        </w:rPr>
      </w:pPr>
    </w:p>
    <w:p w14:paraId="4A177615" w14:textId="11536378" w:rsidR="007819B2" w:rsidRPr="00E51FD3" w:rsidRDefault="002C0F29" w:rsidP="007819B2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7819B2" w:rsidRPr="00844ED2">
        <w:rPr>
          <w:rFonts w:ascii="Calibri" w:hAnsi="Calibri" w:cs="Calibri"/>
        </w:rPr>
        <w:t>.</w:t>
      </w:r>
      <w:r w:rsidR="007819B2" w:rsidRPr="00844ED2">
        <w:rPr>
          <w:rFonts w:ascii="Calibri" w:hAnsi="Calibri" w:cs="Calibri"/>
        </w:rPr>
        <w:tab/>
        <w:t>Contracting Parties have requested</w:t>
      </w:r>
      <w:r w:rsidR="007819B2" w:rsidRPr="00E51FD3">
        <w:rPr>
          <w:rFonts w:ascii="Calibri" w:hAnsi="Calibri" w:cs="Calibri"/>
        </w:rPr>
        <w:t xml:space="preserve"> that the Secretariat strengthen communications </w:t>
      </w:r>
      <w:r w:rsidR="007819B2" w:rsidRPr="00844ED2">
        <w:rPr>
          <w:rFonts w:ascii="Calibri" w:hAnsi="Calibri" w:cs="Calibri"/>
        </w:rPr>
        <w:t xml:space="preserve">through </w:t>
      </w:r>
      <w:r w:rsidR="007819B2" w:rsidRPr="004470C7">
        <w:rPr>
          <w:rFonts w:ascii="Calibri" w:hAnsi="Calibri" w:cs="Calibri"/>
        </w:rPr>
        <w:t>increasing its outreach and visibility activities</w:t>
      </w:r>
      <w:r w:rsidR="007819B2" w:rsidRPr="00844ED2">
        <w:rPr>
          <w:rFonts w:ascii="Calibri" w:hAnsi="Calibri" w:cs="Calibri"/>
        </w:rPr>
        <w:t xml:space="preserve"> and supporting better implementation of CEPA (communication, capacity building, education, participation and advocacy). To meet this need, the</w:t>
      </w:r>
      <w:r w:rsidR="007819B2" w:rsidRPr="00E51FD3">
        <w:rPr>
          <w:rFonts w:ascii="Calibri" w:hAnsi="Calibri" w:cs="Calibri"/>
        </w:rPr>
        <w:t xml:space="preserve"> Secretariat proposes a new Communications Officer position which will contribute to delivering:</w:t>
      </w:r>
    </w:p>
    <w:p w14:paraId="0119EEDB" w14:textId="77777777" w:rsidR="007819B2" w:rsidRPr="00E51FD3" w:rsidRDefault="007819B2" w:rsidP="007819B2">
      <w:pPr>
        <w:spacing w:after="0" w:line="240" w:lineRule="auto"/>
        <w:rPr>
          <w:rFonts w:ascii="Calibri" w:hAnsi="Calibri" w:cs="Calibri"/>
        </w:rPr>
      </w:pPr>
    </w:p>
    <w:p w14:paraId="5AECF843" w14:textId="77777777" w:rsidR="007819B2" w:rsidRPr="00E51FD3" w:rsidRDefault="007819B2" w:rsidP="007819B2">
      <w:pPr>
        <w:pStyle w:val="ListParagraph"/>
        <w:numPr>
          <w:ilvl w:val="2"/>
          <w:numId w:val="10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 w:rsidRPr="00E51FD3">
        <w:rPr>
          <w:rFonts w:ascii="Calibri" w:hAnsi="Calibri" w:cs="Calibri"/>
        </w:rPr>
        <w:t xml:space="preserve">development </w:t>
      </w:r>
      <w:r>
        <w:rPr>
          <w:rFonts w:ascii="Calibri" w:hAnsi="Calibri" w:cs="Calibri"/>
        </w:rPr>
        <w:t xml:space="preserve">of </w:t>
      </w:r>
      <w:r w:rsidRPr="00E51FD3">
        <w:rPr>
          <w:rFonts w:ascii="Calibri" w:hAnsi="Calibri" w:cs="Calibri"/>
        </w:rPr>
        <w:t>content</w:t>
      </w:r>
      <w:r>
        <w:rPr>
          <w:rFonts w:ascii="Calibri" w:hAnsi="Calibri" w:cs="Calibri"/>
        </w:rPr>
        <w:t xml:space="preserve"> on w</w:t>
      </w:r>
      <w:r w:rsidRPr="00E51FD3">
        <w:rPr>
          <w:rFonts w:ascii="Calibri" w:hAnsi="Calibri" w:cs="Calibri"/>
        </w:rPr>
        <w:t xml:space="preserve">etlands and </w:t>
      </w:r>
      <w:r>
        <w:rPr>
          <w:rFonts w:ascii="Calibri" w:hAnsi="Calibri" w:cs="Calibri"/>
        </w:rPr>
        <w:t xml:space="preserve">the </w:t>
      </w:r>
      <w:r w:rsidRPr="00E51FD3">
        <w:rPr>
          <w:rFonts w:ascii="Calibri" w:hAnsi="Calibri" w:cs="Calibri"/>
        </w:rPr>
        <w:t>Convention</w:t>
      </w:r>
      <w:r>
        <w:rPr>
          <w:rFonts w:ascii="Calibri" w:hAnsi="Calibri" w:cs="Calibri"/>
        </w:rPr>
        <w:t xml:space="preserve">, </w:t>
      </w:r>
      <w:r w:rsidRPr="00E51FD3">
        <w:rPr>
          <w:rFonts w:ascii="Calibri" w:hAnsi="Calibri" w:cs="Calibri"/>
        </w:rPr>
        <w:t>increas</w:t>
      </w:r>
      <w:r>
        <w:rPr>
          <w:rFonts w:ascii="Calibri" w:hAnsi="Calibri" w:cs="Calibri"/>
        </w:rPr>
        <w:t>ing</w:t>
      </w:r>
      <w:r w:rsidRPr="00E51FD3">
        <w:rPr>
          <w:rFonts w:ascii="Calibri" w:hAnsi="Calibri" w:cs="Calibri"/>
        </w:rPr>
        <w:t xml:space="preserve"> frequency and reach of news articles, thought leadership pieces, reports</w:t>
      </w:r>
      <w:r>
        <w:rPr>
          <w:rFonts w:ascii="Calibri" w:hAnsi="Calibri" w:cs="Calibri"/>
        </w:rPr>
        <w:t xml:space="preserve"> and</w:t>
      </w:r>
      <w:r w:rsidRPr="00E51FD3">
        <w:rPr>
          <w:rFonts w:ascii="Calibri" w:hAnsi="Calibri" w:cs="Calibri"/>
        </w:rPr>
        <w:t xml:space="preserve"> briefings;</w:t>
      </w:r>
    </w:p>
    <w:p w14:paraId="4FFCFEBA" w14:textId="77777777" w:rsidR="007819B2" w:rsidRPr="00E51FD3" w:rsidRDefault="007819B2" w:rsidP="007819B2">
      <w:pPr>
        <w:pStyle w:val="ListParagraph"/>
        <w:numPr>
          <w:ilvl w:val="2"/>
          <w:numId w:val="10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 w:rsidRPr="00E51FD3">
        <w:rPr>
          <w:rFonts w:ascii="Calibri" w:hAnsi="Calibri" w:cs="Calibri"/>
        </w:rPr>
        <w:t>CEPA implementation (global and in support of Contracting Parties);</w:t>
      </w:r>
    </w:p>
    <w:p w14:paraId="37C50973" w14:textId="77777777" w:rsidR="007819B2" w:rsidRPr="00E51FD3" w:rsidRDefault="007819B2" w:rsidP="007819B2">
      <w:pPr>
        <w:pStyle w:val="ListParagraph"/>
        <w:numPr>
          <w:ilvl w:val="2"/>
          <w:numId w:val="10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E51FD3">
        <w:rPr>
          <w:rFonts w:ascii="Calibri" w:hAnsi="Calibri" w:cs="Calibri"/>
        </w:rPr>
        <w:t>edia outreach and content placement;</w:t>
      </w:r>
      <w:r>
        <w:rPr>
          <w:rFonts w:ascii="Calibri" w:hAnsi="Calibri" w:cs="Calibri"/>
        </w:rPr>
        <w:t xml:space="preserve"> and</w:t>
      </w:r>
    </w:p>
    <w:p w14:paraId="1D085F7D" w14:textId="77777777" w:rsidR="007819B2" w:rsidRPr="00E51FD3" w:rsidRDefault="007819B2" w:rsidP="007819B2">
      <w:pPr>
        <w:pStyle w:val="ListParagraph"/>
        <w:numPr>
          <w:ilvl w:val="2"/>
          <w:numId w:val="10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 w:rsidRPr="00E51FD3">
        <w:rPr>
          <w:rFonts w:ascii="Calibri" w:hAnsi="Calibri" w:cs="Calibri"/>
        </w:rPr>
        <w:t>promotion and dissemination</w:t>
      </w:r>
      <w:r w:rsidRPr="00B901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</w:t>
      </w:r>
      <w:r w:rsidRPr="00E51FD3">
        <w:rPr>
          <w:rFonts w:ascii="Calibri" w:hAnsi="Calibri" w:cs="Calibri"/>
        </w:rPr>
        <w:t>STRP products.</w:t>
      </w:r>
    </w:p>
    <w:p w14:paraId="48255363" w14:textId="77777777" w:rsidR="007819B2" w:rsidRDefault="007819B2" w:rsidP="000A2BFA">
      <w:pPr>
        <w:spacing w:after="0" w:line="240" w:lineRule="auto"/>
        <w:ind w:left="426" w:hanging="426"/>
        <w:rPr>
          <w:rFonts w:ascii="Calibri" w:hAnsi="Calibri" w:cs="Calibri"/>
        </w:rPr>
      </w:pPr>
    </w:p>
    <w:p w14:paraId="14BA5009" w14:textId="471BAE76" w:rsidR="00343374" w:rsidRPr="00E51FD3" w:rsidRDefault="002C0F29" w:rsidP="000A2BFA">
      <w:p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23414E">
        <w:rPr>
          <w:rFonts w:ascii="Calibri" w:hAnsi="Calibri" w:cs="Calibri"/>
        </w:rPr>
        <w:t>.</w:t>
      </w:r>
      <w:r w:rsidR="0023414E">
        <w:rPr>
          <w:rFonts w:ascii="Calibri" w:hAnsi="Calibri" w:cs="Calibri"/>
        </w:rPr>
        <w:tab/>
      </w:r>
      <w:r w:rsidR="005E14F5" w:rsidRPr="00E51FD3">
        <w:rPr>
          <w:rFonts w:ascii="Calibri" w:hAnsi="Calibri" w:cs="Calibri"/>
        </w:rPr>
        <w:t xml:space="preserve">Contracting Parties have </w:t>
      </w:r>
      <w:r w:rsidR="007819B2" w:rsidRPr="00E51FD3">
        <w:rPr>
          <w:rFonts w:ascii="Calibri" w:hAnsi="Calibri" w:cs="Calibri"/>
        </w:rPr>
        <w:t xml:space="preserve">also </w:t>
      </w:r>
      <w:r w:rsidR="005E14F5" w:rsidRPr="00E51FD3">
        <w:rPr>
          <w:rFonts w:ascii="Calibri" w:hAnsi="Calibri" w:cs="Calibri"/>
        </w:rPr>
        <w:t xml:space="preserve">expressed </w:t>
      </w:r>
      <w:r w:rsidR="00321CFE" w:rsidRPr="00E51FD3">
        <w:rPr>
          <w:rFonts w:ascii="Calibri" w:hAnsi="Calibri" w:cs="Calibri"/>
        </w:rPr>
        <w:t xml:space="preserve">a need to </w:t>
      </w:r>
      <w:r w:rsidR="00FE2DD9" w:rsidRPr="00E51FD3">
        <w:rPr>
          <w:rFonts w:ascii="Calibri" w:hAnsi="Calibri" w:cs="Calibri"/>
        </w:rPr>
        <w:t xml:space="preserve">strengthen the capacity of the Secretariat </w:t>
      </w:r>
      <w:r w:rsidR="00FE2DD9" w:rsidRPr="004470C7">
        <w:rPr>
          <w:rFonts w:ascii="Calibri" w:hAnsi="Calibri" w:cs="Calibri"/>
        </w:rPr>
        <w:t xml:space="preserve">to support </w:t>
      </w:r>
      <w:r w:rsidR="005E5DD8" w:rsidRPr="004470C7">
        <w:rPr>
          <w:rFonts w:ascii="Calibri" w:hAnsi="Calibri" w:cs="Calibri"/>
        </w:rPr>
        <w:t>them</w:t>
      </w:r>
      <w:r w:rsidR="00FE2DD9" w:rsidRPr="00E51FD3">
        <w:rPr>
          <w:rFonts w:ascii="Calibri" w:hAnsi="Calibri" w:cs="Calibri"/>
        </w:rPr>
        <w:t xml:space="preserve"> </w:t>
      </w:r>
      <w:r w:rsidR="002F5C9D" w:rsidRPr="00E51FD3">
        <w:rPr>
          <w:rFonts w:ascii="Calibri" w:hAnsi="Calibri" w:cs="Calibri"/>
        </w:rPr>
        <w:t xml:space="preserve">in </w:t>
      </w:r>
      <w:r w:rsidR="009C676D">
        <w:rPr>
          <w:rFonts w:ascii="Calibri" w:hAnsi="Calibri" w:cs="Calibri"/>
        </w:rPr>
        <w:t>the completion</w:t>
      </w:r>
      <w:r w:rsidR="002F5C9D" w:rsidRPr="00E51FD3">
        <w:rPr>
          <w:rFonts w:ascii="Calibri" w:hAnsi="Calibri" w:cs="Calibri"/>
        </w:rPr>
        <w:t xml:space="preserve"> </w:t>
      </w:r>
      <w:r w:rsidR="009C676D">
        <w:rPr>
          <w:rFonts w:ascii="Calibri" w:hAnsi="Calibri" w:cs="Calibri"/>
        </w:rPr>
        <w:t xml:space="preserve">of </w:t>
      </w:r>
      <w:r w:rsidR="002F5C9D" w:rsidRPr="00E51FD3">
        <w:rPr>
          <w:rFonts w:ascii="Calibri" w:hAnsi="Calibri" w:cs="Calibri"/>
        </w:rPr>
        <w:t>National Reports</w:t>
      </w:r>
      <w:r w:rsidR="00AE6828" w:rsidRPr="00E51FD3">
        <w:rPr>
          <w:rFonts w:ascii="Calibri" w:hAnsi="Calibri" w:cs="Calibri"/>
        </w:rPr>
        <w:t xml:space="preserve"> (NR)</w:t>
      </w:r>
      <w:r w:rsidR="002F5C9D" w:rsidRPr="00E51FD3">
        <w:rPr>
          <w:rFonts w:ascii="Calibri" w:hAnsi="Calibri" w:cs="Calibri"/>
        </w:rPr>
        <w:t xml:space="preserve">, Ramsar Information </w:t>
      </w:r>
      <w:r w:rsidR="00634CCA" w:rsidRPr="00E51FD3">
        <w:rPr>
          <w:rFonts w:ascii="Calibri" w:hAnsi="Calibri" w:cs="Calibri"/>
        </w:rPr>
        <w:t>S</w:t>
      </w:r>
      <w:r w:rsidR="002F5C9D" w:rsidRPr="00E51FD3">
        <w:rPr>
          <w:rFonts w:ascii="Calibri" w:hAnsi="Calibri" w:cs="Calibri"/>
        </w:rPr>
        <w:t>heet</w:t>
      </w:r>
      <w:r w:rsidR="00634CCA" w:rsidRPr="00E51FD3">
        <w:rPr>
          <w:rFonts w:ascii="Calibri" w:hAnsi="Calibri" w:cs="Calibri"/>
        </w:rPr>
        <w:t xml:space="preserve"> </w:t>
      </w:r>
      <w:r w:rsidR="007C3A9E" w:rsidRPr="00E51FD3">
        <w:rPr>
          <w:rFonts w:ascii="Calibri" w:hAnsi="Calibri" w:cs="Calibri"/>
        </w:rPr>
        <w:t xml:space="preserve">(RIS) </w:t>
      </w:r>
      <w:r w:rsidR="00634CCA" w:rsidRPr="00E51FD3">
        <w:rPr>
          <w:rFonts w:ascii="Calibri" w:hAnsi="Calibri" w:cs="Calibri"/>
        </w:rPr>
        <w:t>updates</w:t>
      </w:r>
      <w:r w:rsidR="00B90198">
        <w:rPr>
          <w:rFonts w:ascii="Calibri" w:hAnsi="Calibri" w:cs="Calibri"/>
        </w:rPr>
        <w:t>,</w:t>
      </w:r>
      <w:r w:rsidR="00AD6D82" w:rsidRPr="00E51FD3">
        <w:rPr>
          <w:rFonts w:ascii="Calibri" w:hAnsi="Calibri" w:cs="Calibri"/>
        </w:rPr>
        <w:t xml:space="preserve"> </w:t>
      </w:r>
      <w:r w:rsidR="00857623" w:rsidRPr="00E51FD3">
        <w:rPr>
          <w:rFonts w:ascii="Calibri" w:hAnsi="Calibri" w:cs="Calibri"/>
        </w:rPr>
        <w:t xml:space="preserve">and </w:t>
      </w:r>
      <w:r w:rsidR="009C676D">
        <w:rPr>
          <w:rFonts w:ascii="Calibri" w:hAnsi="Calibri" w:cs="Calibri"/>
        </w:rPr>
        <w:t xml:space="preserve">in </w:t>
      </w:r>
      <w:r w:rsidR="00857623" w:rsidRPr="00E51FD3">
        <w:rPr>
          <w:rFonts w:ascii="Calibri" w:hAnsi="Calibri" w:cs="Calibri"/>
        </w:rPr>
        <w:t xml:space="preserve">the </w:t>
      </w:r>
      <w:r w:rsidR="009C676D">
        <w:rPr>
          <w:rFonts w:ascii="Calibri" w:hAnsi="Calibri" w:cs="Calibri"/>
        </w:rPr>
        <w:t xml:space="preserve">use </w:t>
      </w:r>
      <w:r w:rsidR="00857623" w:rsidRPr="00E51FD3">
        <w:rPr>
          <w:rFonts w:ascii="Calibri" w:hAnsi="Calibri" w:cs="Calibri"/>
        </w:rPr>
        <w:t xml:space="preserve">of </w:t>
      </w:r>
      <w:r w:rsidR="001B7ADE">
        <w:rPr>
          <w:rFonts w:ascii="Calibri" w:hAnsi="Calibri" w:cs="Calibri"/>
        </w:rPr>
        <w:t xml:space="preserve">such </w:t>
      </w:r>
      <w:r w:rsidR="00857623" w:rsidRPr="00E51FD3">
        <w:rPr>
          <w:rFonts w:ascii="Calibri" w:hAnsi="Calibri" w:cs="Calibri"/>
        </w:rPr>
        <w:t>data</w:t>
      </w:r>
      <w:r w:rsidR="009C676D" w:rsidRPr="009C676D">
        <w:rPr>
          <w:rFonts w:ascii="Calibri" w:eastAsia="Calibri" w:hAnsi="Calibri" w:cs="Calibri"/>
          <w:bCs/>
        </w:rPr>
        <w:t xml:space="preserve"> </w:t>
      </w:r>
      <w:r w:rsidR="009C676D" w:rsidRPr="00E02AA0">
        <w:rPr>
          <w:rFonts w:ascii="Calibri" w:eastAsia="Calibri" w:hAnsi="Calibri" w:cs="Calibri"/>
          <w:bCs/>
        </w:rPr>
        <w:t>to enhance implementation of the Convention</w:t>
      </w:r>
      <w:r w:rsidR="00857623" w:rsidRPr="00E51FD3">
        <w:rPr>
          <w:rFonts w:ascii="Calibri" w:hAnsi="Calibri" w:cs="Calibri"/>
        </w:rPr>
        <w:t xml:space="preserve">. To meet this need the Secretariat proposes a new </w:t>
      </w:r>
      <w:r w:rsidR="00343374" w:rsidRPr="00E51FD3">
        <w:rPr>
          <w:rFonts w:ascii="Calibri" w:hAnsi="Calibri" w:cs="Calibri"/>
        </w:rPr>
        <w:t>Data Analyst / Reporting Officer position that will</w:t>
      </w:r>
      <w:r w:rsidR="00A66A06" w:rsidRPr="00E51FD3">
        <w:rPr>
          <w:rFonts w:ascii="Calibri" w:hAnsi="Calibri" w:cs="Calibri"/>
        </w:rPr>
        <w:t>:</w:t>
      </w:r>
      <w:r w:rsidR="00343374" w:rsidRPr="00E51FD3">
        <w:rPr>
          <w:rFonts w:ascii="Calibri" w:hAnsi="Calibri" w:cs="Calibri"/>
        </w:rPr>
        <w:t xml:space="preserve"> </w:t>
      </w:r>
    </w:p>
    <w:p w14:paraId="6D64F21B" w14:textId="06FF23EC" w:rsidR="00343374" w:rsidRPr="00E51FD3" w:rsidRDefault="00343374" w:rsidP="000A2BFA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4A8E560" w14:textId="52D0BB46" w:rsidR="00343374" w:rsidRPr="00E51FD3" w:rsidRDefault="00B90198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E51FD3">
        <w:rPr>
          <w:rFonts w:ascii="Calibri" w:hAnsi="Calibri" w:cs="Calibri"/>
        </w:rPr>
        <w:t xml:space="preserve">rovide </w:t>
      </w:r>
      <w:r w:rsidR="004F75ED" w:rsidRPr="00E51FD3">
        <w:rPr>
          <w:rFonts w:ascii="Calibri" w:hAnsi="Calibri" w:cs="Calibri"/>
        </w:rPr>
        <w:t>e</w:t>
      </w:r>
      <w:r w:rsidR="00343374" w:rsidRPr="00E51FD3">
        <w:rPr>
          <w:rFonts w:ascii="Calibri" w:hAnsi="Calibri" w:cs="Calibri"/>
        </w:rPr>
        <w:t>nhanced support to Contracting Parties in relation to reporting (</w:t>
      </w:r>
      <w:r w:rsidR="009F4FAD" w:rsidRPr="00E51FD3">
        <w:rPr>
          <w:rFonts w:ascii="Calibri" w:hAnsi="Calibri" w:cs="Calibri"/>
        </w:rPr>
        <w:t>NR and RIS</w:t>
      </w:r>
      <w:r w:rsidR="00343374" w:rsidRPr="00E51FD3">
        <w:rPr>
          <w:rFonts w:ascii="Calibri" w:hAnsi="Calibri" w:cs="Calibri"/>
        </w:rPr>
        <w:t xml:space="preserve"> updates) through training and guidance</w:t>
      </w:r>
      <w:r w:rsidR="00D51E78" w:rsidRPr="00E51FD3">
        <w:rPr>
          <w:rFonts w:ascii="Calibri" w:hAnsi="Calibri" w:cs="Calibri"/>
        </w:rPr>
        <w:t>;</w:t>
      </w:r>
    </w:p>
    <w:p w14:paraId="6E747F8B" w14:textId="0E67D700" w:rsidR="00343374" w:rsidRPr="00E51FD3" w:rsidRDefault="00B90198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E51FD3">
        <w:rPr>
          <w:rFonts w:ascii="Calibri" w:hAnsi="Calibri" w:cs="Calibri"/>
        </w:rPr>
        <w:t xml:space="preserve">revent </w:t>
      </w:r>
      <w:r w:rsidR="00343374" w:rsidRPr="00E51FD3">
        <w:rPr>
          <w:rFonts w:ascii="Calibri" w:hAnsi="Calibri" w:cs="Calibri"/>
        </w:rPr>
        <w:t>build</w:t>
      </w:r>
      <w:r>
        <w:rPr>
          <w:rFonts w:ascii="Calibri" w:hAnsi="Calibri" w:cs="Calibri"/>
        </w:rPr>
        <w:t>-</w:t>
      </w:r>
      <w:r w:rsidR="00343374" w:rsidRPr="00E51FD3">
        <w:rPr>
          <w:rFonts w:ascii="Calibri" w:hAnsi="Calibri" w:cs="Calibri"/>
        </w:rPr>
        <w:t>up of a backlog of RIS under Secretariat review</w:t>
      </w:r>
      <w:r w:rsidR="00D51E78" w:rsidRPr="00E51FD3">
        <w:rPr>
          <w:rFonts w:ascii="Calibri" w:hAnsi="Calibri" w:cs="Calibri"/>
        </w:rPr>
        <w:t>;</w:t>
      </w:r>
    </w:p>
    <w:p w14:paraId="064DF860" w14:textId="40AFD645" w:rsidR="00343374" w:rsidRPr="00E51FD3" w:rsidRDefault="00B90198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E51FD3">
        <w:rPr>
          <w:rFonts w:ascii="Calibri" w:hAnsi="Calibri" w:cs="Calibri"/>
        </w:rPr>
        <w:t xml:space="preserve">trengthen </w:t>
      </w:r>
      <w:r w:rsidR="00343374" w:rsidRPr="00E51FD3">
        <w:rPr>
          <w:rFonts w:ascii="Calibri" w:hAnsi="Calibri" w:cs="Calibri"/>
        </w:rPr>
        <w:t>reporting on progress in implementation of the Convention based on N</w:t>
      </w:r>
      <w:r w:rsidR="00D51E78" w:rsidRPr="00E51FD3">
        <w:rPr>
          <w:rFonts w:ascii="Calibri" w:hAnsi="Calibri" w:cs="Calibri"/>
        </w:rPr>
        <w:t>R</w:t>
      </w:r>
      <w:r w:rsidR="00343374" w:rsidRPr="00E51FD3">
        <w:rPr>
          <w:rFonts w:ascii="Calibri" w:hAnsi="Calibri" w:cs="Calibri"/>
        </w:rPr>
        <w:t xml:space="preserve"> and R</w:t>
      </w:r>
      <w:r w:rsidR="00D51E78" w:rsidRPr="00E51FD3">
        <w:rPr>
          <w:rFonts w:ascii="Calibri" w:hAnsi="Calibri" w:cs="Calibri"/>
        </w:rPr>
        <w:t>IS</w:t>
      </w:r>
      <w:r w:rsidR="00343374" w:rsidRPr="00E51FD3">
        <w:rPr>
          <w:rFonts w:ascii="Calibri" w:hAnsi="Calibri" w:cs="Calibri"/>
        </w:rPr>
        <w:t xml:space="preserve"> updates</w:t>
      </w:r>
      <w:r w:rsidR="000141B3" w:rsidRPr="00E51FD3">
        <w:rPr>
          <w:rFonts w:ascii="Calibri" w:hAnsi="Calibri" w:cs="Calibri"/>
        </w:rPr>
        <w:t>;</w:t>
      </w:r>
    </w:p>
    <w:p w14:paraId="783E3E88" w14:textId="307A2912" w:rsidR="00343374" w:rsidRPr="00E51FD3" w:rsidRDefault="00B90198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</w:t>
      </w:r>
      <w:r w:rsidRPr="00E51FD3">
        <w:rPr>
          <w:rFonts w:ascii="Calibri" w:hAnsi="Calibri" w:cs="Calibri"/>
        </w:rPr>
        <w:t xml:space="preserve">nhance </w:t>
      </w:r>
      <w:r>
        <w:rPr>
          <w:rFonts w:ascii="Calibri" w:hAnsi="Calibri" w:cs="Calibri"/>
        </w:rPr>
        <w:t xml:space="preserve">the </w:t>
      </w:r>
      <w:r w:rsidR="00343374" w:rsidRPr="00E51FD3">
        <w:rPr>
          <w:rFonts w:ascii="Calibri" w:hAnsi="Calibri" w:cs="Calibri"/>
        </w:rPr>
        <w:t xml:space="preserve">utility of </w:t>
      </w:r>
      <w:r w:rsidR="00D51E78" w:rsidRPr="00E51FD3">
        <w:rPr>
          <w:rFonts w:ascii="Calibri" w:hAnsi="Calibri" w:cs="Calibri"/>
        </w:rPr>
        <w:t>NR</w:t>
      </w:r>
      <w:r w:rsidR="00343374" w:rsidRPr="00E51FD3">
        <w:rPr>
          <w:rFonts w:ascii="Calibri" w:hAnsi="Calibri" w:cs="Calibri"/>
        </w:rPr>
        <w:t xml:space="preserve"> and R</w:t>
      </w:r>
      <w:r w:rsidR="00D51E78" w:rsidRPr="00E51FD3">
        <w:rPr>
          <w:rFonts w:ascii="Calibri" w:hAnsi="Calibri" w:cs="Calibri"/>
        </w:rPr>
        <w:t>IS</w:t>
      </w:r>
      <w:r w:rsidR="00343374" w:rsidRPr="00E51FD3">
        <w:rPr>
          <w:rFonts w:ascii="Calibri" w:hAnsi="Calibri" w:cs="Calibri"/>
        </w:rPr>
        <w:t xml:space="preserve"> updates for other applications including work undertaken by </w:t>
      </w:r>
      <w:r w:rsidR="6F785491" w:rsidRPr="00E51FD3">
        <w:rPr>
          <w:rFonts w:ascii="Calibri" w:hAnsi="Calibri" w:cs="Calibri"/>
        </w:rPr>
        <w:t>the</w:t>
      </w:r>
      <w:r w:rsidR="00343374" w:rsidRPr="00E51FD3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cientific and </w:t>
      </w:r>
      <w:r w:rsidR="00343374" w:rsidRPr="00E51FD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echnical </w:t>
      </w:r>
      <w:r w:rsidR="00343374" w:rsidRPr="00E51FD3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eview </w:t>
      </w:r>
      <w:r w:rsidR="00343374" w:rsidRPr="00E51FD3">
        <w:rPr>
          <w:rFonts w:ascii="Calibri" w:hAnsi="Calibri" w:cs="Calibri"/>
        </w:rPr>
        <w:t>P</w:t>
      </w:r>
      <w:r>
        <w:rPr>
          <w:rFonts w:ascii="Calibri" w:hAnsi="Calibri" w:cs="Calibri"/>
        </w:rPr>
        <w:t>anel</w:t>
      </w:r>
      <w:r w:rsidR="000141B3" w:rsidRPr="00E51FD3">
        <w:rPr>
          <w:rFonts w:ascii="Calibri" w:hAnsi="Calibri" w:cs="Calibri"/>
        </w:rPr>
        <w:t>;</w:t>
      </w:r>
      <w:r w:rsidR="00343374" w:rsidRPr="00E51FD3">
        <w:rPr>
          <w:rFonts w:ascii="Calibri" w:hAnsi="Calibri" w:cs="Calibri"/>
        </w:rPr>
        <w:t> </w:t>
      </w:r>
    </w:p>
    <w:p w14:paraId="4D4FC597" w14:textId="1C97A7B1" w:rsidR="00FF1100" w:rsidRPr="00E51FD3" w:rsidRDefault="00B90198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E51FD3">
        <w:rPr>
          <w:rFonts w:ascii="Calibri" w:hAnsi="Calibri" w:cs="Calibri"/>
        </w:rPr>
        <w:t>trengthe</w:t>
      </w:r>
      <w:r>
        <w:rPr>
          <w:rFonts w:ascii="Calibri" w:hAnsi="Calibri" w:cs="Calibri"/>
        </w:rPr>
        <w:t>n</w:t>
      </w:r>
      <w:r w:rsidRPr="00E51FD3">
        <w:rPr>
          <w:rFonts w:ascii="Calibri" w:hAnsi="Calibri" w:cs="Calibri"/>
        </w:rPr>
        <w:t xml:space="preserve"> </w:t>
      </w:r>
      <w:r w:rsidR="00FF1100" w:rsidRPr="00E51FD3">
        <w:rPr>
          <w:rFonts w:ascii="Calibri" w:hAnsi="Calibri" w:cs="Calibri"/>
        </w:rPr>
        <w:t xml:space="preserve">support to Contracting Parties in relation to </w:t>
      </w:r>
      <w:r>
        <w:rPr>
          <w:rFonts w:ascii="Calibri" w:hAnsi="Calibri" w:cs="Calibri"/>
        </w:rPr>
        <w:t>n</w:t>
      </w:r>
      <w:r w:rsidRPr="00E51FD3">
        <w:rPr>
          <w:rFonts w:ascii="Calibri" w:hAnsi="Calibri" w:cs="Calibri"/>
        </w:rPr>
        <w:t xml:space="preserve">ational </w:t>
      </w:r>
      <w:r>
        <w:rPr>
          <w:rFonts w:ascii="Calibri" w:hAnsi="Calibri" w:cs="Calibri"/>
        </w:rPr>
        <w:t>w</w:t>
      </w:r>
      <w:r w:rsidRPr="00E51FD3">
        <w:rPr>
          <w:rFonts w:ascii="Calibri" w:hAnsi="Calibri" w:cs="Calibri"/>
        </w:rPr>
        <w:t xml:space="preserve">etland </w:t>
      </w:r>
      <w:r>
        <w:rPr>
          <w:rFonts w:ascii="Calibri" w:hAnsi="Calibri" w:cs="Calibri"/>
        </w:rPr>
        <w:t>i</w:t>
      </w:r>
      <w:r w:rsidRPr="00E51FD3">
        <w:rPr>
          <w:rFonts w:ascii="Calibri" w:hAnsi="Calibri" w:cs="Calibri"/>
        </w:rPr>
        <w:t>nventor</w:t>
      </w:r>
      <w:r>
        <w:rPr>
          <w:rFonts w:ascii="Calibri" w:hAnsi="Calibri" w:cs="Calibri"/>
        </w:rPr>
        <w:t>ies</w:t>
      </w:r>
      <w:r w:rsidRPr="00E51FD3">
        <w:rPr>
          <w:rFonts w:ascii="Calibri" w:hAnsi="Calibri" w:cs="Calibri"/>
        </w:rPr>
        <w:t xml:space="preserve"> </w:t>
      </w:r>
      <w:r w:rsidR="00FF1100" w:rsidRPr="00E51FD3">
        <w:rPr>
          <w:rFonts w:ascii="Calibri" w:hAnsi="Calibri" w:cs="Calibri"/>
        </w:rPr>
        <w:t>and reporting on S</w:t>
      </w:r>
      <w:r>
        <w:rPr>
          <w:rFonts w:ascii="Calibri" w:hAnsi="Calibri" w:cs="Calibri"/>
        </w:rPr>
        <w:t xml:space="preserve">ustainable </w:t>
      </w:r>
      <w:r w:rsidR="00FF1100" w:rsidRPr="00E51FD3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evelopment </w:t>
      </w:r>
      <w:r w:rsidR="00FF1100" w:rsidRPr="00E51FD3">
        <w:rPr>
          <w:rFonts w:ascii="Calibri" w:hAnsi="Calibri" w:cs="Calibri"/>
        </w:rPr>
        <w:t>G</w:t>
      </w:r>
      <w:r>
        <w:rPr>
          <w:rFonts w:ascii="Calibri" w:hAnsi="Calibri" w:cs="Calibri"/>
        </w:rPr>
        <w:t>oal</w:t>
      </w:r>
      <w:r w:rsidR="00FF1100" w:rsidRPr="00E51F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FF1100" w:rsidRPr="00E51FD3">
        <w:rPr>
          <w:rFonts w:ascii="Calibri" w:hAnsi="Calibri" w:cs="Calibri"/>
        </w:rPr>
        <w:t>ndicator 6.6.1</w:t>
      </w:r>
      <w:r>
        <w:rPr>
          <w:rFonts w:ascii="Calibri" w:hAnsi="Calibri" w:cs="Calibri"/>
        </w:rPr>
        <w:t>; and</w:t>
      </w:r>
    </w:p>
    <w:p w14:paraId="7FFE9E81" w14:textId="4F2621FB" w:rsidR="6BB13223" w:rsidRPr="00E51FD3" w:rsidRDefault="00B90198" w:rsidP="000A2BFA">
      <w:pPr>
        <w:pStyle w:val="ListParagraph"/>
        <w:numPr>
          <w:ilvl w:val="1"/>
          <w:numId w:val="8"/>
        </w:numPr>
        <w:spacing w:after="0"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3F038691" w:rsidRPr="00E51FD3">
        <w:rPr>
          <w:rFonts w:ascii="Calibri" w:hAnsi="Calibri" w:cs="Calibri"/>
        </w:rPr>
        <w:t xml:space="preserve">nhance process efficiency to enable the Secretariat to draw on available data for servicing </w:t>
      </w:r>
      <w:r w:rsidR="41223F36" w:rsidRPr="00E51FD3">
        <w:rPr>
          <w:rFonts w:ascii="Calibri" w:hAnsi="Calibri" w:cs="Calibri"/>
        </w:rPr>
        <w:t>subsidiary bodies and working groups and preparing documentation.</w:t>
      </w:r>
    </w:p>
    <w:p w14:paraId="3C5EC186" w14:textId="77777777" w:rsidR="00473CE3" w:rsidRDefault="00473CE3" w:rsidP="00473CE3">
      <w:pPr>
        <w:pStyle w:val="ListParagraph"/>
        <w:spacing w:after="0" w:line="240" w:lineRule="auto"/>
        <w:ind w:left="0"/>
        <w:rPr>
          <w:rFonts w:ascii="Calibri" w:hAnsi="Calibri" w:cs="Calibri"/>
          <w:iCs/>
          <w:color w:val="000000" w:themeColor="text1"/>
          <w:lang w:val="en-US"/>
        </w:rPr>
      </w:pPr>
    </w:p>
    <w:p w14:paraId="07B82A7A" w14:textId="2C54D9E5" w:rsidR="00473CE3" w:rsidRPr="009C676D" w:rsidRDefault="00473CE3" w:rsidP="00473CE3">
      <w:pPr>
        <w:pStyle w:val="ListParagraph"/>
        <w:keepNext/>
        <w:spacing w:after="0" w:line="240" w:lineRule="auto"/>
        <w:ind w:left="0"/>
        <w:rPr>
          <w:rFonts w:ascii="Calibri" w:hAnsi="Calibri" w:cs="Calibri"/>
          <w:i/>
          <w:color w:val="000000" w:themeColor="text1"/>
          <w:lang w:val="en-US"/>
        </w:rPr>
      </w:pPr>
      <w:r w:rsidRPr="009C676D">
        <w:rPr>
          <w:rFonts w:ascii="Calibri" w:hAnsi="Calibri" w:cs="Calibri"/>
          <w:i/>
          <w:color w:val="000000" w:themeColor="text1"/>
          <w:lang w:val="en-US"/>
        </w:rPr>
        <w:t xml:space="preserve">Table 1: </w:t>
      </w:r>
      <w:r w:rsidR="00F312DE" w:rsidRPr="00F312DE">
        <w:rPr>
          <w:rFonts w:ascii="Calibri" w:hAnsi="Calibri" w:cs="Calibri"/>
          <w:i/>
          <w:color w:val="000000" w:themeColor="text1"/>
          <w:lang w:val="en-US"/>
        </w:rPr>
        <w:t>Summary of implications of 2026-2028 budget scenarios presented to COP15</w:t>
      </w: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1208"/>
        <w:gridCol w:w="1223"/>
        <w:gridCol w:w="1796"/>
        <w:gridCol w:w="1300"/>
        <w:gridCol w:w="1406"/>
        <w:gridCol w:w="1188"/>
        <w:gridCol w:w="1280"/>
      </w:tblGrid>
      <w:tr w:rsidR="00473CE3" w:rsidRPr="004F31B6" w14:paraId="271FD97C" w14:textId="77777777" w:rsidTr="003D5591">
        <w:tc>
          <w:tcPr>
            <w:tcW w:w="1208" w:type="dxa"/>
            <w:shd w:val="clear" w:color="auto" w:fill="DAE9F7" w:themeFill="text2" w:themeFillTint="1A"/>
            <w:vAlign w:val="center"/>
          </w:tcPr>
          <w:p w14:paraId="3F4244D7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Scenario</w:t>
            </w:r>
          </w:p>
        </w:tc>
        <w:tc>
          <w:tcPr>
            <w:tcW w:w="1223" w:type="dxa"/>
            <w:shd w:val="clear" w:color="auto" w:fill="DAE9F7" w:themeFill="text2" w:themeFillTint="1A"/>
            <w:vAlign w:val="center"/>
          </w:tcPr>
          <w:p w14:paraId="6C57C09F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N</w:t>
            </w: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ew staff positions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 xml:space="preserve"> compared to prior triennia</w:t>
            </w:r>
          </w:p>
        </w:tc>
        <w:tc>
          <w:tcPr>
            <w:tcW w:w="1796" w:type="dxa"/>
            <w:shd w:val="clear" w:color="auto" w:fill="DAE9F7" w:themeFill="text2" w:themeFillTint="1A"/>
            <w:vAlign w:val="center"/>
          </w:tcPr>
          <w:p w14:paraId="7D858FC4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Existing staff equity adjustments as per HR recommendation</w:t>
            </w:r>
          </w:p>
        </w:tc>
        <w:tc>
          <w:tcPr>
            <w:tcW w:w="1300" w:type="dxa"/>
            <w:shd w:val="clear" w:color="auto" w:fill="DAE9F7" w:themeFill="text2" w:themeFillTint="1A"/>
            <w:vAlign w:val="center"/>
          </w:tcPr>
          <w:p w14:paraId="07E943B9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Cost of labour adjustment</w:t>
            </w:r>
          </w:p>
        </w:tc>
        <w:tc>
          <w:tcPr>
            <w:tcW w:w="1406" w:type="dxa"/>
            <w:shd w:val="clear" w:color="auto" w:fill="DAE9F7" w:themeFill="text2" w:themeFillTint="1A"/>
            <w:vAlign w:val="center"/>
          </w:tcPr>
          <w:p w14:paraId="1AD7CAE1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Performance and promotion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 xml:space="preserve"> adjustment</w:t>
            </w: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s</w:t>
            </w:r>
          </w:p>
        </w:tc>
        <w:tc>
          <w:tcPr>
            <w:tcW w:w="1188" w:type="dxa"/>
            <w:shd w:val="clear" w:color="auto" w:fill="DAE9F7" w:themeFill="text2" w:themeFillTint="1A"/>
            <w:vAlign w:val="center"/>
          </w:tcPr>
          <w:p w14:paraId="638ED5D4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Capacity building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 xml:space="preserve"> for staff</w:t>
            </w:r>
          </w:p>
        </w:tc>
        <w:tc>
          <w:tcPr>
            <w:tcW w:w="1280" w:type="dxa"/>
            <w:shd w:val="clear" w:color="auto" w:fill="DAE9F7" w:themeFill="text2" w:themeFillTint="1A"/>
            <w:vAlign w:val="center"/>
          </w:tcPr>
          <w:p w14:paraId="79AE19C7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 xml:space="preserve">COP16 operational services 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lang w:val="en-US"/>
              </w:rPr>
              <w:t>(not hosting)</w:t>
            </w:r>
          </w:p>
        </w:tc>
      </w:tr>
      <w:tr w:rsidR="00473CE3" w:rsidRPr="004F31B6" w14:paraId="04B9A72E" w14:textId="77777777" w:rsidTr="003D5591">
        <w:tc>
          <w:tcPr>
            <w:tcW w:w="1208" w:type="dxa"/>
          </w:tcPr>
          <w:p w14:paraId="0BE73CFF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 xml:space="preserve">0% </w:t>
            </w:r>
          </w:p>
        </w:tc>
        <w:tc>
          <w:tcPr>
            <w:tcW w:w="1223" w:type="dxa"/>
          </w:tcPr>
          <w:p w14:paraId="411BB909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0</w:t>
            </w:r>
          </w:p>
        </w:tc>
        <w:tc>
          <w:tcPr>
            <w:tcW w:w="1796" w:type="dxa"/>
          </w:tcPr>
          <w:p w14:paraId="5F966329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Partial</w:t>
            </w:r>
          </w:p>
        </w:tc>
        <w:tc>
          <w:tcPr>
            <w:tcW w:w="1300" w:type="dxa"/>
          </w:tcPr>
          <w:p w14:paraId="27671462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  <w:tc>
          <w:tcPr>
            <w:tcW w:w="1406" w:type="dxa"/>
          </w:tcPr>
          <w:p w14:paraId="3885AA13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  <w:tc>
          <w:tcPr>
            <w:tcW w:w="1188" w:type="dxa"/>
          </w:tcPr>
          <w:p w14:paraId="7ADA76C3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  <w:tc>
          <w:tcPr>
            <w:tcW w:w="1280" w:type="dxa"/>
          </w:tcPr>
          <w:p w14:paraId="2A0B0B35" w14:textId="77777777" w:rsidR="00473CE3" w:rsidRPr="004F31B6" w:rsidRDefault="00473CE3" w:rsidP="003D5591">
            <w:pPr>
              <w:keepNext/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</w:tr>
      <w:tr w:rsidR="00473CE3" w:rsidRPr="004F31B6" w14:paraId="7AA4CFBA" w14:textId="77777777" w:rsidTr="003D5591">
        <w:tc>
          <w:tcPr>
            <w:tcW w:w="1208" w:type="dxa"/>
          </w:tcPr>
          <w:p w14:paraId="614F48A8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4.1%</w:t>
            </w:r>
          </w:p>
        </w:tc>
        <w:tc>
          <w:tcPr>
            <w:tcW w:w="1223" w:type="dxa"/>
          </w:tcPr>
          <w:p w14:paraId="39A330AB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1</w:t>
            </w:r>
          </w:p>
        </w:tc>
        <w:tc>
          <w:tcPr>
            <w:tcW w:w="1796" w:type="dxa"/>
          </w:tcPr>
          <w:p w14:paraId="448EEF94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Partial</w:t>
            </w:r>
          </w:p>
        </w:tc>
        <w:tc>
          <w:tcPr>
            <w:tcW w:w="1300" w:type="dxa"/>
          </w:tcPr>
          <w:p w14:paraId="3A89EA57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406" w:type="dxa"/>
          </w:tcPr>
          <w:p w14:paraId="57EFE2D2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188" w:type="dxa"/>
          </w:tcPr>
          <w:p w14:paraId="28DD7C9D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  <w:tc>
          <w:tcPr>
            <w:tcW w:w="1280" w:type="dxa"/>
          </w:tcPr>
          <w:p w14:paraId="54026335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</w:tr>
      <w:tr w:rsidR="00473CE3" w:rsidRPr="004F31B6" w14:paraId="55122376" w14:textId="77777777" w:rsidTr="003D5591">
        <w:tc>
          <w:tcPr>
            <w:tcW w:w="1208" w:type="dxa"/>
          </w:tcPr>
          <w:p w14:paraId="1FC20CDB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9.6%</w:t>
            </w:r>
          </w:p>
        </w:tc>
        <w:tc>
          <w:tcPr>
            <w:tcW w:w="1223" w:type="dxa"/>
          </w:tcPr>
          <w:p w14:paraId="7273F1D1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2</w:t>
            </w:r>
          </w:p>
        </w:tc>
        <w:tc>
          <w:tcPr>
            <w:tcW w:w="1796" w:type="dxa"/>
          </w:tcPr>
          <w:p w14:paraId="6510CAF8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Full</w:t>
            </w:r>
          </w:p>
        </w:tc>
        <w:tc>
          <w:tcPr>
            <w:tcW w:w="1300" w:type="dxa"/>
          </w:tcPr>
          <w:p w14:paraId="50478999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406" w:type="dxa"/>
          </w:tcPr>
          <w:p w14:paraId="637695EF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188" w:type="dxa"/>
          </w:tcPr>
          <w:p w14:paraId="5762EC7B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  <w:tc>
          <w:tcPr>
            <w:tcW w:w="1280" w:type="dxa"/>
          </w:tcPr>
          <w:p w14:paraId="091711CA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No</w:t>
            </w:r>
          </w:p>
        </w:tc>
      </w:tr>
      <w:tr w:rsidR="00473CE3" w:rsidRPr="004F31B6" w14:paraId="00485A21" w14:textId="77777777" w:rsidTr="003D5591">
        <w:tc>
          <w:tcPr>
            <w:tcW w:w="1208" w:type="dxa"/>
          </w:tcPr>
          <w:p w14:paraId="33E73EBC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11.3%</w:t>
            </w:r>
          </w:p>
        </w:tc>
        <w:tc>
          <w:tcPr>
            <w:tcW w:w="1223" w:type="dxa"/>
          </w:tcPr>
          <w:p w14:paraId="495E761B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2</w:t>
            </w:r>
          </w:p>
        </w:tc>
        <w:tc>
          <w:tcPr>
            <w:tcW w:w="1796" w:type="dxa"/>
          </w:tcPr>
          <w:p w14:paraId="47E5D269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Full</w:t>
            </w:r>
          </w:p>
        </w:tc>
        <w:tc>
          <w:tcPr>
            <w:tcW w:w="1300" w:type="dxa"/>
          </w:tcPr>
          <w:p w14:paraId="56C5CF80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406" w:type="dxa"/>
          </w:tcPr>
          <w:p w14:paraId="7DB634AB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188" w:type="dxa"/>
          </w:tcPr>
          <w:p w14:paraId="520F75C9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  <w:tc>
          <w:tcPr>
            <w:tcW w:w="1280" w:type="dxa"/>
          </w:tcPr>
          <w:p w14:paraId="36268EFD" w14:textId="77777777" w:rsidR="00473CE3" w:rsidRPr="004F31B6" w:rsidRDefault="00473CE3" w:rsidP="003D5591">
            <w:pPr>
              <w:ind w:left="0" w:firstLine="0"/>
              <w:contextualSpacing/>
              <w:jc w:val="center"/>
              <w:rPr>
                <w:rFonts w:ascii="Calibri" w:hAnsi="Calibri" w:cs="Calibri"/>
                <w:iCs/>
                <w:color w:val="000000" w:themeColor="text1"/>
                <w:lang w:val="en-US"/>
              </w:rPr>
            </w:pPr>
            <w:r w:rsidRPr="004F31B6">
              <w:rPr>
                <w:rFonts w:ascii="Calibri" w:hAnsi="Calibri" w:cs="Calibri"/>
                <w:iCs/>
                <w:color w:val="000000" w:themeColor="text1"/>
                <w:lang w:val="en-US"/>
              </w:rPr>
              <w:t>Yes</w:t>
            </w:r>
          </w:p>
        </w:tc>
      </w:tr>
    </w:tbl>
    <w:p w14:paraId="72B64BC6" w14:textId="77777777" w:rsidR="00473CE3" w:rsidRDefault="00473CE3" w:rsidP="00473CE3">
      <w:pPr>
        <w:spacing w:after="0" w:line="240" w:lineRule="auto"/>
        <w:rPr>
          <w:rFonts w:ascii="Calibri" w:hAnsi="Calibri" w:cs="Calibri"/>
          <w:b/>
          <w:bCs/>
        </w:rPr>
      </w:pPr>
    </w:p>
    <w:p w14:paraId="3C9ADC28" w14:textId="77777777" w:rsidR="002E51E1" w:rsidRDefault="002E51E1">
      <w:pPr>
        <w:rPr>
          <w:rFonts w:ascii="Calibri" w:hAnsi="Calibri" w:cs="Calibri"/>
        </w:rPr>
        <w:sectPr w:rsidR="002E51E1" w:rsidSect="00F726C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CA3576" w14:textId="147E5647" w:rsidR="00C85890" w:rsidRPr="00F86862" w:rsidRDefault="00A20805" w:rsidP="002E51E1">
      <w:pPr>
        <w:spacing w:after="0" w:line="240" w:lineRule="auto"/>
        <w:rPr>
          <w:rFonts w:ascii="Calibri" w:hAnsi="Calibri" w:cs="Calibri"/>
          <w:i/>
          <w:iCs/>
        </w:rPr>
      </w:pPr>
      <w:r w:rsidRPr="00F86862">
        <w:rPr>
          <w:rFonts w:ascii="Calibri" w:hAnsi="Calibri" w:cs="Calibri"/>
          <w:i/>
          <w:iCs/>
        </w:rPr>
        <w:lastRenderedPageBreak/>
        <w:t xml:space="preserve">Table 2: </w:t>
      </w:r>
      <w:r w:rsidR="005A2BC3" w:rsidRPr="00F86862">
        <w:rPr>
          <w:rFonts w:ascii="Calibri" w:hAnsi="Calibri" w:cs="Calibri"/>
          <w:i/>
          <w:iCs/>
        </w:rPr>
        <w:t xml:space="preserve">Overview of main implications of the </w:t>
      </w:r>
      <w:r w:rsidR="00D120F6" w:rsidRPr="00F86862">
        <w:rPr>
          <w:rFonts w:ascii="Calibri" w:hAnsi="Calibri" w:cs="Calibri"/>
          <w:i/>
          <w:iCs/>
        </w:rPr>
        <w:t>budget 2026-2028 scenarios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93"/>
        <w:gridCol w:w="3180"/>
        <w:gridCol w:w="3827"/>
        <w:gridCol w:w="2977"/>
        <w:gridCol w:w="2835"/>
      </w:tblGrid>
      <w:tr w:rsidR="00DF6A21" w:rsidRPr="009C676D" w14:paraId="485427C5" w14:textId="77777777" w:rsidTr="00043D1B">
        <w:trPr>
          <w:tblHeader/>
        </w:trPr>
        <w:tc>
          <w:tcPr>
            <w:tcW w:w="1493" w:type="dxa"/>
            <w:shd w:val="clear" w:color="auto" w:fill="DAE9F7" w:themeFill="text2" w:themeFillTint="1A"/>
            <w:vAlign w:val="center"/>
          </w:tcPr>
          <w:p w14:paraId="45AE9DFD" w14:textId="77777777" w:rsidR="00A90311" w:rsidRPr="000A2BFA" w:rsidRDefault="004E1AB1" w:rsidP="00043D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A2BFA">
              <w:rPr>
                <w:rFonts w:ascii="Calibri" w:hAnsi="Calibri" w:cs="Calibri"/>
                <w:b/>
                <w:bCs/>
              </w:rPr>
              <w:t>Description</w:t>
            </w:r>
          </w:p>
          <w:p w14:paraId="524CB676" w14:textId="4F780489" w:rsidR="004E1AB1" w:rsidRPr="000A2BFA" w:rsidRDefault="004E1AB1" w:rsidP="00043D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0" w:type="dxa"/>
            <w:shd w:val="clear" w:color="auto" w:fill="DAE9F7" w:themeFill="text2" w:themeFillTint="1A"/>
            <w:vAlign w:val="center"/>
          </w:tcPr>
          <w:p w14:paraId="6400B28B" w14:textId="78D3A9FE" w:rsidR="00A90311" w:rsidRPr="000A2BFA" w:rsidRDefault="00A90311" w:rsidP="00043D1B">
            <w:pPr>
              <w:ind w:left="0" w:firstLine="0"/>
              <w:jc w:val="center"/>
              <w:outlineLvl w:val="1"/>
              <w:rPr>
                <w:rFonts w:ascii="Calibri" w:hAnsi="Calibri" w:cs="Calibri"/>
                <w:b/>
                <w:bCs/>
              </w:rPr>
            </w:pPr>
            <w:r w:rsidRPr="000A2BFA">
              <w:rPr>
                <w:rFonts w:ascii="Calibri" w:hAnsi="Calibri" w:cs="Calibri"/>
                <w:b/>
                <w:bCs/>
              </w:rPr>
              <w:t>Scenario 0%</w:t>
            </w:r>
            <w:r w:rsidR="004E1AB1" w:rsidRPr="000A2BFA">
              <w:rPr>
                <w:rFonts w:ascii="Calibri" w:hAnsi="Calibri" w:cs="Calibri"/>
                <w:b/>
                <w:bCs/>
              </w:rPr>
              <w:t xml:space="preserve"> </w:t>
            </w:r>
            <w:r w:rsidR="004E1AB1" w:rsidRPr="000A2BFA">
              <w:rPr>
                <w:rFonts w:ascii="Calibri" w:eastAsia="Calibri" w:hAnsi="Calibri" w:cs="Calibri"/>
                <w:b/>
              </w:rPr>
              <w:t>nominal</w:t>
            </w:r>
            <w:r w:rsidR="004E1AB1" w:rsidRPr="000A2BFA">
              <w:rPr>
                <w:rFonts w:ascii="Calibri" w:hAnsi="Calibri" w:cs="Calibri"/>
                <w:b/>
              </w:rPr>
              <w:t xml:space="preserve"> increase</w:t>
            </w:r>
          </w:p>
        </w:tc>
        <w:tc>
          <w:tcPr>
            <w:tcW w:w="3827" w:type="dxa"/>
            <w:shd w:val="clear" w:color="auto" w:fill="DAE9F7" w:themeFill="text2" w:themeFillTint="1A"/>
            <w:vAlign w:val="center"/>
          </w:tcPr>
          <w:p w14:paraId="744C8FFE" w14:textId="77777777" w:rsidR="00A90311" w:rsidRPr="000A2BFA" w:rsidRDefault="00A90311" w:rsidP="00043D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A2BFA">
              <w:rPr>
                <w:rFonts w:ascii="Calibri" w:hAnsi="Calibri" w:cs="Calibri"/>
                <w:b/>
                <w:bCs/>
              </w:rPr>
              <w:t>Scenario 4.1%</w:t>
            </w:r>
          </w:p>
          <w:p w14:paraId="09CE6AFF" w14:textId="2F4412DA" w:rsidR="004E1AB1" w:rsidRPr="000A2BFA" w:rsidRDefault="004E1AB1" w:rsidP="00043D1B">
            <w:pPr>
              <w:ind w:left="0" w:firstLine="0"/>
              <w:jc w:val="center"/>
              <w:outlineLvl w:val="1"/>
              <w:rPr>
                <w:rFonts w:ascii="Calibri" w:hAnsi="Calibri" w:cs="Calibri"/>
                <w:b/>
              </w:rPr>
            </w:pPr>
            <w:r w:rsidRPr="000A2BFA">
              <w:rPr>
                <w:rFonts w:ascii="Calibri" w:eastAsia="Calibri" w:hAnsi="Calibri" w:cs="Calibri"/>
                <w:b/>
              </w:rPr>
              <w:t>nominal</w:t>
            </w:r>
            <w:r w:rsidRPr="000A2BFA">
              <w:rPr>
                <w:rFonts w:ascii="Calibri" w:hAnsi="Calibri" w:cs="Calibri"/>
                <w:b/>
              </w:rPr>
              <w:t xml:space="preserve"> increase</w:t>
            </w: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4EEB6CB6" w14:textId="6DE58486" w:rsidR="00A90311" w:rsidRPr="000A2BFA" w:rsidRDefault="00A90311" w:rsidP="00043D1B">
            <w:pPr>
              <w:ind w:left="0" w:firstLine="0"/>
              <w:jc w:val="center"/>
              <w:outlineLvl w:val="1"/>
              <w:rPr>
                <w:rFonts w:ascii="Calibri" w:hAnsi="Calibri" w:cs="Calibri"/>
                <w:b/>
                <w:bCs/>
              </w:rPr>
            </w:pPr>
            <w:r w:rsidRPr="000A2BFA">
              <w:rPr>
                <w:rFonts w:ascii="Calibri" w:hAnsi="Calibri" w:cs="Calibri"/>
                <w:b/>
                <w:bCs/>
              </w:rPr>
              <w:t>Scenario 9.6%</w:t>
            </w:r>
            <w:r w:rsidR="004E1AB1" w:rsidRPr="000A2BFA">
              <w:rPr>
                <w:rFonts w:ascii="Calibri" w:hAnsi="Calibri" w:cs="Calibri"/>
                <w:b/>
                <w:bCs/>
              </w:rPr>
              <w:t xml:space="preserve"> nominal </w:t>
            </w:r>
            <w:r w:rsidR="004E1AB1" w:rsidRPr="000A2BFA">
              <w:rPr>
                <w:rFonts w:ascii="Calibri" w:eastAsia="Calibri" w:hAnsi="Calibri" w:cs="Calibri"/>
                <w:b/>
              </w:rPr>
              <w:t>increase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38B6652C" w14:textId="62B1685D" w:rsidR="009A469F" w:rsidRPr="000A2BFA" w:rsidRDefault="00A90311" w:rsidP="00043D1B">
            <w:pPr>
              <w:ind w:left="0" w:firstLine="0"/>
              <w:jc w:val="center"/>
              <w:outlineLvl w:val="1"/>
              <w:rPr>
                <w:rFonts w:ascii="Calibri" w:hAnsi="Calibri" w:cs="Calibri"/>
                <w:b/>
                <w:bCs/>
              </w:rPr>
            </w:pPr>
            <w:r w:rsidRPr="000A2BFA">
              <w:rPr>
                <w:rFonts w:ascii="Calibri" w:hAnsi="Calibri" w:cs="Calibri"/>
                <w:b/>
                <w:bCs/>
              </w:rPr>
              <w:t>Scenario 11.3%</w:t>
            </w:r>
            <w:r w:rsidR="004E1AB1" w:rsidRPr="000A2BFA">
              <w:rPr>
                <w:rFonts w:ascii="Calibri" w:hAnsi="Calibri" w:cs="Calibri"/>
                <w:b/>
                <w:bCs/>
              </w:rPr>
              <w:t xml:space="preserve"> </w:t>
            </w:r>
            <w:r w:rsidR="004E1AB1" w:rsidRPr="000A2BFA">
              <w:rPr>
                <w:rFonts w:ascii="Calibri" w:eastAsia="Calibri" w:hAnsi="Calibri" w:cs="Calibri"/>
                <w:b/>
              </w:rPr>
              <w:t>nominal</w:t>
            </w:r>
            <w:r w:rsidR="004E1AB1" w:rsidRPr="000A2BFA">
              <w:rPr>
                <w:rFonts w:ascii="Calibri" w:hAnsi="Calibri" w:cs="Calibri"/>
                <w:b/>
              </w:rPr>
              <w:t xml:space="preserve"> increase</w:t>
            </w:r>
          </w:p>
        </w:tc>
      </w:tr>
      <w:tr w:rsidR="00DF6A21" w:rsidRPr="009C676D" w14:paraId="0F5148EB" w14:textId="77777777" w:rsidTr="00736ED7">
        <w:tc>
          <w:tcPr>
            <w:tcW w:w="1493" w:type="dxa"/>
          </w:tcPr>
          <w:p w14:paraId="5F8681C9" w14:textId="03F692A0" w:rsidR="00A90311" w:rsidRPr="009C676D" w:rsidRDefault="00DB012E" w:rsidP="000A2BFA">
            <w:pPr>
              <w:ind w:left="0" w:firstLine="0"/>
              <w:outlineLvl w:val="1"/>
              <w:rPr>
                <w:rFonts w:ascii="Calibri" w:eastAsia="Calibri" w:hAnsi="Calibri" w:cs="Calibri"/>
                <w:b/>
              </w:rPr>
            </w:pPr>
            <w:r w:rsidRPr="009C676D">
              <w:rPr>
                <w:rFonts w:ascii="Calibri" w:eastAsia="Calibri" w:hAnsi="Calibri" w:cs="Calibri"/>
                <w:b/>
              </w:rPr>
              <w:t>Advantages and Strong Points</w:t>
            </w:r>
          </w:p>
        </w:tc>
        <w:tc>
          <w:tcPr>
            <w:tcW w:w="3180" w:type="dxa"/>
          </w:tcPr>
          <w:p w14:paraId="462DF853" w14:textId="1AE1908A" w:rsidR="009D0248" w:rsidRPr="009C676D" w:rsidRDefault="00CB544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No increase in assessed contributions for </w:t>
            </w:r>
            <w:r w:rsidR="00424000" w:rsidRPr="009C676D">
              <w:rPr>
                <w:rFonts w:ascii="Calibri" w:eastAsia="Calibri" w:hAnsi="Calibri" w:cs="Calibri"/>
                <w:bCs/>
              </w:rPr>
              <w:t>C</w:t>
            </w:r>
            <w:r w:rsidRPr="009C676D">
              <w:rPr>
                <w:rFonts w:ascii="Calibri" w:eastAsia="Calibri" w:hAnsi="Calibri" w:cs="Calibri"/>
                <w:bCs/>
              </w:rPr>
              <w:t xml:space="preserve">ontracting </w:t>
            </w:r>
            <w:r w:rsidR="00424000" w:rsidRPr="009C676D">
              <w:rPr>
                <w:rFonts w:ascii="Calibri" w:eastAsia="Calibri" w:hAnsi="Calibri" w:cs="Calibri"/>
                <w:bCs/>
              </w:rPr>
              <w:t>P</w:t>
            </w:r>
            <w:r w:rsidRPr="009C676D">
              <w:rPr>
                <w:rFonts w:ascii="Calibri" w:eastAsia="Calibri" w:hAnsi="Calibri" w:cs="Calibri"/>
                <w:bCs/>
              </w:rPr>
              <w:t>arties</w:t>
            </w:r>
            <w:r w:rsidR="000A2BFA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3827" w:type="dxa"/>
          </w:tcPr>
          <w:p w14:paraId="1A119935" w14:textId="6108AEC9" w:rsidR="004404E8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One additional staff </w:t>
            </w:r>
            <w:r w:rsidR="000A2BFA">
              <w:rPr>
                <w:rFonts w:ascii="Calibri" w:eastAsia="Calibri" w:hAnsi="Calibri" w:cs="Calibri"/>
                <w:bCs/>
              </w:rPr>
              <w:t xml:space="preserve">member </w:t>
            </w:r>
            <w:r w:rsidRPr="009C676D">
              <w:rPr>
                <w:rFonts w:ascii="Calibri" w:eastAsia="Calibri" w:hAnsi="Calibri" w:cs="Calibri"/>
                <w:bCs/>
              </w:rPr>
              <w:t xml:space="preserve">to increase </w:t>
            </w:r>
            <w:r w:rsidR="00496E68" w:rsidRPr="009C676D">
              <w:rPr>
                <w:rFonts w:ascii="Calibri" w:eastAsia="Calibri" w:hAnsi="Calibri" w:cs="Calibri"/>
                <w:bCs/>
              </w:rPr>
              <w:t xml:space="preserve">Secretariat </w:t>
            </w:r>
            <w:r w:rsidRPr="009C676D">
              <w:rPr>
                <w:rFonts w:ascii="Calibri" w:eastAsia="Calibri" w:hAnsi="Calibri" w:cs="Calibri"/>
                <w:bCs/>
              </w:rPr>
              <w:t>capacity</w:t>
            </w:r>
            <w:r w:rsidR="001C3E44" w:rsidRPr="009C676D">
              <w:rPr>
                <w:rFonts w:ascii="Calibri" w:eastAsia="Calibri" w:hAnsi="Calibri" w:cs="Calibri"/>
                <w:bCs/>
              </w:rPr>
              <w:t xml:space="preserve"> to support Contracting Parties</w:t>
            </w:r>
            <w:r w:rsidR="00B9036B">
              <w:rPr>
                <w:rFonts w:ascii="Calibri" w:eastAsia="Calibri" w:hAnsi="Calibri" w:cs="Calibri"/>
                <w:bCs/>
              </w:rPr>
              <w:t>.</w:t>
            </w:r>
          </w:p>
          <w:p w14:paraId="27AF65C3" w14:textId="77777777" w:rsidR="004404E8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6C9C6F1A" w14:textId="40737CF6" w:rsidR="009D0248" w:rsidRPr="009C676D" w:rsidRDefault="009D024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Some staff </w:t>
            </w:r>
            <w:r w:rsidR="00424000" w:rsidRPr="009C676D">
              <w:rPr>
                <w:rFonts w:ascii="Calibri" w:eastAsia="Calibri" w:hAnsi="Calibri" w:cs="Calibri"/>
                <w:bCs/>
              </w:rPr>
              <w:t xml:space="preserve">compensation </w:t>
            </w:r>
            <w:r w:rsidRPr="009C676D">
              <w:rPr>
                <w:rFonts w:ascii="Calibri" w:eastAsia="Calibri" w:hAnsi="Calibri" w:cs="Calibri"/>
                <w:bCs/>
              </w:rPr>
              <w:t xml:space="preserve">equity adjustments possible </w:t>
            </w:r>
            <w:r w:rsidR="00424000" w:rsidRPr="009C676D">
              <w:rPr>
                <w:rFonts w:ascii="Calibri" w:eastAsia="Calibri" w:hAnsi="Calibri" w:cs="Calibri"/>
                <w:bCs/>
              </w:rPr>
              <w:t xml:space="preserve">which </w:t>
            </w:r>
            <w:r w:rsidRPr="009C676D">
              <w:rPr>
                <w:rFonts w:ascii="Calibri" w:eastAsia="Calibri" w:hAnsi="Calibri" w:cs="Calibri"/>
                <w:bCs/>
              </w:rPr>
              <w:t>may result in</w:t>
            </w:r>
            <w:r w:rsidR="00424000" w:rsidRPr="009C676D">
              <w:rPr>
                <w:rFonts w:ascii="Calibri" w:eastAsia="Calibri" w:hAnsi="Calibri" w:cs="Calibri"/>
                <w:bCs/>
              </w:rPr>
              <w:t xml:space="preserve"> enhancing staff retention</w:t>
            </w:r>
            <w:r w:rsidR="00B9036B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977" w:type="dxa"/>
          </w:tcPr>
          <w:p w14:paraId="127D83FE" w14:textId="397B0909" w:rsidR="004404E8" w:rsidRPr="009C676D" w:rsidRDefault="004E1AB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Secretariat equipped to meet increased demands by the Contracting Parties</w:t>
            </w:r>
            <w:r w:rsidR="00B9036B">
              <w:rPr>
                <w:rFonts w:ascii="Calibri" w:eastAsia="Calibri" w:hAnsi="Calibri" w:cs="Calibri"/>
                <w:bCs/>
              </w:rPr>
              <w:t>.</w:t>
            </w:r>
          </w:p>
          <w:p w14:paraId="02242ABB" w14:textId="77777777" w:rsidR="004404E8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3EB935AC" w14:textId="3F444034" w:rsidR="009A469F" w:rsidRPr="009C676D" w:rsidRDefault="009A469F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Staff compensation</w:t>
            </w:r>
            <w:r w:rsidR="009D0248" w:rsidRPr="009C676D">
              <w:rPr>
                <w:rFonts w:ascii="Calibri" w:eastAsia="Calibri" w:hAnsi="Calibri" w:cs="Calibri"/>
                <w:bCs/>
              </w:rPr>
              <w:t xml:space="preserve"> fully </w:t>
            </w:r>
            <w:r w:rsidRPr="009C676D">
              <w:rPr>
                <w:rFonts w:ascii="Calibri" w:eastAsia="Calibri" w:hAnsi="Calibri" w:cs="Calibri"/>
                <w:bCs/>
              </w:rPr>
              <w:t>in equity with the IUCN compensation framework</w:t>
            </w:r>
            <w:r w:rsidR="00B9036B">
              <w:rPr>
                <w:rFonts w:ascii="Calibri" w:eastAsia="Calibri" w:hAnsi="Calibri" w:cs="Calibri"/>
                <w:bCs/>
              </w:rPr>
              <w:t>.</w:t>
            </w:r>
          </w:p>
          <w:p w14:paraId="72C8BF22" w14:textId="77777777" w:rsidR="009D0248" w:rsidRPr="009C676D" w:rsidRDefault="009D024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485F2850" w14:textId="07074662" w:rsidR="009D0248" w:rsidRPr="009C676D" w:rsidRDefault="00F2558A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Enhanced ability to recruit and retain qualified staff</w:t>
            </w:r>
            <w:r w:rsidR="00B9036B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835" w:type="dxa"/>
          </w:tcPr>
          <w:p w14:paraId="5A2B7846" w14:textId="389E617A" w:rsidR="004E1AB1" w:rsidRPr="009C676D" w:rsidRDefault="004E1AB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Secretariat fully equipped to meet increased demands by the Contracting Parties</w:t>
            </w:r>
            <w:r w:rsidR="00B9036B">
              <w:rPr>
                <w:rFonts w:ascii="Calibri" w:eastAsia="Calibri" w:hAnsi="Calibri" w:cs="Calibri"/>
                <w:bCs/>
              </w:rPr>
              <w:t>.</w:t>
            </w:r>
          </w:p>
          <w:p w14:paraId="3CFCD2D7" w14:textId="77777777" w:rsidR="004E1AB1" w:rsidRPr="009C676D" w:rsidRDefault="004E1AB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6946FC24" w14:textId="58FD2729" w:rsidR="009D0248" w:rsidRPr="009C676D" w:rsidRDefault="009D024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Staff compensation fully in equity with the IUCN compensation framework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  <w:p w14:paraId="5C4D524D" w14:textId="77777777" w:rsidR="009D0248" w:rsidRPr="009C676D" w:rsidRDefault="009D024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342E7533" w14:textId="2CCC55FF" w:rsidR="00A90311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Available funds for staff capacity building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  <w:p w14:paraId="5D80DF37" w14:textId="77777777" w:rsidR="004404E8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059A6640" w14:textId="48E041CD" w:rsidR="00F83939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Available funds for hosting of COP</w:t>
            </w:r>
            <w:r w:rsidR="00424000" w:rsidRPr="009C676D">
              <w:rPr>
                <w:rFonts w:ascii="Calibri" w:eastAsia="Calibri" w:hAnsi="Calibri" w:cs="Calibri"/>
                <w:bCs/>
              </w:rPr>
              <w:t>,</w:t>
            </w:r>
            <w:r w:rsidR="004E1AB1" w:rsidRPr="009C676D">
              <w:rPr>
                <w:rFonts w:ascii="Calibri" w:eastAsia="Calibri" w:hAnsi="Calibri" w:cs="Calibri"/>
                <w:bCs/>
              </w:rPr>
              <w:t xml:space="preserve"> lifting the financial burden from the hosting country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</w:tc>
      </w:tr>
      <w:tr w:rsidR="00DF6A21" w:rsidRPr="009C676D" w14:paraId="216371D2" w14:textId="77777777" w:rsidTr="00736ED7">
        <w:tc>
          <w:tcPr>
            <w:tcW w:w="1493" w:type="dxa"/>
          </w:tcPr>
          <w:p w14:paraId="3C672488" w14:textId="26DB2D57" w:rsidR="00A90311" w:rsidRPr="009C676D" w:rsidRDefault="00DB012E" w:rsidP="000A2BFA">
            <w:pPr>
              <w:ind w:left="0" w:firstLine="0"/>
              <w:outlineLvl w:val="1"/>
              <w:rPr>
                <w:rFonts w:ascii="Calibri" w:eastAsia="Calibri" w:hAnsi="Calibri" w:cs="Calibri"/>
                <w:b/>
              </w:rPr>
            </w:pPr>
            <w:r w:rsidRPr="009C676D">
              <w:rPr>
                <w:rFonts w:ascii="Calibri" w:eastAsia="Calibri" w:hAnsi="Calibri" w:cs="Calibri"/>
                <w:b/>
              </w:rPr>
              <w:t>Limitations and Challenges</w:t>
            </w:r>
          </w:p>
        </w:tc>
        <w:tc>
          <w:tcPr>
            <w:tcW w:w="3180" w:type="dxa"/>
          </w:tcPr>
          <w:p w14:paraId="044B3216" w14:textId="7806D543" w:rsidR="00CB5443" w:rsidRPr="009C676D" w:rsidRDefault="00CB544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Any additional activities funded by voluntary contributions.</w:t>
            </w:r>
          </w:p>
          <w:p w14:paraId="657A8936" w14:textId="77777777" w:rsidR="00CB5443" w:rsidRPr="009C676D" w:rsidRDefault="00CB544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7903EE66" w14:textId="29D6E954" w:rsidR="00706E53" w:rsidRPr="009C676D" w:rsidRDefault="009A469F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Staff compensation not in equity with the IUCN compensation framework</w:t>
            </w:r>
            <w:r w:rsidR="000A2BFA">
              <w:rPr>
                <w:rFonts w:ascii="Calibri" w:eastAsia="Calibri" w:hAnsi="Calibri" w:cs="Calibri"/>
                <w:bCs/>
              </w:rPr>
              <w:t>.</w:t>
            </w:r>
          </w:p>
          <w:p w14:paraId="07F93601" w14:textId="77777777" w:rsidR="00CB5443" w:rsidRPr="009C676D" w:rsidRDefault="00CB544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5BF141FB" w14:textId="39305238" w:rsidR="00CB5443" w:rsidRPr="009C676D" w:rsidRDefault="00CB544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Risk of </w:t>
            </w:r>
            <w:r w:rsidR="000A2BFA">
              <w:rPr>
                <w:rFonts w:ascii="Calibri" w:eastAsia="Calibri" w:hAnsi="Calibri" w:cs="Calibri"/>
                <w:bCs/>
              </w:rPr>
              <w:t>staff</w:t>
            </w:r>
            <w:r w:rsidR="000A2BFA" w:rsidRPr="009C676D">
              <w:rPr>
                <w:rFonts w:ascii="Calibri" w:eastAsia="Calibri" w:hAnsi="Calibri" w:cs="Calibri"/>
                <w:bCs/>
              </w:rPr>
              <w:t xml:space="preserve"> </w:t>
            </w:r>
            <w:r w:rsidRPr="009C676D">
              <w:rPr>
                <w:rFonts w:ascii="Calibri" w:eastAsia="Calibri" w:hAnsi="Calibri" w:cs="Calibri"/>
                <w:bCs/>
              </w:rPr>
              <w:t>burnout if workload remains high resulting in potential decline in efficiency</w:t>
            </w:r>
            <w:r w:rsidR="000A2BFA">
              <w:rPr>
                <w:rFonts w:ascii="Calibri" w:eastAsia="Calibri" w:hAnsi="Calibri" w:cs="Calibri"/>
                <w:bCs/>
              </w:rPr>
              <w:t>.</w:t>
            </w:r>
            <w:r w:rsidRPr="009C676D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3827" w:type="dxa"/>
          </w:tcPr>
          <w:p w14:paraId="4666B46F" w14:textId="5C713420" w:rsidR="00A90311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Limited capacity for </w:t>
            </w:r>
            <w:r w:rsidR="00DF6A21" w:rsidRPr="009C676D">
              <w:rPr>
                <w:rFonts w:ascii="Calibri" w:eastAsia="Calibri" w:hAnsi="Calibri" w:cs="Calibri"/>
                <w:bCs/>
              </w:rPr>
              <w:t xml:space="preserve">staff </w:t>
            </w:r>
            <w:r w:rsidR="00B72306" w:rsidRPr="009C676D">
              <w:rPr>
                <w:rFonts w:ascii="Calibri" w:eastAsia="Calibri" w:hAnsi="Calibri" w:cs="Calibri"/>
                <w:bCs/>
              </w:rPr>
              <w:t>professional development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  <w:p w14:paraId="07A5F1A2" w14:textId="77777777" w:rsidR="004404E8" w:rsidRPr="009C676D" w:rsidRDefault="004404E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517D2C73" w14:textId="0AC68FC5" w:rsidR="009A469F" w:rsidRPr="009C676D" w:rsidRDefault="009A469F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Staff compensation not in equity with the IUCN compensation framework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977" w:type="dxa"/>
          </w:tcPr>
          <w:p w14:paraId="4A1F11B1" w14:textId="437C61A4" w:rsidR="009A469F" w:rsidRPr="009C676D" w:rsidRDefault="00F2558A" w:rsidP="000A2BFA">
            <w:pPr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n/a</w:t>
            </w:r>
          </w:p>
        </w:tc>
        <w:tc>
          <w:tcPr>
            <w:tcW w:w="2835" w:type="dxa"/>
          </w:tcPr>
          <w:p w14:paraId="24F68BF1" w14:textId="40538A87" w:rsidR="00A90311" w:rsidRPr="009C676D" w:rsidRDefault="00F2558A" w:rsidP="000A2BFA">
            <w:pPr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n/a</w:t>
            </w:r>
          </w:p>
        </w:tc>
      </w:tr>
      <w:tr w:rsidR="00DF6A21" w:rsidRPr="009C676D" w14:paraId="0B03787C" w14:textId="77777777" w:rsidTr="00736ED7">
        <w:tc>
          <w:tcPr>
            <w:tcW w:w="1493" w:type="dxa"/>
          </w:tcPr>
          <w:p w14:paraId="7F1253E3" w14:textId="63AC1864" w:rsidR="00A90311" w:rsidRPr="009C676D" w:rsidRDefault="00706E53" w:rsidP="000A2BFA">
            <w:pPr>
              <w:ind w:left="0" w:firstLine="0"/>
              <w:outlineLvl w:val="1"/>
              <w:rPr>
                <w:rFonts w:ascii="Calibri" w:eastAsia="Calibri" w:hAnsi="Calibri" w:cs="Calibri"/>
                <w:b/>
              </w:rPr>
            </w:pPr>
            <w:r w:rsidRPr="009C676D">
              <w:rPr>
                <w:rFonts w:ascii="Calibri" w:eastAsia="Calibri" w:hAnsi="Calibri" w:cs="Calibri"/>
                <w:b/>
              </w:rPr>
              <w:t>Opportunities</w:t>
            </w:r>
            <w:r w:rsidR="00DB012E" w:rsidRPr="009C676D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80" w:type="dxa"/>
          </w:tcPr>
          <w:p w14:paraId="7D291A0E" w14:textId="0DCEF0F5" w:rsidR="00A90311" w:rsidRPr="009C676D" w:rsidRDefault="00137EC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Requires</w:t>
            </w:r>
            <w:r w:rsidR="00706E53" w:rsidRPr="009C676D">
              <w:rPr>
                <w:rFonts w:ascii="Calibri" w:eastAsia="Calibri" w:hAnsi="Calibri" w:cs="Calibri"/>
                <w:bCs/>
              </w:rPr>
              <w:t xml:space="preserve"> </w:t>
            </w:r>
            <w:r w:rsidR="00CB5443" w:rsidRPr="009C676D">
              <w:rPr>
                <w:rFonts w:ascii="Calibri" w:eastAsia="Calibri" w:hAnsi="Calibri" w:cs="Calibri"/>
                <w:bCs/>
              </w:rPr>
              <w:t xml:space="preserve">review with the </w:t>
            </w:r>
            <w:r w:rsidR="003231A8">
              <w:rPr>
                <w:rFonts w:ascii="Calibri" w:eastAsia="Calibri" w:hAnsi="Calibri" w:cs="Calibri"/>
                <w:bCs/>
              </w:rPr>
              <w:t>P</w:t>
            </w:r>
            <w:r w:rsidR="00CB5443" w:rsidRPr="009C676D">
              <w:rPr>
                <w:rFonts w:ascii="Calibri" w:eastAsia="Calibri" w:hAnsi="Calibri" w:cs="Calibri"/>
                <w:bCs/>
              </w:rPr>
              <w:t>arties on activities that are no longer needed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3827" w:type="dxa"/>
          </w:tcPr>
          <w:p w14:paraId="065D6895" w14:textId="56FEACD6" w:rsidR="00A90311" w:rsidRPr="009C676D" w:rsidRDefault="00496E6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Limited increase in </w:t>
            </w:r>
            <w:r w:rsidR="009A469F" w:rsidRPr="009C676D">
              <w:rPr>
                <w:rFonts w:ascii="Calibri" w:eastAsia="Calibri" w:hAnsi="Calibri" w:cs="Calibri"/>
                <w:bCs/>
              </w:rPr>
              <w:t>outreach and visibility of the Convention</w:t>
            </w:r>
            <w:r w:rsidR="003231A8">
              <w:rPr>
                <w:rFonts w:ascii="Calibri" w:eastAsia="Calibri" w:hAnsi="Calibri" w:cs="Calibri"/>
                <w:bCs/>
              </w:rPr>
              <w:t>.</w:t>
            </w:r>
          </w:p>
          <w:p w14:paraId="6E2CE42E" w14:textId="77777777" w:rsidR="00B72306" w:rsidRPr="009C676D" w:rsidRDefault="00B72306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2CD98F30" w14:textId="60BBD203" w:rsidR="00137EC1" w:rsidRPr="009C676D" w:rsidRDefault="00496E6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lastRenderedPageBreak/>
              <w:t>Limited i</w:t>
            </w:r>
            <w:r w:rsidR="00B72306" w:rsidRPr="009C676D">
              <w:rPr>
                <w:rFonts w:ascii="Calibri" w:eastAsia="Calibri" w:hAnsi="Calibri" w:cs="Calibri"/>
                <w:bCs/>
              </w:rPr>
              <w:t>ncrease</w:t>
            </w:r>
            <w:r w:rsidRPr="009C676D">
              <w:rPr>
                <w:rFonts w:ascii="Calibri" w:eastAsia="Calibri" w:hAnsi="Calibri" w:cs="Calibri"/>
                <w:bCs/>
              </w:rPr>
              <w:t xml:space="preserve"> in</w:t>
            </w:r>
            <w:r w:rsidR="00B72306" w:rsidRPr="009C676D">
              <w:rPr>
                <w:rFonts w:ascii="Calibri" w:eastAsia="Calibri" w:hAnsi="Calibri" w:cs="Calibri"/>
                <w:bCs/>
              </w:rPr>
              <w:t xml:space="preserve"> support to Contracting Parties in implementation matters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977" w:type="dxa"/>
          </w:tcPr>
          <w:p w14:paraId="0032A168" w14:textId="77777777" w:rsidR="009A469F" w:rsidRPr="009C676D" w:rsidRDefault="009A469F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lastRenderedPageBreak/>
              <w:t>Increased outreach and visibility of the Convention</w:t>
            </w:r>
          </w:p>
          <w:p w14:paraId="400E1406" w14:textId="77777777" w:rsidR="009A469F" w:rsidRPr="009C676D" w:rsidRDefault="009A469F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4FB01D70" w14:textId="01DF4A75" w:rsidR="00A90311" w:rsidRPr="009C676D" w:rsidRDefault="00424000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Contracting Parties</w:t>
            </w:r>
            <w:r w:rsidR="009A469F" w:rsidRPr="009C676D">
              <w:rPr>
                <w:rFonts w:ascii="Calibri" w:eastAsia="Calibri" w:hAnsi="Calibri" w:cs="Calibri"/>
                <w:bCs/>
              </w:rPr>
              <w:t xml:space="preserve"> are </w:t>
            </w:r>
            <w:r w:rsidR="0043143D" w:rsidRPr="009C676D">
              <w:rPr>
                <w:rFonts w:ascii="Calibri" w:eastAsia="Calibri" w:hAnsi="Calibri" w:cs="Calibri"/>
                <w:bCs/>
              </w:rPr>
              <w:t xml:space="preserve">more </w:t>
            </w:r>
            <w:r w:rsidR="009A469F" w:rsidRPr="009C676D">
              <w:rPr>
                <w:rFonts w:ascii="Calibri" w:eastAsia="Calibri" w:hAnsi="Calibri" w:cs="Calibri"/>
                <w:bCs/>
              </w:rPr>
              <w:t xml:space="preserve">fully supported in relation to </w:t>
            </w:r>
            <w:r w:rsidR="009A469F" w:rsidRPr="009C676D">
              <w:rPr>
                <w:rFonts w:ascii="Calibri" w:eastAsia="Calibri" w:hAnsi="Calibri" w:cs="Calibri"/>
                <w:bCs/>
              </w:rPr>
              <w:lastRenderedPageBreak/>
              <w:t>National Reports, Ramsar Information Sheet updates</w:t>
            </w:r>
            <w:r w:rsidR="00AA57F5" w:rsidRPr="009C676D">
              <w:rPr>
                <w:rFonts w:ascii="Calibri" w:eastAsia="Calibri" w:hAnsi="Calibri" w:cs="Calibri"/>
                <w:bCs/>
              </w:rPr>
              <w:t>. Ability to leverage data and knowledge to enhance implementation of the Convention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  <w:p w14:paraId="34D49683" w14:textId="77777777" w:rsidR="00137EC1" w:rsidRPr="009C676D" w:rsidRDefault="00137EC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3156E0E8" w14:textId="0E243BA3" w:rsidR="00137EC1" w:rsidRPr="009C676D" w:rsidRDefault="00AA57F5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Greater Secretariat</w:t>
            </w:r>
            <w:r w:rsidR="00137EC1" w:rsidRPr="009C676D">
              <w:rPr>
                <w:rFonts w:ascii="Calibri" w:eastAsia="Calibri" w:hAnsi="Calibri" w:cs="Calibri"/>
                <w:bCs/>
              </w:rPr>
              <w:t xml:space="preserve"> </w:t>
            </w:r>
            <w:r w:rsidR="00F2558A" w:rsidRPr="009C676D">
              <w:rPr>
                <w:rFonts w:ascii="Calibri" w:eastAsia="Calibri" w:hAnsi="Calibri" w:cs="Calibri"/>
                <w:bCs/>
              </w:rPr>
              <w:t>capacity</w:t>
            </w:r>
            <w:r w:rsidR="00137EC1" w:rsidRPr="009C676D">
              <w:rPr>
                <w:rFonts w:ascii="Calibri" w:eastAsia="Calibri" w:hAnsi="Calibri" w:cs="Calibri"/>
                <w:bCs/>
              </w:rPr>
              <w:t xml:space="preserve"> </w:t>
            </w:r>
            <w:r w:rsidR="00F2558A" w:rsidRPr="009C676D">
              <w:rPr>
                <w:rFonts w:ascii="Calibri" w:eastAsia="Calibri" w:hAnsi="Calibri" w:cs="Calibri"/>
                <w:bCs/>
              </w:rPr>
              <w:t xml:space="preserve">to </w:t>
            </w:r>
            <w:r w:rsidR="00137EC1" w:rsidRPr="009C676D">
              <w:rPr>
                <w:rFonts w:ascii="Calibri" w:eastAsia="Calibri" w:hAnsi="Calibri" w:cs="Calibri"/>
                <w:bCs/>
              </w:rPr>
              <w:t>handl</w:t>
            </w:r>
            <w:r w:rsidR="00F2558A" w:rsidRPr="009C676D">
              <w:rPr>
                <w:rFonts w:ascii="Calibri" w:eastAsia="Calibri" w:hAnsi="Calibri" w:cs="Calibri"/>
                <w:bCs/>
              </w:rPr>
              <w:t>e</w:t>
            </w:r>
            <w:r w:rsidR="00137EC1" w:rsidRPr="009C676D">
              <w:rPr>
                <w:rFonts w:ascii="Calibri" w:eastAsia="Calibri" w:hAnsi="Calibri" w:cs="Calibri"/>
                <w:bCs/>
              </w:rPr>
              <w:t xml:space="preserve"> new tasks and activities</w:t>
            </w:r>
            <w:r w:rsidRPr="009C676D">
              <w:rPr>
                <w:rFonts w:ascii="Calibri" w:eastAsia="Calibri" w:hAnsi="Calibri" w:cs="Calibri"/>
                <w:bCs/>
              </w:rPr>
              <w:t xml:space="preserve"> to support Contracting Parties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835" w:type="dxa"/>
          </w:tcPr>
          <w:p w14:paraId="78CA28E5" w14:textId="77777777" w:rsidR="00137EC1" w:rsidRPr="009C676D" w:rsidRDefault="00137EC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lastRenderedPageBreak/>
              <w:t>Increased outreach and visibility of the Convention</w:t>
            </w:r>
          </w:p>
          <w:p w14:paraId="040304D1" w14:textId="77777777" w:rsidR="00137EC1" w:rsidRPr="009C676D" w:rsidRDefault="00137EC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3287542F" w14:textId="2F070077" w:rsidR="00F2558A" w:rsidRPr="009C676D" w:rsidRDefault="00F2558A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The C</w:t>
            </w:r>
            <w:r w:rsidR="008942D2" w:rsidRPr="009C676D">
              <w:rPr>
                <w:rFonts w:ascii="Calibri" w:eastAsia="Calibri" w:hAnsi="Calibri" w:cs="Calibri"/>
                <w:bCs/>
              </w:rPr>
              <w:t xml:space="preserve">ontracting </w:t>
            </w:r>
            <w:r w:rsidRPr="009C676D">
              <w:rPr>
                <w:rFonts w:ascii="Calibri" w:eastAsia="Calibri" w:hAnsi="Calibri" w:cs="Calibri"/>
                <w:bCs/>
              </w:rPr>
              <w:t>P</w:t>
            </w:r>
            <w:r w:rsidR="008942D2" w:rsidRPr="009C676D">
              <w:rPr>
                <w:rFonts w:ascii="Calibri" w:eastAsia="Calibri" w:hAnsi="Calibri" w:cs="Calibri"/>
                <w:bCs/>
              </w:rPr>
              <w:t>artie</w:t>
            </w:r>
            <w:r w:rsidRPr="009C676D">
              <w:rPr>
                <w:rFonts w:ascii="Calibri" w:eastAsia="Calibri" w:hAnsi="Calibri" w:cs="Calibri"/>
                <w:bCs/>
              </w:rPr>
              <w:t xml:space="preserve">s are more fully supported in </w:t>
            </w:r>
            <w:r w:rsidRPr="009C676D">
              <w:rPr>
                <w:rFonts w:ascii="Calibri" w:eastAsia="Calibri" w:hAnsi="Calibri" w:cs="Calibri"/>
                <w:bCs/>
              </w:rPr>
              <w:lastRenderedPageBreak/>
              <w:t>relation to National Reports, Ramsar Information Sheet updates</w:t>
            </w:r>
            <w:r w:rsidR="00AA57F5" w:rsidRPr="009C676D">
              <w:rPr>
                <w:rFonts w:ascii="Calibri" w:eastAsia="Calibri" w:hAnsi="Calibri" w:cs="Calibri"/>
                <w:bCs/>
              </w:rPr>
              <w:t>. Ability to leverage data and knowledge to enhance implementation of the Convention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  <w:p w14:paraId="0C99B090" w14:textId="77777777" w:rsidR="00F2558A" w:rsidRPr="009C676D" w:rsidRDefault="00F2558A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6CFEEE28" w14:textId="314019AF" w:rsidR="00A90311" w:rsidRPr="009C676D" w:rsidRDefault="009C676D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</w:t>
            </w:r>
            <w:r w:rsidR="00F2558A" w:rsidRPr="009C676D">
              <w:rPr>
                <w:rFonts w:ascii="Calibri" w:eastAsia="Calibri" w:hAnsi="Calibri" w:cs="Calibri"/>
                <w:bCs/>
              </w:rPr>
              <w:t xml:space="preserve">taff competencies and skills </w:t>
            </w:r>
            <w:r>
              <w:rPr>
                <w:rFonts w:ascii="Calibri" w:eastAsia="Calibri" w:hAnsi="Calibri" w:cs="Calibri"/>
                <w:bCs/>
              </w:rPr>
              <w:t xml:space="preserve">are strengthened </w:t>
            </w:r>
            <w:r w:rsidR="00F2558A" w:rsidRPr="009C676D">
              <w:rPr>
                <w:rFonts w:ascii="Calibri" w:eastAsia="Calibri" w:hAnsi="Calibri" w:cs="Calibri"/>
                <w:bCs/>
              </w:rPr>
              <w:t>through capacity building.</w:t>
            </w:r>
          </w:p>
        </w:tc>
      </w:tr>
      <w:tr w:rsidR="00DF6A21" w:rsidRPr="009C676D" w14:paraId="5621F93C" w14:textId="77777777" w:rsidTr="00736ED7">
        <w:tc>
          <w:tcPr>
            <w:tcW w:w="1493" w:type="dxa"/>
          </w:tcPr>
          <w:p w14:paraId="1F31DB94" w14:textId="0D77148B" w:rsidR="00A90311" w:rsidRPr="009C676D" w:rsidRDefault="00DB012E" w:rsidP="000A2BFA">
            <w:pPr>
              <w:ind w:left="0" w:firstLine="0"/>
              <w:outlineLvl w:val="1"/>
              <w:rPr>
                <w:rFonts w:ascii="Calibri" w:eastAsia="Calibri" w:hAnsi="Calibri" w:cs="Calibri"/>
                <w:b/>
              </w:rPr>
            </w:pPr>
            <w:r w:rsidRPr="009C676D">
              <w:rPr>
                <w:rFonts w:ascii="Calibri" w:eastAsia="Calibri" w:hAnsi="Calibri" w:cs="Calibri"/>
                <w:b/>
              </w:rPr>
              <w:lastRenderedPageBreak/>
              <w:t>Risks and Challenges</w:t>
            </w:r>
          </w:p>
        </w:tc>
        <w:tc>
          <w:tcPr>
            <w:tcW w:w="3180" w:type="dxa"/>
          </w:tcPr>
          <w:p w14:paraId="694C4DFD" w14:textId="68A65410" w:rsidR="00706E53" w:rsidRPr="009C676D" w:rsidRDefault="00706E5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Limited ability </w:t>
            </w:r>
            <w:r w:rsidR="00137EC1" w:rsidRPr="009C676D">
              <w:rPr>
                <w:rFonts w:ascii="Calibri" w:eastAsia="Calibri" w:hAnsi="Calibri" w:cs="Calibri"/>
                <w:bCs/>
              </w:rPr>
              <w:t xml:space="preserve">in handling new tasks or </w:t>
            </w:r>
            <w:r w:rsidR="00CB5443" w:rsidRPr="009C676D">
              <w:rPr>
                <w:rFonts w:ascii="Calibri" w:eastAsia="Calibri" w:hAnsi="Calibri" w:cs="Calibri"/>
                <w:bCs/>
              </w:rPr>
              <w:t>activities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  <w:p w14:paraId="2F58CCEF" w14:textId="77777777" w:rsidR="00706E53" w:rsidRPr="009C676D" w:rsidRDefault="00706E5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01E0076D" w14:textId="03261E87" w:rsidR="00CB5443" w:rsidRPr="009C676D" w:rsidRDefault="00AA57F5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Limited ability</w:t>
            </w:r>
            <w:r w:rsidR="00CB5443" w:rsidRPr="009C676D">
              <w:rPr>
                <w:rFonts w:ascii="Calibri" w:eastAsia="Calibri" w:hAnsi="Calibri" w:cs="Calibri"/>
                <w:bCs/>
              </w:rPr>
              <w:t xml:space="preserve"> to raise the profile of the Convention and synergies with </w:t>
            </w:r>
            <w:r w:rsidR="009C676D">
              <w:rPr>
                <w:rFonts w:ascii="Calibri" w:eastAsia="Calibri" w:hAnsi="Calibri" w:cs="Calibri"/>
                <w:bCs/>
              </w:rPr>
              <w:t>other multilateral environmental agreements</w:t>
            </w:r>
            <w:r w:rsidR="00CB5443" w:rsidRPr="009C676D">
              <w:rPr>
                <w:rFonts w:ascii="Calibri" w:eastAsia="Calibri" w:hAnsi="Calibri" w:cs="Calibri"/>
                <w:bCs/>
              </w:rPr>
              <w:t>.</w:t>
            </w:r>
          </w:p>
          <w:p w14:paraId="78E19F32" w14:textId="77777777" w:rsidR="00CB5443" w:rsidRPr="009C676D" w:rsidRDefault="00CB544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4612FFB7" w14:textId="04A8CCC6" w:rsidR="00137EC1" w:rsidRPr="009C676D" w:rsidRDefault="00137EC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Employee dissatisfaction and high turnover due to overwork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  <w:p w14:paraId="5AED0770" w14:textId="77777777" w:rsidR="00137EC1" w:rsidRPr="009C676D" w:rsidRDefault="00137EC1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</w:p>
          <w:p w14:paraId="56C18EE3" w14:textId="558B921E" w:rsidR="00A90311" w:rsidRPr="009C676D" w:rsidRDefault="00706E53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 xml:space="preserve">Risk of declining service quality </w:t>
            </w:r>
            <w:r w:rsidR="00AA57F5" w:rsidRPr="009C676D">
              <w:rPr>
                <w:rFonts w:ascii="Calibri" w:eastAsia="Calibri" w:hAnsi="Calibri" w:cs="Calibri"/>
                <w:bCs/>
              </w:rPr>
              <w:t>and</w:t>
            </w:r>
            <w:r w:rsidRPr="009C676D">
              <w:rPr>
                <w:rFonts w:ascii="Calibri" w:eastAsia="Calibri" w:hAnsi="Calibri" w:cs="Calibri"/>
                <w:bCs/>
              </w:rPr>
              <w:t xml:space="preserve"> productivity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3827" w:type="dxa"/>
          </w:tcPr>
          <w:p w14:paraId="5A93774D" w14:textId="61319AD9" w:rsidR="00A90311" w:rsidRPr="009C676D" w:rsidRDefault="00496E68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Challenge to fully meet Contracting Parties’ requests and expectations</w:t>
            </w:r>
            <w:r w:rsidR="000A170C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2977" w:type="dxa"/>
          </w:tcPr>
          <w:p w14:paraId="6654A0D5" w14:textId="295D6ED6" w:rsidR="00A90311" w:rsidRPr="009C676D" w:rsidRDefault="00F2558A" w:rsidP="000A2BFA">
            <w:pPr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n/a</w:t>
            </w:r>
          </w:p>
        </w:tc>
        <w:tc>
          <w:tcPr>
            <w:tcW w:w="2835" w:type="dxa"/>
          </w:tcPr>
          <w:p w14:paraId="57AAFFBE" w14:textId="1B22B804" w:rsidR="00A90311" w:rsidRPr="009C676D" w:rsidRDefault="00F2558A" w:rsidP="000A2BFA">
            <w:pPr>
              <w:ind w:left="0" w:firstLine="0"/>
              <w:outlineLvl w:val="1"/>
              <w:rPr>
                <w:rFonts w:ascii="Calibri" w:eastAsia="Calibri" w:hAnsi="Calibri" w:cs="Calibri"/>
                <w:bCs/>
              </w:rPr>
            </w:pPr>
            <w:r w:rsidRPr="009C676D">
              <w:rPr>
                <w:rFonts w:ascii="Calibri" w:eastAsia="Calibri" w:hAnsi="Calibri" w:cs="Calibri"/>
                <w:bCs/>
              </w:rPr>
              <w:t>n/a</w:t>
            </w:r>
          </w:p>
        </w:tc>
      </w:tr>
    </w:tbl>
    <w:p w14:paraId="09258D71" w14:textId="3A4E0402" w:rsidR="00DF6A21" w:rsidRPr="00DB012E" w:rsidRDefault="00DF6A21" w:rsidP="000A2BFA">
      <w:pPr>
        <w:spacing w:after="0" w:line="240" w:lineRule="auto"/>
        <w:rPr>
          <w:rFonts w:ascii="Calibri" w:hAnsi="Calibri" w:cs="Calibri"/>
          <w:highlight w:val="yellow"/>
        </w:rPr>
      </w:pPr>
    </w:p>
    <w:sectPr w:rsidR="00DF6A21" w:rsidRPr="00DB012E" w:rsidSect="009A24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3444" w14:textId="77777777" w:rsidR="007D09DF" w:rsidRDefault="007D09DF" w:rsidP="001E2255">
      <w:pPr>
        <w:spacing w:after="0" w:line="240" w:lineRule="auto"/>
      </w:pPr>
      <w:r>
        <w:separator/>
      </w:r>
    </w:p>
  </w:endnote>
  <w:endnote w:type="continuationSeparator" w:id="0">
    <w:p w14:paraId="0153B788" w14:textId="77777777" w:rsidR="007D09DF" w:rsidRDefault="007D09DF" w:rsidP="001E2255">
      <w:pPr>
        <w:spacing w:after="0" w:line="240" w:lineRule="auto"/>
      </w:pPr>
      <w:r>
        <w:continuationSeparator/>
      </w:r>
    </w:p>
  </w:endnote>
  <w:endnote w:type="continuationNotice" w:id="1">
    <w:p w14:paraId="42B2AF3F" w14:textId="77777777" w:rsidR="007D09DF" w:rsidRDefault="007D0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8DF4" w14:textId="458B3F18" w:rsidR="00F92050" w:rsidRPr="00275FEF" w:rsidRDefault="00736ED7" w:rsidP="00275FEF">
    <w:pPr>
      <w:pStyle w:val="Header"/>
      <w:tabs>
        <w:tab w:val="clear" w:pos="4513"/>
        <w:tab w:val="clear" w:pos="9026"/>
        <w:tab w:val="right" w:pos="14040"/>
      </w:tabs>
      <w:rPr>
        <w:rFonts w:ascii="Calibri" w:hAnsi="Calibri" w:cs="Calibri"/>
        <w:noProof/>
      </w:rPr>
    </w:pPr>
    <w:r>
      <w:rPr>
        <w:rFonts w:ascii="Calibri" w:hAnsi="Calibri" w:cs="Calibri"/>
        <w:sz w:val="20"/>
        <w:szCs w:val="20"/>
      </w:rPr>
      <w:t>COP15</w:t>
    </w:r>
    <w:r w:rsidRPr="00275FEF">
      <w:rPr>
        <w:rFonts w:ascii="Calibri" w:hAnsi="Calibri" w:cs="Calibri"/>
        <w:sz w:val="20"/>
        <w:szCs w:val="20"/>
      </w:rPr>
      <w:t xml:space="preserve"> </w:t>
    </w:r>
    <w:r w:rsidR="00275FEF" w:rsidRPr="00275FEF">
      <w:rPr>
        <w:rFonts w:ascii="Calibri" w:hAnsi="Calibri" w:cs="Calibri"/>
        <w:iCs/>
        <w:sz w:val="20"/>
        <w:szCs w:val="20"/>
      </w:rPr>
      <w:t>Inf.1</w:t>
    </w:r>
    <w:sdt>
      <w:sdtPr>
        <w:rPr>
          <w:rFonts w:ascii="Calibri" w:hAnsi="Calibri" w:cs="Calibri"/>
          <w:sz w:val="20"/>
          <w:szCs w:val="20"/>
        </w:rPr>
        <w:id w:val="134461106"/>
        <w:docPartObj>
          <w:docPartGallery w:val="Page Numbers (Top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275FEF" w:rsidRPr="00275FEF">
          <w:rPr>
            <w:rFonts w:ascii="Calibri" w:hAnsi="Calibri" w:cs="Calibri"/>
            <w:sz w:val="20"/>
            <w:szCs w:val="20"/>
          </w:rPr>
          <w:tab/>
        </w:r>
        <w:r w:rsidR="00275FEF" w:rsidRPr="00275FEF">
          <w:rPr>
            <w:rFonts w:ascii="Calibri" w:hAnsi="Calibri" w:cs="Calibri"/>
            <w:sz w:val="20"/>
            <w:szCs w:val="20"/>
          </w:rPr>
          <w:fldChar w:fldCharType="begin"/>
        </w:r>
        <w:r w:rsidR="00275FEF" w:rsidRPr="00275FEF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275FEF" w:rsidRPr="00275FEF">
          <w:rPr>
            <w:rFonts w:ascii="Calibri" w:hAnsi="Calibri" w:cs="Calibri"/>
            <w:sz w:val="20"/>
            <w:szCs w:val="20"/>
          </w:rPr>
          <w:fldChar w:fldCharType="separate"/>
        </w:r>
        <w:r w:rsidR="00275FEF" w:rsidRPr="00275FEF">
          <w:rPr>
            <w:rFonts w:ascii="Calibri" w:hAnsi="Calibri" w:cs="Calibri"/>
            <w:sz w:val="20"/>
            <w:szCs w:val="20"/>
          </w:rPr>
          <w:t>2</w:t>
        </w:r>
        <w:r w:rsidR="00275FEF" w:rsidRPr="00275FEF">
          <w:rPr>
            <w:rFonts w:ascii="Calibri" w:hAnsi="Calibri" w:cs="Calibr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9695" w14:textId="77777777" w:rsidR="007D09DF" w:rsidRDefault="007D09DF" w:rsidP="001E2255">
      <w:pPr>
        <w:spacing w:after="0" w:line="240" w:lineRule="auto"/>
      </w:pPr>
      <w:r>
        <w:separator/>
      </w:r>
    </w:p>
  </w:footnote>
  <w:footnote w:type="continuationSeparator" w:id="0">
    <w:p w14:paraId="4F740B4D" w14:textId="77777777" w:rsidR="007D09DF" w:rsidRDefault="007D09DF" w:rsidP="001E2255">
      <w:pPr>
        <w:spacing w:after="0" w:line="240" w:lineRule="auto"/>
      </w:pPr>
      <w:r>
        <w:continuationSeparator/>
      </w:r>
    </w:p>
  </w:footnote>
  <w:footnote w:type="continuationNotice" w:id="1">
    <w:p w14:paraId="583451DC" w14:textId="77777777" w:rsidR="007D09DF" w:rsidRDefault="007D09DF">
      <w:pPr>
        <w:spacing w:after="0" w:line="240" w:lineRule="auto"/>
      </w:pPr>
    </w:p>
  </w:footnote>
  <w:footnote w:id="2">
    <w:p w14:paraId="1D0F017A" w14:textId="228E38D2" w:rsidR="00F312DE" w:rsidRPr="00F312DE" w:rsidRDefault="00F312DE">
      <w:pPr>
        <w:pStyle w:val="FootnoteText"/>
        <w:rPr>
          <w:rFonts w:ascii="Calibri" w:hAnsi="Calibri" w:cs="Calibri"/>
        </w:rPr>
      </w:pPr>
      <w:r w:rsidRPr="00F312DE">
        <w:rPr>
          <w:rStyle w:val="FootnoteReference"/>
          <w:rFonts w:ascii="Calibri" w:hAnsi="Calibri" w:cs="Calibri"/>
        </w:rPr>
        <w:footnoteRef/>
      </w:r>
      <w:r w:rsidRPr="00F312DE">
        <w:rPr>
          <w:rFonts w:ascii="Calibri" w:hAnsi="Calibri" w:cs="Calibri"/>
        </w:rPr>
        <w:t xml:space="preserve"> See </w:t>
      </w:r>
      <w:r w:rsidR="002C0F29">
        <w:rPr>
          <w:rFonts w:ascii="Calibri" w:hAnsi="Calibri" w:cs="Calibri"/>
        </w:rPr>
        <w:t xml:space="preserve">the tables at </w:t>
      </w:r>
      <w:r w:rsidRPr="00F312DE">
        <w:rPr>
          <w:rFonts w:ascii="Calibri" w:hAnsi="Calibri" w:cs="Calibri"/>
        </w:rPr>
        <w:t>Annex 1 of document COP15 Doc.23.1</w:t>
      </w:r>
      <w:r>
        <w:rPr>
          <w:rFonts w:ascii="Calibri" w:hAnsi="Calibri" w:cs="Calibri"/>
        </w:rPr>
        <w:t xml:space="preserve"> for details</w:t>
      </w:r>
      <w:r w:rsidR="002C0F29">
        <w:rPr>
          <w:rFonts w:ascii="Calibri" w:hAnsi="Calibri" w:cs="Calibri"/>
        </w:rPr>
        <w:t xml:space="preserve"> of budget line adjustments</w:t>
      </w:r>
      <w:r w:rsidRPr="00F312DE"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147"/>
    <w:multiLevelType w:val="hybridMultilevel"/>
    <w:tmpl w:val="1026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79E"/>
    <w:multiLevelType w:val="hybridMultilevel"/>
    <w:tmpl w:val="992A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48B9"/>
    <w:multiLevelType w:val="hybridMultilevel"/>
    <w:tmpl w:val="6B3C5C2C"/>
    <w:lvl w:ilvl="0" w:tplc="A80A1792">
      <w:start w:val="1"/>
      <w:numFmt w:val="decimal"/>
      <w:lvlText w:val="%1."/>
      <w:lvlJc w:val="left"/>
      <w:pPr>
        <w:ind w:left="360" w:hanging="360"/>
      </w:pPr>
    </w:lvl>
    <w:lvl w:ilvl="1" w:tplc="840405F6">
      <w:start w:val="1"/>
      <w:numFmt w:val="lowerLetter"/>
      <w:lvlText w:val="%2."/>
      <w:lvlJc w:val="left"/>
      <w:pPr>
        <w:ind w:left="1080" w:hanging="360"/>
      </w:pPr>
    </w:lvl>
    <w:lvl w:ilvl="2" w:tplc="E7AAF75A">
      <w:start w:val="1"/>
      <w:numFmt w:val="lowerRoman"/>
      <w:lvlText w:val="%3."/>
      <w:lvlJc w:val="right"/>
      <w:pPr>
        <w:ind w:left="1800" w:hanging="180"/>
      </w:pPr>
    </w:lvl>
    <w:lvl w:ilvl="3" w:tplc="D55CE226">
      <w:start w:val="1"/>
      <w:numFmt w:val="decimal"/>
      <w:lvlText w:val="%4."/>
      <w:lvlJc w:val="left"/>
      <w:pPr>
        <w:ind w:left="2520" w:hanging="360"/>
      </w:pPr>
    </w:lvl>
    <w:lvl w:ilvl="4" w:tplc="4732BFB0">
      <w:start w:val="1"/>
      <w:numFmt w:val="lowerLetter"/>
      <w:lvlText w:val="%5."/>
      <w:lvlJc w:val="left"/>
      <w:pPr>
        <w:ind w:left="3240" w:hanging="360"/>
      </w:pPr>
    </w:lvl>
    <w:lvl w:ilvl="5" w:tplc="6742B144">
      <w:start w:val="1"/>
      <w:numFmt w:val="lowerRoman"/>
      <w:lvlText w:val="%6."/>
      <w:lvlJc w:val="right"/>
      <w:pPr>
        <w:ind w:left="3960" w:hanging="180"/>
      </w:pPr>
    </w:lvl>
    <w:lvl w:ilvl="6" w:tplc="F8FC8AA2">
      <w:start w:val="1"/>
      <w:numFmt w:val="decimal"/>
      <w:lvlText w:val="%7."/>
      <w:lvlJc w:val="left"/>
      <w:pPr>
        <w:ind w:left="4680" w:hanging="360"/>
      </w:pPr>
    </w:lvl>
    <w:lvl w:ilvl="7" w:tplc="CB448D94">
      <w:start w:val="1"/>
      <w:numFmt w:val="lowerLetter"/>
      <w:lvlText w:val="%8."/>
      <w:lvlJc w:val="left"/>
      <w:pPr>
        <w:ind w:left="5400" w:hanging="360"/>
      </w:pPr>
    </w:lvl>
    <w:lvl w:ilvl="8" w:tplc="0ACC868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F7BAD"/>
    <w:multiLevelType w:val="hybridMultilevel"/>
    <w:tmpl w:val="67CC6D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Sitka Small" w:hAnsi="Sitka Smal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4C56"/>
    <w:multiLevelType w:val="hybridMultilevel"/>
    <w:tmpl w:val="312A70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Sitka Small" w:hAnsi="Sitka Smal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46DE"/>
    <w:multiLevelType w:val="hybridMultilevel"/>
    <w:tmpl w:val="D1E6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32B3"/>
    <w:multiLevelType w:val="hybridMultilevel"/>
    <w:tmpl w:val="86C6D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73F38"/>
    <w:multiLevelType w:val="hybridMultilevel"/>
    <w:tmpl w:val="B09853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8091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ECA"/>
    <w:multiLevelType w:val="hybridMultilevel"/>
    <w:tmpl w:val="6CAA262A"/>
    <w:lvl w:ilvl="0" w:tplc="77B6155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7D6A"/>
    <w:multiLevelType w:val="hybridMultilevel"/>
    <w:tmpl w:val="1BDAD9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E298E">
      <w:start w:val="1"/>
      <w:numFmt w:val="bullet"/>
      <w:lvlText w:val="-"/>
      <w:lvlJc w:val="left"/>
      <w:pPr>
        <w:ind w:left="2880" w:hanging="360"/>
      </w:pPr>
      <w:rPr>
        <w:rFonts w:ascii="Sitka Small" w:hAnsi="Sitka Smal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98850">
    <w:abstractNumId w:val="2"/>
  </w:num>
  <w:num w:numId="2" w16cid:durableId="581449257">
    <w:abstractNumId w:val="1"/>
  </w:num>
  <w:num w:numId="3" w16cid:durableId="1992371858">
    <w:abstractNumId w:val="8"/>
  </w:num>
  <w:num w:numId="4" w16cid:durableId="792790553">
    <w:abstractNumId w:val="9"/>
  </w:num>
  <w:num w:numId="5" w16cid:durableId="1526016316">
    <w:abstractNumId w:val="6"/>
  </w:num>
  <w:num w:numId="6" w16cid:durableId="42483766">
    <w:abstractNumId w:val="0"/>
  </w:num>
  <w:num w:numId="7" w16cid:durableId="452291691">
    <w:abstractNumId w:val="5"/>
  </w:num>
  <w:num w:numId="8" w16cid:durableId="50153219">
    <w:abstractNumId w:val="7"/>
  </w:num>
  <w:num w:numId="9" w16cid:durableId="1162351347">
    <w:abstractNumId w:val="4"/>
  </w:num>
  <w:num w:numId="10" w16cid:durableId="1820345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5"/>
    <w:rsid w:val="000024EF"/>
    <w:rsid w:val="0000256B"/>
    <w:rsid w:val="000119E1"/>
    <w:rsid w:val="000141B3"/>
    <w:rsid w:val="00041A66"/>
    <w:rsid w:val="00041B13"/>
    <w:rsid w:val="00043D1B"/>
    <w:rsid w:val="00045AB1"/>
    <w:rsid w:val="00046361"/>
    <w:rsid w:val="00047B3B"/>
    <w:rsid w:val="000650E1"/>
    <w:rsid w:val="000724CD"/>
    <w:rsid w:val="00085F3B"/>
    <w:rsid w:val="000936D8"/>
    <w:rsid w:val="00097D6F"/>
    <w:rsid w:val="000A170C"/>
    <w:rsid w:val="000A2BFA"/>
    <w:rsid w:val="000A5274"/>
    <w:rsid w:val="000B026B"/>
    <w:rsid w:val="000B142B"/>
    <w:rsid w:val="000C353F"/>
    <w:rsid w:val="000C7EC5"/>
    <w:rsid w:val="000D066A"/>
    <w:rsid w:val="000F2494"/>
    <w:rsid w:val="000F5617"/>
    <w:rsid w:val="00102EFB"/>
    <w:rsid w:val="001037C8"/>
    <w:rsid w:val="00106B95"/>
    <w:rsid w:val="00110268"/>
    <w:rsid w:val="00114A9B"/>
    <w:rsid w:val="00116FE6"/>
    <w:rsid w:val="00123287"/>
    <w:rsid w:val="001246D7"/>
    <w:rsid w:val="00137EC1"/>
    <w:rsid w:val="00141775"/>
    <w:rsid w:val="001473D4"/>
    <w:rsid w:val="0014774E"/>
    <w:rsid w:val="001513A5"/>
    <w:rsid w:val="00163AD6"/>
    <w:rsid w:val="001671D6"/>
    <w:rsid w:val="0017199B"/>
    <w:rsid w:val="00174F06"/>
    <w:rsid w:val="00181EA6"/>
    <w:rsid w:val="00181F2D"/>
    <w:rsid w:val="00185125"/>
    <w:rsid w:val="00187AFA"/>
    <w:rsid w:val="001912E6"/>
    <w:rsid w:val="0019501B"/>
    <w:rsid w:val="00196230"/>
    <w:rsid w:val="001A1A0A"/>
    <w:rsid w:val="001A2249"/>
    <w:rsid w:val="001A740F"/>
    <w:rsid w:val="001B1C01"/>
    <w:rsid w:val="001B5D94"/>
    <w:rsid w:val="001B6BC5"/>
    <w:rsid w:val="001B7ADE"/>
    <w:rsid w:val="001C29D2"/>
    <w:rsid w:val="001C30C3"/>
    <w:rsid w:val="001C3E44"/>
    <w:rsid w:val="001D513D"/>
    <w:rsid w:val="001E2255"/>
    <w:rsid w:val="001F3038"/>
    <w:rsid w:val="001F5CE4"/>
    <w:rsid w:val="00202B4E"/>
    <w:rsid w:val="0020342B"/>
    <w:rsid w:val="00203A7C"/>
    <w:rsid w:val="00204FF9"/>
    <w:rsid w:val="002117B1"/>
    <w:rsid w:val="0023414E"/>
    <w:rsid w:val="002346B8"/>
    <w:rsid w:val="00236DB1"/>
    <w:rsid w:val="0023711D"/>
    <w:rsid w:val="00237F65"/>
    <w:rsid w:val="0024767D"/>
    <w:rsid w:val="00254B9F"/>
    <w:rsid w:val="00270687"/>
    <w:rsid w:val="00275FEF"/>
    <w:rsid w:val="00284B6F"/>
    <w:rsid w:val="0029035B"/>
    <w:rsid w:val="002A28A3"/>
    <w:rsid w:val="002B6C22"/>
    <w:rsid w:val="002C0F29"/>
    <w:rsid w:val="002C3C1B"/>
    <w:rsid w:val="002C47A8"/>
    <w:rsid w:val="002C634D"/>
    <w:rsid w:val="002D696D"/>
    <w:rsid w:val="002E51E1"/>
    <w:rsid w:val="002E5D2B"/>
    <w:rsid w:val="002E7645"/>
    <w:rsid w:val="002F5C9D"/>
    <w:rsid w:val="003039E7"/>
    <w:rsid w:val="003070C2"/>
    <w:rsid w:val="003127BD"/>
    <w:rsid w:val="00321CFE"/>
    <w:rsid w:val="003231A8"/>
    <w:rsid w:val="0033169C"/>
    <w:rsid w:val="00343374"/>
    <w:rsid w:val="00343BD1"/>
    <w:rsid w:val="003510FA"/>
    <w:rsid w:val="003521E8"/>
    <w:rsid w:val="00357F54"/>
    <w:rsid w:val="00361718"/>
    <w:rsid w:val="003660F7"/>
    <w:rsid w:val="00367553"/>
    <w:rsid w:val="003711C9"/>
    <w:rsid w:val="00380DEB"/>
    <w:rsid w:val="00381415"/>
    <w:rsid w:val="003835AB"/>
    <w:rsid w:val="00386E6E"/>
    <w:rsid w:val="00395663"/>
    <w:rsid w:val="003A129B"/>
    <w:rsid w:val="003B6C47"/>
    <w:rsid w:val="003C123A"/>
    <w:rsid w:val="003C25BA"/>
    <w:rsid w:val="003C3DF6"/>
    <w:rsid w:val="003D2A11"/>
    <w:rsid w:val="003E6F7F"/>
    <w:rsid w:val="003F290D"/>
    <w:rsid w:val="00416212"/>
    <w:rsid w:val="00424000"/>
    <w:rsid w:val="00427CE2"/>
    <w:rsid w:val="0043143D"/>
    <w:rsid w:val="00432A42"/>
    <w:rsid w:val="004404E8"/>
    <w:rsid w:val="00440A35"/>
    <w:rsid w:val="00442557"/>
    <w:rsid w:val="004470C7"/>
    <w:rsid w:val="00447123"/>
    <w:rsid w:val="004525EC"/>
    <w:rsid w:val="00453047"/>
    <w:rsid w:val="00453CB7"/>
    <w:rsid w:val="004546FF"/>
    <w:rsid w:val="00464781"/>
    <w:rsid w:val="00470811"/>
    <w:rsid w:val="00473CE3"/>
    <w:rsid w:val="0047633F"/>
    <w:rsid w:val="004763F4"/>
    <w:rsid w:val="00485A6A"/>
    <w:rsid w:val="00495140"/>
    <w:rsid w:val="004956A7"/>
    <w:rsid w:val="00496E68"/>
    <w:rsid w:val="004B05CF"/>
    <w:rsid w:val="004B2833"/>
    <w:rsid w:val="004B313B"/>
    <w:rsid w:val="004B7AED"/>
    <w:rsid w:val="004C48B0"/>
    <w:rsid w:val="004D3ED5"/>
    <w:rsid w:val="004E1AB1"/>
    <w:rsid w:val="004E336A"/>
    <w:rsid w:val="004F686F"/>
    <w:rsid w:val="004F75ED"/>
    <w:rsid w:val="00502559"/>
    <w:rsid w:val="00503F75"/>
    <w:rsid w:val="00510337"/>
    <w:rsid w:val="0051153D"/>
    <w:rsid w:val="00521215"/>
    <w:rsid w:val="00522A87"/>
    <w:rsid w:val="005468CF"/>
    <w:rsid w:val="00547F0E"/>
    <w:rsid w:val="005520E0"/>
    <w:rsid w:val="005557D3"/>
    <w:rsid w:val="0055585C"/>
    <w:rsid w:val="00576106"/>
    <w:rsid w:val="00576151"/>
    <w:rsid w:val="00576BC7"/>
    <w:rsid w:val="0058514D"/>
    <w:rsid w:val="005924D3"/>
    <w:rsid w:val="00593AB7"/>
    <w:rsid w:val="00593C93"/>
    <w:rsid w:val="005A08EE"/>
    <w:rsid w:val="005A2BC3"/>
    <w:rsid w:val="005A32C7"/>
    <w:rsid w:val="005A4963"/>
    <w:rsid w:val="005B28ED"/>
    <w:rsid w:val="005B47D6"/>
    <w:rsid w:val="005C4044"/>
    <w:rsid w:val="005D21DE"/>
    <w:rsid w:val="005D2E21"/>
    <w:rsid w:val="005E14F5"/>
    <w:rsid w:val="005E20D4"/>
    <w:rsid w:val="005E4137"/>
    <w:rsid w:val="005E5700"/>
    <w:rsid w:val="005E5DD8"/>
    <w:rsid w:val="005F1CD3"/>
    <w:rsid w:val="005F4B56"/>
    <w:rsid w:val="005F6339"/>
    <w:rsid w:val="00600CFC"/>
    <w:rsid w:val="00600D06"/>
    <w:rsid w:val="00600E70"/>
    <w:rsid w:val="006034CE"/>
    <w:rsid w:val="006050B8"/>
    <w:rsid w:val="0060601C"/>
    <w:rsid w:val="00606F72"/>
    <w:rsid w:val="0061168B"/>
    <w:rsid w:val="00612AE0"/>
    <w:rsid w:val="00613BA3"/>
    <w:rsid w:val="00630942"/>
    <w:rsid w:val="00634CCA"/>
    <w:rsid w:val="006366C2"/>
    <w:rsid w:val="006385EB"/>
    <w:rsid w:val="006437A2"/>
    <w:rsid w:val="00645632"/>
    <w:rsid w:val="0065216C"/>
    <w:rsid w:val="00657973"/>
    <w:rsid w:val="00663F94"/>
    <w:rsid w:val="00676131"/>
    <w:rsid w:val="00676B18"/>
    <w:rsid w:val="006777C9"/>
    <w:rsid w:val="00697866"/>
    <w:rsid w:val="00697FB2"/>
    <w:rsid w:val="006A0A3D"/>
    <w:rsid w:val="006A5ED7"/>
    <w:rsid w:val="006B10B9"/>
    <w:rsid w:val="006B7510"/>
    <w:rsid w:val="006C2103"/>
    <w:rsid w:val="006C477C"/>
    <w:rsid w:val="006C6B1B"/>
    <w:rsid w:val="006D1BFF"/>
    <w:rsid w:val="006D1D8E"/>
    <w:rsid w:val="006D60FB"/>
    <w:rsid w:val="006E0EBA"/>
    <w:rsid w:val="006E5F7B"/>
    <w:rsid w:val="006F5E12"/>
    <w:rsid w:val="006F61E0"/>
    <w:rsid w:val="006F70A6"/>
    <w:rsid w:val="00706E53"/>
    <w:rsid w:val="00716203"/>
    <w:rsid w:val="00717FB6"/>
    <w:rsid w:val="0073311A"/>
    <w:rsid w:val="00734DC0"/>
    <w:rsid w:val="00736ED7"/>
    <w:rsid w:val="00742AA9"/>
    <w:rsid w:val="00751512"/>
    <w:rsid w:val="00753D9A"/>
    <w:rsid w:val="0076021B"/>
    <w:rsid w:val="00765C4F"/>
    <w:rsid w:val="007768B3"/>
    <w:rsid w:val="007800BD"/>
    <w:rsid w:val="007819B2"/>
    <w:rsid w:val="00783608"/>
    <w:rsid w:val="0079193A"/>
    <w:rsid w:val="00793F7C"/>
    <w:rsid w:val="00796518"/>
    <w:rsid w:val="007A12F8"/>
    <w:rsid w:val="007B3813"/>
    <w:rsid w:val="007B5DE0"/>
    <w:rsid w:val="007B769F"/>
    <w:rsid w:val="007B7FA0"/>
    <w:rsid w:val="007C0D48"/>
    <w:rsid w:val="007C3A9E"/>
    <w:rsid w:val="007D09DF"/>
    <w:rsid w:val="007D2B07"/>
    <w:rsid w:val="007E214F"/>
    <w:rsid w:val="007E31A5"/>
    <w:rsid w:val="007F0D9C"/>
    <w:rsid w:val="007F4101"/>
    <w:rsid w:val="007F493B"/>
    <w:rsid w:val="0080005A"/>
    <w:rsid w:val="0080127B"/>
    <w:rsid w:val="00805E6F"/>
    <w:rsid w:val="00814391"/>
    <w:rsid w:val="00815AA9"/>
    <w:rsid w:val="008179BA"/>
    <w:rsid w:val="008441E9"/>
    <w:rsid w:val="00844ED2"/>
    <w:rsid w:val="00845888"/>
    <w:rsid w:val="00854B9D"/>
    <w:rsid w:val="00856228"/>
    <w:rsid w:val="00857623"/>
    <w:rsid w:val="0086507E"/>
    <w:rsid w:val="008655BD"/>
    <w:rsid w:val="008665D3"/>
    <w:rsid w:val="0088121A"/>
    <w:rsid w:val="008818DD"/>
    <w:rsid w:val="00882FB4"/>
    <w:rsid w:val="00884285"/>
    <w:rsid w:val="008942D2"/>
    <w:rsid w:val="008946C0"/>
    <w:rsid w:val="008947AB"/>
    <w:rsid w:val="00894CCD"/>
    <w:rsid w:val="00896419"/>
    <w:rsid w:val="008A28A5"/>
    <w:rsid w:val="008A4BF4"/>
    <w:rsid w:val="008A5CCC"/>
    <w:rsid w:val="008B3254"/>
    <w:rsid w:val="008B3375"/>
    <w:rsid w:val="008B7EE6"/>
    <w:rsid w:val="008C3B06"/>
    <w:rsid w:val="008D1D47"/>
    <w:rsid w:val="008D40E8"/>
    <w:rsid w:val="008D44EE"/>
    <w:rsid w:val="008D45F1"/>
    <w:rsid w:val="008D7108"/>
    <w:rsid w:val="008E301F"/>
    <w:rsid w:val="008E5DA7"/>
    <w:rsid w:val="008E5EDE"/>
    <w:rsid w:val="008F2F35"/>
    <w:rsid w:val="008F79D2"/>
    <w:rsid w:val="009076F2"/>
    <w:rsid w:val="00914749"/>
    <w:rsid w:val="00922F1C"/>
    <w:rsid w:val="00934F69"/>
    <w:rsid w:val="009372CD"/>
    <w:rsid w:val="00940101"/>
    <w:rsid w:val="009418C0"/>
    <w:rsid w:val="009421AD"/>
    <w:rsid w:val="009421EB"/>
    <w:rsid w:val="00942E7C"/>
    <w:rsid w:val="009470D3"/>
    <w:rsid w:val="00952CE6"/>
    <w:rsid w:val="00952D4F"/>
    <w:rsid w:val="0095405C"/>
    <w:rsid w:val="0097070E"/>
    <w:rsid w:val="00970970"/>
    <w:rsid w:val="00973134"/>
    <w:rsid w:val="00985B93"/>
    <w:rsid w:val="00985DA1"/>
    <w:rsid w:val="00991D8F"/>
    <w:rsid w:val="00992D73"/>
    <w:rsid w:val="00995DB2"/>
    <w:rsid w:val="009A24B9"/>
    <w:rsid w:val="009A469F"/>
    <w:rsid w:val="009A542E"/>
    <w:rsid w:val="009A68C4"/>
    <w:rsid w:val="009C676D"/>
    <w:rsid w:val="009D0248"/>
    <w:rsid w:val="009D7FB6"/>
    <w:rsid w:val="009E2A02"/>
    <w:rsid w:val="009F3EF5"/>
    <w:rsid w:val="009F4FAD"/>
    <w:rsid w:val="009F67D8"/>
    <w:rsid w:val="00A01464"/>
    <w:rsid w:val="00A070D9"/>
    <w:rsid w:val="00A1120A"/>
    <w:rsid w:val="00A17322"/>
    <w:rsid w:val="00A20805"/>
    <w:rsid w:val="00A235BD"/>
    <w:rsid w:val="00A33396"/>
    <w:rsid w:val="00A36C66"/>
    <w:rsid w:val="00A52DAC"/>
    <w:rsid w:val="00A52E41"/>
    <w:rsid w:val="00A54118"/>
    <w:rsid w:val="00A55202"/>
    <w:rsid w:val="00A60907"/>
    <w:rsid w:val="00A66A06"/>
    <w:rsid w:val="00A71FF7"/>
    <w:rsid w:val="00A8123B"/>
    <w:rsid w:val="00A84B1F"/>
    <w:rsid w:val="00A90311"/>
    <w:rsid w:val="00A919D8"/>
    <w:rsid w:val="00AA48AD"/>
    <w:rsid w:val="00AA57F5"/>
    <w:rsid w:val="00AA5AE8"/>
    <w:rsid w:val="00AA77E6"/>
    <w:rsid w:val="00AB3B17"/>
    <w:rsid w:val="00AB4248"/>
    <w:rsid w:val="00AD246C"/>
    <w:rsid w:val="00AD6D82"/>
    <w:rsid w:val="00AE1A8D"/>
    <w:rsid w:val="00AE1EC8"/>
    <w:rsid w:val="00AE2F8E"/>
    <w:rsid w:val="00AE6828"/>
    <w:rsid w:val="00AE7C0E"/>
    <w:rsid w:val="00AF0FF7"/>
    <w:rsid w:val="00AF12A8"/>
    <w:rsid w:val="00AF52B3"/>
    <w:rsid w:val="00AF5F35"/>
    <w:rsid w:val="00B04A00"/>
    <w:rsid w:val="00B0767D"/>
    <w:rsid w:val="00B1266A"/>
    <w:rsid w:val="00B16748"/>
    <w:rsid w:val="00B24A27"/>
    <w:rsid w:val="00B26650"/>
    <w:rsid w:val="00B27096"/>
    <w:rsid w:val="00B27BFA"/>
    <w:rsid w:val="00B32032"/>
    <w:rsid w:val="00B375E1"/>
    <w:rsid w:val="00B417BA"/>
    <w:rsid w:val="00B66E1E"/>
    <w:rsid w:val="00B67325"/>
    <w:rsid w:val="00B71AAF"/>
    <w:rsid w:val="00B72306"/>
    <w:rsid w:val="00B765D0"/>
    <w:rsid w:val="00B8235F"/>
    <w:rsid w:val="00B87B7D"/>
    <w:rsid w:val="00B90198"/>
    <w:rsid w:val="00B9036B"/>
    <w:rsid w:val="00B9057F"/>
    <w:rsid w:val="00BA0354"/>
    <w:rsid w:val="00BB297C"/>
    <w:rsid w:val="00BB6C2A"/>
    <w:rsid w:val="00BC0F35"/>
    <w:rsid w:val="00BC1433"/>
    <w:rsid w:val="00BC616F"/>
    <w:rsid w:val="00BD0D5C"/>
    <w:rsid w:val="00BD6910"/>
    <w:rsid w:val="00BE2ADF"/>
    <w:rsid w:val="00BE4208"/>
    <w:rsid w:val="00BF01C6"/>
    <w:rsid w:val="00BF1899"/>
    <w:rsid w:val="00BF3C1A"/>
    <w:rsid w:val="00C00A49"/>
    <w:rsid w:val="00C00BCF"/>
    <w:rsid w:val="00C02F06"/>
    <w:rsid w:val="00C070A2"/>
    <w:rsid w:val="00C11A0D"/>
    <w:rsid w:val="00C303CD"/>
    <w:rsid w:val="00C31978"/>
    <w:rsid w:val="00C326C9"/>
    <w:rsid w:val="00C342CB"/>
    <w:rsid w:val="00C41943"/>
    <w:rsid w:val="00C45728"/>
    <w:rsid w:val="00C47693"/>
    <w:rsid w:val="00C533CE"/>
    <w:rsid w:val="00C536C8"/>
    <w:rsid w:val="00C63771"/>
    <w:rsid w:val="00C64DE9"/>
    <w:rsid w:val="00C710DC"/>
    <w:rsid w:val="00C80E1F"/>
    <w:rsid w:val="00C8394C"/>
    <w:rsid w:val="00C857D5"/>
    <w:rsid w:val="00C85890"/>
    <w:rsid w:val="00C87802"/>
    <w:rsid w:val="00C92749"/>
    <w:rsid w:val="00C96D7A"/>
    <w:rsid w:val="00CB5443"/>
    <w:rsid w:val="00CB5BA0"/>
    <w:rsid w:val="00CC0AFF"/>
    <w:rsid w:val="00CC1D4E"/>
    <w:rsid w:val="00CC5495"/>
    <w:rsid w:val="00CC7CFB"/>
    <w:rsid w:val="00CD24B6"/>
    <w:rsid w:val="00CD3DED"/>
    <w:rsid w:val="00CD6BFC"/>
    <w:rsid w:val="00CD7992"/>
    <w:rsid w:val="00D007B2"/>
    <w:rsid w:val="00D04EAB"/>
    <w:rsid w:val="00D120F6"/>
    <w:rsid w:val="00D215DB"/>
    <w:rsid w:val="00D227DB"/>
    <w:rsid w:val="00D26C80"/>
    <w:rsid w:val="00D30126"/>
    <w:rsid w:val="00D33592"/>
    <w:rsid w:val="00D36D1D"/>
    <w:rsid w:val="00D37531"/>
    <w:rsid w:val="00D40589"/>
    <w:rsid w:val="00D41F04"/>
    <w:rsid w:val="00D4230E"/>
    <w:rsid w:val="00D42BB1"/>
    <w:rsid w:val="00D51E78"/>
    <w:rsid w:val="00D52C45"/>
    <w:rsid w:val="00D550E1"/>
    <w:rsid w:val="00D57A36"/>
    <w:rsid w:val="00D66871"/>
    <w:rsid w:val="00D708B4"/>
    <w:rsid w:val="00D8021B"/>
    <w:rsid w:val="00D861AF"/>
    <w:rsid w:val="00D879A2"/>
    <w:rsid w:val="00DA6CDF"/>
    <w:rsid w:val="00DA6CF9"/>
    <w:rsid w:val="00DB012E"/>
    <w:rsid w:val="00DC1FAE"/>
    <w:rsid w:val="00DC3BDF"/>
    <w:rsid w:val="00DC6E1A"/>
    <w:rsid w:val="00DD0F28"/>
    <w:rsid w:val="00DD511B"/>
    <w:rsid w:val="00DF1CEE"/>
    <w:rsid w:val="00DF6A21"/>
    <w:rsid w:val="00E05E44"/>
    <w:rsid w:val="00E12531"/>
    <w:rsid w:val="00E131B8"/>
    <w:rsid w:val="00E1562A"/>
    <w:rsid w:val="00E23458"/>
    <w:rsid w:val="00E23A49"/>
    <w:rsid w:val="00E25746"/>
    <w:rsid w:val="00E2585E"/>
    <w:rsid w:val="00E3287A"/>
    <w:rsid w:val="00E401D1"/>
    <w:rsid w:val="00E40BF6"/>
    <w:rsid w:val="00E51FD3"/>
    <w:rsid w:val="00E6416A"/>
    <w:rsid w:val="00E70C73"/>
    <w:rsid w:val="00E736AA"/>
    <w:rsid w:val="00E821CF"/>
    <w:rsid w:val="00E87B88"/>
    <w:rsid w:val="00E87C2C"/>
    <w:rsid w:val="00E97881"/>
    <w:rsid w:val="00EA4105"/>
    <w:rsid w:val="00EA5E27"/>
    <w:rsid w:val="00EB055A"/>
    <w:rsid w:val="00EB5E5F"/>
    <w:rsid w:val="00ED5C54"/>
    <w:rsid w:val="00EE4190"/>
    <w:rsid w:val="00EF4F08"/>
    <w:rsid w:val="00EF6DB9"/>
    <w:rsid w:val="00EF766F"/>
    <w:rsid w:val="00F07B4A"/>
    <w:rsid w:val="00F124B9"/>
    <w:rsid w:val="00F126C6"/>
    <w:rsid w:val="00F2558A"/>
    <w:rsid w:val="00F312DB"/>
    <w:rsid w:val="00F312DE"/>
    <w:rsid w:val="00F32478"/>
    <w:rsid w:val="00F35E06"/>
    <w:rsid w:val="00F37B86"/>
    <w:rsid w:val="00F50E47"/>
    <w:rsid w:val="00F51916"/>
    <w:rsid w:val="00F57499"/>
    <w:rsid w:val="00F70668"/>
    <w:rsid w:val="00F70EAA"/>
    <w:rsid w:val="00F724CE"/>
    <w:rsid w:val="00F726C1"/>
    <w:rsid w:val="00F76419"/>
    <w:rsid w:val="00F7774E"/>
    <w:rsid w:val="00F777B9"/>
    <w:rsid w:val="00F80C56"/>
    <w:rsid w:val="00F83669"/>
    <w:rsid w:val="00F83939"/>
    <w:rsid w:val="00F86862"/>
    <w:rsid w:val="00F8691E"/>
    <w:rsid w:val="00F92050"/>
    <w:rsid w:val="00FA7EF1"/>
    <w:rsid w:val="00FB3656"/>
    <w:rsid w:val="00FB3CB4"/>
    <w:rsid w:val="00FC0BEB"/>
    <w:rsid w:val="00FC1944"/>
    <w:rsid w:val="00FC2188"/>
    <w:rsid w:val="00FC5B95"/>
    <w:rsid w:val="00FD0EED"/>
    <w:rsid w:val="00FD506C"/>
    <w:rsid w:val="00FE2D98"/>
    <w:rsid w:val="00FE2DD9"/>
    <w:rsid w:val="00FE6365"/>
    <w:rsid w:val="00FF1100"/>
    <w:rsid w:val="00FF1D6C"/>
    <w:rsid w:val="00FF23E0"/>
    <w:rsid w:val="00FF660A"/>
    <w:rsid w:val="01E36967"/>
    <w:rsid w:val="0257D1C4"/>
    <w:rsid w:val="05A4BDC6"/>
    <w:rsid w:val="07FD992B"/>
    <w:rsid w:val="0810AE4F"/>
    <w:rsid w:val="087161FA"/>
    <w:rsid w:val="09D54560"/>
    <w:rsid w:val="0B4AA363"/>
    <w:rsid w:val="0BA600A2"/>
    <w:rsid w:val="0CDD7965"/>
    <w:rsid w:val="0DB2CD50"/>
    <w:rsid w:val="0DC996A7"/>
    <w:rsid w:val="0EA4F1E0"/>
    <w:rsid w:val="11F97C27"/>
    <w:rsid w:val="13C1630B"/>
    <w:rsid w:val="13F08CD2"/>
    <w:rsid w:val="14283E92"/>
    <w:rsid w:val="1A24D464"/>
    <w:rsid w:val="1BC6939A"/>
    <w:rsid w:val="1E6B3D91"/>
    <w:rsid w:val="1EB1B1ED"/>
    <w:rsid w:val="1EC9BF69"/>
    <w:rsid w:val="1F1C07C4"/>
    <w:rsid w:val="22A933F9"/>
    <w:rsid w:val="22EA1177"/>
    <w:rsid w:val="2333FB0A"/>
    <w:rsid w:val="242F0646"/>
    <w:rsid w:val="24E35F62"/>
    <w:rsid w:val="26A617D5"/>
    <w:rsid w:val="29CF5989"/>
    <w:rsid w:val="2C323B51"/>
    <w:rsid w:val="2C36F516"/>
    <w:rsid w:val="2CD9C2E6"/>
    <w:rsid w:val="2D675815"/>
    <w:rsid w:val="31D3878B"/>
    <w:rsid w:val="323957C3"/>
    <w:rsid w:val="32FB00C1"/>
    <w:rsid w:val="34E51105"/>
    <w:rsid w:val="361B36C1"/>
    <w:rsid w:val="3BA6A761"/>
    <w:rsid w:val="3DDF6E9C"/>
    <w:rsid w:val="3F038691"/>
    <w:rsid w:val="4108553A"/>
    <w:rsid w:val="41223F36"/>
    <w:rsid w:val="421A3314"/>
    <w:rsid w:val="43B408B3"/>
    <w:rsid w:val="4597DA66"/>
    <w:rsid w:val="46C8EE5E"/>
    <w:rsid w:val="48423D53"/>
    <w:rsid w:val="48CCE086"/>
    <w:rsid w:val="4AB968CC"/>
    <w:rsid w:val="4BB8B4EA"/>
    <w:rsid w:val="4C3FF3CA"/>
    <w:rsid w:val="4CEF902D"/>
    <w:rsid w:val="4D32FAFE"/>
    <w:rsid w:val="512E2041"/>
    <w:rsid w:val="52D3E385"/>
    <w:rsid w:val="54C178E2"/>
    <w:rsid w:val="54D01C03"/>
    <w:rsid w:val="55338225"/>
    <w:rsid w:val="56039042"/>
    <w:rsid w:val="564A2D92"/>
    <w:rsid w:val="5861BBA8"/>
    <w:rsid w:val="59E0D3A5"/>
    <w:rsid w:val="5D1EF1D4"/>
    <w:rsid w:val="5D8DAEE9"/>
    <w:rsid w:val="5EB23209"/>
    <w:rsid w:val="5F45263D"/>
    <w:rsid w:val="5FB0B25D"/>
    <w:rsid w:val="608E72AA"/>
    <w:rsid w:val="655FEC35"/>
    <w:rsid w:val="65D95B6F"/>
    <w:rsid w:val="66B92494"/>
    <w:rsid w:val="68A450B9"/>
    <w:rsid w:val="69CEE23B"/>
    <w:rsid w:val="6A570100"/>
    <w:rsid w:val="6B359841"/>
    <w:rsid w:val="6B3E6CE9"/>
    <w:rsid w:val="6B9672F3"/>
    <w:rsid w:val="6BB13223"/>
    <w:rsid w:val="6C491881"/>
    <w:rsid w:val="6CF8067A"/>
    <w:rsid w:val="6D3D01B2"/>
    <w:rsid w:val="6E78A89A"/>
    <w:rsid w:val="6F785491"/>
    <w:rsid w:val="700B0E3E"/>
    <w:rsid w:val="700E3898"/>
    <w:rsid w:val="7158126C"/>
    <w:rsid w:val="71B39171"/>
    <w:rsid w:val="7438973D"/>
    <w:rsid w:val="773DE899"/>
    <w:rsid w:val="774711CD"/>
    <w:rsid w:val="78F2AACA"/>
    <w:rsid w:val="79BAD265"/>
    <w:rsid w:val="7D3D8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70CB7"/>
  <w15:chartTrackingRefBased/>
  <w15:docId w15:val="{7D60A0DF-34B2-41D3-B2C0-1ACCE82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55"/>
  </w:style>
  <w:style w:type="paragraph" w:styleId="Heading1">
    <w:name w:val="heading 1"/>
    <w:basedOn w:val="Normal"/>
    <w:next w:val="Normal"/>
    <w:link w:val="Heading1Char"/>
    <w:uiPriority w:val="9"/>
    <w:qFormat/>
    <w:rsid w:val="001E2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25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E2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25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2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2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1A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8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5D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2B"/>
  </w:style>
  <w:style w:type="paragraph" w:styleId="Footer">
    <w:name w:val="footer"/>
    <w:basedOn w:val="Normal"/>
    <w:link w:val="FooterChar"/>
    <w:uiPriority w:val="99"/>
    <w:unhideWhenUsed/>
    <w:rsid w:val="002E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2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90311"/>
    <w:pPr>
      <w:spacing w:after="0" w:line="240" w:lineRule="auto"/>
      <w:ind w:left="425" w:hanging="425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Gfulltext">
    <w:name w:val="MG_fulltext"/>
    <w:basedOn w:val="Normal"/>
    <w:link w:val="MGfulltextChar"/>
    <w:qFormat/>
    <w:rsid w:val="00F76419"/>
    <w:pPr>
      <w:spacing w:after="12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character" w:customStyle="1" w:styleId="MGfulltextChar">
    <w:name w:val="MG_fulltext Char"/>
    <w:basedOn w:val="DefaultParagraphFont"/>
    <w:link w:val="MGfulltext"/>
    <w:rsid w:val="00F76419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hglna01\data\CC98\2.%20STAFF\Brace%20P%20-%20Administrative%20Assistant\SC44%20-%2062%20COP12%20-%2014%20Documents%20and%20page%20counts_pb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hglna01\data\CC98\2.%20STAFF\Brace%20P%20-%20Administrative%20Assistant\SC63\Data%20and%20graphs%20-%20proposed%20budget%20increase\SC44%20-%2062%20COP12%20-%2014%20Documents%20and%20page%20counts_pb3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hglna01\data\CC98\2.%20STAFF\Brace%20P%20-%20Administrative%20Assistant\SC63\Data%20and%20graphs%20-%20proposed%20budget%20increase\Ramsar%20sites%20data_pb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Chglna01\data\CC98\2.%20STAFF\Brace%20P%20-%20Administrative%20Assistant\SC63\Instructions%20-%20COP,%20SC,%20Synergie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Chglna01\data\CC98\2.%20STAFF\Brace%20P%20-%20Administrative%20Assistant\SC63\Data%20and%20graphs%20-%20proposed%20budget%20increase\Ramsar%20sites%20data_pb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Chglna01\data\CC98\2.%20STAFF\Brace%20P%20-%20Administrative%20Assistant\SC63\Data%20and%20graphs%20-%20proposed%20budget%20increase\Ramsar%20sites%20data_pb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Number of COP documents</a:t>
            </a:r>
          </a:p>
        </c:rich>
      </c:tx>
      <c:layout>
        <c:manualLayout>
          <c:xMode val="edge"/>
          <c:yMode val="edge"/>
          <c:x val="0.19166857569108262"/>
          <c:y val="6.11387084447841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Number of Documents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Sheet1!$A$24:$A$26</c:f>
              <c:strCache>
                <c:ptCount val="3"/>
                <c:pt idx="0">
                  <c:v>COP12</c:v>
                </c:pt>
                <c:pt idx="1">
                  <c:v>COP13</c:v>
                </c:pt>
                <c:pt idx="2">
                  <c:v>COP14</c:v>
                </c:pt>
              </c:strCache>
            </c:strRef>
          </c:cat>
          <c:val>
            <c:numRef>
              <c:f>Sheet1!$B$24:$B$26</c:f>
              <c:numCache>
                <c:formatCode>General</c:formatCode>
                <c:ptCount val="3"/>
                <c:pt idx="0">
                  <c:v>59</c:v>
                </c:pt>
                <c:pt idx="1">
                  <c:v>65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E-443D-A06C-83F532EA5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9833567"/>
        <c:axId val="597428975"/>
      </c:barChart>
      <c:catAx>
        <c:axId val="489833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428975"/>
        <c:crosses val="autoZero"/>
        <c:auto val="1"/>
        <c:lblAlgn val="ctr"/>
        <c:lblOffset val="100"/>
        <c:noMultiLvlLbl val="0"/>
      </c:catAx>
      <c:valAx>
        <c:axId val="597428975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9833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Number of Standing Committee documents, by triennium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Sheet1!$B$29</c:f>
              <c:strCache>
                <c:ptCount val="1"/>
                <c:pt idx="0">
                  <c:v>Number of Documents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Sheet1!$A$30:$A$32</c:f>
              <c:strCache>
                <c:ptCount val="3"/>
                <c:pt idx="0">
                  <c:v>2012-2015</c:v>
                </c:pt>
                <c:pt idx="1">
                  <c:v>2015-2018</c:v>
                </c:pt>
                <c:pt idx="2">
                  <c:v>2018-2022</c:v>
                </c:pt>
              </c:strCache>
            </c:strRef>
          </c:cat>
          <c:val>
            <c:numRef>
              <c:f>Sheet1!$B$30:$B$32</c:f>
              <c:numCache>
                <c:formatCode>General</c:formatCode>
                <c:ptCount val="3"/>
                <c:pt idx="0">
                  <c:v>86</c:v>
                </c:pt>
                <c:pt idx="1">
                  <c:v>127</c:v>
                </c:pt>
                <c:pt idx="2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B7-4684-A9B2-D08B02101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3947103"/>
        <c:axId val="486850223"/>
      </c:barChart>
      <c:catAx>
        <c:axId val="493947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850223"/>
        <c:crosses val="autoZero"/>
        <c:auto val="1"/>
        <c:lblAlgn val="ctr"/>
        <c:lblOffset val="100"/>
        <c:noMultiLvlLbl val="0"/>
      </c:catAx>
      <c:valAx>
        <c:axId val="486850223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947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Number</a:t>
            </a:r>
            <a:r>
              <a:rPr lang="en-GB" baseline="0"/>
              <a:t> of s</a:t>
            </a:r>
            <a:r>
              <a:rPr lang="en-GB"/>
              <a:t>ubsidiary bodies, working groups and subgroups supported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Sheet1!$B$34</c:f>
              <c:strCache>
                <c:ptCount val="1"/>
                <c:pt idx="0">
                  <c:v>Subsidiary bodies, Working Groups and Subgroups supported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Sheet1!$A$35:$A$38</c:f>
              <c:strCache>
                <c:ptCount val="4"/>
                <c:pt idx="0">
                  <c:v>2012 - 2015</c:v>
                </c:pt>
                <c:pt idx="1">
                  <c:v>2015 - 2018</c:v>
                </c:pt>
                <c:pt idx="2">
                  <c:v>2018 - 2022</c:v>
                </c:pt>
                <c:pt idx="3">
                  <c:v>2022 - 2024</c:v>
                </c:pt>
              </c:strCache>
            </c:strRef>
          </c:cat>
          <c:val>
            <c:numRef>
              <c:f>Sheet1!$B$35:$B$38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F-4C78-A915-C7D6F9B64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322272"/>
        <c:axId val="432328032"/>
      </c:barChart>
      <c:catAx>
        <c:axId val="43232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328032"/>
        <c:crosses val="autoZero"/>
        <c:auto val="1"/>
        <c:lblAlgn val="ctr"/>
        <c:lblOffset val="100"/>
        <c:noMultiLvlLbl val="0"/>
      </c:catAx>
      <c:valAx>
        <c:axId val="432328032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32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u="none" strike="noStrike" spc="-20" baseline="0">
                <a:effectLst/>
              </a:rPr>
              <a:t>Number of entities Secretariat is instructed to collaborate with in synergies resolution adopted at each COP </a:t>
            </a:r>
            <a:endParaRPr lang="en-US" sz="900" spc="-20" baseline="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9.6477613296654816E-2"/>
          <c:y val="4.58540313335880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Partnership requests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Sheet1!$A$13:$A$16</c:f>
              <c:strCache>
                <c:ptCount val="4"/>
                <c:pt idx="0">
                  <c:v>COP11</c:v>
                </c:pt>
                <c:pt idx="1">
                  <c:v>COP12</c:v>
                </c:pt>
                <c:pt idx="2">
                  <c:v>COP13</c:v>
                </c:pt>
                <c:pt idx="3">
                  <c:v>COP14</c:v>
                </c:pt>
              </c:strCache>
            </c:strRef>
          </c:cat>
          <c:val>
            <c:numRef>
              <c:f>Sheet1!$B$13:$B$16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17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1C-4F78-BBAE-42E95F62E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5623263"/>
        <c:axId val="930927359"/>
      </c:barChart>
      <c:catAx>
        <c:axId val="1205623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927359"/>
        <c:crosses val="autoZero"/>
        <c:auto val="1"/>
        <c:lblAlgn val="ctr"/>
        <c:lblOffset val="100"/>
        <c:noMultiLvlLbl val="0"/>
      </c:catAx>
      <c:valAx>
        <c:axId val="930927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562326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>
                <a:solidFill>
                  <a:sysClr val="windowText" lastClr="000000"/>
                </a:solidFill>
              </a:rPr>
              <a:t>Total number</a:t>
            </a:r>
            <a:r>
              <a:rPr lang="en-GB" sz="1000" baseline="0">
                <a:solidFill>
                  <a:sysClr val="windowText" lastClr="000000"/>
                </a:solidFill>
              </a:rPr>
              <a:t> of Ramsar Sites</a:t>
            </a:r>
            <a:endParaRPr lang="en-GB" sz="10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Sheet1!$B$40</c:f>
              <c:strCache>
                <c:ptCount val="1"/>
                <c:pt idx="0">
                  <c:v>Total number of Sites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Sheet1!$A$41:$A$44</c:f>
              <c:strCache>
                <c:ptCount val="4"/>
                <c:pt idx="0">
                  <c:v>2012 - 2015</c:v>
                </c:pt>
                <c:pt idx="1">
                  <c:v>2015 - 2018</c:v>
                </c:pt>
                <c:pt idx="2">
                  <c:v>2018 - 2022</c:v>
                </c:pt>
                <c:pt idx="3">
                  <c:v>2022 - 2024</c:v>
                </c:pt>
              </c:strCache>
            </c:strRef>
          </c:cat>
          <c:val>
            <c:numRef>
              <c:f>Sheet1!$B$41:$B$44</c:f>
              <c:numCache>
                <c:formatCode>General</c:formatCode>
                <c:ptCount val="4"/>
                <c:pt idx="0">
                  <c:v>2039</c:v>
                </c:pt>
                <c:pt idx="1">
                  <c:v>2183</c:v>
                </c:pt>
                <c:pt idx="2">
                  <c:v>2314</c:v>
                </c:pt>
                <c:pt idx="3">
                  <c:v>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7-43D3-8D21-5CBF511484B9}"/>
            </c:ext>
          </c:extLst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New Sites added during triennium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Sheet1!$A$41:$A$44</c:f>
              <c:strCache>
                <c:ptCount val="4"/>
                <c:pt idx="0">
                  <c:v>2012 - 2015</c:v>
                </c:pt>
                <c:pt idx="1">
                  <c:v>2015 - 2018</c:v>
                </c:pt>
                <c:pt idx="2">
                  <c:v>2018 - 2022</c:v>
                </c:pt>
                <c:pt idx="3">
                  <c:v>2022 - 2024</c:v>
                </c:pt>
              </c:strCache>
            </c:strRef>
          </c:cat>
          <c:val>
            <c:numRef>
              <c:f>Sheet1!$C$41:$C$44</c:f>
              <c:numCache>
                <c:formatCode>General</c:formatCode>
                <c:ptCount val="4"/>
                <c:pt idx="0">
                  <c:v>149</c:v>
                </c:pt>
                <c:pt idx="1">
                  <c:v>131</c:v>
                </c:pt>
                <c:pt idx="2">
                  <c:v>125</c:v>
                </c:pt>
                <c:pt idx="3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67-43D3-8D21-5CBF51148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7350176"/>
        <c:axId val="377339616"/>
      </c:barChart>
      <c:catAx>
        <c:axId val="37735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339616"/>
        <c:crosses val="autoZero"/>
        <c:auto val="1"/>
        <c:lblAlgn val="ctr"/>
        <c:lblOffset val="100"/>
        <c:noMultiLvlLbl val="0"/>
      </c:catAx>
      <c:valAx>
        <c:axId val="377339616"/>
        <c:scaling>
          <c:orientation val="minMax"/>
          <c:min val="1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35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>
                <a:solidFill>
                  <a:sysClr val="windowText" lastClr="000000"/>
                </a:solidFill>
              </a:rPr>
              <a:t>Ramsar Information Sheet updates - completed and</a:t>
            </a:r>
            <a:r>
              <a:rPr lang="en-US" sz="900" baseline="0">
                <a:solidFill>
                  <a:sysClr val="windowText" lastClr="000000"/>
                </a:solidFill>
              </a:rPr>
              <a:t> in process</a:t>
            </a:r>
            <a:r>
              <a:rPr lang="en-US" sz="900">
                <a:solidFill>
                  <a:sysClr val="windowText" lastClr="000000"/>
                </a:solidFill>
              </a:rPr>
              <a:t> at end of triennium</a:t>
            </a:r>
          </a:p>
        </c:rich>
      </c:tx>
      <c:layout>
        <c:manualLayout>
          <c:xMode val="edge"/>
          <c:yMode val="edge"/>
          <c:x val="0.13218312245713215"/>
          <c:y val="1.52846771111960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Sheet1!$B$28</c:f>
              <c:strCache>
                <c:ptCount val="1"/>
                <c:pt idx="0">
                  <c:v>Ramsar site updates - completed and pending at end of triennium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Sheet1!$A$29:$A$32</c:f>
              <c:strCache>
                <c:ptCount val="4"/>
                <c:pt idx="0">
                  <c:v>2012 - 2015</c:v>
                </c:pt>
                <c:pt idx="1">
                  <c:v>2015 - 2018</c:v>
                </c:pt>
                <c:pt idx="2">
                  <c:v>2018 - 2022</c:v>
                </c:pt>
                <c:pt idx="3">
                  <c:v>2022 - 2024</c:v>
                </c:pt>
              </c:strCache>
            </c:strRef>
          </c:cat>
          <c:val>
            <c:numRef>
              <c:f>Sheet1!$B$29:$B$32</c:f>
              <c:numCache>
                <c:formatCode>General</c:formatCode>
                <c:ptCount val="4"/>
                <c:pt idx="0">
                  <c:v>387</c:v>
                </c:pt>
                <c:pt idx="1">
                  <c:v>753</c:v>
                </c:pt>
                <c:pt idx="2">
                  <c:v>822</c:v>
                </c:pt>
                <c:pt idx="3">
                  <c:v>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00-4CBC-8C40-0A8380C72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399088"/>
        <c:axId val="377347776"/>
      </c:barChart>
      <c:catAx>
        <c:axId val="36839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347776"/>
        <c:crosses val="autoZero"/>
        <c:auto val="1"/>
        <c:lblAlgn val="ctr"/>
        <c:lblOffset val="100"/>
        <c:noMultiLvlLbl val="0"/>
      </c:catAx>
      <c:valAx>
        <c:axId val="377347776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39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57D5-A8F7-4C9D-A796-A0C9270B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2025-04-01T07:42:00Z</cp:lastPrinted>
  <dcterms:created xsi:type="dcterms:W3CDTF">2025-04-17T14:51:00Z</dcterms:created>
  <dcterms:modified xsi:type="dcterms:W3CDTF">2025-04-23T14:02:00Z</dcterms:modified>
</cp:coreProperties>
</file>