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5934" w14:textId="77777777" w:rsidR="009936E3" w:rsidRPr="00321BB8" w:rsidRDefault="009936E3" w:rsidP="009936E3">
      <w:pPr>
        <w:spacing w:after="0" w:line="240" w:lineRule="auto"/>
        <w:jc w:val="center"/>
        <w:outlineLvl w:val="0"/>
        <w:rPr>
          <w:rFonts w:eastAsia="Times New Roman" w:cs="Calibri Light"/>
          <w:b/>
          <w:bCs/>
          <w:sz w:val="24"/>
          <w:szCs w:val="24"/>
        </w:rPr>
      </w:pPr>
      <w:r w:rsidRPr="00321BB8">
        <w:rPr>
          <w:rFonts w:eastAsia="Times New Roman" w:cs="Calibri Light"/>
          <w:b/>
          <w:bCs/>
          <w:noProof/>
          <w:sz w:val="24"/>
          <w:szCs w:val="24"/>
        </w:rPr>
        <w:drawing>
          <wp:anchor distT="0" distB="0" distL="114300" distR="114300" simplePos="0" relativeHeight="251659264" behindDoc="0" locked="0" layoutInCell="1" allowOverlap="1" wp14:anchorId="26622937" wp14:editId="0FF3129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7"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150591" w14:textId="77777777" w:rsidR="009936E3" w:rsidRPr="003C33B1" w:rsidRDefault="009936E3" w:rsidP="009936E3">
      <w:pPr>
        <w:spacing w:after="0" w:line="240" w:lineRule="auto"/>
        <w:jc w:val="center"/>
        <w:outlineLvl w:val="0"/>
        <w:rPr>
          <w:rFonts w:eastAsia="Times New Roman" w:cs="Calibri Light"/>
          <w:b/>
          <w:bCs/>
          <w:sz w:val="24"/>
          <w:szCs w:val="24"/>
        </w:rPr>
      </w:pPr>
      <w:r w:rsidRPr="003C33B1">
        <w:rPr>
          <w:rFonts w:eastAsia="Times New Roman" w:cs="Calibri Light"/>
          <w:b/>
          <w:bCs/>
          <w:sz w:val="24"/>
          <w:szCs w:val="24"/>
        </w:rPr>
        <w:t>15th meeting of the Conference of the Contracting Parties</w:t>
      </w:r>
    </w:p>
    <w:p w14:paraId="5A83783F" w14:textId="77777777" w:rsidR="009936E3" w:rsidRPr="003C33B1" w:rsidRDefault="009936E3" w:rsidP="009936E3">
      <w:pPr>
        <w:spacing w:after="0" w:line="240" w:lineRule="auto"/>
        <w:jc w:val="center"/>
        <w:outlineLvl w:val="0"/>
        <w:rPr>
          <w:rFonts w:eastAsia="Times New Roman" w:cs="Calibri Light"/>
          <w:b/>
          <w:bCs/>
          <w:sz w:val="24"/>
          <w:szCs w:val="24"/>
        </w:rPr>
      </w:pPr>
      <w:r w:rsidRPr="003C33B1">
        <w:rPr>
          <w:rFonts w:eastAsia="Times New Roman" w:cs="Calibri Light"/>
          <w:b/>
          <w:bCs/>
          <w:sz w:val="24"/>
          <w:szCs w:val="24"/>
        </w:rPr>
        <w:t>to the Convention on Wetlands</w:t>
      </w:r>
    </w:p>
    <w:p w14:paraId="00A8EA5F" w14:textId="77777777" w:rsidR="009936E3" w:rsidRPr="003C33B1" w:rsidRDefault="009936E3" w:rsidP="009936E3">
      <w:pPr>
        <w:spacing w:after="0" w:line="240" w:lineRule="auto"/>
        <w:jc w:val="center"/>
        <w:outlineLvl w:val="0"/>
        <w:rPr>
          <w:rFonts w:eastAsia="Times New Roman" w:cs="Calibri Light"/>
          <w:b/>
          <w:bCs/>
          <w:sz w:val="24"/>
          <w:szCs w:val="24"/>
        </w:rPr>
      </w:pPr>
    </w:p>
    <w:p w14:paraId="6B33FE0C" w14:textId="77777777" w:rsidR="009936E3" w:rsidRPr="003C33B1" w:rsidRDefault="009936E3" w:rsidP="009936E3">
      <w:pPr>
        <w:spacing w:after="0" w:line="240" w:lineRule="auto"/>
        <w:jc w:val="center"/>
        <w:outlineLvl w:val="0"/>
        <w:rPr>
          <w:rFonts w:eastAsia="Times New Roman" w:cs="Calibri Light"/>
          <w:b/>
          <w:bCs/>
          <w:sz w:val="24"/>
          <w:szCs w:val="24"/>
        </w:rPr>
      </w:pPr>
      <w:r w:rsidRPr="003C33B1">
        <w:rPr>
          <w:rFonts w:eastAsia="Times New Roman" w:cs="Calibri Light"/>
          <w:b/>
          <w:bCs/>
          <w:sz w:val="24"/>
          <w:szCs w:val="24"/>
        </w:rPr>
        <w:t>“Protecting wetlands for our common future”</w:t>
      </w:r>
    </w:p>
    <w:p w14:paraId="44A613C3" w14:textId="77777777" w:rsidR="009936E3" w:rsidRPr="003C33B1" w:rsidRDefault="009936E3" w:rsidP="009936E3">
      <w:pPr>
        <w:spacing w:after="0" w:line="240" w:lineRule="auto"/>
        <w:jc w:val="center"/>
        <w:outlineLvl w:val="0"/>
        <w:rPr>
          <w:rFonts w:eastAsia="Times New Roman" w:cs="Calibri Light"/>
          <w:b/>
          <w:bCs/>
          <w:sz w:val="24"/>
          <w:szCs w:val="24"/>
        </w:rPr>
      </w:pPr>
      <w:r w:rsidRPr="003C33B1">
        <w:rPr>
          <w:rFonts w:eastAsia="Times New Roman" w:cs="Calibri Light"/>
          <w:b/>
          <w:bCs/>
          <w:sz w:val="24"/>
          <w:szCs w:val="24"/>
        </w:rPr>
        <w:t>Victoria Falls, Zimbabwe, 23-31 July 2025</w:t>
      </w:r>
    </w:p>
    <w:p w14:paraId="3250F988" w14:textId="77777777" w:rsidR="009936E3" w:rsidRPr="003C33B1" w:rsidRDefault="009936E3" w:rsidP="009936E3">
      <w:pPr>
        <w:spacing w:after="0" w:line="240" w:lineRule="auto"/>
        <w:jc w:val="center"/>
        <w:outlineLvl w:val="0"/>
        <w:rPr>
          <w:rFonts w:eastAsia="Times New Roman" w:cs="Calibri Light"/>
          <w:b/>
          <w:bCs/>
          <w:sz w:val="24"/>
          <w:szCs w:val="24"/>
        </w:rPr>
      </w:pPr>
    </w:p>
    <w:p w14:paraId="67819A24" w14:textId="77777777" w:rsidR="009936E3" w:rsidRDefault="009936E3" w:rsidP="009936E3">
      <w:pPr>
        <w:spacing w:after="0" w:line="240" w:lineRule="auto"/>
        <w:jc w:val="center"/>
        <w:outlineLvl w:val="0"/>
        <w:rPr>
          <w:rFonts w:eastAsia="Times New Roman" w:cs="Calibri Light"/>
          <w:b/>
          <w:bCs/>
          <w:sz w:val="24"/>
          <w:szCs w:val="24"/>
        </w:rPr>
      </w:pPr>
    </w:p>
    <w:p w14:paraId="720338B5" w14:textId="77777777" w:rsidR="009936E3" w:rsidRPr="003C33B1" w:rsidRDefault="009936E3" w:rsidP="009936E3">
      <w:pPr>
        <w:spacing w:after="0" w:line="240" w:lineRule="auto"/>
        <w:jc w:val="center"/>
        <w:outlineLvl w:val="0"/>
        <w:rPr>
          <w:rFonts w:eastAsia="Times New Roman" w:cs="Calibri Light"/>
          <w:b/>
          <w:bCs/>
          <w:sz w:val="24"/>
          <w:szCs w:val="24"/>
        </w:rPr>
      </w:pPr>
    </w:p>
    <w:p w14:paraId="1863792B" w14:textId="3F126BBC" w:rsidR="009936E3" w:rsidRPr="00321BB8" w:rsidRDefault="009936E3" w:rsidP="009936E3">
      <w:pPr>
        <w:spacing w:after="0" w:line="240" w:lineRule="auto"/>
        <w:jc w:val="right"/>
        <w:rPr>
          <w:rFonts w:eastAsia="Calibri" w:cs="Calibri"/>
        </w:rPr>
      </w:pPr>
      <w:r w:rsidRPr="00321BB8">
        <w:rPr>
          <w:rFonts w:eastAsia="Calibri"/>
          <w:b/>
          <w:sz w:val="28"/>
          <w:szCs w:val="28"/>
        </w:rPr>
        <w:t>COP15 Doc.</w:t>
      </w:r>
      <w:r>
        <w:rPr>
          <w:rFonts w:eastAsia="Calibri"/>
          <w:b/>
          <w:sz w:val="28"/>
          <w:szCs w:val="28"/>
        </w:rPr>
        <w:t>8.2</w:t>
      </w:r>
    </w:p>
    <w:p w14:paraId="3B2C1D05" w14:textId="77777777" w:rsidR="009936E3" w:rsidRDefault="009936E3" w:rsidP="009936E3">
      <w:pPr>
        <w:spacing w:after="0" w:line="240" w:lineRule="auto"/>
        <w:ind w:right="16"/>
        <w:rPr>
          <w:rFonts w:eastAsia="Times New Roman" w:cstheme="minorHAnsi"/>
          <w:iCs/>
          <w:sz w:val="28"/>
          <w:szCs w:val="28"/>
        </w:rPr>
      </w:pPr>
    </w:p>
    <w:p w14:paraId="124BA9A0" w14:textId="77777777" w:rsidR="009936E3" w:rsidRPr="007A6684" w:rsidRDefault="009936E3" w:rsidP="009936E3">
      <w:pPr>
        <w:spacing w:after="0" w:line="240" w:lineRule="auto"/>
        <w:ind w:right="16"/>
        <w:rPr>
          <w:rFonts w:eastAsia="Times New Roman" w:cstheme="minorHAnsi"/>
          <w:iCs/>
          <w:sz w:val="28"/>
          <w:szCs w:val="28"/>
        </w:rPr>
      </w:pPr>
    </w:p>
    <w:p w14:paraId="1A9871A3" w14:textId="43AEC21B" w:rsidR="001724A7" w:rsidRDefault="001724A7" w:rsidP="001724A7">
      <w:pPr>
        <w:spacing w:after="0" w:line="240" w:lineRule="auto"/>
        <w:jc w:val="center"/>
        <w:rPr>
          <w:rFonts w:cstheme="minorHAnsi"/>
          <w:b/>
          <w:sz w:val="28"/>
          <w:szCs w:val="28"/>
        </w:rPr>
      </w:pPr>
      <w:r w:rsidRPr="006C4C10">
        <w:rPr>
          <w:rFonts w:cstheme="minorHAnsi"/>
          <w:b/>
          <w:sz w:val="28"/>
          <w:szCs w:val="28"/>
        </w:rPr>
        <w:t>Report</w:t>
      </w:r>
      <w:r>
        <w:rPr>
          <w:rFonts w:cstheme="minorHAnsi"/>
          <w:b/>
          <w:sz w:val="28"/>
          <w:szCs w:val="28"/>
        </w:rPr>
        <w:t xml:space="preserve"> </w:t>
      </w:r>
      <w:r w:rsidRPr="006C4C10">
        <w:rPr>
          <w:rFonts w:cstheme="minorHAnsi"/>
          <w:b/>
          <w:sz w:val="28"/>
          <w:szCs w:val="28"/>
        </w:rPr>
        <w:t>of</w:t>
      </w:r>
      <w:r>
        <w:rPr>
          <w:rFonts w:cstheme="minorHAnsi"/>
          <w:b/>
          <w:sz w:val="28"/>
          <w:szCs w:val="28"/>
        </w:rPr>
        <w:t xml:space="preserve"> </w:t>
      </w:r>
      <w:r w:rsidRPr="006C4C10">
        <w:rPr>
          <w:rFonts w:cstheme="minorHAnsi"/>
          <w:b/>
          <w:sz w:val="28"/>
          <w:szCs w:val="28"/>
        </w:rPr>
        <w:t>the</w:t>
      </w:r>
      <w:r>
        <w:rPr>
          <w:rFonts w:cstheme="minorHAnsi"/>
          <w:b/>
          <w:sz w:val="28"/>
          <w:szCs w:val="28"/>
        </w:rPr>
        <w:t xml:space="preserve"> </w:t>
      </w:r>
      <w:r w:rsidRPr="006C4C10">
        <w:rPr>
          <w:rFonts w:cstheme="minorHAnsi"/>
          <w:b/>
          <w:sz w:val="28"/>
          <w:szCs w:val="28"/>
        </w:rPr>
        <w:t>Secretary</w:t>
      </w:r>
      <w:r>
        <w:rPr>
          <w:rFonts w:cstheme="minorHAnsi"/>
          <w:b/>
          <w:sz w:val="28"/>
          <w:szCs w:val="28"/>
        </w:rPr>
        <w:t xml:space="preserve"> </w:t>
      </w:r>
      <w:r w:rsidRPr="006C4C10">
        <w:rPr>
          <w:rFonts w:cstheme="minorHAnsi"/>
          <w:b/>
          <w:sz w:val="28"/>
          <w:szCs w:val="28"/>
        </w:rPr>
        <w:t>General</w:t>
      </w:r>
      <w:r>
        <w:rPr>
          <w:rFonts w:cstheme="minorHAnsi"/>
          <w:b/>
          <w:sz w:val="28"/>
          <w:szCs w:val="28"/>
        </w:rPr>
        <w:t xml:space="preserve"> </w:t>
      </w:r>
      <w:r w:rsidR="009455A9">
        <w:rPr>
          <w:rFonts w:cstheme="minorHAnsi"/>
          <w:b/>
          <w:sz w:val="28"/>
          <w:szCs w:val="28"/>
        </w:rPr>
        <w:br/>
      </w:r>
      <w:r w:rsidR="009455A9" w:rsidRPr="009455A9">
        <w:rPr>
          <w:rFonts w:cstheme="minorHAnsi"/>
          <w:b/>
          <w:sz w:val="28"/>
          <w:szCs w:val="28"/>
        </w:rPr>
        <w:t>on the implementation of the Convention</w:t>
      </w:r>
      <w:r w:rsidR="009455A9">
        <w:rPr>
          <w:rFonts w:cstheme="minorHAnsi"/>
          <w:b/>
          <w:sz w:val="28"/>
          <w:szCs w:val="28"/>
        </w:rPr>
        <w:t>:</w:t>
      </w:r>
    </w:p>
    <w:p w14:paraId="3324E332" w14:textId="709D4DC6" w:rsidR="009455A9" w:rsidRPr="00FC4BB8" w:rsidRDefault="009455A9" w:rsidP="001724A7">
      <w:pPr>
        <w:spacing w:after="0" w:line="240" w:lineRule="auto"/>
        <w:jc w:val="center"/>
        <w:rPr>
          <w:rFonts w:cstheme="minorHAnsi"/>
          <w:b/>
          <w:sz w:val="28"/>
          <w:szCs w:val="28"/>
        </w:rPr>
      </w:pPr>
      <w:r w:rsidRPr="009455A9">
        <w:rPr>
          <w:rFonts w:cstheme="minorHAnsi"/>
          <w:b/>
          <w:sz w:val="28"/>
          <w:szCs w:val="28"/>
        </w:rPr>
        <w:t>Work of the Secretariat</w:t>
      </w:r>
    </w:p>
    <w:p w14:paraId="38507C27" w14:textId="77777777" w:rsidR="001724A7" w:rsidRDefault="001724A7" w:rsidP="001724A7">
      <w:pPr>
        <w:spacing w:after="0" w:line="240" w:lineRule="auto"/>
        <w:rPr>
          <w:rFonts w:eastAsia="Times New Roman" w:cstheme="minorHAnsi"/>
          <w:lang w:eastAsia="fr-FR"/>
        </w:rPr>
      </w:pPr>
    </w:p>
    <w:p w14:paraId="2F66831E" w14:textId="77777777" w:rsidR="009936E3" w:rsidRPr="00FC4BB8" w:rsidRDefault="009936E3" w:rsidP="001724A7">
      <w:pPr>
        <w:spacing w:after="0" w:line="240" w:lineRule="auto"/>
        <w:rPr>
          <w:rFonts w:eastAsia="Times New Roman" w:cstheme="minorHAnsi"/>
          <w:lang w:eastAsia="fr-FR"/>
        </w:rPr>
      </w:pPr>
    </w:p>
    <w:p w14:paraId="02B7B23F" w14:textId="77777777" w:rsidR="001724A7" w:rsidRPr="00BF35A0" w:rsidRDefault="001724A7" w:rsidP="00BF35A0">
      <w:pPr>
        <w:pStyle w:val="BodyText3"/>
        <w:keepNext/>
        <w:spacing w:after="0" w:line="240" w:lineRule="auto"/>
        <w:ind w:left="425" w:hanging="425"/>
        <w:rPr>
          <w:rFonts w:cstheme="minorHAnsi"/>
          <w:b/>
          <w:color w:val="000000"/>
          <w:sz w:val="22"/>
          <w:szCs w:val="22"/>
        </w:rPr>
      </w:pPr>
      <w:r w:rsidRPr="00BF35A0">
        <w:rPr>
          <w:rFonts w:cstheme="minorHAnsi"/>
          <w:b/>
          <w:color w:val="000000"/>
          <w:sz w:val="22"/>
          <w:szCs w:val="22"/>
        </w:rPr>
        <w:t>Introduction</w:t>
      </w:r>
    </w:p>
    <w:p w14:paraId="5C3DD8B3" w14:textId="77777777" w:rsidR="001724A7" w:rsidRPr="00BF35A0" w:rsidRDefault="001724A7" w:rsidP="00BF35A0">
      <w:pPr>
        <w:pStyle w:val="NRFTitle3"/>
        <w:keepNext/>
        <w:numPr>
          <w:ilvl w:val="0"/>
          <w:numId w:val="0"/>
        </w:numPr>
        <w:tabs>
          <w:tab w:val="clear" w:pos="-743"/>
          <w:tab w:val="clear" w:pos="-2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lang w:val="en-GB"/>
        </w:rPr>
      </w:pPr>
    </w:p>
    <w:p w14:paraId="4BAF459D" w14:textId="16570B47" w:rsidR="001724A7" w:rsidRPr="00BF35A0" w:rsidRDefault="001724A7" w:rsidP="00BF35A0">
      <w:pPr>
        <w:pStyle w:val="BodyText"/>
        <w:ind w:left="425" w:hanging="425"/>
        <w:rPr>
          <w:rFonts w:asciiTheme="minorHAnsi" w:eastAsia="Carlito" w:hAnsiTheme="minorHAnsi" w:cstheme="minorHAnsi"/>
          <w:szCs w:val="22"/>
        </w:rPr>
      </w:pPr>
      <w:r w:rsidRPr="00BF35A0">
        <w:rPr>
          <w:rFonts w:asciiTheme="minorHAnsi" w:hAnsiTheme="minorHAnsi" w:cstheme="minorHAnsi"/>
          <w:szCs w:val="22"/>
          <w:lang w:val="en-GB"/>
        </w:rPr>
        <w:t>1.</w:t>
      </w:r>
      <w:r w:rsidRPr="00BF35A0">
        <w:rPr>
          <w:rFonts w:asciiTheme="minorHAnsi" w:hAnsiTheme="minorHAnsi" w:cstheme="minorHAnsi"/>
          <w:szCs w:val="22"/>
        </w:rPr>
        <w:tab/>
      </w:r>
      <w:r w:rsidRPr="00BF35A0">
        <w:rPr>
          <w:rFonts w:asciiTheme="minorHAnsi" w:hAnsiTheme="minorHAnsi" w:cstheme="minorHAnsi"/>
          <w:szCs w:val="22"/>
          <w:lang w:val="en-GB"/>
        </w:rPr>
        <w:t xml:space="preserve">The present report covers </w:t>
      </w:r>
      <w:r w:rsidRPr="00BF35A0">
        <w:rPr>
          <w:rFonts w:asciiTheme="minorHAnsi" w:eastAsia="Carlito" w:hAnsiTheme="minorHAnsi" w:cstheme="minorHAnsi"/>
          <w:szCs w:val="22"/>
        </w:rPr>
        <w:t>the Secretariat’s activities from 14 November 2022</w:t>
      </w:r>
      <w:r w:rsidR="0039155C">
        <w:rPr>
          <w:rFonts w:asciiTheme="minorHAnsi" w:eastAsia="Carlito" w:hAnsiTheme="minorHAnsi" w:cstheme="minorHAnsi"/>
          <w:szCs w:val="22"/>
        </w:rPr>
        <w:t>,</w:t>
      </w:r>
      <w:r w:rsidRPr="00BF35A0">
        <w:rPr>
          <w:rFonts w:asciiTheme="minorHAnsi" w:eastAsia="Carlito" w:hAnsiTheme="minorHAnsi" w:cstheme="minorHAnsi"/>
          <w:szCs w:val="22"/>
        </w:rPr>
        <w:t xml:space="preserve"> following the closing of </w:t>
      </w:r>
      <w:r w:rsidR="00E2491B">
        <w:rPr>
          <w:rFonts w:asciiTheme="minorHAnsi" w:eastAsia="Carlito" w:hAnsiTheme="minorHAnsi" w:cstheme="minorHAnsi"/>
          <w:szCs w:val="22"/>
        </w:rPr>
        <w:t>the 14th meeting of the Conference of the Contracting Parties (</w:t>
      </w:r>
      <w:r w:rsidRPr="00BF35A0">
        <w:rPr>
          <w:rFonts w:asciiTheme="minorHAnsi" w:eastAsia="Carlito" w:hAnsiTheme="minorHAnsi" w:cstheme="minorHAnsi"/>
          <w:szCs w:val="22"/>
        </w:rPr>
        <w:t>COP14</w:t>
      </w:r>
      <w:r w:rsidR="00E2491B">
        <w:rPr>
          <w:rFonts w:asciiTheme="minorHAnsi" w:eastAsia="Carlito" w:hAnsiTheme="minorHAnsi" w:cstheme="minorHAnsi"/>
          <w:szCs w:val="22"/>
        </w:rPr>
        <w:t>)</w:t>
      </w:r>
      <w:r w:rsidR="0039155C">
        <w:rPr>
          <w:rFonts w:asciiTheme="minorHAnsi" w:eastAsia="Carlito" w:hAnsiTheme="minorHAnsi" w:cstheme="minorHAnsi"/>
          <w:szCs w:val="22"/>
        </w:rPr>
        <w:t>,</w:t>
      </w:r>
      <w:r w:rsidRPr="00BF35A0">
        <w:rPr>
          <w:rFonts w:asciiTheme="minorHAnsi" w:eastAsia="Carlito" w:hAnsiTheme="minorHAnsi" w:cstheme="minorHAnsi"/>
          <w:szCs w:val="22"/>
        </w:rPr>
        <w:t xml:space="preserve"> through to </w:t>
      </w:r>
      <w:r w:rsidR="0057161F" w:rsidRPr="00BF35A0">
        <w:rPr>
          <w:rFonts w:asciiTheme="minorHAnsi" w:eastAsia="Carlito" w:hAnsiTheme="minorHAnsi" w:cstheme="minorHAnsi"/>
          <w:szCs w:val="22"/>
        </w:rPr>
        <w:t>1</w:t>
      </w:r>
      <w:r w:rsidR="0057161F">
        <w:rPr>
          <w:rFonts w:asciiTheme="minorHAnsi" w:eastAsia="Carlito" w:hAnsiTheme="minorHAnsi" w:cstheme="minorHAnsi"/>
          <w:szCs w:val="22"/>
        </w:rPr>
        <w:t> </w:t>
      </w:r>
      <w:r w:rsidRPr="00BF35A0">
        <w:rPr>
          <w:rFonts w:asciiTheme="minorHAnsi" w:eastAsia="Carlito" w:hAnsiTheme="minorHAnsi" w:cstheme="minorHAnsi"/>
          <w:szCs w:val="22"/>
        </w:rPr>
        <w:t>April 2025, providing both an overview and key highlights of the work accomplished during this triennium.</w:t>
      </w:r>
    </w:p>
    <w:p w14:paraId="1E0E68CF" w14:textId="77777777" w:rsidR="001724A7" w:rsidRPr="00BF35A0" w:rsidRDefault="001724A7" w:rsidP="00BF35A0">
      <w:pPr>
        <w:pStyle w:val="NRFBody"/>
        <w:numPr>
          <w:ilvl w:val="0"/>
          <w:numId w:val="0"/>
        </w:numPr>
        <w:rPr>
          <w:rFonts w:asciiTheme="minorHAnsi" w:hAnsiTheme="minorHAnsi" w:cstheme="minorHAnsi"/>
          <w:sz w:val="22"/>
          <w:szCs w:val="22"/>
          <w:lang w:val="en-GB"/>
        </w:rPr>
      </w:pPr>
    </w:p>
    <w:p w14:paraId="29D79FB2" w14:textId="77777777" w:rsidR="001724A7" w:rsidRPr="00BF35A0" w:rsidRDefault="001724A7" w:rsidP="00BF35A0">
      <w:pPr>
        <w:spacing w:after="0" w:line="240" w:lineRule="auto"/>
        <w:ind w:left="425" w:hanging="425"/>
        <w:rPr>
          <w:rFonts w:cstheme="minorHAnsi"/>
        </w:rPr>
      </w:pPr>
      <w:r w:rsidRPr="00BF35A0">
        <w:rPr>
          <w:rFonts w:cstheme="minorHAnsi"/>
        </w:rPr>
        <w:t>2.</w:t>
      </w:r>
      <w:r w:rsidRPr="00BF35A0">
        <w:rPr>
          <w:rFonts w:cstheme="minorHAnsi"/>
        </w:rPr>
        <w:tab/>
      </w:r>
      <w:r w:rsidRPr="00BF35A0">
        <w:rPr>
          <w:rFonts w:cstheme="minorHAnsi"/>
          <w:spacing w:val="-2"/>
        </w:rPr>
        <w:t>The Secretary General has reaffirmed her commitment to enhancing the Secretariat’s work to effectively fulfil its mandate as outlined in Article 8 of the Convention, and to carrying out the instructions set by the Conference of the Contracting Parties and the Standing Committee, to better support Contracting Parties in implementing the Convention’s Strategic Plan. This report is structured around the following key areas:</w:t>
      </w:r>
    </w:p>
    <w:p w14:paraId="501648FA"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Ensuring</w:t>
      </w:r>
      <w:r w:rsidRPr="00BF35A0">
        <w:rPr>
          <w:rFonts w:cstheme="minorHAnsi"/>
          <w:spacing w:val="-6"/>
        </w:rPr>
        <w:t xml:space="preserve"> </w:t>
      </w:r>
      <w:r w:rsidRPr="00BF35A0">
        <w:rPr>
          <w:rFonts w:cstheme="minorHAnsi"/>
        </w:rPr>
        <w:t>operational</w:t>
      </w:r>
      <w:r w:rsidRPr="00BF35A0">
        <w:rPr>
          <w:rFonts w:cstheme="minorHAnsi"/>
          <w:spacing w:val="-4"/>
        </w:rPr>
        <w:t xml:space="preserve"> </w:t>
      </w:r>
      <w:r w:rsidRPr="00BF35A0">
        <w:rPr>
          <w:rFonts w:cstheme="minorHAnsi"/>
        </w:rPr>
        <w:t>excellence</w:t>
      </w:r>
      <w:r w:rsidRPr="00BF35A0">
        <w:rPr>
          <w:rFonts w:cstheme="minorHAnsi"/>
          <w:spacing w:val="-5"/>
        </w:rPr>
        <w:t xml:space="preserve"> </w:t>
      </w:r>
      <w:r w:rsidRPr="00BF35A0">
        <w:rPr>
          <w:rFonts w:cstheme="minorHAnsi"/>
        </w:rPr>
        <w:t>in</w:t>
      </w:r>
      <w:r w:rsidRPr="00BF35A0">
        <w:rPr>
          <w:rFonts w:cstheme="minorHAnsi"/>
          <w:spacing w:val="-7"/>
        </w:rPr>
        <w:t xml:space="preserve"> </w:t>
      </w:r>
      <w:r w:rsidRPr="00BF35A0">
        <w:rPr>
          <w:rFonts w:cstheme="minorHAnsi"/>
        </w:rPr>
        <w:t>support</w:t>
      </w:r>
      <w:r w:rsidRPr="00BF35A0">
        <w:rPr>
          <w:rFonts w:cstheme="minorHAnsi"/>
          <w:spacing w:val="-7"/>
        </w:rPr>
        <w:t xml:space="preserve"> </w:t>
      </w:r>
      <w:r w:rsidRPr="00BF35A0">
        <w:rPr>
          <w:rFonts w:cstheme="minorHAnsi"/>
        </w:rPr>
        <w:t>of</w:t>
      </w:r>
      <w:r w:rsidRPr="00BF35A0">
        <w:rPr>
          <w:rFonts w:cstheme="minorHAnsi"/>
          <w:spacing w:val="-5"/>
        </w:rPr>
        <w:t xml:space="preserve"> </w:t>
      </w:r>
      <w:r w:rsidRPr="00BF35A0">
        <w:rPr>
          <w:rFonts w:cstheme="minorHAnsi"/>
        </w:rPr>
        <w:t>Contracting</w:t>
      </w:r>
      <w:r w:rsidRPr="00BF35A0">
        <w:rPr>
          <w:rFonts w:cstheme="minorHAnsi"/>
          <w:spacing w:val="-5"/>
        </w:rPr>
        <w:t xml:space="preserve"> </w:t>
      </w:r>
      <w:r w:rsidRPr="00BF35A0">
        <w:rPr>
          <w:rFonts w:cstheme="minorHAnsi"/>
          <w:spacing w:val="-2"/>
        </w:rPr>
        <w:t>Parties;</w:t>
      </w:r>
    </w:p>
    <w:p w14:paraId="01FA8C72"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Increasing</w:t>
      </w:r>
      <w:r w:rsidRPr="00BF35A0">
        <w:rPr>
          <w:rFonts w:cstheme="minorHAnsi"/>
          <w:spacing w:val="-7"/>
        </w:rPr>
        <w:t xml:space="preserve"> </w:t>
      </w:r>
      <w:r w:rsidRPr="00BF35A0">
        <w:rPr>
          <w:rFonts w:cstheme="minorHAnsi"/>
        </w:rPr>
        <w:t>visibility</w:t>
      </w:r>
      <w:r w:rsidRPr="00BF35A0">
        <w:rPr>
          <w:rFonts w:cstheme="minorHAnsi"/>
          <w:spacing w:val="-4"/>
        </w:rPr>
        <w:t xml:space="preserve"> </w:t>
      </w:r>
      <w:r w:rsidRPr="00BF35A0">
        <w:rPr>
          <w:rFonts w:cstheme="minorHAnsi"/>
        </w:rPr>
        <w:t>and</w:t>
      </w:r>
      <w:r w:rsidRPr="00BF35A0">
        <w:rPr>
          <w:rFonts w:cstheme="minorHAnsi"/>
          <w:spacing w:val="-5"/>
        </w:rPr>
        <w:t xml:space="preserve"> </w:t>
      </w:r>
      <w:r w:rsidRPr="00BF35A0">
        <w:rPr>
          <w:rFonts w:cstheme="minorHAnsi"/>
        </w:rPr>
        <w:t>awareness</w:t>
      </w:r>
      <w:r w:rsidRPr="00BF35A0">
        <w:rPr>
          <w:rFonts w:cstheme="minorHAnsi"/>
          <w:spacing w:val="-6"/>
        </w:rPr>
        <w:t xml:space="preserve"> </w:t>
      </w:r>
      <w:r w:rsidRPr="00BF35A0">
        <w:rPr>
          <w:rFonts w:cstheme="minorHAnsi"/>
        </w:rPr>
        <w:t>of</w:t>
      </w:r>
      <w:r w:rsidRPr="00BF35A0">
        <w:rPr>
          <w:rFonts w:cstheme="minorHAnsi"/>
          <w:spacing w:val="-5"/>
        </w:rPr>
        <w:t xml:space="preserve"> </w:t>
      </w:r>
      <w:r w:rsidRPr="00BF35A0">
        <w:rPr>
          <w:rFonts w:cstheme="minorHAnsi"/>
        </w:rPr>
        <w:t>the</w:t>
      </w:r>
      <w:r w:rsidRPr="00BF35A0">
        <w:rPr>
          <w:rFonts w:cstheme="minorHAnsi"/>
          <w:spacing w:val="-4"/>
        </w:rPr>
        <w:t xml:space="preserve"> </w:t>
      </w:r>
      <w:r w:rsidRPr="00BF35A0">
        <w:rPr>
          <w:rFonts w:cstheme="minorHAnsi"/>
        </w:rPr>
        <w:t>centrality</w:t>
      </w:r>
      <w:r w:rsidRPr="00BF35A0">
        <w:rPr>
          <w:rFonts w:cstheme="minorHAnsi"/>
          <w:spacing w:val="-6"/>
        </w:rPr>
        <w:t xml:space="preserve"> </w:t>
      </w:r>
      <w:r w:rsidRPr="00BF35A0">
        <w:rPr>
          <w:rFonts w:cstheme="minorHAnsi"/>
        </w:rPr>
        <w:t>of</w:t>
      </w:r>
      <w:r w:rsidRPr="00BF35A0">
        <w:rPr>
          <w:rFonts w:cstheme="minorHAnsi"/>
          <w:spacing w:val="-3"/>
        </w:rPr>
        <w:t xml:space="preserve"> </w:t>
      </w:r>
      <w:r w:rsidRPr="00BF35A0">
        <w:rPr>
          <w:rFonts w:cstheme="minorHAnsi"/>
        </w:rPr>
        <w:t>wetlands</w:t>
      </w:r>
      <w:r w:rsidRPr="00BF35A0">
        <w:rPr>
          <w:rFonts w:cstheme="minorHAnsi"/>
          <w:spacing w:val="-4"/>
        </w:rPr>
        <w:t xml:space="preserve"> </w:t>
      </w:r>
      <w:r w:rsidRPr="00BF35A0">
        <w:rPr>
          <w:rFonts w:cstheme="minorHAnsi"/>
        </w:rPr>
        <w:t>in</w:t>
      </w:r>
      <w:r w:rsidRPr="00BF35A0">
        <w:rPr>
          <w:rFonts w:cstheme="minorHAnsi"/>
          <w:spacing w:val="-4"/>
        </w:rPr>
        <w:t xml:space="preserve"> </w:t>
      </w:r>
      <w:r w:rsidRPr="00BF35A0">
        <w:rPr>
          <w:rFonts w:cstheme="minorHAnsi"/>
        </w:rPr>
        <w:t>global</w:t>
      </w:r>
      <w:r w:rsidRPr="00BF35A0">
        <w:rPr>
          <w:rFonts w:cstheme="minorHAnsi"/>
          <w:spacing w:val="-3"/>
        </w:rPr>
        <w:t xml:space="preserve"> </w:t>
      </w:r>
      <w:r w:rsidRPr="00BF35A0">
        <w:rPr>
          <w:rFonts w:cstheme="minorHAnsi"/>
          <w:spacing w:val="-2"/>
        </w:rPr>
        <w:t>processes;</w:t>
      </w:r>
    </w:p>
    <w:p w14:paraId="03EA9AEE"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Collaborating</w:t>
      </w:r>
      <w:r w:rsidRPr="00BF35A0">
        <w:rPr>
          <w:rFonts w:cstheme="minorHAnsi"/>
          <w:spacing w:val="-5"/>
        </w:rPr>
        <w:t xml:space="preserve"> </w:t>
      </w:r>
      <w:r w:rsidRPr="00BF35A0">
        <w:rPr>
          <w:rFonts w:cstheme="minorHAnsi"/>
        </w:rPr>
        <w:t>to</w:t>
      </w:r>
      <w:r w:rsidRPr="00BF35A0">
        <w:rPr>
          <w:rFonts w:cstheme="minorHAnsi"/>
          <w:spacing w:val="-3"/>
        </w:rPr>
        <w:t xml:space="preserve"> </w:t>
      </w:r>
      <w:r w:rsidRPr="00BF35A0">
        <w:rPr>
          <w:rFonts w:cstheme="minorHAnsi"/>
        </w:rPr>
        <w:t>achieve</w:t>
      </w:r>
      <w:r w:rsidRPr="00BF35A0">
        <w:rPr>
          <w:rFonts w:cstheme="minorHAnsi"/>
          <w:spacing w:val="-4"/>
        </w:rPr>
        <w:t xml:space="preserve"> </w:t>
      </w:r>
      <w:r w:rsidRPr="00BF35A0">
        <w:rPr>
          <w:rFonts w:cstheme="minorHAnsi"/>
        </w:rPr>
        <w:t>the</w:t>
      </w:r>
      <w:r w:rsidRPr="00BF35A0">
        <w:rPr>
          <w:rFonts w:cstheme="minorHAnsi"/>
          <w:spacing w:val="-2"/>
        </w:rPr>
        <w:t xml:space="preserve"> </w:t>
      </w:r>
      <w:r w:rsidRPr="00BF35A0">
        <w:rPr>
          <w:rFonts w:cstheme="minorHAnsi"/>
        </w:rPr>
        <w:t>Sustainable</w:t>
      </w:r>
      <w:r w:rsidRPr="00BF35A0">
        <w:rPr>
          <w:rFonts w:cstheme="minorHAnsi"/>
          <w:spacing w:val="-3"/>
        </w:rPr>
        <w:t xml:space="preserve"> </w:t>
      </w:r>
      <w:r w:rsidRPr="00BF35A0">
        <w:rPr>
          <w:rFonts w:cstheme="minorHAnsi"/>
        </w:rPr>
        <w:t>Development</w:t>
      </w:r>
      <w:r w:rsidRPr="00BF35A0">
        <w:rPr>
          <w:rFonts w:cstheme="minorHAnsi"/>
          <w:spacing w:val="-4"/>
        </w:rPr>
        <w:t xml:space="preserve"> </w:t>
      </w:r>
      <w:r w:rsidRPr="00BF35A0">
        <w:rPr>
          <w:rFonts w:cstheme="minorHAnsi"/>
        </w:rPr>
        <w:t>Goals</w:t>
      </w:r>
      <w:r w:rsidRPr="00BF35A0">
        <w:rPr>
          <w:rFonts w:cstheme="minorHAnsi"/>
          <w:spacing w:val="-5"/>
        </w:rPr>
        <w:t xml:space="preserve"> </w:t>
      </w:r>
      <w:r w:rsidRPr="00BF35A0">
        <w:rPr>
          <w:rFonts w:cstheme="minorHAnsi"/>
        </w:rPr>
        <w:t>(SDGs)</w:t>
      </w:r>
      <w:r w:rsidRPr="00BF35A0">
        <w:rPr>
          <w:rFonts w:cstheme="minorHAnsi"/>
          <w:spacing w:val="-2"/>
        </w:rPr>
        <w:t xml:space="preserve"> </w:t>
      </w:r>
      <w:r w:rsidRPr="00BF35A0">
        <w:rPr>
          <w:rFonts w:cstheme="minorHAnsi"/>
        </w:rPr>
        <w:t>and</w:t>
      </w:r>
      <w:r w:rsidRPr="00BF35A0">
        <w:rPr>
          <w:rFonts w:cstheme="minorHAnsi"/>
          <w:spacing w:val="-5"/>
        </w:rPr>
        <w:t xml:space="preserve"> </w:t>
      </w:r>
      <w:r w:rsidRPr="00BF35A0">
        <w:rPr>
          <w:rFonts w:cstheme="minorHAnsi"/>
        </w:rPr>
        <w:t>other</w:t>
      </w:r>
      <w:r w:rsidRPr="00BF35A0">
        <w:rPr>
          <w:rFonts w:cstheme="minorHAnsi"/>
          <w:spacing w:val="-4"/>
        </w:rPr>
        <w:t xml:space="preserve"> </w:t>
      </w:r>
      <w:r w:rsidRPr="00BF35A0">
        <w:rPr>
          <w:rFonts w:cstheme="minorHAnsi"/>
        </w:rPr>
        <w:t>global targets, and to enhance multilateralism; and</w:t>
      </w:r>
    </w:p>
    <w:p w14:paraId="5A4641B4"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Mobilizing</w:t>
      </w:r>
      <w:r w:rsidRPr="00BF35A0">
        <w:rPr>
          <w:rFonts w:cstheme="minorHAnsi"/>
          <w:spacing w:val="-8"/>
        </w:rPr>
        <w:t xml:space="preserve"> </w:t>
      </w:r>
      <w:r w:rsidRPr="00BF35A0">
        <w:rPr>
          <w:rFonts w:cstheme="minorHAnsi"/>
        </w:rPr>
        <w:t>resources</w:t>
      </w:r>
      <w:r w:rsidRPr="00BF35A0">
        <w:rPr>
          <w:rFonts w:cstheme="minorHAnsi"/>
          <w:spacing w:val="-4"/>
        </w:rPr>
        <w:t xml:space="preserve"> </w:t>
      </w:r>
      <w:r w:rsidRPr="00BF35A0">
        <w:rPr>
          <w:rFonts w:cstheme="minorHAnsi"/>
        </w:rPr>
        <w:t>to</w:t>
      </w:r>
      <w:r w:rsidRPr="00BF35A0">
        <w:rPr>
          <w:rFonts w:cstheme="minorHAnsi"/>
          <w:spacing w:val="-3"/>
        </w:rPr>
        <w:t xml:space="preserve"> </w:t>
      </w:r>
      <w:r w:rsidRPr="00BF35A0">
        <w:rPr>
          <w:rFonts w:cstheme="minorHAnsi"/>
        </w:rPr>
        <w:t>support</w:t>
      </w:r>
      <w:r w:rsidRPr="00BF35A0">
        <w:rPr>
          <w:rFonts w:cstheme="minorHAnsi"/>
          <w:spacing w:val="-4"/>
        </w:rPr>
        <w:t xml:space="preserve"> the </w:t>
      </w:r>
      <w:r w:rsidRPr="00BF35A0">
        <w:rPr>
          <w:rFonts w:cstheme="minorHAnsi"/>
        </w:rPr>
        <w:t>implementation</w:t>
      </w:r>
      <w:r w:rsidRPr="00BF35A0">
        <w:rPr>
          <w:rFonts w:cstheme="minorHAnsi"/>
          <w:spacing w:val="-7"/>
        </w:rPr>
        <w:t xml:space="preserve"> </w:t>
      </w:r>
      <w:r w:rsidRPr="00BF35A0">
        <w:rPr>
          <w:rFonts w:cstheme="minorHAnsi"/>
        </w:rPr>
        <w:t>of</w:t>
      </w:r>
      <w:r w:rsidRPr="00BF35A0">
        <w:rPr>
          <w:rFonts w:cstheme="minorHAnsi"/>
          <w:spacing w:val="-6"/>
        </w:rPr>
        <w:t xml:space="preserve"> </w:t>
      </w:r>
      <w:r w:rsidRPr="00BF35A0">
        <w:rPr>
          <w:rFonts w:cstheme="minorHAnsi"/>
        </w:rPr>
        <w:t>the</w:t>
      </w:r>
      <w:r w:rsidRPr="00BF35A0">
        <w:rPr>
          <w:rFonts w:cstheme="minorHAnsi"/>
          <w:spacing w:val="-6"/>
        </w:rPr>
        <w:t xml:space="preserve"> </w:t>
      </w:r>
      <w:r w:rsidRPr="00BF35A0">
        <w:rPr>
          <w:rFonts w:cstheme="minorHAnsi"/>
          <w:spacing w:val="-2"/>
        </w:rPr>
        <w:t>Convention.</w:t>
      </w:r>
    </w:p>
    <w:p w14:paraId="54536B6D" w14:textId="77777777" w:rsidR="001724A7" w:rsidRPr="00BF35A0" w:rsidRDefault="001724A7" w:rsidP="00BF35A0">
      <w:pPr>
        <w:tabs>
          <w:tab w:val="left" w:pos="1072"/>
        </w:tabs>
        <w:autoSpaceDE w:val="0"/>
        <w:autoSpaceDN w:val="0"/>
        <w:spacing w:after="0" w:line="240" w:lineRule="auto"/>
        <w:rPr>
          <w:rFonts w:cstheme="minorHAnsi"/>
        </w:rPr>
      </w:pPr>
    </w:p>
    <w:p w14:paraId="1F4D055F" w14:textId="77777777" w:rsidR="001724A7" w:rsidRPr="00BF35A0" w:rsidRDefault="001724A7" w:rsidP="00BF35A0">
      <w:pPr>
        <w:keepNext/>
        <w:autoSpaceDE w:val="0"/>
        <w:autoSpaceDN w:val="0"/>
        <w:spacing w:after="0" w:line="240" w:lineRule="auto"/>
        <w:ind w:left="425" w:hanging="425"/>
        <w:outlineLvl w:val="0"/>
        <w:rPr>
          <w:rFonts w:eastAsia="Carlito" w:cstheme="minorHAnsi"/>
          <w:b/>
          <w:bCs/>
          <w:lang w:val="en-US"/>
        </w:rPr>
      </w:pPr>
      <w:r w:rsidRPr="00BF35A0">
        <w:rPr>
          <w:rFonts w:eastAsia="Carlito" w:cstheme="minorHAnsi"/>
          <w:b/>
          <w:bCs/>
          <w:lang w:val="en-US"/>
        </w:rPr>
        <w:t>Ensuring</w:t>
      </w:r>
      <w:r w:rsidRPr="00BF35A0">
        <w:rPr>
          <w:rFonts w:eastAsia="Carlito" w:cstheme="minorHAnsi"/>
          <w:b/>
          <w:bCs/>
          <w:spacing w:val="-7"/>
          <w:lang w:val="en-US"/>
        </w:rPr>
        <w:t xml:space="preserve"> </w:t>
      </w:r>
      <w:r w:rsidRPr="00BF35A0">
        <w:rPr>
          <w:rFonts w:eastAsia="Carlito" w:cstheme="minorHAnsi"/>
          <w:b/>
          <w:bCs/>
          <w:lang w:val="en-US"/>
        </w:rPr>
        <w:t>operational</w:t>
      </w:r>
      <w:r w:rsidRPr="00BF35A0">
        <w:rPr>
          <w:rFonts w:eastAsia="Carlito" w:cstheme="minorHAnsi"/>
          <w:b/>
          <w:bCs/>
          <w:spacing w:val="-4"/>
          <w:lang w:val="en-US"/>
        </w:rPr>
        <w:t xml:space="preserve"> </w:t>
      </w:r>
      <w:r w:rsidRPr="00BF35A0">
        <w:rPr>
          <w:rFonts w:eastAsia="Carlito" w:cstheme="minorHAnsi"/>
          <w:b/>
          <w:bCs/>
          <w:lang w:val="en-US"/>
        </w:rPr>
        <w:t>excellence</w:t>
      </w:r>
      <w:r w:rsidRPr="00BF35A0">
        <w:rPr>
          <w:rFonts w:eastAsia="Carlito" w:cstheme="minorHAnsi"/>
          <w:b/>
          <w:bCs/>
          <w:spacing w:val="-6"/>
          <w:lang w:val="en-US"/>
        </w:rPr>
        <w:t xml:space="preserve"> </w:t>
      </w:r>
      <w:r w:rsidRPr="00BF35A0">
        <w:rPr>
          <w:rFonts w:eastAsia="Carlito" w:cstheme="minorHAnsi"/>
          <w:b/>
          <w:bCs/>
          <w:lang w:val="en-US"/>
        </w:rPr>
        <w:t>in</w:t>
      </w:r>
      <w:r w:rsidRPr="00BF35A0">
        <w:rPr>
          <w:rFonts w:eastAsia="Carlito" w:cstheme="minorHAnsi"/>
          <w:b/>
          <w:bCs/>
          <w:spacing w:val="-9"/>
          <w:lang w:val="en-US"/>
        </w:rPr>
        <w:t xml:space="preserve"> </w:t>
      </w:r>
      <w:r w:rsidRPr="00BF35A0">
        <w:rPr>
          <w:rFonts w:eastAsia="Carlito" w:cstheme="minorHAnsi"/>
          <w:b/>
          <w:bCs/>
          <w:lang w:val="en-US"/>
        </w:rPr>
        <w:t>support</w:t>
      </w:r>
      <w:r w:rsidRPr="00BF35A0">
        <w:rPr>
          <w:rFonts w:eastAsia="Carlito" w:cstheme="minorHAnsi"/>
          <w:b/>
          <w:bCs/>
          <w:spacing w:val="-6"/>
          <w:lang w:val="en-US"/>
        </w:rPr>
        <w:t xml:space="preserve"> </w:t>
      </w:r>
      <w:r w:rsidRPr="00BF35A0">
        <w:rPr>
          <w:rFonts w:eastAsia="Carlito" w:cstheme="minorHAnsi"/>
          <w:b/>
          <w:bCs/>
          <w:lang w:val="en-US"/>
        </w:rPr>
        <w:t>of</w:t>
      </w:r>
      <w:r w:rsidRPr="00BF35A0">
        <w:rPr>
          <w:rFonts w:eastAsia="Carlito" w:cstheme="minorHAnsi"/>
          <w:b/>
          <w:bCs/>
          <w:spacing w:val="-6"/>
          <w:lang w:val="en-US"/>
        </w:rPr>
        <w:t xml:space="preserve"> </w:t>
      </w:r>
      <w:r w:rsidRPr="00BF35A0">
        <w:rPr>
          <w:rFonts w:eastAsia="Carlito" w:cstheme="minorHAnsi"/>
          <w:b/>
          <w:bCs/>
          <w:lang w:val="en-US"/>
        </w:rPr>
        <w:t>Contracting</w:t>
      </w:r>
      <w:r w:rsidRPr="00BF35A0">
        <w:rPr>
          <w:rFonts w:eastAsia="Carlito" w:cstheme="minorHAnsi"/>
          <w:b/>
          <w:bCs/>
          <w:spacing w:val="-6"/>
          <w:lang w:val="en-US"/>
        </w:rPr>
        <w:t xml:space="preserve"> </w:t>
      </w:r>
      <w:r w:rsidRPr="00BF35A0">
        <w:rPr>
          <w:rFonts w:eastAsia="Carlito" w:cstheme="minorHAnsi"/>
          <w:b/>
          <w:bCs/>
          <w:spacing w:val="-2"/>
          <w:lang w:val="en-US"/>
        </w:rPr>
        <w:t>Parties</w:t>
      </w:r>
    </w:p>
    <w:p w14:paraId="68D3E001" w14:textId="77777777" w:rsidR="001724A7" w:rsidRPr="00BF35A0" w:rsidRDefault="001724A7" w:rsidP="00BF35A0">
      <w:pPr>
        <w:pStyle w:val="NRFTitle3"/>
        <w:keepNext/>
        <w:numPr>
          <w:ilvl w:val="0"/>
          <w:numId w:val="0"/>
        </w:numPr>
        <w:tabs>
          <w:tab w:val="clear" w:pos="-74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lang w:val="en-GB"/>
        </w:rPr>
      </w:pPr>
    </w:p>
    <w:p w14:paraId="2C09FB4F" w14:textId="5FD5A933" w:rsidR="00763CFF" w:rsidRPr="00BF35A0" w:rsidRDefault="001724A7" w:rsidP="00BF35A0">
      <w:pPr>
        <w:pStyle w:val="BodyText3"/>
        <w:spacing w:after="0" w:line="240" w:lineRule="auto"/>
        <w:ind w:left="426" w:hanging="426"/>
        <w:rPr>
          <w:rFonts w:cstheme="minorHAnsi"/>
          <w:sz w:val="22"/>
          <w:szCs w:val="22"/>
        </w:rPr>
      </w:pPr>
      <w:r w:rsidRPr="00BF35A0">
        <w:rPr>
          <w:rFonts w:cstheme="minorHAnsi"/>
          <w:sz w:val="22"/>
          <w:szCs w:val="22"/>
        </w:rPr>
        <w:t>3.</w:t>
      </w:r>
      <w:r w:rsidRPr="00BF35A0">
        <w:rPr>
          <w:rFonts w:cstheme="minorHAnsi"/>
          <w:sz w:val="22"/>
          <w:szCs w:val="22"/>
        </w:rPr>
        <w:tab/>
      </w:r>
      <w:r w:rsidRPr="00BF35A0">
        <w:rPr>
          <w:rFonts w:eastAsia="Carlito" w:cstheme="minorHAnsi"/>
          <w:sz w:val="22"/>
          <w:szCs w:val="22"/>
        </w:rPr>
        <w:t>The delivery of the Secretariat’s core role in supporting Contracting Parties includes the organization of meetings of governing and subsidiary bodies</w:t>
      </w:r>
      <w:r w:rsidR="00763CFF" w:rsidRPr="00BF35A0">
        <w:rPr>
          <w:rFonts w:cstheme="minorHAnsi"/>
          <w:color w:val="000000" w:themeColor="text1"/>
          <w:sz w:val="22"/>
          <w:szCs w:val="22"/>
        </w:rPr>
        <w:t xml:space="preserve"> including the COP, the Standing Committee and the Scientific and Technical Review Panel (STRP). During this reporting period, the Secretariat has overseen logistical arrangements, prepared meeting documents and facilitated the convening of </w:t>
      </w:r>
      <w:r w:rsidR="00E2491B" w:rsidRPr="00BF35A0">
        <w:rPr>
          <w:rFonts w:cstheme="minorHAnsi"/>
          <w:color w:val="000000" w:themeColor="text1"/>
          <w:sz w:val="22"/>
          <w:szCs w:val="22"/>
        </w:rPr>
        <w:t>the 62nd, 63rd and 64th meetings of the Standing Committee</w:t>
      </w:r>
      <w:r w:rsidR="00763CFF" w:rsidRPr="00BF35A0">
        <w:rPr>
          <w:rFonts w:cstheme="minorHAnsi"/>
          <w:color w:val="000000" w:themeColor="text1"/>
          <w:sz w:val="22"/>
          <w:szCs w:val="22"/>
        </w:rPr>
        <w:t>.</w:t>
      </w:r>
    </w:p>
    <w:p w14:paraId="7616F303" w14:textId="0B22DA6E" w:rsidR="001724A7" w:rsidRPr="00BF35A0" w:rsidRDefault="00763CFF" w:rsidP="00BF35A0">
      <w:pPr>
        <w:pStyle w:val="NRFTitle3"/>
        <w:numPr>
          <w:ilvl w:val="2"/>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rPr>
      </w:pPr>
      <w:r w:rsidRPr="00BF35A0">
        <w:rPr>
          <w:rFonts w:asciiTheme="minorHAnsi" w:eastAsia="Carlito" w:hAnsiTheme="minorHAnsi" w:cstheme="minorHAnsi"/>
          <w:color w:val="auto"/>
          <w:sz w:val="22"/>
          <w:szCs w:val="22"/>
        </w:rPr>
        <w:t xml:space="preserve"> </w:t>
      </w:r>
    </w:p>
    <w:p w14:paraId="31370EDB" w14:textId="26D92916" w:rsidR="001724A7" w:rsidRPr="00BF35A0" w:rsidRDefault="005C192B" w:rsidP="00BF35A0">
      <w:pPr>
        <w:pStyle w:val="NRFBody"/>
        <w:numPr>
          <w:ilvl w:val="0"/>
          <w:numId w:val="0"/>
        </w:numPr>
        <w:ind w:left="426" w:hanging="426"/>
        <w:rPr>
          <w:rFonts w:asciiTheme="minorHAnsi" w:hAnsiTheme="minorHAnsi" w:cstheme="minorHAnsi"/>
          <w:sz w:val="22"/>
          <w:szCs w:val="22"/>
          <w:lang w:val="en-GB"/>
        </w:rPr>
      </w:pPr>
      <w:r w:rsidRPr="00BF35A0">
        <w:rPr>
          <w:rFonts w:asciiTheme="minorHAnsi" w:hAnsiTheme="minorHAnsi" w:cstheme="minorHAnsi"/>
          <w:sz w:val="22"/>
          <w:szCs w:val="22"/>
          <w:lang w:val="en-GB"/>
        </w:rPr>
        <w:t>4</w:t>
      </w:r>
      <w:r w:rsidR="001724A7" w:rsidRPr="00BF35A0">
        <w:rPr>
          <w:rFonts w:asciiTheme="minorHAnsi" w:hAnsiTheme="minorHAnsi" w:cstheme="minorHAnsi"/>
          <w:sz w:val="22"/>
          <w:szCs w:val="22"/>
          <w:lang w:val="en-GB"/>
        </w:rPr>
        <w:t>.</w:t>
      </w:r>
      <w:r w:rsidR="001724A7" w:rsidRPr="00BF35A0">
        <w:rPr>
          <w:rFonts w:asciiTheme="minorHAnsi" w:hAnsiTheme="minorHAnsi" w:cstheme="minorHAnsi"/>
          <w:sz w:val="22"/>
          <w:szCs w:val="22"/>
        </w:rPr>
        <w:tab/>
      </w:r>
      <w:r w:rsidR="00763CFF" w:rsidRPr="00BF35A0">
        <w:rPr>
          <w:rFonts w:asciiTheme="minorHAnsi" w:eastAsiaTheme="minorHAnsi" w:hAnsiTheme="minorHAnsi" w:cstheme="minorHAnsi"/>
          <w:color w:val="000000" w:themeColor="text1"/>
          <w:sz w:val="22"/>
          <w:szCs w:val="22"/>
          <w:lang w:val="en-GB"/>
        </w:rPr>
        <w:t xml:space="preserve">The Secretariat organized </w:t>
      </w:r>
      <w:r w:rsidR="00E2491B" w:rsidRPr="00BF35A0">
        <w:rPr>
          <w:rFonts w:asciiTheme="minorHAnsi" w:hAnsiTheme="minorHAnsi" w:cstheme="minorHAnsi"/>
          <w:color w:val="000000" w:themeColor="text1"/>
          <w:sz w:val="22"/>
          <w:szCs w:val="22"/>
        </w:rPr>
        <w:t>SC62, SC63, SC64 and SC65</w:t>
      </w:r>
      <w:r w:rsidR="00E2491B">
        <w:rPr>
          <w:rFonts w:asciiTheme="minorHAnsi" w:hAnsiTheme="minorHAnsi" w:cstheme="minorHAnsi"/>
          <w:color w:val="000000" w:themeColor="text1"/>
          <w:sz w:val="22"/>
          <w:szCs w:val="22"/>
        </w:rPr>
        <w:t xml:space="preserve"> </w:t>
      </w:r>
      <w:r w:rsidR="00763CFF" w:rsidRPr="00BF35A0">
        <w:rPr>
          <w:rFonts w:asciiTheme="minorHAnsi" w:eastAsiaTheme="minorHAnsi" w:hAnsiTheme="minorHAnsi" w:cstheme="minorHAnsi"/>
          <w:color w:val="000000" w:themeColor="text1"/>
          <w:sz w:val="22"/>
          <w:szCs w:val="22"/>
          <w:lang w:val="en-GB"/>
        </w:rPr>
        <w:t xml:space="preserve">between 2023 and 2025. There was strong attendance and engagement from </w:t>
      </w:r>
      <w:r w:rsidR="00E2491B">
        <w:rPr>
          <w:rFonts w:asciiTheme="minorHAnsi" w:eastAsiaTheme="minorHAnsi" w:hAnsiTheme="minorHAnsi" w:cstheme="minorHAnsi"/>
          <w:color w:val="000000" w:themeColor="text1"/>
          <w:sz w:val="22"/>
          <w:szCs w:val="22"/>
          <w:lang w:val="en-GB"/>
        </w:rPr>
        <w:t>C</w:t>
      </w:r>
      <w:r w:rsidR="00763CFF" w:rsidRPr="00BF35A0">
        <w:rPr>
          <w:rFonts w:asciiTheme="minorHAnsi" w:eastAsiaTheme="minorHAnsi" w:hAnsiTheme="minorHAnsi" w:cstheme="minorHAnsi"/>
          <w:color w:val="000000" w:themeColor="text1"/>
          <w:sz w:val="22"/>
          <w:szCs w:val="22"/>
          <w:lang w:val="en-GB"/>
        </w:rPr>
        <w:t xml:space="preserve">ontracting Parties and </w:t>
      </w:r>
      <w:r w:rsidR="00E2491B">
        <w:rPr>
          <w:rFonts w:asciiTheme="minorHAnsi" w:eastAsiaTheme="minorHAnsi" w:hAnsiTheme="minorHAnsi" w:cstheme="minorHAnsi"/>
          <w:color w:val="000000" w:themeColor="text1"/>
          <w:sz w:val="22"/>
          <w:szCs w:val="22"/>
          <w:lang w:val="en-GB"/>
        </w:rPr>
        <w:t>o</w:t>
      </w:r>
      <w:r w:rsidR="00763CFF" w:rsidRPr="00BF35A0">
        <w:rPr>
          <w:rFonts w:asciiTheme="minorHAnsi" w:eastAsiaTheme="minorHAnsi" w:hAnsiTheme="minorHAnsi" w:cstheme="minorHAnsi"/>
          <w:color w:val="000000" w:themeColor="text1"/>
          <w:sz w:val="22"/>
          <w:szCs w:val="22"/>
          <w:lang w:val="en-GB"/>
        </w:rPr>
        <w:t>bservers at these meetings.</w:t>
      </w:r>
      <w:r w:rsidR="00763CFF" w:rsidRPr="00BF35A0">
        <w:rPr>
          <w:rFonts w:asciiTheme="minorHAnsi" w:hAnsiTheme="minorHAnsi" w:cstheme="minorHAnsi"/>
          <w:sz w:val="22"/>
          <w:szCs w:val="22"/>
        </w:rPr>
        <w:t xml:space="preserve"> </w:t>
      </w:r>
      <w:r w:rsidR="00763CFF" w:rsidRPr="00BF35A0">
        <w:rPr>
          <w:rFonts w:asciiTheme="minorHAnsi" w:hAnsiTheme="minorHAnsi" w:cstheme="minorHAnsi"/>
          <w:sz w:val="22"/>
          <w:szCs w:val="22"/>
        </w:rPr>
        <w:br/>
      </w:r>
    </w:p>
    <w:p w14:paraId="5EFB1941" w14:textId="61B354B2" w:rsidR="005A6AE0"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 xml:space="preserve">Participation at SC62 </w:t>
      </w:r>
      <w:r w:rsidR="00E2491B">
        <w:rPr>
          <w:rFonts w:cstheme="minorHAnsi"/>
        </w:rPr>
        <w:t xml:space="preserve">in September 2023 </w:t>
      </w:r>
      <w:r w:rsidR="005D0048" w:rsidRPr="00BF35A0">
        <w:rPr>
          <w:rFonts w:cstheme="minorHAnsi"/>
        </w:rPr>
        <w:t>included</w:t>
      </w:r>
      <w:r w:rsidRPr="00BF35A0">
        <w:rPr>
          <w:rFonts w:cstheme="minorHAnsi"/>
        </w:rPr>
        <w:t xml:space="preserve"> 147 in-person delegates from 45 Contracting Parties and 21 observer organizations, alongside 130 daily online participants. </w:t>
      </w:r>
      <w:r w:rsidR="005A6AE0" w:rsidRPr="00BF35A0">
        <w:rPr>
          <w:rFonts w:cstheme="minorHAnsi"/>
        </w:rPr>
        <w:br/>
      </w:r>
    </w:p>
    <w:p w14:paraId="6141C0CA" w14:textId="19960ADE" w:rsidR="005A6AE0" w:rsidRPr="00BF35A0" w:rsidRDefault="00E2491B" w:rsidP="00BF35A0">
      <w:pPr>
        <w:pStyle w:val="ListParagraph"/>
        <w:numPr>
          <w:ilvl w:val="0"/>
          <w:numId w:val="3"/>
        </w:numPr>
        <w:autoSpaceDE w:val="0"/>
        <w:autoSpaceDN w:val="0"/>
        <w:spacing w:after="0" w:line="240" w:lineRule="auto"/>
        <w:ind w:left="851" w:hanging="425"/>
        <w:rPr>
          <w:rFonts w:cstheme="minorHAnsi"/>
        </w:rPr>
      </w:pPr>
      <w:r>
        <w:rPr>
          <w:rFonts w:cstheme="minorHAnsi"/>
        </w:rPr>
        <w:lastRenderedPageBreak/>
        <w:t>P</w:t>
      </w:r>
      <w:r w:rsidR="001724A7" w:rsidRPr="00BF35A0">
        <w:rPr>
          <w:rFonts w:cstheme="minorHAnsi"/>
        </w:rPr>
        <w:t xml:space="preserve">articipation </w:t>
      </w:r>
      <w:r>
        <w:rPr>
          <w:rFonts w:cstheme="minorHAnsi"/>
        </w:rPr>
        <w:t xml:space="preserve">at SC63 in June 2024 </w:t>
      </w:r>
      <w:r w:rsidR="001724A7" w:rsidRPr="00BF35A0">
        <w:rPr>
          <w:rFonts w:cstheme="minorHAnsi"/>
        </w:rPr>
        <w:t>included 126 delegates from 48 Contracting Parties, 23 observer organizations</w:t>
      </w:r>
      <w:r w:rsidR="00222762" w:rsidRPr="00BF35A0">
        <w:rPr>
          <w:rFonts w:cstheme="minorHAnsi"/>
        </w:rPr>
        <w:t xml:space="preserve"> </w:t>
      </w:r>
      <w:r w:rsidR="001724A7" w:rsidRPr="00BF35A0">
        <w:rPr>
          <w:rFonts w:cstheme="minorHAnsi"/>
        </w:rPr>
        <w:t>and 112 daily online participants. Logistical improvements to enhance participation were introduced at both meetings</w:t>
      </w:r>
      <w:r>
        <w:rPr>
          <w:rFonts w:cstheme="minorHAnsi"/>
        </w:rPr>
        <w:t>,</w:t>
      </w:r>
      <w:r w:rsidR="001724A7" w:rsidRPr="00BF35A0">
        <w:rPr>
          <w:rFonts w:cstheme="minorHAnsi"/>
        </w:rPr>
        <w:t xml:space="preserve"> including a hybrid setup for an observer overflow room, the </w:t>
      </w:r>
      <w:r>
        <w:rPr>
          <w:rFonts w:cstheme="minorHAnsi"/>
        </w:rPr>
        <w:t xml:space="preserve">displaying of the </w:t>
      </w:r>
      <w:r w:rsidR="001724A7" w:rsidRPr="00BF35A0">
        <w:rPr>
          <w:rFonts w:cstheme="minorHAnsi"/>
        </w:rPr>
        <w:t>agenda item being discussed on the plenary screen</w:t>
      </w:r>
      <w:r w:rsidR="005D0048" w:rsidRPr="00BF35A0">
        <w:rPr>
          <w:rFonts w:cstheme="minorHAnsi"/>
        </w:rPr>
        <w:t xml:space="preserve"> </w:t>
      </w:r>
      <w:r w:rsidR="001724A7" w:rsidRPr="00BF35A0">
        <w:rPr>
          <w:rFonts w:cstheme="minorHAnsi"/>
        </w:rPr>
        <w:t>and updated nameplates.</w:t>
      </w:r>
      <w:r w:rsidR="005A6AE0" w:rsidRPr="00BF35A0">
        <w:rPr>
          <w:rFonts w:cstheme="minorHAnsi"/>
        </w:rPr>
        <w:br/>
      </w:r>
    </w:p>
    <w:p w14:paraId="2460A27C" w14:textId="6B9846CB"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 xml:space="preserve">SC64 </w:t>
      </w:r>
      <w:r w:rsidR="00E2491B">
        <w:rPr>
          <w:rFonts w:cstheme="minorHAnsi"/>
        </w:rPr>
        <w:t>in</w:t>
      </w:r>
      <w:r w:rsidRPr="00BF35A0">
        <w:rPr>
          <w:rFonts w:cstheme="minorHAnsi"/>
        </w:rPr>
        <w:t xml:space="preserve"> January 2025 maintained high levels of engagement, drawing 113 delegates from 52 Contracting Parties, </w:t>
      </w:r>
      <w:r w:rsidR="00E2491B">
        <w:rPr>
          <w:rFonts w:cstheme="minorHAnsi"/>
        </w:rPr>
        <w:t>nine</w:t>
      </w:r>
      <w:r w:rsidR="00E2491B" w:rsidRPr="00BF35A0">
        <w:rPr>
          <w:rFonts w:cstheme="minorHAnsi"/>
        </w:rPr>
        <w:t xml:space="preserve"> </w:t>
      </w:r>
      <w:r w:rsidRPr="00BF35A0">
        <w:rPr>
          <w:rFonts w:cstheme="minorHAnsi"/>
        </w:rPr>
        <w:t xml:space="preserve">observer organizations and up to 76 online participants daily. A survey of participants from all three meetings highlighted satisfaction with logistical arrangements and meeting organization, </w:t>
      </w:r>
      <w:r w:rsidR="00E2491B">
        <w:rPr>
          <w:rFonts w:cstheme="minorHAnsi"/>
        </w:rPr>
        <w:t>demonstrating</w:t>
      </w:r>
      <w:r w:rsidR="00E2491B" w:rsidRPr="00BF35A0">
        <w:rPr>
          <w:rFonts w:cstheme="minorHAnsi"/>
        </w:rPr>
        <w:t xml:space="preserve"> </w:t>
      </w:r>
      <w:r w:rsidRPr="00BF35A0">
        <w:rPr>
          <w:rFonts w:cstheme="minorHAnsi"/>
        </w:rPr>
        <w:t xml:space="preserve">the Secretariat’s commitment to operational </w:t>
      </w:r>
      <w:r w:rsidR="00166083" w:rsidRPr="00BF35A0">
        <w:rPr>
          <w:rFonts w:cstheme="minorHAnsi"/>
        </w:rPr>
        <w:t>excellence in</w:t>
      </w:r>
      <w:r w:rsidRPr="00BF35A0">
        <w:rPr>
          <w:rFonts w:cstheme="minorHAnsi"/>
        </w:rPr>
        <w:t xml:space="preserve"> support of Contracting Parties.</w:t>
      </w:r>
    </w:p>
    <w:p w14:paraId="6372D4A3" w14:textId="77777777" w:rsidR="001724A7" w:rsidRPr="00BF35A0" w:rsidRDefault="001724A7" w:rsidP="00BF35A0">
      <w:pPr>
        <w:pStyle w:val="NRFBody"/>
        <w:numPr>
          <w:ilvl w:val="0"/>
          <w:numId w:val="0"/>
        </w:numPr>
        <w:ind w:left="426" w:hanging="426"/>
        <w:rPr>
          <w:rFonts w:asciiTheme="minorHAnsi" w:hAnsiTheme="minorHAnsi" w:cstheme="minorHAnsi"/>
          <w:sz w:val="22"/>
          <w:szCs w:val="22"/>
          <w:lang w:val="en-GB"/>
        </w:rPr>
      </w:pPr>
    </w:p>
    <w:p w14:paraId="35E0DFF5" w14:textId="55A35A49" w:rsidR="001724A7" w:rsidRPr="00BF35A0" w:rsidRDefault="005C192B" w:rsidP="00BF35A0">
      <w:pPr>
        <w:pStyle w:val="NRFBody"/>
        <w:numPr>
          <w:ilvl w:val="0"/>
          <w:numId w:val="0"/>
        </w:numPr>
        <w:ind w:left="426" w:hanging="426"/>
        <w:rPr>
          <w:rFonts w:asciiTheme="minorHAnsi" w:hAnsiTheme="minorHAnsi" w:cstheme="minorHAnsi"/>
          <w:sz w:val="22"/>
          <w:szCs w:val="22"/>
          <w:lang w:val="en-GB"/>
        </w:rPr>
      </w:pPr>
      <w:r w:rsidRPr="00BF35A0">
        <w:rPr>
          <w:rFonts w:asciiTheme="minorHAnsi" w:hAnsiTheme="minorHAnsi" w:cstheme="minorHAnsi"/>
          <w:sz w:val="22"/>
          <w:szCs w:val="22"/>
          <w:lang w:val="en-GB"/>
        </w:rPr>
        <w:t>5</w:t>
      </w:r>
      <w:r w:rsidR="001724A7" w:rsidRPr="00BF35A0">
        <w:rPr>
          <w:rFonts w:asciiTheme="minorHAnsi" w:hAnsiTheme="minorHAnsi" w:cstheme="minorHAnsi"/>
          <w:sz w:val="22"/>
          <w:szCs w:val="22"/>
          <w:lang w:val="en-GB"/>
        </w:rPr>
        <w:t>.</w:t>
      </w:r>
      <w:r w:rsidR="009936E3" w:rsidRPr="00BF35A0">
        <w:rPr>
          <w:rFonts w:asciiTheme="minorHAnsi" w:hAnsiTheme="minorHAnsi" w:cstheme="minorHAnsi"/>
          <w:sz w:val="22"/>
          <w:szCs w:val="22"/>
          <w:lang w:val="en-GB"/>
        </w:rPr>
        <w:tab/>
      </w:r>
      <w:r w:rsidR="001724A7" w:rsidRPr="00BF35A0">
        <w:rPr>
          <w:rFonts w:asciiTheme="minorHAnsi" w:hAnsiTheme="minorHAnsi" w:cstheme="minorHAnsi"/>
          <w:sz w:val="22"/>
          <w:szCs w:val="22"/>
          <w:lang w:val="en-GB"/>
        </w:rPr>
        <w:t>Preparations for COP15 in Victoria Falls</w:t>
      </w:r>
      <w:r w:rsidR="00E2491B">
        <w:rPr>
          <w:rFonts w:asciiTheme="minorHAnsi" w:hAnsiTheme="minorHAnsi" w:cstheme="minorHAnsi"/>
          <w:sz w:val="22"/>
          <w:szCs w:val="22"/>
          <w:lang w:val="en-GB"/>
        </w:rPr>
        <w:t>, Zimbabwe,</w:t>
      </w:r>
      <w:r w:rsidR="001724A7" w:rsidRPr="00BF35A0">
        <w:rPr>
          <w:rFonts w:asciiTheme="minorHAnsi" w:hAnsiTheme="minorHAnsi" w:cstheme="minorHAnsi"/>
          <w:sz w:val="22"/>
          <w:szCs w:val="22"/>
          <w:lang w:val="en-GB"/>
        </w:rPr>
        <w:t xml:space="preserve"> from 23 to 31 July 2025 were undertaken during the reporting period. The host country agreement with the Republic of Zimbabwe was signed, the Secretariat undertook three site visits to prepare and assess the readiness of the meeting facilities and logistics</w:t>
      </w:r>
      <w:r w:rsidR="00E2491B">
        <w:rPr>
          <w:rFonts w:asciiTheme="minorHAnsi" w:hAnsiTheme="minorHAnsi" w:cstheme="minorHAnsi"/>
          <w:sz w:val="22"/>
          <w:szCs w:val="22"/>
          <w:lang w:val="en-GB"/>
        </w:rPr>
        <w:t>,</w:t>
      </w:r>
      <w:r w:rsidR="001724A7" w:rsidRPr="00BF35A0">
        <w:rPr>
          <w:rFonts w:asciiTheme="minorHAnsi" w:hAnsiTheme="minorHAnsi" w:cstheme="minorHAnsi"/>
          <w:sz w:val="22"/>
          <w:szCs w:val="22"/>
          <w:lang w:val="en-GB"/>
        </w:rPr>
        <w:t xml:space="preserve"> and a communications plan to bring attention to the COP</w:t>
      </w:r>
      <w:r w:rsidR="002625F1" w:rsidRPr="00BF35A0">
        <w:rPr>
          <w:rFonts w:asciiTheme="minorHAnsi" w:hAnsiTheme="minorHAnsi" w:cstheme="minorHAnsi"/>
          <w:sz w:val="22"/>
          <w:szCs w:val="22"/>
          <w:lang w:val="en-GB"/>
        </w:rPr>
        <w:t xml:space="preserve"> </w:t>
      </w:r>
      <w:r w:rsidR="001724A7" w:rsidRPr="00BF35A0">
        <w:rPr>
          <w:rFonts w:asciiTheme="minorHAnsi" w:hAnsiTheme="minorHAnsi" w:cstheme="minorHAnsi"/>
          <w:sz w:val="22"/>
          <w:szCs w:val="22"/>
          <w:lang w:val="en-GB"/>
        </w:rPr>
        <w:t xml:space="preserve">and its importance was initiated. </w:t>
      </w:r>
    </w:p>
    <w:p w14:paraId="0EFC987E" w14:textId="77777777" w:rsidR="001724A7" w:rsidRPr="00BF35A0" w:rsidRDefault="001724A7" w:rsidP="00BF35A0">
      <w:pPr>
        <w:pStyle w:val="NRFBody"/>
        <w:numPr>
          <w:ilvl w:val="0"/>
          <w:numId w:val="0"/>
        </w:numPr>
        <w:ind w:left="426" w:hanging="426"/>
        <w:rPr>
          <w:rFonts w:asciiTheme="minorHAnsi" w:hAnsiTheme="minorHAnsi" w:cstheme="minorHAnsi"/>
          <w:sz w:val="22"/>
          <w:szCs w:val="22"/>
          <w:lang w:val="en-GB"/>
        </w:rPr>
      </w:pPr>
    </w:p>
    <w:p w14:paraId="0B72CF20" w14:textId="2B641DF8" w:rsidR="001724A7" w:rsidRPr="00BF35A0" w:rsidRDefault="005C192B" w:rsidP="00BF35A0">
      <w:pPr>
        <w:pStyle w:val="BodyText3"/>
        <w:spacing w:after="0" w:line="240" w:lineRule="auto"/>
        <w:ind w:left="426" w:hanging="426"/>
        <w:rPr>
          <w:rFonts w:cstheme="minorHAnsi"/>
          <w:sz w:val="22"/>
          <w:szCs w:val="22"/>
        </w:rPr>
      </w:pPr>
      <w:r w:rsidRPr="00BF35A0">
        <w:rPr>
          <w:rFonts w:cstheme="minorHAnsi"/>
          <w:sz w:val="22"/>
          <w:szCs w:val="22"/>
        </w:rPr>
        <w:t>6</w:t>
      </w:r>
      <w:r w:rsidR="001724A7" w:rsidRPr="00BF35A0">
        <w:rPr>
          <w:rFonts w:cstheme="minorHAnsi"/>
          <w:sz w:val="22"/>
          <w:szCs w:val="22"/>
        </w:rPr>
        <w:t>.</w:t>
      </w:r>
      <w:r w:rsidR="001724A7" w:rsidRPr="00BF35A0">
        <w:rPr>
          <w:rFonts w:cstheme="minorHAnsi"/>
          <w:sz w:val="22"/>
          <w:szCs w:val="22"/>
        </w:rPr>
        <w:tab/>
        <w:t>The Secretariat organized the 25th, 26th and 27th meetings of the STRP between 2023 and 2024.</w:t>
      </w:r>
      <w:r w:rsidR="001724A7" w:rsidRPr="00BF35A0">
        <w:rPr>
          <w:rFonts w:cstheme="minorHAnsi"/>
          <w:sz w:val="22"/>
          <w:szCs w:val="22"/>
        </w:rPr>
        <w:br/>
      </w:r>
    </w:p>
    <w:p w14:paraId="4E80BEB0" w14:textId="079A450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Participation at STRP25</w:t>
      </w:r>
      <w:r w:rsidR="008268A2" w:rsidRPr="00BF35A0">
        <w:rPr>
          <w:rFonts w:cstheme="minorHAnsi"/>
        </w:rPr>
        <w:t xml:space="preserve"> </w:t>
      </w:r>
      <w:r w:rsidR="00E2491B">
        <w:rPr>
          <w:rFonts w:cstheme="minorHAnsi"/>
        </w:rPr>
        <w:t>in</w:t>
      </w:r>
      <w:r w:rsidR="008268A2" w:rsidRPr="00BF35A0">
        <w:rPr>
          <w:rFonts w:cstheme="minorHAnsi"/>
        </w:rPr>
        <w:t xml:space="preserve"> </w:t>
      </w:r>
      <w:r w:rsidRPr="00BF35A0">
        <w:rPr>
          <w:rFonts w:cstheme="minorHAnsi"/>
        </w:rPr>
        <w:t>May 2023 included 49 participants</w:t>
      </w:r>
      <w:r w:rsidR="008268A2" w:rsidRPr="00BF35A0">
        <w:rPr>
          <w:rFonts w:cstheme="minorHAnsi"/>
        </w:rPr>
        <w:t>, comprising</w:t>
      </w:r>
      <w:r w:rsidRPr="00BF35A0">
        <w:rPr>
          <w:rFonts w:cstheme="minorHAnsi"/>
        </w:rPr>
        <w:t xml:space="preserve"> all 18 Panel members, representatives </w:t>
      </w:r>
      <w:r w:rsidR="003859E9">
        <w:rPr>
          <w:rFonts w:cstheme="minorHAnsi"/>
        </w:rPr>
        <w:t>of</w:t>
      </w:r>
      <w:r w:rsidRPr="00BF35A0">
        <w:rPr>
          <w:rFonts w:cstheme="minorHAnsi"/>
        </w:rPr>
        <w:t xml:space="preserve"> six Contracting Parties and 12 STRP observer organizations. Virtual participation was enabled for plenary sessions, with 12 </w:t>
      </w:r>
      <w:r w:rsidR="00885529">
        <w:rPr>
          <w:rFonts w:cstheme="minorHAnsi"/>
        </w:rPr>
        <w:t>of the participants attending remotely</w:t>
      </w:r>
      <w:r w:rsidRPr="00BF35A0">
        <w:rPr>
          <w:rFonts w:cstheme="minorHAnsi"/>
        </w:rPr>
        <w:t>.</w:t>
      </w:r>
      <w:r w:rsidRPr="00BF35A0">
        <w:rPr>
          <w:rFonts w:cstheme="minorHAnsi"/>
        </w:rPr>
        <w:br/>
        <w:t xml:space="preserve"> </w:t>
      </w:r>
    </w:p>
    <w:p w14:paraId="3C204B64" w14:textId="4230A25A" w:rsidR="001724A7" w:rsidRPr="00BF35A0" w:rsidRDefault="008268A2"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 xml:space="preserve">STRP26, held </w:t>
      </w:r>
      <w:r w:rsidR="00E2491B">
        <w:rPr>
          <w:rFonts w:cstheme="minorHAnsi"/>
        </w:rPr>
        <w:t>in</w:t>
      </w:r>
      <w:r w:rsidR="00E2491B" w:rsidRPr="00BF35A0">
        <w:rPr>
          <w:rFonts w:cstheme="minorHAnsi"/>
        </w:rPr>
        <w:t xml:space="preserve"> </w:t>
      </w:r>
      <w:r w:rsidRPr="00BF35A0">
        <w:rPr>
          <w:rFonts w:cstheme="minorHAnsi"/>
        </w:rPr>
        <w:t xml:space="preserve">February 2024, included </w:t>
      </w:r>
      <w:r w:rsidR="001724A7" w:rsidRPr="00BF35A0">
        <w:rPr>
          <w:rFonts w:cstheme="minorHAnsi"/>
        </w:rPr>
        <w:t>45 in-person participants,</w:t>
      </w:r>
      <w:r w:rsidRPr="00BF35A0">
        <w:rPr>
          <w:rFonts w:cstheme="minorHAnsi"/>
        </w:rPr>
        <w:t xml:space="preserve"> comprising </w:t>
      </w:r>
      <w:r w:rsidR="001724A7" w:rsidRPr="00BF35A0">
        <w:rPr>
          <w:rFonts w:cstheme="minorHAnsi"/>
        </w:rPr>
        <w:t xml:space="preserve">Panel members, STRP National Focal Points, observer organizations and International Organization Partners (IOPs), with an additional 52 remote participants joining plenary and breakout sessions. </w:t>
      </w:r>
      <w:r w:rsidR="001724A7" w:rsidRPr="00BF35A0">
        <w:rPr>
          <w:rFonts w:cstheme="minorHAnsi"/>
        </w:rPr>
        <w:br/>
      </w:r>
    </w:p>
    <w:p w14:paraId="3DF912EB" w14:textId="29619D21"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rsidRPr="00BF35A0">
        <w:rPr>
          <w:rFonts w:cstheme="minorHAnsi"/>
        </w:rPr>
        <w:t xml:space="preserve">STRP27 </w:t>
      </w:r>
      <w:r w:rsidR="00E2491B">
        <w:rPr>
          <w:rFonts w:cstheme="minorHAnsi"/>
        </w:rPr>
        <w:t xml:space="preserve">in </w:t>
      </w:r>
      <w:r w:rsidRPr="00BF35A0">
        <w:rPr>
          <w:rFonts w:cstheme="minorHAnsi"/>
        </w:rPr>
        <w:t>December 2024 focused on finalizing key outputs aligned with the 2023</w:t>
      </w:r>
      <w:r w:rsidR="00E2491B">
        <w:rPr>
          <w:rFonts w:cstheme="minorHAnsi"/>
        </w:rPr>
        <w:t>-</w:t>
      </w:r>
      <w:r w:rsidRPr="00BF35A0">
        <w:rPr>
          <w:rFonts w:cstheme="minorHAnsi"/>
        </w:rPr>
        <w:t>2025 work plan, reinforcing the Secretariat’s commitment to delivering actionable scientific products. The meeting also featured a dedicated day for consultation with the Earth observation community, in line with Decision SC63-30 of the Standing Committee.</w:t>
      </w:r>
    </w:p>
    <w:p w14:paraId="1757A82D" w14:textId="77777777" w:rsidR="001724A7" w:rsidRPr="00BF35A0" w:rsidRDefault="001724A7" w:rsidP="00BF35A0">
      <w:pPr>
        <w:pStyle w:val="BodyText3"/>
        <w:spacing w:after="0" w:line="240" w:lineRule="auto"/>
        <w:rPr>
          <w:rFonts w:cstheme="minorHAnsi"/>
          <w:b/>
          <w:color w:val="000000"/>
          <w:sz w:val="22"/>
          <w:szCs w:val="22"/>
        </w:rPr>
      </w:pPr>
    </w:p>
    <w:p w14:paraId="18DB81EB" w14:textId="56F3A30F" w:rsidR="001724A7" w:rsidRPr="00BF35A0" w:rsidRDefault="005C192B" w:rsidP="00BF35A0">
      <w:pPr>
        <w:pStyle w:val="NRFTitle3"/>
        <w:numPr>
          <w:ilvl w:val="0"/>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lang w:val="en-GB"/>
        </w:rPr>
      </w:pPr>
      <w:r w:rsidRPr="00BF35A0">
        <w:rPr>
          <w:rFonts w:asciiTheme="minorHAnsi" w:hAnsiTheme="minorHAnsi" w:cstheme="minorHAnsi"/>
          <w:sz w:val="22"/>
          <w:szCs w:val="22"/>
          <w:lang w:val="en-GB"/>
        </w:rPr>
        <w:t>7</w:t>
      </w:r>
      <w:r w:rsidR="001724A7" w:rsidRPr="00BF35A0">
        <w:rPr>
          <w:rFonts w:asciiTheme="minorHAnsi" w:hAnsiTheme="minorHAnsi" w:cstheme="minorHAnsi"/>
          <w:sz w:val="22"/>
          <w:szCs w:val="22"/>
          <w:lang w:val="en-GB"/>
        </w:rPr>
        <w:t>.</w:t>
      </w:r>
      <w:r w:rsidR="001724A7" w:rsidRPr="00BF35A0">
        <w:rPr>
          <w:rFonts w:asciiTheme="minorHAnsi" w:hAnsiTheme="minorHAnsi" w:cstheme="minorHAnsi"/>
          <w:sz w:val="22"/>
          <w:szCs w:val="22"/>
        </w:rPr>
        <w:tab/>
      </w:r>
      <w:r w:rsidR="00763CFF" w:rsidRPr="00BF35A0">
        <w:rPr>
          <w:rFonts w:asciiTheme="minorHAnsi" w:hAnsiTheme="minorHAnsi" w:cstheme="minorHAnsi"/>
          <w:sz w:val="22"/>
          <w:szCs w:val="22"/>
          <w:lang w:val="en-GB"/>
        </w:rPr>
        <w:t>During the triennium the</w:t>
      </w:r>
      <w:r w:rsidR="001724A7" w:rsidRPr="00BF35A0">
        <w:rPr>
          <w:rFonts w:asciiTheme="minorHAnsi" w:hAnsiTheme="minorHAnsi" w:cstheme="minorHAnsi"/>
          <w:sz w:val="22"/>
          <w:szCs w:val="22"/>
          <w:lang w:val="en-GB"/>
        </w:rPr>
        <w:t xml:space="preserve"> Secretariat supported various Working Groups and Subgroups of the Standing Committee, including the Management Working Group, the Strategic Plan Working Group, the Subgroup on Finance, the CEPA Oversight Panel, the Working Group on Institutional Strengthening, and the Youth Working Group (YWG). Additionally, it facilitated the establishment of the Subgroup on COP15 and the Independent Advisory Committee of the Wetland City Accreditation during SC62. The Secretariat also supported virtual meetings for the newly formed Working Group on RIS Updating and the group of Parties focused on strengthening the process for including Sites on the List of Wetlands of International Importance, as directed by Decisions SC63-33 and SC63-34.</w:t>
      </w:r>
    </w:p>
    <w:p w14:paraId="6C39A6BB" w14:textId="77777777" w:rsidR="001724A7" w:rsidRPr="00BF35A0" w:rsidRDefault="001724A7" w:rsidP="00BF35A0">
      <w:pPr>
        <w:spacing w:after="0" w:line="240" w:lineRule="auto"/>
        <w:rPr>
          <w:rFonts w:cstheme="minorHAnsi"/>
        </w:rPr>
      </w:pPr>
    </w:p>
    <w:p w14:paraId="47B2F889" w14:textId="64DB83B3" w:rsidR="001724A7" w:rsidRPr="00BF35A0" w:rsidRDefault="005C192B" w:rsidP="00BF35A0">
      <w:pPr>
        <w:pStyle w:val="Default"/>
        <w:ind w:left="426" w:hanging="426"/>
        <w:rPr>
          <w:rFonts w:asciiTheme="minorHAnsi" w:eastAsia="Times New Roman" w:hAnsiTheme="minorHAnsi" w:cstheme="minorHAnsi"/>
          <w:sz w:val="22"/>
          <w:szCs w:val="22"/>
          <w:lang w:val="en-US" w:eastAsia="en-GB"/>
        </w:rPr>
      </w:pPr>
      <w:r w:rsidRPr="00BF35A0">
        <w:rPr>
          <w:rFonts w:asciiTheme="minorHAnsi" w:hAnsiTheme="minorHAnsi" w:cstheme="minorHAnsi"/>
          <w:sz w:val="22"/>
          <w:szCs w:val="22"/>
        </w:rPr>
        <w:t>8</w:t>
      </w:r>
      <w:r w:rsidR="001724A7" w:rsidRPr="00BF35A0">
        <w:rPr>
          <w:rFonts w:asciiTheme="minorHAnsi" w:hAnsiTheme="minorHAnsi" w:cstheme="minorHAnsi"/>
          <w:sz w:val="22"/>
          <w:szCs w:val="22"/>
        </w:rPr>
        <w:t>.</w:t>
      </w:r>
      <w:r w:rsidR="008268A2" w:rsidRPr="00BF35A0">
        <w:rPr>
          <w:rFonts w:asciiTheme="minorHAnsi" w:hAnsiTheme="minorHAnsi" w:cstheme="minorHAnsi"/>
          <w:sz w:val="22"/>
          <w:szCs w:val="22"/>
        </w:rPr>
        <w:tab/>
      </w:r>
      <w:r w:rsidR="7EDA4B96" w:rsidRPr="00BF35A0">
        <w:rPr>
          <w:rFonts w:asciiTheme="minorHAnsi" w:eastAsiaTheme="minorEastAsia" w:hAnsiTheme="minorHAnsi" w:cstheme="minorHAnsi"/>
          <w:color w:val="000000" w:themeColor="text1"/>
          <w:sz w:val="22"/>
          <w:szCs w:val="22"/>
          <w:lang w:val="en-US" w:eastAsia="en-GB"/>
        </w:rPr>
        <w:t>Youth engagement is a key priority for the Secretary General, emphasized through ongoing support for the YWG and the implementation of Resolution XIV.12</w:t>
      </w:r>
      <w:r w:rsidR="00985CF6">
        <w:rPr>
          <w:rFonts w:asciiTheme="minorHAnsi" w:eastAsiaTheme="minorEastAsia" w:hAnsiTheme="minorHAnsi" w:cstheme="minorHAnsi"/>
          <w:color w:val="000000" w:themeColor="text1"/>
          <w:sz w:val="22"/>
          <w:szCs w:val="22"/>
          <w:lang w:val="en-US" w:eastAsia="en-GB"/>
        </w:rPr>
        <w:t xml:space="preserve"> on </w:t>
      </w:r>
      <w:r w:rsidR="7EDA4B96" w:rsidRPr="0057161F">
        <w:rPr>
          <w:rFonts w:asciiTheme="minorHAnsi" w:eastAsiaTheme="minorEastAsia" w:hAnsiTheme="minorHAnsi" w:cstheme="minorHAnsi"/>
          <w:i/>
          <w:iCs/>
          <w:color w:val="000000" w:themeColor="text1"/>
          <w:sz w:val="22"/>
          <w:szCs w:val="22"/>
          <w:lang w:val="en-US" w:eastAsia="en-GB"/>
        </w:rPr>
        <w:t>Strengthening Ramsar connections through youth</w:t>
      </w:r>
      <w:r w:rsidR="00985CF6" w:rsidRPr="0057161F">
        <w:rPr>
          <w:rFonts w:asciiTheme="minorHAnsi" w:eastAsiaTheme="minorEastAsia" w:hAnsiTheme="minorHAnsi" w:cstheme="minorHAnsi"/>
          <w:i/>
          <w:iCs/>
          <w:color w:val="000000" w:themeColor="text1"/>
          <w:sz w:val="22"/>
          <w:szCs w:val="22"/>
          <w:lang w:val="en-US" w:eastAsia="en-GB"/>
        </w:rPr>
        <w:t>.</w:t>
      </w:r>
      <w:r w:rsidR="7EDA4B96" w:rsidRPr="00BF35A0">
        <w:rPr>
          <w:rFonts w:asciiTheme="minorHAnsi" w:eastAsiaTheme="minorEastAsia" w:hAnsiTheme="minorHAnsi" w:cstheme="minorHAnsi"/>
          <w:color w:val="000000" w:themeColor="text1"/>
          <w:sz w:val="22"/>
          <w:szCs w:val="22"/>
          <w:lang w:val="en-US" w:eastAsia="en-GB"/>
        </w:rPr>
        <w:t xml:space="preserve"> On 21 March 2023, </w:t>
      </w:r>
      <w:r w:rsidR="00985CF6">
        <w:rPr>
          <w:rFonts w:asciiTheme="minorHAnsi" w:eastAsiaTheme="minorEastAsia" w:hAnsiTheme="minorHAnsi" w:cstheme="minorHAnsi"/>
          <w:color w:val="000000" w:themeColor="text1"/>
          <w:sz w:val="22"/>
          <w:szCs w:val="22"/>
          <w:lang w:val="en-US" w:eastAsia="en-GB"/>
        </w:rPr>
        <w:t xml:space="preserve">the </w:t>
      </w:r>
      <w:r w:rsidR="7EDA4B96" w:rsidRPr="00BF35A0">
        <w:rPr>
          <w:rFonts w:asciiTheme="minorHAnsi" w:eastAsiaTheme="minorEastAsia" w:hAnsiTheme="minorHAnsi" w:cstheme="minorHAnsi"/>
          <w:color w:val="000000" w:themeColor="text1"/>
          <w:sz w:val="22"/>
          <w:szCs w:val="22"/>
          <w:lang w:val="en-US" w:eastAsia="en-GB"/>
        </w:rPr>
        <w:t xml:space="preserve">YWG hosted two global workshops titled “Youth </w:t>
      </w:r>
      <w:r w:rsidR="00985CF6">
        <w:rPr>
          <w:rFonts w:asciiTheme="minorHAnsi" w:eastAsiaTheme="minorEastAsia" w:hAnsiTheme="minorHAnsi" w:cstheme="minorHAnsi"/>
          <w:color w:val="000000" w:themeColor="text1"/>
          <w:sz w:val="22"/>
          <w:szCs w:val="22"/>
          <w:lang w:val="en-US" w:eastAsia="en-GB"/>
        </w:rPr>
        <w:t>s</w:t>
      </w:r>
      <w:r w:rsidR="7EDA4B96" w:rsidRPr="00BF35A0">
        <w:rPr>
          <w:rFonts w:asciiTheme="minorHAnsi" w:eastAsiaTheme="minorEastAsia" w:hAnsiTheme="minorHAnsi" w:cstheme="minorHAnsi"/>
          <w:color w:val="000000" w:themeColor="text1"/>
          <w:sz w:val="22"/>
          <w:szCs w:val="22"/>
          <w:lang w:val="en-US" w:eastAsia="en-GB"/>
        </w:rPr>
        <w:t xml:space="preserve">haping </w:t>
      </w:r>
      <w:r w:rsidR="00985CF6">
        <w:rPr>
          <w:rFonts w:asciiTheme="minorHAnsi" w:eastAsiaTheme="minorEastAsia" w:hAnsiTheme="minorHAnsi" w:cstheme="minorHAnsi"/>
          <w:color w:val="000000" w:themeColor="text1"/>
          <w:sz w:val="22"/>
          <w:szCs w:val="22"/>
          <w:lang w:val="en-US" w:eastAsia="en-GB"/>
        </w:rPr>
        <w:t>w</w:t>
      </w:r>
      <w:r w:rsidR="7EDA4B96" w:rsidRPr="00BF35A0">
        <w:rPr>
          <w:rFonts w:asciiTheme="minorHAnsi" w:eastAsiaTheme="minorEastAsia" w:hAnsiTheme="minorHAnsi" w:cstheme="minorHAnsi"/>
          <w:color w:val="000000" w:themeColor="text1"/>
          <w:sz w:val="22"/>
          <w:szCs w:val="22"/>
          <w:lang w:val="en-US" w:eastAsia="en-GB"/>
        </w:rPr>
        <w:t xml:space="preserve">etland </w:t>
      </w:r>
      <w:r w:rsidR="00985CF6">
        <w:rPr>
          <w:rFonts w:asciiTheme="minorHAnsi" w:eastAsiaTheme="minorEastAsia" w:hAnsiTheme="minorHAnsi" w:cstheme="minorHAnsi"/>
          <w:color w:val="000000" w:themeColor="text1"/>
          <w:sz w:val="22"/>
          <w:szCs w:val="22"/>
          <w:lang w:val="en-US" w:eastAsia="en-GB"/>
        </w:rPr>
        <w:t>c</w:t>
      </w:r>
      <w:r w:rsidR="7EDA4B96" w:rsidRPr="00BF35A0">
        <w:rPr>
          <w:rFonts w:asciiTheme="minorHAnsi" w:eastAsiaTheme="minorEastAsia" w:hAnsiTheme="minorHAnsi" w:cstheme="minorHAnsi"/>
          <w:color w:val="000000" w:themeColor="text1"/>
          <w:sz w:val="22"/>
          <w:szCs w:val="22"/>
          <w:lang w:val="en-US" w:eastAsia="en-GB"/>
        </w:rPr>
        <w:t>onservation”, bringing together over 100 participants to discuss youth roles in wetlands conservation.</w:t>
      </w:r>
    </w:p>
    <w:p w14:paraId="618FE2B4" w14:textId="60F594DF" w:rsidR="001724A7" w:rsidRPr="00BF35A0" w:rsidRDefault="001724A7" w:rsidP="00BF35A0">
      <w:pPr>
        <w:pStyle w:val="Default"/>
        <w:ind w:left="426" w:hanging="426"/>
        <w:rPr>
          <w:rFonts w:asciiTheme="minorHAnsi" w:eastAsia="Times New Roman" w:hAnsiTheme="minorHAnsi" w:cstheme="minorHAnsi"/>
          <w:sz w:val="22"/>
          <w:szCs w:val="22"/>
          <w:lang w:val="en-US" w:eastAsia="en-GB"/>
        </w:rPr>
      </w:pPr>
    </w:p>
    <w:p w14:paraId="70B0A45E" w14:textId="1B91AB9C" w:rsidR="001724A7" w:rsidRPr="00BF35A0" w:rsidRDefault="00201C38" w:rsidP="0057161F">
      <w:pPr>
        <w:pStyle w:val="Default"/>
        <w:ind w:left="426" w:hanging="426"/>
        <w:rPr>
          <w:rFonts w:asciiTheme="minorHAnsi" w:eastAsia="Times New Roman" w:hAnsiTheme="minorHAnsi" w:cstheme="minorHAnsi"/>
          <w:sz w:val="22"/>
          <w:szCs w:val="22"/>
          <w:lang w:val="en-US" w:eastAsia="en-GB"/>
        </w:rPr>
      </w:pPr>
      <w:r w:rsidRPr="00F03C92">
        <w:rPr>
          <w:rFonts w:asciiTheme="minorHAnsi" w:eastAsia="Times New Roman" w:hAnsiTheme="minorHAnsi" w:cstheme="minorHAnsi"/>
          <w:sz w:val="22"/>
          <w:szCs w:val="22"/>
          <w:lang w:val="en-US" w:eastAsia="en-GB"/>
        </w:rPr>
        <w:t>9.</w:t>
      </w:r>
      <w:r w:rsidRPr="00F03C92">
        <w:rPr>
          <w:rFonts w:asciiTheme="minorHAnsi" w:eastAsia="Times New Roman" w:hAnsiTheme="minorHAnsi" w:cstheme="minorHAnsi"/>
          <w:sz w:val="22"/>
          <w:szCs w:val="22"/>
          <w:lang w:val="en-US" w:eastAsia="en-GB"/>
        </w:rPr>
        <w:tab/>
      </w:r>
      <w:r w:rsidR="7EDA4B96" w:rsidRPr="00F03C92">
        <w:rPr>
          <w:rFonts w:asciiTheme="minorHAnsi" w:eastAsia="Times New Roman" w:hAnsiTheme="minorHAnsi" w:cstheme="minorHAnsi"/>
          <w:sz w:val="22"/>
          <w:szCs w:val="22"/>
          <w:lang w:val="en-US" w:eastAsia="en-GB"/>
        </w:rPr>
        <w:t xml:space="preserve">Throughout the past triennium, youth engagement featured prominently in the Secretary General’s global missions and events. At SC62, she met the YWG Chair and members to discuss the </w:t>
      </w:r>
      <w:r w:rsidR="003176B6" w:rsidRPr="00F03C92">
        <w:rPr>
          <w:rFonts w:asciiTheme="minorHAnsi" w:eastAsia="Times New Roman" w:hAnsiTheme="minorHAnsi" w:cstheme="minorHAnsi"/>
          <w:sz w:val="22"/>
          <w:szCs w:val="22"/>
          <w:lang w:val="en-US" w:eastAsia="en-GB"/>
        </w:rPr>
        <w:t>G</w:t>
      </w:r>
      <w:r w:rsidR="7EDA4B96" w:rsidRPr="00F03C92">
        <w:rPr>
          <w:rFonts w:asciiTheme="minorHAnsi" w:eastAsia="Times New Roman" w:hAnsiTheme="minorHAnsi" w:cstheme="minorHAnsi"/>
          <w:sz w:val="22"/>
          <w:szCs w:val="22"/>
          <w:lang w:val="en-US" w:eastAsia="en-GB"/>
        </w:rPr>
        <w:t xml:space="preserve">roup’s progress under the Resolution. At </w:t>
      </w:r>
      <w:r w:rsidR="00F3168D" w:rsidRPr="00F03C92">
        <w:rPr>
          <w:rFonts w:asciiTheme="minorHAnsi" w:hAnsiTheme="minorHAnsi" w:cstheme="minorHAnsi"/>
          <w:sz w:val="22"/>
          <w:szCs w:val="22"/>
        </w:rPr>
        <w:t>the</w:t>
      </w:r>
      <w:r w:rsidR="00F3168D" w:rsidRPr="00BF35A0">
        <w:rPr>
          <w:rFonts w:asciiTheme="minorHAnsi" w:hAnsiTheme="minorHAnsi" w:cstheme="minorHAnsi"/>
          <w:sz w:val="22"/>
          <w:szCs w:val="22"/>
        </w:rPr>
        <w:t xml:space="preserve"> 28th </w:t>
      </w:r>
      <w:r w:rsidR="00F3168D">
        <w:rPr>
          <w:rFonts w:asciiTheme="minorHAnsi" w:hAnsiTheme="minorHAnsi" w:cstheme="minorHAnsi"/>
          <w:sz w:val="22"/>
          <w:szCs w:val="22"/>
        </w:rPr>
        <w:t xml:space="preserve">session of the </w:t>
      </w:r>
      <w:r w:rsidR="00F3168D" w:rsidRPr="00BF35A0">
        <w:rPr>
          <w:rFonts w:asciiTheme="minorHAnsi" w:hAnsiTheme="minorHAnsi" w:cstheme="minorHAnsi"/>
          <w:sz w:val="22"/>
          <w:szCs w:val="22"/>
        </w:rPr>
        <w:t xml:space="preserve">Conference of the Parties to the United Nations Framework Convention on Climate Change </w:t>
      </w:r>
      <w:r w:rsidR="00652D8D" w:rsidRPr="00BF35A0">
        <w:rPr>
          <w:rFonts w:asciiTheme="minorHAnsi" w:eastAsia="Times New Roman" w:hAnsiTheme="minorHAnsi" w:cstheme="minorHAnsi"/>
          <w:sz w:val="22"/>
          <w:szCs w:val="22"/>
          <w:lang w:val="en-US" w:eastAsia="en-GB"/>
        </w:rPr>
        <w:t>(</w:t>
      </w:r>
      <w:r w:rsidR="7EDA4B96" w:rsidRPr="00BF35A0">
        <w:rPr>
          <w:rFonts w:asciiTheme="minorHAnsi" w:eastAsia="Times New Roman" w:hAnsiTheme="minorHAnsi" w:cstheme="minorHAnsi"/>
          <w:sz w:val="22"/>
          <w:szCs w:val="22"/>
          <w:lang w:val="en-US" w:eastAsia="en-GB"/>
        </w:rPr>
        <w:t>UNFCCC</w:t>
      </w:r>
      <w:r w:rsidR="00F3168D">
        <w:rPr>
          <w:rFonts w:asciiTheme="minorHAnsi" w:eastAsia="Times New Roman" w:hAnsiTheme="minorHAnsi" w:cstheme="minorHAnsi"/>
          <w:sz w:val="22"/>
          <w:szCs w:val="22"/>
          <w:lang w:val="en-US" w:eastAsia="en-GB"/>
        </w:rPr>
        <w:t xml:space="preserve"> COP28</w:t>
      </w:r>
      <w:r w:rsidR="00652D8D" w:rsidRPr="00BF35A0">
        <w:rPr>
          <w:rFonts w:asciiTheme="minorHAnsi" w:eastAsia="Times New Roman" w:hAnsiTheme="minorHAnsi" w:cstheme="minorHAnsi"/>
          <w:sz w:val="22"/>
          <w:szCs w:val="22"/>
          <w:lang w:val="en-US" w:eastAsia="en-GB"/>
        </w:rPr>
        <w:t>)</w:t>
      </w:r>
      <w:r w:rsidR="00F3168D">
        <w:rPr>
          <w:rFonts w:asciiTheme="minorHAnsi" w:eastAsia="Times New Roman" w:hAnsiTheme="minorHAnsi" w:cstheme="minorHAnsi"/>
          <w:sz w:val="22"/>
          <w:szCs w:val="22"/>
          <w:lang w:val="en-US" w:eastAsia="en-GB"/>
        </w:rPr>
        <w:t xml:space="preserve"> </w:t>
      </w:r>
      <w:r w:rsidR="00F3168D" w:rsidRPr="00F3168D">
        <w:rPr>
          <w:rFonts w:asciiTheme="minorHAnsi" w:eastAsia="Times New Roman" w:hAnsiTheme="minorHAnsi" w:cstheme="minorHAnsi"/>
          <w:sz w:val="22"/>
          <w:szCs w:val="22"/>
          <w:lang w:eastAsia="en-GB"/>
        </w:rPr>
        <w:t>in the United Arab Emirates</w:t>
      </w:r>
      <w:r w:rsidR="7EDA4B96" w:rsidRPr="00BF35A0">
        <w:rPr>
          <w:rFonts w:asciiTheme="minorHAnsi" w:eastAsia="Times New Roman" w:hAnsiTheme="minorHAnsi" w:cstheme="minorHAnsi"/>
          <w:sz w:val="22"/>
          <w:szCs w:val="22"/>
          <w:lang w:val="en-US" w:eastAsia="en-GB"/>
        </w:rPr>
        <w:t xml:space="preserve">, she co-organized a side event with the </w:t>
      </w:r>
      <w:r w:rsidR="00CE5C59">
        <w:rPr>
          <w:rFonts w:asciiTheme="minorHAnsi" w:eastAsia="Times New Roman" w:hAnsiTheme="minorHAnsi" w:cstheme="minorHAnsi"/>
          <w:sz w:val="22"/>
          <w:szCs w:val="22"/>
          <w:lang w:val="en-US" w:eastAsia="en-GB"/>
        </w:rPr>
        <w:t xml:space="preserve">Secretariat of the </w:t>
      </w:r>
      <w:r w:rsidR="7EDA4B96" w:rsidRPr="00BF35A0">
        <w:rPr>
          <w:rFonts w:asciiTheme="minorHAnsi" w:eastAsia="Times New Roman" w:hAnsiTheme="minorHAnsi" w:cstheme="minorHAnsi"/>
          <w:sz w:val="22"/>
          <w:szCs w:val="22"/>
          <w:lang w:val="en-US" w:eastAsia="en-GB"/>
        </w:rPr>
        <w:t xml:space="preserve">Pacific Regional Environment Programme (SPREP), participating in a high-level panel alongside ministers, ambassadors and youth representatives to emphasize youth empowerment in Pacific wetland conservation. She delivered keynote speeches at the IHE Delft Institute in the Netherlands and the Jawaharlal Nehru University in India, stressing the importance of youth in achieving the 2030 </w:t>
      </w:r>
      <w:r w:rsidR="00CE5C59">
        <w:rPr>
          <w:rFonts w:asciiTheme="minorHAnsi" w:eastAsia="Times New Roman" w:hAnsiTheme="minorHAnsi" w:cstheme="minorHAnsi"/>
          <w:sz w:val="22"/>
          <w:szCs w:val="22"/>
          <w:lang w:val="en-US" w:eastAsia="en-GB"/>
        </w:rPr>
        <w:t xml:space="preserve">Sustainable Development </w:t>
      </w:r>
      <w:r w:rsidR="7EDA4B96" w:rsidRPr="00BF35A0">
        <w:rPr>
          <w:rFonts w:asciiTheme="minorHAnsi" w:eastAsia="Times New Roman" w:hAnsiTheme="minorHAnsi" w:cstheme="minorHAnsi"/>
          <w:sz w:val="22"/>
          <w:szCs w:val="22"/>
          <w:lang w:val="en-US" w:eastAsia="en-GB"/>
        </w:rPr>
        <w:t xml:space="preserve">Agenda. Additional engagements included meetings with the Africa Youth for Wetlands Coalition at </w:t>
      </w:r>
      <w:r w:rsidR="00652D8D" w:rsidRPr="00BF35A0">
        <w:rPr>
          <w:rFonts w:asciiTheme="minorHAnsi" w:eastAsia="Times New Roman" w:hAnsiTheme="minorHAnsi" w:cstheme="minorHAnsi"/>
          <w:sz w:val="22"/>
          <w:szCs w:val="22"/>
          <w:lang w:val="en-US" w:eastAsia="en-GB"/>
        </w:rPr>
        <w:t xml:space="preserve">the </w:t>
      </w:r>
      <w:r w:rsidR="00CE5C59">
        <w:rPr>
          <w:rFonts w:asciiTheme="minorHAnsi" w:eastAsia="Times New Roman" w:hAnsiTheme="minorHAnsi" w:cstheme="minorHAnsi"/>
          <w:sz w:val="22"/>
          <w:szCs w:val="22"/>
          <w:lang w:val="en-US" w:eastAsia="en-GB"/>
        </w:rPr>
        <w:t>sixth session of the UN</w:t>
      </w:r>
      <w:r w:rsidR="00652D8D" w:rsidRPr="00BF35A0">
        <w:rPr>
          <w:rFonts w:asciiTheme="minorHAnsi" w:eastAsia="Times New Roman" w:hAnsiTheme="minorHAnsi" w:cstheme="minorHAnsi"/>
          <w:sz w:val="22"/>
          <w:szCs w:val="22"/>
          <w:lang w:val="en-US" w:eastAsia="en-GB"/>
        </w:rPr>
        <w:t xml:space="preserve"> Environment Assembly (</w:t>
      </w:r>
      <w:r w:rsidR="7EDA4B96" w:rsidRPr="00BF35A0">
        <w:rPr>
          <w:rFonts w:asciiTheme="minorHAnsi" w:eastAsia="Times New Roman" w:hAnsiTheme="minorHAnsi" w:cstheme="minorHAnsi"/>
          <w:sz w:val="22"/>
          <w:szCs w:val="22"/>
          <w:lang w:val="en-US" w:eastAsia="en-GB"/>
        </w:rPr>
        <w:t>UNEA-6</w:t>
      </w:r>
      <w:r w:rsidR="00652D8D" w:rsidRPr="00BF35A0">
        <w:rPr>
          <w:rFonts w:asciiTheme="minorHAnsi" w:eastAsia="Times New Roman" w:hAnsiTheme="minorHAnsi" w:cstheme="minorHAnsi"/>
          <w:sz w:val="22"/>
          <w:szCs w:val="22"/>
          <w:lang w:val="en-US" w:eastAsia="en-GB"/>
        </w:rPr>
        <w:t>)</w:t>
      </w:r>
      <w:r w:rsidR="7EDA4B96" w:rsidRPr="00BF35A0">
        <w:rPr>
          <w:rFonts w:asciiTheme="minorHAnsi" w:eastAsia="Times New Roman" w:hAnsiTheme="minorHAnsi" w:cstheme="minorHAnsi"/>
          <w:sz w:val="22"/>
          <w:szCs w:val="22"/>
          <w:lang w:val="en-US" w:eastAsia="en-GB"/>
        </w:rPr>
        <w:t xml:space="preserve"> in Kenya, youth activists in Fujiame-higata and Team Spoon in Japan, and World Water Council Youth Delegates at the 10th World Water Forum in Indonesia, where she participated in a youth-led session and a workshop on advancing the YWG work plan.</w:t>
      </w:r>
    </w:p>
    <w:p w14:paraId="4792D9CF" w14:textId="5B82F92F" w:rsidR="001724A7" w:rsidRPr="00BF35A0" w:rsidRDefault="001724A7" w:rsidP="00BF35A0">
      <w:pPr>
        <w:pStyle w:val="Default"/>
        <w:ind w:left="426" w:hanging="426"/>
        <w:rPr>
          <w:rFonts w:asciiTheme="minorHAnsi" w:eastAsia="Times New Roman" w:hAnsiTheme="minorHAnsi" w:cstheme="minorHAnsi"/>
          <w:sz w:val="22"/>
          <w:szCs w:val="22"/>
          <w:lang w:val="en-US" w:eastAsia="en-GB"/>
        </w:rPr>
      </w:pPr>
    </w:p>
    <w:p w14:paraId="16E359A1" w14:textId="49073323" w:rsidR="001724A7" w:rsidRPr="00BF35A0" w:rsidRDefault="00201C38" w:rsidP="00201C38">
      <w:pPr>
        <w:pStyle w:val="Default"/>
        <w:ind w:left="426" w:hanging="426"/>
        <w:rPr>
          <w:rFonts w:asciiTheme="minorHAnsi" w:eastAsia="Times New Roman" w:hAnsiTheme="minorHAnsi" w:cstheme="minorHAnsi"/>
          <w:sz w:val="22"/>
          <w:szCs w:val="22"/>
          <w:lang w:val="en-US" w:eastAsia="en-GB"/>
        </w:rPr>
      </w:pPr>
      <w:r>
        <w:rPr>
          <w:rFonts w:asciiTheme="minorHAnsi" w:eastAsia="Times New Roman" w:hAnsiTheme="minorHAnsi" w:cstheme="minorHAnsi"/>
          <w:sz w:val="22"/>
          <w:szCs w:val="22"/>
          <w:lang w:val="en-US" w:eastAsia="en-GB"/>
        </w:rPr>
        <w:t>10.</w:t>
      </w:r>
      <w:r>
        <w:rPr>
          <w:rFonts w:asciiTheme="minorHAnsi" w:eastAsia="Times New Roman" w:hAnsiTheme="minorHAnsi" w:cstheme="minorHAnsi"/>
          <w:sz w:val="22"/>
          <w:szCs w:val="22"/>
          <w:lang w:val="en-US" w:eastAsia="en-GB"/>
        </w:rPr>
        <w:tab/>
      </w:r>
      <w:r w:rsidR="7EDA4B96" w:rsidRPr="00BF35A0">
        <w:rPr>
          <w:rFonts w:asciiTheme="minorHAnsi" w:eastAsia="Times New Roman" w:hAnsiTheme="minorHAnsi" w:cstheme="minorHAnsi"/>
          <w:sz w:val="22"/>
          <w:szCs w:val="22"/>
          <w:lang w:val="en-US" w:eastAsia="en-GB"/>
        </w:rPr>
        <w:t>A key initiative leading to COP15 in July 2025 is the YWG-led webinar series, “Paving the Way to Victoria Falls – Inspiring Action for Wetlands COP15”</w:t>
      </w:r>
      <w:r w:rsidR="00F77EBD">
        <w:rPr>
          <w:rFonts w:asciiTheme="minorHAnsi" w:eastAsia="Times New Roman" w:hAnsiTheme="minorHAnsi" w:cstheme="minorHAnsi"/>
          <w:sz w:val="22"/>
          <w:szCs w:val="22"/>
          <w:lang w:val="en-US" w:eastAsia="en-GB"/>
        </w:rPr>
        <w:t>.</w:t>
      </w:r>
      <w:r w:rsidR="7EDA4B96" w:rsidRPr="00BF35A0">
        <w:rPr>
          <w:rFonts w:asciiTheme="minorHAnsi" w:eastAsia="Times New Roman" w:hAnsiTheme="minorHAnsi" w:cstheme="minorHAnsi"/>
          <w:sz w:val="22"/>
          <w:szCs w:val="22"/>
          <w:lang w:val="en-US" w:eastAsia="en-GB"/>
        </w:rPr>
        <w:t xml:space="preserve"> Organized in collaboration with Youth Engaged in Wetlands, SPREP, IUCN, Wetlands International and others, the series explores conservation, restoration, traditional knowledge, youth capacity building, and career opportunities </w:t>
      </w:r>
      <w:r w:rsidR="00CE5C59">
        <w:rPr>
          <w:rFonts w:asciiTheme="minorHAnsi" w:eastAsia="Times New Roman" w:hAnsiTheme="minorHAnsi" w:cstheme="minorHAnsi"/>
          <w:sz w:val="22"/>
          <w:szCs w:val="22"/>
          <w:lang w:val="en-US" w:eastAsia="en-GB"/>
        </w:rPr>
        <w:t>related to</w:t>
      </w:r>
      <w:r w:rsidR="00CE5C59" w:rsidRPr="00BF35A0">
        <w:rPr>
          <w:rFonts w:asciiTheme="minorHAnsi" w:eastAsia="Times New Roman" w:hAnsiTheme="minorHAnsi" w:cstheme="minorHAnsi"/>
          <w:sz w:val="22"/>
          <w:szCs w:val="22"/>
          <w:lang w:val="en-US" w:eastAsia="en-GB"/>
        </w:rPr>
        <w:t xml:space="preserve"> </w:t>
      </w:r>
      <w:r w:rsidR="00CE5C59">
        <w:rPr>
          <w:rFonts w:asciiTheme="minorHAnsi" w:eastAsia="Times New Roman" w:hAnsiTheme="minorHAnsi" w:cstheme="minorHAnsi"/>
          <w:sz w:val="22"/>
          <w:szCs w:val="22"/>
          <w:lang w:val="en-US" w:eastAsia="en-GB"/>
        </w:rPr>
        <w:t>n</w:t>
      </w:r>
      <w:r w:rsidR="00CE5C59" w:rsidRPr="00BF35A0">
        <w:rPr>
          <w:rFonts w:asciiTheme="minorHAnsi" w:eastAsia="Times New Roman" w:hAnsiTheme="minorHAnsi" w:cstheme="minorHAnsi"/>
          <w:sz w:val="22"/>
          <w:szCs w:val="22"/>
          <w:lang w:val="en-US" w:eastAsia="en-GB"/>
        </w:rPr>
        <w:t>ature</w:t>
      </w:r>
      <w:r w:rsidR="7EDA4B96" w:rsidRPr="00BF35A0">
        <w:rPr>
          <w:rFonts w:asciiTheme="minorHAnsi" w:eastAsia="Times New Roman" w:hAnsiTheme="minorHAnsi" w:cstheme="minorHAnsi"/>
          <w:sz w:val="22"/>
          <w:szCs w:val="22"/>
          <w:lang w:val="en-US" w:eastAsia="en-GB"/>
        </w:rPr>
        <w:t xml:space="preserve">-based </w:t>
      </w:r>
      <w:r w:rsidR="00CE5C59">
        <w:rPr>
          <w:rFonts w:asciiTheme="minorHAnsi" w:eastAsia="Times New Roman" w:hAnsiTheme="minorHAnsi" w:cstheme="minorHAnsi"/>
          <w:sz w:val="22"/>
          <w:szCs w:val="22"/>
          <w:lang w:val="en-US" w:eastAsia="en-GB"/>
        </w:rPr>
        <w:t>s</w:t>
      </w:r>
      <w:r w:rsidR="00CE5C59" w:rsidRPr="00BF35A0">
        <w:rPr>
          <w:rFonts w:asciiTheme="minorHAnsi" w:eastAsia="Times New Roman" w:hAnsiTheme="minorHAnsi" w:cstheme="minorHAnsi"/>
          <w:sz w:val="22"/>
          <w:szCs w:val="22"/>
          <w:lang w:val="en-US" w:eastAsia="en-GB"/>
        </w:rPr>
        <w:t>olutions</w:t>
      </w:r>
      <w:r w:rsidR="7EDA4B96" w:rsidRPr="00BF35A0">
        <w:rPr>
          <w:rFonts w:asciiTheme="minorHAnsi" w:eastAsia="Times New Roman" w:hAnsiTheme="minorHAnsi" w:cstheme="minorHAnsi"/>
          <w:sz w:val="22"/>
          <w:szCs w:val="22"/>
          <w:lang w:val="en-US" w:eastAsia="en-GB"/>
        </w:rPr>
        <w:t>.</w:t>
      </w:r>
    </w:p>
    <w:p w14:paraId="714184CF" w14:textId="77777777" w:rsidR="001724A7" w:rsidRPr="00BF35A0" w:rsidRDefault="001724A7" w:rsidP="00BF35A0">
      <w:pPr>
        <w:pStyle w:val="Default"/>
        <w:rPr>
          <w:rFonts w:asciiTheme="minorHAnsi" w:eastAsia="Times New Roman" w:hAnsiTheme="minorHAnsi" w:cstheme="minorHAnsi"/>
          <w:sz w:val="22"/>
          <w:szCs w:val="22"/>
          <w:lang w:eastAsia="en-GB"/>
        </w:rPr>
      </w:pPr>
    </w:p>
    <w:p w14:paraId="7990EB50" w14:textId="3410BE6A" w:rsidR="001724A7" w:rsidRPr="00BF35A0" w:rsidRDefault="00201C38" w:rsidP="00BF35A0">
      <w:pPr>
        <w:pStyle w:val="Default"/>
        <w:ind w:left="426" w:hanging="426"/>
        <w:rPr>
          <w:rFonts w:asciiTheme="minorHAnsi" w:hAnsiTheme="minorHAnsi" w:cstheme="minorHAnsi"/>
          <w:sz w:val="22"/>
          <w:szCs w:val="22"/>
        </w:rPr>
      </w:pPr>
      <w:r>
        <w:rPr>
          <w:rFonts w:asciiTheme="minorHAnsi" w:eastAsia="Times New Roman" w:hAnsiTheme="minorHAnsi" w:cstheme="minorHAnsi"/>
          <w:sz w:val="22"/>
          <w:szCs w:val="22"/>
          <w:lang w:eastAsia="en-GB"/>
        </w:rPr>
        <w:t>11.</w:t>
      </w:r>
      <w:r w:rsidR="001724A7" w:rsidRPr="00BF35A0">
        <w:rPr>
          <w:rFonts w:asciiTheme="minorHAnsi" w:eastAsia="Times New Roman" w:hAnsiTheme="minorHAnsi" w:cstheme="minorHAnsi"/>
          <w:sz w:val="22"/>
          <w:szCs w:val="22"/>
          <w:lang w:eastAsia="en-GB"/>
        </w:rPr>
        <w:tab/>
        <w:t xml:space="preserve">During this period, the Secretariat conducted four Ramsar Advisory Missions (RAMs) to support Contracting Parties in addressing conservation challenges </w:t>
      </w:r>
      <w:r w:rsidR="00763CFF" w:rsidRPr="00BF35A0">
        <w:rPr>
          <w:rFonts w:asciiTheme="minorHAnsi" w:eastAsia="Times New Roman" w:hAnsiTheme="minorHAnsi" w:cstheme="minorHAnsi"/>
          <w:sz w:val="22"/>
          <w:szCs w:val="22"/>
          <w:lang w:eastAsia="en-GB"/>
        </w:rPr>
        <w:t>faced by</w:t>
      </w:r>
      <w:r w:rsidR="001724A7" w:rsidRPr="00BF35A0">
        <w:rPr>
          <w:rFonts w:asciiTheme="minorHAnsi" w:eastAsia="Times New Roman" w:hAnsiTheme="minorHAnsi" w:cstheme="minorHAnsi"/>
          <w:sz w:val="22"/>
          <w:szCs w:val="22"/>
          <w:lang w:eastAsia="en-GB"/>
        </w:rPr>
        <w:t xml:space="preserve"> Wetlands of International Importance</w:t>
      </w:r>
      <w:r w:rsidR="00CE5C59">
        <w:rPr>
          <w:rFonts w:asciiTheme="minorHAnsi" w:eastAsia="Times New Roman" w:hAnsiTheme="minorHAnsi" w:cstheme="minorHAnsi"/>
          <w:sz w:val="22"/>
          <w:szCs w:val="22"/>
          <w:lang w:eastAsia="en-GB"/>
        </w:rPr>
        <w:t xml:space="preserve"> </w:t>
      </w:r>
      <w:r w:rsidR="00CE5C59" w:rsidRPr="00BF35A0">
        <w:rPr>
          <w:rFonts w:asciiTheme="minorHAnsi" w:eastAsia="Times New Roman" w:hAnsiTheme="minorHAnsi" w:cstheme="minorHAnsi"/>
          <w:sz w:val="22"/>
          <w:szCs w:val="22"/>
          <w:lang w:eastAsia="en-GB"/>
        </w:rPr>
        <w:t>(“Ramsar Sites”)</w:t>
      </w:r>
      <w:r w:rsidR="001724A7" w:rsidRPr="00BF35A0">
        <w:rPr>
          <w:rFonts w:asciiTheme="minorHAnsi" w:eastAsia="Times New Roman" w:hAnsiTheme="minorHAnsi" w:cstheme="minorHAnsi"/>
          <w:sz w:val="22"/>
          <w:szCs w:val="22"/>
          <w:lang w:eastAsia="en-GB"/>
        </w:rPr>
        <w:t>. These included a joint mission with the World Heritage Centre (UNESCO) to the Fertö/Neusiedlersee Cultural Landscape (Austria and Hungary), a mission to the Sierra Leone River Estuary (Sierra Leone), a mission to Lago Poopó y Uru Uru (Bolivia) to explore measures for preserving its ecological character</w:t>
      </w:r>
      <w:r w:rsidR="00857476">
        <w:rPr>
          <w:rFonts w:asciiTheme="minorHAnsi" w:eastAsia="Times New Roman" w:hAnsiTheme="minorHAnsi" w:cstheme="minorHAnsi"/>
          <w:sz w:val="22"/>
          <w:szCs w:val="22"/>
          <w:lang w:eastAsia="en-GB"/>
        </w:rPr>
        <w:t>,</w:t>
      </w:r>
      <w:r w:rsidR="001724A7" w:rsidRPr="00BF35A0">
        <w:rPr>
          <w:rFonts w:asciiTheme="minorHAnsi" w:eastAsia="Times New Roman" w:hAnsiTheme="minorHAnsi" w:cstheme="minorHAnsi"/>
          <w:sz w:val="22"/>
          <w:szCs w:val="22"/>
          <w:lang w:eastAsia="en-GB"/>
        </w:rPr>
        <w:t xml:space="preserve"> and a mission to Basse Vallée du Couffo, Lagune Côtière Chenal Aho, Lac Ahémé (Benin) to assess threats from development projects and human activities causing annual fish mortality. These RAMs helped the countries to identify solutions to a range of threats affecting the ecological character of </w:t>
      </w:r>
      <w:r w:rsidR="00CE5C59">
        <w:rPr>
          <w:rFonts w:asciiTheme="minorHAnsi" w:eastAsia="Times New Roman" w:hAnsiTheme="minorHAnsi" w:cstheme="minorHAnsi"/>
          <w:sz w:val="22"/>
          <w:szCs w:val="22"/>
          <w:lang w:eastAsia="en-GB"/>
        </w:rPr>
        <w:t>these Sites</w:t>
      </w:r>
      <w:r w:rsidR="001724A7" w:rsidRPr="00BF35A0">
        <w:rPr>
          <w:rFonts w:asciiTheme="minorHAnsi" w:eastAsia="Times New Roman" w:hAnsiTheme="minorHAnsi" w:cstheme="minorHAnsi"/>
          <w:sz w:val="22"/>
          <w:szCs w:val="22"/>
          <w:lang w:eastAsia="en-GB"/>
        </w:rPr>
        <w:t>, including urbanization and other human</w:t>
      </w:r>
      <w:r w:rsidR="009944BC">
        <w:rPr>
          <w:rFonts w:asciiTheme="minorHAnsi" w:eastAsia="Times New Roman" w:hAnsiTheme="minorHAnsi" w:cstheme="minorHAnsi"/>
          <w:sz w:val="22"/>
          <w:szCs w:val="22"/>
          <w:lang w:eastAsia="en-GB"/>
        </w:rPr>
        <w:t xml:space="preserve">-caused impacts </w:t>
      </w:r>
      <w:r w:rsidR="001724A7" w:rsidRPr="00BF35A0">
        <w:rPr>
          <w:rFonts w:asciiTheme="minorHAnsi" w:eastAsia="Times New Roman" w:hAnsiTheme="minorHAnsi" w:cstheme="minorHAnsi"/>
          <w:sz w:val="22"/>
          <w:szCs w:val="22"/>
          <w:lang w:eastAsia="en-GB"/>
        </w:rPr>
        <w:t>such as wind farms, tourism development and water supply.</w:t>
      </w:r>
    </w:p>
    <w:p w14:paraId="47A04E7A" w14:textId="77777777" w:rsidR="001724A7" w:rsidRPr="00BF35A0" w:rsidRDefault="001724A7" w:rsidP="00BF35A0">
      <w:pPr>
        <w:pStyle w:val="BodyText"/>
        <w:widowControl w:val="0"/>
        <w:rPr>
          <w:rFonts w:asciiTheme="minorHAnsi" w:hAnsiTheme="minorHAnsi" w:cstheme="minorHAnsi"/>
          <w:szCs w:val="22"/>
          <w:lang w:val="en-GB"/>
        </w:rPr>
      </w:pPr>
    </w:p>
    <w:p w14:paraId="0D6A0F40" w14:textId="166A363E" w:rsidR="001724A7" w:rsidRPr="00BF35A0" w:rsidRDefault="00201C38" w:rsidP="00BF35A0">
      <w:pPr>
        <w:pStyle w:val="Default"/>
        <w:ind w:left="426" w:hanging="426"/>
        <w:rPr>
          <w:rFonts w:asciiTheme="minorHAnsi" w:eastAsia="Times New Roman" w:hAnsiTheme="minorHAnsi" w:cstheme="minorHAnsi"/>
          <w:sz w:val="22"/>
          <w:szCs w:val="22"/>
          <w:lang w:eastAsia="en-GB"/>
        </w:rPr>
      </w:pPr>
      <w:r>
        <w:rPr>
          <w:rFonts w:asciiTheme="minorHAnsi" w:hAnsiTheme="minorHAnsi" w:cstheme="minorHAnsi"/>
          <w:sz w:val="22"/>
          <w:szCs w:val="22"/>
        </w:rPr>
        <w:t>12</w:t>
      </w:r>
      <w:r w:rsidR="001724A7" w:rsidRPr="00BF35A0">
        <w:rPr>
          <w:rFonts w:asciiTheme="minorHAnsi" w:hAnsiTheme="minorHAnsi" w:cstheme="minorHAnsi"/>
          <w:sz w:val="22"/>
          <w:szCs w:val="22"/>
        </w:rPr>
        <w:t>.</w:t>
      </w:r>
      <w:r w:rsidR="001724A7" w:rsidRPr="00BF35A0">
        <w:rPr>
          <w:rFonts w:asciiTheme="minorHAnsi" w:hAnsiTheme="minorHAnsi" w:cstheme="minorHAnsi"/>
          <w:sz w:val="22"/>
          <w:szCs w:val="22"/>
        </w:rPr>
        <w:tab/>
      </w:r>
      <w:r w:rsidR="77FAB9A2" w:rsidRPr="00BF35A0">
        <w:rPr>
          <w:rFonts w:asciiTheme="minorHAnsi" w:eastAsiaTheme="minorEastAsia" w:hAnsiTheme="minorHAnsi" w:cstheme="minorHAnsi"/>
          <w:color w:val="000000" w:themeColor="text1"/>
          <w:sz w:val="22"/>
          <w:szCs w:val="22"/>
          <w:lang w:eastAsia="en-GB"/>
        </w:rPr>
        <w:t xml:space="preserve">The Secretary General has emphasized strengthening collaboration with Ramsar Regional Initiatives (RRIs) through improved communication and joint planning. A key step was </w:t>
      </w:r>
      <w:r w:rsidR="00210B8B" w:rsidRPr="00BF35A0">
        <w:rPr>
          <w:rFonts w:asciiTheme="minorHAnsi" w:eastAsiaTheme="minorEastAsia" w:hAnsiTheme="minorHAnsi" w:cstheme="minorHAnsi"/>
          <w:color w:val="000000" w:themeColor="text1"/>
          <w:sz w:val="22"/>
          <w:szCs w:val="22"/>
          <w:lang w:eastAsia="en-GB"/>
        </w:rPr>
        <w:t>organizing</w:t>
      </w:r>
      <w:r w:rsidR="77FAB9A2" w:rsidRPr="00BF35A0">
        <w:rPr>
          <w:rFonts w:asciiTheme="minorHAnsi" w:eastAsiaTheme="minorEastAsia" w:hAnsiTheme="minorHAnsi" w:cstheme="minorHAnsi"/>
          <w:color w:val="000000" w:themeColor="text1"/>
          <w:sz w:val="22"/>
          <w:szCs w:val="22"/>
          <w:lang w:eastAsia="en-GB"/>
        </w:rPr>
        <w:t xml:space="preserve"> annual planning meetings </w:t>
      </w:r>
      <w:r w:rsidR="009944BC">
        <w:rPr>
          <w:rFonts w:asciiTheme="minorHAnsi" w:eastAsiaTheme="minorEastAsia" w:hAnsiTheme="minorHAnsi" w:cstheme="minorHAnsi"/>
          <w:color w:val="000000" w:themeColor="text1"/>
          <w:sz w:val="22"/>
          <w:szCs w:val="22"/>
          <w:lang w:eastAsia="en-GB"/>
        </w:rPr>
        <w:t>from</w:t>
      </w:r>
      <w:r w:rsidR="77FAB9A2" w:rsidRPr="00BF35A0">
        <w:rPr>
          <w:rFonts w:asciiTheme="minorHAnsi" w:eastAsiaTheme="minorEastAsia" w:hAnsiTheme="minorHAnsi" w:cstheme="minorHAnsi"/>
          <w:color w:val="000000" w:themeColor="text1"/>
          <w:sz w:val="22"/>
          <w:szCs w:val="22"/>
          <w:lang w:eastAsia="en-GB"/>
        </w:rPr>
        <w:t xml:space="preserve"> 2023 to foster cooperation. These gatherings have led to coordinated plans for COP15, including a shared side event and exhibition stand involving all RRIs.</w:t>
      </w:r>
    </w:p>
    <w:p w14:paraId="464E919F" w14:textId="30B4D1B9" w:rsidR="001724A7" w:rsidRPr="00BF35A0" w:rsidRDefault="001724A7" w:rsidP="00BF35A0">
      <w:pPr>
        <w:pStyle w:val="Default"/>
        <w:ind w:left="426" w:hanging="426"/>
        <w:rPr>
          <w:rFonts w:asciiTheme="minorHAnsi" w:eastAsia="Times New Roman" w:hAnsiTheme="minorHAnsi" w:cstheme="minorHAnsi"/>
          <w:sz w:val="22"/>
          <w:szCs w:val="22"/>
          <w:lang w:eastAsia="en-GB"/>
        </w:rPr>
      </w:pPr>
    </w:p>
    <w:p w14:paraId="6BEF863E" w14:textId="48DD02B7" w:rsidR="001724A7" w:rsidRPr="00BF35A0" w:rsidRDefault="00201C38" w:rsidP="0057161F">
      <w:pPr>
        <w:pStyle w:val="Default"/>
        <w:ind w:left="426" w:hanging="426"/>
        <w:rPr>
          <w:rFonts w:asciiTheme="minorHAnsi" w:hAnsiTheme="minorHAnsi" w:cstheme="minorHAnsi"/>
          <w:sz w:val="22"/>
          <w:szCs w:val="22"/>
          <w:highlight w:val="yellow"/>
        </w:rPr>
      </w:pPr>
      <w:r>
        <w:rPr>
          <w:rFonts w:asciiTheme="minorHAnsi" w:eastAsia="Times New Roman" w:hAnsiTheme="minorHAnsi" w:cstheme="minorHAnsi"/>
          <w:sz w:val="22"/>
          <w:szCs w:val="22"/>
          <w:lang w:eastAsia="en-GB"/>
        </w:rPr>
        <w:t>13.</w:t>
      </w:r>
      <w:r>
        <w:rPr>
          <w:rFonts w:asciiTheme="minorHAnsi" w:eastAsia="Times New Roman" w:hAnsiTheme="minorHAnsi" w:cstheme="minorHAnsi"/>
          <w:sz w:val="22"/>
          <w:szCs w:val="22"/>
          <w:lang w:eastAsia="en-GB"/>
        </w:rPr>
        <w:tab/>
      </w:r>
      <w:r w:rsidR="77FAB9A2" w:rsidRPr="00BF35A0">
        <w:rPr>
          <w:rFonts w:asciiTheme="minorHAnsi" w:eastAsia="Times New Roman" w:hAnsiTheme="minorHAnsi" w:cstheme="minorHAnsi"/>
          <w:sz w:val="22"/>
          <w:szCs w:val="22"/>
          <w:lang w:eastAsia="en-GB"/>
        </w:rPr>
        <w:t>The Secretariat has continued supporting RRIs by facilitating knowledge sharing and resource mobilization. Notably, it connected the French Biodiversity Agency (OFB) with NigerWet and the Southern African Ramsar Regional Initiative (SARRI), resulting in OFB’s commitment to support SARRI’s organizational development and strategic planning. The Secretary General also promoted RRI activities during international missions. On 14 May 2024, in the Republic of Korea, she celebrated World Wetlands Day by attending a baseball game organized by the Ramsar Regional Center – East Asia and throwing the ceremonial first pitch. Later, on 28 June, she participated in MedWet’s celebration of Tour du Valat’s 70th anniversary in Arles, France, further reinforcing her support for RRIs worldwide.</w:t>
      </w:r>
    </w:p>
    <w:p w14:paraId="5EFDF640" w14:textId="77777777" w:rsidR="001724A7" w:rsidRPr="00BF35A0" w:rsidRDefault="001724A7" w:rsidP="00BF35A0">
      <w:pPr>
        <w:pStyle w:val="BodyText"/>
        <w:widowControl w:val="0"/>
        <w:ind w:left="426" w:hanging="426"/>
        <w:rPr>
          <w:rFonts w:asciiTheme="minorHAnsi" w:hAnsiTheme="minorHAnsi" w:cstheme="minorHAnsi"/>
          <w:szCs w:val="22"/>
          <w:lang w:val="en-GB"/>
        </w:rPr>
      </w:pPr>
    </w:p>
    <w:p w14:paraId="4FDCEDA9" w14:textId="411410BC" w:rsidR="001724A7" w:rsidRPr="00BF35A0" w:rsidRDefault="00201C38" w:rsidP="00BF35A0">
      <w:pPr>
        <w:pStyle w:val="BodyText"/>
        <w:widowControl w:val="0"/>
        <w:ind w:left="426" w:hanging="426"/>
        <w:rPr>
          <w:rFonts w:asciiTheme="minorHAnsi" w:hAnsiTheme="minorHAnsi" w:cstheme="minorHAnsi"/>
          <w:szCs w:val="22"/>
          <w:lang w:val="en-GB"/>
        </w:rPr>
      </w:pPr>
      <w:r>
        <w:rPr>
          <w:rFonts w:asciiTheme="minorHAnsi" w:hAnsiTheme="minorHAnsi" w:cstheme="minorHAnsi"/>
          <w:szCs w:val="22"/>
          <w:lang w:val="en-GB"/>
        </w:rPr>
        <w:t>14</w:t>
      </w:r>
      <w:r w:rsidR="001724A7" w:rsidRPr="00BF35A0">
        <w:rPr>
          <w:rFonts w:asciiTheme="minorHAnsi" w:hAnsiTheme="minorHAnsi" w:cstheme="minorHAnsi"/>
          <w:szCs w:val="22"/>
          <w:lang w:val="en-GB"/>
        </w:rPr>
        <w:t>.</w:t>
      </w:r>
      <w:r w:rsidR="001724A7" w:rsidRPr="00BF35A0">
        <w:rPr>
          <w:rFonts w:asciiTheme="minorHAnsi" w:hAnsiTheme="minorHAnsi" w:cstheme="minorHAnsi"/>
          <w:szCs w:val="22"/>
          <w:lang w:val="en-GB"/>
        </w:rPr>
        <w:tab/>
      </w:r>
      <w:r w:rsidR="00D42BE8" w:rsidRPr="00BF35A0">
        <w:rPr>
          <w:rFonts w:asciiTheme="minorHAnsi" w:hAnsiTheme="minorHAnsi" w:cstheme="minorHAnsi"/>
          <w:szCs w:val="22"/>
          <w:lang w:val="en-GB"/>
        </w:rPr>
        <w:t xml:space="preserve">During the triennium, the Secretariat launched the third call for applications for Wetland City </w:t>
      </w:r>
      <w:r w:rsidR="00D42BE8" w:rsidRPr="00BF35A0">
        <w:rPr>
          <w:rFonts w:asciiTheme="minorHAnsi" w:hAnsiTheme="minorHAnsi" w:cstheme="minorHAnsi"/>
          <w:szCs w:val="22"/>
          <w:lang w:val="en-GB"/>
        </w:rPr>
        <w:lastRenderedPageBreak/>
        <w:t>Accreditation, provided administrative support to the Independent Advisory Committee (IAC) for the 2023</w:t>
      </w:r>
      <w:r w:rsidR="009944BC">
        <w:rPr>
          <w:rFonts w:asciiTheme="minorHAnsi" w:hAnsiTheme="minorHAnsi" w:cstheme="minorHAnsi"/>
          <w:szCs w:val="22"/>
          <w:lang w:val="en-GB"/>
        </w:rPr>
        <w:t>-</w:t>
      </w:r>
      <w:r w:rsidR="00D42BE8" w:rsidRPr="00BF35A0">
        <w:rPr>
          <w:rFonts w:asciiTheme="minorHAnsi" w:hAnsiTheme="minorHAnsi" w:cstheme="minorHAnsi"/>
          <w:szCs w:val="22"/>
          <w:lang w:val="en-GB"/>
        </w:rPr>
        <w:t xml:space="preserve">2025 cycle and contributed to several IAC-organized meetings. This process culminated in the accreditation of 31 new Wetland Cities </w:t>
      </w:r>
      <w:r w:rsidR="009944BC">
        <w:rPr>
          <w:rFonts w:asciiTheme="minorHAnsi" w:hAnsiTheme="minorHAnsi" w:cstheme="minorHAnsi"/>
          <w:szCs w:val="22"/>
          <w:lang w:val="en-GB"/>
        </w:rPr>
        <w:t>in</w:t>
      </w:r>
      <w:r w:rsidR="009944BC" w:rsidRPr="00BF35A0">
        <w:rPr>
          <w:rFonts w:asciiTheme="minorHAnsi" w:hAnsiTheme="minorHAnsi" w:cstheme="minorHAnsi"/>
          <w:szCs w:val="22"/>
          <w:lang w:val="en-GB"/>
        </w:rPr>
        <w:t xml:space="preserve"> </w:t>
      </w:r>
      <w:r w:rsidR="00D42BE8" w:rsidRPr="00BF35A0">
        <w:rPr>
          <w:rFonts w:asciiTheme="minorHAnsi" w:hAnsiTheme="minorHAnsi" w:cstheme="minorHAnsi"/>
          <w:szCs w:val="22"/>
          <w:lang w:val="en-GB"/>
        </w:rPr>
        <w:t xml:space="preserve">16 countries, announced at </w:t>
      </w:r>
      <w:r w:rsidR="009944BC">
        <w:rPr>
          <w:rFonts w:asciiTheme="minorHAnsi" w:hAnsiTheme="minorHAnsi" w:cstheme="minorHAnsi"/>
          <w:szCs w:val="22"/>
          <w:lang w:val="en-GB"/>
        </w:rPr>
        <w:t>SC64</w:t>
      </w:r>
      <w:r w:rsidR="00D42BE8" w:rsidRPr="00BF35A0">
        <w:rPr>
          <w:rFonts w:asciiTheme="minorHAnsi" w:hAnsiTheme="minorHAnsi" w:cstheme="minorHAnsi"/>
          <w:szCs w:val="22"/>
          <w:lang w:val="en-GB"/>
        </w:rPr>
        <w:t xml:space="preserve"> </w:t>
      </w:r>
      <w:r w:rsidR="009944BC">
        <w:rPr>
          <w:rFonts w:asciiTheme="minorHAnsi" w:hAnsiTheme="minorHAnsi" w:cstheme="minorHAnsi"/>
          <w:szCs w:val="22"/>
          <w:lang w:val="en-GB"/>
        </w:rPr>
        <w:t xml:space="preserve">in </w:t>
      </w:r>
      <w:r w:rsidR="00D42BE8" w:rsidRPr="00BF35A0">
        <w:rPr>
          <w:rFonts w:asciiTheme="minorHAnsi" w:hAnsiTheme="minorHAnsi" w:cstheme="minorHAnsi"/>
          <w:szCs w:val="22"/>
          <w:lang w:val="en-GB"/>
        </w:rPr>
        <w:t>January 2025.</w:t>
      </w:r>
    </w:p>
    <w:p w14:paraId="69964243" w14:textId="77777777" w:rsidR="001724A7" w:rsidRPr="00BF35A0" w:rsidRDefault="001724A7" w:rsidP="00BF35A0">
      <w:pPr>
        <w:pStyle w:val="BodyText3"/>
        <w:spacing w:after="0" w:line="240" w:lineRule="auto"/>
        <w:rPr>
          <w:rFonts w:eastAsia="Times New Roman" w:cstheme="minorHAnsi"/>
          <w:b/>
          <w:sz w:val="22"/>
          <w:szCs w:val="22"/>
          <w:lang w:eastAsia="fr-FR"/>
        </w:rPr>
      </w:pPr>
    </w:p>
    <w:p w14:paraId="4478E453" w14:textId="4AE39AB8"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15</w:t>
      </w:r>
      <w:r w:rsidR="001724A7" w:rsidRPr="00BF35A0">
        <w:rPr>
          <w:rFonts w:cstheme="minorHAnsi"/>
          <w:color w:val="000000"/>
        </w:rPr>
        <w:t>.</w:t>
      </w:r>
      <w:r w:rsidR="001724A7" w:rsidRPr="00BF35A0">
        <w:rPr>
          <w:rFonts w:cstheme="minorHAnsi"/>
          <w:color w:val="000000"/>
        </w:rPr>
        <w:tab/>
        <w:t>The Secretariat continues to enhance IT platforms to improve operational efficiency and support Contracting Parties effectively.</w:t>
      </w:r>
      <w:r w:rsidR="001724A7" w:rsidRPr="00BF35A0">
        <w:rPr>
          <w:rFonts w:cstheme="minorHAnsi"/>
        </w:rPr>
        <w:t xml:space="preserve"> </w:t>
      </w:r>
      <w:r w:rsidR="001724A7" w:rsidRPr="00BF35A0">
        <w:rPr>
          <w:rFonts w:cstheme="minorHAnsi"/>
          <w:color w:val="000000"/>
        </w:rPr>
        <w:t xml:space="preserve">The Ramsar Sites Information Service (RSIS) received a core system upgrade to ensure security and reliability. The Convention website was redeveloped and </w:t>
      </w:r>
      <w:r w:rsidR="009944BC">
        <w:rPr>
          <w:rFonts w:cstheme="minorHAnsi"/>
          <w:color w:val="000000"/>
        </w:rPr>
        <w:t>re</w:t>
      </w:r>
      <w:r w:rsidR="001724A7" w:rsidRPr="00BF35A0">
        <w:rPr>
          <w:rFonts w:cstheme="minorHAnsi"/>
          <w:color w:val="000000"/>
        </w:rPr>
        <w:t xml:space="preserve">launched in mid-2023, improving accessibility and ease of use. The constituent relationship management (CRM) system remains a key tool for managing contacts, mailings, meeting registrations, nominations and reporting, with ongoing updates to align with security standards. Additionally, the Secretariat is developing a national report data system to facilitate data compilation, visualization and analysis. Streamlined intersessional collaboration is supported through various digital tools, including </w:t>
      </w:r>
      <w:r w:rsidR="009944BC">
        <w:rPr>
          <w:rFonts w:cstheme="minorHAnsi"/>
          <w:color w:val="000000"/>
        </w:rPr>
        <w:t xml:space="preserve">the </w:t>
      </w:r>
      <w:r w:rsidR="001724A7" w:rsidRPr="00BF35A0">
        <w:rPr>
          <w:rFonts w:cstheme="minorHAnsi"/>
          <w:color w:val="000000"/>
        </w:rPr>
        <w:t>CRM, SharePoint, Zoom, Teams, and Adobe online, with a proposed approach for further enhancements presented at SC63.</w:t>
      </w:r>
    </w:p>
    <w:p w14:paraId="6CDC11C7" w14:textId="77777777" w:rsidR="001724A7" w:rsidRPr="00BF35A0" w:rsidRDefault="001724A7" w:rsidP="00BF35A0">
      <w:pPr>
        <w:autoSpaceDE w:val="0"/>
        <w:autoSpaceDN w:val="0"/>
        <w:adjustRightInd w:val="0"/>
        <w:spacing w:after="0" w:line="240" w:lineRule="auto"/>
        <w:ind w:left="426" w:hanging="426"/>
        <w:rPr>
          <w:rFonts w:cstheme="minorHAnsi"/>
          <w:color w:val="000000"/>
          <w:highlight w:val="yellow"/>
        </w:rPr>
      </w:pPr>
    </w:p>
    <w:p w14:paraId="51A2E006" w14:textId="3DDEE5F1"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16</w:t>
      </w:r>
      <w:r w:rsidR="001724A7" w:rsidRPr="00BF35A0">
        <w:rPr>
          <w:rFonts w:cstheme="minorHAnsi"/>
          <w:color w:val="000000"/>
        </w:rPr>
        <w:t>.</w:t>
      </w:r>
      <w:r w:rsidR="001724A7" w:rsidRPr="00BF35A0">
        <w:rPr>
          <w:rFonts w:cstheme="minorHAnsi"/>
          <w:color w:val="000000"/>
        </w:rPr>
        <w:tab/>
        <w:t xml:space="preserve">The Secretariat maintained </w:t>
      </w:r>
      <w:r w:rsidR="00AD6A4A" w:rsidRPr="00BF35A0">
        <w:rPr>
          <w:rFonts w:cstheme="minorHAnsi"/>
          <w:color w:val="000000"/>
        </w:rPr>
        <w:t xml:space="preserve">strong </w:t>
      </w:r>
      <w:r w:rsidR="001724A7" w:rsidRPr="00BF35A0">
        <w:rPr>
          <w:rFonts w:cstheme="minorHAnsi"/>
          <w:color w:val="000000"/>
        </w:rPr>
        <w:t>financial stability in 2023, 2024 and 2025 through effective financial management and rigorous oversight, in alignment with established financial practices</w:t>
      </w:r>
      <w:r w:rsidR="006D0660" w:rsidRPr="00BF35A0">
        <w:rPr>
          <w:rFonts w:cstheme="minorHAnsi"/>
          <w:color w:val="000000"/>
        </w:rPr>
        <w:t xml:space="preserve">, </w:t>
      </w:r>
      <w:r w:rsidR="00FA452D" w:rsidRPr="00BF35A0">
        <w:rPr>
          <w:rFonts w:cstheme="minorHAnsi"/>
          <w:color w:val="000000"/>
        </w:rPr>
        <w:t>which have been validated by the</w:t>
      </w:r>
      <w:r w:rsidR="003E15A5" w:rsidRPr="00BF35A0">
        <w:rPr>
          <w:rFonts w:cstheme="minorHAnsi"/>
          <w:color w:val="000000"/>
        </w:rPr>
        <w:t xml:space="preserve"> external</w:t>
      </w:r>
      <w:r w:rsidR="00FA452D" w:rsidRPr="00BF35A0">
        <w:rPr>
          <w:rFonts w:cstheme="minorHAnsi"/>
          <w:color w:val="000000"/>
        </w:rPr>
        <w:t xml:space="preserve"> auditors</w:t>
      </w:r>
      <w:r w:rsidR="001724A7" w:rsidRPr="00BF35A0">
        <w:rPr>
          <w:rFonts w:cstheme="minorHAnsi"/>
          <w:color w:val="000000"/>
        </w:rPr>
        <w:t xml:space="preserve">. </w:t>
      </w:r>
      <w:r w:rsidR="00D93D19" w:rsidRPr="00BF35A0">
        <w:rPr>
          <w:rFonts w:cstheme="minorHAnsi"/>
          <w:color w:val="000000"/>
        </w:rPr>
        <w:t xml:space="preserve">Significant </w:t>
      </w:r>
      <w:r w:rsidR="009749C5" w:rsidRPr="00BF35A0">
        <w:rPr>
          <w:rFonts w:cstheme="minorHAnsi"/>
          <w:color w:val="000000"/>
        </w:rPr>
        <w:t xml:space="preserve">savings </w:t>
      </w:r>
      <w:r w:rsidR="008A5063" w:rsidRPr="00BF35A0">
        <w:rPr>
          <w:rFonts w:cstheme="minorHAnsi"/>
          <w:color w:val="000000"/>
        </w:rPr>
        <w:t xml:space="preserve">reported at the end of 2024 </w:t>
      </w:r>
      <w:r w:rsidR="009009DF" w:rsidRPr="00BF35A0">
        <w:rPr>
          <w:rFonts w:cstheme="minorHAnsi"/>
          <w:color w:val="000000"/>
        </w:rPr>
        <w:t xml:space="preserve">are resulting from accumulated unspent funds </w:t>
      </w:r>
      <w:r w:rsidR="007D7A9A" w:rsidRPr="00BF35A0">
        <w:rPr>
          <w:rFonts w:cstheme="minorHAnsi"/>
          <w:color w:val="000000"/>
        </w:rPr>
        <w:t xml:space="preserve">carried forward </w:t>
      </w:r>
      <w:r w:rsidR="00A54D46" w:rsidRPr="00BF35A0">
        <w:rPr>
          <w:rFonts w:cstheme="minorHAnsi"/>
          <w:color w:val="000000"/>
        </w:rPr>
        <w:t xml:space="preserve">from </w:t>
      </w:r>
      <w:r w:rsidR="002E6CB7" w:rsidRPr="00BF35A0">
        <w:rPr>
          <w:rFonts w:cstheme="minorHAnsi"/>
          <w:color w:val="000000"/>
        </w:rPr>
        <w:t xml:space="preserve">the </w:t>
      </w:r>
      <w:r w:rsidR="00A54D46" w:rsidRPr="00BF35A0">
        <w:rPr>
          <w:rFonts w:cstheme="minorHAnsi"/>
          <w:color w:val="000000"/>
        </w:rPr>
        <w:t>prior triennium.</w:t>
      </w:r>
      <w:r w:rsidR="006D6E27" w:rsidRPr="00BF35A0">
        <w:rPr>
          <w:rFonts w:cstheme="minorHAnsi"/>
          <w:color w:val="000000"/>
        </w:rPr>
        <w:t xml:space="preserve"> </w:t>
      </w:r>
      <w:r w:rsidR="003E15A5" w:rsidRPr="00BF35A0">
        <w:rPr>
          <w:rFonts w:cstheme="minorHAnsi"/>
          <w:color w:val="000000"/>
        </w:rPr>
        <w:t xml:space="preserve">Audited </w:t>
      </w:r>
      <w:r w:rsidR="001724A7" w:rsidRPr="00BF35A0">
        <w:rPr>
          <w:rFonts w:cstheme="minorHAnsi"/>
          <w:color w:val="000000"/>
        </w:rPr>
        <w:t xml:space="preserve">financial statements </w:t>
      </w:r>
      <w:r w:rsidR="000C035E" w:rsidRPr="00BF35A0">
        <w:rPr>
          <w:rFonts w:cstheme="minorHAnsi"/>
          <w:color w:val="000000"/>
        </w:rPr>
        <w:t xml:space="preserve">can be found on the </w:t>
      </w:r>
      <w:r w:rsidR="00BC53D9" w:rsidRPr="00BF35A0">
        <w:rPr>
          <w:rFonts w:cstheme="minorHAnsi"/>
          <w:color w:val="000000"/>
        </w:rPr>
        <w:t>Convention website</w:t>
      </w:r>
      <w:r w:rsidR="00FA3639" w:rsidRPr="00BF35A0">
        <w:rPr>
          <w:rFonts w:cstheme="minorHAnsi"/>
          <w:color w:val="000000"/>
        </w:rPr>
        <w:t xml:space="preserve"> and are included in the </w:t>
      </w:r>
      <w:r w:rsidR="00E60433" w:rsidRPr="00BF35A0">
        <w:rPr>
          <w:rFonts w:cstheme="minorHAnsi"/>
          <w:color w:val="000000"/>
        </w:rPr>
        <w:t xml:space="preserve">financial reports to the Standing </w:t>
      </w:r>
      <w:r w:rsidR="006E18E6" w:rsidRPr="00BF35A0">
        <w:rPr>
          <w:rFonts w:cstheme="minorHAnsi"/>
          <w:color w:val="000000"/>
        </w:rPr>
        <w:t>Committee.</w:t>
      </w:r>
    </w:p>
    <w:p w14:paraId="70793333"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74AE1061" w14:textId="3013FF92"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themeColor="text1"/>
        </w:rPr>
        <w:t>17</w:t>
      </w:r>
      <w:r w:rsidR="001724A7" w:rsidRPr="00BF35A0">
        <w:rPr>
          <w:rFonts w:cstheme="minorHAnsi"/>
          <w:color w:val="000000" w:themeColor="text1"/>
        </w:rPr>
        <w:t>.</w:t>
      </w:r>
      <w:r w:rsidR="001724A7" w:rsidRPr="00BF35A0">
        <w:rPr>
          <w:rFonts w:cstheme="minorHAnsi"/>
        </w:rPr>
        <w:tab/>
      </w:r>
      <w:r w:rsidR="001724A7" w:rsidRPr="00BF35A0">
        <w:rPr>
          <w:rFonts w:cstheme="minorHAnsi"/>
          <w:color w:val="000000" w:themeColor="text1"/>
        </w:rPr>
        <w:t>During the reporting period, the Secretariat successfully recruited five staff members, including a Senior Advisor for the Americas, three Junior Professionals for Asia</w:t>
      </w:r>
      <w:r w:rsidR="009944BC">
        <w:rPr>
          <w:rFonts w:cstheme="minorHAnsi"/>
          <w:color w:val="000000" w:themeColor="text1"/>
        </w:rPr>
        <w:t xml:space="preserve"> and</w:t>
      </w:r>
      <w:r w:rsidR="001724A7" w:rsidRPr="00BF35A0">
        <w:rPr>
          <w:rFonts w:cstheme="minorHAnsi"/>
          <w:color w:val="000000" w:themeColor="text1"/>
        </w:rPr>
        <w:t xml:space="preserve"> Oceania, Europe</w:t>
      </w:r>
      <w:r w:rsidR="009944BC">
        <w:rPr>
          <w:rFonts w:cstheme="minorHAnsi"/>
          <w:color w:val="000000" w:themeColor="text1"/>
        </w:rPr>
        <w:t>,</w:t>
      </w:r>
      <w:r w:rsidR="001724A7" w:rsidRPr="00BF35A0">
        <w:rPr>
          <w:rFonts w:cstheme="minorHAnsi"/>
          <w:color w:val="000000" w:themeColor="text1"/>
        </w:rPr>
        <w:t xml:space="preserve"> and the Americas</w:t>
      </w:r>
      <w:r w:rsidR="009944BC">
        <w:rPr>
          <w:rFonts w:cstheme="minorHAnsi"/>
          <w:color w:val="000000" w:themeColor="text1"/>
        </w:rPr>
        <w:t>,</w:t>
      </w:r>
      <w:r w:rsidR="001724A7" w:rsidRPr="00BF35A0">
        <w:rPr>
          <w:rFonts w:cstheme="minorHAnsi"/>
          <w:color w:val="000000" w:themeColor="text1"/>
        </w:rPr>
        <w:t xml:space="preserve"> and a Wetland Finance Support Officer funded through a cooperation agreement with the Ministry of Environment</w:t>
      </w:r>
      <w:r w:rsidR="009944BC">
        <w:rPr>
          <w:rFonts w:cstheme="minorHAnsi"/>
          <w:color w:val="000000" w:themeColor="text1"/>
        </w:rPr>
        <w:t xml:space="preserve"> of the Republic of Korea</w:t>
      </w:r>
      <w:r w:rsidR="001724A7" w:rsidRPr="00BF35A0">
        <w:rPr>
          <w:rFonts w:cstheme="minorHAnsi"/>
          <w:color w:val="000000" w:themeColor="text1"/>
        </w:rPr>
        <w:t>. A salary review exercise highlighted disparities between</w:t>
      </w:r>
      <w:r w:rsidR="00EB4DEE" w:rsidRPr="00BF35A0">
        <w:rPr>
          <w:rFonts w:cstheme="minorHAnsi"/>
          <w:color w:val="000000" w:themeColor="text1"/>
        </w:rPr>
        <w:t xml:space="preserve"> the </w:t>
      </w:r>
      <w:r w:rsidR="001724A7" w:rsidRPr="00BF35A0">
        <w:rPr>
          <w:rFonts w:cstheme="minorHAnsi"/>
          <w:color w:val="000000" w:themeColor="text1"/>
        </w:rPr>
        <w:t>Secretariat and IUCN staff compensation, leading to some salary adjustments within budget constraints. Additionally, a staff retreat using the MBTI methodology was organized in 2024 to strengthen team collaboration and improve work efficiency.</w:t>
      </w:r>
    </w:p>
    <w:p w14:paraId="54B745F5"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1603B76D" w14:textId="77777777" w:rsidR="001724A7" w:rsidRPr="00BF35A0" w:rsidRDefault="001724A7" w:rsidP="00BF35A0">
      <w:pPr>
        <w:keepNext/>
        <w:autoSpaceDE w:val="0"/>
        <w:autoSpaceDN w:val="0"/>
        <w:spacing w:after="0" w:line="240" w:lineRule="auto"/>
        <w:ind w:left="425" w:hanging="425"/>
        <w:outlineLvl w:val="0"/>
        <w:rPr>
          <w:rFonts w:eastAsia="Carlito" w:cstheme="minorHAnsi"/>
          <w:b/>
          <w:bCs/>
          <w:lang w:val="en-US"/>
        </w:rPr>
      </w:pPr>
      <w:r w:rsidRPr="00BF35A0">
        <w:rPr>
          <w:rFonts w:eastAsia="Carlito" w:cstheme="minorHAnsi"/>
          <w:b/>
          <w:bCs/>
          <w:lang w:val="en-US"/>
        </w:rPr>
        <w:t>Increasing</w:t>
      </w:r>
      <w:r w:rsidRPr="00BF35A0">
        <w:rPr>
          <w:rFonts w:eastAsia="Carlito" w:cstheme="minorHAnsi"/>
          <w:b/>
          <w:bCs/>
          <w:spacing w:val="-8"/>
          <w:lang w:val="en-US"/>
        </w:rPr>
        <w:t xml:space="preserve"> </w:t>
      </w:r>
      <w:r w:rsidRPr="00BF35A0">
        <w:rPr>
          <w:rFonts w:eastAsia="Carlito" w:cstheme="minorHAnsi"/>
          <w:b/>
          <w:bCs/>
          <w:lang w:val="en-US"/>
        </w:rPr>
        <w:t>visibility</w:t>
      </w:r>
      <w:r w:rsidRPr="00BF35A0">
        <w:rPr>
          <w:rFonts w:eastAsia="Carlito" w:cstheme="minorHAnsi"/>
          <w:b/>
          <w:bCs/>
          <w:spacing w:val="-4"/>
          <w:lang w:val="en-US"/>
        </w:rPr>
        <w:t xml:space="preserve"> </w:t>
      </w:r>
      <w:r w:rsidRPr="00BF35A0">
        <w:rPr>
          <w:rFonts w:eastAsia="Carlito" w:cstheme="minorHAnsi"/>
          <w:b/>
          <w:bCs/>
          <w:lang w:val="en-US"/>
        </w:rPr>
        <w:t>and</w:t>
      </w:r>
      <w:r w:rsidRPr="00BF35A0">
        <w:rPr>
          <w:rFonts w:eastAsia="Carlito" w:cstheme="minorHAnsi"/>
          <w:b/>
          <w:bCs/>
          <w:spacing w:val="-5"/>
          <w:lang w:val="en-US"/>
        </w:rPr>
        <w:t xml:space="preserve"> </w:t>
      </w:r>
      <w:r w:rsidRPr="00BF35A0">
        <w:rPr>
          <w:rFonts w:eastAsia="Carlito" w:cstheme="minorHAnsi"/>
          <w:b/>
          <w:bCs/>
          <w:lang w:val="en-US"/>
        </w:rPr>
        <w:t>awareness</w:t>
      </w:r>
      <w:r w:rsidRPr="00BF35A0">
        <w:rPr>
          <w:rFonts w:eastAsia="Carlito" w:cstheme="minorHAnsi"/>
          <w:b/>
          <w:bCs/>
          <w:spacing w:val="-3"/>
          <w:lang w:val="en-US"/>
        </w:rPr>
        <w:t xml:space="preserve"> </w:t>
      </w:r>
      <w:r w:rsidRPr="00BF35A0">
        <w:rPr>
          <w:rFonts w:eastAsia="Carlito" w:cstheme="minorHAnsi"/>
          <w:b/>
          <w:bCs/>
          <w:lang w:val="en-US"/>
        </w:rPr>
        <w:t>of</w:t>
      </w:r>
      <w:r w:rsidRPr="00BF35A0">
        <w:rPr>
          <w:rFonts w:eastAsia="Carlito" w:cstheme="minorHAnsi"/>
          <w:b/>
          <w:bCs/>
          <w:spacing w:val="-6"/>
          <w:lang w:val="en-US"/>
        </w:rPr>
        <w:t xml:space="preserve"> </w:t>
      </w:r>
      <w:r w:rsidRPr="00BF35A0">
        <w:rPr>
          <w:rFonts w:eastAsia="Carlito" w:cstheme="minorHAnsi"/>
          <w:b/>
          <w:bCs/>
          <w:lang w:val="en-US"/>
        </w:rPr>
        <w:t>the</w:t>
      </w:r>
      <w:r w:rsidRPr="00BF35A0">
        <w:rPr>
          <w:rFonts w:eastAsia="Carlito" w:cstheme="minorHAnsi"/>
          <w:b/>
          <w:bCs/>
          <w:spacing w:val="-5"/>
          <w:lang w:val="en-US"/>
        </w:rPr>
        <w:t xml:space="preserve"> </w:t>
      </w:r>
      <w:r w:rsidRPr="00BF35A0">
        <w:rPr>
          <w:rFonts w:eastAsia="Carlito" w:cstheme="minorHAnsi"/>
          <w:b/>
          <w:bCs/>
          <w:lang w:val="en-US"/>
        </w:rPr>
        <w:t>centrality</w:t>
      </w:r>
      <w:r w:rsidRPr="00BF35A0">
        <w:rPr>
          <w:rFonts w:eastAsia="Carlito" w:cstheme="minorHAnsi"/>
          <w:b/>
          <w:bCs/>
          <w:spacing w:val="-6"/>
          <w:lang w:val="en-US"/>
        </w:rPr>
        <w:t xml:space="preserve"> </w:t>
      </w:r>
      <w:r w:rsidRPr="00BF35A0">
        <w:rPr>
          <w:rFonts w:eastAsia="Carlito" w:cstheme="minorHAnsi"/>
          <w:b/>
          <w:bCs/>
          <w:lang w:val="en-US"/>
        </w:rPr>
        <w:t>of</w:t>
      </w:r>
      <w:r w:rsidRPr="00BF35A0">
        <w:rPr>
          <w:rFonts w:eastAsia="Carlito" w:cstheme="minorHAnsi"/>
          <w:b/>
          <w:bCs/>
          <w:spacing w:val="-3"/>
          <w:lang w:val="en-US"/>
        </w:rPr>
        <w:t xml:space="preserve"> </w:t>
      </w:r>
      <w:r w:rsidRPr="00BF35A0">
        <w:rPr>
          <w:rFonts w:eastAsia="Carlito" w:cstheme="minorHAnsi"/>
          <w:b/>
          <w:bCs/>
          <w:lang w:val="en-US"/>
        </w:rPr>
        <w:t>wetlands</w:t>
      </w:r>
      <w:r w:rsidRPr="00BF35A0">
        <w:rPr>
          <w:rFonts w:eastAsia="Carlito" w:cstheme="minorHAnsi"/>
          <w:b/>
          <w:bCs/>
          <w:spacing w:val="-6"/>
          <w:lang w:val="en-US"/>
        </w:rPr>
        <w:t xml:space="preserve"> </w:t>
      </w:r>
      <w:r w:rsidRPr="00BF35A0">
        <w:rPr>
          <w:rFonts w:eastAsia="Carlito" w:cstheme="minorHAnsi"/>
          <w:b/>
          <w:bCs/>
          <w:lang w:val="en-US"/>
        </w:rPr>
        <w:t>in</w:t>
      </w:r>
      <w:r w:rsidRPr="00BF35A0">
        <w:rPr>
          <w:rFonts w:eastAsia="Carlito" w:cstheme="minorHAnsi"/>
          <w:b/>
          <w:bCs/>
          <w:spacing w:val="-5"/>
          <w:lang w:val="en-US"/>
        </w:rPr>
        <w:t xml:space="preserve"> </w:t>
      </w:r>
      <w:r w:rsidRPr="00BF35A0">
        <w:rPr>
          <w:rFonts w:eastAsia="Carlito" w:cstheme="minorHAnsi"/>
          <w:b/>
          <w:bCs/>
          <w:lang w:val="en-US"/>
        </w:rPr>
        <w:t>global</w:t>
      </w:r>
      <w:r w:rsidRPr="00BF35A0">
        <w:rPr>
          <w:rFonts w:eastAsia="Carlito" w:cstheme="minorHAnsi"/>
          <w:b/>
          <w:bCs/>
          <w:spacing w:val="-3"/>
          <w:lang w:val="en-US"/>
        </w:rPr>
        <w:t xml:space="preserve"> </w:t>
      </w:r>
      <w:r w:rsidRPr="00BF35A0">
        <w:rPr>
          <w:rFonts w:eastAsia="Carlito" w:cstheme="minorHAnsi"/>
          <w:b/>
          <w:bCs/>
          <w:spacing w:val="-2"/>
          <w:lang w:val="en-US"/>
        </w:rPr>
        <w:t>processes</w:t>
      </w:r>
    </w:p>
    <w:p w14:paraId="27A087E6" w14:textId="77777777" w:rsidR="001724A7" w:rsidRPr="00BF35A0" w:rsidRDefault="001724A7" w:rsidP="00BF35A0">
      <w:pPr>
        <w:keepNext/>
        <w:spacing w:after="0" w:line="240" w:lineRule="auto"/>
        <w:ind w:left="425" w:hanging="425"/>
        <w:rPr>
          <w:rFonts w:cstheme="minorHAnsi"/>
          <w:color w:val="000000"/>
        </w:rPr>
      </w:pPr>
    </w:p>
    <w:p w14:paraId="1CE757F2" w14:textId="2A98FA2B" w:rsidR="008A658C"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18</w:t>
      </w:r>
      <w:r w:rsidR="001724A7" w:rsidRPr="00BF35A0">
        <w:rPr>
          <w:rFonts w:cstheme="minorHAnsi"/>
          <w:color w:val="000000"/>
        </w:rPr>
        <w:t>.</w:t>
      </w:r>
      <w:r w:rsidR="001724A7" w:rsidRPr="00BF35A0">
        <w:rPr>
          <w:rFonts w:cstheme="minorHAnsi"/>
          <w:color w:val="000000"/>
        </w:rPr>
        <w:tab/>
        <w:t xml:space="preserve">Raising visibility and awareness </w:t>
      </w:r>
      <w:r w:rsidR="00F3168D">
        <w:rPr>
          <w:rFonts w:cstheme="minorHAnsi"/>
          <w:color w:val="000000"/>
        </w:rPr>
        <w:t>of</w:t>
      </w:r>
      <w:r w:rsidR="00F3168D" w:rsidRPr="00BF35A0">
        <w:rPr>
          <w:rFonts w:cstheme="minorHAnsi"/>
          <w:color w:val="000000"/>
        </w:rPr>
        <w:t xml:space="preserve"> </w:t>
      </w:r>
      <w:r w:rsidR="001724A7" w:rsidRPr="00BF35A0">
        <w:rPr>
          <w:rFonts w:cstheme="minorHAnsi"/>
          <w:color w:val="000000"/>
        </w:rPr>
        <w:t xml:space="preserve">the vital role of wetlands in global processes is essential for addressing the interconnected crises of climate change, biodiversity loss and pollution. Hence, promoting the importance of protecting, conserving and restoring wetlands is crucial to driving the urgent actions required to address </w:t>
      </w:r>
      <w:r w:rsidR="00F3168D">
        <w:rPr>
          <w:rFonts w:cstheme="minorHAnsi"/>
          <w:color w:val="000000"/>
        </w:rPr>
        <w:t xml:space="preserve">all </w:t>
      </w:r>
      <w:r w:rsidR="001724A7" w:rsidRPr="00BF35A0">
        <w:rPr>
          <w:rFonts w:cstheme="minorHAnsi"/>
          <w:color w:val="000000"/>
        </w:rPr>
        <w:t>these challenges.</w:t>
      </w:r>
    </w:p>
    <w:p w14:paraId="113679D7" w14:textId="77777777" w:rsidR="008A658C" w:rsidRPr="00BF35A0" w:rsidRDefault="008A658C" w:rsidP="00BF35A0">
      <w:pPr>
        <w:autoSpaceDE w:val="0"/>
        <w:autoSpaceDN w:val="0"/>
        <w:adjustRightInd w:val="0"/>
        <w:spacing w:after="0" w:line="240" w:lineRule="auto"/>
        <w:ind w:left="426" w:hanging="426"/>
        <w:rPr>
          <w:rFonts w:cstheme="minorHAnsi"/>
          <w:color w:val="000000"/>
        </w:rPr>
      </w:pPr>
    </w:p>
    <w:p w14:paraId="1B27B7EF" w14:textId="6348E5F0" w:rsidR="00510930"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19</w:t>
      </w:r>
      <w:r w:rsidR="008A658C" w:rsidRPr="00BF35A0">
        <w:rPr>
          <w:rFonts w:cstheme="minorHAnsi"/>
          <w:color w:val="000000"/>
        </w:rPr>
        <w:t>.</w:t>
      </w:r>
      <w:r w:rsidR="009936E3" w:rsidRPr="00BF35A0">
        <w:rPr>
          <w:rFonts w:cstheme="minorHAnsi"/>
          <w:color w:val="000000"/>
        </w:rPr>
        <w:tab/>
      </w:r>
      <w:r w:rsidR="008A658C" w:rsidRPr="00BF35A0">
        <w:rPr>
          <w:rFonts w:cstheme="minorHAnsi"/>
          <w:color w:val="000000"/>
        </w:rPr>
        <w:t xml:space="preserve">During her missions, the Secretary General had the opportunity to meet with several Heads of State. In August 2023, on the margins of the </w:t>
      </w:r>
      <w:r w:rsidR="00F33FE3">
        <w:rPr>
          <w:rFonts w:cstheme="minorHAnsi"/>
          <w:color w:val="000000"/>
        </w:rPr>
        <w:t xml:space="preserve">tenth </w:t>
      </w:r>
      <w:r w:rsidR="00F33FE3" w:rsidRPr="00BF35A0">
        <w:rPr>
          <w:rFonts w:cstheme="minorHAnsi"/>
        </w:rPr>
        <w:t xml:space="preserve">Special Session </w:t>
      </w:r>
      <w:r w:rsidR="00F33FE3">
        <w:rPr>
          <w:rFonts w:cstheme="minorHAnsi"/>
          <w:color w:val="000000"/>
        </w:rPr>
        <w:t xml:space="preserve">of the </w:t>
      </w:r>
      <w:r w:rsidR="008A658C" w:rsidRPr="00BF35A0">
        <w:rPr>
          <w:rFonts w:cstheme="minorHAnsi"/>
          <w:color w:val="000000"/>
        </w:rPr>
        <w:t xml:space="preserve">African Ministerial Conference on the Environment (AMCEN) in </w:t>
      </w:r>
      <w:r w:rsidR="00F3168D">
        <w:rPr>
          <w:rFonts w:cstheme="minorHAnsi"/>
          <w:color w:val="000000"/>
        </w:rPr>
        <w:t xml:space="preserve">Ethiopia, </w:t>
      </w:r>
      <w:r w:rsidR="008A658C" w:rsidRPr="00BF35A0">
        <w:rPr>
          <w:rFonts w:cstheme="minorHAnsi"/>
          <w:color w:val="000000"/>
        </w:rPr>
        <w:t>she held a courtesy meeting with the then President of Ethiopia, H.E. Sahle-Work Zewde. The discussion focused on the importance of wetlands in Ethiopia, despite the country not yet being a Contracting Party to the Convention.</w:t>
      </w:r>
      <w:r w:rsidR="00CC1E4D" w:rsidRPr="00BF35A0">
        <w:rPr>
          <w:rFonts w:cstheme="minorHAnsi"/>
        </w:rPr>
        <w:t xml:space="preserve"> </w:t>
      </w:r>
      <w:r w:rsidR="00CC1E4D" w:rsidRPr="00BF35A0">
        <w:rPr>
          <w:rFonts w:cstheme="minorHAnsi"/>
          <w:color w:val="000000"/>
        </w:rPr>
        <w:t>At UNEA-6</w:t>
      </w:r>
      <w:r w:rsidR="008A658C" w:rsidRPr="00BF35A0">
        <w:rPr>
          <w:rFonts w:cstheme="minorHAnsi"/>
          <w:color w:val="000000"/>
        </w:rPr>
        <w:t>, a courtesy meeting was also arranged with the President of Gabon, H.E. Brice Clotaire Oligui Nguema. As Gabon serves as Vice Chair of the Standing Committee, the meeting provided an opportunity to strengthen collaboration and reaffirm high-level engagement.</w:t>
      </w:r>
    </w:p>
    <w:p w14:paraId="79194A49" w14:textId="77777777" w:rsidR="00510930" w:rsidRPr="00BF35A0" w:rsidRDefault="00510930" w:rsidP="00BF35A0">
      <w:pPr>
        <w:autoSpaceDE w:val="0"/>
        <w:autoSpaceDN w:val="0"/>
        <w:adjustRightInd w:val="0"/>
        <w:spacing w:after="0" w:line="240" w:lineRule="auto"/>
        <w:ind w:left="426" w:hanging="426"/>
        <w:rPr>
          <w:rFonts w:cstheme="minorHAnsi"/>
          <w:color w:val="000000"/>
        </w:rPr>
      </w:pPr>
    </w:p>
    <w:p w14:paraId="609BC411" w14:textId="5FCADF79" w:rsidR="00E33086"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20</w:t>
      </w:r>
      <w:r w:rsidR="00510930" w:rsidRPr="00BF35A0">
        <w:rPr>
          <w:rFonts w:cstheme="minorHAnsi"/>
          <w:color w:val="000000"/>
        </w:rPr>
        <w:t>.</w:t>
      </w:r>
      <w:r w:rsidR="009936E3" w:rsidRPr="00BF35A0">
        <w:rPr>
          <w:rFonts w:cstheme="minorHAnsi"/>
          <w:color w:val="000000"/>
        </w:rPr>
        <w:tab/>
      </w:r>
      <w:r w:rsidR="00510930" w:rsidRPr="00BF35A0">
        <w:rPr>
          <w:rFonts w:cstheme="minorHAnsi"/>
          <w:color w:val="000000"/>
        </w:rPr>
        <w:t xml:space="preserve">At the 10th World Water Forum held in Indonesia </w:t>
      </w:r>
      <w:r w:rsidR="00E81E5C">
        <w:rPr>
          <w:rFonts w:cstheme="minorHAnsi"/>
          <w:color w:val="000000"/>
        </w:rPr>
        <w:t>in</w:t>
      </w:r>
      <w:r w:rsidR="00E81E5C" w:rsidRPr="00BF35A0">
        <w:rPr>
          <w:rFonts w:cstheme="minorHAnsi"/>
          <w:color w:val="000000"/>
        </w:rPr>
        <w:t xml:space="preserve"> </w:t>
      </w:r>
      <w:r w:rsidR="00510930" w:rsidRPr="00BF35A0">
        <w:rPr>
          <w:rFonts w:cstheme="minorHAnsi"/>
          <w:color w:val="000000"/>
        </w:rPr>
        <w:t xml:space="preserve">May 2024, the Secretary General was invited by the President of Indonesia, H.E. Joko Widodo, to join a high-level delegation visiting the country’s largest mangrove nursery on the island of Bali. In June 2024, on the margins of the </w:t>
      </w:r>
      <w:r w:rsidR="00510930" w:rsidRPr="00BF35A0">
        <w:rPr>
          <w:rFonts w:cstheme="minorHAnsi"/>
          <w:color w:val="000000"/>
        </w:rPr>
        <w:lastRenderedPageBreak/>
        <w:t>Dushanbe Water Conference in Tajikistan, she also held a meeting with H.E. Kanat Bozumbayev, Deputy Prime Minister of the Republic of Kazakhstan.</w:t>
      </w:r>
    </w:p>
    <w:p w14:paraId="61E24954" w14:textId="77777777" w:rsidR="00E33086" w:rsidRPr="00BF35A0" w:rsidRDefault="00E33086" w:rsidP="00BF35A0">
      <w:pPr>
        <w:autoSpaceDE w:val="0"/>
        <w:autoSpaceDN w:val="0"/>
        <w:adjustRightInd w:val="0"/>
        <w:spacing w:after="0" w:line="240" w:lineRule="auto"/>
        <w:ind w:left="426" w:hanging="426"/>
        <w:rPr>
          <w:rFonts w:cstheme="minorHAnsi"/>
          <w:color w:val="000000"/>
        </w:rPr>
      </w:pPr>
    </w:p>
    <w:p w14:paraId="6C409276" w14:textId="569AE588" w:rsidR="00D61186"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21</w:t>
      </w:r>
      <w:r w:rsidR="00CC1E4D" w:rsidRPr="00BF35A0">
        <w:rPr>
          <w:rFonts w:cstheme="minorHAnsi"/>
          <w:color w:val="000000"/>
        </w:rPr>
        <w:t>.</w:t>
      </w:r>
      <w:r w:rsidR="009936E3" w:rsidRPr="00BF35A0">
        <w:rPr>
          <w:rFonts w:cstheme="minorHAnsi"/>
          <w:color w:val="000000"/>
        </w:rPr>
        <w:tab/>
      </w:r>
      <w:r w:rsidR="006C540E" w:rsidRPr="00BF35A0">
        <w:rPr>
          <w:rFonts w:cstheme="minorHAnsi"/>
          <w:color w:val="000000"/>
        </w:rPr>
        <w:t xml:space="preserve">To strengthen the connection between the Ministries </w:t>
      </w:r>
      <w:r w:rsidR="00A039E8">
        <w:rPr>
          <w:rFonts w:cstheme="minorHAnsi"/>
          <w:color w:val="000000"/>
        </w:rPr>
        <w:t>in which</w:t>
      </w:r>
      <w:r w:rsidR="00A039E8" w:rsidRPr="00BF35A0">
        <w:rPr>
          <w:rFonts w:cstheme="minorHAnsi"/>
          <w:color w:val="000000"/>
        </w:rPr>
        <w:t xml:space="preserve"> </w:t>
      </w:r>
      <w:r w:rsidR="006C540E" w:rsidRPr="00BF35A0">
        <w:rPr>
          <w:rFonts w:cstheme="minorHAnsi"/>
          <w:color w:val="000000"/>
        </w:rPr>
        <w:t xml:space="preserve">the Administrative Authorities </w:t>
      </w:r>
      <w:r w:rsidR="00A039E8">
        <w:rPr>
          <w:rFonts w:cstheme="minorHAnsi"/>
          <w:color w:val="000000"/>
        </w:rPr>
        <w:t xml:space="preserve">and </w:t>
      </w:r>
      <w:r w:rsidR="00A039E8" w:rsidRPr="00BF35A0">
        <w:rPr>
          <w:rFonts w:cstheme="minorHAnsi"/>
          <w:color w:val="000000"/>
        </w:rPr>
        <w:t>National Focal Points</w:t>
      </w:r>
      <w:r w:rsidR="00A039E8">
        <w:rPr>
          <w:rFonts w:cstheme="minorHAnsi"/>
          <w:color w:val="000000"/>
        </w:rPr>
        <w:t xml:space="preserve"> </w:t>
      </w:r>
      <w:r w:rsidR="006C540E" w:rsidRPr="00BF35A0">
        <w:rPr>
          <w:rFonts w:cstheme="minorHAnsi"/>
          <w:color w:val="000000"/>
        </w:rPr>
        <w:t xml:space="preserve">for the Convention are located and the Ministries of Foreign Affairs that drive diplomacy, the Secretariat has </w:t>
      </w:r>
      <w:r w:rsidR="00702937" w:rsidRPr="00BF35A0">
        <w:rPr>
          <w:rFonts w:cstheme="minorHAnsi"/>
          <w:color w:val="000000"/>
        </w:rPr>
        <w:t>since 2023</w:t>
      </w:r>
      <w:r w:rsidR="00702937">
        <w:rPr>
          <w:rFonts w:cstheme="minorHAnsi"/>
          <w:color w:val="000000"/>
        </w:rPr>
        <w:t xml:space="preserve"> </w:t>
      </w:r>
      <w:r w:rsidR="006C540E" w:rsidRPr="00BF35A0">
        <w:rPr>
          <w:rFonts w:cstheme="minorHAnsi"/>
          <w:color w:val="000000"/>
        </w:rPr>
        <w:t xml:space="preserve">been sharing information with Ambassadors and Permanent Representatives based in </w:t>
      </w:r>
      <w:r w:rsidR="00027F21">
        <w:rPr>
          <w:rFonts w:cstheme="minorHAnsi"/>
          <w:color w:val="000000"/>
        </w:rPr>
        <w:t>Switzerland</w:t>
      </w:r>
      <w:r w:rsidR="006C540E" w:rsidRPr="00BF35A0">
        <w:rPr>
          <w:rFonts w:cstheme="minorHAnsi"/>
          <w:color w:val="000000"/>
        </w:rPr>
        <w:t xml:space="preserve">. Over the past </w:t>
      </w:r>
      <w:r w:rsidR="00027F21">
        <w:rPr>
          <w:rFonts w:cstheme="minorHAnsi"/>
          <w:color w:val="000000"/>
        </w:rPr>
        <w:t>18</w:t>
      </w:r>
      <w:r w:rsidR="00027F21" w:rsidRPr="00BF35A0">
        <w:rPr>
          <w:rFonts w:cstheme="minorHAnsi"/>
          <w:color w:val="000000"/>
        </w:rPr>
        <w:t xml:space="preserve"> </w:t>
      </w:r>
      <w:r w:rsidR="006C540E" w:rsidRPr="00BF35A0">
        <w:rPr>
          <w:rFonts w:cstheme="minorHAnsi"/>
          <w:color w:val="000000"/>
        </w:rPr>
        <w:t xml:space="preserve">months, 24 Ambassadors have visited the Secretariat </w:t>
      </w:r>
      <w:r w:rsidR="00027F21">
        <w:rPr>
          <w:rFonts w:cstheme="minorHAnsi"/>
          <w:color w:val="000000"/>
        </w:rPr>
        <w:t>headquarters</w:t>
      </w:r>
      <w:r w:rsidR="00027F21" w:rsidRPr="00BF35A0">
        <w:rPr>
          <w:rFonts w:cstheme="minorHAnsi"/>
          <w:color w:val="000000"/>
        </w:rPr>
        <w:t xml:space="preserve"> </w:t>
      </w:r>
      <w:r w:rsidR="006C540E" w:rsidRPr="00BF35A0">
        <w:rPr>
          <w:rFonts w:cstheme="minorHAnsi"/>
          <w:color w:val="000000"/>
        </w:rPr>
        <w:t xml:space="preserve">in Gland, and three major briefings have been held at the </w:t>
      </w:r>
      <w:r w:rsidR="00027F21">
        <w:rPr>
          <w:rFonts w:cstheme="minorHAnsi"/>
          <w:color w:val="000000"/>
        </w:rPr>
        <w:t>UN</w:t>
      </w:r>
      <w:r w:rsidR="006C540E" w:rsidRPr="00BF35A0">
        <w:rPr>
          <w:rFonts w:cstheme="minorHAnsi"/>
          <w:color w:val="000000"/>
        </w:rPr>
        <w:t xml:space="preserve"> Offices in Geneva, targeting Ambassadors and UN Heads of Agencies. These efforts have enhanced synergies between the Ministries and increased the visibility of the Convention. </w:t>
      </w:r>
    </w:p>
    <w:p w14:paraId="55925F37"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6B5BA24F" w14:textId="641305A4"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22</w:t>
      </w:r>
      <w:r w:rsidR="001724A7" w:rsidRPr="00BF35A0">
        <w:rPr>
          <w:rFonts w:cstheme="minorHAnsi"/>
          <w:color w:val="000000"/>
        </w:rPr>
        <w:t>.</w:t>
      </w:r>
      <w:r w:rsidR="001724A7" w:rsidRPr="00BF35A0">
        <w:rPr>
          <w:rFonts w:cstheme="minorHAnsi"/>
          <w:color w:val="000000"/>
        </w:rPr>
        <w:tab/>
        <w:t xml:space="preserve">Launched in July 2023, the updated Convention website features enhanced usability, speed and security while maintaining a modern and user-friendly design optimized for various devices. Built with </w:t>
      </w:r>
      <w:r w:rsidR="00E11415" w:rsidRPr="00E11415">
        <w:rPr>
          <w:rFonts w:cstheme="minorHAnsi"/>
          <w:color w:val="000000"/>
        </w:rPr>
        <w:t>the latest version of the Drupal content management system</w:t>
      </w:r>
      <w:r w:rsidR="001724A7" w:rsidRPr="00BF35A0">
        <w:rPr>
          <w:rFonts w:cstheme="minorHAnsi"/>
          <w:color w:val="000000"/>
        </w:rPr>
        <w:t>, it allows for efficient content management and long-term maintenance. The Secretariat has expanded the news section with dedicated feature articles on wetland-related themes, publishing weekly updates to provide in-depth insights. The website has received consistently positive feedback from Contracting Parties.</w:t>
      </w:r>
    </w:p>
    <w:p w14:paraId="356EAF08"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723D82F8" w14:textId="450EE893"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23</w:t>
      </w:r>
      <w:r w:rsidR="001724A7" w:rsidRPr="00BF35A0">
        <w:rPr>
          <w:rFonts w:cstheme="minorHAnsi"/>
          <w:color w:val="000000"/>
        </w:rPr>
        <w:t>.</w:t>
      </w:r>
      <w:r w:rsidR="001724A7" w:rsidRPr="00BF35A0">
        <w:rPr>
          <w:rFonts w:cstheme="minorHAnsi"/>
          <w:color w:val="000000"/>
        </w:rPr>
        <w:tab/>
        <w:t>Throughout the reporting period,</w:t>
      </w:r>
      <w:r w:rsidR="001724A7" w:rsidRPr="00BF35A0">
        <w:rPr>
          <w:rFonts w:cstheme="minorHAnsi"/>
        </w:rPr>
        <w:t xml:space="preserve"> </w:t>
      </w:r>
      <w:r w:rsidR="001724A7" w:rsidRPr="00BF35A0">
        <w:rPr>
          <w:rFonts w:cstheme="minorHAnsi"/>
          <w:color w:val="000000"/>
        </w:rPr>
        <w:t xml:space="preserve">the Convention </w:t>
      </w:r>
      <w:r w:rsidR="00027F21">
        <w:rPr>
          <w:rFonts w:cstheme="minorHAnsi"/>
          <w:color w:val="000000"/>
        </w:rPr>
        <w:t xml:space="preserve">has </w:t>
      </w:r>
      <w:r w:rsidR="001724A7" w:rsidRPr="00BF35A0">
        <w:rPr>
          <w:rFonts w:cstheme="minorHAnsi"/>
          <w:color w:val="000000"/>
        </w:rPr>
        <w:t>maintain</w:t>
      </w:r>
      <w:r w:rsidR="00027F21">
        <w:rPr>
          <w:rFonts w:cstheme="minorHAnsi"/>
          <w:color w:val="000000"/>
        </w:rPr>
        <w:t>ed</w:t>
      </w:r>
      <w:r w:rsidR="001724A7" w:rsidRPr="00BF35A0">
        <w:rPr>
          <w:rFonts w:cstheme="minorHAnsi"/>
          <w:color w:val="000000"/>
        </w:rPr>
        <w:t xml:space="preserve"> an engaged presence across social media, with a following of 34,980 on X, 12,</w:t>
      </w:r>
      <w:r w:rsidR="00EB4DEE" w:rsidRPr="00BF35A0">
        <w:rPr>
          <w:rFonts w:cstheme="minorHAnsi"/>
          <w:color w:val="000000"/>
        </w:rPr>
        <w:t>894</w:t>
      </w:r>
      <w:r w:rsidR="001724A7" w:rsidRPr="00BF35A0">
        <w:rPr>
          <w:rFonts w:cstheme="minorHAnsi"/>
          <w:color w:val="000000"/>
        </w:rPr>
        <w:t xml:space="preserve"> on Instagram, 156,000 on Facebook and 18,</w:t>
      </w:r>
      <w:r w:rsidR="008A658C" w:rsidRPr="00BF35A0">
        <w:rPr>
          <w:rFonts w:cstheme="minorHAnsi"/>
          <w:color w:val="000000"/>
        </w:rPr>
        <w:t>720</w:t>
      </w:r>
      <w:r w:rsidR="00EB4DEE" w:rsidRPr="00BF35A0">
        <w:rPr>
          <w:rFonts w:cstheme="minorHAnsi"/>
          <w:color w:val="000000"/>
        </w:rPr>
        <w:t xml:space="preserve"> </w:t>
      </w:r>
      <w:r w:rsidR="001724A7" w:rsidRPr="00BF35A0">
        <w:rPr>
          <w:rFonts w:cstheme="minorHAnsi"/>
          <w:color w:val="000000"/>
        </w:rPr>
        <w:t>on LinkedIn. Additionally, it has recently expanded to Bluesky, gaining 1,</w:t>
      </w:r>
      <w:r w:rsidR="008A658C" w:rsidRPr="00BF35A0">
        <w:rPr>
          <w:rFonts w:cstheme="minorHAnsi"/>
          <w:color w:val="000000"/>
        </w:rPr>
        <w:t>8</w:t>
      </w:r>
      <w:r w:rsidR="001724A7" w:rsidRPr="00BF35A0">
        <w:rPr>
          <w:rFonts w:cstheme="minorHAnsi"/>
          <w:color w:val="000000"/>
        </w:rPr>
        <w:t xml:space="preserve">00 followers, while its YouTube channel has 4,400 subscribers. </w:t>
      </w:r>
      <w:r w:rsidR="00D903AB" w:rsidRPr="00BF35A0">
        <w:rPr>
          <w:rFonts w:cstheme="minorHAnsi"/>
          <w:color w:val="000000"/>
        </w:rPr>
        <w:t xml:space="preserve">Notably, the Secretary General is particularly active on X, LinkedIn and Facebook, where she engages with 12,486 followers, regularly sharing updates on meetings and insights on wetlands in the global agenda. </w:t>
      </w:r>
      <w:r w:rsidR="001724A7" w:rsidRPr="00BF35A0">
        <w:rPr>
          <w:rFonts w:cstheme="minorHAnsi"/>
          <w:color w:val="000000"/>
        </w:rPr>
        <w:t xml:space="preserve">The Convention posts content daily with the aim of enhancing wetland conservation, which is regularly shared by </w:t>
      </w:r>
      <w:r w:rsidR="00F33FE3">
        <w:rPr>
          <w:rFonts w:cstheme="minorHAnsi"/>
          <w:color w:val="000000"/>
        </w:rPr>
        <w:t xml:space="preserve">other </w:t>
      </w:r>
      <w:r w:rsidR="001724A7" w:rsidRPr="00BF35A0">
        <w:rPr>
          <w:rFonts w:cstheme="minorHAnsi"/>
          <w:color w:val="000000"/>
        </w:rPr>
        <w:t xml:space="preserve">Conventions, UN Agencies and NGOs. </w:t>
      </w:r>
    </w:p>
    <w:p w14:paraId="3CD665B8"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16BD9B59" w14:textId="3C448242" w:rsid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24</w:t>
      </w:r>
      <w:r w:rsidR="001724A7" w:rsidRPr="00BF35A0">
        <w:rPr>
          <w:rFonts w:cstheme="minorHAnsi"/>
          <w:color w:val="000000"/>
        </w:rPr>
        <w:t>.</w:t>
      </w:r>
      <w:r w:rsidR="001724A7" w:rsidRPr="00BF35A0">
        <w:rPr>
          <w:rFonts w:cstheme="minorHAnsi"/>
          <w:color w:val="000000"/>
        </w:rPr>
        <w:tab/>
        <w:t xml:space="preserve">World Wetlands Day (WWD) celebrations continue to focus attention on important wetland issues. Themes during the reporting period included </w:t>
      </w:r>
      <w:r w:rsidR="00F33FE3">
        <w:rPr>
          <w:rFonts w:cstheme="minorHAnsi"/>
          <w:color w:val="000000"/>
        </w:rPr>
        <w:t>“</w:t>
      </w:r>
      <w:r w:rsidR="001724A7" w:rsidRPr="00BF35A0">
        <w:rPr>
          <w:rFonts w:cstheme="minorHAnsi"/>
          <w:color w:val="000000"/>
        </w:rPr>
        <w:t>It</w:t>
      </w:r>
      <w:r w:rsidR="00702937">
        <w:rPr>
          <w:rFonts w:cstheme="minorHAnsi"/>
          <w:color w:val="000000"/>
        </w:rPr>
        <w:t>’</w:t>
      </w:r>
      <w:r w:rsidR="001724A7" w:rsidRPr="00BF35A0">
        <w:rPr>
          <w:rFonts w:cstheme="minorHAnsi"/>
          <w:color w:val="000000"/>
        </w:rPr>
        <w:t>s time for wetlands restoration</w:t>
      </w:r>
      <w:r w:rsidR="00F33FE3">
        <w:rPr>
          <w:rFonts w:cstheme="minorHAnsi"/>
          <w:color w:val="000000"/>
        </w:rPr>
        <w:t>”</w:t>
      </w:r>
      <w:r w:rsidR="001724A7" w:rsidRPr="00BF35A0">
        <w:rPr>
          <w:rFonts w:cstheme="minorHAnsi"/>
          <w:color w:val="000000"/>
        </w:rPr>
        <w:t xml:space="preserve"> (2023), </w:t>
      </w:r>
      <w:r w:rsidR="00F33FE3">
        <w:rPr>
          <w:rFonts w:cstheme="minorHAnsi"/>
          <w:color w:val="000000"/>
        </w:rPr>
        <w:t>“</w:t>
      </w:r>
      <w:r w:rsidR="001724A7" w:rsidRPr="00BF35A0">
        <w:rPr>
          <w:rFonts w:cstheme="minorHAnsi"/>
          <w:color w:val="000000"/>
        </w:rPr>
        <w:t xml:space="preserve">Wetlands and </w:t>
      </w:r>
      <w:r w:rsidR="00F33FE3">
        <w:rPr>
          <w:rFonts w:cstheme="minorHAnsi"/>
          <w:color w:val="000000"/>
        </w:rPr>
        <w:t>h</w:t>
      </w:r>
      <w:r w:rsidR="001724A7" w:rsidRPr="00BF35A0">
        <w:rPr>
          <w:rFonts w:cstheme="minorHAnsi"/>
          <w:color w:val="000000"/>
        </w:rPr>
        <w:t xml:space="preserve">uman </w:t>
      </w:r>
      <w:r w:rsidR="00F33FE3">
        <w:rPr>
          <w:rFonts w:cstheme="minorHAnsi"/>
          <w:color w:val="000000"/>
        </w:rPr>
        <w:t>w</w:t>
      </w:r>
      <w:r w:rsidR="001724A7" w:rsidRPr="00BF35A0">
        <w:rPr>
          <w:rFonts w:cstheme="minorHAnsi"/>
          <w:color w:val="000000"/>
        </w:rPr>
        <w:t>ellbeing</w:t>
      </w:r>
      <w:r w:rsidR="00F33FE3">
        <w:rPr>
          <w:rFonts w:cstheme="minorHAnsi"/>
          <w:color w:val="000000"/>
        </w:rPr>
        <w:t>”</w:t>
      </w:r>
      <w:r w:rsidR="001724A7" w:rsidRPr="00BF35A0">
        <w:rPr>
          <w:rFonts w:cstheme="minorHAnsi"/>
          <w:color w:val="000000"/>
        </w:rPr>
        <w:t xml:space="preserve"> (2024)</w:t>
      </w:r>
      <w:r w:rsidR="00F33FE3">
        <w:rPr>
          <w:rFonts w:cstheme="minorHAnsi"/>
          <w:color w:val="000000"/>
        </w:rPr>
        <w:t xml:space="preserve"> and</w:t>
      </w:r>
      <w:r w:rsidR="001724A7" w:rsidRPr="00BF35A0">
        <w:rPr>
          <w:rFonts w:cstheme="minorHAnsi"/>
          <w:color w:val="000000"/>
        </w:rPr>
        <w:t xml:space="preserve"> </w:t>
      </w:r>
      <w:r w:rsidR="00F33FE3">
        <w:rPr>
          <w:rFonts w:cstheme="minorHAnsi"/>
          <w:color w:val="000000"/>
        </w:rPr>
        <w:t>“</w:t>
      </w:r>
      <w:r w:rsidR="001724A7" w:rsidRPr="00BF35A0">
        <w:rPr>
          <w:rFonts w:cstheme="minorHAnsi"/>
          <w:color w:val="000000"/>
        </w:rPr>
        <w:t xml:space="preserve">Protecting </w:t>
      </w:r>
      <w:r w:rsidR="00F33FE3">
        <w:rPr>
          <w:rFonts w:cstheme="minorHAnsi"/>
          <w:color w:val="000000"/>
        </w:rPr>
        <w:t>w</w:t>
      </w:r>
      <w:r w:rsidR="001724A7" w:rsidRPr="00BF35A0">
        <w:rPr>
          <w:rFonts w:cstheme="minorHAnsi"/>
          <w:color w:val="000000"/>
        </w:rPr>
        <w:t xml:space="preserve">etlands for </w:t>
      </w:r>
      <w:r w:rsidR="00F33FE3">
        <w:rPr>
          <w:rFonts w:cstheme="minorHAnsi"/>
          <w:color w:val="000000"/>
        </w:rPr>
        <w:t>o</w:t>
      </w:r>
      <w:r w:rsidR="001724A7" w:rsidRPr="00BF35A0">
        <w:rPr>
          <w:rFonts w:cstheme="minorHAnsi"/>
          <w:color w:val="000000"/>
        </w:rPr>
        <w:t xml:space="preserve">ur </w:t>
      </w:r>
      <w:r w:rsidR="00F33FE3">
        <w:rPr>
          <w:rFonts w:cstheme="minorHAnsi"/>
          <w:color w:val="000000"/>
        </w:rPr>
        <w:t>c</w:t>
      </w:r>
      <w:r w:rsidR="001724A7" w:rsidRPr="00BF35A0">
        <w:rPr>
          <w:rFonts w:cstheme="minorHAnsi"/>
          <w:color w:val="000000"/>
        </w:rPr>
        <w:t xml:space="preserve">ommon </w:t>
      </w:r>
      <w:r w:rsidR="00F33FE3">
        <w:rPr>
          <w:rFonts w:cstheme="minorHAnsi"/>
          <w:color w:val="000000"/>
        </w:rPr>
        <w:t>f</w:t>
      </w:r>
      <w:r w:rsidR="001724A7" w:rsidRPr="00BF35A0">
        <w:rPr>
          <w:rFonts w:cstheme="minorHAnsi"/>
          <w:color w:val="000000"/>
        </w:rPr>
        <w:t>uture</w:t>
      </w:r>
      <w:r w:rsidR="00F33FE3">
        <w:rPr>
          <w:rFonts w:cstheme="minorHAnsi"/>
          <w:color w:val="000000"/>
        </w:rPr>
        <w:t>”</w:t>
      </w:r>
      <w:r w:rsidR="001724A7" w:rsidRPr="00BF35A0">
        <w:rPr>
          <w:rFonts w:cstheme="minorHAnsi"/>
          <w:color w:val="000000"/>
        </w:rPr>
        <w:t xml:space="preserve"> (2025).</w:t>
      </w:r>
      <w:r w:rsidR="001724A7" w:rsidRPr="00BF35A0">
        <w:rPr>
          <w:rFonts w:cstheme="minorHAnsi"/>
        </w:rPr>
        <w:t xml:space="preserve"> </w:t>
      </w:r>
      <w:r w:rsidR="001724A7" w:rsidRPr="00BF35A0">
        <w:rPr>
          <w:rFonts w:cstheme="minorHAnsi"/>
          <w:color w:val="000000"/>
        </w:rPr>
        <w:t>Across the reporting period, the number</w:t>
      </w:r>
      <w:r w:rsidR="00702937">
        <w:rPr>
          <w:rFonts w:cstheme="minorHAnsi"/>
          <w:color w:val="000000"/>
        </w:rPr>
        <w:t>s</w:t>
      </w:r>
      <w:r w:rsidR="001724A7" w:rsidRPr="00BF35A0">
        <w:rPr>
          <w:rFonts w:cstheme="minorHAnsi"/>
          <w:color w:val="000000"/>
        </w:rPr>
        <w:t xml:space="preserve"> of events registered on the map of events were: </w:t>
      </w:r>
    </w:p>
    <w:p w14:paraId="29B7D232" w14:textId="4263E895"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sidRPr="00BF35A0">
        <w:rPr>
          <w:rFonts w:cstheme="minorHAnsi"/>
          <w:color w:val="000000"/>
        </w:rPr>
        <w:t>2025</w:t>
      </w:r>
      <w:r>
        <w:rPr>
          <w:rFonts w:cstheme="minorHAnsi"/>
          <w:color w:val="000000"/>
        </w:rPr>
        <w:t xml:space="preserve">: </w:t>
      </w:r>
      <w:r w:rsidR="001724A7" w:rsidRPr="00BF35A0">
        <w:rPr>
          <w:rFonts w:cstheme="minorHAnsi"/>
          <w:color w:val="000000"/>
        </w:rPr>
        <w:t>1,9</w:t>
      </w:r>
      <w:r w:rsidR="008A658C" w:rsidRPr="00BF35A0">
        <w:rPr>
          <w:rFonts w:cstheme="minorHAnsi"/>
          <w:color w:val="000000"/>
        </w:rPr>
        <w:t>75</w:t>
      </w:r>
      <w:r w:rsidR="001724A7" w:rsidRPr="00BF35A0">
        <w:rPr>
          <w:rFonts w:cstheme="minorHAnsi"/>
          <w:color w:val="000000"/>
        </w:rPr>
        <w:t xml:space="preserve"> events in </w:t>
      </w:r>
      <w:r w:rsidR="008A658C" w:rsidRPr="00BF35A0">
        <w:rPr>
          <w:rFonts w:cstheme="minorHAnsi"/>
          <w:color w:val="000000"/>
        </w:rPr>
        <w:t>80</w:t>
      </w:r>
      <w:r w:rsidR="001724A7" w:rsidRPr="00BF35A0">
        <w:rPr>
          <w:rFonts w:cstheme="minorHAnsi"/>
          <w:color w:val="000000"/>
        </w:rPr>
        <w:t xml:space="preserve"> countries</w:t>
      </w:r>
      <w:r w:rsidR="00F33FE3">
        <w:rPr>
          <w:rFonts w:cstheme="minorHAnsi"/>
          <w:color w:val="000000"/>
        </w:rPr>
        <w:t>;</w:t>
      </w:r>
    </w:p>
    <w:p w14:paraId="50519AF0" w14:textId="36333124"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Pr>
          <w:rFonts w:cstheme="minorHAnsi"/>
          <w:color w:val="000000"/>
        </w:rPr>
        <w:t xml:space="preserve">2024: </w:t>
      </w:r>
      <w:r w:rsidR="001724A7" w:rsidRPr="00BF35A0">
        <w:rPr>
          <w:rFonts w:cstheme="minorHAnsi"/>
          <w:color w:val="000000"/>
        </w:rPr>
        <w:t>1,570 events in 81 countries</w:t>
      </w:r>
      <w:r w:rsidR="00F33FE3">
        <w:rPr>
          <w:rFonts w:cstheme="minorHAnsi"/>
          <w:color w:val="000000"/>
        </w:rPr>
        <w:t>;</w:t>
      </w:r>
    </w:p>
    <w:p w14:paraId="63871AB9" w14:textId="257A2277"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sidRPr="00BF35A0">
        <w:rPr>
          <w:rFonts w:cstheme="minorHAnsi"/>
          <w:color w:val="000000"/>
        </w:rPr>
        <w:t>2023</w:t>
      </w:r>
      <w:r>
        <w:rPr>
          <w:rFonts w:cstheme="minorHAnsi"/>
          <w:color w:val="000000"/>
        </w:rPr>
        <w:t xml:space="preserve">: </w:t>
      </w:r>
      <w:r w:rsidR="001724A7" w:rsidRPr="00BF35A0">
        <w:rPr>
          <w:rFonts w:cstheme="minorHAnsi"/>
          <w:color w:val="000000"/>
        </w:rPr>
        <w:t>1,817 events in 78 countries</w:t>
      </w:r>
      <w:r w:rsidR="00F33FE3">
        <w:rPr>
          <w:rFonts w:cstheme="minorHAnsi"/>
          <w:color w:val="000000"/>
        </w:rPr>
        <w:t>.</w:t>
      </w:r>
    </w:p>
    <w:p w14:paraId="6EC51E0E" w14:textId="77777777" w:rsidR="00BF35A0" w:rsidRDefault="00BF35A0" w:rsidP="00BF35A0">
      <w:pPr>
        <w:autoSpaceDE w:val="0"/>
        <w:autoSpaceDN w:val="0"/>
        <w:adjustRightInd w:val="0"/>
        <w:spacing w:after="0" w:line="240" w:lineRule="auto"/>
        <w:ind w:left="426" w:hanging="426"/>
        <w:rPr>
          <w:rFonts w:cstheme="minorHAnsi"/>
          <w:color w:val="000000"/>
        </w:rPr>
      </w:pPr>
    </w:p>
    <w:p w14:paraId="080926FA" w14:textId="61622668" w:rsidR="001724A7" w:rsidRPr="00BF35A0" w:rsidRDefault="00201C38" w:rsidP="00BF35A0">
      <w:pPr>
        <w:autoSpaceDE w:val="0"/>
        <w:autoSpaceDN w:val="0"/>
        <w:adjustRightInd w:val="0"/>
        <w:spacing w:after="0" w:line="240" w:lineRule="auto"/>
        <w:ind w:left="426" w:hanging="426"/>
        <w:rPr>
          <w:rFonts w:cstheme="minorHAnsi"/>
          <w:color w:val="000000"/>
        </w:rPr>
      </w:pPr>
      <w:r>
        <w:rPr>
          <w:rFonts w:cstheme="minorHAnsi"/>
          <w:color w:val="000000"/>
        </w:rPr>
        <w:t>25.</w:t>
      </w:r>
      <w:r>
        <w:rPr>
          <w:rFonts w:cstheme="minorHAnsi"/>
          <w:color w:val="000000"/>
        </w:rPr>
        <w:tab/>
      </w:r>
      <w:r w:rsidR="001724A7" w:rsidRPr="00BF35A0">
        <w:rPr>
          <w:rFonts w:cstheme="minorHAnsi"/>
          <w:color w:val="000000"/>
        </w:rPr>
        <w:t xml:space="preserve">From 2023 to 2025, the </w:t>
      </w:r>
      <w:r w:rsidR="00F33FE3">
        <w:rPr>
          <w:rFonts w:cstheme="minorHAnsi"/>
          <w:color w:val="000000"/>
        </w:rPr>
        <w:t>WWD</w:t>
      </w:r>
      <w:r w:rsidR="001724A7" w:rsidRPr="00BF35A0">
        <w:rPr>
          <w:rFonts w:cstheme="minorHAnsi"/>
          <w:color w:val="000000"/>
        </w:rPr>
        <w:t xml:space="preserve"> campaign was strategically executed across social media platforms, achieving remarkable success. In 2023, it reached an impressive 3.13 billion potential users, </w:t>
      </w:r>
      <w:r w:rsidR="00702937">
        <w:rPr>
          <w:rFonts w:cstheme="minorHAnsi"/>
          <w:color w:val="000000"/>
        </w:rPr>
        <w:t xml:space="preserve">in </w:t>
      </w:r>
      <w:r w:rsidR="001724A7" w:rsidRPr="00BF35A0">
        <w:rPr>
          <w:rFonts w:cstheme="minorHAnsi"/>
          <w:color w:val="000000"/>
        </w:rPr>
        <w:t xml:space="preserve">2024 it reached 2.5 billion potential users and in 2025, this number surged to 6.72 billion, significantly expanding awareness and engagement with the campaign. Additionally, on </w:t>
      </w:r>
      <w:r w:rsidR="00702937" w:rsidRPr="00BF35A0">
        <w:rPr>
          <w:rFonts w:cstheme="minorHAnsi"/>
          <w:color w:val="000000"/>
        </w:rPr>
        <w:t>2</w:t>
      </w:r>
      <w:r w:rsidR="00702937">
        <w:rPr>
          <w:rFonts w:cstheme="minorHAnsi"/>
          <w:color w:val="000000"/>
        </w:rPr>
        <w:t xml:space="preserve"> </w:t>
      </w:r>
      <w:r w:rsidR="001724A7" w:rsidRPr="00BF35A0">
        <w:rPr>
          <w:rFonts w:cstheme="minorHAnsi"/>
          <w:color w:val="000000"/>
        </w:rPr>
        <w:t>February</w:t>
      </w:r>
      <w:r w:rsidR="00702937">
        <w:rPr>
          <w:rFonts w:cstheme="minorHAnsi"/>
          <w:color w:val="000000"/>
        </w:rPr>
        <w:t xml:space="preserve"> </w:t>
      </w:r>
      <w:r w:rsidR="00702937" w:rsidRPr="00BF35A0">
        <w:rPr>
          <w:rFonts w:cstheme="minorHAnsi"/>
          <w:color w:val="000000"/>
        </w:rPr>
        <w:t>2025</w:t>
      </w:r>
      <w:r w:rsidR="001724A7" w:rsidRPr="00BF35A0">
        <w:rPr>
          <w:rFonts w:cstheme="minorHAnsi"/>
          <w:color w:val="000000"/>
        </w:rPr>
        <w:t xml:space="preserve">, World Wetlands Day trended across platforms </w:t>
      </w:r>
      <w:r w:rsidR="00F33FE3">
        <w:rPr>
          <w:rFonts w:cstheme="minorHAnsi"/>
          <w:color w:val="000000"/>
        </w:rPr>
        <w:t>such as</w:t>
      </w:r>
      <w:r w:rsidR="00F33FE3" w:rsidRPr="00BF35A0">
        <w:rPr>
          <w:rFonts w:cstheme="minorHAnsi"/>
          <w:color w:val="000000"/>
        </w:rPr>
        <w:t xml:space="preserve"> </w:t>
      </w:r>
      <w:r w:rsidR="001724A7" w:rsidRPr="00BF35A0">
        <w:rPr>
          <w:rFonts w:cstheme="minorHAnsi"/>
          <w:color w:val="000000"/>
        </w:rPr>
        <w:t>X and Instagram, generating visibility.</w:t>
      </w:r>
    </w:p>
    <w:p w14:paraId="62290435" w14:textId="77777777" w:rsidR="001724A7" w:rsidRPr="00BF35A0" w:rsidRDefault="001724A7" w:rsidP="00BF35A0">
      <w:pPr>
        <w:spacing w:after="0" w:line="240" w:lineRule="auto"/>
        <w:ind w:left="426" w:hanging="426"/>
        <w:rPr>
          <w:rFonts w:cstheme="minorHAnsi"/>
          <w:color w:val="000000"/>
        </w:rPr>
      </w:pPr>
    </w:p>
    <w:p w14:paraId="5A9358B8" w14:textId="42FDFB4B" w:rsidR="001724A7" w:rsidRPr="00BF35A0" w:rsidRDefault="00201C38" w:rsidP="00BF35A0">
      <w:pPr>
        <w:spacing w:after="0" w:line="240" w:lineRule="auto"/>
        <w:ind w:left="426" w:hanging="426"/>
        <w:rPr>
          <w:rFonts w:eastAsia="Times New Roman" w:cstheme="minorHAnsi"/>
          <w:lang w:eastAsia="fr-FR"/>
        </w:rPr>
      </w:pPr>
      <w:r>
        <w:rPr>
          <w:rFonts w:cstheme="minorHAnsi"/>
          <w:color w:val="000000"/>
        </w:rPr>
        <w:t>26</w:t>
      </w:r>
      <w:r w:rsidR="001724A7" w:rsidRPr="00BF35A0">
        <w:rPr>
          <w:rFonts w:cstheme="minorHAnsi"/>
          <w:color w:val="000000"/>
        </w:rPr>
        <w:t>.</w:t>
      </w:r>
      <w:r w:rsidR="001724A7" w:rsidRPr="00BF35A0">
        <w:rPr>
          <w:rFonts w:cstheme="minorHAnsi"/>
          <w:color w:val="000000"/>
        </w:rPr>
        <w:tab/>
      </w:r>
      <w:r w:rsidR="001724A7" w:rsidRPr="00BF35A0">
        <w:rPr>
          <w:rFonts w:cstheme="minorHAnsi"/>
        </w:rPr>
        <w:t xml:space="preserve">The Secretariat continues to effectively utilize annual international days to highlight the critical importance of wetlands for both the planet and its people. On international days such as International Women’s Day (8 March), World Water Day (22 March), International Day for Biological Diversity (22 May), World Environment Day (5 June), World Ocean Day (8 June) and World Day to Combat Desertification and Drought (17 June), the Secretariat shared video and </w:t>
      </w:r>
      <w:r w:rsidR="00F33FE3">
        <w:rPr>
          <w:rFonts w:cstheme="minorHAnsi"/>
        </w:rPr>
        <w:t>text</w:t>
      </w:r>
      <w:r w:rsidR="00F33FE3" w:rsidRPr="00BF35A0">
        <w:rPr>
          <w:rFonts w:cstheme="minorHAnsi"/>
        </w:rPr>
        <w:t xml:space="preserve"> </w:t>
      </w:r>
      <w:r w:rsidR="001724A7" w:rsidRPr="00BF35A0">
        <w:rPr>
          <w:rFonts w:cstheme="minorHAnsi"/>
        </w:rPr>
        <w:t>statements from the Secretary General and developed event</w:t>
      </w:r>
      <w:r w:rsidR="00F33FE3">
        <w:rPr>
          <w:rFonts w:cstheme="minorHAnsi"/>
        </w:rPr>
        <w:t>-</w:t>
      </w:r>
      <w:r w:rsidR="001724A7" w:rsidRPr="00BF35A0">
        <w:rPr>
          <w:rFonts w:cstheme="minorHAnsi"/>
        </w:rPr>
        <w:t xml:space="preserve">specific social media content. </w:t>
      </w:r>
      <w:r w:rsidR="001724A7" w:rsidRPr="00BF35A0">
        <w:rPr>
          <w:rFonts w:cstheme="minorHAnsi"/>
        </w:rPr>
        <w:lastRenderedPageBreak/>
        <w:t xml:space="preserve">Additionally, the Secretary General was invited to various sessions, </w:t>
      </w:r>
      <w:r w:rsidR="00F33FE3">
        <w:rPr>
          <w:rFonts w:cstheme="minorHAnsi"/>
        </w:rPr>
        <w:t>at which</w:t>
      </w:r>
      <w:r w:rsidR="00F33FE3" w:rsidRPr="00BF35A0">
        <w:rPr>
          <w:rFonts w:cstheme="minorHAnsi"/>
        </w:rPr>
        <w:t xml:space="preserve"> </w:t>
      </w:r>
      <w:r w:rsidR="001724A7" w:rsidRPr="00BF35A0">
        <w:rPr>
          <w:rFonts w:cstheme="minorHAnsi"/>
        </w:rPr>
        <w:t xml:space="preserve">she had the honour of opening the celebrations as a guest speaker. Notably, the Secretary General actively seeks opportunities to engage with international media to raise awareness of wetlands. </w:t>
      </w:r>
    </w:p>
    <w:p w14:paraId="61BF6129" w14:textId="77777777" w:rsidR="001724A7" w:rsidRPr="00BF35A0" w:rsidRDefault="001724A7" w:rsidP="00BF35A0">
      <w:pPr>
        <w:spacing w:after="0" w:line="240" w:lineRule="auto"/>
        <w:rPr>
          <w:rFonts w:eastAsia="Times New Roman" w:cstheme="minorHAnsi"/>
          <w:b/>
          <w:lang w:eastAsia="fr-FR"/>
        </w:rPr>
      </w:pPr>
    </w:p>
    <w:p w14:paraId="05FF4554" w14:textId="3CEFF720" w:rsidR="001724A7" w:rsidRPr="00BF35A0" w:rsidRDefault="00201C38" w:rsidP="00BF35A0">
      <w:pPr>
        <w:spacing w:after="0" w:line="240" w:lineRule="auto"/>
        <w:ind w:left="426" w:hanging="426"/>
        <w:rPr>
          <w:rFonts w:eastAsia="Times New Roman" w:cstheme="minorHAnsi"/>
          <w:lang w:eastAsia="fr-FR"/>
        </w:rPr>
      </w:pPr>
      <w:r>
        <w:rPr>
          <w:rFonts w:eastAsia="Times New Roman" w:cstheme="minorHAnsi"/>
          <w:lang w:eastAsia="fr-FR"/>
        </w:rPr>
        <w:t>27</w:t>
      </w:r>
      <w:r w:rsidR="001724A7" w:rsidRPr="00BF35A0">
        <w:rPr>
          <w:rFonts w:eastAsia="Times New Roman" w:cstheme="minorHAnsi"/>
          <w:lang w:eastAsia="fr-FR"/>
        </w:rPr>
        <w:t>.</w:t>
      </w:r>
      <w:r w:rsidR="001724A7" w:rsidRPr="00BF35A0">
        <w:rPr>
          <w:rFonts w:eastAsia="Times New Roman" w:cstheme="minorHAnsi"/>
          <w:lang w:eastAsia="fr-FR"/>
        </w:rPr>
        <w:tab/>
        <w:t>In 2024, nominations were sought for the Ramsar Wetland Conservation Awards, which will be presented at COP15 to recognize and honour the achievements of individuals for the conservation and wise use of wetlands. The Danone Group has provided an Evian Special Prize of USD 10,000 for each of the three award categories:</w:t>
      </w:r>
      <w:r w:rsidR="001724A7" w:rsidRPr="00BF35A0">
        <w:rPr>
          <w:rFonts w:eastAsia="Times New Roman" w:cstheme="minorHAnsi"/>
          <w:lang w:eastAsia="fr-FR"/>
        </w:rPr>
        <w:br/>
      </w:r>
    </w:p>
    <w:p w14:paraId="2D135C6B" w14:textId="2CE6C9A0" w:rsidR="001724A7" w:rsidRPr="00BF35A0" w:rsidRDefault="001724A7" w:rsidP="00BF35A0">
      <w:pPr>
        <w:pStyle w:val="ListParagraph"/>
        <w:numPr>
          <w:ilvl w:val="0"/>
          <w:numId w:val="5"/>
        </w:numPr>
        <w:spacing w:after="0" w:line="240" w:lineRule="auto"/>
        <w:rPr>
          <w:rFonts w:eastAsia="Times New Roman" w:cstheme="minorHAnsi"/>
          <w:lang w:eastAsia="fr-FR"/>
        </w:rPr>
      </w:pPr>
      <w:r w:rsidRPr="00BF35A0">
        <w:rPr>
          <w:rFonts w:eastAsia="Times New Roman" w:cstheme="minorHAnsi"/>
          <w:b/>
          <w:bCs/>
          <w:lang w:eastAsia="fr-FR"/>
        </w:rPr>
        <w:t>Ramsar Wetland Conservation Award for Innovation</w:t>
      </w:r>
      <w:r w:rsidRPr="00BF35A0">
        <w:rPr>
          <w:rFonts w:eastAsia="Times New Roman" w:cstheme="minorHAnsi"/>
          <w:lang w:eastAsia="fr-FR"/>
        </w:rPr>
        <w:t xml:space="preserve"> – </w:t>
      </w:r>
      <w:r w:rsidRPr="00BF35A0">
        <w:rPr>
          <w:rFonts w:eastAsia="Times New Roman" w:cstheme="minorHAnsi"/>
          <w:b/>
          <w:bCs/>
          <w:lang w:eastAsia="fr-FR"/>
        </w:rPr>
        <w:t>Laura Gonzalez (Panama)</w:t>
      </w:r>
      <w:r w:rsidRPr="00BF35A0">
        <w:rPr>
          <w:rFonts w:eastAsia="Times New Roman" w:cstheme="minorHAnsi"/>
          <w:lang w:eastAsia="fr-FR"/>
        </w:rPr>
        <w:t xml:space="preserve">, Executive Director of Marea Verde, for pioneering the Wanda System, a river-based waste capture system that has prevented over </w:t>
      </w:r>
      <w:r w:rsidR="008A65F1">
        <w:rPr>
          <w:rFonts w:eastAsia="Times New Roman" w:cstheme="minorHAnsi"/>
          <w:lang w:eastAsia="fr-FR"/>
        </w:rPr>
        <w:t>2</w:t>
      </w:r>
      <w:r w:rsidRPr="00BF35A0">
        <w:rPr>
          <w:rFonts w:eastAsia="Times New Roman" w:cstheme="minorHAnsi"/>
          <w:lang w:eastAsia="fr-FR"/>
        </w:rPr>
        <w:t xml:space="preserve">40,000 </w:t>
      </w:r>
      <w:r w:rsidR="008A65F1">
        <w:rPr>
          <w:rFonts w:eastAsia="Times New Roman" w:cstheme="minorHAnsi"/>
          <w:lang w:eastAsia="fr-FR"/>
        </w:rPr>
        <w:t>kilogrammes</w:t>
      </w:r>
      <w:r w:rsidRPr="00BF35A0">
        <w:rPr>
          <w:rFonts w:eastAsia="Times New Roman" w:cstheme="minorHAnsi"/>
          <w:lang w:eastAsia="fr-FR"/>
        </w:rPr>
        <w:t xml:space="preserve"> of plastic pollution from reaching Panama Bay.</w:t>
      </w:r>
      <w:r w:rsidRPr="00BF35A0">
        <w:rPr>
          <w:rFonts w:eastAsia="Times New Roman" w:cstheme="minorHAnsi"/>
          <w:lang w:eastAsia="fr-FR"/>
        </w:rPr>
        <w:br/>
      </w:r>
    </w:p>
    <w:p w14:paraId="5ACD317D" w14:textId="2A3F9189" w:rsidR="001724A7" w:rsidRPr="00BF35A0" w:rsidRDefault="001724A7" w:rsidP="00BF35A0">
      <w:pPr>
        <w:numPr>
          <w:ilvl w:val="0"/>
          <w:numId w:val="4"/>
        </w:numPr>
        <w:spacing w:after="0" w:line="240" w:lineRule="auto"/>
        <w:rPr>
          <w:rFonts w:eastAsia="Times New Roman" w:cstheme="minorHAnsi"/>
          <w:lang w:eastAsia="fr-FR"/>
        </w:rPr>
      </w:pPr>
      <w:r w:rsidRPr="00BF35A0">
        <w:rPr>
          <w:rFonts w:eastAsia="Times New Roman" w:cstheme="minorHAnsi"/>
          <w:b/>
          <w:bCs/>
          <w:lang w:eastAsia="fr-FR"/>
        </w:rPr>
        <w:t>Ramsar Wetland Conservation Award for Young Wetland Champions</w:t>
      </w:r>
      <w:r w:rsidRPr="00BF35A0">
        <w:rPr>
          <w:rFonts w:eastAsia="Times New Roman" w:cstheme="minorHAnsi"/>
          <w:lang w:eastAsia="fr-FR"/>
        </w:rPr>
        <w:t xml:space="preserve"> – </w:t>
      </w:r>
      <w:r w:rsidRPr="00BF35A0">
        <w:rPr>
          <w:rFonts w:eastAsia="Times New Roman" w:cstheme="minorHAnsi"/>
          <w:b/>
          <w:bCs/>
          <w:lang w:eastAsia="fr-FR"/>
        </w:rPr>
        <w:t>Iman Ebrahimi (</w:t>
      </w:r>
      <w:r w:rsidR="00F33FE3" w:rsidRPr="00F33FE3">
        <w:rPr>
          <w:rFonts w:eastAsia="Times New Roman" w:cstheme="minorHAnsi"/>
          <w:b/>
          <w:bCs/>
          <w:lang w:eastAsia="fr-FR"/>
        </w:rPr>
        <w:t>Iran (Islamic Republic of)</w:t>
      </w:r>
      <w:r w:rsidRPr="00BF35A0">
        <w:rPr>
          <w:rFonts w:eastAsia="Times New Roman" w:cstheme="minorHAnsi"/>
          <w:b/>
          <w:bCs/>
          <w:lang w:eastAsia="fr-FR"/>
        </w:rPr>
        <w:t>)</w:t>
      </w:r>
      <w:r w:rsidRPr="00BF35A0">
        <w:rPr>
          <w:rFonts w:eastAsia="Times New Roman" w:cstheme="minorHAnsi"/>
          <w:lang w:eastAsia="fr-FR"/>
        </w:rPr>
        <w:t>, Founder of Avaye Boom Bird Conservation Society, for his leadership in engaging communities and conserving key wetland sites, including Arjan, Shidvar</w:t>
      </w:r>
      <w:r w:rsidR="001B7B1B" w:rsidRPr="00BF35A0">
        <w:rPr>
          <w:rFonts w:eastAsia="Times New Roman" w:cstheme="minorHAnsi"/>
          <w:lang w:eastAsia="fr-FR"/>
        </w:rPr>
        <w:t xml:space="preserve"> </w:t>
      </w:r>
      <w:r w:rsidRPr="00BF35A0">
        <w:rPr>
          <w:rFonts w:eastAsia="Times New Roman" w:cstheme="minorHAnsi"/>
          <w:lang w:eastAsia="fr-FR"/>
        </w:rPr>
        <w:t>and Gavkhouni.</w:t>
      </w:r>
      <w:r w:rsidRPr="00BF35A0">
        <w:rPr>
          <w:rFonts w:eastAsia="Times New Roman" w:cstheme="minorHAnsi"/>
          <w:lang w:eastAsia="fr-FR"/>
        </w:rPr>
        <w:br/>
      </w:r>
    </w:p>
    <w:p w14:paraId="0CF0603B" w14:textId="0258ADC3" w:rsidR="001724A7" w:rsidRPr="00BF35A0" w:rsidRDefault="001724A7" w:rsidP="00BF35A0">
      <w:pPr>
        <w:numPr>
          <w:ilvl w:val="0"/>
          <w:numId w:val="4"/>
        </w:numPr>
        <w:spacing w:after="0" w:line="240" w:lineRule="auto"/>
        <w:rPr>
          <w:rFonts w:eastAsia="Times New Roman" w:cstheme="minorHAnsi"/>
          <w:lang w:eastAsia="fr-FR"/>
        </w:rPr>
      </w:pPr>
      <w:r w:rsidRPr="00BF35A0">
        <w:rPr>
          <w:rFonts w:eastAsia="Times New Roman" w:cstheme="minorHAnsi"/>
          <w:b/>
          <w:bCs/>
          <w:lang w:eastAsia="fr-FR"/>
        </w:rPr>
        <w:t>Ramsar Wetland Indigenous Peoples Conservation and Wise Use Award</w:t>
      </w:r>
      <w:r w:rsidRPr="00BF35A0">
        <w:rPr>
          <w:rFonts w:eastAsia="Times New Roman" w:cstheme="minorHAnsi"/>
          <w:lang w:eastAsia="fr-FR"/>
        </w:rPr>
        <w:t xml:space="preserve"> – </w:t>
      </w:r>
      <w:r w:rsidRPr="00BF35A0">
        <w:rPr>
          <w:rFonts w:eastAsia="Times New Roman" w:cstheme="minorHAnsi"/>
          <w:b/>
          <w:bCs/>
          <w:lang w:eastAsia="fr-FR"/>
        </w:rPr>
        <w:t>Dayana Blanco Quiroga (</w:t>
      </w:r>
      <w:r w:rsidR="00F33FE3" w:rsidRPr="00F33FE3">
        <w:rPr>
          <w:rFonts w:eastAsia="Times New Roman" w:cstheme="minorHAnsi"/>
          <w:b/>
          <w:bCs/>
          <w:lang w:eastAsia="fr-FR"/>
        </w:rPr>
        <w:t>Bolivia (Plurinational State of)</w:t>
      </w:r>
      <w:r w:rsidRPr="00BF35A0">
        <w:rPr>
          <w:rFonts w:eastAsia="Times New Roman" w:cstheme="minorHAnsi"/>
          <w:b/>
          <w:bCs/>
          <w:lang w:eastAsia="fr-FR"/>
        </w:rPr>
        <w:t>)</w:t>
      </w:r>
      <w:r w:rsidRPr="00BF35A0">
        <w:rPr>
          <w:rFonts w:eastAsia="Times New Roman" w:cstheme="minorHAnsi"/>
          <w:lang w:eastAsia="fr-FR"/>
        </w:rPr>
        <w:t>, for her outstanding work in restoring Lake Uru Uru using Indigenous knowledge and nature-based solutions, while empowering local women and youth.</w:t>
      </w:r>
    </w:p>
    <w:p w14:paraId="7CA86669" w14:textId="77777777" w:rsidR="001724A7" w:rsidRPr="00BF35A0" w:rsidRDefault="001724A7" w:rsidP="00BF35A0">
      <w:pPr>
        <w:spacing w:after="0" w:line="240" w:lineRule="auto"/>
        <w:ind w:left="426" w:hanging="426"/>
        <w:rPr>
          <w:rFonts w:eastAsia="Times New Roman" w:cstheme="minorHAnsi"/>
          <w:lang w:eastAsia="fr-FR"/>
        </w:rPr>
      </w:pPr>
    </w:p>
    <w:p w14:paraId="636DC613" w14:textId="33A99165" w:rsidR="001724A7" w:rsidRPr="00BF35A0" w:rsidRDefault="00201C38" w:rsidP="00BF35A0">
      <w:pPr>
        <w:spacing w:after="0" w:line="240" w:lineRule="auto"/>
        <w:ind w:left="426" w:hanging="426"/>
        <w:rPr>
          <w:rFonts w:eastAsia="Times New Roman" w:cstheme="minorHAnsi"/>
          <w:lang w:eastAsia="fr-FR"/>
        </w:rPr>
      </w:pPr>
      <w:r>
        <w:rPr>
          <w:rFonts w:eastAsia="Times New Roman" w:cstheme="minorHAnsi"/>
          <w:lang w:eastAsia="fr-FR"/>
        </w:rPr>
        <w:t>28</w:t>
      </w:r>
      <w:r w:rsidR="001724A7" w:rsidRPr="00BF35A0">
        <w:rPr>
          <w:rFonts w:eastAsia="Times New Roman" w:cstheme="minorHAnsi"/>
          <w:lang w:eastAsia="fr-FR"/>
        </w:rPr>
        <w:t>.</w:t>
      </w:r>
      <w:r w:rsidR="001724A7" w:rsidRPr="00BF35A0">
        <w:rPr>
          <w:rFonts w:eastAsia="Times New Roman" w:cstheme="minorHAnsi"/>
          <w:lang w:eastAsia="fr-FR"/>
        </w:rPr>
        <w:tab/>
      </w:r>
      <w:r w:rsidR="001724A7" w:rsidRPr="00BF35A0">
        <w:rPr>
          <w:rFonts w:eastAsia="Carlito" w:cstheme="minorHAnsi"/>
          <w:lang w:val="en-US"/>
        </w:rPr>
        <w:t>The Secretariat actively engages in the online meetings of the “Communications Flotilla” organized by the Secretariat of the Convention on Biological Diversity (CBD). This initiative aims to coordinate communications and create synergies among various biodiversity-related Conventions and organizations. The group</w:t>
      </w:r>
      <w:r w:rsidR="0017488B" w:rsidRPr="00BF35A0">
        <w:rPr>
          <w:rFonts w:eastAsia="Carlito" w:cstheme="minorHAnsi"/>
          <w:lang w:val="en-US"/>
        </w:rPr>
        <w:t xml:space="preserve"> is </w:t>
      </w:r>
      <w:r w:rsidR="001724A7" w:rsidRPr="00BF35A0">
        <w:rPr>
          <w:rFonts w:eastAsia="Carlito" w:cstheme="minorHAnsi"/>
          <w:lang w:val="en-US"/>
        </w:rPr>
        <w:t xml:space="preserve">instrumental in supporting and advancing the </w:t>
      </w:r>
      <w:r w:rsidR="00F33FE3">
        <w:rPr>
          <w:rFonts w:eastAsia="Carlito" w:cstheme="minorHAnsi"/>
          <w:lang w:val="en-US"/>
        </w:rPr>
        <w:t>WWD</w:t>
      </w:r>
      <w:r w:rsidR="001724A7" w:rsidRPr="00BF35A0">
        <w:rPr>
          <w:rFonts w:eastAsia="Carlito" w:cstheme="minorHAnsi"/>
          <w:lang w:val="en-US"/>
        </w:rPr>
        <w:t xml:space="preserve"> and COP15 outreach efforts. Furthermore, the Secretariat has established a communications engagement group in collaboration with the IOPs.</w:t>
      </w:r>
    </w:p>
    <w:p w14:paraId="0554B187" w14:textId="77777777" w:rsidR="001724A7" w:rsidRPr="00BF35A0" w:rsidRDefault="001724A7" w:rsidP="00BF35A0">
      <w:pPr>
        <w:spacing w:after="0" w:line="240" w:lineRule="auto"/>
        <w:ind w:left="426" w:hanging="426"/>
        <w:rPr>
          <w:rFonts w:eastAsia="Times New Roman" w:cstheme="minorHAnsi"/>
          <w:lang w:eastAsia="fr-FR"/>
        </w:rPr>
      </w:pPr>
    </w:p>
    <w:p w14:paraId="1D2B4DBB" w14:textId="4447EC60" w:rsidR="001724A7" w:rsidRPr="00BF35A0" w:rsidRDefault="00201C38" w:rsidP="00BF35A0">
      <w:pPr>
        <w:spacing w:after="0" w:line="240" w:lineRule="auto"/>
        <w:ind w:left="426" w:hanging="426"/>
        <w:rPr>
          <w:rFonts w:eastAsia="Carlito" w:cstheme="minorHAnsi"/>
          <w:lang w:val="en-US"/>
        </w:rPr>
      </w:pPr>
      <w:r>
        <w:rPr>
          <w:rFonts w:cstheme="minorHAnsi"/>
        </w:rPr>
        <w:t>29</w:t>
      </w:r>
      <w:r w:rsidR="001724A7" w:rsidRPr="00BF35A0">
        <w:rPr>
          <w:rFonts w:cstheme="minorHAnsi"/>
        </w:rPr>
        <w:t>.</w:t>
      </w:r>
      <w:r w:rsidR="001724A7" w:rsidRPr="00BF35A0">
        <w:rPr>
          <w:rFonts w:cstheme="minorHAnsi"/>
        </w:rPr>
        <w:tab/>
      </w:r>
      <w:r w:rsidR="001724A7" w:rsidRPr="00BF35A0">
        <w:rPr>
          <w:rFonts w:eastAsia="Carlito" w:cstheme="minorHAnsi"/>
          <w:lang w:val="en-US"/>
        </w:rPr>
        <w:t xml:space="preserve">Through the implementation of its communications strategy, the Secretariat produces informative, current and relevant content that partners and stakeholders can effectively disseminate. Central to this approach is the creation of compelling narratives, such as showcasing “wetland champions” to foster understanding and inspire action for wetland conservation. </w:t>
      </w:r>
    </w:p>
    <w:p w14:paraId="2151AF90" w14:textId="77777777" w:rsidR="001724A7" w:rsidRPr="00BF35A0" w:rsidRDefault="001724A7" w:rsidP="00BF35A0">
      <w:pPr>
        <w:spacing w:after="0" w:line="240" w:lineRule="auto"/>
        <w:rPr>
          <w:rFonts w:cstheme="minorHAnsi"/>
        </w:rPr>
      </w:pPr>
    </w:p>
    <w:p w14:paraId="55C8FCBB" w14:textId="0DFBE259" w:rsidR="001724A7" w:rsidRPr="00BF35A0" w:rsidRDefault="00201C38" w:rsidP="00BF35A0">
      <w:pPr>
        <w:spacing w:after="0" w:line="240" w:lineRule="auto"/>
        <w:ind w:left="426" w:hanging="426"/>
        <w:rPr>
          <w:rFonts w:eastAsia="Times New Roman" w:cstheme="minorHAnsi"/>
          <w:lang w:eastAsia="fr-FR"/>
        </w:rPr>
      </w:pPr>
      <w:r>
        <w:rPr>
          <w:rFonts w:cstheme="minorHAnsi"/>
        </w:rPr>
        <w:t>30</w:t>
      </w:r>
      <w:r w:rsidR="001724A7" w:rsidRPr="00BF35A0">
        <w:rPr>
          <w:rFonts w:cstheme="minorHAnsi"/>
        </w:rPr>
        <w:t>.</w:t>
      </w:r>
      <w:r w:rsidR="001724A7" w:rsidRPr="00BF35A0">
        <w:rPr>
          <w:rFonts w:cstheme="minorHAnsi"/>
        </w:rPr>
        <w:tab/>
        <w:t xml:space="preserve">Furthering this commitment, the Secretariat is actively sharing stories through the </w:t>
      </w:r>
      <w:r w:rsidR="00F33FE3">
        <w:rPr>
          <w:rFonts w:cstheme="minorHAnsi"/>
        </w:rPr>
        <w:t>“</w:t>
      </w:r>
      <w:r w:rsidR="001724A7" w:rsidRPr="00BF35A0">
        <w:rPr>
          <w:rFonts w:cstheme="minorHAnsi"/>
        </w:rPr>
        <w:t>Women Changemakers in the World of Wetlands</w:t>
      </w:r>
      <w:r w:rsidR="00F33FE3">
        <w:rPr>
          <w:rFonts w:cstheme="minorHAnsi"/>
        </w:rPr>
        <w:t>”</w:t>
      </w:r>
      <w:r w:rsidR="00F33FE3" w:rsidRPr="00BF35A0">
        <w:rPr>
          <w:rFonts w:cstheme="minorHAnsi"/>
        </w:rPr>
        <w:t xml:space="preserve"> </w:t>
      </w:r>
      <w:r w:rsidR="001724A7" w:rsidRPr="00BF35A0">
        <w:rPr>
          <w:rFonts w:cstheme="minorHAnsi"/>
        </w:rPr>
        <w:t xml:space="preserve">campaign, which celebrates the </w:t>
      </w:r>
      <w:r w:rsidR="00BC050A" w:rsidRPr="00BF35A0">
        <w:rPr>
          <w:rFonts w:cstheme="minorHAnsi"/>
        </w:rPr>
        <w:t>important</w:t>
      </w:r>
      <w:r w:rsidR="001724A7" w:rsidRPr="00BF35A0">
        <w:rPr>
          <w:rFonts w:cstheme="minorHAnsi"/>
        </w:rPr>
        <w:t xml:space="preserve"> roles women play in wetland conservation. Launched on International </w:t>
      </w:r>
      <w:r w:rsidR="00F33FE3" w:rsidRPr="00BF35A0">
        <w:rPr>
          <w:rFonts w:cstheme="minorHAnsi"/>
        </w:rPr>
        <w:t>Women</w:t>
      </w:r>
      <w:r w:rsidR="00F33FE3">
        <w:rPr>
          <w:rFonts w:cstheme="minorHAnsi"/>
        </w:rPr>
        <w:t>’</w:t>
      </w:r>
      <w:r w:rsidR="00F33FE3" w:rsidRPr="00BF35A0">
        <w:rPr>
          <w:rFonts w:cstheme="minorHAnsi"/>
        </w:rPr>
        <w:t xml:space="preserve">s </w:t>
      </w:r>
      <w:r w:rsidR="001724A7" w:rsidRPr="00BF35A0">
        <w:rPr>
          <w:rFonts w:cstheme="minorHAnsi"/>
        </w:rPr>
        <w:t xml:space="preserve">Day 2024, the inaugural cohort featured </w:t>
      </w:r>
      <w:r w:rsidR="008A65F1">
        <w:rPr>
          <w:rFonts w:cstheme="minorHAnsi"/>
        </w:rPr>
        <w:t>12</w:t>
      </w:r>
      <w:r w:rsidR="001724A7" w:rsidRPr="00BF35A0">
        <w:rPr>
          <w:rFonts w:cstheme="minorHAnsi"/>
        </w:rPr>
        <w:t xml:space="preserve"> remarkable women whose efforts have significantly contributed to the preservation and sustainable use of wetlands. In 2025, the campaign continued to honour outstanding women leaders. This initiative underscores the Secretariat</w:t>
      </w:r>
      <w:r w:rsidR="008A65F1">
        <w:rPr>
          <w:rFonts w:cstheme="minorHAnsi"/>
        </w:rPr>
        <w:t>’</w:t>
      </w:r>
      <w:r w:rsidR="001724A7" w:rsidRPr="00BF35A0">
        <w:rPr>
          <w:rFonts w:cstheme="minorHAnsi"/>
        </w:rPr>
        <w:t>s commitment to highlighting the essential contributions of women in safeguarding wetland ecosystems.</w:t>
      </w:r>
    </w:p>
    <w:p w14:paraId="1A946E79" w14:textId="77777777" w:rsidR="001724A7" w:rsidRPr="00BF35A0" w:rsidRDefault="001724A7" w:rsidP="00BF35A0">
      <w:pPr>
        <w:spacing w:after="0" w:line="240" w:lineRule="auto"/>
        <w:rPr>
          <w:rFonts w:eastAsia="Times New Roman" w:cstheme="minorHAnsi"/>
          <w:lang w:eastAsia="fr-FR"/>
        </w:rPr>
      </w:pPr>
    </w:p>
    <w:p w14:paraId="4B5ED7F2" w14:textId="77777777" w:rsidR="001724A7" w:rsidRDefault="001724A7" w:rsidP="00BF35A0">
      <w:pPr>
        <w:keepNext/>
        <w:tabs>
          <w:tab w:val="left" w:pos="647"/>
        </w:tabs>
        <w:spacing w:after="0" w:line="240" w:lineRule="auto"/>
        <w:rPr>
          <w:rFonts w:cstheme="minorHAnsi"/>
          <w:b/>
          <w:bCs/>
        </w:rPr>
      </w:pPr>
      <w:r w:rsidRPr="00BF35A0">
        <w:rPr>
          <w:rFonts w:cstheme="minorHAnsi"/>
          <w:b/>
          <w:bCs/>
        </w:rPr>
        <w:t>Collaboration to achieve the Sustainable Development Goals and other global targets, and to enhance multilateralism</w:t>
      </w:r>
    </w:p>
    <w:p w14:paraId="0F792516" w14:textId="77777777" w:rsidR="00BF35A0" w:rsidRPr="00BF35A0" w:rsidRDefault="00BF35A0" w:rsidP="00BF35A0">
      <w:pPr>
        <w:keepNext/>
        <w:tabs>
          <w:tab w:val="left" w:pos="647"/>
        </w:tabs>
        <w:spacing w:after="0" w:line="240" w:lineRule="auto"/>
        <w:rPr>
          <w:rFonts w:cstheme="minorHAnsi"/>
          <w:b/>
          <w:bCs/>
        </w:rPr>
      </w:pPr>
    </w:p>
    <w:p w14:paraId="108F3D67" w14:textId="25987FF6"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cstheme="minorHAnsi"/>
          <w:sz w:val="22"/>
          <w:szCs w:val="22"/>
        </w:rPr>
        <w:t>31</w:t>
      </w:r>
      <w:r w:rsidR="001724A7" w:rsidRPr="00BF35A0">
        <w:rPr>
          <w:rFonts w:asciiTheme="minorHAnsi" w:hAnsiTheme="minorHAnsi" w:cstheme="minorHAnsi"/>
          <w:sz w:val="22"/>
          <w:szCs w:val="22"/>
        </w:rPr>
        <w:t>.</w:t>
      </w:r>
      <w:r w:rsidR="001724A7" w:rsidRPr="00BF35A0">
        <w:rPr>
          <w:rFonts w:asciiTheme="minorHAnsi" w:hAnsiTheme="minorHAnsi" w:cstheme="minorHAnsi"/>
          <w:sz w:val="22"/>
          <w:szCs w:val="22"/>
        </w:rPr>
        <w:tab/>
        <w:t xml:space="preserve">Contracting Parties have expressed their desire for the Secretariat, on behalf of the Convention, to be active </w:t>
      </w:r>
      <w:r w:rsidR="00F33FE3">
        <w:rPr>
          <w:rFonts w:asciiTheme="minorHAnsi" w:hAnsiTheme="minorHAnsi" w:cstheme="minorHAnsi"/>
          <w:sz w:val="22"/>
          <w:szCs w:val="22"/>
        </w:rPr>
        <w:t>in</w:t>
      </w:r>
      <w:r w:rsidR="00F33FE3" w:rsidRPr="00BF35A0">
        <w:rPr>
          <w:rFonts w:asciiTheme="minorHAnsi" w:hAnsiTheme="minorHAnsi" w:cstheme="minorHAnsi"/>
          <w:sz w:val="22"/>
          <w:szCs w:val="22"/>
        </w:rPr>
        <w:t xml:space="preserve"> </w:t>
      </w:r>
      <w:r w:rsidR="001724A7" w:rsidRPr="00BF35A0">
        <w:rPr>
          <w:rFonts w:asciiTheme="minorHAnsi" w:hAnsiTheme="minorHAnsi" w:cstheme="minorHAnsi"/>
          <w:sz w:val="22"/>
          <w:szCs w:val="22"/>
        </w:rPr>
        <w:t xml:space="preserve">the wider global policy agenda. This aligns with the implementation of Resolution XIV.6, which focuses on enhancing the Convention’s visibility and strengthening synergies with </w:t>
      </w:r>
      <w:r w:rsidR="001724A7" w:rsidRPr="00BF35A0">
        <w:rPr>
          <w:rFonts w:asciiTheme="minorHAnsi" w:hAnsiTheme="minorHAnsi" w:cstheme="minorHAnsi"/>
          <w:sz w:val="22"/>
          <w:szCs w:val="22"/>
        </w:rPr>
        <w:lastRenderedPageBreak/>
        <w:t>other multilateral environmental agreements and international institutions. To this aim, the Secretariat continues to prioritize its work in supporting international cooperation and raising the profile of wetlands and the Convention in the global policy agenda. The 2030 Agenda for Sustainable Development and its</w:t>
      </w:r>
      <w:r w:rsidR="00F33FE3">
        <w:rPr>
          <w:rFonts w:asciiTheme="minorHAnsi" w:hAnsiTheme="minorHAnsi" w:cstheme="minorHAnsi"/>
          <w:sz w:val="22"/>
          <w:szCs w:val="22"/>
        </w:rPr>
        <w:t xml:space="preserve"> </w:t>
      </w:r>
      <w:r w:rsidR="00F33FE3" w:rsidRPr="00BF35A0">
        <w:rPr>
          <w:rFonts w:asciiTheme="minorHAnsi" w:hAnsiTheme="minorHAnsi" w:cstheme="minorHAnsi"/>
          <w:sz w:val="22"/>
          <w:szCs w:val="22"/>
        </w:rPr>
        <w:t>Sustainable Development Goal</w:t>
      </w:r>
      <w:r w:rsidR="00F33FE3">
        <w:rPr>
          <w:rFonts w:asciiTheme="minorHAnsi" w:hAnsiTheme="minorHAnsi" w:cstheme="minorHAnsi"/>
          <w:sz w:val="22"/>
          <w:szCs w:val="22"/>
        </w:rPr>
        <w:t>s</w:t>
      </w:r>
      <w:r w:rsidR="001724A7" w:rsidRPr="00BF35A0">
        <w:rPr>
          <w:rFonts w:asciiTheme="minorHAnsi" w:hAnsiTheme="minorHAnsi" w:cstheme="minorHAnsi"/>
          <w:sz w:val="22"/>
          <w:szCs w:val="22"/>
        </w:rPr>
        <w:t xml:space="preserve"> </w:t>
      </w:r>
      <w:r w:rsidR="00F33FE3">
        <w:rPr>
          <w:rFonts w:asciiTheme="minorHAnsi" w:hAnsiTheme="minorHAnsi" w:cstheme="minorHAnsi"/>
          <w:sz w:val="22"/>
          <w:szCs w:val="22"/>
        </w:rPr>
        <w:t>(</w:t>
      </w:r>
      <w:r w:rsidR="001724A7" w:rsidRPr="00BF35A0">
        <w:rPr>
          <w:rFonts w:asciiTheme="minorHAnsi" w:hAnsiTheme="minorHAnsi" w:cstheme="minorHAnsi"/>
          <w:sz w:val="22"/>
          <w:szCs w:val="22"/>
        </w:rPr>
        <w:t>SDGs</w:t>
      </w:r>
      <w:r w:rsidR="00F33FE3">
        <w:rPr>
          <w:rFonts w:asciiTheme="minorHAnsi" w:hAnsiTheme="minorHAnsi" w:cstheme="minorHAnsi"/>
          <w:sz w:val="22"/>
          <w:szCs w:val="22"/>
        </w:rPr>
        <w:t>)</w:t>
      </w:r>
      <w:r w:rsidR="001724A7" w:rsidRPr="00BF35A0">
        <w:rPr>
          <w:rFonts w:asciiTheme="minorHAnsi" w:hAnsiTheme="minorHAnsi" w:cstheme="minorHAnsi"/>
          <w:sz w:val="22"/>
          <w:szCs w:val="22"/>
        </w:rPr>
        <w:t>, the Paris Agreement on climate change and the Kunming-Montreal Global Biodiversity Framework are driving national and international planning and funding efforts. The increased attention ensures that wetlands and the work of Contracting Parties under the Convention contribute to these policy frameworks.</w:t>
      </w:r>
    </w:p>
    <w:p w14:paraId="62334DC4" w14:textId="77777777" w:rsidR="001724A7" w:rsidRPr="00BF35A0" w:rsidRDefault="001724A7" w:rsidP="00BF35A0">
      <w:pPr>
        <w:pStyle w:val="Default"/>
        <w:ind w:left="426" w:hanging="426"/>
        <w:rPr>
          <w:rFonts w:asciiTheme="minorHAnsi" w:hAnsiTheme="minorHAnsi" w:cstheme="minorHAnsi"/>
          <w:sz w:val="22"/>
          <w:szCs w:val="22"/>
        </w:rPr>
      </w:pPr>
    </w:p>
    <w:p w14:paraId="653B3EA1" w14:textId="7ECE01FF"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cstheme="minorHAnsi"/>
          <w:sz w:val="22"/>
          <w:szCs w:val="22"/>
        </w:rPr>
        <w:t>32</w:t>
      </w:r>
      <w:r w:rsidR="001724A7" w:rsidRPr="00BF35A0">
        <w:rPr>
          <w:rFonts w:asciiTheme="minorHAnsi" w:hAnsiTheme="minorHAnsi" w:cstheme="minorHAnsi"/>
          <w:sz w:val="22"/>
          <w:szCs w:val="22"/>
        </w:rPr>
        <w:t>.</w:t>
      </w:r>
      <w:r w:rsidR="001724A7" w:rsidRPr="00BF35A0">
        <w:rPr>
          <w:rFonts w:asciiTheme="minorHAnsi" w:hAnsiTheme="minorHAnsi" w:cstheme="minorHAnsi"/>
          <w:sz w:val="22"/>
          <w:szCs w:val="22"/>
        </w:rPr>
        <w:tab/>
        <w:t xml:space="preserve">The Secretariat continues to strengthen its engagement in the global policy agenda, advocating for the critical role of wetlands in addressing climate change, biodiversity loss and water security. The Secretary General led delegations to major international events, including UNEA-6, UNFCCC COP28, the 10th World Water Forum and the </w:t>
      </w:r>
      <w:r w:rsidR="00F33FE3">
        <w:rPr>
          <w:rFonts w:asciiTheme="minorHAnsi" w:hAnsiTheme="minorHAnsi" w:cstheme="minorHAnsi"/>
          <w:sz w:val="22"/>
          <w:szCs w:val="22"/>
        </w:rPr>
        <w:t>t</w:t>
      </w:r>
      <w:r w:rsidR="00F33FE3" w:rsidRPr="00BF35A0">
        <w:rPr>
          <w:rFonts w:asciiTheme="minorHAnsi" w:hAnsiTheme="minorHAnsi" w:cstheme="minorHAnsi"/>
          <w:sz w:val="22"/>
          <w:szCs w:val="22"/>
        </w:rPr>
        <w:t xml:space="preserve">enth </w:t>
      </w:r>
      <w:r w:rsidR="001724A7" w:rsidRPr="00BF35A0">
        <w:rPr>
          <w:rFonts w:asciiTheme="minorHAnsi" w:hAnsiTheme="minorHAnsi" w:cstheme="minorHAnsi"/>
          <w:sz w:val="22"/>
          <w:szCs w:val="22"/>
        </w:rPr>
        <w:t>Special Session of AMCEN. At these events, she highlighted the Convention’s contributions to sustainable development and urged greater integration of wetlands into global environmental policies.</w:t>
      </w:r>
    </w:p>
    <w:p w14:paraId="2CDE8BF1" w14:textId="77777777" w:rsidR="001724A7" w:rsidRPr="00BF35A0" w:rsidRDefault="001724A7" w:rsidP="00BF35A0">
      <w:pPr>
        <w:pStyle w:val="Default"/>
        <w:ind w:left="426" w:hanging="426"/>
        <w:rPr>
          <w:rFonts w:asciiTheme="minorHAnsi" w:eastAsia="Times New Roman" w:hAnsiTheme="minorHAnsi" w:cstheme="minorHAnsi"/>
          <w:color w:val="auto"/>
          <w:sz w:val="22"/>
          <w:szCs w:val="22"/>
          <w:lang w:eastAsia="fr-FR"/>
        </w:rPr>
      </w:pPr>
    </w:p>
    <w:p w14:paraId="70AB7424" w14:textId="258ABEFF"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cstheme="minorHAnsi"/>
          <w:sz w:val="22"/>
          <w:szCs w:val="22"/>
        </w:rPr>
        <w:t>33</w:t>
      </w:r>
      <w:r w:rsidR="001724A7" w:rsidRPr="00BF35A0">
        <w:rPr>
          <w:rFonts w:asciiTheme="minorHAnsi" w:hAnsiTheme="minorHAnsi" w:cstheme="minorHAnsi"/>
          <w:sz w:val="22"/>
          <w:szCs w:val="22"/>
        </w:rPr>
        <w:t>.</w:t>
      </w:r>
      <w:r w:rsidR="001724A7" w:rsidRPr="00BF35A0">
        <w:rPr>
          <w:rFonts w:asciiTheme="minorHAnsi" w:hAnsiTheme="minorHAnsi" w:cstheme="minorHAnsi"/>
          <w:sz w:val="22"/>
          <w:szCs w:val="22"/>
        </w:rPr>
        <w:tab/>
        <w:t>In May 2024, the Secretary General undertook a high-level mission to East Asia, engaging with key stakeholders in Japan</w:t>
      </w:r>
      <w:r w:rsidR="008A65F1">
        <w:rPr>
          <w:rFonts w:asciiTheme="minorHAnsi" w:hAnsiTheme="minorHAnsi" w:cstheme="minorHAnsi"/>
          <w:sz w:val="22"/>
          <w:szCs w:val="22"/>
        </w:rPr>
        <w:t xml:space="preserve">, </w:t>
      </w:r>
      <w:r w:rsidR="001724A7" w:rsidRPr="00BF35A0">
        <w:rPr>
          <w:rFonts w:asciiTheme="minorHAnsi" w:hAnsiTheme="minorHAnsi" w:cstheme="minorHAnsi"/>
          <w:sz w:val="22"/>
          <w:szCs w:val="22"/>
        </w:rPr>
        <w:t xml:space="preserve">Indonesia </w:t>
      </w:r>
      <w:r w:rsidR="008A65F1">
        <w:rPr>
          <w:rFonts w:asciiTheme="minorHAnsi" w:hAnsiTheme="minorHAnsi" w:cstheme="minorHAnsi"/>
          <w:sz w:val="22"/>
          <w:szCs w:val="22"/>
        </w:rPr>
        <w:t xml:space="preserve">and </w:t>
      </w:r>
      <w:r w:rsidR="008A65F1" w:rsidRPr="00BF35A0">
        <w:rPr>
          <w:rFonts w:asciiTheme="minorHAnsi" w:hAnsiTheme="minorHAnsi" w:cstheme="minorHAnsi"/>
          <w:sz w:val="22"/>
          <w:szCs w:val="22"/>
        </w:rPr>
        <w:t xml:space="preserve">the Republic of Korea, </w:t>
      </w:r>
      <w:r w:rsidR="001724A7" w:rsidRPr="00BF35A0">
        <w:rPr>
          <w:rFonts w:asciiTheme="minorHAnsi" w:hAnsiTheme="minorHAnsi" w:cstheme="minorHAnsi"/>
          <w:sz w:val="22"/>
          <w:szCs w:val="22"/>
        </w:rPr>
        <w:t>to strengthen regional collaboration on wetland conservation. In June 2024, she visited the European Union headquarters in Brussels, Belgium, to advocate for stronger partnerships between the Convention on Wetlands and EU institutions. The Secretariat also continues to deepen its relationship with the Geneva-based Permanent Missions to the United Nations and its agencies through briefings and bilateral meetings, ensuring wetlands remain a priority on the global agenda.</w:t>
      </w:r>
    </w:p>
    <w:p w14:paraId="7C936FE0" w14:textId="77777777" w:rsidR="001724A7" w:rsidRPr="00BF35A0" w:rsidRDefault="001724A7" w:rsidP="00BF35A0">
      <w:pPr>
        <w:pStyle w:val="Default"/>
        <w:ind w:left="426" w:hanging="426"/>
        <w:rPr>
          <w:rFonts w:asciiTheme="minorHAnsi" w:hAnsiTheme="minorHAnsi" w:cstheme="minorHAnsi"/>
          <w:sz w:val="22"/>
          <w:szCs w:val="22"/>
        </w:rPr>
      </w:pPr>
    </w:p>
    <w:p w14:paraId="3F37ECAC" w14:textId="7BC9E54C" w:rsidR="001724A7" w:rsidRPr="00BF35A0" w:rsidRDefault="00201C38" w:rsidP="00BF35A0">
      <w:pPr>
        <w:spacing w:after="0" w:line="240" w:lineRule="auto"/>
        <w:ind w:left="426" w:hanging="426"/>
        <w:rPr>
          <w:rFonts w:cstheme="minorHAnsi"/>
        </w:rPr>
      </w:pPr>
      <w:r>
        <w:rPr>
          <w:rFonts w:cstheme="minorHAnsi"/>
        </w:rPr>
        <w:t>34</w:t>
      </w:r>
      <w:r w:rsidR="001724A7" w:rsidRPr="00BF35A0">
        <w:rPr>
          <w:rFonts w:cstheme="minorHAnsi"/>
        </w:rPr>
        <w:t>.</w:t>
      </w:r>
      <w:r w:rsidR="001724A7" w:rsidRPr="00BF35A0">
        <w:rPr>
          <w:rFonts w:cstheme="minorHAnsi"/>
        </w:rPr>
        <w:tab/>
        <w:t>The Secretariat actively collaborates with multilateral environmental agreements (MEAs), including the Convention on Biological Diversity (CBD), the United Nations Convention to Combat Desertification (UNCCD), the Convention on Migratory Species of Wild Animals (CMS), and the World Heritage Convention (WHC). It also contributes to the UN Decade on Ecosystem Restoration and works closely with UN Water on SDG 6, which focuses on ensuring access to water and sanitation for all. These efforts reinforce the Secretariat’s role in advancing international cooperation and positioning wetlands as a key solution to global environmental challenges.</w:t>
      </w:r>
    </w:p>
    <w:p w14:paraId="5F7F458B" w14:textId="77777777" w:rsidR="001724A7" w:rsidRPr="00BF35A0" w:rsidRDefault="001724A7" w:rsidP="00BF35A0">
      <w:pPr>
        <w:spacing w:after="0" w:line="240" w:lineRule="auto"/>
        <w:rPr>
          <w:rFonts w:eastAsia="Times New Roman" w:cstheme="minorHAnsi"/>
          <w:lang w:eastAsia="fr-FR"/>
        </w:rPr>
      </w:pPr>
    </w:p>
    <w:p w14:paraId="309BD524" w14:textId="77777777" w:rsidR="001724A7" w:rsidRPr="00BF35A0" w:rsidRDefault="001724A7" w:rsidP="00BF35A0">
      <w:pPr>
        <w:keepNext/>
        <w:spacing w:after="0" w:line="240" w:lineRule="auto"/>
        <w:rPr>
          <w:rFonts w:eastAsia="Times New Roman" w:cstheme="minorHAnsi"/>
          <w:b/>
          <w:lang w:eastAsia="fr-FR"/>
        </w:rPr>
      </w:pPr>
      <w:r w:rsidRPr="00BF35A0">
        <w:rPr>
          <w:rFonts w:eastAsia="Times New Roman" w:cstheme="minorHAnsi"/>
          <w:b/>
          <w:lang w:eastAsia="fr-FR"/>
        </w:rPr>
        <w:t>Mobilizing resources to support implementation of the Convention</w:t>
      </w:r>
    </w:p>
    <w:p w14:paraId="654C9247" w14:textId="77777777" w:rsidR="001724A7" w:rsidRPr="00BF35A0" w:rsidRDefault="001724A7" w:rsidP="00BF35A0">
      <w:pPr>
        <w:keepNext/>
        <w:spacing w:after="0" w:line="240" w:lineRule="auto"/>
        <w:rPr>
          <w:rFonts w:eastAsia="Times New Roman" w:cstheme="minorHAnsi"/>
          <w:lang w:eastAsia="fr-FR"/>
        </w:rPr>
      </w:pPr>
    </w:p>
    <w:p w14:paraId="4594A395" w14:textId="2E46CAC1" w:rsidR="001724A7" w:rsidRPr="00BF35A0" w:rsidRDefault="00201C38" w:rsidP="00BF35A0">
      <w:pPr>
        <w:spacing w:after="0" w:line="240" w:lineRule="auto"/>
        <w:ind w:left="426" w:hanging="426"/>
        <w:rPr>
          <w:rFonts w:eastAsia="Times New Roman" w:cstheme="minorHAnsi"/>
          <w:lang w:eastAsia="fr-FR"/>
        </w:rPr>
      </w:pPr>
      <w:r>
        <w:rPr>
          <w:rFonts w:eastAsia="Calibri" w:cstheme="minorHAnsi"/>
        </w:rPr>
        <w:t>35</w:t>
      </w:r>
      <w:r w:rsidR="001724A7" w:rsidRPr="00BF35A0">
        <w:rPr>
          <w:rFonts w:eastAsia="Calibri" w:cstheme="minorHAnsi"/>
        </w:rPr>
        <w:t>.</w:t>
      </w:r>
      <w:r w:rsidR="001724A7" w:rsidRPr="00BF35A0">
        <w:rPr>
          <w:rFonts w:eastAsia="Calibri" w:cstheme="minorHAnsi"/>
        </w:rPr>
        <w:tab/>
      </w:r>
      <w:r w:rsidR="001724A7" w:rsidRPr="00BF35A0">
        <w:rPr>
          <w:rFonts w:eastAsia="Carlito" w:cstheme="minorHAnsi"/>
          <w:lang w:val="en-US"/>
        </w:rPr>
        <w:t xml:space="preserve">Availability of sufficient and predictable funding is essential for effective implementation of the Convention. The Secretariat has taken action to encourage timely payment of contributions to the core budget by Contracting Parties and to raise funds for the non-core fundraising priorities identified in Annex 4 of Resolution XIV.1 on </w:t>
      </w:r>
      <w:r w:rsidR="001724A7" w:rsidRPr="00BF35A0">
        <w:rPr>
          <w:rFonts w:eastAsia="Carlito" w:cstheme="minorHAnsi"/>
          <w:i/>
          <w:lang w:val="en-US"/>
        </w:rPr>
        <w:t>Financial and budgetary matters</w:t>
      </w:r>
      <w:r w:rsidR="001724A7" w:rsidRPr="00BF35A0">
        <w:rPr>
          <w:rFonts w:eastAsia="Carlito" w:cstheme="minorHAnsi"/>
          <w:lang w:val="en-US"/>
        </w:rPr>
        <w:t>.</w:t>
      </w:r>
    </w:p>
    <w:p w14:paraId="72545348" w14:textId="77777777" w:rsidR="001724A7" w:rsidRPr="00BF35A0" w:rsidRDefault="001724A7" w:rsidP="00BF35A0">
      <w:pPr>
        <w:autoSpaceDE w:val="0"/>
        <w:autoSpaceDN w:val="0"/>
        <w:adjustRightInd w:val="0"/>
        <w:spacing w:after="0" w:line="240" w:lineRule="auto"/>
        <w:ind w:left="426" w:hanging="426"/>
        <w:rPr>
          <w:rFonts w:eastAsia="Calibri" w:cstheme="minorHAnsi"/>
        </w:rPr>
      </w:pPr>
    </w:p>
    <w:p w14:paraId="280BEE4A" w14:textId="5975C259" w:rsidR="001724A7" w:rsidRPr="009A7389" w:rsidRDefault="00201C38" w:rsidP="00BF35A0">
      <w:pPr>
        <w:autoSpaceDE w:val="0"/>
        <w:autoSpaceDN w:val="0"/>
        <w:adjustRightInd w:val="0"/>
        <w:spacing w:after="0" w:line="240" w:lineRule="auto"/>
        <w:ind w:left="426" w:hanging="426"/>
        <w:rPr>
          <w:rFonts w:eastAsia="Calibri" w:cstheme="minorHAnsi"/>
          <w:lang w:val="en-US"/>
        </w:rPr>
      </w:pPr>
      <w:r>
        <w:rPr>
          <w:rFonts w:eastAsia="Calibri" w:cstheme="minorHAnsi"/>
        </w:rPr>
        <w:t>36</w:t>
      </w:r>
      <w:r w:rsidR="001724A7" w:rsidRPr="00BF35A0">
        <w:rPr>
          <w:rFonts w:eastAsia="Calibri" w:cstheme="minorHAnsi"/>
        </w:rPr>
        <w:t>.</w:t>
      </w:r>
      <w:r w:rsidR="001724A7" w:rsidRPr="00BF35A0">
        <w:rPr>
          <w:rFonts w:eastAsia="Calibri" w:cstheme="minorHAnsi"/>
        </w:rPr>
        <w:tab/>
      </w:r>
      <w:r w:rsidR="001724A7" w:rsidRPr="00BF35A0">
        <w:rPr>
          <w:rFonts w:eastAsia="Calibri" w:cstheme="minorHAnsi"/>
          <w:lang w:val="en-US"/>
        </w:rPr>
        <w:t>The resource mobilization work plan</w:t>
      </w:r>
      <w:r w:rsidR="001724A7" w:rsidRPr="00BF35A0">
        <w:rPr>
          <w:rFonts w:eastAsia="Calibri" w:cstheme="minorHAnsi"/>
          <w:vertAlign w:val="superscript"/>
          <w:lang w:val="en-US"/>
        </w:rPr>
        <w:footnoteReference w:id="2"/>
      </w:r>
      <w:r w:rsidR="001724A7" w:rsidRPr="00BF35A0">
        <w:rPr>
          <w:rFonts w:eastAsia="Calibri" w:cstheme="minorHAnsi"/>
          <w:lang w:val="en-US"/>
        </w:rPr>
        <w:t xml:space="preserve">, approved by the Standing Committee at SC62 in September 2023, outlines the Secretariat’s strategy for securing funding for non-core priorities for this triennium. The Secretariat is grateful for the voluntary contributions received during this reporting period, from the </w:t>
      </w:r>
      <w:r w:rsidR="001724A7" w:rsidRPr="009A7389">
        <w:rPr>
          <w:rFonts w:eastAsia="Calibri" w:cstheme="minorHAnsi"/>
          <w:lang w:val="en-US"/>
        </w:rPr>
        <w:t xml:space="preserve">governments of </w:t>
      </w:r>
      <w:r w:rsidR="001A5A0A" w:rsidRPr="009A7389">
        <w:rPr>
          <w:rFonts w:eastAsia="Calibri" w:cstheme="minorHAnsi"/>
        </w:rPr>
        <w:t>Austria, Canada, China</w:t>
      </w:r>
      <w:r w:rsidR="003C44C6" w:rsidRPr="009A7389">
        <w:rPr>
          <w:rFonts w:eastAsia="Calibri" w:cstheme="minorHAnsi"/>
        </w:rPr>
        <w:t>, Finland</w:t>
      </w:r>
      <w:r w:rsidR="001724A7" w:rsidRPr="009A7389">
        <w:rPr>
          <w:rFonts w:eastAsia="Calibri" w:cstheme="minorHAnsi"/>
          <w:lang w:val="en-US"/>
        </w:rPr>
        <w:t xml:space="preserve">, Germany, Norway, </w:t>
      </w:r>
      <w:r w:rsidR="009A7389">
        <w:rPr>
          <w:rFonts w:eastAsia="Calibri" w:cstheme="minorHAnsi"/>
          <w:lang w:val="en-US"/>
        </w:rPr>
        <w:t xml:space="preserve">the </w:t>
      </w:r>
      <w:r w:rsidR="001A5A0A" w:rsidRPr="009A7389">
        <w:rPr>
          <w:rFonts w:eastAsia="Calibri" w:cstheme="minorHAnsi"/>
          <w:lang w:val="en-US"/>
        </w:rPr>
        <w:t xml:space="preserve">Republic of Korea, </w:t>
      </w:r>
      <w:r w:rsidR="001724A7" w:rsidRPr="009A7389">
        <w:rPr>
          <w:rFonts w:eastAsia="Calibri" w:cstheme="minorHAnsi"/>
          <w:lang w:val="en-US"/>
        </w:rPr>
        <w:t xml:space="preserve">Switzerland, </w:t>
      </w:r>
      <w:r w:rsidR="001A5A0A" w:rsidRPr="009A7389">
        <w:rPr>
          <w:rFonts w:eastAsia="Calibri" w:cstheme="minorHAnsi"/>
          <w:lang w:val="en-US"/>
        </w:rPr>
        <w:t xml:space="preserve">the United Kingdom of Great Britain and Northern Ireland, </w:t>
      </w:r>
      <w:r w:rsidR="001724A7" w:rsidRPr="009A7389">
        <w:rPr>
          <w:rFonts w:eastAsia="Calibri" w:cstheme="minorHAnsi"/>
          <w:lang w:val="en-US"/>
        </w:rPr>
        <w:t xml:space="preserve">the United States of America, </w:t>
      </w:r>
      <w:r w:rsidR="003C44C6" w:rsidRPr="009A7389">
        <w:rPr>
          <w:rFonts w:eastAsia="Calibri" w:cstheme="minorHAnsi"/>
        </w:rPr>
        <w:t xml:space="preserve">Zimbabwe, </w:t>
      </w:r>
      <w:r w:rsidR="001724A7" w:rsidRPr="009A7389">
        <w:rPr>
          <w:rFonts w:eastAsia="Calibri" w:cstheme="minorHAnsi"/>
          <w:lang w:val="en-US"/>
        </w:rPr>
        <w:t>Danone and the Nagao Natural Environment Foundation.</w:t>
      </w:r>
    </w:p>
    <w:p w14:paraId="6CC14D8B" w14:textId="77777777" w:rsidR="001724A7" w:rsidRPr="009A7389" w:rsidRDefault="001724A7" w:rsidP="00BF35A0">
      <w:pPr>
        <w:autoSpaceDE w:val="0"/>
        <w:autoSpaceDN w:val="0"/>
        <w:adjustRightInd w:val="0"/>
        <w:spacing w:after="0" w:line="240" w:lineRule="auto"/>
        <w:ind w:left="426" w:hanging="426"/>
        <w:rPr>
          <w:rFonts w:eastAsia="Calibri" w:cstheme="minorHAnsi"/>
        </w:rPr>
      </w:pPr>
    </w:p>
    <w:p w14:paraId="4EC8C455" w14:textId="6BDF4042" w:rsidR="001724A7" w:rsidRPr="00BF35A0" w:rsidRDefault="00201C38" w:rsidP="00BF35A0">
      <w:pPr>
        <w:spacing w:after="0" w:line="240" w:lineRule="auto"/>
        <w:ind w:left="426" w:hanging="426"/>
        <w:rPr>
          <w:rFonts w:eastAsia="Calibri" w:cstheme="minorHAnsi"/>
        </w:rPr>
      </w:pPr>
      <w:r>
        <w:rPr>
          <w:rFonts w:eastAsia="Calibri" w:cstheme="minorHAnsi"/>
        </w:rPr>
        <w:lastRenderedPageBreak/>
        <w:t>37</w:t>
      </w:r>
      <w:r w:rsidR="001724A7" w:rsidRPr="00BF35A0">
        <w:rPr>
          <w:rFonts w:eastAsia="Calibri" w:cstheme="minorHAnsi"/>
        </w:rPr>
        <w:t>.</w:t>
      </w:r>
      <w:r w:rsidR="001724A7" w:rsidRPr="00BF35A0">
        <w:rPr>
          <w:rFonts w:eastAsia="Calibri" w:cstheme="minorHAnsi"/>
        </w:rPr>
        <w:tab/>
        <w:t xml:space="preserve">In response to a request from the </w:t>
      </w:r>
      <w:r w:rsidR="009A7389">
        <w:rPr>
          <w:rFonts w:eastAsia="Calibri" w:cstheme="minorHAnsi"/>
        </w:rPr>
        <w:t>g</w:t>
      </w:r>
      <w:r w:rsidR="001724A7" w:rsidRPr="00BF35A0">
        <w:rPr>
          <w:rFonts w:eastAsia="Calibri" w:cstheme="minorHAnsi"/>
        </w:rPr>
        <w:t xml:space="preserve">overnment of Morocco, the Secretariat undertook fundraising efforts to support travel </w:t>
      </w:r>
      <w:r w:rsidR="009A7389">
        <w:rPr>
          <w:rFonts w:eastAsia="Calibri" w:cstheme="minorHAnsi"/>
        </w:rPr>
        <w:t xml:space="preserve">of </w:t>
      </w:r>
      <w:r w:rsidR="009A7389" w:rsidRPr="00BF35A0">
        <w:rPr>
          <w:rFonts w:eastAsia="Calibri" w:cstheme="minorHAnsi"/>
        </w:rPr>
        <w:t>delegate</w:t>
      </w:r>
      <w:r w:rsidR="009A7389">
        <w:rPr>
          <w:rFonts w:eastAsia="Calibri" w:cstheme="minorHAnsi"/>
        </w:rPr>
        <w:t>s</w:t>
      </w:r>
      <w:r w:rsidR="009A7389" w:rsidRPr="00BF35A0">
        <w:rPr>
          <w:rFonts w:eastAsia="Calibri" w:cstheme="minorHAnsi"/>
        </w:rPr>
        <w:t xml:space="preserve"> </w:t>
      </w:r>
      <w:r w:rsidR="001724A7" w:rsidRPr="00BF35A0">
        <w:rPr>
          <w:rFonts w:eastAsia="Calibri" w:cstheme="minorHAnsi"/>
        </w:rPr>
        <w:t xml:space="preserve">to Marrakesh, Morocco, to participate in the pre-SC64 African regional meeting. Contributions for delegate travel were received from the </w:t>
      </w:r>
      <w:r w:rsidR="009A7389">
        <w:rPr>
          <w:rFonts w:eastAsia="Calibri" w:cstheme="minorHAnsi"/>
        </w:rPr>
        <w:t>g</w:t>
      </w:r>
      <w:r w:rsidR="001724A7" w:rsidRPr="00BF35A0">
        <w:rPr>
          <w:rFonts w:eastAsia="Calibri" w:cstheme="minorHAnsi"/>
        </w:rPr>
        <w:t xml:space="preserve">overnment of Switzerland and the </w:t>
      </w:r>
      <w:r w:rsidR="009A7389">
        <w:rPr>
          <w:rFonts w:eastAsia="Calibri" w:cstheme="minorHAnsi"/>
        </w:rPr>
        <w:t>g</w:t>
      </w:r>
      <w:r w:rsidR="001724A7" w:rsidRPr="00BF35A0">
        <w:rPr>
          <w:rFonts w:eastAsia="Calibri" w:cstheme="minorHAnsi"/>
        </w:rPr>
        <w:t>overnment of France through the French Biodiversity Agency (OFB) as well as NatureXpairs</w:t>
      </w:r>
      <w:r w:rsidR="009A7389">
        <w:rPr>
          <w:rFonts w:eastAsia="Calibri" w:cstheme="minorHAnsi"/>
        </w:rPr>
        <w:t>,</w:t>
      </w:r>
      <w:r w:rsidR="001724A7" w:rsidRPr="00BF35A0">
        <w:rPr>
          <w:rFonts w:eastAsia="Calibri" w:cstheme="minorHAnsi"/>
        </w:rPr>
        <w:t xml:space="preserve"> along with in-kind support from the </w:t>
      </w:r>
      <w:r w:rsidR="009A7389">
        <w:rPr>
          <w:rFonts w:eastAsia="Calibri" w:cstheme="minorHAnsi"/>
        </w:rPr>
        <w:t>g</w:t>
      </w:r>
      <w:r w:rsidR="001724A7" w:rsidRPr="00BF35A0">
        <w:rPr>
          <w:rFonts w:eastAsia="Calibri" w:cstheme="minorHAnsi"/>
        </w:rPr>
        <w:t>overnment of Morocco.</w:t>
      </w:r>
    </w:p>
    <w:p w14:paraId="0720CE05" w14:textId="77777777" w:rsidR="001724A7" w:rsidRPr="00BF35A0" w:rsidRDefault="001724A7" w:rsidP="00BF35A0">
      <w:pPr>
        <w:spacing w:after="0" w:line="240" w:lineRule="auto"/>
        <w:ind w:left="426" w:hanging="426"/>
        <w:rPr>
          <w:rFonts w:eastAsia="Calibri" w:cstheme="minorHAnsi"/>
        </w:rPr>
      </w:pPr>
    </w:p>
    <w:p w14:paraId="108C40D4" w14:textId="614B5BF8" w:rsidR="001724A7" w:rsidRPr="00BF35A0" w:rsidRDefault="00201C38" w:rsidP="00BF35A0">
      <w:pPr>
        <w:pStyle w:val="Default"/>
        <w:ind w:left="426" w:hanging="426"/>
        <w:rPr>
          <w:rFonts w:asciiTheme="minorHAnsi" w:hAnsiTheme="minorHAnsi" w:cstheme="minorHAnsi"/>
          <w:sz w:val="22"/>
          <w:szCs w:val="22"/>
        </w:rPr>
      </w:pPr>
      <w:r>
        <w:rPr>
          <w:rFonts w:asciiTheme="minorHAnsi" w:eastAsia="Calibri" w:hAnsiTheme="minorHAnsi" w:cstheme="minorHAnsi"/>
          <w:sz w:val="22"/>
          <w:szCs w:val="22"/>
        </w:rPr>
        <w:t>38.</w:t>
      </w:r>
      <w:r w:rsidR="001724A7" w:rsidRPr="00BF35A0">
        <w:rPr>
          <w:rFonts w:asciiTheme="minorHAnsi" w:hAnsiTheme="minorHAnsi" w:cstheme="minorHAnsi"/>
          <w:sz w:val="22"/>
          <w:szCs w:val="22"/>
        </w:rPr>
        <w:tab/>
      </w:r>
      <w:r w:rsidR="001724A7" w:rsidRPr="00BF35A0">
        <w:rPr>
          <w:rFonts w:asciiTheme="minorHAnsi" w:eastAsia="Calibri" w:hAnsiTheme="minorHAnsi" w:cstheme="minorHAnsi"/>
          <w:sz w:val="22"/>
          <w:szCs w:val="22"/>
        </w:rPr>
        <w:t xml:space="preserve">Looking ahead to COP15 in Zimbabwe, the Secretariat is actively seeking CHF 584,040 in voluntary contributions to cover flights, accommodation and daily subsistence allowances for 124 delegates from developing countries, economies in transition, and Small Island Developing States. There is no core-budget funding for delegates to participate in the </w:t>
      </w:r>
      <w:r w:rsidR="00940DF4">
        <w:rPr>
          <w:rFonts w:asciiTheme="minorHAnsi" w:eastAsia="Calibri" w:hAnsiTheme="minorHAnsi" w:cstheme="minorHAnsi"/>
          <w:sz w:val="22"/>
          <w:szCs w:val="22"/>
        </w:rPr>
        <w:t>meeting</w:t>
      </w:r>
      <w:r w:rsidR="001724A7" w:rsidRPr="00BF35A0">
        <w:rPr>
          <w:rFonts w:asciiTheme="minorHAnsi" w:eastAsia="Calibri" w:hAnsiTheme="minorHAnsi" w:cstheme="minorHAnsi"/>
          <w:sz w:val="22"/>
          <w:szCs w:val="22"/>
        </w:rPr>
        <w:t xml:space="preserve">, making voluntary contributions essential for ensuring full participation. This is important to enable consensus-based decisions and necessary as at least one-third of the Contracting Parties must be present to hold the meeting, and two-thirds to make decisions. The Secretariat extends its gratitude to the </w:t>
      </w:r>
      <w:r w:rsidR="00EB4DEE" w:rsidRPr="00BF35A0">
        <w:rPr>
          <w:rFonts w:asciiTheme="minorHAnsi" w:eastAsia="Calibri" w:hAnsiTheme="minorHAnsi" w:cstheme="minorHAnsi"/>
          <w:sz w:val="22"/>
          <w:szCs w:val="22"/>
        </w:rPr>
        <w:t>government</w:t>
      </w:r>
      <w:r w:rsidR="00940DF4">
        <w:rPr>
          <w:rFonts w:asciiTheme="minorHAnsi" w:eastAsia="Calibri" w:hAnsiTheme="minorHAnsi" w:cstheme="minorHAnsi"/>
          <w:sz w:val="22"/>
          <w:szCs w:val="22"/>
        </w:rPr>
        <w:t>s</w:t>
      </w:r>
      <w:r w:rsidR="6B841255" w:rsidRPr="00BF35A0">
        <w:rPr>
          <w:rFonts w:asciiTheme="minorHAnsi" w:eastAsia="Calibri" w:hAnsiTheme="minorHAnsi" w:cstheme="minorHAnsi"/>
          <w:sz w:val="22"/>
          <w:szCs w:val="22"/>
        </w:rPr>
        <w:t xml:space="preserve"> </w:t>
      </w:r>
      <w:r w:rsidR="00D6572F" w:rsidRPr="00BF35A0">
        <w:rPr>
          <w:rFonts w:asciiTheme="minorHAnsi" w:eastAsia="Calibri" w:hAnsiTheme="minorHAnsi" w:cstheme="minorHAnsi"/>
          <w:sz w:val="22"/>
          <w:szCs w:val="22"/>
        </w:rPr>
        <w:t>of Australia</w:t>
      </w:r>
      <w:r w:rsidR="354CA415" w:rsidRPr="00BF35A0">
        <w:rPr>
          <w:rFonts w:asciiTheme="minorHAnsi" w:eastAsia="Calibri" w:hAnsiTheme="minorHAnsi" w:cstheme="minorHAnsi"/>
          <w:sz w:val="22"/>
          <w:szCs w:val="22"/>
        </w:rPr>
        <w:t>,</w:t>
      </w:r>
      <w:r w:rsidR="6D061F45" w:rsidRPr="00BF35A0">
        <w:rPr>
          <w:rFonts w:asciiTheme="minorHAnsi" w:eastAsia="Calibri" w:hAnsiTheme="minorHAnsi" w:cstheme="minorHAnsi"/>
          <w:sz w:val="22"/>
          <w:szCs w:val="22"/>
        </w:rPr>
        <w:t xml:space="preserve"> Austria, </w:t>
      </w:r>
      <w:r w:rsidR="354CA415" w:rsidRPr="00BF35A0">
        <w:rPr>
          <w:rFonts w:asciiTheme="minorHAnsi" w:eastAsia="Calibri" w:hAnsiTheme="minorHAnsi" w:cstheme="minorHAnsi"/>
          <w:sz w:val="22"/>
          <w:szCs w:val="22"/>
        </w:rPr>
        <w:t>Canada</w:t>
      </w:r>
      <w:r w:rsidR="000A3087">
        <w:rPr>
          <w:rFonts w:asciiTheme="minorHAnsi" w:eastAsia="Calibri" w:hAnsiTheme="minorHAnsi" w:cstheme="minorHAnsi"/>
          <w:sz w:val="22"/>
          <w:szCs w:val="22"/>
        </w:rPr>
        <w:t>,</w:t>
      </w:r>
      <w:r w:rsidR="354CA415" w:rsidRPr="00BF35A0">
        <w:rPr>
          <w:rFonts w:asciiTheme="minorHAnsi" w:eastAsia="Calibri" w:hAnsiTheme="minorHAnsi" w:cstheme="minorHAnsi"/>
          <w:sz w:val="22"/>
          <w:szCs w:val="22"/>
        </w:rPr>
        <w:t xml:space="preserve"> </w:t>
      </w:r>
      <w:r w:rsidR="001724A7" w:rsidRPr="00BF35A0">
        <w:rPr>
          <w:rFonts w:asciiTheme="minorHAnsi" w:eastAsia="Calibri" w:hAnsiTheme="minorHAnsi" w:cstheme="minorHAnsi"/>
          <w:sz w:val="22"/>
          <w:szCs w:val="22"/>
        </w:rPr>
        <w:t>Switzerland</w:t>
      </w:r>
      <w:r w:rsidR="2028821E" w:rsidRPr="00BF35A0">
        <w:rPr>
          <w:rFonts w:asciiTheme="minorHAnsi" w:eastAsia="Calibri" w:hAnsiTheme="minorHAnsi" w:cstheme="minorHAnsi"/>
          <w:sz w:val="22"/>
          <w:szCs w:val="22"/>
        </w:rPr>
        <w:t xml:space="preserve"> and the United Kingdom</w:t>
      </w:r>
      <w:r w:rsidR="08AE2F67" w:rsidRPr="00BF35A0">
        <w:rPr>
          <w:rFonts w:asciiTheme="minorHAnsi" w:eastAsia="Calibri" w:hAnsiTheme="minorHAnsi" w:cstheme="minorHAnsi"/>
          <w:sz w:val="22"/>
          <w:szCs w:val="22"/>
        </w:rPr>
        <w:t xml:space="preserve"> of Great Brita</w:t>
      </w:r>
      <w:r w:rsidR="62823CB5" w:rsidRPr="00BF35A0">
        <w:rPr>
          <w:rFonts w:asciiTheme="minorHAnsi" w:eastAsia="Calibri" w:hAnsiTheme="minorHAnsi" w:cstheme="minorHAnsi"/>
          <w:sz w:val="22"/>
          <w:szCs w:val="22"/>
        </w:rPr>
        <w:t>i</w:t>
      </w:r>
      <w:r w:rsidR="08AE2F67" w:rsidRPr="00BF35A0">
        <w:rPr>
          <w:rFonts w:asciiTheme="minorHAnsi" w:eastAsia="Calibri" w:hAnsiTheme="minorHAnsi" w:cstheme="minorHAnsi"/>
          <w:sz w:val="22"/>
          <w:szCs w:val="22"/>
        </w:rPr>
        <w:t xml:space="preserve">n and </w:t>
      </w:r>
      <w:r w:rsidR="00EB4DEE" w:rsidRPr="00BF35A0">
        <w:rPr>
          <w:rFonts w:asciiTheme="minorHAnsi" w:eastAsia="Calibri" w:hAnsiTheme="minorHAnsi" w:cstheme="minorHAnsi"/>
          <w:sz w:val="22"/>
          <w:szCs w:val="22"/>
        </w:rPr>
        <w:t>Northern</w:t>
      </w:r>
      <w:r w:rsidR="08AE2F67" w:rsidRPr="00BF35A0">
        <w:rPr>
          <w:rFonts w:asciiTheme="minorHAnsi" w:eastAsia="Calibri" w:hAnsiTheme="minorHAnsi" w:cstheme="minorHAnsi"/>
          <w:sz w:val="22"/>
          <w:szCs w:val="22"/>
        </w:rPr>
        <w:t xml:space="preserve"> Ireland</w:t>
      </w:r>
      <w:r w:rsidR="00EB4DEE" w:rsidRPr="00BF35A0">
        <w:rPr>
          <w:rFonts w:asciiTheme="minorHAnsi" w:eastAsia="Calibri" w:hAnsiTheme="minorHAnsi" w:cstheme="minorHAnsi"/>
          <w:sz w:val="22"/>
          <w:szCs w:val="22"/>
        </w:rPr>
        <w:t xml:space="preserve"> </w:t>
      </w:r>
      <w:r w:rsidR="001724A7" w:rsidRPr="00BF35A0">
        <w:rPr>
          <w:rFonts w:asciiTheme="minorHAnsi" w:eastAsia="Calibri" w:hAnsiTheme="minorHAnsi" w:cstheme="minorHAnsi"/>
          <w:sz w:val="22"/>
          <w:szCs w:val="22"/>
        </w:rPr>
        <w:t xml:space="preserve">for </w:t>
      </w:r>
      <w:r w:rsidR="36D5D880" w:rsidRPr="00BF35A0">
        <w:rPr>
          <w:rFonts w:asciiTheme="minorHAnsi" w:eastAsia="Calibri" w:hAnsiTheme="minorHAnsi" w:cstheme="minorHAnsi"/>
          <w:sz w:val="22"/>
          <w:szCs w:val="22"/>
        </w:rPr>
        <w:t>their</w:t>
      </w:r>
      <w:r w:rsidR="00EB4DEE" w:rsidRPr="00BF35A0">
        <w:rPr>
          <w:rFonts w:asciiTheme="minorHAnsi" w:eastAsia="Calibri" w:hAnsiTheme="minorHAnsi" w:cstheme="minorHAnsi"/>
          <w:sz w:val="22"/>
          <w:szCs w:val="22"/>
        </w:rPr>
        <w:t xml:space="preserve"> </w:t>
      </w:r>
      <w:r w:rsidR="035ACC2F" w:rsidRPr="00BF35A0">
        <w:rPr>
          <w:rFonts w:asciiTheme="minorHAnsi" w:eastAsia="Calibri" w:hAnsiTheme="minorHAnsi" w:cstheme="minorHAnsi"/>
          <w:sz w:val="22"/>
          <w:szCs w:val="22"/>
        </w:rPr>
        <w:t xml:space="preserve">voluntary </w:t>
      </w:r>
      <w:r w:rsidR="001724A7" w:rsidRPr="00BF35A0">
        <w:rPr>
          <w:rFonts w:asciiTheme="minorHAnsi" w:eastAsia="Calibri" w:hAnsiTheme="minorHAnsi" w:cstheme="minorHAnsi"/>
          <w:sz w:val="22"/>
          <w:szCs w:val="22"/>
        </w:rPr>
        <w:t>contribution</w:t>
      </w:r>
      <w:r w:rsidR="4DA8E297" w:rsidRPr="00BF35A0">
        <w:rPr>
          <w:rFonts w:asciiTheme="minorHAnsi" w:eastAsia="Calibri" w:hAnsiTheme="minorHAnsi" w:cstheme="minorHAnsi"/>
          <w:sz w:val="22"/>
          <w:szCs w:val="22"/>
        </w:rPr>
        <w:t>s</w:t>
      </w:r>
      <w:r w:rsidR="001724A7" w:rsidRPr="00BF35A0">
        <w:rPr>
          <w:rFonts w:asciiTheme="minorHAnsi" w:eastAsia="Calibri" w:hAnsiTheme="minorHAnsi" w:cstheme="minorHAnsi"/>
          <w:sz w:val="22"/>
          <w:szCs w:val="22"/>
        </w:rPr>
        <w:t xml:space="preserve"> and encourages more</w:t>
      </w:r>
      <w:r w:rsidR="00EB4DEE" w:rsidRPr="00BF35A0">
        <w:rPr>
          <w:rFonts w:asciiTheme="minorHAnsi" w:eastAsia="Calibri" w:hAnsiTheme="minorHAnsi" w:cstheme="minorHAnsi"/>
          <w:sz w:val="22"/>
          <w:szCs w:val="22"/>
        </w:rPr>
        <w:t xml:space="preserve"> </w:t>
      </w:r>
      <w:r w:rsidR="141FCAA9" w:rsidRPr="00BF35A0">
        <w:rPr>
          <w:rFonts w:asciiTheme="minorHAnsi" w:eastAsia="Calibri" w:hAnsiTheme="minorHAnsi" w:cstheme="minorHAnsi"/>
          <w:sz w:val="22"/>
          <w:szCs w:val="22"/>
        </w:rPr>
        <w:t>Contracting Parties</w:t>
      </w:r>
      <w:r w:rsidR="00EB4DEE" w:rsidRPr="00BF35A0">
        <w:rPr>
          <w:rFonts w:asciiTheme="minorHAnsi" w:eastAsia="Calibri" w:hAnsiTheme="minorHAnsi" w:cstheme="minorHAnsi"/>
          <w:sz w:val="22"/>
          <w:szCs w:val="22"/>
        </w:rPr>
        <w:t xml:space="preserve"> </w:t>
      </w:r>
      <w:r w:rsidR="001724A7" w:rsidRPr="00BF35A0">
        <w:rPr>
          <w:rFonts w:asciiTheme="minorHAnsi" w:eastAsia="Calibri" w:hAnsiTheme="minorHAnsi" w:cstheme="minorHAnsi"/>
          <w:sz w:val="22"/>
          <w:szCs w:val="22"/>
        </w:rPr>
        <w:t>to support this critical fundraising initiative.</w:t>
      </w:r>
    </w:p>
    <w:p w14:paraId="6F9FC287" w14:textId="77777777" w:rsidR="001724A7" w:rsidRPr="00BF35A0" w:rsidRDefault="001724A7" w:rsidP="00BF35A0">
      <w:pPr>
        <w:spacing w:after="0" w:line="240" w:lineRule="auto"/>
        <w:ind w:left="426" w:hanging="426"/>
        <w:rPr>
          <w:rFonts w:eastAsia="Times New Roman" w:cstheme="minorHAnsi"/>
          <w:lang w:eastAsia="fr-FR"/>
        </w:rPr>
      </w:pPr>
    </w:p>
    <w:p w14:paraId="5EF6BA1D" w14:textId="0D5773AB" w:rsidR="001724A7" w:rsidRPr="00BF35A0" w:rsidRDefault="00201C38" w:rsidP="00BF35A0">
      <w:pPr>
        <w:spacing w:after="0" w:line="240" w:lineRule="auto"/>
        <w:ind w:left="426" w:hanging="426"/>
        <w:rPr>
          <w:rFonts w:cstheme="minorHAnsi"/>
        </w:rPr>
      </w:pPr>
      <w:r>
        <w:rPr>
          <w:rFonts w:eastAsia="Times New Roman" w:cstheme="minorHAnsi"/>
          <w:lang w:eastAsia="fr-FR"/>
        </w:rPr>
        <w:t>39</w:t>
      </w:r>
      <w:r w:rsidR="001724A7" w:rsidRPr="00BF35A0">
        <w:rPr>
          <w:rFonts w:eastAsia="Times New Roman" w:cstheme="minorHAnsi"/>
          <w:lang w:eastAsia="fr-FR"/>
        </w:rPr>
        <w:t>.</w:t>
      </w:r>
      <w:r w:rsidR="001724A7" w:rsidRPr="00BF35A0">
        <w:rPr>
          <w:rFonts w:eastAsia="Times New Roman" w:cstheme="minorHAnsi"/>
          <w:lang w:eastAsia="fr-FR"/>
        </w:rPr>
        <w:tab/>
        <w:t>Currently, the funding for non-core priorities relies on a limited pool of consistent donors, with over 70% from government sources. The Secretariat has observed that administrative priorities, such as facilitating delegate travel, tend to attract low donor interest compared to areas such as capacity</w:t>
      </w:r>
      <w:r w:rsidR="00940DF4">
        <w:rPr>
          <w:rFonts w:eastAsia="Times New Roman" w:cstheme="minorHAnsi"/>
          <w:lang w:eastAsia="fr-FR"/>
        </w:rPr>
        <w:t xml:space="preserve"> </w:t>
      </w:r>
      <w:r w:rsidR="001724A7" w:rsidRPr="00BF35A0">
        <w:rPr>
          <w:rFonts w:eastAsia="Times New Roman" w:cstheme="minorHAnsi"/>
          <w:lang w:eastAsia="fr-FR"/>
        </w:rPr>
        <w:t>building and awareness</w:t>
      </w:r>
      <w:r w:rsidR="00940DF4">
        <w:rPr>
          <w:rFonts w:eastAsia="Times New Roman" w:cstheme="minorHAnsi"/>
          <w:lang w:eastAsia="fr-FR"/>
        </w:rPr>
        <w:t xml:space="preserve"> </w:t>
      </w:r>
      <w:r w:rsidR="001724A7" w:rsidRPr="00BF35A0">
        <w:rPr>
          <w:rFonts w:eastAsia="Times New Roman" w:cstheme="minorHAnsi"/>
          <w:lang w:eastAsia="fr-FR"/>
        </w:rPr>
        <w:t>raising or the activities of the STRP. In response to these challenges, the Secretariat is exploring approaches aimed at diversifying the donor base and increasing funding for non-core priorities.</w:t>
      </w:r>
    </w:p>
    <w:p w14:paraId="3A4EDB27" w14:textId="77777777" w:rsidR="001724A7" w:rsidRPr="00BF35A0" w:rsidRDefault="001724A7" w:rsidP="00BF35A0">
      <w:pPr>
        <w:spacing w:after="0" w:line="240" w:lineRule="auto"/>
        <w:ind w:left="426" w:hanging="426"/>
        <w:rPr>
          <w:rFonts w:cstheme="minorHAnsi"/>
        </w:rPr>
      </w:pPr>
    </w:p>
    <w:p w14:paraId="1BE21B5B" w14:textId="58293F24" w:rsidR="00B44E41" w:rsidRPr="00BF35A0" w:rsidRDefault="00201C38" w:rsidP="00BF35A0">
      <w:pPr>
        <w:spacing w:after="0" w:line="240" w:lineRule="auto"/>
        <w:ind w:left="426" w:hanging="426"/>
        <w:rPr>
          <w:rFonts w:cstheme="minorHAnsi"/>
        </w:rPr>
      </w:pPr>
      <w:r>
        <w:rPr>
          <w:rFonts w:cstheme="minorHAnsi"/>
        </w:rPr>
        <w:t>40</w:t>
      </w:r>
      <w:r w:rsidR="001724A7" w:rsidRPr="00BF35A0">
        <w:rPr>
          <w:rFonts w:cstheme="minorHAnsi"/>
        </w:rPr>
        <w:t>.</w:t>
      </w:r>
      <w:r w:rsidR="001724A7" w:rsidRPr="00BF35A0">
        <w:rPr>
          <w:rFonts w:cstheme="minorHAnsi"/>
        </w:rPr>
        <w:tab/>
        <w:t>In conclusion, the Secretariat has made notable progress between</w:t>
      </w:r>
      <w:r w:rsidR="00EB4DEE" w:rsidRPr="00BF35A0">
        <w:rPr>
          <w:rFonts w:cstheme="minorHAnsi"/>
        </w:rPr>
        <w:t xml:space="preserve"> 14 November 2022 </w:t>
      </w:r>
      <w:r w:rsidR="001724A7" w:rsidRPr="00BF35A0">
        <w:rPr>
          <w:rFonts w:cstheme="minorHAnsi"/>
        </w:rPr>
        <w:t xml:space="preserve">and </w:t>
      </w:r>
      <w:r w:rsidR="003C44C6" w:rsidRPr="00BF35A0">
        <w:rPr>
          <w:rFonts w:cstheme="minorHAnsi"/>
        </w:rPr>
        <w:t>1</w:t>
      </w:r>
      <w:r w:rsidR="003C44C6">
        <w:rPr>
          <w:rFonts w:cstheme="minorHAnsi"/>
        </w:rPr>
        <w:t> </w:t>
      </w:r>
      <w:r w:rsidR="001724A7" w:rsidRPr="00BF35A0">
        <w:rPr>
          <w:rFonts w:cstheme="minorHAnsi"/>
        </w:rPr>
        <w:t>April 2025 in supporting Contracting Parties, improving operational efficiency and strengthening global awareness of wetlands. Through enhanced collaboration, resource mobilization and strategic initiatives, it continues to advance the Convention’s objectives while aligning with the SDGs and other international commitments. Committed to its mandate, the Secretariat remains dedicated to fostering multilateral cooperation and ensuring the conservation and sustainable management of wetlands.</w:t>
      </w:r>
    </w:p>
    <w:sectPr w:rsidR="00B44E41" w:rsidRPr="00BF35A0" w:rsidSect="001724A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4B3F" w14:textId="77777777" w:rsidR="004E34A7" w:rsidRDefault="004E34A7" w:rsidP="001724A7">
      <w:pPr>
        <w:spacing w:after="0" w:line="240" w:lineRule="auto"/>
      </w:pPr>
      <w:r>
        <w:separator/>
      </w:r>
    </w:p>
  </w:endnote>
  <w:endnote w:type="continuationSeparator" w:id="0">
    <w:p w14:paraId="34174141" w14:textId="77777777" w:rsidR="004E34A7" w:rsidRDefault="004E34A7" w:rsidP="001724A7">
      <w:pPr>
        <w:spacing w:after="0" w:line="240" w:lineRule="auto"/>
      </w:pPr>
      <w:r>
        <w:continuationSeparator/>
      </w:r>
    </w:p>
  </w:endnote>
  <w:endnote w:type="continuationNotice" w:id="1">
    <w:p w14:paraId="58F1465E" w14:textId="77777777" w:rsidR="004E34A7" w:rsidRDefault="004E3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196D" w14:textId="2121ED19" w:rsidR="009955F9" w:rsidRPr="00FC4BB8" w:rsidRDefault="009936E3" w:rsidP="00FC4BB8">
    <w:pPr>
      <w:pStyle w:val="Footer"/>
      <w:tabs>
        <w:tab w:val="clear" w:pos="8306"/>
        <w:tab w:val="right" w:pos="9000"/>
      </w:tabs>
      <w:rPr>
        <w:rFonts w:asciiTheme="minorHAnsi" w:hAnsiTheme="minorHAnsi" w:cstheme="minorHAnsi"/>
      </w:rPr>
    </w:pPr>
    <w:r>
      <w:rPr>
        <w:rFonts w:asciiTheme="minorHAnsi" w:hAnsiTheme="minorHAnsi" w:cstheme="minorHAnsi"/>
        <w:sz w:val="20"/>
      </w:rPr>
      <w:t>COP15 Doc.8.2</w:t>
    </w:r>
    <w:r w:rsidR="00210B8B" w:rsidRPr="00FC4BB8">
      <w:rPr>
        <w:rFonts w:asciiTheme="minorHAnsi" w:hAnsiTheme="minorHAnsi" w:cstheme="minorHAnsi"/>
        <w:sz w:val="20"/>
      </w:rPr>
      <w:tab/>
    </w:r>
    <w:r w:rsidR="00210B8B" w:rsidRPr="00FC4BB8">
      <w:rPr>
        <w:rFonts w:asciiTheme="minorHAnsi" w:hAnsiTheme="minorHAnsi" w:cstheme="minorHAnsi"/>
        <w:sz w:val="20"/>
      </w:rPr>
      <w:tab/>
    </w:r>
    <w:r w:rsidR="00210B8B" w:rsidRPr="00FC4BB8">
      <w:rPr>
        <w:rFonts w:asciiTheme="minorHAnsi" w:hAnsiTheme="minorHAnsi" w:cstheme="minorHAnsi"/>
        <w:sz w:val="20"/>
      </w:rPr>
      <w:fldChar w:fldCharType="begin"/>
    </w:r>
    <w:r w:rsidR="00210B8B" w:rsidRPr="00FC4BB8">
      <w:rPr>
        <w:rFonts w:asciiTheme="minorHAnsi" w:hAnsiTheme="minorHAnsi" w:cstheme="minorHAnsi"/>
        <w:sz w:val="20"/>
      </w:rPr>
      <w:instrText xml:space="preserve"> PAGE   \* MERGEFORMAT </w:instrText>
    </w:r>
    <w:r w:rsidR="00210B8B" w:rsidRPr="00FC4BB8">
      <w:rPr>
        <w:rFonts w:asciiTheme="minorHAnsi" w:hAnsiTheme="minorHAnsi" w:cstheme="minorHAnsi"/>
        <w:sz w:val="20"/>
      </w:rPr>
      <w:fldChar w:fldCharType="separate"/>
    </w:r>
    <w:r w:rsidR="00210B8B">
      <w:rPr>
        <w:rFonts w:asciiTheme="minorHAnsi" w:hAnsiTheme="minorHAnsi" w:cstheme="minorHAnsi"/>
        <w:noProof/>
        <w:sz w:val="20"/>
      </w:rPr>
      <w:t>40</w:t>
    </w:r>
    <w:r w:rsidR="00210B8B" w:rsidRPr="00FC4BB8">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45A9" w14:textId="77777777" w:rsidR="004E34A7" w:rsidRDefault="004E34A7" w:rsidP="001724A7">
      <w:pPr>
        <w:spacing w:after="0" w:line="240" w:lineRule="auto"/>
      </w:pPr>
      <w:r>
        <w:separator/>
      </w:r>
    </w:p>
  </w:footnote>
  <w:footnote w:type="continuationSeparator" w:id="0">
    <w:p w14:paraId="416A93A9" w14:textId="77777777" w:rsidR="004E34A7" w:rsidRDefault="004E34A7" w:rsidP="001724A7">
      <w:pPr>
        <w:spacing w:after="0" w:line="240" w:lineRule="auto"/>
      </w:pPr>
      <w:r>
        <w:continuationSeparator/>
      </w:r>
    </w:p>
  </w:footnote>
  <w:footnote w:type="continuationNotice" w:id="1">
    <w:p w14:paraId="57DFB59C" w14:textId="77777777" w:rsidR="004E34A7" w:rsidRDefault="004E34A7">
      <w:pPr>
        <w:spacing w:after="0" w:line="240" w:lineRule="auto"/>
      </w:pPr>
    </w:p>
  </w:footnote>
  <w:footnote w:id="2">
    <w:p w14:paraId="0EE2B4C8" w14:textId="77777777" w:rsidR="001724A7" w:rsidRPr="007C14CB" w:rsidRDefault="001724A7" w:rsidP="001724A7">
      <w:pPr>
        <w:pStyle w:val="FootnoteText"/>
        <w:rPr>
          <w:sz w:val="22"/>
          <w:szCs w:val="22"/>
        </w:rPr>
      </w:pPr>
      <w:r w:rsidRPr="007C14CB">
        <w:rPr>
          <w:rStyle w:val="FootnoteReference"/>
          <w:sz w:val="22"/>
          <w:szCs w:val="22"/>
        </w:rPr>
        <w:footnoteRef/>
      </w:r>
      <w:r w:rsidRPr="007C14CB">
        <w:rPr>
          <w:sz w:val="22"/>
          <w:szCs w:val="22"/>
        </w:rPr>
        <w:t xml:space="preserve">See </w:t>
      </w:r>
      <w:hyperlink r:id="rId1" w:history="1">
        <w:r w:rsidRPr="007C14CB">
          <w:rPr>
            <w:rStyle w:val="Hyperlink"/>
            <w:szCs w:val="22"/>
          </w:rPr>
          <w:t>https://www.ramsar.org/document/sc62-doc18-resource-mobilization-work-plan-2023-2025</w:t>
        </w:r>
      </w:hyperlink>
      <w:r w:rsidRPr="007C14CB">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5F74"/>
    <w:multiLevelType w:val="hybridMultilevel"/>
    <w:tmpl w:val="79E26EBA"/>
    <w:lvl w:ilvl="0" w:tplc="61FC654A">
      <w:start w:val="1"/>
      <w:numFmt w:val="decimal"/>
      <w:pStyle w:val="NRFBody"/>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93131"/>
    <w:multiLevelType w:val="hybridMultilevel"/>
    <w:tmpl w:val="CF1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33043"/>
    <w:multiLevelType w:val="multilevel"/>
    <w:tmpl w:val="54B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A1AB6"/>
    <w:multiLevelType w:val="hybridMultilevel"/>
    <w:tmpl w:val="FEC8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01B6"/>
    <w:multiLevelType w:val="hybridMultilevel"/>
    <w:tmpl w:val="A9D610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0B4729E"/>
    <w:multiLevelType w:val="hybridMultilevel"/>
    <w:tmpl w:val="E0DA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2B092D"/>
    <w:multiLevelType w:val="hybridMultilevel"/>
    <w:tmpl w:val="603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47913"/>
    <w:multiLevelType w:val="hybridMultilevel"/>
    <w:tmpl w:val="6684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995598">
    <w:abstractNumId w:val="6"/>
  </w:num>
  <w:num w:numId="2" w16cid:durableId="1838838598">
    <w:abstractNumId w:val="0"/>
  </w:num>
  <w:num w:numId="3" w16cid:durableId="2001929490">
    <w:abstractNumId w:val="3"/>
  </w:num>
  <w:num w:numId="4" w16cid:durableId="1234660103">
    <w:abstractNumId w:val="2"/>
  </w:num>
  <w:num w:numId="5" w16cid:durableId="1892419398">
    <w:abstractNumId w:val="1"/>
  </w:num>
  <w:num w:numId="6" w16cid:durableId="844856032">
    <w:abstractNumId w:val="4"/>
  </w:num>
  <w:num w:numId="7" w16cid:durableId="562912365">
    <w:abstractNumId w:val="8"/>
  </w:num>
  <w:num w:numId="8" w16cid:durableId="2130274780">
    <w:abstractNumId w:val="7"/>
  </w:num>
  <w:num w:numId="9" w16cid:durableId="2056663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MDQyNjM3NjYwMzdR0lEKTi0uzszPAykwrAUAeups8CwAAAA="/>
  </w:docVars>
  <w:rsids>
    <w:rsidRoot w:val="001724A7"/>
    <w:rsid w:val="00027F21"/>
    <w:rsid w:val="00045567"/>
    <w:rsid w:val="000719C2"/>
    <w:rsid w:val="000871D9"/>
    <w:rsid w:val="000A3087"/>
    <w:rsid w:val="000C035E"/>
    <w:rsid w:val="00166083"/>
    <w:rsid w:val="001724A7"/>
    <w:rsid w:val="0017488B"/>
    <w:rsid w:val="001936AC"/>
    <w:rsid w:val="001A33FC"/>
    <w:rsid w:val="001A5A0A"/>
    <w:rsid w:val="001B7B1B"/>
    <w:rsid w:val="00201C38"/>
    <w:rsid w:val="00210B8B"/>
    <w:rsid w:val="00222762"/>
    <w:rsid w:val="00227F43"/>
    <w:rsid w:val="0025780E"/>
    <w:rsid w:val="002625F1"/>
    <w:rsid w:val="00293D95"/>
    <w:rsid w:val="002D004A"/>
    <w:rsid w:val="002D13E2"/>
    <w:rsid w:val="002E6CB7"/>
    <w:rsid w:val="00311B63"/>
    <w:rsid w:val="003176B6"/>
    <w:rsid w:val="00341089"/>
    <w:rsid w:val="003727A6"/>
    <w:rsid w:val="003859E9"/>
    <w:rsid w:val="0039155C"/>
    <w:rsid w:val="00391706"/>
    <w:rsid w:val="003C44C6"/>
    <w:rsid w:val="003E15A5"/>
    <w:rsid w:val="00423F63"/>
    <w:rsid w:val="004316B9"/>
    <w:rsid w:val="00467A59"/>
    <w:rsid w:val="004A3676"/>
    <w:rsid w:val="004D047F"/>
    <w:rsid w:val="004E34A7"/>
    <w:rsid w:val="00510684"/>
    <w:rsid w:val="00510930"/>
    <w:rsid w:val="005478BC"/>
    <w:rsid w:val="00566E02"/>
    <w:rsid w:val="0057161F"/>
    <w:rsid w:val="0057507B"/>
    <w:rsid w:val="005A6AE0"/>
    <w:rsid w:val="005B397D"/>
    <w:rsid w:val="005C192B"/>
    <w:rsid w:val="005D0048"/>
    <w:rsid w:val="005D67D8"/>
    <w:rsid w:val="00631346"/>
    <w:rsid w:val="00631564"/>
    <w:rsid w:val="006374E0"/>
    <w:rsid w:val="00652D8D"/>
    <w:rsid w:val="00687E60"/>
    <w:rsid w:val="006C4F2B"/>
    <w:rsid w:val="006C540E"/>
    <w:rsid w:val="006D0660"/>
    <w:rsid w:val="006D6E27"/>
    <w:rsid w:val="006E18E6"/>
    <w:rsid w:val="006F4B1C"/>
    <w:rsid w:val="00702937"/>
    <w:rsid w:val="00746CB0"/>
    <w:rsid w:val="00763CFF"/>
    <w:rsid w:val="007C14CB"/>
    <w:rsid w:val="007C60CF"/>
    <w:rsid w:val="007D7A9A"/>
    <w:rsid w:val="0082403A"/>
    <w:rsid w:val="008268A2"/>
    <w:rsid w:val="0083068C"/>
    <w:rsid w:val="00847EA6"/>
    <w:rsid w:val="00854A64"/>
    <w:rsid w:val="00857476"/>
    <w:rsid w:val="008633A8"/>
    <w:rsid w:val="008808A6"/>
    <w:rsid w:val="00885529"/>
    <w:rsid w:val="008A5063"/>
    <w:rsid w:val="008A658C"/>
    <w:rsid w:val="008A65F1"/>
    <w:rsid w:val="008E492A"/>
    <w:rsid w:val="009009DF"/>
    <w:rsid w:val="00931DC3"/>
    <w:rsid w:val="00935164"/>
    <w:rsid w:val="00940DF4"/>
    <w:rsid w:val="009455A9"/>
    <w:rsid w:val="0095679A"/>
    <w:rsid w:val="00963BD4"/>
    <w:rsid w:val="009749C5"/>
    <w:rsid w:val="00985CF6"/>
    <w:rsid w:val="009936E3"/>
    <w:rsid w:val="009944BC"/>
    <w:rsid w:val="009955F9"/>
    <w:rsid w:val="009A7389"/>
    <w:rsid w:val="00A039E8"/>
    <w:rsid w:val="00A23297"/>
    <w:rsid w:val="00A270DA"/>
    <w:rsid w:val="00A4199D"/>
    <w:rsid w:val="00A47645"/>
    <w:rsid w:val="00A54D46"/>
    <w:rsid w:val="00A55B4B"/>
    <w:rsid w:val="00A7212C"/>
    <w:rsid w:val="00AB6FB7"/>
    <w:rsid w:val="00AC7AB3"/>
    <w:rsid w:val="00AD6A4A"/>
    <w:rsid w:val="00AE5342"/>
    <w:rsid w:val="00AE7954"/>
    <w:rsid w:val="00B0413F"/>
    <w:rsid w:val="00B44E41"/>
    <w:rsid w:val="00BA4CBC"/>
    <w:rsid w:val="00BB1D13"/>
    <w:rsid w:val="00BC050A"/>
    <w:rsid w:val="00BC1094"/>
    <w:rsid w:val="00BC1C57"/>
    <w:rsid w:val="00BC53D9"/>
    <w:rsid w:val="00BC60FF"/>
    <w:rsid w:val="00BE5725"/>
    <w:rsid w:val="00BF35A0"/>
    <w:rsid w:val="00C36E15"/>
    <w:rsid w:val="00C921CB"/>
    <w:rsid w:val="00C94F4D"/>
    <w:rsid w:val="00CB423D"/>
    <w:rsid w:val="00CC1E4D"/>
    <w:rsid w:val="00CC488F"/>
    <w:rsid w:val="00CE2712"/>
    <w:rsid w:val="00CE5C59"/>
    <w:rsid w:val="00D27893"/>
    <w:rsid w:val="00D345E6"/>
    <w:rsid w:val="00D42BE8"/>
    <w:rsid w:val="00D61186"/>
    <w:rsid w:val="00D6572F"/>
    <w:rsid w:val="00D73F67"/>
    <w:rsid w:val="00D903AB"/>
    <w:rsid w:val="00D91CC0"/>
    <w:rsid w:val="00D93D19"/>
    <w:rsid w:val="00DC633C"/>
    <w:rsid w:val="00E11415"/>
    <w:rsid w:val="00E2491B"/>
    <w:rsid w:val="00E33086"/>
    <w:rsid w:val="00E60433"/>
    <w:rsid w:val="00E7254E"/>
    <w:rsid w:val="00E73399"/>
    <w:rsid w:val="00E81E5C"/>
    <w:rsid w:val="00E83C0E"/>
    <w:rsid w:val="00EB4DEE"/>
    <w:rsid w:val="00EF0161"/>
    <w:rsid w:val="00F03C92"/>
    <w:rsid w:val="00F3168D"/>
    <w:rsid w:val="00F33FE3"/>
    <w:rsid w:val="00F77EBD"/>
    <w:rsid w:val="00FA3639"/>
    <w:rsid w:val="00FA452D"/>
    <w:rsid w:val="00FA5AF1"/>
    <w:rsid w:val="00FB3CB4"/>
    <w:rsid w:val="00FE3476"/>
    <w:rsid w:val="00FF5979"/>
    <w:rsid w:val="00FF7EFE"/>
    <w:rsid w:val="035ACC2F"/>
    <w:rsid w:val="06A9A113"/>
    <w:rsid w:val="08AE2F67"/>
    <w:rsid w:val="0F044F13"/>
    <w:rsid w:val="124CE59A"/>
    <w:rsid w:val="13BC69E5"/>
    <w:rsid w:val="141FCAA9"/>
    <w:rsid w:val="1B24A561"/>
    <w:rsid w:val="1CED93A2"/>
    <w:rsid w:val="2028821E"/>
    <w:rsid w:val="32B19D94"/>
    <w:rsid w:val="354CA415"/>
    <w:rsid w:val="36D5D880"/>
    <w:rsid w:val="3C5C8A8C"/>
    <w:rsid w:val="3D5EC805"/>
    <w:rsid w:val="49B62B42"/>
    <w:rsid w:val="4DA8E297"/>
    <w:rsid w:val="5206C63C"/>
    <w:rsid w:val="62823CB5"/>
    <w:rsid w:val="6766F6D8"/>
    <w:rsid w:val="6B841255"/>
    <w:rsid w:val="6D061F45"/>
    <w:rsid w:val="75C33C5B"/>
    <w:rsid w:val="77FAB9A2"/>
    <w:rsid w:val="7A5A3FC2"/>
    <w:rsid w:val="7B304B30"/>
    <w:rsid w:val="7EDA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9446"/>
  <w15:chartTrackingRefBased/>
  <w15:docId w15:val="{DBE4E456-6F82-420A-ADCA-977C582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A7"/>
    <w:pPr>
      <w:spacing w:after="200" w:line="276" w:lineRule="auto"/>
    </w:pPr>
    <w:rPr>
      <w:kern w:val="0"/>
      <w14:ligatures w14:val="none"/>
    </w:rPr>
  </w:style>
  <w:style w:type="paragraph" w:styleId="Heading1">
    <w:name w:val="heading 1"/>
    <w:basedOn w:val="Normal"/>
    <w:next w:val="Normal"/>
    <w:link w:val="Heading1Char"/>
    <w:uiPriority w:val="9"/>
    <w:qFormat/>
    <w:rsid w:val="00172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4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4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4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4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4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4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4A7"/>
    <w:rPr>
      <w:rFonts w:eastAsiaTheme="majorEastAsia" w:cstheme="majorBidi"/>
      <w:color w:val="272727" w:themeColor="text1" w:themeTint="D8"/>
    </w:rPr>
  </w:style>
  <w:style w:type="paragraph" w:styleId="Title">
    <w:name w:val="Title"/>
    <w:basedOn w:val="Normal"/>
    <w:next w:val="Normal"/>
    <w:link w:val="TitleChar"/>
    <w:uiPriority w:val="10"/>
    <w:qFormat/>
    <w:rsid w:val="00172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4A7"/>
    <w:pPr>
      <w:spacing w:before="160"/>
      <w:jc w:val="center"/>
    </w:pPr>
    <w:rPr>
      <w:i/>
      <w:iCs/>
      <w:color w:val="404040" w:themeColor="text1" w:themeTint="BF"/>
    </w:rPr>
  </w:style>
  <w:style w:type="character" w:customStyle="1" w:styleId="QuoteChar">
    <w:name w:val="Quote Char"/>
    <w:basedOn w:val="DefaultParagraphFont"/>
    <w:link w:val="Quote"/>
    <w:uiPriority w:val="29"/>
    <w:rsid w:val="001724A7"/>
    <w:rPr>
      <w:i/>
      <w:iCs/>
      <w:color w:val="404040" w:themeColor="text1" w:themeTint="BF"/>
    </w:rPr>
  </w:style>
  <w:style w:type="paragraph" w:styleId="ListParagraph">
    <w:name w:val="List Paragraph"/>
    <w:basedOn w:val="Normal"/>
    <w:uiPriority w:val="1"/>
    <w:qFormat/>
    <w:rsid w:val="001724A7"/>
    <w:pPr>
      <w:ind w:left="720"/>
      <w:contextualSpacing/>
    </w:pPr>
  </w:style>
  <w:style w:type="character" w:styleId="IntenseEmphasis">
    <w:name w:val="Intense Emphasis"/>
    <w:basedOn w:val="DefaultParagraphFont"/>
    <w:uiPriority w:val="21"/>
    <w:qFormat/>
    <w:rsid w:val="001724A7"/>
    <w:rPr>
      <w:i/>
      <w:iCs/>
      <w:color w:val="2F5496" w:themeColor="accent1" w:themeShade="BF"/>
    </w:rPr>
  </w:style>
  <w:style w:type="paragraph" w:styleId="IntenseQuote">
    <w:name w:val="Intense Quote"/>
    <w:basedOn w:val="Normal"/>
    <w:next w:val="Normal"/>
    <w:link w:val="IntenseQuoteChar"/>
    <w:uiPriority w:val="30"/>
    <w:qFormat/>
    <w:rsid w:val="0017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4A7"/>
    <w:rPr>
      <w:i/>
      <w:iCs/>
      <w:color w:val="2F5496" w:themeColor="accent1" w:themeShade="BF"/>
    </w:rPr>
  </w:style>
  <w:style w:type="character" w:styleId="IntenseReference">
    <w:name w:val="Intense Reference"/>
    <w:basedOn w:val="DefaultParagraphFont"/>
    <w:uiPriority w:val="32"/>
    <w:qFormat/>
    <w:rsid w:val="001724A7"/>
    <w:rPr>
      <w:b/>
      <w:bCs/>
      <w:smallCaps/>
      <w:color w:val="2F5496" w:themeColor="accent1" w:themeShade="BF"/>
      <w:spacing w:val="5"/>
    </w:rPr>
  </w:style>
  <w:style w:type="paragraph" w:styleId="FootnoteText">
    <w:name w:val="footnote text"/>
    <w:basedOn w:val="Normal"/>
    <w:link w:val="FootnoteTextChar"/>
    <w:uiPriority w:val="99"/>
    <w:unhideWhenUsed/>
    <w:rsid w:val="001724A7"/>
    <w:pPr>
      <w:spacing w:after="0" w:line="240" w:lineRule="auto"/>
    </w:pPr>
    <w:rPr>
      <w:sz w:val="20"/>
      <w:szCs w:val="20"/>
    </w:rPr>
  </w:style>
  <w:style w:type="character" w:customStyle="1" w:styleId="FootnoteTextChar">
    <w:name w:val="Footnote Text Char"/>
    <w:basedOn w:val="DefaultParagraphFont"/>
    <w:link w:val="FootnoteText"/>
    <w:uiPriority w:val="99"/>
    <w:rsid w:val="001724A7"/>
    <w:rPr>
      <w:kern w:val="0"/>
      <w:sz w:val="20"/>
      <w:szCs w:val="20"/>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nhideWhenUsed/>
    <w:qFormat/>
    <w:rsid w:val="001724A7"/>
    <w:rPr>
      <w:rFonts w:cs="Times New Roman"/>
      <w:vertAlign w:val="superscript"/>
    </w:rPr>
  </w:style>
  <w:style w:type="paragraph" w:styleId="Footer">
    <w:name w:val="footer"/>
    <w:basedOn w:val="Normal"/>
    <w:link w:val="FooterChar"/>
    <w:uiPriority w:val="99"/>
    <w:rsid w:val="001724A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724A7"/>
    <w:rPr>
      <w:rFonts w:ascii="Times New Roman" w:eastAsia="Times New Roman" w:hAnsi="Times New Roman" w:cs="Times New Roman"/>
      <w:kern w:val="0"/>
      <w:sz w:val="24"/>
      <w:szCs w:val="20"/>
      <w14:ligatures w14:val="none"/>
    </w:rPr>
  </w:style>
  <w:style w:type="paragraph" w:customStyle="1" w:styleId="NRFTitle1">
    <w:name w:val="NRF Title1"/>
    <w:next w:val="NRFBody"/>
    <w:rsid w:val="001724A7"/>
    <w:pPr>
      <w:numPr>
        <w:numId w:val="1"/>
      </w:numPr>
      <w:tabs>
        <w:tab w:val="left" w:pos="567"/>
      </w:tabs>
      <w:spacing w:before="120" w:after="80" w:line="240" w:lineRule="auto"/>
      <w:ind w:left="357" w:hanging="357"/>
    </w:pPr>
    <w:rPr>
      <w:rFonts w:ascii="Garamond" w:eastAsia="Times New Roman" w:hAnsi="Garamond" w:cs="Times New Roman"/>
      <w:b/>
      <w:color w:val="000000"/>
      <w:kern w:val="0"/>
      <w:sz w:val="28"/>
      <w:szCs w:val="28"/>
      <w:lang w:val="en-US"/>
      <w14:ligatures w14:val="none"/>
    </w:rPr>
  </w:style>
  <w:style w:type="paragraph" w:customStyle="1" w:styleId="NRFTitle2">
    <w:name w:val="NRF Title2"/>
    <w:basedOn w:val="Normal"/>
    <w:next w:val="NRFBody"/>
    <w:rsid w:val="001724A7"/>
    <w:pPr>
      <w:numPr>
        <w:ilvl w:val="1"/>
        <w:numId w:val="1"/>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RFBody"/>
    <w:rsid w:val="001724A7"/>
    <w:pPr>
      <w:numPr>
        <w:ilvl w:val="2"/>
        <w:numId w:val="1"/>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paragraph" w:customStyle="1" w:styleId="NRFBody">
    <w:name w:val="NRF Body"/>
    <w:rsid w:val="001724A7"/>
    <w:pPr>
      <w:numPr>
        <w:numId w:val="2"/>
      </w:numPr>
      <w:tabs>
        <w:tab w:val="left" w:pos="-743"/>
        <w:tab w:val="left" w:pos="-23"/>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lang w:val="en-US"/>
      <w14:ligatures w14:val="none"/>
    </w:rPr>
  </w:style>
  <w:style w:type="paragraph" w:styleId="BodyText">
    <w:name w:val="Body Text"/>
    <w:basedOn w:val="Normal"/>
    <w:link w:val="BodyTextChar"/>
    <w:rsid w:val="001724A7"/>
    <w:pPr>
      <w:spacing w:after="0" w:line="240" w:lineRule="auto"/>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1724A7"/>
    <w:rPr>
      <w:rFonts w:ascii="Garamond" w:eastAsia="Times New Roman" w:hAnsi="Garamond" w:cs="Times New Roman"/>
      <w:kern w:val="0"/>
      <w:szCs w:val="20"/>
      <w:lang w:val="en-US"/>
      <w14:ligatures w14:val="none"/>
    </w:rPr>
  </w:style>
  <w:style w:type="paragraph" w:styleId="BodyText3">
    <w:name w:val="Body Text 3"/>
    <w:basedOn w:val="Normal"/>
    <w:link w:val="BodyText3Char"/>
    <w:uiPriority w:val="99"/>
    <w:unhideWhenUsed/>
    <w:rsid w:val="001724A7"/>
    <w:pPr>
      <w:spacing w:after="120"/>
    </w:pPr>
    <w:rPr>
      <w:sz w:val="16"/>
      <w:szCs w:val="16"/>
    </w:rPr>
  </w:style>
  <w:style w:type="character" w:customStyle="1" w:styleId="BodyText3Char">
    <w:name w:val="Body Text 3 Char"/>
    <w:basedOn w:val="DefaultParagraphFont"/>
    <w:link w:val="BodyText3"/>
    <w:uiPriority w:val="99"/>
    <w:rsid w:val="001724A7"/>
    <w:rPr>
      <w:kern w:val="0"/>
      <w:sz w:val="16"/>
      <w:szCs w:val="16"/>
      <w14:ligatures w14:val="none"/>
    </w:rPr>
  </w:style>
  <w:style w:type="character" w:styleId="CommentReference">
    <w:name w:val="annotation reference"/>
    <w:basedOn w:val="DefaultParagraphFont"/>
    <w:uiPriority w:val="99"/>
    <w:semiHidden/>
    <w:unhideWhenUsed/>
    <w:rsid w:val="001724A7"/>
    <w:rPr>
      <w:sz w:val="16"/>
      <w:szCs w:val="16"/>
    </w:rPr>
  </w:style>
  <w:style w:type="paragraph" w:styleId="CommentText">
    <w:name w:val="annotation text"/>
    <w:basedOn w:val="Normal"/>
    <w:link w:val="CommentTextChar"/>
    <w:uiPriority w:val="99"/>
    <w:unhideWhenUsed/>
    <w:rsid w:val="001724A7"/>
    <w:pPr>
      <w:spacing w:line="240" w:lineRule="auto"/>
    </w:pPr>
    <w:rPr>
      <w:sz w:val="20"/>
      <w:szCs w:val="20"/>
    </w:rPr>
  </w:style>
  <w:style w:type="character" w:customStyle="1" w:styleId="CommentTextChar">
    <w:name w:val="Comment Text Char"/>
    <w:basedOn w:val="DefaultParagraphFont"/>
    <w:link w:val="CommentText"/>
    <w:uiPriority w:val="99"/>
    <w:rsid w:val="001724A7"/>
    <w:rPr>
      <w:kern w:val="0"/>
      <w:sz w:val="20"/>
      <w:szCs w:val="20"/>
      <w14:ligatures w14:val="none"/>
    </w:rPr>
  </w:style>
  <w:style w:type="paragraph" w:customStyle="1" w:styleId="Default">
    <w:name w:val="Default"/>
    <w:rsid w:val="001724A7"/>
    <w:pPr>
      <w:autoSpaceDE w:val="0"/>
      <w:autoSpaceDN w:val="0"/>
      <w:adjustRightInd w:val="0"/>
      <w:spacing w:after="0" w:line="240" w:lineRule="auto"/>
    </w:pPr>
    <w:rPr>
      <w:rFonts w:ascii="Garamond" w:hAnsi="Garamond" w:cs="Garamond"/>
      <w:color w:val="000000"/>
      <w:kern w:val="0"/>
      <w:sz w:val="24"/>
      <w:szCs w:val="24"/>
      <w14:ligatures w14:val="none"/>
    </w:rPr>
  </w:style>
  <w:style w:type="character" w:styleId="Hyperlink">
    <w:name w:val="Hyperlink"/>
    <w:basedOn w:val="DefaultParagraphFont"/>
    <w:uiPriority w:val="99"/>
    <w:unhideWhenUsed/>
    <w:rsid w:val="001724A7"/>
    <w:rPr>
      <w:rFonts w:asciiTheme="minorHAnsi" w:hAnsiTheme="minorHAnsi" w:hint="default"/>
      <w:b w:val="0"/>
      <w:bCs w:val="0"/>
      <w:strike w:val="0"/>
      <w:dstrike w:val="0"/>
      <w:color w:val="3333FF"/>
      <w:sz w:val="22"/>
      <w:szCs w:val="18"/>
      <w:u w:val="single"/>
      <w:effect w:val="none"/>
    </w:rPr>
  </w:style>
  <w:style w:type="paragraph" w:styleId="Revision">
    <w:name w:val="Revision"/>
    <w:hidden/>
    <w:uiPriority w:val="99"/>
    <w:semiHidden/>
    <w:rsid w:val="008633A8"/>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631346"/>
    <w:rPr>
      <w:b/>
      <w:bCs/>
    </w:rPr>
  </w:style>
  <w:style w:type="character" w:customStyle="1" w:styleId="CommentSubjectChar">
    <w:name w:val="Comment Subject Char"/>
    <w:basedOn w:val="CommentTextChar"/>
    <w:link w:val="CommentSubject"/>
    <w:uiPriority w:val="99"/>
    <w:semiHidden/>
    <w:rsid w:val="00631346"/>
    <w:rPr>
      <w:b/>
      <w:bCs/>
      <w:kern w:val="0"/>
      <w:sz w:val="20"/>
      <w:szCs w:val="20"/>
      <w14:ligatures w14:val="none"/>
    </w:rPr>
  </w:style>
  <w:style w:type="paragraph" w:styleId="Header">
    <w:name w:val="header"/>
    <w:basedOn w:val="Normal"/>
    <w:link w:val="HeaderChar"/>
    <w:uiPriority w:val="99"/>
    <w:unhideWhenUsed/>
    <w:rsid w:val="00467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A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019840">
      <w:bodyDiv w:val="1"/>
      <w:marLeft w:val="0"/>
      <w:marRight w:val="0"/>
      <w:marTop w:val="0"/>
      <w:marBottom w:val="0"/>
      <w:divBdr>
        <w:top w:val="none" w:sz="0" w:space="0" w:color="auto"/>
        <w:left w:val="none" w:sz="0" w:space="0" w:color="auto"/>
        <w:bottom w:val="none" w:sz="0" w:space="0" w:color="auto"/>
        <w:right w:val="none" w:sz="0" w:space="0" w:color="auto"/>
      </w:divBdr>
    </w:div>
    <w:div w:id="1868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2-doc18-resource-mobilization-work-plan-20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2025-05-02T14:53:00Z</dcterms:created>
  <dcterms:modified xsi:type="dcterms:W3CDTF">2025-05-02T14:53:00Z</dcterms:modified>
</cp:coreProperties>
</file>