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8C38" w14:textId="77777777" w:rsidR="003C33B1" w:rsidRPr="00AA117A" w:rsidRDefault="003C33B1" w:rsidP="003C33B1">
      <w:pPr>
        <w:spacing w:after="0" w:line="240" w:lineRule="auto"/>
        <w:jc w:val="center"/>
        <w:outlineLvl w:val="0"/>
        <w:rPr>
          <w:rFonts w:eastAsia="Times New Roman" w:cs="Calibri Light"/>
          <w:b/>
          <w:bCs/>
          <w:sz w:val="24"/>
          <w:szCs w:val="24"/>
        </w:rPr>
      </w:pPr>
      <w:r w:rsidRPr="00AA117A">
        <w:rPr>
          <w:b/>
          <w:noProof/>
          <w:sz w:val="24"/>
        </w:rPr>
        <w:drawing>
          <wp:anchor distT="0" distB="0" distL="114300" distR="114300" simplePos="0" relativeHeight="251659264" behindDoc="0" locked="0" layoutInCell="1" allowOverlap="1" wp14:anchorId="4571A868" wp14:editId="71E45B93">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a:extLst>
                        <a:ext uri="{28A0092B-C50C-407E-A947-70E740481C1C}">
                          <a14:useLocalDpi xmlns:a14="http://schemas.microsoft.com/office/drawing/2010/main" val="0"/>
                        </a:ext>
                      </a:extLst>
                    </a:blip>
                    <a:srcRect t="13" b="13"/>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9229EC" w14:textId="77777777" w:rsidR="003C33B1" w:rsidRPr="00AA117A" w:rsidRDefault="003C33B1" w:rsidP="003C33B1">
      <w:pPr>
        <w:spacing w:after="0" w:line="240" w:lineRule="auto"/>
        <w:jc w:val="center"/>
        <w:outlineLvl w:val="0"/>
        <w:rPr>
          <w:rFonts w:eastAsia="Times New Roman" w:cs="Calibri Light"/>
          <w:b/>
          <w:bCs/>
          <w:sz w:val="24"/>
          <w:szCs w:val="24"/>
        </w:rPr>
      </w:pPr>
      <w:r w:rsidRPr="00AA117A">
        <w:rPr>
          <w:b/>
          <w:sz w:val="24"/>
        </w:rPr>
        <w:t>15ª reunión de la Conferencia de las Partes Contratantes</w:t>
      </w:r>
    </w:p>
    <w:p w14:paraId="475EF396" w14:textId="77777777" w:rsidR="003C33B1" w:rsidRPr="00AA117A" w:rsidRDefault="003C33B1" w:rsidP="003C33B1">
      <w:pPr>
        <w:spacing w:after="0" w:line="240" w:lineRule="auto"/>
        <w:jc w:val="center"/>
        <w:outlineLvl w:val="0"/>
        <w:rPr>
          <w:rFonts w:eastAsia="Times New Roman" w:cs="Calibri Light"/>
          <w:b/>
          <w:bCs/>
          <w:sz w:val="24"/>
          <w:szCs w:val="24"/>
        </w:rPr>
      </w:pPr>
      <w:r w:rsidRPr="00AA117A">
        <w:rPr>
          <w:b/>
          <w:sz w:val="24"/>
        </w:rPr>
        <w:t>en la Convención sobre los Humedales</w:t>
      </w:r>
    </w:p>
    <w:p w14:paraId="20B3ABD1" w14:textId="77777777" w:rsidR="003C33B1" w:rsidRPr="00AA117A" w:rsidRDefault="003C33B1" w:rsidP="003C33B1">
      <w:pPr>
        <w:spacing w:after="0" w:line="240" w:lineRule="auto"/>
        <w:jc w:val="center"/>
        <w:outlineLvl w:val="0"/>
        <w:rPr>
          <w:rFonts w:eastAsia="Times New Roman" w:cs="Calibri Light"/>
          <w:b/>
          <w:bCs/>
          <w:sz w:val="24"/>
          <w:szCs w:val="24"/>
        </w:rPr>
      </w:pPr>
    </w:p>
    <w:p w14:paraId="27D3411A" w14:textId="77777777" w:rsidR="003C33B1" w:rsidRPr="00AA117A" w:rsidRDefault="003C33B1" w:rsidP="003C33B1">
      <w:pPr>
        <w:spacing w:after="0" w:line="240" w:lineRule="auto"/>
        <w:jc w:val="center"/>
        <w:outlineLvl w:val="0"/>
        <w:rPr>
          <w:rFonts w:eastAsia="Times New Roman" w:cs="Calibri Light"/>
          <w:b/>
          <w:bCs/>
          <w:sz w:val="24"/>
          <w:szCs w:val="24"/>
        </w:rPr>
      </w:pPr>
      <w:r w:rsidRPr="00AA117A">
        <w:rPr>
          <w:b/>
          <w:sz w:val="24"/>
        </w:rPr>
        <w:t>“Proteger los humedales para nuestro futuro común”</w:t>
      </w:r>
    </w:p>
    <w:p w14:paraId="6E75438E" w14:textId="77777777" w:rsidR="003C33B1" w:rsidRPr="00AA117A" w:rsidRDefault="003C33B1" w:rsidP="003C33B1">
      <w:pPr>
        <w:spacing w:after="0" w:line="240" w:lineRule="auto"/>
        <w:jc w:val="center"/>
        <w:outlineLvl w:val="0"/>
        <w:rPr>
          <w:rFonts w:eastAsia="Times New Roman" w:cs="Calibri Light"/>
          <w:b/>
          <w:bCs/>
          <w:sz w:val="24"/>
          <w:szCs w:val="24"/>
        </w:rPr>
      </w:pPr>
      <w:r w:rsidRPr="00AA117A">
        <w:rPr>
          <w:b/>
          <w:sz w:val="24"/>
        </w:rPr>
        <w:t>Victoria Falls (Zimbabwe), 23 a 31 de julio de 2025</w:t>
      </w:r>
    </w:p>
    <w:p w14:paraId="23AD98DF" w14:textId="77777777" w:rsidR="003C33B1" w:rsidRPr="00AA117A" w:rsidRDefault="003C33B1" w:rsidP="003C33B1">
      <w:pPr>
        <w:spacing w:after="0" w:line="240" w:lineRule="auto"/>
        <w:jc w:val="center"/>
        <w:outlineLvl w:val="0"/>
        <w:rPr>
          <w:rFonts w:eastAsia="Times New Roman" w:cs="Calibri Light"/>
          <w:b/>
          <w:bCs/>
          <w:sz w:val="24"/>
          <w:szCs w:val="24"/>
        </w:rPr>
      </w:pPr>
    </w:p>
    <w:p w14:paraId="55CE6745" w14:textId="77777777" w:rsidR="003C33B1" w:rsidRDefault="003C33B1" w:rsidP="003C33B1">
      <w:pPr>
        <w:spacing w:after="0" w:line="240" w:lineRule="auto"/>
        <w:jc w:val="center"/>
        <w:outlineLvl w:val="0"/>
        <w:rPr>
          <w:rFonts w:eastAsia="Times New Roman" w:cs="Calibri Light"/>
          <w:b/>
          <w:bCs/>
          <w:sz w:val="24"/>
          <w:szCs w:val="24"/>
        </w:rPr>
      </w:pPr>
    </w:p>
    <w:p w14:paraId="6F787F57" w14:textId="77777777" w:rsidR="00880ED5" w:rsidRPr="00AA117A" w:rsidRDefault="00880ED5" w:rsidP="003C33B1">
      <w:pPr>
        <w:spacing w:after="0" w:line="240" w:lineRule="auto"/>
        <w:jc w:val="center"/>
        <w:outlineLvl w:val="0"/>
        <w:rPr>
          <w:rFonts w:eastAsia="Times New Roman" w:cs="Calibri Light"/>
          <w:b/>
          <w:bCs/>
          <w:sz w:val="24"/>
          <w:szCs w:val="24"/>
        </w:rPr>
      </w:pPr>
    </w:p>
    <w:p w14:paraId="00906588" w14:textId="77777777" w:rsidR="003C33B1" w:rsidRPr="00AA117A" w:rsidRDefault="003C33B1" w:rsidP="003C33B1">
      <w:pPr>
        <w:spacing w:after="0" w:line="240" w:lineRule="auto"/>
        <w:jc w:val="right"/>
        <w:rPr>
          <w:rFonts w:eastAsia="Calibri"/>
        </w:rPr>
      </w:pPr>
    </w:p>
    <w:p w14:paraId="3E93C176" w14:textId="1F712B71" w:rsidR="003C33B1" w:rsidRPr="00AA117A" w:rsidRDefault="003C33B1" w:rsidP="003C33B1">
      <w:pPr>
        <w:spacing w:after="0" w:line="240" w:lineRule="auto"/>
        <w:jc w:val="right"/>
        <w:rPr>
          <w:rFonts w:eastAsia="Calibri" w:cs="Calibri"/>
        </w:rPr>
      </w:pPr>
      <w:r w:rsidRPr="00AA117A">
        <w:rPr>
          <w:b/>
          <w:sz w:val="28"/>
        </w:rPr>
        <w:t>COP15 Doc.7</w:t>
      </w:r>
    </w:p>
    <w:p w14:paraId="68EF8BA4" w14:textId="77777777" w:rsidR="00C65A44" w:rsidRPr="00FB3435" w:rsidRDefault="00C65A44" w:rsidP="003C33B1">
      <w:pPr>
        <w:spacing w:after="0" w:line="240" w:lineRule="auto"/>
        <w:ind w:right="16"/>
        <w:rPr>
          <w:rFonts w:eastAsia="Times New Roman" w:cstheme="minorHAnsi"/>
          <w:iCs/>
          <w:sz w:val="28"/>
          <w:szCs w:val="28"/>
        </w:rPr>
      </w:pPr>
    </w:p>
    <w:p w14:paraId="48CD0D4F" w14:textId="77777777" w:rsidR="00C65A44" w:rsidRPr="00FB3435" w:rsidRDefault="00C65A44" w:rsidP="003C33B1">
      <w:pPr>
        <w:spacing w:after="0" w:line="240" w:lineRule="auto"/>
        <w:ind w:right="16"/>
        <w:rPr>
          <w:rFonts w:eastAsia="Times New Roman" w:cstheme="minorHAnsi"/>
          <w:iCs/>
          <w:sz w:val="28"/>
          <w:szCs w:val="28"/>
        </w:rPr>
      </w:pPr>
    </w:p>
    <w:p w14:paraId="6486C53B" w14:textId="49C3BD81" w:rsidR="00B853B0" w:rsidRPr="00AA117A" w:rsidRDefault="00D06578" w:rsidP="003C33B1">
      <w:pPr>
        <w:autoSpaceDE w:val="0"/>
        <w:autoSpaceDN w:val="0"/>
        <w:adjustRightInd w:val="0"/>
        <w:spacing w:after="0" w:line="240" w:lineRule="auto"/>
        <w:jc w:val="center"/>
        <w:rPr>
          <w:b/>
          <w:sz w:val="28"/>
          <w:szCs w:val="28"/>
        </w:rPr>
      </w:pPr>
      <w:r w:rsidRPr="00AA117A">
        <w:rPr>
          <w:b/>
          <w:sz w:val="28"/>
        </w:rPr>
        <w:t>Informe de la Presidencia del Comité Permanente</w:t>
      </w:r>
    </w:p>
    <w:p w14:paraId="2149511C" w14:textId="77777777" w:rsidR="00B853B0" w:rsidRPr="00AA117A" w:rsidRDefault="00B853B0" w:rsidP="00C5173B">
      <w:pPr>
        <w:autoSpaceDE w:val="0"/>
        <w:autoSpaceDN w:val="0"/>
        <w:adjustRightInd w:val="0"/>
        <w:spacing w:after="0" w:line="240" w:lineRule="auto"/>
        <w:rPr>
          <w:rFonts w:asciiTheme="minorHAnsi" w:hAnsiTheme="minorHAnsi"/>
        </w:rPr>
      </w:pPr>
    </w:p>
    <w:p w14:paraId="14B96F7F" w14:textId="77777777" w:rsidR="00D06578" w:rsidRPr="00AA117A" w:rsidRDefault="00D06578" w:rsidP="00C5173B">
      <w:pPr>
        <w:autoSpaceDE w:val="0"/>
        <w:autoSpaceDN w:val="0"/>
        <w:adjustRightInd w:val="0"/>
        <w:spacing w:after="0" w:line="240" w:lineRule="auto"/>
        <w:rPr>
          <w:rFonts w:asciiTheme="minorHAnsi" w:hAnsiTheme="minorHAnsi"/>
        </w:rPr>
      </w:pPr>
    </w:p>
    <w:p w14:paraId="28F72A30" w14:textId="77777777" w:rsidR="009F56D8" w:rsidRPr="00AA117A" w:rsidRDefault="00D06578" w:rsidP="00C5173B">
      <w:pPr>
        <w:autoSpaceDE w:val="0"/>
        <w:autoSpaceDN w:val="0"/>
        <w:adjustRightInd w:val="0"/>
        <w:spacing w:after="0" w:line="240" w:lineRule="auto"/>
        <w:rPr>
          <w:rFonts w:asciiTheme="minorHAnsi" w:hAnsiTheme="minorHAnsi" w:cs="Garamond"/>
          <w:b/>
          <w:bCs/>
        </w:rPr>
      </w:pPr>
      <w:r w:rsidRPr="00AA117A">
        <w:rPr>
          <w:rFonts w:asciiTheme="minorHAnsi" w:hAnsiTheme="minorHAnsi"/>
          <w:b/>
        </w:rPr>
        <w:t>Introducción</w:t>
      </w:r>
    </w:p>
    <w:p w14:paraId="2D1A3F1E" w14:textId="77777777" w:rsidR="009F56D8" w:rsidRPr="00AA117A" w:rsidRDefault="009F56D8" w:rsidP="00C5173B">
      <w:pPr>
        <w:autoSpaceDE w:val="0"/>
        <w:autoSpaceDN w:val="0"/>
        <w:adjustRightInd w:val="0"/>
        <w:spacing w:after="0" w:line="240" w:lineRule="auto"/>
        <w:rPr>
          <w:rFonts w:asciiTheme="minorHAnsi" w:hAnsiTheme="minorHAnsi"/>
        </w:rPr>
      </w:pPr>
    </w:p>
    <w:p w14:paraId="62F426E8" w14:textId="00B4F1C2" w:rsidR="009F56D8" w:rsidRPr="00AA117A" w:rsidRDefault="00C5173B"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rPr>
      </w:pPr>
      <w:r w:rsidRPr="00AA117A">
        <w:rPr>
          <w:rFonts w:asciiTheme="minorHAnsi" w:hAnsiTheme="minorHAnsi"/>
        </w:rPr>
        <w:t>1.</w:t>
      </w:r>
      <w:r w:rsidRPr="00AA117A">
        <w:tab/>
      </w:r>
      <w:r w:rsidRPr="00AA117A">
        <w:rPr>
          <w:rFonts w:asciiTheme="minorHAnsi" w:hAnsiTheme="minorHAnsi"/>
        </w:rPr>
        <w:t>El Comité Permanente de la Convención sobre los Humedales fue creado mediante la Resolución 3.3 (Regina, 1987)</w:t>
      </w:r>
      <w:r w:rsidR="003C33B1" w:rsidRPr="00AA117A">
        <w:rPr>
          <w:rStyle w:val="FootnoteReference"/>
          <w:rFonts w:asciiTheme="minorHAnsi" w:hAnsiTheme="minorHAnsi"/>
        </w:rPr>
        <w:footnoteReference w:id="1"/>
      </w:r>
      <w:r w:rsidRPr="00AA117A">
        <w:rPr>
          <w:rFonts w:asciiTheme="minorHAnsi" w:hAnsiTheme="minorHAnsi"/>
        </w:rPr>
        <w:t xml:space="preserve"> con el fin de supervisar los asuntos de la Convención y las actividades de la Secretaría durante los períodos entre las reuniones ordinarias de la Conferencia de las Partes Contratantes. La composición regional, las funciones y las responsabilidades del Comité Permanente y sus miembros se rigen por la Resolución VII.1 (1999)</w:t>
      </w:r>
      <w:r w:rsidR="003C33B1" w:rsidRPr="00AA117A">
        <w:rPr>
          <w:rStyle w:val="FootnoteReference"/>
          <w:rFonts w:asciiTheme="minorHAnsi" w:hAnsiTheme="minorHAnsi"/>
        </w:rPr>
        <w:footnoteReference w:id="2"/>
      </w:r>
      <w:r w:rsidRPr="00AA117A">
        <w:rPr>
          <w:rFonts w:asciiTheme="minorHAnsi" w:hAnsiTheme="minorHAnsi"/>
        </w:rPr>
        <w:t>, modificada por la Resolución XI.19 (2012)</w:t>
      </w:r>
      <w:r w:rsidR="003C33B1" w:rsidRPr="00AA117A">
        <w:rPr>
          <w:rStyle w:val="FootnoteReference"/>
          <w:rFonts w:asciiTheme="minorHAnsi" w:hAnsiTheme="minorHAnsi"/>
        </w:rPr>
        <w:footnoteReference w:id="3"/>
      </w:r>
      <w:r w:rsidRPr="00AA117A">
        <w:rPr>
          <w:rFonts w:asciiTheme="minorHAnsi" w:hAnsiTheme="minorHAnsi"/>
        </w:rPr>
        <w:t xml:space="preserve">, y que fue a su vez sustituida por la </w:t>
      </w:r>
      <w:hyperlink r:id="rId12">
        <w:r w:rsidRPr="00AA117A">
          <w:t>Resolución XIV.2</w:t>
        </w:r>
      </w:hyperlink>
      <w:r w:rsidRPr="00AA117A">
        <w:rPr>
          <w:rFonts w:asciiTheme="minorHAnsi" w:hAnsiTheme="minorHAnsi"/>
        </w:rPr>
        <w:t xml:space="preserve"> (2022)</w:t>
      </w:r>
      <w:r w:rsidR="003C33B1" w:rsidRPr="00AA117A">
        <w:rPr>
          <w:rStyle w:val="FootnoteReference"/>
          <w:rFonts w:asciiTheme="minorHAnsi" w:hAnsiTheme="minorHAnsi"/>
        </w:rPr>
        <w:footnoteReference w:id="4"/>
      </w:r>
      <w:r w:rsidRPr="00AA117A">
        <w:rPr>
          <w:rFonts w:asciiTheme="minorHAnsi" w:hAnsiTheme="minorHAnsi"/>
        </w:rPr>
        <w:t xml:space="preserve">. En todas las cuestiones no especificadas en la Resolución VII.1, el reglamento de las reuniones del Comité Permanente se rige </w:t>
      </w:r>
      <w:r w:rsidRPr="00AA117A">
        <w:rPr>
          <w:rFonts w:asciiTheme="minorHAnsi" w:hAnsiTheme="minorHAnsi"/>
          <w:i/>
        </w:rPr>
        <w:t>mutatis mutandis</w:t>
      </w:r>
      <w:r w:rsidRPr="00AA117A">
        <w:rPr>
          <w:rFonts w:asciiTheme="minorHAnsi" w:hAnsiTheme="minorHAnsi"/>
        </w:rPr>
        <w:t xml:space="preserve"> por el Reglamento de las reuniones de la Conferencia de las Partes Contratantes</w:t>
      </w:r>
      <w:r w:rsidR="003C33B1" w:rsidRPr="00AA117A">
        <w:rPr>
          <w:rStyle w:val="FootnoteReference"/>
          <w:rFonts w:asciiTheme="minorHAnsi" w:hAnsiTheme="minorHAnsi"/>
        </w:rPr>
        <w:footnoteReference w:id="5"/>
      </w:r>
      <w:r w:rsidRPr="00AA117A">
        <w:rPr>
          <w:rFonts w:asciiTheme="minorHAnsi" w:hAnsiTheme="minorHAnsi"/>
        </w:rPr>
        <w:t>.</w:t>
      </w:r>
    </w:p>
    <w:p w14:paraId="4B857749" w14:textId="77777777" w:rsidR="009F56D8" w:rsidRPr="00AA117A" w:rsidRDefault="009F56D8" w:rsidP="000C2357">
      <w:pPr>
        <w:tabs>
          <w:tab w:val="left" w:pos="5672"/>
        </w:tabs>
        <w:autoSpaceDE w:val="0"/>
        <w:autoSpaceDN w:val="0"/>
        <w:adjustRightInd w:val="0"/>
        <w:spacing w:after="0" w:line="240" w:lineRule="auto"/>
        <w:ind w:left="425" w:hanging="425"/>
        <w:jc w:val="center"/>
        <w:rPr>
          <w:rFonts w:asciiTheme="minorHAnsi" w:hAnsiTheme="minorHAnsi" w:cs="Garamond"/>
        </w:rPr>
      </w:pPr>
    </w:p>
    <w:p w14:paraId="073AB8B1" w14:textId="091CAC00" w:rsidR="00012D41" w:rsidRPr="00AA117A" w:rsidRDefault="00C5173B" w:rsidP="00012D41">
      <w:pPr>
        <w:tabs>
          <w:tab w:val="num" w:pos="720"/>
          <w:tab w:val="left" w:pos="4253"/>
        </w:tabs>
        <w:overflowPunct w:val="0"/>
        <w:autoSpaceDE w:val="0"/>
        <w:autoSpaceDN w:val="0"/>
        <w:adjustRightInd w:val="0"/>
        <w:spacing w:after="0" w:line="240" w:lineRule="auto"/>
        <w:ind w:left="425" w:hanging="425"/>
        <w:rPr>
          <w:rFonts w:asciiTheme="minorHAnsi" w:hAnsiTheme="minorHAnsi" w:cstheme="minorHAnsi"/>
        </w:rPr>
      </w:pPr>
      <w:r w:rsidRPr="00AA117A">
        <w:rPr>
          <w:rFonts w:asciiTheme="minorHAnsi" w:hAnsiTheme="minorHAnsi"/>
        </w:rPr>
        <w:t>2.</w:t>
      </w:r>
      <w:r w:rsidRPr="00AA117A">
        <w:rPr>
          <w:rFonts w:asciiTheme="minorHAnsi" w:hAnsiTheme="minorHAnsi"/>
        </w:rPr>
        <w:tab/>
        <w:t>En su 14ª reunión (COP14, Wuhan y Ginebra, 2022), la Conferencia de las Partes Contratantes eligió a los nuevos miembros regionales del Comité Permanente para supervisar los asuntos de la Convención durante el trienio hasta la siguiente COP. En su primera reunión después de la COP14, el Comité Permanente eligió a China como Presidencia y al Gabón como Vicepresidencia. En mayo de 2023, por medios electrónicos, se eligió a los Estados Unidos de América como Presidencia del Subgrupo de Finanzas. El Dr. Xia Jun ha representado a China en la Presidencia.</w:t>
      </w:r>
    </w:p>
    <w:p w14:paraId="17FB662D" w14:textId="77777777" w:rsidR="00012D41" w:rsidRPr="00AA117A" w:rsidRDefault="00012D41" w:rsidP="00012D41">
      <w:pPr>
        <w:tabs>
          <w:tab w:val="num" w:pos="720"/>
          <w:tab w:val="left" w:pos="4253"/>
        </w:tabs>
        <w:overflowPunct w:val="0"/>
        <w:autoSpaceDE w:val="0"/>
        <w:autoSpaceDN w:val="0"/>
        <w:adjustRightInd w:val="0"/>
        <w:spacing w:after="0" w:line="240" w:lineRule="auto"/>
        <w:ind w:left="425" w:hanging="425"/>
        <w:rPr>
          <w:rFonts w:asciiTheme="minorHAnsi" w:hAnsiTheme="minorHAnsi"/>
        </w:rPr>
      </w:pPr>
    </w:p>
    <w:p w14:paraId="5A3DFFAA" w14:textId="7A66A56C" w:rsidR="009F56D8" w:rsidRPr="00AA117A" w:rsidRDefault="00E71D21" w:rsidP="00E23CD4">
      <w:pPr>
        <w:tabs>
          <w:tab w:val="num" w:pos="720"/>
          <w:tab w:val="left" w:pos="4253"/>
        </w:tabs>
        <w:overflowPunct w:val="0"/>
        <w:autoSpaceDE w:val="0"/>
        <w:autoSpaceDN w:val="0"/>
        <w:adjustRightInd w:val="0"/>
        <w:spacing w:after="0" w:line="240" w:lineRule="auto"/>
        <w:ind w:left="425" w:hanging="425"/>
        <w:rPr>
          <w:rFonts w:asciiTheme="minorHAnsi" w:hAnsiTheme="minorHAnsi" w:cstheme="minorHAnsi"/>
        </w:rPr>
      </w:pPr>
      <w:r w:rsidRPr="00AA117A">
        <w:rPr>
          <w:rFonts w:asciiTheme="minorHAnsi" w:hAnsiTheme="minorHAnsi"/>
        </w:rPr>
        <w:t>3.</w:t>
      </w:r>
      <w:r w:rsidRPr="00AA117A">
        <w:rPr>
          <w:rFonts w:asciiTheme="minorHAnsi" w:hAnsiTheme="minorHAnsi"/>
        </w:rPr>
        <w:tab/>
        <w:t>La composición actual del Comité Permanente refleja el sistema proporcional de representación regional previsto en la Resolución XIV.2, como se indica a continuación:</w:t>
      </w:r>
    </w:p>
    <w:p w14:paraId="1785F5ED" w14:textId="77777777" w:rsidR="005F5AFD" w:rsidRPr="00AA117A" w:rsidRDefault="005F5AFD" w:rsidP="00B71240">
      <w:pPr>
        <w:tabs>
          <w:tab w:val="left" w:pos="2001"/>
        </w:tabs>
        <w:autoSpaceDE w:val="0"/>
        <w:autoSpaceDN w:val="0"/>
        <w:adjustRightInd w:val="0"/>
        <w:spacing w:after="0" w:line="240" w:lineRule="auto"/>
        <w:rPr>
          <w:rFonts w:asciiTheme="minorHAnsi" w:hAnsiTheme="minorHAnsi" w:cs="Garamond"/>
        </w:rPr>
      </w:pPr>
    </w:p>
    <w:p w14:paraId="09383E6C" w14:textId="66607065" w:rsidR="005F5AFD" w:rsidRDefault="005F5AFD" w:rsidP="0084501E">
      <w:pPr>
        <w:autoSpaceDE w:val="0"/>
        <w:autoSpaceDN w:val="0"/>
        <w:adjustRightInd w:val="0"/>
        <w:spacing w:after="0" w:line="240" w:lineRule="auto"/>
        <w:ind w:left="425"/>
        <w:rPr>
          <w:rFonts w:asciiTheme="minorHAnsi" w:hAnsiTheme="minorHAnsi"/>
        </w:rPr>
      </w:pPr>
      <w:r w:rsidRPr="00AA117A">
        <w:rPr>
          <w:rFonts w:asciiTheme="minorHAnsi" w:hAnsiTheme="minorHAnsi"/>
          <w:b/>
        </w:rPr>
        <w:t>África</w:t>
      </w:r>
      <w:r w:rsidRPr="00AA117A">
        <w:rPr>
          <w:rFonts w:asciiTheme="minorHAnsi" w:hAnsiTheme="minorHAnsi"/>
        </w:rPr>
        <w:t>: Gabón, Libia, Rwanda, Burkina Faso, Lesotho;</w:t>
      </w:r>
    </w:p>
    <w:p w14:paraId="4843E3C8" w14:textId="77777777" w:rsidR="00D73657" w:rsidRDefault="00D73657" w:rsidP="00D73657">
      <w:pPr>
        <w:autoSpaceDE w:val="0"/>
        <w:autoSpaceDN w:val="0"/>
        <w:adjustRightInd w:val="0"/>
        <w:spacing w:after="0" w:line="240" w:lineRule="auto"/>
        <w:ind w:left="425"/>
        <w:rPr>
          <w:rFonts w:asciiTheme="minorHAnsi" w:hAnsiTheme="minorHAnsi"/>
        </w:rPr>
      </w:pPr>
      <w:r w:rsidRPr="00AA117A">
        <w:rPr>
          <w:rFonts w:asciiTheme="minorHAnsi" w:hAnsiTheme="minorHAnsi"/>
          <w:b/>
        </w:rPr>
        <w:t>América del Norte</w:t>
      </w:r>
      <w:r w:rsidRPr="00AA117A">
        <w:rPr>
          <w:rFonts w:asciiTheme="minorHAnsi" w:hAnsiTheme="minorHAnsi"/>
        </w:rPr>
        <w:t>: Canadá;</w:t>
      </w:r>
    </w:p>
    <w:p w14:paraId="46E978A5" w14:textId="77777777" w:rsidR="00D73657" w:rsidRPr="00AA117A" w:rsidRDefault="00D73657" w:rsidP="00D73657">
      <w:pPr>
        <w:autoSpaceDE w:val="0"/>
        <w:autoSpaceDN w:val="0"/>
        <w:adjustRightInd w:val="0"/>
        <w:spacing w:after="0" w:line="240" w:lineRule="auto"/>
        <w:ind w:left="425"/>
        <w:rPr>
          <w:rFonts w:asciiTheme="minorHAnsi" w:hAnsiTheme="minorHAnsi" w:cs="Garamond"/>
        </w:rPr>
      </w:pPr>
      <w:r w:rsidRPr="00AA117A">
        <w:rPr>
          <w:rFonts w:asciiTheme="minorHAnsi" w:hAnsiTheme="minorHAnsi"/>
          <w:b/>
        </w:rPr>
        <w:lastRenderedPageBreak/>
        <w:t>América Latina y el Caribe</w:t>
      </w:r>
      <w:r w:rsidRPr="00AA117A">
        <w:rPr>
          <w:rFonts w:asciiTheme="minorHAnsi" w:hAnsiTheme="minorHAnsi"/>
        </w:rPr>
        <w:t>: Brasil, Costa Rica, Santa Lucía;</w:t>
      </w:r>
    </w:p>
    <w:p w14:paraId="4DBF66FC" w14:textId="49A735F3" w:rsidR="005F5AFD" w:rsidRPr="00AA117A" w:rsidRDefault="005F5AFD" w:rsidP="0084501E">
      <w:pPr>
        <w:autoSpaceDE w:val="0"/>
        <w:autoSpaceDN w:val="0"/>
        <w:adjustRightInd w:val="0"/>
        <w:spacing w:after="0" w:line="240" w:lineRule="auto"/>
        <w:ind w:left="425"/>
        <w:rPr>
          <w:rFonts w:asciiTheme="minorHAnsi" w:hAnsiTheme="minorHAnsi"/>
        </w:rPr>
      </w:pPr>
      <w:r w:rsidRPr="00AA117A">
        <w:rPr>
          <w:rFonts w:asciiTheme="minorHAnsi" w:hAnsiTheme="minorHAnsi"/>
          <w:b/>
        </w:rPr>
        <w:t>Asia</w:t>
      </w:r>
      <w:r w:rsidRPr="00AA117A">
        <w:rPr>
          <w:rFonts w:asciiTheme="minorHAnsi" w:hAnsiTheme="minorHAnsi"/>
        </w:rPr>
        <w:t>: República Democrática Popular Lao, Japón, Iraq;</w:t>
      </w:r>
    </w:p>
    <w:p w14:paraId="42DEC2C4" w14:textId="46210E6C" w:rsidR="005F5AFD" w:rsidRPr="00AA117A" w:rsidRDefault="005F5AFD" w:rsidP="0084501E">
      <w:pPr>
        <w:autoSpaceDE w:val="0"/>
        <w:autoSpaceDN w:val="0"/>
        <w:adjustRightInd w:val="0"/>
        <w:spacing w:after="0" w:line="240" w:lineRule="auto"/>
        <w:ind w:left="425"/>
        <w:rPr>
          <w:rFonts w:asciiTheme="minorHAnsi" w:hAnsiTheme="minorHAnsi"/>
        </w:rPr>
      </w:pPr>
      <w:r w:rsidRPr="00AA117A">
        <w:rPr>
          <w:rFonts w:asciiTheme="minorHAnsi" w:hAnsiTheme="minorHAnsi"/>
          <w:b/>
        </w:rPr>
        <w:t>Europa</w:t>
      </w:r>
      <w:r w:rsidRPr="00AA117A">
        <w:rPr>
          <w:rFonts w:asciiTheme="minorHAnsi" w:hAnsiTheme="minorHAnsi"/>
        </w:rPr>
        <w:t>: Bélgica, Chequia, Georgia, Suecia;</w:t>
      </w:r>
    </w:p>
    <w:p w14:paraId="0606ABE0" w14:textId="6AEAFBD8" w:rsidR="0084501E" w:rsidRPr="00AA117A" w:rsidRDefault="0084501E" w:rsidP="0084501E">
      <w:pPr>
        <w:autoSpaceDE w:val="0"/>
        <w:autoSpaceDN w:val="0"/>
        <w:adjustRightInd w:val="0"/>
        <w:spacing w:after="0" w:line="240" w:lineRule="auto"/>
        <w:ind w:left="425"/>
        <w:rPr>
          <w:rFonts w:asciiTheme="minorHAnsi" w:hAnsiTheme="minorHAnsi" w:cs="Garamond"/>
        </w:rPr>
      </w:pPr>
      <w:r w:rsidRPr="00AA117A">
        <w:rPr>
          <w:rFonts w:asciiTheme="minorHAnsi" w:hAnsiTheme="minorHAnsi"/>
          <w:b/>
        </w:rPr>
        <w:t>Oceanía</w:t>
      </w:r>
      <w:r w:rsidRPr="00AA117A">
        <w:rPr>
          <w:rFonts w:asciiTheme="minorHAnsi" w:hAnsiTheme="minorHAnsi"/>
        </w:rPr>
        <w:t>: Samoa.</w:t>
      </w:r>
    </w:p>
    <w:p w14:paraId="48FC6A98" w14:textId="77777777" w:rsidR="009F56D8" w:rsidRPr="00AA117A" w:rsidRDefault="009F56D8" w:rsidP="0084501E">
      <w:pPr>
        <w:tabs>
          <w:tab w:val="left" w:pos="5966"/>
        </w:tabs>
        <w:autoSpaceDE w:val="0"/>
        <w:autoSpaceDN w:val="0"/>
        <w:adjustRightInd w:val="0"/>
        <w:spacing w:after="0" w:line="240" w:lineRule="auto"/>
        <w:rPr>
          <w:rFonts w:asciiTheme="minorHAnsi" w:hAnsiTheme="minorHAnsi"/>
        </w:rPr>
      </w:pPr>
    </w:p>
    <w:p w14:paraId="1692283B" w14:textId="080C637D" w:rsidR="009F56D8" w:rsidRPr="00AA117A" w:rsidRDefault="0084501E" w:rsidP="004F1C0D">
      <w:pPr>
        <w:tabs>
          <w:tab w:val="left" w:pos="4253"/>
        </w:tabs>
        <w:overflowPunct w:val="0"/>
        <w:autoSpaceDE w:val="0"/>
        <w:autoSpaceDN w:val="0"/>
        <w:adjustRightInd w:val="0"/>
        <w:spacing w:after="0" w:line="240" w:lineRule="auto"/>
        <w:ind w:left="425" w:firstLine="1"/>
        <w:rPr>
          <w:rFonts w:asciiTheme="minorHAnsi" w:hAnsiTheme="minorHAnsi" w:cs="Garamond"/>
        </w:rPr>
      </w:pPr>
      <w:r w:rsidRPr="00AA117A">
        <w:rPr>
          <w:rFonts w:asciiTheme="minorHAnsi" w:hAnsiTheme="minorHAnsi"/>
        </w:rPr>
        <w:t>Los países anfitriones de la COP14 (China) y de la COP15 (Zimbabwe) también son miembros.</w:t>
      </w:r>
    </w:p>
    <w:p w14:paraId="001E1F34" w14:textId="77777777" w:rsidR="009F56D8" w:rsidRPr="00AA117A" w:rsidRDefault="009F56D8" w:rsidP="00C5173B">
      <w:pPr>
        <w:overflowPunct w:val="0"/>
        <w:autoSpaceDE w:val="0"/>
        <w:autoSpaceDN w:val="0"/>
        <w:adjustRightInd w:val="0"/>
        <w:spacing w:after="0" w:line="240" w:lineRule="auto"/>
        <w:ind w:left="425" w:hanging="425"/>
        <w:rPr>
          <w:rFonts w:asciiTheme="minorHAnsi" w:hAnsiTheme="minorHAnsi" w:cs="Garamond"/>
        </w:rPr>
      </w:pPr>
    </w:p>
    <w:p w14:paraId="1E9FB11C" w14:textId="0DD25E9A" w:rsidR="0084501E" w:rsidRPr="00AA117A" w:rsidRDefault="0084501E"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rPr>
      </w:pPr>
      <w:r w:rsidRPr="00AA117A">
        <w:rPr>
          <w:rFonts w:asciiTheme="minorHAnsi" w:hAnsiTheme="minorHAnsi"/>
        </w:rPr>
        <w:t xml:space="preserve">4. </w:t>
      </w:r>
      <w:r w:rsidRPr="00AA117A">
        <w:tab/>
      </w:r>
      <w:r w:rsidRPr="00AA117A">
        <w:rPr>
          <w:rFonts w:asciiTheme="minorHAnsi" w:hAnsiTheme="minorHAnsi"/>
        </w:rPr>
        <w:t>Suiza (como país anfitrión de la Secretaría de la Convención) participa como observador permanente. La Presidencia del Grupo de Examen Científico y Técnico y seis organizaciones internacionales asociadas oficiales (BirdLife International, la Unión Internacional para la Conservación de la Naturaleza, International Water Management Institute, Wetlands International, WWF International y Wildfowl and Wetlands Trust) son invitadas a participar como observadores en las reuniones del Comité Permanente.</w:t>
      </w:r>
    </w:p>
    <w:p w14:paraId="6F5A40E2" w14:textId="77777777" w:rsidR="009F56D8" w:rsidRPr="00AA117A" w:rsidRDefault="009F56D8" w:rsidP="00C5173B">
      <w:pPr>
        <w:overflowPunct w:val="0"/>
        <w:autoSpaceDE w:val="0"/>
        <w:autoSpaceDN w:val="0"/>
        <w:adjustRightInd w:val="0"/>
        <w:spacing w:after="0" w:line="240" w:lineRule="auto"/>
        <w:ind w:left="425" w:hanging="425"/>
        <w:rPr>
          <w:rFonts w:asciiTheme="minorHAnsi" w:hAnsiTheme="minorHAnsi" w:cs="Garamond"/>
        </w:rPr>
      </w:pPr>
    </w:p>
    <w:p w14:paraId="6FB75121" w14:textId="7F3C047D" w:rsidR="009F56D8" w:rsidRPr="00AA117A" w:rsidRDefault="00C5173B"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rPr>
      </w:pPr>
      <w:r w:rsidRPr="00AA117A">
        <w:rPr>
          <w:rFonts w:asciiTheme="minorHAnsi" w:hAnsiTheme="minorHAnsi"/>
        </w:rPr>
        <w:t>5.</w:t>
      </w:r>
      <w:r w:rsidRPr="00AA117A">
        <w:tab/>
      </w:r>
      <w:r w:rsidRPr="00AA117A">
        <w:rPr>
          <w:rFonts w:asciiTheme="minorHAnsi" w:hAnsiTheme="minorHAnsi"/>
        </w:rPr>
        <w:t>Los países que no son Partes Contratantes, pero que han expresado su interés en adherirse a la Convención, así como otros expertos o instituciones calificadas de acuerdo con el artículo 7 del Reglamento, también pueden ser admitidos como observadores en las reuniones del Comité Permanente.</w:t>
      </w:r>
      <w:bookmarkStart w:id="0" w:name="_Hlk112061192"/>
    </w:p>
    <w:bookmarkEnd w:id="0"/>
    <w:p w14:paraId="7434E4D9" w14:textId="77777777" w:rsidR="00666625" w:rsidRPr="00AA117A" w:rsidRDefault="00666625" w:rsidP="00E23CD4">
      <w:pPr>
        <w:overflowPunct w:val="0"/>
        <w:autoSpaceDE w:val="0"/>
        <w:autoSpaceDN w:val="0"/>
        <w:adjustRightInd w:val="0"/>
        <w:spacing w:after="0" w:line="240" w:lineRule="auto"/>
        <w:ind w:left="425" w:hanging="425"/>
        <w:rPr>
          <w:rFonts w:ascii="Sakkal Majalla" w:hAnsi="Sakkal Majalla" w:cs="Sakkal Majalla"/>
          <w:sz w:val="28"/>
          <w:szCs w:val="28"/>
        </w:rPr>
      </w:pPr>
    </w:p>
    <w:p w14:paraId="66B059A5" w14:textId="1300427C" w:rsidR="00924E02" w:rsidRPr="00AA117A" w:rsidRDefault="00E94092" w:rsidP="00E23CD4">
      <w:pPr>
        <w:tabs>
          <w:tab w:val="num" w:pos="720"/>
          <w:tab w:val="left" w:pos="4253"/>
        </w:tabs>
        <w:overflowPunct w:val="0"/>
        <w:autoSpaceDE w:val="0"/>
        <w:autoSpaceDN w:val="0"/>
        <w:adjustRightInd w:val="0"/>
        <w:spacing w:after="0" w:line="240" w:lineRule="auto"/>
        <w:ind w:left="425" w:hanging="425"/>
        <w:rPr>
          <w:rFonts w:asciiTheme="minorHAnsi" w:hAnsiTheme="minorHAnsi" w:cs="Garamond"/>
        </w:rPr>
      </w:pPr>
      <w:r w:rsidRPr="00AA117A">
        <w:rPr>
          <w:rFonts w:asciiTheme="minorHAnsi" w:hAnsiTheme="minorHAnsi"/>
        </w:rPr>
        <w:t xml:space="preserve">6. </w:t>
      </w:r>
      <w:r w:rsidRPr="00AA117A">
        <w:rPr>
          <w:rFonts w:asciiTheme="minorHAnsi" w:hAnsiTheme="minorHAnsi"/>
        </w:rPr>
        <w:tab/>
        <w:t>La Conferencia de las Partes Contratantes ha encomendado al Comité Permanente la supervisión de los asuntos en curso durante el trienio. Entre ellos se encuentran las cuestiones financieras y presupuestarias, el Plan Estratégico de la Convención para 2016-2024, el aumento de la visibilidad de la Convención, las iniciativas regionales de Ramsar y la preparación de la COP15, así como el examen de cualquier otro asunto pertinente planteado por los miembros y observadores.</w:t>
      </w:r>
    </w:p>
    <w:p w14:paraId="166BF61F" w14:textId="77777777" w:rsidR="009F56D8" w:rsidRPr="00AA117A" w:rsidRDefault="009F56D8" w:rsidP="00C5173B">
      <w:pPr>
        <w:overflowPunct w:val="0"/>
        <w:autoSpaceDE w:val="0"/>
        <w:autoSpaceDN w:val="0"/>
        <w:adjustRightInd w:val="0"/>
        <w:spacing w:after="0" w:line="240" w:lineRule="auto"/>
        <w:ind w:left="425" w:hanging="425"/>
        <w:rPr>
          <w:rFonts w:asciiTheme="minorHAnsi" w:hAnsiTheme="minorHAnsi" w:cs="Garamond"/>
        </w:rPr>
      </w:pPr>
    </w:p>
    <w:p w14:paraId="46CDBB4F" w14:textId="4AFC3AEB" w:rsidR="00924E02" w:rsidRPr="00AA117A" w:rsidRDefault="00E94092"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rPr>
      </w:pPr>
      <w:r w:rsidRPr="00AA117A">
        <w:rPr>
          <w:rFonts w:asciiTheme="minorHAnsi" w:hAnsiTheme="minorHAnsi"/>
        </w:rPr>
        <w:t xml:space="preserve">7. </w:t>
      </w:r>
      <w:r w:rsidRPr="00AA117A">
        <w:tab/>
      </w:r>
      <w:r w:rsidRPr="00AA117A">
        <w:rPr>
          <w:rFonts w:asciiTheme="minorHAnsi" w:hAnsiTheme="minorHAnsi"/>
        </w:rPr>
        <w:t>Se informó a todas las Partes Contratantes de cada reunión del Comité Permanente mediante nota diplomática, y las Partes que no son miembros del Comité fueron invitadas a asistir en calidad de observadoras. La Secretaría preparó la documentación que se examinaría en cada reunión del Comité Permanente de conformidad con el reglamento. Los documentos se publicaron en el sitio web de la Convención.</w:t>
      </w:r>
    </w:p>
    <w:p w14:paraId="5B7F4A9F" w14:textId="63E2EF30" w:rsidR="1F90216E" w:rsidRPr="00AA117A" w:rsidRDefault="1F90216E" w:rsidP="1F90216E">
      <w:pPr>
        <w:tabs>
          <w:tab w:val="num" w:pos="720"/>
          <w:tab w:val="left" w:pos="4253"/>
        </w:tabs>
        <w:spacing w:after="0" w:line="240" w:lineRule="auto"/>
        <w:ind w:left="425" w:hanging="425"/>
        <w:rPr>
          <w:rFonts w:asciiTheme="minorHAnsi" w:hAnsiTheme="minorHAnsi"/>
        </w:rPr>
      </w:pPr>
    </w:p>
    <w:p w14:paraId="6C85816D" w14:textId="19F84E33" w:rsidR="6B482B14" w:rsidRPr="00AA117A" w:rsidRDefault="00802DAC" w:rsidP="1F90216E">
      <w:pPr>
        <w:tabs>
          <w:tab w:val="num" w:pos="720"/>
          <w:tab w:val="left" w:pos="4253"/>
        </w:tabs>
        <w:spacing w:after="0" w:line="240" w:lineRule="auto"/>
        <w:ind w:left="425" w:hanging="425"/>
        <w:rPr>
          <w:rFonts w:asciiTheme="minorHAnsi" w:hAnsiTheme="minorHAnsi"/>
        </w:rPr>
      </w:pPr>
      <w:r w:rsidRPr="00AA117A">
        <w:rPr>
          <w:rFonts w:asciiTheme="minorHAnsi" w:hAnsiTheme="minorHAnsi"/>
        </w:rPr>
        <w:t>8.</w:t>
      </w:r>
      <w:r w:rsidRPr="00AA117A">
        <w:tab/>
      </w:r>
      <w:r w:rsidRPr="00AA117A">
        <w:rPr>
          <w:rFonts w:asciiTheme="minorHAnsi" w:hAnsiTheme="minorHAnsi"/>
        </w:rPr>
        <w:t xml:space="preserve">El Comité Permanente celebró seis reuniones durante este período: </w:t>
      </w:r>
    </w:p>
    <w:p w14:paraId="58406A96" w14:textId="350408C8" w:rsidR="6B482B14" w:rsidRPr="00AA117A" w:rsidRDefault="6B482B14" w:rsidP="1F90216E">
      <w:pPr>
        <w:pStyle w:val="ListParagraph"/>
        <w:numPr>
          <w:ilvl w:val="0"/>
          <w:numId w:val="4"/>
        </w:numPr>
        <w:spacing w:after="0" w:line="240" w:lineRule="auto"/>
        <w:ind w:left="850" w:hanging="425"/>
        <w:rPr>
          <w:rFonts w:asciiTheme="minorHAnsi" w:hAnsiTheme="minorHAnsi" w:cs="Garamond"/>
        </w:rPr>
      </w:pPr>
      <w:r w:rsidRPr="00AA117A">
        <w:rPr>
          <w:rFonts w:asciiTheme="minorHAnsi" w:hAnsiTheme="minorHAnsi"/>
        </w:rPr>
        <w:t>61ª reunión: 13 de noviembre de 2022, Ginebra (Suiza);</w:t>
      </w:r>
    </w:p>
    <w:p w14:paraId="00D51A05" w14:textId="2830936F" w:rsidR="6B482B14" w:rsidRPr="00AA117A" w:rsidRDefault="6B482B14" w:rsidP="1F90216E">
      <w:pPr>
        <w:pStyle w:val="ListParagraph"/>
        <w:numPr>
          <w:ilvl w:val="0"/>
          <w:numId w:val="4"/>
        </w:numPr>
        <w:spacing w:after="0" w:line="240" w:lineRule="auto"/>
        <w:ind w:left="850" w:hanging="425"/>
        <w:rPr>
          <w:rFonts w:asciiTheme="minorHAnsi" w:hAnsiTheme="minorHAnsi" w:cs="Garamond"/>
        </w:rPr>
      </w:pPr>
      <w:r w:rsidRPr="00AA117A">
        <w:rPr>
          <w:rFonts w:asciiTheme="minorHAnsi" w:hAnsiTheme="minorHAnsi"/>
        </w:rPr>
        <w:t xml:space="preserve">62ª reunión: 4 a 8 de septiembre de 2023, Gland (Suiza); </w:t>
      </w:r>
    </w:p>
    <w:p w14:paraId="07B2AC8F" w14:textId="69D3E7C1" w:rsidR="6B482B14" w:rsidRPr="00AA117A" w:rsidRDefault="6B482B14" w:rsidP="1F90216E">
      <w:pPr>
        <w:pStyle w:val="ListParagraph"/>
        <w:numPr>
          <w:ilvl w:val="0"/>
          <w:numId w:val="4"/>
        </w:numPr>
        <w:spacing w:after="0" w:line="240" w:lineRule="auto"/>
        <w:ind w:left="850" w:hanging="425"/>
        <w:rPr>
          <w:rFonts w:asciiTheme="minorHAnsi" w:hAnsiTheme="minorHAnsi" w:cs="Garamond"/>
        </w:rPr>
      </w:pPr>
      <w:r w:rsidRPr="00AA117A">
        <w:rPr>
          <w:rFonts w:asciiTheme="minorHAnsi" w:hAnsiTheme="minorHAnsi"/>
        </w:rPr>
        <w:t>63ª reunión: 3 a 7 de junio de 2024, Gland (Suiza);</w:t>
      </w:r>
    </w:p>
    <w:p w14:paraId="4608797C" w14:textId="509B8318" w:rsidR="6B482B14" w:rsidRPr="00AA117A" w:rsidRDefault="6B482B14" w:rsidP="1F90216E">
      <w:pPr>
        <w:pStyle w:val="ListParagraph"/>
        <w:numPr>
          <w:ilvl w:val="0"/>
          <w:numId w:val="4"/>
        </w:numPr>
        <w:spacing w:after="0" w:line="240" w:lineRule="auto"/>
        <w:ind w:left="850" w:hanging="425"/>
        <w:rPr>
          <w:rFonts w:asciiTheme="minorHAnsi" w:hAnsiTheme="minorHAnsi" w:cs="Garamond"/>
        </w:rPr>
      </w:pPr>
      <w:r w:rsidRPr="00AA117A">
        <w:rPr>
          <w:rFonts w:asciiTheme="minorHAnsi" w:hAnsiTheme="minorHAnsi"/>
        </w:rPr>
        <w:t>64ª reunión: 20 a 24 de junio de 2025, Gland (Suiza);</w:t>
      </w:r>
    </w:p>
    <w:p w14:paraId="3F8745B4" w14:textId="6318A25A" w:rsidR="6B482B14" w:rsidRPr="00AA117A" w:rsidRDefault="6B482B14" w:rsidP="1F90216E">
      <w:pPr>
        <w:pStyle w:val="ListParagraph"/>
        <w:numPr>
          <w:ilvl w:val="0"/>
          <w:numId w:val="4"/>
        </w:numPr>
        <w:spacing w:after="0" w:line="240" w:lineRule="auto"/>
        <w:ind w:left="850" w:hanging="425"/>
        <w:rPr>
          <w:rFonts w:asciiTheme="minorHAnsi" w:hAnsiTheme="minorHAnsi" w:cs="Garamond"/>
        </w:rPr>
      </w:pPr>
      <w:r w:rsidRPr="00AA117A">
        <w:rPr>
          <w:rFonts w:asciiTheme="minorHAnsi" w:hAnsiTheme="minorHAnsi"/>
        </w:rPr>
        <w:t>Sesión a puerta cerrada: 18 de marzo de 2025, en línea.</w:t>
      </w:r>
    </w:p>
    <w:p w14:paraId="71B0E78C" w14:textId="4279E595" w:rsidR="6B482B14" w:rsidRPr="00AA117A" w:rsidRDefault="6B482B14" w:rsidP="1F90216E">
      <w:pPr>
        <w:pStyle w:val="ListParagraph"/>
        <w:numPr>
          <w:ilvl w:val="0"/>
          <w:numId w:val="4"/>
        </w:numPr>
        <w:spacing w:after="0" w:line="240" w:lineRule="auto"/>
        <w:ind w:left="850" w:hanging="425"/>
        <w:rPr>
          <w:rFonts w:asciiTheme="minorHAnsi" w:hAnsiTheme="minorHAnsi" w:cs="Garamond"/>
        </w:rPr>
      </w:pPr>
      <w:r w:rsidRPr="00AA117A">
        <w:rPr>
          <w:rFonts w:asciiTheme="minorHAnsi" w:hAnsiTheme="minorHAnsi"/>
        </w:rPr>
        <w:t>65ª reunión: 23 de julio de 2025, Victoria Falls (Zimbabwe).</w:t>
      </w:r>
    </w:p>
    <w:p w14:paraId="5D979A71" w14:textId="77777777" w:rsidR="009F56D8" w:rsidRPr="00AA117A" w:rsidRDefault="009F56D8" w:rsidP="00802DAC">
      <w:pPr>
        <w:overflowPunct w:val="0"/>
        <w:autoSpaceDE w:val="0"/>
        <w:autoSpaceDN w:val="0"/>
        <w:adjustRightInd w:val="0"/>
        <w:spacing w:after="0" w:line="240" w:lineRule="auto"/>
        <w:rPr>
          <w:rFonts w:asciiTheme="minorHAnsi" w:hAnsiTheme="minorHAnsi" w:cs="Garamond"/>
        </w:rPr>
      </w:pPr>
    </w:p>
    <w:p w14:paraId="1C0CCB9A" w14:textId="12A2F2AD" w:rsidR="00452FBE" w:rsidRPr="00AA117A" w:rsidRDefault="00802DAC"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rPr>
      </w:pPr>
      <w:r w:rsidRPr="00AA117A">
        <w:rPr>
          <w:rFonts w:asciiTheme="minorHAnsi" w:hAnsiTheme="minorHAnsi"/>
        </w:rPr>
        <w:t xml:space="preserve">9. </w:t>
      </w:r>
      <w:r w:rsidRPr="00AA117A">
        <w:tab/>
      </w:r>
      <w:r w:rsidRPr="00AA117A">
        <w:rPr>
          <w:rFonts w:asciiTheme="minorHAnsi" w:hAnsiTheme="minorHAnsi"/>
        </w:rPr>
        <w:t>Los informes y las decisiones de cada reunión del Comité Permanente se han distribuido a todas las Partes Contratantes mediante nota diplomática en los tres idiomas oficiales de la Convención, y también se han publicado en el sitio web de la Convención</w:t>
      </w:r>
      <w:r w:rsidR="003C33B1" w:rsidRPr="00AA117A">
        <w:rPr>
          <w:rStyle w:val="FootnoteReference"/>
          <w:rFonts w:asciiTheme="minorHAnsi" w:hAnsiTheme="minorHAnsi"/>
        </w:rPr>
        <w:footnoteReference w:id="6"/>
      </w:r>
      <w:r w:rsidRPr="00AA117A">
        <w:rPr>
          <w:rFonts w:asciiTheme="minorHAnsi" w:hAnsiTheme="minorHAnsi"/>
        </w:rPr>
        <w:t>.</w:t>
      </w:r>
    </w:p>
    <w:p w14:paraId="31EB91A9" w14:textId="77777777" w:rsidR="00452FBE" w:rsidRPr="00AA117A" w:rsidRDefault="00452FBE" w:rsidP="00C5173B">
      <w:pPr>
        <w:overflowPunct w:val="0"/>
        <w:autoSpaceDE w:val="0"/>
        <w:autoSpaceDN w:val="0"/>
        <w:adjustRightInd w:val="0"/>
        <w:spacing w:after="0" w:line="240" w:lineRule="auto"/>
        <w:ind w:left="425" w:hanging="425"/>
        <w:rPr>
          <w:rFonts w:asciiTheme="minorHAnsi" w:hAnsiTheme="minorHAnsi" w:cs="Garamond"/>
        </w:rPr>
      </w:pPr>
    </w:p>
    <w:p w14:paraId="353FDB82" w14:textId="2F1ED3D2" w:rsidR="00452FBE" w:rsidRPr="00AA117A" w:rsidRDefault="00802DAC" w:rsidP="00E23CD4">
      <w:pPr>
        <w:tabs>
          <w:tab w:val="num" w:pos="720"/>
          <w:tab w:val="left" w:pos="4253"/>
        </w:tabs>
        <w:overflowPunct w:val="0"/>
        <w:autoSpaceDE w:val="0"/>
        <w:autoSpaceDN w:val="0"/>
        <w:adjustRightInd w:val="0"/>
        <w:spacing w:after="0" w:line="240" w:lineRule="auto"/>
        <w:ind w:left="425" w:hanging="425"/>
        <w:rPr>
          <w:rFonts w:asciiTheme="minorHAnsi" w:hAnsiTheme="minorHAnsi" w:cs="Garamond"/>
        </w:rPr>
      </w:pPr>
      <w:r w:rsidRPr="00AA117A">
        <w:rPr>
          <w:rFonts w:asciiTheme="minorHAnsi" w:hAnsiTheme="minorHAnsi"/>
        </w:rPr>
        <w:t>10.</w:t>
      </w:r>
      <w:r w:rsidRPr="00AA117A">
        <w:rPr>
          <w:rFonts w:asciiTheme="minorHAnsi" w:hAnsiTheme="minorHAnsi"/>
        </w:rPr>
        <w:tab/>
        <w:t>El presente informe abarca el período comprendido entre noviembre de 2022 (la clausura de la 14ª reunión de la Conferencia de las Partes Contratantes) y el final de julio de 2025.</w:t>
      </w:r>
    </w:p>
    <w:p w14:paraId="1C3A58A4" w14:textId="19D4F0AB" w:rsidR="00BE7A33" w:rsidRPr="00AA117A" w:rsidRDefault="00F62F45" w:rsidP="00BE7A33">
      <w:pPr>
        <w:overflowPunct w:val="0"/>
        <w:autoSpaceDE w:val="0"/>
        <w:autoSpaceDN w:val="0"/>
        <w:adjustRightInd w:val="0"/>
        <w:spacing w:after="0" w:line="240" w:lineRule="auto"/>
        <w:rPr>
          <w:rFonts w:asciiTheme="minorHAnsi" w:hAnsiTheme="minorHAnsi" w:cs="Garamond"/>
        </w:rPr>
      </w:pPr>
      <w:r w:rsidRPr="00AA117A">
        <w:rPr>
          <w:rFonts w:asciiTheme="minorHAnsi" w:hAnsiTheme="minorHAnsi"/>
        </w:rPr>
        <w:tab/>
      </w:r>
    </w:p>
    <w:p w14:paraId="726C8402" w14:textId="192188D8" w:rsidR="00136DE8" w:rsidRPr="00AA117A" w:rsidRDefault="00136DE8"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rPr>
      </w:pPr>
      <w:bookmarkStart w:id="1" w:name="page5"/>
      <w:bookmarkEnd w:id="1"/>
      <w:r w:rsidRPr="00AA117A">
        <w:rPr>
          <w:rFonts w:asciiTheme="minorHAnsi" w:hAnsiTheme="minorHAnsi"/>
        </w:rPr>
        <w:t>11.</w:t>
      </w:r>
      <w:r w:rsidRPr="00AA117A">
        <w:tab/>
      </w:r>
      <w:r w:rsidRPr="00AA117A">
        <w:rPr>
          <w:rFonts w:asciiTheme="minorHAnsi" w:hAnsiTheme="minorHAnsi"/>
        </w:rPr>
        <w:t xml:space="preserve">El Grupo de Trabajo Administrativo del Comité Permanente se reunió en seis ocasiones durante el período de referencia para debatir cuestiones de su competencia e informar de sus </w:t>
      </w:r>
      <w:r w:rsidRPr="00AA117A">
        <w:rPr>
          <w:rFonts w:asciiTheme="minorHAnsi" w:hAnsiTheme="minorHAnsi"/>
        </w:rPr>
        <w:lastRenderedPageBreak/>
        <w:t>recomendaciones a la reunión plenaria del Comité Permanente. La Secretaría informó al Equipo Ejecutivo sobre la situación de las actividades relacionadas con el Programa sobre comunicación, fomento de capacidad, educación, concienciación y participación (CECoP), el Grupo de Examen Científico y Técnico (GECT) y las actividades de viajes y representación de la Secretaria General, entre otras.</w:t>
      </w:r>
    </w:p>
    <w:p w14:paraId="56F23219" w14:textId="77777777" w:rsidR="00FF227F" w:rsidRPr="00AA117A" w:rsidRDefault="00FF227F" w:rsidP="00FF227F">
      <w:pPr>
        <w:autoSpaceDE w:val="0"/>
        <w:autoSpaceDN w:val="0"/>
        <w:adjustRightInd w:val="0"/>
        <w:spacing w:after="0" w:line="240" w:lineRule="auto"/>
        <w:rPr>
          <w:rFonts w:asciiTheme="minorHAnsi" w:hAnsiTheme="minorHAnsi" w:cs="Garamond"/>
          <w:bCs/>
          <w:u w:val="single"/>
        </w:rPr>
      </w:pPr>
    </w:p>
    <w:p w14:paraId="332FE342" w14:textId="34989B84" w:rsidR="004E477C" w:rsidRPr="00AA117A" w:rsidRDefault="00392164" w:rsidP="004E477C">
      <w:pPr>
        <w:tabs>
          <w:tab w:val="num" w:pos="720"/>
          <w:tab w:val="left" w:pos="4253"/>
        </w:tabs>
        <w:overflowPunct w:val="0"/>
        <w:autoSpaceDE w:val="0"/>
        <w:autoSpaceDN w:val="0"/>
        <w:adjustRightInd w:val="0"/>
        <w:spacing w:after="0" w:line="240" w:lineRule="auto"/>
        <w:ind w:left="425" w:hanging="425"/>
      </w:pPr>
      <w:r w:rsidRPr="00AA117A">
        <w:t>12.</w:t>
      </w:r>
      <w:r w:rsidRPr="00AA117A">
        <w:tab/>
      </w:r>
      <w:r w:rsidRPr="00AA117A">
        <w:rPr>
          <w:rFonts w:asciiTheme="minorHAnsi" w:hAnsiTheme="minorHAnsi"/>
        </w:rPr>
        <w:t>Durante</w:t>
      </w:r>
      <w:r w:rsidRPr="00AA117A">
        <w:t xml:space="preserve"> este período, el Presidente y el Equipo Ejecutivo mantuvieron una comunicación periódica con la Secretaría a través de mensajes de correo electrónico y reuniones virtuales para examinar la gestión de la Secretaría, la visión y las prioridades de la Secretaría para el trienio y la mejor forma de prestar apoyo a la Secretaría y a las Partes Contratantes.</w:t>
      </w:r>
    </w:p>
    <w:p w14:paraId="33681D8E" w14:textId="4F2E1CD7" w:rsidR="00C72DF0" w:rsidRPr="00AA117A" w:rsidRDefault="00C72DF0" w:rsidP="004E477C">
      <w:pPr>
        <w:tabs>
          <w:tab w:val="num" w:pos="720"/>
          <w:tab w:val="left" w:pos="4253"/>
        </w:tabs>
        <w:overflowPunct w:val="0"/>
        <w:autoSpaceDE w:val="0"/>
        <w:autoSpaceDN w:val="0"/>
        <w:adjustRightInd w:val="0"/>
        <w:spacing w:after="0" w:line="240" w:lineRule="auto"/>
        <w:ind w:left="425" w:hanging="425"/>
        <w:rPr>
          <w:rFonts w:asciiTheme="minorHAnsi" w:hAnsiTheme="minorHAnsi" w:cs="Garamond"/>
        </w:rPr>
      </w:pPr>
    </w:p>
    <w:p w14:paraId="5CC9D670" w14:textId="4CB0E9FE" w:rsidR="004E477C" w:rsidRPr="00AA117A" w:rsidRDefault="00392164" w:rsidP="00DD06DC">
      <w:pPr>
        <w:tabs>
          <w:tab w:val="num" w:pos="720"/>
          <w:tab w:val="left" w:pos="4253"/>
        </w:tabs>
        <w:overflowPunct w:val="0"/>
        <w:autoSpaceDE w:val="0"/>
        <w:autoSpaceDN w:val="0"/>
        <w:adjustRightInd w:val="0"/>
        <w:spacing w:after="0" w:line="240" w:lineRule="auto"/>
        <w:ind w:left="425" w:hanging="425"/>
      </w:pPr>
      <w:r w:rsidRPr="00AA117A">
        <w:t>13.</w:t>
      </w:r>
      <w:r w:rsidRPr="00AA117A">
        <w:tab/>
        <w:t>El Presidente y el Equipo Ejecutivo proporcionaron orientación continua a la Secretaría sobre cuestiones técnicas y administrativas, incluido el apoyo al funcionamiento diario de la Secretaría y los preparativos para las reuniones del Comité Permanente (SC62, SC63, SC64, SC65) y la Conferencia de las Partes Contratantes (COP15), manteniéndose informados sobre los avances y proporcionando la orientación necesaria.</w:t>
      </w:r>
    </w:p>
    <w:p w14:paraId="633CA325" w14:textId="77777777" w:rsidR="004E477C" w:rsidRPr="00AA117A" w:rsidRDefault="004E477C" w:rsidP="00DD06DC">
      <w:pPr>
        <w:tabs>
          <w:tab w:val="num" w:pos="720"/>
          <w:tab w:val="left" w:pos="4253"/>
        </w:tabs>
        <w:overflowPunct w:val="0"/>
        <w:autoSpaceDE w:val="0"/>
        <w:autoSpaceDN w:val="0"/>
        <w:adjustRightInd w:val="0"/>
        <w:spacing w:after="0" w:line="240" w:lineRule="auto"/>
        <w:ind w:left="425" w:hanging="425"/>
      </w:pPr>
    </w:p>
    <w:p w14:paraId="762AD5A7" w14:textId="68E40974" w:rsidR="000D45B2" w:rsidRPr="00AA117A" w:rsidRDefault="00F245AA"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rPr>
      </w:pPr>
      <w:r w:rsidRPr="00AA117A">
        <w:t>14.</w:t>
      </w:r>
      <w:r w:rsidRPr="00AA117A">
        <w:tab/>
      </w:r>
      <w:r w:rsidRPr="00AA117A">
        <w:rPr>
          <w:rFonts w:asciiTheme="minorHAnsi" w:hAnsiTheme="minorHAnsi"/>
        </w:rPr>
        <w:t>De conformidad con las normas y los procedimientos de la UICN, el Presidente llevó a cabo la evaluación inicial de la Secretaria General (SC62) y la evaluación anual de su desempeño (SC63). También hizo llamadas trimestrales de revisión para mantener actualizada la información sobre cuestiones administrativas y de gestión. El 18 de marzo de 2025, el Presidente organizó una sesión virtual del Comité Permanente a puerta cerrada entre períodos de sesiones para tratar la renovación del contrato de la Secretaria General.</w:t>
      </w:r>
    </w:p>
    <w:p w14:paraId="2C9A55FA" w14:textId="39F70D44" w:rsidR="00515AC3" w:rsidRPr="00AA117A" w:rsidRDefault="00515AC3" w:rsidP="00515AC3">
      <w:pPr>
        <w:spacing w:after="0" w:line="240" w:lineRule="auto"/>
        <w:rPr>
          <w:rFonts w:asciiTheme="minorHAnsi" w:hAnsiTheme="minorHAnsi" w:cstheme="minorHAnsi"/>
        </w:rPr>
      </w:pPr>
    </w:p>
    <w:p w14:paraId="55C4B634" w14:textId="1421902D" w:rsidR="00515AC3" w:rsidRPr="00AA117A" w:rsidRDefault="00515AC3" w:rsidP="00B728A8">
      <w:pPr>
        <w:keepNext/>
        <w:spacing w:after="0" w:line="240" w:lineRule="auto"/>
        <w:rPr>
          <w:rFonts w:asciiTheme="minorHAnsi" w:hAnsiTheme="minorHAnsi" w:cstheme="minorHAnsi"/>
          <w:b/>
          <w:bCs/>
        </w:rPr>
      </w:pPr>
      <w:r w:rsidRPr="00AA117A">
        <w:rPr>
          <w:rFonts w:asciiTheme="minorHAnsi" w:hAnsiTheme="minorHAnsi"/>
          <w:b/>
        </w:rPr>
        <w:t>Observaciones de la Presidencia</w:t>
      </w:r>
    </w:p>
    <w:p w14:paraId="1C247B95" w14:textId="77777777" w:rsidR="00571101" w:rsidRPr="00AA117A" w:rsidRDefault="00571101" w:rsidP="00B728A8">
      <w:pPr>
        <w:keepNext/>
        <w:overflowPunct w:val="0"/>
        <w:autoSpaceDE w:val="0"/>
        <w:autoSpaceDN w:val="0"/>
        <w:adjustRightInd w:val="0"/>
        <w:spacing w:after="0" w:line="240" w:lineRule="auto"/>
        <w:ind w:left="425" w:hanging="425"/>
        <w:rPr>
          <w:rFonts w:asciiTheme="minorHAnsi" w:hAnsiTheme="minorHAnsi" w:cs="Garamond"/>
        </w:rPr>
      </w:pPr>
    </w:p>
    <w:p w14:paraId="3EA5C118" w14:textId="0F4B8D46" w:rsidR="002956DC" w:rsidRPr="00AA117A" w:rsidRDefault="00E94092"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rPr>
      </w:pPr>
      <w:r w:rsidRPr="00AA117A">
        <w:rPr>
          <w:rFonts w:asciiTheme="minorHAnsi" w:hAnsiTheme="minorHAnsi"/>
        </w:rPr>
        <w:t>15.</w:t>
      </w:r>
      <w:r w:rsidRPr="00AA117A">
        <w:tab/>
      </w:r>
      <w:r w:rsidRPr="00AA117A">
        <w:rPr>
          <w:rFonts w:asciiTheme="minorHAnsi" w:hAnsiTheme="minorHAnsi"/>
        </w:rPr>
        <w:t>Durante este período, la Dra. Musonda Mumba ejerció su primer mandato como Secretaria General. Me gustaría extender mi profundo agradecimiento y reconocimiento a Musonda por su apoyo y asistencia en el desempeño de mis funciones.</w:t>
      </w:r>
    </w:p>
    <w:p w14:paraId="0D6FB72B" w14:textId="77777777" w:rsidR="00571101" w:rsidRPr="00AA117A" w:rsidRDefault="00571101" w:rsidP="009046AB">
      <w:pPr>
        <w:overflowPunct w:val="0"/>
        <w:autoSpaceDE w:val="0"/>
        <w:autoSpaceDN w:val="0"/>
        <w:adjustRightInd w:val="0"/>
        <w:spacing w:after="0" w:line="240" w:lineRule="auto"/>
        <w:rPr>
          <w:rFonts w:asciiTheme="minorHAnsi" w:hAnsiTheme="minorHAnsi" w:cs="Garamond"/>
          <w:highlight w:val="yellow"/>
        </w:rPr>
      </w:pPr>
    </w:p>
    <w:p w14:paraId="11D29D1A" w14:textId="485C6DCE" w:rsidR="00F31ECF" w:rsidRPr="00AA117A" w:rsidRDefault="00E94092"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rPr>
      </w:pPr>
      <w:r w:rsidRPr="00AA117A">
        <w:rPr>
          <w:rFonts w:asciiTheme="minorHAnsi" w:hAnsiTheme="minorHAnsi"/>
        </w:rPr>
        <w:t>16.</w:t>
      </w:r>
      <w:r w:rsidRPr="00AA117A">
        <w:tab/>
      </w:r>
      <w:r w:rsidRPr="00AA117A">
        <w:rPr>
          <w:rFonts w:asciiTheme="minorHAnsi" w:hAnsiTheme="minorHAnsi"/>
        </w:rPr>
        <w:t>Como Presidente del Comité Permanente, me gustaría dar las gracias a todos los miembros del Comité Permanente y a todos los grupos de trabajo, así como a los observadores, a otras Partes Contratantes, a las Organizaciones Internacionales Asociadas, al GECT, al Grupo de supervisión de las actividades de CECoP y a la Secretaría. El compromiso activo de todos y la actitud constructiva ante los trabajos de la Convención han contribuido de forma significativa al progreso de la aplicación de la Convención.</w:t>
      </w:r>
    </w:p>
    <w:p w14:paraId="57E1B5ED" w14:textId="77777777" w:rsidR="00571101" w:rsidRPr="00AA117A" w:rsidRDefault="00571101" w:rsidP="00571101">
      <w:pPr>
        <w:overflowPunct w:val="0"/>
        <w:autoSpaceDE w:val="0"/>
        <w:autoSpaceDN w:val="0"/>
        <w:adjustRightInd w:val="0"/>
        <w:spacing w:after="0" w:line="240" w:lineRule="auto"/>
        <w:ind w:left="425" w:hanging="425"/>
        <w:rPr>
          <w:rFonts w:asciiTheme="minorHAnsi" w:hAnsiTheme="minorHAnsi" w:cs="Garamond"/>
        </w:rPr>
      </w:pPr>
    </w:p>
    <w:p w14:paraId="090D29E1" w14:textId="48F23D8C" w:rsidR="00F31ECF" w:rsidRPr="00AA117A" w:rsidRDefault="00802DAC" w:rsidP="00DD06DC">
      <w:pPr>
        <w:tabs>
          <w:tab w:val="num" w:pos="720"/>
          <w:tab w:val="left" w:pos="4253"/>
        </w:tabs>
        <w:overflowPunct w:val="0"/>
        <w:autoSpaceDE w:val="0"/>
        <w:autoSpaceDN w:val="0"/>
        <w:adjustRightInd w:val="0"/>
        <w:spacing w:after="0" w:line="240" w:lineRule="auto"/>
        <w:ind w:left="425" w:hanging="425"/>
        <w:rPr>
          <w:rFonts w:asciiTheme="minorHAnsi" w:hAnsiTheme="minorHAnsi" w:cs="Garamond"/>
        </w:rPr>
      </w:pPr>
      <w:r w:rsidRPr="00AA117A">
        <w:rPr>
          <w:rFonts w:asciiTheme="minorHAnsi" w:hAnsiTheme="minorHAnsi"/>
        </w:rPr>
        <w:t>17.</w:t>
      </w:r>
      <w:r w:rsidRPr="00AA117A">
        <w:rPr>
          <w:rFonts w:asciiTheme="minorHAnsi" w:hAnsiTheme="minorHAnsi"/>
        </w:rPr>
        <w:tab/>
        <w:t>Quisiera reconocer el trabajo y la dedicación de quienes, en los Estados que son Partes Contratantes en la Convención, son los actores fundamentales para la conservación y el uso racional de los humedales, muchos de ellos héroes que a menudo se enfrentan a la adversidad en su trabajo diario. En cada uno de nuestros países, ellos hacen que la Convención sea una realidad, y a todos ellos les debemos nuestro reconocimiento.</w:t>
      </w:r>
    </w:p>
    <w:p w14:paraId="590C5BFA" w14:textId="77777777" w:rsidR="00571101" w:rsidRPr="00AA117A" w:rsidRDefault="00571101" w:rsidP="00571101">
      <w:pPr>
        <w:overflowPunct w:val="0"/>
        <w:autoSpaceDE w:val="0"/>
        <w:autoSpaceDN w:val="0"/>
        <w:adjustRightInd w:val="0"/>
        <w:spacing w:after="0" w:line="240" w:lineRule="auto"/>
        <w:ind w:left="425" w:hanging="425"/>
        <w:rPr>
          <w:rFonts w:asciiTheme="minorHAnsi" w:hAnsiTheme="minorHAnsi" w:cs="Garamond"/>
        </w:rPr>
      </w:pPr>
    </w:p>
    <w:p w14:paraId="4A316B59" w14:textId="097E192D" w:rsidR="00F31ECF" w:rsidRPr="00AA117A" w:rsidRDefault="00802DAC" w:rsidP="1F90216E">
      <w:pPr>
        <w:overflowPunct w:val="0"/>
        <w:autoSpaceDE w:val="0"/>
        <w:autoSpaceDN w:val="0"/>
        <w:adjustRightInd w:val="0"/>
        <w:spacing w:after="0" w:line="240" w:lineRule="auto"/>
        <w:ind w:left="425" w:hanging="425"/>
        <w:rPr>
          <w:rFonts w:asciiTheme="minorHAnsi" w:hAnsiTheme="minorHAnsi" w:cs="Garamond"/>
        </w:rPr>
      </w:pPr>
      <w:r w:rsidRPr="00AA117A">
        <w:rPr>
          <w:rFonts w:asciiTheme="minorHAnsi" w:hAnsiTheme="minorHAnsi"/>
        </w:rPr>
        <w:t>18.</w:t>
      </w:r>
      <w:r w:rsidRPr="00AA117A">
        <w:tab/>
      </w:r>
      <w:r w:rsidRPr="00AA117A">
        <w:rPr>
          <w:rFonts w:asciiTheme="minorHAnsi" w:hAnsiTheme="minorHAnsi"/>
        </w:rPr>
        <w:t>Por último, me gustaría expresar mi gratitud y reconocimiento a mis colegas del Equipo Ejecutivo, el Vicepresidente Jean Hervé, del Gabón, y Julien Katchinoff, de los Estados Unidos de América, como Presidente del Subgrupo de Finanzas, con los que he trabajado codo con codo durante las sesiones del Comité Permanente, y en particular entre sus reuniones.</w:t>
      </w:r>
    </w:p>
    <w:p w14:paraId="64F013E4" w14:textId="77777777" w:rsidR="00571101" w:rsidRPr="00AA117A" w:rsidRDefault="00571101" w:rsidP="00571101">
      <w:pPr>
        <w:overflowPunct w:val="0"/>
        <w:autoSpaceDE w:val="0"/>
        <w:autoSpaceDN w:val="0"/>
        <w:adjustRightInd w:val="0"/>
        <w:spacing w:after="0" w:line="240" w:lineRule="auto"/>
        <w:ind w:left="425" w:hanging="425"/>
        <w:rPr>
          <w:rFonts w:asciiTheme="minorHAnsi" w:hAnsiTheme="minorHAnsi" w:cs="Garamond"/>
        </w:rPr>
      </w:pPr>
    </w:p>
    <w:p w14:paraId="6937F482" w14:textId="2214E13F" w:rsidR="004F2C85" w:rsidRPr="00AA117A" w:rsidRDefault="00802DAC" w:rsidP="00DD06DC">
      <w:pPr>
        <w:tabs>
          <w:tab w:val="num" w:pos="720"/>
          <w:tab w:val="left" w:pos="4253"/>
        </w:tabs>
        <w:overflowPunct w:val="0"/>
        <w:autoSpaceDE w:val="0"/>
        <w:autoSpaceDN w:val="0"/>
        <w:adjustRightInd w:val="0"/>
        <w:spacing w:after="0" w:line="240" w:lineRule="auto"/>
        <w:ind w:left="425" w:hanging="425"/>
        <w:rPr>
          <w:rFonts w:asciiTheme="minorHAnsi" w:hAnsiTheme="minorHAnsi" w:cs="Garamond"/>
        </w:rPr>
      </w:pPr>
      <w:r w:rsidRPr="00AA117A">
        <w:rPr>
          <w:rFonts w:asciiTheme="minorHAnsi" w:hAnsiTheme="minorHAnsi"/>
        </w:rPr>
        <w:t>19.</w:t>
      </w:r>
      <w:r w:rsidRPr="00AA117A">
        <w:rPr>
          <w:rFonts w:asciiTheme="minorHAnsi" w:hAnsiTheme="minorHAnsi"/>
        </w:rPr>
        <w:tab/>
        <w:t>Deseo al nuevo Comité Permanente y a todas las Partes Contratantes un gran éxito en el cumplimiento de nuestra misión en el nuevo período que ahora comienza.</w:t>
      </w:r>
    </w:p>
    <w:p w14:paraId="22AC0189" w14:textId="77777777" w:rsidR="00C74CD5" w:rsidRPr="00AA117A" w:rsidRDefault="00C74CD5" w:rsidP="00C5173B">
      <w:pPr>
        <w:overflowPunct w:val="0"/>
        <w:autoSpaceDE w:val="0"/>
        <w:autoSpaceDN w:val="0"/>
        <w:adjustRightInd w:val="0"/>
        <w:spacing w:after="0" w:line="240" w:lineRule="auto"/>
        <w:rPr>
          <w:rFonts w:asciiTheme="minorHAnsi" w:hAnsiTheme="minorHAnsi"/>
        </w:rPr>
      </w:pPr>
    </w:p>
    <w:p w14:paraId="3BC3A43C" w14:textId="102FF084" w:rsidR="009F56D8" w:rsidRPr="00AA117A" w:rsidRDefault="000D45B2" w:rsidP="004F2C85">
      <w:pPr>
        <w:tabs>
          <w:tab w:val="left" w:pos="1870"/>
        </w:tabs>
        <w:spacing w:after="0" w:line="240" w:lineRule="auto"/>
        <w:rPr>
          <w:rFonts w:asciiTheme="minorHAnsi" w:hAnsiTheme="minorHAnsi" w:cstheme="minorHAnsi"/>
        </w:rPr>
      </w:pPr>
      <w:r w:rsidRPr="00AA117A">
        <w:rPr>
          <w:rFonts w:asciiTheme="minorHAnsi" w:hAnsiTheme="minorHAnsi"/>
        </w:rPr>
        <w:lastRenderedPageBreak/>
        <w:t xml:space="preserve">Dr. Xia Jun </w:t>
      </w:r>
    </w:p>
    <w:p w14:paraId="71D95681" w14:textId="4E071F14" w:rsidR="007043D2" w:rsidRPr="00AA117A" w:rsidRDefault="004F2C85" w:rsidP="00C5173B">
      <w:pPr>
        <w:spacing w:after="0" w:line="240" w:lineRule="auto"/>
        <w:rPr>
          <w:rFonts w:asciiTheme="minorHAnsi" w:hAnsiTheme="minorHAnsi" w:cstheme="minorHAnsi"/>
        </w:rPr>
      </w:pPr>
      <w:r w:rsidRPr="00AA117A">
        <w:rPr>
          <w:rFonts w:asciiTheme="minorHAnsi" w:hAnsiTheme="minorHAnsi"/>
        </w:rPr>
        <w:t>Presidente del Comité Permanente 2022-2025</w:t>
      </w:r>
    </w:p>
    <w:sectPr w:rsidR="007043D2" w:rsidRPr="00AA117A" w:rsidSect="00C5173B">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2AADE" w14:textId="77777777" w:rsidR="00D93724" w:rsidRDefault="00D93724" w:rsidP="00C5173B">
      <w:pPr>
        <w:spacing w:after="0" w:line="240" w:lineRule="auto"/>
      </w:pPr>
      <w:r>
        <w:separator/>
      </w:r>
    </w:p>
  </w:endnote>
  <w:endnote w:type="continuationSeparator" w:id="0">
    <w:p w14:paraId="1D201043" w14:textId="77777777" w:rsidR="00D93724" w:rsidRDefault="00D93724" w:rsidP="00C5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C0154" w14:textId="4FE71D76" w:rsidR="00F31ECF" w:rsidRPr="003C33B1" w:rsidRDefault="003C33B1" w:rsidP="003C33B1">
    <w:pPr>
      <w:pStyle w:val="Header"/>
      <w:rPr>
        <w:noProof/>
        <w:sz w:val="20"/>
        <w:szCs w:val="20"/>
      </w:rPr>
    </w:pPr>
    <w:r>
      <w:rPr>
        <w:sz w:val="20"/>
      </w:rPr>
      <w:t>COP15 Doc.7</w:t>
    </w:r>
    <w:r>
      <w:rPr>
        <w:sz w:val="20"/>
      </w:rPr>
      <w:tab/>
    </w:r>
    <w:r>
      <w:rPr>
        <w:sz w:val="20"/>
      </w:rPr>
      <w:tab/>
    </w:r>
    <w:sdt>
      <w:sdtPr>
        <w:rPr>
          <w:sz w:val="20"/>
          <w:szCs w:val="20"/>
        </w:rPr>
        <w:id w:val="-19777698"/>
        <w:docPartObj>
          <w:docPartGallery w:val="Page Numbers (Top of Page)"/>
          <w:docPartUnique/>
        </w:docPartObj>
      </w:sdtPr>
      <w:sdtEndPr>
        <w:rPr>
          <w:noProof/>
        </w:rPr>
      </w:sdtEndPr>
      <w:sdtContent>
        <w:r w:rsidRPr="00333314">
          <w:rPr>
            <w:sz w:val="20"/>
          </w:rPr>
          <w:fldChar w:fldCharType="begin"/>
        </w:r>
        <w:r w:rsidRPr="00333314">
          <w:rPr>
            <w:sz w:val="20"/>
          </w:rPr>
          <w:instrText xml:space="preserve"> PAGE   \* MERGEFORMAT </w:instrText>
        </w:r>
        <w:r w:rsidRPr="00333314">
          <w:rPr>
            <w:sz w:val="20"/>
          </w:rPr>
          <w:fldChar w:fldCharType="separate"/>
        </w:r>
        <w:r>
          <w:rPr>
            <w:sz w:val="20"/>
          </w:rPr>
          <w:t>3</w:t>
        </w:r>
        <w:r w:rsidRPr="00333314">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2B9F" w14:textId="77777777" w:rsidR="00D93724" w:rsidRDefault="00D93724" w:rsidP="00C5173B">
      <w:pPr>
        <w:spacing w:after="0" w:line="240" w:lineRule="auto"/>
      </w:pPr>
      <w:r>
        <w:separator/>
      </w:r>
    </w:p>
  </w:footnote>
  <w:footnote w:type="continuationSeparator" w:id="0">
    <w:p w14:paraId="54379317" w14:textId="77777777" w:rsidR="00D93724" w:rsidRDefault="00D93724" w:rsidP="00C5173B">
      <w:pPr>
        <w:spacing w:after="0" w:line="240" w:lineRule="auto"/>
      </w:pPr>
      <w:r>
        <w:continuationSeparator/>
      </w:r>
    </w:p>
  </w:footnote>
  <w:footnote w:id="1">
    <w:p w14:paraId="34754830" w14:textId="33BE6CCF" w:rsidR="003C33B1" w:rsidRPr="003C33B1" w:rsidRDefault="003C33B1">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w:t>
      </w:r>
      <w:hyperlink r:id="rId1" w:history="1">
        <w:r>
          <w:rPr>
            <w:rStyle w:val="Hyperlink"/>
            <w:rFonts w:asciiTheme="minorHAnsi" w:hAnsiTheme="minorHAnsi"/>
          </w:rPr>
          <w:t>https://www.ramsar.org/es/document/resolucion-33-la-creacion-de-un-comite-permanente</w:t>
        </w:r>
      </w:hyperlink>
      <w:r>
        <w:rPr>
          <w:rFonts w:asciiTheme="minorHAnsi" w:hAnsiTheme="minorHAnsi"/>
        </w:rPr>
        <w:t xml:space="preserve">. </w:t>
      </w:r>
    </w:p>
  </w:footnote>
  <w:footnote w:id="2">
    <w:p w14:paraId="2AC29C07" w14:textId="5385A621" w:rsidR="003C33B1" w:rsidRPr="003C33B1" w:rsidRDefault="003C33B1">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w:t>
      </w:r>
      <w:hyperlink r:id="rId2" w:history="1">
        <w:r>
          <w:rPr>
            <w:rStyle w:val="Hyperlink"/>
            <w:rFonts w:asciiTheme="minorHAnsi" w:hAnsiTheme="minorHAnsi"/>
          </w:rPr>
          <w:t>https://www.ramsar.org/es/document/resolucion-vii1-clasificacion-de-los-paises-por-regiones-en-el-marco-de-la-convencion-y</w:t>
        </w:r>
      </w:hyperlink>
      <w:r>
        <w:rPr>
          <w:rFonts w:asciiTheme="minorHAnsi" w:hAnsiTheme="minorHAnsi"/>
        </w:rPr>
        <w:t xml:space="preserve">. </w:t>
      </w:r>
    </w:p>
  </w:footnote>
  <w:footnote w:id="3">
    <w:p w14:paraId="2DE3CFF5" w14:textId="2C459C3B" w:rsidR="003C33B1" w:rsidRPr="003C33B1" w:rsidRDefault="003C33B1">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w:t>
      </w:r>
      <w:hyperlink r:id="rId3" w:history="1">
        <w:r>
          <w:rPr>
            <w:rStyle w:val="Hyperlink"/>
            <w:rFonts w:asciiTheme="minorHAnsi" w:hAnsiTheme="minorHAnsi"/>
          </w:rPr>
          <w:t>https://www.ramsar.org/es/document/resolucion-xi19-ajustes-las-disposiciones-de-la-resolucion-71-sobre-composicion-funciones</w:t>
        </w:r>
      </w:hyperlink>
      <w:r>
        <w:rPr>
          <w:rFonts w:asciiTheme="minorHAnsi" w:hAnsiTheme="minorHAnsi"/>
        </w:rPr>
        <w:t xml:space="preserve">. </w:t>
      </w:r>
    </w:p>
  </w:footnote>
  <w:footnote w:id="4">
    <w:p w14:paraId="3012F1A7" w14:textId="097367A8" w:rsidR="003C33B1" w:rsidRPr="003C33B1" w:rsidRDefault="003C33B1">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w:t>
      </w:r>
      <w:hyperlink r:id="rId4" w:history="1">
        <w:r>
          <w:rPr>
            <w:rStyle w:val="Hyperlink"/>
            <w:rFonts w:asciiTheme="minorHAnsi" w:hAnsiTheme="minorHAnsi"/>
          </w:rPr>
          <w:t>https://www.ramsar.org/es/document/resolucion-xiv2-responsabilidades-funciones-y-composicion-del-comite-permanente-y</w:t>
        </w:r>
      </w:hyperlink>
      <w:r>
        <w:rPr>
          <w:rFonts w:asciiTheme="minorHAnsi" w:hAnsiTheme="minorHAnsi"/>
        </w:rPr>
        <w:t xml:space="preserve">. </w:t>
      </w:r>
    </w:p>
  </w:footnote>
  <w:footnote w:id="5">
    <w:p w14:paraId="38AB46E4" w14:textId="121F5A8D" w:rsidR="003C33B1" w:rsidRDefault="003C33B1">
      <w:pPr>
        <w:pStyle w:val="FootnoteText"/>
      </w:pPr>
      <w:r>
        <w:rPr>
          <w:rStyle w:val="FootnoteReference"/>
          <w:rFonts w:asciiTheme="minorHAnsi" w:hAnsiTheme="minorHAnsi" w:cstheme="minorHAnsi"/>
        </w:rPr>
        <w:footnoteRef/>
      </w:r>
      <w:r>
        <w:rPr>
          <w:rFonts w:asciiTheme="minorHAnsi" w:hAnsiTheme="minorHAnsi"/>
        </w:rPr>
        <w:t xml:space="preserve"> </w:t>
      </w:r>
      <w:hyperlink r:id="rId5" w:history="1">
        <w:r>
          <w:rPr>
            <w:rStyle w:val="Hyperlink"/>
            <w:rFonts w:asciiTheme="minorHAnsi" w:hAnsiTheme="minorHAnsi"/>
          </w:rPr>
          <w:t>https://www.ramsar.org/es/document/reglamento-de-ramsar-cop14</w:t>
        </w:r>
      </w:hyperlink>
      <w:r>
        <w:rPr>
          <w:rFonts w:asciiTheme="minorHAnsi" w:hAnsiTheme="minorHAnsi"/>
        </w:rPr>
        <w:t>.</w:t>
      </w:r>
      <w:r>
        <w:t xml:space="preserve"> </w:t>
      </w:r>
    </w:p>
  </w:footnote>
  <w:footnote w:id="6">
    <w:p w14:paraId="10449125" w14:textId="4EC6D70C" w:rsidR="003C33B1" w:rsidRPr="00D73657" w:rsidRDefault="003C33B1">
      <w:pPr>
        <w:pStyle w:val="FootnoteText"/>
        <w:rPr>
          <w:rFonts w:asciiTheme="minorHAnsi" w:hAnsiTheme="minorHAnsi" w:cstheme="minorHAnsi"/>
          <w:lang w:val="fr-FR"/>
        </w:rPr>
      </w:pPr>
      <w:r w:rsidRPr="00D73657">
        <w:rPr>
          <w:rStyle w:val="FootnoteReference"/>
          <w:rFonts w:asciiTheme="minorHAnsi" w:hAnsiTheme="minorHAnsi" w:cstheme="minorHAnsi"/>
        </w:rPr>
        <w:footnoteRef/>
      </w:r>
      <w:r w:rsidRPr="00D73657">
        <w:rPr>
          <w:rFonts w:asciiTheme="minorHAnsi" w:hAnsiTheme="minorHAnsi" w:cstheme="minorHAnsi"/>
          <w:lang w:val="fr-FR"/>
        </w:rPr>
        <w:t xml:space="preserve"> Véase </w:t>
      </w:r>
      <w:hyperlink r:id="rId6" w:history="1">
        <w:r w:rsidR="00D73657" w:rsidRPr="00D73657">
          <w:rPr>
            <w:rStyle w:val="Hyperlink"/>
            <w:rFonts w:asciiTheme="minorHAnsi" w:hAnsiTheme="minorHAnsi" w:cstheme="minorHAnsi"/>
            <w:lang w:val="fr-FR"/>
          </w:rPr>
          <w:t>https://www.ramsar.org/es</w:t>
        </w:r>
      </w:hyperlink>
      <w:r w:rsidRPr="00D73657">
        <w:rPr>
          <w:rFonts w:asciiTheme="minorHAnsi" w:hAnsiTheme="minorHAnsi" w:cstheme="minorHAnsi"/>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1BB"/>
    <w:multiLevelType w:val="hybridMultilevel"/>
    <w:tmpl w:val="000026E9"/>
    <w:lvl w:ilvl="0" w:tplc="000001EB">
      <w:start w:val="12"/>
      <w:numFmt w:val="decimal"/>
      <w:lvlText w:val="%1."/>
      <w:lvlJc w:val="left"/>
      <w:pPr>
        <w:tabs>
          <w:tab w:val="num" w:pos="720"/>
        </w:tabs>
        <w:ind w:left="720" w:hanging="360"/>
      </w:pPr>
    </w:lvl>
    <w:lvl w:ilvl="1" w:tplc="00000B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5094CA86"/>
    <w:lvl w:ilvl="0" w:tplc="1C94DB42">
      <w:start w:val="3"/>
      <w:numFmt w:val="decimal"/>
      <w:lvlText w:val="%1."/>
      <w:lvlJc w:val="left"/>
      <w:pPr>
        <w:tabs>
          <w:tab w:val="num" w:pos="360"/>
        </w:tabs>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CE7C35"/>
    <w:multiLevelType w:val="hybridMultilevel"/>
    <w:tmpl w:val="8F98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D1A23"/>
    <w:multiLevelType w:val="hybridMultilevel"/>
    <w:tmpl w:val="B7667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6568AA"/>
    <w:multiLevelType w:val="hybridMultilevel"/>
    <w:tmpl w:val="2960B35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8CC7B59"/>
    <w:multiLevelType w:val="hybridMultilevel"/>
    <w:tmpl w:val="C61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07BEB"/>
    <w:multiLevelType w:val="hybridMultilevel"/>
    <w:tmpl w:val="0AEC5C86"/>
    <w:lvl w:ilvl="0" w:tplc="5468A816">
      <w:start w:val="1"/>
      <w:numFmt w:val="bullet"/>
      <w:lvlText w:val=""/>
      <w:lvlJc w:val="left"/>
      <w:pPr>
        <w:ind w:left="720" w:hanging="360"/>
      </w:pPr>
      <w:rPr>
        <w:rFonts w:ascii="Symbol" w:hAnsi="Symbol" w:hint="default"/>
        <w:color w:val="auto"/>
        <w:sz w:val="20"/>
      </w:rPr>
    </w:lvl>
    <w:lvl w:ilvl="1" w:tplc="F0EA0618">
      <w:numFmt w:val="bullet"/>
      <w:lvlText w:val="–"/>
      <w:lvlJc w:val="left"/>
      <w:pPr>
        <w:ind w:left="1440" w:hanging="360"/>
      </w:pPr>
      <w:rPr>
        <w:rFonts w:ascii="Calibri" w:eastAsia="Times New Roman" w:hAnsi="Calibri" w:cs="Times New Roman" w:hint="default"/>
        <w:b/>
      </w:rPr>
    </w:lvl>
    <w:lvl w:ilvl="2" w:tplc="F5C2ABEE">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63C00"/>
    <w:multiLevelType w:val="hybridMultilevel"/>
    <w:tmpl w:val="1D522F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E182C84"/>
    <w:multiLevelType w:val="hybridMultilevel"/>
    <w:tmpl w:val="FE0E1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5F662D"/>
    <w:multiLevelType w:val="hybridMultilevel"/>
    <w:tmpl w:val="4CFCC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821651380">
    <w:abstractNumId w:val="0"/>
  </w:num>
  <w:num w:numId="2" w16cid:durableId="1059936643">
    <w:abstractNumId w:val="2"/>
  </w:num>
  <w:num w:numId="3" w16cid:durableId="782310999">
    <w:abstractNumId w:val="1"/>
  </w:num>
  <w:num w:numId="4" w16cid:durableId="1741248061">
    <w:abstractNumId w:val="7"/>
  </w:num>
  <w:num w:numId="5" w16cid:durableId="738749175">
    <w:abstractNumId w:val="4"/>
  </w:num>
  <w:num w:numId="6" w16cid:durableId="1686903201">
    <w:abstractNumId w:val="5"/>
  </w:num>
  <w:num w:numId="7" w16cid:durableId="1746607941">
    <w:abstractNumId w:val="8"/>
  </w:num>
  <w:num w:numId="8" w16cid:durableId="735401868">
    <w:abstractNumId w:val="11"/>
  </w:num>
  <w:num w:numId="9" w16cid:durableId="1728188335">
    <w:abstractNumId w:val="3"/>
  </w:num>
  <w:num w:numId="10" w16cid:durableId="807743258">
    <w:abstractNumId w:val="6"/>
  </w:num>
  <w:num w:numId="11" w16cid:durableId="373694850">
    <w:abstractNumId w:val="9"/>
  </w:num>
  <w:num w:numId="12" w16cid:durableId="524027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6D8"/>
    <w:rsid w:val="000008D6"/>
    <w:rsid w:val="00006B39"/>
    <w:rsid w:val="00012D41"/>
    <w:rsid w:val="00015E04"/>
    <w:rsid w:val="00021C94"/>
    <w:rsid w:val="00034E93"/>
    <w:rsid w:val="00060666"/>
    <w:rsid w:val="000656DD"/>
    <w:rsid w:val="000929BA"/>
    <w:rsid w:val="000A34DE"/>
    <w:rsid w:val="000B0404"/>
    <w:rsid w:val="000B14DE"/>
    <w:rsid w:val="000B1909"/>
    <w:rsid w:val="000C2357"/>
    <w:rsid w:val="000D3C12"/>
    <w:rsid w:val="000D45B2"/>
    <w:rsid w:val="000D62F0"/>
    <w:rsid w:val="000F4938"/>
    <w:rsid w:val="000F6B68"/>
    <w:rsid w:val="00104A41"/>
    <w:rsid w:val="001125E5"/>
    <w:rsid w:val="00117247"/>
    <w:rsid w:val="00121253"/>
    <w:rsid w:val="00136DE8"/>
    <w:rsid w:val="00141775"/>
    <w:rsid w:val="0014460A"/>
    <w:rsid w:val="001555A8"/>
    <w:rsid w:val="00163321"/>
    <w:rsid w:val="001640D5"/>
    <w:rsid w:val="00167ADA"/>
    <w:rsid w:val="00183156"/>
    <w:rsid w:val="001834DE"/>
    <w:rsid w:val="00187C95"/>
    <w:rsid w:val="00190836"/>
    <w:rsid w:val="001924EA"/>
    <w:rsid w:val="001A4962"/>
    <w:rsid w:val="001A63A0"/>
    <w:rsid w:val="001B6568"/>
    <w:rsid w:val="001D49F2"/>
    <w:rsid w:val="001E49B6"/>
    <w:rsid w:val="001F1377"/>
    <w:rsid w:val="001F2760"/>
    <w:rsid w:val="001F2F62"/>
    <w:rsid w:val="00207160"/>
    <w:rsid w:val="00211084"/>
    <w:rsid w:val="00212724"/>
    <w:rsid w:val="002128D0"/>
    <w:rsid w:val="00224C5B"/>
    <w:rsid w:val="00227C19"/>
    <w:rsid w:val="002320F7"/>
    <w:rsid w:val="002321E9"/>
    <w:rsid w:val="002410F9"/>
    <w:rsid w:val="00254142"/>
    <w:rsid w:val="00263CE9"/>
    <w:rsid w:val="002648D6"/>
    <w:rsid w:val="0026492C"/>
    <w:rsid w:val="00271D16"/>
    <w:rsid w:val="00272FD1"/>
    <w:rsid w:val="00273F3B"/>
    <w:rsid w:val="002749DD"/>
    <w:rsid w:val="002947CC"/>
    <w:rsid w:val="00294824"/>
    <w:rsid w:val="00294D49"/>
    <w:rsid w:val="002956DC"/>
    <w:rsid w:val="002A47CD"/>
    <w:rsid w:val="002C534F"/>
    <w:rsid w:val="002E5690"/>
    <w:rsid w:val="002F00AF"/>
    <w:rsid w:val="002F571D"/>
    <w:rsid w:val="00301793"/>
    <w:rsid w:val="00302301"/>
    <w:rsid w:val="0030465A"/>
    <w:rsid w:val="00307ED3"/>
    <w:rsid w:val="00315388"/>
    <w:rsid w:val="003173E7"/>
    <w:rsid w:val="0032557B"/>
    <w:rsid w:val="003265A2"/>
    <w:rsid w:val="0033067A"/>
    <w:rsid w:val="003317B9"/>
    <w:rsid w:val="0033487D"/>
    <w:rsid w:val="00337961"/>
    <w:rsid w:val="00347518"/>
    <w:rsid w:val="00353BF5"/>
    <w:rsid w:val="00355F8C"/>
    <w:rsid w:val="0036062D"/>
    <w:rsid w:val="003654AD"/>
    <w:rsid w:val="00373F47"/>
    <w:rsid w:val="00380A66"/>
    <w:rsid w:val="00383D65"/>
    <w:rsid w:val="00392164"/>
    <w:rsid w:val="00393045"/>
    <w:rsid w:val="00395877"/>
    <w:rsid w:val="00397953"/>
    <w:rsid w:val="003A28D8"/>
    <w:rsid w:val="003B50E6"/>
    <w:rsid w:val="003C33B1"/>
    <w:rsid w:val="003C71C0"/>
    <w:rsid w:val="003C7652"/>
    <w:rsid w:val="003D518A"/>
    <w:rsid w:val="003D715D"/>
    <w:rsid w:val="003E68C5"/>
    <w:rsid w:val="003F40E1"/>
    <w:rsid w:val="003F637E"/>
    <w:rsid w:val="003F695E"/>
    <w:rsid w:val="0040164C"/>
    <w:rsid w:val="00411DD9"/>
    <w:rsid w:val="00414780"/>
    <w:rsid w:val="00420737"/>
    <w:rsid w:val="00426276"/>
    <w:rsid w:val="004279F4"/>
    <w:rsid w:val="004353C1"/>
    <w:rsid w:val="00435D15"/>
    <w:rsid w:val="00442389"/>
    <w:rsid w:val="00444B34"/>
    <w:rsid w:val="00452FBE"/>
    <w:rsid w:val="00456081"/>
    <w:rsid w:val="004630FB"/>
    <w:rsid w:val="00465A8A"/>
    <w:rsid w:val="00472AA5"/>
    <w:rsid w:val="0048211C"/>
    <w:rsid w:val="00490946"/>
    <w:rsid w:val="004A0367"/>
    <w:rsid w:val="004A1E22"/>
    <w:rsid w:val="004A30C4"/>
    <w:rsid w:val="004A38AC"/>
    <w:rsid w:val="004A68B9"/>
    <w:rsid w:val="004A7331"/>
    <w:rsid w:val="004B055A"/>
    <w:rsid w:val="004C0E05"/>
    <w:rsid w:val="004C13E5"/>
    <w:rsid w:val="004C19D4"/>
    <w:rsid w:val="004C2103"/>
    <w:rsid w:val="004C4859"/>
    <w:rsid w:val="004D5B9A"/>
    <w:rsid w:val="004E477C"/>
    <w:rsid w:val="004E658E"/>
    <w:rsid w:val="004E70C5"/>
    <w:rsid w:val="004F1C0D"/>
    <w:rsid w:val="004F2C85"/>
    <w:rsid w:val="0050243A"/>
    <w:rsid w:val="0050253E"/>
    <w:rsid w:val="00505076"/>
    <w:rsid w:val="00515AC3"/>
    <w:rsid w:val="00517C72"/>
    <w:rsid w:val="00522CCF"/>
    <w:rsid w:val="0053066E"/>
    <w:rsid w:val="00532A55"/>
    <w:rsid w:val="00537705"/>
    <w:rsid w:val="00552B89"/>
    <w:rsid w:val="00560716"/>
    <w:rsid w:val="00561197"/>
    <w:rsid w:val="005701A9"/>
    <w:rsid w:val="00570661"/>
    <w:rsid w:val="0057086F"/>
    <w:rsid w:val="00571101"/>
    <w:rsid w:val="0058279E"/>
    <w:rsid w:val="00583BC5"/>
    <w:rsid w:val="005871AC"/>
    <w:rsid w:val="00597D22"/>
    <w:rsid w:val="005A0532"/>
    <w:rsid w:val="005A51BE"/>
    <w:rsid w:val="005A5841"/>
    <w:rsid w:val="005A60A9"/>
    <w:rsid w:val="005A7280"/>
    <w:rsid w:val="005C1530"/>
    <w:rsid w:val="005C3ABD"/>
    <w:rsid w:val="005C57B3"/>
    <w:rsid w:val="005C57F1"/>
    <w:rsid w:val="005D2CEE"/>
    <w:rsid w:val="005F0F18"/>
    <w:rsid w:val="005F3DDE"/>
    <w:rsid w:val="005F5AFD"/>
    <w:rsid w:val="00600DD3"/>
    <w:rsid w:val="00625012"/>
    <w:rsid w:val="0063764B"/>
    <w:rsid w:val="006415BC"/>
    <w:rsid w:val="0066583C"/>
    <w:rsid w:val="00666625"/>
    <w:rsid w:val="00667FF4"/>
    <w:rsid w:val="00673648"/>
    <w:rsid w:val="00673AEB"/>
    <w:rsid w:val="0068128F"/>
    <w:rsid w:val="00682488"/>
    <w:rsid w:val="00682B44"/>
    <w:rsid w:val="006947A5"/>
    <w:rsid w:val="00696D53"/>
    <w:rsid w:val="006A1B72"/>
    <w:rsid w:val="006A1C8D"/>
    <w:rsid w:val="006A73BE"/>
    <w:rsid w:val="006A770D"/>
    <w:rsid w:val="006A7867"/>
    <w:rsid w:val="006B051D"/>
    <w:rsid w:val="006B65E7"/>
    <w:rsid w:val="006D0C33"/>
    <w:rsid w:val="006F5F80"/>
    <w:rsid w:val="007043D2"/>
    <w:rsid w:val="007072EE"/>
    <w:rsid w:val="00707D00"/>
    <w:rsid w:val="007143A3"/>
    <w:rsid w:val="00720460"/>
    <w:rsid w:val="00733426"/>
    <w:rsid w:val="007347CB"/>
    <w:rsid w:val="00735FAE"/>
    <w:rsid w:val="00756887"/>
    <w:rsid w:val="00762915"/>
    <w:rsid w:val="00772528"/>
    <w:rsid w:val="00774CA8"/>
    <w:rsid w:val="00777B4C"/>
    <w:rsid w:val="00782A64"/>
    <w:rsid w:val="00783A56"/>
    <w:rsid w:val="00790FC6"/>
    <w:rsid w:val="007A3252"/>
    <w:rsid w:val="007A372F"/>
    <w:rsid w:val="007A5B7D"/>
    <w:rsid w:val="007A66DC"/>
    <w:rsid w:val="007B1503"/>
    <w:rsid w:val="007B2894"/>
    <w:rsid w:val="007C0277"/>
    <w:rsid w:val="007C174E"/>
    <w:rsid w:val="007D5E07"/>
    <w:rsid w:val="007D7CC4"/>
    <w:rsid w:val="007D7F61"/>
    <w:rsid w:val="007E769E"/>
    <w:rsid w:val="00802DAC"/>
    <w:rsid w:val="00814C79"/>
    <w:rsid w:val="008152CC"/>
    <w:rsid w:val="00820A2D"/>
    <w:rsid w:val="00822523"/>
    <w:rsid w:val="00824997"/>
    <w:rsid w:val="008255AD"/>
    <w:rsid w:val="008321F0"/>
    <w:rsid w:val="008400BE"/>
    <w:rsid w:val="00843F5B"/>
    <w:rsid w:val="0084501E"/>
    <w:rsid w:val="00847BA8"/>
    <w:rsid w:val="00851B72"/>
    <w:rsid w:val="00853F59"/>
    <w:rsid w:val="00856F4D"/>
    <w:rsid w:val="00870638"/>
    <w:rsid w:val="00880ED5"/>
    <w:rsid w:val="00892CC6"/>
    <w:rsid w:val="008A69D0"/>
    <w:rsid w:val="008E0394"/>
    <w:rsid w:val="009033A3"/>
    <w:rsid w:val="009046AB"/>
    <w:rsid w:val="00910F79"/>
    <w:rsid w:val="009214FD"/>
    <w:rsid w:val="0092300D"/>
    <w:rsid w:val="00923343"/>
    <w:rsid w:val="00924B65"/>
    <w:rsid w:val="00924E02"/>
    <w:rsid w:val="00933C06"/>
    <w:rsid w:val="00934629"/>
    <w:rsid w:val="009358FF"/>
    <w:rsid w:val="00941678"/>
    <w:rsid w:val="00941E08"/>
    <w:rsid w:val="00945247"/>
    <w:rsid w:val="00952D9E"/>
    <w:rsid w:val="009573B9"/>
    <w:rsid w:val="00990468"/>
    <w:rsid w:val="00990965"/>
    <w:rsid w:val="00993A65"/>
    <w:rsid w:val="0099632A"/>
    <w:rsid w:val="009A6681"/>
    <w:rsid w:val="009A7B69"/>
    <w:rsid w:val="009B0327"/>
    <w:rsid w:val="009B7088"/>
    <w:rsid w:val="009C113D"/>
    <w:rsid w:val="009C7BEE"/>
    <w:rsid w:val="009D2210"/>
    <w:rsid w:val="009D3A95"/>
    <w:rsid w:val="009E00B9"/>
    <w:rsid w:val="009F56D8"/>
    <w:rsid w:val="009F7F86"/>
    <w:rsid w:val="00A02865"/>
    <w:rsid w:val="00A138B1"/>
    <w:rsid w:val="00A2104C"/>
    <w:rsid w:val="00A22EDF"/>
    <w:rsid w:val="00A3112D"/>
    <w:rsid w:val="00A42809"/>
    <w:rsid w:val="00A45DFE"/>
    <w:rsid w:val="00A542F0"/>
    <w:rsid w:val="00A560D9"/>
    <w:rsid w:val="00A571A9"/>
    <w:rsid w:val="00A6094A"/>
    <w:rsid w:val="00A60F55"/>
    <w:rsid w:val="00A6168F"/>
    <w:rsid w:val="00A65BA0"/>
    <w:rsid w:val="00A67511"/>
    <w:rsid w:val="00A70045"/>
    <w:rsid w:val="00A775A7"/>
    <w:rsid w:val="00A81510"/>
    <w:rsid w:val="00A93888"/>
    <w:rsid w:val="00AA117A"/>
    <w:rsid w:val="00AA1589"/>
    <w:rsid w:val="00AB0BF1"/>
    <w:rsid w:val="00AB1043"/>
    <w:rsid w:val="00AB24DA"/>
    <w:rsid w:val="00AC3C40"/>
    <w:rsid w:val="00AC60CE"/>
    <w:rsid w:val="00B016D9"/>
    <w:rsid w:val="00B03B43"/>
    <w:rsid w:val="00B05F66"/>
    <w:rsid w:val="00B1143B"/>
    <w:rsid w:val="00B31876"/>
    <w:rsid w:val="00B354FF"/>
    <w:rsid w:val="00B469B4"/>
    <w:rsid w:val="00B4767F"/>
    <w:rsid w:val="00B50BB9"/>
    <w:rsid w:val="00B66E1F"/>
    <w:rsid w:val="00B71240"/>
    <w:rsid w:val="00B728A8"/>
    <w:rsid w:val="00B73842"/>
    <w:rsid w:val="00B81C62"/>
    <w:rsid w:val="00B8315E"/>
    <w:rsid w:val="00B853B0"/>
    <w:rsid w:val="00B91E3C"/>
    <w:rsid w:val="00BA1797"/>
    <w:rsid w:val="00BA3A91"/>
    <w:rsid w:val="00BB5859"/>
    <w:rsid w:val="00BD4B1D"/>
    <w:rsid w:val="00BD7645"/>
    <w:rsid w:val="00BE13CE"/>
    <w:rsid w:val="00BE7A33"/>
    <w:rsid w:val="00BF1615"/>
    <w:rsid w:val="00BF5FC8"/>
    <w:rsid w:val="00BFC984"/>
    <w:rsid w:val="00C043A1"/>
    <w:rsid w:val="00C05EEC"/>
    <w:rsid w:val="00C076F4"/>
    <w:rsid w:val="00C1405A"/>
    <w:rsid w:val="00C16F24"/>
    <w:rsid w:val="00C214E6"/>
    <w:rsid w:val="00C34925"/>
    <w:rsid w:val="00C34F2D"/>
    <w:rsid w:val="00C4026F"/>
    <w:rsid w:val="00C47465"/>
    <w:rsid w:val="00C505D3"/>
    <w:rsid w:val="00C50DCA"/>
    <w:rsid w:val="00C5173B"/>
    <w:rsid w:val="00C55D5B"/>
    <w:rsid w:val="00C56D7A"/>
    <w:rsid w:val="00C62DE0"/>
    <w:rsid w:val="00C65110"/>
    <w:rsid w:val="00C65A44"/>
    <w:rsid w:val="00C72DF0"/>
    <w:rsid w:val="00C74CD5"/>
    <w:rsid w:val="00C760C9"/>
    <w:rsid w:val="00C774FC"/>
    <w:rsid w:val="00C8708A"/>
    <w:rsid w:val="00C9432F"/>
    <w:rsid w:val="00C971A5"/>
    <w:rsid w:val="00CA42E1"/>
    <w:rsid w:val="00CB184C"/>
    <w:rsid w:val="00CB37FF"/>
    <w:rsid w:val="00CB7E61"/>
    <w:rsid w:val="00CC1064"/>
    <w:rsid w:val="00CC2DC8"/>
    <w:rsid w:val="00CD52B0"/>
    <w:rsid w:val="00CD5A59"/>
    <w:rsid w:val="00CD66B0"/>
    <w:rsid w:val="00CE051C"/>
    <w:rsid w:val="00CE08BC"/>
    <w:rsid w:val="00CE2DAF"/>
    <w:rsid w:val="00CE3478"/>
    <w:rsid w:val="00CE51F2"/>
    <w:rsid w:val="00CE5D52"/>
    <w:rsid w:val="00CE5D9C"/>
    <w:rsid w:val="00CF12BB"/>
    <w:rsid w:val="00D04D9E"/>
    <w:rsid w:val="00D06578"/>
    <w:rsid w:val="00D13697"/>
    <w:rsid w:val="00D14BAE"/>
    <w:rsid w:val="00D16F0F"/>
    <w:rsid w:val="00D233E9"/>
    <w:rsid w:val="00D2688E"/>
    <w:rsid w:val="00D271F4"/>
    <w:rsid w:val="00D349DF"/>
    <w:rsid w:val="00D51C14"/>
    <w:rsid w:val="00D527AC"/>
    <w:rsid w:val="00D539A3"/>
    <w:rsid w:val="00D57E95"/>
    <w:rsid w:val="00D669C9"/>
    <w:rsid w:val="00D70817"/>
    <w:rsid w:val="00D73657"/>
    <w:rsid w:val="00D8098E"/>
    <w:rsid w:val="00D851C7"/>
    <w:rsid w:val="00D87B21"/>
    <w:rsid w:val="00D917B0"/>
    <w:rsid w:val="00D93724"/>
    <w:rsid w:val="00DA4DFB"/>
    <w:rsid w:val="00DA5629"/>
    <w:rsid w:val="00DA6DFE"/>
    <w:rsid w:val="00DA78FF"/>
    <w:rsid w:val="00DD06DC"/>
    <w:rsid w:val="00DD41F7"/>
    <w:rsid w:val="00DE5FD8"/>
    <w:rsid w:val="00DF043D"/>
    <w:rsid w:val="00DF7BC3"/>
    <w:rsid w:val="00E02D77"/>
    <w:rsid w:val="00E042B5"/>
    <w:rsid w:val="00E156DA"/>
    <w:rsid w:val="00E23CD4"/>
    <w:rsid w:val="00E351FE"/>
    <w:rsid w:val="00E35A2F"/>
    <w:rsid w:val="00E424C6"/>
    <w:rsid w:val="00E5761B"/>
    <w:rsid w:val="00E60ED3"/>
    <w:rsid w:val="00E62AE4"/>
    <w:rsid w:val="00E67E46"/>
    <w:rsid w:val="00E71D21"/>
    <w:rsid w:val="00E9200F"/>
    <w:rsid w:val="00E94092"/>
    <w:rsid w:val="00EA7882"/>
    <w:rsid w:val="00EB682B"/>
    <w:rsid w:val="00EC2C69"/>
    <w:rsid w:val="00EC33D1"/>
    <w:rsid w:val="00EC3B37"/>
    <w:rsid w:val="00EC5C5B"/>
    <w:rsid w:val="00ED0F4C"/>
    <w:rsid w:val="00ED3C3D"/>
    <w:rsid w:val="00ED4B42"/>
    <w:rsid w:val="00EE1818"/>
    <w:rsid w:val="00EE45B8"/>
    <w:rsid w:val="00F04B0A"/>
    <w:rsid w:val="00F20AB4"/>
    <w:rsid w:val="00F245AA"/>
    <w:rsid w:val="00F27448"/>
    <w:rsid w:val="00F31ECF"/>
    <w:rsid w:val="00F40EA8"/>
    <w:rsid w:val="00F446A8"/>
    <w:rsid w:val="00F51A12"/>
    <w:rsid w:val="00F62F45"/>
    <w:rsid w:val="00F7170F"/>
    <w:rsid w:val="00F738AE"/>
    <w:rsid w:val="00F73BD7"/>
    <w:rsid w:val="00F740B8"/>
    <w:rsid w:val="00FA17BF"/>
    <w:rsid w:val="00FA1DC9"/>
    <w:rsid w:val="00FB105F"/>
    <w:rsid w:val="00FB2D3E"/>
    <w:rsid w:val="00FB3435"/>
    <w:rsid w:val="00FB4A99"/>
    <w:rsid w:val="00FC721A"/>
    <w:rsid w:val="00FD03CD"/>
    <w:rsid w:val="00FD49FD"/>
    <w:rsid w:val="00FD6F62"/>
    <w:rsid w:val="00FE0AEA"/>
    <w:rsid w:val="00FF227F"/>
    <w:rsid w:val="04B6A5C5"/>
    <w:rsid w:val="067E8973"/>
    <w:rsid w:val="0EFA78CB"/>
    <w:rsid w:val="16C34553"/>
    <w:rsid w:val="1BBBC56C"/>
    <w:rsid w:val="1CB920DB"/>
    <w:rsid w:val="1F90216E"/>
    <w:rsid w:val="20F96C0A"/>
    <w:rsid w:val="2B403550"/>
    <w:rsid w:val="2B810911"/>
    <w:rsid w:val="2CAA1535"/>
    <w:rsid w:val="39BB6E2B"/>
    <w:rsid w:val="3E934A48"/>
    <w:rsid w:val="4C3F9A03"/>
    <w:rsid w:val="4E624970"/>
    <w:rsid w:val="56D6FD84"/>
    <w:rsid w:val="5888392C"/>
    <w:rsid w:val="5C5D9AD9"/>
    <w:rsid w:val="60D338EA"/>
    <w:rsid w:val="61C5F64B"/>
    <w:rsid w:val="6439A0AB"/>
    <w:rsid w:val="64BFA372"/>
    <w:rsid w:val="66F94625"/>
    <w:rsid w:val="6B482B14"/>
    <w:rsid w:val="712B3C70"/>
    <w:rsid w:val="7595498A"/>
    <w:rsid w:val="7E1F8A95"/>
    <w:rsid w:val="7E9B0C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52509"/>
  <w15:docId w15:val="{82FFB53A-FFD7-4C75-88B1-2039D7D3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E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56D8"/>
    <w:rPr>
      <w:color w:val="0000FF"/>
      <w:u w:val="single"/>
    </w:rPr>
  </w:style>
  <w:style w:type="paragraph" w:styleId="ListParagraph">
    <w:name w:val="List Paragraph"/>
    <w:basedOn w:val="Normal"/>
    <w:uiPriority w:val="34"/>
    <w:qFormat/>
    <w:rsid w:val="009F56D8"/>
    <w:pPr>
      <w:ind w:left="720"/>
      <w:contextualSpacing/>
    </w:pPr>
    <w:rPr>
      <w:rFonts w:eastAsia="Times New Roman"/>
    </w:rPr>
  </w:style>
  <w:style w:type="character" w:styleId="CommentReference">
    <w:name w:val="annotation reference"/>
    <w:uiPriority w:val="99"/>
    <w:semiHidden/>
    <w:unhideWhenUsed/>
    <w:rsid w:val="00532A55"/>
    <w:rPr>
      <w:sz w:val="16"/>
      <w:szCs w:val="16"/>
    </w:rPr>
  </w:style>
  <w:style w:type="paragraph" w:styleId="CommentText">
    <w:name w:val="annotation text"/>
    <w:basedOn w:val="Normal"/>
    <w:link w:val="CommentTextChar"/>
    <w:uiPriority w:val="99"/>
    <w:unhideWhenUsed/>
    <w:rsid w:val="00532A55"/>
    <w:rPr>
      <w:sz w:val="20"/>
      <w:szCs w:val="20"/>
    </w:rPr>
  </w:style>
  <w:style w:type="character" w:customStyle="1" w:styleId="CommentTextChar">
    <w:name w:val="Comment Text Char"/>
    <w:link w:val="CommentText"/>
    <w:uiPriority w:val="99"/>
    <w:rsid w:val="00532A55"/>
    <w:rPr>
      <w:lang w:eastAsia="en-US"/>
    </w:rPr>
  </w:style>
  <w:style w:type="paragraph" w:styleId="CommentSubject">
    <w:name w:val="annotation subject"/>
    <w:basedOn w:val="CommentText"/>
    <w:next w:val="CommentText"/>
    <w:link w:val="CommentSubjectChar"/>
    <w:uiPriority w:val="99"/>
    <w:semiHidden/>
    <w:unhideWhenUsed/>
    <w:rsid w:val="00532A55"/>
    <w:rPr>
      <w:b/>
      <w:bCs/>
    </w:rPr>
  </w:style>
  <w:style w:type="character" w:customStyle="1" w:styleId="CommentSubjectChar">
    <w:name w:val="Comment Subject Char"/>
    <w:link w:val="CommentSubject"/>
    <w:uiPriority w:val="99"/>
    <w:semiHidden/>
    <w:rsid w:val="00532A55"/>
    <w:rPr>
      <w:b/>
      <w:bCs/>
      <w:lang w:eastAsia="en-US"/>
    </w:rPr>
  </w:style>
  <w:style w:type="paragraph" w:styleId="BalloonText">
    <w:name w:val="Balloon Text"/>
    <w:basedOn w:val="Normal"/>
    <w:link w:val="BalloonTextChar"/>
    <w:uiPriority w:val="99"/>
    <w:semiHidden/>
    <w:unhideWhenUsed/>
    <w:rsid w:val="00532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A55"/>
    <w:rPr>
      <w:rFonts w:ascii="Tahoma" w:hAnsi="Tahoma" w:cs="Tahoma"/>
      <w:sz w:val="16"/>
      <w:szCs w:val="16"/>
      <w:lang w:eastAsia="en-US"/>
    </w:rPr>
  </w:style>
  <w:style w:type="paragraph" w:styleId="Header">
    <w:name w:val="header"/>
    <w:basedOn w:val="Normal"/>
    <w:link w:val="HeaderChar"/>
    <w:uiPriority w:val="99"/>
    <w:unhideWhenUsed/>
    <w:rsid w:val="00C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3B"/>
    <w:rPr>
      <w:sz w:val="22"/>
      <w:szCs w:val="22"/>
      <w:lang w:val="es-ES" w:eastAsia="en-US"/>
    </w:rPr>
  </w:style>
  <w:style w:type="paragraph" w:styleId="Footer">
    <w:name w:val="footer"/>
    <w:basedOn w:val="Normal"/>
    <w:link w:val="FooterChar"/>
    <w:uiPriority w:val="99"/>
    <w:unhideWhenUsed/>
    <w:rsid w:val="00C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3B"/>
    <w:rPr>
      <w:sz w:val="22"/>
      <w:szCs w:val="22"/>
      <w:lang w:val="es-ES" w:eastAsia="en-US"/>
    </w:rPr>
  </w:style>
  <w:style w:type="paragraph" w:styleId="FootnoteText">
    <w:name w:val="footnote text"/>
    <w:basedOn w:val="Normal"/>
    <w:link w:val="FootnoteTextChar"/>
    <w:uiPriority w:val="99"/>
    <w:semiHidden/>
    <w:unhideWhenUsed/>
    <w:rsid w:val="00D13697"/>
    <w:pPr>
      <w:widowControl w:val="0"/>
      <w:suppressAutoHyphens/>
      <w:autoSpaceDN w:val="0"/>
      <w:spacing w:after="0" w:line="240" w:lineRule="auto"/>
      <w:textAlignment w:val="baseline"/>
    </w:pPr>
    <w:rPr>
      <w:rFonts w:ascii="Times New Roman" w:eastAsia="Arial Unicode MS" w:hAnsi="Times New Roman" w:cs="Mangal"/>
      <w:kern w:val="3"/>
      <w:sz w:val="20"/>
      <w:szCs w:val="18"/>
      <w:lang w:eastAsia="zh-CN" w:bidi="hi-IN"/>
    </w:rPr>
  </w:style>
  <w:style w:type="character" w:customStyle="1" w:styleId="FootnoteTextChar">
    <w:name w:val="Footnote Text Char"/>
    <w:basedOn w:val="DefaultParagraphFont"/>
    <w:link w:val="FootnoteText"/>
    <w:uiPriority w:val="99"/>
    <w:semiHidden/>
    <w:rsid w:val="00D13697"/>
    <w:rPr>
      <w:rFonts w:ascii="Times New Roman" w:eastAsia="Arial Unicode MS" w:hAnsi="Times New Roman" w:cs="Mangal"/>
      <w:kern w:val="3"/>
      <w:szCs w:val="18"/>
      <w:lang w:eastAsia="zh-CN" w:bidi="hi-IN"/>
    </w:rPr>
  </w:style>
  <w:style w:type="character" w:styleId="FootnoteReference">
    <w:name w:val="footnote reference"/>
    <w:basedOn w:val="DefaultParagraphFont"/>
    <w:uiPriority w:val="99"/>
    <w:semiHidden/>
    <w:unhideWhenUsed/>
    <w:rsid w:val="00D13697"/>
    <w:rPr>
      <w:vertAlign w:val="superscript"/>
    </w:rPr>
  </w:style>
  <w:style w:type="character" w:styleId="Strong">
    <w:name w:val="Strong"/>
    <w:uiPriority w:val="22"/>
    <w:qFormat/>
    <w:rsid w:val="00A81510"/>
    <w:rPr>
      <w:b/>
      <w:bCs/>
    </w:rPr>
  </w:style>
  <w:style w:type="character" w:styleId="FollowedHyperlink">
    <w:name w:val="FollowedHyperlink"/>
    <w:basedOn w:val="DefaultParagraphFont"/>
    <w:uiPriority w:val="99"/>
    <w:semiHidden/>
    <w:unhideWhenUsed/>
    <w:rsid w:val="00337961"/>
    <w:rPr>
      <w:color w:val="800080" w:themeColor="followedHyperlink"/>
      <w:u w:val="single"/>
    </w:rPr>
  </w:style>
  <w:style w:type="character" w:customStyle="1" w:styleId="UnresolvedMention1">
    <w:name w:val="Unresolved Mention1"/>
    <w:basedOn w:val="DefaultParagraphFont"/>
    <w:uiPriority w:val="99"/>
    <w:semiHidden/>
    <w:unhideWhenUsed/>
    <w:rsid w:val="00BE7A33"/>
    <w:rPr>
      <w:color w:val="605E5C"/>
      <w:shd w:val="clear" w:color="auto" w:fill="E1DFDD"/>
    </w:rPr>
  </w:style>
  <w:style w:type="character" w:styleId="UnresolvedMention">
    <w:name w:val="Unresolved Mention"/>
    <w:basedOn w:val="DefaultParagraphFont"/>
    <w:uiPriority w:val="99"/>
    <w:semiHidden/>
    <w:unhideWhenUsed/>
    <w:rsid w:val="00BF5FC8"/>
    <w:rPr>
      <w:color w:val="605E5C"/>
      <w:shd w:val="clear" w:color="auto" w:fill="E1DFDD"/>
    </w:rPr>
  </w:style>
  <w:style w:type="paragraph" w:styleId="Revision">
    <w:name w:val="Revision"/>
    <w:hidden/>
    <w:uiPriority w:val="99"/>
    <w:semiHidden/>
    <w:rsid w:val="00224C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4620">
      <w:bodyDiv w:val="1"/>
      <w:marLeft w:val="0"/>
      <w:marRight w:val="0"/>
      <w:marTop w:val="0"/>
      <w:marBottom w:val="0"/>
      <w:divBdr>
        <w:top w:val="none" w:sz="0" w:space="0" w:color="auto"/>
        <w:left w:val="none" w:sz="0" w:space="0" w:color="auto"/>
        <w:bottom w:val="none" w:sz="0" w:space="0" w:color="auto"/>
        <w:right w:val="none" w:sz="0" w:space="0" w:color="auto"/>
      </w:divBdr>
      <w:divsChild>
        <w:div w:id="157117934">
          <w:marLeft w:val="0"/>
          <w:marRight w:val="0"/>
          <w:marTop w:val="0"/>
          <w:marBottom w:val="0"/>
          <w:divBdr>
            <w:top w:val="none" w:sz="0" w:space="0" w:color="auto"/>
            <w:left w:val="none" w:sz="0" w:space="0" w:color="auto"/>
            <w:bottom w:val="none" w:sz="0" w:space="0" w:color="auto"/>
            <w:right w:val="none" w:sz="0" w:space="0" w:color="auto"/>
          </w:divBdr>
          <w:divsChild>
            <w:div w:id="479618432">
              <w:marLeft w:val="0"/>
              <w:marRight w:val="60"/>
              <w:marTop w:val="0"/>
              <w:marBottom w:val="0"/>
              <w:divBdr>
                <w:top w:val="none" w:sz="0" w:space="0" w:color="auto"/>
                <w:left w:val="none" w:sz="0" w:space="0" w:color="auto"/>
                <w:bottom w:val="none" w:sz="0" w:space="0" w:color="auto"/>
                <w:right w:val="none" w:sz="0" w:space="0" w:color="auto"/>
              </w:divBdr>
              <w:divsChild>
                <w:div w:id="261228632">
                  <w:marLeft w:val="0"/>
                  <w:marRight w:val="0"/>
                  <w:marTop w:val="0"/>
                  <w:marBottom w:val="120"/>
                  <w:divBdr>
                    <w:top w:val="single" w:sz="6" w:space="0" w:color="C0C0C0"/>
                    <w:left w:val="single" w:sz="6" w:space="0" w:color="D9D9D9"/>
                    <w:bottom w:val="single" w:sz="6" w:space="0" w:color="D9D9D9"/>
                    <w:right w:val="single" w:sz="6" w:space="0" w:color="D9D9D9"/>
                  </w:divBdr>
                  <w:divsChild>
                    <w:div w:id="1333604615">
                      <w:marLeft w:val="0"/>
                      <w:marRight w:val="0"/>
                      <w:marTop w:val="0"/>
                      <w:marBottom w:val="0"/>
                      <w:divBdr>
                        <w:top w:val="none" w:sz="0" w:space="0" w:color="auto"/>
                        <w:left w:val="none" w:sz="0" w:space="0" w:color="auto"/>
                        <w:bottom w:val="none" w:sz="0" w:space="0" w:color="auto"/>
                        <w:right w:val="none" w:sz="0" w:space="0" w:color="auto"/>
                      </w:divBdr>
                    </w:div>
                    <w:div w:id="17765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7521">
          <w:marLeft w:val="0"/>
          <w:marRight w:val="0"/>
          <w:marTop w:val="0"/>
          <w:marBottom w:val="0"/>
          <w:divBdr>
            <w:top w:val="none" w:sz="0" w:space="0" w:color="auto"/>
            <w:left w:val="none" w:sz="0" w:space="0" w:color="auto"/>
            <w:bottom w:val="none" w:sz="0" w:space="0" w:color="auto"/>
            <w:right w:val="none" w:sz="0" w:space="0" w:color="auto"/>
          </w:divBdr>
          <w:divsChild>
            <w:div w:id="1291856718">
              <w:marLeft w:val="60"/>
              <w:marRight w:val="0"/>
              <w:marTop w:val="0"/>
              <w:marBottom w:val="0"/>
              <w:divBdr>
                <w:top w:val="none" w:sz="0" w:space="0" w:color="auto"/>
                <w:left w:val="none" w:sz="0" w:space="0" w:color="auto"/>
                <w:bottom w:val="none" w:sz="0" w:space="0" w:color="auto"/>
                <w:right w:val="none" w:sz="0" w:space="0" w:color="auto"/>
              </w:divBdr>
              <w:divsChild>
                <w:div w:id="976492558">
                  <w:marLeft w:val="0"/>
                  <w:marRight w:val="0"/>
                  <w:marTop w:val="0"/>
                  <w:marBottom w:val="0"/>
                  <w:divBdr>
                    <w:top w:val="none" w:sz="0" w:space="0" w:color="auto"/>
                    <w:left w:val="none" w:sz="0" w:space="0" w:color="auto"/>
                    <w:bottom w:val="none" w:sz="0" w:space="0" w:color="auto"/>
                    <w:right w:val="none" w:sz="0" w:space="0" w:color="auto"/>
                  </w:divBdr>
                  <w:divsChild>
                    <w:div w:id="63839382">
                      <w:marLeft w:val="0"/>
                      <w:marRight w:val="0"/>
                      <w:marTop w:val="0"/>
                      <w:marBottom w:val="120"/>
                      <w:divBdr>
                        <w:top w:val="single" w:sz="6" w:space="0" w:color="F5F5F5"/>
                        <w:left w:val="single" w:sz="6" w:space="0" w:color="F5F5F5"/>
                        <w:bottom w:val="single" w:sz="6" w:space="0" w:color="F5F5F5"/>
                        <w:right w:val="single" w:sz="6" w:space="0" w:color="F5F5F5"/>
                      </w:divBdr>
                      <w:divsChild>
                        <w:div w:id="640422893">
                          <w:marLeft w:val="0"/>
                          <w:marRight w:val="0"/>
                          <w:marTop w:val="0"/>
                          <w:marBottom w:val="0"/>
                          <w:divBdr>
                            <w:top w:val="none" w:sz="0" w:space="0" w:color="auto"/>
                            <w:left w:val="none" w:sz="0" w:space="0" w:color="auto"/>
                            <w:bottom w:val="none" w:sz="0" w:space="0" w:color="auto"/>
                            <w:right w:val="none" w:sz="0" w:space="0" w:color="auto"/>
                          </w:divBdr>
                          <w:divsChild>
                            <w:div w:id="16079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409976">
      <w:bodyDiv w:val="1"/>
      <w:marLeft w:val="0"/>
      <w:marRight w:val="0"/>
      <w:marTop w:val="0"/>
      <w:marBottom w:val="0"/>
      <w:divBdr>
        <w:top w:val="none" w:sz="0" w:space="0" w:color="auto"/>
        <w:left w:val="none" w:sz="0" w:space="0" w:color="auto"/>
        <w:bottom w:val="none" w:sz="0" w:space="0" w:color="auto"/>
        <w:right w:val="none" w:sz="0" w:space="0" w:color="auto"/>
      </w:divBdr>
      <w:divsChild>
        <w:div w:id="1960607164">
          <w:marLeft w:val="0"/>
          <w:marRight w:val="0"/>
          <w:marTop w:val="0"/>
          <w:marBottom w:val="0"/>
          <w:divBdr>
            <w:top w:val="none" w:sz="0" w:space="0" w:color="auto"/>
            <w:left w:val="none" w:sz="0" w:space="0" w:color="auto"/>
            <w:bottom w:val="none" w:sz="0" w:space="0" w:color="auto"/>
            <w:right w:val="none" w:sz="0" w:space="0" w:color="auto"/>
          </w:divBdr>
          <w:divsChild>
            <w:div w:id="2108693235">
              <w:marLeft w:val="0"/>
              <w:marRight w:val="60"/>
              <w:marTop w:val="0"/>
              <w:marBottom w:val="0"/>
              <w:divBdr>
                <w:top w:val="none" w:sz="0" w:space="0" w:color="auto"/>
                <w:left w:val="none" w:sz="0" w:space="0" w:color="auto"/>
                <w:bottom w:val="none" w:sz="0" w:space="0" w:color="auto"/>
                <w:right w:val="none" w:sz="0" w:space="0" w:color="auto"/>
              </w:divBdr>
              <w:divsChild>
                <w:div w:id="934434935">
                  <w:marLeft w:val="0"/>
                  <w:marRight w:val="0"/>
                  <w:marTop w:val="0"/>
                  <w:marBottom w:val="120"/>
                  <w:divBdr>
                    <w:top w:val="single" w:sz="6" w:space="0" w:color="C0C0C0"/>
                    <w:left w:val="single" w:sz="6" w:space="0" w:color="D9D9D9"/>
                    <w:bottom w:val="single" w:sz="6" w:space="0" w:color="D9D9D9"/>
                    <w:right w:val="single" w:sz="6" w:space="0" w:color="D9D9D9"/>
                  </w:divBdr>
                  <w:divsChild>
                    <w:div w:id="1227960720">
                      <w:marLeft w:val="0"/>
                      <w:marRight w:val="0"/>
                      <w:marTop w:val="0"/>
                      <w:marBottom w:val="0"/>
                      <w:divBdr>
                        <w:top w:val="none" w:sz="0" w:space="0" w:color="auto"/>
                        <w:left w:val="none" w:sz="0" w:space="0" w:color="auto"/>
                        <w:bottom w:val="none" w:sz="0" w:space="0" w:color="auto"/>
                        <w:right w:val="none" w:sz="0" w:space="0" w:color="auto"/>
                      </w:divBdr>
                    </w:div>
                    <w:div w:id="18208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2506">
          <w:marLeft w:val="0"/>
          <w:marRight w:val="0"/>
          <w:marTop w:val="0"/>
          <w:marBottom w:val="0"/>
          <w:divBdr>
            <w:top w:val="none" w:sz="0" w:space="0" w:color="auto"/>
            <w:left w:val="none" w:sz="0" w:space="0" w:color="auto"/>
            <w:bottom w:val="none" w:sz="0" w:space="0" w:color="auto"/>
            <w:right w:val="none" w:sz="0" w:space="0" w:color="auto"/>
          </w:divBdr>
          <w:divsChild>
            <w:div w:id="670450131">
              <w:marLeft w:val="60"/>
              <w:marRight w:val="0"/>
              <w:marTop w:val="0"/>
              <w:marBottom w:val="0"/>
              <w:divBdr>
                <w:top w:val="none" w:sz="0" w:space="0" w:color="auto"/>
                <w:left w:val="none" w:sz="0" w:space="0" w:color="auto"/>
                <w:bottom w:val="none" w:sz="0" w:space="0" w:color="auto"/>
                <w:right w:val="none" w:sz="0" w:space="0" w:color="auto"/>
              </w:divBdr>
              <w:divsChild>
                <w:div w:id="179927663">
                  <w:marLeft w:val="0"/>
                  <w:marRight w:val="0"/>
                  <w:marTop w:val="0"/>
                  <w:marBottom w:val="0"/>
                  <w:divBdr>
                    <w:top w:val="none" w:sz="0" w:space="0" w:color="auto"/>
                    <w:left w:val="none" w:sz="0" w:space="0" w:color="auto"/>
                    <w:bottom w:val="none" w:sz="0" w:space="0" w:color="auto"/>
                    <w:right w:val="none" w:sz="0" w:space="0" w:color="auto"/>
                  </w:divBdr>
                  <w:divsChild>
                    <w:div w:id="463280417">
                      <w:marLeft w:val="0"/>
                      <w:marRight w:val="0"/>
                      <w:marTop w:val="0"/>
                      <w:marBottom w:val="120"/>
                      <w:divBdr>
                        <w:top w:val="single" w:sz="6" w:space="0" w:color="F5F5F5"/>
                        <w:left w:val="single" w:sz="6" w:space="0" w:color="F5F5F5"/>
                        <w:bottom w:val="single" w:sz="6" w:space="0" w:color="F5F5F5"/>
                        <w:right w:val="single" w:sz="6" w:space="0" w:color="F5F5F5"/>
                      </w:divBdr>
                      <w:divsChild>
                        <w:div w:id="2109428666">
                          <w:marLeft w:val="0"/>
                          <w:marRight w:val="0"/>
                          <w:marTop w:val="0"/>
                          <w:marBottom w:val="0"/>
                          <w:divBdr>
                            <w:top w:val="none" w:sz="0" w:space="0" w:color="auto"/>
                            <w:left w:val="none" w:sz="0" w:space="0" w:color="auto"/>
                            <w:bottom w:val="none" w:sz="0" w:space="0" w:color="auto"/>
                            <w:right w:val="none" w:sz="0" w:space="0" w:color="auto"/>
                          </w:divBdr>
                          <w:divsChild>
                            <w:div w:id="9773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554468">
      <w:bodyDiv w:val="1"/>
      <w:marLeft w:val="0"/>
      <w:marRight w:val="0"/>
      <w:marTop w:val="0"/>
      <w:marBottom w:val="0"/>
      <w:divBdr>
        <w:top w:val="none" w:sz="0" w:space="0" w:color="auto"/>
        <w:left w:val="none" w:sz="0" w:space="0" w:color="auto"/>
        <w:bottom w:val="none" w:sz="0" w:space="0" w:color="auto"/>
        <w:right w:val="none" w:sz="0" w:space="0" w:color="auto"/>
      </w:divBdr>
    </w:div>
    <w:div w:id="410153865">
      <w:bodyDiv w:val="1"/>
      <w:marLeft w:val="0"/>
      <w:marRight w:val="0"/>
      <w:marTop w:val="0"/>
      <w:marBottom w:val="0"/>
      <w:divBdr>
        <w:top w:val="none" w:sz="0" w:space="0" w:color="auto"/>
        <w:left w:val="none" w:sz="0" w:space="0" w:color="auto"/>
        <w:bottom w:val="none" w:sz="0" w:space="0" w:color="auto"/>
        <w:right w:val="none" w:sz="0" w:space="0" w:color="auto"/>
      </w:divBdr>
      <w:divsChild>
        <w:div w:id="1171335645">
          <w:marLeft w:val="0"/>
          <w:marRight w:val="0"/>
          <w:marTop w:val="0"/>
          <w:marBottom w:val="0"/>
          <w:divBdr>
            <w:top w:val="none" w:sz="0" w:space="0" w:color="auto"/>
            <w:left w:val="none" w:sz="0" w:space="0" w:color="auto"/>
            <w:bottom w:val="none" w:sz="0" w:space="0" w:color="auto"/>
            <w:right w:val="none" w:sz="0" w:space="0" w:color="auto"/>
          </w:divBdr>
          <w:divsChild>
            <w:div w:id="295574595">
              <w:marLeft w:val="0"/>
              <w:marRight w:val="60"/>
              <w:marTop w:val="0"/>
              <w:marBottom w:val="0"/>
              <w:divBdr>
                <w:top w:val="none" w:sz="0" w:space="0" w:color="auto"/>
                <w:left w:val="none" w:sz="0" w:space="0" w:color="auto"/>
                <w:bottom w:val="none" w:sz="0" w:space="0" w:color="auto"/>
                <w:right w:val="none" w:sz="0" w:space="0" w:color="auto"/>
              </w:divBdr>
              <w:divsChild>
                <w:div w:id="689986727">
                  <w:marLeft w:val="0"/>
                  <w:marRight w:val="0"/>
                  <w:marTop w:val="0"/>
                  <w:marBottom w:val="120"/>
                  <w:divBdr>
                    <w:top w:val="single" w:sz="6" w:space="0" w:color="A0A0A0"/>
                    <w:left w:val="single" w:sz="6" w:space="0" w:color="B9B9B9"/>
                    <w:bottom w:val="single" w:sz="6" w:space="0" w:color="B9B9B9"/>
                    <w:right w:val="single" w:sz="6" w:space="0" w:color="B9B9B9"/>
                  </w:divBdr>
                  <w:divsChild>
                    <w:div w:id="5795178">
                      <w:marLeft w:val="0"/>
                      <w:marRight w:val="0"/>
                      <w:marTop w:val="0"/>
                      <w:marBottom w:val="0"/>
                      <w:divBdr>
                        <w:top w:val="none" w:sz="0" w:space="0" w:color="auto"/>
                        <w:left w:val="none" w:sz="0" w:space="0" w:color="auto"/>
                        <w:bottom w:val="none" w:sz="0" w:space="0" w:color="auto"/>
                        <w:right w:val="none" w:sz="0" w:space="0" w:color="auto"/>
                      </w:divBdr>
                    </w:div>
                    <w:div w:id="8971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237">
          <w:marLeft w:val="0"/>
          <w:marRight w:val="0"/>
          <w:marTop w:val="0"/>
          <w:marBottom w:val="0"/>
          <w:divBdr>
            <w:top w:val="none" w:sz="0" w:space="0" w:color="auto"/>
            <w:left w:val="none" w:sz="0" w:space="0" w:color="auto"/>
            <w:bottom w:val="none" w:sz="0" w:space="0" w:color="auto"/>
            <w:right w:val="none" w:sz="0" w:space="0" w:color="auto"/>
          </w:divBdr>
          <w:divsChild>
            <w:div w:id="550851148">
              <w:marLeft w:val="60"/>
              <w:marRight w:val="0"/>
              <w:marTop w:val="0"/>
              <w:marBottom w:val="0"/>
              <w:divBdr>
                <w:top w:val="none" w:sz="0" w:space="0" w:color="auto"/>
                <w:left w:val="none" w:sz="0" w:space="0" w:color="auto"/>
                <w:bottom w:val="none" w:sz="0" w:space="0" w:color="auto"/>
                <w:right w:val="none" w:sz="0" w:space="0" w:color="auto"/>
              </w:divBdr>
              <w:divsChild>
                <w:div w:id="409036104">
                  <w:marLeft w:val="0"/>
                  <w:marRight w:val="0"/>
                  <w:marTop w:val="0"/>
                  <w:marBottom w:val="0"/>
                  <w:divBdr>
                    <w:top w:val="none" w:sz="0" w:space="0" w:color="auto"/>
                    <w:left w:val="none" w:sz="0" w:space="0" w:color="auto"/>
                    <w:bottom w:val="none" w:sz="0" w:space="0" w:color="auto"/>
                    <w:right w:val="none" w:sz="0" w:space="0" w:color="auto"/>
                  </w:divBdr>
                  <w:divsChild>
                    <w:div w:id="1737238178">
                      <w:marLeft w:val="0"/>
                      <w:marRight w:val="0"/>
                      <w:marTop w:val="0"/>
                      <w:marBottom w:val="120"/>
                      <w:divBdr>
                        <w:top w:val="single" w:sz="6" w:space="0" w:color="F5F5F5"/>
                        <w:left w:val="single" w:sz="6" w:space="0" w:color="F5F5F5"/>
                        <w:bottom w:val="single" w:sz="6" w:space="0" w:color="F5F5F5"/>
                        <w:right w:val="single" w:sz="6" w:space="0" w:color="F5F5F5"/>
                      </w:divBdr>
                      <w:divsChild>
                        <w:div w:id="1318268577">
                          <w:marLeft w:val="0"/>
                          <w:marRight w:val="0"/>
                          <w:marTop w:val="0"/>
                          <w:marBottom w:val="0"/>
                          <w:divBdr>
                            <w:top w:val="none" w:sz="0" w:space="0" w:color="auto"/>
                            <w:left w:val="none" w:sz="0" w:space="0" w:color="auto"/>
                            <w:bottom w:val="none" w:sz="0" w:space="0" w:color="auto"/>
                            <w:right w:val="none" w:sz="0" w:space="0" w:color="auto"/>
                          </w:divBdr>
                          <w:divsChild>
                            <w:div w:id="4365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210772">
      <w:bodyDiv w:val="1"/>
      <w:marLeft w:val="0"/>
      <w:marRight w:val="0"/>
      <w:marTop w:val="0"/>
      <w:marBottom w:val="0"/>
      <w:divBdr>
        <w:top w:val="none" w:sz="0" w:space="0" w:color="auto"/>
        <w:left w:val="none" w:sz="0" w:space="0" w:color="auto"/>
        <w:bottom w:val="none" w:sz="0" w:space="0" w:color="auto"/>
        <w:right w:val="none" w:sz="0" w:space="0" w:color="auto"/>
      </w:divBdr>
      <w:divsChild>
        <w:div w:id="794443064">
          <w:marLeft w:val="0"/>
          <w:marRight w:val="0"/>
          <w:marTop w:val="0"/>
          <w:marBottom w:val="0"/>
          <w:divBdr>
            <w:top w:val="none" w:sz="0" w:space="0" w:color="auto"/>
            <w:left w:val="none" w:sz="0" w:space="0" w:color="auto"/>
            <w:bottom w:val="none" w:sz="0" w:space="0" w:color="auto"/>
            <w:right w:val="none" w:sz="0" w:space="0" w:color="auto"/>
          </w:divBdr>
          <w:divsChild>
            <w:div w:id="1367096522">
              <w:marLeft w:val="0"/>
              <w:marRight w:val="60"/>
              <w:marTop w:val="0"/>
              <w:marBottom w:val="0"/>
              <w:divBdr>
                <w:top w:val="none" w:sz="0" w:space="0" w:color="auto"/>
                <w:left w:val="none" w:sz="0" w:space="0" w:color="auto"/>
                <w:bottom w:val="none" w:sz="0" w:space="0" w:color="auto"/>
                <w:right w:val="none" w:sz="0" w:space="0" w:color="auto"/>
              </w:divBdr>
              <w:divsChild>
                <w:div w:id="176585211">
                  <w:marLeft w:val="0"/>
                  <w:marRight w:val="0"/>
                  <w:marTop w:val="0"/>
                  <w:marBottom w:val="120"/>
                  <w:divBdr>
                    <w:top w:val="single" w:sz="6" w:space="0" w:color="A0A0A0"/>
                    <w:left w:val="single" w:sz="6" w:space="0" w:color="B9B9B9"/>
                    <w:bottom w:val="single" w:sz="6" w:space="0" w:color="B9B9B9"/>
                    <w:right w:val="single" w:sz="6" w:space="0" w:color="B9B9B9"/>
                  </w:divBdr>
                  <w:divsChild>
                    <w:div w:id="1768649726">
                      <w:marLeft w:val="0"/>
                      <w:marRight w:val="0"/>
                      <w:marTop w:val="0"/>
                      <w:marBottom w:val="0"/>
                      <w:divBdr>
                        <w:top w:val="none" w:sz="0" w:space="0" w:color="auto"/>
                        <w:left w:val="none" w:sz="0" w:space="0" w:color="auto"/>
                        <w:bottom w:val="none" w:sz="0" w:space="0" w:color="auto"/>
                        <w:right w:val="none" w:sz="0" w:space="0" w:color="auto"/>
                      </w:divBdr>
                    </w:div>
                    <w:div w:id="300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4904">
          <w:marLeft w:val="0"/>
          <w:marRight w:val="0"/>
          <w:marTop w:val="0"/>
          <w:marBottom w:val="0"/>
          <w:divBdr>
            <w:top w:val="none" w:sz="0" w:space="0" w:color="auto"/>
            <w:left w:val="none" w:sz="0" w:space="0" w:color="auto"/>
            <w:bottom w:val="none" w:sz="0" w:space="0" w:color="auto"/>
            <w:right w:val="none" w:sz="0" w:space="0" w:color="auto"/>
          </w:divBdr>
          <w:divsChild>
            <w:div w:id="697894694">
              <w:marLeft w:val="60"/>
              <w:marRight w:val="0"/>
              <w:marTop w:val="0"/>
              <w:marBottom w:val="0"/>
              <w:divBdr>
                <w:top w:val="none" w:sz="0" w:space="0" w:color="auto"/>
                <w:left w:val="none" w:sz="0" w:space="0" w:color="auto"/>
                <w:bottom w:val="none" w:sz="0" w:space="0" w:color="auto"/>
                <w:right w:val="none" w:sz="0" w:space="0" w:color="auto"/>
              </w:divBdr>
              <w:divsChild>
                <w:div w:id="1203976731">
                  <w:marLeft w:val="0"/>
                  <w:marRight w:val="0"/>
                  <w:marTop w:val="0"/>
                  <w:marBottom w:val="0"/>
                  <w:divBdr>
                    <w:top w:val="none" w:sz="0" w:space="0" w:color="auto"/>
                    <w:left w:val="none" w:sz="0" w:space="0" w:color="auto"/>
                    <w:bottom w:val="none" w:sz="0" w:space="0" w:color="auto"/>
                    <w:right w:val="none" w:sz="0" w:space="0" w:color="auto"/>
                  </w:divBdr>
                  <w:divsChild>
                    <w:div w:id="500119784">
                      <w:marLeft w:val="0"/>
                      <w:marRight w:val="0"/>
                      <w:marTop w:val="0"/>
                      <w:marBottom w:val="120"/>
                      <w:divBdr>
                        <w:top w:val="single" w:sz="6" w:space="0" w:color="F5F5F5"/>
                        <w:left w:val="single" w:sz="6" w:space="0" w:color="F5F5F5"/>
                        <w:bottom w:val="single" w:sz="6" w:space="0" w:color="F5F5F5"/>
                        <w:right w:val="single" w:sz="6" w:space="0" w:color="F5F5F5"/>
                      </w:divBdr>
                      <w:divsChild>
                        <w:div w:id="50736559">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942946">
      <w:bodyDiv w:val="1"/>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
        <w:div w:id="85734363">
          <w:marLeft w:val="0"/>
          <w:marRight w:val="0"/>
          <w:marTop w:val="0"/>
          <w:marBottom w:val="0"/>
          <w:divBdr>
            <w:top w:val="none" w:sz="0" w:space="0" w:color="auto"/>
            <w:left w:val="none" w:sz="0" w:space="0" w:color="auto"/>
            <w:bottom w:val="none" w:sz="0" w:space="0" w:color="auto"/>
            <w:right w:val="none" w:sz="0" w:space="0" w:color="auto"/>
          </w:divBdr>
        </w:div>
        <w:div w:id="608857153">
          <w:marLeft w:val="0"/>
          <w:marRight w:val="0"/>
          <w:marTop w:val="0"/>
          <w:marBottom w:val="0"/>
          <w:divBdr>
            <w:top w:val="none" w:sz="0" w:space="0" w:color="auto"/>
            <w:left w:val="none" w:sz="0" w:space="0" w:color="auto"/>
            <w:bottom w:val="none" w:sz="0" w:space="0" w:color="auto"/>
            <w:right w:val="none" w:sz="0" w:space="0" w:color="auto"/>
          </w:divBdr>
        </w:div>
        <w:div w:id="875628781">
          <w:marLeft w:val="0"/>
          <w:marRight w:val="0"/>
          <w:marTop w:val="0"/>
          <w:marBottom w:val="0"/>
          <w:divBdr>
            <w:top w:val="none" w:sz="0" w:space="0" w:color="auto"/>
            <w:left w:val="none" w:sz="0" w:space="0" w:color="auto"/>
            <w:bottom w:val="none" w:sz="0" w:space="0" w:color="auto"/>
            <w:right w:val="none" w:sz="0" w:space="0" w:color="auto"/>
          </w:divBdr>
        </w:div>
        <w:div w:id="1472594964">
          <w:marLeft w:val="0"/>
          <w:marRight w:val="0"/>
          <w:marTop w:val="0"/>
          <w:marBottom w:val="0"/>
          <w:divBdr>
            <w:top w:val="none" w:sz="0" w:space="0" w:color="auto"/>
            <w:left w:val="none" w:sz="0" w:space="0" w:color="auto"/>
            <w:bottom w:val="none" w:sz="0" w:space="0" w:color="auto"/>
            <w:right w:val="none" w:sz="0" w:space="0" w:color="auto"/>
          </w:divBdr>
        </w:div>
        <w:div w:id="1689525587">
          <w:marLeft w:val="0"/>
          <w:marRight w:val="0"/>
          <w:marTop w:val="0"/>
          <w:marBottom w:val="0"/>
          <w:divBdr>
            <w:top w:val="none" w:sz="0" w:space="0" w:color="auto"/>
            <w:left w:val="none" w:sz="0" w:space="0" w:color="auto"/>
            <w:bottom w:val="none" w:sz="0" w:space="0" w:color="auto"/>
            <w:right w:val="none" w:sz="0" w:space="0" w:color="auto"/>
          </w:divBdr>
        </w:div>
        <w:div w:id="1734619388">
          <w:marLeft w:val="0"/>
          <w:marRight w:val="0"/>
          <w:marTop w:val="0"/>
          <w:marBottom w:val="0"/>
          <w:divBdr>
            <w:top w:val="none" w:sz="0" w:space="0" w:color="auto"/>
            <w:left w:val="none" w:sz="0" w:space="0" w:color="auto"/>
            <w:bottom w:val="none" w:sz="0" w:space="0" w:color="auto"/>
            <w:right w:val="none" w:sz="0" w:space="0" w:color="auto"/>
          </w:divBdr>
        </w:div>
        <w:div w:id="2058966391">
          <w:marLeft w:val="0"/>
          <w:marRight w:val="0"/>
          <w:marTop w:val="0"/>
          <w:marBottom w:val="0"/>
          <w:divBdr>
            <w:top w:val="none" w:sz="0" w:space="0" w:color="auto"/>
            <w:left w:val="none" w:sz="0" w:space="0" w:color="auto"/>
            <w:bottom w:val="none" w:sz="0" w:space="0" w:color="auto"/>
            <w:right w:val="none" w:sz="0" w:space="0" w:color="auto"/>
          </w:divBdr>
        </w:div>
        <w:div w:id="2122992418">
          <w:marLeft w:val="0"/>
          <w:marRight w:val="0"/>
          <w:marTop w:val="0"/>
          <w:marBottom w:val="0"/>
          <w:divBdr>
            <w:top w:val="none" w:sz="0" w:space="0" w:color="auto"/>
            <w:left w:val="none" w:sz="0" w:space="0" w:color="auto"/>
            <w:bottom w:val="none" w:sz="0" w:space="0" w:color="auto"/>
            <w:right w:val="none" w:sz="0" w:space="0" w:color="auto"/>
          </w:divBdr>
        </w:div>
      </w:divsChild>
    </w:div>
    <w:div w:id="1750998924">
      <w:bodyDiv w:val="1"/>
      <w:marLeft w:val="0"/>
      <w:marRight w:val="0"/>
      <w:marTop w:val="0"/>
      <w:marBottom w:val="0"/>
      <w:divBdr>
        <w:top w:val="none" w:sz="0" w:space="0" w:color="auto"/>
        <w:left w:val="none" w:sz="0" w:space="0" w:color="auto"/>
        <w:bottom w:val="none" w:sz="0" w:space="0" w:color="auto"/>
        <w:right w:val="none" w:sz="0" w:space="0" w:color="auto"/>
      </w:divBdr>
      <w:divsChild>
        <w:div w:id="1754937564">
          <w:marLeft w:val="0"/>
          <w:marRight w:val="0"/>
          <w:marTop w:val="0"/>
          <w:marBottom w:val="0"/>
          <w:divBdr>
            <w:top w:val="none" w:sz="0" w:space="0" w:color="auto"/>
            <w:left w:val="none" w:sz="0" w:space="0" w:color="auto"/>
            <w:bottom w:val="none" w:sz="0" w:space="0" w:color="auto"/>
            <w:right w:val="none" w:sz="0" w:space="0" w:color="auto"/>
          </w:divBdr>
        </w:div>
        <w:div w:id="1848714672">
          <w:marLeft w:val="0"/>
          <w:marRight w:val="0"/>
          <w:marTop w:val="0"/>
          <w:marBottom w:val="0"/>
          <w:divBdr>
            <w:top w:val="none" w:sz="0" w:space="0" w:color="auto"/>
            <w:left w:val="none" w:sz="0" w:space="0" w:color="auto"/>
            <w:bottom w:val="none" w:sz="0" w:space="0" w:color="auto"/>
            <w:right w:val="none" w:sz="0" w:space="0" w:color="auto"/>
          </w:divBdr>
        </w:div>
      </w:divsChild>
    </w:div>
    <w:div w:id="2044406237">
      <w:bodyDiv w:val="1"/>
      <w:marLeft w:val="0"/>
      <w:marRight w:val="0"/>
      <w:marTop w:val="0"/>
      <w:marBottom w:val="0"/>
      <w:divBdr>
        <w:top w:val="none" w:sz="0" w:space="0" w:color="auto"/>
        <w:left w:val="none" w:sz="0" w:space="0" w:color="auto"/>
        <w:bottom w:val="none" w:sz="0" w:space="0" w:color="auto"/>
        <w:right w:val="none" w:sz="0" w:space="0" w:color="auto"/>
      </w:divBdr>
      <w:divsChild>
        <w:div w:id="1276862388">
          <w:marLeft w:val="0"/>
          <w:marRight w:val="0"/>
          <w:marTop w:val="0"/>
          <w:marBottom w:val="0"/>
          <w:divBdr>
            <w:top w:val="none" w:sz="0" w:space="0" w:color="auto"/>
            <w:left w:val="none" w:sz="0" w:space="0" w:color="auto"/>
            <w:bottom w:val="none" w:sz="0" w:space="0" w:color="auto"/>
            <w:right w:val="none" w:sz="0" w:space="0" w:color="auto"/>
          </w:divBdr>
          <w:divsChild>
            <w:div w:id="583346801">
              <w:marLeft w:val="0"/>
              <w:marRight w:val="60"/>
              <w:marTop w:val="0"/>
              <w:marBottom w:val="0"/>
              <w:divBdr>
                <w:top w:val="none" w:sz="0" w:space="0" w:color="auto"/>
                <w:left w:val="none" w:sz="0" w:space="0" w:color="auto"/>
                <w:bottom w:val="none" w:sz="0" w:space="0" w:color="auto"/>
                <w:right w:val="none" w:sz="0" w:space="0" w:color="auto"/>
              </w:divBdr>
              <w:divsChild>
                <w:div w:id="1509708636">
                  <w:marLeft w:val="0"/>
                  <w:marRight w:val="0"/>
                  <w:marTop w:val="0"/>
                  <w:marBottom w:val="120"/>
                  <w:divBdr>
                    <w:top w:val="single" w:sz="6" w:space="0" w:color="C0C0C0"/>
                    <w:left w:val="single" w:sz="6" w:space="0" w:color="D9D9D9"/>
                    <w:bottom w:val="single" w:sz="6" w:space="0" w:color="D9D9D9"/>
                    <w:right w:val="single" w:sz="6" w:space="0" w:color="D9D9D9"/>
                  </w:divBdr>
                  <w:divsChild>
                    <w:div w:id="827095002">
                      <w:marLeft w:val="0"/>
                      <w:marRight w:val="0"/>
                      <w:marTop w:val="0"/>
                      <w:marBottom w:val="0"/>
                      <w:divBdr>
                        <w:top w:val="none" w:sz="0" w:space="0" w:color="auto"/>
                        <w:left w:val="none" w:sz="0" w:space="0" w:color="auto"/>
                        <w:bottom w:val="none" w:sz="0" w:space="0" w:color="auto"/>
                        <w:right w:val="none" w:sz="0" w:space="0" w:color="auto"/>
                      </w:divBdr>
                    </w:div>
                    <w:div w:id="4895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6029">
          <w:marLeft w:val="0"/>
          <w:marRight w:val="0"/>
          <w:marTop w:val="0"/>
          <w:marBottom w:val="0"/>
          <w:divBdr>
            <w:top w:val="none" w:sz="0" w:space="0" w:color="auto"/>
            <w:left w:val="none" w:sz="0" w:space="0" w:color="auto"/>
            <w:bottom w:val="none" w:sz="0" w:space="0" w:color="auto"/>
            <w:right w:val="none" w:sz="0" w:space="0" w:color="auto"/>
          </w:divBdr>
          <w:divsChild>
            <w:div w:id="896206768">
              <w:marLeft w:val="60"/>
              <w:marRight w:val="0"/>
              <w:marTop w:val="0"/>
              <w:marBottom w:val="0"/>
              <w:divBdr>
                <w:top w:val="none" w:sz="0" w:space="0" w:color="auto"/>
                <w:left w:val="none" w:sz="0" w:space="0" w:color="auto"/>
                <w:bottom w:val="none" w:sz="0" w:space="0" w:color="auto"/>
                <w:right w:val="none" w:sz="0" w:space="0" w:color="auto"/>
              </w:divBdr>
              <w:divsChild>
                <w:div w:id="2076316187">
                  <w:marLeft w:val="0"/>
                  <w:marRight w:val="0"/>
                  <w:marTop w:val="0"/>
                  <w:marBottom w:val="0"/>
                  <w:divBdr>
                    <w:top w:val="none" w:sz="0" w:space="0" w:color="auto"/>
                    <w:left w:val="none" w:sz="0" w:space="0" w:color="auto"/>
                    <w:bottom w:val="none" w:sz="0" w:space="0" w:color="auto"/>
                    <w:right w:val="none" w:sz="0" w:space="0" w:color="auto"/>
                  </w:divBdr>
                  <w:divsChild>
                    <w:div w:id="1333874557">
                      <w:marLeft w:val="0"/>
                      <w:marRight w:val="0"/>
                      <w:marTop w:val="0"/>
                      <w:marBottom w:val="120"/>
                      <w:divBdr>
                        <w:top w:val="single" w:sz="6" w:space="0" w:color="F5F5F5"/>
                        <w:left w:val="single" w:sz="6" w:space="0" w:color="F5F5F5"/>
                        <w:bottom w:val="single" w:sz="6" w:space="0" w:color="F5F5F5"/>
                        <w:right w:val="single" w:sz="6" w:space="0" w:color="F5F5F5"/>
                      </w:divBdr>
                      <w:divsChild>
                        <w:div w:id="556551906">
                          <w:marLeft w:val="0"/>
                          <w:marRight w:val="0"/>
                          <w:marTop w:val="0"/>
                          <w:marBottom w:val="0"/>
                          <w:divBdr>
                            <w:top w:val="none" w:sz="0" w:space="0" w:color="auto"/>
                            <w:left w:val="none" w:sz="0" w:space="0" w:color="auto"/>
                            <w:bottom w:val="none" w:sz="0" w:space="0" w:color="auto"/>
                            <w:right w:val="none" w:sz="0" w:space="0" w:color="auto"/>
                          </w:divBdr>
                          <w:divsChild>
                            <w:div w:id="8528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es/document/resolucion-xiii4-responsabilidades-funciones-y-composicion-del-comite-permanent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es/document/resolucion-xi19-ajustes-las-disposiciones-de-la-resolucion-71-sobre-composicion-funciones" TargetMode="External"/><Relationship Id="rId2" Type="http://schemas.openxmlformats.org/officeDocument/2006/relationships/hyperlink" Target="https://www.ramsar.org/es/document/resolucion-vii1-clasificacion-de-los-paises-por-regiones-en-el-marco-de-la-convencion-y" TargetMode="External"/><Relationship Id="rId1" Type="http://schemas.openxmlformats.org/officeDocument/2006/relationships/hyperlink" Target="https://www.ramsar.org/es/document/resolucion-33-la-creacion-de-un-comite-permanente" TargetMode="External"/><Relationship Id="rId6" Type="http://schemas.openxmlformats.org/officeDocument/2006/relationships/hyperlink" Target="https://www.ramsar.org/es" TargetMode="External"/><Relationship Id="rId5" Type="http://schemas.openxmlformats.org/officeDocument/2006/relationships/hyperlink" Target="https://www.ramsar.org/es/document/reglamento-de-ramsar-cop14" TargetMode="External"/><Relationship Id="rId4" Type="http://schemas.openxmlformats.org/officeDocument/2006/relationships/hyperlink" Target="https://www.ramsar.org/es/document/resolucion-xiv2-responsabilidades-funciones-y-composicion-del-comite-permanent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3" ma:contentTypeDescription="Create a new document." ma:contentTypeScope="" ma:versionID="5013cc71c1859598a18b9ce7312ef19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4e80ea02e018efc09e8a65ba00d312e4"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3B42-6243-4944-9FF0-EA6176F08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4418D-8FF2-4036-B028-E179F1E96E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B6E785-0979-4BFF-B1FE-2D5419808E37}">
  <ds:schemaRefs>
    <ds:schemaRef ds:uri="http://schemas.microsoft.com/sharepoint/v3/contenttype/forms"/>
  </ds:schemaRefs>
</ds:datastoreItem>
</file>

<file path=customXml/itemProps4.xml><?xml version="1.0" encoding="utf-8"?>
<ds:datastoreItem xmlns:ds="http://schemas.openxmlformats.org/officeDocument/2006/customXml" ds:itemID="{4C4462E4-B763-40AB-B30F-9E767134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 Chair</dc:creator>
  <cp:lastModifiedBy>JENNINGS Edmund</cp:lastModifiedBy>
  <cp:revision>6</cp:revision>
  <cp:lastPrinted>2022-08-25T10:22:00Z</cp:lastPrinted>
  <dcterms:created xsi:type="dcterms:W3CDTF">2025-04-14T11:26:00Z</dcterms:created>
  <dcterms:modified xsi:type="dcterms:W3CDTF">2025-04-21T14:05:00Z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