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A59A" w14:textId="77777777" w:rsidR="00F827B2" w:rsidRPr="00F827B2" w:rsidRDefault="00F827B2" w:rsidP="00F827B2">
      <w:pPr>
        <w:spacing w:after="0" w:line="240" w:lineRule="auto"/>
        <w:jc w:val="center"/>
        <w:outlineLvl w:val="0"/>
        <w:rPr>
          <w:rFonts w:ascii="Calibri" w:eastAsia="Times New Roman" w:hAnsi="Calibri" w:cs="Cambria"/>
          <w:b/>
          <w:bCs/>
          <w:sz w:val="24"/>
          <w:szCs w:val="24"/>
          <w:lang w:val="es-ES"/>
        </w:rPr>
      </w:pPr>
      <w:r w:rsidRPr="00F827B2">
        <w:rPr>
          <w:rFonts w:ascii="Calibri" w:eastAsia="Calibri" w:hAnsi="Calibri" w:cs="Arial"/>
          <w:noProof/>
          <w:lang w:val="es-ES"/>
        </w:rPr>
        <w:drawing>
          <wp:anchor distT="0" distB="0" distL="114300" distR="114300" simplePos="0" relativeHeight="251659264" behindDoc="0" locked="0" layoutInCell="1" allowOverlap="1" wp14:anchorId="7A061EAF" wp14:editId="5DA407AA">
            <wp:simplePos x="0" y="0"/>
            <wp:positionH relativeFrom="margin">
              <wp:posOffset>0</wp:posOffset>
            </wp:positionH>
            <wp:positionV relativeFrom="margin">
              <wp:posOffset>-234315</wp:posOffset>
            </wp:positionV>
            <wp:extent cx="1733550" cy="1708150"/>
            <wp:effectExtent l="0" t="0" r="0" b="6350"/>
            <wp:wrapSquare wrapText="bothSides"/>
            <wp:docPr id="7" name="Picture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Diagram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t="929" b="929"/>
                    <a:stretch>
                      <a:fillRect/>
                    </a:stretch>
                  </pic:blipFill>
                  <pic:spPr bwMode="auto">
                    <a:xfrm>
                      <a:off x="0" y="0"/>
                      <a:ext cx="1733550" cy="1708150"/>
                    </a:xfrm>
                    <a:prstGeom prst="rect">
                      <a:avLst/>
                    </a:prstGeom>
                    <a:noFill/>
                  </pic:spPr>
                </pic:pic>
              </a:graphicData>
            </a:graphic>
            <wp14:sizeRelH relativeFrom="page">
              <wp14:pctWidth>0</wp14:pctWidth>
            </wp14:sizeRelH>
            <wp14:sizeRelV relativeFrom="page">
              <wp14:pctHeight>0</wp14:pctHeight>
            </wp14:sizeRelV>
          </wp:anchor>
        </w:drawing>
      </w:r>
    </w:p>
    <w:p w14:paraId="4243F989" w14:textId="77777777" w:rsidR="00F827B2" w:rsidRPr="00F827B2" w:rsidRDefault="00F827B2" w:rsidP="00F827B2">
      <w:pPr>
        <w:spacing w:after="0" w:line="240" w:lineRule="auto"/>
        <w:jc w:val="center"/>
        <w:outlineLvl w:val="0"/>
        <w:rPr>
          <w:rFonts w:ascii="Calibri" w:eastAsia="Times New Roman" w:hAnsi="Calibri" w:cs="Cambria"/>
          <w:b/>
          <w:bCs/>
          <w:sz w:val="24"/>
          <w:szCs w:val="24"/>
          <w:lang w:val="es-ES"/>
        </w:rPr>
      </w:pPr>
      <w:r w:rsidRPr="00F827B2">
        <w:rPr>
          <w:rFonts w:ascii="Calibri" w:eastAsia="Times New Roman" w:hAnsi="Calibri" w:cs="Cambria"/>
          <w:b/>
          <w:bCs/>
          <w:sz w:val="24"/>
          <w:szCs w:val="24"/>
          <w:lang w:val="es-ES"/>
        </w:rPr>
        <w:t>15ª reunión de la Conferencia de las Partes Contratantes</w:t>
      </w:r>
    </w:p>
    <w:p w14:paraId="44C8C886" w14:textId="77777777" w:rsidR="00F827B2" w:rsidRPr="00F827B2" w:rsidRDefault="00F827B2" w:rsidP="00F827B2">
      <w:pPr>
        <w:spacing w:after="0" w:line="240" w:lineRule="auto"/>
        <w:jc w:val="center"/>
        <w:outlineLvl w:val="0"/>
        <w:rPr>
          <w:rFonts w:ascii="Calibri" w:eastAsia="Times New Roman" w:hAnsi="Calibri" w:cs="Cambria"/>
          <w:b/>
          <w:bCs/>
          <w:sz w:val="24"/>
          <w:szCs w:val="24"/>
          <w:lang w:val="es-ES"/>
        </w:rPr>
      </w:pPr>
      <w:r w:rsidRPr="00F827B2">
        <w:rPr>
          <w:rFonts w:ascii="Calibri" w:eastAsia="Times New Roman" w:hAnsi="Calibri" w:cs="Cambria"/>
          <w:b/>
          <w:bCs/>
          <w:sz w:val="24"/>
          <w:szCs w:val="24"/>
          <w:lang w:val="es-ES"/>
        </w:rPr>
        <w:t>en la Convención sobre los Humedales</w:t>
      </w:r>
    </w:p>
    <w:p w14:paraId="65C188A8" w14:textId="77777777" w:rsidR="00F827B2" w:rsidRPr="00F827B2" w:rsidRDefault="00F827B2" w:rsidP="00F827B2">
      <w:pPr>
        <w:spacing w:after="0" w:line="240" w:lineRule="auto"/>
        <w:jc w:val="center"/>
        <w:outlineLvl w:val="0"/>
        <w:rPr>
          <w:rFonts w:ascii="Calibri" w:eastAsia="Times New Roman" w:hAnsi="Calibri" w:cs="Cambria"/>
          <w:b/>
          <w:bCs/>
          <w:sz w:val="24"/>
          <w:szCs w:val="24"/>
          <w:lang w:val="es-ES"/>
        </w:rPr>
      </w:pPr>
    </w:p>
    <w:p w14:paraId="4CA475EA" w14:textId="77777777" w:rsidR="00F827B2" w:rsidRPr="00F827B2" w:rsidRDefault="00F827B2" w:rsidP="00F827B2">
      <w:pPr>
        <w:spacing w:after="0" w:line="240" w:lineRule="auto"/>
        <w:jc w:val="center"/>
        <w:outlineLvl w:val="0"/>
        <w:rPr>
          <w:rFonts w:ascii="Calibri" w:eastAsia="Times New Roman" w:hAnsi="Calibri" w:cs="Cambria"/>
          <w:b/>
          <w:bCs/>
          <w:sz w:val="24"/>
          <w:szCs w:val="24"/>
          <w:lang w:val="es-ES"/>
        </w:rPr>
      </w:pPr>
      <w:r w:rsidRPr="00F827B2">
        <w:rPr>
          <w:rFonts w:ascii="Calibri" w:eastAsia="Times New Roman" w:hAnsi="Calibri" w:cs="Cambria"/>
          <w:b/>
          <w:bCs/>
          <w:sz w:val="24"/>
          <w:szCs w:val="24"/>
          <w:lang w:val="es-ES"/>
        </w:rPr>
        <w:t>“Proteger los humedales para nuestro futuro común”</w:t>
      </w:r>
    </w:p>
    <w:p w14:paraId="5C4C6687" w14:textId="77777777" w:rsidR="00F827B2" w:rsidRPr="00F827B2" w:rsidRDefault="00F827B2" w:rsidP="00F827B2">
      <w:pPr>
        <w:spacing w:after="0" w:line="240" w:lineRule="auto"/>
        <w:jc w:val="center"/>
        <w:outlineLvl w:val="0"/>
        <w:rPr>
          <w:rFonts w:ascii="Calibri" w:eastAsia="Times New Roman" w:hAnsi="Calibri" w:cs="Cambria"/>
          <w:b/>
          <w:bCs/>
          <w:sz w:val="24"/>
          <w:szCs w:val="24"/>
          <w:lang w:val="es-ES"/>
        </w:rPr>
      </w:pPr>
      <w:r w:rsidRPr="00F827B2">
        <w:rPr>
          <w:rFonts w:ascii="Calibri" w:eastAsia="Times New Roman" w:hAnsi="Calibri" w:cs="Cambria"/>
          <w:b/>
          <w:bCs/>
          <w:sz w:val="24"/>
          <w:szCs w:val="24"/>
          <w:lang w:val="es-ES"/>
        </w:rPr>
        <w:t>Victoria Falls (Zimbabwe), 23 a 31 de julio de 2025</w:t>
      </w:r>
    </w:p>
    <w:p w14:paraId="086C6E07" w14:textId="77777777" w:rsidR="002C083B" w:rsidRPr="00DA1A64" w:rsidRDefault="002C083B" w:rsidP="002C083B">
      <w:pPr>
        <w:autoSpaceDE w:val="0"/>
        <w:autoSpaceDN w:val="0"/>
        <w:spacing w:after="0" w:line="240" w:lineRule="auto"/>
        <w:jc w:val="center"/>
        <w:outlineLvl w:val="0"/>
        <w:rPr>
          <w:rFonts w:ascii="Calibri" w:eastAsia="Times New Roman" w:hAnsi="Calibri" w:cs="Calibri"/>
          <w:b/>
          <w:bCs/>
          <w:sz w:val="24"/>
          <w:szCs w:val="24"/>
          <w:lang w:val="es-ES"/>
        </w:rPr>
      </w:pPr>
    </w:p>
    <w:p w14:paraId="42C5BA5D" w14:textId="77777777" w:rsidR="002C083B" w:rsidRPr="00DA1A64" w:rsidRDefault="002C083B" w:rsidP="002C083B">
      <w:pPr>
        <w:autoSpaceDE w:val="0"/>
        <w:autoSpaceDN w:val="0"/>
        <w:spacing w:after="0" w:line="240" w:lineRule="auto"/>
        <w:jc w:val="center"/>
        <w:outlineLvl w:val="0"/>
        <w:rPr>
          <w:rFonts w:ascii="Calibri" w:eastAsia="Times New Roman" w:hAnsi="Calibri" w:cs="Calibri"/>
          <w:b/>
          <w:bCs/>
          <w:sz w:val="24"/>
          <w:szCs w:val="24"/>
          <w:lang w:val="es-ES"/>
        </w:rPr>
      </w:pPr>
    </w:p>
    <w:p w14:paraId="0D7B3814" w14:textId="77777777" w:rsidR="00DA1A64" w:rsidRPr="00DA1A64" w:rsidRDefault="00DA1A64" w:rsidP="002C083B">
      <w:pPr>
        <w:autoSpaceDE w:val="0"/>
        <w:autoSpaceDN w:val="0"/>
        <w:spacing w:after="0" w:line="240" w:lineRule="auto"/>
        <w:jc w:val="center"/>
        <w:outlineLvl w:val="0"/>
        <w:rPr>
          <w:rFonts w:ascii="Calibri" w:eastAsia="Times New Roman" w:hAnsi="Calibri" w:cs="Calibri"/>
          <w:b/>
          <w:bCs/>
          <w:sz w:val="24"/>
          <w:szCs w:val="24"/>
          <w:lang w:val="es-ES"/>
        </w:rPr>
      </w:pPr>
    </w:p>
    <w:p w14:paraId="368B67FD" w14:textId="77777777" w:rsidR="002C083B" w:rsidRPr="00F827B2" w:rsidRDefault="002C083B" w:rsidP="002C083B">
      <w:pPr>
        <w:autoSpaceDE w:val="0"/>
        <w:autoSpaceDN w:val="0"/>
        <w:spacing w:after="0" w:line="240" w:lineRule="auto"/>
        <w:jc w:val="right"/>
        <w:rPr>
          <w:rFonts w:ascii="Calibri" w:eastAsia="Times New Roman" w:hAnsi="Calibri" w:cs="Calibri"/>
          <w:lang w:val="es-ES"/>
        </w:rPr>
      </w:pPr>
    </w:p>
    <w:p w14:paraId="1D212576" w14:textId="4BA5DCAE" w:rsidR="002C083B" w:rsidRPr="00F827B2" w:rsidRDefault="002C083B" w:rsidP="002C083B">
      <w:pPr>
        <w:autoSpaceDE w:val="0"/>
        <w:autoSpaceDN w:val="0"/>
        <w:spacing w:after="0" w:line="240" w:lineRule="auto"/>
        <w:jc w:val="right"/>
        <w:rPr>
          <w:rFonts w:ascii="Calibri" w:eastAsia="Times New Roman" w:hAnsi="Calibri" w:cs="Calibri"/>
          <w:sz w:val="28"/>
          <w:szCs w:val="28"/>
          <w:lang w:val="es-ES"/>
        </w:rPr>
      </w:pPr>
      <w:r w:rsidRPr="00F827B2">
        <w:rPr>
          <w:rFonts w:ascii="Calibri" w:eastAsia="Times New Roman" w:hAnsi="Calibri" w:cs="Calibri"/>
          <w:b/>
          <w:sz w:val="28"/>
          <w:szCs w:val="28"/>
          <w:lang w:val="es-ES"/>
        </w:rPr>
        <w:t>COP15 Doc.23.9</w:t>
      </w:r>
    </w:p>
    <w:p w14:paraId="1BA6DD76" w14:textId="77777777" w:rsidR="002C083B" w:rsidRPr="00F827B2" w:rsidRDefault="002C083B" w:rsidP="002C083B">
      <w:pPr>
        <w:tabs>
          <w:tab w:val="left" w:pos="10650"/>
          <w:tab w:val="right" w:pos="13958"/>
        </w:tabs>
        <w:autoSpaceDE w:val="0"/>
        <w:autoSpaceDN w:val="0"/>
        <w:spacing w:after="0" w:line="240" w:lineRule="auto"/>
        <w:jc w:val="right"/>
        <w:rPr>
          <w:rFonts w:ascii="Calibri" w:eastAsia="Times New Roman" w:hAnsi="Calibri" w:cs="Calibri"/>
          <w:b/>
          <w:bCs/>
          <w:sz w:val="28"/>
          <w:szCs w:val="28"/>
          <w:lang w:val="es-ES"/>
        </w:rPr>
      </w:pPr>
    </w:p>
    <w:tbl>
      <w:tblPr>
        <w:tblStyle w:val="TableGrid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2C083B" w:rsidRPr="00F20F8B" w14:paraId="2860D45C" w14:textId="77777777" w:rsidTr="002C083B">
        <w:trPr>
          <w:trHeight w:val="1389"/>
        </w:trPr>
        <w:tc>
          <w:tcPr>
            <w:tcW w:w="5000" w:type="pct"/>
          </w:tcPr>
          <w:p w14:paraId="6B8AB72E" w14:textId="002D86B0" w:rsidR="002C083B" w:rsidRPr="00F827B2" w:rsidRDefault="002C083B" w:rsidP="002C083B">
            <w:pPr>
              <w:ind w:right="67"/>
              <w:outlineLvl w:val="0"/>
              <w:rPr>
                <w:rFonts w:ascii="Calibri" w:eastAsia="Times New Roman" w:hAnsi="Calibri" w:cs="Calibri"/>
                <w:b/>
                <w:bCs/>
                <w:lang w:val="es-ES"/>
              </w:rPr>
            </w:pPr>
            <w:r w:rsidRPr="00F827B2">
              <w:rPr>
                <w:rFonts w:ascii="Calibri" w:eastAsia="Times New Roman" w:hAnsi="Calibri" w:cs="Calibri"/>
                <w:b/>
                <w:bCs/>
                <w:lang w:val="es-ES"/>
              </w:rPr>
              <w:t>Not</w:t>
            </w:r>
            <w:r w:rsidR="00F827B2" w:rsidRPr="00F827B2">
              <w:rPr>
                <w:rFonts w:ascii="Calibri" w:eastAsia="Times New Roman" w:hAnsi="Calibri" w:cs="Calibri"/>
                <w:b/>
                <w:bCs/>
                <w:lang w:val="es-ES"/>
              </w:rPr>
              <w:t xml:space="preserve">a de la </w:t>
            </w:r>
            <w:r w:rsidRPr="00F827B2">
              <w:rPr>
                <w:rFonts w:ascii="Calibri" w:eastAsia="Times New Roman" w:hAnsi="Calibri" w:cs="Calibri"/>
                <w:b/>
                <w:bCs/>
                <w:lang w:val="es-ES"/>
              </w:rPr>
              <w:t>Secretar</w:t>
            </w:r>
            <w:r w:rsidR="00F827B2" w:rsidRPr="00F827B2">
              <w:rPr>
                <w:rFonts w:ascii="Calibri" w:eastAsia="Times New Roman" w:hAnsi="Calibri" w:cs="Calibri"/>
                <w:b/>
                <w:bCs/>
                <w:lang w:val="es-ES"/>
              </w:rPr>
              <w:t>ía</w:t>
            </w:r>
            <w:r w:rsidRPr="00F827B2">
              <w:rPr>
                <w:rFonts w:ascii="Calibri" w:eastAsia="Times New Roman" w:hAnsi="Calibri" w:cs="Calibri"/>
                <w:b/>
                <w:bCs/>
                <w:lang w:val="es-ES"/>
              </w:rPr>
              <w:t xml:space="preserve">: </w:t>
            </w:r>
          </w:p>
          <w:p w14:paraId="43A24C35" w14:textId="77777777" w:rsidR="002C083B" w:rsidRPr="00F827B2" w:rsidRDefault="002C083B" w:rsidP="002C083B">
            <w:pPr>
              <w:rPr>
                <w:rFonts w:ascii="Calibri" w:eastAsia="Times New Roman" w:hAnsi="Calibri" w:cs="Calibri"/>
                <w:b/>
                <w:lang w:val="es-ES"/>
              </w:rPr>
            </w:pPr>
          </w:p>
          <w:p w14:paraId="445267B1" w14:textId="21C10555" w:rsidR="002C083B" w:rsidRPr="00F827B2" w:rsidRDefault="00F827B2" w:rsidP="002C083B">
            <w:pPr>
              <w:ind w:left="22" w:hanging="22"/>
              <w:rPr>
                <w:rFonts w:ascii="Calibri" w:eastAsia="Times New Roman" w:hAnsi="Calibri" w:cs="Calibri"/>
                <w:lang w:val="es-ES"/>
              </w:rPr>
            </w:pPr>
            <w:r w:rsidRPr="00F827B2">
              <w:rPr>
                <w:rFonts w:ascii="Calibri" w:eastAsia="Times New Roman" w:hAnsi="Calibri" w:cs="Calibri"/>
                <w:bCs/>
                <w:lang w:val="es-ES"/>
              </w:rPr>
              <w:t>En su 64</w:t>
            </w:r>
            <w:r w:rsidRPr="00F827B2">
              <w:rPr>
                <w:rFonts w:ascii="Calibri" w:eastAsia="Times New Roman" w:hAnsi="Calibri" w:cs="Calibri"/>
                <w:bCs/>
                <w:iCs/>
                <w:lang w:val="es-ES"/>
              </w:rPr>
              <w:t xml:space="preserve">ª </w:t>
            </w:r>
            <w:r w:rsidRPr="00F827B2">
              <w:rPr>
                <w:rFonts w:ascii="Calibri" w:eastAsia="Times New Roman" w:hAnsi="Calibri" w:cs="Calibri"/>
                <w:bCs/>
                <w:lang w:val="es-ES"/>
              </w:rPr>
              <w:t xml:space="preserve">reunión, el Comité Permanente encargó a la Secretaría en la Decisión SC64-15 que remitiera a la COP15 para su examen el proyecto de resolución que figura en el documento </w:t>
            </w:r>
            <w:r w:rsidR="002C083B" w:rsidRPr="00F827B2">
              <w:rPr>
                <w:rFonts w:ascii="Calibri" w:eastAsia="Times New Roman" w:hAnsi="Calibri" w:cs="Calibri"/>
                <w:lang w:val="es-ES"/>
              </w:rPr>
              <w:t xml:space="preserve">SC64 Doc.12 </w:t>
            </w:r>
            <w:r w:rsidRPr="00F827B2">
              <w:rPr>
                <w:rFonts w:ascii="Calibri" w:eastAsia="Times New Roman" w:hAnsi="Calibri" w:cs="Calibri"/>
                <w:lang w:val="es-ES"/>
              </w:rPr>
              <w:t xml:space="preserve">sobre el </w:t>
            </w:r>
            <w:r w:rsidRPr="00DA1A64">
              <w:rPr>
                <w:rFonts w:ascii="Calibri" w:eastAsia="Times New Roman" w:hAnsi="Calibri" w:cs="Calibri"/>
                <w:i/>
                <w:iCs/>
                <w:lang w:val="es-ES"/>
              </w:rPr>
              <w:t>fortalecimiento institucional</w:t>
            </w:r>
            <w:r w:rsidRPr="00DA1A64">
              <w:rPr>
                <w:rFonts w:ascii="Calibri" w:eastAsia="Times New Roman" w:hAnsi="Calibri" w:cs="Calibri"/>
                <w:lang w:val="es-ES"/>
              </w:rPr>
              <w:t>,</w:t>
            </w:r>
            <w:r w:rsidRPr="00F827B2">
              <w:rPr>
                <w:rFonts w:ascii="Calibri" w:eastAsia="Times New Roman" w:hAnsi="Calibri" w:cs="Calibri"/>
                <w:lang w:val="es-ES"/>
              </w:rPr>
              <w:t xml:space="preserve"> enmendado para incorporar los aportes presentados por el Comité</w:t>
            </w:r>
            <w:r w:rsidR="002C083B" w:rsidRPr="00F827B2">
              <w:rPr>
                <w:rFonts w:ascii="Calibri" w:eastAsia="Times New Roman" w:hAnsi="Calibri" w:cs="Calibri"/>
                <w:lang w:val="es-ES"/>
              </w:rPr>
              <w:t>.</w:t>
            </w:r>
          </w:p>
        </w:tc>
      </w:tr>
    </w:tbl>
    <w:p w14:paraId="7A74C17A" w14:textId="77777777" w:rsidR="002C083B" w:rsidRPr="00F827B2" w:rsidRDefault="002C083B" w:rsidP="002C083B">
      <w:pPr>
        <w:spacing w:after="0" w:line="240" w:lineRule="auto"/>
        <w:jc w:val="center"/>
        <w:rPr>
          <w:rFonts w:ascii="Calibri" w:eastAsia="Calibri" w:hAnsi="Calibri" w:cs="Times New Roman"/>
          <w:b/>
          <w:bCs/>
          <w:sz w:val="28"/>
          <w:lang w:val="es-ES"/>
        </w:rPr>
      </w:pPr>
    </w:p>
    <w:p w14:paraId="6EA4B676" w14:textId="77777777" w:rsidR="002C083B" w:rsidRPr="00F827B2" w:rsidRDefault="002C083B" w:rsidP="002C083B">
      <w:pPr>
        <w:spacing w:after="0" w:line="240" w:lineRule="auto"/>
        <w:jc w:val="center"/>
        <w:rPr>
          <w:rFonts w:ascii="Calibri" w:eastAsia="Calibri" w:hAnsi="Calibri" w:cs="Times New Roman"/>
          <w:b/>
          <w:bCs/>
          <w:sz w:val="28"/>
          <w:lang w:val="es-ES"/>
        </w:rPr>
      </w:pPr>
    </w:p>
    <w:p w14:paraId="0ECFF206" w14:textId="1EEE7F09" w:rsidR="0065712B" w:rsidRPr="00DA1A64" w:rsidRDefault="00F827B2" w:rsidP="00DA1A64">
      <w:pPr>
        <w:spacing w:after="0" w:line="240" w:lineRule="auto"/>
        <w:jc w:val="center"/>
        <w:rPr>
          <w:rFonts w:ascii="Calibri" w:eastAsia="Calibri" w:hAnsi="Calibri" w:cs="Times New Roman"/>
          <w:b/>
          <w:sz w:val="28"/>
          <w:lang w:val="es-ES"/>
        </w:rPr>
      </w:pPr>
      <w:r w:rsidRPr="00F827B2">
        <w:rPr>
          <w:rFonts w:ascii="Calibri" w:eastAsia="Calibri" w:hAnsi="Calibri" w:cs="Times New Roman"/>
          <w:b/>
          <w:bCs/>
          <w:sz w:val="28"/>
          <w:lang w:val="es-ES"/>
        </w:rPr>
        <w:t xml:space="preserve">Proyecto de resolución </w:t>
      </w:r>
      <w:r w:rsidR="00DA1A64" w:rsidRPr="00DA1A64">
        <w:rPr>
          <w:rFonts w:ascii="Calibri" w:eastAsia="Calibri" w:hAnsi="Calibri" w:cs="Times New Roman"/>
          <w:b/>
          <w:bCs/>
          <w:sz w:val="28"/>
          <w:lang w:val="es-ES"/>
        </w:rPr>
        <w:t xml:space="preserve">sobre la aplicación del </w:t>
      </w:r>
      <w:r w:rsidR="00DA1A64">
        <w:rPr>
          <w:rFonts w:ascii="Calibri" w:eastAsia="Calibri" w:hAnsi="Calibri" w:cs="Times New Roman"/>
          <w:b/>
          <w:bCs/>
          <w:sz w:val="28"/>
          <w:lang w:val="es-ES"/>
        </w:rPr>
        <w:br/>
      </w:r>
      <w:r w:rsidR="00DA1A64" w:rsidRPr="00DA1A64">
        <w:rPr>
          <w:rFonts w:ascii="Calibri" w:eastAsia="Calibri" w:hAnsi="Calibri" w:cs="Times New Roman"/>
          <w:b/>
          <w:bCs/>
          <w:sz w:val="28"/>
          <w:lang w:val="es-ES"/>
        </w:rPr>
        <w:t>fortalecimiento institucional de la Convención sobre los Humedales</w:t>
      </w:r>
    </w:p>
    <w:p w14:paraId="469B0064" w14:textId="77777777" w:rsidR="002C083B" w:rsidRDefault="002C083B" w:rsidP="0065712B">
      <w:pPr>
        <w:suppressLineNumbers/>
        <w:suppressAutoHyphens/>
        <w:spacing w:after="0" w:line="240" w:lineRule="auto"/>
        <w:ind w:right="16"/>
        <w:rPr>
          <w:rFonts w:ascii="Calibri" w:hAnsi="Calibri" w:cs="Calibri"/>
          <w:lang w:val="es-ES"/>
        </w:rPr>
      </w:pPr>
    </w:p>
    <w:p w14:paraId="617FCC90" w14:textId="77777777" w:rsidR="00DA1A64" w:rsidRPr="00F827B2" w:rsidRDefault="00DA1A64" w:rsidP="0065712B">
      <w:pPr>
        <w:suppressLineNumbers/>
        <w:suppressAutoHyphens/>
        <w:spacing w:after="0" w:line="240" w:lineRule="auto"/>
        <w:ind w:right="16"/>
        <w:rPr>
          <w:rFonts w:ascii="Calibri" w:hAnsi="Calibri" w:cs="Calibri"/>
          <w:lang w:val="es-ES"/>
        </w:rPr>
      </w:pPr>
    </w:p>
    <w:p w14:paraId="45F51A2B" w14:textId="77777777" w:rsidR="001520BF" w:rsidRPr="00F827B2" w:rsidRDefault="001520BF" w:rsidP="001520BF">
      <w:pPr>
        <w:suppressLineNumbers/>
        <w:suppressAutoHyphens/>
        <w:spacing w:after="0" w:line="240" w:lineRule="auto"/>
        <w:ind w:left="426" w:hanging="426"/>
        <w:rPr>
          <w:rFonts w:ascii="Calibri" w:hAnsi="Calibri" w:cs="Calibri"/>
          <w:lang w:val="es-ES"/>
        </w:rPr>
      </w:pPr>
      <w:r w:rsidRPr="00F827B2">
        <w:rPr>
          <w:rFonts w:ascii="Calibri" w:hAnsi="Calibri"/>
          <w:lang w:val="es-ES"/>
        </w:rPr>
        <w:t>1.</w:t>
      </w:r>
      <w:r w:rsidRPr="00F827B2">
        <w:rPr>
          <w:rFonts w:ascii="Calibri" w:hAnsi="Calibri"/>
          <w:lang w:val="es-ES"/>
        </w:rPr>
        <w:tab/>
        <w:t xml:space="preserve">RECORDANDO la Resolución XIV.6, </w:t>
      </w:r>
      <w:r w:rsidRPr="00F827B2">
        <w:rPr>
          <w:rFonts w:ascii="Calibri" w:hAnsi="Calibri"/>
          <w:i/>
          <w:iCs/>
          <w:lang w:val="es-ES"/>
        </w:rPr>
        <w:t>Mejora de la visibilidad de la Convención y de las sinergias con otros acuerdos multilaterales sobre el medio ambiente e instituciones internacionales</w:t>
      </w:r>
      <w:r w:rsidRPr="00F827B2">
        <w:rPr>
          <w:rFonts w:ascii="Calibri" w:hAnsi="Calibri"/>
          <w:lang w:val="es-ES"/>
        </w:rPr>
        <w:t xml:space="preserve">, en la que se encarga a la Secretaría que prepare un informe de fortalecimiento institucional con recomendaciones que reflejen las necesidades de la Secretaría para lograr una solidez en la organización que contribuya a la aplicación de la Convención, incluyendo, entre otras, las relacionadas con acuerdos administrativos, gobernanza, liderazgo, independencia en materia de recursos humanos y compromiso político de alto nivel, además de los objetivos de la Convención para lograr mayor visibilidad; </w:t>
      </w:r>
    </w:p>
    <w:p w14:paraId="66F9B7B0" w14:textId="77777777" w:rsidR="001520BF" w:rsidRPr="00F827B2" w:rsidRDefault="001520BF" w:rsidP="001520BF">
      <w:pPr>
        <w:suppressLineNumbers/>
        <w:suppressAutoHyphens/>
        <w:spacing w:after="0" w:line="240" w:lineRule="auto"/>
        <w:ind w:left="426" w:hanging="426"/>
        <w:rPr>
          <w:rFonts w:ascii="Calibri" w:hAnsi="Calibri" w:cs="Calibri"/>
          <w:lang w:val="es-ES"/>
        </w:rPr>
      </w:pPr>
    </w:p>
    <w:p w14:paraId="1508D380" w14:textId="77777777" w:rsidR="001520BF" w:rsidRPr="00F827B2" w:rsidRDefault="001520BF" w:rsidP="001520BF">
      <w:pPr>
        <w:suppressLineNumbers/>
        <w:suppressAutoHyphens/>
        <w:spacing w:after="0" w:line="240" w:lineRule="auto"/>
        <w:ind w:left="426" w:hanging="426"/>
        <w:rPr>
          <w:rFonts w:ascii="Calibri" w:hAnsi="Calibri" w:cs="Calibri"/>
          <w:lang w:val="es-ES"/>
        </w:rPr>
      </w:pPr>
      <w:r w:rsidRPr="00F827B2">
        <w:rPr>
          <w:rFonts w:ascii="Calibri" w:hAnsi="Calibri"/>
          <w:lang w:val="es-ES"/>
        </w:rPr>
        <w:t>2.</w:t>
      </w:r>
      <w:r w:rsidRPr="00F827B2">
        <w:rPr>
          <w:rFonts w:ascii="Calibri" w:hAnsi="Calibri"/>
          <w:lang w:val="es-ES"/>
        </w:rPr>
        <w:tab/>
        <w:t>RECORDANDO la Resolución X.5, la Resolución IX.10, la Resolución XI.1, la Resolución XII.3, la Resolución XIII.7 y la Resolución XIV.6, mediante las cuales se iniciaron una serie de procesos para examinar y mejorar los acuerdos de acogida y gobernanza de la Secretaría de la Convención, y de la propia Convención;</w:t>
      </w:r>
    </w:p>
    <w:p w14:paraId="0EA692F2" w14:textId="77777777" w:rsidR="001520BF" w:rsidRPr="00F827B2" w:rsidRDefault="001520BF" w:rsidP="001520BF">
      <w:pPr>
        <w:suppressLineNumbers/>
        <w:suppressAutoHyphens/>
        <w:spacing w:after="0" w:line="240" w:lineRule="auto"/>
        <w:ind w:left="426" w:hanging="426"/>
        <w:rPr>
          <w:rFonts w:ascii="Calibri" w:hAnsi="Calibri" w:cs="Calibri"/>
          <w:lang w:val="es-ES"/>
        </w:rPr>
      </w:pPr>
    </w:p>
    <w:p w14:paraId="275FFF4B" w14:textId="77777777" w:rsidR="001520BF" w:rsidRPr="00F827B2" w:rsidRDefault="001520BF" w:rsidP="001520BF">
      <w:pPr>
        <w:suppressLineNumbers/>
        <w:suppressAutoHyphens/>
        <w:spacing w:after="0" w:line="240" w:lineRule="auto"/>
        <w:ind w:left="426" w:hanging="426"/>
        <w:rPr>
          <w:rFonts w:ascii="Calibri" w:hAnsi="Calibri" w:cs="Calibri"/>
          <w:lang w:val="es-ES"/>
        </w:rPr>
      </w:pPr>
      <w:r w:rsidRPr="00F827B2">
        <w:rPr>
          <w:rFonts w:ascii="Calibri" w:hAnsi="Calibri"/>
          <w:lang w:val="es-ES"/>
        </w:rPr>
        <w:t>3.</w:t>
      </w:r>
      <w:r w:rsidRPr="00F827B2">
        <w:rPr>
          <w:rFonts w:ascii="Calibri" w:hAnsi="Calibri"/>
          <w:lang w:val="es-ES"/>
        </w:rPr>
        <w:tab/>
        <w:t>RECORDANDO TAMBIÉN la labor de varios grupos de trabajo anteriores, como el Grupo de Trabajo sobre la Condición de Observadora de la Secretaría y el Grupo de Trabajo sobre la Reforma Administrativa, así como las diversas consultorías y los análisis elaborados por estos grupos de trabajo;</w:t>
      </w:r>
    </w:p>
    <w:p w14:paraId="28D1AE9F" w14:textId="77777777" w:rsidR="001520BF" w:rsidRPr="00F827B2" w:rsidRDefault="001520BF" w:rsidP="001520BF">
      <w:pPr>
        <w:pStyle w:val="ListParagraph"/>
        <w:spacing w:after="0" w:line="240" w:lineRule="auto"/>
        <w:ind w:left="426" w:hanging="426"/>
        <w:rPr>
          <w:rFonts w:ascii="Calibri" w:hAnsi="Calibri" w:cs="Calibri"/>
          <w:lang w:val="es-ES"/>
        </w:rPr>
      </w:pPr>
    </w:p>
    <w:p w14:paraId="0F24E374" w14:textId="77777777" w:rsidR="001520BF" w:rsidRPr="00F827B2" w:rsidRDefault="001520BF" w:rsidP="001520BF">
      <w:pPr>
        <w:suppressLineNumbers/>
        <w:suppressAutoHyphens/>
        <w:spacing w:after="0" w:line="240" w:lineRule="auto"/>
        <w:ind w:left="426" w:hanging="426"/>
        <w:rPr>
          <w:rFonts w:ascii="Calibri" w:hAnsi="Calibri" w:cs="Calibri"/>
          <w:lang w:val="es-ES"/>
        </w:rPr>
      </w:pPr>
      <w:r w:rsidRPr="00F827B2">
        <w:rPr>
          <w:rFonts w:ascii="Calibri" w:hAnsi="Calibri"/>
          <w:lang w:val="es-ES"/>
        </w:rPr>
        <w:t>4.</w:t>
      </w:r>
      <w:r w:rsidRPr="00F827B2">
        <w:rPr>
          <w:rFonts w:ascii="Calibri" w:hAnsi="Calibri"/>
          <w:lang w:val="es-ES"/>
        </w:rPr>
        <w:tab/>
        <w:t>TOMANDO NOTA CON APRECIO de la labor del Grupo de Trabajo sobre el Fortalecimiento Institucional, que ha consolidado el trabajo de grupos anteriores, ha identificado retos que ya se han resuelto y ha detectado lagunas en la información; y</w:t>
      </w:r>
    </w:p>
    <w:p w14:paraId="15369CE1" w14:textId="77777777" w:rsidR="001520BF" w:rsidRPr="00F827B2" w:rsidRDefault="001520BF" w:rsidP="001520BF">
      <w:pPr>
        <w:pStyle w:val="ListParagraph"/>
        <w:spacing w:after="0" w:line="240" w:lineRule="auto"/>
        <w:ind w:left="426" w:hanging="426"/>
        <w:rPr>
          <w:rFonts w:ascii="Calibri" w:hAnsi="Calibri" w:cs="Calibri"/>
          <w:lang w:val="es-ES"/>
        </w:rPr>
      </w:pPr>
    </w:p>
    <w:p w14:paraId="6B2D1F01" w14:textId="77777777" w:rsidR="001520BF" w:rsidRPr="00F827B2" w:rsidRDefault="001520BF" w:rsidP="001520BF">
      <w:pPr>
        <w:suppressLineNumbers/>
        <w:suppressAutoHyphens/>
        <w:spacing w:after="0" w:line="240" w:lineRule="auto"/>
        <w:ind w:left="426" w:hanging="426"/>
        <w:rPr>
          <w:rFonts w:ascii="Calibri" w:hAnsi="Calibri" w:cs="Calibri"/>
          <w:lang w:val="es-ES"/>
        </w:rPr>
      </w:pPr>
      <w:r w:rsidRPr="00F827B2">
        <w:rPr>
          <w:rFonts w:ascii="Calibri" w:hAnsi="Calibri"/>
          <w:lang w:val="es-ES"/>
        </w:rPr>
        <w:lastRenderedPageBreak/>
        <w:t>5.</w:t>
      </w:r>
      <w:r w:rsidRPr="00F827B2">
        <w:rPr>
          <w:rFonts w:ascii="Calibri" w:hAnsi="Calibri"/>
          <w:lang w:val="es-ES"/>
        </w:rPr>
        <w:tab/>
        <w:t>RECONOCIENDO que las cuestiones relativas a la gobernanza de la Convención son complejas y que siguen existiendo lagunas en la información;</w:t>
      </w:r>
    </w:p>
    <w:p w14:paraId="3D0B5D34" w14:textId="77777777" w:rsidR="001520BF" w:rsidRPr="00F827B2" w:rsidRDefault="001520BF" w:rsidP="001520BF">
      <w:pPr>
        <w:spacing w:after="0" w:line="240" w:lineRule="auto"/>
        <w:rPr>
          <w:rFonts w:ascii="Calibri" w:hAnsi="Calibri" w:cs="Calibri"/>
          <w:lang w:val="es-ES"/>
        </w:rPr>
      </w:pPr>
    </w:p>
    <w:p w14:paraId="780366AF" w14:textId="77777777" w:rsidR="001520BF" w:rsidRPr="00F827B2" w:rsidRDefault="001520BF" w:rsidP="001520BF">
      <w:pPr>
        <w:suppressLineNumbers/>
        <w:suppressAutoHyphens/>
        <w:spacing w:after="0" w:line="240" w:lineRule="auto"/>
        <w:ind w:left="426" w:right="16" w:hanging="426"/>
        <w:jc w:val="center"/>
        <w:rPr>
          <w:rFonts w:ascii="Calibri" w:eastAsia="Times New Roman" w:hAnsi="Calibri" w:cs="Calibri"/>
          <w:lang w:val="es-ES"/>
        </w:rPr>
      </w:pPr>
      <w:r w:rsidRPr="00F827B2">
        <w:rPr>
          <w:rFonts w:ascii="Calibri" w:hAnsi="Calibri"/>
          <w:lang w:val="es-ES"/>
        </w:rPr>
        <w:t>LA CONFERENCIA DE LAS PARTES CONTRATANTES</w:t>
      </w:r>
    </w:p>
    <w:p w14:paraId="35873CC3" w14:textId="77777777" w:rsidR="001520BF" w:rsidRPr="00F827B2" w:rsidRDefault="001520BF" w:rsidP="001520BF">
      <w:pPr>
        <w:spacing w:after="0" w:line="240" w:lineRule="auto"/>
        <w:rPr>
          <w:rFonts w:ascii="Calibri" w:hAnsi="Calibri" w:cs="Calibri"/>
          <w:lang w:val="es-ES"/>
        </w:rPr>
      </w:pPr>
    </w:p>
    <w:p w14:paraId="2032E1FA" w14:textId="58D5B4DB" w:rsidR="001520BF" w:rsidRPr="00F827B2" w:rsidRDefault="001520BF" w:rsidP="001520BF">
      <w:pPr>
        <w:suppressLineNumbers/>
        <w:suppressAutoHyphens/>
        <w:spacing w:after="0" w:line="240" w:lineRule="auto"/>
        <w:ind w:left="426" w:hanging="426"/>
        <w:rPr>
          <w:rFonts w:ascii="Calibri" w:hAnsi="Calibri" w:cs="Calibri"/>
          <w:lang w:val="es-ES"/>
        </w:rPr>
      </w:pPr>
      <w:r w:rsidRPr="00F827B2">
        <w:rPr>
          <w:rFonts w:ascii="Calibri" w:hAnsi="Calibri"/>
          <w:lang w:val="es-ES"/>
        </w:rPr>
        <w:t>6.</w:t>
      </w:r>
      <w:r w:rsidRPr="00F827B2">
        <w:rPr>
          <w:rFonts w:ascii="Calibri" w:hAnsi="Calibri"/>
          <w:lang w:val="es-ES"/>
        </w:rPr>
        <w:tab/>
        <w:t>PIDE al Comité Permanente que, en su 66</w:t>
      </w:r>
      <w:r w:rsidRPr="00F827B2">
        <w:rPr>
          <w:rFonts w:ascii="Calibri" w:hAnsi="Calibri"/>
          <w:vertAlign w:val="superscript"/>
          <w:lang w:val="es-ES"/>
        </w:rPr>
        <w:t>a</w:t>
      </w:r>
      <w:r w:rsidRPr="00F827B2">
        <w:rPr>
          <w:rFonts w:ascii="Calibri" w:hAnsi="Calibri"/>
          <w:lang w:val="es-ES"/>
        </w:rPr>
        <w:t xml:space="preserve"> reunión (SC66), examine y apruebe la asignación de acciones de seguimiento en relación con los diferentes temas en los que han sido agrupados los retos, enumerados en el anexo 1 de la presente Resolución, a los grupos de trabajo existentes que tienen el mandato adecuado para investigar y abordar estos retos, solicitando a los grupos de trabajo enumerados a continuación, que proporcionen información actualizada sobre estas acciones de seguimiento dentro de sus respectivos informes a la reunión SC67: </w:t>
      </w:r>
    </w:p>
    <w:p w14:paraId="5B140531" w14:textId="77777777" w:rsidR="001520BF" w:rsidRPr="00F827B2" w:rsidRDefault="001520BF" w:rsidP="001520BF">
      <w:pPr>
        <w:suppressLineNumbers/>
        <w:suppressAutoHyphens/>
        <w:spacing w:after="0" w:line="240" w:lineRule="auto"/>
        <w:ind w:left="851" w:hanging="425"/>
        <w:rPr>
          <w:rFonts w:ascii="Calibri" w:hAnsi="Calibri" w:cs="Calibri"/>
          <w:lang w:val="es-ES"/>
        </w:rPr>
      </w:pPr>
    </w:p>
    <w:p w14:paraId="2A180CAF" w14:textId="41C09C30" w:rsidR="001520BF" w:rsidRPr="00F827B2" w:rsidRDefault="001520BF" w:rsidP="001520BF">
      <w:pPr>
        <w:suppressLineNumbers/>
        <w:suppressAutoHyphens/>
        <w:spacing w:after="0" w:line="240" w:lineRule="auto"/>
        <w:ind w:left="851" w:hanging="425"/>
        <w:rPr>
          <w:rFonts w:ascii="Calibri" w:hAnsi="Calibri" w:cs="Calibri"/>
          <w:lang w:val="es-ES"/>
        </w:rPr>
      </w:pPr>
      <w:r w:rsidRPr="00F827B2">
        <w:rPr>
          <w:rFonts w:ascii="Calibri" w:hAnsi="Calibri"/>
          <w:lang w:val="es-ES"/>
        </w:rPr>
        <w:t>a.</w:t>
      </w:r>
      <w:r w:rsidRPr="00F827B2">
        <w:rPr>
          <w:rFonts w:ascii="Calibri" w:hAnsi="Calibri"/>
          <w:lang w:val="es-ES"/>
        </w:rPr>
        <w:tab/>
        <w:t>Grupo de Trabajo Administrativo: Falta de mecanismos suficientes de comunicación y gestión de la información virtual; procedimiento de elección del Secretario General; y</w:t>
      </w:r>
    </w:p>
    <w:p w14:paraId="77AB4DEB" w14:textId="77777777" w:rsidR="001520BF" w:rsidRPr="00F827B2" w:rsidRDefault="001520BF" w:rsidP="001520BF">
      <w:pPr>
        <w:suppressLineNumbers/>
        <w:suppressAutoHyphens/>
        <w:spacing w:after="0" w:line="240" w:lineRule="auto"/>
        <w:ind w:left="851" w:hanging="425"/>
        <w:rPr>
          <w:rFonts w:ascii="Calibri" w:hAnsi="Calibri" w:cs="Calibri"/>
          <w:lang w:val="es-ES"/>
        </w:rPr>
      </w:pPr>
    </w:p>
    <w:p w14:paraId="01D920FE" w14:textId="4E584E3A" w:rsidR="001520BF" w:rsidRPr="00F827B2" w:rsidRDefault="001520BF" w:rsidP="001520BF">
      <w:pPr>
        <w:suppressLineNumbers/>
        <w:suppressAutoHyphens/>
        <w:spacing w:after="0" w:line="240" w:lineRule="auto"/>
        <w:ind w:left="851" w:hanging="425"/>
        <w:rPr>
          <w:rFonts w:ascii="Calibri" w:hAnsi="Calibri" w:cs="Calibri"/>
          <w:lang w:val="es-ES"/>
        </w:rPr>
      </w:pPr>
      <w:r w:rsidRPr="00F827B2">
        <w:rPr>
          <w:rFonts w:ascii="Calibri" w:hAnsi="Calibri"/>
          <w:lang w:val="es-ES"/>
        </w:rPr>
        <w:t>b.</w:t>
      </w:r>
      <w:r w:rsidRPr="00F827B2">
        <w:rPr>
          <w:rFonts w:ascii="Calibri" w:hAnsi="Calibri"/>
          <w:lang w:val="es-ES"/>
        </w:rPr>
        <w:tab/>
        <w:t xml:space="preserve">Subgrupo </w:t>
      </w:r>
      <w:r w:rsidR="00F827B2" w:rsidRPr="00F827B2">
        <w:rPr>
          <w:rFonts w:ascii="Calibri" w:hAnsi="Calibri"/>
          <w:lang w:val="es-ES"/>
        </w:rPr>
        <w:t>de F</w:t>
      </w:r>
      <w:r w:rsidRPr="00F827B2">
        <w:rPr>
          <w:rFonts w:ascii="Calibri" w:hAnsi="Calibri"/>
          <w:lang w:val="es-ES"/>
        </w:rPr>
        <w:t>inanzas: Dificultades para pagar las cuotas anuales a la Convención sobre los Humedales; riesgos que plantean a la Convención las disposiciones legales aplicadas a la gestión de las cuotas pendientes de pago; falta de mecanismos financieros formalizados claros para la financiación de la Convención;</w:t>
      </w:r>
    </w:p>
    <w:p w14:paraId="01D3640E" w14:textId="77777777" w:rsidR="001520BF" w:rsidRPr="00F827B2" w:rsidRDefault="001520BF" w:rsidP="001520BF">
      <w:pPr>
        <w:suppressLineNumbers/>
        <w:suppressAutoHyphens/>
        <w:spacing w:after="0" w:line="240" w:lineRule="auto"/>
        <w:ind w:left="360"/>
        <w:rPr>
          <w:rFonts w:ascii="Calibri" w:hAnsi="Calibri" w:cs="Calibri"/>
          <w:lang w:val="es-ES"/>
        </w:rPr>
      </w:pPr>
    </w:p>
    <w:p w14:paraId="25B20DE9" w14:textId="0E20261B" w:rsidR="001520BF" w:rsidRPr="00F827B2" w:rsidRDefault="001520BF" w:rsidP="001520BF">
      <w:pPr>
        <w:suppressLineNumbers/>
        <w:suppressAutoHyphens/>
        <w:spacing w:after="0" w:line="240" w:lineRule="auto"/>
        <w:ind w:left="426" w:hanging="426"/>
        <w:rPr>
          <w:rFonts w:ascii="Calibri" w:hAnsi="Calibri" w:cs="Calibri"/>
          <w:lang w:val="es-ES"/>
        </w:rPr>
      </w:pPr>
      <w:r w:rsidRPr="00F827B2">
        <w:rPr>
          <w:rFonts w:ascii="Calibri" w:hAnsi="Calibri"/>
          <w:lang w:val="es-ES"/>
        </w:rPr>
        <w:t>7.</w:t>
      </w:r>
      <w:r w:rsidRPr="00F827B2">
        <w:rPr>
          <w:rFonts w:ascii="Calibri" w:hAnsi="Calibri"/>
          <w:lang w:val="es-ES"/>
        </w:rPr>
        <w:tab/>
        <w:t>PIDE al Comité Permanente que, en la reunión SC66, establezca un nuevo grupo de trabajo con el objetivo de continuar la labor restante del Grupo de Trabajo sobre el Fortalecimiento Institucional, en particular las cuestiones estructurales de mejora de la contratación del personal y reducción de la rotación del mismo, la limitada visibilidad de la Convención en los procesos y reuniones de alto nivel de las Naciones Unidas, y la falta de personalidad jurídica, para lo cual deberá:</w:t>
      </w:r>
    </w:p>
    <w:p w14:paraId="3ACC5D2F" w14:textId="77777777" w:rsidR="001520BF" w:rsidRPr="00F827B2" w:rsidRDefault="001520BF" w:rsidP="001520BF">
      <w:pPr>
        <w:suppressLineNumbers/>
        <w:suppressAutoHyphens/>
        <w:spacing w:after="0" w:line="240" w:lineRule="auto"/>
        <w:ind w:left="851" w:hanging="425"/>
        <w:rPr>
          <w:rFonts w:ascii="Calibri" w:hAnsi="Calibri" w:cs="Calibri"/>
          <w:lang w:val="es-ES"/>
        </w:rPr>
      </w:pPr>
    </w:p>
    <w:p w14:paraId="4D1FB974" w14:textId="3AAF821F" w:rsidR="001520BF" w:rsidRPr="00F827B2" w:rsidRDefault="001520BF" w:rsidP="001520BF">
      <w:pPr>
        <w:suppressLineNumbers/>
        <w:suppressAutoHyphens/>
        <w:spacing w:after="0" w:line="240" w:lineRule="auto"/>
        <w:ind w:left="851" w:hanging="425"/>
        <w:rPr>
          <w:rFonts w:ascii="Calibri" w:hAnsi="Calibri" w:cs="Calibri"/>
          <w:lang w:val="es-ES"/>
        </w:rPr>
      </w:pPr>
      <w:r w:rsidRPr="00F827B2">
        <w:rPr>
          <w:rFonts w:ascii="Calibri" w:hAnsi="Calibri"/>
          <w:lang w:val="es-ES"/>
        </w:rPr>
        <w:t>a.</w:t>
      </w:r>
      <w:r w:rsidRPr="00F827B2">
        <w:rPr>
          <w:rFonts w:ascii="Calibri" w:hAnsi="Calibri"/>
          <w:lang w:val="es-ES"/>
        </w:rPr>
        <w:tab/>
        <w:t>obtener información para colmar las lagunas y responder a las preguntas restantes identificadas por el Grupo de Trabajo sobre Fortalecimiento Institucional en su informe final, tal y como figura en el anexo 1;</w:t>
      </w:r>
    </w:p>
    <w:p w14:paraId="551A67C3" w14:textId="77777777" w:rsidR="001520BF" w:rsidRPr="00F827B2" w:rsidRDefault="001520BF" w:rsidP="001520BF">
      <w:pPr>
        <w:suppressLineNumbers/>
        <w:suppressAutoHyphens/>
        <w:spacing w:after="0" w:line="240" w:lineRule="auto"/>
        <w:ind w:left="851" w:hanging="425"/>
        <w:rPr>
          <w:rFonts w:ascii="Calibri" w:hAnsi="Calibri" w:cs="Calibri"/>
          <w:lang w:val="es-ES"/>
        </w:rPr>
      </w:pPr>
    </w:p>
    <w:p w14:paraId="710B8EC3" w14:textId="1D1419DC" w:rsidR="001520BF" w:rsidRPr="00F827B2" w:rsidRDefault="001520BF" w:rsidP="001520BF">
      <w:pPr>
        <w:suppressLineNumbers/>
        <w:suppressAutoHyphens/>
        <w:spacing w:after="0" w:line="240" w:lineRule="auto"/>
        <w:ind w:left="851" w:hanging="425"/>
        <w:rPr>
          <w:rFonts w:ascii="Calibri" w:hAnsi="Calibri" w:cs="Calibri"/>
          <w:lang w:val="es-ES"/>
        </w:rPr>
      </w:pPr>
      <w:r w:rsidRPr="00F827B2">
        <w:rPr>
          <w:rFonts w:ascii="Calibri" w:hAnsi="Calibri"/>
          <w:lang w:val="es-ES"/>
        </w:rPr>
        <w:t>b.</w:t>
      </w:r>
      <w:r w:rsidRPr="00F827B2">
        <w:rPr>
          <w:rFonts w:ascii="Calibri" w:hAnsi="Calibri"/>
          <w:lang w:val="es-ES"/>
        </w:rPr>
        <w:tab/>
        <w:t>identificar los métodos utilizados por otros acuerdos ambientales multilaterales para abordar algunas de las cuestiones expuestas en el anexo 1, incluidos los atrasos en el pago de las cuotas anuales</w:t>
      </w:r>
      <w:r w:rsidR="00F827B2" w:rsidRPr="00F827B2">
        <w:rPr>
          <w:rFonts w:ascii="Calibri" w:hAnsi="Calibri"/>
          <w:lang w:val="es-ES"/>
        </w:rPr>
        <w:t>; y</w:t>
      </w:r>
    </w:p>
    <w:p w14:paraId="6370B065" w14:textId="77777777" w:rsidR="001520BF" w:rsidRPr="00F827B2" w:rsidRDefault="001520BF" w:rsidP="001520BF">
      <w:pPr>
        <w:suppressLineNumbers/>
        <w:suppressAutoHyphens/>
        <w:spacing w:after="0" w:line="240" w:lineRule="auto"/>
        <w:ind w:left="851" w:hanging="425"/>
        <w:rPr>
          <w:rFonts w:ascii="Calibri" w:hAnsi="Calibri" w:cs="Calibri"/>
          <w:lang w:val="es-ES"/>
        </w:rPr>
      </w:pPr>
    </w:p>
    <w:p w14:paraId="752BFF8F" w14:textId="366A361C" w:rsidR="001520BF" w:rsidRPr="00F827B2" w:rsidRDefault="001520BF" w:rsidP="001520BF">
      <w:pPr>
        <w:suppressLineNumbers/>
        <w:suppressAutoHyphens/>
        <w:spacing w:after="0" w:line="240" w:lineRule="auto"/>
        <w:ind w:left="851" w:hanging="425"/>
        <w:rPr>
          <w:rFonts w:ascii="Calibri" w:hAnsi="Calibri" w:cs="Calibri"/>
          <w:lang w:val="es-ES"/>
        </w:rPr>
      </w:pPr>
      <w:r w:rsidRPr="00F827B2">
        <w:rPr>
          <w:rFonts w:ascii="Calibri" w:hAnsi="Calibri"/>
          <w:lang w:val="es-ES"/>
        </w:rPr>
        <w:t>c.</w:t>
      </w:r>
      <w:r w:rsidRPr="00F827B2">
        <w:rPr>
          <w:rFonts w:ascii="Calibri" w:hAnsi="Calibri"/>
          <w:lang w:val="es-ES"/>
        </w:rPr>
        <w:tab/>
        <w:t>presentar un informe a la 16</w:t>
      </w:r>
      <w:r w:rsidRPr="00F827B2">
        <w:rPr>
          <w:rFonts w:ascii="Calibri" w:hAnsi="Calibri"/>
          <w:vertAlign w:val="superscript"/>
          <w:lang w:val="es-ES"/>
        </w:rPr>
        <w:t>a</w:t>
      </w:r>
      <w:r w:rsidRPr="00F827B2">
        <w:rPr>
          <w:rFonts w:ascii="Calibri" w:hAnsi="Calibri"/>
          <w:lang w:val="es-ES"/>
        </w:rPr>
        <w:t xml:space="preserve"> reunión de la Conferencia de las Partes Contratantes con un proyecto de resolución para seguir reforzando la gobernanza y continuar el fortalecimiento institucional de la Convención;</w:t>
      </w:r>
    </w:p>
    <w:p w14:paraId="33F80E3B" w14:textId="77777777" w:rsidR="001520BF" w:rsidRPr="00F827B2" w:rsidRDefault="001520BF" w:rsidP="001520BF">
      <w:pPr>
        <w:pStyle w:val="ListParagraph"/>
        <w:suppressLineNumbers/>
        <w:suppressAutoHyphens/>
        <w:spacing w:after="0" w:line="240" w:lineRule="auto"/>
        <w:rPr>
          <w:rFonts w:ascii="Calibri" w:hAnsi="Calibri" w:cs="Calibri"/>
          <w:lang w:val="es-ES"/>
        </w:rPr>
      </w:pPr>
    </w:p>
    <w:p w14:paraId="68343C34" w14:textId="01DEAEF1" w:rsidR="001520BF" w:rsidRPr="00F827B2" w:rsidRDefault="001520BF" w:rsidP="001520BF">
      <w:pPr>
        <w:suppressLineNumbers/>
        <w:suppressAutoHyphens/>
        <w:spacing w:after="0" w:line="240" w:lineRule="auto"/>
        <w:ind w:left="426" w:hanging="426"/>
        <w:rPr>
          <w:rFonts w:ascii="Calibri" w:hAnsi="Calibri"/>
          <w:lang w:val="es-ES"/>
        </w:rPr>
      </w:pPr>
      <w:r w:rsidRPr="00F827B2">
        <w:rPr>
          <w:rFonts w:ascii="Calibri" w:hAnsi="Calibri"/>
          <w:lang w:val="es-ES"/>
        </w:rPr>
        <w:t>[8.</w:t>
      </w:r>
      <w:r w:rsidRPr="00F827B2">
        <w:rPr>
          <w:rFonts w:ascii="Calibri" w:hAnsi="Calibri"/>
          <w:lang w:val="es-ES"/>
        </w:rPr>
        <w:tab/>
        <w:t xml:space="preserve">PIDE al Comité Permanente que, en la reunión SC66, establezca un nuevo grupo de trabajo sobre la movilización de recursos, </w:t>
      </w:r>
      <w:r w:rsidR="00F827B2" w:rsidRPr="00F827B2">
        <w:rPr>
          <w:rFonts w:ascii="Calibri" w:hAnsi="Calibri"/>
          <w:lang w:val="es-ES"/>
        </w:rPr>
        <w:t xml:space="preserve">creando también </w:t>
      </w:r>
      <w:r w:rsidRPr="00F827B2">
        <w:rPr>
          <w:rFonts w:ascii="Calibri" w:hAnsi="Calibri"/>
          <w:lang w:val="es-ES"/>
        </w:rPr>
        <w:t>un fondo fiduciario específico;]</w:t>
      </w:r>
    </w:p>
    <w:p w14:paraId="2CCA487F" w14:textId="77777777" w:rsidR="001520BF" w:rsidRPr="00F827B2" w:rsidRDefault="001520BF" w:rsidP="001520BF">
      <w:pPr>
        <w:suppressLineNumbers/>
        <w:suppressAutoHyphens/>
        <w:spacing w:after="0" w:line="240" w:lineRule="auto"/>
        <w:ind w:left="426" w:hanging="426"/>
        <w:rPr>
          <w:rFonts w:ascii="Calibri" w:hAnsi="Calibri"/>
          <w:lang w:val="es-ES"/>
        </w:rPr>
      </w:pPr>
    </w:p>
    <w:p w14:paraId="4E46BBE2" w14:textId="4050C555" w:rsidR="001520BF" w:rsidRPr="00F827B2" w:rsidRDefault="001520BF" w:rsidP="001520BF">
      <w:pPr>
        <w:suppressLineNumbers/>
        <w:suppressAutoHyphens/>
        <w:spacing w:after="0" w:line="240" w:lineRule="auto"/>
        <w:ind w:left="426" w:hanging="426"/>
        <w:rPr>
          <w:rFonts w:ascii="Calibri" w:hAnsi="Calibri" w:cs="Calibri"/>
          <w:lang w:val="es-ES"/>
        </w:rPr>
      </w:pPr>
      <w:r w:rsidRPr="00F827B2">
        <w:rPr>
          <w:rFonts w:ascii="Calibri" w:hAnsi="Calibri"/>
          <w:lang w:val="es-ES"/>
        </w:rPr>
        <w:t>9.</w:t>
      </w:r>
      <w:r w:rsidRPr="00F827B2">
        <w:rPr>
          <w:rFonts w:ascii="Calibri" w:hAnsi="Calibri"/>
          <w:lang w:val="es-ES"/>
        </w:rPr>
        <w:tab/>
        <w:t>CONFIRMA que la Secretaría de la Convención tiene capacidad para celebrar acuerdos administrativos y contractuales, en virtud de la Carta de Acuerdo entre la Unión Internacional para la Conservación de la Naturaleza (UICN) y la Convención</w:t>
      </w:r>
      <w:r w:rsidRPr="00F827B2">
        <w:rPr>
          <w:rStyle w:val="FootnoteReference"/>
          <w:rFonts w:ascii="Calibri" w:hAnsi="Calibri" w:cs="Calibri"/>
          <w:lang w:val="es-ES"/>
        </w:rPr>
        <w:footnoteReference w:id="1"/>
      </w:r>
      <w:r w:rsidRPr="00F827B2">
        <w:rPr>
          <w:rFonts w:ascii="Calibri" w:hAnsi="Calibri"/>
          <w:lang w:val="es-ES"/>
        </w:rPr>
        <w:t>, y de la Delegación de Autoridad en el Secretario General de la Convención</w:t>
      </w:r>
      <w:r w:rsidRPr="00F827B2">
        <w:rPr>
          <w:rStyle w:val="FootnoteReference"/>
          <w:rFonts w:ascii="Calibri" w:hAnsi="Calibri" w:cs="Calibri"/>
          <w:lang w:val="es-ES"/>
        </w:rPr>
        <w:footnoteReference w:id="2"/>
      </w:r>
      <w:r w:rsidRPr="00F827B2">
        <w:rPr>
          <w:rFonts w:ascii="Calibri" w:hAnsi="Calibri"/>
          <w:lang w:val="es-ES"/>
        </w:rPr>
        <w:t>; y</w:t>
      </w:r>
    </w:p>
    <w:p w14:paraId="0AA2ADC3" w14:textId="77777777" w:rsidR="001520BF" w:rsidRPr="00F827B2" w:rsidRDefault="001520BF" w:rsidP="001520BF">
      <w:pPr>
        <w:suppressLineNumbers/>
        <w:suppressAutoHyphens/>
        <w:spacing w:after="0" w:line="240" w:lineRule="auto"/>
        <w:ind w:left="426" w:hanging="426"/>
        <w:rPr>
          <w:rFonts w:ascii="Calibri" w:hAnsi="Calibri" w:cs="Calibri"/>
          <w:lang w:val="es-ES"/>
        </w:rPr>
      </w:pPr>
    </w:p>
    <w:p w14:paraId="1DF0D175" w14:textId="3D15C8C7" w:rsidR="001520BF" w:rsidRPr="00F827B2" w:rsidRDefault="001520BF" w:rsidP="001520BF">
      <w:pPr>
        <w:suppressLineNumbers/>
        <w:suppressAutoHyphens/>
        <w:spacing w:after="0" w:line="240" w:lineRule="auto"/>
        <w:ind w:left="426" w:hanging="426"/>
        <w:rPr>
          <w:rFonts w:ascii="Calibri" w:hAnsi="Calibri" w:cs="Calibri"/>
          <w:lang w:val="es-ES"/>
        </w:rPr>
      </w:pPr>
      <w:r w:rsidRPr="00F827B2">
        <w:rPr>
          <w:rFonts w:ascii="Calibri" w:hAnsi="Calibri"/>
          <w:lang w:val="es-ES"/>
        </w:rPr>
        <w:lastRenderedPageBreak/>
        <w:t>10.</w:t>
      </w:r>
      <w:r w:rsidRPr="00F827B2">
        <w:rPr>
          <w:rFonts w:ascii="Calibri" w:hAnsi="Calibri"/>
          <w:lang w:val="es-ES"/>
        </w:rPr>
        <w:tab/>
        <w:t>ENCARGA a la Secretaria General de la Convención que continúe trabajando con la UICN para identificar mejoras en las disposiciones de acogida relativas a recursos humanos, instalaciones y disposiciones administrativas, en consulta con el Equipo Ejecutivo y el Grupo de Trabajo Administrativo.</w:t>
      </w:r>
    </w:p>
    <w:p w14:paraId="3AA03126" w14:textId="1201CC58" w:rsidR="001520BF" w:rsidRPr="00F827B2" w:rsidRDefault="001520BF" w:rsidP="001520BF">
      <w:pPr>
        <w:pStyle w:val="Title"/>
        <w:rPr>
          <w:rFonts w:ascii="Calibri" w:hAnsi="Calibri"/>
          <w:b/>
          <w:spacing w:val="0"/>
          <w:sz w:val="24"/>
          <w:lang w:val="es-ES"/>
        </w:rPr>
      </w:pPr>
      <w:r w:rsidRPr="00F827B2">
        <w:rPr>
          <w:lang w:val="es-ES"/>
        </w:rPr>
        <w:br w:type="page"/>
      </w:r>
      <w:r w:rsidRPr="00F827B2">
        <w:rPr>
          <w:rFonts w:ascii="Calibri" w:hAnsi="Calibri"/>
          <w:b/>
          <w:spacing w:val="0"/>
          <w:sz w:val="24"/>
          <w:lang w:val="es-ES"/>
        </w:rPr>
        <w:lastRenderedPageBreak/>
        <w:t>Anexo 1</w:t>
      </w:r>
    </w:p>
    <w:p w14:paraId="2E8A48C3" w14:textId="77777777" w:rsidR="001520BF" w:rsidRPr="00F827B2" w:rsidRDefault="001520BF" w:rsidP="001520BF">
      <w:pPr>
        <w:pStyle w:val="Title"/>
        <w:rPr>
          <w:rFonts w:ascii="Calibri" w:hAnsi="Calibri"/>
          <w:b/>
          <w:spacing w:val="0"/>
          <w:sz w:val="24"/>
          <w:lang w:val="es-ES"/>
        </w:rPr>
      </w:pPr>
      <w:r w:rsidRPr="00F827B2">
        <w:rPr>
          <w:rFonts w:ascii="Calibri" w:hAnsi="Calibri"/>
          <w:b/>
          <w:spacing w:val="0"/>
          <w:sz w:val="24"/>
          <w:lang w:val="es-ES"/>
        </w:rPr>
        <w:t>Resultados de la labor del Grupo de Trabajo sobre el Fortalecimiento Institucional</w:t>
      </w:r>
    </w:p>
    <w:p w14:paraId="0A161F09" w14:textId="77777777" w:rsidR="001520BF" w:rsidRPr="00F827B2" w:rsidRDefault="001520BF" w:rsidP="001520BF">
      <w:pPr>
        <w:spacing w:after="0" w:line="240" w:lineRule="auto"/>
        <w:rPr>
          <w:rFonts w:ascii="Calibri" w:hAnsi="Calibri" w:cs="Calibri"/>
          <w:lang w:val="es-ES"/>
        </w:rPr>
      </w:pPr>
    </w:p>
    <w:tbl>
      <w:tblPr>
        <w:tblStyle w:val="TableGrid"/>
        <w:tblW w:w="0" w:type="auto"/>
        <w:tblLook w:val="04A0" w:firstRow="1" w:lastRow="0" w:firstColumn="1" w:lastColumn="0" w:noHBand="0" w:noVBand="1"/>
      </w:tblPr>
      <w:tblGrid>
        <w:gridCol w:w="1634"/>
        <w:gridCol w:w="2694"/>
        <w:gridCol w:w="2410"/>
        <w:gridCol w:w="2278"/>
      </w:tblGrid>
      <w:tr w:rsidR="001520BF" w:rsidRPr="00F20F8B" w14:paraId="3BE59F9D" w14:textId="77777777" w:rsidTr="00F20F8B">
        <w:trPr>
          <w:tblHeader/>
        </w:trPr>
        <w:tc>
          <w:tcPr>
            <w:tcW w:w="1555" w:type="dxa"/>
            <w:shd w:val="clear" w:color="auto" w:fill="DAE9F7" w:themeFill="text2" w:themeFillTint="1A"/>
            <w:vAlign w:val="center"/>
          </w:tcPr>
          <w:p w14:paraId="0DB1469B" w14:textId="77777777" w:rsidR="001520BF" w:rsidRPr="00F827B2" w:rsidRDefault="001520BF" w:rsidP="00100348">
            <w:pPr>
              <w:jc w:val="center"/>
              <w:rPr>
                <w:rFonts w:ascii="Calibri" w:hAnsi="Calibri" w:cs="Calibri"/>
                <w:b/>
                <w:bCs/>
                <w:lang w:val="es-ES"/>
              </w:rPr>
            </w:pPr>
            <w:r w:rsidRPr="00F827B2">
              <w:rPr>
                <w:rFonts w:ascii="Calibri" w:hAnsi="Calibri"/>
                <w:b/>
                <w:bCs/>
                <w:lang w:val="es-ES"/>
              </w:rPr>
              <w:t>Tema</w:t>
            </w:r>
          </w:p>
        </w:tc>
        <w:tc>
          <w:tcPr>
            <w:tcW w:w="2721" w:type="dxa"/>
            <w:shd w:val="clear" w:color="auto" w:fill="DAE9F7" w:themeFill="text2" w:themeFillTint="1A"/>
            <w:vAlign w:val="center"/>
          </w:tcPr>
          <w:p w14:paraId="64EE73D6" w14:textId="77777777" w:rsidR="001520BF" w:rsidRPr="00F827B2" w:rsidRDefault="001520BF" w:rsidP="00100348">
            <w:pPr>
              <w:jc w:val="center"/>
              <w:rPr>
                <w:rFonts w:ascii="Calibri" w:hAnsi="Calibri" w:cs="Calibri"/>
                <w:b/>
                <w:bCs/>
                <w:lang w:val="es-ES"/>
              </w:rPr>
            </w:pPr>
            <w:r w:rsidRPr="00F827B2">
              <w:rPr>
                <w:rFonts w:ascii="Calibri" w:hAnsi="Calibri"/>
                <w:b/>
                <w:bCs/>
                <w:lang w:val="es-ES"/>
              </w:rPr>
              <w:t>Reto</w:t>
            </w:r>
          </w:p>
        </w:tc>
        <w:tc>
          <w:tcPr>
            <w:tcW w:w="2438" w:type="dxa"/>
            <w:shd w:val="clear" w:color="auto" w:fill="DAE9F7" w:themeFill="text2" w:themeFillTint="1A"/>
            <w:vAlign w:val="center"/>
          </w:tcPr>
          <w:p w14:paraId="2ADEB62E" w14:textId="77777777" w:rsidR="001520BF" w:rsidRPr="00F827B2" w:rsidRDefault="001520BF" w:rsidP="00100348">
            <w:pPr>
              <w:jc w:val="center"/>
              <w:rPr>
                <w:rFonts w:ascii="Calibri" w:hAnsi="Calibri" w:cs="Calibri"/>
                <w:b/>
                <w:bCs/>
                <w:lang w:val="es-ES"/>
              </w:rPr>
            </w:pPr>
            <w:r w:rsidRPr="00F827B2">
              <w:rPr>
                <w:rFonts w:ascii="Calibri" w:hAnsi="Calibri"/>
                <w:b/>
                <w:bCs/>
                <w:lang w:val="es-ES"/>
              </w:rPr>
              <w:t>Estado</w:t>
            </w:r>
          </w:p>
        </w:tc>
        <w:tc>
          <w:tcPr>
            <w:tcW w:w="2302" w:type="dxa"/>
            <w:shd w:val="clear" w:color="auto" w:fill="DAE9F7" w:themeFill="text2" w:themeFillTint="1A"/>
            <w:vAlign w:val="center"/>
          </w:tcPr>
          <w:p w14:paraId="3CFFC998" w14:textId="77777777" w:rsidR="001520BF" w:rsidRPr="00F827B2" w:rsidRDefault="001520BF" w:rsidP="00100348">
            <w:pPr>
              <w:jc w:val="center"/>
              <w:rPr>
                <w:rFonts w:ascii="Calibri" w:hAnsi="Calibri" w:cs="Calibri"/>
                <w:b/>
                <w:bCs/>
                <w:lang w:val="es-ES"/>
              </w:rPr>
            </w:pPr>
            <w:r w:rsidRPr="00F827B2">
              <w:rPr>
                <w:rFonts w:ascii="Calibri" w:hAnsi="Calibri"/>
                <w:b/>
                <w:bCs/>
                <w:lang w:val="es-ES"/>
              </w:rPr>
              <w:t>Medidas de seguimiento que deberán ser aplicadas por</w:t>
            </w:r>
          </w:p>
        </w:tc>
      </w:tr>
      <w:tr w:rsidR="001520BF" w:rsidRPr="00F827B2" w14:paraId="4007A4D4" w14:textId="77777777" w:rsidTr="00100348">
        <w:trPr>
          <w:trHeight w:val="355"/>
        </w:trPr>
        <w:tc>
          <w:tcPr>
            <w:tcW w:w="1555" w:type="dxa"/>
            <w:vMerge w:val="restart"/>
          </w:tcPr>
          <w:p w14:paraId="73292A3E" w14:textId="77777777" w:rsidR="001520BF" w:rsidRPr="00F827B2" w:rsidRDefault="001520BF" w:rsidP="00100348">
            <w:pPr>
              <w:ind w:left="22"/>
              <w:rPr>
                <w:rFonts w:ascii="Calibri" w:hAnsi="Calibri" w:cs="Calibri"/>
                <w:lang w:val="es-ES"/>
              </w:rPr>
            </w:pPr>
            <w:r w:rsidRPr="00F827B2">
              <w:rPr>
                <w:rFonts w:ascii="Calibri" w:hAnsi="Calibri"/>
                <w:lang w:val="es-ES"/>
              </w:rPr>
              <w:t>Administración</w:t>
            </w:r>
          </w:p>
        </w:tc>
        <w:tc>
          <w:tcPr>
            <w:tcW w:w="2721" w:type="dxa"/>
          </w:tcPr>
          <w:p w14:paraId="0D466F0F" w14:textId="77777777" w:rsidR="001520BF" w:rsidRPr="00F827B2" w:rsidRDefault="001520BF" w:rsidP="00100348">
            <w:pPr>
              <w:rPr>
                <w:rFonts w:ascii="Calibri" w:hAnsi="Calibri" w:cs="Calibri"/>
                <w:lang w:val="es-ES"/>
              </w:rPr>
            </w:pPr>
            <w:r w:rsidRPr="00F827B2">
              <w:rPr>
                <w:rFonts w:ascii="Calibri" w:hAnsi="Calibri"/>
                <w:lang w:val="es-ES"/>
              </w:rPr>
              <w:t>Capacidad para celebrar contratos con donantes/terceros y dificultades en la ejecución y gestión de proyectos</w:t>
            </w:r>
          </w:p>
        </w:tc>
        <w:tc>
          <w:tcPr>
            <w:tcW w:w="2438" w:type="dxa"/>
          </w:tcPr>
          <w:p w14:paraId="621F4087" w14:textId="77777777" w:rsidR="001520BF" w:rsidRPr="00F827B2" w:rsidRDefault="001520BF" w:rsidP="00100348">
            <w:pPr>
              <w:rPr>
                <w:rFonts w:ascii="Calibri" w:hAnsi="Calibri" w:cs="Calibri"/>
                <w:lang w:val="es-ES"/>
              </w:rPr>
            </w:pPr>
            <w:r w:rsidRPr="00F827B2">
              <w:rPr>
                <w:rFonts w:ascii="Calibri" w:hAnsi="Calibri"/>
                <w:lang w:val="es-ES"/>
              </w:rPr>
              <w:t>Ya existen medidas eficaces para hacer frente a esta situación en caso de que surja.</w:t>
            </w:r>
          </w:p>
        </w:tc>
        <w:tc>
          <w:tcPr>
            <w:tcW w:w="2302" w:type="dxa"/>
          </w:tcPr>
          <w:p w14:paraId="63FB7014" w14:textId="77777777" w:rsidR="001520BF" w:rsidRPr="00F827B2" w:rsidRDefault="001520BF" w:rsidP="00100348">
            <w:pPr>
              <w:rPr>
                <w:rStyle w:val="CommentReference"/>
                <w:lang w:val="es-ES"/>
              </w:rPr>
            </w:pPr>
            <w:r w:rsidRPr="00F827B2">
              <w:rPr>
                <w:rFonts w:ascii="Calibri" w:hAnsi="Calibri"/>
                <w:lang w:val="es-ES"/>
              </w:rPr>
              <w:t>No corresponde</w:t>
            </w:r>
          </w:p>
        </w:tc>
      </w:tr>
      <w:tr w:rsidR="001520BF" w:rsidRPr="00F827B2" w14:paraId="5E54518E" w14:textId="77777777" w:rsidTr="00100348">
        <w:trPr>
          <w:trHeight w:val="738"/>
        </w:trPr>
        <w:tc>
          <w:tcPr>
            <w:tcW w:w="1555" w:type="dxa"/>
            <w:vMerge/>
          </w:tcPr>
          <w:p w14:paraId="004B32A2" w14:textId="77777777" w:rsidR="001520BF" w:rsidRPr="00F827B2" w:rsidRDefault="001520BF" w:rsidP="00100348">
            <w:pPr>
              <w:ind w:left="22"/>
              <w:rPr>
                <w:rFonts w:ascii="Calibri" w:hAnsi="Calibri" w:cs="Calibri"/>
                <w:lang w:val="es-ES"/>
              </w:rPr>
            </w:pPr>
          </w:p>
        </w:tc>
        <w:tc>
          <w:tcPr>
            <w:tcW w:w="2721" w:type="dxa"/>
          </w:tcPr>
          <w:p w14:paraId="5FE22D9E" w14:textId="77777777" w:rsidR="001520BF" w:rsidRPr="00F827B2" w:rsidRDefault="001520BF" w:rsidP="00100348">
            <w:pPr>
              <w:rPr>
                <w:rFonts w:ascii="Calibri" w:hAnsi="Calibri" w:cs="Calibri"/>
                <w:lang w:val="es-ES"/>
              </w:rPr>
            </w:pPr>
            <w:r w:rsidRPr="00F827B2">
              <w:rPr>
                <w:rFonts w:ascii="Calibri" w:hAnsi="Calibri"/>
                <w:lang w:val="es-ES"/>
              </w:rPr>
              <w:t>Dificultades para pagar las contribuciones anuales a la Convención sobre los Humedales</w:t>
            </w:r>
          </w:p>
        </w:tc>
        <w:tc>
          <w:tcPr>
            <w:tcW w:w="2438" w:type="dxa"/>
          </w:tcPr>
          <w:p w14:paraId="02FCEC28" w14:textId="77777777" w:rsidR="001520BF" w:rsidRPr="00F827B2" w:rsidRDefault="001520BF" w:rsidP="00100348">
            <w:pPr>
              <w:rPr>
                <w:rFonts w:ascii="Calibri" w:hAnsi="Calibri" w:cs="Calibri"/>
                <w:lang w:val="es-ES"/>
              </w:rPr>
            </w:pPr>
            <w:r w:rsidRPr="00F827B2">
              <w:rPr>
                <w:rFonts w:ascii="Calibri" w:hAnsi="Calibri"/>
                <w:lang w:val="es-ES"/>
              </w:rPr>
              <w:t>Se deberán evaluar opciones.</w:t>
            </w:r>
          </w:p>
        </w:tc>
        <w:tc>
          <w:tcPr>
            <w:tcW w:w="2302" w:type="dxa"/>
          </w:tcPr>
          <w:p w14:paraId="3BFC6FA8" w14:textId="0D38E780" w:rsidR="001520BF" w:rsidRPr="00F827B2" w:rsidRDefault="00F827B2" w:rsidP="00100348">
            <w:pPr>
              <w:rPr>
                <w:rFonts w:ascii="Calibri" w:hAnsi="Calibri" w:cs="Calibri"/>
                <w:lang w:val="es-ES"/>
              </w:rPr>
            </w:pPr>
            <w:r w:rsidRPr="00F827B2">
              <w:rPr>
                <w:rFonts w:ascii="Calibri" w:hAnsi="Calibri"/>
                <w:lang w:val="es-ES"/>
              </w:rPr>
              <w:t>Subgrupo de Finanzas</w:t>
            </w:r>
          </w:p>
        </w:tc>
      </w:tr>
      <w:tr w:rsidR="001520BF" w:rsidRPr="00F827B2" w14:paraId="66903032" w14:textId="77777777" w:rsidTr="00100348">
        <w:trPr>
          <w:trHeight w:val="738"/>
        </w:trPr>
        <w:tc>
          <w:tcPr>
            <w:tcW w:w="1555" w:type="dxa"/>
            <w:vMerge/>
          </w:tcPr>
          <w:p w14:paraId="63C9970A" w14:textId="77777777" w:rsidR="001520BF" w:rsidRPr="00F827B2" w:rsidRDefault="001520BF" w:rsidP="00100348">
            <w:pPr>
              <w:ind w:left="22"/>
              <w:rPr>
                <w:rFonts w:ascii="Calibri" w:hAnsi="Calibri" w:cs="Calibri"/>
                <w:lang w:val="es-ES"/>
              </w:rPr>
            </w:pPr>
          </w:p>
        </w:tc>
        <w:tc>
          <w:tcPr>
            <w:tcW w:w="2721" w:type="dxa"/>
          </w:tcPr>
          <w:p w14:paraId="47B44E66" w14:textId="77777777" w:rsidR="001520BF" w:rsidRPr="00F827B2" w:rsidRDefault="001520BF" w:rsidP="00100348">
            <w:pPr>
              <w:rPr>
                <w:rFonts w:ascii="Calibri" w:hAnsi="Calibri" w:cs="Calibri"/>
                <w:lang w:val="es-ES"/>
              </w:rPr>
            </w:pPr>
            <w:r w:rsidRPr="00F827B2">
              <w:rPr>
                <w:rFonts w:ascii="Calibri" w:hAnsi="Calibri"/>
                <w:lang w:val="es-ES"/>
              </w:rPr>
              <w:t>Dificultades de las Partes Contratantes para pagar las contribuciones a la Convención debido a su condición jurídica</w:t>
            </w:r>
          </w:p>
        </w:tc>
        <w:tc>
          <w:tcPr>
            <w:tcW w:w="2438" w:type="dxa"/>
          </w:tcPr>
          <w:p w14:paraId="6B306AE1" w14:textId="77777777" w:rsidR="001520BF" w:rsidRPr="00F827B2" w:rsidRDefault="001520BF" w:rsidP="00100348">
            <w:pPr>
              <w:rPr>
                <w:rFonts w:ascii="Calibri" w:hAnsi="Calibri" w:cs="Calibri"/>
                <w:lang w:val="es-ES"/>
              </w:rPr>
            </w:pPr>
            <w:r w:rsidRPr="00F827B2">
              <w:rPr>
                <w:rFonts w:ascii="Calibri" w:hAnsi="Calibri"/>
                <w:lang w:val="es-ES"/>
              </w:rPr>
              <w:t>Ya existen medidas eficaces para hacer frente a esta situación en caso de que surja.</w:t>
            </w:r>
          </w:p>
        </w:tc>
        <w:tc>
          <w:tcPr>
            <w:tcW w:w="2302" w:type="dxa"/>
          </w:tcPr>
          <w:p w14:paraId="3B81330C" w14:textId="77777777" w:rsidR="001520BF" w:rsidRPr="00F827B2" w:rsidRDefault="001520BF" w:rsidP="00100348">
            <w:pPr>
              <w:rPr>
                <w:rStyle w:val="CommentReference"/>
                <w:lang w:val="es-ES"/>
              </w:rPr>
            </w:pPr>
            <w:r w:rsidRPr="00F827B2">
              <w:rPr>
                <w:rFonts w:ascii="Calibri" w:hAnsi="Calibri"/>
                <w:lang w:val="es-ES"/>
              </w:rPr>
              <w:t>No corresponde</w:t>
            </w:r>
          </w:p>
        </w:tc>
      </w:tr>
      <w:tr w:rsidR="001520BF" w:rsidRPr="00F827B2" w14:paraId="2DABB57B" w14:textId="77777777" w:rsidTr="00100348">
        <w:trPr>
          <w:trHeight w:val="738"/>
        </w:trPr>
        <w:tc>
          <w:tcPr>
            <w:tcW w:w="1555" w:type="dxa"/>
            <w:vMerge/>
          </w:tcPr>
          <w:p w14:paraId="4495CA07" w14:textId="77777777" w:rsidR="001520BF" w:rsidRPr="00F827B2" w:rsidRDefault="001520BF" w:rsidP="00100348">
            <w:pPr>
              <w:ind w:left="22"/>
              <w:rPr>
                <w:rFonts w:ascii="Calibri" w:hAnsi="Calibri" w:cs="Calibri"/>
                <w:lang w:val="es-ES"/>
              </w:rPr>
            </w:pPr>
          </w:p>
        </w:tc>
        <w:tc>
          <w:tcPr>
            <w:tcW w:w="2721" w:type="dxa"/>
          </w:tcPr>
          <w:p w14:paraId="41743C8B" w14:textId="77777777" w:rsidR="001520BF" w:rsidRPr="00F827B2" w:rsidRDefault="001520BF" w:rsidP="00100348">
            <w:pPr>
              <w:rPr>
                <w:rFonts w:ascii="Calibri" w:hAnsi="Calibri" w:cs="Calibri"/>
                <w:lang w:val="es-ES"/>
              </w:rPr>
            </w:pPr>
            <w:r w:rsidRPr="00F827B2">
              <w:rPr>
                <w:rFonts w:ascii="Calibri" w:hAnsi="Calibri"/>
                <w:lang w:val="es-ES"/>
              </w:rPr>
              <w:t>Riesgos que suponen para la Convención al Convenio las disposiciones legales aplicadas a la gestión de las cuotas pendientes de pago</w:t>
            </w:r>
          </w:p>
        </w:tc>
        <w:tc>
          <w:tcPr>
            <w:tcW w:w="2438" w:type="dxa"/>
          </w:tcPr>
          <w:p w14:paraId="23437DB5" w14:textId="77777777" w:rsidR="001520BF" w:rsidRPr="00F827B2" w:rsidRDefault="001520BF" w:rsidP="00100348">
            <w:pPr>
              <w:rPr>
                <w:rFonts w:ascii="Calibri" w:hAnsi="Calibri" w:cs="Calibri"/>
                <w:lang w:val="es-ES"/>
              </w:rPr>
            </w:pPr>
            <w:r w:rsidRPr="00F827B2">
              <w:rPr>
                <w:rFonts w:ascii="Calibri" w:hAnsi="Calibri"/>
                <w:lang w:val="es-ES"/>
              </w:rPr>
              <w:t>Vinculado al impago de las cuotas: Se deberán evaluar opciones.</w:t>
            </w:r>
          </w:p>
        </w:tc>
        <w:tc>
          <w:tcPr>
            <w:tcW w:w="2302" w:type="dxa"/>
          </w:tcPr>
          <w:p w14:paraId="6F3A6118" w14:textId="6CA218CB" w:rsidR="001520BF" w:rsidRPr="00F827B2" w:rsidRDefault="00F827B2" w:rsidP="00100348">
            <w:pPr>
              <w:rPr>
                <w:rFonts w:ascii="Calibri" w:hAnsi="Calibri" w:cs="Calibri"/>
                <w:lang w:val="es-ES"/>
              </w:rPr>
            </w:pPr>
            <w:r w:rsidRPr="00F827B2">
              <w:rPr>
                <w:rFonts w:ascii="Calibri" w:hAnsi="Calibri"/>
                <w:lang w:val="es-ES"/>
              </w:rPr>
              <w:t>Subgrupo de Finanzas</w:t>
            </w:r>
          </w:p>
        </w:tc>
      </w:tr>
      <w:tr w:rsidR="001520BF" w:rsidRPr="00F827B2" w14:paraId="33FB2600" w14:textId="77777777" w:rsidTr="00100348">
        <w:trPr>
          <w:trHeight w:val="738"/>
        </w:trPr>
        <w:tc>
          <w:tcPr>
            <w:tcW w:w="1555" w:type="dxa"/>
            <w:vMerge/>
          </w:tcPr>
          <w:p w14:paraId="2F5DE868" w14:textId="77777777" w:rsidR="001520BF" w:rsidRPr="00F827B2" w:rsidRDefault="001520BF" w:rsidP="00100348">
            <w:pPr>
              <w:ind w:left="22"/>
              <w:rPr>
                <w:rFonts w:ascii="Calibri" w:hAnsi="Calibri" w:cs="Calibri"/>
                <w:lang w:val="es-ES"/>
              </w:rPr>
            </w:pPr>
          </w:p>
        </w:tc>
        <w:tc>
          <w:tcPr>
            <w:tcW w:w="2721" w:type="dxa"/>
          </w:tcPr>
          <w:p w14:paraId="40A9A484" w14:textId="77777777" w:rsidR="001520BF" w:rsidRPr="00F827B2" w:rsidRDefault="001520BF" w:rsidP="00100348">
            <w:pPr>
              <w:rPr>
                <w:rFonts w:ascii="Calibri" w:hAnsi="Calibri" w:cs="Calibri"/>
                <w:lang w:val="es-ES"/>
              </w:rPr>
            </w:pPr>
            <w:r w:rsidRPr="00F827B2">
              <w:rPr>
                <w:rFonts w:ascii="Calibri" w:hAnsi="Calibri"/>
                <w:lang w:val="es-ES"/>
              </w:rPr>
              <w:t xml:space="preserve">Falta de mecanismos financieros claros y formalizados para la financiación de la Convención </w:t>
            </w:r>
          </w:p>
        </w:tc>
        <w:tc>
          <w:tcPr>
            <w:tcW w:w="2438" w:type="dxa"/>
          </w:tcPr>
          <w:p w14:paraId="47192169" w14:textId="77777777" w:rsidR="001520BF" w:rsidRPr="00F827B2" w:rsidRDefault="001520BF" w:rsidP="00100348">
            <w:pPr>
              <w:rPr>
                <w:rFonts w:ascii="Calibri" w:hAnsi="Calibri" w:cs="Calibri"/>
                <w:lang w:val="es-ES"/>
              </w:rPr>
            </w:pPr>
            <w:r w:rsidRPr="00F827B2">
              <w:rPr>
                <w:rFonts w:ascii="Calibri" w:hAnsi="Calibri"/>
                <w:lang w:val="es-ES"/>
              </w:rPr>
              <w:t>Se deberán evaluar opciones.</w:t>
            </w:r>
          </w:p>
        </w:tc>
        <w:tc>
          <w:tcPr>
            <w:tcW w:w="2302" w:type="dxa"/>
          </w:tcPr>
          <w:p w14:paraId="2A23A199" w14:textId="49FE5CA6" w:rsidR="001520BF" w:rsidRPr="00F827B2" w:rsidRDefault="00F827B2" w:rsidP="00100348">
            <w:pPr>
              <w:rPr>
                <w:rFonts w:ascii="Calibri" w:hAnsi="Calibri" w:cs="Calibri"/>
                <w:lang w:val="es-ES"/>
              </w:rPr>
            </w:pPr>
            <w:r w:rsidRPr="00F827B2">
              <w:rPr>
                <w:rFonts w:ascii="Calibri" w:hAnsi="Calibri"/>
                <w:lang w:val="es-ES"/>
              </w:rPr>
              <w:t>Subgrupo de Finanzas</w:t>
            </w:r>
          </w:p>
        </w:tc>
      </w:tr>
      <w:tr w:rsidR="001520BF" w:rsidRPr="00F827B2" w14:paraId="1E7380FA" w14:textId="77777777" w:rsidTr="00100348">
        <w:tc>
          <w:tcPr>
            <w:tcW w:w="1555" w:type="dxa"/>
          </w:tcPr>
          <w:p w14:paraId="44EDA96A" w14:textId="77777777" w:rsidR="001520BF" w:rsidRPr="00F827B2" w:rsidRDefault="001520BF" w:rsidP="00100348">
            <w:pPr>
              <w:ind w:left="22"/>
              <w:rPr>
                <w:rFonts w:ascii="Calibri" w:hAnsi="Calibri" w:cs="Calibri"/>
                <w:lang w:val="es-ES"/>
              </w:rPr>
            </w:pPr>
            <w:r w:rsidRPr="00F827B2">
              <w:rPr>
                <w:rFonts w:ascii="Calibri" w:hAnsi="Calibri"/>
                <w:lang w:val="es-ES"/>
              </w:rPr>
              <w:t>Gobernanza</w:t>
            </w:r>
          </w:p>
        </w:tc>
        <w:tc>
          <w:tcPr>
            <w:tcW w:w="2721" w:type="dxa"/>
          </w:tcPr>
          <w:p w14:paraId="6C89120F" w14:textId="77777777" w:rsidR="001520BF" w:rsidRPr="00F827B2" w:rsidRDefault="001520BF" w:rsidP="00100348">
            <w:pPr>
              <w:rPr>
                <w:rFonts w:ascii="Calibri" w:hAnsi="Calibri" w:cs="Calibri"/>
                <w:lang w:val="es-ES"/>
              </w:rPr>
            </w:pPr>
            <w:r w:rsidRPr="00F827B2">
              <w:rPr>
                <w:rFonts w:ascii="Calibri" w:hAnsi="Calibri"/>
                <w:lang w:val="es-ES"/>
              </w:rPr>
              <w:t>Falta de mecanismos suficientes de comunicación y gestión de la información virtual</w:t>
            </w:r>
          </w:p>
        </w:tc>
        <w:tc>
          <w:tcPr>
            <w:tcW w:w="2438" w:type="dxa"/>
          </w:tcPr>
          <w:p w14:paraId="6186BF62" w14:textId="77777777" w:rsidR="001520BF" w:rsidRPr="00F827B2" w:rsidRDefault="001520BF" w:rsidP="00100348">
            <w:pPr>
              <w:rPr>
                <w:rFonts w:ascii="Calibri" w:hAnsi="Calibri" w:cs="Calibri"/>
                <w:lang w:val="es-ES"/>
              </w:rPr>
            </w:pPr>
            <w:r w:rsidRPr="00F827B2">
              <w:rPr>
                <w:rFonts w:ascii="Calibri" w:hAnsi="Calibri"/>
                <w:lang w:val="es-ES"/>
              </w:rPr>
              <w:t xml:space="preserve">La Secretaría se ocupa actualmente de este reto. </w:t>
            </w:r>
          </w:p>
        </w:tc>
        <w:tc>
          <w:tcPr>
            <w:tcW w:w="2302" w:type="dxa"/>
          </w:tcPr>
          <w:p w14:paraId="09690F10" w14:textId="77777777" w:rsidR="001520BF" w:rsidRPr="00F827B2" w:rsidRDefault="001520BF" w:rsidP="00100348">
            <w:pPr>
              <w:rPr>
                <w:rFonts w:ascii="Calibri" w:hAnsi="Calibri" w:cs="Calibri"/>
                <w:lang w:val="es-ES"/>
              </w:rPr>
            </w:pPr>
            <w:r w:rsidRPr="00F827B2">
              <w:rPr>
                <w:rFonts w:ascii="Calibri" w:hAnsi="Calibri"/>
                <w:lang w:val="es-ES"/>
              </w:rPr>
              <w:t>Grupo de Trabajo Administrativo</w:t>
            </w:r>
          </w:p>
        </w:tc>
      </w:tr>
      <w:tr w:rsidR="001520BF" w:rsidRPr="00F827B2" w14:paraId="5955B6A4" w14:textId="77777777" w:rsidTr="00100348">
        <w:tc>
          <w:tcPr>
            <w:tcW w:w="1555" w:type="dxa"/>
          </w:tcPr>
          <w:p w14:paraId="5027B815" w14:textId="77777777" w:rsidR="001520BF" w:rsidRPr="00F827B2" w:rsidRDefault="001520BF" w:rsidP="00100348">
            <w:pPr>
              <w:ind w:left="22"/>
              <w:rPr>
                <w:rFonts w:ascii="Calibri" w:hAnsi="Calibri" w:cs="Calibri"/>
                <w:lang w:val="es-ES"/>
              </w:rPr>
            </w:pPr>
            <w:r w:rsidRPr="00F827B2">
              <w:rPr>
                <w:rFonts w:ascii="Calibri" w:hAnsi="Calibri"/>
                <w:lang w:val="es-ES"/>
              </w:rPr>
              <w:t>Liderazgo</w:t>
            </w:r>
          </w:p>
        </w:tc>
        <w:tc>
          <w:tcPr>
            <w:tcW w:w="2721" w:type="dxa"/>
          </w:tcPr>
          <w:p w14:paraId="1ECDDF7D" w14:textId="77777777" w:rsidR="001520BF" w:rsidRPr="00F827B2" w:rsidRDefault="001520BF" w:rsidP="00100348">
            <w:pPr>
              <w:rPr>
                <w:rFonts w:ascii="Calibri" w:hAnsi="Calibri" w:cs="Calibri"/>
                <w:lang w:val="es-ES"/>
              </w:rPr>
            </w:pPr>
            <w:r w:rsidRPr="00F827B2">
              <w:rPr>
                <w:rFonts w:ascii="Calibri" w:hAnsi="Calibri"/>
                <w:lang w:val="es-ES"/>
              </w:rPr>
              <w:t>Procedimiento para la elección del Secretario General</w:t>
            </w:r>
          </w:p>
        </w:tc>
        <w:tc>
          <w:tcPr>
            <w:tcW w:w="2438" w:type="dxa"/>
          </w:tcPr>
          <w:p w14:paraId="5B037A6D" w14:textId="77777777" w:rsidR="001520BF" w:rsidRPr="00F827B2" w:rsidRDefault="001520BF" w:rsidP="00100348">
            <w:pPr>
              <w:rPr>
                <w:rFonts w:ascii="Calibri" w:hAnsi="Calibri" w:cs="Calibri"/>
                <w:lang w:val="es-ES"/>
              </w:rPr>
            </w:pPr>
            <w:r w:rsidRPr="00F827B2">
              <w:rPr>
                <w:rFonts w:ascii="Calibri" w:hAnsi="Calibri"/>
                <w:lang w:val="es-ES"/>
              </w:rPr>
              <w:t>Abordado por otro grupo de trabajo: Grupo de Trabajo Administrativo</w:t>
            </w:r>
          </w:p>
        </w:tc>
        <w:tc>
          <w:tcPr>
            <w:tcW w:w="2302" w:type="dxa"/>
          </w:tcPr>
          <w:p w14:paraId="2F7C9465" w14:textId="77777777" w:rsidR="001520BF" w:rsidRPr="00F827B2" w:rsidRDefault="001520BF" w:rsidP="00100348">
            <w:pPr>
              <w:rPr>
                <w:rFonts w:ascii="Calibri" w:hAnsi="Calibri" w:cs="Calibri"/>
                <w:lang w:val="es-ES"/>
              </w:rPr>
            </w:pPr>
            <w:r w:rsidRPr="00F827B2">
              <w:rPr>
                <w:rFonts w:ascii="Calibri" w:hAnsi="Calibri"/>
                <w:lang w:val="es-ES"/>
              </w:rPr>
              <w:t>Grupo de Trabajo Administrativo</w:t>
            </w:r>
          </w:p>
        </w:tc>
      </w:tr>
      <w:tr w:rsidR="001520BF" w:rsidRPr="00F827B2" w14:paraId="1AD89357" w14:textId="77777777" w:rsidTr="00100348">
        <w:tc>
          <w:tcPr>
            <w:tcW w:w="1555" w:type="dxa"/>
            <w:vMerge w:val="restart"/>
          </w:tcPr>
          <w:p w14:paraId="484C8426" w14:textId="77777777" w:rsidR="001520BF" w:rsidRPr="00F827B2" w:rsidRDefault="001520BF" w:rsidP="00100348">
            <w:pPr>
              <w:ind w:left="22"/>
              <w:rPr>
                <w:rFonts w:ascii="Calibri" w:hAnsi="Calibri" w:cs="Calibri"/>
                <w:lang w:val="es-ES"/>
              </w:rPr>
            </w:pPr>
            <w:r w:rsidRPr="00F827B2">
              <w:rPr>
                <w:rFonts w:ascii="Calibri" w:hAnsi="Calibri"/>
                <w:lang w:val="es-ES"/>
              </w:rPr>
              <w:t>Independencia en materia de recursos humanos</w:t>
            </w:r>
          </w:p>
        </w:tc>
        <w:tc>
          <w:tcPr>
            <w:tcW w:w="2721" w:type="dxa"/>
          </w:tcPr>
          <w:p w14:paraId="3A768617" w14:textId="77777777" w:rsidR="001520BF" w:rsidRPr="00F827B2" w:rsidRDefault="001520BF" w:rsidP="00100348">
            <w:pPr>
              <w:rPr>
                <w:rFonts w:ascii="Calibri" w:hAnsi="Calibri" w:cs="Calibri"/>
                <w:lang w:val="es-ES"/>
              </w:rPr>
            </w:pPr>
            <w:r w:rsidRPr="00F827B2">
              <w:rPr>
                <w:rFonts w:ascii="Calibri" w:hAnsi="Calibri"/>
                <w:lang w:val="es-ES"/>
              </w:rPr>
              <w:t>Contratación de personal y reducción de la rotación de personal</w:t>
            </w:r>
          </w:p>
        </w:tc>
        <w:tc>
          <w:tcPr>
            <w:tcW w:w="2438" w:type="dxa"/>
          </w:tcPr>
          <w:p w14:paraId="7002E37D" w14:textId="77777777" w:rsidR="001520BF" w:rsidRPr="00F827B2" w:rsidRDefault="001520BF" w:rsidP="00100348">
            <w:pPr>
              <w:rPr>
                <w:rFonts w:ascii="Calibri" w:hAnsi="Calibri" w:cs="Calibri"/>
                <w:lang w:val="es-ES"/>
              </w:rPr>
            </w:pPr>
            <w:r w:rsidRPr="00F827B2">
              <w:rPr>
                <w:rFonts w:ascii="Calibri" w:hAnsi="Calibri"/>
                <w:lang w:val="es-ES"/>
              </w:rPr>
              <w:t>Se deberán evaluar opciones.</w:t>
            </w:r>
          </w:p>
        </w:tc>
        <w:tc>
          <w:tcPr>
            <w:tcW w:w="2302" w:type="dxa"/>
          </w:tcPr>
          <w:p w14:paraId="39DE2906" w14:textId="77777777" w:rsidR="001520BF" w:rsidRPr="00F827B2" w:rsidRDefault="001520BF" w:rsidP="00100348">
            <w:pPr>
              <w:rPr>
                <w:rFonts w:ascii="Calibri" w:hAnsi="Calibri" w:cs="Calibri"/>
                <w:lang w:val="es-ES"/>
              </w:rPr>
            </w:pPr>
            <w:r w:rsidRPr="00F827B2">
              <w:rPr>
                <w:rFonts w:ascii="Calibri" w:hAnsi="Calibri"/>
                <w:lang w:val="es-ES"/>
              </w:rPr>
              <w:t>Nuevo grupo de trabajo</w:t>
            </w:r>
          </w:p>
        </w:tc>
      </w:tr>
      <w:tr w:rsidR="001520BF" w:rsidRPr="00F827B2" w14:paraId="02F484EE" w14:textId="77777777" w:rsidTr="00100348">
        <w:tc>
          <w:tcPr>
            <w:tcW w:w="1555" w:type="dxa"/>
            <w:vMerge/>
          </w:tcPr>
          <w:p w14:paraId="01992103" w14:textId="77777777" w:rsidR="001520BF" w:rsidRPr="00F827B2" w:rsidRDefault="001520BF" w:rsidP="00100348">
            <w:pPr>
              <w:ind w:left="22"/>
              <w:rPr>
                <w:rFonts w:ascii="Calibri" w:hAnsi="Calibri" w:cs="Calibri"/>
                <w:lang w:val="es-ES"/>
              </w:rPr>
            </w:pPr>
          </w:p>
        </w:tc>
        <w:tc>
          <w:tcPr>
            <w:tcW w:w="2721" w:type="dxa"/>
          </w:tcPr>
          <w:p w14:paraId="6A94309A" w14:textId="77777777" w:rsidR="001520BF" w:rsidRPr="00F827B2" w:rsidRDefault="001520BF" w:rsidP="00100348">
            <w:pPr>
              <w:rPr>
                <w:rFonts w:ascii="Calibri" w:hAnsi="Calibri" w:cs="Calibri"/>
                <w:lang w:val="es-ES"/>
              </w:rPr>
            </w:pPr>
            <w:r w:rsidRPr="00F827B2">
              <w:rPr>
                <w:rFonts w:ascii="Calibri" w:hAnsi="Calibri"/>
                <w:lang w:val="es-ES"/>
              </w:rPr>
              <w:t>Responsabilidad jurídica de la UICN por las acciones de la Secretaría</w:t>
            </w:r>
          </w:p>
        </w:tc>
        <w:tc>
          <w:tcPr>
            <w:tcW w:w="2438" w:type="dxa"/>
          </w:tcPr>
          <w:p w14:paraId="52196CD8" w14:textId="77777777" w:rsidR="001520BF" w:rsidRPr="00F827B2" w:rsidRDefault="001520BF" w:rsidP="00100348">
            <w:pPr>
              <w:rPr>
                <w:rFonts w:ascii="Calibri" w:hAnsi="Calibri" w:cs="Calibri"/>
                <w:lang w:val="es-ES"/>
              </w:rPr>
            </w:pPr>
            <w:r w:rsidRPr="00F827B2">
              <w:rPr>
                <w:rFonts w:ascii="Calibri" w:hAnsi="Calibri"/>
                <w:lang w:val="es-ES"/>
              </w:rPr>
              <w:t xml:space="preserve">No es un reto. </w:t>
            </w:r>
          </w:p>
        </w:tc>
        <w:tc>
          <w:tcPr>
            <w:tcW w:w="2302" w:type="dxa"/>
          </w:tcPr>
          <w:p w14:paraId="34718B29" w14:textId="77777777" w:rsidR="001520BF" w:rsidRPr="00F827B2" w:rsidRDefault="001520BF" w:rsidP="00100348">
            <w:pPr>
              <w:rPr>
                <w:rFonts w:ascii="Calibri" w:hAnsi="Calibri" w:cs="Calibri"/>
                <w:lang w:val="es-ES"/>
              </w:rPr>
            </w:pPr>
            <w:r w:rsidRPr="00F827B2">
              <w:rPr>
                <w:rFonts w:ascii="Calibri" w:hAnsi="Calibri"/>
                <w:lang w:val="es-ES"/>
              </w:rPr>
              <w:t>No corresponde</w:t>
            </w:r>
          </w:p>
        </w:tc>
      </w:tr>
      <w:tr w:rsidR="001520BF" w:rsidRPr="00F827B2" w14:paraId="3C9F5F60" w14:textId="77777777" w:rsidTr="00100348">
        <w:tc>
          <w:tcPr>
            <w:tcW w:w="1555" w:type="dxa"/>
            <w:vMerge/>
          </w:tcPr>
          <w:p w14:paraId="799C5A8D" w14:textId="77777777" w:rsidR="001520BF" w:rsidRPr="00F827B2" w:rsidRDefault="001520BF" w:rsidP="00100348">
            <w:pPr>
              <w:ind w:left="22"/>
              <w:rPr>
                <w:rFonts w:ascii="Calibri" w:hAnsi="Calibri" w:cs="Calibri"/>
                <w:lang w:val="es-ES"/>
              </w:rPr>
            </w:pPr>
          </w:p>
        </w:tc>
        <w:tc>
          <w:tcPr>
            <w:tcW w:w="2721" w:type="dxa"/>
          </w:tcPr>
          <w:p w14:paraId="7E4AC6FC" w14:textId="77777777" w:rsidR="001520BF" w:rsidRPr="00F827B2" w:rsidRDefault="001520BF" w:rsidP="00100348">
            <w:pPr>
              <w:rPr>
                <w:rFonts w:ascii="Calibri" w:hAnsi="Calibri" w:cs="Calibri"/>
                <w:lang w:val="es-ES"/>
              </w:rPr>
            </w:pPr>
            <w:r w:rsidRPr="00F827B2">
              <w:rPr>
                <w:rFonts w:ascii="Calibri" w:hAnsi="Calibri"/>
                <w:lang w:val="es-ES"/>
              </w:rPr>
              <w:t>El personal deja de tener permiso de residencia una vez finalizado el contrato.</w:t>
            </w:r>
          </w:p>
        </w:tc>
        <w:tc>
          <w:tcPr>
            <w:tcW w:w="2438" w:type="dxa"/>
          </w:tcPr>
          <w:p w14:paraId="15C0BABE" w14:textId="77777777" w:rsidR="001520BF" w:rsidRPr="00F827B2" w:rsidRDefault="001520BF" w:rsidP="00100348">
            <w:pPr>
              <w:rPr>
                <w:rFonts w:ascii="Calibri" w:hAnsi="Calibri" w:cs="Calibri"/>
                <w:lang w:val="es-ES"/>
              </w:rPr>
            </w:pPr>
            <w:r w:rsidRPr="00F827B2">
              <w:rPr>
                <w:rFonts w:ascii="Calibri" w:hAnsi="Calibri"/>
                <w:lang w:val="es-ES"/>
              </w:rPr>
              <w:t>No entra en el ámbito de aplicación de la Convención abordar este reto.</w:t>
            </w:r>
          </w:p>
        </w:tc>
        <w:tc>
          <w:tcPr>
            <w:tcW w:w="2302" w:type="dxa"/>
          </w:tcPr>
          <w:p w14:paraId="1DC8D4FB" w14:textId="77777777" w:rsidR="001520BF" w:rsidRPr="00F827B2" w:rsidRDefault="001520BF" w:rsidP="00100348">
            <w:pPr>
              <w:rPr>
                <w:rFonts w:ascii="Calibri" w:hAnsi="Calibri" w:cs="Calibri"/>
                <w:lang w:val="es-ES"/>
              </w:rPr>
            </w:pPr>
            <w:r w:rsidRPr="00F827B2">
              <w:rPr>
                <w:rFonts w:ascii="Calibri" w:hAnsi="Calibri"/>
                <w:lang w:val="es-ES"/>
              </w:rPr>
              <w:t>No corresponde</w:t>
            </w:r>
          </w:p>
        </w:tc>
      </w:tr>
      <w:tr w:rsidR="001520BF" w:rsidRPr="00F827B2" w14:paraId="6406D115" w14:textId="77777777" w:rsidTr="00100348">
        <w:tc>
          <w:tcPr>
            <w:tcW w:w="1555" w:type="dxa"/>
            <w:vMerge/>
          </w:tcPr>
          <w:p w14:paraId="491AB693" w14:textId="77777777" w:rsidR="001520BF" w:rsidRPr="00F827B2" w:rsidRDefault="001520BF" w:rsidP="00100348">
            <w:pPr>
              <w:ind w:left="22"/>
              <w:rPr>
                <w:rFonts w:ascii="Calibri" w:hAnsi="Calibri" w:cs="Calibri"/>
                <w:lang w:val="es-ES"/>
              </w:rPr>
            </w:pPr>
          </w:p>
        </w:tc>
        <w:tc>
          <w:tcPr>
            <w:tcW w:w="2721" w:type="dxa"/>
          </w:tcPr>
          <w:p w14:paraId="20DAF0EF" w14:textId="77777777" w:rsidR="001520BF" w:rsidRPr="00F827B2" w:rsidRDefault="001520BF" w:rsidP="00100348">
            <w:pPr>
              <w:rPr>
                <w:rFonts w:ascii="Calibri" w:hAnsi="Calibri" w:cs="Calibri"/>
                <w:lang w:val="es-ES"/>
              </w:rPr>
            </w:pPr>
            <w:r w:rsidRPr="00F827B2">
              <w:rPr>
                <w:rFonts w:ascii="Calibri" w:hAnsi="Calibri"/>
                <w:lang w:val="es-ES"/>
              </w:rPr>
              <w:t>Visados para viaje y seguridad del personal en misión</w:t>
            </w:r>
          </w:p>
        </w:tc>
        <w:tc>
          <w:tcPr>
            <w:tcW w:w="2438" w:type="dxa"/>
          </w:tcPr>
          <w:p w14:paraId="0A59B7E6" w14:textId="77777777" w:rsidR="001520BF" w:rsidRPr="00F827B2" w:rsidRDefault="001520BF" w:rsidP="00100348">
            <w:pPr>
              <w:rPr>
                <w:rFonts w:ascii="Calibri" w:hAnsi="Calibri" w:cs="Calibri"/>
                <w:spacing w:val="-2"/>
                <w:lang w:val="es-ES"/>
              </w:rPr>
            </w:pPr>
            <w:r w:rsidRPr="00F827B2">
              <w:rPr>
                <w:rFonts w:ascii="Calibri" w:hAnsi="Calibri"/>
                <w:lang w:val="es-ES"/>
              </w:rPr>
              <w:t>Puede resolverse parcialmente, pero las posibles soluciones plantean ciertos problemas.</w:t>
            </w:r>
          </w:p>
        </w:tc>
        <w:tc>
          <w:tcPr>
            <w:tcW w:w="2302" w:type="dxa"/>
          </w:tcPr>
          <w:p w14:paraId="2EF0B970" w14:textId="77777777" w:rsidR="001520BF" w:rsidRPr="00F827B2" w:rsidRDefault="001520BF" w:rsidP="00100348">
            <w:pPr>
              <w:rPr>
                <w:rFonts w:ascii="Calibri" w:hAnsi="Calibri" w:cs="Calibri"/>
                <w:lang w:val="es-ES"/>
              </w:rPr>
            </w:pPr>
            <w:r w:rsidRPr="00F827B2">
              <w:rPr>
                <w:rFonts w:ascii="Calibri" w:hAnsi="Calibri"/>
                <w:lang w:val="es-ES"/>
              </w:rPr>
              <w:t>No corresponde</w:t>
            </w:r>
          </w:p>
        </w:tc>
      </w:tr>
      <w:tr w:rsidR="001520BF" w:rsidRPr="00F827B2" w14:paraId="5EA690EC" w14:textId="77777777" w:rsidTr="00100348">
        <w:tc>
          <w:tcPr>
            <w:tcW w:w="1555" w:type="dxa"/>
          </w:tcPr>
          <w:p w14:paraId="748FF2D5" w14:textId="77777777" w:rsidR="001520BF" w:rsidRPr="00F827B2" w:rsidRDefault="001520BF" w:rsidP="00100348">
            <w:pPr>
              <w:ind w:left="22"/>
              <w:rPr>
                <w:rFonts w:ascii="Calibri" w:hAnsi="Calibri" w:cs="Calibri"/>
                <w:lang w:val="es-ES"/>
              </w:rPr>
            </w:pPr>
            <w:r w:rsidRPr="00F827B2">
              <w:rPr>
                <w:rFonts w:ascii="Calibri" w:hAnsi="Calibri"/>
                <w:lang w:val="es-ES"/>
              </w:rPr>
              <w:t>Representación y visibilidad de alto nivel</w:t>
            </w:r>
          </w:p>
        </w:tc>
        <w:tc>
          <w:tcPr>
            <w:tcW w:w="2721" w:type="dxa"/>
          </w:tcPr>
          <w:p w14:paraId="5163DE46" w14:textId="77777777" w:rsidR="001520BF" w:rsidRPr="00F827B2" w:rsidRDefault="001520BF" w:rsidP="00100348">
            <w:pPr>
              <w:rPr>
                <w:rFonts w:ascii="Calibri" w:hAnsi="Calibri" w:cs="Calibri"/>
                <w:lang w:val="es-ES"/>
              </w:rPr>
            </w:pPr>
            <w:r w:rsidRPr="00F827B2">
              <w:rPr>
                <w:rFonts w:ascii="Calibri" w:hAnsi="Calibri"/>
                <w:lang w:val="es-ES"/>
              </w:rPr>
              <w:t>Visibilidad limitada de la Convención en los procesos y reuniones de alto nivel de la ONU</w:t>
            </w:r>
          </w:p>
        </w:tc>
        <w:tc>
          <w:tcPr>
            <w:tcW w:w="2438" w:type="dxa"/>
          </w:tcPr>
          <w:p w14:paraId="7F52F7DF" w14:textId="77777777" w:rsidR="001520BF" w:rsidRPr="00F827B2" w:rsidRDefault="001520BF" w:rsidP="00100348">
            <w:pPr>
              <w:rPr>
                <w:rFonts w:ascii="Calibri" w:hAnsi="Calibri" w:cs="Calibri"/>
                <w:lang w:val="es-ES"/>
              </w:rPr>
            </w:pPr>
            <w:r w:rsidRPr="00F827B2">
              <w:rPr>
                <w:rFonts w:ascii="Calibri" w:hAnsi="Calibri"/>
                <w:lang w:val="es-ES"/>
              </w:rPr>
              <w:t>Se deberán evaluar opciones.</w:t>
            </w:r>
          </w:p>
        </w:tc>
        <w:tc>
          <w:tcPr>
            <w:tcW w:w="2302" w:type="dxa"/>
          </w:tcPr>
          <w:p w14:paraId="2CFC1B0D" w14:textId="77777777" w:rsidR="001520BF" w:rsidRPr="00F827B2" w:rsidRDefault="001520BF" w:rsidP="00100348">
            <w:pPr>
              <w:rPr>
                <w:rFonts w:ascii="Calibri" w:hAnsi="Calibri" w:cs="Calibri"/>
                <w:lang w:val="es-ES"/>
              </w:rPr>
            </w:pPr>
            <w:r w:rsidRPr="00F827B2">
              <w:rPr>
                <w:rFonts w:ascii="Calibri" w:hAnsi="Calibri"/>
                <w:lang w:val="es-ES"/>
              </w:rPr>
              <w:t>Nuevo grupo de trabajo</w:t>
            </w:r>
          </w:p>
        </w:tc>
      </w:tr>
      <w:tr w:rsidR="001520BF" w:rsidRPr="00F827B2" w14:paraId="7AFE9CAD" w14:textId="77777777" w:rsidTr="00100348">
        <w:tc>
          <w:tcPr>
            <w:tcW w:w="1555" w:type="dxa"/>
          </w:tcPr>
          <w:p w14:paraId="37128759" w14:textId="77777777" w:rsidR="001520BF" w:rsidRPr="00F827B2" w:rsidRDefault="001520BF" w:rsidP="00100348">
            <w:pPr>
              <w:ind w:left="22"/>
              <w:rPr>
                <w:rFonts w:ascii="Calibri" w:hAnsi="Calibri" w:cs="Calibri"/>
                <w:lang w:val="es-ES"/>
              </w:rPr>
            </w:pPr>
            <w:r w:rsidRPr="00F827B2">
              <w:rPr>
                <w:rFonts w:ascii="Calibri" w:hAnsi="Calibri"/>
                <w:lang w:val="es-ES"/>
              </w:rPr>
              <w:t>Cuestiones transversales</w:t>
            </w:r>
          </w:p>
        </w:tc>
        <w:tc>
          <w:tcPr>
            <w:tcW w:w="2721" w:type="dxa"/>
          </w:tcPr>
          <w:p w14:paraId="5CDF4476" w14:textId="77777777" w:rsidR="001520BF" w:rsidRPr="00F827B2" w:rsidRDefault="001520BF" w:rsidP="00100348">
            <w:pPr>
              <w:rPr>
                <w:rFonts w:ascii="Calibri" w:hAnsi="Calibri" w:cs="Calibri"/>
                <w:lang w:val="es-ES"/>
              </w:rPr>
            </w:pPr>
            <w:r w:rsidRPr="00F827B2">
              <w:rPr>
                <w:rFonts w:ascii="Calibri" w:hAnsi="Calibri"/>
                <w:lang w:val="es-ES"/>
              </w:rPr>
              <w:t>Falta de personalidad jurídica</w:t>
            </w:r>
          </w:p>
        </w:tc>
        <w:tc>
          <w:tcPr>
            <w:tcW w:w="2438" w:type="dxa"/>
          </w:tcPr>
          <w:p w14:paraId="7C52489E" w14:textId="77777777" w:rsidR="001520BF" w:rsidRPr="00F827B2" w:rsidRDefault="001520BF" w:rsidP="00100348">
            <w:pPr>
              <w:rPr>
                <w:rFonts w:ascii="Calibri" w:hAnsi="Calibri" w:cs="Calibri"/>
                <w:lang w:val="es-ES"/>
              </w:rPr>
            </w:pPr>
            <w:r w:rsidRPr="00F827B2">
              <w:rPr>
                <w:rFonts w:ascii="Calibri" w:hAnsi="Calibri"/>
                <w:lang w:val="es-ES"/>
              </w:rPr>
              <w:t>Se deberán evaluar opciones.</w:t>
            </w:r>
          </w:p>
        </w:tc>
        <w:tc>
          <w:tcPr>
            <w:tcW w:w="2302" w:type="dxa"/>
          </w:tcPr>
          <w:p w14:paraId="7BB8C8DC" w14:textId="77777777" w:rsidR="001520BF" w:rsidRPr="00F827B2" w:rsidRDefault="001520BF" w:rsidP="00100348">
            <w:pPr>
              <w:rPr>
                <w:rFonts w:ascii="Calibri" w:hAnsi="Calibri" w:cs="Calibri"/>
                <w:lang w:val="es-ES"/>
              </w:rPr>
            </w:pPr>
            <w:r w:rsidRPr="00F827B2">
              <w:rPr>
                <w:rFonts w:ascii="Calibri" w:hAnsi="Calibri"/>
                <w:lang w:val="es-ES"/>
              </w:rPr>
              <w:t>Nuevo grupo de trabajo</w:t>
            </w:r>
          </w:p>
        </w:tc>
      </w:tr>
    </w:tbl>
    <w:p w14:paraId="4BF18FED" w14:textId="77777777" w:rsidR="00C536C8" w:rsidRPr="00F827B2" w:rsidRDefault="00C536C8">
      <w:pPr>
        <w:rPr>
          <w:lang w:val="es-ES"/>
        </w:rPr>
      </w:pPr>
    </w:p>
    <w:sectPr w:rsidR="00C536C8" w:rsidRPr="00F827B2" w:rsidSect="009871A3">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896B8" w14:textId="77777777" w:rsidR="009C79C0" w:rsidRDefault="009C79C0" w:rsidP="0065712B">
      <w:pPr>
        <w:spacing w:after="0" w:line="240" w:lineRule="auto"/>
      </w:pPr>
      <w:r>
        <w:separator/>
      </w:r>
    </w:p>
  </w:endnote>
  <w:endnote w:type="continuationSeparator" w:id="0">
    <w:p w14:paraId="35315701" w14:textId="77777777" w:rsidR="009C79C0" w:rsidRDefault="009C79C0" w:rsidP="0065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DF21" w14:textId="53F4B8DF" w:rsidR="009871A3" w:rsidRPr="009871A3" w:rsidRDefault="009871A3" w:rsidP="009871A3">
    <w:pPr>
      <w:tabs>
        <w:tab w:val="center" w:pos="4513"/>
        <w:tab w:val="right" w:pos="12758"/>
      </w:tabs>
      <w:spacing w:after="0" w:line="240" w:lineRule="auto"/>
      <w:ind w:left="431" w:hanging="431"/>
      <w:rPr>
        <w:rFonts w:ascii="Calibri" w:hAnsi="Calibri"/>
        <w:sz w:val="20"/>
      </w:rPr>
    </w:pPr>
    <w:r w:rsidRPr="001104EF">
      <w:rPr>
        <w:rFonts w:ascii="Calibri" w:hAnsi="Calibri"/>
        <w:sz w:val="20"/>
      </w:rPr>
      <w:t>COP15 Doc.23</w:t>
    </w:r>
    <w:r>
      <w:rPr>
        <w:rFonts w:ascii="Calibri" w:hAnsi="Calibri"/>
        <w:sz w:val="20"/>
      </w:rPr>
      <w:t>.9</w:t>
    </w:r>
    <w:r>
      <w:rPr>
        <w:rFonts w:ascii="Calibri" w:hAnsi="Calibri"/>
      </w:rPr>
      <w:tab/>
    </w:r>
    <w:r>
      <w:rPr>
        <w:rFonts w:ascii="Calibri" w:hAnsi="Calibri"/>
      </w:rPr>
      <w:tab/>
    </w:r>
    <w:sdt>
      <w:sdtPr>
        <w:rPr>
          <w:rFonts w:ascii="Calibri" w:eastAsia="Calibri" w:hAnsi="Calibri" w:cs="Times New Roman"/>
        </w:rPr>
        <w:id w:val="-539899705"/>
        <w:docPartObj>
          <w:docPartGallery w:val="Page Numbers (Top of Page)"/>
          <w:docPartUnique/>
        </w:docPartObj>
      </w:sdtPr>
      <w:sdtEndPr>
        <w:rPr>
          <w:noProof/>
        </w:rPr>
      </w:sdtEndPr>
      <w:sdtContent>
        <w:r w:rsidRPr="001666E3">
          <w:rPr>
            <w:rFonts w:ascii="Calibri" w:eastAsia="Calibri" w:hAnsi="Calibri" w:cs="Times New Roman"/>
            <w:sz w:val="20"/>
          </w:rPr>
          <w:fldChar w:fldCharType="begin"/>
        </w:r>
        <w:r w:rsidRPr="001666E3">
          <w:rPr>
            <w:rFonts w:ascii="Calibri" w:eastAsia="Calibri" w:hAnsi="Calibri" w:cs="Times New Roman"/>
            <w:sz w:val="20"/>
          </w:rPr>
          <w:instrText xml:space="preserve"> PAGE   \* MERGEFORMAT </w:instrText>
        </w:r>
        <w:r w:rsidRPr="001666E3">
          <w:rPr>
            <w:rFonts w:ascii="Calibri" w:eastAsia="Calibri" w:hAnsi="Calibri" w:cs="Times New Roman"/>
            <w:sz w:val="20"/>
          </w:rPr>
          <w:fldChar w:fldCharType="separate"/>
        </w:r>
        <w:r>
          <w:rPr>
            <w:rFonts w:ascii="Calibri" w:eastAsia="Calibri" w:hAnsi="Calibri" w:cs="Times New Roman"/>
            <w:sz w:val="20"/>
          </w:rPr>
          <w:t>2</w:t>
        </w:r>
        <w:r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C966" w14:textId="77777777" w:rsidR="009C79C0" w:rsidRDefault="009C79C0" w:rsidP="0065712B">
      <w:pPr>
        <w:spacing w:after="0" w:line="240" w:lineRule="auto"/>
      </w:pPr>
      <w:r>
        <w:separator/>
      </w:r>
    </w:p>
  </w:footnote>
  <w:footnote w:type="continuationSeparator" w:id="0">
    <w:p w14:paraId="315683AA" w14:textId="77777777" w:rsidR="009C79C0" w:rsidRDefault="009C79C0" w:rsidP="0065712B">
      <w:pPr>
        <w:spacing w:after="0" w:line="240" w:lineRule="auto"/>
      </w:pPr>
      <w:r>
        <w:continuationSeparator/>
      </w:r>
    </w:p>
  </w:footnote>
  <w:footnote w:id="1">
    <w:p w14:paraId="72BA1E69" w14:textId="78E3CCD5" w:rsidR="001520BF" w:rsidRPr="00642603" w:rsidRDefault="001520BF" w:rsidP="001520BF">
      <w:pPr>
        <w:pStyle w:val="FootnoteText"/>
        <w:jc w:val="left"/>
        <w:rPr>
          <w:lang w:val="fr-FR"/>
        </w:rPr>
      </w:pPr>
      <w:r>
        <w:rPr>
          <w:rStyle w:val="FootnoteReference"/>
        </w:rPr>
        <w:footnoteRef/>
      </w:r>
      <w:r w:rsidRPr="00642603">
        <w:rPr>
          <w:lang w:val="fr-FR"/>
        </w:rPr>
        <w:t xml:space="preserve"> Véase </w:t>
      </w:r>
      <w:hyperlink r:id="rId1" w:history="1">
        <w:r w:rsidR="00DA1A64">
          <w:rPr>
            <w:rStyle w:val="Hyperlink"/>
            <w:lang w:val="fr-FR"/>
          </w:rPr>
          <w:t>https://www.ramsar.org/es/document/carta-de-acuerdo-para-la-prestacion-de-servicios-entre-la-uicn-y-la-convencion-de-ramsar</w:t>
        </w:r>
      </w:hyperlink>
      <w:r w:rsidRPr="00642603">
        <w:rPr>
          <w:lang w:val="fr-FR"/>
        </w:rPr>
        <w:t>.</w:t>
      </w:r>
    </w:p>
  </w:footnote>
  <w:footnote w:id="2">
    <w:p w14:paraId="692D8A84" w14:textId="05F0DE61" w:rsidR="001520BF" w:rsidRPr="00642603" w:rsidRDefault="001520BF" w:rsidP="001520BF">
      <w:pPr>
        <w:pStyle w:val="FootnoteText"/>
        <w:jc w:val="left"/>
        <w:rPr>
          <w:lang w:val="fr-FR"/>
        </w:rPr>
      </w:pPr>
      <w:r>
        <w:rPr>
          <w:rStyle w:val="FootnoteReference"/>
        </w:rPr>
        <w:footnoteRef/>
      </w:r>
      <w:r w:rsidRPr="00642603">
        <w:rPr>
          <w:lang w:val="fr-FR"/>
        </w:rPr>
        <w:t xml:space="preserve"> Véase </w:t>
      </w:r>
      <w:hyperlink r:id="rId2" w:history="1">
        <w:r w:rsidR="00DA1A64">
          <w:rPr>
            <w:rStyle w:val="Hyperlink"/>
            <w:lang w:val="fr-FR"/>
          </w:rPr>
          <w:t>https://www.ramsar.org/es/document/delegacion-de-autoridad-del-secretario-general-de-la-convencion-relativa-los-humedales-de</w:t>
        </w:r>
      </w:hyperlink>
      <w:r w:rsidRPr="00642603">
        <w:rPr>
          <w:lang w:val="fr-F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2B"/>
    <w:rsid w:val="00057991"/>
    <w:rsid w:val="000B4868"/>
    <w:rsid w:val="000F2494"/>
    <w:rsid w:val="001520BF"/>
    <w:rsid w:val="001E3EFA"/>
    <w:rsid w:val="001E5418"/>
    <w:rsid w:val="002C083B"/>
    <w:rsid w:val="00301E36"/>
    <w:rsid w:val="003462B6"/>
    <w:rsid w:val="0065712B"/>
    <w:rsid w:val="008D7C3A"/>
    <w:rsid w:val="00910E7F"/>
    <w:rsid w:val="00985DA1"/>
    <w:rsid w:val="009871A3"/>
    <w:rsid w:val="009C79C0"/>
    <w:rsid w:val="00C505D3"/>
    <w:rsid w:val="00C536C8"/>
    <w:rsid w:val="00DA1A64"/>
    <w:rsid w:val="00DD4C5C"/>
    <w:rsid w:val="00E34B50"/>
    <w:rsid w:val="00E57289"/>
    <w:rsid w:val="00EB682B"/>
    <w:rsid w:val="00ED060E"/>
    <w:rsid w:val="00F20F8B"/>
    <w:rsid w:val="00F827B2"/>
    <w:rsid w:val="00FA1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CB6D"/>
  <w15:chartTrackingRefBased/>
  <w15:docId w15:val="{74ED4A32-C423-4171-8EF1-242D1891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2B"/>
    <w:rPr>
      <w:kern w:val="0"/>
      <w:lang w:val="en-US"/>
      <w14:ligatures w14:val="none"/>
    </w:rPr>
  </w:style>
  <w:style w:type="paragraph" w:styleId="Heading1">
    <w:name w:val="heading 1"/>
    <w:basedOn w:val="Normal"/>
    <w:next w:val="Normal"/>
    <w:link w:val="Heading1Char"/>
    <w:uiPriority w:val="9"/>
    <w:qFormat/>
    <w:rsid w:val="0065712B"/>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65712B"/>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65712B"/>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65712B"/>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65712B"/>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65712B"/>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65712B"/>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65712B"/>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65712B"/>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12B"/>
    <w:rPr>
      <w:rFonts w:eastAsiaTheme="majorEastAsia" w:cstheme="majorBidi"/>
      <w:color w:val="272727" w:themeColor="text1" w:themeTint="D8"/>
    </w:rPr>
  </w:style>
  <w:style w:type="paragraph" w:styleId="Title">
    <w:name w:val="Title"/>
    <w:basedOn w:val="Normal"/>
    <w:next w:val="Normal"/>
    <w:link w:val="TitleChar"/>
    <w:uiPriority w:val="10"/>
    <w:qFormat/>
    <w:rsid w:val="0065712B"/>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657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12B"/>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657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12B"/>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65712B"/>
    <w:rPr>
      <w:i/>
      <w:iCs/>
      <w:color w:val="404040" w:themeColor="text1" w:themeTint="BF"/>
    </w:rPr>
  </w:style>
  <w:style w:type="paragraph" w:styleId="ListParagraph">
    <w:name w:val="List Paragraph"/>
    <w:aliases w:val="Rec para,Dot pt,Párrafo de lista1,List Paragraph12,MAIN CONTENT,List Paragraph2,List Paragraph1,Recommendation,List Paragraph11,F5 List Paragraph,List Paragraph Char Char Char,Indicator Text"/>
    <w:basedOn w:val="Normal"/>
    <w:link w:val="ListParagraphChar"/>
    <w:uiPriority w:val="34"/>
    <w:qFormat/>
    <w:rsid w:val="0065712B"/>
    <w:pPr>
      <w:ind w:left="720"/>
      <w:contextualSpacing/>
    </w:pPr>
    <w:rPr>
      <w:kern w:val="2"/>
      <w:lang w:val="en-GB"/>
      <w14:ligatures w14:val="standardContextual"/>
    </w:rPr>
  </w:style>
  <w:style w:type="character" w:styleId="IntenseEmphasis">
    <w:name w:val="Intense Emphasis"/>
    <w:basedOn w:val="DefaultParagraphFont"/>
    <w:uiPriority w:val="21"/>
    <w:qFormat/>
    <w:rsid w:val="0065712B"/>
    <w:rPr>
      <w:i/>
      <w:iCs/>
      <w:color w:val="0F4761" w:themeColor="accent1" w:themeShade="BF"/>
    </w:rPr>
  </w:style>
  <w:style w:type="paragraph" w:styleId="IntenseQuote">
    <w:name w:val="Intense Quote"/>
    <w:basedOn w:val="Normal"/>
    <w:next w:val="Normal"/>
    <w:link w:val="IntenseQuoteChar"/>
    <w:uiPriority w:val="30"/>
    <w:qFormat/>
    <w:rsid w:val="00657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65712B"/>
    <w:rPr>
      <w:i/>
      <w:iCs/>
      <w:color w:val="0F4761" w:themeColor="accent1" w:themeShade="BF"/>
    </w:rPr>
  </w:style>
  <w:style w:type="character" w:styleId="IntenseReference">
    <w:name w:val="Intense Reference"/>
    <w:basedOn w:val="DefaultParagraphFont"/>
    <w:uiPriority w:val="32"/>
    <w:qFormat/>
    <w:rsid w:val="0065712B"/>
    <w:rPr>
      <w:b/>
      <w:bCs/>
      <w:smallCaps/>
      <w:color w:val="0F4761" w:themeColor="accent1" w:themeShade="BF"/>
      <w:spacing w:val="5"/>
    </w:rPr>
  </w:style>
  <w:style w:type="table" w:styleId="TableGrid">
    <w:name w:val="Table Grid"/>
    <w:basedOn w:val="TableNormal"/>
    <w:uiPriority w:val="39"/>
    <w:rsid w:val="0065712B"/>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5712B"/>
    <w:rPr>
      <w:sz w:val="16"/>
      <w:szCs w:val="16"/>
    </w:rPr>
  </w:style>
  <w:style w:type="character" w:styleId="Hyperlink">
    <w:name w:val="Hyperlink"/>
    <w:basedOn w:val="DefaultParagraphFont"/>
    <w:uiPriority w:val="99"/>
    <w:unhideWhenUsed/>
    <w:rsid w:val="0065712B"/>
    <w:rPr>
      <w:color w:val="0000FF"/>
      <w:u w:val="single"/>
    </w:rPr>
  </w:style>
  <w:style w:type="paragraph" w:styleId="FootnoteText">
    <w:name w:val="footnote text"/>
    <w:basedOn w:val="Normal"/>
    <w:link w:val="FootnoteTextChar"/>
    <w:uiPriority w:val="99"/>
    <w:unhideWhenUsed/>
    <w:qFormat/>
    <w:rsid w:val="0065712B"/>
    <w:pPr>
      <w:spacing w:after="0" w:line="240" w:lineRule="auto"/>
      <w:jc w:val="both"/>
    </w:pPr>
    <w:rPr>
      <w:rFonts w:ascii="Calibri" w:hAnsi="Calibri" w:cs="Calibri"/>
      <w:sz w:val="20"/>
      <w:szCs w:val="20"/>
      <w:lang w:val="fr-CH"/>
    </w:rPr>
  </w:style>
  <w:style w:type="character" w:customStyle="1" w:styleId="FootnoteTextChar">
    <w:name w:val="Footnote Text Char"/>
    <w:basedOn w:val="DefaultParagraphFont"/>
    <w:link w:val="FootnoteText"/>
    <w:uiPriority w:val="99"/>
    <w:rsid w:val="0065712B"/>
    <w:rPr>
      <w:rFonts w:ascii="Calibri" w:hAnsi="Calibri" w:cs="Calibri"/>
      <w:kern w:val="0"/>
      <w:sz w:val="20"/>
      <w:szCs w:val="20"/>
      <w:lang w:val="fr-CH"/>
      <w14:ligatures w14:val="none"/>
    </w:rPr>
  </w:style>
  <w:style w:type="character" w:styleId="FootnoteReference">
    <w:name w:val="footnote reference"/>
    <w:basedOn w:val="DefaultParagraphFont"/>
    <w:uiPriority w:val="99"/>
    <w:unhideWhenUsed/>
    <w:qFormat/>
    <w:rsid w:val="0065712B"/>
    <w:rPr>
      <w:vertAlign w:val="superscript"/>
    </w:rPr>
  </w:style>
  <w:style w:type="character" w:customStyle="1" w:styleId="ListParagraphChar">
    <w:name w:val="List Paragraph Char"/>
    <w:aliases w:val="Rec para Char,Dot pt Char,Párrafo de lista1 Char,List Paragraph12 Char,MAIN CONTENT Char,List Paragraph2 Char,List Paragraph1 Char,Recommendation Char,List Paragraph11 Char,F5 List Paragraph Char,List Paragraph Char Char Char Char"/>
    <w:link w:val="ListParagraph"/>
    <w:uiPriority w:val="34"/>
    <w:qFormat/>
    <w:locked/>
    <w:rsid w:val="0065712B"/>
  </w:style>
  <w:style w:type="table" w:customStyle="1" w:styleId="TableGrid1">
    <w:name w:val="Table Grid1"/>
    <w:basedOn w:val="TableNormal"/>
    <w:next w:val="TableGrid"/>
    <w:uiPriority w:val="59"/>
    <w:rsid w:val="002C083B"/>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7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1A3"/>
    <w:rPr>
      <w:kern w:val="0"/>
      <w:lang w:val="en-US"/>
      <w14:ligatures w14:val="none"/>
    </w:rPr>
  </w:style>
  <w:style w:type="paragraph" w:styleId="Footer">
    <w:name w:val="footer"/>
    <w:basedOn w:val="Normal"/>
    <w:link w:val="FooterChar"/>
    <w:uiPriority w:val="99"/>
    <w:unhideWhenUsed/>
    <w:rsid w:val="00987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1A3"/>
    <w:rPr>
      <w:kern w:val="0"/>
      <w:lang w:val="en-US"/>
      <w14:ligatures w14:val="none"/>
    </w:rPr>
  </w:style>
  <w:style w:type="character" w:styleId="FollowedHyperlink">
    <w:name w:val="FollowedHyperlink"/>
    <w:basedOn w:val="DefaultParagraphFont"/>
    <w:uiPriority w:val="99"/>
    <w:semiHidden/>
    <w:unhideWhenUsed/>
    <w:rsid w:val="00DA1A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es/document/delegacion-de-autoridad-del-secretario-general-de-la-convencion-relativa-los-humedales-de" TargetMode="External"/><Relationship Id="rId1" Type="http://schemas.openxmlformats.org/officeDocument/2006/relationships/hyperlink" Target="https://www.ramsar.org/es/document/carta-de-acuerdo-para-la-prestacion-de-servicios-entre-la-uicn-y-la-convencion-de-ram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1149</Words>
  <Characters>6552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dcterms:created xsi:type="dcterms:W3CDTF">2025-04-03T07:06:00Z</dcterms:created>
  <dcterms:modified xsi:type="dcterms:W3CDTF">2025-04-21T14:54:00Z</dcterms:modified>
</cp:coreProperties>
</file>