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DAEB"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r w:rsidRPr="009A7958">
        <w:rPr>
          <w:rFonts w:ascii="Calibri" w:eastAsia="Times New Roman" w:hAnsi="Calibri" w:cs="Calibri"/>
          <w:b/>
          <w:bCs/>
          <w:noProof/>
          <w:sz w:val="24"/>
          <w:szCs w:val="24"/>
        </w:rPr>
        <w:drawing>
          <wp:anchor distT="0" distB="0" distL="114300" distR="114300" simplePos="0" relativeHeight="251659264" behindDoc="0" locked="0" layoutInCell="1" allowOverlap="1" wp14:anchorId="3F7E80B1" wp14:editId="58FEE02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6"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252B3D"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r w:rsidRPr="009A7958">
        <w:rPr>
          <w:rFonts w:ascii="Calibri" w:eastAsia="Times New Roman" w:hAnsi="Calibri" w:cs="Calibri"/>
          <w:b/>
          <w:bCs/>
          <w:sz w:val="24"/>
          <w:szCs w:val="24"/>
        </w:rPr>
        <w:t>15th meeting of the Conference of the Contracting Parties</w:t>
      </w:r>
    </w:p>
    <w:p w14:paraId="2CF869AD"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r w:rsidRPr="009A7958">
        <w:rPr>
          <w:rFonts w:ascii="Calibri" w:eastAsia="Times New Roman" w:hAnsi="Calibri" w:cs="Calibri"/>
          <w:b/>
          <w:bCs/>
          <w:sz w:val="24"/>
          <w:szCs w:val="24"/>
        </w:rPr>
        <w:t>to the Convention on Wetlands</w:t>
      </w:r>
    </w:p>
    <w:p w14:paraId="50FAD343"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p>
    <w:p w14:paraId="41878928"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r w:rsidRPr="009A7958">
        <w:rPr>
          <w:rFonts w:ascii="Calibri" w:eastAsia="Times New Roman" w:hAnsi="Calibri" w:cs="Calibri"/>
          <w:b/>
          <w:bCs/>
          <w:sz w:val="24"/>
          <w:szCs w:val="24"/>
        </w:rPr>
        <w:t>“Protecting wetlands for our common future”</w:t>
      </w:r>
    </w:p>
    <w:p w14:paraId="07A598E1"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r w:rsidRPr="009A7958">
        <w:rPr>
          <w:rFonts w:ascii="Calibri" w:eastAsia="Times New Roman" w:hAnsi="Calibri" w:cs="Calibri"/>
          <w:b/>
          <w:bCs/>
          <w:sz w:val="24"/>
          <w:szCs w:val="24"/>
        </w:rPr>
        <w:t>Victoria Falls, Zimbabwe, 23-31 July 2025</w:t>
      </w:r>
    </w:p>
    <w:p w14:paraId="76E69EF1"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p>
    <w:p w14:paraId="086C6E07"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p>
    <w:p w14:paraId="42C5BA5D" w14:textId="77777777" w:rsidR="002C083B" w:rsidRPr="009A7958" w:rsidRDefault="002C083B" w:rsidP="002C083B">
      <w:pPr>
        <w:autoSpaceDE w:val="0"/>
        <w:autoSpaceDN w:val="0"/>
        <w:spacing w:after="0" w:line="240" w:lineRule="auto"/>
        <w:jc w:val="center"/>
        <w:outlineLvl w:val="0"/>
        <w:rPr>
          <w:rFonts w:ascii="Calibri" w:eastAsia="Times New Roman" w:hAnsi="Calibri" w:cs="Calibri"/>
          <w:b/>
          <w:bCs/>
          <w:sz w:val="24"/>
          <w:szCs w:val="24"/>
        </w:rPr>
      </w:pPr>
    </w:p>
    <w:p w14:paraId="368B67FD" w14:textId="77777777" w:rsidR="002C083B" w:rsidRPr="009A7958" w:rsidRDefault="002C083B" w:rsidP="002C083B">
      <w:pPr>
        <w:autoSpaceDE w:val="0"/>
        <w:autoSpaceDN w:val="0"/>
        <w:spacing w:after="0" w:line="240" w:lineRule="auto"/>
        <w:jc w:val="right"/>
        <w:rPr>
          <w:rFonts w:ascii="Calibri" w:eastAsia="Times New Roman" w:hAnsi="Calibri" w:cs="Calibri"/>
          <w:lang w:val="en-GB"/>
        </w:rPr>
      </w:pPr>
    </w:p>
    <w:p w14:paraId="1D212576" w14:textId="4BA5DCAE" w:rsidR="002C083B" w:rsidRPr="009A7958" w:rsidRDefault="002C083B" w:rsidP="002C083B">
      <w:pPr>
        <w:autoSpaceDE w:val="0"/>
        <w:autoSpaceDN w:val="0"/>
        <w:spacing w:after="0" w:line="240" w:lineRule="auto"/>
        <w:jc w:val="right"/>
        <w:rPr>
          <w:rFonts w:ascii="Calibri" w:eastAsia="Times New Roman" w:hAnsi="Calibri" w:cs="Calibri"/>
          <w:sz w:val="28"/>
          <w:szCs w:val="28"/>
          <w:lang w:val="en-GB"/>
        </w:rPr>
      </w:pPr>
      <w:r w:rsidRPr="009A7958">
        <w:rPr>
          <w:rFonts w:ascii="Calibri" w:eastAsia="Times New Roman" w:hAnsi="Calibri" w:cs="Calibri"/>
          <w:b/>
          <w:sz w:val="28"/>
          <w:szCs w:val="28"/>
          <w:lang w:val="en-GB"/>
        </w:rPr>
        <w:t>COP15 Doc.23.9</w:t>
      </w:r>
    </w:p>
    <w:p w14:paraId="1BA6DD76" w14:textId="77777777" w:rsidR="002C083B" w:rsidRPr="009A7958" w:rsidRDefault="002C083B" w:rsidP="002C083B">
      <w:pPr>
        <w:tabs>
          <w:tab w:val="left" w:pos="10650"/>
          <w:tab w:val="right" w:pos="13958"/>
        </w:tabs>
        <w:autoSpaceDE w:val="0"/>
        <w:autoSpaceDN w:val="0"/>
        <w:spacing w:after="0" w:line="240" w:lineRule="auto"/>
        <w:jc w:val="right"/>
        <w:rPr>
          <w:rFonts w:ascii="Calibri" w:eastAsia="Times New Roman" w:hAnsi="Calibri" w:cs="Calibri"/>
          <w:b/>
          <w:bCs/>
          <w:sz w:val="28"/>
          <w:szCs w:val="28"/>
          <w:lang w:val="en-GB"/>
        </w:rPr>
      </w:pPr>
    </w:p>
    <w:tbl>
      <w:tblPr>
        <w:tblStyle w:val="TableGrid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2C083B" w:rsidRPr="009A7958" w14:paraId="2860D45C" w14:textId="77777777" w:rsidTr="002C083B">
        <w:trPr>
          <w:trHeight w:val="1389"/>
        </w:trPr>
        <w:tc>
          <w:tcPr>
            <w:tcW w:w="5000" w:type="pct"/>
          </w:tcPr>
          <w:p w14:paraId="6B8AB72E" w14:textId="77777777" w:rsidR="002C083B" w:rsidRPr="009A7958" w:rsidRDefault="002C083B" w:rsidP="002C083B">
            <w:pPr>
              <w:ind w:right="67"/>
              <w:outlineLvl w:val="0"/>
              <w:rPr>
                <w:rFonts w:ascii="Calibri" w:eastAsia="Times New Roman" w:hAnsi="Calibri" w:cs="Calibri"/>
                <w:b/>
                <w:bCs/>
              </w:rPr>
            </w:pPr>
            <w:r w:rsidRPr="009A7958">
              <w:rPr>
                <w:rFonts w:ascii="Calibri" w:eastAsia="Times New Roman" w:hAnsi="Calibri" w:cs="Calibri"/>
                <w:b/>
                <w:bCs/>
              </w:rPr>
              <w:t xml:space="preserve">Note from the Secretariat: </w:t>
            </w:r>
          </w:p>
          <w:p w14:paraId="43A24C35" w14:textId="77777777" w:rsidR="002C083B" w:rsidRPr="009A7958" w:rsidRDefault="002C083B" w:rsidP="002C083B">
            <w:pPr>
              <w:rPr>
                <w:rFonts w:ascii="Calibri" w:eastAsia="Times New Roman" w:hAnsi="Calibri" w:cs="Calibri"/>
                <w:b/>
              </w:rPr>
            </w:pPr>
          </w:p>
          <w:p w14:paraId="445267B1" w14:textId="71AEBFA2" w:rsidR="002C083B" w:rsidRPr="009A7958" w:rsidRDefault="002C083B" w:rsidP="002C083B">
            <w:pPr>
              <w:ind w:left="22" w:hanging="22"/>
              <w:rPr>
                <w:rFonts w:ascii="Calibri" w:eastAsia="Times New Roman" w:hAnsi="Calibri" w:cs="Calibri"/>
                <w:lang w:val="en-GB"/>
              </w:rPr>
            </w:pPr>
            <w:r w:rsidRPr="009A7958">
              <w:rPr>
                <w:rFonts w:ascii="Calibri" w:eastAsia="Times New Roman" w:hAnsi="Calibri" w:cs="Calibri"/>
                <w:bCs/>
              </w:rPr>
              <w:t>At its 64th meeting</w:t>
            </w:r>
            <w:r w:rsidRPr="009A7958">
              <w:rPr>
                <w:rFonts w:ascii="Calibri" w:eastAsia="Times New Roman" w:hAnsi="Calibri" w:cs="Calibri"/>
                <w:lang w:val="en-GB"/>
              </w:rPr>
              <w:t xml:space="preserve">, the Standing Committee in Decision SC64-15 instructed the Secretariat to submit the draft resolution in document SC64 Doc.12 on </w:t>
            </w:r>
            <w:r w:rsidR="00057991" w:rsidRPr="009A7958">
              <w:rPr>
                <w:rFonts w:ascii="Calibri" w:eastAsia="Times New Roman" w:hAnsi="Calibri" w:cs="Calibri"/>
                <w:i/>
                <w:iCs/>
                <w:lang w:val="en-GB"/>
              </w:rPr>
              <w:t>i</w:t>
            </w:r>
            <w:r w:rsidRPr="009A7958">
              <w:rPr>
                <w:rFonts w:ascii="Calibri" w:eastAsia="Times New Roman" w:hAnsi="Calibri" w:cs="Calibri"/>
                <w:i/>
                <w:iCs/>
                <w:lang w:val="en-GB"/>
              </w:rPr>
              <w:t xml:space="preserve">nstitutional </w:t>
            </w:r>
            <w:r w:rsidR="000B4868" w:rsidRPr="009A7958">
              <w:rPr>
                <w:rFonts w:ascii="Calibri" w:eastAsia="Times New Roman" w:hAnsi="Calibri" w:cs="Calibri"/>
                <w:i/>
                <w:iCs/>
                <w:lang w:val="en-GB"/>
              </w:rPr>
              <w:t>s</w:t>
            </w:r>
            <w:r w:rsidRPr="009A7958">
              <w:rPr>
                <w:rFonts w:ascii="Calibri" w:eastAsia="Times New Roman" w:hAnsi="Calibri" w:cs="Calibri"/>
                <w:i/>
                <w:iCs/>
                <w:lang w:val="en-GB"/>
              </w:rPr>
              <w:t>trengthening</w:t>
            </w:r>
            <w:r w:rsidRPr="009A7958">
              <w:rPr>
                <w:rFonts w:ascii="Calibri" w:eastAsia="Times New Roman" w:hAnsi="Calibri" w:cs="Calibri"/>
                <w:lang w:val="en-GB"/>
              </w:rPr>
              <w:t xml:space="preserve"> to COP15 for its consideration, amended to take into account the inputs presented by the Committee.</w:t>
            </w:r>
          </w:p>
        </w:tc>
      </w:tr>
    </w:tbl>
    <w:p w14:paraId="7A74C17A" w14:textId="77777777" w:rsidR="002C083B" w:rsidRPr="009A7958" w:rsidRDefault="002C083B" w:rsidP="002C083B">
      <w:pPr>
        <w:spacing w:after="0" w:line="240" w:lineRule="auto"/>
        <w:jc w:val="center"/>
        <w:rPr>
          <w:rFonts w:ascii="Calibri" w:eastAsia="Calibri" w:hAnsi="Calibri" w:cs="Calibri"/>
          <w:b/>
          <w:bCs/>
          <w:sz w:val="28"/>
        </w:rPr>
      </w:pPr>
    </w:p>
    <w:p w14:paraId="6EA4B676" w14:textId="77777777" w:rsidR="002C083B" w:rsidRPr="009A7958" w:rsidRDefault="002C083B" w:rsidP="002C083B">
      <w:pPr>
        <w:spacing w:after="0" w:line="240" w:lineRule="auto"/>
        <w:jc w:val="center"/>
        <w:rPr>
          <w:rFonts w:ascii="Calibri" w:eastAsia="Calibri" w:hAnsi="Calibri" w:cs="Calibri"/>
          <w:b/>
          <w:bCs/>
          <w:sz w:val="28"/>
        </w:rPr>
      </w:pPr>
    </w:p>
    <w:p w14:paraId="25BF85D8" w14:textId="0E3B9245" w:rsidR="002C083B" w:rsidRPr="009A7958" w:rsidRDefault="002C083B" w:rsidP="002C083B">
      <w:pPr>
        <w:spacing w:after="0" w:line="240" w:lineRule="auto"/>
        <w:jc w:val="center"/>
        <w:rPr>
          <w:rFonts w:ascii="Calibri" w:eastAsia="Calibri" w:hAnsi="Calibri" w:cs="Calibri"/>
          <w:b/>
          <w:sz w:val="28"/>
          <w:lang w:val="en-GB"/>
        </w:rPr>
      </w:pPr>
      <w:r w:rsidRPr="009A7958">
        <w:rPr>
          <w:rFonts w:ascii="Calibri" w:eastAsia="Calibri" w:hAnsi="Calibri" w:cs="Calibri"/>
          <w:b/>
          <w:bCs/>
          <w:sz w:val="28"/>
        </w:rPr>
        <w:t xml:space="preserve">Draft resolution on </w:t>
      </w:r>
      <w:r w:rsidR="00057991" w:rsidRPr="009A7958">
        <w:rPr>
          <w:rFonts w:ascii="Calibri" w:eastAsia="Calibri" w:hAnsi="Calibri" w:cs="Calibri"/>
          <w:b/>
          <w:bCs/>
          <w:sz w:val="28"/>
        </w:rPr>
        <w:t>i</w:t>
      </w:r>
      <w:r w:rsidRPr="009A7958">
        <w:rPr>
          <w:rFonts w:ascii="Calibri" w:eastAsia="Calibri" w:hAnsi="Calibri" w:cs="Calibri"/>
          <w:b/>
          <w:bCs/>
          <w:sz w:val="28"/>
        </w:rPr>
        <w:t xml:space="preserve">mplementing the institutional </w:t>
      </w:r>
      <w:r w:rsidR="00057991" w:rsidRPr="009A7958">
        <w:rPr>
          <w:rFonts w:ascii="Calibri" w:eastAsia="Calibri" w:hAnsi="Calibri" w:cs="Calibri"/>
          <w:b/>
          <w:bCs/>
          <w:sz w:val="28"/>
        </w:rPr>
        <w:t>s</w:t>
      </w:r>
      <w:r w:rsidRPr="009A7958">
        <w:rPr>
          <w:rFonts w:ascii="Calibri" w:eastAsia="Calibri" w:hAnsi="Calibri" w:cs="Calibri"/>
          <w:b/>
          <w:bCs/>
          <w:sz w:val="28"/>
        </w:rPr>
        <w:t>trengthening of the Convention on Wetlands </w:t>
      </w:r>
    </w:p>
    <w:p w14:paraId="0ECFF206" w14:textId="77777777" w:rsidR="0065712B" w:rsidRPr="009A7958" w:rsidRDefault="0065712B" w:rsidP="0065712B">
      <w:pPr>
        <w:suppressLineNumbers/>
        <w:suppressAutoHyphens/>
        <w:spacing w:after="0" w:line="240" w:lineRule="auto"/>
        <w:ind w:right="16"/>
        <w:rPr>
          <w:rFonts w:ascii="Calibri" w:hAnsi="Calibri" w:cs="Calibri"/>
        </w:rPr>
      </w:pPr>
      <w:r w:rsidRPr="009A7958">
        <w:rPr>
          <w:rFonts w:ascii="Calibri" w:hAnsi="Calibri" w:cs="Calibri"/>
        </w:rPr>
        <w:t xml:space="preserve"> </w:t>
      </w:r>
    </w:p>
    <w:p w14:paraId="469B0064" w14:textId="77777777" w:rsidR="002C083B" w:rsidRPr="009A7958" w:rsidRDefault="002C083B" w:rsidP="0065712B">
      <w:pPr>
        <w:suppressLineNumbers/>
        <w:suppressAutoHyphens/>
        <w:spacing w:after="0" w:line="240" w:lineRule="auto"/>
        <w:ind w:right="16"/>
        <w:rPr>
          <w:rFonts w:ascii="Calibri" w:hAnsi="Calibri" w:cs="Calibri"/>
        </w:rPr>
      </w:pPr>
    </w:p>
    <w:p w14:paraId="5A847EDC" w14:textId="77777777"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1.</w:t>
      </w:r>
      <w:r w:rsidRPr="009A7958">
        <w:rPr>
          <w:rFonts w:ascii="Calibri" w:hAnsi="Calibri" w:cs="Calibri"/>
        </w:rPr>
        <w:tab/>
        <w:t xml:space="preserve">RECALLING Resolution XIV.6 on </w:t>
      </w:r>
      <w:r w:rsidRPr="009A7958">
        <w:rPr>
          <w:rFonts w:ascii="Calibri" w:hAnsi="Calibri" w:cs="Calibri"/>
          <w:i/>
          <w:iCs/>
        </w:rPr>
        <w:t>Enhancing the Convention’s visibility and synergies with other multilateral environmental agreements and other international institutions</w:t>
      </w:r>
      <w:r w:rsidRPr="009A7958">
        <w:rPr>
          <w:rFonts w:ascii="Calibri" w:hAnsi="Calibri" w:cs="Calibri"/>
        </w:rPr>
        <w:t xml:space="preserve">, which instructed the Secretariat to prepare an institutional strengthening report with recommendations reflecting the needs of the Secretariat to achieve organizational robustness to support the implementation of the Convention, including but not limited to those related to administrative arrangements, governance, leadership, human resources independency, high-level political engagement, and the Convention’s visibility objectives; </w:t>
      </w:r>
    </w:p>
    <w:p w14:paraId="28039DFB" w14:textId="77777777" w:rsidR="0065712B" w:rsidRPr="009A7958" w:rsidRDefault="0065712B" w:rsidP="0065712B">
      <w:pPr>
        <w:suppressLineNumbers/>
        <w:suppressAutoHyphens/>
        <w:spacing w:after="0" w:line="240" w:lineRule="auto"/>
        <w:ind w:left="426" w:hanging="426"/>
        <w:rPr>
          <w:rFonts w:ascii="Calibri" w:hAnsi="Calibri" w:cs="Calibri"/>
        </w:rPr>
      </w:pPr>
    </w:p>
    <w:p w14:paraId="2DD07AC7" w14:textId="77777777"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2.</w:t>
      </w:r>
      <w:r w:rsidRPr="009A7958">
        <w:rPr>
          <w:rFonts w:ascii="Calibri" w:hAnsi="Calibri" w:cs="Calibri"/>
        </w:rPr>
        <w:tab/>
        <w:t>RECALLING Resolution X.5, Resolution IX.10, Resolution XI.1, Resolution XII.3, Resolution XIII.7 and Resolution XIV.6, which commenced a series of processes to review and improve the hosting and governance arrangements of the Secretariat of the Convention, and of the Convention itself;</w:t>
      </w:r>
    </w:p>
    <w:p w14:paraId="320300E8" w14:textId="77777777" w:rsidR="0065712B" w:rsidRPr="009A7958" w:rsidRDefault="0065712B" w:rsidP="0065712B">
      <w:pPr>
        <w:suppressLineNumbers/>
        <w:suppressAutoHyphens/>
        <w:spacing w:after="0" w:line="240" w:lineRule="auto"/>
        <w:ind w:left="426" w:hanging="426"/>
        <w:rPr>
          <w:rFonts w:ascii="Calibri" w:hAnsi="Calibri" w:cs="Calibri"/>
        </w:rPr>
      </w:pPr>
    </w:p>
    <w:p w14:paraId="38468B3D" w14:textId="77777777"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3.</w:t>
      </w:r>
      <w:r w:rsidRPr="009A7958">
        <w:rPr>
          <w:rFonts w:ascii="Calibri" w:hAnsi="Calibri" w:cs="Calibri"/>
        </w:rPr>
        <w:tab/>
        <w:t>ALSO RECALLING the work of several earlier working groups, such as the Working Group on the Observer Status of the Secretariat and the Working Group on Administrative Reform, as well as the various consultancies and analyses produced by these working groups;</w:t>
      </w:r>
    </w:p>
    <w:p w14:paraId="05587D87" w14:textId="77777777" w:rsidR="0065712B" w:rsidRPr="009A7958" w:rsidRDefault="0065712B" w:rsidP="0065712B">
      <w:pPr>
        <w:pStyle w:val="ListParagraph"/>
        <w:spacing w:after="0" w:line="240" w:lineRule="auto"/>
        <w:ind w:left="426" w:hanging="426"/>
        <w:rPr>
          <w:rFonts w:ascii="Calibri" w:hAnsi="Calibri" w:cs="Calibri"/>
        </w:rPr>
      </w:pPr>
    </w:p>
    <w:p w14:paraId="2ED459C5" w14:textId="77777777"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4.</w:t>
      </w:r>
      <w:r w:rsidRPr="009A7958">
        <w:rPr>
          <w:rFonts w:ascii="Calibri" w:hAnsi="Calibri" w:cs="Calibri"/>
        </w:rPr>
        <w:tab/>
        <w:t>NOTING WITH APPRECIATION the work of the Working Group on Institutional Strengthening which has consolidated the work of earlier groups, identified challenges which have been resolved, and identified gaps in information; and</w:t>
      </w:r>
    </w:p>
    <w:p w14:paraId="2384971C" w14:textId="77777777" w:rsidR="0065712B" w:rsidRPr="009A7958" w:rsidRDefault="0065712B" w:rsidP="0065712B">
      <w:pPr>
        <w:pStyle w:val="ListParagraph"/>
        <w:spacing w:after="0" w:line="240" w:lineRule="auto"/>
        <w:ind w:left="426" w:hanging="426"/>
        <w:rPr>
          <w:rFonts w:ascii="Calibri" w:hAnsi="Calibri" w:cs="Calibri"/>
        </w:rPr>
      </w:pPr>
    </w:p>
    <w:p w14:paraId="30A5DE05" w14:textId="77777777"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5.</w:t>
      </w:r>
      <w:r w:rsidRPr="009A7958">
        <w:rPr>
          <w:rFonts w:ascii="Calibri" w:hAnsi="Calibri" w:cs="Calibri"/>
        </w:rPr>
        <w:tab/>
        <w:t>ACKNOWLEDGING that issues relating to the governance of the Convention are complex, and that there remain gaps in information;</w:t>
      </w:r>
    </w:p>
    <w:p w14:paraId="66433F47" w14:textId="77777777" w:rsidR="0065712B" w:rsidRPr="009A7958" w:rsidRDefault="0065712B" w:rsidP="0065712B">
      <w:pPr>
        <w:spacing w:after="0" w:line="240" w:lineRule="auto"/>
        <w:rPr>
          <w:rFonts w:ascii="Calibri" w:hAnsi="Calibri" w:cs="Calibri"/>
        </w:rPr>
      </w:pPr>
    </w:p>
    <w:p w14:paraId="3CDF825A" w14:textId="77777777" w:rsidR="0065712B" w:rsidRPr="009A7958" w:rsidRDefault="0065712B" w:rsidP="001E3EFA">
      <w:pPr>
        <w:keepNext/>
        <w:suppressLineNumbers/>
        <w:suppressAutoHyphens/>
        <w:spacing w:after="0" w:line="240" w:lineRule="auto"/>
        <w:ind w:left="426" w:right="16" w:hanging="426"/>
        <w:jc w:val="center"/>
        <w:rPr>
          <w:rFonts w:ascii="Calibri" w:eastAsia="Times New Roman" w:hAnsi="Calibri" w:cs="Calibri"/>
        </w:rPr>
      </w:pPr>
      <w:r w:rsidRPr="009A7958">
        <w:rPr>
          <w:rFonts w:ascii="Calibri" w:eastAsia="Times New Roman" w:hAnsi="Calibri" w:cs="Calibri"/>
        </w:rPr>
        <w:lastRenderedPageBreak/>
        <w:t>THE CONFERENCE OF THE CONTRACTING PARTIES</w:t>
      </w:r>
    </w:p>
    <w:p w14:paraId="65987E53" w14:textId="77777777" w:rsidR="0065712B" w:rsidRPr="009A7958" w:rsidRDefault="0065712B" w:rsidP="001E3EFA">
      <w:pPr>
        <w:keepNext/>
        <w:spacing w:after="0" w:line="240" w:lineRule="auto"/>
        <w:rPr>
          <w:rFonts w:ascii="Calibri" w:hAnsi="Calibri" w:cs="Calibri"/>
        </w:rPr>
      </w:pPr>
    </w:p>
    <w:p w14:paraId="263328DF" w14:textId="2F8F440E"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6.</w:t>
      </w:r>
      <w:r w:rsidRPr="009A7958">
        <w:rPr>
          <w:rFonts w:ascii="Calibri" w:hAnsi="Calibri" w:cs="Calibri"/>
        </w:rPr>
        <w:tab/>
        <w:t>REQUESTS the Standing Committee, at its 66th meeting</w:t>
      </w:r>
      <w:r w:rsidR="001E3EFA" w:rsidRPr="009A7958">
        <w:rPr>
          <w:rFonts w:ascii="Calibri" w:hAnsi="Calibri" w:cs="Calibri"/>
        </w:rPr>
        <w:t xml:space="preserve"> (SC66)</w:t>
      </w:r>
      <w:r w:rsidRPr="009A7958">
        <w:rPr>
          <w:rFonts w:ascii="Calibri" w:hAnsi="Calibri" w:cs="Calibri"/>
        </w:rPr>
        <w:t xml:space="preserve">, to review and approve the tasking of follow-on actions within the identified challenge themes, as listed in Annex 1 of the present Resolution, to existing working groups which have the appropriate mandate to investigate and address these challenges, by requesting the working groups listed below to provide updates on these follow-up actions within their respective reports at SC67: </w:t>
      </w:r>
    </w:p>
    <w:p w14:paraId="13B3AA03" w14:textId="77777777" w:rsidR="0065712B" w:rsidRPr="009A7958" w:rsidRDefault="0065712B" w:rsidP="0065712B">
      <w:pPr>
        <w:suppressLineNumbers/>
        <w:suppressAutoHyphens/>
        <w:spacing w:after="0" w:line="240" w:lineRule="auto"/>
        <w:ind w:left="851" w:hanging="425"/>
        <w:rPr>
          <w:rFonts w:ascii="Calibri" w:hAnsi="Calibri" w:cs="Calibri"/>
        </w:rPr>
      </w:pPr>
    </w:p>
    <w:p w14:paraId="6E8DF500" w14:textId="70E5CC12" w:rsidR="0065712B" w:rsidRPr="009A7958" w:rsidRDefault="0065712B" w:rsidP="0065712B">
      <w:pPr>
        <w:suppressLineNumbers/>
        <w:suppressAutoHyphens/>
        <w:spacing w:after="0" w:line="240" w:lineRule="auto"/>
        <w:ind w:left="851" w:hanging="425"/>
        <w:rPr>
          <w:rFonts w:ascii="Calibri" w:hAnsi="Calibri" w:cs="Calibri"/>
        </w:rPr>
      </w:pPr>
      <w:r w:rsidRPr="009A7958">
        <w:rPr>
          <w:rFonts w:ascii="Calibri" w:hAnsi="Calibri" w:cs="Calibri"/>
        </w:rPr>
        <w:t>a</w:t>
      </w:r>
      <w:r w:rsidR="000B4868" w:rsidRPr="009A7958">
        <w:rPr>
          <w:rFonts w:ascii="Calibri" w:hAnsi="Calibri" w:cs="Calibri"/>
        </w:rPr>
        <w:t>.</w:t>
      </w:r>
      <w:r w:rsidRPr="009A7958">
        <w:rPr>
          <w:rFonts w:ascii="Calibri" w:hAnsi="Calibri" w:cs="Calibri"/>
        </w:rPr>
        <w:tab/>
        <w:t>The Management Working Group: Lack of sufficient communication and virtual information management mechanisms; Procedure for electing a Secretary General; and</w:t>
      </w:r>
    </w:p>
    <w:p w14:paraId="56FCFEE1" w14:textId="77777777" w:rsidR="0065712B" w:rsidRPr="009A7958" w:rsidRDefault="0065712B" w:rsidP="0065712B">
      <w:pPr>
        <w:suppressLineNumbers/>
        <w:suppressAutoHyphens/>
        <w:spacing w:after="0" w:line="240" w:lineRule="auto"/>
        <w:ind w:left="851" w:hanging="425"/>
        <w:rPr>
          <w:rFonts w:ascii="Calibri" w:hAnsi="Calibri" w:cs="Calibri"/>
        </w:rPr>
      </w:pPr>
    </w:p>
    <w:p w14:paraId="42CADD92" w14:textId="4EF2C8D7" w:rsidR="0065712B" w:rsidRPr="009A7958" w:rsidRDefault="0065712B" w:rsidP="0065712B">
      <w:pPr>
        <w:suppressLineNumbers/>
        <w:suppressAutoHyphens/>
        <w:spacing w:after="0" w:line="240" w:lineRule="auto"/>
        <w:ind w:left="851" w:hanging="425"/>
        <w:rPr>
          <w:rFonts w:ascii="Calibri" w:hAnsi="Calibri" w:cs="Calibri"/>
        </w:rPr>
      </w:pPr>
      <w:r w:rsidRPr="009A7958">
        <w:rPr>
          <w:rFonts w:ascii="Calibri" w:hAnsi="Calibri" w:cs="Calibri"/>
        </w:rPr>
        <w:t>b</w:t>
      </w:r>
      <w:r w:rsidR="000B4868" w:rsidRPr="009A7958">
        <w:rPr>
          <w:rFonts w:ascii="Calibri" w:hAnsi="Calibri" w:cs="Calibri"/>
        </w:rPr>
        <w:t>.</w:t>
      </w:r>
      <w:r w:rsidRPr="009A7958">
        <w:rPr>
          <w:rFonts w:ascii="Calibri" w:hAnsi="Calibri" w:cs="Calibri"/>
        </w:rPr>
        <w:tab/>
        <w:t>The Subgroup on Finance: Difficulties in paying annual contributions to the Convention on Wetlands; Risks posed to the Convention by legal provisions applied to the management of outstanding arrears; Lack of clear formalized financial mechanisms for Convention funding;</w:t>
      </w:r>
    </w:p>
    <w:p w14:paraId="7BA31017" w14:textId="77777777" w:rsidR="0065712B" w:rsidRPr="009A7958" w:rsidRDefault="0065712B" w:rsidP="0065712B">
      <w:pPr>
        <w:suppressLineNumbers/>
        <w:suppressAutoHyphens/>
        <w:spacing w:after="0" w:line="240" w:lineRule="auto"/>
        <w:ind w:left="360"/>
        <w:rPr>
          <w:rFonts w:ascii="Calibri" w:hAnsi="Calibri" w:cs="Calibri"/>
        </w:rPr>
      </w:pPr>
    </w:p>
    <w:p w14:paraId="39AD2B55" w14:textId="73CFE6DA" w:rsidR="0065712B" w:rsidRPr="009A7958" w:rsidRDefault="0065712B" w:rsidP="0065712B">
      <w:pPr>
        <w:suppressLineNumbers/>
        <w:suppressAutoHyphens/>
        <w:spacing w:after="0" w:line="240" w:lineRule="auto"/>
        <w:ind w:left="426" w:hanging="426"/>
        <w:rPr>
          <w:rFonts w:ascii="Calibri" w:hAnsi="Calibri" w:cs="Calibri"/>
        </w:rPr>
      </w:pPr>
      <w:r w:rsidRPr="009A7958">
        <w:rPr>
          <w:rFonts w:ascii="Calibri" w:hAnsi="Calibri" w:cs="Calibri"/>
        </w:rPr>
        <w:t>7.</w:t>
      </w:r>
      <w:r w:rsidRPr="009A7958">
        <w:rPr>
          <w:rFonts w:ascii="Calibri" w:hAnsi="Calibri" w:cs="Calibri"/>
        </w:rPr>
        <w:tab/>
        <w:t xml:space="preserve">REQUESTS the Standing Committee, at </w:t>
      </w:r>
      <w:r w:rsidR="009871A3" w:rsidRPr="009A7958">
        <w:rPr>
          <w:rFonts w:ascii="Calibri" w:hAnsi="Calibri" w:cs="Calibri"/>
        </w:rPr>
        <w:t>SC66</w:t>
      </w:r>
      <w:r w:rsidRPr="009A7958">
        <w:rPr>
          <w:rFonts w:ascii="Calibri" w:hAnsi="Calibri" w:cs="Calibri"/>
        </w:rPr>
        <w:t>, to establish a new working group to continue the remaining work of the Institutional Strengthening Working Group, particularly the structural issues of improving staff recruitment and reducing staff turnover, limited visibility of the Convention at high</w:t>
      </w:r>
      <w:r w:rsidR="009871A3" w:rsidRPr="009A7958">
        <w:rPr>
          <w:rFonts w:ascii="Calibri" w:hAnsi="Calibri" w:cs="Calibri"/>
        </w:rPr>
        <w:t>-</w:t>
      </w:r>
      <w:r w:rsidRPr="009A7958">
        <w:rPr>
          <w:rFonts w:ascii="Calibri" w:hAnsi="Calibri" w:cs="Calibri"/>
        </w:rPr>
        <w:t>level United Nations processes and meetings, and a lack of a legal personality, by:</w:t>
      </w:r>
    </w:p>
    <w:p w14:paraId="436421CA" w14:textId="77777777" w:rsidR="0065712B" w:rsidRPr="009A7958" w:rsidRDefault="0065712B" w:rsidP="0065712B">
      <w:pPr>
        <w:suppressLineNumbers/>
        <w:suppressAutoHyphens/>
        <w:spacing w:after="0" w:line="240" w:lineRule="auto"/>
        <w:ind w:left="851" w:hanging="425"/>
        <w:rPr>
          <w:rFonts w:ascii="Calibri" w:hAnsi="Calibri" w:cs="Calibri"/>
        </w:rPr>
      </w:pPr>
    </w:p>
    <w:p w14:paraId="737107EA" w14:textId="1C96F383" w:rsidR="0065712B" w:rsidRPr="009A7958" w:rsidRDefault="0065712B" w:rsidP="0065712B">
      <w:pPr>
        <w:suppressLineNumbers/>
        <w:suppressAutoHyphens/>
        <w:spacing w:after="0" w:line="240" w:lineRule="auto"/>
        <w:ind w:left="851" w:hanging="425"/>
        <w:rPr>
          <w:rFonts w:ascii="Calibri" w:hAnsi="Calibri" w:cs="Calibri"/>
        </w:rPr>
      </w:pPr>
      <w:r w:rsidRPr="009A7958">
        <w:rPr>
          <w:rFonts w:ascii="Calibri" w:hAnsi="Calibri" w:cs="Calibri"/>
        </w:rPr>
        <w:t>a</w:t>
      </w:r>
      <w:r w:rsidR="000B4868" w:rsidRPr="009A7958">
        <w:rPr>
          <w:rFonts w:ascii="Calibri" w:hAnsi="Calibri" w:cs="Calibri"/>
        </w:rPr>
        <w:t>.</w:t>
      </w:r>
      <w:r w:rsidRPr="009A7958">
        <w:rPr>
          <w:rFonts w:ascii="Calibri" w:hAnsi="Calibri" w:cs="Calibri"/>
        </w:rPr>
        <w:tab/>
        <w:t>Sourcing information to fill the gaps and answer the remaining questions identified by the Working Group on Institutional Strengthening in its final report, as provided in Annex 1;</w:t>
      </w:r>
    </w:p>
    <w:p w14:paraId="52498B6D" w14:textId="77777777" w:rsidR="0065712B" w:rsidRPr="009A7958" w:rsidRDefault="0065712B" w:rsidP="0065712B">
      <w:pPr>
        <w:suppressLineNumbers/>
        <w:suppressAutoHyphens/>
        <w:spacing w:after="0" w:line="240" w:lineRule="auto"/>
        <w:ind w:left="851" w:hanging="425"/>
        <w:rPr>
          <w:rFonts w:ascii="Calibri" w:hAnsi="Calibri" w:cs="Calibri"/>
        </w:rPr>
      </w:pPr>
    </w:p>
    <w:p w14:paraId="6A76B255" w14:textId="4B1D61C6" w:rsidR="0065712B" w:rsidRPr="009A7958" w:rsidRDefault="0065712B" w:rsidP="0065712B">
      <w:pPr>
        <w:suppressLineNumbers/>
        <w:suppressAutoHyphens/>
        <w:spacing w:after="0" w:line="240" w:lineRule="auto"/>
        <w:ind w:left="851" w:hanging="425"/>
        <w:rPr>
          <w:rFonts w:ascii="Calibri" w:hAnsi="Calibri" w:cs="Calibri"/>
        </w:rPr>
      </w:pPr>
      <w:r w:rsidRPr="009A7958">
        <w:rPr>
          <w:rFonts w:ascii="Calibri" w:hAnsi="Calibri" w:cs="Calibri"/>
        </w:rPr>
        <w:t>b</w:t>
      </w:r>
      <w:r w:rsidR="000B4868" w:rsidRPr="009A7958">
        <w:rPr>
          <w:rFonts w:ascii="Calibri" w:hAnsi="Calibri" w:cs="Calibri"/>
        </w:rPr>
        <w:t>.</w:t>
      </w:r>
      <w:r w:rsidRPr="009A7958">
        <w:rPr>
          <w:rFonts w:ascii="Calibri" w:hAnsi="Calibri" w:cs="Calibri"/>
        </w:rPr>
        <w:tab/>
        <w:t>Identifying methods used by other multilateral environmental agreements to address some of the issues outlined in Annex 1, including arrears in the payment of annual contributions; and</w:t>
      </w:r>
    </w:p>
    <w:p w14:paraId="66A449A2" w14:textId="77777777" w:rsidR="0065712B" w:rsidRPr="009A7958" w:rsidRDefault="0065712B" w:rsidP="0065712B">
      <w:pPr>
        <w:suppressLineNumbers/>
        <w:suppressAutoHyphens/>
        <w:spacing w:after="0" w:line="240" w:lineRule="auto"/>
        <w:ind w:left="851" w:hanging="425"/>
        <w:rPr>
          <w:rFonts w:ascii="Calibri" w:hAnsi="Calibri" w:cs="Calibri"/>
        </w:rPr>
      </w:pPr>
    </w:p>
    <w:p w14:paraId="47A9B520" w14:textId="54A3DEBE" w:rsidR="0065712B" w:rsidRPr="009A7958" w:rsidRDefault="0065712B" w:rsidP="0065712B">
      <w:pPr>
        <w:suppressLineNumbers/>
        <w:suppressAutoHyphens/>
        <w:spacing w:after="0" w:line="240" w:lineRule="auto"/>
        <w:ind w:left="851" w:hanging="425"/>
        <w:rPr>
          <w:rFonts w:ascii="Calibri" w:hAnsi="Calibri" w:cs="Calibri"/>
        </w:rPr>
      </w:pPr>
      <w:r w:rsidRPr="009A7958">
        <w:rPr>
          <w:rFonts w:ascii="Calibri" w:hAnsi="Calibri" w:cs="Calibri"/>
        </w:rPr>
        <w:t>c</w:t>
      </w:r>
      <w:r w:rsidR="000B4868" w:rsidRPr="009A7958">
        <w:rPr>
          <w:rFonts w:ascii="Calibri" w:hAnsi="Calibri" w:cs="Calibri"/>
        </w:rPr>
        <w:t>.</w:t>
      </w:r>
      <w:r w:rsidRPr="009A7958">
        <w:rPr>
          <w:rFonts w:ascii="Calibri" w:hAnsi="Calibri" w:cs="Calibri"/>
        </w:rPr>
        <w:tab/>
        <w:t>Reporting to the 16th meeting of the Conference of the Contracting Parties with a draft resolution to further strengthen the governance and</w:t>
      </w:r>
      <w:r w:rsidRPr="009A7958">
        <w:rPr>
          <w:rFonts w:ascii="Calibri" w:eastAsia="Times New Roman" w:hAnsi="Calibri" w:cs="Calibri"/>
          <w:b/>
          <w:bCs/>
        </w:rPr>
        <w:t xml:space="preserve"> </w:t>
      </w:r>
      <w:r w:rsidRPr="009A7958">
        <w:rPr>
          <w:rFonts w:ascii="Calibri" w:eastAsia="Times New Roman" w:hAnsi="Calibri" w:cs="Calibri"/>
        </w:rPr>
        <w:t xml:space="preserve">institutional strengthening </w:t>
      </w:r>
      <w:r w:rsidRPr="009A7958">
        <w:rPr>
          <w:rFonts w:ascii="Calibri" w:hAnsi="Calibri" w:cs="Calibri"/>
        </w:rPr>
        <w:t>of the Convention;</w:t>
      </w:r>
    </w:p>
    <w:p w14:paraId="79163180" w14:textId="77777777" w:rsidR="0065712B" w:rsidRPr="009A7958" w:rsidRDefault="0065712B" w:rsidP="0065712B">
      <w:pPr>
        <w:suppressLineNumbers/>
        <w:suppressAutoHyphens/>
        <w:spacing w:after="0" w:line="240" w:lineRule="auto"/>
        <w:ind w:left="851" w:hanging="425"/>
        <w:rPr>
          <w:rFonts w:ascii="Calibri" w:hAnsi="Calibri" w:cs="Calibri"/>
        </w:rPr>
      </w:pPr>
    </w:p>
    <w:p w14:paraId="3CB6C336" w14:textId="4C8DF3C2" w:rsidR="0065712B" w:rsidRPr="009A7958" w:rsidRDefault="00301E36" w:rsidP="0065712B">
      <w:pPr>
        <w:suppressLineNumbers/>
        <w:suppressAutoHyphens/>
        <w:spacing w:after="0" w:line="240" w:lineRule="auto"/>
        <w:ind w:left="425" w:hanging="425"/>
        <w:rPr>
          <w:rFonts w:ascii="Calibri" w:hAnsi="Calibri" w:cs="Calibri"/>
        </w:rPr>
      </w:pPr>
      <w:r w:rsidRPr="009A7958">
        <w:rPr>
          <w:rFonts w:ascii="Calibri" w:hAnsi="Calibri" w:cs="Calibri"/>
        </w:rPr>
        <w:t>[</w:t>
      </w:r>
      <w:r w:rsidR="000B4868" w:rsidRPr="009A7958">
        <w:rPr>
          <w:rFonts w:ascii="Calibri" w:hAnsi="Calibri" w:cs="Calibri"/>
        </w:rPr>
        <w:t>8.</w:t>
      </w:r>
      <w:r w:rsidR="0065712B" w:rsidRPr="009A7958">
        <w:rPr>
          <w:rFonts w:ascii="Calibri" w:hAnsi="Calibri" w:cs="Calibri"/>
        </w:rPr>
        <w:tab/>
        <w:t xml:space="preserve">REQUESTS the Standing Committee, at </w:t>
      </w:r>
      <w:r w:rsidR="009871A3" w:rsidRPr="009A7958">
        <w:rPr>
          <w:rFonts w:ascii="Calibri" w:hAnsi="Calibri" w:cs="Calibri"/>
        </w:rPr>
        <w:t>SC66</w:t>
      </w:r>
      <w:r w:rsidR="0065712B" w:rsidRPr="009A7958">
        <w:rPr>
          <w:rFonts w:ascii="Calibri" w:hAnsi="Calibri" w:cs="Calibri"/>
        </w:rPr>
        <w:t>, to establish a new working group on resource mobilization, including the establishment of a dedicated trust fund</w:t>
      </w:r>
      <w:r w:rsidR="00E57289" w:rsidRPr="009A7958">
        <w:rPr>
          <w:rFonts w:ascii="Calibri" w:hAnsi="Calibri" w:cs="Calibri"/>
        </w:rPr>
        <w:t>;</w:t>
      </w:r>
      <w:r w:rsidRPr="009A7958">
        <w:rPr>
          <w:rFonts w:ascii="Calibri" w:hAnsi="Calibri" w:cs="Calibri"/>
        </w:rPr>
        <w:t>]</w:t>
      </w:r>
    </w:p>
    <w:p w14:paraId="54966E55" w14:textId="77777777" w:rsidR="0065712B" w:rsidRPr="009A7958" w:rsidRDefault="0065712B" w:rsidP="0065712B">
      <w:pPr>
        <w:pStyle w:val="ListParagraph"/>
        <w:suppressLineNumbers/>
        <w:suppressAutoHyphens/>
        <w:spacing w:after="0" w:line="240" w:lineRule="auto"/>
        <w:rPr>
          <w:rFonts w:ascii="Calibri" w:hAnsi="Calibri" w:cs="Calibri"/>
        </w:rPr>
      </w:pPr>
    </w:p>
    <w:p w14:paraId="2A138753" w14:textId="2ACEA21B" w:rsidR="0065712B" w:rsidRPr="009A7958" w:rsidRDefault="000B4868" w:rsidP="0065712B">
      <w:pPr>
        <w:suppressLineNumbers/>
        <w:suppressAutoHyphens/>
        <w:spacing w:after="0" w:line="240" w:lineRule="auto"/>
        <w:ind w:left="426" w:hanging="426"/>
        <w:rPr>
          <w:rFonts w:ascii="Calibri" w:hAnsi="Calibri" w:cs="Calibri"/>
        </w:rPr>
      </w:pPr>
      <w:r w:rsidRPr="009A7958">
        <w:rPr>
          <w:rFonts w:ascii="Calibri" w:hAnsi="Calibri" w:cs="Calibri"/>
        </w:rPr>
        <w:t>9</w:t>
      </w:r>
      <w:r w:rsidR="0065712B" w:rsidRPr="009A7958">
        <w:rPr>
          <w:rFonts w:ascii="Calibri" w:hAnsi="Calibri" w:cs="Calibri"/>
        </w:rPr>
        <w:t>.</w:t>
      </w:r>
      <w:r w:rsidR="0065712B" w:rsidRPr="009A7958">
        <w:rPr>
          <w:rFonts w:ascii="Calibri" w:hAnsi="Calibri" w:cs="Calibri"/>
        </w:rPr>
        <w:tab/>
        <w:t>CONFIRMS that the Secretariat of the Convention has the capability to enter into administrative and contractual agreements, by virtue of the Letter of Agreement between the International Union for the Conservation of Nature (IUCN) and the Convention</w:t>
      </w:r>
      <w:r w:rsidR="0065712B" w:rsidRPr="009A7958">
        <w:rPr>
          <w:rStyle w:val="FootnoteReference"/>
          <w:rFonts w:ascii="Calibri" w:hAnsi="Calibri" w:cs="Calibri"/>
        </w:rPr>
        <w:footnoteReference w:id="1"/>
      </w:r>
      <w:r w:rsidR="0065712B" w:rsidRPr="009A7958">
        <w:rPr>
          <w:rFonts w:ascii="Calibri" w:hAnsi="Calibri" w:cs="Calibri"/>
        </w:rPr>
        <w:t>, and the Delegation of Authority to the Secretary General of the Convention</w:t>
      </w:r>
      <w:r w:rsidR="0065712B" w:rsidRPr="009A7958">
        <w:rPr>
          <w:rStyle w:val="FootnoteReference"/>
          <w:rFonts w:ascii="Calibri" w:hAnsi="Calibri" w:cs="Calibri"/>
        </w:rPr>
        <w:footnoteReference w:id="2"/>
      </w:r>
      <w:r w:rsidR="0065712B" w:rsidRPr="009A7958">
        <w:rPr>
          <w:rFonts w:ascii="Calibri" w:hAnsi="Calibri" w:cs="Calibri"/>
        </w:rPr>
        <w:t>; and</w:t>
      </w:r>
    </w:p>
    <w:p w14:paraId="4A3B49D4" w14:textId="77777777" w:rsidR="0065712B" w:rsidRPr="009A7958" w:rsidRDefault="0065712B" w:rsidP="0065712B">
      <w:pPr>
        <w:suppressLineNumbers/>
        <w:suppressAutoHyphens/>
        <w:spacing w:after="0" w:line="240" w:lineRule="auto"/>
        <w:ind w:left="426" w:hanging="426"/>
        <w:rPr>
          <w:rFonts w:ascii="Calibri" w:hAnsi="Calibri" w:cs="Calibri"/>
        </w:rPr>
      </w:pPr>
    </w:p>
    <w:p w14:paraId="5F8C1937" w14:textId="61891D8C" w:rsidR="0065712B" w:rsidRPr="009A7958" w:rsidRDefault="000B4868" w:rsidP="0065712B">
      <w:pPr>
        <w:suppressLineNumbers/>
        <w:suppressAutoHyphens/>
        <w:spacing w:after="0" w:line="240" w:lineRule="auto"/>
        <w:ind w:left="426" w:hanging="426"/>
        <w:rPr>
          <w:rFonts w:ascii="Calibri" w:hAnsi="Calibri" w:cs="Calibri"/>
        </w:rPr>
      </w:pPr>
      <w:r w:rsidRPr="009A7958">
        <w:rPr>
          <w:rFonts w:ascii="Calibri" w:hAnsi="Calibri" w:cs="Calibri"/>
        </w:rPr>
        <w:t>10</w:t>
      </w:r>
      <w:r w:rsidR="0065712B" w:rsidRPr="009A7958">
        <w:rPr>
          <w:rFonts w:ascii="Calibri" w:hAnsi="Calibri" w:cs="Calibri"/>
        </w:rPr>
        <w:t>.</w:t>
      </w:r>
      <w:r w:rsidR="0065712B" w:rsidRPr="009A7958">
        <w:rPr>
          <w:rFonts w:ascii="Calibri" w:hAnsi="Calibri" w:cs="Calibri"/>
        </w:rPr>
        <w:tab/>
        <w:t>INSTRUCTS the Secretary General of the Convention to continue to work with IUCN to identify improvements in the hosting arrangements relating to human resources, facilities, and administrative arrangements, in consultation with the Executive Team and the Management Working Group.</w:t>
      </w:r>
    </w:p>
    <w:p w14:paraId="1CB02C99" w14:textId="77777777" w:rsidR="0065712B" w:rsidRPr="009A7958" w:rsidRDefault="0065712B" w:rsidP="0065712B">
      <w:pPr>
        <w:spacing w:after="0" w:line="240" w:lineRule="auto"/>
        <w:rPr>
          <w:rFonts w:ascii="Calibri" w:hAnsi="Calibri" w:cs="Calibri"/>
        </w:rPr>
      </w:pPr>
      <w:r w:rsidRPr="009A7958">
        <w:rPr>
          <w:rFonts w:ascii="Calibri" w:hAnsi="Calibri" w:cs="Calibri"/>
        </w:rPr>
        <w:br w:type="page"/>
      </w:r>
    </w:p>
    <w:p w14:paraId="2DABA65A" w14:textId="6B0B1514" w:rsidR="0065712B" w:rsidRPr="009A7958" w:rsidRDefault="0065712B" w:rsidP="0065712B">
      <w:pPr>
        <w:pStyle w:val="Title"/>
        <w:rPr>
          <w:rFonts w:ascii="Calibri" w:hAnsi="Calibri" w:cs="Calibri"/>
          <w:b/>
          <w:bCs/>
          <w:spacing w:val="0"/>
          <w:sz w:val="24"/>
          <w:szCs w:val="24"/>
        </w:rPr>
      </w:pPr>
      <w:r w:rsidRPr="009A7958">
        <w:rPr>
          <w:rFonts w:ascii="Calibri" w:hAnsi="Calibri" w:cs="Calibri"/>
          <w:b/>
          <w:bCs/>
          <w:spacing w:val="0"/>
          <w:sz w:val="24"/>
          <w:szCs w:val="24"/>
        </w:rPr>
        <w:lastRenderedPageBreak/>
        <w:t xml:space="preserve">Annex 1 </w:t>
      </w:r>
    </w:p>
    <w:p w14:paraId="2D198A16" w14:textId="77777777" w:rsidR="0065712B" w:rsidRPr="009A7958" w:rsidRDefault="0065712B" w:rsidP="0065712B">
      <w:pPr>
        <w:pStyle w:val="Title"/>
        <w:rPr>
          <w:rFonts w:ascii="Calibri" w:hAnsi="Calibri" w:cs="Calibri"/>
          <w:b/>
          <w:bCs/>
          <w:spacing w:val="0"/>
          <w:sz w:val="24"/>
          <w:szCs w:val="24"/>
        </w:rPr>
      </w:pPr>
      <w:r w:rsidRPr="009A7958">
        <w:rPr>
          <w:rFonts w:ascii="Calibri" w:hAnsi="Calibri" w:cs="Calibri"/>
          <w:b/>
          <w:bCs/>
          <w:spacing w:val="0"/>
          <w:sz w:val="24"/>
          <w:szCs w:val="24"/>
        </w:rPr>
        <w:t>Output of the Working Group on Institutional Strengthening</w:t>
      </w:r>
    </w:p>
    <w:p w14:paraId="47D33B18" w14:textId="77777777" w:rsidR="0065712B" w:rsidRPr="009A7958" w:rsidRDefault="0065712B" w:rsidP="0065712B">
      <w:pPr>
        <w:spacing w:after="0" w:line="240" w:lineRule="auto"/>
        <w:rPr>
          <w:rFonts w:ascii="Calibri" w:hAnsi="Calibri" w:cs="Calibri"/>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555"/>
        <w:gridCol w:w="2721"/>
        <w:gridCol w:w="2438"/>
        <w:gridCol w:w="2302"/>
      </w:tblGrid>
      <w:tr w:rsidR="0065712B" w:rsidRPr="009A7958" w14:paraId="5893731A" w14:textId="77777777" w:rsidTr="001F7BDF">
        <w:trPr>
          <w:tblHeader/>
        </w:trPr>
        <w:tc>
          <w:tcPr>
            <w:tcW w:w="1555" w:type="dxa"/>
            <w:shd w:val="clear" w:color="auto" w:fill="DAE9F7" w:themeFill="text2" w:themeFillTint="1A"/>
            <w:vAlign w:val="center"/>
          </w:tcPr>
          <w:p w14:paraId="0D8EDE0A" w14:textId="77777777" w:rsidR="0065712B" w:rsidRPr="009A7958" w:rsidRDefault="0065712B" w:rsidP="00AC33F8">
            <w:pPr>
              <w:jc w:val="center"/>
              <w:rPr>
                <w:rFonts w:ascii="Calibri" w:hAnsi="Calibri" w:cs="Calibri"/>
                <w:b/>
                <w:bCs/>
              </w:rPr>
            </w:pPr>
            <w:r w:rsidRPr="009A7958">
              <w:rPr>
                <w:rFonts w:ascii="Calibri" w:hAnsi="Calibri" w:cs="Calibri"/>
                <w:b/>
                <w:bCs/>
              </w:rPr>
              <w:t>Theme</w:t>
            </w:r>
          </w:p>
        </w:tc>
        <w:tc>
          <w:tcPr>
            <w:tcW w:w="2721" w:type="dxa"/>
            <w:shd w:val="clear" w:color="auto" w:fill="DAE9F7" w:themeFill="text2" w:themeFillTint="1A"/>
            <w:vAlign w:val="center"/>
          </w:tcPr>
          <w:p w14:paraId="3CE8E2B3" w14:textId="77777777" w:rsidR="0065712B" w:rsidRPr="009A7958" w:rsidRDefault="0065712B" w:rsidP="00AC33F8">
            <w:pPr>
              <w:jc w:val="center"/>
              <w:rPr>
                <w:rFonts w:ascii="Calibri" w:hAnsi="Calibri" w:cs="Calibri"/>
                <w:b/>
                <w:bCs/>
              </w:rPr>
            </w:pPr>
            <w:r w:rsidRPr="009A7958">
              <w:rPr>
                <w:rFonts w:ascii="Calibri" w:hAnsi="Calibri" w:cs="Calibri"/>
                <w:b/>
                <w:bCs/>
              </w:rPr>
              <w:t>Challenge</w:t>
            </w:r>
          </w:p>
        </w:tc>
        <w:tc>
          <w:tcPr>
            <w:tcW w:w="2438" w:type="dxa"/>
            <w:shd w:val="clear" w:color="auto" w:fill="DAE9F7" w:themeFill="text2" w:themeFillTint="1A"/>
            <w:vAlign w:val="center"/>
          </w:tcPr>
          <w:p w14:paraId="4D4DC84A" w14:textId="77777777" w:rsidR="0065712B" w:rsidRPr="009A7958" w:rsidRDefault="0065712B" w:rsidP="00AC33F8">
            <w:pPr>
              <w:jc w:val="center"/>
              <w:rPr>
                <w:rFonts w:ascii="Calibri" w:hAnsi="Calibri" w:cs="Calibri"/>
                <w:b/>
                <w:bCs/>
              </w:rPr>
            </w:pPr>
            <w:r w:rsidRPr="009A7958">
              <w:rPr>
                <w:rFonts w:ascii="Calibri" w:hAnsi="Calibri" w:cs="Calibri"/>
                <w:b/>
                <w:bCs/>
              </w:rPr>
              <w:t>Status</w:t>
            </w:r>
          </w:p>
        </w:tc>
        <w:tc>
          <w:tcPr>
            <w:tcW w:w="2302" w:type="dxa"/>
            <w:shd w:val="clear" w:color="auto" w:fill="DAE9F7" w:themeFill="text2" w:themeFillTint="1A"/>
            <w:vAlign w:val="center"/>
          </w:tcPr>
          <w:p w14:paraId="3C09A1DD" w14:textId="4E9E7B1A" w:rsidR="0065712B" w:rsidRPr="009A7958" w:rsidRDefault="0065712B" w:rsidP="00AC33F8">
            <w:pPr>
              <w:jc w:val="center"/>
              <w:rPr>
                <w:rFonts w:ascii="Calibri" w:hAnsi="Calibri" w:cs="Calibri"/>
                <w:b/>
                <w:bCs/>
              </w:rPr>
            </w:pPr>
            <w:r w:rsidRPr="009A7958">
              <w:rPr>
                <w:rFonts w:ascii="Calibri" w:hAnsi="Calibri" w:cs="Calibri"/>
                <w:b/>
                <w:bCs/>
              </w:rPr>
              <w:t xml:space="preserve">Follow-on actions </w:t>
            </w:r>
            <w:r w:rsidR="009871A3" w:rsidRPr="009A7958">
              <w:rPr>
                <w:rFonts w:ascii="Calibri" w:hAnsi="Calibri" w:cs="Calibri"/>
                <w:b/>
                <w:bCs/>
              </w:rPr>
              <w:br/>
            </w:r>
            <w:r w:rsidRPr="009A7958">
              <w:rPr>
                <w:rFonts w:ascii="Calibri" w:hAnsi="Calibri" w:cs="Calibri"/>
                <w:b/>
                <w:bCs/>
              </w:rPr>
              <w:t>to be implemented by</w:t>
            </w:r>
          </w:p>
        </w:tc>
      </w:tr>
      <w:tr w:rsidR="0065712B" w:rsidRPr="009A7958" w14:paraId="40D9D528" w14:textId="77777777" w:rsidTr="009871A3">
        <w:trPr>
          <w:trHeight w:val="355"/>
        </w:trPr>
        <w:tc>
          <w:tcPr>
            <w:tcW w:w="1555" w:type="dxa"/>
            <w:vMerge w:val="restart"/>
          </w:tcPr>
          <w:p w14:paraId="2BB381CA" w14:textId="77777777" w:rsidR="0065712B" w:rsidRPr="009A7958" w:rsidRDefault="0065712B" w:rsidP="00AC33F8">
            <w:pPr>
              <w:ind w:left="22"/>
              <w:rPr>
                <w:rFonts w:ascii="Calibri" w:hAnsi="Calibri" w:cs="Calibri"/>
              </w:rPr>
            </w:pPr>
            <w:r w:rsidRPr="009A7958">
              <w:rPr>
                <w:rFonts w:ascii="Calibri" w:hAnsi="Calibri" w:cs="Calibri"/>
              </w:rPr>
              <w:t>Administration</w:t>
            </w:r>
          </w:p>
        </w:tc>
        <w:tc>
          <w:tcPr>
            <w:tcW w:w="2721" w:type="dxa"/>
          </w:tcPr>
          <w:p w14:paraId="2086F7F4" w14:textId="77777777" w:rsidR="0065712B" w:rsidRPr="009A7958" w:rsidRDefault="0065712B" w:rsidP="00AC33F8">
            <w:pPr>
              <w:rPr>
                <w:rFonts w:ascii="Calibri" w:hAnsi="Calibri" w:cs="Calibri"/>
              </w:rPr>
            </w:pPr>
            <w:r w:rsidRPr="009A7958">
              <w:rPr>
                <w:rFonts w:ascii="Calibri" w:hAnsi="Calibri" w:cs="Calibri"/>
              </w:rPr>
              <w:t>Ability to enter into contracts with donors / third parties and difficulties in the implementation and management of projects</w:t>
            </w:r>
          </w:p>
        </w:tc>
        <w:tc>
          <w:tcPr>
            <w:tcW w:w="2438" w:type="dxa"/>
          </w:tcPr>
          <w:p w14:paraId="74E30FBF" w14:textId="77777777" w:rsidR="0065712B" w:rsidRPr="009A7958" w:rsidRDefault="0065712B" w:rsidP="00AC33F8">
            <w:pPr>
              <w:rPr>
                <w:rFonts w:ascii="Calibri" w:hAnsi="Calibri" w:cs="Calibri"/>
              </w:rPr>
            </w:pPr>
            <w:r w:rsidRPr="009A7958">
              <w:rPr>
                <w:rFonts w:ascii="Calibri" w:hAnsi="Calibri" w:cs="Calibri"/>
              </w:rPr>
              <w:t>Effective measures are already in place to address this should it arise</w:t>
            </w:r>
          </w:p>
        </w:tc>
        <w:tc>
          <w:tcPr>
            <w:tcW w:w="2302" w:type="dxa"/>
          </w:tcPr>
          <w:p w14:paraId="45E016DC" w14:textId="77777777" w:rsidR="0065712B" w:rsidRPr="009A7958" w:rsidRDefault="0065712B" w:rsidP="00AC33F8">
            <w:pPr>
              <w:rPr>
                <w:rStyle w:val="CommentReference"/>
                <w:rFonts w:ascii="Calibri" w:hAnsi="Calibri" w:cs="Calibri"/>
              </w:rPr>
            </w:pPr>
            <w:r w:rsidRPr="009A7958">
              <w:rPr>
                <w:rFonts w:ascii="Calibri" w:hAnsi="Calibri" w:cs="Calibri"/>
              </w:rPr>
              <w:t>N/A</w:t>
            </w:r>
          </w:p>
        </w:tc>
      </w:tr>
      <w:tr w:rsidR="0065712B" w:rsidRPr="009A7958" w14:paraId="6027BBAF" w14:textId="77777777" w:rsidTr="009871A3">
        <w:trPr>
          <w:trHeight w:val="738"/>
        </w:trPr>
        <w:tc>
          <w:tcPr>
            <w:tcW w:w="1555" w:type="dxa"/>
            <w:vMerge/>
          </w:tcPr>
          <w:p w14:paraId="7FD33432" w14:textId="77777777" w:rsidR="0065712B" w:rsidRPr="009A7958" w:rsidRDefault="0065712B" w:rsidP="00AC33F8">
            <w:pPr>
              <w:ind w:left="22"/>
              <w:rPr>
                <w:rFonts w:ascii="Calibri" w:hAnsi="Calibri" w:cs="Calibri"/>
              </w:rPr>
            </w:pPr>
          </w:p>
        </w:tc>
        <w:tc>
          <w:tcPr>
            <w:tcW w:w="2721" w:type="dxa"/>
          </w:tcPr>
          <w:p w14:paraId="64866C1B" w14:textId="77777777" w:rsidR="0065712B" w:rsidRPr="009A7958" w:rsidRDefault="0065712B" w:rsidP="00AC33F8">
            <w:pPr>
              <w:rPr>
                <w:rFonts w:ascii="Calibri" w:hAnsi="Calibri" w:cs="Calibri"/>
              </w:rPr>
            </w:pPr>
            <w:r w:rsidRPr="009A7958">
              <w:rPr>
                <w:rFonts w:ascii="Calibri" w:hAnsi="Calibri" w:cs="Calibri"/>
              </w:rPr>
              <w:t>Difficulties in paying annual contributions to the Convention on Wetlands</w:t>
            </w:r>
          </w:p>
        </w:tc>
        <w:tc>
          <w:tcPr>
            <w:tcW w:w="2438" w:type="dxa"/>
          </w:tcPr>
          <w:p w14:paraId="13EE3116" w14:textId="77777777" w:rsidR="0065712B" w:rsidRPr="009A7958" w:rsidRDefault="0065712B" w:rsidP="00AC33F8">
            <w:pPr>
              <w:rPr>
                <w:rFonts w:ascii="Calibri" w:hAnsi="Calibri" w:cs="Calibri"/>
              </w:rPr>
            </w:pPr>
            <w:r w:rsidRPr="009A7958">
              <w:rPr>
                <w:rFonts w:ascii="Calibri" w:hAnsi="Calibri" w:cs="Calibri"/>
              </w:rPr>
              <w:t>Options to be evaluated</w:t>
            </w:r>
          </w:p>
        </w:tc>
        <w:tc>
          <w:tcPr>
            <w:tcW w:w="2302" w:type="dxa"/>
          </w:tcPr>
          <w:p w14:paraId="33DDD456" w14:textId="77777777" w:rsidR="0065712B" w:rsidRPr="009A7958" w:rsidRDefault="0065712B" w:rsidP="00AC33F8">
            <w:pPr>
              <w:rPr>
                <w:rFonts w:ascii="Calibri" w:hAnsi="Calibri" w:cs="Calibri"/>
              </w:rPr>
            </w:pPr>
            <w:r w:rsidRPr="009A7958">
              <w:rPr>
                <w:rFonts w:ascii="Calibri" w:hAnsi="Calibri" w:cs="Calibri"/>
              </w:rPr>
              <w:t>Subgroup on Finance</w:t>
            </w:r>
          </w:p>
        </w:tc>
      </w:tr>
      <w:tr w:rsidR="0065712B" w:rsidRPr="009A7958" w14:paraId="36BEBA13" w14:textId="77777777" w:rsidTr="009871A3">
        <w:trPr>
          <w:trHeight w:val="738"/>
        </w:trPr>
        <w:tc>
          <w:tcPr>
            <w:tcW w:w="1555" w:type="dxa"/>
            <w:vMerge/>
          </w:tcPr>
          <w:p w14:paraId="6F581D9C" w14:textId="77777777" w:rsidR="0065712B" w:rsidRPr="009A7958" w:rsidRDefault="0065712B" w:rsidP="00AC33F8">
            <w:pPr>
              <w:ind w:left="22"/>
              <w:rPr>
                <w:rFonts w:ascii="Calibri" w:hAnsi="Calibri" w:cs="Calibri"/>
              </w:rPr>
            </w:pPr>
          </w:p>
        </w:tc>
        <w:tc>
          <w:tcPr>
            <w:tcW w:w="2721" w:type="dxa"/>
          </w:tcPr>
          <w:p w14:paraId="2274DF3D" w14:textId="77777777" w:rsidR="0065712B" w:rsidRPr="009A7958" w:rsidRDefault="0065712B" w:rsidP="00AC33F8">
            <w:pPr>
              <w:rPr>
                <w:rFonts w:ascii="Calibri" w:hAnsi="Calibri" w:cs="Calibri"/>
              </w:rPr>
            </w:pPr>
            <w:r w:rsidRPr="009A7958">
              <w:rPr>
                <w:rFonts w:ascii="Calibri" w:hAnsi="Calibri" w:cs="Calibri"/>
              </w:rPr>
              <w:t>Difficulties for Contracting Parties to pay contributions to the Convention due to its legal status</w:t>
            </w:r>
          </w:p>
        </w:tc>
        <w:tc>
          <w:tcPr>
            <w:tcW w:w="2438" w:type="dxa"/>
          </w:tcPr>
          <w:p w14:paraId="78A4DA7C" w14:textId="77777777" w:rsidR="0065712B" w:rsidRPr="009A7958" w:rsidRDefault="0065712B" w:rsidP="00AC33F8">
            <w:pPr>
              <w:rPr>
                <w:rFonts w:ascii="Calibri" w:hAnsi="Calibri" w:cs="Calibri"/>
              </w:rPr>
            </w:pPr>
            <w:r w:rsidRPr="009A7958">
              <w:rPr>
                <w:rFonts w:ascii="Calibri" w:hAnsi="Calibri" w:cs="Calibri"/>
              </w:rPr>
              <w:t>Effective measures are already in place to address this should it arise</w:t>
            </w:r>
          </w:p>
        </w:tc>
        <w:tc>
          <w:tcPr>
            <w:tcW w:w="2302" w:type="dxa"/>
          </w:tcPr>
          <w:p w14:paraId="675EB125" w14:textId="77777777" w:rsidR="0065712B" w:rsidRPr="009A7958" w:rsidRDefault="0065712B" w:rsidP="00AC33F8">
            <w:pPr>
              <w:rPr>
                <w:rStyle w:val="CommentReference"/>
                <w:rFonts w:ascii="Calibri" w:hAnsi="Calibri" w:cs="Calibri"/>
              </w:rPr>
            </w:pPr>
            <w:r w:rsidRPr="009A7958">
              <w:rPr>
                <w:rFonts w:ascii="Calibri" w:hAnsi="Calibri" w:cs="Calibri"/>
              </w:rPr>
              <w:t>N/A</w:t>
            </w:r>
          </w:p>
        </w:tc>
      </w:tr>
      <w:tr w:rsidR="0065712B" w:rsidRPr="009A7958" w14:paraId="754F0FEE" w14:textId="77777777" w:rsidTr="009871A3">
        <w:trPr>
          <w:trHeight w:val="738"/>
        </w:trPr>
        <w:tc>
          <w:tcPr>
            <w:tcW w:w="1555" w:type="dxa"/>
            <w:vMerge/>
          </w:tcPr>
          <w:p w14:paraId="4DF53861" w14:textId="77777777" w:rsidR="0065712B" w:rsidRPr="009A7958" w:rsidRDefault="0065712B" w:rsidP="00AC33F8">
            <w:pPr>
              <w:ind w:left="22"/>
              <w:rPr>
                <w:rFonts w:ascii="Calibri" w:hAnsi="Calibri" w:cs="Calibri"/>
              </w:rPr>
            </w:pPr>
          </w:p>
        </w:tc>
        <w:tc>
          <w:tcPr>
            <w:tcW w:w="2721" w:type="dxa"/>
          </w:tcPr>
          <w:p w14:paraId="5380B408" w14:textId="77777777" w:rsidR="0065712B" w:rsidRPr="009A7958" w:rsidRDefault="0065712B" w:rsidP="00AC33F8">
            <w:pPr>
              <w:rPr>
                <w:rFonts w:ascii="Calibri" w:hAnsi="Calibri" w:cs="Calibri"/>
              </w:rPr>
            </w:pPr>
            <w:r w:rsidRPr="009A7958">
              <w:rPr>
                <w:rFonts w:ascii="Calibri" w:hAnsi="Calibri" w:cs="Calibri"/>
              </w:rPr>
              <w:t>Risks posed to the Convention by legal provisions applied to the management of outstanding arrears</w:t>
            </w:r>
          </w:p>
        </w:tc>
        <w:tc>
          <w:tcPr>
            <w:tcW w:w="2438" w:type="dxa"/>
          </w:tcPr>
          <w:p w14:paraId="0B878C19" w14:textId="77777777" w:rsidR="0065712B" w:rsidRPr="009A7958" w:rsidRDefault="0065712B" w:rsidP="00AC33F8">
            <w:pPr>
              <w:rPr>
                <w:rFonts w:ascii="Calibri" w:hAnsi="Calibri" w:cs="Calibri"/>
              </w:rPr>
            </w:pPr>
            <w:r w:rsidRPr="009A7958">
              <w:rPr>
                <w:rFonts w:ascii="Calibri" w:hAnsi="Calibri" w:cs="Calibri"/>
              </w:rPr>
              <w:t>Linked to non-payment of contributions: Options to be evaluated</w:t>
            </w:r>
          </w:p>
        </w:tc>
        <w:tc>
          <w:tcPr>
            <w:tcW w:w="2302" w:type="dxa"/>
          </w:tcPr>
          <w:p w14:paraId="6A1651DA" w14:textId="77777777" w:rsidR="0065712B" w:rsidRPr="009A7958" w:rsidRDefault="0065712B" w:rsidP="00AC33F8">
            <w:pPr>
              <w:rPr>
                <w:rFonts w:ascii="Calibri" w:hAnsi="Calibri" w:cs="Calibri"/>
              </w:rPr>
            </w:pPr>
            <w:r w:rsidRPr="009A7958">
              <w:rPr>
                <w:rFonts w:ascii="Calibri" w:hAnsi="Calibri" w:cs="Calibri"/>
              </w:rPr>
              <w:t>Subgroup on Finance</w:t>
            </w:r>
          </w:p>
        </w:tc>
      </w:tr>
      <w:tr w:rsidR="0065712B" w:rsidRPr="009A7958" w14:paraId="0543A51B" w14:textId="77777777" w:rsidTr="009871A3">
        <w:trPr>
          <w:trHeight w:val="738"/>
        </w:trPr>
        <w:tc>
          <w:tcPr>
            <w:tcW w:w="1555" w:type="dxa"/>
            <w:vMerge/>
          </w:tcPr>
          <w:p w14:paraId="75230156" w14:textId="77777777" w:rsidR="0065712B" w:rsidRPr="009A7958" w:rsidRDefault="0065712B" w:rsidP="00AC33F8">
            <w:pPr>
              <w:ind w:left="22"/>
              <w:rPr>
                <w:rFonts w:ascii="Calibri" w:hAnsi="Calibri" w:cs="Calibri"/>
              </w:rPr>
            </w:pPr>
          </w:p>
        </w:tc>
        <w:tc>
          <w:tcPr>
            <w:tcW w:w="2721" w:type="dxa"/>
          </w:tcPr>
          <w:p w14:paraId="5AF74563" w14:textId="77777777" w:rsidR="0065712B" w:rsidRPr="009A7958" w:rsidRDefault="0065712B" w:rsidP="00AC33F8">
            <w:pPr>
              <w:rPr>
                <w:rFonts w:ascii="Calibri" w:hAnsi="Calibri" w:cs="Calibri"/>
              </w:rPr>
            </w:pPr>
            <w:r w:rsidRPr="009A7958">
              <w:rPr>
                <w:rFonts w:ascii="Calibri" w:hAnsi="Calibri" w:cs="Calibri"/>
              </w:rPr>
              <w:t xml:space="preserve">Lack of clear formalized financial mechanisms for Convention funding </w:t>
            </w:r>
          </w:p>
        </w:tc>
        <w:tc>
          <w:tcPr>
            <w:tcW w:w="2438" w:type="dxa"/>
          </w:tcPr>
          <w:p w14:paraId="5B2DDEA0" w14:textId="77777777" w:rsidR="0065712B" w:rsidRPr="009A7958" w:rsidRDefault="0065712B" w:rsidP="00AC33F8">
            <w:pPr>
              <w:rPr>
                <w:rFonts w:ascii="Calibri" w:hAnsi="Calibri" w:cs="Calibri"/>
              </w:rPr>
            </w:pPr>
            <w:r w:rsidRPr="009A7958">
              <w:rPr>
                <w:rFonts w:ascii="Calibri" w:hAnsi="Calibri" w:cs="Calibri"/>
              </w:rPr>
              <w:t>Options to be evaluated</w:t>
            </w:r>
          </w:p>
        </w:tc>
        <w:tc>
          <w:tcPr>
            <w:tcW w:w="2302" w:type="dxa"/>
          </w:tcPr>
          <w:p w14:paraId="09C27D0A" w14:textId="77777777" w:rsidR="0065712B" w:rsidRPr="009A7958" w:rsidRDefault="0065712B" w:rsidP="00AC33F8">
            <w:pPr>
              <w:rPr>
                <w:rFonts w:ascii="Calibri" w:hAnsi="Calibri" w:cs="Calibri"/>
              </w:rPr>
            </w:pPr>
            <w:r w:rsidRPr="009A7958">
              <w:rPr>
                <w:rFonts w:ascii="Calibri" w:hAnsi="Calibri" w:cs="Calibri"/>
              </w:rPr>
              <w:t>Subgroup on Finance</w:t>
            </w:r>
          </w:p>
        </w:tc>
      </w:tr>
      <w:tr w:rsidR="0065712B" w:rsidRPr="009A7958" w14:paraId="0A8F67B4" w14:textId="77777777" w:rsidTr="009871A3">
        <w:tc>
          <w:tcPr>
            <w:tcW w:w="1555" w:type="dxa"/>
          </w:tcPr>
          <w:p w14:paraId="0F21A054" w14:textId="77777777" w:rsidR="0065712B" w:rsidRPr="009A7958" w:rsidRDefault="0065712B" w:rsidP="00AC33F8">
            <w:pPr>
              <w:ind w:left="22"/>
              <w:rPr>
                <w:rFonts w:ascii="Calibri" w:hAnsi="Calibri" w:cs="Calibri"/>
              </w:rPr>
            </w:pPr>
            <w:r w:rsidRPr="009A7958">
              <w:rPr>
                <w:rFonts w:ascii="Calibri" w:hAnsi="Calibri" w:cs="Calibri"/>
              </w:rPr>
              <w:t>Governance</w:t>
            </w:r>
          </w:p>
        </w:tc>
        <w:tc>
          <w:tcPr>
            <w:tcW w:w="2721" w:type="dxa"/>
          </w:tcPr>
          <w:p w14:paraId="18106DBE" w14:textId="77777777" w:rsidR="0065712B" w:rsidRPr="009A7958" w:rsidRDefault="0065712B" w:rsidP="00AC33F8">
            <w:pPr>
              <w:rPr>
                <w:rFonts w:ascii="Calibri" w:hAnsi="Calibri" w:cs="Calibri"/>
              </w:rPr>
            </w:pPr>
            <w:r w:rsidRPr="009A7958">
              <w:rPr>
                <w:rFonts w:ascii="Calibri" w:hAnsi="Calibri" w:cs="Calibri"/>
              </w:rPr>
              <w:t>Lack of sufficient communication and virtual information management mechanisms</w:t>
            </w:r>
          </w:p>
        </w:tc>
        <w:tc>
          <w:tcPr>
            <w:tcW w:w="2438" w:type="dxa"/>
          </w:tcPr>
          <w:p w14:paraId="494EC07B" w14:textId="77777777" w:rsidR="0065712B" w:rsidRPr="009A7958" w:rsidRDefault="0065712B" w:rsidP="00AC33F8">
            <w:pPr>
              <w:rPr>
                <w:rFonts w:ascii="Calibri" w:hAnsi="Calibri" w:cs="Calibri"/>
              </w:rPr>
            </w:pPr>
            <w:r w:rsidRPr="009A7958">
              <w:rPr>
                <w:rFonts w:ascii="Calibri" w:hAnsi="Calibri" w:cs="Calibri"/>
              </w:rPr>
              <w:t xml:space="preserve">Currently being addressed by the Secretariat </w:t>
            </w:r>
          </w:p>
        </w:tc>
        <w:tc>
          <w:tcPr>
            <w:tcW w:w="2302" w:type="dxa"/>
          </w:tcPr>
          <w:p w14:paraId="6D3AF9D6" w14:textId="77777777" w:rsidR="0065712B" w:rsidRPr="009A7958" w:rsidRDefault="0065712B" w:rsidP="00AC33F8">
            <w:pPr>
              <w:rPr>
                <w:rFonts w:ascii="Calibri" w:hAnsi="Calibri" w:cs="Calibri"/>
              </w:rPr>
            </w:pPr>
            <w:r w:rsidRPr="009A7958">
              <w:rPr>
                <w:rFonts w:ascii="Calibri" w:hAnsi="Calibri" w:cs="Calibri"/>
              </w:rPr>
              <w:t>Management Working Group</w:t>
            </w:r>
          </w:p>
        </w:tc>
      </w:tr>
      <w:tr w:rsidR="0065712B" w:rsidRPr="009A7958" w14:paraId="54804DCC" w14:textId="77777777" w:rsidTr="009871A3">
        <w:tc>
          <w:tcPr>
            <w:tcW w:w="1555" w:type="dxa"/>
          </w:tcPr>
          <w:p w14:paraId="3A8A19AA" w14:textId="77777777" w:rsidR="0065712B" w:rsidRPr="009A7958" w:rsidRDefault="0065712B" w:rsidP="00AC33F8">
            <w:pPr>
              <w:ind w:left="22"/>
              <w:rPr>
                <w:rFonts w:ascii="Calibri" w:hAnsi="Calibri" w:cs="Calibri"/>
              </w:rPr>
            </w:pPr>
            <w:r w:rsidRPr="009A7958">
              <w:rPr>
                <w:rFonts w:ascii="Calibri" w:hAnsi="Calibri" w:cs="Calibri"/>
              </w:rPr>
              <w:t>Leadership</w:t>
            </w:r>
          </w:p>
        </w:tc>
        <w:tc>
          <w:tcPr>
            <w:tcW w:w="2721" w:type="dxa"/>
          </w:tcPr>
          <w:p w14:paraId="5F076E37" w14:textId="77777777" w:rsidR="0065712B" w:rsidRPr="009A7958" w:rsidRDefault="0065712B" w:rsidP="00AC33F8">
            <w:pPr>
              <w:rPr>
                <w:rFonts w:ascii="Calibri" w:hAnsi="Calibri" w:cs="Calibri"/>
              </w:rPr>
            </w:pPr>
            <w:r w:rsidRPr="009A7958">
              <w:rPr>
                <w:rFonts w:ascii="Calibri" w:hAnsi="Calibri" w:cs="Calibri"/>
              </w:rPr>
              <w:t>Procedure for electing a Secretary General</w:t>
            </w:r>
          </w:p>
        </w:tc>
        <w:tc>
          <w:tcPr>
            <w:tcW w:w="2438" w:type="dxa"/>
          </w:tcPr>
          <w:p w14:paraId="3B1C1D8E" w14:textId="77777777" w:rsidR="0065712B" w:rsidRPr="009A7958" w:rsidRDefault="0065712B" w:rsidP="00AC33F8">
            <w:pPr>
              <w:rPr>
                <w:rFonts w:ascii="Calibri" w:hAnsi="Calibri" w:cs="Calibri"/>
              </w:rPr>
            </w:pPr>
            <w:r w:rsidRPr="009A7958">
              <w:rPr>
                <w:rFonts w:ascii="Calibri" w:hAnsi="Calibri" w:cs="Calibri"/>
              </w:rPr>
              <w:t>Addressed by another working group: Management Working Group</w:t>
            </w:r>
          </w:p>
        </w:tc>
        <w:tc>
          <w:tcPr>
            <w:tcW w:w="2302" w:type="dxa"/>
          </w:tcPr>
          <w:p w14:paraId="40A6A7CE" w14:textId="77777777" w:rsidR="0065712B" w:rsidRPr="009A7958" w:rsidRDefault="0065712B" w:rsidP="00AC33F8">
            <w:pPr>
              <w:rPr>
                <w:rFonts w:ascii="Calibri" w:hAnsi="Calibri" w:cs="Calibri"/>
              </w:rPr>
            </w:pPr>
            <w:r w:rsidRPr="009A7958">
              <w:rPr>
                <w:rFonts w:ascii="Calibri" w:hAnsi="Calibri" w:cs="Calibri"/>
              </w:rPr>
              <w:t>Management Working Group</w:t>
            </w:r>
          </w:p>
        </w:tc>
      </w:tr>
      <w:tr w:rsidR="0065712B" w:rsidRPr="009A7958" w14:paraId="795CF77B" w14:textId="77777777" w:rsidTr="009871A3">
        <w:tc>
          <w:tcPr>
            <w:tcW w:w="1555" w:type="dxa"/>
            <w:vMerge w:val="restart"/>
          </w:tcPr>
          <w:p w14:paraId="59355B48" w14:textId="77777777" w:rsidR="0065712B" w:rsidRPr="009A7958" w:rsidRDefault="0065712B" w:rsidP="00AC33F8">
            <w:pPr>
              <w:ind w:left="22"/>
              <w:rPr>
                <w:rFonts w:ascii="Calibri" w:hAnsi="Calibri" w:cs="Calibri"/>
              </w:rPr>
            </w:pPr>
            <w:r w:rsidRPr="009A7958">
              <w:rPr>
                <w:rFonts w:ascii="Calibri" w:hAnsi="Calibri" w:cs="Calibri"/>
              </w:rPr>
              <w:t>Human Resources independency</w:t>
            </w:r>
          </w:p>
        </w:tc>
        <w:tc>
          <w:tcPr>
            <w:tcW w:w="2721" w:type="dxa"/>
          </w:tcPr>
          <w:p w14:paraId="6EFBC0A1" w14:textId="77777777" w:rsidR="0065712B" w:rsidRPr="009A7958" w:rsidRDefault="0065712B" w:rsidP="00AC33F8">
            <w:pPr>
              <w:rPr>
                <w:rFonts w:ascii="Calibri" w:hAnsi="Calibri" w:cs="Calibri"/>
              </w:rPr>
            </w:pPr>
            <w:r w:rsidRPr="009A7958">
              <w:rPr>
                <w:rFonts w:ascii="Calibri" w:hAnsi="Calibri" w:cs="Calibri"/>
              </w:rPr>
              <w:t>Recruitment of staff and reduction of staff turnover</w:t>
            </w:r>
          </w:p>
        </w:tc>
        <w:tc>
          <w:tcPr>
            <w:tcW w:w="2438" w:type="dxa"/>
          </w:tcPr>
          <w:p w14:paraId="4B19DAC5" w14:textId="77777777" w:rsidR="0065712B" w:rsidRPr="009A7958" w:rsidRDefault="0065712B" w:rsidP="00AC33F8">
            <w:pPr>
              <w:rPr>
                <w:rFonts w:ascii="Calibri" w:hAnsi="Calibri" w:cs="Calibri"/>
              </w:rPr>
            </w:pPr>
            <w:r w:rsidRPr="009A7958">
              <w:rPr>
                <w:rFonts w:ascii="Calibri" w:hAnsi="Calibri" w:cs="Calibri"/>
              </w:rPr>
              <w:t>Options to be evaluated</w:t>
            </w:r>
          </w:p>
        </w:tc>
        <w:tc>
          <w:tcPr>
            <w:tcW w:w="2302" w:type="dxa"/>
          </w:tcPr>
          <w:p w14:paraId="39EAA231" w14:textId="77777777" w:rsidR="0065712B" w:rsidRPr="009A7958" w:rsidRDefault="0065712B" w:rsidP="00AC33F8">
            <w:pPr>
              <w:rPr>
                <w:rFonts w:ascii="Calibri" w:hAnsi="Calibri" w:cs="Calibri"/>
              </w:rPr>
            </w:pPr>
            <w:r w:rsidRPr="009A7958">
              <w:rPr>
                <w:rFonts w:ascii="Calibri" w:hAnsi="Calibri" w:cs="Calibri"/>
              </w:rPr>
              <w:t>New working group</w:t>
            </w:r>
          </w:p>
        </w:tc>
      </w:tr>
      <w:tr w:rsidR="0065712B" w:rsidRPr="009A7958" w14:paraId="78A29817" w14:textId="77777777" w:rsidTr="009871A3">
        <w:tc>
          <w:tcPr>
            <w:tcW w:w="1555" w:type="dxa"/>
            <w:vMerge/>
          </w:tcPr>
          <w:p w14:paraId="7E8F2709" w14:textId="77777777" w:rsidR="0065712B" w:rsidRPr="009A7958" w:rsidRDefault="0065712B" w:rsidP="00AC33F8">
            <w:pPr>
              <w:ind w:left="22"/>
              <w:rPr>
                <w:rFonts w:ascii="Calibri" w:hAnsi="Calibri" w:cs="Calibri"/>
              </w:rPr>
            </w:pPr>
          </w:p>
        </w:tc>
        <w:tc>
          <w:tcPr>
            <w:tcW w:w="2721" w:type="dxa"/>
          </w:tcPr>
          <w:p w14:paraId="54D98020" w14:textId="77777777" w:rsidR="0065712B" w:rsidRPr="009A7958" w:rsidRDefault="0065712B" w:rsidP="00AC33F8">
            <w:pPr>
              <w:rPr>
                <w:rFonts w:ascii="Calibri" w:hAnsi="Calibri" w:cs="Calibri"/>
              </w:rPr>
            </w:pPr>
            <w:r w:rsidRPr="009A7958">
              <w:rPr>
                <w:rFonts w:ascii="Calibri" w:hAnsi="Calibri" w:cs="Calibri"/>
              </w:rPr>
              <w:t>Legal liability of IUCN for Secretariat actions</w:t>
            </w:r>
          </w:p>
        </w:tc>
        <w:tc>
          <w:tcPr>
            <w:tcW w:w="2438" w:type="dxa"/>
          </w:tcPr>
          <w:p w14:paraId="37152F35" w14:textId="77777777" w:rsidR="0065712B" w:rsidRPr="009A7958" w:rsidRDefault="0065712B" w:rsidP="00AC33F8">
            <w:pPr>
              <w:rPr>
                <w:rFonts w:ascii="Calibri" w:hAnsi="Calibri" w:cs="Calibri"/>
              </w:rPr>
            </w:pPr>
            <w:r w:rsidRPr="009A7958">
              <w:rPr>
                <w:rFonts w:ascii="Calibri" w:hAnsi="Calibri" w:cs="Calibri"/>
              </w:rPr>
              <w:t xml:space="preserve">Not a challenge </w:t>
            </w:r>
          </w:p>
        </w:tc>
        <w:tc>
          <w:tcPr>
            <w:tcW w:w="2302" w:type="dxa"/>
          </w:tcPr>
          <w:p w14:paraId="42C0C717" w14:textId="77777777" w:rsidR="0065712B" w:rsidRPr="009A7958" w:rsidRDefault="0065712B" w:rsidP="00AC33F8">
            <w:pPr>
              <w:rPr>
                <w:rFonts w:ascii="Calibri" w:hAnsi="Calibri" w:cs="Calibri"/>
              </w:rPr>
            </w:pPr>
            <w:r w:rsidRPr="009A7958">
              <w:rPr>
                <w:rFonts w:ascii="Calibri" w:hAnsi="Calibri" w:cs="Calibri"/>
              </w:rPr>
              <w:t>N/A</w:t>
            </w:r>
          </w:p>
        </w:tc>
      </w:tr>
      <w:tr w:rsidR="0065712B" w:rsidRPr="009A7958" w14:paraId="544A6993" w14:textId="77777777" w:rsidTr="009871A3">
        <w:tc>
          <w:tcPr>
            <w:tcW w:w="1555" w:type="dxa"/>
            <w:vMerge/>
          </w:tcPr>
          <w:p w14:paraId="10B1A94A" w14:textId="77777777" w:rsidR="0065712B" w:rsidRPr="009A7958" w:rsidRDefault="0065712B" w:rsidP="00AC33F8">
            <w:pPr>
              <w:ind w:left="22"/>
              <w:rPr>
                <w:rFonts w:ascii="Calibri" w:hAnsi="Calibri" w:cs="Calibri"/>
              </w:rPr>
            </w:pPr>
          </w:p>
        </w:tc>
        <w:tc>
          <w:tcPr>
            <w:tcW w:w="2721" w:type="dxa"/>
          </w:tcPr>
          <w:p w14:paraId="0AB823F9" w14:textId="77777777" w:rsidR="0065712B" w:rsidRPr="009A7958" w:rsidRDefault="0065712B" w:rsidP="00AC33F8">
            <w:pPr>
              <w:rPr>
                <w:rFonts w:ascii="Calibri" w:hAnsi="Calibri" w:cs="Calibri"/>
              </w:rPr>
            </w:pPr>
            <w:r w:rsidRPr="009A7958">
              <w:rPr>
                <w:rFonts w:ascii="Calibri" w:hAnsi="Calibri" w:cs="Calibri"/>
              </w:rPr>
              <w:t>No residence permits for staff after contract ends</w:t>
            </w:r>
          </w:p>
        </w:tc>
        <w:tc>
          <w:tcPr>
            <w:tcW w:w="2438" w:type="dxa"/>
          </w:tcPr>
          <w:p w14:paraId="5548C1C0" w14:textId="77777777" w:rsidR="0065712B" w:rsidRPr="009A7958" w:rsidRDefault="0065712B" w:rsidP="00AC33F8">
            <w:pPr>
              <w:rPr>
                <w:rFonts w:ascii="Calibri" w:hAnsi="Calibri" w:cs="Calibri"/>
              </w:rPr>
            </w:pPr>
            <w:r w:rsidRPr="009A7958">
              <w:rPr>
                <w:rFonts w:ascii="Calibri" w:hAnsi="Calibri" w:cs="Calibri"/>
              </w:rPr>
              <w:t>Not in the ambit of the Convention to address</w:t>
            </w:r>
          </w:p>
        </w:tc>
        <w:tc>
          <w:tcPr>
            <w:tcW w:w="2302" w:type="dxa"/>
          </w:tcPr>
          <w:p w14:paraId="633DC8BA" w14:textId="77777777" w:rsidR="0065712B" w:rsidRPr="009A7958" w:rsidRDefault="0065712B" w:rsidP="00AC33F8">
            <w:pPr>
              <w:rPr>
                <w:rFonts w:ascii="Calibri" w:hAnsi="Calibri" w:cs="Calibri"/>
              </w:rPr>
            </w:pPr>
            <w:r w:rsidRPr="009A7958">
              <w:rPr>
                <w:rFonts w:ascii="Calibri" w:hAnsi="Calibri" w:cs="Calibri"/>
              </w:rPr>
              <w:t>N/A</w:t>
            </w:r>
          </w:p>
        </w:tc>
      </w:tr>
      <w:tr w:rsidR="0065712B" w:rsidRPr="009A7958" w14:paraId="37A9BC04" w14:textId="77777777" w:rsidTr="009871A3">
        <w:tc>
          <w:tcPr>
            <w:tcW w:w="1555" w:type="dxa"/>
            <w:vMerge/>
          </w:tcPr>
          <w:p w14:paraId="45C11CB8" w14:textId="77777777" w:rsidR="0065712B" w:rsidRPr="009A7958" w:rsidRDefault="0065712B" w:rsidP="00AC33F8">
            <w:pPr>
              <w:ind w:left="22"/>
              <w:rPr>
                <w:rFonts w:ascii="Calibri" w:hAnsi="Calibri" w:cs="Calibri"/>
              </w:rPr>
            </w:pPr>
          </w:p>
        </w:tc>
        <w:tc>
          <w:tcPr>
            <w:tcW w:w="2721" w:type="dxa"/>
          </w:tcPr>
          <w:p w14:paraId="1C77A366" w14:textId="77777777" w:rsidR="0065712B" w:rsidRPr="009A7958" w:rsidRDefault="0065712B" w:rsidP="00AC33F8">
            <w:pPr>
              <w:rPr>
                <w:rFonts w:ascii="Calibri" w:hAnsi="Calibri" w:cs="Calibri"/>
              </w:rPr>
            </w:pPr>
            <w:r w:rsidRPr="009A7958">
              <w:rPr>
                <w:rFonts w:ascii="Calibri" w:hAnsi="Calibri" w:cs="Calibri"/>
              </w:rPr>
              <w:t>Travel visas and security for staff on missions</w:t>
            </w:r>
          </w:p>
        </w:tc>
        <w:tc>
          <w:tcPr>
            <w:tcW w:w="2438" w:type="dxa"/>
          </w:tcPr>
          <w:p w14:paraId="34C450C1" w14:textId="77777777" w:rsidR="0065712B" w:rsidRPr="009A7958" w:rsidRDefault="0065712B" w:rsidP="00AC33F8">
            <w:pPr>
              <w:rPr>
                <w:rFonts w:ascii="Calibri" w:hAnsi="Calibri" w:cs="Calibri"/>
                <w:spacing w:val="-2"/>
              </w:rPr>
            </w:pPr>
            <w:r w:rsidRPr="009A7958">
              <w:rPr>
                <w:rFonts w:ascii="Calibri" w:hAnsi="Calibri" w:cs="Calibri"/>
                <w:spacing w:val="-2"/>
              </w:rPr>
              <w:t>May partially be resolved but potential solutions pose certain problems</w:t>
            </w:r>
          </w:p>
        </w:tc>
        <w:tc>
          <w:tcPr>
            <w:tcW w:w="2302" w:type="dxa"/>
          </w:tcPr>
          <w:p w14:paraId="6A5AC7A4" w14:textId="77777777" w:rsidR="0065712B" w:rsidRPr="009A7958" w:rsidRDefault="0065712B" w:rsidP="00AC33F8">
            <w:pPr>
              <w:rPr>
                <w:rFonts w:ascii="Calibri" w:hAnsi="Calibri" w:cs="Calibri"/>
              </w:rPr>
            </w:pPr>
            <w:r w:rsidRPr="009A7958">
              <w:rPr>
                <w:rFonts w:ascii="Calibri" w:hAnsi="Calibri" w:cs="Calibri"/>
              </w:rPr>
              <w:t>N/A</w:t>
            </w:r>
          </w:p>
        </w:tc>
      </w:tr>
      <w:tr w:rsidR="0065712B" w:rsidRPr="009A7958" w14:paraId="1FD0CF93" w14:textId="77777777" w:rsidTr="009871A3">
        <w:tc>
          <w:tcPr>
            <w:tcW w:w="1555" w:type="dxa"/>
          </w:tcPr>
          <w:p w14:paraId="059EAC57" w14:textId="77777777" w:rsidR="0065712B" w:rsidRPr="009A7958" w:rsidRDefault="0065712B" w:rsidP="00AC33F8">
            <w:pPr>
              <w:ind w:left="22"/>
              <w:rPr>
                <w:rFonts w:ascii="Calibri" w:hAnsi="Calibri" w:cs="Calibri"/>
              </w:rPr>
            </w:pPr>
            <w:r w:rsidRPr="009A7958">
              <w:rPr>
                <w:rFonts w:ascii="Calibri" w:hAnsi="Calibri" w:cs="Calibri"/>
              </w:rPr>
              <w:t>High-level representation and visibility</w:t>
            </w:r>
          </w:p>
        </w:tc>
        <w:tc>
          <w:tcPr>
            <w:tcW w:w="2721" w:type="dxa"/>
          </w:tcPr>
          <w:p w14:paraId="334632A3" w14:textId="77777777" w:rsidR="0065712B" w:rsidRPr="009A7958" w:rsidRDefault="0065712B" w:rsidP="00AC33F8">
            <w:pPr>
              <w:rPr>
                <w:rFonts w:ascii="Calibri" w:hAnsi="Calibri" w:cs="Calibri"/>
              </w:rPr>
            </w:pPr>
            <w:r w:rsidRPr="009A7958">
              <w:rPr>
                <w:rFonts w:ascii="Calibri" w:hAnsi="Calibri" w:cs="Calibri"/>
              </w:rPr>
              <w:t>Limited visibility of the Convention at high-level UN processes and meetings</w:t>
            </w:r>
          </w:p>
        </w:tc>
        <w:tc>
          <w:tcPr>
            <w:tcW w:w="2438" w:type="dxa"/>
          </w:tcPr>
          <w:p w14:paraId="2711776D" w14:textId="77777777" w:rsidR="0065712B" w:rsidRPr="009A7958" w:rsidRDefault="0065712B" w:rsidP="00AC33F8">
            <w:pPr>
              <w:rPr>
                <w:rFonts w:ascii="Calibri" w:hAnsi="Calibri" w:cs="Calibri"/>
              </w:rPr>
            </w:pPr>
            <w:r w:rsidRPr="009A7958">
              <w:rPr>
                <w:rFonts w:ascii="Calibri" w:hAnsi="Calibri" w:cs="Calibri"/>
              </w:rPr>
              <w:t>Options to be evaluated</w:t>
            </w:r>
          </w:p>
        </w:tc>
        <w:tc>
          <w:tcPr>
            <w:tcW w:w="2302" w:type="dxa"/>
          </w:tcPr>
          <w:p w14:paraId="641F4CC3" w14:textId="77777777" w:rsidR="0065712B" w:rsidRPr="009A7958" w:rsidRDefault="0065712B" w:rsidP="00AC33F8">
            <w:pPr>
              <w:rPr>
                <w:rFonts w:ascii="Calibri" w:hAnsi="Calibri" w:cs="Calibri"/>
              </w:rPr>
            </w:pPr>
            <w:r w:rsidRPr="009A7958">
              <w:rPr>
                <w:rFonts w:ascii="Calibri" w:hAnsi="Calibri" w:cs="Calibri"/>
              </w:rPr>
              <w:t>New working group</w:t>
            </w:r>
          </w:p>
        </w:tc>
      </w:tr>
      <w:tr w:rsidR="0065712B" w:rsidRPr="009A7958" w14:paraId="21763005" w14:textId="77777777" w:rsidTr="009871A3">
        <w:tc>
          <w:tcPr>
            <w:tcW w:w="1555" w:type="dxa"/>
          </w:tcPr>
          <w:p w14:paraId="28B8021C" w14:textId="77777777" w:rsidR="0065712B" w:rsidRPr="009A7958" w:rsidRDefault="0065712B" w:rsidP="00AC33F8">
            <w:pPr>
              <w:ind w:left="22"/>
              <w:rPr>
                <w:rFonts w:ascii="Calibri" w:hAnsi="Calibri" w:cs="Calibri"/>
              </w:rPr>
            </w:pPr>
            <w:r w:rsidRPr="009A7958">
              <w:rPr>
                <w:rFonts w:ascii="Calibri" w:hAnsi="Calibri" w:cs="Calibri"/>
              </w:rPr>
              <w:t>Cross cutting</w:t>
            </w:r>
          </w:p>
        </w:tc>
        <w:tc>
          <w:tcPr>
            <w:tcW w:w="2721" w:type="dxa"/>
          </w:tcPr>
          <w:p w14:paraId="3635BF7E" w14:textId="77777777" w:rsidR="0065712B" w:rsidRPr="009A7958" w:rsidRDefault="0065712B" w:rsidP="00AC33F8">
            <w:pPr>
              <w:rPr>
                <w:rFonts w:ascii="Calibri" w:hAnsi="Calibri" w:cs="Calibri"/>
              </w:rPr>
            </w:pPr>
            <w:r w:rsidRPr="009A7958">
              <w:rPr>
                <w:rFonts w:ascii="Calibri" w:hAnsi="Calibri" w:cs="Calibri"/>
              </w:rPr>
              <w:t>Lack of a legal personality</w:t>
            </w:r>
          </w:p>
        </w:tc>
        <w:tc>
          <w:tcPr>
            <w:tcW w:w="2438" w:type="dxa"/>
          </w:tcPr>
          <w:p w14:paraId="47001E03" w14:textId="77777777" w:rsidR="0065712B" w:rsidRPr="009A7958" w:rsidRDefault="0065712B" w:rsidP="00AC33F8">
            <w:pPr>
              <w:rPr>
                <w:rFonts w:ascii="Calibri" w:hAnsi="Calibri" w:cs="Calibri"/>
              </w:rPr>
            </w:pPr>
            <w:r w:rsidRPr="009A7958">
              <w:rPr>
                <w:rFonts w:ascii="Calibri" w:hAnsi="Calibri" w:cs="Calibri"/>
              </w:rPr>
              <w:t>Options to be evaluated</w:t>
            </w:r>
          </w:p>
        </w:tc>
        <w:tc>
          <w:tcPr>
            <w:tcW w:w="2302" w:type="dxa"/>
          </w:tcPr>
          <w:p w14:paraId="6A8C3FBD" w14:textId="77777777" w:rsidR="0065712B" w:rsidRPr="009A7958" w:rsidRDefault="0065712B" w:rsidP="00AC33F8">
            <w:pPr>
              <w:rPr>
                <w:rFonts w:ascii="Calibri" w:hAnsi="Calibri" w:cs="Calibri"/>
              </w:rPr>
            </w:pPr>
            <w:r w:rsidRPr="009A7958">
              <w:rPr>
                <w:rFonts w:ascii="Calibri" w:hAnsi="Calibri" w:cs="Calibri"/>
              </w:rPr>
              <w:t>New working group</w:t>
            </w:r>
          </w:p>
        </w:tc>
      </w:tr>
    </w:tbl>
    <w:p w14:paraId="4BF18FED" w14:textId="77777777" w:rsidR="00C536C8" w:rsidRPr="009A7958" w:rsidRDefault="00C536C8">
      <w:pPr>
        <w:rPr>
          <w:rFonts w:ascii="Calibri" w:hAnsi="Calibri" w:cs="Calibri"/>
        </w:rPr>
      </w:pPr>
    </w:p>
    <w:sectPr w:rsidR="00C536C8" w:rsidRPr="009A7958" w:rsidSect="009871A3">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FE65A" w14:textId="77777777" w:rsidR="0065712B" w:rsidRDefault="0065712B" w:rsidP="0065712B">
      <w:pPr>
        <w:spacing w:after="0" w:line="240" w:lineRule="auto"/>
      </w:pPr>
      <w:r>
        <w:separator/>
      </w:r>
    </w:p>
  </w:endnote>
  <w:endnote w:type="continuationSeparator" w:id="0">
    <w:p w14:paraId="4BD2A60E" w14:textId="77777777" w:rsidR="0065712B" w:rsidRDefault="0065712B" w:rsidP="0065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DF21" w14:textId="53F4B8DF" w:rsidR="009871A3" w:rsidRPr="009871A3" w:rsidRDefault="009871A3" w:rsidP="009871A3">
    <w:pPr>
      <w:tabs>
        <w:tab w:val="center" w:pos="4513"/>
        <w:tab w:val="right" w:pos="12758"/>
      </w:tabs>
      <w:spacing w:after="0" w:line="240" w:lineRule="auto"/>
      <w:ind w:left="431" w:hanging="431"/>
      <w:rPr>
        <w:rFonts w:ascii="Calibri" w:hAnsi="Calibri"/>
        <w:sz w:val="20"/>
      </w:rPr>
    </w:pPr>
    <w:r w:rsidRPr="001104EF">
      <w:rPr>
        <w:rFonts w:ascii="Calibri" w:hAnsi="Calibri"/>
        <w:sz w:val="20"/>
      </w:rPr>
      <w:t>COP15 Doc.23</w:t>
    </w:r>
    <w:r>
      <w:rPr>
        <w:rFonts w:ascii="Calibri" w:hAnsi="Calibri"/>
        <w:sz w:val="20"/>
      </w:rPr>
      <w:t>.9</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2</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395A" w14:textId="77777777" w:rsidR="0065712B" w:rsidRDefault="0065712B" w:rsidP="0065712B">
      <w:pPr>
        <w:spacing w:after="0" w:line="240" w:lineRule="auto"/>
      </w:pPr>
      <w:r>
        <w:separator/>
      </w:r>
    </w:p>
  </w:footnote>
  <w:footnote w:type="continuationSeparator" w:id="0">
    <w:p w14:paraId="72BBF406" w14:textId="77777777" w:rsidR="0065712B" w:rsidRDefault="0065712B" w:rsidP="0065712B">
      <w:pPr>
        <w:spacing w:after="0" w:line="240" w:lineRule="auto"/>
      </w:pPr>
      <w:r>
        <w:continuationSeparator/>
      </w:r>
    </w:p>
  </w:footnote>
  <w:footnote w:id="1">
    <w:p w14:paraId="4E1CFB0B" w14:textId="77777777" w:rsidR="0065712B" w:rsidRPr="003D4AB5" w:rsidRDefault="0065712B" w:rsidP="0065712B">
      <w:pPr>
        <w:pStyle w:val="FootnoteText"/>
        <w:jc w:val="left"/>
        <w:rPr>
          <w:lang w:val="en-GB"/>
        </w:rPr>
      </w:pPr>
      <w:r>
        <w:rPr>
          <w:rStyle w:val="FootnoteReference"/>
        </w:rPr>
        <w:footnoteRef/>
      </w:r>
      <w:r w:rsidRPr="003D4AB5">
        <w:rPr>
          <w:lang w:val="en-GB"/>
        </w:rPr>
        <w:t xml:space="preserve"> </w:t>
      </w:r>
      <w:r>
        <w:rPr>
          <w:lang w:val="en-GB"/>
        </w:rPr>
        <w:t xml:space="preserve">See </w:t>
      </w:r>
      <w:hyperlink r:id="rId1" w:history="1">
        <w:r w:rsidRPr="00DD751C">
          <w:rPr>
            <w:rStyle w:val="Hyperlink"/>
            <w:lang w:val="en-GB"/>
          </w:rPr>
          <w:t>https://www.ramsar.org/document/letter-agreement-provision-services-between-iucn-ramsar-convention</w:t>
        </w:r>
      </w:hyperlink>
      <w:r>
        <w:rPr>
          <w:lang w:val="en-GB"/>
        </w:rPr>
        <w:t>.</w:t>
      </w:r>
    </w:p>
  </w:footnote>
  <w:footnote w:id="2">
    <w:p w14:paraId="48D7BCEC" w14:textId="77777777" w:rsidR="0065712B" w:rsidRPr="00932D15" w:rsidRDefault="0065712B" w:rsidP="0065712B">
      <w:pPr>
        <w:pStyle w:val="FootnoteText"/>
        <w:jc w:val="left"/>
        <w:rPr>
          <w:lang w:val="en-GB"/>
        </w:rPr>
      </w:pPr>
      <w:r>
        <w:rPr>
          <w:rStyle w:val="FootnoteReference"/>
        </w:rPr>
        <w:footnoteRef/>
      </w:r>
      <w:r w:rsidRPr="00932D15">
        <w:rPr>
          <w:lang w:val="en-GB"/>
        </w:rPr>
        <w:t xml:space="preserve"> </w:t>
      </w:r>
      <w:r>
        <w:rPr>
          <w:lang w:val="en-GB"/>
        </w:rPr>
        <w:t xml:space="preserve">See </w:t>
      </w:r>
      <w:hyperlink r:id="rId2" w:history="1">
        <w:r w:rsidRPr="00DD751C">
          <w:rPr>
            <w:rStyle w:val="Hyperlink"/>
            <w:lang w:val="en-GB"/>
          </w:rPr>
          <w:t>https://www.ramsar.org/document/delegation-authority-secretary-general-convention-wetlands-international-importance</w:t>
        </w:r>
      </w:hyperlink>
      <w:r>
        <w:rPr>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2B"/>
    <w:rsid w:val="00057991"/>
    <w:rsid w:val="000B4868"/>
    <w:rsid w:val="000F2494"/>
    <w:rsid w:val="001E3EFA"/>
    <w:rsid w:val="001E5418"/>
    <w:rsid w:val="001F7BDF"/>
    <w:rsid w:val="002C083B"/>
    <w:rsid w:val="00301E36"/>
    <w:rsid w:val="0065712B"/>
    <w:rsid w:val="008D7C3A"/>
    <w:rsid w:val="00910E7F"/>
    <w:rsid w:val="00985DA1"/>
    <w:rsid w:val="009871A3"/>
    <w:rsid w:val="009A7958"/>
    <w:rsid w:val="00C505D3"/>
    <w:rsid w:val="00C536C8"/>
    <w:rsid w:val="00E57289"/>
    <w:rsid w:val="00EB682B"/>
    <w:rsid w:val="00ED0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CB6D"/>
  <w15:chartTrackingRefBased/>
  <w15:docId w15:val="{74ED4A32-C423-4171-8EF1-242D1891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2B"/>
    <w:rPr>
      <w:kern w:val="0"/>
      <w:lang w:val="en-US"/>
      <w14:ligatures w14:val="none"/>
    </w:rPr>
  </w:style>
  <w:style w:type="paragraph" w:styleId="Heading1">
    <w:name w:val="heading 1"/>
    <w:basedOn w:val="Normal"/>
    <w:next w:val="Normal"/>
    <w:link w:val="Heading1Char"/>
    <w:uiPriority w:val="9"/>
    <w:qFormat/>
    <w:rsid w:val="0065712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65712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65712B"/>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65712B"/>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65712B"/>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65712B"/>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65712B"/>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65712B"/>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65712B"/>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12B"/>
    <w:rPr>
      <w:rFonts w:eastAsiaTheme="majorEastAsia" w:cstheme="majorBidi"/>
      <w:color w:val="272727" w:themeColor="text1" w:themeTint="D8"/>
    </w:rPr>
  </w:style>
  <w:style w:type="paragraph" w:styleId="Title">
    <w:name w:val="Title"/>
    <w:basedOn w:val="Normal"/>
    <w:next w:val="Normal"/>
    <w:link w:val="TitleChar"/>
    <w:uiPriority w:val="10"/>
    <w:qFormat/>
    <w:rsid w:val="0065712B"/>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57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12B"/>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657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12B"/>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65712B"/>
    <w:rPr>
      <w:i/>
      <w:iCs/>
      <w:color w:val="404040" w:themeColor="text1" w:themeTint="BF"/>
    </w:rPr>
  </w:style>
  <w:style w:type="paragraph" w:styleId="ListParagraph">
    <w:name w:val="List Paragraph"/>
    <w:aliases w:val="Rec para,Dot pt,Párrafo de lista1,List Paragraph12,MAIN CONTENT,List Paragraph2,List Paragraph1,Recommendation,List Paragraph11,F5 List Paragraph,List Paragraph Char Char Char,Indicator Text"/>
    <w:basedOn w:val="Normal"/>
    <w:link w:val="ListParagraphChar"/>
    <w:uiPriority w:val="34"/>
    <w:qFormat/>
    <w:rsid w:val="0065712B"/>
    <w:pPr>
      <w:ind w:left="720"/>
      <w:contextualSpacing/>
    </w:pPr>
    <w:rPr>
      <w:kern w:val="2"/>
      <w:lang w:val="en-GB"/>
      <w14:ligatures w14:val="standardContextual"/>
    </w:rPr>
  </w:style>
  <w:style w:type="character" w:styleId="IntenseEmphasis">
    <w:name w:val="Intense Emphasis"/>
    <w:basedOn w:val="DefaultParagraphFont"/>
    <w:uiPriority w:val="21"/>
    <w:qFormat/>
    <w:rsid w:val="0065712B"/>
    <w:rPr>
      <w:i/>
      <w:iCs/>
      <w:color w:val="0F4761" w:themeColor="accent1" w:themeShade="BF"/>
    </w:rPr>
  </w:style>
  <w:style w:type="paragraph" w:styleId="IntenseQuote">
    <w:name w:val="Intense Quote"/>
    <w:basedOn w:val="Normal"/>
    <w:next w:val="Normal"/>
    <w:link w:val="IntenseQuoteChar"/>
    <w:uiPriority w:val="30"/>
    <w:qFormat/>
    <w:rsid w:val="00657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65712B"/>
    <w:rPr>
      <w:i/>
      <w:iCs/>
      <w:color w:val="0F4761" w:themeColor="accent1" w:themeShade="BF"/>
    </w:rPr>
  </w:style>
  <w:style w:type="character" w:styleId="IntenseReference">
    <w:name w:val="Intense Reference"/>
    <w:basedOn w:val="DefaultParagraphFont"/>
    <w:uiPriority w:val="32"/>
    <w:qFormat/>
    <w:rsid w:val="0065712B"/>
    <w:rPr>
      <w:b/>
      <w:bCs/>
      <w:smallCaps/>
      <w:color w:val="0F4761" w:themeColor="accent1" w:themeShade="BF"/>
      <w:spacing w:val="5"/>
    </w:rPr>
  </w:style>
  <w:style w:type="table" w:styleId="TableGrid">
    <w:name w:val="Table Grid"/>
    <w:basedOn w:val="TableNormal"/>
    <w:uiPriority w:val="39"/>
    <w:rsid w:val="0065712B"/>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5712B"/>
    <w:rPr>
      <w:sz w:val="16"/>
      <w:szCs w:val="16"/>
    </w:rPr>
  </w:style>
  <w:style w:type="character" w:styleId="Hyperlink">
    <w:name w:val="Hyperlink"/>
    <w:basedOn w:val="DefaultParagraphFont"/>
    <w:uiPriority w:val="99"/>
    <w:unhideWhenUsed/>
    <w:rsid w:val="0065712B"/>
    <w:rPr>
      <w:color w:val="0000FF"/>
      <w:u w:val="single"/>
    </w:rPr>
  </w:style>
  <w:style w:type="paragraph" w:styleId="FootnoteText">
    <w:name w:val="footnote text"/>
    <w:basedOn w:val="Normal"/>
    <w:link w:val="FootnoteTextChar"/>
    <w:uiPriority w:val="99"/>
    <w:unhideWhenUsed/>
    <w:qFormat/>
    <w:rsid w:val="0065712B"/>
    <w:pPr>
      <w:spacing w:after="0" w:line="240" w:lineRule="auto"/>
      <w:jc w:val="both"/>
    </w:pPr>
    <w:rPr>
      <w:rFonts w:ascii="Calibri" w:hAnsi="Calibri" w:cs="Calibri"/>
      <w:sz w:val="20"/>
      <w:szCs w:val="20"/>
      <w:lang w:val="fr-CH"/>
    </w:rPr>
  </w:style>
  <w:style w:type="character" w:customStyle="1" w:styleId="FootnoteTextChar">
    <w:name w:val="Footnote Text Char"/>
    <w:basedOn w:val="DefaultParagraphFont"/>
    <w:link w:val="FootnoteText"/>
    <w:uiPriority w:val="99"/>
    <w:rsid w:val="0065712B"/>
    <w:rPr>
      <w:rFonts w:ascii="Calibri" w:hAnsi="Calibri" w:cs="Calibri"/>
      <w:kern w:val="0"/>
      <w:sz w:val="20"/>
      <w:szCs w:val="20"/>
      <w:lang w:val="fr-CH"/>
      <w14:ligatures w14:val="none"/>
    </w:rPr>
  </w:style>
  <w:style w:type="character" w:styleId="FootnoteReference">
    <w:name w:val="footnote reference"/>
    <w:basedOn w:val="DefaultParagraphFont"/>
    <w:uiPriority w:val="99"/>
    <w:unhideWhenUsed/>
    <w:qFormat/>
    <w:rsid w:val="0065712B"/>
    <w:rPr>
      <w:vertAlign w:val="superscript"/>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34"/>
    <w:qFormat/>
    <w:locked/>
    <w:rsid w:val="0065712B"/>
  </w:style>
  <w:style w:type="table" w:customStyle="1" w:styleId="TableGrid1">
    <w:name w:val="Table Grid1"/>
    <w:basedOn w:val="TableNormal"/>
    <w:next w:val="TableGrid"/>
    <w:uiPriority w:val="59"/>
    <w:rsid w:val="002C083B"/>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7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1A3"/>
    <w:rPr>
      <w:kern w:val="0"/>
      <w:lang w:val="en-US"/>
      <w14:ligatures w14:val="none"/>
    </w:rPr>
  </w:style>
  <w:style w:type="paragraph" w:styleId="Footer">
    <w:name w:val="footer"/>
    <w:basedOn w:val="Normal"/>
    <w:link w:val="FooterChar"/>
    <w:uiPriority w:val="99"/>
    <w:unhideWhenUsed/>
    <w:rsid w:val="00987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1A3"/>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delegation-authority-secretary-general-convention-wetlands-international-importance" TargetMode="External"/><Relationship Id="rId1" Type="http://schemas.openxmlformats.org/officeDocument/2006/relationships/hyperlink" Target="https://www.ramsar.org/document/letter-agreement-provision-services-between-iucn-ramsar-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2025-03-27T16:19:00Z</dcterms:created>
  <dcterms:modified xsi:type="dcterms:W3CDTF">2025-04-21T14:54:00Z</dcterms:modified>
</cp:coreProperties>
</file>