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54435" w14:textId="77777777" w:rsidR="00000E9D" w:rsidRPr="00000E9D" w:rsidRDefault="00000E9D" w:rsidP="00000E9D">
      <w:pPr>
        <w:spacing w:line="240" w:lineRule="auto"/>
        <w:jc w:val="center"/>
        <w:outlineLvl w:val="0"/>
        <w:rPr>
          <w:rFonts w:ascii="Calibri" w:eastAsia="Times New Roman" w:hAnsi="Calibri" w:cs="Calibri Light"/>
          <w:b/>
          <w:bCs/>
          <w:kern w:val="2"/>
          <w:sz w:val="24"/>
          <w:szCs w:val="24"/>
          <w14:ligatures w14:val="standardContextual"/>
        </w:rPr>
      </w:pPr>
      <w:r w:rsidRPr="00000E9D">
        <w:rPr>
          <w:rFonts w:ascii="Calibri" w:eastAsia="Times New Roman" w:hAnsi="Calibri" w:cs="Calibri Light"/>
          <w:b/>
          <w:bCs/>
          <w:noProof/>
          <w:kern w:val="2"/>
          <w:sz w:val="24"/>
          <w:szCs w:val="24"/>
          <w:lang w:val="en-CA" w:eastAsia="en-CA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69F6DBA" wp14:editId="7D412BF8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" b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678BA" w14:textId="77777777" w:rsidR="00000E9D" w:rsidRPr="00000E9D" w:rsidRDefault="00000E9D" w:rsidP="00000E9D">
      <w:pPr>
        <w:spacing w:line="240" w:lineRule="auto"/>
        <w:jc w:val="center"/>
        <w:outlineLvl w:val="0"/>
        <w:rPr>
          <w:rFonts w:ascii="Calibri" w:eastAsia="Times New Roman" w:hAnsi="Calibri" w:cs="Calibri"/>
          <w:b/>
          <w:bCs/>
          <w:kern w:val="2"/>
          <w:sz w:val="24"/>
          <w:szCs w:val="24"/>
          <w14:ligatures w14:val="standardContextual"/>
        </w:rPr>
      </w:pPr>
      <w:r w:rsidRPr="00000E9D">
        <w:rPr>
          <w:rFonts w:ascii="Calibri" w:eastAsia="Times New Roman" w:hAnsi="Calibri" w:cs="Calibri"/>
          <w:b/>
          <w:bCs/>
          <w:kern w:val="2"/>
          <w:sz w:val="24"/>
          <w:szCs w:val="24"/>
          <w14:ligatures w14:val="standardContextual"/>
        </w:rPr>
        <w:t>15</w:t>
      </w:r>
      <w:r w:rsidRPr="00000E9D">
        <w:rPr>
          <w:rFonts w:ascii="Calibri" w:eastAsia="Times New Roman" w:hAnsi="Calibri" w:cs="Calibri"/>
          <w:b/>
          <w:bCs/>
          <w:kern w:val="2"/>
          <w:sz w:val="24"/>
          <w:szCs w:val="24"/>
          <w:vertAlign w:val="superscript"/>
          <w14:ligatures w14:val="standardContextual"/>
        </w:rPr>
        <w:t>e</w:t>
      </w:r>
      <w:r w:rsidRPr="00000E9D">
        <w:rPr>
          <w:rFonts w:ascii="Calibri" w:eastAsia="Times New Roman" w:hAnsi="Calibri" w:cs="Calibri"/>
          <w:b/>
          <w:bCs/>
          <w:kern w:val="2"/>
          <w:sz w:val="24"/>
          <w:szCs w:val="24"/>
          <w14:ligatures w14:val="standardContextual"/>
        </w:rPr>
        <w:t xml:space="preserve"> session de la Conférence des Parties contractantes à la Convention sur les zones humides</w:t>
      </w:r>
    </w:p>
    <w:p w14:paraId="3DE23862" w14:textId="77777777" w:rsidR="00000E9D" w:rsidRPr="00000E9D" w:rsidRDefault="00000E9D" w:rsidP="00000E9D">
      <w:pPr>
        <w:spacing w:line="240" w:lineRule="auto"/>
        <w:jc w:val="center"/>
        <w:outlineLvl w:val="0"/>
        <w:rPr>
          <w:rFonts w:ascii="Calibri" w:eastAsia="Times New Roman" w:hAnsi="Calibri" w:cs="Calibri"/>
          <w:b/>
          <w:bCs/>
          <w:kern w:val="2"/>
          <w:sz w:val="24"/>
          <w:szCs w:val="24"/>
          <w14:ligatures w14:val="standardContextual"/>
        </w:rPr>
      </w:pPr>
    </w:p>
    <w:p w14:paraId="2A99E603" w14:textId="77777777" w:rsidR="00000E9D" w:rsidRPr="00000E9D" w:rsidRDefault="00000E9D" w:rsidP="00000E9D">
      <w:pPr>
        <w:spacing w:line="240" w:lineRule="auto"/>
        <w:jc w:val="center"/>
        <w:outlineLvl w:val="0"/>
        <w:rPr>
          <w:rFonts w:ascii="Calibri" w:eastAsia="Times New Roman" w:hAnsi="Calibri" w:cs="Calibri"/>
          <w:b/>
          <w:bCs/>
          <w:kern w:val="2"/>
          <w:sz w:val="24"/>
          <w:szCs w:val="24"/>
          <w14:ligatures w14:val="standardContextual"/>
        </w:rPr>
      </w:pPr>
      <w:r w:rsidRPr="00000E9D">
        <w:rPr>
          <w:rFonts w:ascii="Calibri" w:eastAsia="Times New Roman" w:hAnsi="Calibri" w:cs="Calibri"/>
          <w:b/>
          <w:bCs/>
          <w:kern w:val="2"/>
          <w:sz w:val="24"/>
          <w:szCs w:val="24"/>
          <w14:ligatures w14:val="standardContextual"/>
        </w:rPr>
        <w:t xml:space="preserve">« Protéger les zones humides pour notre avenir commun » </w:t>
      </w:r>
    </w:p>
    <w:p w14:paraId="6D19D5D5" w14:textId="77777777" w:rsidR="00000E9D" w:rsidRPr="00000E9D" w:rsidRDefault="00000E9D" w:rsidP="00000E9D">
      <w:pPr>
        <w:spacing w:line="240" w:lineRule="auto"/>
        <w:jc w:val="center"/>
        <w:outlineLvl w:val="0"/>
        <w:rPr>
          <w:rFonts w:ascii="Calibri" w:eastAsia="Times New Roman" w:hAnsi="Calibri" w:cs="Calibri"/>
          <w:b/>
          <w:bCs/>
          <w:kern w:val="2"/>
          <w:sz w:val="24"/>
          <w:szCs w:val="24"/>
          <w14:ligatures w14:val="standardContextual"/>
        </w:rPr>
      </w:pPr>
      <w:r w:rsidRPr="00000E9D">
        <w:rPr>
          <w:rFonts w:ascii="Calibri" w:eastAsia="Times New Roman" w:hAnsi="Calibri" w:cs="Calibri"/>
          <w:b/>
          <w:bCs/>
          <w:kern w:val="2"/>
          <w:sz w:val="24"/>
          <w:szCs w:val="24"/>
          <w14:ligatures w14:val="standardContextual"/>
        </w:rPr>
        <w:t>Victoria Falls, Zimbabwe, 23-31 juillet 2025</w:t>
      </w:r>
    </w:p>
    <w:p w14:paraId="132D36EE" w14:textId="77777777" w:rsidR="00000E9D" w:rsidRPr="00000E9D" w:rsidRDefault="00000E9D" w:rsidP="00000E9D">
      <w:pPr>
        <w:spacing w:line="240" w:lineRule="auto"/>
        <w:jc w:val="center"/>
        <w:outlineLvl w:val="0"/>
        <w:rPr>
          <w:rFonts w:ascii="Calibri" w:eastAsia="Times New Roman" w:hAnsi="Calibri" w:cs="Calibri Light"/>
          <w:b/>
          <w:bCs/>
          <w:kern w:val="2"/>
          <w:sz w:val="24"/>
          <w:szCs w:val="24"/>
          <w14:ligatures w14:val="standardContextual"/>
        </w:rPr>
      </w:pPr>
    </w:p>
    <w:p w14:paraId="48A10753" w14:textId="77777777" w:rsidR="00000E9D" w:rsidRPr="00000E9D" w:rsidRDefault="00000E9D" w:rsidP="00000E9D">
      <w:pPr>
        <w:spacing w:line="240" w:lineRule="auto"/>
        <w:jc w:val="center"/>
        <w:outlineLvl w:val="0"/>
        <w:rPr>
          <w:rFonts w:ascii="Calibri" w:eastAsia="Times New Roman" w:hAnsi="Calibri" w:cs="Calibri Light"/>
          <w:b/>
          <w:bCs/>
          <w:kern w:val="2"/>
          <w:sz w:val="24"/>
          <w:szCs w:val="24"/>
          <w14:ligatures w14:val="standardContextual"/>
        </w:rPr>
      </w:pPr>
    </w:p>
    <w:p w14:paraId="64A2E433" w14:textId="77777777" w:rsidR="00000E9D" w:rsidRPr="00000E9D" w:rsidRDefault="00000E9D" w:rsidP="00000E9D">
      <w:pPr>
        <w:spacing w:line="240" w:lineRule="auto"/>
        <w:jc w:val="center"/>
        <w:outlineLvl w:val="0"/>
        <w:rPr>
          <w:rFonts w:ascii="Calibri" w:eastAsia="Times New Roman" w:hAnsi="Calibri" w:cs="Calibri"/>
          <w:b/>
          <w:bCs/>
          <w:kern w:val="2"/>
          <w:lang w:val="en-US"/>
          <w14:ligatures w14:val="standardContextual"/>
        </w:rPr>
      </w:pPr>
    </w:p>
    <w:p w14:paraId="58196BB1" w14:textId="77777777" w:rsidR="00000E9D" w:rsidRPr="00000E9D" w:rsidRDefault="00000E9D" w:rsidP="00000E9D">
      <w:pPr>
        <w:spacing w:line="240" w:lineRule="auto"/>
        <w:jc w:val="right"/>
        <w:rPr>
          <w:rFonts w:ascii="Calibri" w:eastAsia="Calibri" w:hAnsi="Calibri" w:cs="Calibri"/>
          <w:kern w:val="2"/>
          <w14:ligatures w14:val="standardContextual"/>
        </w:rPr>
      </w:pPr>
    </w:p>
    <w:p w14:paraId="6245461B" w14:textId="4EB412D6" w:rsidR="00000E9D" w:rsidRPr="00000E9D" w:rsidRDefault="00000E9D" w:rsidP="00000E9D">
      <w:pPr>
        <w:widowControl w:val="0"/>
        <w:spacing w:line="240" w:lineRule="auto"/>
        <w:jc w:val="right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  <w:r w:rsidRPr="00000E9D">
        <w:rPr>
          <w:rFonts w:ascii="Calibri" w:eastAsia="Calibri" w:hAnsi="Calibri" w:cs="Mangal"/>
          <w:b/>
          <w:kern w:val="2"/>
          <w:sz w:val="28"/>
          <w:szCs w:val="24"/>
          <w14:ligatures w14:val="standardContextual"/>
        </w:rPr>
        <w:t>COP15 Doc.23.</w:t>
      </w:r>
      <w:r>
        <w:rPr>
          <w:rFonts w:ascii="Calibri" w:eastAsia="Calibri" w:hAnsi="Calibri" w:cs="Mangal"/>
          <w:b/>
          <w:kern w:val="2"/>
          <w:sz w:val="28"/>
          <w:szCs w:val="24"/>
          <w14:ligatures w14:val="standardContextual"/>
        </w:rPr>
        <w:t>24</w:t>
      </w:r>
    </w:p>
    <w:p w14:paraId="44989685" w14:textId="7AE2AECC" w:rsidR="0079486B" w:rsidRPr="00000E9D" w:rsidRDefault="0079486B" w:rsidP="0012471A">
      <w:pPr>
        <w:spacing w:line="240" w:lineRule="auto"/>
        <w:rPr>
          <w:rFonts w:cs="Times New Roman"/>
          <w:sz w:val="28"/>
          <w:szCs w:val="28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D748AD" w14:paraId="54AF1C15" w14:textId="77777777" w:rsidTr="0012471A">
        <w:tc>
          <w:tcPr>
            <w:tcW w:w="9016" w:type="dxa"/>
          </w:tcPr>
          <w:p w14:paraId="2E3C825C" w14:textId="77777777" w:rsidR="00D748AD" w:rsidRDefault="00D748AD" w:rsidP="00D748AD">
            <w:pPr>
              <w:rPr>
                <w:rFonts w:cs="Times New Roman"/>
                <w:b/>
              </w:rPr>
            </w:pPr>
            <w:r w:rsidRPr="00E26B62">
              <w:rPr>
                <w:rFonts w:cs="Times New Roman"/>
                <w:b/>
              </w:rPr>
              <w:t>Note du Secrétariat</w:t>
            </w:r>
            <w:r>
              <w:rPr>
                <w:rFonts w:cs="Times New Roman"/>
                <w:b/>
              </w:rPr>
              <w:t> :</w:t>
            </w:r>
          </w:p>
          <w:p w14:paraId="60EAE101" w14:textId="223677AE" w:rsidR="00D748AD" w:rsidRDefault="00D748AD" w:rsidP="00D748AD">
            <w:pPr>
              <w:rPr>
                <w:rFonts w:cs="Times New Roman"/>
                <w:b/>
              </w:rPr>
            </w:pPr>
          </w:p>
          <w:p w14:paraId="11F08F1E" w14:textId="63D0C29A" w:rsidR="00D748AD" w:rsidRPr="00000E9D" w:rsidRDefault="00000E9D" w:rsidP="0012471A">
            <w:pPr>
              <w:rPr>
                <w:rFonts w:eastAsia="Times New Roman" w:cstheme="majorHAnsi"/>
                <w:bCs/>
              </w:rPr>
            </w:pPr>
            <w:r w:rsidRPr="00524C80">
              <w:rPr>
                <w:rFonts w:eastAsia="Times New Roman" w:cstheme="majorHAnsi"/>
                <w:bCs/>
              </w:rPr>
              <w:t>Ce projet de r</w:t>
            </w:r>
            <w:r>
              <w:rPr>
                <w:rFonts w:eastAsia="Times New Roman" w:cstheme="majorHAnsi"/>
                <w:bCs/>
              </w:rPr>
              <w:t>é</w:t>
            </w:r>
            <w:r w:rsidRPr="00524C80">
              <w:rPr>
                <w:rFonts w:eastAsia="Times New Roman" w:cstheme="majorHAnsi"/>
                <w:bCs/>
              </w:rPr>
              <w:t>solution amendé a été soumis par l’Algérie, à la 14</w:t>
            </w:r>
            <w:r w:rsidRPr="00524C80">
              <w:rPr>
                <w:rFonts w:eastAsia="Times New Roman" w:cstheme="majorHAnsi"/>
                <w:bCs/>
                <w:vertAlign w:val="superscript"/>
              </w:rPr>
              <w:t>e</w:t>
            </w:r>
            <w:r w:rsidRPr="00524C80">
              <w:rPr>
                <w:rFonts w:eastAsia="Times New Roman" w:cstheme="majorHAnsi"/>
                <w:bCs/>
              </w:rPr>
              <w:t xml:space="preserve"> Session de la Conférence des Parties contractantes, dans le document COP14 Doc.18.16 Rev.1. Dans le paragraphe 22 de la Résolution XIV.13, </w:t>
            </w:r>
            <w:r w:rsidRPr="00524C80">
              <w:rPr>
                <w:rFonts w:eastAsia="Times New Roman" w:cstheme="majorHAnsi"/>
                <w:bCs/>
                <w:i/>
                <w:iCs/>
              </w:rPr>
              <w:t xml:space="preserve">État des sites inscrits sur la Liste des zones humides d’importance internationale, </w:t>
            </w:r>
            <w:r w:rsidRPr="00524C80">
              <w:rPr>
                <w:rFonts w:eastAsia="Times New Roman" w:cstheme="majorHAnsi"/>
                <w:bCs/>
              </w:rPr>
              <w:t>les Parties contractantes ont décidé</w:t>
            </w:r>
            <w:r>
              <w:rPr>
                <w:rFonts w:eastAsia="Times New Roman" w:cstheme="majorHAnsi"/>
                <w:bCs/>
              </w:rPr>
              <w:t xml:space="preserve"> d’ajourner l’examen </w:t>
            </w:r>
            <w:r w:rsidRPr="00524C80">
              <w:rPr>
                <w:rFonts w:ascii="Calibri" w:hAnsi="Calibri"/>
                <w:shd w:val="clear" w:color="auto" w:fill="FFFFFF"/>
              </w:rPr>
              <w:t>du projet de résolution amendé</w:t>
            </w:r>
            <w:r w:rsidRPr="00524C80">
              <w:rPr>
                <w:rFonts w:eastAsia="Times New Roman" w:cstheme="majorHAnsi"/>
                <w:bCs/>
              </w:rPr>
              <w:t xml:space="preserve"> </w:t>
            </w:r>
            <w:r>
              <w:rPr>
                <w:rFonts w:eastAsia="Times New Roman" w:cstheme="majorHAnsi"/>
                <w:bCs/>
              </w:rPr>
              <w:t xml:space="preserve">jusqu’à la </w:t>
            </w:r>
            <w:r w:rsidRPr="00524C80">
              <w:rPr>
                <w:rFonts w:eastAsia="Times New Roman" w:cstheme="majorHAnsi"/>
                <w:bCs/>
              </w:rPr>
              <w:t xml:space="preserve">COP15, </w:t>
            </w:r>
            <w:r w:rsidRPr="00524C80">
              <w:rPr>
                <w:rFonts w:ascii="Calibri" w:hAnsi="Calibri"/>
                <w:shd w:val="clear" w:color="auto" w:fill="FFFFFF"/>
              </w:rPr>
              <w:t>pour être informées des conclusions du rapport technique et des discussions pertinentes lors des réunions suivantes du Comité permanent</w:t>
            </w:r>
            <w:r w:rsidRPr="00524C80">
              <w:rPr>
                <w:rFonts w:eastAsia="Times New Roman" w:cstheme="majorHAnsi"/>
                <w:bCs/>
              </w:rPr>
              <w:t>.</w:t>
            </w:r>
          </w:p>
        </w:tc>
      </w:tr>
    </w:tbl>
    <w:p w14:paraId="3D81294F" w14:textId="77777777" w:rsidR="00D748AD" w:rsidRPr="00AD1097" w:rsidRDefault="00D748AD" w:rsidP="00E26B62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31B3EDCA" w14:textId="77777777" w:rsidR="00E26B62" w:rsidRPr="00AD1097" w:rsidRDefault="00E26B62" w:rsidP="00E26B62">
      <w:pPr>
        <w:spacing w:line="240" w:lineRule="auto"/>
        <w:jc w:val="center"/>
        <w:rPr>
          <w:rFonts w:cs="Times New Roman"/>
          <w:sz w:val="28"/>
          <w:szCs w:val="28"/>
        </w:rPr>
      </w:pPr>
    </w:p>
    <w:p w14:paraId="38DC8A16" w14:textId="19DD525F" w:rsidR="00FA2D75" w:rsidRDefault="009077B6" w:rsidP="00000E9D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26B62">
        <w:rPr>
          <w:rFonts w:cs="Times New Roman"/>
          <w:b/>
          <w:sz w:val="28"/>
          <w:szCs w:val="28"/>
        </w:rPr>
        <w:t xml:space="preserve">Projet de </w:t>
      </w:r>
      <w:r w:rsidR="00756994">
        <w:rPr>
          <w:rFonts w:cs="Times New Roman"/>
          <w:b/>
          <w:sz w:val="28"/>
          <w:szCs w:val="28"/>
        </w:rPr>
        <w:t>r</w:t>
      </w:r>
      <w:r w:rsidRPr="00E26B62">
        <w:rPr>
          <w:rFonts w:cs="Times New Roman"/>
          <w:b/>
          <w:sz w:val="28"/>
          <w:szCs w:val="28"/>
        </w:rPr>
        <w:t xml:space="preserve">ésolution </w:t>
      </w:r>
      <w:r w:rsidR="00CA2CC0" w:rsidRPr="00CA2CC0">
        <w:rPr>
          <w:rFonts w:cs="Times New Roman"/>
          <w:b/>
          <w:sz w:val="28"/>
          <w:szCs w:val="28"/>
        </w:rPr>
        <w:t xml:space="preserve">amendé </w:t>
      </w:r>
      <w:r w:rsidRPr="00E26B62">
        <w:rPr>
          <w:rFonts w:cs="Times New Roman"/>
          <w:b/>
          <w:sz w:val="28"/>
          <w:szCs w:val="28"/>
        </w:rPr>
        <w:t xml:space="preserve">sur </w:t>
      </w:r>
      <w:r w:rsidR="00EA67ED">
        <w:rPr>
          <w:rFonts w:cs="Times New Roman"/>
          <w:b/>
          <w:sz w:val="28"/>
          <w:szCs w:val="28"/>
        </w:rPr>
        <w:t>la Liste Ramsar</w:t>
      </w:r>
      <w:r w:rsidRPr="00E26B62">
        <w:rPr>
          <w:rFonts w:cs="Times New Roman"/>
          <w:b/>
          <w:sz w:val="28"/>
          <w:szCs w:val="28"/>
        </w:rPr>
        <w:t xml:space="preserve"> </w:t>
      </w:r>
    </w:p>
    <w:p w14:paraId="5374C458" w14:textId="77777777" w:rsidR="00000E9D" w:rsidRDefault="00000E9D" w:rsidP="00000E9D">
      <w:pPr>
        <w:spacing w:line="240" w:lineRule="auto"/>
      </w:pPr>
    </w:p>
    <w:p w14:paraId="403F82D2" w14:textId="77777777" w:rsidR="00FA2D75" w:rsidRDefault="00FA2D75" w:rsidP="00544529">
      <w:pPr>
        <w:autoSpaceDE w:val="0"/>
        <w:autoSpaceDN w:val="0"/>
        <w:adjustRightInd w:val="0"/>
        <w:spacing w:line="240" w:lineRule="auto"/>
        <w:jc w:val="both"/>
      </w:pPr>
    </w:p>
    <w:p w14:paraId="0FB9653D" w14:textId="51A933CA" w:rsidR="00000E9D" w:rsidRDefault="00000E9D" w:rsidP="00544529">
      <w:pPr>
        <w:autoSpaceDE w:val="0"/>
        <w:autoSpaceDN w:val="0"/>
        <w:adjustRightInd w:val="0"/>
        <w:spacing w:line="240" w:lineRule="auto"/>
        <w:ind w:left="425" w:hanging="425"/>
      </w:pPr>
      <w:r>
        <w:t>[</w:t>
      </w:r>
      <w:r w:rsidR="00B16B31">
        <w:t>1.</w:t>
      </w:r>
      <w:r w:rsidR="00B16B31">
        <w:tab/>
      </w:r>
      <w:r w:rsidR="00743168" w:rsidRPr="00194305">
        <w:t>RAPPELANT l’Article 2.1 qui stipule</w:t>
      </w:r>
      <w:r w:rsidR="005705EC">
        <w:t xml:space="preserve"> </w:t>
      </w:r>
      <w:r w:rsidR="00743168" w:rsidRPr="00194305">
        <w:t>: «</w:t>
      </w:r>
      <w:r w:rsidR="005705EC">
        <w:t xml:space="preserve"> </w:t>
      </w:r>
      <w:r w:rsidR="00743168" w:rsidRPr="00B16B31">
        <w:rPr>
          <w:i/>
          <w:iCs/>
        </w:rPr>
        <w:t>chaque Partie contractante devra désigner les zones humides appropriées de son territoire à inclure dans la Liste des zones humides d'importance internationale</w:t>
      </w:r>
      <w:r w:rsidR="005705EC">
        <w:rPr>
          <w:i/>
          <w:iCs/>
        </w:rPr>
        <w:t xml:space="preserve"> </w:t>
      </w:r>
      <w:r w:rsidR="00743168" w:rsidRPr="00194305">
        <w:t xml:space="preserve">» et « </w:t>
      </w:r>
      <w:r w:rsidR="00743168" w:rsidRPr="00B16B31">
        <w:rPr>
          <w:i/>
          <w:iCs/>
        </w:rPr>
        <w:t>les limites de chaque zone humide devront être décrites de façon précise et reportées sur une carte</w:t>
      </w:r>
      <w:r w:rsidR="005705EC">
        <w:rPr>
          <w:i/>
          <w:iCs/>
        </w:rPr>
        <w:t xml:space="preserve"> </w:t>
      </w:r>
      <w:r w:rsidR="00743168" w:rsidRPr="00194305">
        <w:t>»</w:t>
      </w:r>
      <w:r w:rsidR="005705EC">
        <w:t xml:space="preserve"> </w:t>
      </w:r>
      <w:r w:rsidR="00743168" w:rsidRPr="00194305">
        <w:t>;</w:t>
      </w:r>
    </w:p>
    <w:p w14:paraId="566D84AA" w14:textId="77777777" w:rsidR="00AB64C9" w:rsidRPr="00194305" w:rsidRDefault="00AB64C9" w:rsidP="00544529">
      <w:pPr>
        <w:pStyle w:val="ListParagraph"/>
        <w:autoSpaceDE w:val="0"/>
        <w:autoSpaceDN w:val="0"/>
        <w:adjustRightInd w:val="0"/>
        <w:spacing w:line="240" w:lineRule="auto"/>
        <w:ind w:left="425" w:hanging="425"/>
      </w:pPr>
    </w:p>
    <w:p w14:paraId="42874DBE" w14:textId="7F48438B" w:rsidR="00AB64C9" w:rsidRDefault="00B16B31" w:rsidP="00544529">
      <w:pPr>
        <w:autoSpaceDE w:val="0"/>
        <w:autoSpaceDN w:val="0"/>
        <w:adjustRightInd w:val="0"/>
        <w:spacing w:line="240" w:lineRule="auto"/>
        <w:ind w:left="425" w:hanging="425"/>
      </w:pPr>
      <w:r>
        <w:t>2.</w:t>
      </w:r>
      <w:r>
        <w:tab/>
      </w:r>
      <w:r w:rsidR="00194305" w:rsidRPr="00194305">
        <w:t>RAPPELANT AUSSI que les Parties contractantes, dans la Résolution 5.3, ont confirmé qu’une «</w:t>
      </w:r>
      <w:r w:rsidR="005705EC">
        <w:t> </w:t>
      </w:r>
      <w:r w:rsidR="00194305" w:rsidRPr="00194305">
        <w:t>Fiche descriptive Ramsar</w:t>
      </w:r>
      <w:r w:rsidR="005705EC">
        <w:t xml:space="preserve"> </w:t>
      </w:r>
      <w:r w:rsidR="00194305" w:rsidRPr="00194305">
        <w:t>» ainsi que la carte du site devaient être fournies au moment de l’inscription d’une zone humide (</w:t>
      </w:r>
      <w:r w:rsidR="00C454DE">
        <w:t>S</w:t>
      </w:r>
      <w:r w:rsidR="00194305" w:rsidRPr="00194305">
        <w:t>ite Ramsar) sur la Liste des zones humides d’importance internationale et qu’elles l’ont réaffirmé dans les Résolutions VI.13, VI.16 et VII.12</w:t>
      </w:r>
      <w:r w:rsidR="00C454DE">
        <w:t xml:space="preserve"> </w:t>
      </w:r>
      <w:r w:rsidR="00194305" w:rsidRPr="00194305">
        <w:t>;</w:t>
      </w:r>
    </w:p>
    <w:p w14:paraId="5BBE3FA6" w14:textId="77777777" w:rsidR="00AB64C9" w:rsidRDefault="00AB64C9" w:rsidP="00544529">
      <w:pPr>
        <w:pStyle w:val="ListParagraph"/>
        <w:autoSpaceDE w:val="0"/>
        <w:autoSpaceDN w:val="0"/>
        <w:adjustRightInd w:val="0"/>
        <w:spacing w:line="240" w:lineRule="auto"/>
        <w:ind w:left="425" w:hanging="425"/>
      </w:pPr>
    </w:p>
    <w:p w14:paraId="2C9CA40A" w14:textId="4A3236D0" w:rsidR="00AB64C9" w:rsidRDefault="00B16B31" w:rsidP="00544529">
      <w:pPr>
        <w:autoSpaceDE w:val="0"/>
        <w:autoSpaceDN w:val="0"/>
        <w:adjustRightInd w:val="0"/>
        <w:spacing w:line="240" w:lineRule="auto"/>
        <w:ind w:left="425" w:hanging="425"/>
      </w:pPr>
      <w:r>
        <w:t>3.</w:t>
      </w:r>
      <w:r>
        <w:tab/>
      </w:r>
      <w:r w:rsidR="00AD3AAD">
        <w:t xml:space="preserve">NOTANT </w:t>
      </w:r>
      <w:r w:rsidR="00C454DE">
        <w:t xml:space="preserve">que </w:t>
      </w:r>
      <w:r w:rsidR="00C454DE" w:rsidRPr="00194305">
        <w:t>la</w:t>
      </w:r>
      <w:r w:rsidR="00EA6FCB" w:rsidRPr="00194305">
        <w:t xml:space="preserve"> 4</w:t>
      </w:r>
      <w:r w:rsidR="00EA6FCB" w:rsidRPr="00C454DE">
        <w:rPr>
          <w:vertAlign w:val="superscript"/>
        </w:rPr>
        <w:t>e</w:t>
      </w:r>
      <w:r w:rsidR="00EA6FCB" w:rsidRPr="00194305">
        <w:t xml:space="preserve"> Session</w:t>
      </w:r>
      <w:r w:rsidR="00C454DE">
        <w:t xml:space="preserve"> de la Conférence des Parties contractantes</w:t>
      </w:r>
      <w:r w:rsidR="00EA6FCB" w:rsidRPr="00194305">
        <w:t xml:space="preserve"> a adopté, dans la Recommandation 4.2, les «</w:t>
      </w:r>
      <w:r w:rsidR="00C454DE">
        <w:t xml:space="preserve"> </w:t>
      </w:r>
      <w:r w:rsidR="00EA6FCB" w:rsidRPr="00B16B31">
        <w:rPr>
          <w:i/>
          <w:iCs/>
        </w:rPr>
        <w:t>Critères d’identification des zones humides d’importance internationale</w:t>
      </w:r>
      <w:r w:rsidR="00C454DE">
        <w:rPr>
          <w:i/>
          <w:iCs/>
        </w:rPr>
        <w:t xml:space="preserve"> </w:t>
      </w:r>
      <w:r w:rsidR="00EA6FCB" w:rsidRPr="00194305">
        <w:t>»</w:t>
      </w:r>
      <w:r w:rsidR="00C454DE">
        <w:t xml:space="preserve"> </w:t>
      </w:r>
      <w:r w:rsidR="00EA6FCB" w:rsidRPr="00194305">
        <w:t>;</w:t>
      </w:r>
    </w:p>
    <w:p w14:paraId="759E0F0D" w14:textId="77777777" w:rsidR="0012471A" w:rsidRDefault="0012471A" w:rsidP="0012471A">
      <w:pPr>
        <w:pStyle w:val="ListParagraph"/>
        <w:spacing w:line="240" w:lineRule="auto"/>
        <w:ind w:left="0"/>
        <w:jc w:val="center"/>
        <w:rPr>
          <w:bCs/>
        </w:rPr>
      </w:pPr>
    </w:p>
    <w:p w14:paraId="4F5E0776" w14:textId="781FC38E" w:rsidR="00E97645" w:rsidRDefault="00E97645" w:rsidP="0012471A">
      <w:pPr>
        <w:pStyle w:val="ListParagraph"/>
        <w:spacing w:line="240" w:lineRule="auto"/>
        <w:ind w:left="0"/>
        <w:jc w:val="center"/>
        <w:rPr>
          <w:bCs/>
        </w:rPr>
      </w:pPr>
      <w:r w:rsidRPr="00B16B31">
        <w:rPr>
          <w:bCs/>
        </w:rPr>
        <w:t>LA CONFÉRENCE DES PARTIES CONTRACTANTES</w:t>
      </w:r>
    </w:p>
    <w:p w14:paraId="65512B9B" w14:textId="77777777" w:rsidR="00544529" w:rsidRPr="00B16B31" w:rsidRDefault="00544529" w:rsidP="0012471A">
      <w:pPr>
        <w:pStyle w:val="ListParagraph"/>
        <w:spacing w:line="240" w:lineRule="auto"/>
        <w:ind w:left="0"/>
        <w:jc w:val="center"/>
        <w:rPr>
          <w:bCs/>
        </w:rPr>
      </w:pPr>
    </w:p>
    <w:p w14:paraId="10D7C856" w14:textId="6C079FA5" w:rsidR="005A72F3" w:rsidRDefault="005A72F3" w:rsidP="0012471A">
      <w:pPr>
        <w:spacing w:line="240" w:lineRule="auto"/>
        <w:ind w:left="425" w:hanging="425"/>
      </w:pPr>
      <w:r>
        <w:t>4.</w:t>
      </w:r>
      <w:r w:rsidR="006677E0">
        <w:tab/>
      </w:r>
      <w:r w:rsidRPr="005A72F3">
        <w:t>DEMANDE au Secrétariat d'inscrire des sites sur la Liste de Ramsar conformément à l'article 2.1 de la Convention, en tenant dûment compte des coordonnées géographiques fournies par le Réseau géospatial des Nations Unies ;</w:t>
      </w:r>
    </w:p>
    <w:p w14:paraId="4A412B62" w14:textId="77777777" w:rsidR="005A72F3" w:rsidRPr="00194305" w:rsidRDefault="005A72F3" w:rsidP="0012471A">
      <w:pPr>
        <w:spacing w:line="240" w:lineRule="auto"/>
        <w:ind w:left="425" w:hanging="425"/>
      </w:pPr>
    </w:p>
    <w:p w14:paraId="3285E2F5" w14:textId="142A3B08" w:rsidR="00AB64C9" w:rsidRPr="00F3013D" w:rsidRDefault="005A72F3" w:rsidP="005A72F3">
      <w:pPr>
        <w:pStyle w:val="ListParagraph"/>
        <w:autoSpaceDE w:val="0"/>
        <w:autoSpaceDN w:val="0"/>
        <w:adjustRightInd w:val="0"/>
        <w:spacing w:line="240" w:lineRule="auto"/>
        <w:ind w:left="425" w:hanging="425"/>
      </w:pPr>
      <w:r w:rsidRPr="005A72F3">
        <w:t xml:space="preserve">5. </w:t>
      </w:r>
      <w:r w:rsidR="00630B77">
        <w:tab/>
      </w:r>
      <w:r w:rsidRPr="005A72F3">
        <w:t>DEMANDE EN OUTRE au Secrétariat de ne conserver sur la Liste de Ramsar que les sites qui ont été inclus conformément aux dispositions du paragraphe précédent</w:t>
      </w:r>
      <w:r>
        <w:t>.</w:t>
      </w:r>
      <w:r w:rsidRPr="005A72F3">
        <w:t>]</w:t>
      </w:r>
    </w:p>
    <w:sectPr w:rsidR="00AB64C9" w:rsidRPr="00F3013D" w:rsidSect="009719A9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20D06" w14:textId="77777777" w:rsidR="00B42654" w:rsidRDefault="00B42654" w:rsidP="00F241CA">
      <w:pPr>
        <w:spacing w:line="240" w:lineRule="auto"/>
      </w:pPr>
      <w:r>
        <w:separator/>
      </w:r>
    </w:p>
  </w:endnote>
  <w:endnote w:type="continuationSeparator" w:id="0">
    <w:p w14:paraId="34BE6C74" w14:textId="77777777" w:rsidR="00B42654" w:rsidRDefault="00B42654" w:rsidP="00F2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ED3D" w14:textId="524FE660" w:rsidR="00B16B31" w:rsidRPr="00000E9D" w:rsidRDefault="00336298" w:rsidP="00E26B62">
    <w:pPr>
      <w:pStyle w:val="Footer"/>
      <w:rPr>
        <w:rFonts w:cs="Calibri"/>
        <w:sz w:val="20"/>
        <w:szCs w:val="20"/>
      </w:rPr>
    </w:pPr>
    <w:r w:rsidRPr="00000E9D">
      <w:rPr>
        <w:rFonts w:cs="Calibri"/>
        <w:sz w:val="20"/>
        <w:szCs w:val="20"/>
      </w:rPr>
      <w:t>COP14 Doc.18.16</w:t>
    </w:r>
    <w:r w:rsidR="00E26B62" w:rsidRPr="00000E9D">
      <w:rPr>
        <w:rFonts w:cs="Calibri"/>
        <w:sz w:val="20"/>
        <w:szCs w:val="20"/>
      </w:rPr>
      <w:tab/>
    </w:r>
    <w:r w:rsidR="00E26B62" w:rsidRPr="00000E9D">
      <w:rPr>
        <w:rFonts w:cs="Calibr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26B62" w:rsidRPr="00F344DE">
          <w:rPr>
            <w:sz w:val="20"/>
            <w:szCs w:val="20"/>
          </w:rPr>
          <w:fldChar w:fldCharType="begin"/>
        </w:r>
        <w:r w:rsidR="00E26B62" w:rsidRPr="00F344DE">
          <w:rPr>
            <w:sz w:val="20"/>
            <w:szCs w:val="20"/>
          </w:rPr>
          <w:instrText xml:space="preserve"> PAGE   \* MERGEFORMAT </w:instrText>
        </w:r>
        <w:r w:rsidR="00E26B62" w:rsidRPr="00F344DE">
          <w:rPr>
            <w:sz w:val="20"/>
            <w:szCs w:val="20"/>
          </w:rPr>
          <w:fldChar w:fldCharType="separate"/>
        </w:r>
        <w:r w:rsidR="00EA67ED">
          <w:rPr>
            <w:noProof/>
            <w:sz w:val="20"/>
            <w:szCs w:val="20"/>
          </w:rPr>
          <w:t>2</w:t>
        </w:r>
        <w:r w:rsidR="00E26B62"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E626F" w14:textId="77777777" w:rsidR="00B42654" w:rsidRDefault="00B42654" w:rsidP="00F241CA">
      <w:pPr>
        <w:spacing w:line="240" w:lineRule="auto"/>
      </w:pPr>
      <w:r>
        <w:separator/>
      </w:r>
    </w:p>
  </w:footnote>
  <w:footnote w:type="continuationSeparator" w:id="0">
    <w:p w14:paraId="75754DAE" w14:textId="77777777" w:rsidR="00B42654" w:rsidRDefault="00B42654" w:rsidP="00F24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35489">
    <w:abstractNumId w:val="1"/>
  </w:num>
  <w:num w:numId="2" w16cid:durableId="14007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0C"/>
    <w:rsid w:val="00000E9D"/>
    <w:rsid w:val="00047703"/>
    <w:rsid w:val="00075EFE"/>
    <w:rsid w:val="00094916"/>
    <w:rsid w:val="000B38EC"/>
    <w:rsid w:val="000D3012"/>
    <w:rsid w:val="0012471A"/>
    <w:rsid w:val="00145552"/>
    <w:rsid w:val="00194305"/>
    <w:rsid w:val="002B365D"/>
    <w:rsid w:val="002D7C08"/>
    <w:rsid w:val="002F182A"/>
    <w:rsid w:val="00332AA5"/>
    <w:rsid w:val="00336298"/>
    <w:rsid w:val="003A3786"/>
    <w:rsid w:val="00426B95"/>
    <w:rsid w:val="004916E0"/>
    <w:rsid w:val="004E681D"/>
    <w:rsid w:val="00543CC0"/>
    <w:rsid w:val="00544529"/>
    <w:rsid w:val="00565FC9"/>
    <w:rsid w:val="005705EC"/>
    <w:rsid w:val="005A72F3"/>
    <w:rsid w:val="00630B77"/>
    <w:rsid w:val="006677E0"/>
    <w:rsid w:val="006A6288"/>
    <w:rsid w:val="00743168"/>
    <w:rsid w:val="007545C7"/>
    <w:rsid w:val="00756994"/>
    <w:rsid w:val="0079486B"/>
    <w:rsid w:val="007F24C3"/>
    <w:rsid w:val="00857D84"/>
    <w:rsid w:val="008A00EB"/>
    <w:rsid w:val="00903343"/>
    <w:rsid w:val="009077B6"/>
    <w:rsid w:val="009316B7"/>
    <w:rsid w:val="009719A9"/>
    <w:rsid w:val="00974EA9"/>
    <w:rsid w:val="009851E1"/>
    <w:rsid w:val="00A04C31"/>
    <w:rsid w:val="00A17D87"/>
    <w:rsid w:val="00A34D34"/>
    <w:rsid w:val="00AB64C9"/>
    <w:rsid w:val="00AD1097"/>
    <w:rsid w:val="00AD3AAD"/>
    <w:rsid w:val="00B13A2D"/>
    <w:rsid w:val="00B16B31"/>
    <w:rsid w:val="00B2670C"/>
    <w:rsid w:val="00B3509D"/>
    <w:rsid w:val="00B42654"/>
    <w:rsid w:val="00B805B3"/>
    <w:rsid w:val="00C454DE"/>
    <w:rsid w:val="00C505D3"/>
    <w:rsid w:val="00C61DF5"/>
    <w:rsid w:val="00C67339"/>
    <w:rsid w:val="00C7682F"/>
    <w:rsid w:val="00CA2CC0"/>
    <w:rsid w:val="00CF1A77"/>
    <w:rsid w:val="00D20162"/>
    <w:rsid w:val="00D748AD"/>
    <w:rsid w:val="00D80F2E"/>
    <w:rsid w:val="00D8226F"/>
    <w:rsid w:val="00E26B62"/>
    <w:rsid w:val="00E97645"/>
    <w:rsid w:val="00EA67ED"/>
    <w:rsid w:val="00EA6FCB"/>
    <w:rsid w:val="00EB682B"/>
    <w:rsid w:val="00ED4E8D"/>
    <w:rsid w:val="00EF0F24"/>
    <w:rsid w:val="00EF4EA7"/>
    <w:rsid w:val="00F139B2"/>
    <w:rsid w:val="00F241CA"/>
    <w:rsid w:val="00F3013D"/>
    <w:rsid w:val="00F37F8A"/>
    <w:rsid w:val="00FA0B45"/>
    <w:rsid w:val="00FA2D75"/>
    <w:rsid w:val="00FB5864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0C393"/>
  <w15:docId w15:val="{B882A8F2-DE1D-4A42-B64F-2574CB09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CA"/>
  </w:style>
  <w:style w:type="table" w:styleId="TableGrid">
    <w:name w:val="Table Grid"/>
    <w:basedOn w:val="TableNormal"/>
    <w:uiPriority w:val="59"/>
    <w:rsid w:val="00E26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JENNINGS Edmund</cp:lastModifiedBy>
  <cp:revision>4</cp:revision>
  <cp:lastPrinted>2021-06-17T07:47:00Z</cp:lastPrinted>
  <dcterms:created xsi:type="dcterms:W3CDTF">2025-03-31T11:37:00Z</dcterms:created>
  <dcterms:modified xsi:type="dcterms:W3CDTF">2025-04-21T16:10:00Z</dcterms:modified>
</cp:coreProperties>
</file>