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CBFB5" w14:textId="77777777" w:rsidR="00F0671C" w:rsidRPr="000A6D2A" w:rsidRDefault="00F0671C" w:rsidP="00F0671C">
      <w:pPr>
        <w:jc w:val="center"/>
        <w:outlineLvl w:val="0"/>
        <w:rPr>
          <w:rFonts w:eastAsia="Times New Roman" w:cs="Cambria"/>
          <w:b/>
          <w:bCs/>
          <w:sz w:val="24"/>
          <w:szCs w:val="24"/>
        </w:rPr>
      </w:pPr>
      <w:r w:rsidRPr="000A6D2A">
        <w:rPr>
          <w:rFonts w:eastAsia="Times New Roman" w:cs="Cambria"/>
          <w:b/>
          <w:bCs/>
          <w:noProof/>
          <w:sz w:val="24"/>
          <w:szCs w:val="24"/>
        </w:rPr>
        <w:drawing>
          <wp:anchor distT="0" distB="0" distL="114300" distR="114300" simplePos="0" relativeHeight="251661312" behindDoc="0" locked="0" layoutInCell="1" allowOverlap="1" wp14:anchorId="1BB45792" wp14:editId="709044A4">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035EC4" w14:textId="77777777" w:rsidR="00F0671C" w:rsidRPr="000A6D2A" w:rsidRDefault="00F0671C" w:rsidP="00F0671C">
      <w:pPr>
        <w:jc w:val="center"/>
        <w:outlineLvl w:val="0"/>
        <w:rPr>
          <w:rFonts w:eastAsia="Times New Roman" w:cs="Cambria"/>
          <w:b/>
          <w:bCs/>
          <w:sz w:val="24"/>
          <w:szCs w:val="24"/>
        </w:rPr>
      </w:pPr>
      <w:r w:rsidRPr="000A6D2A">
        <w:rPr>
          <w:rFonts w:eastAsia="Times New Roman" w:cs="Cambria"/>
          <w:b/>
          <w:bCs/>
          <w:sz w:val="24"/>
          <w:szCs w:val="24"/>
        </w:rPr>
        <w:t>15</w:t>
      </w:r>
      <w:r w:rsidRPr="000A6D2A">
        <w:rPr>
          <w:rFonts w:eastAsia="Times New Roman" w:cs="Cambria"/>
          <w:b/>
          <w:bCs/>
          <w:sz w:val="24"/>
          <w:szCs w:val="24"/>
          <w:vertAlign w:val="superscript"/>
        </w:rPr>
        <w:t>e</w:t>
      </w:r>
      <w:r w:rsidRPr="000A6D2A">
        <w:rPr>
          <w:rFonts w:eastAsia="Times New Roman" w:cs="Cambria"/>
          <w:b/>
          <w:bCs/>
          <w:sz w:val="24"/>
          <w:szCs w:val="24"/>
        </w:rPr>
        <w:t xml:space="preserve"> session de la Conférence des Parties contractantes à la Convention sur les zones humides</w:t>
      </w:r>
    </w:p>
    <w:p w14:paraId="44576124" w14:textId="77777777" w:rsidR="00F0671C" w:rsidRPr="000A6D2A" w:rsidRDefault="00F0671C" w:rsidP="00F0671C">
      <w:pPr>
        <w:jc w:val="center"/>
        <w:outlineLvl w:val="0"/>
        <w:rPr>
          <w:rFonts w:eastAsia="Times New Roman" w:cs="Cambria"/>
          <w:b/>
          <w:bCs/>
          <w:sz w:val="24"/>
          <w:szCs w:val="24"/>
        </w:rPr>
      </w:pPr>
    </w:p>
    <w:p w14:paraId="6736770B" w14:textId="77777777" w:rsidR="00F0671C" w:rsidRPr="000A6D2A" w:rsidRDefault="00F0671C" w:rsidP="00F0671C">
      <w:pPr>
        <w:jc w:val="center"/>
        <w:outlineLvl w:val="0"/>
        <w:rPr>
          <w:rFonts w:eastAsia="Times New Roman" w:cs="Cambria"/>
          <w:b/>
          <w:bCs/>
          <w:sz w:val="24"/>
          <w:szCs w:val="24"/>
        </w:rPr>
      </w:pPr>
      <w:r w:rsidRPr="000A6D2A">
        <w:rPr>
          <w:rFonts w:eastAsia="Times New Roman" w:cs="Cambria"/>
          <w:b/>
          <w:bCs/>
          <w:sz w:val="24"/>
          <w:szCs w:val="24"/>
        </w:rPr>
        <w:t xml:space="preserve">« Protéger les zones humides pour notre avenir commun » </w:t>
      </w:r>
    </w:p>
    <w:p w14:paraId="2F81E073" w14:textId="77777777" w:rsidR="00F0671C" w:rsidRPr="000A6D2A" w:rsidRDefault="00F0671C" w:rsidP="00F0671C">
      <w:pPr>
        <w:jc w:val="center"/>
        <w:outlineLvl w:val="0"/>
        <w:rPr>
          <w:rFonts w:eastAsia="Times New Roman" w:cs="Cambria"/>
          <w:b/>
          <w:bCs/>
          <w:sz w:val="24"/>
          <w:szCs w:val="24"/>
        </w:rPr>
      </w:pPr>
      <w:r w:rsidRPr="000A6D2A">
        <w:rPr>
          <w:rFonts w:eastAsia="Times New Roman" w:cs="Cambria"/>
          <w:b/>
          <w:bCs/>
          <w:sz w:val="24"/>
          <w:szCs w:val="24"/>
        </w:rPr>
        <w:t>Victoria Falls, Zimbabwe, 23-31 juillet 2025</w:t>
      </w:r>
    </w:p>
    <w:p w14:paraId="248C747F" w14:textId="77777777" w:rsidR="00F0671C" w:rsidRPr="000A6D2A" w:rsidRDefault="00F0671C" w:rsidP="00F0671C">
      <w:pPr>
        <w:jc w:val="center"/>
        <w:outlineLvl w:val="0"/>
        <w:rPr>
          <w:rFonts w:eastAsia="Times New Roman" w:cs="Cambria"/>
          <w:b/>
          <w:bCs/>
          <w:sz w:val="24"/>
          <w:szCs w:val="24"/>
        </w:rPr>
      </w:pPr>
    </w:p>
    <w:p w14:paraId="3B5DE203" w14:textId="77777777" w:rsidR="00F0671C" w:rsidRPr="000A6D2A" w:rsidRDefault="00F0671C" w:rsidP="00F0671C">
      <w:pPr>
        <w:jc w:val="center"/>
        <w:outlineLvl w:val="0"/>
        <w:rPr>
          <w:rFonts w:eastAsia="Times New Roman" w:cs="Cambria"/>
          <w:b/>
          <w:bCs/>
          <w:sz w:val="24"/>
          <w:szCs w:val="24"/>
        </w:rPr>
      </w:pPr>
    </w:p>
    <w:p w14:paraId="2268B515" w14:textId="77777777" w:rsidR="009F5A12" w:rsidRPr="000A6D2A" w:rsidRDefault="009F5A12" w:rsidP="00BD5AD4">
      <w:pPr>
        <w:ind w:left="0" w:firstLine="0"/>
        <w:jc w:val="center"/>
        <w:rPr>
          <w:b/>
          <w:sz w:val="24"/>
          <w:szCs w:val="24"/>
        </w:rPr>
      </w:pPr>
    </w:p>
    <w:p w14:paraId="169C10F7" w14:textId="77777777" w:rsidR="00F0671C" w:rsidRPr="00F0671C" w:rsidRDefault="00F0671C" w:rsidP="009F5A12">
      <w:pPr>
        <w:ind w:left="0" w:firstLine="0"/>
        <w:jc w:val="right"/>
        <w:rPr>
          <w:b/>
        </w:rPr>
      </w:pPr>
    </w:p>
    <w:p w14:paraId="28E81813" w14:textId="28BC9683" w:rsidR="009F5A12" w:rsidRDefault="009F5A12" w:rsidP="009F5A12">
      <w:pPr>
        <w:ind w:left="0" w:firstLine="0"/>
        <w:jc w:val="right"/>
        <w:rPr>
          <w:b/>
          <w:sz w:val="28"/>
        </w:rPr>
      </w:pPr>
      <w:r>
        <w:rPr>
          <w:b/>
          <w:sz w:val="28"/>
        </w:rPr>
        <w:t>COP15 Doc.23.17</w:t>
      </w:r>
    </w:p>
    <w:p w14:paraId="0298E75F" w14:textId="65E6EC8A" w:rsidR="00187F76" w:rsidRPr="009F5A12" w:rsidRDefault="00F0671C" w:rsidP="00F0671C">
      <w:pPr>
        <w:jc w:val="right"/>
        <w:rPr>
          <w:rFonts w:eastAsia="Times New Roman"/>
          <w:iCs/>
        </w:rPr>
      </w:pPr>
      <w:r>
        <w:rPr>
          <w:b/>
          <w:noProof/>
          <w:lang w:val="en-CA" w:eastAsia="en-CA"/>
        </w:rPr>
        <mc:AlternateContent>
          <mc:Choice Requires="wps">
            <w:drawing>
              <wp:anchor distT="45720" distB="45720" distL="114300" distR="114300" simplePos="0" relativeHeight="251659264" behindDoc="0" locked="0" layoutInCell="1" allowOverlap="1" wp14:anchorId="0052CDA3" wp14:editId="0617750D">
                <wp:simplePos x="0" y="0"/>
                <wp:positionH relativeFrom="margin">
                  <wp:posOffset>0</wp:posOffset>
                </wp:positionH>
                <wp:positionV relativeFrom="paragraph">
                  <wp:posOffset>232410</wp:posOffset>
                </wp:positionV>
                <wp:extent cx="5930265" cy="1311275"/>
                <wp:effectExtent l="0" t="0" r="1333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1311275"/>
                        </a:xfrm>
                        <a:prstGeom prst="rect">
                          <a:avLst/>
                        </a:prstGeom>
                        <a:solidFill>
                          <a:srgbClr val="FFFFFF"/>
                        </a:solidFill>
                        <a:ln w="9525">
                          <a:solidFill>
                            <a:srgbClr val="000000"/>
                          </a:solidFill>
                          <a:miter lim="800000"/>
                          <a:headEnd/>
                          <a:tailEnd/>
                        </a:ln>
                      </wps:spPr>
                      <wps:txbx>
                        <w:txbxContent>
                          <w:p w14:paraId="1EE5083A" w14:textId="723F50F0" w:rsidR="00187F76" w:rsidRDefault="009F5A12" w:rsidP="009F5A12">
                            <w:pPr>
                              <w:ind w:left="0" w:firstLine="0"/>
                              <w:rPr>
                                <w:rFonts w:cs="Calibri"/>
                                <w:b/>
                              </w:rPr>
                            </w:pPr>
                            <w:r w:rsidRPr="009F5A12">
                              <w:rPr>
                                <w:b/>
                                <w:iCs/>
                              </w:rPr>
                              <w:t>Note du Secrétariat</w:t>
                            </w:r>
                            <w:r w:rsidRPr="009F5A12">
                              <w:rPr>
                                <w:b/>
                                <w:i/>
                              </w:rPr>
                              <w:t> </w:t>
                            </w:r>
                            <w:r w:rsidR="00187F76">
                              <w:rPr>
                                <w:b/>
                              </w:rPr>
                              <w:t>:</w:t>
                            </w:r>
                          </w:p>
                          <w:p w14:paraId="6F228208" w14:textId="77777777" w:rsidR="00B2525B" w:rsidRPr="004C7A12" w:rsidRDefault="00B2525B" w:rsidP="009F5A12">
                            <w:pPr>
                              <w:ind w:left="0" w:firstLine="0"/>
                              <w:rPr>
                                <w:rFonts w:cs="Calibri"/>
                                <w:b/>
                              </w:rPr>
                            </w:pPr>
                          </w:p>
                          <w:p w14:paraId="566CE73D" w14:textId="6B79B91F" w:rsidR="009F5A12" w:rsidRPr="00DC54D0" w:rsidRDefault="009F5A12" w:rsidP="009F5A12">
                            <w:pPr>
                              <w:widowControl w:val="0"/>
                              <w:ind w:left="0" w:firstLine="0"/>
                              <w:rPr>
                                <w:bCs/>
                              </w:rPr>
                            </w:pPr>
                            <w:r w:rsidRPr="00C16ECB">
                              <w:t>À sa 64</w:t>
                            </w:r>
                            <w:r w:rsidRPr="00C16ECB">
                              <w:rPr>
                                <w:vertAlign w:val="superscript"/>
                              </w:rPr>
                              <w:t>e</w:t>
                            </w:r>
                            <w:r w:rsidRPr="00C16ECB">
                              <w:t xml:space="preserve"> Réunion, dans sa Décision SC64-3</w:t>
                            </w:r>
                            <w:r>
                              <w:t>2</w:t>
                            </w:r>
                            <w:r w:rsidRPr="00C16ECB">
                              <w:t xml:space="preserve">, le Comité permanent a donné instruction au Secrétariat </w:t>
                            </w:r>
                            <w:r w:rsidRPr="00C16ECB">
                              <w:rPr>
                                <w:bCs/>
                              </w:rPr>
                              <w:t>de soumettre à la COP15, pour examen, le projet de résolution figurant dans le document</w:t>
                            </w:r>
                            <w:r>
                              <w:rPr>
                                <w:bCs/>
                              </w:rPr>
                              <w:t xml:space="preserve"> SC64 Doc.29.4 Rev.2, </w:t>
                            </w:r>
                            <w:r w:rsidRPr="009F5A12">
                              <w:rPr>
                                <w:bCs/>
                                <w:i/>
                                <w:iCs/>
                              </w:rPr>
                              <w:t>Promotion de l’intégration de</w:t>
                            </w:r>
                            <w:r w:rsidR="00F266CB">
                              <w:rPr>
                                <w:bCs/>
                                <w:i/>
                                <w:iCs/>
                              </w:rPr>
                              <w:t xml:space="preserve"> </w:t>
                            </w:r>
                            <w:r w:rsidR="00227A8E">
                              <w:rPr>
                                <w:bCs/>
                                <w:i/>
                                <w:iCs/>
                              </w:rPr>
                              <w:t xml:space="preserve">nouvelles </w:t>
                            </w:r>
                            <w:r w:rsidRPr="009F5A12">
                              <w:rPr>
                                <w:bCs/>
                                <w:i/>
                                <w:iCs/>
                              </w:rPr>
                              <w:t>technologies et de connaissances traditionnelles dans la conservation, la restauration, la gestion et l’utilisation rationnelle des zones humides</w:t>
                            </w:r>
                            <w:r>
                              <w:rPr>
                                <w:bCs/>
                              </w:rPr>
                              <w:t xml:space="preserve">, </w:t>
                            </w:r>
                            <w:r w:rsidRPr="009D6975">
                              <w:rPr>
                                <w:bCs/>
                              </w:rPr>
                              <w:t>modifié pour tenir compte des observations du Comité.</w:t>
                            </w:r>
                          </w:p>
                          <w:p w14:paraId="2AEFFBCF" w14:textId="77777777" w:rsidR="009F5A12" w:rsidRPr="00356BDA" w:rsidRDefault="009F5A12" w:rsidP="009F5A12">
                            <w:pPr>
                              <w:widowControl w:val="0"/>
                              <w:ind w:left="0" w:firstLine="0"/>
                              <w:rPr>
                                <w:rFonts w:cs="Calibri"/>
                              </w:rPr>
                            </w:pPr>
                            <w:r w:rsidRPr="00DC54D0">
                              <w:rPr>
                                <w:bCs/>
                              </w:rPr>
                              <w:t>durables au service de l’utilisation rationnelle des zones humides</w:t>
                            </w:r>
                            <w:r>
                              <w:rPr>
                                <w:bCs/>
                              </w:rPr>
                              <w:t xml:space="preserve"> </w:t>
                            </w:r>
                            <w:r>
                              <w:t>.</w:t>
                            </w:r>
                          </w:p>
                          <w:p w14:paraId="0040B380" w14:textId="77777777" w:rsidR="00187F76" w:rsidRPr="004C7A12" w:rsidRDefault="00187F76" w:rsidP="009F5A12">
                            <w:pPr>
                              <w:ind w:left="0" w:firstLine="0"/>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2CDA3" id="_x0000_t202" coordsize="21600,21600" o:spt="202" path="m,l,21600r21600,l21600,xe">
                <v:stroke joinstyle="miter"/>
                <v:path gradientshapeok="t" o:connecttype="rect"/>
              </v:shapetype>
              <v:shape id="Text Box 2" o:spid="_x0000_s1026" type="#_x0000_t202" style="position:absolute;left:0;text-align:left;margin-left:0;margin-top:18.3pt;width:466.95pt;height:10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">
                <v:textbox>
                  <w:txbxContent>
                    <w:p w14:paraId="1EE5083A" w14:textId="723F50F0" w:rsidR="00187F76" w:rsidRDefault="009F5A12" w:rsidP="009F5A12">
                      <w:pPr>
                        <w:ind w:left="0" w:firstLine="0"/>
                        <w:rPr>
                          <w:rFonts w:cs="Calibri"/>
                          <w:b/>
                        </w:rPr>
                      </w:pPr>
                      <w:r w:rsidRPr="009F5A12">
                        <w:rPr>
                          <w:b/>
                          <w:iCs/>
                        </w:rPr>
                        <w:t>Note du Secrétariat</w:t>
                      </w:r>
                      <w:r w:rsidRPr="009F5A12">
                        <w:rPr>
                          <w:b/>
                          <w:i/>
                        </w:rPr>
                        <w:t> </w:t>
                      </w:r>
                      <w:r w:rsidR="00187F76">
                        <w:rPr>
                          <w:b/>
                        </w:rPr>
                        <w:t>:</w:t>
                      </w:r>
                    </w:p>
                    <w:p w14:paraId="6F228208" w14:textId="77777777" w:rsidR="00B2525B" w:rsidRPr="004C7A12" w:rsidRDefault="00B2525B" w:rsidP="009F5A12">
                      <w:pPr>
                        <w:ind w:left="0" w:firstLine="0"/>
                        <w:rPr>
                          <w:rFonts w:cs="Calibri"/>
                          <w:b/>
                        </w:rPr>
                      </w:pPr>
                    </w:p>
                    <w:p w14:paraId="566CE73D" w14:textId="6B79B91F" w:rsidR="009F5A12" w:rsidRPr="00DC54D0" w:rsidRDefault="009F5A12" w:rsidP="009F5A12">
                      <w:pPr>
                        <w:widowControl w:val="0"/>
                        <w:ind w:left="0" w:firstLine="0"/>
                        <w:rPr>
                          <w:bCs/>
                        </w:rPr>
                      </w:pPr>
                      <w:r w:rsidRPr="00C16ECB">
                        <w:t>À sa 64</w:t>
                      </w:r>
                      <w:r w:rsidRPr="00C16ECB">
                        <w:rPr>
                          <w:vertAlign w:val="superscript"/>
                        </w:rPr>
                        <w:t>e</w:t>
                      </w:r>
                      <w:r w:rsidRPr="00C16ECB">
                        <w:t xml:space="preserve"> Réunion, dans sa Décision SC64-3</w:t>
                      </w:r>
                      <w:r>
                        <w:t>2</w:t>
                      </w:r>
                      <w:r w:rsidRPr="00C16ECB">
                        <w:t xml:space="preserve">, le Comité permanent a donné instruction au Secrétariat </w:t>
                      </w:r>
                      <w:r w:rsidRPr="00C16ECB">
                        <w:rPr>
                          <w:bCs/>
                        </w:rPr>
                        <w:t>de soumettre à la COP15, pour examen, le projet de résolution figurant dans le document</w:t>
                      </w:r>
                      <w:r>
                        <w:rPr>
                          <w:bCs/>
                        </w:rPr>
                        <w:t xml:space="preserve"> SC64 Doc.29.4 Rev.2, </w:t>
                      </w:r>
                      <w:r w:rsidRPr="009F5A12">
                        <w:rPr>
                          <w:bCs/>
                          <w:i/>
                          <w:iCs/>
                        </w:rPr>
                        <w:t>Promotion de l’intégration de</w:t>
                      </w:r>
                      <w:r w:rsidR="00F266CB">
                        <w:rPr>
                          <w:bCs/>
                          <w:i/>
                          <w:iCs/>
                        </w:rPr>
                        <w:t xml:space="preserve"> </w:t>
                      </w:r>
                      <w:r w:rsidR="00227A8E">
                        <w:rPr>
                          <w:bCs/>
                          <w:i/>
                          <w:iCs/>
                        </w:rPr>
                        <w:t xml:space="preserve">nouvelles </w:t>
                      </w:r>
                      <w:r w:rsidRPr="009F5A12">
                        <w:rPr>
                          <w:bCs/>
                          <w:i/>
                          <w:iCs/>
                        </w:rPr>
                        <w:t>technologies et de connaissances traditionnelles dans la conservation, la restauration, la gestion et l’utilisation rationnelle des zones humides</w:t>
                      </w:r>
                      <w:r>
                        <w:rPr>
                          <w:bCs/>
                        </w:rPr>
                        <w:t xml:space="preserve">, </w:t>
                      </w:r>
                      <w:r w:rsidRPr="009D6975">
                        <w:rPr>
                          <w:bCs/>
                        </w:rPr>
                        <w:t>modifié pour tenir compte des observations du Comité.</w:t>
                      </w:r>
                    </w:p>
                    <w:p w14:paraId="2AEFFBCF" w14:textId="77777777" w:rsidR="009F5A12" w:rsidRPr="00356BDA" w:rsidRDefault="009F5A12" w:rsidP="009F5A12">
                      <w:pPr>
                        <w:widowControl w:val="0"/>
                        <w:ind w:left="0" w:firstLine="0"/>
                        <w:rPr>
                          <w:rFonts w:cs="Calibri"/>
                        </w:rPr>
                      </w:pPr>
                      <w:r w:rsidRPr="00DC54D0">
                        <w:rPr>
                          <w:bCs/>
                        </w:rPr>
                        <w:t>durables au service de l’utilisation rationnelle des zones humides</w:t>
                      </w:r>
                      <w:r>
                        <w:rPr>
                          <w:bCs/>
                        </w:rPr>
                        <w:t xml:space="preserve"> </w:t>
                      </w:r>
                      <w:r>
                        <w:t>.</w:t>
                      </w:r>
                    </w:p>
                    <w:p w14:paraId="0040B380" w14:textId="77777777" w:rsidR="00187F76" w:rsidRPr="004C7A12" w:rsidRDefault="00187F76" w:rsidP="009F5A12">
                      <w:pPr>
                        <w:ind w:left="0" w:firstLine="0"/>
                        <w:rPr>
                          <w:rFonts w:cs="Calibri"/>
                        </w:rPr>
                      </w:pPr>
                    </w:p>
                  </w:txbxContent>
                </v:textbox>
                <w10:wrap type="square" anchorx="margin"/>
              </v:shape>
            </w:pict>
          </mc:Fallback>
        </mc:AlternateContent>
      </w:r>
    </w:p>
    <w:p w14:paraId="3EF0EB19" w14:textId="7F928B2B" w:rsidR="00187F76" w:rsidRDefault="00187F76" w:rsidP="00F0671C">
      <w:pPr>
        <w:ind w:left="0" w:firstLine="0"/>
        <w:jc w:val="center"/>
        <w:rPr>
          <w:rFonts w:eastAsia="Times New Roman"/>
          <w:b/>
          <w:sz w:val="28"/>
          <w:szCs w:val="28"/>
        </w:rPr>
      </w:pPr>
    </w:p>
    <w:p w14:paraId="1E6684A5" w14:textId="77777777" w:rsidR="00F0671C" w:rsidRPr="00F0671C" w:rsidRDefault="00F0671C" w:rsidP="00F0671C">
      <w:pPr>
        <w:ind w:left="0" w:firstLine="0"/>
        <w:jc w:val="center"/>
        <w:rPr>
          <w:rFonts w:eastAsia="Times New Roman"/>
          <w:b/>
          <w:sz w:val="28"/>
          <w:szCs w:val="28"/>
        </w:rPr>
      </w:pPr>
    </w:p>
    <w:p w14:paraId="3F54AAEF" w14:textId="37BFCA35" w:rsidR="00187F76" w:rsidRPr="00F0671C" w:rsidRDefault="00187F76" w:rsidP="009F5A12">
      <w:pPr>
        <w:ind w:left="0" w:firstLine="0"/>
        <w:jc w:val="center"/>
        <w:rPr>
          <w:rFonts w:eastAsia="Times New Roman"/>
          <w:b/>
          <w:bCs/>
          <w:sz w:val="28"/>
          <w:szCs w:val="28"/>
        </w:rPr>
      </w:pPr>
      <w:r w:rsidRPr="00F0671C">
        <w:rPr>
          <w:b/>
          <w:sz w:val="28"/>
          <w:szCs w:val="28"/>
        </w:rPr>
        <w:t xml:space="preserve">Projet de résolution sur la </w:t>
      </w:r>
      <w:r w:rsidR="009F5A12" w:rsidRPr="00F0671C">
        <w:rPr>
          <w:b/>
          <w:sz w:val="28"/>
          <w:szCs w:val="28"/>
        </w:rPr>
        <w:t>P</w:t>
      </w:r>
      <w:r w:rsidRPr="00F0671C">
        <w:rPr>
          <w:b/>
          <w:sz w:val="28"/>
          <w:szCs w:val="28"/>
        </w:rPr>
        <w:t>romotion de l</w:t>
      </w:r>
      <w:r w:rsidR="001158EA" w:rsidRPr="00F0671C">
        <w:rPr>
          <w:b/>
          <w:sz w:val="28"/>
          <w:szCs w:val="28"/>
        </w:rPr>
        <w:t>’</w:t>
      </w:r>
      <w:r w:rsidRPr="00F0671C">
        <w:rPr>
          <w:b/>
          <w:sz w:val="28"/>
          <w:szCs w:val="28"/>
        </w:rPr>
        <w:t xml:space="preserve">intégration de </w:t>
      </w:r>
      <w:r w:rsidR="00F266CB" w:rsidRPr="00F0671C">
        <w:rPr>
          <w:b/>
          <w:sz w:val="28"/>
          <w:szCs w:val="28"/>
        </w:rPr>
        <w:t xml:space="preserve">nouvelles </w:t>
      </w:r>
      <w:r w:rsidRPr="00F0671C">
        <w:rPr>
          <w:b/>
          <w:sz w:val="28"/>
          <w:szCs w:val="28"/>
        </w:rPr>
        <w:t>technologies et de connaissances traditionnelles dans la conservation, la restauration, la gestion et l</w:t>
      </w:r>
      <w:r w:rsidR="001158EA" w:rsidRPr="00F0671C">
        <w:rPr>
          <w:b/>
          <w:sz w:val="28"/>
          <w:szCs w:val="28"/>
        </w:rPr>
        <w:t>’</w:t>
      </w:r>
      <w:r w:rsidRPr="00F0671C">
        <w:rPr>
          <w:b/>
          <w:sz w:val="28"/>
          <w:szCs w:val="28"/>
        </w:rPr>
        <w:t>utilisation rationnelle des zones humides</w:t>
      </w:r>
    </w:p>
    <w:p w14:paraId="1A700A93" w14:textId="77777777" w:rsidR="009F5A12" w:rsidRDefault="009F5A12" w:rsidP="00B85FB3">
      <w:pPr>
        <w:rPr>
          <w:i/>
        </w:rPr>
      </w:pPr>
    </w:p>
    <w:p w14:paraId="2E2E6B17" w14:textId="71EA4411" w:rsidR="00187F76" w:rsidRDefault="009F5A12" w:rsidP="00B85FB3">
      <w:pPr>
        <w:rPr>
          <w:i/>
        </w:rPr>
      </w:pPr>
      <w:r>
        <w:rPr>
          <w:i/>
        </w:rPr>
        <w:t xml:space="preserve">Soumis par la Chine, le Burkina Faso, </w:t>
      </w:r>
      <w:r w:rsidR="00F266CB">
        <w:rPr>
          <w:i/>
        </w:rPr>
        <w:t xml:space="preserve">le Cambodge, </w:t>
      </w:r>
      <w:r>
        <w:rPr>
          <w:i/>
        </w:rPr>
        <w:t xml:space="preserve">le Gabon, </w:t>
      </w:r>
      <w:r w:rsidR="00F266CB">
        <w:rPr>
          <w:i/>
        </w:rPr>
        <w:t xml:space="preserve">la Libye, </w:t>
      </w:r>
      <w:r>
        <w:rPr>
          <w:i/>
        </w:rPr>
        <w:t>Madagascar et le Panama</w:t>
      </w:r>
    </w:p>
    <w:p w14:paraId="5B9EE9BF" w14:textId="77777777" w:rsidR="00F266CB" w:rsidRPr="00F266CB" w:rsidRDefault="00F266CB" w:rsidP="00B85FB3">
      <w:pPr>
        <w:rPr>
          <w:iCs/>
        </w:rPr>
      </w:pPr>
    </w:p>
    <w:p w14:paraId="0FFDFBAD" w14:textId="77777777" w:rsidR="009F5A12" w:rsidRDefault="009F5A12" w:rsidP="00F539E2">
      <w:pPr>
        <w:ind w:left="425" w:hanging="425"/>
      </w:pPr>
    </w:p>
    <w:p w14:paraId="6BD7BB9C" w14:textId="4540E3BE" w:rsidR="005369A0" w:rsidRDefault="00187F76" w:rsidP="00F539E2">
      <w:pPr>
        <w:ind w:left="425" w:hanging="425"/>
      </w:pPr>
      <w:r>
        <w:t>1.</w:t>
      </w:r>
      <w:r>
        <w:tab/>
        <w:t>CONSCIENTE que la science</w:t>
      </w:r>
      <w:r w:rsidR="00F266CB">
        <w:t>,</w:t>
      </w:r>
      <w:r>
        <w:t xml:space="preserve"> la technologie </w:t>
      </w:r>
      <w:r w:rsidR="00F266CB">
        <w:t xml:space="preserve">et l’innovation </w:t>
      </w:r>
      <w:r>
        <w:t>sont des moyens de mettre en œuvre et de redynamiser le Partenariat mondial pour le développement durable au titre de l</w:t>
      </w:r>
      <w:r w:rsidR="001158EA">
        <w:t>’</w:t>
      </w:r>
      <w:r>
        <w:t>objectif 17 des Objectifs de développement durable à l</w:t>
      </w:r>
      <w:r w:rsidR="001158EA">
        <w:t>’</w:t>
      </w:r>
      <w:r>
        <w:t xml:space="preserve">horizon 2030 ; et que le Mécanisme de facilitation des technologies </w:t>
      </w:r>
      <w:r w:rsidR="00F266CB">
        <w:t xml:space="preserve">des Nations Unies </w:t>
      </w:r>
      <w:r>
        <w:t>a été créé pour appuyer les ODD</w:t>
      </w:r>
      <w:r w:rsidR="006B5BE7">
        <w:rPr>
          <w:rStyle w:val="FootnoteReference"/>
        </w:rPr>
        <w:footnoteReference w:id="1"/>
      </w:r>
      <w:r>
        <w:t xml:space="preserve"> ; </w:t>
      </w:r>
    </w:p>
    <w:p w14:paraId="32AD53F7" w14:textId="3E7AFD9A" w:rsidR="0087355B" w:rsidRDefault="0087355B" w:rsidP="00F539E2">
      <w:pPr>
        <w:ind w:left="425" w:hanging="425"/>
      </w:pPr>
    </w:p>
    <w:p w14:paraId="6A2475AC" w14:textId="4038AD79" w:rsidR="0087355B" w:rsidRDefault="00FE3777" w:rsidP="00F539E2">
      <w:pPr>
        <w:ind w:left="425" w:hanging="425"/>
      </w:pPr>
      <w:r>
        <w:t>2.</w:t>
      </w:r>
      <w:r>
        <w:tab/>
        <w:t xml:space="preserve">NOTANT que les nouvelles technologies et les connaissances </w:t>
      </w:r>
      <w:r w:rsidR="00F266CB">
        <w:t xml:space="preserve">et pratiques </w:t>
      </w:r>
      <w:r>
        <w:t>traditionnelles constituent des thématiques et des initiatives importantes pour relever les défis mondiaux en matière d</w:t>
      </w:r>
      <w:r w:rsidR="001158EA">
        <w:t>’</w:t>
      </w:r>
      <w:r>
        <w:t>environnement et de développement durable dans le cadre de multiples programmes et institutions spécialisées des Nations Unies, notamment la Stratégie du Secrétaire général en matière de nouvelles technologies,</w:t>
      </w:r>
      <w:r w:rsidR="00F266CB">
        <w:t xml:space="preserve"> les</w:t>
      </w:r>
      <w:r>
        <w:t xml:space="preserve"> Transformations numériques </w:t>
      </w:r>
      <w:r w:rsidR="00F266CB">
        <w:t>du Programme des Nations Unies pour l’environnement, la</w:t>
      </w:r>
      <w:r>
        <w:t xml:space="preserve"> Coalition pour le numérique au service de la durabilité environnementale, le système science, technologie et innovation et le programme Savoirs locaux, autochtones et scientifiques (LINKS) de l</w:t>
      </w:r>
      <w:r w:rsidR="001158EA">
        <w:t>’</w:t>
      </w:r>
      <w:r>
        <w:t>Organisation des Nations Unies pour l</w:t>
      </w:r>
      <w:r w:rsidR="001158EA">
        <w:t>’</w:t>
      </w:r>
      <w:r>
        <w:t>éducation, la science et la culture (UNESCO) ;</w:t>
      </w:r>
    </w:p>
    <w:p w14:paraId="4F9849DA" w14:textId="77777777" w:rsidR="005369A0" w:rsidRDefault="005369A0" w:rsidP="00B85FB3">
      <w:pPr>
        <w:rPr>
          <w:rFonts w:eastAsiaTheme="minorEastAsia"/>
          <w:lang w:eastAsia="zh-CN"/>
        </w:rPr>
      </w:pPr>
    </w:p>
    <w:p w14:paraId="24991739" w14:textId="0E5884EA" w:rsidR="00226FA4" w:rsidRDefault="00FE3777" w:rsidP="00F539E2">
      <w:pPr>
        <w:ind w:left="425" w:hanging="425"/>
      </w:pPr>
      <w:r>
        <w:t>3.</w:t>
      </w:r>
      <w:r>
        <w:tab/>
        <w:t xml:space="preserve">NOTANT ÉGALEMENT que la Convention-cadre des Nations Unies sur les changements climatiques </w:t>
      </w:r>
      <w:r w:rsidR="00F266CB">
        <w:t xml:space="preserve">(CCNUCC) </w:t>
      </w:r>
      <w:r>
        <w:t xml:space="preserve">a créé son Mécanisme technologique en 2010, et que les Parties à la Convention sur la diversité biologique </w:t>
      </w:r>
      <w:r w:rsidR="009D669B">
        <w:t xml:space="preserve">(CDB) </w:t>
      </w:r>
      <w:r>
        <w:t>ont confirmé</w:t>
      </w:r>
      <w:r w:rsidR="009D669B">
        <w:t>, dans la section C</w:t>
      </w:r>
      <w:r>
        <w:t xml:space="preserve"> </w:t>
      </w:r>
      <w:r w:rsidR="009D669B">
        <w:t xml:space="preserve">de la Décision 15/4 </w:t>
      </w:r>
      <w:r>
        <w:lastRenderedPageBreak/>
        <w:t xml:space="preserve">que la mise en œuvre du </w:t>
      </w:r>
      <w:r w:rsidR="008574FD">
        <w:t>C</w:t>
      </w:r>
      <w:r>
        <w:t>adre mondial de la biodiversité de Kunming-Montréal</w:t>
      </w:r>
      <w:r w:rsidR="009D669B">
        <w:t xml:space="preserve"> (CMB-KM)</w:t>
      </w:r>
      <w:r>
        <w:t xml:space="preserve"> doit reposer sur des preuves scientifiques et sur les connaissances et pratiques traditionnelles, en tenant compte du rôle de la science, de la technologie et de l</w:t>
      </w:r>
      <w:r w:rsidR="001158EA">
        <w:t>’</w:t>
      </w:r>
      <w:r>
        <w:t>innovation</w:t>
      </w:r>
      <w:r w:rsidR="006B5BE7">
        <w:rPr>
          <w:rStyle w:val="FootnoteReference"/>
        </w:rPr>
        <w:footnoteReference w:id="2"/>
      </w:r>
      <w:r>
        <w:t> ;</w:t>
      </w:r>
    </w:p>
    <w:p w14:paraId="08527967" w14:textId="5F081F9C" w:rsidR="00817AB7" w:rsidRDefault="00817AB7" w:rsidP="00F539E2">
      <w:pPr>
        <w:ind w:left="425" w:hanging="425"/>
      </w:pPr>
    </w:p>
    <w:p w14:paraId="1802FB6A" w14:textId="176560B9" w:rsidR="00817AB7" w:rsidRDefault="00817AB7" w:rsidP="00F539E2">
      <w:pPr>
        <w:ind w:left="425" w:hanging="425"/>
      </w:pPr>
      <w:r>
        <w:t>4.</w:t>
      </w:r>
      <w:r>
        <w:tab/>
        <w:t xml:space="preserve">RECONNAISSANT que les progrès et les pratiques en matière de </w:t>
      </w:r>
      <w:r w:rsidR="0097564B">
        <w:t xml:space="preserve">nouvelles </w:t>
      </w:r>
      <w:r>
        <w:t>technologies contribuent à la conservation, la restauration, la gestion et l</w:t>
      </w:r>
      <w:r w:rsidR="001158EA">
        <w:t>’</w:t>
      </w:r>
      <w:r>
        <w:t xml:space="preserve">utilisation rationnelle des zones humides, </w:t>
      </w:r>
      <w:r w:rsidR="0097564B">
        <w:t xml:space="preserve">fournissant </w:t>
      </w:r>
      <w:r>
        <w:t>un soutien important à l</w:t>
      </w:r>
      <w:r w:rsidR="001158EA">
        <w:t>’</w:t>
      </w:r>
      <w:r>
        <w:t>inventaire et au suivi des zones humides, à l</w:t>
      </w:r>
      <w:r w:rsidR="001158EA">
        <w:t>’</w:t>
      </w:r>
      <w:r>
        <w:t xml:space="preserve">évaluation des caractéristiques écologiques, </w:t>
      </w:r>
      <w:r w:rsidR="0097564B">
        <w:t>aux analyses et prédictions des tendances</w:t>
      </w:r>
      <w:r>
        <w:t>, à la régulation des processus hydrologiques et écologiques, entre autres ;</w:t>
      </w:r>
    </w:p>
    <w:p w14:paraId="502B433D" w14:textId="26BF5440" w:rsidR="00B801E0" w:rsidRDefault="00B801E0" w:rsidP="00F539E2">
      <w:pPr>
        <w:ind w:left="425" w:hanging="425"/>
      </w:pPr>
    </w:p>
    <w:p w14:paraId="150FF3F8" w14:textId="0EA6E59B" w:rsidR="00B801E0" w:rsidRDefault="00B801E0" w:rsidP="00F539E2">
      <w:pPr>
        <w:ind w:left="425" w:hanging="425"/>
      </w:pPr>
      <w:r>
        <w:t>5.</w:t>
      </w:r>
      <w:r>
        <w:tab/>
        <w:t xml:space="preserve">RECONNAISSANT ÉGALEMENT que </w:t>
      </w:r>
      <w:r w:rsidR="008574FD">
        <w:t>le rôle et la valeur d</w:t>
      </w:r>
      <w:r>
        <w:t xml:space="preserve">es connaissances traditionnelles </w:t>
      </w:r>
      <w:r w:rsidR="008574FD">
        <w:t>s</w:t>
      </w:r>
      <w:r>
        <w:t xml:space="preserve">ont </w:t>
      </w:r>
      <w:r w:rsidR="008574FD">
        <w:t xml:space="preserve">irremplaçables pour </w:t>
      </w:r>
      <w:r>
        <w:t>la conservation, la restauration, la gestion et l</w:t>
      </w:r>
      <w:r w:rsidR="001158EA">
        <w:t>’</w:t>
      </w:r>
      <w:r>
        <w:t xml:space="preserve">utilisation rationnelle et durable des zones humides ; et NOTANT que </w:t>
      </w:r>
      <w:r w:rsidR="0097564B">
        <w:t>plusieurs</w:t>
      </w:r>
      <w:r>
        <w:t xml:space="preserve"> </w:t>
      </w:r>
      <w:r w:rsidR="0097564B">
        <w:t>z</w:t>
      </w:r>
      <w:r>
        <w:t>ones humides d</w:t>
      </w:r>
      <w:r w:rsidR="001158EA">
        <w:t>’</w:t>
      </w:r>
      <w:r>
        <w:t>importance internationale sont désignées comme biens du patrimoine mondial culturel et naturel, paysages du patrimoine culturel ou réserves de biosphère, par exemple pour leur agriculture traditionnelle en zone humide ;</w:t>
      </w:r>
    </w:p>
    <w:p w14:paraId="07B4F10F" w14:textId="43908552" w:rsidR="00364AD5" w:rsidRDefault="00364AD5" w:rsidP="00F539E2">
      <w:pPr>
        <w:ind w:left="425" w:hanging="425"/>
      </w:pPr>
    </w:p>
    <w:p w14:paraId="275BBF16" w14:textId="0794A9FE" w:rsidR="00364AD5" w:rsidRDefault="00B801E0" w:rsidP="00F539E2">
      <w:pPr>
        <w:ind w:left="425" w:hanging="425"/>
      </w:pPr>
      <w:r>
        <w:t>6.</w:t>
      </w:r>
      <w:r>
        <w:tab/>
        <w:t>CONSCIENTE que tant les connaissances scientifiques que les connaissances autochtones et locales font partie intégrante des systèmes de connaissances</w:t>
      </w:r>
      <w:r w:rsidR="00364AD5">
        <w:rPr>
          <w:rStyle w:val="FootnoteReference"/>
        </w:rPr>
        <w:footnoteReference w:id="3"/>
      </w:r>
      <w:r>
        <w:t xml:space="preserve"> ; et RÉALISANT que les technologies modernes fondées sur la science et les connaissances traditionnelles sont indissociables </w:t>
      </w:r>
      <w:r w:rsidR="00110DCE">
        <w:t>du</w:t>
      </w:r>
      <w:r>
        <w:t xml:space="preserve"> développement humain à long terme et qu</w:t>
      </w:r>
      <w:r w:rsidR="001158EA">
        <w:t>’</w:t>
      </w:r>
      <w:r>
        <w:t xml:space="preserve">elles sont essentielles </w:t>
      </w:r>
      <w:r w:rsidR="00110DCE">
        <w:t>à</w:t>
      </w:r>
      <w:r>
        <w:t xml:space="preserve"> une relation harmonieuse avec la nature ;</w:t>
      </w:r>
    </w:p>
    <w:p w14:paraId="0080C2B7" w14:textId="77777777" w:rsidR="0017704B" w:rsidRPr="004C7A12" w:rsidRDefault="0017704B" w:rsidP="00F539E2">
      <w:pPr>
        <w:ind w:left="425" w:hanging="425"/>
      </w:pPr>
    </w:p>
    <w:p w14:paraId="44D596AA" w14:textId="31AFADAD" w:rsidR="00187F76" w:rsidRDefault="008D7EFF" w:rsidP="00F539E2">
      <w:pPr>
        <w:ind w:left="425" w:hanging="425"/>
      </w:pPr>
      <w:r>
        <w:t>7.</w:t>
      </w:r>
      <w:r>
        <w:tab/>
        <w:t>RAPPELANT que les</w:t>
      </w:r>
      <w:r w:rsidR="00711292">
        <w:t xml:space="preserve"> principes directeurs de l’intégration des connaissances traditionnelles dans la gestion des zones humides</w:t>
      </w:r>
      <w:r w:rsidR="008B0961">
        <w:t xml:space="preserve"> développés à partir </w:t>
      </w:r>
      <w:r w:rsidR="008B0961" w:rsidRPr="008B0961">
        <w:t>de</w:t>
      </w:r>
      <w:r w:rsidRPr="008B0961">
        <w:rPr>
          <w:i/>
          <w:iCs/>
        </w:rPr>
        <w:t xml:space="preserve"> </w:t>
      </w:r>
      <w:r w:rsidRPr="008B0961">
        <w:t>l</w:t>
      </w:r>
      <w:r w:rsidR="001158EA" w:rsidRPr="008B0961">
        <w:t>’</w:t>
      </w:r>
      <w:r w:rsidRPr="008B0961">
        <w:t>échange de l</w:t>
      </w:r>
      <w:r w:rsidR="001158EA" w:rsidRPr="008B0961">
        <w:t>’</w:t>
      </w:r>
      <w:r w:rsidRPr="008B0961">
        <w:t>information et des connaissances</w:t>
      </w:r>
      <w:r w:rsidR="007B0DCD" w:rsidRPr="008B0961">
        <w:t xml:space="preserve"> </w:t>
      </w:r>
      <w:r w:rsidRPr="008B0961">
        <w:t>spécialisées</w:t>
      </w:r>
      <w:r w:rsidR="008B0961" w:rsidRPr="008B0961">
        <w:t xml:space="preserve"> entre les Parties contract</w:t>
      </w:r>
      <w:r w:rsidR="008B0961">
        <w:t>antes</w:t>
      </w:r>
      <w:r w:rsidR="008574FD">
        <w:t xml:space="preserve"> et</w:t>
      </w:r>
      <w:r w:rsidR="008B0961">
        <w:t xml:space="preserve"> </w:t>
      </w:r>
      <w:r>
        <w:t>présentés dans la Résolution VII.19</w:t>
      </w:r>
      <w:r w:rsidR="003812CA">
        <w:rPr>
          <w:rStyle w:val="FootnoteReference"/>
        </w:rPr>
        <w:footnoteReference w:id="4"/>
      </w:r>
      <w:r>
        <w:t xml:space="preserve"> indiquent que la Convention redoublera d</w:t>
      </w:r>
      <w:r w:rsidR="001158EA">
        <w:t>’</w:t>
      </w:r>
      <w:r>
        <w:t xml:space="preserve">efforts pour </w:t>
      </w:r>
      <w:r w:rsidR="008B0961">
        <w:t xml:space="preserve">préserver, promouvoir et intégrer les connaissances, innovations et pratiques traditionnelles parmi les Parties contractantes, dans le respect du principe international garant des droits des peuples autochtones (consentement </w:t>
      </w:r>
      <w:r w:rsidR="002869D6">
        <w:t xml:space="preserve">libre, </w:t>
      </w:r>
      <w:r w:rsidR="008B0961">
        <w:t>préalable et éclairé) et de la Convention de 1989 relative aux peuples indigènes et tribaux (No 169)</w:t>
      </w:r>
      <w:r>
        <w:t xml:space="preserve"> ;</w:t>
      </w:r>
    </w:p>
    <w:p w14:paraId="184DA4E6" w14:textId="75BBCD7D" w:rsidR="008D7EFF" w:rsidRDefault="008D7EFF" w:rsidP="00A37C2A"/>
    <w:p w14:paraId="40C72E9E" w14:textId="3FD144B0" w:rsidR="008D7EFF" w:rsidRDefault="008D7EFF" w:rsidP="00F539E2">
      <w:pPr>
        <w:ind w:left="425" w:hanging="425"/>
      </w:pPr>
      <w:r>
        <w:t>8.</w:t>
      </w:r>
      <w:r>
        <w:tab/>
        <w:t>RECONNAISSANT que</w:t>
      </w:r>
      <w:r w:rsidR="00ED2B81">
        <w:t xml:space="preserve"> depuis 2006,</w:t>
      </w:r>
      <w:r>
        <w:t xml:space="preserve"> le Groupe d</w:t>
      </w:r>
      <w:r w:rsidR="001158EA">
        <w:t>’</w:t>
      </w:r>
      <w:r>
        <w:t xml:space="preserve">évaluation scientifique et technique </w:t>
      </w:r>
      <w:r w:rsidR="00ED2B81">
        <w:t xml:space="preserve">a </w:t>
      </w:r>
      <w:r>
        <w:t>élabor</w:t>
      </w:r>
      <w:r w:rsidR="00ED2B81">
        <w:t>é</w:t>
      </w:r>
      <w:r>
        <w:t xml:space="preserve"> </w:t>
      </w:r>
      <w:r w:rsidR="00ED2B81">
        <w:t>de nombreuses</w:t>
      </w:r>
      <w:r>
        <w:t xml:space="preserve"> publications de la Convention relatives aux technologies et aux connaissances</w:t>
      </w:r>
      <w:r w:rsidR="00ED2B81">
        <w:t> </w:t>
      </w:r>
      <w:r>
        <w:t>;</w:t>
      </w:r>
    </w:p>
    <w:p w14:paraId="3863BF8E" w14:textId="65B87074" w:rsidR="00167192" w:rsidRDefault="00167192" w:rsidP="00F539E2">
      <w:pPr>
        <w:ind w:left="425" w:hanging="425"/>
      </w:pPr>
    </w:p>
    <w:p w14:paraId="16EE5ADF" w14:textId="120EC07E" w:rsidR="000D65C5" w:rsidRDefault="008D7EFF" w:rsidP="00F539E2">
      <w:pPr>
        <w:ind w:left="425" w:hanging="425"/>
      </w:pPr>
      <w:r>
        <w:t>9.</w:t>
      </w:r>
      <w:r>
        <w:tab/>
        <w:t xml:space="preserve">SE FÉLICITANT </w:t>
      </w:r>
      <w:r w:rsidR="00ED2B81">
        <w:t>de la décision du</w:t>
      </w:r>
      <w:r>
        <w:t xml:space="preserve"> Comité permanent</w:t>
      </w:r>
      <w:r w:rsidR="00ED2B81">
        <w:t xml:space="preserve"> (D</w:t>
      </w:r>
      <w:r>
        <w:t>écision SC63-26</w:t>
      </w:r>
      <w:r w:rsidR="00ED2B81">
        <w:t>) de choisir le</w:t>
      </w:r>
      <w:r>
        <w:t xml:space="preserve"> thème </w:t>
      </w:r>
      <w:r w:rsidR="00ED2B81">
        <w:t>« Zones humides et savoirs traditionnels : célébrer le patrimoine culturel » pour</w:t>
      </w:r>
      <w:r>
        <w:t xml:space="preserve"> l</w:t>
      </w:r>
      <w:r w:rsidR="001158EA">
        <w:t>’</w:t>
      </w:r>
      <w:r>
        <w:t>édition 2026 de la Journée mondiale des zones humides</w:t>
      </w:r>
      <w:r w:rsidR="00ED2B81">
        <w:t> </w:t>
      </w:r>
      <w:r>
        <w:t>;</w:t>
      </w:r>
    </w:p>
    <w:p w14:paraId="176FE45E" w14:textId="3A98B347" w:rsidR="0086388D" w:rsidRDefault="0086388D" w:rsidP="00F539E2">
      <w:pPr>
        <w:ind w:left="425" w:hanging="425"/>
      </w:pPr>
    </w:p>
    <w:p w14:paraId="0F228F6D" w14:textId="33C335A3" w:rsidR="0086388D" w:rsidRPr="00707431" w:rsidRDefault="00707431" w:rsidP="00F539E2">
      <w:pPr>
        <w:ind w:left="425" w:hanging="425"/>
      </w:pPr>
      <w:r>
        <w:t>10.</w:t>
      </w:r>
      <w:r>
        <w:tab/>
        <w:t xml:space="preserve">NOTANT que les connaissances traditionnelles et les technologies sont </w:t>
      </w:r>
      <w:r w:rsidR="00ED2B81">
        <w:t>traitées</w:t>
      </w:r>
      <w:r>
        <w:t xml:space="preserve"> dans </w:t>
      </w:r>
      <w:r w:rsidR="00ED2B81">
        <w:t>l’objectif [xx]</w:t>
      </w:r>
      <w:r>
        <w:t xml:space="preserve"> du cinquième Plan stratégique de la Convention (Résolution XV.xx annexe 2) ; et</w:t>
      </w:r>
    </w:p>
    <w:p w14:paraId="36C25AF3" w14:textId="585D7A81" w:rsidR="00EC6E46" w:rsidRDefault="00EC6E46" w:rsidP="00F539E2">
      <w:pPr>
        <w:ind w:left="425" w:hanging="425"/>
      </w:pPr>
    </w:p>
    <w:p w14:paraId="0F99598F" w14:textId="253C85CF" w:rsidR="00523A59" w:rsidRDefault="00523A59" w:rsidP="00F539E2">
      <w:pPr>
        <w:ind w:left="425" w:hanging="425"/>
      </w:pPr>
      <w:r>
        <w:t>11.</w:t>
      </w:r>
      <w:r>
        <w:tab/>
        <w:t>RÉALISANT l</w:t>
      </w:r>
      <w:r w:rsidR="001158EA">
        <w:t>’</w:t>
      </w:r>
      <w:r>
        <w:t>importance d</w:t>
      </w:r>
      <w:r w:rsidR="001158EA">
        <w:t>’</w:t>
      </w:r>
      <w:r>
        <w:t xml:space="preserve">incorporer </w:t>
      </w:r>
      <w:r w:rsidR="00ED2B81">
        <w:t>et</w:t>
      </w:r>
      <w:r>
        <w:t xml:space="preserve"> d</w:t>
      </w:r>
      <w:r w:rsidR="001158EA">
        <w:t>’</w:t>
      </w:r>
      <w:r>
        <w:t>intégrer de</w:t>
      </w:r>
      <w:r w:rsidR="00ED2B81">
        <w:t xml:space="preserve"> nouvelles</w:t>
      </w:r>
      <w:r>
        <w:t xml:space="preserve"> technologies et connaissances traditionnelles dans </w:t>
      </w:r>
      <w:r w:rsidR="008574FD">
        <w:t>les efforts de</w:t>
      </w:r>
      <w:r>
        <w:t xml:space="preserve"> conservation, restauration, gestion et utilisation rationnelle et durable des zones humides ;</w:t>
      </w:r>
    </w:p>
    <w:p w14:paraId="61A207AC" w14:textId="77777777" w:rsidR="003E52BD" w:rsidRDefault="003E52BD" w:rsidP="007954DB">
      <w:pPr>
        <w:ind w:left="0" w:firstLine="0"/>
        <w:rPr>
          <w:rFonts w:eastAsia="Times New Roman"/>
        </w:rPr>
      </w:pPr>
    </w:p>
    <w:p w14:paraId="178FA207" w14:textId="4832D855" w:rsidR="00187F76" w:rsidRPr="004C7A12" w:rsidRDefault="00187F76" w:rsidP="003E52BD">
      <w:pPr>
        <w:jc w:val="center"/>
        <w:rPr>
          <w:rFonts w:eastAsia="Times New Roman"/>
        </w:rPr>
      </w:pPr>
      <w:r>
        <w:lastRenderedPageBreak/>
        <w:t>LA CONFÉRENCE DES PARTIES CONTRACTANTES</w:t>
      </w:r>
    </w:p>
    <w:p w14:paraId="7C47A076" w14:textId="77777777" w:rsidR="00187F76" w:rsidRPr="004C7A12" w:rsidRDefault="00187F76" w:rsidP="00B85FB3"/>
    <w:p w14:paraId="62E3B85D" w14:textId="7B353C93" w:rsidR="00187F76" w:rsidRDefault="00A86265" w:rsidP="00F539E2">
      <w:pPr>
        <w:ind w:left="425" w:hanging="425"/>
      </w:pPr>
      <w:r>
        <w:t>12.</w:t>
      </w:r>
      <w:r>
        <w:tab/>
        <w:t xml:space="preserve">AFFIRME que les Parties contractantes ont différentes </w:t>
      </w:r>
      <w:r w:rsidR="00055806">
        <w:t xml:space="preserve">approches et </w:t>
      </w:r>
      <w:r>
        <w:t xml:space="preserve">pratiques </w:t>
      </w:r>
      <w:r w:rsidR="00055806">
        <w:t xml:space="preserve">en matière de promotion </w:t>
      </w:r>
      <w:r>
        <w:t xml:space="preserve">des </w:t>
      </w:r>
      <w:r w:rsidR="00055806">
        <w:t xml:space="preserve">nouvelles </w:t>
      </w:r>
      <w:r>
        <w:t xml:space="preserve">technologies et </w:t>
      </w:r>
      <w:r w:rsidR="00055806">
        <w:t xml:space="preserve">de préservation </w:t>
      </w:r>
      <w:r>
        <w:t>des connaissances traditionnelles aux niveaux local et national en fonction de leur contexte national, de leur culture et des ressources dont elles disposent</w:t>
      </w:r>
      <w:r w:rsidR="00055806">
        <w:t>.</w:t>
      </w:r>
    </w:p>
    <w:p w14:paraId="526B5211" w14:textId="7A382945" w:rsidR="00FF39BF" w:rsidRDefault="00FF39BF" w:rsidP="00F539E2">
      <w:pPr>
        <w:ind w:left="425" w:hanging="425"/>
      </w:pPr>
    </w:p>
    <w:p w14:paraId="699FF9DA" w14:textId="2BD9CD4E" w:rsidR="00FF39BF" w:rsidRPr="004C7A12" w:rsidRDefault="00FF39BF" w:rsidP="00F539E2">
      <w:pPr>
        <w:ind w:left="425" w:hanging="425"/>
      </w:pPr>
      <w:r>
        <w:t>13.</w:t>
      </w:r>
      <w:r>
        <w:tab/>
        <w:t>PRIE INSTAMMENT les Parties contractantes</w:t>
      </w:r>
      <w:r w:rsidR="00055806">
        <w:t xml:space="preserve">, </w:t>
      </w:r>
      <w:r w:rsidR="00F85791">
        <w:t>dans le respect du</w:t>
      </w:r>
      <w:r w:rsidR="00055806">
        <w:t xml:space="preserve"> consentement </w:t>
      </w:r>
      <w:r w:rsidR="002869D6">
        <w:t xml:space="preserve">libre, </w:t>
      </w:r>
      <w:r w:rsidR="00055806">
        <w:t>préalable et éclairé des peuples autochtones et des communautés locales,</w:t>
      </w:r>
      <w:r>
        <w:t xml:space="preserve"> de promouvoir le développement des sciences</w:t>
      </w:r>
      <w:r w:rsidR="00055806">
        <w:t>,</w:t>
      </w:r>
      <w:r>
        <w:t xml:space="preserve"> des technologies</w:t>
      </w:r>
      <w:r w:rsidR="00055806">
        <w:t xml:space="preserve"> et des innovations au service de la conservation des</w:t>
      </w:r>
      <w:r>
        <w:t xml:space="preserve"> zones humides </w:t>
      </w:r>
      <w:r w:rsidR="00055806">
        <w:t>ainsi que du bien-être des communautés locales dépendant des zones humides.</w:t>
      </w:r>
    </w:p>
    <w:p w14:paraId="20F6D50E" w14:textId="385846D0" w:rsidR="00AC36B4" w:rsidRDefault="00AC36B4" w:rsidP="00F539E2">
      <w:pPr>
        <w:ind w:left="425" w:hanging="425"/>
      </w:pPr>
    </w:p>
    <w:p w14:paraId="2DA17367" w14:textId="6EC2ACB4" w:rsidR="00AC36B4" w:rsidRPr="00DE79B2" w:rsidRDefault="00AC36B4" w:rsidP="00F539E2">
      <w:pPr>
        <w:ind w:left="425" w:hanging="425"/>
      </w:pPr>
      <w:r>
        <w:t>14.</w:t>
      </w:r>
      <w:r>
        <w:tab/>
        <w:t xml:space="preserve">ENCOURAGE les Parties contractantes à partager leurs technologies et connaissances </w:t>
      </w:r>
      <w:r w:rsidR="00FC4E0F">
        <w:t xml:space="preserve">relatives à la conservation et la gestion des zones humides, [à titre volontaire et selon des termes mutuellement convenus], selon qu’il convient, </w:t>
      </w:r>
      <w:r>
        <w:t>pour promouvoir le développement intégré de</w:t>
      </w:r>
      <w:r w:rsidR="00FC4E0F">
        <w:t xml:space="preserve"> nouvelles</w:t>
      </w:r>
      <w:r>
        <w:t xml:space="preserve"> technologies et de connaissances traditionnelles </w:t>
      </w:r>
      <w:r w:rsidR="00FC4E0F">
        <w:t>aux niveaux</w:t>
      </w:r>
      <w:r>
        <w:t xml:space="preserve"> régional et mondial</w:t>
      </w:r>
      <w:r w:rsidR="00FC4E0F">
        <w:t>,</w:t>
      </w:r>
      <w:r>
        <w:t xml:space="preserve"> au moyen de multiples mécanismes, notamment les Initiatives régionales Ramsar</w:t>
      </w:r>
      <w:r w:rsidR="00F85791">
        <w:t>,</w:t>
      </w:r>
      <w:r w:rsidR="00F85791" w:rsidRPr="00F85791">
        <w:rPr>
          <w:rFonts w:cs="Calibri"/>
        </w:rPr>
        <w:t xml:space="preserve"> </w:t>
      </w:r>
      <w:r w:rsidR="00DE79B2">
        <w:rPr>
          <w:rFonts w:cs="Calibri"/>
        </w:rPr>
        <w:t xml:space="preserve">les forums thématiques traitant de questions intersectorielles comme le </w:t>
      </w:r>
      <w:r w:rsidR="002869D6">
        <w:rPr>
          <w:rFonts w:cs="Calibri"/>
        </w:rPr>
        <w:t>World Coastal Forum (</w:t>
      </w:r>
      <w:r w:rsidR="00DE79B2">
        <w:rPr>
          <w:rFonts w:cs="Calibri"/>
        </w:rPr>
        <w:t>Forum mondial du littoral</w:t>
      </w:r>
      <w:r w:rsidR="002869D6">
        <w:rPr>
          <w:rFonts w:cs="Calibri"/>
        </w:rPr>
        <w:t>)</w:t>
      </w:r>
      <w:r w:rsidR="00DE79B2">
        <w:rPr>
          <w:rFonts w:cs="Calibri"/>
        </w:rPr>
        <w:t xml:space="preserve">, d’autres programmes menés par des accords multilatéraux sur l’environnement et </w:t>
      </w:r>
      <w:r w:rsidR="00F85791" w:rsidRPr="00DE79B2">
        <w:rPr>
          <w:rFonts w:cs="Calibri"/>
        </w:rPr>
        <w:t xml:space="preserve">initiatives </w:t>
      </w:r>
      <w:r w:rsidR="00DE79B2" w:rsidRPr="00DE79B2">
        <w:rPr>
          <w:rFonts w:cs="Calibri"/>
        </w:rPr>
        <w:t xml:space="preserve">dirigées par les Organisations internationales partenaires (OIP) de la </w:t>
      </w:r>
      <w:r w:rsidR="00F85791" w:rsidRPr="00DE79B2">
        <w:rPr>
          <w:rFonts w:cs="Calibri"/>
        </w:rPr>
        <w:t>Convention</w:t>
      </w:r>
      <w:r w:rsidR="00DE79B2" w:rsidRPr="00DE79B2">
        <w:rPr>
          <w:rFonts w:cs="Calibri"/>
        </w:rPr>
        <w:t>.</w:t>
      </w:r>
    </w:p>
    <w:p w14:paraId="5524BE65" w14:textId="77777777" w:rsidR="00187F76" w:rsidRPr="004C7A12" w:rsidRDefault="00187F76" w:rsidP="00F539E2">
      <w:pPr>
        <w:ind w:left="425" w:hanging="425"/>
      </w:pPr>
    </w:p>
    <w:p w14:paraId="7DA91722" w14:textId="004366EC" w:rsidR="00187F76" w:rsidRDefault="008E1FC7" w:rsidP="00F539E2">
      <w:pPr>
        <w:ind w:left="425" w:hanging="425"/>
      </w:pPr>
      <w:r>
        <w:t>15.</w:t>
      </w:r>
      <w:r>
        <w:tab/>
        <w:t>ENCOURAGE ÉGALEMENT les Parties contractantes</w:t>
      </w:r>
      <w:r w:rsidR="00F85791">
        <w:t>,</w:t>
      </w:r>
      <w:r w:rsidR="00F85791" w:rsidRPr="00F85791">
        <w:t xml:space="preserve"> </w:t>
      </w:r>
      <w:r w:rsidR="00F85791">
        <w:t>dans le respect du consentement libre</w:t>
      </w:r>
      <w:r w:rsidR="002869D6">
        <w:t>,</w:t>
      </w:r>
      <w:r w:rsidR="002869D6" w:rsidRPr="002869D6">
        <w:t xml:space="preserve"> </w:t>
      </w:r>
      <w:r w:rsidR="002869D6">
        <w:t>préalable</w:t>
      </w:r>
      <w:r w:rsidR="00F85791">
        <w:t xml:space="preserve"> et éclairé des peuples autochtones et des communautés locales,</w:t>
      </w:r>
      <w:r>
        <w:t xml:space="preserve"> à promouvoir l</w:t>
      </w:r>
      <w:r w:rsidR="001158EA">
        <w:t>’</w:t>
      </w:r>
      <w:r>
        <w:t>incorporation et l</w:t>
      </w:r>
      <w:r w:rsidR="001158EA">
        <w:t>’</w:t>
      </w:r>
      <w:r>
        <w:t>intégration de</w:t>
      </w:r>
      <w:r w:rsidR="00F85791">
        <w:t xml:space="preserve"> nouvelles</w:t>
      </w:r>
      <w:r>
        <w:t xml:space="preserve"> technologies et de connaissances traditionnelles</w:t>
      </w:r>
      <w:r w:rsidR="00F85791">
        <w:t xml:space="preserve"> [à titre volontaire et selon des termes mutuellement convenus], selon qu’il convient,</w:t>
      </w:r>
      <w:r>
        <w:t xml:space="preserve"> dans </w:t>
      </w:r>
      <w:r w:rsidR="00F85791">
        <w:t>les mesures de</w:t>
      </w:r>
      <w:r>
        <w:t xml:space="preserve"> conservation, restauration, gestion et utilisation rationnelle des zones humides, </w:t>
      </w:r>
      <w:r w:rsidR="00F85791">
        <w:t>tout e</w:t>
      </w:r>
      <w:r>
        <w:t>n tenant compte</w:t>
      </w:r>
      <w:r w:rsidR="00F85791">
        <w:t xml:space="preserve"> de leurs circonstances nationales et sous réserve des ressources disponibles, et de partager les avantages économiques, entre autres, des travaux entrepris sur les zones humides en collaboration avec les détenteurs des connaissances traditionnelles</w:t>
      </w:r>
      <w:r>
        <w:t>.</w:t>
      </w:r>
    </w:p>
    <w:p w14:paraId="3F2A61EF" w14:textId="57FBD8C0" w:rsidR="00075A18" w:rsidRPr="00A548DA" w:rsidRDefault="00075A18" w:rsidP="00F539E2">
      <w:pPr>
        <w:ind w:left="425" w:hanging="425"/>
      </w:pPr>
    </w:p>
    <w:p w14:paraId="3E55A091" w14:textId="715A8F9E" w:rsidR="00520236" w:rsidRPr="00520236" w:rsidRDefault="00D668EE" w:rsidP="00520236">
      <w:pPr>
        <w:ind w:left="425" w:hanging="425"/>
        <w:rPr>
          <w:rFonts w:cs="Calibri"/>
        </w:rPr>
      </w:pPr>
      <w:r w:rsidRPr="002869D6">
        <w:t>16.</w:t>
      </w:r>
      <w:r w:rsidRPr="002869D6">
        <w:tab/>
      </w:r>
      <w:r w:rsidR="00F85791" w:rsidRPr="00B167C2">
        <w:rPr>
          <w:rFonts w:cs="Calibri"/>
        </w:rPr>
        <w:t xml:space="preserve">ENCOURAGE </w:t>
      </w:r>
      <w:r w:rsidR="002869D6" w:rsidRPr="00B167C2">
        <w:rPr>
          <w:rFonts w:cs="Calibri"/>
        </w:rPr>
        <w:t xml:space="preserve">les efforts déployés </w:t>
      </w:r>
      <w:r w:rsidR="00520236">
        <w:rPr>
          <w:rFonts w:cs="Calibri"/>
        </w:rPr>
        <w:t>visant au</w:t>
      </w:r>
      <w:r w:rsidR="002869D6" w:rsidRPr="00B167C2">
        <w:rPr>
          <w:rFonts w:cs="Calibri"/>
        </w:rPr>
        <w:t xml:space="preserve"> respect de la propriété des connaissances et </w:t>
      </w:r>
      <w:r w:rsidR="00520236">
        <w:rPr>
          <w:rFonts w:cs="Calibri"/>
        </w:rPr>
        <w:t>au</w:t>
      </w:r>
      <w:r w:rsidR="002869D6" w:rsidRPr="00B167C2">
        <w:rPr>
          <w:rFonts w:cs="Calibri"/>
        </w:rPr>
        <w:t xml:space="preserve"> maintien de la cohérence avec les accords internationaux existants relatifs à la propriété intellectuelle et </w:t>
      </w:r>
      <w:r w:rsidR="00520236">
        <w:rPr>
          <w:rFonts w:cs="Calibri"/>
        </w:rPr>
        <w:t>aux</w:t>
      </w:r>
      <w:r w:rsidR="002869D6" w:rsidRPr="00B167C2">
        <w:rPr>
          <w:rFonts w:cs="Calibri"/>
        </w:rPr>
        <w:t xml:space="preserve"> pr</w:t>
      </w:r>
      <w:r w:rsidR="00F85791" w:rsidRPr="00B167C2">
        <w:rPr>
          <w:rFonts w:cs="Calibri"/>
        </w:rPr>
        <w:t xml:space="preserve">incipes </w:t>
      </w:r>
      <w:r w:rsidR="002869D6" w:rsidRPr="00B167C2">
        <w:t>du consentement libre, préalable et éclairé</w:t>
      </w:r>
      <w:r w:rsidR="002869D6" w:rsidRPr="00B167C2">
        <w:rPr>
          <w:rFonts w:cs="Calibri"/>
        </w:rPr>
        <w:t xml:space="preserve"> concernant l’accès à la technologie et aux connaissances</w:t>
      </w:r>
      <w:r w:rsidR="00F85791" w:rsidRPr="00B167C2">
        <w:rPr>
          <w:rFonts w:cs="Calibri"/>
        </w:rPr>
        <w:t xml:space="preserve">, </w:t>
      </w:r>
      <w:r w:rsidR="002869D6" w:rsidRPr="00520236">
        <w:rPr>
          <w:rFonts w:cs="Calibri"/>
        </w:rPr>
        <w:t>qui devraient inclure des p</w:t>
      </w:r>
      <w:r w:rsidR="00F85791" w:rsidRPr="00520236">
        <w:rPr>
          <w:rFonts w:cs="Calibri"/>
        </w:rPr>
        <w:t xml:space="preserve">rotections </w:t>
      </w:r>
      <w:r w:rsidR="00520236" w:rsidRPr="00520236">
        <w:rPr>
          <w:rFonts w:cs="Calibri"/>
        </w:rPr>
        <w:t>de leur</w:t>
      </w:r>
      <w:r w:rsidR="002869D6" w:rsidRPr="00520236">
        <w:rPr>
          <w:rFonts w:cs="Calibri"/>
        </w:rPr>
        <w:t xml:space="preserve"> diffusion</w:t>
      </w:r>
      <w:r w:rsidR="00B167C2" w:rsidRPr="00B167C2">
        <w:rPr>
          <w:rFonts w:cs="Calibri"/>
        </w:rPr>
        <w:t xml:space="preserve"> selon les vœux des participants</w:t>
      </w:r>
      <w:r w:rsidR="00F85791" w:rsidRPr="00B167C2">
        <w:rPr>
          <w:rFonts w:cs="Calibri"/>
        </w:rPr>
        <w:t>.</w:t>
      </w:r>
      <w:r w:rsidR="00520236" w:rsidRPr="00520236">
        <w:t xml:space="preserve"> </w:t>
      </w:r>
    </w:p>
    <w:p w14:paraId="75FDB32A" w14:textId="77777777" w:rsidR="00520236" w:rsidRPr="00520236" w:rsidRDefault="00520236" w:rsidP="00520236">
      <w:pPr>
        <w:ind w:left="425" w:hanging="425"/>
        <w:rPr>
          <w:rFonts w:cs="Calibri"/>
        </w:rPr>
      </w:pPr>
    </w:p>
    <w:p w14:paraId="05B7AEC0" w14:textId="72B7B0F2" w:rsidR="00A247F8" w:rsidRPr="002869D6" w:rsidRDefault="00A247F8" w:rsidP="00F539E2">
      <w:pPr>
        <w:ind w:left="425" w:hanging="425"/>
      </w:pPr>
    </w:p>
    <w:p w14:paraId="4B0476F9" w14:textId="0E1E139C" w:rsidR="00A247F8" w:rsidRPr="00075A18" w:rsidRDefault="00A247F8" w:rsidP="00F539E2">
      <w:pPr>
        <w:ind w:left="425" w:hanging="425"/>
        <w:rPr>
          <w:rFonts w:eastAsiaTheme="minorEastAsia"/>
        </w:rPr>
      </w:pPr>
      <w:r>
        <w:t>17.</w:t>
      </w:r>
      <w:r>
        <w:tab/>
        <w:t xml:space="preserve">INVITE les Parties contractantes qui incorporent et intègrent </w:t>
      </w:r>
      <w:r w:rsidR="00AD391D">
        <w:t>de nouvelles</w:t>
      </w:r>
      <w:r>
        <w:t xml:space="preserve"> technologies et </w:t>
      </w:r>
      <w:r w:rsidR="00AD391D">
        <w:t>d</w:t>
      </w:r>
      <w:r>
        <w:t>es connaissances traditionnelles, à partager</w:t>
      </w:r>
      <w:r w:rsidR="00B91C18">
        <w:t xml:space="preserve"> [à titre volontaire]</w:t>
      </w:r>
      <w:r>
        <w:t xml:space="preserve"> leurs </w:t>
      </w:r>
      <w:r w:rsidR="00B91C18">
        <w:t xml:space="preserve">bonnes </w:t>
      </w:r>
      <w:r>
        <w:t>pratiques, leur expérience et les enseignements qu</w:t>
      </w:r>
      <w:r w:rsidR="001158EA">
        <w:t>’</w:t>
      </w:r>
      <w:r>
        <w:t xml:space="preserve">elles en </w:t>
      </w:r>
      <w:r w:rsidR="00B91C18">
        <w:t>tirent en matière de</w:t>
      </w:r>
      <w:r w:rsidR="00B91C18" w:rsidRPr="00B91C18">
        <w:t xml:space="preserve"> </w:t>
      </w:r>
      <w:r w:rsidR="00B91C18">
        <w:t xml:space="preserve">conservation, gestion et utilisation rationnelle des zones humides. </w:t>
      </w:r>
    </w:p>
    <w:p w14:paraId="668A347A" w14:textId="6B6D3476" w:rsidR="00D668EE" w:rsidRDefault="00D668EE" w:rsidP="00843419">
      <w:pPr>
        <w:ind w:left="0" w:firstLine="0"/>
      </w:pPr>
    </w:p>
    <w:p w14:paraId="73B79B03" w14:textId="43692267" w:rsidR="00F547A6" w:rsidRDefault="002668A3" w:rsidP="00F539E2">
      <w:pPr>
        <w:ind w:left="425" w:hanging="425"/>
      </w:pPr>
      <w:r>
        <w:t>18.</w:t>
      </w:r>
      <w:r>
        <w:tab/>
        <w:t>DEMANDE au Groupe d</w:t>
      </w:r>
      <w:r w:rsidR="001158EA">
        <w:t>’</w:t>
      </w:r>
      <w:r>
        <w:t>évaluation scientifique et technique</w:t>
      </w:r>
      <w:r w:rsidR="00F547A6">
        <w:t xml:space="preserve"> (GEST), sous réserve des ressources et capacités disponibles :</w:t>
      </w:r>
    </w:p>
    <w:p w14:paraId="0E8E8709" w14:textId="77777777" w:rsidR="00F547A6" w:rsidRDefault="00F547A6" w:rsidP="00F539E2">
      <w:pPr>
        <w:ind w:left="425" w:hanging="425"/>
      </w:pPr>
    </w:p>
    <w:p w14:paraId="2D511C25" w14:textId="1743B15F" w:rsidR="003A296A" w:rsidRDefault="003A296A" w:rsidP="000A6D2A">
      <w:pPr>
        <w:ind w:left="850" w:hanging="425"/>
      </w:pPr>
      <w:r>
        <w:t>a)</w:t>
      </w:r>
      <w:r>
        <w:tab/>
      </w:r>
      <w:r w:rsidR="002668A3">
        <w:t>d</w:t>
      </w:r>
      <w:r w:rsidR="001158EA">
        <w:t>’</w:t>
      </w:r>
      <w:r w:rsidR="002668A3">
        <w:t xml:space="preserve">examiner les progrès </w:t>
      </w:r>
      <w:r w:rsidR="00F547A6">
        <w:t xml:space="preserve">et pratiques concernant les nouvelles </w:t>
      </w:r>
      <w:r w:rsidR="002668A3">
        <w:t>technologies liées aux zones humides et leurs applications,</w:t>
      </w:r>
      <w:r w:rsidR="00F547A6">
        <w:t xml:space="preserve"> et</w:t>
      </w:r>
      <w:r w:rsidR="002668A3">
        <w:t xml:space="preserve"> l</w:t>
      </w:r>
      <w:r w:rsidR="001158EA">
        <w:t>’</w:t>
      </w:r>
      <w:r w:rsidR="002668A3">
        <w:t>état de préservation des connaissances traditionnelles liées aux zones humides</w:t>
      </w:r>
      <w:r w:rsidR="00F547A6">
        <w:t> ;</w:t>
      </w:r>
    </w:p>
    <w:p w14:paraId="58BFB92D" w14:textId="77777777" w:rsidR="003A296A" w:rsidRDefault="003A296A" w:rsidP="003A296A">
      <w:pPr>
        <w:pStyle w:val="ListParagraph"/>
        <w:ind w:left="786" w:firstLine="0"/>
      </w:pPr>
    </w:p>
    <w:p w14:paraId="42135405" w14:textId="395FF93B" w:rsidR="003A296A" w:rsidRDefault="003A296A" w:rsidP="000A6D2A">
      <w:pPr>
        <w:ind w:left="850" w:hanging="425"/>
      </w:pPr>
      <w:r>
        <w:lastRenderedPageBreak/>
        <w:t>b)</w:t>
      </w:r>
      <w:r>
        <w:tab/>
      </w:r>
      <w:r w:rsidR="00F547A6">
        <w:t>d’élaborer des orientations sur l’</w:t>
      </w:r>
      <w:r w:rsidR="002668A3">
        <w:t xml:space="preserve">incorporation et </w:t>
      </w:r>
      <w:r w:rsidR="00F547A6">
        <w:t>l</w:t>
      </w:r>
      <w:r w:rsidR="001158EA">
        <w:t>’</w:t>
      </w:r>
      <w:r w:rsidR="002668A3">
        <w:t>intégration de</w:t>
      </w:r>
      <w:r w:rsidR="00F547A6">
        <w:t xml:space="preserve"> nouvelle</w:t>
      </w:r>
      <w:r w:rsidR="002668A3">
        <w:t xml:space="preserve">s technologies et de connaissances traditionnelles dans </w:t>
      </w:r>
      <w:r>
        <w:t xml:space="preserve">les mesures de </w:t>
      </w:r>
      <w:r w:rsidR="002668A3">
        <w:t>conservation, restauration, gestion et utilisation rationnelle et durable des zones humides</w:t>
      </w:r>
      <w:r>
        <w:t xml:space="preserve"> dans les domaines prioritaires des nouvelles technologies et des connaissances traditionnelles</w:t>
      </w:r>
      <w:r w:rsidR="002668A3">
        <w:t> ; et</w:t>
      </w:r>
    </w:p>
    <w:p w14:paraId="27A09A54" w14:textId="77777777" w:rsidR="003A296A" w:rsidRDefault="003A296A" w:rsidP="003A296A">
      <w:pPr>
        <w:ind w:left="426" w:firstLine="0"/>
      </w:pPr>
    </w:p>
    <w:p w14:paraId="42CA7F54" w14:textId="6291C7D1" w:rsidR="002668A3" w:rsidRDefault="003A296A" w:rsidP="000A6D2A">
      <w:pPr>
        <w:ind w:left="850" w:hanging="425"/>
      </w:pPr>
      <w:r>
        <w:t>c)</w:t>
      </w:r>
      <w:r>
        <w:tab/>
        <w:t>de rendre compte à la</w:t>
      </w:r>
      <w:r w:rsidR="002668A3">
        <w:t xml:space="preserve"> </w:t>
      </w:r>
      <w:r w:rsidR="003A3CBF">
        <w:t>Conférence</w:t>
      </w:r>
      <w:r w:rsidR="002668A3">
        <w:t xml:space="preserve"> des Parties contractantes</w:t>
      </w:r>
      <w:r>
        <w:t>,</w:t>
      </w:r>
      <w:r w:rsidR="008574FD">
        <w:t xml:space="preserve"> à sa 17</w:t>
      </w:r>
      <w:r w:rsidR="008574FD" w:rsidRPr="008574FD">
        <w:rPr>
          <w:vertAlign w:val="superscript"/>
        </w:rPr>
        <w:t>e</w:t>
      </w:r>
      <w:r w:rsidR="008574FD">
        <w:t xml:space="preserve"> Session,</w:t>
      </w:r>
      <w:r>
        <w:t xml:space="preserve"> </w:t>
      </w:r>
      <w:r w:rsidR="008574FD">
        <w:t>d</w:t>
      </w:r>
      <w:r>
        <w:t xml:space="preserve">es domaines affinés de nouvelles technologies et </w:t>
      </w:r>
      <w:r w:rsidR="002668A3">
        <w:t>de connaissances traditionnelles couvrant :</w:t>
      </w:r>
    </w:p>
    <w:p w14:paraId="4FF826BB" w14:textId="02714CCC" w:rsidR="00227BBF" w:rsidRDefault="00227BBF" w:rsidP="000A6D2A">
      <w:pPr>
        <w:pStyle w:val="ListParagraph"/>
        <w:numPr>
          <w:ilvl w:val="0"/>
          <w:numId w:val="3"/>
        </w:numPr>
        <w:ind w:left="1276" w:hanging="425"/>
        <w:rPr>
          <w:rFonts w:eastAsiaTheme="minorEastAsia"/>
        </w:rPr>
      </w:pPr>
      <w:r>
        <w:t>les inventaires</w:t>
      </w:r>
      <w:r w:rsidR="00197D6B">
        <w:t xml:space="preserve"> des zones humides (comprenant le patrimoine tangible et vivant)</w:t>
      </w:r>
      <w:r>
        <w:t>, la cartographie et le suivi</w:t>
      </w:r>
      <w:r w:rsidR="005C0AB6">
        <w:t> </w:t>
      </w:r>
      <w:r>
        <w:t>;</w:t>
      </w:r>
    </w:p>
    <w:p w14:paraId="477988D0" w14:textId="05FE9320" w:rsidR="00272738" w:rsidRPr="00BD4D09" w:rsidRDefault="00272738" w:rsidP="000A6D2A">
      <w:pPr>
        <w:pStyle w:val="ListParagraph"/>
        <w:numPr>
          <w:ilvl w:val="0"/>
          <w:numId w:val="3"/>
        </w:numPr>
        <w:ind w:left="1276" w:hanging="425"/>
        <w:rPr>
          <w:rFonts w:eastAsiaTheme="minorEastAsia"/>
        </w:rPr>
      </w:pPr>
      <w:r>
        <w:t>le calcul et les estimations des émissions</w:t>
      </w:r>
      <w:r w:rsidR="003A3CBF">
        <w:t xml:space="preserve"> nettes</w:t>
      </w:r>
      <w:r>
        <w:t xml:space="preserve"> de carbone ;</w:t>
      </w:r>
    </w:p>
    <w:p w14:paraId="74D92B8C" w14:textId="400C7E67" w:rsidR="00227BBF" w:rsidRDefault="00227BBF" w:rsidP="000A6D2A">
      <w:pPr>
        <w:pStyle w:val="ListParagraph"/>
        <w:numPr>
          <w:ilvl w:val="0"/>
          <w:numId w:val="3"/>
        </w:numPr>
        <w:ind w:left="1276" w:hanging="425"/>
        <w:rPr>
          <w:rFonts w:eastAsiaTheme="minorEastAsia"/>
        </w:rPr>
      </w:pPr>
      <w:r>
        <w:t>l</w:t>
      </w:r>
      <w:r w:rsidR="001158EA">
        <w:t>’</w:t>
      </w:r>
      <w:r>
        <w:t xml:space="preserve">évaluation des tendances des changements </w:t>
      </w:r>
      <w:r w:rsidR="005C0AB6">
        <w:t>dans les</w:t>
      </w:r>
      <w:r>
        <w:t xml:space="preserve"> caractéristiques écologiques ;</w:t>
      </w:r>
    </w:p>
    <w:p w14:paraId="755AF683" w14:textId="7AD9607E" w:rsidR="00BD4D09" w:rsidRDefault="00B26E12" w:rsidP="000A6D2A">
      <w:pPr>
        <w:pStyle w:val="ListParagraph"/>
        <w:numPr>
          <w:ilvl w:val="0"/>
          <w:numId w:val="3"/>
        </w:numPr>
        <w:ind w:left="1276" w:hanging="425"/>
        <w:rPr>
          <w:rFonts w:eastAsiaTheme="minorEastAsia"/>
        </w:rPr>
      </w:pPr>
      <w:r>
        <w:t>la régulation des processus hydrologiques et écologiques ;</w:t>
      </w:r>
    </w:p>
    <w:p w14:paraId="1CEEBAAD" w14:textId="31E022C3" w:rsidR="00F934F7" w:rsidRDefault="00F934F7" w:rsidP="000A6D2A">
      <w:pPr>
        <w:pStyle w:val="ListParagraph"/>
        <w:numPr>
          <w:ilvl w:val="0"/>
          <w:numId w:val="3"/>
        </w:numPr>
        <w:ind w:left="1276" w:hanging="425"/>
        <w:rPr>
          <w:rFonts w:eastAsiaTheme="minorEastAsia"/>
        </w:rPr>
      </w:pPr>
      <w:r>
        <w:t>l</w:t>
      </w:r>
      <w:r w:rsidR="001158EA">
        <w:t>’</w:t>
      </w:r>
      <w:r>
        <w:t xml:space="preserve">évaluation des services écosystémiques et </w:t>
      </w:r>
      <w:r w:rsidR="005C0AB6">
        <w:t>compensations</w:t>
      </w:r>
      <w:r>
        <w:t> ;</w:t>
      </w:r>
    </w:p>
    <w:p w14:paraId="054E8D72" w14:textId="637CDBFB" w:rsidR="00F934F7" w:rsidRDefault="00F934F7" w:rsidP="000A6D2A">
      <w:pPr>
        <w:pStyle w:val="ListParagraph"/>
        <w:numPr>
          <w:ilvl w:val="0"/>
          <w:numId w:val="3"/>
        </w:numPr>
        <w:ind w:left="1276" w:hanging="425"/>
        <w:rPr>
          <w:rFonts w:eastAsiaTheme="minorEastAsia"/>
        </w:rPr>
      </w:pPr>
      <w:r>
        <w:t>l</w:t>
      </w:r>
      <w:r w:rsidR="001158EA">
        <w:t>’</w:t>
      </w:r>
      <w:r>
        <w:t>utilisation rationnelle et durable des ressources des zones humides ;</w:t>
      </w:r>
    </w:p>
    <w:p w14:paraId="044DDED7" w14:textId="10F81365" w:rsidR="00272738" w:rsidRDefault="00272738" w:rsidP="000A6D2A">
      <w:pPr>
        <w:pStyle w:val="ListParagraph"/>
        <w:numPr>
          <w:ilvl w:val="0"/>
          <w:numId w:val="3"/>
        </w:numPr>
        <w:ind w:left="1276" w:hanging="425"/>
        <w:rPr>
          <w:rFonts w:eastAsiaTheme="minorEastAsia"/>
        </w:rPr>
      </w:pPr>
      <w:r>
        <w:t>le traitement et la gestion des menaces</w:t>
      </w:r>
      <w:r w:rsidR="005C0AB6">
        <w:t>, comprenant la restauration et le soutien à la gestion des sites sacrés</w:t>
      </w:r>
      <w:r>
        <w:t> ;</w:t>
      </w:r>
    </w:p>
    <w:p w14:paraId="0251F616" w14:textId="69392811" w:rsidR="00B26E12" w:rsidRDefault="00B26E12" w:rsidP="000A6D2A">
      <w:pPr>
        <w:pStyle w:val="ListParagraph"/>
        <w:numPr>
          <w:ilvl w:val="0"/>
          <w:numId w:val="3"/>
        </w:numPr>
        <w:ind w:left="1276" w:hanging="425"/>
        <w:rPr>
          <w:rFonts w:eastAsiaTheme="minorEastAsia"/>
        </w:rPr>
      </w:pPr>
      <w:r>
        <w:t xml:space="preserve">la gestion </w:t>
      </w:r>
      <w:r w:rsidR="005C0AB6">
        <w:t xml:space="preserve">participative </w:t>
      </w:r>
      <w:r>
        <w:t>et la prise de décision</w:t>
      </w:r>
      <w:r w:rsidR="005C0AB6">
        <w:t>, y compris pour les territoires autochtones</w:t>
      </w:r>
      <w:r>
        <w:t xml:space="preserve"> ; </w:t>
      </w:r>
    </w:p>
    <w:p w14:paraId="0B614527" w14:textId="1419805F" w:rsidR="00E97E54" w:rsidRDefault="005C0AB6" w:rsidP="000A6D2A">
      <w:pPr>
        <w:pStyle w:val="ListParagraph"/>
        <w:numPr>
          <w:ilvl w:val="0"/>
          <w:numId w:val="3"/>
        </w:numPr>
        <w:ind w:left="1276" w:hanging="425"/>
        <w:rPr>
          <w:rFonts w:eastAsiaTheme="minorEastAsia"/>
        </w:rPr>
      </w:pPr>
      <w:r>
        <w:t>l’accès public aux données techniques et scientifiques stockées sur des plateformes créées par les Parties contractantes </w:t>
      </w:r>
      <w:r w:rsidR="00024CB9">
        <w:t>;</w:t>
      </w:r>
      <w:r>
        <w:t xml:space="preserve"> et</w:t>
      </w:r>
    </w:p>
    <w:p w14:paraId="7748FE4C" w14:textId="02B8B2E0" w:rsidR="00AB59B6" w:rsidRDefault="005C0AB6" w:rsidP="000A6D2A">
      <w:pPr>
        <w:pStyle w:val="ListParagraph"/>
        <w:numPr>
          <w:ilvl w:val="0"/>
          <w:numId w:val="3"/>
        </w:numPr>
        <w:ind w:left="1276" w:hanging="425"/>
        <w:rPr>
          <w:rFonts w:eastAsiaTheme="minorEastAsia"/>
        </w:rPr>
      </w:pPr>
      <w:r>
        <w:t>l’évaluation systématique de l’intégrité écologique des zones humides.</w:t>
      </w:r>
    </w:p>
    <w:p w14:paraId="30C47613" w14:textId="7BF27D68" w:rsidR="008B121C" w:rsidRDefault="008B121C" w:rsidP="002668A3"/>
    <w:p w14:paraId="20848B6F" w14:textId="7D40E934" w:rsidR="00586600" w:rsidRPr="00BB71BC" w:rsidRDefault="008B121C" w:rsidP="00F539E2">
      <w:pPr>
        <w:ind w:left="425" w:hanging="425"/>
        <w:rPr>
          <w:rFonts w:cs="Calibri"/>
        </w:rPr>
      </w:pPr>
      <w:r w:rsidRPr="00BB71BC">
        <w:t>19.</w:t>
      </w:r>
      <w:r w:rsidRPr="00BB71BC">
        <w:tab/>
      </w:r>
      <w:r w:rsidR="00586600" w:rsidRPr="00227A8E">
        <w:rPr>
          <w:rFonts w:cs="Calibri"/>
        </w:rPr>
        <w:t>DEMANDE que le GEST</w:t>
      </w:r>
      <w:r w:rsidR="003A3CBF" w:rsidRPr="003A3CBF">
        <w:rPr>
          <w:rFonts w:cs="Calibri"/>
        </w:rPr>
        <w:t xml:space="preserve"> </w:t>
      </w:r>
      <w:r w:rsidR="003A3CBF" w:rsidRPr="00227A8E">
        <w:rPr>
          <w:rFonts w:cs="Calibri"/>
        </w:rPr>
        <w:t>applique</w:t>
      </w:r>
      <w:r w:rsidR="00586600" w:rsidRPr="00227A8E">
        <w:rPr>
          <w:rFonts w:cs="Calibri"/>
        </w:rPr>
        <w:t>, en tandem avec cette étude</w:t>
      </w:r>
      <w:r w:rsidR="00BB71BC" w:rsidRPr="00227A8E">
        <w:rPr>
          <w:rFonts w:cs="Calibri"/>
        </w:rPr>
        <w:t xml:space="preserve"> et selon qu’il convient</w:t>
      </w:r>
      <w:r w:rsidR="00586600" w:rsidRPr="00227A8E">
        <w:rPr>
          <w:rFonts w:cs="Calibri"/>
        </w:rPr>
        <w:t>, l’approche relative à la reconnaissance et à la collaboration avec les pe</w:t>
      </w:r>
      <w:r w:rsidR="00BB71BC" w:rsidRPr="00227A8E">
        <w:rPr>
          <w:rFonts w:cs="Calibri"/>
        </w:rPr>
        <w:t>u</w:t>
      </w:r>
      <w:r w:rsidR="00586600" w:rsidRPr="00227A8E">
        <w:rPr>
          <w:rFonts w:cs="Calibri"/>
        </w:rPr>
        <w:t>ples autochtones et les communautés loc</w:t>
      </w:r>
      <w:r w:rsidR="00BB71BC" w:rsidRPr="00227A8E">
        <w:rPr>
          <w:rFonts w:cs="Calibri"/>
        </w:rPr>
        <w:t>a</w:t>
      </w:r>
      <w:r w:rsidR="00586600" w:rsidRPr="00227A8E">
        <w:rPr>
          <w:rFonts w:cs="Calibri"/>
        </w:rPr>
        <w:t xml:space="preserve">les </w:t>
      </w:r>
      <w:r w:rsidR="00BB71BC" w:rsidRPr="00227A8E">
        <w:rPr>
          <w:rFonts w:cs="Calibri"/>
        </w:rPr>
        <w:t>de la Plateforme intergouvernementale scientifique et politique sur la biodiversité et les services écosystémiques, pour s’assurer que toute utilisation des connaissances traditionnelles respecte les protocoles en matière d’éthique.</w:t>
      </w:r>
    </w:p>
    <w:p w14:paraId="69ACA0DA" w14:textId="77777777" w:rsidR="00586600" w:rsidRPr="00BB71BC" w:rsidRDefault="00586600" w:rsidP="00F539E2">
      <w:pPr>
        <w:ind w:left="425" w:hanging="425"/>
      </w:pPr>
    </w:p>
    <w:p w14:paraId="20C1FC10" w14:textId="73A284D7" w:rsidR="008B121C" w:rsidRPr="00586600" w:rsidRDefault="00BB71BC" w:rsidP="00F539E2">
      <w:pPr>
        <w:ind w:left="425" w:hanging="425"/>
      </w:pPr>
      <w:r>
        <w:t>20.</w:t>
      </w:r>
      <w:r>
        <w:tab/>
      </w:r>
      <w:r w:rsidR="008B121C" w:rsidRPr="00586600">
        <w:t xml:space="preserve">DEMANDE au Secrétariat </w:t>
      </w:r>
      <w:r>
        <w:t>d’aider le GEST à s’acquitter de la mission qui lui est confiée au paragraphe 18 a) de la présente Résolution.</w:t>
      </w:r>
    </w:p>
    <w:p w14:paraId="3D0488C7" w14:textId="77777777" w:rsidR="00A247F8" w:rsidRPr="00586600" w:rsidRDefault="00A247F8" w:rsidP="00F539E2">
      <w:pPr>
        <w:ind w:left="425" w:hanging="425"/>
      </w:pPr>
    </w:p>
    <w:p w14:paraId="1961DC19" w14:textId="5B69C4F4" w:rsidR="00187F76" w:rsidRDefault="00735CF5" w:rsidP="00F539E2">
      <w:pPr>
        <w:ind w:left="425" w:hanging="425"/>
      </w:pPr>
      <w:r>
        <w:t>2</w:t>
      </w:r>
      <w:r w:rsidR="00227A8E">
        <w:t>1</w:t>
      </w:r>
      <w:r>
        <w:t>.</w:t>
      </w:r>
      <w:r>
        <w:tab/>
        <w:t>APPELLE les O</w:t>
      </w:r>
      <w:r w:rsidR="00227A8E">
        <w:t>IP</w:t>
      </w:r>
      <w:r>
        <w:t xml:space="preserve">, les autres ONG, les instituts de recherche et les organismes du secteur privé à contribuer </w:t>
      </w:r>
      <w:r w:rsidR="00227A8E">
        <w:t>à l’élaboration</w:t>
      </w:r>
      <w:r>
        <w:t xml:space="preserve"> et à l</w:t>
      </w:r>
      <w:r w:rsidR="001158EA">
        <w:t>’</w:t>
      </w:r>
      <w:r>
        <w:t>application de</w:t>
      </w:r>
      <w:r w:rsidR="00227A8E">
        <w:t xml:space="preserve"> nouvelle</w:t>
      </w:r>
      <w:r>
        <w:t xml:space="preserve">s technologies liées aux zones humides </w:t>
      </w:r>
      <w:r w:rsidR="00227A8E">
        <w:t>et à leur utilisation pour la préservation, la promotion et l’intégration de</w:t>
      </w:r>
      <w:r>
        <w:t xml:space="preserve"> connaissances traditionnelles. </w:t>
      </w:r>
    </w:p>
    <w:p w14:paraId="48B753B8" w14:textId="77777777" w:rsidR="00EB2BF2" w:rsidRPr="00B86467" w:rsidRDefault="00EB2BF2" w:rsidP="00955E50">
      <w:pPr>
        <w:ind w:left="0" w:firstLine="0"/>
      </w:pPr>
    </w:p>
    <w:sectPr w:rsidR="00EB2BF2" w:rsidRPr="00B86467">
      <w:headerReference w:type="default" r:id="rId12"/>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FE9C9" w14:textId="77777777" w:rsidR="00F90403" w:rsidRDefault="00F90403" w:rsidP="001A09CC">
      <w:r>
        <w:separator/>
      </w:r>
    </w:p>
  </w:endnote>
  <w:endnote w:type="continuationSeparator" w:id="0">
    <w:p w14:paraId="551811C3" w14:textId="77777777" w:rsidR="00F90403" w:rsidRDefault="00F90403" w:rsidP="001A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3F7E" w14:textId="3B0742FE" w:rsidR="00B2525B" w:rsidRPr="00B2525B" w:rsidRDefault="00AD391D" w:rsidP="00B2525B">
    <w:pPr>
      <w:tabs>
        <w:tab w:val="left" w:pos="8789"/>
      </w:tabs>
      <w:rPr>
        <w:rFonts w:cs="Calibri"/>
        <w:bCs/>
        <w:sz w:val="20"/>
        <w:szCs w:val="20"/>
      </w:rPr>
    </w:pPr>
    <w:r>
      <w:rPr>
        <w:sz w:val="20"/>
      </w:rPr>
      <w:t>COP15 Doc.23.17</w:t>
    </w:r>
    <w:r w:rsidR="00B2525B">
      <w:rPr>
        <w:sz w:val="20"/>
      </w:rPr>
      <w:tab/>
    </w:r>
    <w:r w:rsidR="00B2525B" w:rsidRPr="00B538BF">
      <w:rPr>
        <w:rFonts w:cs="Calibri"/>
        <w:sz w:val="20"/>
      </w:rPr>
      <w:fldChar w:fldCharType="begin"/>
    </w:r>
    <w:r w:rsidR="00B2525B" w:rsidRPr="00B538BF">
      <w:rPr>
        <w:rFonts w:cs="Calibri"/>
        <w:sz w:val="20"/>
      </w:rPr>
      <w:instrText xml:space="preserve"> PAGE   \* MERGEFORMAT </w:instrText>
    </w:r>
    <w:r w:rsidR="00B2525B" w:rsidRPr="00B538BF">
      <w:rPr>
        <w:rFonts w:cs="Calibri"/>
        <w:sz w:val="20"/>
      </w:rPr>
      <w:fldChar w:fldCharType="separate"/>
    </w:r>
    <w:r w:rsidR="00B8228A">
      <w:rPr>
        <w:rFonts w:cs="Calibri"/>
        <w:noProof/>
        <w:sz w:val="20"/>
      </w:rPr>
      <w:t>5</w:t>
    </w:r>
    <w:r w:rsidR="00B2525B" w:rsidRPr="00B538BF">
      <w:rPr>
        <w:rFonts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22773" w14:textId="77777777" w:rsidR="00F90403" w:rsidRDefault="00F90403" w:rsidP="001A09CC">
      <w:r>
        <w:separator/>
      </w:r>
    </w:p>
  </w:footnote>
  <w:footnote w:type="continuationSeparator" w:id="0">
    <w:p w14:paraId="75743F79" w14:textId="77777777" w:rsidR="00F90403" w:rsidRDefault="00F90403" w:rsidP="001A09CC">
      <w:r>
        <w:continuationSeparator/>
      </w:r>
    </w:p>
  </w:footnote>
  <w:footnote w:id="1">
    <w:p w14:paraId="04854F79" w14:textId="4DFD3712" w:rsidR="006B5BE7" w:rsidRDefault="006B5BE7" w:rsidP="00543F74">
      <w:pPr>
        <w:pStyle w:val="FootnoteText"/>
        <w:ind w:left="0" w:firstLine="0"/>
      </w:pPr>
      <w:r>
        <w:rPr>
          <w:rStyle w:val="FootnoteReference"/>
        </w:rPr>
        <w:footnoteRef/>
      </w:r>
      <w:r>
        <w:t xml:space="preserve"> Paragraphe 70, Programme de développement durable à l</w:t>
      </w:r>
      <w:r w:rsidR="001158EA">
        <w:t>’</w:t>
      </w:r>
      <w:r>
        <w:t>horizon 2030.</w:t>
      </w:r>
    </w:p>
  </w:footnote>
  <w:footnote w:id="2">
    <w:p w14:paraId="05706935" w14:textId="1219B64A" w:rsidR="006B5BE7" w:rsidRPr="00954E74" w:rsidRDefault="006B5BE7" w:rsidP="00543F74">
      <w:pPr>
        <w:pStyle w:val="FootnoteText"/>
        <w:ind w:left="0" w:firstLine="0"/>
      </w:pPr>
      <w:r>
        <w:rPr>
          <w:rStyle w:val="FootnoteReference"/>
        </w:rPr>
        <w:footnoteRef/>
      </w:r>
      <w:r>
        <w:t xml:space="preserve"> CBD/COP/DEC/15/4 Section C. paragraphe 7(l).</w:t>
      </w:r>
    </w:p>
  </w:footnote>
  <w:footnote w:id="3">
    <w:p w14:paraId="05BE71D5" w14:textId="00A3F80E" w:rsidR="00364AD5" w:rsidRPr="001F6C1E" w:rsidRDefault="00364AD5" w:rsidP="00543F74">
      <w:pPr>
        <w:pStyle w:val="FootnoteText"/>
        <w:ind w:left="0" w:firstLine="0"/>
        <w:rPr>
          <w:rFonts w:eastAsiaTheme="minorEastAsia"/>
        </w:rPr>
      </w:pPr>
      <w:r>
        <w:rPr>
          <w:rStyle w:val="FootnoteReference"/>
        </w:rPr>
        <w:footnoteRef/>
      </w:r>
      <w:r>
        <w:rPr>
          <w:rStyle w:val="FootnoteReference"/>
          <w:vertAlign w:val="baseline"/>
        </w:rPr>
        <w:t xml:space="preserve"> IPBES (2022). Summary for Policymakers of the Methodological Assessment Report on the Diverse Values and Valuation of Nature of the Intergovernmental Science-Policy Platform on Biodiversity and Ecosystem Services. Pascual, U, et al. </w:t>
      </w:r>
      <w:r w:rsidR="008574FD">
        <w:rPr>
          <w:rStyle w:val="FootnoteReference"/>
          <w:vertAlign w:val="baseline"/>
        </w:rPr>
        <w:t>Secrétariat</w:t>
      </w:r>
      <w:r>
        <w:rPr>
          <w:rStyle w:val="FootnoteReference"/>
          <w:vertAlign w:val="baseline"/>
        </w:rPr>
        <w:t xml:space="preserve"> de l</w:t>
      </w:r>
      <w:r w:rsidR="001158EA">
        <w:rPr>
          <w:rStyle w:val="FootnoteReference"/>
          <w:vertAlign w:val="baseline"/>
        </w:rPr>
        <w:t>’</w:t>
      </w:r>
      <w:r>
        <w:rPr>
          <w:rStyle w:val="FootnoteReference"/>
          <w:vertAlign w:val="baseline"/>
        </w:rPr>
        <w:t xml:space="preserve">IPBES, Bonn, Allemagne : </w:t>
      </w:r>
      <w:hyperlink r:id="rId1" w:history="1">
        <w:r w:rsidRPr="000A6D2A">
          <w:rPr>
            <w:rStyle w:val="Hyperlink"/>
          </w:rPr>
          <w:t>https://doi.org/10.5281/</w:t>
        </w:r>
        <w:r w:rsidRPr="00316860">
          <w:rPr>
            <w:rStyle w:val="Hyperlink"/>
          </w:rPr>
          <w:t>zenodo</w:t>
        </w:r>
        <w:r w:rsidRPr="000A6D2A">
          <w:rPr>
            <w:rStyle w:val="Hyperlink"/>
          </w:rPr>
          <w:t>.6522392</w:t>
        </w:r>
      </w:hyperlink>
      <w:r>
        <w:rPr>
          <w:rStyle w:val="FootnoteReference"/>
          <w:vertAlign w:val="baseline"/>
        </w:rPr>
        <w:t>.</w:t>
      </w:r>
    </w:p>
  </w:footnote>
  <w:footnote w:id="4">
    <w:p w14:paraId="22F3D85E" w14:textId="147486E7" w:rsidR="003812CA" w:rsidRPr="003812CA" w:rsidRDefault="003812CA">
      <w:pPr>
        <w:pStyle w:val="FootnoteText"/>
      </w:pPr>
      <w:r>
        <w:rPr>
          <w:rStyle w:val="FootnoteReference"/>
        </w:rPr>
        <w:footnoteRef/>
      </w:r>
      <w:r>
        <w:t xml:space="preserve"> Annexe, section D, paragraphe 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79E8" w14:textId="77777777" w:rsidR="00901505" w:rsidRDefault="00901505">
    <w:pPr>
      <w:pStyle w:val="Header"/>
    </w:pPr>
  </w:p>
  <w:p w14:paraId="7D719726" w14:textId="77777777" w:rsidR="00901505" w:rsidRDefault="0090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5DE6"/>
    <w:multiLevelType w:val="hybridMultilevel"/>
    <w:tmpl w:val="31D2B4E0"/>
    <w:lvl w:ilvl="0" w:tplc="406CBD8A">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17C21282"/>
    <w:multiLevelType w:val="hybridMultilevel"/>
    <w:tmpl w:val="7A7668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F5041"/>
    <w:multiLevelType w:val="hybridMultilevel"/>
    <w:tmpl w:val="2E0A887C"/>
    <w:lvl w:ilvl="0" w:tplc="08982558">
      <w:start w:val="1"/>
      <w:numFmt w:val="lowerLetter"/>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4" w15:restartNumberingAfterBreak="0">
    <w:nsid w:val="6C540F33"/>
    <w:multiLevelType w:val="hybridMultilevel"/>
    <w:tmpl w:val="C80E5BE2"/>
    <w:lvl w:ilvl="0" w:tplc="1AA6CCFE">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759704A1"/>
    <w:multiLevelType w:val="hybridMultilevel"/>
    <w:tmpl w:val="B7084174"/>
    <w:lvl w:ilvl="0" w:tplc="23F4C596">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258706751">
    <w:abstractNumId w:val="2"/>
  </w:num>
  <w:num w:numId="2" w16cid:durableId="1004941796">
    <w:abstractNumId w:val="1"/>
  </w:num>
  <w:num w:numId="3" w16cid:durableId="1744404111">
    <w:abstractNumId w:val="0"/>
  </w:num>
  <w:num w:numId="4" w16cid:durableId="1625310926">
    <w:abstractNumId w:val="3"/>
  </w:num>
  <w:num w:numId="5" w16cid:durableId="1879736262">
    <w:abstractNumId w:val="5"/>
  </w:num>
  <w:num w:numId="6" w16cid:durableId="1147893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76"/>
    <w:rsid w:val="00004646"/>
    <w:rsid w:val="00020B00"/>
    <w:rsid w:val="00024CB9"/>
    <w:rsid w:val="0002526D"/>
    <w:rsid w:val="0003316E"/>
    <w:rsid w:val="00035198"/>
    <w:rsid w:val="000371E5"/>
    <w:rsid w:val="000453D8"/>
    <w:rsid w:val="0004764E"/>
    <w:rsid w:val="00055806"/>
    <w:rsid w:val="00055E35"/>
    <w:rsid w:val="00060B47"/>
    <w:rsid w:val="000637B4"/>
    <w:rsid w:val="00074922"/>
    <w:rsid w:val="00075A18"/>
    <w:rsid w:val="00076806"/>
    <w:rsid w:val="00083D6C"/>
    <w:rsid w:val="00093767"/>
    <w:rsid w:val="000A26DB"/>
    <w:rsid w:val="000A6D2A"/>
    <w:rsid w:val="000A7601"/>
    <w:rsid w:val="000A7670"/>
    <w:rsid w:val="000B3940"/>
    <w:rsid w:val="000B7A34"/>
    <w:rsid w:val="000D100F"/>
    <w:rsid w:val="000D2BC0"/>
    <w:rsid w:val="000D65C5"/>
    <w:rsid w:val="000E0105"/>
    <w:rsid w:val="000E18D1"/>
    <w:rsid w:val="000E3E50"/>
    <w:rsid w:val="000F2DC6"/>
    <w:rsid w:val="00102451"/>
    <w:rsid w:val="00102534"/>
    <w:rsid w:val="00107108"/>
    <w:rsid w:val="001077FC"/>
    <w:rsid w:val="00110DCE"/>
    <w:rsid w:val="001158EA"/>
    <w:rsid w:val="001367C5"/>
    <w:rsid w:val="00140D4C"/>
    <w:rsid w:val="001421C1"/>
    <w:rsid w:val="001461BC"/>
    <w:rsid w:val="00151E01"/>
    <w:rsid w:val="00151EE9"/>
    <w:rsid w:val="00153E9D"/>
    <w:rsid w:val="00156E55"/>
    <w:rsid w:val="00165177"/>
    <w:rsid w:val="00166B85"/>
    <w:rsid w:val="00167192"/>
    <w:rsid w:val="0017704B"/>
    <w:rsid w:val="00180458"/>
    <w:rsid w:val="00185326"/>
    <w:rsid w:val="001860C6"/>
    <w:rsid w:val="00186694"/>
    <w:rsid w:val="00187F76"/>
    <w:rsid w:val="00197D6B"/>
    <w:rsid w:val="001A09CC"/>
    <w:rsid w:val="001A1E52"/>
    <w:rsid w:val="001A3734"/>
    <w:rsid w:val="001B093B"/>
    <w:rsid w:val="001B1CBC"/>
    <w:rsid w:val="001B7DE7"/>
    <w:rsid w:val="001C2B0D"/>
    <w:rsid w:val="001C6BE6"/>
    <w:rsid w:val="001C7362"/>
    <w:rsid w:val="001D1484"/>
    <w:rsid w:val="001D49BA"/>
    <w:rsid w:val="001D4BFE"/>
    <w:rsid w:val="001D72E7"/>
    <w:rsid w:val="001E212C"/>
    <w:rsid w:val="001E5A46"/>
    <w:rsid w:val="001F1E9A"/>
    <w:rsid w:val="001F21B6"/>
    <w:rsid w:val="001F4319"/>
    <w:rsid w:val="001F6C1E"/>
    <w:rsid w:val="00202315"/>
    <w:rsid w:val="00213A51"/>
    <w:rsid w:val="00220673"/>
    <w:rsid w:val="00222319"/>
    <w:rsid w:val="00224368"/>
    <w:rsid w:val="00226FA4"/>
    <w:rsid w:val="00227A8E"/>
    <w:rsid w:val="00227BBF"/>
    <w:rsid w:val="002321C3"/>
    <w:rsid w:val="00237448"/>
    <w:rsid w:val="002408D3"/>
    <w:rsid w:val="00244682"/>
    <w:rsid w:val="00244E72"/>
    <w:rsid w:val="002450A6"/>
    <w:rsid w:val="002668A3"/>
    <w:rsid w:val="00272738"/>
    <w:rsid w:val="00283F38"/>
    <w:rsid w:val="002869D6"/>
    <w:rsid w:val="0029222A"/>
    <w:rsid w:val="002939FE"/>
    <w:rsid w:val="00294FDB"/>
    <w:rsid w:val="002A52E3"/>
    <w:rsid w:val="002B30CC"/>
    <w:rsid w:val="002C3172"/>
    <w:rsid w:val="002D3E50"/>
    <w:rsid w:val="002D6EC9"/>
    <w:rsid w:val="002F4F1E"/>
    <w:rsid w:val="00305F6F"/>
    <w:rsid w:val="00316860"/>
    <w:rsid w:val="00317375"/>
    <w:rsid w:val="00317A14"/>
    <w:rsid w:val="00322EF4"/>
    <w:rsid w:val="003265DF"/>
    <w:rsid w:val="00330245"/>
    <w:rsid w:val="00330945"/>
    <w:rsid w:val="00335CE2"/>
    <w:rsid w:val="00345371"/>
    <w:rsid w:val="00347329"/>
    <w:rsid w:val="00350077"/>
    <w:rsid w:val="00352862"/>
    <w:rsid w:val="00363042"/>
    <w:rsid w:val="00363C9C"/>
    <w:rsid w:val="00364AD5"/>
    <w:rsid w:val="00371F0E"/>
    <w:rsid w:val="00375971"/>
    <w:rsid w:val="00380027"/>
    <w:rsid w:val="003812CA"/>
    <w:rsid w:val="00382190"/>
    <w:rsid w:val="00383636"/>
    <w:rsid w:val="003945B0"/>
    <w:rsid w:val="003A296A"/>
    <w:rsid w:val="003A2F42"/>
    <w:rsid w:val="003A3CBF"/>
    <w:rsid w:val="003A6903"/>
    <w:rsid w:val="003B1001"/>
    <w:rsid w:val="003B44E9"/>
    <w:rsid w:val="003C41E2"/>
    <w:rsid w:val="003C47BE"/>
    <w:rsid w:val="003C5E56"/>
    <w:rsid w:val="003E1FA1"/>
    <w:rsid w:val="003E52BD"/>
    <w:rsid w:val="00401344"/>
    <w:rsid w:val="004014B8"/>
    <w:rsid w:val="00401EA2"/>
    <w:rsid w:val="00406476"/>
    <w:rsid w:val="00410B85"/>
    <w:rsid w:val="004212D6"/>
    <w:rsid w:val="0043264C"/>
    <w:rsid w:val="0044657A"/>
    <w:rsid w:val="00447B25"/>
    <w:rsid w:val="00461253"/>
    <w:rsid w:val="004759E1"/>
    <w:rsid w:val="004777BD"/>
    <w:rsid w:val="0047783E"/>
    <w:rsid w:val="00480769"/>
    <w:rsid w:val="00484102"/>
    <w:rsid w:val="00487FA2"/>
    <w:rsid w:val="004919B4"/>
    <w:rsid w:val="004A1DA1"/>
    <w:rsid w:val="004A24FE"/>
    <w:rsid w:val="004A536E"/>
    <w:rsid w:val="004C1B76"/>
    <w:rsid w:val="004C6E9C"/>
    <w:rsid w:val="004C7A12"/>
    <w:rsid w:val="004D5753"/>
    <w:rsid w:val="004E288D"/>
    <w:rsid w:val="0050346B"/>
    <w:rsid w:val="00505953"/>
    <w:rsid w:val="00506A7A"/>
    <w:rsid w:val="00506CCC"/>
    <w:rsid w:val="005114C8"/>
    <w:rsid w:val="005123D2"/>
    <w:rsid w:val="00520236"/>
    <w:rsid w:val="00523A59"/>
    <w:rsid w:val="005369A0"/>
    <w:rsid w:val="00543F74"/>
    <w:rsid w:val="0054789A"/>
    <w:rsid w:val="00555726"/>
    <w:rsid w:val="00560EAA"/>
    <w:rsid w:val="00566E38"/>
    <w:rsid w:val="005672E1"/>
    <w:rsid w:val="00586600"/>
    <w:rsid w:val="00586DC6"/>
    <w:rsid w:val="005902A3"/>
    <w:rsid w:val="0059608F"/>
    <w:rsid w:val="005A14F1"/>
    <w:rsid w:val="005C0AB6"/>
    <w:rsid w:val="005D3F76"/>
    <w:rsid w:val="005D5EDE"/>
    <w:rsid w:val="005D65F3"/>
    <w:rsid w:val="005E0C7F"/>
    <w:rsid w:val="005E7C06"/>
    <w:rsid w:val="00613E63"/>
    <w:rsid w:val="00616013"/>
    <w:rsid w:val="0063001C"/>
    <w:rsid w:val="00630EB3"/>
    <w:rsid w:val="006448A5"/>
    <w:rsid w:val="00663020"/>
    <w:rsid w:val="00665760"/>
    <w:rsid w:val="00674899"/>
    <w:rsid w:val="006768BB"/>
    <w:rsid w:val="00682F7B"/>
    <w:rsid w:val="00683896"/>
    <w:rsid w:val="00684791"/>
    <w:rsid w:val="00695A9F"/>
    <w:rsid w:val="0069699F"/>
    <w:rsid w:val="006977FD"/>
    <w:rsid w:val="006A23C0"/>
    <w:rsid w:val="006A480D"/>
    <w:rsid w:val="006A7826"/>
    <w:rsid w:val="006B2AC7"/>
    <w:rsid w:val="006B5BE7"/>
    <w:rsid w:val="006C17F8"/>
    <w:rsid w:val="006F1920"/>
    <w:rsid w:val="006F1C21"/>
    <w:rsid w:val="006F2EFC"/>
    <w:rsid w:val="006F6973"/>
    <w:rsid w:val="00707431"/>
    <w:rsid w:val="00710716"/>
    <w:rsid w:val="00711292"/>
    <w:rsid w:val="0071664B"/>
    <w:rsid w:val="00717388"/>
    <w:rsid w:val="00717A67"/>
    <w:rsid w:val="00727800"/>
    <w:rsid w:val="007318A9"/>
    <w:rsid w:val="00735CF5"/>
    <w:rsid w:val="00737EBC"/>
    <w:rsid w:val="007415EE"/>
    <w:rsid w:val="00753AD4"/>
    <w:rsid w:val="007604D1"/>
    <w:rsid w:val="007756DE"/>
    <w:rsid w:val="007820F2"/>
    <w:rsid w:val="007954DB"/>
    <w:rsid w:val="007A18A1"/>
    <w:rsid w:val="007A39AF"/>
    <w:rsid w:val="007A3CAF"/>
    <w:rsid w:val="007A7F10"/>
    <w:rsid w:val="007B09E5"/>
    <w:rsid w:val="007B0DCD"/>
    <w:rsid w:val="007B4E59"/>
    <w:rsid w:val="007B6B25"/>
    <w:rsid w:val="007C0D39"/>
    <w:rsid w:val="007C4307"/>
    <w:rsid w:val="007C5EAA"/>
    <w:rsid w:val="007D2321"/>
    <w:rsid w:val="007D44B4"/>
    <w:rsid w:val="007E3F03"/>
    <w:rsid w:val="008000AC"/>
    <w:rsid w:val="00804F9B"/>
    <w:rsid w:val="008149E8"/>
    <w:rsid w:val="00814FDF"/>
    <w:rsid w:val="0081602F"/>
    <w:rsid w:val="00816DFF"/>
    <w:rsid w:val="00817AB7"/>
    <w:rsid w:val="008269C3"/>
    <w:rsid w:val="00843419"/>
    <w:rsid w:val="00843C34"/>
    <w:rsid w:val="00853158"/>
    <w:rsid w:val="008574FD"/>
    <w:rsid w:val="00862023"/>
    <w:rsid w:val="008620BC"/>
    <w:rsid w:val="00862809"/>
    <w:rsid w:val="0086388D"/>
    <w:rsid w:val="00866B48"/>
    <w:rsid w:val="00867FD1"/>
    <w:rsid w:val="0087355B"/>
    <w:rsid w:val="0087542B"/>
    <w:rsid w:val="0087607A"/>
    <w:rsid w:val="00884BFF"/>
    <w:rsid w:val="00895EC3"/>
    <w:rsid w:val="008A41A1"/>
    <w:rsid w:val="008B0961"/>
    <w:rsid w:val="008B121C"/>
    <w:rsid w:val="008B22C5"/>
    <w:rsid w:val="008B65A2"/>
    <w:rsid w:val="008C0304"/>
    <w:rsid w:val="008C0AF5"/>
    <w:rsid w:val="008C4EBF"/>
    <w:rsid w:val="008D4E84"/>
    <w:rsid w:val="008D79C3"/>
    <w:rsid w:val="008D7EFF"/>
    <w:rsid w:val="008E1FC7"/>
    <w:rsid w:val="008F31E7"/>
    <w:rsid w:val="008F401F"/>
    <w:rsid w:val="008F4AA0"/>
    <w:rsid w:val="009010D6"/>
    <w:rsid w:val="00901505"/>
    <w:rsid w:val="00907690"/>
    <w:rsid w:val="009105B0"/>
    <w:rsid w:val="00911D25"/>
    <w:rsid w:val="00916D2F"/>
    <w:rsid w:val="00920B4D"/>
    <w:rsid w:val="00924DFD"/>
    <w:rsid w:val="00930AF8"/>
    <w:rsid w:val="00931942"/>
    <w:rsid w:val="0093207D"/>
    <w:rsid w:val="00935CAA"/>
    <w:rsid w:val="00936F57"/>
    <w:rsid w:val="0094359C"/>
    <w:rsid w:val="009441BF"/>
    <w:rsid w:val="00944DB7"/>
    <w:rsid w:val="00954E74"/>
    <w:rsid w:val="00955E50"/>
    <w:rsid w:val="009561F9"/>
    <w:rsid w:val="00965EAA"/>
    <w:rsid w:val="00966F35"/>
    <w:rsid w:val="0097564B"/>
    <w:rsid w:val="00980584"/>
    <w:rsid w:val="009B47C4"/>
    <w:rsid w:val="009C4F7D"/>
    <w:rsid w:val="009D282A"/>
    <w:rsid w:val="009D669B"/>
    <w:rsid w:val="009F081A"/>
    <w:rsid w:val="009F5A12"/>
    <w:rsid w:val="00A030BA"/>
    <w:rsid w:val="00A03E39"/>
    <w:rsid w:val="00A247F8"/>
    <w:rsid w:val="00A24FE8"/>
    <w:rsid w:val="00A3602F"/>
    <w:rsid w:val="00A37582"/>
    <w:rsid w:val="00A37C2A"/>
    <w:rsid w:val="00A449B5"/>
    <w:rsid w:val="00A51630"/>
    <w:rsid w:val="00A548DA"/>
    <w:rsid w:val="00A61C16"/>
    <w:rsid w:val="00A660A4"/>
    <w:rsid w:val="00A7096A"/>
    <w:rsid w:val="00A75018"/>
    <w:rsid w:val="00A86265"/>
    <w:rsid w:val="00A865FE"/>
    <w:rsid w:val="00A92687"/>
    <w:rsid w:val="00A9375A"/>
    <w:rsid w:val="00A960D7"/>
    <w:rsid w:val="00A97230"/>
    <w:rsid w:val="00AA5627"/>
    <w:rsid w:val="00AB2B68"/>
    <w:rsid w:val="00AB59B6"/>
    <w:rsid w:val="00AC36B4"/>
    <w:rsid w:val="00AD391D"/>
    <w:rsid w:val="00AE05F6"/>
    <w:rsid w:val="00AE06E6"/>
    <w:rsid w:val="00AE2CB8"/>
    <w:rsid w:val="00AF372F"/>
    <w:rsid w:val="00B0054B"/>
    <w:rsid w:val="00B00EA6"/>
    <w:rsid w:val="00B00F5F"/>
    <w:rsid w:val="00B167C2"/>
    <w:rsid w:val="00B2525B"/>
    <w:rsid w:val="00B26E12"/>
    <w:rsid w:val="00B30E22"/>
    <w:rsid w:val="00B40AED"/>
    <w:rsid w:val="00B41EAF"/>
    <w:rsid w:val="00B42418"/>
    <w:rsid w:val="00B45C30"/>
    <w:rsid w:val="00B50AED"/>
    <w:rsid w:val="00B55800"/>
    <w:rsid w:val="00B60CAD"/>
    <w:rsid w:val="00B61931"/>
    <w:rsid w:val="00B61E1D"/>
    <w:rsid w:val="00B6404B"/>
    <w:rsid w:val="00B75561"/>
    <w:rsid w:val="00B801E0"/>
    <w:rsid w:val="00B8228A"/>
    <w:rsid w:val="00B82F47"/>
    <w:rsid w:val="00B833DA"/>
    <w:rsid w:val="00B85FB3"/>
    <w:rsid w:val="00B86467"/>
    <w:rsid w:val="00B91C18"/>
    <w:rsid w:val="00B91F68"/>
    <w:rsid w:val="00BA6901"/>
    <w:rsid w:val="00BB6F5C"/>
    <w:rsid w:val="00BB71BC"/>
    <w:rsid w:val="00BC0129"/>
    <w:rsid w:val="00BC39F1"/>
    <w:rsid w:val="00BC7426"/>
    <w:rsid w:val="00BD4D09"/>
    <w:rsid w:val="00BD5AD4"/>
    <w:rsid w:val="00BE1E0F"/>
    <w:rsid w:val="00BE346F"/>
    <w:rsid w:val="00BE425E"/>
    <w:rsid w:val="00BF0078"/>
    <w:rsid w:val="00BF7BE1"/>
    <w:rsid w:val="00C06ED3"/>
    <w:rsid w:val="00C149AA"/>
    <w:rsid w:val="00C339AF"/>
    <w:rsid w:val="00C505D3"/>
    <w:rsid w:val="00C63563"/>
    <w:rsid w:val="00C707F9"/>
    <w:rsid w:val="00C73549"/>
    <w:rsid w:val="00C8058C"/>
    <w:rsid w:val="00C834A9"/>
    <w:rsid w:val="00C8511E"/>
    <w:rsid w:val="00C9361F"/>
    <w:rsid w:val="00C94C4A"/>
    <w:rsid w:val="00C95106"/>
    <w:rsid w:val="00C95583"/>
    <w:rsid w:val="00CA2678"/>
    <w:rsid w:val="00CB2A7F"/>
    <w:rsid w:val="00CB60CB"/>
    <w:rsid w:val="00CC7AC1"/>
    <w:rsid w:val="00CC7E6E"/>
    <w:rsid w:val="00CE1AB6"/>
    <w:rsid w:val="00CE7170"/>
    <w:rsid w:val="00CF13DF"/>
    <w:rsid w:val="00CF652A"/>
    <w:rsid w:val="00D01CF8"/>
    <w:rsid w:val="00D1273A"/>
    <w:rsid w:val="00D13FA3"/>
    <w:rsid w:val="00D16C72"/>
    <w:rsid w:val="00D21629"/>
    <w:rsid w:val="00D255AC"/>
    <w:rsid w:val="00D42B41"/>
    <w:rsid w:val="00D44BD7"/>
    <w:rsid w:val="00D53FB8"/>
    <w:rsid w:val="00D668EE"/>
    <w:rsid w:val="00D7588E"/>
    <w:rsid w:val="00D847F8"/>
    <w:rsid w:val="00D85FD7"/>
    <w:rsid w:val="00D87024"/>
    <w:rsid w:val="00D9376B"/>
    <w:rsid w:val="00D95CEF"/>
    <w:rsid w:val="00DC6501"/>
    <w:rsid w:val="00DD07F6"/>
    <w:rsid w:val="00DD7B37"/>
    <w:rsid w:val="00DE0D15"/>
    <w:rsid w:val="00DE3213"/>
    <w:rsid w:val="00DE79B2"/>
    <w:rsid w:val="00DF185E"/>
    <w:rsid w:val="00DF4E86"/>
    <w:rsid w:val="00DF680F"/>
    <w:rsid w:val="00DF7BCC"/>
    <w:rsid w:val="00E014F9"/>
    <w:rsid w:val="00E142D1"/>
    <w:rsid w:val="00E1535E"/>
    <w:rsid w:val="00E17761"/>
    <w:rsid w:val="00E32D7A"/>
    <w:rsid w:val="00E334F1"/>
    <w:rsid w:val="00E34D4A"/>
    <w:rsid w:val="00E50B11"/>
    <w:rsid w:val="00E51B10"/>
    <w:rsid w:val="00E61CFC"/>
    <w:rsid w:val="00E74E4F"/>
    <w:rsid w:val="00E77341"/>
    <w:rsid w:val="00E83526"/>
    <w:rsid w:val="00E9467B"/>
    <w:rsid w:val="00E97E54"/>
    <w:rsid w:val="00EA01F2"/>
    <w:rsid w:val="00EB0C17"/>
    <w:rsid w:val="00EB17D1"/>
    <w:rsid w:val="00EB1BEA"/>
    <w:rsid w:val="00EB2BF2"/>
    <w:rsid w:val="00EB682B"/>
    <w:rsid w:val="00EC68AA"/>
    <w:rsid w:val="00EC6E46"/>
    <w:rsid w:val="00ED2B81"/>
    <w:rsid w:val="00ED2C01"/>
    <w:rsid w:val="00ED34D1"/>
    <w:rsid w:val="00EE1D50"/>
    <w:rsid w:val="00EE6877"/>
    <w:rsid w:val="00EF57A8"/>
    <w:rsid w:val="00F00AFD"/>
    <w:rsid w:val="00F00C85"/>
    <w:rsid w:val="00F014C3"/>
    <w:rsid w:val="00F0671C"/>
    <w:rsid w:val="00F13204"/>
    <w:rsid w:val="00F14060"/>
    <w:rsid w:val="00F14B08"/>
    <w:rsid w:val="00F15973"/>
    <w:rsid w:val="00F203DA"/>
    <w:rsid w:val="00F266CB"/>
    <w:rsid w:val="00F26A09"/>
    <w:rsid w:val="00F35999"/>
    <w:rsid w:val="00F40FF6"/>
    <w:rsid w:val="00F43C24"/>
    <w:rsid w:val="00F45BA9"/>
    <w:rsid w:val="00F50DE8"/>
    <w:rsid w:val="00F5397A"/>
    <w:rsid w:val="00F539E2"/>
    <w:rsid w:val="00F53F88"/>
    <w:rsid w:val="00F547A6"/>
    <w:rsid w:val="00F60E74"/>
    <w:rsid w:val="00F66B5D"/>
    <w:rsid w:val="00F70552"/>
    <w:rsid w:val="00F83084"/>
    <w:rsid w:val="00F85791"/>
    <w:rsid w:val="00F87282"/>
    <w:rsid w:val="00F9010A"/>
    <w:rsid w:val="00F90403"/>
    <w:rsid w:val="00F934F7"/>
    <w:rsid w:val="00F9733B"/>
    <w:rsid w:val="00FA492C"/>
    <w:rsid w:val="00FB0570"/>
    <w:rsid w:val="00FC4E0F"/>
    <w:rsid w:val="00FE22B4"/>
    <w:rsid w:val="00FE3777"/>
    <w:rsid w:val="00FE3CF5"/>
    <w:rsid w:val="00FF39BF"/>
    <w:rsid w:val="00FF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49C8"/>
  <w15:chartTrackingRefBased/>
  <w15:docId w15:val="{8C124652-EA5D-4B20-97C3-C4B62C47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kern w:val="2"/>
        <w:sz w:val="24"/>
        <w:szCs w:val="22"/>
        <w:lang w:val="fr-FR"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76"/>
    <w:pPr>
      <w:spacing w:line="240" w:lineRule="auto"/>
      <w:ind w:left="432" w:hanging="432"/>
      <w:jc w:val="left"/>
    </w:pPr>
    <w:rPr>
      <w:rFonts w:ascii="Calibri" w:eastAsia="Calibri" w:hAnsi="Calibri"/>
      <w:kern w:val="0"/>
      <w:sz w:val="22"/>
      <w:lang w:eastAsia="en-US"/>
    </w:rPr>
  </w:style>
  <w:style w:type="paragraph" w:styleId="Heading1">
    <w:name w:val="heading 1"/>
    <w:basedOn w:val="Normal"/>
    <w:next w:val="Normal"/>
    <w:link w:val="Heading1Char"/>
    <w:uiPriority w:val="9"/>
    <w:qFormat/>
    <w:rsid w:val="00506A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76"/>
    <w:pPr>
      <w:ind w:left="720"/>
      <w:contextualSpacing/>
    </w:pPr>
  </w:style>
  <w:style w:type="paragraph" w:styleId="Header">
    <w:name w:val="header"/>
    <w:basedOn w:val="Normal"/>
    <w:link w:val="HeaderChar"/>
    <w:uiPriority w:val="99"/>
    <w:unhideWhenUsed/>
    <w:rsid w:val="00187F76"/>
    <w:pPr>
      <w:tabs>
        <w:tab w:val="center" w:pos="4513"/>
        <w:tab w:val="right" w:pos="9026"/>
      </w:tabs>
    </w:pPr>
  </w:style>
  <w:style w:type="character" w:customStyle="1" w:styleId="HeaderChar">
    <w:name w:val="Header Char"/>
    <w:basedOn w:val="DefaultParagraphFont"/>
    <w:link w:val="Header"/>
    <w:uiPriority w:val="99"/>
    <w:rsid w:val="00187F76"/>
    <w:rPr>
      <w:rFonts w:ascii="Calibri" w:eastAsia="Calibri" w:hAnsi="Calibri"/>
      <w:kern w:val="0"/>
      <w:sz w:val="22"/>
      <w:lang w:val="fr-FR" w:eastAsia="en-US"/>
    </w:rPr>
  </w:style>
  <w:style w:type="table" w:styleId="TableGrid">
    <w:name w:val="Table Grid"/>
    <w:basedOn w:val="TableNormal"/>
    <w:uiPriority w:val="59"/>
    <w:rsid w:val="00187F76"/>
    <w:pPr>
      <w:spacing w:line="240" w:lineRule="auto"/>
      <w:ind w:left="432" w:hanging="432"/>
      <w:jc w:val="left"/>
    </w:pPr>
    <w:rPr>
      <w:rFonts w:asciiTheme="minorHAnsi" w:hAnsiTheme="minorHAnsi" w:cstheme="minorBid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09C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A09CC"/>
    <w:rPr>
      <w:rFonts w:ascii="Calibri" w:eastAsia="Calibri" w:hAnsi="Calibri"/>
      <w:kern w:val="0"/>
      <w:sz w:val="18"/>
      <w:szCs w:val="18"/>
      <w:lang w:val="fr-FR" w:eastAsia="en-US"/>
    </w:rPr>
  </w:style>
  <w:style w:type="paragraph" w:styleId="FootnoteText">
    <w:name w:val="footnote text"/>
    <w:basedOn w:val="Normal"/>
    <w:link w:val="FootnoteTextChar"/>
    <w:uiPriority w:val="99"/>
    <w:semiHidden/>
    <w:unhideWhenUsed/>
    <w:rsid w:val="00F00C85"/>
    <w:pPr>
      <w:snapToGrid w:val="0"/>
    </w:pPr>
    <w:rPr>
      <w:sz w:val="18"/>
      <w:szCs w:val="18"/>
    </w:rPr>
  </w:style>
  <w:style w:type="character" w:customStyle="1" w:styleId="FootnoteTextChar">
    <w:name w:val="Footnote Text Char"/>
    <w:basedOn w:val="DefaultParagraphFont"/>
    <w:link w:val="FootnoteText"/>
    <w:uiPriority w:val="99"/>
    <w:semiHidden/>
    <w:rsid w:val="00F00C85"/>
    <w:rPr>
      <w:rFonts w:ascii="Calibri" w:eastAsia="Calibri" w:hAnsi="Calibri"/>
      <w:kern w:val="0"/>
      <w:sz w:val="18"/>
      <w:szCs w:val="18"/>
      <w:lang w:val="fr-FR" w:eastAsia="en-US"/>
    </w:rPr>
  </w:style>
  <w:style w:type="character" w:styleId="FootnoteReference">
    <w:name w:val="footnote reference"/>
    <w:basedOn w:val="DefaultParagraphFont"/>
    <w:uiPriority w:val="99"/>
    <w:semiHidden/>
    <w:unhideWhenUsed/>
    <w:rsid w:val="00F00C85"/>
    <w:rPr>
      <w:vertAlign w:val="superscript"/>
    </w:rPr>
  </w:style>
  <w:style w:type="paragraph" w:styleId="Revision">
    <w:name w:val="Revision"/>
    <w:hidden/>
    <w:uiPriority w:val="99"/>
    <w:semiHidden/>
    <w:rsid w:val="00165177"/>
    <w:pPr>
      <w:spacing w:line="240" w:lineRule="auto"/>
      <w:jc w:val="left"/>
    </w:pPr>
    <w:rPr>
      <w:rFonts w:ascii="Calibri" w:eastAsia="Calibri" w:hAnsi="Calibri"/>
      <w:kern w:val="0"/>
      <w:sz w:val="22"/>
      <w:lang w:eastAsia="en-US"/>
    </w:rPr>
  </w:style>
  <w:style w:type="character" w:customStyle="1" w:styleId="Heading1Char">
    <w:name w:val="Heading 1 Char"/>
    <w:basedOn w:val="DefaultParagraphFont"/>
    <w:link w:val="Heading1"/>
    <w:uiPriority w:val="9"/>
    <w:rsid w:val="00506A7A"/>
    <w:rPr>
      <w:rFonts w:asciiTheme="majorHAnsi" w:eastAsiaTheme="majorEastAsia" w:hAnsiTheme="majorHAnsi" w:cstheme="majorBidi"/>
      <w:color w:val="2F5496" w:themeColor="accent1" w:themeShade="BF"/>
      <w:kern w:val="0"/>
      <w:sz w:val="32"/>
      <w:szCs w:val="32"/>
      <w:lang w:val="fr-FR" w:eastAsia="en-US"/>
    </w:rPr>
  </w:style>
  <w:style w:type="character" w:styleId="CommentReference">
    <w:name w:val="annotation reference"/>
    <w:basedOn w:val="DefaultParagraphFont"/>
    <w:uiPriority w:val="99"/>
    <w:semiHidden/>
    <w:unhideWhenUsed/>
    <w:rsid w:val="003812CA"/>
    <w:rPr>
      <w:sz w:val="16"/>
      <w:szCs w:val="16"/>
    </w:rPr>
  </w:style>
  <w:style w:type="paragraph" w:styleId="CommentText">
    <w:name w:val="annotation text"/>
    <w:basedOn w:val="Normal"/>
    <w:link w:val="CommentTextChar"/>
    <w:uiPriority w:val="99"/>
    <w:semiHidden/>
    <w:unhideWhenUsed/>
    <w:rsid w:val="003812CA"/>
    <w:rPr>
      <w:sz w:val="20"/>
      <w:szCs w:val="20"/>
    </w:rPr>
  </w:style>
  <w:style w:type="character" w:customStyle="1" w:styleId="CommentTextChar">
    <w:name w:val="Comment Text Char"/>
    <w:basedOn w:val="DefaultParagraphFont"/>
    <w:link w:val="CommentText"/>
    <w:uiPriority w:val="99"/>
    <w:semiHidden/>
    <w:rsid w:val="003812CA"/>
    <w:rPr>
      <w:rFonts w:ascii="Calibri" w:eastAsia="Calibri" w:hAnsi="Calibri"/>
      <w:kern w:val="0"/>
      <w:sz w:val="20"/>
      <w:szCs w:val="20"/>
      <w:lang w:val="fr-FR" w:eastAsia="en-US"/>
    </w:rPr>
  </w:style>
  <w:style w:type="paragraph" w:styleId="CommentSubject">
    <w:name w:val="annotation subject"/>
    <w:basedOn w:val="CommentText"/>
    <w:next w:val="CommentText"/>
    <w:link w:val="CommentSubjectChar"/>
    <w:uiPriority w:val="99"/>
    <w:semiHidden/>
    <w:unhideWhenUsed/>
    <w:rsid w:val="003812CA"/>
    <w:rPr>
      <w:b/>
      <w:bCs/>
    </w:rPr>
  </w:style>
  <w:style w:type="character" w:customStyle="1" w:styleId="CommentSubjectChar">
    <w:name w:val="Comment Subject Char"/>
    <w:basedOn w:val="CommentTextChar"/>
    <w:link w:val="CommentSubject"/>
    <w:uiPriority w:val="99"/>
    <w:semiHidden/>
    <w:rsid w:val="003812CA"/>
    <w:rPr>
      <w:rFonts w:ascii="Calibri" w:eastAsia="Calibri" w:hAnsi="Calibri"/>
      <w:b/>
      <w:bCs/>
      <w:kern w:val="0"/>
      <w:sz w:val="20"/>
      <w:szCs w:val="20"/>
      <w:lang w:val="fr-FR" w:eastAsia="en-US"/>
    </w:rPr>
  </w:style>
  <w:style w:type="character" w:styleId="Hyperlink">
    <w:name w:val="Hyperlink"/>
    <w:basedOn w:val="DefaultParagraphFont"/>
    <w:uiPriority w:val="99"/>
    <w:unhideWhenUsed/>
    <w:rsid w:val="00316860"/>
    <w:rPr>
      <w:color w:val="0000FF"/>
      <w:u w:val="single"/>
    </w:rPr>
  </w:style>
  <w:style w:type="character" w:styleId="UnresolvedMention">
    <w:name w:val="Unresolved Mention"/>
    <w:basedOn w:val="DefaultParagraphFont"/>
    <w:uiPriority w:val="99"/>
    <w:semiHidden/>
    <w:unhideWhenUsed/>
    <w:rsid w:val="000A6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23964">
      <w:bodyDiv w:val="1"/>
      <w:marLeft w:val="0"/>
      <w:marRight w:val="0"/>
      <w:marTop w:val="0"/>
      <w:marBottom w:val="0"/>
      <w:divBdr>
        <w:top w:val="none" w:sz="0" w:space="0" w:color="auto"/>
        <w:left w:val="none" w:sz="0" w:space="0" w:color="auto"/>
        <w:bottom w:val="none" w:sz="0" w:space="0" w:color="auto"/>
        <w:right w:val="none" w:sz="0" w:space="0" w:color="auto"/>
      </w:divBdr>
    </w:div>
    <w:div w:id="13662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5281/zenodo.652239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D02266DC-B2D8-46BC-88A0-737A00315701}">
  <ds:schemaRefs>
    <ds:schemaRef ds:uri="http://schemas.microsoft.com/sharepoint/v3/contenttype/forms"/>
  </ds:schemaRefs>
</ds:datastoreItem>
</file>

<file path=customXml/itemProps2.xml><?xml version="1.0" encoding="utf-8"?>
<ds:datastoreItem xmlns:ds="http://schemas.openxmlformats.org/officeDocument/2006/customXml" ds:itemID="{9C6E6E2C-6D7A-410E-8C88-83E20A1A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FA4F7-0C73-4B68-9AD8-3498BFE4A93E}">
  <ds:schemaRefs>
    <ds:schemaRef ds:uri="http://schemas.openxmlformats.org/officeDocument/2006/bibliography"/>
  </ds:schemaRefs>
</ds:datastoreItem>
</file>

<file path=customXml/itemProps4.xml><?xml version="1.0" encoding="utf-8"?>
<ds:datastoreItem xmlns:ds="http://schemas.openxmlformats.org/officeDocument/2006/customXml" ds:itemID="{FDCF1A52-039F-4E04-8A83-8EA25A64BE3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1572</Words>
  <Characters>8966</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Peoples Republic of China</dc:creator>
  <cp:keywords/>
  <dc:description/>
  <cp:lastModifiedBy>JENNINGS Edmund</cp:lastModifiedBy>
  <cp:revision>4</cp:revision>
  <dcterms:created xsi:type="dcterms:W3CDTF">2025-03-24T08:16:00Z</dcterms:created>
  <dcterms:modified xsi:type="dcterms:W3CDTF">2025-04-21T15:55:00Z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