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8B16" w14:textId="77777777" w:rsidR="006B0335" w:rsidRDefault="006B0335" w:rsidP="006B0335">
      <w:pPr>
        <w:spacing w:after="0" w:line="240" w:lineRule="auto"/>
        <w:jc w:val="center"/>
        <w:outlineLvl w:val="0"/>
        <w:rPr>
          <w:rFonts w:eastAsia="Times New Roman" w:cstheme="majorHAnsi"/>
          <w:b/>
          <w:bCs/>
          <w:sz w:val="24"/>
          <w:szCs w:val="24"/>
          <w:lang w:val="en-US"/>
        </w:rPr>
      </w:pPr>
      <w:r>
        <w:rPr>
          <w:rFonts w:eastAsia="Times New Roman" w:cstheme="majorHAnsi"/>
          <w:b/>
          <w:bCs/>
          <w:noProof/>
          <w:sz w:val="24"/>
          <w:szCs w:val="24"/>
          <w:lang w:val="en-US"/>
        </w:rPr>
        <w:drawing>
          <wp:anchor distT="0" distB="0" distL="114300" distR="114300" simplePos="0" relativeHeight="251659264" behindDoc="0" locked="0" layoutInCell="1" allowOverlap="1" wp14:anchorId="6BD00DDB" wp14:editId="27B08298">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2"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74B430" w14:textId="77777777" w:rsidR="006B0335" w:rsidRPr="00517C51" w:rsidRDefault="006B0335" w:rsidP="006B0335">
      <w:pPr>
        <w:spacing w:after="0"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1</w:t>
      </w:r>
      <w:r>
        <w:rPr>
          <w:rFonts w:eastAsia="Times New Roman" w:cstheme="majorHAnsi"/>
          <w:b/>
          <w:bCs/>
          <w:sz w:val="24"/>
          <w:szCs w:val="24"/>
          <w:lang w:val="en-US"/>
        </w:rPr>
        <w:t>5</w:t>
      </w:r>
      <w:r w:rsidRPr="00517C51">
        <w:rPr>
          <w:rFonts w:eastAsia="Times New Roman" w:cstheme="majorHAnsi"/>
          <w:b/>
          <w:bCs/>
          <w:sz w:val="24"/>
          <w:szCs w:val="24"/>
          <w:lang w:val="en-US"/>
        </w:rPr>
        <w:t xml:space="preserve">th </w:t>
      </w:r>
      <w:r>
        <w:rPr>
          <w:rFonts w:eastAsia="Times New Roman" w:cstheme="majorHAnsi"/>
          <w:b/>
          <w:bCs/>
          <w:sz w:val="24"/>
          <w:szCs w:val="24"/>
          <w:lang w:val="en-US"/>
        </w:rPr>
        <w:t>m</w:t>
      </w:r>
      <w:r w:rsidRPr="00517C51">
        <w:rPr>
          <w:rFonts w:eastAsia="Times New Roman" w:cstheme="majorHAnsi"/>
          <w:b/>
          <w:bCs/>
          <w:sz w:val="24"/>
          <w:szCs w:val="24"/>
          <w:lang w:val="en-US"/>
        </w:rPr>
        <w:t>eeting of the Conference of the Contracting Parties</w:t>
      </w:r>
    </w:p>
    <w:p w14:paraId="0331968B" w14:textId="77777777" w:rsidR="006B0335" w:rsidRDefault="006B0335" w:rsidP="006B0335">
      <w:pPr>
        <w:spacing w:after="0"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 the Convention on Wetlands</w:t>
      </w:r>
    </w:p>
    <w:p w14:paraId="206904B3" w14:textId="77777777" w:rsidR="006B0335" w:rsidRPr="00B85A24" w:rsidRDefault="006B0335" w:rsidP="006B0335">
      <w:pPr>
        <w:spacing w:after="0" w:line="240" w:lineRule="auto"/>
        <w:jc w:val="center"/>
        <w:outlineLvl w:val="0"/>
        <w:rPr>
          <w:rFonts w:eastAsia="Times New Roman" w:cstheme="majorHAnsi"/>
          <w:b/>
          <w:bCs/>
          <w:sz w:val="24"/>
          <w:szCs w:val="24"/>
          <w:lang w:val="en-US"/>
        </w:rPr>
      </w:pPr>
    </w:p>
    <w:p w14:paraId="77E61554" w14:textId="77777777" w:rsidR="006B0335" w:rsidRPr="00B85A24" w:rsidRDefault="006B0335" w:rsidP="006B0335">
      <w:pPr>
        <w:spacing w:after="0" w:line="240" w:lineRule="auto"/>
        <w:jc w:val="center"/>
        <w:outlineLvl w:val="0"/>
        <w:rPr>
          <w:rFonts w:eastAsia="Times New Roman" w:cstheme="majorHAnsi"/>
          <w:b/>
          <w:bCs/>
          <w:sz w:val="24"/>
          <w:szCs w:val="24"/>
          <w:lang w:val="en-US"/>
        </w:rPr>
      </w:pPr>
      <w:r w:rsidRPr="00B85A24">
        <w:rPr>
          <w:rFonts w:eastAsia="Times New Roman" w:cstheme="majorHAnsi"/>
          <w:b/>
          <w:bCs/>
          <w:sz w:val="24"/>
          <w:szCs w:val="24"/>
          <w:lang w:val="en-US"/>
        </w:rPr>
        <w:t>“</w:t>
      </w:r>
      <w:r>
        <w:rPr>
          <w:rFonts w:eastAsia="Times New Roman" w:cstheme="majorHAnsi"/>
          <w:b/>
          <w:bCs/>
          <w:sz w:val="24"/>
          <w:szCs w:val="24"/>
          <w:lang w:val="en-US"/>
        </w:rPr>
        <w:t xml:space="preserve">Protecting </w:t>
      </w:r>
      <w:r w:rsidRPr="00B36D04">
        <w:rPr>
          <w:rFonts w:eastAsia="Times New Roman" w:cstheme="majorHAnsi"/>
          <w:b/>
          <w:bCs/>
          <w:sz w:val="24"/>
          <w:szCs w:val="24"/>
          <w:lang w:val="en-US"/>
        </w:rPr>
        <w:t>wetlands</w:t>
      </w:r>
      <w:r>
        <w:rPr>
          <w:rFonts w:eastAsia="Times New Roman" w:cstheme="majorHAnsi"/>
          <w:b/>
          <w:bCs/>
          <w:sz w:val="24"/>
          <w:szCs w:val="24"/>
          <w:lang w:val="en-US"/>
        </w:rPr>
        <w:t xml:space="preserve"> for our common future</w:t>
      </w:r>
      <w:r w:rsidRPr="00B85A24">
        <w:rPr>
          <w:rFonts w:eastAsia="Times New Roman" w:cstheme="majorHAnsi"/>
          <w:b/>
          <w:bCs/>
          <w:sz w:val="24"/>
          <w:szCs w:val="24"/>
          <w:lang w:val="en-US"/>
        </w:rPr>
        <w:t>”</w:t>
      </w:r>
    </w:p>
    <w:p w14:paraId="50CD213D" w14:textId="77777777" w:rsidR="006B0335" w:rsidRDefault="006B0335" w:rsidP="006B0335">
      <w:pPr>
        <w:spacing w:after="0" w:line="240" w:lineRule="auto"/>
        <w:jc w:val="center"/>
        <w:outlineLvl w:val="0"/>
        <w:rPr>
          <w:rFonts w:eastAsia="Times New Roman" w:cstheme="majorHAnsi"/>
          <w:b/>
          <w:bCs/>
          <w:sz w:val="24"/>
          <w:szCs w:val="24"/>
          <w:lang w:val="en-US"/>
        </w:rPr>
      </w:pPr>
      <w:r>
        <w:rPr>
          <w:rFonts w:eastAsia="Times New Roman" w:cstheme="majorHAnsi"/>
          <w:b/>
          <w:bCs/>
          <w:sz w:val="24"/>
          <w:szCs w:val="24"/>
          <w:lang w:val="en-US"/>
        </w:rPr>
        <w:t>Victoria Falls, Zimbabwe</w:t>
      </w:r>
      <w:r w:rsidRPr="00B85A24">
        <w:rPr>
          <w:rFonts w:eastAsia="Times New Roman" w:cstheme="majorHAnsi"/>
          <w:b/>
          <w:bCs/>
          <w:sz w:val="24"/>
          <w:szCs w:val="24"/>
          <w:lang w:val="en-US"/>
        </w:rPr>
        <w:t xml:space="preserve">, </w:t>
      </w:r>
      <w:r>
        <w:rPr>
          <w:rFonts w:eastAsia="Times New Roman" w:cstheme="majorHAnsi"/>
          <w:b/>
          <w:bCs/>
          <w:sz w:val="24"/>
          <w:szCs w:val="24"/>
          <w:lang w:val="en-US"/>
        </w:rPr>
        <w:t>23-31 July</w:t>
      </w:r>
      <w:r w:rsidRPr="00B85A24">
        <w:rPr>
          <w:rFonts w:eastAsia="Times New Roman" w:cstheme="majorHAnsi"/>
          <w:b/>
          <w:bCs/>
          <w:sz w:val="24"/>
          <w:szCs w:val="24"/>
          <w:lang w:val="en-US"/>
        </w:rPr>
        <w:t xml:space="preserve"> </w:t>
      </w:r>
      <w:r>
        <w:rPr>
          <w:rFonts w:eastAsia="Times New Roman" w:cstheme="majorHAnsi"/>
          <w:b/>
          <w:bCs/>
          <w:sz w:val="24"/>
          <w:szCs w:val="24"/>
          <w:lang w:val="en-US"/>
        </w:rPr>
        <w:t>2025</w:t>
      </w:r>
    </w:p>
    <w:p w14:paraId="68810663" w14:textId="77777777" w:rsidR="006B0335" w:rsidRDefault="006B0335" w:rsidP="006B0335">
      <w:pPr>
        <w:spacing w:after="0" w:line="240" w:lineRule="auto"/>
        <w:jc w:val="center"/>
        <w:outlineLvl w:val="0"/>
        <w:rPr>
          <w:rFonts w:eastAsia="Times New Roman" w:cstheme="majorHAnsi"/>
          <w:b/>
          <w:bCs/>
          <w:sz w:val="24"/>
          <w:szCs w:val="24"/>
          <w:lang w:val="en-US"/>
        </w:rPr>
      </w:pPr>
    </w:p>
    <w:p w14:paraId="38DEED04" w14:textId="77777777" w:rsidR="006B0335" w:rsidRDefault="006B0335" w:rsidP="006B0335">
      <w:pPr>
        <w:spacing w:after="0" w:line="240" w:lineRule="auto"/>
        <w:jc w:val="center"/>
        <w:outlineLvl w:val="0"/>
        <w:rPr>
          <w:rFonts w:eastAsia="Times New Roman" w:cstheme="majorHAnsi"/>
          <w:b/>
          <w:bCs/>
          <w:sz w:val="24"/>
          <w:szCs w:val="24"/>
          <w:lang w:val="en-US"/>
        </w:rPr>
      </w:pPr>
    </w:p>
    <w:p w14:paraId="5B377F41" w14:textId="77777777" w:rsidR="006B0335" w:rsidRPr="00B85A24" w:rsidRDefault="006B0335" w:rsidP="006B0335">
      <w:pPr>
        <w:spacing w:after="0" w:line="240" w:lineRule="auto"/>
        <w:jc w:val="center"/>
        <w:outlineLvl w:val="0"/>
        <w:rPr>
          <w:rFonts w:eastAsia="Times New Roman" w:cstheme="majorHAnsi"/>
          <w:b/>
          <w:bCs/>
          <w:sz w:val="24"/>
          <w:szCs w:val="24"/>
          <w:lang w:val="en-US"/>
        </w:rPr>
      </w:pPr>
    </w:p>
    <w:p w14:paraId="7B19C16B" w14:textId="77777777" w:rsidR="006B0335" w:rsidRPr="00FA0356" w:rsidRDefault="006B0335" w:rsidP="006B0335">
      <w:pPr>
        <w:spacing w:after="0" w:line="240" w:lineRule="auto"/>
        <w:jc w:val="right"/>
      </w:pPr>
    </w:p>
    <w:p w14:paraId="261E19C9" w14:textId="68BE389C" w:rsidR="006B0335" w:rsidRDefault="006B0335" w:rsidP="006B0335">
      <w:pPr>
        <w:widowControl w:val="0"/>
        <w:spacing w:after="0" w:line="240" w:lineRule="auto"/>
        <w:jc w:val="right"/>
        <w:rPr>
          <w:rFonts w:cstheme="minorHAnsi"/>
        </w:rPr>
      </w:pPr>
      <w:r w:rsidRPr="00A71FEB">
        <w:rPr>
          <w:b/>
          <w:sz w:val="28"/>
          <w:szCs w:val="28"/>
        </w:rPr>
        <w:t>COP15 Doc.</w:t>
      </w:r>
      <w:r>
        <w:rPr>
          <w:b/>
          <w:sz w:val="28"/>
          <w:szCs w:val="28"/>
        </w:rPr>
        <w:t>23.10</w:t>
      </w:r>
    </w:p>
    <w:p w14:paraId="0D353BC2" w14:textId="77777777" w:rsidR="00B40448" w:rsidRPr="006B0335" w:rsidRDefault="00B40448" w:rsidP="006B0335">
      <w:pPr>
        <w:spacing w:after="0" w:line="240" w:lineRule="auto"/>
        <w:ind w:left="0" w:firstLine="0"/>
        <w:jc w:val="right"/>
        <w:rPr>
          <w:rFonts w:asciiTheme="minorHAnsi" w:hAnsiTheme="minorHAnsi" w:cstheme="minorHAnsi"/>
          <w:bCs/>
          <w:iCs/>
          <w:sz w:val="28"/>
          <w:szCs w:val="28"/>
          <w:lang w:val="en-US"/>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B40448" w:rsidRPr="00B40448" w14:paraId="5034D212" w14:textId="77777777" w:rsidTr="00237757">
        <w:trPr>
          <w:trHeight w:val="1446"/>
        </w:trPr>
        <w:tc>
          <w:tcPr>
            <w:tcW w:w="5000" w:type="pct"/>
            <w:tcBorders>
              <w:top w:val="single" w:sz="8" w:space="0" w:color="auto"/>
              <w:left w:val="single" w:sz="8" w:space="0" w:color="auto"/>
              <w:bottom w:val="single" w:sz="8" w:space="0" w:color="auto"/>
              <w:right w:val="single" w:sz="8" w:space="0" w:color="auto"/>
            </w:tcBorders>
          </w:tcPr>
          <w:p w14:paraId="4E422FB5" w14:textId="77777777" w:rsidR="00B40448" w:rsidRPr="00B40448" w:rsidRDefault="00B40448" w:rsidP="00C02A96">
            <w:pPr>
              <w:spacing w:after="0" w:line="240" w:lineRule="auto"/>
              <w:ind w:left="0" w:firstLine="0"/>
              <w:rPr>
                <w:rFonts w:asciiTheme="minorHAnsi" w:hAnsiTheme="minorHAnsi" w:cstheme="minorHAnsi"/>
                <w:b/>
                <w:bCs/>
                <w:lang w:val="en-US"/>
              </w:rPr>
            </w:pPr>
            <w:r w:rsidRPr="00B40448">
              <w:rPr>
                <w:rFonts w:asciiTheme="minorHAnsi" w:hAnsiTheme="minorHAnsi" w:cstheme="minorHAnsi"/>
                <w:b/>
                <w:bCs/>
                <w:lang w:val="en-US"/>
              </w:rPr>
              <w:t xml:space="preserve">Note from the Secretariat: </w:t>
            </w:r>
          </w:p>
          <w:p w14:paraId="5C2D0F5D" w14:textId="77777777" w:rsidR="00B40448" w:rsidRPr="00B40448" w:rsidRDefault="00B40448" w:rsidP="00C02A96">
            <w:pPr>
              <w:spacing w:after="0" w:line="240" w:lineRule="auto"/>
              <w:ind w:left="0" w:firstLine="0"/>
              <w:rPr>
                <w:rFonts w:asciiTheme="minorHAnsi" w:hAnsiTheme="minorHAnsi" w:cstheme="minorHAnsi"/>
                <w:bCs/>
                <w:lang w:val="en-US"/>
              </w:rPr>
            </w:pPr>
          </w:p>
          <w:p w14:paraId="4514F62C" w14:textId="60AE122A" w:rsidR="00AD3717" w:rsidRPr="00B40448" w:rsidRDefault="00B40448" w:rsidP="006B0335">
            <w:pPr>
              <w:spacing w:after="0" w:line="240" w:lineRule="auto"/>
              <w:ind w:left="0" w:firstLine="0"/>
              <w:rPr>
                <w:rFonts w:asciiTheme="minorHAnsi" w:hAnsiTheme="minorHAnsi" w:cstheme="minorHAnsi"/>
                <w:b/>
                <w:iCs/>
                <w:lang w:val="en-US"/>
              </w:rPr>
            </w:pPr>
            <w:r w:rsidRPr="00B40448">
              <w:rPr>
                <w:rFonts w:asciiTheme="minorHAnsi" w:hAnsiTheme="minorHAnsi" w:cstheme="minorHAnsi"/>
                <w:lang w:val="en-US"/>
              </w:rPr>
              <w:t xml:space="preserve">At its </w:t>
            </w:r>
            <w:r w:rsidR="0031026B">
              <w:rPr>
                <w:rFonts w:asciiTheme="minorHAnsi" w:hAnsiTheme="minorHAnsi" w:cstheme="minorHAnsi"/>
                <w:lang w:val="en-US"/>
              </w:rPr>
              <w:t>64</w:t>
            </w:r>
            <w:r w:rsidRPr="00B40448">
              <w:rPr>
                <w:rFonts w:asciiTheme="minorHAnsi" w:hAnsiTheme="minorHAnsi" w:cstheme="minorHAnsi"/>
                <w:lang w:val="en-US"/>
              </w:rPr>
              <w:t xml:space="preserve">th meeting, the Standing Committee in Decision </w:t>
            </w:r>
            <w:r w:rsidR="00F46021" w:rsidRPr="00F46021">
              <w:rPr>
                <w:rFonts w:asciiTheme="minorHAnsi" w:hAnsiTheme="minorHAnsi" w:cstheme="minorHAnsi"/>
                <w:lang w:val="en-US"/>
              </w:rPr>
              <w:t>SC64-09</w:t>
            </w:r>
            <w:r w:rsidR="00917014">
              <w:rPr>
                <w:rFonts w:asciiTheme="minorHAnsi" w:hAnsiTheme="minorHAnsi" w:cstheme="minorHAnsi"/>
                <w:lang w:val="en-US"/>
              </w:rPr>
              <w:t xml:space="preserve"> </w:t>
            </w:r>
            <w:r w:rsidRPr="00B40448">
              <w:rPr>
                <w:rFonts w:asciiTheme="minorHAnsi" w:hAnsiTheme="minorHAnsi" w:cstheme="minorHAnsi"/>
                <w:lang w:val="en-US"/>
              </w:rPr>
              <w:t xml:space="preserve">accepted the draft resolution in document </w:t>
            </w:r>
            <w:r w:rsidR="005324FF" w:rsidRPr="005324FF">
              <w:rPr>
                <w:rFonts w:asciiTheme="minorHAnsi" w:hAnsiTheme="minorHAnsi" w:cstheme="minorHAnsi"/>
                <w:lang w:val="en-US"/>
              </w:rPr>
              <w:t>SC64 Doc.19</w:t>
            </w:r>
            <w:r w:rsidRPr="00B40448">
              <w:rPr>
                <w:rFonts w:asciiTheme="minorHAnsi" w:hAnsiTheme="minorHAnsi" w:cstheme="minorHAnsi"/>
                <w:lang w:val="en-US"/>
              </w:rPr>
              <w:t xml:space="preserve">, on </w:t>
            </w:r>
            <w:r w:rsidR="00917014" w:rsidRPr="00917014">
              <w:rPr>
                <w:rFonts w:asciiTheme="minorHAnsi" w:hAnsiTheme="minorHAnsi" w:cstheme="minorHAnsi"/>
                <w:iCs/>
                <w:lang w:val="en-US"/>
              </w:rPr>
              <w:t>the</w:t>
            </w:r>
            <w:r w:rsidR="00917014" w:rsidRPr="00917014">
              <w:rPr>
                <w:rFonts w:asciiTheme="minorHAnsi" w:hAnsiTheme="minorHAnsi" w:cstheme="minorHAnsi"/>
                <w:i/>
                <w:lang w:val="en-US"/>
              </w:rPr>
              <w:t xml:space="preserve"> future implementation of scientific and technical aspects of the Convention for 202</w:t>
            </w:r>
            <w:r w:rsidR="007A2E35">
              <w:rPr>
                <w:rFonts w:asciiTheme="minorHAnsi" w:hAnsiTheme="minorHAnsi" w:cstheme="minorHAnsi"/>
                <w:i/>
                <w:lang w:val="en-US"/>
              </w:rPr>
              <w:t>5</w:t>
            </w:r>
            <w:r w:rsidR="00917014" w:rsidRPr="00917014">
              <w:rPr>
                <w:rFonts w:asciiTheme="minorHAnsi" w:hAnsiTheme="minorHAnsi" w:cstheme="minorHAnsi"/>
                <w:i/>
                <w:lang w:val="en-US"/>
              </w:rPr>
              <w:t>-2028</w:t>
            </w:r>
            <w:r w:rsidRPr="00B40448">
              <w:rPr>
                <w:rFonts w:asciiTheme="minorHAnsi" w:hAnsiTheme="minorHAnsi" w:cstheme="minorHAnsi"/>
                <w:iCs/>
                <w:lang w:val="en-US"/>
              </w:rPr>
              <w:t>,</w:t>
            </w:r>
            <w:r w:rsidRPr="00B40448">
              <w:rPr>
                <w:rFonts w:asciiTheme="minorHAnsi" w:hAnsiTheme="minorHAnsi" w:cstheme="minorHAnsi"/>
                <w:lang w:val="en-US"/>
              </w:rPr>
              <w:t xml:space="preserve"> and agreed to forward it to COP1</w:t>
            </w:r>
            <w:r w:rsidR="005324FF">
              <w:rPr>
                <w:rFonts w:asciiTheme="minorHAnsi" w:hAnsiTheme="minorHAnsi" w:cstheme="minorHAnsi"/>
                <w:lang w:val="en-US"/>
              </w:rPr>
              <w:t>5</w:t>
            </w:r>
            <w:r w:rsidRPr="00B40448">
              <w:rPr>
                <w:rFonts w:asciiTheme="minorHAnsi" w:hAnsiTheme="minorHAnsi" w:cstheme="minorHAnsi"/>
                <w:lang w:val="en-US"/>
              </w:rPr>
              <w:t xml:space="preserve"> for its consideration</w:t>
            </w:r>
            <w:r w:rsidR="00237757" w:rsidRPr="00237757">
              <w:rPr>
                <w:rFonts w:asciiTheme="minorHAnsi" w:hAnsiTheme="minorHAnsi" w:cstheme="minorHAnsi"/>
                <w:lang w:val="en-US"/>
              </w:rPr>
              <w:t>, amended to take into account the inputs presented by the Committee</w:t>
            </w:r>
            <w:r w:rsidRPr="00B40448">
              <w:rPr>
                <w:rFonts w:asciiTheme="minorHAnsi" w:hAnsiTheme="minorHAnsi" w:cstheme="minorHAnsi"/>
                <w:lang w:val="en-US"/>
              </w:rPr>
              <w:t>.</w:t>
            </w:r>
          </w:p>
        </w:tc>
      </w:tr>
    </w:tbl>
    <w:p w14:paraId="225C7B40" w14:textId="77777777" w:rsidR="001A24A7" w:rsidRDefault="001A24A7" w:rsidP="00C02A96">
      <w:pPr>
        <w:spacing w:after="0" w:line="240" w:lineRule="auto"/>
        <w:ind w:left="0" w:firstLine="0"/>
        <w:rPr>
          <w:rFonts w:asciiTheme="minorHAnsi" w:hAnsiTheme="minorHAnsi" w:cstheme="minorHAnsi"/>
          <w:bCs/>
          <w:sz w:val="28"/>
          <w:szCs w:val="28"/>
          <w:lang w:val="en-US"/>
        </w:rPr>
      </w:pPr>
    </w:p>
    <w:p w14:paraId="7AD57BD2" w14:textId="77777777" w:rsidR="006B0335" w:rsidRPr="006B0335" w:rsidRDefault="006B0335" w:rsidP="00C02A96">
      <w:pPr>
        <w:spacing w:after="0" w:line="240" w:lineRule="auto"/>
        <w:ind w:left="0" w:firstLine="0"/>
        <w:rPr>
          <w:rFonts w:asciiTheme="minorHAnsi" w:hAnsiTheme="minorHAnsi" w:cstheme="minorHAnsi"/>
          <w:bCs/>
          <w:sz w:val="28"/>
          <w:szCs w:val="28"/>
          <w:lang w:val="en-US"/>
        </w:rPr>
      </w:pPr>
    </w:p>
    <w:p w14:paraId="50F10650" w14:textId="2DA7B392" w:rsidR="001A24A7" w:rsidRPr="00233E8B" w:rsidRDefault="00FF4542" w:rsidP="00C02A96">
      <w:pPr>
        <w:spacing w:after="0" w:line="240" w:lineRule="auto"/>
        <w:ind w:left="0" w:firstLine="0"/>
        <w:jc w:val="center"/>
        <w:rPr>
          <w:rFonts w:asciiTheme="minorHAnsi" w:hAnsiTheme="minorHAnsi" w:cstheme="minorHAnsi"/>
          <w:b/>
          <w:sz w:val="28"/>
          <w:szCs w:val="28"/>
        </w:rPr>
      </w:pPr>
      <w:r w:rsidRPr="00FF4542">
        <w:rPr>
          <w:rFonts w:asciiTheme="minorHAnsi" w:hAnsiTheme="minorHAnsi" w:cstheme="minorHAnsi"/>
          <w:b/>
          <w:sz w:val="28"/>
          <w:szCs w:val="28"/>
        </w:rPr>
        <w:t xml:space="preserve">Draft resolution on the future implementation of </w:t>
      </w:r>
      <w:r>
        <w:rPr>
          <w:rFonts w:asciiTheme="minorHAnsi" w:hAnsiTheme="minorHAnsi" w:cstheme="minorHAnsi"/>
          <w:b/>
          <w:sz w:val="28"/>
          <w:szCs w:val="28"/>
        </w:rPr>
        <w:br/>
      </w:r>
      <w:r w:rsidRPr="00FF4542">
        <w:rPr>
          <w:rFonts w:asciiTheme="minorHAnsi" w:hAnsiTheme="minorHAnsi" w:cstheme="minorHAnsi"/>
          <w:b/>
          <w:sz w:val="28"/>
          <w:szCs w:val="28"/>
        </w:rPr>
        <w:t>scientific and technical aspects of the Convention for 202</w:t>
      </w:r>
      <w:r w:rsidR="007A2E35">
        <w:rPr>
          <w:rFonts w:asciiTheme="minorHAnsi" w:hAnsiTheme="minorHAnsi" w:cstheme="minorHAnsi"/>
          <w:b/>
          <w:sz w:val="28"/>
          <w:szCs w:val="28"/>
        </w:rPr>
        <w:t>5</w:t>
      </w:r>
      <w:r w:rsidRPr="00FF4542">
        <w:rPr>
          <w:rFonts w:asciiTheme="minorHAnsi" w:hAnsiTheme="minorHAnsi" w:cstheme="minorHAnsi"/>
          <w:b/>
          <w:sz w:val="28"/>
          <w:szCs w:val="28"/>
        </w:rPr>
        <w:t>-2028</w:t>
      </w:r>
    </w:p>
    <w:p w14:paraId="1D5B4A37" w14:textId="33066F97" w:rsidR="009A5144" w:rsidRDefault="009A5144" w:rsidP="00C02A96">
      <w:pPr>
        <w:spacing w:after="0" w:line="240" w:lineRule="auto"/>
        <w:ind w:left="0" w:firstLine="0"/>
        <w:rPr>
          <w:rFonts w:asciiTheme="minorHAnsi" w:hAnsiTheme="minorHAnsi" w:cstheme="minorHAnsi"/>
          <w:bCs/>
        </w:rPr>
      </w:pPr>
    </w:p>
    <w:p w14:paraId="63A6DF6C" w14:textId="77777777" w:rsidR="006B0335" w:rsidRPr="00B40448" w:rsidRDefault="006B0335" w:rsidP="00C02A96">
      <w:pPr>
        <w:spacing w:after="0" w:line="240" w:lineRule="auto"/>
        <w:ind w:left="0" w:firstLine="0"/>
        <w:rPr>
          <w:rFonts w:asciiTheme="minorHAnsi" w:hAnsiTheme="minorHAnsi" w:cstheme="minorHAnsi"/>
          <w:bCs/>
        </w:rPr>
      </w:pPr>
    </w:p>
    <w:p w14:paraId="1E25E9DB" w14:textId="77777777" w:rsidR="003C354A" w:rsidRPr="004502D6" w:rsidRDefault="003C354A" w:rsidP="00C02A96">
      <w:pPr>
        <w:spacing w:after="0" w:line="240" w:lineRule="auto"/>
      </w:pPr>
      <w:r w:rsidRPr="003F7858">
        <w:t>1.</w:t>
      </w:r>
      <w:r w:rsidRPr="003F7858">
        <w:tab/>
      </w:r>
      <w:r w:rsidRPr="004502D6">
        <w:rPr>
          <w:rFonts w:asciiTheme="minorHAnsi" w:hAnsiTheme="minorHAnsi"/>
        </w:rPr>
        <w:t>RECALLING Resolution XII.5</w:t>
      </w:r>
      <w:r w:rsidRPr="004502D6">
        <w:t xml:space="preserve">, </w:t>
      </w:r>
      <w:r w:rsidRPr="00F15E7B">
        <w:t xml:space="preserve">which established a new framework for delivering scientific and technical advice and guidance under the Convention and amended the modus operandi of the </w:t>
      </w:r>
      <w:r w:rsidRPr="00262FE6">
        <w:rPr>
          <w:rFonts w:cs="Arial"/>
        </w:rPr>
        <w:t>Scientific and Technical Review Panel (STRP)</w:t>
      </w:r>
      <w:r w:rsidRPr="00F15E7B">
        <w:t>;</w:t>
      </w:r>
      <w:r w:rsidRPr="00F15E7B" w:rsidDel="00F15E7B">
        <w:t xml:space="preserve"> </w:t>
      </w:r>
    </w:p>
    <w:p w14:paraId="2F8933B4" w14:textId="77777777" w:rsidR="003C354A" w:rsidRPr="004502D6" w:rsidRDefault="003C354A" w:rsidP="00C02A96">
      <w:pPr>
        <w:spacing w:after="0" w:line="240" w:lineRule="auto"/>
      </w:pPr>
    </w:p>
    <w:p w14:paraId="3D913C42" w14:textId="77777777" w:rsidR="003C354A" w:rsidRPr="004502D6" w:rsidRDefault="003C354A" w:rsidP="00C02A96">
      <w:pPr>
        <w:spacing w:after="0" w:line="240" w:lineRule="auto"/>
      </w:pPr>
      <w:r w:rsidRPr="004502D6">
        <w:t>2.</w:t>
      </w:r>
      <w:r w:rsidRPr="004502D6">
        <w:tab/>
        <w:t xml:space="preserve">RECALLING </w:t>
      </w:r>
      <w:r w:rsidRPr="00A30EDD">
        <w:t>paragraph 16 of Resolution XII.5, which outlines the need for any changes to the STRP’s organi</w:t>
      </w:r>
      <w:r>
        <w:t>z</w:t>
      </w:r>
      <w:r w:rsidRPr="00A30EDD">
        <w:t xml:space="preserve">ation and processes to be made by </w:t>
      </w:r>
      <w:r w:rsidRPr="0060171B">
        <w:t>Conference of the Contracting Parties</w:t>
      </w:r>
      <w:r>
        <w:t xml:space="preserve"> (COP) </w:t>
      </w:r>
      <w:r w:rsidRPr="00A30EDD">
        <w:t>decisions, and paragraph 23 of the same Resolution, which emphasi</w:t>
      </w:r>
      <w:r>
        <w:t>z</w:t>
      </w:r>
      <w:r w:rsidRPr="00A30EDD">
        <w:t>es the need to ensure adequate resources for the STRP to carry out its work effectively;</w:t>
      </w:r>
      <w:r w:rsidRPr="00A30EDD" w:rsidDel="00A30EDD">
        <w:t xml:space="preserve"> </w:t>
      </w:r>
    </w:p>
    <w:p w14:paraId="07C18ED7" w14:textId="77777777" w:rsidR="003C354A" w:rsidRPr="004502D6" w:rsidRDefault="003C354A" w:rsidP="00C02A96">
      <w:pPr>
        <w:spacing w:after="0" w:line="240" w:lineRule="auto"/>
      </w:pPr>
    </w:p>
    <w:p w14:paraId="27917FEF" w14:textId="77777777" w:rsidR="003C354A" w:rsidRPr="004502D6" w:rsidRDefault="003C354A" w:rsidP="00C02A96">
      <w:pPr>
        <w:spacing w:after="0" w:line="240" w:lineRule="auto"/>
      </w:pPr>
      <w:r>
        <w:t>3</w:t>
      </w:r>
      <w:r w:rsidRPr="004502D6">
        <w:t>.</w:t>
      </w:r>
      <w:r w:rsidRPr="004502D6">
        <w:tab/>
        <w:t xml:space="preserve">FURTHER RECALLING </w:t>
      </w:r>
      <w:r w:rsidRPr="00DB1A20">
        <w:t>paragraph 44 of Annex 1 to Resolution XII.5, which requests the STRP, in consultation with the Secretariat and the Standing Committee, to identify the</w:t>
      </w:r>
      <w:r>
        <w:t xml:space="preserve"> </w:t>
      </w:r>
      <w:r w:rsidRPr="004502D6">
        <w:t xml:space="preserve">“scientific and technical priorities for the coming triennium, and funding needs, and indicate potentially relevant partner organizations, for the consideration of the Conference of Parties”; </w:t>
      </w:r>
    </w:p>
    <w:p w14:paraId="13E5C5A6" w14:textId="77777777" w:rsidR="003C354A" w:rsidRPr="004502D6" w:rsidRDefault="003C354A" w:rsidP="00C02A96">
      <w:pPr>
        <w:spacing w:after="0" w:line="240" w:lineRule="auto"/>
      </w:pPr>
    </w:p>
    <w:p w14:paraId="70DC3244" w14:textId="77777777" w:rsidR="003C354A" w:rsidRPr="004502D6" w:rsidRDefault="003C354A" w:rsidP="00C02A96">
      <w:pPr>
        <w:spacing w:after="0" w:line="240" w:lineRule="auto"/>
      </w:pPr>
      <w:r>
        <w:t>4</w:t>
      </w:r>
      <w:r w:rsidRPr="004502D6">
        <w:t>.</w:t>
      </w:r>
      <w:r w:rsidRPr="004502D6">
        <w:tab/>
        <w:t xml:space="preserve">FURTHER RECALLING </w:t>
      </w:r>
      <w:r w:rsidRPr="00CD2B0C">
        <w:t xml:space="preserve">paragraph 45 of Annex 1 to Resolution XII.5, which </w:t>
      </w:r>
      <w:r>
        <w:t>specifies</w:t>
      </w:r>
      <w:r w:rsidRPr="00CD2B0C">
        <w:t xml:space="preserve"> that the scientific and technical priorities </w:t>
      </w:r>
      <w:r>
        <w:t xml:space="preserve">should </w:t>
      </w:r>
      <w:r w:rsidRPr="00CD2B0C">
        <w:t xml:space="preserve">reflect the </w:t>
      </w:r>
      <w:r>
        <w:t xml:space="preserve">content of the </w:t>
      </w:r>
      <w:r w:rsidRPr="00CD2B0C">
        <w:t>Strategic Plan</w:t>
      </w:r>
      <w:r>
        <w:t xml:space="preserve"> of the Convention</w:t>
      </w:r>
      <w:r w:rsidRPr="00CD2B0C">
        <w:t>, previous COP Resolutions, and other key issues identified by regional or global wetland networks;</w:t>
      </w:r>
      <w:r w:rsidRPr="004502D6">
        <w:t xml:space="preserve"> </w:t>
      </w:r>
    </w:p>
    <w:p w14:paraId="4A81470D" w14:textId="77777777" w:rsidR="003C354A" w:rsidRPr="004502D6" w:rsidRDefault="003C354A" w:rsidP="00C02A96">
      <w:pPr>
        <w:spacing w:after="0" w:line="240" w:lineRule="auto"/>
      </w:pPr>
    </w:p>
    <w:p w14:paraId="5C8F8A5F" w14:textId="77777777" w:rsidR="003C354A" w:rsidRPr="00B97916" w:rsidRDefault="003C354A" w:rsidP="00C02A96">
      <w:pPr>
        <w:spacing w:after="0" w:line="240" w:lineRule="auto"/>
      </w:pPr>
      <w:r>
        <w:t>5.</w:t>
      </w:r>
      <w:r>
        <w:tab/>
        <w:t xml:space="preserve">NOTING WITH APPRECIATION the contributions made by </w:t>
      </w:r>
      <w:r w:rsidRPr="0063226F">
        <w:t>STRP members, I</w:t>
      </w:r>
      <w:r>
        <w:t xml:space="preserve">nternational </w:t>
      </w:r>
      <w:r w:rsidRPr="0063226F">
        <w:t>O</w:t>
      </w:r>
      <w:r>
        <w:t xml:space="preserve">rganization </w:t>
      </w:r>
      <w:r w:rsidRPr="0063226F">
        <w:t>P</w:t>
      </w:r>
      <w:r>
        <w:t>artners,</w:t>
      </w:r>
      <w:r w:rsidRPr="0063226F">
        <w:t xml:space="preserve"> observers, and STRP National Focal Points </w:t>
      </w:r>
      <w:r>
        <w:t xml:space="preserve">to the work of the STRP </w:t>
      </w:r>
      <w:r w:rsidRPr="0063226F">
        <w:t>during the past triennium</w:t>
      </w:r>
      <w:r>
        <w:t>;</w:t>
      </w:r>
      <w:r w:rsidRPr="0063226F">
        <w:t xml:space="preserve"> </w:t>
      </w:r>
      <w:r>
        <w:t>THANKING</w:t>
      </w:r>
      <w:r w:rsidRPr="0063226F">
        <w:t xml:space="preserve"> Danone, </w:t>
      </w:r>
      <w:r>
        <w:t xml:space="preserve">the </w:t>
      </w:r>
      <w:r w:rsidRPr="0063226F">
        <w:t xml:space="preserve">Government of Finland, </w:t>
      </w:r>
      <w:r>
        <w:t xml:space="preserve">the </w:t>
      </w:r>
      <w:r w:rsidRPr="0063226F">
        <w:t xml:space="preserve">Government of Norway, and the Government of the United Kingdom of Great Britain and Northern Ireland for </w:t>
      </w:r>
      <w:r w:rsidRPr="0063226F">
        <w:lastRenderedPageBreak/>
        <w:t>their generous financial contributions towards various STRP tasks</w:t>
      </w:r>
      <w:r>
        <w:t>; and</w:t>
      </w:r>
      <w:r w:rsidRPr="002041CA">
        <w:t xml:space="preserve"> </w:t>
      </w:r>
      <w:r>
        <w:t xml:space="preserve">ALSO THANKING </w:t>
      </w:r>
      <w:r w:rsidRPr="0063226F">
        <w:t>the Secretariat for its valued support;</w:t>
      </w:r>
    </w:p>
    <w:p w14:paraId="09BC57C0" w14:textId="77777777" w:rsidR="003C354A" w:rsidRDefault="003C354A" w:rsidP="00C02A96">
      <w:pPr>
        <w:spacing w:after="0" w:line="240" w:lineRule="auto"/>
      </w:pPr>
    </w:p>
    <w:p w14:paraId="197F102F" w14:textId="309F7D82" w:rsidR="003C354A" w:rsidRDefault="003C354A" w:rsidP="00C02A96">
      <w:pPr>
        <w:spacing w:after="0" w:line="240" w:lineRule="auto"/>
      </w:pPr>
      <w:r>
        <w:t>6.</w:t>
      </w:r>
      <w:r>
        <w:tab/>
        <w:t xml:space="preserve">RECALLING </w:t>
      </w:r>
      <w:r w:rsidRPr="001472FE">
        <w:t>Pre-SC62 Intersessional Decision 04</w:t>
      </w:r>
      <w:r>
        <w:t xml:space="preserve"> of the Standing Committee, which approved the work plan of the </w:t>
      </w:r>
      <w:r w:rsidR="00E02013">
        <w:t>STRP</w:t>
      </w:r>
      <w:r w:rsidRPr="00C81D1F">
        <w:t xml:space="preserve"> for 2023-2025</w:t>
      </w:r>
      <w:r w:rsidR="00C60E73">
        <w:t>;</w:t>
      </w:r>
      <w:r w:rsidRPr="00923DB9">
        <w:rPr>
          <w:rStyle w:val="FootnoteReference"/>
        </w:rPr>
        <w:footnoteReference w:id="2"/>
      </w:r>
    </w:p>
    <w:p w14:paraId="3A9C8DBA" w14:textId="77777777" w:rsidR="003C354A" w:rsidRDefault="003C354A" w:rsidP="00C02A96">
      <w:pPr>
        <w:spacing w:after="0" w:line="240" w:lineRule="auto"/>
      </w:pPr>
    </w:p>
    <w:p w14:paraId="22F5EA52" w14:textId="719EB141" w:rsidR="003C354A" w:rsidRDefault="003C354A" w:rsidP="00C02A96">
      <w:pPr>
        <w:spacing w:after="0" w:line="240" w:lineRule="auto"/>
      </w:pPr>
      <w:r>
        <w:t>7.</w:t>
      </w:r>
      <w:r>
        <w:tab/>
        <w:t xml:space="preserve">ALSO RECALLING </w:t>
      </w:r>
      <w:r w:rsidRPr="006D74BA">
        <w:t xml:space="preserve">Decision SC63-30 of the Standing Committee, which requested the STRP to undertake a review of the </w:t>
      </w:r>
      <w:r>
        <w:t xml:space="preserve">Convention’s </w:t>
      </w:r>
      <w:r w:rsidRPr="006D74BA">
        <w:t xml:space="preserve">classification system </w:t>
      </w:r>
      <w:r>
        <w:t xml:space="preserve">for </w:t>
      </w:r>
      <w:r w:rsidRPr="006D74BA">
        <w:t xml:space="preserve">wetland type as a high-priority task for the next triennium and to organize a consultation with the Earth </w:t>
      </w:r>
      <w:r>
        <w:t>o</w:t>
      </w:r>
      <w:r w:rsidRPr="006D74BA">
        <w:t>bservation community for the development of tools supporting wetland inventory, assessment, monitoring and conservation</w:t>
      </w:r>
      <w:r>
        <w:t>; and</w:t>
      </w:r>
    </w:p>
    <w:p w14:paraId="4F2B05C8" w14:textId="77777777" w:rsidR="003C354A" w:rsidRDefault="003C354A" w:rsidP="00C02A96">
      <w:pPr>
        <w:spacing w:after="0" w:line="240" w:lineRule="auto"/>
      </w:pPr>
    </w:p>
    <w:p w14:paraId="4089BA20" w14:textId="77777777" w:rsidR="003C354A" w:rsidRDefault="003C354A" w:rsidP="00C02A96">
      <w:pPr>
        <w:spacing w:after="0" w:line="240" w:lineRule="auto"/>
      </w:pPr>
      <w:r>
        <w:t>8.</w:t>
      </w:r>
      <w:r>
        <w:tab/>
        <w:t xml:space="preserve">ALSO RECALLING </w:t>
      </w:r>
      <w:r w:rsidRPr="00A30EDD">
        <w:t xml:space="preserve">paragraph </w:t>
      </w:r>
      <w:r>
        <w:t>23</w:t>
      </w:r>
      <w:r w:rsidRPr="00A30EDD">
        <w:t xml:space="preserve"> of Resolution XII</w:t>
      </w:r>
      <w:r>
        <w:t xml:space="preserve">I.10 on the </w:t>
      </w:r>
      <w:r w:rsidRPr="00923DB9">
        <w:rPr>
          <w:i/>
          <w:iCs/>
        </w:rPr>
        <w:t>Status of Sites in the Ramsar List of Wetlands of International Importance</w:t>
      </w:r>
      <w:r>
        <w:t xml:space="preserve">, which requested the Secretariat to investigate options and associated costs for working with Earth observation organizations, including the </w:t>
      </w:r>
      <w:r w:rsidRPr="00B66C59">
        <w:t>Group on Earth Observations (GEO)</w:t>
      </w:r>
      <w:r>
        <w:t xml:space="preserve">, for putting Earth observation data and monitoring tools at the disposal of Contracting Parties for national wetland inventory and monitoring changes to </w:t>
      </w:r>
      <w:r w:rsidRPr="00DC1C69">
        <w:t>Wetlands of International Importance</w:t>
      </w:r>
      <w:r>
        <w:t xml:space="preserve">; </w:t>
      </w:r>
    </w:p>
    <w:p w14:paraId="7EB629C0" w14:textId="77777777" w:rsidR="003C354A" w:rsidRPr="00D52729" w:rsidRDefault="003C354A" w:rsidP="00C02A96">
      <w:pPr>
        <w:spacing w:after="0" w:line="240" w:lineRule="auto"/>
        <w:ind w:left="0" w:firstLine="0"/>
        <w:rPr>
          <w:rFonts w:asciiTheme="minorHAnsi" w:hAnsiTheme="minorHAnsi"/>
          <w:color w:val="000000"/>
        </w:rPr>
      </w:pPr>
    </w:p>
    <w:p w14:paraId="2D6C9992" w14:textId="77777777" w:rsidR="003C354A" w:rsidRPr="003F7858" w:rsidRDefault="003C354A" w:rsidP="00C02A96">
      <w:pPr>
        <w:spacing w:after="0" w:line="240" w:lineRule="auto"/>
        <w:jc w:val="center"/>
        <w:rPr>
          <w:rFonts w:asciiTheme="minorHAnsi" w:eastAsia="Times New Roman" w:hAnsiTheme="minorHAnsi"/>
        </w:rPr>
      </w:pPr>
      <w:r w:rsidRPr="003F7858">
        <w:rPr>
          <w:rFonts w:asciiTheme="minorHAnsi" w:eastAsia="Times New Roman" w:hAnsiTheme="minorHAnsi"/>
        </w:rPr>
        <w:t>THE CONFERENCE OF THE CONTRACTING PARTIES</w:t>
      </w:r>
    </w:p>
    <w:p w14:paraId="3A4C4264" w14:textId="77777777" w:rsidR="003C354A" w:rsidRPr="003F7858" w:rsidRDefault="003C354A" w:rsidP="00C02A96">
      <w:pPr>
        <w:spacing w:after="0" w:line="240" w:lineRule="auto"/>
        <w:rPr>
          <w:rFonts w:asciiTheme="minorHAnsi" w:hAnsiTheme="minorHAnsi"/>
        </w:rPr>
      </w:pPr>
    </w:p>
    <w:p w14:paraId="1A9BD3B1" w14:textId="77777777" w:rsidR="003C354A" w:rsidRPr="00D52729" w:rsidRDefault="003C354A" w:rsidP="00C02A96">
      <w:pPr>
        <w:spacing w:after="0" w:line="240" w:lineRule="auto"/>
        <w:rPr>
          <w:rFonts w:asciiTheme="minorHAnsi" w:hAnsiTheme="minorHAnsi"/>
          <w:color w:val="000000"/>
        </w:rPr>
      </w:pPr>
      <w:r>
        <w:t>9</w:t>
      </w:r>
      <w:r w:rsidRPr="003F7858">
        <w:t>.</w:t>
      </w:r>
      <w:r w:rsidRPr="003F7858">
        <w:tab/>
      </w:r>
      <w:r>
        <w:t>WELCOMES the Scientific and Technical Review Panel (STRP) products delivered during the 2023-2025 triennium, listed in Annex 1 of the present Resolution</w:t>
      </w:r>
      <w:r w:rsidRPr="00D52729">
        <w:rPr>
          <w:rFonts w:asciiTheme="minorHAnsi" w:hAnsiTheme="minorHAnsi"/>
          <w:color w:val="000000"/>
        </w:rPr>
        <w:t>;</w:t>
      </w:r>
      <w:r>
        <w:rPr>
          <w:rFonts w:asciiTheme="minorHAnsi" w:hAnsiTheme="minorHAnsi"/>
          <w:color w:val="000000"/>
        </w:rPr>
        <w:t xml:space="preserve"> and </w:t>
      </w:r>
      <w:r>
        <w:t xml:space="preserve">URGES </w:t>
      </w:r>
      <w:r w:rsidRPr="00A33703">
        <w:t>Contracting Parties, managers of Wetlands of International Importance as well as other wetland managers, International Organi</w:t>
      </w:r>
      <w:r>
        <w:t>z</w:t>
      </w:r>
      <w:r w:rsidRPr="00A33703">
        <w:t>ation Partners</w:t>
      </w:r>
      <w:r>
        <w:t xml:space="preserve"> (IOPs)</w:t>
      </w:r>
      <w:r w:rsidRPr="00A33703">
        <w:t xml:space="preserve">, international and non-governmental organizations, academic and research institutions, and other stakeholders involved in wetland conservation and management </w:t>
      </w:r>
      <w:r w:rsidRPr="00BB2B93">
        <w:t>to utili</w:t>
      </w:r>
      <w:r>
        <w:t>z</w:t>
      </w:r>
      <w:r w:rsidRPr="00BB2B93">
        <w:t>e them to their full potential for wetland conservation and wise use;</w:t>
      </w:r>
    </w:p>
    <w:p w14:paraId="6714ED36" w14:textId="77777777" w:rsidR="003C354A" w:rsidRDefault="003C354A" w:rsidP="00C02A96">
      <w:pPr>
        <w:spacing w:after="0" w:line="240" w:lineRule="auto"/>
        <w:rPr>
          <w:rFonts w:asciiTheme="minorHAnsi" w:hAnsiTheme="minorHAnsi"/>
          <w:color w:val="000000"/>
        </w:rPr>
      </w:pPr>
    </w:p>
    <w:p w14:paraId="28DD2E80" w14:textId="77777777" w:rsidR="003C354A" w:rsidRDefault="003C354A" w:rsidP="00C02A96">
      <w:pPr>
        <w:spacing w:after="0" w:line="240" w:lineRule="auto"/>
      </w:pPr>
      <w:r>
        <w:t>10.</w:t>
      </w:r>
      <w:r>
        <w:tab/>
        <w:t xml:space="preserve">INVITES the Convention’s Contracting Parties, IOPs, </w:t>
      </w:r>
      <w:r w:rsidRPr="009973C9">
        <w:t xml:space="preserve">and other </w:t>
      </w:r>
      <w:r>
        <w:t xml:space="preserve">relevant </w:t>
      </w:r>
      <w:r w:rsidRPr="009973C9">
        <w:t xml:space="preserve">stakeholders </w:t>
      </w:r>
      <w:r w:rsidRPr="000C00F4">
        <w:t>to promote</w:t>
      </w:r>
      <w:r>
        <w:t xml:space="preserve"> and </w:t>
      </w:r>
      <w:r w:rsidRPr="000C00F4">
        <w:t xml:space="preserve">disseminate </w:t>
      </w:r>
      <w:r>
        <w:t xml:space="preserve">the </w:t>
      </w:r>
      <w:r w:rsidRPr="000C00F4">
        <w:t xml:space="preserve">STRP products widely, including the </w:t>
      </w:r>
      <w:r w:rsidRPr="00564714">
        <w:rPr>
          <w:i/>
          <w:iCs/>
        </w:rPr>
        <w:t>Global Wetland Outlook: Special Edition 2025</w:t>
      </w:r>
      <w:r w:rsidRPr="000C00F4">
        <w:t>;</w:t>
      </w:r>
      <w:r>
        <w:t xml:space="preserve"> </w:t>
      </w:r>
    </w:p>
    <w:p w14:paraId="484D9DF8" w14:textId="77777777" w:rsidR="003C354A" w:rsidRDefault="003C354A" w:rsidP="00C02A96">
      <w:pPr>
        <w:spacing w:after="0" w:line="240" w:lineRule="auto"/>
      </w:pPr>
    </w:p>
    <w:p w14:paraId="64B21925" w14:textId="520CD3FD" w:rsidR="003C354A" w:rsidRDefault="003C354A" w:rsidP="00C02A96">
      <w:pPr>
        <w:spacing w:after="0" w:line="240" w:lineRule="auto"/>
        <w:rPr>
          <w:rFonts w:asciiTheme="minorHAnsi" w:hAnsiTheme="minorHAnsi"/>
          <w:color w:val="000000"/>
        </w:rPr>
      </w:pPr>
      <w:r>
        <w:t>11.</w:t>
      </w:r>
      <w:r>
        <w:tab/>
        <w:t xml:space="preserve">APPROVES the thematic work areas </w:t>
      </w:r>
      <w:r w:rsidRPr="000E529E">
        <w:t>and the prioritized tasks for the STRP</w:t>
      </w:r>
      <w:r>
        <w:t xml:space="preserve"> for the 202</w:t>
      </w:r>
      <w:r w:rsidR="007A2E35">
        <w:t>5</w:t>
      </w:r>
      <w:r>
        <w:t>-2028 triennium listed in Annex 2 of the present Resolution;</w:t>
      </w:r>
    </w:p>
    <w:p w14:paraId="1F7B896B" w14:textId="77777777" w:rsidR="003C354A" w:rsidRDefault="003C354A" w:rsidP="00C02A96">
      <w:pPr>
        <w:spacing w:after="0" w:line="240" w:lineRule="auto"/>
        <w:rPr>
          <w:rFonts w:asciiTheme="minorHAnsi" w:hAnsiTheme="minorHAnsi"/>
          <w:color w:val="000000"/>
        </w:rPr>
      </w:pPr>
    </w:p>
    <w:p w14:paraId="615393B4" w14:textId="57EEE7B4" w:rsidR="003C354A" w:rsidRDefault="003C354A" w:rsidP="00C02A96">
      <w:pPr>
        <w:spacing w:after="0" w:line="240" w:lineRule="auto"/>
      </w:pPr>
      <w:r>
        <w:t>12.</w:t>
      </w:r>
      <w:r>
        <w:tab/>
        <w:t>APPROVES the revised list of bodies and organizations invited to participate as observers in the meetings and processes of the STRP for the 202</w:t>
      </w:r>
      <w:r w:rsidR="007A2E35">
        <w:t>5</w:t>
      </w:r>
      <w:r>
        <w:t>-2028 triennium, included in Annex 3 of the present Resolution, and ENCOURAGES their active participation, applying a range of expertise, in the work of the STRP, alongside the STRP Members and STRP National Focal Points;</w:t>
      </w:r>
    </w:p>
    <w:p w14:paraId="5E564551" w14:textId="77777777" w:rsidR="003C354A" w:rsidRDefault="003C354A" w:rsidP="00C02A96">
      <w:pPr>
        <w:spacing w:after="0" w:line="240" w:lineRule="auto"/>
      </w:pPr>
    </w:p>
    <w:p w14:paraId="2EAE27F7" w14:textId="278D3D22" w:rsidR="003C354A" w:rsidRDefault="003C354A" w:rsidP="00C02A96">
      <w:pPr>
        <w:spacing w:after="0" w:line="240" w:lineRule="auto"/>
        <w:rPr>
          <w:rFonts w:asciiTheme="minorHAnsi" w:hAnsiTheme="minorHAnsi"/>
          <w:color w:val="000000"/>
        </w:rPr>
      </w:pPr>
      <w:r>
        <w:t>13.</w:t>
      </w:r>
      <w:r>
        <w:tab/>
        <w:t>INSTRUCTS the STRP to develop its work plan for 202</w:t>
      </w:r>
      <w:r w:rsidR="007A2E35">
        <w:t>5</w:t>
      </w:r>
      <w:r>
        <w:t>-2028 and submit it to the Secretariat as soon as possible for approval of the Standing Committee, either intersessionally in advance of, or at its 67th meeting; ENCOURAGES the STRP in so doing to give due consideration to the inclusion of unfinished tasks from the 2023-2025 work plan; and ALSO INSTRUCTS the STRP to ensure that the work plan developed is streamlined and achievable within a single triennium, taking into account the traditional and local knowledge and potential contribution of Indigenous Peoples and local communities, where appropriate, and that all outputs of the STRP are designed, in collaboration with the Secretariat, to be user-friendly from the outset and for immediate use by Contracting Parties or other users;</w:t>
      </w:r>
    </w:p>
    <w:p w14:paraId="6A400C04" w14:textId="77777777" w:rsidR="003C354A" w:rsidRDefault="003C354A" w:rsidP="00C02A96">
      <w:pPr>
        <w:spacing w:after="0" w:line="240" w:lineRule="auto"/>
        <w:rPr>
          <w:rFonts w:asciiTheme="minorHAnsi" w:hAnsiTheme="minorHAnsi"/>
          <w:color w:val="000000"/>
        </w:rPr>
      </w:pPr>
    </w:p>
    <w:p w14:paraId="3619D4C3" w14:textId="6C06ADF0" w:rsidR="003C354A" w:rsidRDefault="003C354A" w:rsidP="00C02A96">
      <w:pPr>
        <w:spacing w:after="0" w:line="240" w:lineRule="auto"/>
        <w:rPr>
          <w:rFonts w:asciiTheme="minorHAnsi" w:hAnsiTheme="minorHAnsi"/>
          <w:color w:val="000000"/>
        </w:rPr>
      </w:pPr>
      <w:r w:rsidRPr="000E529E">
        <w:rPr>
          <w:rFonts w:asciiTheme="minorHAnsi" w:hAnsiTheme="minorHAnsi"/>
          <w:color w:val="000000"/>
        </w:rPr>
        <w:lastRenderedPageBreak/>
        <w:t>1</w:t>
      </w:r>
      <w:r>
        <w:rPr>
          <w:rFonts w:asciiTheme="minorHAnsi" w:hAnsiTheme="minorHAnsi"/>
          <w:color w:val="000000"/>
        </w:rPr>
        <w:t>4</w:t>
      </w:r>
      <w:r w:rsidRPr="000E529E">
        <w:rPr>
          <w:rFonts w:asciiTheme="minorHAnsi" w:hAnsiTheme="minorHAnsi"/>
          <w:color w:val="000000"/>
        </w:rPr>
        <w:t>.</w:t>
      </w:r>
      <w:r w:rsidRPr="000E529E">
        <w:rPr>
          <w:rFonts w:asciiTheme="minorHAnsi" w:hAnsiTheme="minorHAnsi"/>
          <w:color w:val="000000"/>
        </w:rPr>
        <w:tab/>
      </w:r>
      <w:r w:rsidRPr="002D590D">
        <w:rPr>
          <w:rFonts w:asciiTheme="minorHAnsi" w:hAnsiTheme="minorHAnsi"/>
          <w:color w:val="000000"/>
        </w:rPr>
        <w:t xml:space="preserve">REQUESTS the STRP to consider the findings of the consultation with the </w:t>
      </w:r>
      <w:r w:rsidR="00E02013">
        <w:rPr>
          <w:rFonts w:asciiTheme="minorHAnsi" w:hAnsiTheme="minorHAnsi"/>
          <w:color w:val="000000"/>
        </w:rPr>
        <w:t>E</w:t>
      </w:r>
      <w:r w:rsidRPr="002D590D">
        <w:rPr>
          <w:rFonts w:asciiTheme="minorHAnsi" w:hAnsiTheme="minorHAnsi"/>
          <w:color w:val="000000"/>
        </w:rPr>
        <w:t xml:space="preserve">arth </w:t>
      </w:r>
      <w:r>
        <w:rPr>
          <w:rFonts w:asciiTheme="minorHAnsi" w:hAnsiTheme="minorHAnsi"/>
          <w:color w:val="000000"/>
        </w:rPr>
        <w:t>o</w:t>
      </w:r>
      <w:r w:rsidRPr="002D590D">
        <w:rPr>
          <w:rFonts w:asciiTheme="minorHAnsi" w:hAnsiTheme="minorHAnsi"/>
          <w:color w:val="000000"/>
        </w:rPr>
        <w:t>bservation</w:t>
      </w:r>
      <w:r>
        <w:rPr>
          <w:rFonts w:asciiTheme="minorHAnsi" w:hAnsiTheme="minorHAnsi"/>
          <w:color w:val="000000"/>
        </w:rPr>
        <w:t xml:space="preserve"> </w:t>
      </w:r>
      <w:r w:rsidRPr="002D590D">
        <w:rPr>
          <w:rFonts w:asciiTheme="minorHAnsi" w:hAnsiTheme="minorHAnsi"/>
          <w:color w:val="000000"/>
        </w:rPr>
        <w:t xml:space="preserve">community conducted pursuant to </w:t>
      </w:r>
      <w:r w:rsidR="00E02013">
        <w:rPr>
          <w:rFonts w:asciiTheme="minorHAnsi" w:hAnsiTheme="minorHAnsi"/>
          <w:color w:val="000000"/>
        </w:rPr>
        <w:t>D</w:t>
      </w:r>
      <w:r w:rsidRPr="002D590D">
        <w:rPr>
          <w:rFonts w:asciiTheme="minorHAnsi" w:hAnsiTheme="minorHAnsi"/>
          <w:color w:val="000000"/>
        </w:rPr>
        <w:t xml:space="preserve">ecision SC63-30 </w:t>
      </w:r>
      <w:r w:rsidR="00E02013" w:rsidRPr="006D74BA">
        <w:t>of the Standing Committee</w:t>
      </w:r>
      <w:r w:rsidR="00E02013" w:rsidRPr="002D590D">
        <w:rPr>
          <w:rFonts w:asciiTheme="minorHAnsi" w:hAnsiTheme="minorHAnsi"/>
          <w:color w:val="000000"/>
        </w:rPr>
        <w:t xml:space="preserve"> </w:t>
      </w:r>
      <w:r w:rsidRPr="002D590D">
        <w:rPr>
          <w:rFonts w:asciiTheme="minorHAnsi" w:hAnsiTheme="minorHAnsi"/>
          <w:color w:val="000000"/>
        </w:rPr>
        <w:t>when developing its workplan for the 202</w:t>
      </w:r>
      <w:r w:rsidR="007A2E35">
        <w:rPr>
          <w:rFonts w:asciiTheme="minorHAnsi" w:hAnsiTheme="minorHAnsi"/>
          <w:color w:val="000000"/>
        </w:rPr>
        <w:t>5</w:t>
      </w:r>
      <w:r w:rsidRPr="002D590D">
        <w:rPr>
          <w:rFonts w:asciiTheme="minorHAnsi" w:hAnsiTheme="minorHAnsi"/>
          <w:color w:val="000000"/>
        </w:rPr>
        <w:t xml:space="preserve">-2028 triennium; </w:t>
      </w:r>
    </w:p>
    <w:p w14:paraId="1804187B" w14:textId="77777777" w:rsidR="003C354A" w:rsidRDefault="003C354A" w:rsidP="00C02A96">
      <w:pPr>
        <w:spacing w:after="0" w:line="240" w:lineRule="auto"/>
        <w:rPr>
          <w:rFonts w:asciiTheme="minorHAnsi" w:hAnsiTheme="minorHAnsi"/>
          <w:color w:val="000000"/>
        </w:rPr>
      </w:pPr>
    </w:p>
    <w:p w14:paraId="702BDFC7" w14:textId="049A0820" w:rsidR="003C354A" w:rsidRDefault="003C354A" w:rsidP="00C02A96">
      <w:pPr>
        <w:spacing w:after="0" w:line="240" w:lineRule="auto"/>
        <w:rPr>
          <w:rFonts w:asciiTheme="minorHAnsi" w:hAnsiTheme="minorHAnsi"/>
          <w:color w:val="000000"/>
        </w:rPr>
      </w:pPr>
      <w:r>
        <w:rPr>
          <w:rFonts w:asciiTheme="minorHAnsi" w:hAnsiTheme="minorHAnsi"/>
          <w:color w:val="000000"/>
        </w:rPr>
        <w:t>15.</w:t>
      </w:r>
      <w:r>
        <w:rPr>
          <w:rFonts w:asciiTheme="minorHAnsi" w:hAnsiTheme="minorHAnsi"/>
          <w:color w:val="000000"/>
        </w:rPr>
        <w:tab/>
      </w:r>
      <w:r w:rsidRPr="002D590D">
        <w:rPr>
          <w:rFonts w:asciiTheme="minorHAnsi" w:hAnsiTheme="minorHAnsi"/>
          <w:color w:val="000000"/>
        </w:rPr>
        <w:t xml:space="preserve">INSTRUCTS the Secretariat, in consultation with the STRP, </w:t>
      </w:r>
      <w:r>
        <w:rPr>
          <w:rFonts w:asciiTheme="minorHAnsi" w:hAnsiTheme="minorHAnsi"/>
          <w:color w:val="000000"/>
        </w:rPr>
        <w:t xml:space="preserve">the </w:t>
      </w:r>
      <w:r w:rsidRPr="002D590D">
        <w:rPr>
          <w:rFonts w:asciiTheme="minorHAnsi" w:hAnsiTheme="minorHAnsi"/>
          <w:color w:val="000000"/>
        </w:rPr>
        <w:t xml:space="preserve">Group on Earth Observations (GEO) and partners in the </w:t>
      </w:r>
      <w:r>
        <w:rPr>
          <w:rFonts w:asciiTheme="minorHAnsi" w:hAnsiTheme="minorHAnsi"/>
          <w:color w:val="000000"/>
        </w:rPr>
        <w:t>Earth observation</w:t>
      </w:r>
      <w:r w:rsidRPr="002D590D">
        <w:rPr>
          <w:rFonts w:asciiTheme="minorHAnsi" w:hAnsiTheme="minorHAnsi"/>
          <w:color w:val="000000"/>
        </w:rPr>
        <w:t xml:space="preserve"> community, to further develop an initiative for knowledge exchange</w:t>
      </w:r>
      <w:r>
        <w:rPr>
          <w:rFonts w:asciiTheme="minorHAnsi" w:hAnsiTheme="minorHAnsi"/>
          <w:color w:val="000000"/>
        </w:rPr>
        <w:t xml:space="preserve">, </w:t>
      </w:r>
      <w:r w:rsidRPr="002D590D">
        <w:rPr>
          <w:rFonts w:asciiTheme="minorHAnsi" w:hAnsiTheme="minorHAnsi"/>
          <w:color w:val="000000"/>
        </w:rPr>
        <w:t xml:space="preserve">guidance </w:t>
      </w:r>
      <w:r>
        <w:rPr>
          <w:rFonts w:asciiTheme="minorHAnsi" w:hAnsiTheme="minorHAnsi"/>
          <w:color w:val="000000"/>
        </w:rPr>
        <w:t xml:space="preserve">and technical support </w:t>
      </w:r>
      <w:r w:rsidRPr="002D590D">
        <w:rPr>
          <w:rFonts w:asciiTheme="minorHAnsi" w:hAnsiTheme="minorHAnsi"/>
          <w:color w:val="000000"/>
        </w:rPr>
        <w:t xml:space="preserve">for the </w:t>
      </w:r>
      <w:r>
        <w:rPr>
          <w:rFonts w:asciiTheme="minorHAnsi" w:hAnsiTheme="minorHAnsi"/>
          <w:color w:val="000000"/>
        </w:rPr>
        <w:t>enhanced</w:t>
      </w:r>
      <w:r w:rsidRPr="002D590D">
        <w:rPr>
          <w:rFonts w:asciiTheme="minorHAnsi" w:hAnsiTheme="minorHAnsi"/>
          <w:color w:val="000000"/>
        </w:rPr>
        <w:t xml:space="preserve"> application of </w:t>
      </w:r>
      <w:r>
        <w:rPr>
          <w:rFonts w:asciiTheme="minorHAnsi" w:hAnsiTheme="minorHAnsi"/>
          <w:color w:val="000000"/>
        </w:rPr>
        <w:t xml:space="preserve">Earth observation </w:t>
      </w:r>
      <w:r w:rsidRPr="002D590D">
        <w:rPr>
          <w:rFonts w:asciiTheme="minorHAnsi" w:hAnsiTheme="minorHAnsi"/>
          <w:color w:val="000000"/>
        </w:rPr>
        <w:t xml:space="preserve">in wetland inventory, assessment, monitoring and conservation, and report on progress to the </w:t>
      </w:r>
      <w:r>
        <w:rPr>
          <w:rFonts w:asciiTheme="minorHAnsi" w:hAnsiTheme="minorHAnsi"/>
          <w:color w:val="000000"/>
        </w:rPr>
        <w:t xml:space="preserve">Standing Committee, </w:t>
      </w:r>
      <w:r w:rsidRPr="002D590D">
        <w:rPr>
          <w:rFonts w:asciiTheme="minorHAnsi" w:hAnsiTheme="minorHAnsi"/>
          <w:color w:val="000000"/>
        </w:rPr>
        <w:t xml:space="preserve">including </w:t>
      </w:r>
      <w:r>
        <w:rPr>
          <w:rFonts w:asciiTheme="minorHAnsi" w:hAnsiTheme="minorHAnsi"/>
          <w:color w:val="000000"/>
        </w:rPr>
        <w:t>in relation to resource requirements</w:t>
      </w:r>
      <w:r w:rsidRPr="002D590D">
        <w:rPr>
          <w:rFonts w:asciiTheme="minorHAnsi" w:hAnsiTheme="minorHAnsi"/>
          <w:color w:val="000000"/>
        </w:rPr>
        <w:t>;</w:t>
      </w:r>
    </w:p>
    <w:p w14:paraId="5E34BEDE" w14:textId="77777777" w:rsidR="003C354A" w:rsidRDefault="003C354A" w:rsidP="00C02A96">
      <w:pPr>
        <w:spacing w:after="0" w:line="240" w:lineRule="auto"/>
        <w:ind w:left="0" w:firstLine="0"/>
        <w:rPr>
          <w:rFonts w:asciiTheme="minorHAnsi" w:hAnsiTheme="minorHAnsi"/>
          <w:color w:val="000000"/>
        </w:rPr>
      </w:pPr>
    </w:p>
    <w:p w14:paraId="288B21F1" w14:textId="77777777" w:rsidR="003C354A" w:rsidRDefault="003C354A" w:rsidP="00C02A96">
      <w:pPr>
        <w:spacing w:after="0" w:line="240" w:lineRule="auto"/>
        <w:rPr>
          <w:rFonts w:asciiTheme="minorHAnsi" w:hAnsiTheme="minorHAnsi"/>
          <w:color w:val="000000"/>
        </w:rPr>
      </w:pPr>
      <w:r w:rsidRPr="002B4505">
        <w:rPr>
          <w:rFonts w:asciiTheme="minorHAnsi" w:hAnsiTheme="minorHAnsi"/>
          <w:color w:val="000000"/>
        </w:rPr>
        <w:t>1</w:t>
      </w:r>
      <w:r>
        <w:rPr>
          <w:rFonts w:asciiTheme="minorHAnsi" w:hAnsiTheme="minorHAnsi"/>
          <w:color w:val="000000"/>
        </w:rPr>
        <w:t>6</w:t>
      </w:r>
      <w:r w:rsidRPr="002B4505">
        <w:rPr>
          <w:rFonts w:asciiTheme="minorHAnsi" w:hAnsiTheme="minorHAnsi"/>
          <w:color w:val="000000"/>
        </w:rPr>
        <w:t>.</w:t>
      </w:r>
      <w:r w:rsidRPr="002B4505">
        <w:rPr>
          <w:rFonts w:asciiTheme="minorHAnsi" w:hAnsiTheme="minorHAnsi"/>
          <w:color w:val="000000"/>
        </w:rPr>
        <w:tab/>
        <w:t xml:space="preserve">REQUESTS the Secretariat to </w:t>
      </w:r>
      <w:r>
        <w:rPr>
          <w:rFonts w:asciiTheme="minorHAnsi" w:hAnsiTheme="minorHAnsi"/>
          <w:color w:val="000000"/>
        </w:rPr>
        <w:t>issue</w:t>
      </w:r>
      <w:r w:rsidRPr="002B4505">
        <w:rPr>
          <w:rFonts w:asciiTheme="minorHAnsi" w:hAnsiTheme="minorHAnsi"/>
          <w:color w:val="000000"/>
        </w:rPr>
        <w:t xml:space="preserve"> future calls for nominations of </w:t>
      </w:r>
      <w:r w:rsidRPr="002B4505">
        <w:t xml:space="preserve">STRP Members </w:t>
      </w:r>
      <w:r w:rsidRPr="002B4505">
        <w:rPr>
          <w:rFonts w:asciiTheme="minorHAnsi" w:hAnsiTheme="minorHAnsi"/>
          <w:color w:val="000000"/>
        </w:rPr>
        <w:t xml:space="preserve">following the annual </w:t>
      </w:r>
      <w:r>
        <w:rPr>
          <w:rFonts w:asciiTheme="minorHAnsi" w:hAnsiTheme="minorHAnsi"/>
          <w:color w:val="000000"/>
        </w:rPr>
        <w:t>m</w:t>
      </w:r>
      <w:r w:rsidRPr="002B4505">
        <w:rPr>
          <w:rFonts w:asciiTheme="minorHAnsi" w:hAnsiTheme="minorHAnsi"/>
          <w:color w:val="000000"/>
        </w:rPr>
        <w:t xml:space="preserve">eeting of the Standing Committee in the year preceding the meeting of the COP, </w:t>
      </w:r>
      <w:r>
        <w:rPr>
          <w:rFonts w:asciiTheme="minorHAnsi" w:hAnsiTheme="minorHAnsi"/>
          <w:color w:val="000000"/>
        </w:rPr>
        <w:t xml:space="preserve">enabling the appointment of a </w:t>
      </w:r>
      <w:r w:rsidRPr="002B4505">
        <w:rPr>
          <w:rFonts w:asciiTheme="minorHAnsi" w:hAnsiTheme="minorHAnsi"/>
          <w:color w:val="000000"/>
        </w:rPr>
        <w:t xml:space="preserve">new Panel </w:t>
      </w:r>
      <w:r>
        <w:rPr>
          <w:rFonts w:asciiTheme="minorHAnsi" w:hAnsiTheme="minorHAnsi"/>
          <w:color w:val="000000"/>
        </w:rPr>
        <w:t xml:space="preserve">immediately </w:t>
      </w:r>
      <w:r w:rsidRPr="002B4505">
        <w:rPr>
          <w:rFonts w:asciiTheme="minorHAnsi" w:hAnsiTheme="minorHAnsi"/>
          <w:color w:val="000000"/>
        </w:rPr>
        <w:t>after the COP;</w:t>
      </w:r>
      <w:r w:rsidRPr="002B4505">
        <w:t xml:space="preserve"> and </w:t>
      </w:r>
      <w:r w:rsidRPr="002B4505">
        <w:rPr>
          <w:rFonts w:asciiTheme="minorHAnsi" w:hAnsiTheme="minorHAnsi"/>
          <w:color w:val="000000"/>
        </w:rPr>
        <w:t xml:space="preserve">CONFIRMS that this </w:t>
      </w:r>
      <w:r>
        <w:rPr>
          <w:rFonts w:asciiTheme="minorHAnsi" w:hAnsiTheme="minorHAnsi"/>
          <w:color w:val="000000"/>
        </w:rPr>
        <w:t xml:space="preserve">instruction </w:t>
      </w:r>
      <w:r w:rsidRPr="002B4505">
        <w:rPr>
          <w:rFonts w:asciiTheme="minorHAnsi" w:hAnsiTheme="minorHAnsi"/>
          <w:color w:val="000000"/>
        </w:rPr>
        <w:t>supersedes</w:t>
      </w:r>
      <w:r>
        <w:rPr>
          <w:rFonts w:asciiTheme="minorHAnsi" w:hAnsiTheme="minorHAnsi"/>
          <w:color w:val="000000"/>
        </w:rPr>
        <w:t xml:space="preserve"> paragraph 19 of Annex I</w:t>
      </w:r>
      <w:r w:rsidRPr="002B4505">
        <w:rPr>
          <w:rFonts w:asciiTheme="minorHAnsi" w:hAnsiTheme="minorHAnsi"/>
          <w:color w:val="000000"/>
        </w:rPr>
        <w:t xml:space="preserve"> of Resolution XII.5;</w:t>
      </w:r>
      <w:r>
        <w:rPr>
          <w:rFonts w:asciiTheme="minorHAnsi" w:hAnsiTheme="minorHAnsi"/>
          <w:color w:val="000000"/>
        </w:rPr>
        <w:t xml:space="preserve"> and</w:t>
      </w:r>
    </w:p>
    <w:p w14:paraId="7CA1E57A" w14:textId="77777777" w:rsidR="003C354A" w:rsidRDefault="003C354A" w:rsidP="00C02A96">
      <w:pPr>
        <w:spacing w:after="0" w:line="240" w:lineRule="auto"/>
        <w:rPr>
          <w:rFonts w:asciiTheme="minorHAnsi" w:hAnsiTheme="minorHAnsi"/>
          <w:color w:val="000000"/>
        </w:rPr>
      </w:pPr>
    </w:p>
    <w:p w14:paraId="69ED6BBC" w14:textId="77777777" w:rsidR="003C354A" w:rsidRDefault="003C354A" w:rsidP="00C02A96">
      <w:pPr>
        <w:spacing w:after="0" w:line="240" w:lineRule="auto"/>
      </w:pPr>
      <w:r>
        <w:rPr>
          <w:rFonts w:asciiTheme="minorHAnsi" w:hAnsiTheme="minorHAnsi"/>
          <w:color w:val="000000"/>
        </w:rPr>
        <w:t>17</w:t>
      </w:r>
      <w:r w:rsidRPr="00D52729">
        <w:rPr>
          <w:rFonts w:asciiTheme="minorHAnsi" w:hAnsiTheme="minorHAnsi"/>
          <w:color w:val="000000"/>
        </w:rPr>
        <w:t>.</w:t>
      </w:r>
      <w:r w:rsidRPr="00D52729">
        <w:rPr>
          <w:rFonts w:asciiTheme="minorHAnsi" w:hAnsiTheme="minorHAnsi"/>
          <w:color w:val="000000"/>
        </w:rPr>
        <w:tab/>
      </w:r>
      <w:r w:rsidRPr="00776895">
        <w:rPr>
          <w:rFonts w:asciiTheme="minorHAnsi" w:hAnsiTheme="minorHAnsi"/>
          <w:color w:val="000000"/>
        </w:rPr>
        <w:t>URGES</w:t>
      </w:r>
      <w:r>
        <w:t xml:space="preserve"> </w:t>
      </w:r>
      <w:r w:rsidRPr="0063226F">
        <w:t>Contracting Parties to provide financial support to ensure the continued effective functioning of the STRP; and INVITES the Secretariat to explore innovative financing mechanisms to support its scientific and technical work, including the possibility of public-private partnerships and collaborations with the philanthropic sector.</w:t>
      </w:r>
    </w:p>
    <w:p w14:paraId="544AF339" w14:textId="3CDAE908" w:rsidR="003C354A" w:rsidRDefault="003C354A" w:rsidP="007763C8">
      <w:pPr>
        <w:spacing w:after="0" w:line="240" w:lineRule="auto"/>
        <w:ind w:left="0" w:firstLine="0"/>
        <w:rPr>
          <w:rFonts w:asciiTheme="minorHAnsi" w:hAnsiTheme="minorHAnsi"/>
          <w:color w:val="000000"/>
        </w:rPr>
      </w:pPr>
    </w:p>
    <w:p w14:paraId="41C6A000" w14:textId="77777777" w:rsidR="007763C8" w:rsidRDefault="007763C8">
      <w:pPr>
        <w:ind w:left="0" w:firstLine="0"/>
        <w:rPr>
          <w:rFonts w:cs="Calibri"/>
          <w:b/>
          <w:bCs/>
          <w:sz w:val="24"/>
          <w:szCs w:val="24"/>
        </w:rPr>
      </w:pPr>
      <w:r>
        <w:rPr>
          <w:rFonts w:cs="Calibri"/>
          <w:b/>
          <w:bCs/>
          <w:sz w:val="24"/>
          <w:szCs w:val="24"/>
        </w:rPr>
        <w:br w:type="page"/>
      </w:r>
    </w:p>
    <w:p w14:paraId="5A61A912" w14:textId="352AB09F" w:rsidR="003C354A" w:rsidRDefault="003C354A" w:rsidP="00C02A96">
      <w:pPr>
        <w:spacing w:after="0" w:line="240" w:lineRule="auto"/>
        <w:ind w:left="0" w:firstLine="0"/>
        <w:rPr>
          <w:rFonts w:cs="Calibri"/>
          <w:b/>
          <w:bCs/>
          <w:sz w:val="24"/>
          <w:szCs w:val="24"/>
        </w:rPr>
      </w:pPr>
      <w:r w:rsidRPr="00CD1AEA">
        <w:rPr>
          <w:rFonts w:cs="Calibri"/>
          <w:b/>
          <w:bCs/>
          <w:sz w:val="24"/>
          <w:szCs w:val="24"/>
        </w:rPr>
        <w:lastRenderedPageBreak/>
        <w:t>Annex 1</w:t>
      </w:r>
    </w:p>
    <w:p w14:paraId="6FA00FCC" w14:textId="77777777" w:rsidR="003C354A" w:rsidRPr="00CD1AEA" w:rsidRDefault="003C354A" w:rsidP="00C02A96">
      <w:pPr>
        <w:spacing w:after="0" w:line="240" w:lineRule="auto"/>
        <w:ind w:left="0" w:firstLine="0"/>
        <w:rPr>
          <w:rFonts w:cs="Calibri"/>
          <w:b/>
          <w:bCs/>
          <w:sz w:val="24"/>
          <w:szCs w:val="24"/>
        </w:rPr>
      </w:pPr>
      <w:r w:rsidRPr="00CD1AEA">
        <w:rPr>
          <w:rFonts w:cs="Calibri"/>
          <w:b/>
          <w:bCs/>
          <w:sz w:val="24"/>
          <w:szCs w:val="24"/>
        </w:rPr>
        <w:t>List of Scientific and Technical Review Panel outputs produced during 2023-2025</w:t>
      </w:r>
    </w:p>
    <w:p w14:paraId="6A8AF367" w14:textId="77777777" w:rsidR="003C354A" w:rsidRDefault="003C354A" w:rsidP="00C02A96">
      <w:pPr>
        <w:spacing w:after="0" w:line="240" w:lineRule="auto"/>
        <w:rPr>
          <w:rFonts w:asciiTheme="minorHAnsi" w:hAnsiTheme="minorHAnsi"/>
          <w:color w:val="000000"/>
        </w:rPr>
      </w:pPr>
    </w:p>
    <w:p w14:paraId="6FA89EA4" w14:textId="77777777" w:rsidR="003C354A" w:rsidRDefault="003C354A" w:rsidP="00C02A96">
      <w:pPr>
        <w:spacing w:after="0" w:line="240" w:lineRule="auto"/>
        <w:rPr>
          <w:rFonts w:asciiTheme="minorHAnsi" w:hAnsiTheme="minorHAnsi"/>
          <w:color w:val="000000"/>
        </w:rPr>
      </w:pPr>
      <w:r w:rsidRPr="0026685E">
        <w:rPr>
          <w:rFonts w:asciiTheme="minorHAnsi" w:hAnsiTheme="minorHAnsi"/>
          <w:color w:val="000000"/>
        </w:rPr>
        <w:t>Note: Outputs are listed in order of the task in the STRP work plan.</w:t>
      </w:r>
    </w:p>
    <w:p w14:paraId="32DAECD2" w14:textId="77777777" w:rsidR="003C354A" w:rsidRDefault="003C354A" w:rsidP="00C02A96">
      <w:pPr>
        <w:spacing w:after="0" w:line="240" w:lineRule="auto"/>
        <w:ind w:left="0" w:firstLine="0"/>
        <w:rPr>
          <w:rFonts w:asciiTheme="minorHAnsi" w:hAnsiTheme="minorHAnsi"/>
          <w:color w:val="000000"/>
        </w:rPr>
      </w:pPr>
    </w:p>
    <w:p w14:paraId="13BBF5DB" w14:textId="17E8B0B9" w:rsidR="003C354A" w:rsidRDefault="003C354A" w:rsidP="00C02A96">
      <w:pPr>
        <w:spacing w:after="0" w:line="240" w:lineRule="auto"/>
        <w:rPr>
          <w:rFonts w:asciiTheme="minorHAnsi" w:hAnsiTheme="minorHAnsi"/>
          <w:color w:val="000000"/>
        </w:rPr>
      </w:pPr>
      <w:r>
        <w:rPr>
          <w:rFonts w:asciiTheme="minorHAnsi" w:hAnsiTheme="minorHAnsi"/>
          <w:color w:val="000000"/>
        </w:rPr>
        <w:t>1</w:t>
      </w:r>
      <w:r w:rsidRPr="00B33B5F">
        <w:rPr>
          <w:rFonts w:asciiTheme="minorHAnsi" w:hAnsiTheme="minorHAnsi"/>
          <w:color w:val="000000"/>
        </w:rPr>
        <w:t>.</w:t>
      </w:r>
      <w:r w:rsidRPr="00B33B5F">
        <w:rPr>
          <w:rFonts w:asciiTheme="minorHAnsi" w:hAnsiTheme="minorHAnsi"/>
          <w:color w:val="000000"/>
        </w:rPr>
        <w:tab/>
      </w:r>
      <w:r>
        <w:rPr>
          <w:rFonts w:asciiTheme="minorHAnsi" w:hAnsiTheme="minorHAnsi"/>
          <w:color w:val="000000"/>
        </w:rPr>
        <w:t>D</w:t>
      </w:r>
      <w:r w:rsidRPr="0063226F">
        <w:rPr>
          <w:rFonts w:asciiTheme="minorHAnsi" w:hAnsiTheme="minorHAnsi"/>
          <w:color w:val="000000"/>
        </w:rPr>
        <w:t>raft resolution on the application of Criteri</w:t>
      </w:r>
      <w:r>
        <w:rPr>
          <w:rFonts w:asciiTheme="minorHAnsi" w:hAnsiTheme="minorHAnsi"/>
          <w:color w:val="000000"/>
        </w:rPr>
        <w:t>a</w:t>
      </w:r>
      <w:r w:rsidRPr="0063226F">
        <w:rPr>
          <w:rFonts w:asciiTheme="minorHAnsi" w:hAnsiTheme="minorHAnsi"/>
          <w:color w:val="000000"/>
        </w:rPr>
        <w:t xml:space="preserve"> 6 and 9</w:t>
      </w:r>
      <w:r>
        <w:rPr>
          <w:rFonts w:asciiTheme="minorHAnsi" w:hAnsiTheme="minorHAnsi"/>
          <w:color w:val="000000"/>
        </w:rPr>
        <w:t xml:space="preserve"> </w:t>
      </w:r>
      <w:r w:rsidRPr="0063226F">
        <w:rPr>
          <w:rFonts w:asciiTheme="minorHAnsi" w:hAnsiTheme="minorHAnsi"/>
          <w:color w:val="000000"/>
        </w:rPr>
        <w:t>to new and existing Wetlands of International Importance</w:t>
      </w:r>
      <w:r w:rsidRPr="00B33B5F">
        <w:rPr>
          <w:rFonts w:asciiTheme="minorHAnsi" w:hAnsiTheme="minorHAnsi"/>
          <w:color w:val="000000"/>
          <w:lang w:val="en-US"/>
        </w:rPr>
        <w:t xml:space="preserve"> </w:t>
      </w:r>
      <w:r w:rsidRPr="00B33B5F">
        <w:rPr>
          <w:rFonts w:asciiTheme="minorHAnsi" w:hAnsiTheme="minorHAnsi"/>
          <w:color w:val="000000"/>
        </w:rPr>
        <w:t>(</w:t>
      </w:r>
      <w:r w:rsidRPr="002411FA">
        <w:rPr>
          <w:rFonts w:asciiTheme="minorHAnsi" w:hAnsiTheme="minorHAnsi"/>
          <w:color w:val="000000"/>
        </w:rPr>
        <w:t>Task 1.1. (a)</w:t>
      </w:r>
      <w:r>
        <w:rPr>
          <w:rFonts w:asciiTheme="minorHAnsi" w:hAnsiTheme="minorHAnsi"/>
          <w:color w:val="000000"/>
        </w:rPr>
        <w:t xml:space="preserve"> and (b): Annex I </w:t>
      </w:r>
      <w:r w:rsidR="007763C8">
        <w:rPr>
          <w:rFonts w:asciiTheme="minorHAnsi" w:hAnsiTheme="minorHAnsi"/>
          <w:color w:val="000000"/>
        </w:rPr>
        <w:t>and</w:t>
      </w:r>
      <w:r>
        <w:rPr>
          <w:rFonts w:asciiTheme="minorHAnsi" w:hAnsiTheme="minorHAnsi"/>
          <w:color w:val="000000"/>
        </w:rPr>
        <w:t xml:space="preserve"> II, </w:t>
      </w:r>
      <w:r w:rsidRPr="00B33B5F">
        <w:rPr>
          <w:rFonts w:asciiTheme="minorHAnsi" w:hAnsiTheme="minorHAnsi"/>
          <w:color w:val="000000"/>
        </w:rPr>
        <w:t>SC64 Doc.</w:t>
      </w:r>
      <w:r>
        <w:rPr>
          <w:rFonts w:asciiTheme="minorHAnsi" w:hAnsiTheme="minorHAnsi"/>
          <w:color w:val="000000"/>
        </w:rPr>
        <w:t>21)</w:t>
      </w:r>
      <w:r w:rsidRPr="00B33B5F">
        <w:rPr>
          <w:rFonts w:asciiTheme="minorHAnsi" w:hAnsiTheme="minorHAnsi"/>
          <w:color w:val="000000"/>
        </w:rPr>
        <w:t>.</w:t>
      </w:r>
    </w:p>
    <w:p w14:paraId="2CD38390" w14:textId="77777777" w:rsidR="003C354A" w:rsidRDefault="003C354A" w:rsidP="00C02A96">
      <w:pPr>
        <w:spacing w:after="0" w:line="240" w:lineRule="auto"/>
        <w:rPr>
          <w:rFonts w:asciiTheme="minorHAnsi" w:hAnsiTheme="minorHAnsi"/>
          <w:color w:val="000000"/>
        </w:rPr>
      </w:pPr>
    </w:p>
    <w:p w14:paraId="496AFD35" w14:textId="77777777" w:rsidR="003C354A" w:rsidRPr="00B33B5F" w:rsidRDefault="003C354A" w:rsidP="00C02A96">
      <w:pPr>
        <w:spacing w:after="0" w:line="240" w:lineRule="auto"/>
        <w:rPr>
          <w:rFonts w:asciiTheme="minorHAnsi" w:hAnsiTheme="minorHAnsi"/>
          <w:color w:val="000000"/>
        </w:rPr>
      </w:pPr>
      <w:r>
        <w:rPr>
          <w:rFonts w:asciiTheme="minorHAnsi" w:hAnsiTheme="minorHAnsi"/>
          <w:color w:val="000000"/>
        </w:rPr>
        <w:t>2</w:t>
      </w:r>
      <w:r w:rsidRPr="00B33B5F">
        <w:rPr>
          <w:rFonts w:asciiTheme="minorHAnsi" w:hAnsiTheme="minorHAnsi"/>
          <w:color w:val="000000"/>
        </w:rPr>
        <w:t>.</w:t>
      </w:r>
      <w:r w:rsidRPr="00B33B5F">
        <w:rPr>
          <w:rFonts w:asciiTheme="minorHAnsi" w:hAnsiTheme="minorHAnsi"/>
          <w:color w:val="000000"/>
        </w:rPr>
        <w:tab/>
      </w:r>
      <w:r>
        <w:rPr>
          <w:rFonts w:asciiTheme="minorHAnsi" w:hAnsiTheme="minorHAnsi"/>
          <w:color w:val="000000"/>
        </w:rPr>
        <w:t xml:space="preserve">Document </w:t>
      </w:r>
      <w:r w:rsidRPr="00B33B5F">
        <w:rPr>
          <w:rFonts w:asciiTheme="minorHAnsi" w:hAnsiTheme="minorHAnsi"/>
          <w:color w:val="000000"/>
        </w:rPr>
        <w:t xml:space="preserve">SC63 Doc.20 </w:t>
      </w:r>
      <w:r w:rsidRPr="00B33B5F">
        <w:rPr>
          <w:rFonts w:asciiTheme="minorHAnsi" w:hAnsiTheme="minorHAnsi"/>
          <w:i/>
          <w:iCs/>
          <w:color w:val="000000"/>
        </w:rPr>
        <w:t>Technical proposal of the STRP on resourcing and implementing Waterbird Population Estimates</w:t>
      </w:r>
      <w:r w:rsidRPr="00B33B5F">
        <w:rPr>
          <w:rStyle w:val="FootnoteReference"/>
          <w:rFonts w:asciiTheme="minorHAnsi" w:hAnsiTheme="minorHAnsi"/>
          <w:color w:val="000000"/>
        </w:rPr>
        <w:footnoteReference w:id="3"/>
      </w:r>
      <w:r w:rsidRPr="00B33B5F">
        <w:rPr>
          <w:rFonts w:asciiTheme="minorHAnsi" w:hAnsiTheme="minorHAnsi"/>
          <w:color w:val="000000"/>
        </w:rPr>
        <w:t xml:space="preserve"> (Task 1.1 (c)</w:t>
      </w:r>
      <w:r>
        <w:rPr>
          <w:rFonts w:asciiTheme="minorHAnsi" w:hAnsiTheme="minorHAnsi"/>
          <w:color w:val="000000"/>
        </w:rPr>
        <w:t>), including a d</w:t>
      </w:r>
      <w:r w:rsidRPr="00B33B5F">
        <w:rPr>
          <w:rFonts w:asciiTheme="minorHAnsi" w:hAnsiTheme="minorHAnsi"/>
          <w:color w:val="000000"/>
        </w:rPr>
        <w:t xml:space="preserve">raft </w:t>
      </w:r>
      <w:r>
        <w:rPr>
          <w:rFonts w:asciiTheme="minorHAnsi" w:hAnsiTheme="minorHAnsi"/>
          <w:color w:val="000000"/>
        </w:rPr>
        <w:t>r</w:t>
      </w:r>
      <w:r w:rsidRPr="00B33B5F">
        <w:rPr>
          <w:rFonts w:asciiTheme="minorHAnsi" w:hAnsiTheme="minorHAnsi"/>
          <w:color w:val="000000"/>
        </w:rPr>
        <w:t>esolution on the establishment of the Waterbirds Estimates Partnership and the delivery of the 2027 edition of Waterbird Population Estimates</w:t>
      </w:r>
      <w:r>
        <w:rPr>
          <w:rFonts w:asciiTheme="minorHAnsi" w:hAnsiTheme="minorHAnsi"/>
          <w:color w:val="000000"/>
        </w:rPr>
        <w:t xml:space="preserve"> (see document </w:t>
      </w:r>
      <w:r w:rsidRPr="00B33B5F">
        <w:rPr>
          <w:rFonts w:asciiTheme="minorHAnsi" w:hAnsiTheme="minorHAnsi"/>
          <w:color w:val="000000"/>
        </w:rPr>
        <w:t>SC64 Doc.20</w:t>
      </w:r>
      <w:r>
        <w:rPr>
          <w:rFonts w:asciiTheme="minorHAnsi" w:hAnsiTheme="minorHAnsi"/>
          <w:color w:val="000000"/>
        </w:rPr>
        <w:t>)</w:t>
      </w:r>
      <w:r w:rsidRPr="00B33B5F">
        <w:rPr>
          <w:rFonts w:asciiTheme="minorHAnsi" w:hAnsiTheme="minorHAnsi"/>
          <w:color w:val="000000"/>
        </w:rPr>
        <w:t>.</w:t>
      </w:r>
    </w:p>
    <w:p w14:paraId="2880C88D" w14:textId="77777777" w:rsidR="003C354A" w:rsidRDefault="003C354A" w:rsidP="00C02A96">
      <w:pPr>
        <w:spacing w:after="0" w:line="240" w:lineRule="auto"/>
        <w:rPr>
          <w:rFonts w:asciiTheme="minorHAnsi" w:hAnsiTheme="minorHAnsi"/>
          <w:color w:val="000000"/>
        </w:rPr>
      </w:pPr>
    </w:p>
    <w:p w14:paraId="6F9A8B15" w14:textId="4F904EE7" w:rsidR="003C354A" w:rsidRDefault="003C354A" w:rsidP="00C02A96">
      <w:pPr>
        <w:spacing w:after="0" w:line="240" w:lineRule="auto"/>
        <w:rPr>
          <w:rFonts w:asciiTheme="minorHAnsi" w:hAnsiTheme="minorHAnsi"/>
          <w:color w:val="000000"/>
        </w:rPr>
      </w:pPr>
      <w:r>
        <w:rPr>
          <w:rFonts w:asciiTheme="minorHAnsi" w:hAnsiTheme="minorHAnsi"/>
          <w:color w:val="000000"/>
        </w:rPr>
        <w:t>3</w:t>
      </w:r>
      <w:r w:rsidRPr="00B33B5F">
        <w:rPr>
          <w:rFonts w:asciiTheme="minorHAnsi" w:hAnsiTheme="minorHAnsi"/>
          <w:color w:val="000000"/>
        </w:rPr>
        <w:t>.</w:t>
      </w:r>
      <w:r w:rsidRPr="00B33B5F">
        <w:rPr>
          <w:rFonts w:asciiTheme="minorHAnsi" w:hAnsiTheme="minorHAnsi"/>
          <w:color w:val="000000"/>
        </w:rPr>
        <w:tab/>
      </w:r>
      <w:r w:rsidR="003238ED">
        <w:rPr>
          <w:rFonts w:asciiTheme="minorHAnsi" w:hAnsiTheme="minorHAnsi"/>
          <w:color w:val="000000"/>
        </w:rPr>
        <w:t>Policy Brief 7</w:t>
      </w:r>
      <w:r>
        <w:rPr>
          <w:rFonts w:asciiTheme="minorHAnsi" w:hAnsiTheme="minorHAnsi"/>
          <w:color w:val="000000"/>
        </w:rPr>
        <w:t xml:space="preserve">: </w:t>
      </w:r>
      <w:r w:rsidRPr="00C95648">
        <w:rPr>
          <w:rFonts w:asciiTheme="minorHAnsi" w:hAnsiTheme="minorHAnsi"/>
          <w:i/>
          <w:iCs/>
          <w:color w:val="000000"/>
        </w:rPr>
        <w:t>Small Wetlands: Their Critical Importance and Strategies for Effective Conservation</w:t>
      </w:r>
      <w:r>
        <w:rPr>
          <w:rFonts w:asciiTheme="minorHAnsi" w:hAnsiTheme="minorHAnsi"/>
          <w:color w:val="000000"/>
        </w:rPr>
        <w:t xml:space="preserve"> (Task 2.2).</w:t>
      </w:r>
    </w:p>
    <w:p w14:paraId="16D697DF" w14:textId="77777777" w:rsidR="003C354A" w:rsidRPr="00B33B5F" w:rsidRDefault="003C354A" w:rsidP="00C02A96">
      <w:pPr>
        <w:spacing w:after="0" w:line="240" w:lineRule="auto"/>
        <w:rPr>
          <w:rFonts w:asciiTheme="minorHAnsi" w:hAnsiTheme="minorHAnsi"/>
          <w:color w:val="000000"/>
        </w:rPr>
      </w:pPr>
    </w:p>
    <w:p w14:paraId="418D0793" w14:textId="3C3A2E89" w:rsidR="003C354A" w:rsidRPr="00B33B5F" w:rsidRDefault="003C354A" w:rsidP="00C02A96">
      <w:pPr>
        <w:spacing w:after="0" w:line="240" w:lineRule="auto"/>
        <w:rPr>
          <w:rFonts w:asciiTheme="minorHAnsi" w:hAnsiTheme="minorHAnsi"/>
          <w:color w:val="000000"/>
        </w:rPr>
      </w:pPr>
      <w:r>
        <w:rPr>
          <w:rFonts w:asciiTheme="minorHAnsi" w:hAnsiTheme="minorHAnsi"/>
          <w:color w:val="000000" w:themeColor="text1"/>
        </w:rPr>
        <w:t>4</w:t>
      </w:r>
      <w:r w:rsidRPr="00B33B5F">
        <w:rPr>
          <w:rFonts w:asciiTheme="minorHAnsi" w:hAnsiTheme="minorHAnsi"/>
          <w:color w:val="000000" w:themeColor="text1"/>
        </w:rPr>
        <w:t>.</w:t>
      </w:r>
      <w:r w:rsidRPr="00B33B5F">
        <w:tab/>
      </w:r>
      <w:r w:rsidR="003238ED">
        <w:rPr>
          <w:rFonts w:asciiTheme="minorHAnsi" w:hAnsiTheme="minorHAnsi"/>
          <w:color w:val="000000"/>
        </w:rPr>
        <w:t xml:space="preserve">Briefing Note No. 14: </w:t>
      </w:r>
      <w:r w:rsidRPr="007763C8">
        <w:rPr>
          <w:rFonts w:asciiTheme="minorHAnsi" w:hAnsiTheme="minorHAnsi"/>
          <w:i/>
          <w:iCs/>
          <w:color w:val="000000" w:themeColor="text1"/>
        </w:rPr>
        <w:t>Other Effective area-based Conservation Measures for wetlands wise use: Guidance on locating, recognizing and effective management of wetlands, including Wetlands of International Importance, as OECMs</w:t>
      </w:r>
      <w:r w:rsidRPr="00B33B5F">
        <w:rPr>
          <w:rFonts w:asciiTheme="minorHAnsi" w:hAnsiTheme="minorHAnsi"/>
          <w:color w:val="000000" w:themeColor="text1"/>
        </w:rPr>
        <w:t xml:space="preserve"> (Task 4.1).</w:t>
      </w:r>
    </w:p>
    <w:p w14:paraId="5A6869C4" w14:textId="77777777" w:rsidR="003C354A" w:rsidRPr="00B33B5F" w:rsidRDefault="003C354A" w:rsidP="00C02A96">
      <w:pPr>
        <w:spacing w:after="0" w:line="240" w:lineRule="auto"/>
        <w:rPr>
          <w:rFonts w:asciiTheme="minorHAnsi" w:hAnsiTheme="minorHAnsi"/>
          <w:color w:val="000000"/>
        </w:rPr>
      </w:pPr>
    </w:p>
    <w:p w14:paraId="72AE7C76" w14:textId="77777777" w:rsidR="003C354A" w:rsidRDefault="003C354A" w:rsidP="00C02A96">
      <w:pPr>
        <w:spacing w:after="0" w:line="240" w:lineRule="auto"/>
        <w:rPr>
          <w:rFonts w:asciiTheme="minorHAnsi" w:hAnsiTheme="minorHAnsi"/>
          <w:color w:val="000000"/>
        </w:rPr>
      </w:pPr>
      <w:r>
        <w:rPr>
          <w:rFonts w:asciiTheme="minorHAnsi" w:hAnsiTheme="minorHAnsi"/>
          <w:color w:val="000000"/>
        </w:rPr>
        <w:t>5</w:t>
      </w:r>
      <w:r w:rsidRPr="00B33B5F">
        <w:rPr>
          <w:rFonts w:asciiTheme="minorHAnsi" w:hAnsiTheme="minorHAnsi"/>
          <w:color w:val="000000"/>
        </w:rPr>
        <w:t>.</w:t>
      </w:r>
      <w:r w:rsidRPr="00B33B5F">
        <w:rPr>
          <w:rFonts w:asciiTheme="minorHAnsi" w:hAnsiTheme="minorHAnsi"/>
          <w:color w:val="000000"/>
        </w:rPr>
        <w:tab/>
        <w:t xml:space="preserve">Briefing paper: </w:t>
      </w:r>
      <w:r w:rsidRPr="00B33B5F">
        <w:rPr>
          <w:rFonts w:asciiTheme="minorHAnsi" w:hAnsiTheme="minorHAnsi"/>
          <w:i/>
          <w:iCs/>
          <w:color w:val="000000"/>
        </w:rPr>
        <w:t>Kunming-Montreal Global Biodiversity Framework and how to upscale wetland conservation, restoration and wise use through National Biodiversity Strategies and Action Plans</w:t>
      </w:r>
      <w:r w:rsidRPr="00B33B5F">
        <w:rPr>
          <w:rStyle w:val="FootnoteReference"/>
          <w:rFonts w:asciiTheme="minorHAnsi" w:hAnsiTheme="minorHAnsi"/>
          <w:color w:val="000000"/>
        </w:rPr>
        <w:footnoteReference w:id="4"/>
      </w:r>
      <w:r w:rsidRPr="00B33B5F">
        <w:rPr>
          <w:rFonts w:asciiTheme="minorHAnsi" w:hAnsiTheme="minorHAnsi"/>
          <w:color w:val="000000"/>
        </w:rPr>
        <w:t xml:space="preserve"> (Task 5.2).</w:t>
      </w:r>
    </w:p>
    <w:p w14:paraId="2AE9A92A" w14:textId="77777777" w:rsidR="003C354A" w:rsidRDefault="003C354A" w:rsidP="00C02A96">
      <w:pPr>
        <w:spacing w:after="0" w:line="240" w:lineRule="auto"/>
        <w:rPr>
          <w:rFonts w:asciiTheme="minorHAnsi" w:hAnsiTheme="minorHAnsi"/>
          <w:color w:val="000000"/>
        </w:rPr>
      </w:pPr>
    </w:p>
    <w:p w14:paraId="610B721E" w14:textId="77777777" w:rsidR="003C354A" w:rsidRPr="00B33B5F" w:rsidRDefault="003C354A" w:rsidP="00C02A96">
      <w:pPr>
        <w:spacing w:after="0" w:line="240" w:lineRule="auto"/>
        <w:rPr>
          <w:rFonts w:asciiTheme="minorHAnsi" w:hAnsiTheme="minorHAnsi"/>
          <w:color w:val="000000"/>
        </w:rPr>
      </w:pPr>
      <w:r>
        <w:rPr>
          <w:rFonts w:asciiTheme="minorHAnsi" w:hAnsiTheme="minorHAnsi"/>
          <w:color w:val="000000"/>
        </w:rPr>
        <w:t>6</w:t>
      </w:r>
      <w:r w:rsidRPr="00B33B5F">
        <w:rPr>
          <w:rFonts w:asciiTheme="minorHAnsi" w:hAnsiTheme="minorHAnsi"/>
          <w:color w:val="000000"/>
        </w:rPr>
        <w:t>.</w:t>
      </w:r>
      <w:r w:rsidRPr="00B33B5F">
        <w:rPr>
          <w:rFonts w:asciiTheme="minorHAnsi" w:hAnsiTheme="minorHAnsi"/>
          <w:color w:val="000000"/>
        </w:rPr>
        <w:tab/>
        <w:t xml:space="preserve">Technical Report No. 12: </w:t>
      </w:r>
      <w:r w:rsidRPr="00B33B5F">
        <w:rPr>
          <w:rFonts w:asciiTheme="minorHAnsi" w:hAnsiTheme="minorHAnsi"/>
          <w:i/>
          <w:iCs/>
          <w:color w:val="000000"/>
        </w:rPr>
        <w:t>Scaling up wetland conservation and restoration to deliver the Kunming-Montreal Global Biodiversity Framework: Guidance on including wetlands in National Biodiversity Strategy and Action Plans (NBSAPs) to boost biodiversity and halt wetland loss and degradation</w:t>
      </w:r>
      <w:r w:rsidRPr="00B33B5F">
        <w:rPr>
          <w:rStyle w:val="FootnoteReference"/>
          <w:rFonts w:asciiTheme="minorHAnsi" w:hAnsiTheme="minorHAnsi"/>
          <w:color w:val="000000"/>
        </w:rPr>
        <w:footnoteReference w:id="5"/>
      </w:r>
      <w:r w:rsidRPr="00B33B5F">
        <w:rPr>
          <w:rFonts w:asciiTheme="minorHAnsi" w:hAnsiTheme="minorHAnsi"/>
          <w:i/>
          <w:iCs/>
          <w:color w:val="000000"/>
        </w:rPr>
        <w:t xml:space="preserve"> </w:t>
      </w:r>
      <w:r w:rsidRPr="00B33B5F">
        <w:rPr>
          <w:rFonts w:asciiTheme="minorHAnsi" w:hAnsiTheme="minorHAnsi"/>
          <w:color w:val="000000"/>
        </w:rPr>
        <w:t>(Task 5.2).</w:t>
      </w:r>
    </w:p>
    <w:p w14:paraId="0F25DC24" w14:textId="77777777" w:rsidR="003C354A" w:rsidRPr="00B33B5F" w:rsidRDefault="003C354A" w:rsidP="00C02A96">
      <w:pPr>
        <w:spacing w:after="0" w:line="240" w:lineRule="auto"/>
        <w:rPr>
          <w:rFonts w:asciiTheme="minorHAnsi" w:hAnsiTheme="minorHAnsi"/>
          <w:color w:val="000000"/>
        </w:rPr>
      </w:pPr>
    </w:p>
    <w:p w14:paraId="3A7B127E" w14:textId="77777777" w:rsidR="003C354A" w:rsidRPr="00B33B5F" w:rsidRDefault="003C354A" w:rsidP="00C02A96">
      <w:pPr>
        <w:spacing w:after="0" w:line="240" w:lineRule="auto"/>
        <w:rPr>
          <w:rFonts w:asciiTheme="minorHAnsi" w:hAnsiTheme="minorHAnsi"/>
          <w:color w:val="000000"/>
        </w:rPr>
      </w:pPr>
      <w:r>
        <w:rPr>
          <w:rFonts w:asciiTheme="minorHAnsi" w:hAnsiTheme="minorHAnsi"/>
          <w:color w:val="000000"/>
        </w:rPr>
        <w:t>7</w:t>
      </w:r>
      <w:r w:rsidRPr="00B33B5F">
        <w:rPr>
          <w:rFonts w:asciiTheme="minorHAnsi" w:hAnsiTheme="minorHAnsi"/>
          <w:color w:val="000000"/>
        </w:rPr>
        <w:t>.</w:t>
      </w:r>
      <w:r w:rsidRPr="00B33B5F">
        <w:rPr>
          <w:rFonts w:asciiTheme="minorHAnsi" w:hAnsiTheme="minorHAnsi"/>
          <w:color w:val="000000"/>
        </w:rPr>
        <w:tab/>
      </w:r>
      <w:r>
        <w:rPr>
          <w:rFonts w:asciiTheme="minorHAnsi" w:hAnsiTheme="minorHAnsi"/>
          <w:color w:val="000000"/>
        </w:rPr>
        <w:t xml:space="preserve">Information document </w:t>
      </w:r>
      <w:r w:rsidRPr="00B33B5F">
        <w:rPr>
          <w:rFonts w:asciiTheme="minorHAnsi" w:hAnsiTheme="minorHAnsi"/>
          <w:color w:val="000000"/>
        </w:rPr>
        <w:t xml:space="preserve">SC63 Inf.3 </w:t>
      </w:r>
      <w:r w:rsidRPr="00B33B5F">
        <w:rPr>
          <w:rFonts w:asciiTheme="minorHAnsi" w:hAnsiTheme="minorHAnsi"/>
          <w:i/>
          <w:iCs/>
          <w:color w:val="000000"/>
        </w:rPr>
        <w:t>Submission from the Convention on Wetlands to the 6th meeting of the Ad Hoc Technical Expert Group on Indicators on the effective consideration of wetlands in the KMGBF Monitoring Framework</w:t>
      </w:r>
      <w:r w:rsidRPr="00B33B5F">
        <w:rPr>
          <w:rStyle w:val="FootnoteReference"/>
          <w:rFonts w:asciiTheme="minorHAnsi" w:hAnsiTheme="minorHAnsi"/>
          <w:color w:val="000000"/>
        </w:rPr>
        <w:footnoteReference w:id="6"/>
      </w:r>
      <w:r w:rsidRPr="00B33B5F">
        <w:rPr>
          <w:rFonts w:asciiTheme="minorHAnsi" w:hAnsiTheme="minorHAnsi"/>
          <w:color w:val="000000"/>
        </w:rPr>
        <w:t xml:space="preserve"> (Task 5.2).</w:t>
      </w:r>
    </w:p>
    <w:p w14:paraId="1E813535" w14:textId="77777777" w:rsidR="003C354A" w:rsidRPr="00B33B5F" w:rsidRDefault="003C354A" w:rsidP="00C02A96">
      <w:pPr>
        <w:spacing w:after="0" w:line="240" w:lineRule="auto"/>
        <w:rPr>
          <w:rFonts w:asciiTheme="minorHAnsi" w:hAnsiTheme="minorHAnsi"/>
          <w:color w:val="000000"/>
        </w:rPr>
      </w:pPr>
    </w:p>
    <w:p w14:paraId="5DE2E607" w14:textId="77777777" w:rsidR="003C354A" w:rsidRPr="00B33B5F" w:rsidRDefault="003C354A" w:rsidP="00C02A96">
      <w:pPr>
        <w:spacing w:after="0" w:line="240" w:lineRule="auto"/>
        <w:rPr>
          <w:rFonts w:asciiTheme="minorHAnsi" w:hAnsiTheme="minorHAnsi"/>
          <w:color w:val="000000"/>
        </w:rPr>
      </w:pPr>
      <w:r>
        <w:rPr>
          <w:rFonts w:asciiTheme="minorHAnsi" w:hAnsiTheme="minorHAnsi"/>
          <w:color w:val="000000"/>
        </w:rPr>
        <w:t>8</w:t>
      </w:r>
      <w:r w:rsidRPr="00B33B5F">
        <w:rPr>
          <w:rFonts w:asciiTheme="minorHAnsi" w:hAnsiTheme="minorHAnsi"/>
          <w:color w:val="000000"/>
        </w:rPr>
        <w:t>.</w:t>
      </w:r>
      <w:r w:rsidRPr="00B33B5F">
        <w:rPr>
          <w:rFonts w:asciiTheme="minorHAnsi" w:hAnsiTheme="minorHAnsi"/>
          <w:color w:val="000000"/>
        </w:rPr>
        <w:tab/>
      </w:r>
      <w:r w:rsidRPr="002411FA">
        <w:rPr>
          <w:rFonts w:asciiTheme="minorHAnsi" w:hAnsiTheme="minorHAnsi"/>
          <w:color w:val="000000"/>
        </w:rPr>
        <w:t xml:space="preserve">An approach to deliver future Global Wetland Outlooks </w:t>
      </w:r>
      <w:r w:rsidRPr="00B33B5F">
        <w:rPr>
          <w:rFonts w:asciiTheme="minorHAnsi" w:hAnsiTheme="minorHAnsi"/>
          <w:color w:val="000000"/>
        </w:rPr>
        <w:t>(Task 5.3</w:t>
      </w:r>
      <w:r>
        <w:rPr>
          <w:rFonts w:asciiTheme="minorHAnsi" w:hAnsiTheme="minorHAnsi"/>
          <w:color w:val="000000"/>
        </w:rPr>
        <w:t xml:space="preserve">: Annex IV, </w:t>
      </w:r>
      <w:r w:rsidRPr="00B33B5F">
        <w:rPr>
          <w:rFonts w:asciiTheme="minorHAnsi" w:hAnsiTheme="minorHAnsi"/>
          <w:color w:val="000000"/>
        </w:rPr>
        <w:t>SC64 Doc.</w:t>
      </w:r>
      <w:r>
        <w:rPr>
          <w:rFonts w:asciiTheme="minorHAnsi" w:hAnsiTheme="minorHAnsi"/>
          <w:color w:val="000000"/>
        </w:rPr>
        <w:t>18)</w:t>
      </w:r>
      <w:r w:rsidRPr="00B33B5F">
        <w:rPr>
          <w:rFonts w:asciiTheme="minorHAnsi" w:hAnsiTheme="minorHAnsi"/>
          <w:color w:val="000000"/>
        </w:rPr>
        <w:t>.</w:t>
      </w:r>
    </w:p>
    <w:p w14:paraId="649F8816" w14:textId="77777777" w:rsidR="003C354A" w:rsidRPr="00B33B5F" w:rsidRDefault="003C354A" w:rsidP="00C02A96">
      <w:pPr>
        <w:spacing w:after="0" w:line="240" w:lineRule="auto"/>
        <w:rPr>
          <w:rFonts w:asciiTheme="minorHAnsi" w:hAnsiTheme="minorHAnsi"/>
          <w:color w:val="000000"/>
        </w:rPr>
      </w:pPr>
    </w:p>
    <w:p w14:paraId="5734A342" w14:textId="77777777" w:rsidR="003C354A" w:rsidRDefault="003C354A" w:rsidP="00C02A96">
      <w:pPr>
        <w:spacing w:after="0" w:line="240" w:lineRule="auto"/>
        <w:rPr>
          <w:rFonts w:asciiTheme="minorHAnsi" w:hAnsiTheme="minorHAnsi"/>
          <w:color w:val="000000"/>
        </w:rPr>
      </w:pPr>
      <w:r>
        <w:rPr>
          <w:rFonts w:asciiTheme="minorHAnsi" w:hAnsiTheme="minorHAnsi"/>
          <w:color w:val="000000"/>
        </w:rPr>
        <w:t>9</w:t>
      </w:r>
      <w:r w:rsidRPr="00B33B5F">
        <w:rPr>
          <w:rFonts w:asciiTheme="minorHAnsi" w:hAnsiTheme="minorHAnsi"/>
          <w:color w:val="000000"/>
        </w:rPr>
        <w:t>.</w:t>
      </w:r>
      <w:r w:rsidRPr="00B33B5F">
        <w:rPr>
          <w:rFonts w:asciiTheme="minorHAnsi" w:hAnsiTheme="minorHAnsi"/>
          <w:color w:val="000000"/>
        </w:rPr>
        <w:tab/>
      </w:r>
      <w:r w:rsidRPr="002411FA">
        <w:rPr>
          <w:rFonts w:asciiTheme="minorHAnsi" w:hAnsiTheme="minorHAnsi"/>
          <w:color w:val="000000"/>
        </w:rPr>
        <w:t>Technical Scoping Note</w:t>
      </w:r>
      <w:r>
        <w:rPr>
          <w:rFonts w:asciiTheme="minorHAnsi" w:hAnsiTheme="minorHAnsi"/>
          <w:color w:val="000000"/>
        </w:rPr>
        <w:t xml:space="preserve"> </w:t>
      </w:r>
      <w:r w:rsidRPr="002411FA">
        <w:rPr>
          <w:rFonts w:asciiTheme="minorHAnsi" w:hAnsiTheme="minorHAnsi"/>
          <w:color w:val="000000"/>
        </w:rPr>
        <w:t>for the review of legal and policy frameworks</w:t>
      </w:r>
      <w:r>
        <w:rPr>
          <w:rFonts w:asciiTheme="minorHAnsi" w:hAnsiTheme="minorHAnsi"/>
          <w:color w:val="000000"/>
        </w:rPr>
        <w:t xml:space="preserve"> </w:t>
      </w:r>
      <w:r w:rsidRPr="002411FA">
        <w:rPr>
          <w:rFonts w:asciiTheme="minorHAnsi" w:hAnsiTheme="minorHAnsi"/>
          <w:color w:val="000000"/>
        </w:rPr>
        <w:t>for wetland conservation and wise use</w:t>
      </w:r>
      <w:r w:rsidRPr="002411FA" w:rsidDel="002411FA">
        <w:rPr>
          <w:rFonts w:asciiTheme="minorHAnsi" w:hAnsiTheme="minorHAnsi"/>
          <w:color w:val="000000"/>
        </w:rPr>
        <w:t xml:space="preserve"> </w:t>
      </w:r>
      <w:r w:rsidRPr="00B33B5F">
        <w:rPr>
          <w:rFonts w:asciiTheme="minorHAnsi" w:hAnsiTheme="minorHAnsi"/>
          <w:color w:val="000000"/>
        </w:rPr>
        <w:t>(Task 5.4</w:t>
      </w:r>
      <w:r>
        <w:rPr>
          <w:rFonts w:asciiTheme="minorHAnsi" w:hAnsiTheme="minorHAnsi"/>
          <w:color w:val="000000"/>
        </w:rPr>
        <w:t xml:space="preserve">: Annex III, </w:t>
      </w:r>
      <w:r w:rsidRPr="00B33B5F">
        <w:rPr>
          <w:rFonts w:asciiTheme="minorHAnsi" w:hAnsiTheme="minorHAnsi"/>
          <w:color w:val="000000"/>
        </w:rPr>
        <w:t>SC64 Doc.</w:t>
      </w:r>
      <w:r>
        <w:rPr>
          <w:rFonts w:asciiTheme="minorHAnsi" w:hAnsiTheme="minorHAnsi"/>
          <w:color w:val="000000"/>
        </w:rPr>
        <w:t>18)</w:t>
      </w:r>
      <w:r w:rsidRPr="00B33B5F">
        <w:rPr>
          <w:rFonts w:asciiTheme="minorHAnsi" w:hAnsiTheme="minorHAnsi"/>
          <w:color w:val="000000"/>
        </w:rPr>
        <w:t>.</w:t>
      </w:r>
    </w:p>
    <w:p w14:paraId="19681111" w14:textId="77777777" w:rsidR="003C354A" w:rsidRDefault="003C354A" w:rsidP="00C02A96">
      <w:pPr>
        <w:spacing w:after="0" w:line="240" w:lineRule="auto"/>
        <w:rPr>
          <w:rFonts w:asciiTheme="minorHAnsi" w:hAnsiTheme="minorHAnsi"/>
          <w:color w:val="000000"/>
        </w:rPr>
      </w:pPr>
    </w:p>
    <w:p w14:paraId="486376D7" w14:textId="77777777" w:rsidR="003C354A" w:rsidRPr="00B33B5F" w:rsidRDefault="003C354A" w:rsidP="00C02A96">
      <w:pPr>
        <w:spacing w:after="0" w:line="240" w:lineRule="auto"/>
        <w:rPr>
          <w:rFonts w:asciiTheme="minorHAnsi" w:hAnsiTheme="minorHAnsi"/>
          <w:color w:val="000000"/>
          <w:lang w:val="en-US"/>
        </w:rPr>
      </w:pPr>
      <w:r>
        <w:rPr>
          <w:rFonts w:asciiTheme="minorHAnsi" w:hAnsiTheme="minorHAnsi"/>
          <w:color w:val="000000"/>
        </w:rPr>
        <w:t>10.</w:t>
      </w:r>
      <w:r>
        <w:rPr>
          <w:rFonts w:asciiTheme="minorHAnsi" w:hAnsiTheme="minorHAnsi"/>
          <w:color w:val="000000"/>
        </w:rPr>
        <w:tab/>
        <w:t>Wetlands and Agriculture: Pathways to Sustainability (Two online lessons on the</w:t>
      </w:r>
      <w:r w:rsidRPr="007463E0">
        <w:rPr>
          <w:rFonts w:asciiTheme="minorHAnsi" w:hAnsiTheme="minorHAnsi"/>
          <w:color w:val="000000"/>
        </w:rPr>
        <w:t xml:space="preserve"> </w:t>
      </w:r>
      <w:r w:rsidRPr="0045193C">
        <w:rPr>
          <w:rFonts w:asciiTheme="minorHAnsi" w:hAnsiTheme="minorHAnsi"/>
          <w:color w:val="000000"/>
        </w:rPr>
        <w:t xml:space="preserve">FAO elearning </w:t>
      </w:r>
      <w:r>
        <w:rPr>
          <w:rFonts w:asciiTheme="minorHAnsi" w:hAnsiTheme="minorHAnsi"/>
          <w:color w:val="000000"/>
        </w:rPr>
        <w:t xml:space="preserve">Academy, based on </w:t>
      </w:r>
      <w:r w:rsidRPr="0043382A">
        <w:rPr>
          <w:rFonts w:asciiTheme="minorHAnsi" w:hAnsiTheme="minorHAnsi"/>
          <w:color w:val="000000"/>
        </w:rPr>
        <w:t>Policy Brief 6</w:t>
      </w:r>
      <w:r>
        <w:rPr>
          <w:rFonts w:asciiTheme="minorHAnsi" w:hAnsiTheme="minorHAnsi"/>
          <w:color w:val="000000"/>
        </w:rPr>
        <w:t xml:space="preserve"> and </w:t>
      </w:r>
      <w:r w:rsidRPr="00973CB4">
        <w:rPr>
          <w:rFonts w:asciiTheme="minorHAnsi" w:hAnsiTheme="minorHAnsi"/>
          <w:color w:val="000000"/>
        </w:rPr>
        <w:t>Briefing Note 13</w:t>
      </w:r>
      <w:r>
        <w:rPr>
          <w:rFonts w:asciiTheme="minorHAnsi" w:hAnsiTheme="minorHAnsi"/>
          <w:color w:val="000000"/>
        </w:rPr>
        <w:t>).</w:t>
      </w:r>
    </w:p>
    <w:p w14:paraId="2AD302C1" w14:textId="77777777" w:rsidR="003C354A" w:rsidRPr="00B33B5F" w:rsidRDefault="003C354A" w:rsidP="00C02A96">
      <w:pPr>
        <w:spacing w:after="0" w:line="240" w:lineRule="auto"/>
        <w:rPr>
          <w:rFonts w:asciiTheme="minorHAnsi" w:hAnsiTheme="minorHAnsi"/>
          <w:color w:val="000000"/>
          <w:lang w:val="en-US"/>
        </w:rPr>
      </w:pPr>
    </w:p>
    <w:p w14:paraId="7C1D681F" w14:textId="7974172B" w:rsidR="003C354A" w:rsidRDefault="003C354A" w:rsidP="00C02A96">
      <w:pPr>
        <w:spacing w:after="0" w:line="240" w:lineRule="auto"/>
        <w:rPr>
          <w:rFonts w:asciiTheme="minorHAnsi" w:hAnsiTheme="minorHAnsi"/>
          <w:color w:val="000000"/>
        </w:rPr>
      </w:pPr>
      <w:r w:rsidRPr="00B33B5F">
        <w:rPr>
          <w:rFonts w:asciiTheme="minorHAnsi" w:hAnsiTheme="minorHAnsi"/>
          <w:color w:val="000000"/>
        </w:rPr>
        <w:t>[</w:t>
      </w:r>
      <w:r>
        <w:rPr>
          <w:rFonts w:asciiTheme="minorHAnsi" w:hAnsiTheme="minorHAnsi"/>
          <w:i/>
          <w:iCs/>
          <w:color w:val="000000"/>
        </w:rPr>
        <w:t>A</w:t>
      </w:r>
      <w:r w:rsidRPr="00B33B5F">
        <w:rPr>
          <w:rFonts w:asciiTheme="minorHAnsi" w:hAnsiTheme="minorHAnsi"/>
          <w:i/>
          <w:iCs/>
          <w:color w:val="000000"/>
        </w:rPr>
        <w:t xml:space="preserve">dditional </w:t>
      </w:r>
      <w:r>
        <w:rPr>
          <w:rFonts w:asciiTheme="minorHAnsi" w:hAnsiTheme="minorHAnsi"/>
          <w:i/>
          <w:iCs/>
          <w:color w:val="000000"/>
        </w:rPr>
        <w:t xml:space="preserve">and finalized STRP </w:t>
      </w:r>
      <w:r w:rsidRPr="00B33B5F">
        <w:rPr>
          <w:rFonts w:asciiTheme="minorHAnsi" w:hAnsiTheme="minorHAnsi"/>
          <w:i/>
          <w:iCs/>
          <w:color w:val="000000"/>
        </w:rPr>
        <w:t xml:space="preserve">outputs may be added during </w:t>
      </w:r>
      <w:r>
        <w:rPr>
          <w:rFonts w:asciiTheme="minorHAnsi" w:hAnsiTheme="minorHAnsi"/>
          <w:i/>
          <w:iCs/>
          <w:color w:val="000000"/>
        </w:rPr>
        <w:t>COP15</w:t>
      </w:r>
      <w:r w:rsidRPr="00B33B5F">
        <w:rPr>
          <w:rFonts w:asciiTheme="minorHAnsi" w:hAnsiTheme="minorHAnsi"/>
          <w:color w:val="000000"/>
        </w:rPr>
        <w:t>.]</w:t>
      </w:r>
      <w:r>
        <w:rPr>
          <w:rFonts w:asciiTheme="minorHAnsi" w:hAnsiTheme="minorHAnsi"/>
          <w:color w:val="000000"/>
        </w:rPr>
        <w:t xml:space="preserve"> </w:t>
      </w:r>
    </w:p>
    <w:p w14:paraId="0F306E71" w14:textId="77777777" w:rsidR="003C354A" w:rsidRDefault="003C354A" w:rsidP="00C02A96">
      <w:pPr>
        <w:spacing w:after="0" w:line="240" w:lineRule="auto"/>
        <w:rPr>
          <w:rFonts w:asciiTheme="minorHAnsi" w:hAnsiTheme="minorHAnsi"/>
          <w:color w:val="000000"/>
        </w:rPr>
      </w:pPr>
      <w:r>
        <w:rPr>
          <w:rFonts w:asciiTheme="minorHAnsi" w:hAnsiTheme="minorHAnsi"/>
          <w:color w:val="000000"/>
        </w:rPr>
        <w:br w:type="page"/>
      </w:r>
    </w:p>
    <w:p w14:paraId="50099E38" w14:textId="77777777" w:rsidR="003C354A" w:rsidRPr="00CD1AEA" w:rsidRDefault="003C354A" w:rsidP="00C02A96">
      <w:pPr>
        <w:spacing w:after="0" w:line="240" w:lineRule="auto"/>
        <w:rPr>
          <w:rFonts w:cs="Calibri"/>
          <w:b/>
          <w:bCs/>
          <w:sz w:val="24"/>
          <w:szCs w:val="24"/>
        </w:rPr>
      </w:pPr>
      <w:r w:rsidRPr="00CD1AEA">
        <w:rPr>
          <w:rFonts w:cs="Calibri"/>
          <w:b/>
          <w:bCs/>
          <w:sz w:val="24"/>
          <w:szCs w:val="24"/>
        </w:rPr>
        <w:lastRenderedPageBreak/>
        <w:t>Annex 2</w:t>
      </w:r>
    </w:p>
    <w:p w14:paraId="1C07BAE3" w14:textId="107575E0" w:rsidR="003C354A" w:rsidRPr="00CD1AEA" w:rsidRDefault="003C354A" w:rsidP="00C02A96">
      <w:pPr>
        <w:spacing w:after="0" w:line="240" w:lineRule="auto"/>
        <w:ind w:left="0" w:firstLine="0"/>
        <w:rPr>
          <w:rFonts w:cs="Calibri"/>
          <w:b/>
          <w:bCs/>
          <w:sz w:val="24"/>
          <w:szCs w:val="24"/>
        </w:rPr>
      </w:pPr>
      <w:r w:rsidRPr="00CD1AEA">
        <w:rPr>
          <w:rFonts w:cs="Calibri"/>
          <w:b/>
          <w:bCs/>
          <w:sz w:val="24"/>
          <w:szCs w:val="24"/>
        </w:rPr>
        <w:t xml:space="preserve">Scientific and Technical Review Panel Thematic Work Areas and </w:t>
      </w:r>
      <w:r>
        <w:rPr>
          <w:rFonts w:cs="Calibri"/>
          <w:b/>
          <w:bCs/>
          <w:sz w:val="24"/>
          <w:szCs w:val="24"/>
        </w:rPr>
        <w:t>prioritized</w:t>
      </w:r>
      <w:r w:rsidRPr="00CD1AEA">
        <w:rPr>
          <w:rFonts w:cs="Calibri"/>
          <w:b/>
          <w:bCs/>
          <w:sz w:val="24"/>
          <w:szCs w:val="24"/>
        </w:rPr>
        <w:t xml:space="preserve"> tasks </w:t>
      </w:r>
      <w:r w:rsidR="007763C8">
        <w:rPr>
          <w:rFonts w:cs="Calibri"/>
          <w:b/>
          <w:bCs/>
          <w:sz w:val="24"/>
          <w:szCs w:val="24"/>
        </w:rPr>
        <w:br/>
      </w:r>
      <w:r w:rsidRPr="00CD1AEA">
        <w:rPr>
          <w:rFonts w:cs="Calibri"/>
          <w:b/>
          <w:bCs/>
          <w:sz w:val="24"/>
          <w:szCs w:val="24"/>
        </w:rPr>
        <w:t>202</w:t>
      </w:r>
      <w:r w:rsidR="007A2E35">
        <w:rPr>
          <w:rFonts w:cs="Calibri"/>
          <w:b/>
          <w:bCs/>
          <w:sz w:val="24"/>
          <w:szCs w:val="24"/>
        </w:rPr>
        <w:t>5</w:t>
      </w:r>
      <w:r w:rsidRPr="00CD1AEA">
        <w:rPr>
          <w:rFonts w:cs="Calibri"/>
          <w:b/>
          <w:bCs/>
          <w:sz w:val="24"/>
          <w:szCs w:val="24"/>
        </w:rPr>
        <w:t>-2028</w:t>
      </w:r>
    </w:p>
    <w:p w14:paraId="6F99698F" w14:textId="77777777" w:rsidR="003C354A" w:rsidRDefault="003C354A" w:rsidP="00C02A96">
      <w:pPr>
        <w:spacing w:after="0" w:line="240" w:lineRule="auto"/>
        <w:ind w:left="0" w:firstLine="0"/>
        <w:rPr>
          <w:rFonts w:asciiTheme="minorHAnsi" w:hAnsiTheme="minorHAnsi"/>
          <w:color w:val="000000"/>
        </w:rPr>
      </w:pPr>
    </w:p>
    <w:p w14:paraId="6B737DA5" w14:textId="77777777" w:rsidR="003C354A" w:rsidRDefault="003C354A" w:rsidP="00C02A96">
      <w:pPr>
        <w:spacing w:after="0" w:line="240" w:lineRule="auto"/>
        <w:ind w:left="0" w:firstLine="0"/>
        <w:rPr>
          <w:rFonts w:asciiTheme="minorHAnsi" w:hAnsiTheme="minorHAnsi"/>
          <w:color w:val="000000"/>
        </w:rPr>
      </w:pPr>
      <w:r>
        <w:rPr>
          <w:rFonts w:asciiTheme="minorHAnsi" w:hAnsiTheme="minorHAnsi"/>
          <w:color w:val="000000"/>
        </w:rPr>
        <w:t>F</w:t>
      </w:r>
      <w:r w:rsidRPr="002D626D">
        <w:rPr>
          <w:rFonts w:asciiTheme="minorHAnsi" w:hAnsiTheme="minorHAnsi"/>
          <w:color w:val="000000"/>
        </w:rPr>
        <w:t xml:space="preserve">urther details on the scientific and technical priorities are identified in the report of the Chair of the STRP to </w:t>
      </w:r>
      <w:r>
        <w:rPr>
          <w:rFonts w:asciiTheme="minorHAnsi" w:hAnsiTheme="minorHAnsi"/>
          <w:color w:val="000000"/>
        </w:rPr>
        <w:t xml:space="preserve">the </w:t>
      </w:r>
      <w:r w:rsidRPr="00564714">
        <w:rPr>
          <w:rFonts w:asciiTheme="minorHAnsi" w:hAnsiTheme="minorHAnsi"/>
          <w:color w:val="000000"/>
        </w:rPr>
        <w:t>15th</w:t>
      </w:r>
      <w:r>
        <w:rPr>
          <w:rFonts w:asciiTheme="minorHAnsi" w:hAnsiTheme="minorHAnsi"/>
          <w:color w:val="000000"/>
        </w:rPr>
        <w:t xml:space="preserve"> </w:t>
      </w:r>
      <w:r w:rsidRPr="009874B2">
        <w:rPr>
          <w:rFonts w:asciiTheme="minorHAnsi" w:hAnsiTheme="minorHAnsi"/>
          <w:color w:val="000000"/>
        </w:rPr>
        <w:t>meeting of the Conference of the Contracting Parties</w:t>
      </w:r>
      <w:r>
        <w:rPr>
          <w:rFonts w:asciiTheme="minorHAnsi" w:hAnsiTheme="minorHAnsi"/>
          <w:color w:val="000000"/>
        </w:rPr>
        <w:t xml:space="preserve"> (COP15)</w:t>
      </w:r>
      <w:r w:rsidRPr="002D626D">
        <w:rPr>
          <w:rFonts w:asciiTheme="minorHAnsi" w:hAnsiTheme="minorHAnsi"/>
          <w:color w:val="000000"/>
        </w:rPr>
        <w:t>.</w:t>
      </w:r>
    </w:p>
    <w:p w14:paraId="48A815F5" w14:textId="77777777" w:rsidR="003C354A" w:rsidRPr="003504D9" w:rsidRDefault="003C354A" w:rsidP="00C02A96">
      <w:pPr>
        <w:spacing w:after="0" w:line="240" w:lineRule="auto"/>
        <w:jc w:val="both"/>
        <w:rPr>
          <w:rFonts w:cs="Open Sans"/>
          <w:sz w:val="20"/>
          <w:szCs w:val="20"/>
        </w:rPr>
      </w:pPr>
    </w:p>
    <w:tbl>
      <w:tblPr>
        <w:tblW w:w="9062" w:type="dxa"/>
        <w:tblLayout w:type="fixed"/>
        <w:tblLook w:val="0400" w:firstRow="0" w:lastRow="0" w:firstColumn="0" w:lastColumn="0" w:noHBand="0" w:noVBand="1"/>
      </w:tblPr>
      <w:tblGrid>
        <w:gridCol w:w="4952"/>
        <w:gridCol w:w="4110"/>
      </w:tblGrid>
      <w:tr w:rsidR="003C354A" w:rsidRPr="0049270A" w14:paraId="7A3919AC" w14:textId="77777777" w:rsidTr="005C54B5">
        <w:trPr>
          <w:cantSplit/>
          <w:tblHeader/>
        </w:trPr>
        <w:tc>
          <w:tcPr>
            <w:tcW w:w="4952" w:type="dxa"/>
            <w:tcBorders>
              <w:top w:val="single" w:sz="8" w:space="0" w:color="000000"/>
              <w:left w:val="single" w:sz="8" w:space="0" w:color="000000"/>
              <w:bottom w:val="single" w:sz="8" w:space="0" w:color="000000"/>
              <w:right w:val="single" w:sz="8" w:space="0" w:color="000000"/>
            </w:tcBorders>
            <w:shd w:val="clear" w:color="auto" w:fill="D9D9D9"/>
          </w:tcPr>
          <w:p w14:paraId="735F2AF2" w14:textId="77777777" w:rsidR="003C354A" w:rsidRPr="0049270A" w:rsidRDefault="003C354A" w:rsidP="00C02A96">
            <w:pPr>
              <w:spacing w:after="0" w:line="240" w:lineRule="auto"/>
              <w:rPr>
                <w:rFonts w:asciiTheme="minorHAnsi" w:hAnsiTheme="minorHAnsi" w:cstheme="minorHAnsi"/>
              </w:rPr>
            </w:pPr>
            <w:r w:rsidRPr="0049270A">
              <w:rPr>
                <w:rFonts w:asciiTheme="minorHAnsi" w:hAnsiTheme="minorHAnsi" w:cstheme="minorHAnsi"/>
                <w:b/>
                <w:bCs/>
                <w:i/>
                <w:iCs/>
                <w:color w:val="000000"/>
              </w:rPr>
              <w:t>STRP task</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Pr>
          <w:p w14:paraId="24FF890A" w14:textId="77777777" w:rsidR="003C354A" w:rsidRPr="0049270A" w:rsidRDefault="003C354A" w:rsidP="00C02A96">
            <w:pPr>
              <w:spacing w:after="0" w:line="240" w:lineRule="auto"/>
              <w:rPr>
                <w:rFonts w:asciiTheme="minorHAnsi" w:hAnsiTheme="minorHAnsi" w:cstheme="minorHAnsi"/>
              </w:rPr>
            </w:pPr>
            <w:r w:rsidRPr="0049270A">
              <w:rPr>
                <w:rFonts w:asciiTheme="minorHAnsi" w:hAnsiTheme="minorHAnsi" w:cstheme="minorHAnsi"/>
                <w:b/>
                <w:bCs/>
                <w:i/>
                <w:iCs/>
                <w:color w:val="000000"/>
              </w:rPr>
              <w:t>Mandate(s)</w:t>
            </w:r>
          </w:p>
        </w:tc>
      </w:tr>
      <w:tr w:rsidR="003C354A" w:rsidRPr="0049270A" w14:paraId="7FD95606"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7B9AE1E7" w14:textId="77777777" w:rsidR="003C354A" w:rsidRPr="0049270A" w:rsidRDefault="003C354A" w:rsidP="00C02A96">
            <w:pPr>
              <w:spacing w:after="0" w:line="240" w:lineRule="auto"/>
              <w:ind w:left="0" w:firstLine="0"/>
              <w:rPr>
                <w:rFonts w:asciiTheme="minorHAnsi" w:hAnsiTheme="minorHAnsi" w:cstheme="minorHAnsi"/>
              </w:rPr>
            </w:pPr>
            <w:r w:rsidRPr="0049270A">
              <w:rPr>
                <w:rFonts w:asciiTheme="minorHAnsi" w:hAnsiTheme="minorHAnsi" w:cstheme="minorHAnsi"/>
                <w:b/>
                <w:bCs/>
                <w:color w:val="000000"/>
              </w:rPr>
              <w:t>TWA 1: Wetlands of International Importance, development of the Site network and application of criteria.</w:t>
            </w:r>
          </w:p>
        </w:tc>
      </w:tr>
      <w:tr w:rsidR="003C354A" w:rsidRPr="0049270A" w14:paraId="7C32BA97"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FC60ECD" w14:textId="77777777" w:rsidR="003C354A" w:rsidRPr="00315F94" w:rsidRDefault="003C354A" w:rsidP="00C02A96">
            <w:pPr>
              <w:spacing w:after="0" w:line="240" w:lineRule="auto"/>
              <w:ind w:left="0" w:firstLine="0"/>
              <w:rPr>
                <w:rFonts w:asciiTheme="minorHAnsi" w:hAnsiTheme="minorHAnsi" w:cstheme="minorHAnsi"/>
                <w:highlight w:val="yellow"/>
              </w:rPr>
            </w:pPr>
            <w:r w:rsidRPr="00235FB2">
              <w:rPr>
                <w:rFonts w:asciiTheme="minorHAnsi" w:hAnsiTheme="minorHAnsi" w:cstheme="minorHAnsi"/>
              </w:rPr>
              <w:t xml:space="preserve">This work area focuses on </w:t>
            </w:r>
            <w:r>
              <w:rPr>
                <w:rFonts w:asciiTheme="minorHAnsi" w:hAnsiTheme="minorHAnsi" w:cstheme="minorHAnsi"/>
              </w:rPr>
              <w:t xml:space="preserve">providing information to support Contract Parties to designate, manage, and monitor </w:t>
            </w:r>
            <w:r w:rsidRPr="00235FB2">
              <w:rPr>
                <w:rFonts w:asciiTheme="minorHAnsi" w:hAnsiTheme="minorHAnsi" w:cstheme="minorHAnsi"/>
              </w:rPr>
              <w:t xml:space="preserve">Wetlands of International Importance, in line with the objectives of the Convention on Wetlands. </w:t>
            </w:r>
            <w:r>
              <w:rPr>
                <w:rFonts w:asciiTheme="minorHAnsi" w:hAnsiTheme="minorHAnsi" w:cstheme="minorHAnsi"/>
              </w:rPr>
              <w:t xml:space="preserve">It includes guidance on application of </w:t>
            </w:r>
            <w:r w:rsidRPr="00235FB2">
              <w:rPr>
                <w:rFonts w:asciiTheme="minorHAnsi" w:hAnsiTheme="minorHAnsi" w:cstheme="minorHAnsi"/>
              </w:rPr>
              <w:t>criteria for site designation,</w:t>
            </w:r>
            <w:r>
              <w:rPr>
                <w:rFonts w:asciiTheme="minorHAnsi" w:hAnsiTheme="minorHAnsi" w:cstheme="minorHAnsi"/>
              </w:rPr>
              <w:t xml:space="preserve"> and assessment of </w:t>
            </w:r>
            <w:r w:rsidRPr="00235FB2">
              <w:rPr>
                <w:rFonts w:asciiTheme="minorHAnsi" w:hAnsiTheme="minorHAnsi" w:cstheme="minorHAnsi"/>
              </w:rPr>
              <w:t>underrepresented wetland types</w:t>
            </w:r>
            <w:r>
              <w:rPr>
                <w:rFonts w:asciiTheme="minorHAnsi" w:hAnsiTheme="minorHAnsi" w:cstheme="minorHAnsi"/>
              </w:rPr>
              <w:t xml:space="preserve"> in the Site network. TWA 1 may also provide guidance on</w:t>
            </w:r>
            <w:r w:rsidRPr="00235FB2">
              <w:rPr>
                <w:rFonts w:asciiTheme="minorHAnsi" w:hAnsiTheme="minorHAnsi" w:cstheme="minorHAnsi"/>
              </w:rPr>
              <w:t xml:space="preserve"> integrating Wetlands of International Importance with broader global biodiversity targets, enhancing their role in achieving international conservation objectives.</w:t>
            </w:r>
          </w:p>
        </w:tc>
      </w:tr>
      <w:tr w:rsidR="003C354A" w:rsidRPr="0049270A" w14:paraId="755B3660"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412D372E" w14:textId="1992FDE4" w:rsidR="003C354A" w:rsidRPr="00893FCE" w:rsidRDefault="003C354A" w:rsidP="00C02A96">
            <w:pPr>
              <w:spacing w:after="0" w:line="240" w:lineRule="auto"/>
              <w:ind w:left="0" w:firstLine="0"/>
              <w:rPr>
                <w:rFonts w:asciiTheme="minorHAnsi" w:hAnsiTheme="minorHAnsi" w:cstheme="minorHAnsi"/>
                <w:color w:val="000000"/>
              </w:rPr>
            </w:pPr>
            <w:r w:rsidRPr="006B6883">
              <w:rPr>
                <w:b/>
                <w:color w:val="000000" w:themeColor="text1"/>
              </w:rPr>
              <w:t>Task 1.1.</w:t>
            </w:r>
            <w:r>
              <w:rPr>
                <w:color w:val="000000" w:themeColor="text1"/>
              </w:rPr>
              <w:t xml:space="preserve"> Scientific and technical support </w:t>
            </w:r>
            <w:r w:rsidRPr="001E2B53">
              <w:rPr>
                <w:color w:val="000000" w:themeColor="text1"/>
              </w:rPr>
              <w:t xml:space="preserve">towards </w:t>
            </w:r>
            <w:r>
              <w:rPr>
                <w:color w:val="000000" w:themeColor="text1"/>
              </w:rPr>
              <w:t xml:space="preserve">effective </w:t>
            </w:r>
            <w:r w:rsidRPr="001E2B53">
              <w:rPr>
                <w:color w:val="000000" w:themeColor="text1"/>
              </w:rPr>
              <w:t>monitoring and reporting on the ecological character of Wetlands of International Importance in the Ramsar Information Sheet (RIS).</w:t>
            </w:r>
          </w:p>
        </w:tc>
        <w:tc>
          <w:tcPr>
            <w:tcW w:w="4110" w:type="dxa"/>
            <w:tcBorders>
              <w:top w:val="none" w:sz="4" w:space="0" w:color="000000"/>
              <w:left w:val="single" w:sz="8" w:space="0" w:color="000000"/>
              <w:bottom w:val="single" w:sz="8" w:space="0" w:color="000000"/>
              <w:right w:val="single" w:sz="8" w:space="0" w:color="000000"/>
            </w:tcBorders>
          </w:tcPr>
          <w:p w14:paraId="7EAAB128" w14:textId="59DC4799" w:rsidR="003C354A" w:rsidRPr="0049270A" w:rsidRDefault="003C354A" w:rsidP="00C02A96">
            <w:pPr>
              <w:spacing w:after="0" w:line="240" w:lineRule="auto"/>
              <w:ind w:left="0" w:firstLine="0"/>
              <w:rPr>
                <w:rFonts w:asciiTheme="minorHAnsi" w:hAnsiTheme="minorHAnsi" w:cstheme="minorHAnsi"/>
              </w:rPr>
            </w:pPr>
            <w:r w:rsidRPr="004438EB">
              <w:rPr>
                <w:rFonts w:asciiTheme="minorHAnsi" w:hAnsiTheme="minorHAnsi" w:cstheme="minorHAnsi"/>
              </w:rPr>
              <w:t>SC63</w:t>
            </w:r>
            <w:r>
              <w:rPr>
                <w:rFonts w:asciiTheme="minorHAnsi" w:hAnsiTheme="minorHAnsi" w:cstheme="minorHAnsi"/>
              </w:rPr>
              <w:t xml:space="preserve"> Doc</w:t>
            </w:r>
            <w:r w:rsidRPr="004438EB">
              <w:rPr>
                <w:rFonts w:asciiTheme="minorHAnsi" w:hAnsiTheme="minorHAnsi" w:cstheme="minorHAnsi"/>
              </w:rPr>
              <w:t>.19 (Para</w:t>
            </w:r>
            <w:r w:rsidR="007763C8">
              <w:rPr>
                <w:rFonts w:asciiTheme="minorHAnsi" w:hAnsiTheme="minorHAnsi" w:cstheme="minorHAnsi"/>
              </w:rPr>
              <w:t>s</w:t>
            </w:r>
            <w:r w:rsidRPr="004438EB">
              <w:rPr>
                <w:rFonts w:asciiTheme="minorHAnsi" w:hAnsiTheme="minorHAnsi" w:cstheme="minorHAnsi"/>
              </w:rPr>
              <w:t xml:space="preserve">. 19-21 </w:t>
            </w:r>
            <w:r w:rsidR="007763C8">
              <w:rPr>
                <w:rFonts w:asciiTheme="minorHAnsi" w:hAnsiTheme="minorHAnsi" w:cstheme="minorHAnsi"/>
              </w:rPr>
              <w:t>and</w:t>
            </w:r>
            <w:r w:rsidRPr="004438EB">
              <w:rPr>
                <w:rFonts w:asciiTheme="minorHAnsi" w:hAnsiTheme="minorHAnsi" w:cstheme="minorHAnsi"/>
              </w:rPr>
              <w:t xml:space="preserve"> Annex 2)</w:t>
            </w:r>
            <w:r>
              <w:rPr>
                <w:rFonts w:asciiTheme="minorHAnsi" w:hAnsiTheme="minorHAnsi" w:cstheme="minorHAnsi"/>
              </w:rPr>
              <w:t xml:space="preserve">; </w:t>
            </w:r>
            <w:r w:rsidRPr="004438EB">
              <w:rPr>
                <w:rFonts w:asciiTheme="minorHAnsi" w:hAnsiTheme="minorHAnsi" w:cstheme="minorHAnsi"/>
              </w:rPr>
              <w:t>Report and Decisions of the 63rd Meeting of the Standing Committee.</w:t>
            </w:r>
          </w:p>
        </w:tc>
      </w:tr>
      <w:tr w:rsidR="003C354A" w:rsidRPr="0049270A" w14:paraId="60AF0022"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474201FA" w14:textId="77777777" w:rsidR="003C354A" w:rsidRPr="006B6883" w:rsidRDefault="003C354A" w:rsidP="00C02A96">
            <w:pPr>
              <w:spacing w:after="0" w:line="240" w:lineRule="auto"/>
              <w:ind w:left="0" w:firstLine="0"/>
              <w:rPr>
                <w:b/>
                <w:color w:val="000000" w:themeColor="text1"/>
              </w:rPr>
            </w:pPr>
            <w:r w:rsidRPr="006B6883">
              <w:rPr>
                <w:b/>
                <w:color w:val="000000" w:themeColor="text1"/>
              </w:rPr>
              <w:t>Task 1.2.</w:t>
            </w:r>
            <w:r>
              <w:rPr>
                <w:color w:val="000000" w:themeColor="text1"/>
              </w:rPr>
              <w:t xml:space="preserve"> </w:t>
            </w:r>
            <w:r w:rsidRPr="001B6E4E">
              <w:rPr>
                <w:color w:val="000000" w:themeColor="text1"/>
              </w:rPr>
              <w:t>Global assessment of gaps in the network of Wetlands of International Importance, and synergies with global climate, biodiversity and sustainable development goals.</w:t>
            </w:r>
          </w:p>
        </w:tc>
        <w:tc>
          <w:tcPr>
            <w:tcW w:w="4110" w:type="dxa"/>
            <w:tcBorders>
              <w:top w:val="none" w:sz="4" w:space="0" w:color="000000"/>
              <w:left w:val="single" w:sz="8" w:space="0" w:color="000000"/>
              <w:bottom w:val="single" w:sz="8" w:space="0" w:color="000000"/>
              <w:right w:val="single" w:sz="8" w:space="0" w:color="000000"/>
            </w:tcBorders>
          </w:tcPr>
          <w:p w14:paraId="4A52AC76" w14:textId="77777777" w:rsidR="003C354A" w:rsidRPr="0049270A" w:rsidRDefault="003C354A" w:rsidP="00C02A96">
            <w:pPr>
              <w:spacing w:after="0" w:line="240" w:lineRule="auto"/>
              <w:ind w:left="0" w:firstLine="0"/>
              <w:rPr>
                <w:rFonts w:asciiTheme="minorHAnsi" w:hAnsiTheme="minorHAnsi" w:cstheme="minorHAnsi"/>
              </w:rPr>
            </w:pPr>
            <w:r w:rsidRPr="003C42C4">
              <w:rPr>
                <w:rFonts w:asciiTheme="minorHAnsi" w:hAnsiTheme="minorHAnsi" w:cstheme="minorHAnsi"/>
                <w:lang w:val="en-US"/>
              </w:rPr>
              <w:t xml:space="preserve">Res. XII.5, Annex 1; </w:t>
            </w:r>
            <w:r w:rsidRPr="003C42C4">
              <w:rPr>
                <w:rFonts w:asciiTheme="minorHAnsi" w:hAnsiTheme="minorHAnsi" w:cstheme="minorHAnsi"/>
              </w:rPr>
              <w:t>Res</w:t>
            </w:r>
            <w:r w:rsidRPr="003C42C4">
              <w:rPr>
                <w:rFonts w:asciiTheme="minorHAnsi" w:hAnsiTheme="minorHAnsi" w:cstheme="minorHAnsi"/>
                <w:lang w:val="en-US"/>
              </w:rPr>
              <w:t xml:space="preserve">. XIV.14, Annex 2; Res. XIV.6, Para. 38; </w:t>
            </w:r>
            <w:r w:rsidRPr="003C42C4">
              <w:rPr>
                <w:rFonts w:asciiTheme="minorHAnsi" w:hAnsiTheme="minorHAnsi" w:cstheme="minorHAnsi"/>
              </w:rPr>
              <w:t>Continuation from STRP 2023-25 work plan (Pre-SC62 Intersessional Decision 04).</w:t>
            </w:r>
          </w:p>
        </w:tc>
      </w:tr>
      <w:tr w:rsidR="003C354A" w:rsidRPr="0049270A" w14:paraId="3AFCA4A8"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34A50D51" w14:textId="77777777" w:rsidR="003C354A" w:rsidRPr="0049270A" w:rsidRDefault="003C354A" w:rsidP="00C02A96">
            <w:pPr>
              <w:spacing w:after="0" w:line="240" w:lineRule="auto"/>
              <w:ind w:left="0" w:firstLine="0"/>
              <w:rPr>
                <w:rFonts w:asciiTheme="minorHAnsi" w:hAnsiTheme="minorHAnsi" w:cstheme="minorHAnsi"/>
              </w:rPr>
            </w:pPr>
            <w:r w:rsidRPr="0049270A">
              <w:rPr>
                <w:rFonts w:asciiTheme="minorHAnsi" w:hAnsiTheme="minorHAnsi" w:cstheme="minorHAnsi"/>
                <w:b/>
                <w:bCs/>
                <w:color w:val="000000"/>
              </w:rPr>
              <w:t>TWA 2: Tools for wetland assessment, mapping and monitoring, and development of inventories.</w:t>
            </w:r>
          </w:p>
        </w:tc>
      </w:tr>
      <w:tr w:rsidR="003C354A" w:rsidRPr="0049270A" w14:paraId="4EE8A7F5"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09459EC5" w14:textId="0141BB2F" w:rsidR="003C354A" w:rsidRPr="00D33C74" w:rsidRDefault="003C354A" w:rsidP="00C02A96">
            <w:pPr>
              <w:spacing w:after="0" w:line="240" w:lineRule="auto"/>
              <w:ind w:left="0" w:firstLine="0"/>
              <w:rPr>
                <w:rFonts w:asciiTheme="minorHAnsi" w:hAnsiTheme="minorHAnsi" w:cstheme="minorHAnsi"/>
                <w:color w:val="000000"/>
              </w:rPr>
            </w:pPr>
            <w:r w:rsidRPr="00235FB2">
              <w:rPr>
                <w:rFonts w:asciiTheme="minorHAnsi" w:hAnsiTheme="minorHAnsi" w:cstheme="minorHAnsi"/>
              </w:rPr>
              <w:t xml:space="preserve">This work area </w:t>
            </w:r>
            <w:r>
              <w:rPr>
                <w:rFonts w:asciiTheme="minorHAnsi" w:hAnsiTheme="minorHAnsi" w:cstheme="minorHAnsi"/>
                <w:color w:val="000000"/>
              </w:rPr>
              <w:t xml:space="preserve">aims to </w:t>
            </w:r>
            <w:r w:rsidRPr="00235FB2">
              <w:rPr>
                <w:rFonts w:asciiTheme="minorHAnsi" w:hAnsiTheme="minorHAnsi" w:cstheme="minorHAnsi"/>
                <w:color w:val="000000"/>
              </w:rPr>
              <w:t>improve the tools and methodologies required for wetland assessment, mapping and monitoring</w:t>
            </w:r>
            <w:r>
              <w:rPr>
                <w:rFonts w:asciiTheme="minorHAnsi" w:hAnsiTheme="minorHAnsi" w:cstheme="minorHAnsi"/>
                <w:color w:val="000000"/>
              </w:rPr>
              <w:t xml:space="preserve">, including for </w:t>
            </w:r>
            <w:r w:rsidRPr="00235FB2">
              <w:rPr>
                <w:rFonts w:asciiTheme="minorHAnsi" w:hAnsiTheme="minorHAnsi" w:cstheme="minorHAnsi"/>
                <w:color w:val="000000"/>
              </w:rPr>
              <w:t xml:space="preserve">wetland carbon assessments and biodiversity monitoring. </w:t>
            </w:r>
            <w:r>
              <w:rPr>
                <w:rFonts w:asciiTheme="minorHAnsi" w:hAnsiTheme="minorHAnsi" w:cstheme="minorHAnsi"/>
                <w:color w:val="000000"/>
              </w:rPr>
              <w:t>TWA 2</w:t>
            </w:r>
            <w:r w:rsidRPr="00235FB2">
              <w:rPr>
                <w:rFonts w:asciiTheme="minorHAnsi" w:hAnsiTheme="minorHAnsi" w:cstheme="minorHAnsi"/>
                <w:color w:val="000000"/>
              </w:rPr>
              <w:t xml:space="preserve"> will explore innovative techniques, including remote sensing and Earth </w:t>
            </w:r>
            <w:r w:rsidR="007763C8">
              <w:rPr>
                <w:rFonts w:asciiTheme="minorHAnsi" w:hAnsiTheme="minorHAnsi" w:cstheme="minorHAnsi"/>
                <w:color w:val="000000"/>
              </w:rPr>
              <w:t>o</w:t>
            </w:r>
            <w:r w:rsidRPr="00235FB2">
              <w:rPr>
                <w:rFonts w:asciiTheme="minorHAnsi" w:hAnsiTheme="minorHAnsi" w:cstheme="minorHAnsi"/>
                <w:color w:val="000000"/>
              </w:rPr>
              <w:t>bservation,</w:t>
            </w:r>
            <w:r>
              <w:rPr>
                <w:rFonts w:asciiTheme="minorHAnsi" w:hAnsiTheme="minorHAnsi" w:cstheme="minorHAnsi"/>
                <w:color w:val="000000"/>
              </w:rPr>
              <w:t xml:space="preserve"> for streamlining wetland inventory and reporting</w:t>
            </w:r>
            <w:r w:rsidRPr="00235FB2">
              <w:rPr>
                <w:rFonts w:asciiTheme="minorHAnsi" w:hAnsiTheme="minorHAnsi" w:cstheme="minorHAnsi"/>
                <w:color w:val="000000"/>
              </w:rPr>
              <w:t>. Future actions will focus on ensuring these tools are accessible and adaptable, allowing Contracting Parties to meet their reporting obligations under the Convention and other international frameworks</w:t>
            </w:r>
            <w:r>
              <w:rPr>
                <w:rFonts w:asciiTheme="minorHAnsi" w:hAnsiTheme="minorHAnsi" w:cstheme="minorHAnsi"/>
                <w:color w:val="000000"/>
              </w:rPr>
              <w:t xml:space="preserve"> that consider wetlands</w:t>
            </w:r>
            <w:r w:rsidRPr="00235FB2">
              <w:rPr>
                <w:rFonts w:asciiTheme="minorHAnsi" w:hAnsiTheme="minorHAnsi" w:cstheme="minorHAnsi"/>
                <w:color w:val="000000"/>
              </w:rPr>
              <w:t>.</w:t>
            </w:r>
          </w:p>
        </w:tc>
      </w:tr>
      <w:tr w:rsidR="003C354A" w:rsidRPr="0049270A" w14:paraId="3F8336F2"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4E804B47" w14:textId="5B5F2B7F" w:rsidR="003C354A" w:rsidRPr="0049270A" w:rsidRDefault="003C354A" w:rsidP="00C02A96">
            <w:pPr>
              <w:spacing w:after="0" w:line="240" w:lineRule="auto"/>
              <w:ind w:left="0" w:firstLine="0"/>
              <w:rPr>
                <w:rFonts w:asciiTheme="minorHAnsi" w:hAnsiTheme="minorHAnsi" w:cstheme="minorHAnsi"/>
                <w:color w:val="000000"/>
              </w:rPr>
            </w:pPr>
            <w:r w:rsidRPr="00EC5C29">
              <w:rPr>
                <w:b/>
                <w:color w:val="000000" w:themeColor="text1"/>
              </w:rPr>
              <w:t>Task 2.1.</w:t>
            </w:r>
            <w:r>
              <w:rPr>
                <w:color w:val="000000" w:themeColor="text1"/>
              </w:rPr>
              <w:t xml:space="preserve"> </w:t>
            </w:r>
            <w:r w:rsidRPr="00BD7F4A">
              <w:rPr>
                <w:color w:val="000000" w:themeColor="text1"/>
              </w:rPr>
              <w:t>Review of the Convention</w:t>
            </w:r>
            <w:r>
              <w:rPr>
                <w:color w:val="000000" w:themeColor="text1"/>
              </w:rPr>
              <w:t>’</w:t>
            </w:r>
            <w:r w:rsidRPr="00BD7F4A">
              <w:rPr>
                <w:color w:val="000000" w:themeColor="text1"/>
              </w:rPr>
              <w:t>s classification system</w:t>
            </w:r>
            <w:r>
              <w:rPr>
                <w:color w:val="000000" w:themeColor="text1"/>
              </w:rPr>
              <w:t xml:space="preserve"> for </w:t>
            </w:r>
            <w:r w:rsidRPr="00BD7F4A">
              <w:rPr>
                <w:color w:val="000000" w:themeColor="text1"/>
              </w:rPr>
              <w:t>wetland type.</w:t>
            </w:r>
          </w:p>
        </w:tc>
        <w:tc>
          <w:tcPr>
            <w:tcW w:w="4110" w:type="dxa"/>
            <w:tcBorders>
              <w:top w:val="none" w:sz="4" w:space="0" w:color="000000"/>
              <w:left w:val="single" w:sz="8" w:space="0" w:color="000000"/>
              <w:bottom w:val="single" w:sz="8" w:space="0" w:color="000000"/>
              <w:right w:val="single" w:sz="8" w:space="0" w:color="000000"/>
            </w:tcBorders>
          </w:tcPr>
          <w:p w14:paraId="2AD4C480" w14:textId="6DF6AB8D" w:rsidR="003C354A" w:rsidRPr="0049270A" w:rsidRDefault="003C354A" w:rsidP="00C02A96">
            <w:pPr>
              <w:spacing w:after="0" w:line="240" w:lineRule="auto"/>
              <w:ind w:left="0" w:firstLine="0"/>
              <w:rPr>
                <w:rFonts w:asciiTheme="minorHAnsi" w:hAnsiTheme="minorHAnsi" w:cstheme="minorHAnsi"/>
                <w:color w:val="000000"/>
              </w:rPr>
            </w:pPr>
            <w:r w:rsidRPr="000830E0">
              <w:rPr>
                <w:rFonts w:asciiTheme="minorHAnsi" w:hAnsiTheme="minorHAnsi" w:cstheme="minorHAnsi"/>
                <w:color w:val="000000"/>
              </w:rPr>
              <w:t>SC63 Doc.19 (Para</w:t>
            </w:r>
            <w:r w:rsidR="007763C8">
              <w:rPr>
                <w:rFonts w:asciiTheme="minorHAnsi" w:hAnsiTheme="minorHAnsi" w:cstheme="minorHAnsi"/>
                <w:color w:val="000000"/>
              </w:rPr>
              <w:t>s</w:t>
            </w:r>
            <w:r w:rsidRPr="000830E0">
              <w:rPr>
                <w:rFonts w:asciiTheme="minorHAnsi" w:hAnsiTheme="minorHAnsi" w:cstheme="minorHAnsi"/>
                <w:color w:val="000000"/>
              </w:rPr>
              <w:t xml:space="preserve">. 16-18 </w:t>
            </w:r>
            <w:r w:rsidR="007763C8">
              <w:rPr>
                <w:rFonts w:asciiTheme="minorHAnsi" w:hAnsiTheme="minorHAnsi" w:cstheme="minorHAnsi"/>
                <w:color w:val="000000"/>
              </w:rPr>
              <w:t>and</w:t>
            </w:r>
            <w:r w:rsidRPr="000830E0">
              <w:rPr>
                <w:rFonts w:asciiTheme="minorHAnsi" w:hAnsiTheme="minorHAnsi" w:cstheme="minorHAnsi"/>
                <w:color w:val="000000"/>
              </w:rPr>
              <w:t xml:space="preserve"> Annex 1)</w:t>
            </w:r>
            <w:r>
              <w:rPr>
                <w:rFonts w:asciiTheme="minorHAnsi" w:hAnsiTheme="minorHAnsi" w:cstheme="minorHAnsi"/>
                <w:color w:val="000000"/>
              </w:rPr>
              <w:t xml:space="preserve">; and </w:t>
            </w:r>
            <w:r w:rsidRPr="000830E0">
              <w:rPr>
                <w:rFonts w:asciiTheme="minorHAnsi" w:hAnsiTheme="minorHAnsi" w:cstheme="minorHAnsi"/>
                <w:color w:val="000000"/>
              </w:rPr>
              <w:t>Report and Decisions of the 63rd Meeting of the Standing Committee (Decision SC63-30).</w:t>
            </w:r>
          </w:p>
        </w:tc>
      </w:tr>
      <w:tr w:rsidR="003C354A" w:rsidRPr="0049270A" w14:paraId="7D1FD2B2"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27DFB097" w14:textId="77777777" w:rsidR="003C354A" w:rsidRPr="0049270A" w:rsidRDefault="003C354A" w:rsidP="00C02A96">
            <w:pPr>
              <w:spacing w:after="0" w:line="240" w:lineRule="auto"/>
              <w:ind w:left="0" w:firstLine="0"/>
              <w:rPr>
                <w:rFonts w:asciiTheme="minorHAnsi" w:hAnsiTheme="minorHAnsi" w:cstheme="minorHAnsi"/>
                <w:color w:val="000000"/>
              </w:rPr>
            </w:pPr>
            <w:r w:rsidRPr="00986EB2">
              <w:rPr>
                <w:b/>
                <w:color w:val="000000" w:themeColor="text1"/>
              </w:rPr>
              <w:t>Task 2.</w:t>
            </w:r>
            <w:r>
              <w:rPr>
                <w:b/>
                <w:color w:val="000000" w:themeColor="text1"/>
              </w:rPr>
              <w:t>2</w:t>
            </w:r>
            <w:r w:rsidRPr="00986EB2">
              <w:rPr>
                <w:b/>
                <w:color w:val="000000" w:themeColor="text1"/>
              </w:rPr>
              <w:t>.</w:t>
            </w:r>
            <w:r>
              <w:rPr>
                <w:color w:val="000000" w:themeColor="text1"/>
              </w:rPr>
              <w:t xml:space="preserve"> </w:t>
            </w:r>
            <w:r w:rsidRPr="00473B20">
              <w:rPr>
                <w:color w:val="000000" w:themeColor="text1"/>
              </w:rPr>
              <w:t>Advancing the development and use of technology for wetland mapping and inventory.</w:t>
            </w:r>
          </w:p>
        </w:tc>
        <w:tc>
          <w:tcPr>
            <w:tcW w:w="4110" w:type="dxa"/>
            <w:tcBorders>
              <w:top w:val="none" w:sz="4" w:space="0" w:color="000000"/>
              <w:left w:val="single" w:sz="8" w:space="0" w:color="000000"/>
              <w:bottom w:val="single" w:sz="8" w:space="0" w:color="000000"/>
              <w:right w:val="single" w:sz="8" w:space="0" w:color="000000"/>
            </w:tcBorders>
          </w:tcPr>
          <w:p w14:paraId="4B86600E" w14:textId="661D3E8C" w:rsidR="003C354A" w:rsidRPr="00D33C74" w:rsidRDefault="003C354A" w:rsidP="00C02A96">
            <w:pPr>
              <w:spacing w:after="0" w:line="240" w:lineRule="auto"/>
              <w:ind w:left="0" w:firstLine="0"/>
              <w:rPr>
                <w:rFonts w:asciiTheme="minorHAnsi" w:hAnsiTheme="minorHAnsi" w:cstheme="minorHAnsi"/>
                <w:color w:val="000000"/>
              </w:rPr>
            </w:pPr>
            <w:r w:rsidRPr="006860A2">
              <w:rPr>
                <w:rFonts w:asciiTheme="minorHAnsi" w:hAnsiTheme="minorHAnsi" w:cstheme="minorHAnsi"/>
                <w:color w:val="000000"/>
              </w:rPr>
              <w:t>SC63 Doc.19 (Para. 49 (h))</w:t>
            </w:r>
            <w:r>
              <w:rPr>
                <w:rFonts w:asciiTheme="minorHAnsi" w:hAnsiTheme="minorHAnsi" w:cstheme="minorHAnsi"/>
                <w:color w:val="000000"/>
              </w:rPr>
              <w:t xml:space="preserve">; </w:t>
            </w:r>
            <w:r w:rsidR="007763C8">
              <w:rPr>
                <w:rFonts w:asciiTheme="minorHAnsi" w:hAnsiTheme="minorHAnsi" w:cstheme="minorHAnsi"/>
                <w:color w:val="000000"/>
              </w:rPr>
              <w:t xml:space="preserve">and </w:t>
            </w:r>
            <w:r w:rsidRPr="006860A2">
              <w:rPr>
                <w:rFonts w:asciiTheme="minorHAnsi" w:hAnsiTheme="minorHAnsi" w:cstheme="minorHAnsi"/>
                <w:color w:val="000000"/>
              </w:rPr>
              <w:t xml:space="preserve">Report and </w:t>
            </w:r>
            <w:r w:rsidRPr="00EE0D45">
              <w:rPr>
                <w:rFonts w:asciiTheme="minorHAnsi" w:hAnsiTheme="minorHAnsi" w:cstheme="minorHAnsi"/>
              </w:rPr>
              <w:t>Decisions</w:t>
            </w:r>
            <w:r w:rsidRPr="006860A2">
              <w:rPr>
                <w:rFonts w:asciiTheme="minorHAnsi" w:hAnsiTheme="minorHAnsi" w:cstheme="minorHAnsi"/>
                <w:color w:val="000000"/>
              </w:rPr>
              <w:t xml:space="preserve"> of the 63rd Meeting of the Standing Committee (Decision SC63-30).</w:t>
            </w:r>
          </w:p>
        </w:tc>
      </w:tr>
    </w:tbl>
    <w:p w14:paraId="48E30028" w14:textId="77777777" w:rsidR="003C354A" w:rsidRDefault="003C354A" w:rsidP="00C02A96">
      <w:pPr>
        <w:spacing w:after="0" w:line="240" w:lineRule="auto"/>
      </w:pPr>
      <w:r>
        <w:br w:type="page"/>
      </w:r>
    </w:p>
    <w:tbl>
      <w:tblPr>
        <w:tblW w:w="9062" w:type="dxa"/>
        <w:tblLayout w:type="fixed"/>
        <w:tblLook w:val="0400" w:firstRow="0" w:lastRow="0" w:firstColumn="0" w:lastColumn="0" w:noHBand="0" w:noVBand="1"/>
      </w:tblPr>
      <w:tblGrid>
        <w:gridCol w:w="4952"/>
        <w:gridCol w:w="4110"/>
      </w:tblGrid>
      <w:tr w:rsidR="003C354A" w:rsidRPr="0049270A" w14:paraId="100A717F"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789E45C" w14:textId="77777777" w:rsidR="003C354A" w:rsidRPr="0049270A" w:rsidRDefault="003C354A" w:rsidP="00C02A96">
            <w:pPr>
              <w:spacing w:after="0" w:line="240" w:lineRule="auto"/>
              <w:ind w:left="0" w:firstLine="0"/>
              <w:rPr>
                <w:rFonts w:asciiTheme="minorHAnsi" w:hAnsiTheme="minorHAnsi" w:cstheme="minorHAnsi"/>
              </w:rPr>
            </w:pPr>
            <w:r w:rsidRPr="0049270A">
              <w:rPr>
                <w:rFonts w:asciiTheme="minorHAnsi" w:hAnsiTheme="minorHAnsi" w:cstheme="minorHAnsi"/>
                <w:b/>
                <w:bCs/>
                <w:color w:val="000000"/>
              </w:rPr>
              <w:lastRenderedPageBreak/>
              <w:t>TWA 3: Direct and climate-change-related pressures on wetlands, their impacts and responses.</w:t>
            </w:r>
          </w:p>
        </w:tc>
      </w:tr>
      <w:tr w:rsidR="003C354A" w:rsidRPr="0049270A" w14:paraId="46E7CDE6"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7BB0C0F7" w14:textId="77777777" w:rsidR="003C354A" w:rsidRPr="00D33C74" w:rsidRDefault="003C354A" w:rsidP="00C02A96">
            <w:pPr>
              <w:spacing w:after="0" w:line="240" w:lineRule="auto"/>
              <w:ind w:left="0" w:firstLine="0"/>
              <w:rPr>
                <w:rFonts w:asciiTheme="minorHAnsi" w:hAnsiTheme="minorHAnsi" w:cstheme="minorHAnsi"/>
                <w:color w:val="000000"/>
              </w:rPr>
            </w:pPr>
            <w:r w:rsidRPr="00235FB2">
              <w:rPr>
                <w:rFonts w:asciiTheme="minorHAnsi" w:hAnsiTheme="minorHAnsi" w:cstheme="minorHAnsi"/>
                <w:color w:val="000000"/>
              </w:rPr>
              <w:t>This work area provide</w:t>
            </w:r>
            <w:r>
              <w:rPr>
                <w:rFonts w:asciiTheme="minorHAnsi" w:hAnsiTheme="minorHAnsi" w:cstheme="minorHAnsi"/>
                <w:color w:val="000000"/>
              </w:rPr>
              <w:t>s</w:t>
            </w:r>
            <w:r w:rsidRPr="00235FB2">
              <w:rPr>
                <w:rFonts w:asciiTheme="minorHAnsi" w:hAnsiTheme="minorHAnsi" w:cstheme="minorHAnsi"/>
                <w:color w:val="000000"/>
              </w:rPr>
              <w:t xml:space="preserve"> scientific and technical guidance on </w:t>
            </w:r>
            <w:r>
              <w:rPr>
                <w:rFonts w:asciiTheme="minorHAnsi" w:hAnsiTheme="minorHAnsi" w:cstheme="minorHAnsi"/>
                <w:color w:val="000000"/>
              </w:rPr>
              <w:t xml:space="preserve">the key pressures on wetlands, including </w:t>
            </w:r>
            <w:r w:rsidRPr="00235FB2">
              <w:rPr>
                <w:rFonts w:asciiTheme="minorHAnsi" w:hAnsiTheme="minorHAnsi" w:cstheme="minorHAnsi"/>
                <w:color w:val="000000"/>
              </w:rPr>
              <w:t xml:space="preserve">the current and projected impacts of climate change, drawing from the latest international assessments. </w:t>
            </w:r>
            <w:r>
              <w:rPr>
                <w:rFonts w:asciiTheme="minorHAnsi" w:hAnsiTheme="minorHAnsi" w:cstheme="minorHAnsi"/>
                <w:color w:val="000000"/>
              </w:rPr>
              <w:t>TWA 3 aims to provide Contracting Parties with information to enable a</w:t>
            </w:r>
            <w:r w:rsidRPr="00235FB2">
              <w:rPr>
                <w:rFonts w:asciiTheme="minorHAnsi" w:hAnsiTheme="minorHAnsi" w:cstheme="minorHAnsi"/>
                <w:color w:val="000000"/>
              </w:rPr>
              <w:t>daptation and resilience-building measures for wetlands, promoting nature-based solutions</w:t>
            </w:r>
            <w:r>
              <w:rPr>
                <w:rFonts w:asciiTheme="minorHAnsi" w:hAnsiTheme="minorHAnsi" w:cstheme="minorHAnsi"/>
                <w:color w:val="000000"/>
              </w:rPr>
              <w:t xml:space="preserve"> or ecosystem-based approaches</w:t>
            </w:r>
            <w:r w:rsidRPr="00235FB2">
              <w:rPr>
                <w:rFonts w:asciiTheme="minorHAnsi" w:hAnsiTheme="minorHAnsi" w:cstheme="minorHAnsi"/>
                <w:color w:val="000000"/>
              </w:rPr>
              <w:t xml:space="preserve"> to protect ecosystem services under changing climate conditions</w:t>
            </w:r>
            <w:r>
              <w:rPr>
                <w:rFonts w:asciiTheme="minorHAnsi" w:hAnsiTheme="minorHAnsi" w:cstheme="minorHAnsi"/>
                <w:color w:val="000000"/>
              </w:rPr>
              <w:t xml:space="preserve"> and other direct pressures, including</w:t>
            </w:r>
            <w:r w:rsidRPr="00235FB2">
              <w:rPr>
                <w:rFonts w:asciiTheme="minorHAnsi" w:hAnsiTheme="minorHAnsi" w:cstheme="minorHAnsi"/>
                <w:color w:val="000000"/>
              </w:rPr>
              <w:t xml:space="preserve"> agricultural expansion, pollution, and </w:t>
            </w:r>
            <w:r>
              <w:rPr>
                <w:rFonts w:asciiTheme="minorHAnsi" w:hAnsiTheme="minorHAnsi" w:cstheme="minorHAnsi"/>
                <w:color w:val="000000"/>
              </w:rPr>
              <w:t xml:space="preserve">urban </w:t>
            </w:r>
            <w:r w:rsidRPr="00235FB2">
              <w:rPr>
                <w:rFonts w:asciiTheme="minorHAnsi" w:hAnsiTheme="minorHAnsi" w:cstheme="minorHAnsi"/>
                <w:color w:val="000000"/>
              </w:rPr>
              <w:t>development.</w:t>
            </w:r>
          </w:p>
        </w:tc>
      </w:tr>
      <w:tr w:rsidR="003C354A" w:rsidRPr="0049270A" w14:paraId="3269723D"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45D2C84C" w14:textId="77777777" w:rsidR="003C354A" w:rsidRPr="00266083" w:rsidRDefault="003C354A" w:rsidP="00C02A96">
            <w:pPr>
              <w:spacing w:after="0" w:line="240" w:lineRule="auto"/>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3</w:t>
            </w:r>
            <w:r w:rsidRPr="00986EB2">
              <w:rPr>
                <w:b/>
                <w:color w:val="000000" w:themeColor="text1"/>
              </w:rPr>
              <w:t>.</w:t>
            </w:r>
            <w:r>
              <w:rPr>
                <w:b/>
                <w:color w:val="000000" w:themeColor="text1"/>
              </w:rPr>
              <w:t>1</w:t>
            </w:r>
            <w:r w:rsidRPr="00986EB2">
              <w:rPr>
                <w:b/>
                <w:color w:val="000000" w:themeColor="text1"/>
              </w:rPr>
              <w:t>.</w:t>
            </w:r>
            <w:r>
              <w:rPr>
                <w:color w:val="000000" w:themeColor="text1"/>
              </w:rPr>
              <w:t xml:space="preserve"> </w:t>
            </w:r>
            <w:r w:rsidRPr="00C1400B">
              <w:rPr>
                <w:color w:val="000000" w:themeColor="text1"/>
              </w:rPr>
              <w:t>Assessing the impacts from harmful algal blooms in wetlands.</w:t>
            </w:r>
          </w:p>
        </w:tc>
        <w:tc>
          <w:tcPr>
            <w:tcW w:w="4110" w:type="dxa"/>
            <w:tcBorders>
              <w:top w:val="single" w:sz="8" w:space="0" w:color="000000"/>
              <w:left w:val="single" w:sz="8" w:space="0" w:color="000000"/>
              <w:bottom w:val="single" w:sz="8" w:space="0" w:color="000000"/>
              <w:right w:val="single" w:sz="8" w:space="0" w:color="000000"/>
            </w:tcBorders>
          </w:tcPr>
          <w:p w14:paraId="425AD9FC" w14:textId="0AF57BAC" w:rsidR="003C354A" w:rsidRPr="00EE0D45" w:rsidRDefault="003C354A" w:rsidP="00C02A96">
            <w:pPr>
              <w:spacing w:after="0" w:line="240" w:lineRule="auto"/>
              <w:ind w:left="0" w:firstLine="0"/>
              <w:rPr>
                <w:rFonts w:asciiTheme="minorHAnsi" w:hAnsiTheme="minorHAnsi" w:cstheme="minorHAnsi"/>
              </w:rPr>
            </w:pPr>
            <w:r w:rsidRPr="00EE0D45">
              <w:rPr>
                <w:rFonts w:asciiTheme="minorHAnsi" w:hAnsiTheme="minorHAnsi" w:cstheme="minorHAnsi"/>
              </w:rPr>
              <w:t>SC63 Doc.19 (Para</w:t>
            </w:r>
            <w:r w:rsidR="007763C8">
              <w:rPr>
                <w:rFonts w:asciiTheme="minorHAnsi" w:hAnsiTheme="minorHAnsi" w:cstheme="minorHAnsi"/>
              </w:rPr>
              <w:t>s</w:t>
            </w:r>
            <w:r w:rsidRPr="00EE0D45">
              <w:rPr>
                <w:rFonts w:asciiTheme="minorHAnsi" w:hAnsiTheme="minorHAnsi" w:cstheme="minorHAnsi"/>
              </w:rPr>
              <w:t xml:space="preserve">. 19-21 </w:t>
            </w:r>
            <w:r>
              <w:rPr>
                <w:rFonts w:asciiTheme="minorHAnsi" w:hAnsiTheme="minorHAnsi" w:cstheme="minorHAnsi"/>
              </w:rPr>
              <w:t>and</w:t>
            </w:r>
            <w:r w:rsidRPr="00EE0D45">
              <w:rPr>
                <w:rFonts w:asciiTheme="minorHAnsi" w:hAnsiTheme="minorHAnsi" w:cstheme="minorHAnsi"/>
              </w:rPr>
              <w:t xml:space="preserve"> Annex 2).</w:t>
            </w:r>
          </w:p>
        </w:tc>
      </w:tr>
      <w:tr w:rsidR="003C354A" w:rsidRPr="0049270A" w14:paraId="189A2F22"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125051E6" w14:textId="77777777" w:rsidR="003C354A" w:rsidRPr="00986EB2" w:rsidRDefault="003C354A" w:rsidP="00C02A96">
            <w:pPr>
              <w:spacing w:after="0" w:line="240" w:lineRule="auto"/>
              <w:ind w:left="0" w:firstLine="0"/>
              <w:rPr>
                <w:b/>
                <w:color w:val="000000" w:themeColor="text1"/>
              </w:rPr>
            </w:pPr>
            <w:r w:rsidRPr="00986EB2">
              <w:rPr>
                <w:b/>
                <w:color w:val="000000" w:themeColor="text1"/>
              </w:rPr>
              <w:t xml:space="preserve">Task </w:t>
            </w:r>
            <w:r>
              <w:rPr>
                <w:b/>
                <w:color w:val="000000" w:themeColor="text1"/>
              </w:rPr>
              <w:t>3</w:t>
            </w:r>
            <w:r w:rsidRPr="00986EB2">
              <w:rPr>
                <w:b/>
                <w:color w:val="000000" w:themeColor="text1"/>
              </w:rPr>
              <w:t>.</w:t>
            </w:r>
            <w:r>
              <w:rPr>
                <w:b/>
                <w:color w:val="000000" w:themeColor="text1"/>
              </w:rPr>
              <w:t>2</w:t>
            </w:r>
            <w:r w:rsidRPr="00986EB2">
              <w:rPr>
                <w:b/>
                <w:color w:val="000000" w:themeColor="text1"/>
              </w:rPr>
              <w:t>.</w:t>
            </w:r>
            <w:r>
              <w:rPr>
                <w:color w:val="000000" w:themeColor="text1"/>
              </w:rPr>
              <w:t xml:space="preserve"> </w:t>
            </w:r>
            <w:r w:rsidRPr="00B4784E">
              <w:rPr>
                <w:color w:val="000000" w:themeColor="text1"/>
              </w:rPr>
              <w:t>Assessing the impact of fires in wetlands.</w:t>
            </w:r>
          </w:p>
        </w:tc>
        <w:tc>
          <w:tcPr>
            <w:tcW w:w="4110" w:type="dxa"/>
            <w:tcBorders>
              <w:top w:val="single" w:sz="8" w:space="0" w:color="000000"/>
              <w:left w:val="single" w:sz="8" w:space="0" w:color="000000"/>
              <w:bottom w:val="single" w:sz="8" w:space="0" w:color="000000"/>
              <w:right w:val="single" w:sz="8" w:space="0" w:color="000000"/>
            </w:tcBorders>
          </w:tcPr>
          <w:p w14:paraId="2E629FD3" w14:textId="06961DCD" w:rsidR="003C354A" w:rsidRPr="00EE0D45" w:rsidRDefault="003C354A" w:rsidP="00C02A96">
            <w:pPr>
              <w:spacing w:after="0" w:line="240" w:lineRule="auto"/>
              <w:ind w:left="0" w:firstLine="0"/>
              <w:rPr>
                <w:rFonts w:asciiTheme="minorHAnsi" w:hAnsiTheme="minorHAnsi" w:cstheme="minorHAnsi"/>
              </w:rPr>
            </w:pPr>
            <w:r w:rsidRPr="00EE0D45">
              <w:rPr>
                <w:rFonts w:asciiTheme="minorHAnsi" w:hAnsiTheme="minorHAnsi" w:cstheme="minorHAnsi"/>
              </w:rPr>
              <w:t>Doc. SC63.19 (Para</w:t>
            </w:r>
            <w:r w:rsidR="007763C8">
              <w:rPr>
                <w:rFonts w:asciiTheme="minorHAnsi" w:hAnsiTheme="minorHAnsi" w:cstheme="minorHAnsi"/>
              </w:rPr>
              <w:t>s</w:t>
            </w:r>
            <w:r w:rsidRPr="00EE0D45">
              <w:rPr>
                <w:rFonts w:asciiTheme="minorHAnsi" w:hAnsiTheme="minorHAnsi" w:cstheme="minorHAnsi"/>
              </w:rPr>
              <w:t xml:space="preserve">. 19-21 </w:t>
            </w:r>
            <w:r>
              <w:rPr>
                <w:rFonts w:asciiTheme="minorHAnsi" w:hAnsiTheme="minorHAnsi" w:cstheme="minorHAnsi"/>
              </w:rPr>
              <w:t>and</w:t>
            </w:r>
            <w:r w:rsidRPr="00EE0D45">
              <w:rPr>
                <w:rFonts w:asciiTheme="minorHAnsi" w:hAnsiTheme="minorHAnsi" w:cstheme="minorHAnsi"/>
              </w:rPr>
              <w:t xml:space="preserve"> Annex 2).</w:t>
            </w:r>
          </w:p>
        </w:tc>
      </w:tr>
      <w:tr w:rsidR="00B14834" w:rsidRPr="0049270A" w14:paraId="1B5D7F37"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29DC6ECD" w14:textId="4B455959" w:rsidR="00B14834" w:rsidRPr="00986EB2" w:rsidRDefault="00E76C30" w:rsidP="00C02A96">
            <w:pPr>
              <w:spacing w:after="0" w:line="240" w:lineRule="auto"/>
              <w:ind w:left="0" w:firstLine="0"/>
              <w:rPr>
                <w:b/>
                <w:color w:val="000000" w:themeColor="text1"/>
              </w:rPr>
            </w:pPr>
            <w:r w:rsidRPr="00E76C30">
              <w:rPr>
                <w:b/>
                <w:color w:val="000000" w:themeColor="text1"/>
              </w:rPr>
              <w:t xml:space="preserve">Task 3.3. </w:t>
            </w:r>
            <w:r w:rsidRPr="00E76C30">
              <w:rPr>
                <w:bCs/>
                <w:color w:val="000000" w:themeColor="text1"/>
              </w:rPr>
              <w:t xml:space="preserve">Provide compiled facts about the role of wetlands in the hydrological cycle, both in respect of climate change caused by climate change as well deforestation that changes the atmospheric flows of water. </w:t>
            </w:r>
          </w:p>
        </w:tc>
        <w:tc>
          <w:tcPr>
            <w:tcW w:w="4110" w:type="dxa"/>
            <w:tcBorders>
              <w:top w:val="single" w:sz="8" w:space="0" w:color="000000"/>
              <w:left w:val="single" w:sz="8" w:space="0" w:color="000000"/>
              <w:bottom w:val="single" w:sz="8" w:space="0" w:color="000000"/>
              <w:right w:val="single" w:sz="8" w:space="0" w:color="000000"/>
            </w:tcBorders>
          </w:tcPr>
          <w:p w14:paraId="14557325" w14:textId="77777777" w:rsidR="00FD24EF" w:rsidRPr="00FD24EF" w:rsidRDefault="00FD24EF" w:rsidP="00FD24EF">
            <w:pPr>
              <w:spacing w:after="0" w:line="240" w:lineRule="auto"/>
              <w:ind w:left="0" w:firstLine="0"/>
              <w:rPr>
                <w:rFonts w:asciiTheme="minorHAnsi" w:hAnsiTheme="minorHAnsi" w:cstheme="minorHAnsi"/>
              </w:rPr>
            </w:pPr>
            <w:r w:rsidRPr="00FD24EF">
              <w:rPr>
                <w:rFonts w:asciiTheme="minorHAnsi" w:hAnsiTheme="minorHAnsi" w:cstheme="minorHAnsi"/>
              </w:rPr>
              <w:t>Report and Decisions of the 64th meeting</w:t>
            </w:r>
          </w:p>
          <w:p w14:paraId="089370DD" w14:textId="3C9F50EC" w:rsidR="00B14834" w:rsidRPr="00EE0D45" w:rsidRDefault="00FD24EF" w:rsidP="00FD24EF">
            <w:pPr>
              <w:spacing w:after="0" w:line="240" w:lineRule="auto"/>
              <w:ind w:left="0" w:firstLine="0"/>
              <w:rPr>
                <w:rFonts w:asciiTheme="minorHAnsi" w:hAnsiTheme="minorHAnsi" w:cstheme="minorHAnsi"/>
              </w:rPr>
            </w:pPr>
            <w:r w:rsidRPr="00FD24EF">
              <w:rPr>
                <w:rFonts w:asciiTheme="minorHAnsi" w:hAnsiTheme="minorHAnsi" w:cstheme="minorHAnsi"/>
              </w:rPr>
              <w:t>of the Standing Committee</w:t>
            </w:r>
            <w:r>
              <w:rPr>
                <w:rFonts w:asciiTheme="minorHAnsi" w:hAnsiTheme="minorHAnsi" w:cstheme="minorHAnsi"/>
              </w:rPr>
              <w:t>.</w:t>
            </w:r>
          </w:p>
        </w:tc>
      </w:tr>
      <w:tr w:rsidR="003C354A" w:rsidRPr="0049270A" w14:paraId="4A7908D8"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6E0ED7C8" w14:textId="77777777" w:rsidR="003C354A" w:rsidRPr="0049270A" w:rsidRDefault="003C354A" w:rsidP="00C02A96">
            <w:pPr>
              <w:spacing w:after="0" w:line="240" w:lineRule="auto"/>
              <w:ind w:left="0" w:firstLine="0"/>
              <w:rPr>
                <w:rFonts w:asciiTheme="minorHAnsi" w:hAnsiTheme="minorHAnsi" w:cstheme="minorHAnsi"/>
              </w:rPr>
            </w:pPr>
            <w:r w:rsidRPr="0049270A">
              <w:rPr>
                <w:rFonts w:asciiTheme="minorHAnsi" w:hAnsiTheme="minorHAnsi" w:cstheme="minorHAnsi"/>
                <w:b/>
                <w:bCs/>
                <w:color w:val="000000"/>
              </w:rPr>
              <w:t>TWA 4: Wise use, sustainable management and restoration of wetlands in the wider landscape/seascape.</w:t>
            </w:r>
          </w:p>
        </w:tc>
      </w:tr>
      <w:tr w:rsidR="003C354A" w:rsidRPr="0049270A" w14:paraId="7D43C2AD"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2055239B" w14:textId="75A9D2AA" w:rsidR="003C354A" w:rsidRPr="00D33C74" w:rsidRDefault="003C354A" w:rsidP="00C02A96">
            <w:pPr>
              <w:spacing w:after="0" w:line="240" w:lineRule="auto"/>
              <w:ind w:left="0" w:firstLine="0"/>
              <w:rPr>
                <w:rFonts w:asciiTheme="minorHAnsi" w:hAnsiTheme="minorHAnsi" w:cstheme="minorHAnsi"/>
                <w:color w:val="000000"/>
              </w:rPr>
            </w:pPr>
            <w:r w:rsidRPr="00235FB2">
              <w:rPr>
                <w:rFonts w:asciiTheme="minorHAnsi" w:hAnsiTheme="minorHAnsi" w:cstheme="minorHAnsi"/>
                <w:color w:val="000000"/>
              </w:rPr>
              <w:t xml:space="preserve">This work area will support Contracting Parties </w:t>
            </w:r>
            <w:r>
              <w:rPr>
                <w:rFonts w:asciiTheme="minorHAnsi" w:hAnsiTheme="minorHAnsi" w:cstheme="minorHAnsi"/>
                <w:color w:val="000000"/>
              </w:rPr>
              <w:t>to implement actions that promote the wise use and sustainable management of wetlands, restoration</w:t>
            </w:r>
            <w:r w:rsidR="00414FF8">
              <w:rPr>
                <w:rFonts w:asciiTheme="minorHAnsi" w:hAnsiTheme="minorHAnsi" w:cstheme="minorHAnsi"/>
                <w:color w:val="000000"/>
              </w:rPr>
              <w:t xml:space="preserve">, and </w:t>
            </w:r>
            <w:r w:rsidR="00414FF8" w:rsidRPr="00414FF8">
              <w:rPr>
                <w:rFonts w:asciiTheme="minorHAnsi" w:hAnsiTheme="minorHAnsi" w:cstheme="minorHAnsi"/>
                <w:color w:val="000000"/>
              </w:rPr>
              <w:t>livelihoods of wetland communities</w:t>
            </w:r>
            <w:r>
              <w:rPr>
                <w:rFonts w:asciiTheme="minorHAnsi" w:hAnsiTheme="minorHAnsi" w:cstheme="minorHAnsi"/>
                <w:color w:val="000000"/>
              </w:rPr>
              <w:t xml:space="preserve">. TWA 4 includes assessment of options for transformative change to achieve wetland wise use, in alignment with sustainable development goals, and supporting integration of </w:t>
            </w:r>
            <w:r w:rsidRPr="00235FB2">
              <w:rPr>
                <w:rFonts w:asciiTheme="minorHAnsi" w:hAnsiTheme="minorHAnsi" w:cstheme="minorHAnsi"/>
                <w:color w:val="000000"/>
              </w:rPr>
              <w:t>wetlands into national development strategies. Future activities</w:t>
            </w:r>
            <w:r>
              <w:rPr>
                <w:rFonts w:asciiTheme="minorHAnsi" w:hAnsiTheme="minorHAnsi" w:cstheme="minorHAnsi"/>
                <w:color w:val="000000"/>
              </w:rPr>
              <w:t xml:space="preserve"> may include</w:t>
            </w:r>
            <w:r w:rsidRPr="00235FB2">
              <w:rPr>
                <w:rFonts w:asciiTheme="minorHAnsi" w:hAnsiTheme="minorHAnsi" w:cstheme="minorHAnsi"/>
                <w:color w:val="000000"/>
              </w:rPr>
              <w:t xml:space="preserve"> </w:t>
            </w:r>
            <w:r>
              <w:rPr>
                <w:rFonts w:asciiTheme="minorHAnsi" w:hAnsiTheme="minorHAnsi" w:cstheme="minorHAnsi"/>
                <w:color w:val="000000"/>
              </w:rPr>
              <w:t xml:space="preserve">guidance to </w:t>
            </w:r>
            <w:r w:rsidRPr="00235FB2">
              <w:rPr>
                <w:rFonts w:asciiTheme="minorHAnsi" w:hAnsiTheme="minorHAnsi" w:cstheme="minorHAnsi"/>
                <w:color w:val="000000"/>
              </w:rPr>
              <w:t>enhanc</w:t>
            </w:r>
            <w:r>
              <w:rPr>
                <w:rFonts w:asciiTheme="minorHAnsi" w:hAnsiTheme="minorHAnsi" w:cstheme="minorHAnsi"/>
                <w:color w:val="000000"/>
              </w:rPr>
              <w:t>e</w:t>
            </w:r>
            <w:r w:rsidRPr="00235FB2">
              <w:rPr>
                <w:rFonts w:asciiTheme="minorHAnsi" w:hAnsiTheme="minorHAnsi" w:cstheme="minorHAnsi"/>
                <w:color w:val="000000"/>
              </w:rPr>
              <w:t xml:space="preserve"> the role of wetlands in disaster risk reduction, </w:t>
            </w:r>
            <w:r>
              <w:rPr>
                <w:rFonts w:asciiTheme="minorHAnsi" w:hAnsiTheme="minorHAnsi" w:cstheme="minorHAnsi"/>
                <w:color w:val="000000"/>
              </w:rPr>
              <w:t xml:space="preserve">to promote </w:t>
            </w:r>
            <w:r w:rsidRPr="00235FB2">
              <w:rPr>
                <w:rFonts w:asciiTheme="minorHAnsi" w:hAnsiTheme="minorHAnsi" w:cstheme="minorHAnsi"/>
                <w:color w:val="000000"/>
              </w:rPr>
              <w:t>food security</w:t>
            </w:r>
            <w:r>
              <w:rPr>
                <w:rFonts w:asciiTheme="minorHAnsi" w:hAnsiTheme="minorHAnsi" w:cstheme="minorHAnsi"/>
                <w:color w:val="000000"/>
              </w:rPr>
              <w:t xml:space="preserve"> and to enable wetland restoration</w:t>
            </w:r>
            <w:r w:rsidRPr="00235FB2">
              <w:rPr>
                <w:rFonts w:asciiTheme="minorHAnsi" w:hAnsiTheme="minorHAnsi" w:cstheme="minorHAnsi"/>
                <w:color w:val="000000"/>
              </w:rPr>
              <w:t>.</w:t>
            </w:r>
          </w:p>
        </w:tc>
      </w:tr>
      <w:tr w:rsidR="003C354A" w:rsidRPr="0049270A" w14:paraId="02DB5C4E"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2B907118" w14:textId="617912B1" w:rsidR="003C354A" w:rsidRPr="000525D6" w:rsidRDefault="003C354A" w:rsidP="00C02A96">
            <w:pPr>
              <w:spacing w:after="0" w:line="240" w:lineRule="auto"/>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4</w:t>
            </w:r>
            <w:r w:rsidRPr="00986EB2">
              <w:rPr>
                <w:b/>
                <w:color w:val="000000" w:themeColor="text1"/>
              </w:rPr>
              <w:t>.</w:t>
            </w:r>
            <w:r>
              <w:rPr>
                <w:b/>
                <w:color w:val="000000" w:themeColor="text1"/>
              </w:rPr>
              <w:t>1</w:t>
            </w:r>
            <w:r w:rsidRPr="00986EB2">
              <w:rPr>
                <w:b/>
                <w:color w:val="000000" w:themeColor="text1"/>
              </w:rPr>
              <w:t>.</w:t>
            </w:r>
            <w:r>
              <w:rPr>
                <w:color w:val="000000" w:themeColor="text1"/>
              </w:rPr>
              <w:t xml:space="preserve"> </w:t>
            </w:r>
            <w:r w:rsidRPr="00066BDF">
              <w:rPr>
                <w:color w:val="000000" w:themeColor="text1"/>
              </w:rPr>
              <w:t>An assessment of transformative change pathways for wetland conservation</w:t>
            </w:r>
            <w:r w:rsidR="00C72626">
              <w:rPr>
                <w:color w:val="000000" w:themeColor="text1"/>
              </w:rPr>
              <w:t>,</w:t>
            </w:r>
            <w:r w:rsidR="00C72626" w:rsidRPr="00C72626">
              <w:rPr>
                <w:color w:val="000000" w:themeColor="text1"/>
              </w:rPr>
              <w:t xml:space="preserve"> including OECM</w:t>
            </w:r>
            <w:r w:rsidR="00C72626">
              <w:rPr>
                <w:color w:val="000000" w:themeColor="text1"/>
              </w:rPr>
              <w:t>s</w:t>
            </w:r>
            <w:r w:rsidR="00B14834">
              <w:rPr>
                <w:color w:val="000000" w:themeColor="text1"/>
              </w:rPr>
              <w:t xml:space="preserve"> </w:t>
            </w:r>
            <w:r w:rsidRPr="00066BDF">
              <w:rPr>
                <w:color w:val="000000" w:themeColor="text1"/>
              </w:rPr>
              <w:t>and wise use for nature, climate and people.</w:t>
            </w:r>
          </w:p>
        </w:tc>
        <w:tc>
          <w:tcPr>
            <w:tcW w:w="4110" w:type="dxa"/>
            <w:tcBorders>
              <w:top w:val="single" w:sz="8" w:space="0" w:color="000000"/>
              <w:left w:val="single" w:sz="8" w:space="0" w:color="000000"/>
              <w:bottom w:val="single" w:sz="8" w:space="0" w:color="000000"/>
              <w:right w:val="single" w:sz="8" w:space="0" w:color="000000"/>
            </w:tcBorders>
          </w:tcPr>
          <w:p w14:paraId="5F4F5E23" w14:textId="0C78E0E5" w:rsidR="003C354A" w:rsidRPr="00D33C74" w:rsidRDefault="003C354A" w:rsidP="00C02A96">
            <w:pPr>
              <w:spacing w:after="0" w:line="240" w:lineRule="auto"/>
              <w:ind w:left="0" w:firstLine="0"/>
              <w:rPr>
                <w:rFonts w:asciiTheme="minorHAnsi" w:hAnsiTheme="minorHAnsi" w:cstheme="minorHAnsi"/>
                <w:color w:val="000000"/>
              </w:rPr>
            </w:pPr>
            <w:r w:rsidRPr="00F91284">
              <w:rPr>
                <w:rFonts w:asciiTheme="minorHAnsi" w:hAnsiTheme="minorHAnsi" w:cstheme="minorHAnsi"/>
                <w:color w:val="000000"/>
              </w:rPr>
              <w:t>SC63 Doc.19 (Para</w:t>
            </w:r>
            <w:r w:rsidR="003F2B26">
              <w:rPr>
                <w:rFonts w:asciiTheme="minorHAnsi" w:hAnsiTheme="minorHAnsi" w:cstheme="minorHAnsi"/>
                <w:color w:val="000000"/>
              </w:rPr>
              <w:t>s</w:t>
            </w:r>
            <w:r w:rsidRPr="00F91284">
              <w:rPr>
                <w:rFonts w:asciiTheme="minorHAnsi" w:hAnsiTheme="minorHAnsi" w:cstheme="minorHAnsi"/>
                <w:color w:val="000000"/>
              </w:rPr>
              <w:t xml:space="preserve">. 19-21 </w:t>
            </w:r>
            <w:r>
              <w:rPr>
                <w:rFonts w:asciiTheme="minorHAnsi" w:hAnsiTheme="minorHAnsi" w:cstheme="minorHAnsi"/>
                <w:color w:val="000000"/>
              </w:rPr>
              <w:t>and</w:t>
            </w:r>
            <w:r w:rsidRPr="00F91284">
              <w:rPr>
                <w:rFonts w:asciiTheme="minorHAnsi" w:hAnsiTheme="minorHAnsi" w:cstheme="minorHAnsi"/>
                <w:color w:val="000000"/>
              </w:rPr>
              <w:t xml:space="preserve"> Annex 2)</w:t>
            </w:r>
            <w:r>
              <w:rPr>
                <w:rFonts w:asciiTheme="minorHAnsi" w:hAnsiTheme="minorHAnsi" w:cstheme="minorHAnsi"/>
                <w:color w:val="000000"/>
              </w:rPr>
              <w:t xml:space="preserve">; and </w:t>
            </w:r>
            <w:r w:rsidRPr="00F91284">
              <w:rPr>
                <w:rFonts w:asciiTheme="minorHAnsi" w:hAnsiTheme="minorHAnsi" w:cstheme="minorHAnsi"/>
                <w:color w:val="000000"/>
              </w:rPr>
              <w:t>Vision of 5th Strategic Plan (TBC)</w:t>
            </w:r>
          </w:p>
        </w:tc>
      </w:tr>
      <w:tr w:rsidR="003C354A" w:rsidRPr="0049270A" w14:paraId="01B6DBE1"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3470CBEB" w14:textId="77777777" w:rsidR="003C354A" w:rsidRPr="00986EB2" w:rsidRDefault="003C354A" w:rsidP="00C02A96">
            <w:pPr>
              <w:spacing w:after="0" w:line="240" w:lineRule="auto"/>
              <w:ind w:left="0" w:firstLine="0"/>
              <w:rPr>
                <w:b/>
                <w:color w:val="000000" w:themeColor="text1"/>
              </w:rPr>
            </w:pPr>
            <w:r>
              <w:rPr>
                <w:b/>
                <w:color w:val="000000" w:themeColor="text1"/>
              </w:rPr>
              <w:t>Task 4.2.</w:t>
            </w:r>
            <w:r w:rsidRPr="00AB2511">
              <w:rPr>
                <w:color w:val="000000" w:themeColor="text1"/>
              </w:rPr>
              <w:t xml:space="preserve"> </w:t>
            </w:r>
            <w:r w:rsidRPr="00745202">
              <w:rPr>
                <w:color w:val="000000" w:themeColor="text1"/>
              </w:rPr>
              <w:t>Strengthening wetland restoration for climate resilience and biodiversity recovery: Building on STRP outputs and global frameworks</w:t>
            </w:r>
            <w:r>
              <w:rPr>
                <w:color w:val="000000" w:themeColor="text1"/>
              </w:rPr>
              <w:t>.</w:t>
            </w:r>
          </w:p>
        </w:tc>
        <w:tc>
          <w:tcPr>
            <w:tcW w:w="4110" w:type="dxa"/>
            <w:tcBorders>
              <w:top w:val="single" w:sz="8" w:space="0" w:color="000000"/>
              <w:left w:val="single" w:sz="8" w:space="0" w:color="000000"/>
              <w:bottom w:val="single" w:sz="8" w:space="0" w:color="000000"/>
              <w:right w:val="single" w:sz="8" w:space="0" w:color="000000"/>
            </w:tcBorders>
          </w:tcPr>
          <w:p w14:paraId="664BB6F6" w14:textId="77777777" w:rsidR="003C354A" w:rsidRPr="00D33C74" w:rsidRDefault="003C354A" w:rsidP="00C02A96">
            <w:pPr>
              <w:spacing w:after="0" w:line="240" w:lineRule="auto"/>
              <w:ind w:left="0" w:firstLine="0"/>
              <w:rPr>
                <w:rFonts w:asciiTheme="minorHAnsi" w:hAnsiTheme="minorHAnsi" w:cstheme="minorHAnsi"/>
                <w:color w:val="000000"/>
              </w:rPr>
            </w:pPr>
            <w:r w:rsidRPr="008E7FD2">
              <w:rPr>
                <w:rFonts w:asciiTheme="minorHAnsi" w:hAnsiTheme="minorHAnsi" w:cstheme="minorHAnsi"/>
                <w:color w:val="000000"/>
              </w:rPr>
              <w:t xml:space="preserve">Relevant STRP activities: e.g., Res. XIV.6, Para. 45; Res. XIV.14, Annex 2; Res. XIV.16, Para. 21; </w:t>
            </w:r>
            <w:r>
              <w:rPr>
                <w:rFonts w:asciiTheme="minorHAnsi" w:hAnsiTheme="minorHAnsi" w:cstheme="minorHAnsi"/>
                <w:color w:val="000000"/>
              </w:rPr>
              <w:t xml:space="preserve">and </w:t>
            </w:r>
            <w:r w:rsidRPr="008E7FD2">
              <w:rPr>
                <w:rFonts w:asciiTheme="minorHAnsi" w:hAnsiTheme="minorHAnsi" w:cstheme="minorHAnsi"/>
                <w:color w:val="000000"/>
              </w:rPr>
              <w:t>Res. XIV.17, Para. 14.</w:t>
            </w:r>
          </w:p>
        </w:tc>
      </w:tr>
      <w:tr w:rsidR="003C354A" w:rsidRPr="0049270A" w14:paraId="1BCFE4C3"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5F1DF86A" w14:textId="3B8EFB72" w:rsidR="003C354A" w:rsidRPr="0049270A" w:rsidRDefault="003C354A" w:rsidP="00C02A96">
            <w:pPr>
              <w:spacing w:after="0" w:line="240" w:lineRule="auto"/>
              <w:ind w:left="0" w:firstLine="0"/>
              <w:rPr>
                <w:rFonts w:asciiTheme="minorHAnsi" w:hAnsiTheme="minorHAnsi" w:cstheme="minorHAnsi"/>
              </w:rPr>
            </w:pPr>
            <w:r w:rsidRPr="0049270A">
              <w:rPr>
                <w:rFonts w:asciiTheme="minorHAnsi" w:hAnsiTheme="minorHAnsi" w:cstheme="minorHAnsi"/>
                <w:b/>
                <w:bCs/>
                <w:color w:val="000000"/>
              </w:rPr>
              <w:t xml:space="preserve">TWA 5: Cross-cutting issues, supporting functions, and synergies with other </w:t>
            </w:r>
            <w:r w:rsidR="003F2B26">
              <w:rPr>
                <w:rFonts w:asciiTheme="minorHAnsi" w:hAnsiTheme="minorHAnsi" w:cstheme="minorHAnsi"/>
                <w:b/>
                <w:bCs/>
                <w:color w:val="000000"/>
              </w:rPr>
              <w:t>m</w:t>
            </w:r>
            <w:r w:rsidRPr="006A45D1">
              <w:rPr>
                <w:rFonts w:asciiTheme="minorHAnsi" w:hAnsiTheme="minorHAnsi" w:cstheme="minorHAnsi"/>
                <w:b/>
                <w:bCs/>
                <w:color w:val="000000"/>
              </w:rPr>
              <w:t xml:space="preserve">ultilateral </w:t>
            </w:r>
            <w:r w:rsidR="003F2B26">
              <w:rPr>
                <w:rFonts w:asciiTheme="minorHAnsi" w:hAnsiTheme="minorHAnsi" w:cstheme="minorHAnsi"/>
                <w:b/>
                <w:bCs/>
                <w:color w:val="000000"/>
              </w:rPr>
              <w:t>e</w:t>
            </w:r>
            <w:r w:rsidRPr="006A45D1">
              <w:rPr>
                <w:rFonts w:asciiTheme="minorHAnsi" w:hAnsiTheme="minorHAnsi" w:cstheme="minorHAnsi"/>
                <w:b/>
                <w:bCs/>
                <w:color w:val="000000"/>
              </w:rPr>
              <w:t xml:space="preserve">nvironmental </w:t>
            </w:r>
            <w:r w:rsidR="003F2B26">
              <w:rPr>
                <w:rFonts w:asciiTheme="minorHAnsi" w:hAnsiTheme="minorHAnsi" w:cstheme="minorHAnsi"/>
                <w:b/>
                <w:bCs/>
                <w:color w:val="000000"/>
              </w:rPr>
              <w:t>a</w:t>
            </w:r>
            <w:r w:rsidRPr="006A45D1">
              <w:rPr>
                <w:rFonts w:asciiTheme="minorHAnsi" w:hAnsiTheme="minorHAnsi" w:cstheme="minorHAnsi"/>
                <w:b/>
                <w:bCs/>
                <w:color w:val="000000"/>
              </w:rPr>
              <w:t>greements (MEAs).</w:t>
            </w:r>
          </w:p>
        </w:tc>
      </w:tr>
      <w:tr w:rsidR="003C354A" w:rsidRPr="0049270A" w14:paraId="20DE0A1B"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1187C6B0" w14:textId="7FAEC203" w:rsidR="003C354A" w:rsidRPr="00235FB2" w:rsidRDefault="003C354A" w:rsidP="00C02A96">
            <w:pPr>
              <w:spacing w:after="0" w:line="240" w:lineRule="auto"/>
              <w:ind w:left="0" w:firstLine="0"/>
              <w:rPr>
                <w:rFonts w:asciiTheme="minorHAnsi" w:hAnsiTheme="minorHAnsi" w:cstheme="minorHAnsi"/>
                <w:color w:val="000000"/>
              </w:rPr>
            </w:pPr>
            <w:r w:rsidRPr="00235FB2">
              <w:rPr>
                <w:rFonts w:asciiTheme="minorHAnsi" w:hAnsiTheme="minorHAnsi" w:cstheme="minorHAnsi"/>
                <w:color w:val="000000"/>
              </w:rPr>
              <w:t>This work area will focus on addressing cross-cutting issues that impact wetland conservation</w:t>
            </w:r>
            <w:r>
              <w:rPr>
                <w:rFonts w:asciiTheme="minorHAnsi" w:hAnsiTheme="minorHAnsi" w:cstheme="minorHAnsi"/>
                <w:color w:val="000000"/>
              </w:rPr>
              <w:t xml:space="preserve">, report on the global status of wetlands (Global Wetland Outlook) and provide technical guidance to facilitate synergies with </w:t>
            </w:r>
            <w:r w:rsidRPr="00235FB2">
              <w:rPr>
                <w:rFonts w:asciiTheme="minorHAnsi" w:hAnsiTheme="minorHAnsi" w:cstheme="minorHAnsi"/>
                <w:color w:val="000000"/>
              </w:rPr>
              <w:t>other multilateral environmental agreements (MEAs)</w:t>
            </w:r>
            <w:r>
              <w:rPr>
                <w:rFonts w:asciiTheme="minorHAnsi" w:hAnsiTheme="minorHAnsi" w:cstheme="minorHAnsi"/>
                <w:color w:val="000000"/>
              </w:rPr>
              <w:t>. TWA 5 will provide information to support Contracting Parties to apply effective approaches for</w:t>
            </w:r>
            <w:r w:rsidRPr="00235FB2">
              <w:rPr>
                <w:rFonts w:asciiTheme="minorHAnsi" w:hAnsiTheme="minorHAnsi" w:cstheme="minorHAnsi"/>
                <w:color w:val="000000"/>
              </w:rPr>
              <w:t xml:space="preserve"> wetland conservation, restoration and wise use, </w:t>
            </w:r>
            <w:r>
              <w:rPr>
                <w:rFonts w:asciiTheme="minorHAnsi" w:hAnsiTheme="minorHAnsi" w:cstheme="minorHAnsi"/>
                <w:color w:val="000000"/>
              </w:rPr>
              <w:t xml:space="preserve">and </w:t>
            </w:r>
            <w:r w:rsidRPr="00235FB2">
              <w:rPr>
                <w:rFonts w:asciiTheme="minorHAnsi" w:hAnsiTheme="minorHAnsi" w:cstheme="minorHAnsi"/>
                <w:color w:val="000000"/>
              </w:rPr>
              <w:t>promot</w:t>
            </w:r>
            <w:r>
              <w:rPr>
                <w:rFonts w:asciiTheme="minorHAnsi" w:hAnsiTheme="minorHAnsi" w:cstheme="minorHAnsi"/>
                <w:color w:val="000000"/>
              </w:rPr>
              <w:t>e</w:t>
            </w:r>
            <w:r w:rsidRPr="00235FB2">
              <w:rPr>
                <w:rFonts w:asciiTheme="minorHAnsi" w:hAnsiTheme="minorHAnsi" w:cstheme="minorHAnsi"/>
                <w:color w:val="000000"/>
              </w:rPr>
              <w:t xml:space="preserve"> integrated reporting mechanisms</w:t>
            </w:r>
            <w:r>
              <w:rPr>
                <w:rFonts w:asciiTheme="minorHAnsi" w:hAnsiTheme="minorHAnsi" w:cstheme="minorHAnsi"/>
                <w:color w:val="000000"/>
              </w:rPr>
              <w:t xml:space="preserve"> with various</w:t>
            </w:r>
            <w:r w:rsidRPr="00235FB2">
              <w:rPr>
                <w:rFonts w:asciiTheme="minorHAnsi" w:hAnsiTheme="minorHAnsi" w:cstheme="minorHAnsi"/>
                <w:color w:val="000000"/>
              </w:rPr>
              <w:t xml:space="preserve"> international frameworks, including the SDGs</w:t>
            </w:r>
            <w:r>
              <w:rPr>
                <w:rFonts w:asciiTheme="minorHAnsi" w:hAnsiTheme="minorHAnsi" w:cstheme="minorHAnsi"/>
                <w:color w:val="000000"/>
              </w:rPr>
              <w:t xml:space="preserve"> and KM</w:t>
            </w:r>
            <w:r w:rsidR="003F2B26">
              <w:rPr>
                <w:rFonts w:asciiTheme="minorHAnsi" w:hAnsiTheme="minorHAnsi" w:cstheme="minorHAnsi"/>
                <w:color w:val="000000"/>
              </w:rPr>
              <w:t>-</w:t>
            </w:r>
            <w:r>
              <w:rPr>
                <w:rFonts w:asciiTheme="minorHAnsi" w:hAnsiTheme="minorHAnsi" w:cstheme="minorHAnsi"/>
                <w:color w:val="000000"/>
              </w:rPr>
              <w:t>GBF</w:t>
            </w:r>
            <w:r w:rsidRPr="00235FB2">
              <w:rPr>
                <w:rFonts w:asciiTheme="minorHAnsi" w:hAnsiTheme="minorHAnsi" w:cstheme="minorHAnsi"/>
                <w:color w:val="000000"/>
              </w:rPr>
              <w:t>.</w:t>
            </w:r>
          </w:p>
        </w:tc>
      </w:tr>
      <w:tr w:rsidR="003C354A" w:rsidRPr="0049270A" w14:paraId="0C906A32"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0136822F" w14:textId="77777777" w:rsidR="003C354A" w:rsidRPr="001F4266" w:rsidRDefault="003C354A" w:rsidP="00C02A96">
            <w:pPr>
              <w:spacing w:after="0" w:line="240" w:lineRule="auto"/>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5</w:t>
            </w:r>
            <w:r w:rsidRPr="00986EB2">
              <w:rPr>
                <w:b/>
                <w:color w:val="000000" w:themeColor="text1"/>
              </w:rPr>
              <w:t>.</w:t>
            </w:r>
            <w:r>
              <w:rPr>
                <w:b/>
                <w:color w:val="000000" w:themeColor="text1"/>
              </w:rPr>
              <w:t>1</w:t>
            </w:r>
            <w:r w:rsidRPr="00986EB2">
              <w:rPr>
                <w:b/>
                <w:color w:val="000000" w:themeColor="text1"/>
              </w:rPr>
              <w:t>.</w:t>
            </w:r>
            <w:r>
              <w:rPr>
                <w:color w:val="000000" w:themeColor="text1"/>
              </w:rPr>
              <w:t xml:space="preserve"> </w:t>
            </w:r>
            <w:r w:rsidRPr="69362D15">
              <w:rPr>
                <w:color w:val="000000" w:themeColor="text1"/>
              </w:rPr>
              <w:t>Global Wetland Outlook</w:t>
            </w:r>
            <w:r>
              <w:rPr>
                <w:color w:val="000000" w:themeColor="text1"/>
              </w:rPr>
              <w:t>.</w:t>
            </w:r>
          </w:p>
        </w:tc>
        <w:tc>
          <w:tcPr>
            <w:tcW w:w="4110" w:type="dxa"/>
            <w:tcBorders>
              <w:left w:val="single" w:sz="8" w:space="0" w:color="000000"/>
              <w:bottom w:val="single" w:sz="4" w:space="0" w:color="auto"/>
              <w:right w:val="single" w:sz="8" w:space="0" w:color="000000"/>
            </w:tcBorders>
          </w:tcPr>
          <w:p w14:paraId="232CE66B" w14:textId="77777777" w:rsidR="003C354A" w:rsidRPr="00D33C74" w:rsidRDefault="003C354A" w:rsidP="00C02A96">
            <w:pPr>
              <w:spacing w:after="0" w:line="240" w:lineRule="auto"/>
              <w:rPr>
                <w:rFonts w:asciiTheme="minorHAnsi" w:hAnsiTheme="minorHAnsi" w:cstheme="minorHAnsi"/>
                <w:color w:val="000000"/>
              </w:rPr>
            </w:pPr>
            <w:r w:rsidRPr="004438EB">
              <w:rPr>
                <w:rFonts w:asciiTheme="minorHAnsi" w:hAnsiTheme="minorHAnsi" w:cstheme="minorHAnsi"/>
              </w:rPr>
              <w:t>SC6</w:t>
            </w:r>
            <w:r>
              <w:rPr>
                <w:rFonts w:asciiTheme="minorHAnsi" w:hAnsiTheme="minorHAnsi" w:cstheme="minorHAnsi"/>
              </w:rPr>
              <w:t>4</w:t>
            </w:r>
            <w:r w:rsidRPr="004438EB">
              <w:rPr>
                <w:rFonts w:asciiTheme="minorHAnsi" w:hAnsiTheme="minorHAnsi" w:cstheme="minorHAnsi"/>
              </w:rPr>
              <w:t xml:space="preserve"> Doc.1</w:t>
            </w:r>
            <w:r>
              <w:rPr>
                <w:rFonts w:asciiTheme="minorHAnsi" w:hAnsiTheme="minorHAnsi" w:cstheme="minorHAnsi"/>
              </w:rPr>
              <w:t>8</w:t>
            </w:r>
          </w:p>
        </w:tc>
      </w:tr>
      <w:tr w:rsidR="003C354A" w:rsidRPr="0049270A" w14:paraId="5B58DBBB" w14:textId="77777777" w:rsidTr="005C54B5">
        <w:trPr>
          <w:cantSplit/>
        </w:trPr>
        <w:tc>
          <w:tcPr>
            <w:tcW w:w="4952" w:type="dxa"/>
            <w:tcBorders>
              <w:top w:val="single" w:sz="4" w:space="0" w:color="auto"/>
              <w:left w:val="single" w:sz="8" w:space="0" w:color="000000"/>
              <w:bottom w:val="single" w:sz="4" w:space="0" w:color="auto"/>
              <w:right w:val="single" w:sz="8" w:space="0" w:color="000000"/>
            </w:tcBorders>
          </w:tcPr>
          <w:p w14:paraId="1B46BE8B" w14:textId="77777777" w:rsidR="003C354A" w:rsidRPr="000525D6" w:rsidRDefault="003C354A" w:rsidP="00C02A96">
            <w:pPr>
              <w:spacing w:after="0" w:line="240" w:lineRule="auto"/>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5</w:t>
            </w:r>
            <w:r w:rsidRPr="00986EB2">
              <w:rPr>
                <w:b/>
                <w:color w:val="000000" w:themeColor="text1"/>
              </w:rPr>
              <w:t>.</w:t>
            </w:r>
            <w:r>
              <w:rPr>
                <w:b/>
                <w:color w:val="000000" w:themeColor="text1"/>
              </w:rPr>
              <w:t>2</w:t>
            </w:r>
            <w:r w:rsidRPr="00986EB2">
              <w:rPr>
                <w:b/>
                <w:color w:val="000000" w:themeColor="text1"/>
              </w:rPr>
              <w:t>.</w:t>
            </w:r>
            <w:r>
              <w:rPr>
                <w:color w:val="000000" w:themeColor="text1"/>
              </w:rPr>
              <w:t xml:space="preserve"> </w:t>
            </w:r>
            <w:r w:rsidRPr="00611C23">
              <w:rPr>
                <w:color w:val="000000" w:themeColor="text1"/>
              </w:rPr>
              <w:t xml:space="preserve">Improved global reporting on wetlands: synergies </w:t>
            </w:r>
            <w:r>
              <w:rPr>
                <w:color w:val="000000" w:themeColor="text1"/>
              </w:rPr>
              <w:t>i</w:t>
            </w:r>
            <w:r w:rsidRPr="00611C23">
              <w:rPr>
                <w:color w:val="000000" w:themeColor="text1"/>
              </w:rPr>
              <w:t xml:space="preserve">n development of indicators and methods for the </w:t>
            </w:r>
            <w:r>
              <w:rPr>
                <w:color w:val="000000" w:themeColor="text1"/>
              </w:rPr>
              <w:t xml:space="preserve">Convention’s </w:t>
            </w:r>
            <w:r w:rsidRPr="00611C23">
              <w:rPr>
                <w:color w:val="000000" w:themeColor="text1"/>
              </w:rPr>
              <w:t>5th Strategic Plan and other global processes</w:t>
            </w:r>
            <w:r>
              <w:rPr>
                <w:color w:val="000000" w:themeColor="text1"/>
              </w:rPr>
              <w:t>.</w:t>
            </w:r>
          </w:p>
        </w:tc>
        <w:tc>
          <w:tcPr>
            <w:tcW w:w="4110" w:type="dxa"/>
            <w:tcBorders>
              <w:top w:val="single" w:sz="4" w:space="0" w:color="auto"/>
              <w:left w:val="single" w:sz="8" w:space="0" w:color="000000"/>
              <w:bottom w:val="single" w:sz="4" w:space="0" w:color="auto"/>
              <w:right w:val="single" w:sz="8" w:space="0" w:color="000000"/>
            </w:tcBorders>
          </w:tcPr>
          <w:p w14:paraId="0408A970" w14:textId="6E55ECB1" w:rsidR="003C354A" w:rsidRPr="00D33C74" w:rsidRDefault="003C354A" w:rsidP="00C02A96">
            <w:pPr>
              <w:spacing w:after="0" w:line="240" w:lineRule="auto"/>
              <w:ind w:left="0" w:firstLine="0"/>
              <w:rPr>
                <w:rFonts w:asciiTheme="minorHAnsi" w:hAnsiTheme="minorHAnsi" w:cstheme="minorHAnsi"/>
                <w:color w:val="000000"/>
              </w:rPr>
            </w:pPr>
            <w:r w:rsidRPr="00FF45D3">
              <w:rPr>
                <w:rFonts w:asciiTheme="minorHAnsi" w:hAnsiTheme="minorHAnsi" w:cstheme="minorHAnsi"/>
                <w:color w:val="000000"/>
              </w:rPr>
              <w:t>SC63 Doc.19 (Para</w:t>
            </w:r>
            <w:r w:rsidR="003F2B26">
              <w:rPr>
                <w:rFonts w:asciiTheme="minorHAnsi" w:hAnsiTheme="minorHAnsi" w:cstheme="minorHAnsi"/>
                <w:color w:val="000000"/>
              </w:rPr>
              <w:t>s</w:t>
            </w:r>
            <w:r w:rsidRPr="00FF45D3">
              <w:rPr>
                <w:rFonts w:asciiTheme="minorHAnsi" w:hAnsiTheme="minorHAnsi" w:cstheme="minorHAnsi"/>
                <w:color w:val="000000"/>
              </w:rPr>
              <w:t xml:space="preserve">. 19-21 </w:t>
            </w:r>
            <w:r>
              <w:rPr>
                <w:rFonts w:asciiTheme="minorHAnsi" w:hAnsiTheme="minorHAnsi" w:cstheme="minorHAnsi"/>
                <w:color w:val="000000"/>
              </w:rPr>
              <w:t>and</w:t>
            </w:r>
            <w:r w:rsidRPr="00FF45D3">
              <w:rPr>
                <w:rFonts w:asciiTheme="minorHAnsi" w:hAnsiTheme="minorHAnsi" w:cstheme="minorHAnsi"/>
                <w:color w:val="000000"/>
              </w:rPr>
              <w:t xml:space="preserve"> Annex 2); Res. </w:t>
            </w:r>
            <w:r w:rsidRPr="00B33B5F">
              <w:rPr>
                <w:rFonts w:asciiTheme="minorHAnsi" w:hAnsiTheme="minorHAnsi" w:cstheme="minorHAnsi"/>
                <w:color w:val="000000"/>
              </w:rPr>
              <w:t xml:space="preserve">XIII.5; </w:t>
            </w:r>
            <w:r w:rsidRPr="00E3454E">
              <w:rPr>
                <w:rFonts w:asciiTheme="minorHAnsi" w:hAnsiTheme="minorHAnsi" w:cstheme="minorHAnsi"/>
                <w:color w:val="000000"/>
              </w:rPr>
              <w:t>Res. XIV.14, Annex 2</w:t>
            </w:r>
            <w:r>
              <w:rPr>
                <w:rFonts w:asciiTheme="minorHAnsi" w:hAnsiTheme="minorHAnsi" w:cstheme="minorHAnsi"/>
                <w:color w:val="000000"/>
              </w:rPr>
              <w:t xml:space="preserve">; and </w:t>
            </w:r>
            <w:r w:rsidRPr="00E3454E">
              <w:rPr>
                <w:rFonts w:asciiTheme="minorHAnsi" w:hAnsiTheme="minorHAnsi" w:cstheme="minorHAnsi"/>
                <w:color w:val="000000"/>
              </w:rPr>
              <w:t xml:space="preserve">Res. XIV.6, Para. 24 </w:t>
            </w:r>
            <w:r>
              <w:rPr>
                <w:rFonts w:asciiTheme="minorHAnsi" w:hAnsiTheme="minorHAnsi" w:cstheme="minorHAnsi"/>
                <w:color w:val="000000"/>
              </w:rPr>
              <w:t>and</w:t>
            </w:r>
            <w:r w:rsidRPr="00E3454E">
              <w:rPr>
                <w:rFonts w:asciiTheme="minorHAnsi" w:hAnsiTheme="minorHAnsi" w:cstheme="minorHAnsi"/>
                <w:color w:val="000000"/>
              </w:rPr>
              <w:t xml:space="preserve"> 44</w:t>
            </w:r>
            <w:r>
              <w:rPr>
                <w:rFonts w:asciiTheme="minorHAnsi" w:hAnsiTheme="minorHAnsi" w:cstheme="minorHAnsi"/>
                <w:color w:val="000000"/>
              </w:rPr>
              <w:t>.</w:t>
            </w:r>
          </w:p>
        </w:tc>
      </w:tr>
      <w:tr w:rsidR="003C354A" w:rsidRPr="0049270A" w14:paraId="6D524AC8" w14:textId="77777777" w:rsidTr="005C54B5">
        <w:trPr>
          <w:cantSplit/>
        </w:trPr>
        <w:tc>
          <w:tcPr>
            <w:tcW w:w="4952" w:type="dxa"/>
            <w:tcBorders>
              <w:top w:val="single" w:sz="4" w:space="0" w:color="auto"/>
              <w:left w:val="single" w:sz="8" w:space="0" w:color="000000"/>
              <w:bottom w:val="single" w:sz="4" w:space="0" w:color="auto"/>
              <w:right w:val="single" w:sz="8" w:space="0" w:color="000000"/>
            </w:tcBorders>
          </w:tcPr>
          <w:p w14:paraId="7AF2734D" w14:textId="77777777" w:rsidR="003C354A" w:rsidRPr="00986EB2" w:rsidRDefault="003C354A" w:rsidP="00C02A96">
            <w:pPr>
              <w:spacing w:after="0" w:line="240" w:lineRule="auto"/>
              <w:ind w:left="0" w:firstLine="0"/>
              <w:rPr>
                <w:b/>
                <w:color w:val="000000" w:themeColor="text1"/>
              </w:rPr>
            </w:pPr>
            <w:r w:rsidRPr="00986EB2">
              <w:rPr>
                <w:b/>
                <w:color w:val="000000" w:themeColor="text1"/>
              </w:rPr>
              <w:t xml:space="preserve">Task </w:t>
            </w:r>
            <w:r>
              <w:rPr>
                <w:b/>
                <w:color w:val="000000" w:themeColor="text1"/>
              </w:rPr>
              <w:t>5</w:t>
            </w:r>
            <w:r w:rsidRPr="00986EB2">
              <w:rPr>
                <w:b/>
                <w:color w:val="000000" w:themeColor="text1"/>
              </w:rPr>
              <w:t>.</w:t>
            </w:r>
            <w:r>
              <w:rPr>
                <w:b/>
                <w:color w:val="000000" w:themeColor="text1"/>
              </w:rPr>
              <w:t>3</w:t>
            </w:r>
            <w:r w:rsidRPr="00986EB2">
              <w:rPr>
                <w:b/>
                <w:color w:val="000000" w:themeColor="text1"/>
              </w:rPr>
              <w:t>.</w:t>
            </w:r>
            <w:r>
              <w:rPr>
                <w:color w:val="000000" w:themeColor="text1"/>
              </w:rPr>
              <w:t xml:space="preserve"> </w:t>
            </w:r>
            <w:r w:rsidRPr="00AA4BE3">
              <w:t>Review of policy and legal frameworks for wetland conservation and wise use</w:t>
            </w:r>
            <w:r>
              <w:t>.</w:t>
            </w:r>
          </w:p>
        </w:tc>
        <w:tc>
          <w:tcPr>
            <w:tcW w:w="4110" w:type="dxa"/>
            <w:tcBorders>
              <w:top w:val="single" w:sz="4" w:space="0" w:color="auto"/>
              <w:left w:val="single" w:sz="8" w:space="0" w:color="000000"/>
              <w:bottom w:val="single" w:sz="4" w:space="0" w:color="auto"/>
              <w:right w:val="single" w:sz="8" w:space="0" w:color="000000"/>
            </w:tcBorders>
          </w:tcPr>
          <w:p w14:paraId="423E5BBD" w14:textId="7740CC94" w:rsidR="003C354A" w:rsidRPr="00D33C74" w:rsidRDefault="003C354A" w:rsidP="00C02A96">
            <w:pPr>
              <w:spacing w:after="0" w:line="240" w:lineRule="auto"/>
              <w:ind w:left="0" w:firstLine="0"/>
              <w:rPr>
                <w:rFonts w:asciiTheme="minorHAnsi" w:hAnsiTheme="minorHAnsi" w:cstheme="minorHAnsi"/>
                <w:color w:val="000000"/>
              </w:rPr>
            </w:pPr>
            <w:r w:rsidRPr="001155DC">
              <w:rPr>
                <w:rFonts w:asciiTheme="minorHAnsi" w:hAnsiTheme="minorHAnsi" w:cstheme="minorHAnsi"/>
                <w:color w:val="000000"/>
              </w:rPr>
              <w:t>SC57 Doc.8</w:t>
            </w:r>
            <w:r>
              <w:rPr>
                <w:rFonts w:asciiTheme="minorHAnsi" w:hAnsiTheme="minorHAnsi" w:cstheme="minorHAnsi"/>
                <w:color w:val="000000"/>
              </w:rPr>
              <w:t xml:space="preserve">; </w:t>
            </w:r>
            <w:r w:rsidRPr="001155DC">
              <w:rPr>
                <w:rFonts w:asciiTheme="minorHAnsi" w:hAnsiTheme="minorHAnsi" w:cstheme="minorHAnsi"/>
                <w:color w:val="000000"/>
              </w:rPr>
              <w:t>Res. XIV.14., Annex 2</w:t>
            </w:r>
            <w:r>
              <w:rPr>
                <w:rFonts w:asciiTheme="minorHAnsi" w:hAnsiTheme="minorHAnsi" w:cstheme="minorHAnsi"/>
                <w:color w:val="000000"/>
              </w:rPr>
              <w:t xml:space="preserve">; and </w:t>
            </w:r>
            <w:r w:rsidRPr="001155DC">
              <w:rPr>
                <w:rFonts w:asciiTheme="minorHAnsi" w:hAnsiTheme="minorHAnsi" w:cstheme="minorHAnsi"/>
                <w:color w:val="000000"/>
              </w:rPr>
              <w:cr/>
            </w:r>
            <w:r w:rsidR="003F2B26">
              <w:rPr>
                <w:rFonts w:asciiTheme="minorHAnsi" w:hAnsiTheme="minorHAnsi" w:cstheme="minorHAnsi"/>
                <w:color w:val="000000"/>
              </w:rPr>
              <w:t>c</w:t>
            </w:r>
            <w:r w:rsidRPr="00025FE2">
              <w:rPr>
                <w:rFonts w:asciiTheme="minorHAnsi" w:hAnsiTheme="minorHAnsi" w:cstheme="minorHAnsi"/>
                <w:color w:val="000000"/>
              </w:rPr>
              <w:t>ontinuation from STRP 2023-25 work plan (Pre-SC62 Intersessional Decision 04).</w:t>
            </w:r>
          </w:p>
        </w:tc>
      </w:tr>
    </w:tbl>
    <w:p w14:paraId="090BD4CB" w14:textId="77777777" w:rsidR="003C354A" w:rsidRDefault="003C354A" w:rsidP="00C02A96">
      <w:pPr>
        <w:spacing w:after="0" w:line="240" w:lineRule="auto"/>
        <w:ind w:left="0" w:firstLine="0"/>
        <w:rPr>
          <w:rFonts w:asciiTheme="minorHAnsi" w:hAnsiTheme="minorHAnsi"/>
          <w:color w:val="000000"/>
        </w:rPr>
      </w:pPr>
    </w:p>
    <w:p w14:paraId="25EF2639" w14:textId="77777777" w:rsidR="003C354A" w:rsidRDefault="003C354A" w:rsidP="00C02A96">
      <w:pPr>
        <w:spacing w:after="0" w:line="240" w:lineRule="auto"/>
        <w:rPr>
          <w:rFonts w:asciiTheme="minorHAnsi" w:hAnsiTheme="minorHAnsi"/>
          <w:color w:val="000000"/>
        </w:rPr>
      </w:pPr>
      <w:r>
        <w:rPr>
          <w:rFonts w:asciiTheme="minorHAnsi" w:hAnsiTheme="minorHAnsi"/>
          <w:color w:val="000000"/>
        </w:rPr>
        <w:br w:type="page"/>
      </w:r>
    </w:p>
    <w:p w14:paraId="629A0E34" w14:textId="77777777" w:rsidR="003C354A" w:rsidRDefault="003C354A" w:rsidP="00C02A96">
      <w:pPr>
        <w:spacing w:after="0" w:line="240" w:lineRule="auto"/>
        <w:ind w:left="0" w:firstLine="0"/>
        <w:rPr>
          <w:rFonts w:asciiTheme="minorHAnsi" w:hAnsiTheme="minorHAnsi" w:cs="Calibri"/>
          <w:b/>
          <w:bCs/>
          <w:sz w:val="24"/>
          <w:szCs w:val="24"/>
        </w:rPr>
      </w:pPr>
      <w:r>
        <w:rPr>
          <w:rFonts w:cs="Calibri"/>
          <w:b/>
          <w:bCs/>
          <w:sz w:val="24"/>
          <w:szCs w:val="24"/>
        </w:rPr>
        <w:lastRenderedPageBreak/>
        <w:t>Annex 3</w:t>
      </w:r>
    </w:p>
    <w:p w14:paraId="4B1FD541" w14:textId="474F3223" w:rsidR="003C354A" w:rsidRDefault="003C354A" w:rsidP="00C02A96">
      <w:pPr>
        <w:spacing w:after="0" w:line="240" w:lineRule="auto"/>
        <w:ind w:left="0" w:firstLine="0"/>
        <w:rPr>
          <w:rFonts w:cs="Calibri"/>
          <w:b/>
          <w:bCs/>
          <w:sz w:val="24"/>
          <w:szCs w:val="24"/>
        </w:rPr>
      </w:pPr>
      <w:r>
        <w:rPr>
          <w:rFonts w:cs="Calibri"/>
          <w:b/>
          <w:bCs/>
          <w:sz w:val="24"/>
          <w:szCs w:val="24"/>
        </w:rPr>
        <w:t>Bodies and organizations invited to participate as observers in the meetings and processes of the Scientific and Technical Review Panel for the 202</w:t>
      </w:r>
      <w:r w:rsidR="007A2E35">
        <w:rPr>
          <w:rFonts w:cs="Calibri"/>
          <w:b/>
          <w:bCs/>
          <w:sz w:val="24"/>
          <w:szCs w:val="24"/>
        </w:rPr>
        <w:t>5</w:t>
      </w:r>
      <w:r>
        <w:rPr>
          <w:rFonts w:cs="Calibri"/>
          <w:b/>
          <w:bCs/>
          <w:sz w:val="24"/>
          <w:szCs w:val="24"/>
        </w:rPr>
        <w:t>-2028 triennium</w:t>
      </w:r>
    </w:p>
    <w:p w14:paraId="1F44FBD4" w14:textId="77777777" w:rsidR="003C354A" w:rsidRDefault="003C354A" w:rsidP="00C02A96">
      <w:pPr>
        <w:spacing w:after="0" w:line="240" w:lineRule="auto"/>
        <w:rPr>
          <w:rFonts w:cstheme="minorHAnsi"/>
        </w:rPr>
      </w:pPr>
    </w:p>
    <w:p w14:paraId="347DA5FE" w14:textId="77777777" w:rsidR="003C354A" w:rsidRDefault="003C354A" w:rsidP="00C02A96">
      <w:pPr>
        <w:spacing w:after="0" w:line="240" w:lineRule="auto"/>
        <w:ind w:left="0" w:firstLine="0"/>
        <w:rPr>
          <w:rFonts w:cstheme="minorHAnsi"/>
        </w:rPr>
      </w:pPr>
      <w:r>
        <w:rPr>
          <w:rFonts w:cstheme="minorHAnsi"/>
        </w:rPr>
        <w:t xml:space="preserve">Observer organizations are defined as global and regional multilateral environmental agreements, global intergovernmental organizations and processes, regional intergovernmental organizations and processes, international organizations and other non-governmental organizations and organizations devoted to wetlands. </w:t>
      </w:r>
    </w:p>
    <w:p w14:paraId="5355E108" w14:textId="77777777" w:rsidR="003C354A" w:rsidRDefault="003C354A" w:rsidP="00C02A96">
      <w:pPr>
        <w:spacing w:after="0" w:line="240" w:lineRule="auto"/>
        <w:rPr>
          <w:rFonts w:cstheme="minorHAnsi"/>
        </w:rPr>
      </w:pPr>
    </w:p>
    <w:p w14:paraId="20A6CEFE" w14:textId="77777777" w:rsidR="003C354A" w:rsidRPr="00333593" w:rsidRDefault="003C354A" w:rsidP="00C02A96">
      <w:pPr>
        <w:spacing w:after="0" w:line="240" w:lineRule="auto"/>
        <w:rPr>
          <w:rFonts w:cstheme="minorHAnsi"/>
        </w:rPr>
      </w:pPr>
      <w:r>
        <w:rPr>
          <w:rFonts w:cstheme="minorHAnsi"/>
        </w:rPr>
        <w:t xml:space="preserve">They </w:t>
      </w:r>
      <w:r w:rsidRPr="00333593">
        <w:rPr>
          <w:rFonts w:cstheme="minorHAnsi"/>
        </w:rPr>
        <w:t>include, but are not restricted to:</w:t>
      </w:r>
    </w:p>
    <w:p w14:paraId="1DCDDCB4" w14:textId="3E60D72A" w:rsidR="003B2F91" w:rsidRDefault="003B2F91" w:rsidP="00C02A96">
      <w:pPr>
        <w:pStyle w:val="ListParagraph"/>
        <w:numPr>
          <w:ilvl w:val="0"/>
          <w:numId w:val="16"/>
        </w:numPr>
        <w:spacing w:after="0" w:line="240" w:lineRule="auto"/>
        <w:ind w:left="426" w:hanging="426"/>
        <w:rPr>
          <w:rFonts w:cstheme="minorHAnsi"/>
        </w:rPr>
      </w:pPr>
      <w:r w:rsidRPr="003B2F91">
        <w:rPr>
          <w:rFonts w:cstheme="minorHAnsi"/>
        </w:rPr>
        <w:t>Amazon Cooperation Treaty Organization (ACTO)</w:t>
      </w:r>
    </w:p>
    <w:p w14:paraId="3A5FAD02" w14:textId="25D60015" w:rsidR="003C354A" w:rsidRDefault="003C354A" w:rsidP="00C02A96">
      <w:pPr>
        <w:pStyle w:val="ListParagraph"/>
        <w:numPr>
          <w:ilvl w:val="0"/>
          <w:numId w:val="16"/>
        </w:numPr>
        <w:spacing w:after="0" w:line="240" w:lineRule="auto"/>
        <w:ind w:left="426" w:hanging="426"/>
        <w:rPr>
          <w:rFonts w:cstheme="minorHAnsi"/>
        </w:rPr>
      </w:pPr>
      <w:r w:rsidRPr="00333593">
        <w:rPr>
          <w:rFonts w:cstheme="minorHAnsi"/>
        </w:rPr>
        <w:t>Center for International Forestry Research and World Agroforestry (CIFOR-ICRAF)</w:t>
      </w:r>
    </w:p>
    <w:p w14:paraId="034F3342" w14:textId="6BA3810E" w:rsidR="002F788C" w:rsidRPr="00333593" w:rsidRDefault="002F788C" w:rsidP="00C02A96">
      <w:pPr>
        <w:pStyle w:val="ListParagraph"/>
        <w:numPr>
          <w:ilvl w:val="0"/>
          <w:numId w:val="16"/>
        </w:numPr>
        <w:spacing w:after="0" w:line="240" w:lineRule="auto"/>
        <w:ind w:left="426" w:hanging="426"/>
        <w:rPr>
          <w:rFonts w:cstheme="minorHAnsi"/>
        </w:rPr>
      </w:pPr>
      <w:r>
        <w:rPr>
          <w:rFonts w:cstheme="minorHAnsi"/>
        </w:rPr>
        <w:t>Conservation International</w:t>
      </w:r>
    </w:p>
    <w:p w14:paraId="037CEB30" w14:textId="77777777" w:rsidR="003C354A" w:rsidRPr="00333593" w:rsidRDefault="003C354A" w:rsidP="00C02A96">
      <w:pPr>
        <w:pStyle w:val="ListParagraph"/>
        <w:numPr>
          <w:ilvl w:val="0"/>
          <w:numId w:val="16"/>
        </w:numPr>
        <w:spacing w:after="0" w:line="240" w:lineRule="auto"/>
        <w:ind w:left="426" w:hanging="426"/>
        <w:rPr>
          <w:rFonts w:cstheme="minorHAnsi"/>
        </w:rPr>
      </w:pPr>
      <w:r w:rsidRPr="00333593">
        <w:rPr>
          <w:rFonts w:cstheme="minorHAnsi"/>
        </w:rPr>
        <w:t>Ducks Unlimited (DU) and Ducks Unlimited Canada</w:t>
      </w:r>
    </w:p>
    <w:p w14:paraId="6A575286" w14:textId="77777777" w:rsidR="003C354A" w:rsidRPr="00333593" w:rsidRDefault="003C354A" w:rsidP="00C02A96">
      <w:pPr>
        <w:pStyle w:val="ListParagraph"/>
        <w:numPr>
          <w:ilvl w:val="0"/>
          <w:numId w:val="17"/>
        </w:numPr>
        <w:spacing w:after="0" w:line="240" w:lineRule="auto"/>
        <w:ind w:left="426" w:hanging="426"/>
        <w:rPr>
          <w:rFonts w:cstheme="minorHAnsi"/>
          <w:lang w:val="es-ES"/>
        </w:rPr>
      </w:pPr>
      <w:r w:rsidRPr="00333593">
        <w:rPr>
          <w:rFonts w:cstheme="minorHAnsi"/>
          <w:lang w:val="es-ES"/>
        </w:rPr>
        <w:t>European Space Agency – ESRIN (ESA-ESRIN)</w:t>
      </w:r>
    </w:p>
    <w:p w14:paraId="3305C076" w14:textId="77777777" w:rsidR="003C354A" w:rsidRPr="00333593" w:rsidRDefault="003C354A" w:rsidP="00C02A96">
      <w:pPr>
        <w:pStyle w:val="ListParagraph"/>
        <w:numPr>
          <w:ilvl w:val="0"/>
          <w:numId w:val="17"/>
        </w:numPr>
        <w:spacing w:after="0" w:line="240" w:lineRule="auto"/>
        <w:ind w:left="426" w:hanging="426"/>
        <w:rPr>
          <w:rFonts w:cstheme="minorHAnsi"/>
        </w:rPr>
      </w:pPr>
      <w:r w:rsidRPr="00333593">
        <w:rPr>
          <w:rFonts w:cstheme="minorHAnsi"/>
        </w:rPr>
        <w:t>Flora and Fauna International (FFI)</w:t>
      </w:r>
    </w:p>
    <w:p w14:paraId="7EB54A47" w14:textId="77777777" w:rsidR="003C354A" w:rsidRPr="00333593" w:rsidRDefault="003C354A" w:rsidP="00C02A96">
      <w:pPr>
        <w:pStyle w:val="ListParagraph"/>
        <w:numPr>
          <w:ilvl w:val="0"/>
          <w:numId w:val="17"/>
        </w:numPr>
        <w:spacing w:after="0" w:line="240" w:lineRule="auto"/>
        <w:ind w:left="426" w:hanging="426"/>
        <w:rPr>
          <w:rFonts w:cstheme="minorHAnsi"/>
          <w:lang w:val="en-US"/>
        </w:rPr>
      </w:pPr>
      <w:r w:rsidRPr="00333593">
        <w:rPr>
          <w:rFonts w:cstheme="minorHAnsi"/>
        </w:rPr>
        <w:t>Global Environment Facility (GEF: Secretariat and/or the Scientific and Technical Advisory Panel)</w:t>
      </w:r>
    </w:p>
    <w:p w14:paraId="0BEF76B7" w14:textId="77777777" w:rsidR="003C354A" w:rsidRPr="00333593" w:rsidRDefault="003C354A" w:rsidP="00C02A96">
      <w:pPr>
        <w:pStyle w:val="ListParagraph"/>
        <w:numPr>
          <w:ilvl w:val="0"/>
          <w:numId w:val="17"/>
        </w:numPr>
        <w:spacing w:after="0" w:line="240" w:lineRule="auto"/>
        <w:ind w:left="426" w:hanging="426"/>
        <w:rPr>
          <w:rFonts w:cstheme="minorHAnsi"/>
          <w:lang w:val="en-US"/>
        </w:rPr>
      </w:pPr>
      <w:r w:rsidRPr="00333593">
        <w:rPr>
          <w:rFonts w:cstheme="minorHAnsi"/>
          <w:lang w:val="en-US"/>
        </w:rPr>
        <w:t>Global Rewilding Alliance</w:t>
      </w:r>
    </w:p>
    <w:p w14:paraId="7CA9F3C3" w14:textId="77777777" w:rsidR="003C354A" w:rsidRPr="00333593" w:rsidRDefault="003C354A" w:rsidP="00C02A96">
      <w:pPr>
        <w:pStyle w:val="ListParagraph"/>
        <w:numPr>
          <w:ilvl w:val="0"/>
          <w:numId w:val="17"/>
        </w:numPr>
        <w:spacing w:after="0" w:line="240" w:lineRule="auto"/>
        <w:ind w:left="426" w:hanging="426"/>
        <w:rPr>
          <w:rFonts w:cstheme="minorHAnsi"/>
        </w:rPr>
      </w:pPr>
      <w:r w:rsidRPr="00333593">
        <w:rPr>
          <w:rFonts w:cstheme="minorHAnsi"/>
        </w:rPr>
        <w:t>Global Water Partnership (GWP)</w:t>
      </w:r>
    </w:p>
    <w:p w14:paraId="1EF98344"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Greifswald Mire Centre (GMC)</w:t>
      </w:r>
    </w:p>
    <w:p w14:paraId="652D9241"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Group on Earth Observation – Biodiversity Observation Network (GEO-BON)</w:t>
      </w:r>
    </w:p>
    <w:p w14:paraId="2050BD8D"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Group on Earth Observation – Wetlands Initiative (GEO-Wetlands)</w:t>
      </w:r>
    </w:p>
    <w:p w14:paraId="5484A050"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IHE Delft Institute for Water Education</w:t>
      </w:r>
    </w:p>
    <w:p w14:paraId="7F0711F2"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The Secretariat of the Intergovernmental Panel on Climate Change (IPCC)</w:t>
      </w:r>
    </w:p>
    <w:p w14:paraId="4D487EE7"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The Secretariat of the Intergovernmental Science-Policy Platform on Biodiversity and Ecosystem Services (IPBES)</w:t>
      </w:r>
    </w:p>
    <w:p w14:paraId="713945D9"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International Crane Foundation (ICF)</w:t>
      </w:r>
    </w:p>
    <w:p w14:paraId="3D397F2F"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International Mire Conservation Group (IMCG)</w:t>
      </w:r>
    </w:p>
    <w:p w14:paraId="61D0F089"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International Peatland Society (IPS)</w:t>
      </w:r>
    </w:p>
    <w:p w14:paraId="27A89608"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Japan International Cooperation Agency (JICA)</w:t>
      </w:r>
    </w:p>
    <w:p w14:paraId="099077B8"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Japanese Aerospace Exploration Agency (JAXA)</w:t>
      </w:r>
    </w:p>
    <w:p w14:paraId="7C1A95D3" w14:textId="77777777" w:rsidR="003C354A" w:rsidRDefault="003C354A" w:rsidP="00C02A96">
      <w:pPr>
        <w:pStyle w:val="ListParagraph"/>
        <w:numPr>
          <w:ilvl w:val="0"/>
          <w:numId w:val="17"/>
        </w:numPr>
        <w:spacing w:after="0" w:line="240" w:lineRule="auto"/>
        <w:ind w:left="426" w:hanging="426"/>
        <w:rPr>
          <w:rFonts w:cstheme="minorBidi"/>
        </w:rPr>
      </w:pPr>
      <w:r w:rsidRPr="65197477">
        <w:rPr>
          <w:rFonts w:cstheme="minorBidi"/>
        </w:rPr>
        <w:t>Multilateral environmental agreements including the Secretariats and/or representatives of their technical bodies, as follows: Convention on Biological Diversity (CBD); Convention on Migratory Species of Wild Animals (CMS) and related instruments; Convention on International Trade in Endangered Species of Wild Fauna and Flora (CITES); United Nations Convention to Combat Desertification (UNCCD); United Nations Framework Convention on Climate Change (UNFCCC); Convention Concerning the Protection of the World Cultural and Natural Heritage (WHC); and Convention on the Protection and Use of Transboundary Watercourses and International Lakes</w:t>
      </w:r>
    </w:p>
    <w:p w14:paraId="577A8B30" w14:textId="3798D1E1" w:rsidR="00F40D84" w:rsidRDefault="00F40D84" w:rsidP="00C02A96">
      <w:pPr>
        <w:pStyle w:val="ListParagraph"/>
        <w:numPr>
          <w:ilvl w:val="0"/>
          <w:numId w:val="17"/>
        </w:numPr>
        <w:spacing w:after="0" w:line="240" w:lineRule="auto"/>
        <w:ind w:left="426" w:hanging="426"/>
        <w:rPr>
          <w:rFonts w:cstheme="minorBidi"/>
        </w:rPr>
      </w:pPr>
      <w:r w:rsidRPr="00F40D84">
        <w:rPr>
          <w:rFonts w:cstheme="minorBidi"/>
        </w:rPr>
        <w:t>National Center for Research and Conservation of Wild Birds (CEMAVE)</w:t>
      </w:r>
    </w:p>
    <w:p w14:paraId="0D1AA8D4" w14:textId="1F0F17FF" w:rsidR="006F3F7B" w:rsidRDefault="006F3F7B" w:rsidP="006F3F7B">
      <w:pPr>
        <w:pStyle w:val="ListParagraph"/>
        <w:numPr>
          <w:ilvl w:val="0"/>
          <w:numId w:val="17"/>
        </w:numPr>
        <w:spacing w:after="0" w:line="240" w:lineRule="auto"/>
        <w:ind w:left="426" w:hanging="426"/>
        <w:rPr>
          <w:rFonts w:cstheme="minorBidi"/>
        </w:rPr>
      </w:pPr>
      <w:r w:rsidRPr="006F3F7B">
        <w:rPr>
          <w:rFonts w:cstheme="minorBidi"/>
        </w:rPr>
        <w:t>Ramsar Regional Center – East Asia</w:t>
      </w:r>
    </w:p>
    <w:p w14:paraId="4A710182" w14:textId="77777777" w:rsidR="00E02013" w:rsidRDefault="00E02013" w:rsidP="00E02013">
      <w:pPr>
        <w:pStyle w:val="ListParagraph"/>
        <w:numPr>
          <w:ilvl w:val="0"/>
          <w:numId w:val="17"/>
        </w:numPr>
        <w:spacing w:after="0" w:line="240" w:lineRule="auto"/>
        <w:ind w:left="426" w:hanging="426"/>
        <w:rPr>
          <w:rFonts w:cstheme="minorHAnsi"/>
        </w:rPr>
      </w:pPr>
      <w:r>
        <w:rPr>
          <w:rFonts w:cstheme="minorHAnsi"/>
        </w:rPr>
        <w:t>Scientific and Technical Network of the Mediterranean Wetlands Ramsar Regional Initiative (MedWet)</w:t>
      </w:r>
    </w:p>
    <w:p w14:paraId="3400C224" w14:textId="5973894E" w:rsidR="00A4352D" w:rsidRPr="00A4352D" w:rsidRDefault="00A4352D" w:rsidP="00A4352D">
      <w:pPr>
        <w:pStyle w:val="ListParagraph"/>
        <w:numPr>
          <w:ilvl w:val="0"/>
          <w:numId w:val="17"/>
        </w:numPr>
        <w:spacing w:after="0" w:line="240" w:lineRule="auto"/>
        <w:ind w:left="426" w:hanging="426"/>
        <w:rPr>
          <w:rFonts w:cstheme="minorBidi"/>
        </w:rPr>
      </w:pPr>
      <w:r w:rsidRPr="00A4352D">
        <w:rPr>
          <w:rFonts w:cstheme="minorHAnsi"/>
        </w:rPr>
        <w:t>Silvestrum</w:t>
      </w:r>
      <w:r w:rsidRPr="00A4352D">
        <w:rPr>
          <w:rFonts w:cstheme="minorBidi"/>
        </w:rPr>
        <w:t xml:space="preserve"> Climate Associates</w:t>
      </w:r>
    </w:p>
    <w:p w14:paraId="22F2BDE9"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Society for Ecological Restoration (SER)</w:t>
      </w:r>
    </w:p>
    <w:p w14:paraId="556C49AB"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Society of Wetland Scientists (SWS)</w:t>
      </w:r>
    </w:p>
    <w:p w14:paraId="3652FD8A"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The Nature Conservancy (TNC)</w:t>
      </w:r>
    </w:p>
    <w:p w14:paraId="6815F727" w14:textId="77777777" w:rsidR="00E02013" w:rsidRPr="00C709C4" w:rsidRDefault="00E02013" w:rsidP="00E02013">
      <w:pPr>
        <w:pStyle w:val="ListParagraph"/>
        <w:numPr>
          <w:ilvl w:val="0"/>
          <w:numId w:val="17"/>
        </w:numPr>
        <w:spacing w:after="0" w:line="240" w:lineRule="auto"/>
        <w:ind w:left="426" w:hanging="426"/>
        <w:rPr>
          <w:rFonts w:asciiTheme="minorHAnsi" w:hAnsiTheme="minorHAnsi" w:cstheme="minorHAnsi"/>
          <w:bCs/>
        </w:rPr>
      </w:pPr>
      <w:r w:rsidRPr="00C709C4">
        <w:rPr>
          <w:rFonts w:asciiTheme="minorHAnsi" w:hAnsiTheme="minorHAnsi" w:cstheme="minorHAnsi"/>
          <w:bCs/>
        </w:rPr>
        <w:t xml:space="preserve">The Pew </w:t>
      </w:r>
      <w:r w:rsidRPr="003238ED">
        <w:rPr>
          <w:rFonts w:cstheme="minorHAnsi"/>
          <w:lang w:val="en-US"/>
        </w:rPr>
        <w:t>Charitable</w:t>
      </w:r>
      <w:r w:rsidRPr="00C709C4">
        <w:rPr>
          <w:rFonts w:asciiTheme="minorHAnsi" w:hAnsiTheme="minorHAnsi" w:cstheme="minorHAnsi"/>
          <w:bCs/>
        </w:rPr>
        <w:t xml:space="preserve"> Trusts (PEW)</w:t>
      </w:r>
    </w:p>
    <w:p w14:paraId="28D5577F"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Tour du Valat Research Institute for the Conservation of Mediterranean Wetlands</w:t>
      </w:r>
    </w:p>
    <w:p w14:paraId="1B8A7E1A"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United Nations Educational, Scientific and Cultural Organization (UNESCO) – Man and the Biosphere Programme (MAB)</w:t>
      </w:r>
    </w:p>
    <w:p w14:paraId="2B14728E"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lastRenderedPageBreak/>
        <w:t>United Nations Environment Programme (UNEP)</w:t>
      </w:r>
    </w:p>
    <w:p w14:paraId="4A7B7386"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United Nations Environment Programme World Conservation Monitoring Centre (UNEP-WCMC)</w:t>
      </w:r>
    </w:p>
    <w:p w14:paraId="7D0BAF85" w14:textId="77777777" w:rsidR="003C354A" w:rsidRDefault="003C354A" w:rsidP="00C02A96">
      <w:pPr>
        <w:pStyle w:val="ListParagraph"/>
        <w:numPr>
          <w:ilvl w:val="0"/>
          <w:numId w:val="17"/>
        </w:numPr>
        <w:spacing w:after="0" w:line="240" w:lineRule="auto"/>
        <w:ind w:left="426" w:hanging="426"/>
        <w:rPr>
          <w:rFonts w:cstheme="minorHAnsi"/>
        </w:rPr>
      </w:pPr>
      <w:r>
        <w:rPr>
          <w:rFonts w:cstheme="minorHAnsi"/>
        </w:rPr>
        <w:t>United Nations Food and Agriculture Organization (FAO)</w:t>
      </w:r>
    </w:p>
    <w:p w14:paraId="7CCEFF0B" w14:textId="4B45670E" w:rsidR="00E02013" w:rsidRPr="00E02013" w:rsidRDefault="003C354A" w:rsidP="00E02013">
      <w:pPr>
        <w:pStyle w:val="ListParagraph"/>
        <w:numPr>
          <w:ilvl w:val="0"/>
          <w:numId w:val="17"/>
        </w:numPr>
        <w:spacing w:after="0" w:line="240" w:lineRule="auto"/>
        <w:ind w:left="426" w:hanging="426"/>
        <w:rPr>
          <w:rFonts w:asciiTheme="minorHAnsi" w:hAnsiTheme="minorHAnsi" w:cstheme="minorHAnsi"/>
          <w:bCs/>
        </w:rPr>
      </w:pPr>
      <w:r w:rsidRPr="007B7B7D">
        <w:rPr>
          <w:rFonts w:cstheme="minorHAnsi"/>
          <w:lang w:val="fr-FR"/>
        </w:rPr>
        <w:t xml:space="preserve">United Nations </w:t>
      </w:r>
      <w:r w:rsidRPr="008E2149">
        <w:rPr>
          <w:rFonts w:cstheme="minorHAnsi"/>
        </w:rPr>
        <w:t>Human</w:t>
      </w:r>
      <w:r w:rsidRPr="007B7B7D">
        <w:rPr>
          <w:rFonts w:cstheme="minorHAnsi"/>
          <w:lang w:val="fr-FR"/>
        </w:rPr>
        <w:t xml:space="preserve"> Settlements Programme (UN-Habitat)</w:t>
      </w:r>
    </w:p>
    <w:sectPr w:rsidR="00E02013" w:rsidRPr="00E02013" w:rsidSect="000A146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B5A87" w14:textId="77777777" w:rsidR="00F01FB3" w:rsidRDefault="00F01FB3">
      <w:pPr>
        <w:spacing w:after="0" w:line="240" w:lineRule="auto"/>
      </w:pPr>
      <w:r>
        <w:separator/>
      </w:r>
    </w:p>
  </w:endnote>
  <w:endnote w:type="continuationSeparator" w:id="0">
    <w:p w14:paraId="009CBAB1" w14:textId="77777777" w:rsidR="00F01FB3" w:rsidRDefault="00F01FB3">
      <w:pPr>
        <w:spacing w:after="0" w:line="240" w:lineRule="auto"/>
      </w:pPr>
      <w:r>
        <w:continuationSeparator/>
      </w:r>
    </w:p>
  </w:endnote>
  <w:endnote w:type="continuationNotice" w:id="1">
    <w:p w14:paraId="3EDC1E83" w14:textId="77777777" w:rsidR="00F01FB3" w:rsidRDefault="00F01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3070" w14:textId="071A543E" w:rsidR="00CD6253" w:rsidRPr="004F2EBC" w:rsidRDefault="006B0335" w:rsidP="009A5144">
    <w:pPr>
      <w:pStyle w:val="Footer"/>
      <w:tabs>
        <w:tab w:val="clear" w:pos="9026"/>
        <w:tab w:val="right" w:pos="13892"/>
      </w:tabs>
      <w:spacing w:after="0" w:line="240" w:lineRule="auto"/>
      <w:rPr>
        <w:sz w:val="20"/>
        <w:szCs w:val="20"/>
      </w:rPr>
    </w:pPr>
    <w:r>
      <w:rPr>
        <w:sz w:val="20"/>
        <w:szCs w:val="20"/>
      </w:rPr>
      <w:t>COP15 Doc.23.10</w:t>
    </w:r>
    <w:r w:rsidR="00CD6253">
      <w:rPr>
        <w:sz w:val="20"/>
        <w:szCs w:val="20"/>
      </w:rPr>
      <w:tab/>
    </w:r>
    <w:r w:rsidR="00CD6253">
      <w:rPr>
        <w:sz w:val="20"/>
        <w:szCs w:val="20"/>
      </w:rPr>
      <w:tab/>
    </w:r>
    <w:r w:rsidR="00CD6253">
      <w:rPr>
        <w:sz w:val="20"/>
        <w:szCs w:val="20"/>
      </w:rPr>
      <w:fldChar w:fldCharType="begin"/>
    </w:r>
    <w:r w:rsidR="00CD6253">
      <w:rPr>
        <w:sz w:val="20"/>
        <w:szCs w:val="20"/>
      </w:rPr>
      <w:instrText xml:space="preserve"> PAGE   \* MERGEFORMAT </w:instrText>
    </w:r>
    <w:r w:rsidR="00CD6253">
      <w:rPr>
        <w:sz w:val="20"/>
        <w:szCs w:val="20"/>
      </w:rPr>
      <w:fldChar w:fldCharType="separate"/>
    </w:r>
    <w:r w:rsidR="00484CCE">
      <w:rPr>
        <w:noProof/>
        <w:sz w:val="20"/>
        <w:szCs w:val="20"/>
      </w:rPr>
      <w:t>6</w:t>
    </w:r>
    <w:r w:rsidR="00CD625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FDF26" w14:textId="77777777" w:rsidR="00F01FB3" w:rsidRDefault="00F01FB3">
      <w:pPr>
        <w:spacing w:after="0" w:line="240" w:lineRule="auto"/>
      </w:pPr>
      <w:r>
        <w:separator/>
      </w:r>
    </w:p>
  </w:footnote>
  <w:footnote w:type="continuationSeparator" w:id="0">
    <w:p w14:paraId="6EE88C4A" w14:textId="77777777" w:rsidR="00F01FB3" w:rsidRDefault="00F01FB3">
      <w:pPr>
        <w:spacing w:after="0" w:line="240" w:lineRule="auto"/>
      </w:pPr>
      <w:r>
        <w:continuationSeparator/>
      </w:r>
    </w:p>
  </w:footnote>
  <w:footnote w:type="continuationNotice" w:id="1">
    <w:p w14:paraId="3AF089FC" w14:textId="77777777" w:rsidR="00F01FB3" w:rsidRDefault="00F01FB3">
      <w:pPr>
        <w:spacing w:after="0" w:line="240" w:lineRule="auto"/>
      </w:pPr>
    </w:p>
  </w:footnote>
  <w:footnote w:id="2">
    <w:p w14:paraId="3A432C32" w14:textId="77777777" w:rsidR="003C354A" w:rsidRPr="001F4C81" w:rsidRDefault="003C354A" w:rsidP="001E7BC9">
      <w:pPr>
        <w:pStyle w:val="FootnoteText"/>
        <w:spacing w:after="0" w:line="240" w:lineRule="auto"/>
        <w:ind w:left="0" w:firstLine="0"/>
      </w:pPr>
      <w:r w:rsidRPr="001F4C81">
        <w:rPr>
          <w:rStyle w:val="FootnoteReference"/>
        </w:rPr>
        <w:footnoteRef/>
      </w:r>
      <w:r w:rsidRPr="001F4C81">
        <w:t xml:space="preserve"> See </w:t>
      </w:r>
      <w:hyperlink r:id="rId1" w:history="1">
        <w:r w:rsidRPr="001F4C81">
          <w:rPr>
            <w:rStyle w:val="Hyperlink"/>
          </w:rPr>
          <w:t>https://www.ramsar.org/document/scientific-technical-review-panel-strp-workplan-2023-2025</w:t>
        </w:r>
      </w:hyperlink>
      <w:r w:rsidRPr="001F4C81">
        <w:t xml:space="preserve">. </w:t>
      </w:r>
    </w:p>
  </w:footnote>
  <w:footnote w:id="3">
    <w:p w14:paraId="3E035EB8" w14:textId="77777777" w:rsidR="003C354A" w:rsidRPr="001F4C81" w:rsidRDefault="003C354A" w:rsidP="001E7BC9">
      <w:pPr>
        <w:pStyle w:val="FootnoteText"/>
        <w:spacing w:after="0" w:line="240" w:lineRule="auto"/>
        <w:ind w:left="0" w:firstLine="0"/>
      </w:pPr>
      <w:r w:rsidRPr="001F4C81">
        <w:rPr>
          <w:rStyle w:val="FootnoteReference"/>
        </w:rPr>
        <w:footnoteRef/>
      </w:r>
      <w:r w:rsidRPr="001F4C81">
        <w:t xml:space="preserve"> </w:t>
      </w:r>
      <w:hyperlink r:id="rId2" w:history="1">
        <w:r w:rsidRPr="001F4C81">
          <w:rPr>
            <w:rStyle w:val="Hyperlink"/>
          </w:rPr>
          <w:t>https://www.ramsar.org/document/sc63-doc20-technical-proposal-strp-resourcing-implementing-waterbird-population-estimates</w:t>
        </w:r>
      </w:hyperlink>
      <w:r w:rsidRPr="001F4C81">
        <w:t>.</w:t>
      </w:r>
    </w:p>
  </w:footnote>
  <w:footnote w:id="4">
    <w:p w14:paraId="2255898B" w14:textId="77777777" w:rsidR="003C354A" w:rsidRPr="001F4C81" w:rsidRDefault="003C354A" w:rsidP="001E7BC9">
      <w:pPr>
        <w:pStyle w:val="FootnoteText"/>
        <w:spacing w:after="0" w:line="240" w:lineRule="auto"/>
        <w:ind w:left="0" w:firstLine="0"/>
      </w:pPr>
      <w:r w:rsidRPr="001F4C81">
        <w:rPr>
          <w:rStyle w:val="FootnoteReference"/>
        </w:rPr>
        <w:footnoteRef/>
      </w:r>
      <w:r w:rsidRPr="001F4C81">
        <w:t xml:space="preserve"> </w:t>
      </w:r>
      <w:hyperlink r:id="rId3" w:history="1">
        <w:r w:rsidRPr="001F4C81">
          <w:rPr>
            <w:rStyle w:val="Hyperlink"/>
          </w:rPr>
          <w:t>https://www.ramsar.org/document/kunming-montreal-global-biodiversity-framework-upscaling-wetland-conservation-restoration</w:t>
        </w:r>
      </w:hyperlink>
      <w:r w:rsidRPr="001F4C81">
        <w:t xml:space="preserve">. </w:t>
      </w:r>
    </w:p>
  </w:footnote>
  <w:footnote w:id="5">
    <w:p w14:paraId="468A6506" w14:textId="77777777" w:rsidR="003C354A" w:rsidRPr="001F4C81" w:rsidRDefault="003C354A" w:rsidP="001E7BC9">
      <w:pPr>
        <w:pStyle w:val="FootnoteText"/>
        <w:spacing w:after="0" w:line="240" w:lineRule="auto"/>
        <w:ind w:left="0" w:firstLine="0"/>
      </w:pPr>
      <w:r w:rsidRPr="001F4C81">
        <w:rPr>
          <w:rStyle w:val="FootnoteReference"/>
        </w:rPr>
        <w:footnoteRef/>
      </w:r>
      <w:r w:rsidRPr="001F4C81">
        <w:t xml:space="preserve"> </w:t>
      </w:r>
      <w:hyperlink r:id="rId4" w:history="1">
        <w:r w:rsidRPr="001F4C81">
          <w:rPr>
            <w:rStyle w:val="Hyperlink"/>
          </w:rPr>
          <w:t>https://www.ramsar.org/document/scaling-wetland-conservation-restoration-deliver-kunming-montreal-global-biodiversity</w:t>
        </w:r>
      </w:hyperlink>
      <w:r w:rsidRPr="001F4C81">
        <w:t xml:space="preserve">. </w:t>
      </w:r>
    </w:p>
  </w:footnote>
  <w:footnote w:id="6">
    <w:p w14:paraId="4652749D" w14:textId="77777777" w:rsidR="003C354A" w:rsidRPr="001E7BC9" w:rsidRDefault="003C354A" w:rsidP="001E7BC9">
      <w:pPr>
        <w:pStyle w:val="FootnoteText"/>
        <w:spacing w:after="0" w:line="240" w:lineRule="auto"/>
        <w:ind w:left="0" w:firstLine="0"/>
        <w:rPr>
          <w:sz w:val="18"/>
          <w:szCs w:val="18"/>
        </w:rPr>
      </w:pPr>
      <w:r w:rsidRPr="001F4C81">
        <w:rPr>
          <w:rStyle w:val="FootnoteReference"/>
        </w:rPr>
        <w:footnoteRef/>
      </w:r>
      <w:r w:rsidRPr="001F4C81">
        <w:t xml:space="preserve"> </w:t>
      </w:r>
      <w:hyperlink r:id="rId5" w:history="1">
        <w:r w:rsidRPr="001F4C81">
          <w:rPr>
            <w:rStyle w:val="Hyperlink"/>
          </w:rPr>
          <w:t>https://www.ramsar.org/document/sc63-inf3-submission-convention-wetlands-6th-meeting-ad-hoc-technical-expert-group</w:t>
        </w:r>
      </w:hyperlink>
      <w:r w:rsidRPr="001F4C8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14DE"/>
    <w:multiLevelType w:val="hybridMultilevel"/>
    <w:tmpl w:val="9ED8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C113E"/>
    <w:multiLevelType w:val="hybridMultilevel"/>
    <w:tmpl w:val="485C73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0DA93D14"/>
    <w:multiLevelType w:val="hybridMultilevel"/>
    <w:tmpl w:val="B2C6DD2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DB74870"/>
    <w:multiLevelType w:val="hybridMultilevel"/>
    <w:tmpl w:val="80D8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67AE"/>
    <w:multiLevelType w:val="multilevel"/>
    <w:tmpl w:val="93523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CB50FB"/>
    <w:multiLevelType w:val="hybridMultilevel"/>
    <w:tmpl w:val="D03658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3C8737CC"/>
    <w:multiLevelType w:val="hybridMultilevel"/>
    <w:tmpl w:val="7A08FC1A"/>
    <w:lvl w:ilvl="0" w:tplc="47EC94B6">
      <w:start w:val="1"/>
      <w:numFmt w:val="lowerLetter"/>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A0238CA"/>
    <w:multiLevelType w:val="hybridMultilevel"/>
    <w:tmpl w:val="51886036"/>
    <w:lvl w:ilvl="0" w:tplc="23828258">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5A7D409E"/>
    <w:multiLevelType w:val="hybridMultilevel"/>
    <w:tmpl w:val="7A98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240818"/>
    <w:multiLevelType w:val="hybridMultilevel"/>
    <w:tmpl w:val="4392A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EC67F21"/>
    <w:multiLevelType w:val="multilevel"/>
    <w:tmpl w:val="B9020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57D2102"/>
    <w:multiLevelType w:val="hybridMultilevel"/>
    <w:tmpl w:val="CE30B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46941561">
    <w:abstractNumId w:val="2"/>
  </w:num>
  <w:num w:numId="2" w16cid:durableId="923488057">
    <w:abstractNumId w:val="7"/>
  </w:num>
  <w:num w:numId="3" w16cid:durableId="601567328">
    <w:abstractNumId w:val="0"/>
  </w:num>
  <w:num w:numId="4" w16cid:durableId="1978103725">
    <w:abstractNumId w:val="3"/>
  </w:num>
  <w:num w:numId="5" w16cid:durableId="630332033">
    <w:abstractNumId w:val="11"/>
  </w:num>
  <w:num w:numId="6" w16cid:durableId="925071695">
    <w:abstractNumId w:val="12"/>
  </w:num>
  <w:num w:numId="7" w16cid:durableId="1755325150">
    <w:abstractNumId w:val="1"/>
  </w:num>
  <w:num w:numId="8" w16cid:durableId="1927493721">
    <w:abstractNumId w:val="8"/>
  </w:num>
  <w:num w:numId="9" w16cid:durableId="2126148593">
    <w:abstractNumId w:val="13"/>
  </w:num>
  <w:num w:numId="10" w16cid:durableId="451169998">
    <w:abstractNumId w:val="4"/>
  </w:num>
  <w:num w:numId="11" w16cid:durableId="558244067">
    <w:abstractNumId w:val="13"/>
  </w:num>
  <w:num w:numId="12" w16cid:durableId="881789920">
    <w:abstractNumId w:val="4"/>
  </w:num>
  <w:num w:numId="13" w16cid:durableId="833569360">
    <w:abstractNumId w:val="10"/>
  </w:num>
  <w:num w:numId="14" w16cid:durableId="1378966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6688325">
    <w:abstractNumId w:val="6"/>
  </w:num>
  <w:num w:numId="16" w16cid:durableId="153761273">
    <w:abstractNumId w:val="9"/>
  </w:num>
  <w:num w:numId="17" w16cid:durableId="900944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s-ES"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NZ"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fr-CH"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doNotTrackFormatting/>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2437"/>
    <w:rsid w:val="00002BA4"/>
    <w:rsid w:val="000067A0"/>
    <w:rsid w:val="00006DCC"/>
    <w:rsid w:val="00013440"/>
    <w:rsid w:val="00014168"/>
    <w:rsid w:val="00014774"/>
    <w:rsid w:val="00017A16"/>
    <w:rsid w:val="00023039"/>
    <w:rsid w:val="00026E09"/>
    <w:rsid w:val="000277D3"/>
    <w:rsid w:val="00027DD2"/>
    <w:rsid w:val="0003680D"/>
    <w:rsid w:val="00037BDE"/>
    <w:rsid w:val="00037CE0"/>
    <w:rsid w:val="00042C4F"/>
    <w:rsid w:val="00046DB8"/>
    <w:rsid w:val="00047FB5"/>
    <w:rsid w:val="00050F80"/>
    <w:rsid w:val="0005225B"/>
    <w:rsid w:val="000529BD"/>
    <w:rsid w:val="00053929"/>
    <w:rsid w:val="0005794C"/>
    <w:rsid w:val="00060461"/>
    <w:rsid w:val="00061CFB"/>
    <w:rsid w:val="0006310A"/>
    <w:rsid w:val="00074DE8"/>
    <w:rsid w:val="00077D9C"/>
    <w:rsid w:val="00081F3B"/>
    <w:rsid w:val="000838AD"/>
    <w:rsid w:val="00090115"/>
    <w:rsid w:val="00095CB6"/>
    <w:rsid w:val="000A146C"/>
    <w:rsid w:val="000A3E3E"/>
    <w:rsid w:val="000A6BA4"/>
    <w:rsid w:val="000A70BB"/>
    <w:rsid w:val="000A7FE3"/>
    <w:rsid w:val="000B22F5"/>
    <w:rsid w:val="000B383B"/>
    <w:rsid w:val="000C0062"/>
    <w:rsid w:val="000C2489"/>
    <w:rsid w:val="000C2E64"/>
    <w:rsid w:val="000C2EF2"/>
    <w:rsid w:val="000C456F"/>
    <w:rsid w:val="000C6065"/>
    <w:rsid w:val="000D3274"/>
    <w:rsid w:val="000D3B05"/>
    <w:rsid w:val="000D54FA"/>
    <w:rsid w:val="000D5C76"/>
    <w:rsid w:val="000E2FA0"/>
    <w:rsid w:val="000E47E9"/>
    <w:rsid w:val="000F11DF"/>
    <w:rsid w:val="000F2205"/>
    <w:rsid w:val="000F4AB9"/>
    <w:rsid w:val="000F5508"/>
    <w:rsid w:val="000F5814"/>
    <w:rsid w:val="000F629F"/>
    <w:rsid w:val="000F6776"/>
    <w:rsid w:val="00115BF0"/>
    <w:rsid w:val="0012096C"/>
    <w:rsid w:val="00120C16"/>
    <w:rsid w:val="00121E99"/>
    <w:rsid w:val="00127828"/>
    <w:rsid w:val="00127B13"/>
    <w:rsid w:val="00142CD0"/>
    <w:rsid w:val="00142E2D"/>
    <w:rsid w:val="00142F56"/>
    <w:rsid w:val="001457F1"/>
    <w:rsid w:val="001468D2"/>
    <w:rsid w:val="001508BA"/>
    <w:rsid w:val="001544FA"/>
    <w:rsid w:val="00154CCF"/>
    <w:rsid w:val="00161BDA"/>
    <w:rsid w:val="00164CE4"/>
    <w:rsid w:val="00170AD0"/>
    <w:rsid w:val="00171618"/>
    <w:rsid w:val="00172F72"/>
    <w:rsid w:val="00174ED2"/>
    <w:rsid w:val="001758C4"/>
    <w:rsid w:val="001819B1"/>
    <w:rsid w:val="00182684"/>
    <w:rsid w:val="00184248"/>
    <w:rsid w:val="00187A30"/>
    <w:rsid w:val="00192AC0"/>
    <w:rsid w:val="00192C30"/>
    <w:rsid w:val="001931CD"/>
    <w:rsid w:val="00195E32"/>
    <w:rsid w:val="00195EC3"/>
    <w:rsid w:val="00197A18"/>
    <w:rsid w:val="001A24A7"/>
    <w:rsid w:val="001A2D10"/>
    <w:rsid w:val="001A3C39"/>
    <w:rsid w:val="001A505F"/>
    <w:rsid w:val="001A7DAD"/>
    <w:rsid w:val="001B171D"/>
    <w:rsid w:val="001B1829"/>
    <w:rsid w:val="001B1E47"/>
    <w:rsid w:val="001B3BD8"/>
    <w:rsid w:val="001B3F65"/>
    <w:rsid w:val="001B47C3"/>
    <w:rsid w:val="001B4D03"/>
    <w:rsid w:val="001B5744"/>
    <w:rsid w:val="001B6E58"/>
    <w:rsid w:val="001B7917"/>
    <w:rsid w:val="001C03B2"/>
    <w:rsid w:val="001C5E41"/>
    <w:rsid w:val="001C750C"/>
    <w:rsid w:val="001C77BC"/>
    <w:rsid w:val="001D00F7"/>
    <w:rsid w:val="001D0479"/>
    <w:rsid w:val="001D32E3"/>
    <w:rsid w:val="001D3333"/>
    <w:rsid w:val="001D48BB"/>
    <w:rsid w:val="001E00E3"/>
    <w:rsid w:val="001E54AD"/>
    <w:rsid w:val="001E7123"/>
    <w:rsid w:val="001E7BC9"/>
    <w:rsid w:val="001E7CED"/>
    <w:rsid w:val="001E7D9A"/>
    <w:rsid w:val="001F0DFC"/>
    <w:rsid w:val="001F2349"/>
    <w:rsid w:val="001F4C81"/>
    <w:rsid w:val="001F4F68"/>
    <w:rsid w:val="00200330"/>
    <w:rsid w:val="002005D2"/>
    <w:rsid w:val="0020298B"/>
    <w:rsid w:val="00204229"/>
    <w:rsid w:val="00205C86"/>
    <w:rsid w:val="00206111"/>
    <w:rsid w:val="0020680E"/>
    <w:rsid w:val="00206840"/>
    <w:rsid w:val="002077DF"/>
    <w:rsid w:val="002137E0"/>
    <w:rsid w:val="00214195"/>
    <w:rsid w:val="00214AFD"/>
    <w:rsid w:val="00216E77"/>
    <w:rsid w:val="00220A46"/>
    <w:rsid w:val="00222AA8"/>
    <w:rsid w:val="00223160"/>
    <w:rsid w:val="002246B6"/>
    <w:rsid w:val="00225CB1"/>
    <w:rsid w:val="0022617D"/>
    <w:rsid w:val="00227BAA"/>
    <w:rsid w:val="00230172"/>
    <w:rsid w:val="00230E45"/>
    <w:rsid w:val="00230F08"/>
    <w:rsid w:val="00231178"/>
    <w:rsid w:val="00233E8B"/>
    <w:rsid w:val="00233EF6"/>
    <w:rsid w:val="00237757"/>
    <w:rsid w:val="00241D26"/>
    <w:rsid w:val="00242D2F"/>
    <w:rsid w:val="0025061A"/>
    <w:rsid w:val="00252148"/>
    <w:rsid w:val="00254565"/>
    <w:rsid w:val="00254CFA"/>
    <w:rsid w:val="0025657B"/>
    <w:rsid w:val="002570E8"/>
    <w:rsid w:val="00257C29"/>
    <w:rsid w:val="00257C2A"/>
    <w:rsid w:val="00261972"/>
    <w:rsid w:val="002644BE"/>
    <w:rsid w:val="00265E19"/>
    <w:rsid w:val="00267EC0"/>
    <w:rsid w:val="00272233"/>
    <w:rsid w:val="002738D1"/>
    <w:rsid w:val="002741AC"/>
    <w:rsid w:val="00275F13"/>
    <w:rsid w:val="002819C0"/>
    <w:rsid w:val="00282267"/>
    <w:rsid w:val="0028441E"/>
    <w:rsid w:val="00290656"/>
    <w:rsid w:val="00295556"/>
    <w:rsid w:val="00295BB5"/>
    <w:rsid w:val="002A5213"/>
    <w:rsid w:val="002A5A4D"/>
    <w:rsid w:val="002A5BC8"/>
    <w:rsid w:val="002A75A4"/>
    <w:rsid w:val="002B1408"/>
    <w:rsid w:val="002B4262"/>
    <w:rsid w:val="002C2C32"/>
    <w:rsid w:val="002C2EE0"/>
    <w:rsid w:val="002D480D"/>
    <w:rsid w:val="002D5A4D"/>
    <w:rsid w:val="002D5BB0"/>
    <w:rsid w:val="002D6626"/>
    <w:rsid w:val="002D6BFB"/>
    <w:rsid w:val="002D7026"/>
    <w:rsid w:val="002D75B9"/>
    <w:rsid w:val="002E22AF"/>
    <w:rsid w:val="002E255E"/>
    <w:rsid w:val="002E3DE4"/>
    <w:rsid w:val="002E4B5A"/>
    <w:rsid w:val="002E61E6"/>
    <w:rsid w:val="002E6A7E"/>
    <w:rsid w:val="002F255E"/>
    <w:rsid w:val="002F30E1"/>
    <w:rsid w:val="002F51A9"/>
    <w:rsid w:val="002F5F14"/>
    <w:rsid w:val="002F6155"/>
    <w:rsid w:val="002F686D"/>
    <w:rsid w:val="002F788C"/>
    <w:rsid w:val="003003C5"/>
    <w:rsid w:val="00301645"/>
    <w:rsid w:val="00302B41"/>
    <w:rsid w:val="003048FA"/>
    <w:rsid w:val="00304FF6"/>
    <w:rsid w:val="00306562"/>
    <w:rsid w:val="003066D3"/>
    <w:rsid w:val="0031026B"/>
    <w:rsid w:val="00313E84"/>
    <w:rsid w:val="00315416"/>
    <w:rsid w:val="00316359"/>
    <w:rsid w:val="003238BF"/>
    <w:rsid w:val="003238ED"/>
    <w:rsid w:val="00324398"/>
    <w:rsid w:val="003245C9"/>
    <w:rsid w:val="00324A27"/>
    <w:rsid w:val="00325DD5"/>
    <w:rsid w:val="00332D32"/>
    <w:rsid w:val="00332D48"/>
    <w:rsid w:val="0033305B"/>
    <w:rsid w:val="0033484E"/>
    <w:rsid w:val="003348D2"/>
    <w:rsid w:val="00337B9F"/>
    <w:rsid w:val="00341471"/>
    <w:rsid w:val="00354AF3"/>
    <w:rsid w:val="003564E9"/>
    <w:rsid w:val="00360A65"/>
    <w:rsid w:val="00365407"/>
    <w:rsid w:val="00370EF7"/>
    <w:rsid w:val="00371B8C"/>
    <w:rsid w:val="00372263"/>
    <w:rsid w:val="00372AEB"/>
    <w:rsid w:val="00376F33"/>
    <w:rsid w:val="00381447"/>
    <w:rsid w:val="00382232"/>
    <w:rsid w:val="00382FEF"/>
    <w:rsid w:val="00384FC3"/>
    <w:rsid w:val="00390F40"/>
    <w:rsid w:val="00393AB8"/>
    <w:rsid w:val="003951AD"/>
    <w:rsid w:val="00396EBD"/>
    <w:rsid w:val="003A191E"/>
    <w:rsid w:val="003A3804"/>
    <w:rsid w:val="003A3B7A"/>
    <w:rsid w:val="003A52BE"/>
    <w:rsid w:val="003A5866"/>
    <w:rsid w:val="003A6E9F"/>
    <w:rsid w:val="003A7F32"/>
    <w:rsid w:val="003B2F91"/>
    <w:rsid w:val="003B4411"/>
    <w:rsid w:val="003B61D0"/>
    <w:rsid w:val="003B7A57"/>
    <w:rsid w:val="003C0E91"/>
    <w:rsid w:val="003C1DD0"/>
    <w:rsid w:val="003C354A"/>
    <w:rsid w:val="003C73FE"/>
    <w:rsid w:val="003D18F0"/>
    <w:rsid w:val="003D3D68"/>
    <w:rsid w:val="003D3DF5"/>
    <w:rsid w:val="003D4CD6"/>
    <w:rsid w:val="003D5FB8"/>
    <w:rsid w:val="003D7FE2"/>
    <w:rsid w:val="003E1B2E"/>
    <w:rsid w:val="003E4B6A"/>
    <w:rsid w:val="003E5B93"/>
    <w:rsid w:val="003E5E73"/>
    <w:rsid w:val="003F2B26"/>
    <w:rsid w:val="003F2D92"/>
    <w:rsid w:val="003F32A8"/>
    <w:rsid w:val="003F4C06"/>
    <w:rsid w:val="00400573"/>
    <w:rsid w:val="00400586"/>
    <w:rsid w:val="0041036E"/>
    <w:rsid w:val="00414FF8"/>
    <w:rsid w:val="004171A4"/>
    <w:rsid w:val="00421DE2"/>
    <w:rsid w:val="004228C7"/>
    <w:rsid w:val="004255EA"/>
    <w:rsid w:val="0042667A"/>
    <w:rsid w:val="0042798B"/>
    <w:rsid w:val="00427BFD"/>
    <w:rsid w:val="00430113"/>
    <w:rsid w:val="00430641"/>
    <w:rsid w:val="00433DB4"/>
    <w:rsid w:val="00434913"/>
    <w:rsid w:val="004367ED"/>
    <w:rsid w:val="00443AE9"/>
    <w:rsid w:val="00444AB2"/>
    <w:rsid w:val="004463FB"/>
    <w:rsid w:val="004474F8"/>
    <w:rsid w:val="004525F3"/>
    <w:rsid w:val="004718D2"/>
    <w:rsid w:val="0047294E"/>
    <w:rsid w:val="0047403E"/>
    <w:rsid w:val="004772FD"/>
    <w:rsid w:val="00477550"/>
    <w:rsid w:val="004816A5"/>
    <w:rsid w:val="0048258B"/>
    <w:rsid w:val="0048408B"/>
    <w:rsid w:val="004843E1"/>
    <w:rsid w:val="004844A8"/>
    <w:rsid w:val="00484CCE"/>
    <w:rsid w:val="00485BF6"/>
    <w:rsid w:val="004879CF"/>
    <w:rsid w:val="0049249A"/>
    <w:rsid w:val="00495208"/>
    <w:rsid w:val="00495A7C"/>
    <w:rsid w:val="00495CA5"/>
    <w:rsid w:val="00496803"/>
    <w:rsid w:val="004A0924"/>
    <w:rsid w:val="004B0573"/>
    <w:rsid w:val="004B57F3"/>
    <w:rsid w:val="004B6688"/>
    <w:rsid w:val="004C041F"/>
    <w:rsid w:val="004C36F6"/>
    <w:rsid w:val="004C4427"/>
    <w:rsid w:val="004C5A3E"/>
    <w:rsid w:val="004D1F23"/>
    <w:rsid w:val="004D295C"/>
    <w:rsid w:val="004D70A7"/>
    <w:rsid w:val="004E6B08"/>
    <w:rsid w:val="004E74B2"/>
    <w:rsid w:val="004F2EBC"/>
    <w:rsid w:val="004F6772"/>
    <w:rsid w:val="004F7387"/>
    <w:rsid w:val="00500FEB"/>
    <w:rsid w:val="0050189E"/>
    <w:rsid w:val="0050315C"/>
    <w:rsid w:val="00504AA4"/>
    <w:rsid w:val="00510BFB"/>
    <w:rsid w:val="00514C42"/>
    <w:rsid w:val="0051645B"/>
    <w:rsid w:val="005166B5"/>
    <w:rsid w:val="005206B8"/>
    <w:rsid w:val="00521EE4"/>
    <w:rsid w:val="00523453"/>
    <w:rsid w:val="005244A4"/>
    <w:rsid w:val="00525E92"/>
    <w:rsid w:val="00527783"/>
    <w:rsid w:val="005324FF"/>
    <w:rsid w:val="005332DE"/>
    <w:rsid w:val="00535385"/>
    <w:rsid w:val="005450EF"/>
    <w:rsid w:val="00545404"/>
    <w:rsid w:val="00547FDD"/>
    <w:rsid w:val="005527EF"/>
    <w:rsid w:val="005546F0"/>
    <w:rsid w:val="00556E3B"/>
    <w:rsid w:val="00556E8C"/>
    <w:rsid w:val="005601F8"/>
    <w:rsid w:val="005602D4"/>
    <w:rsid w:val="00561428"/>
    <w:rsid w:val="00563781"/>
    <w:rsid w:val="005654B4"/>
    <w:rsid w:val="0056603E"/>
    <w:rsid w:val="0056621C"/>
    <w:rsid w:val="00570445"/>
    <w:rsid w:val="0057682D"/>
    <w:rsid w:val="00580F5F"/>
    <w:rsid w:val="005814B5"/>
    <w:rsid w:val="00582794"/>
    <w:rsid w:val="00582D28"/>
    <w:rsid w:val="0058496F"/>
    <w:rsid w:val="005857B1"/>
    <w:rsid w:val="005919F5"/>
    <w:rsid w:val="00596EAA"/>
    <w:rsid w:val="005A31D3"/>
    <w:rsid w:val="005A604F"/>
    <w:rsid w:val="005A6BFB"/>
    <w:rsid w:val="005B03CA"/>
    <w:rsid w:val="005B1BEB"/>
    <w:rsid w:val="005B2791"/>
    <w:rsid w:val="005B34D9"/>
    <w:rsid w:val="005B664A"/>
    <w:rsid w:val="005C0FFE"/>
    <w:rsid w:val="005C452D"/>
    <w:rsid w:val="005C52E9"/>
    <w:rsid w:val="005C54B5"/>
    <w:rsid w:val="005C5E27"/>
    <w:rsid w:val="005D16CB"/>
    <w:rsid w:val="005D2A05"/>
    <w:rsid w:val="005D3E9D"/>
    <w:rsid w:val="005D4F7C"/>
    <w:rsid w:val="005D6F36"/>
    <w:rsid w:val="005E44F7"/>
    <w:rsid w:val="005E7E25"/>
    <w:rsid w:val="005F37DB"/>
    <w:rsid w:val="005F3F01"/>
    <w:rsid w:val="005F4BE3"/>
    <w:rsid w:val="005F5F6A"/>
    <w:rsid w:val="006010D7"/>
    <w:rsid w:val="00603D27"/>
    <w:rsid w:val="00606441"/>
    <w:rsid w:val="00606818"/>
    <w:rsid w:val="0061273C"/>
    <w:rsid w:val="00615CAD"/>
    <w:rsid w:val="00622754"/>
    <w:rsid w:val="006256D3"/>
    <w:rsid w:val="00627BB7"/>
    <w:rsid w:val="0063277C"/>
    <w:rsid w:val="00634F1A"/>
    <w:rsid w:val="00637FB0"/>
    <w:rsid w:val="00640FBA"/>
    <w:rsid w:val="0064487E"/>
    <w:rsid w:val="00644A13"/>
    <w:rsid w:val="00646A86"/>
    <w:rsid w:val="0064791E"/>
    <w:rsid w:val="0065136E"/>
    <w:rsid w:val="00653EAF"/>
    <w:rsid w:val="006560F2"/>
    <w:rsid w:val="006620C2"/>
    <w:rsid w:val="00663ED5"/>
    <w:rsid w:val="00663FDA"/>
    <w:rsid w:val="00664B04"/>
    <w:rsid w:val="00670D71"/>
    <w:rsid w:val="006745F7"/>
    <w:rsid w:val="00675620"/>
    <w:rsid w:val="00680E21"/>
    <w:rsid w:val="006828DA"/>
    <w:rsid w:val="00682951"/>
    <w:rsid w:val="00683A60"/>
    <w:rsid w:val="0068418C"/>
    <w:rsid w:val="0069070D"/>
    <w:rsid w:val="00692E27"/>
    <w:rsid w:val="00695150"/>
    <w:rsid w:val="006A0D2C"/>
    <w:rsid w:val="006B0335"/>
    <w:rsid w:val="006C019D"/>
    <w:rsid w:val="006C1049"/>
    <w:rsid w:val="006C2AF6"/>
    <w:rsid w:val="006C3C85"/>
    <w:rsid w:val="006D0781"/>
    <w:rsid w:val="006D28C1"/>
    <w:rsid w:val="006D3035"/>
    <w:rsid w:val="006D6CF7"/>
    <w:rsid w:val="006E3E98"/>
    <w:rsid w:val="006E778A"/>
    <w:rsid w:val="006E7AA9"/>
    <w:rsid w:val="006E7DCE"/>
    <w:rsid w:val="006F3F7B"/>
    <w:rsid w:val="006F4813"/>
    <w:rsid w:val="0070037B"/>
    <w:rsid w:val="007020F5"/>
    <w:rsid w:val="0070281E"/>
    <w:rsid w:val="007050FF"/>
    <w:rsid w:val="00705819"/>
    <w:rsid w:val="007061E6"/>
    <w:rsid w:val="00711C5B"/>
    <w:rsid w:val="00712337"/>
    <w:rsid w:val="00713449"/>
    <w:rsid w:val="007156AC"/>
    <w:rsid w:val="00715D9A"/>
    <w:rsid w:val="00722A32"/>
    <w:rsid w:val="007243F5"/>
    <w:rsid w:val="00725666"/>
    <w:rsid w:val="00726139"/>
    <w:rsid w:val="00745C5F"/>
    <w:rsid w:val="00745EE4"/>
    <w:rsid w:val="00752764"/>
    <w:rsid w:val="0075704E"/>
    <w:rsid w:val="00757EE5"/>
    <w:rsid w:val="0076063F"/>
    <w:rsid w:val="00766962"/>
    <w:rsid w:val="00770E40"/>
    <w:rsid w:val="007725AC"/>
    <w:rsid w:val="0077364A"/>
    <w:rsid w:val="00775287"/>
    <w:rsid w:val="00775725"/>
    <w:rsid w:val="007763C8"/>
    <w:rsid w:val="007864DA"/>
    <w:rsid w:val="00786EF7"/>
    <w:rsid w:val="0079094E"/>
    <w:rsid w:val="00793949"/>
    <w:rsid w:val="00795EA3"/>
    <w:rsid w:val="007A2B42"/>
    <w:rsid w:val="007A2E35"/>
    <w:rsid w:val="007A30FA"/>
    <w:rsid w:val="007A3626"/>
    <w:rsid w:val="007A4C46"/>
    <w:rsid w:val="007A501E"/>
    <w:rsid w:val="007B0151"/>
    <w:rsid w:val="007B061B"/>
    <w:rsid w:val="007B2FE9"/>
    <w:rsid w:val="007B6D8E"/>
    <w:rsid w:val="007B7B7D"/>
    <w:rsid w:val="007C48FD"/>
    <w:rsid w:val="007C7B48"/>
    <w:rsid w:val="007D1955"/>
    <w:rsid w:val="007D33F4"/>
    <w:rsid w:val="007D4276"/>
    <w:rsid w:val="007D4ACC"/>
    <w:rsid w:val="007D4DB9"/>
    <w:rsid w:val="007D5743"/>
    <w:rsid w:val="007D734C"/>
    <w:rsid w:val="007E212F"/>
    <w:rsid w:val="007E2268"/>
    <w:rsid w:val="007E5D9B"/>
    <w:rsid w:val="007F3ABE"/>
    <w:rsid w:val="007F4F86"/>
    <w:rsid w:val="007F54F8"/>
    <w:rsid w:val="007F574B"/>
    <w:rsid w:val="007F7F8B"/>
    <w:rsid w:val="00804BD1"/>
    <w:rsid w:val="008061C7"/>
    <w:rsid w:val="00812291"/>
    <w:rsid w:val="008143BE"/>
    <w:rsid w:val="00816421"/>
    <w:rsid w:val="008236BC"/>
    <w:rsid w:val="00826282"/>
    <w:rsid w:val="00826982"/>
    <w:rsid w:val="00832226"/>
    <w:rsid w:val="008328E9"/>
    <w:rsid w:val="00835BCB"/>
    <w:rsid w:val="00835CDC"/>
    <w:rsid w:val="00836B73"/>
    <w:rsid w:val="00837268"/>
    <w:rsid w:val="0084217B"/>
    <w:rsid w:val="0084248D"/>
    <w:rsid w:val="0084299B"/>
    <w:rsid w:val="00843029"/>
    <w:rsid w:val="0084304C"/>
    <w:rsid w:val="008433D0"/>
    <w:rsid w:val="008449DD"/>
    <w:rsid w:val="00845B5B"/>
    <w:rsid w:val="00850B09"/>
    <w:rsid w:val="00850E77"/>
    <w:rsid w:val="008530BD"/>
    <w:rsid w:val="00856C37"/>
    <w:rsid w:val="008608E1"/>
    <w:rsid w:val="00863B9D"/>
    <w:rsid w:val="00863BE6"/>
    <w:rsid w:val="008729C3"/>
    <w:rsid w:val="008732A7"/>
    <w:rsid w:val="008768E7"/>
    <w:rsid w:val="008775BC"/>
    <w:rsid w:val="00880C29"/>
    <w:rsid w:val="00882340"/>
    <w:rsid w:val="00882F1B"/>
    <w:rsid w:val="00883CC4"/>
    <w:rsid w:val="00884E01"/>
    <w:rsid w:val="00887541"/>
    <w:rsid w:val="00887D0B"/>
    <w:rsid w:val="008901A1"/>
    <w:rsid w:val="0089064C"/>
    <w:rsid w:val="00891167"/>
    <w:rsid w:val="0089456F"/>
    <w:rsid w:val="00896AFE"/>
    <w:rsid w:val="008A3125"/>
    <w:rsid w:val="008A4A69"/>
    <w:rsid w:val="008A70CE"/>
    <w:rsid w:val="008B1CC6"/>
    <w:rsid w:val="008B216A"/>
    <w:rsid w:val="008B434C"/>
    <w:rsid w:val="008B5039"/>
    <w:rsid w:val="008B515D"/>
    <w:rsid w:val="008C09DE"/>
    <w:rsid w:val="008C0F57"/>
    <w:rsid w:val="008C25E4"/>
    <w:rsid w:val="008C2DAE"/>
    <w:rsid w:val="008C4864"/>
    <w:rsid w:val="008C60ED"/>
    <w:rsid w:val="008C6874"/>
    <w:rsid w:val="008C7DC0"/>
    <w:rsid w:val="008D10A1"/>
    <w:rsid w:val="008D6464"/>
    <w:rsid w:val="008D676C"/>
    <w:rsid w:val="008D7AF0"/>
    <w:rsid w:val="008E1121"/>
    <w:rsid w:val="008E2149"/>
    <w:rsid w:val="008E2EE0"/>
    <w:rsid w:val="008E5F30"/>
    <w:rsid w:val="008E6DD2"/>
    <w:rsid w:val="008E7847"/>
    <w:rsid w:val="008F33C3"/>
    <w:rsid w:val="009003D5"/>
    <w:rsid w:val="009037EC"/>
    <w:rsid w:val="0090387A"/>
    <w:rsid w:val="009059A9"/>
    <w:rsid w:val="00906C21"/>
    <w:rsid w:val="009110BF"/>
    <w:rsid w:val="00913C9E"/>
    <w:rsid w:val="00913D28"/>
    <w:rsid w:val="0091579C"/>
    <w:rsid w:val="00917014"/>
    <w:rsid w:val="0092515E"/>
    <w:rsid w:val="00925F01"/>
    <w:rsid w:val="00926CA4"/>
    <w:rsid w:val="00930070"/>
    <w:rsid w:val="009313DE"/>
    <w:rsid w:val="00931478"/>
    <w:rsid w:val="00932319"/>
    <w:rsid w:val="009329AC"/>
    <w:rsid w:val="00933DCF"/>
    <w:rsid w:val="00942FBD"/>
    <w:rsid w:val="009440F5"/>
    <w:rsid w:val="0094770B"/>
    <w:rsid w:val="00947B44"/>
    <w:rsid w:val="009507D2"/>
    <w:rsid w:val="009523E5"/>
    <w:rsid w:val="00953DAF"/>
    <w:rsid w:val="00953E40"/>
    <w:rsid w:val="00961227"/>
    <w:rsid w:val="00965AC6"/>
    <w:rsid w:val="00966DBC"/>
    <w:rsid w:val="00971021"/>
    <w:rsid w:val="00971313"/>
    <w:rsid w:val="00971DC0"/>
    <w:rsid w:val="009742C8"/>
    <w:rsid w:val="009754A6"/>
    <w:rsid w:val="0097724D"/>
    <w:rsid w:val="009774DC"/>
    <w:rsid w:val="009812D3"/>
    <w:rsid w:val="009826A7"/>
    <w:rsid w:val="0099134B"/>
    <w:rsid w:val="00993C39"/>
    <w:rsid w:val="00993F60"/>
    <w:rsid w:val="0099411E"/>
    <w:rsid w:val="00994CAC"/>
    <w:rsid w:val="0099624B"/>
    <w:rsid w:val="00996B9C"/>
    <w:rsid w:val="0099734B"/>
    <w:rsid w:val="00997D5D"/>
    <w:rsid w:val="009A1162"/>
    <w:rsid w:val="009A4BDB"/>
    <w:rsid w:val="009A5144"/>
    <w:rsid w:val="009A54A3"/>
    <w:rsid w:val="009B2267"/>
    <w:rsid w:val="009B35F4"/>
    <w:rsid w:val="009B3955"/>
    <w:rsid w:val="009B4474"/>
    <w:rsid w:val="009B5576"/>
    <w:rsid w:val="009B71E8"/>
    <w:rsid w:val="009C28F9"/>
    <w:rsid w:val="009D08EC"/>
    <w:rsid w:val="009D5670"/>
    <w:rsid w:val="009D5D10"/>
    <w:rsid w:val="009D7F06"/>
    <w:rsid w:val="009E0AE8"/>
    <w:rsid w:val="009E5374"/>
    <w:rsid w:val="009E53D7"/>
    <w:rsid w:val="009E720A"/>
    <w:rsid w:val="009F345D"/>
    <w:rsid w:val="009F349D"/>
    <w:rsid w:val="009F4F0C"/>
    <w:rsid w:val="00A0355E"/>
    <w:rsid w:val="00A038DC"/>
    <w:rsid w:val="00A05A15"/>
    <w:rsid w:val="00A107E9"/>
    <w:rsid w:val="00A13218"/>
    <w:rsid w:val="00A20825"/>
    <w:rsid w:val="00A227A3"/>
    <w:rsid w:val="00A23C9E"/>
    <w:rsid w:val="00A25A8F"/>
    <w:rsid w:val="00A26B91"/>
    <w:rsid w:val="00A306B7"/>
    <w:rsid w:val="00A3475B"/>
    <w:rsid w:val="00A36103"/>
    <w:rsid w:val="00A375DD"/>
    <w:rsid w:val="00A404B3"/>
    <w:rsid w:val="00A410CB"/>
    <w:rsid w:val="00A42FBC"/>
    <w:rsid w:val="00A4352D"/>
    <w:rsid w:val="00A44A24"/>
    <w:rsid w:val="00A44D13"/>
    <w:rsid w:val="00A5282F"/>
    <w:rsid w:val="00A5597A"/>
    <w:rsid w:val="00A55E7B"/>
    <w:rsid w:val="00A60B73"/>
    <w:rsid w:val="00A65837"/>
    <w:rsid w:val="00A66C88"/>
    <w:rsid w:val="00A72D55"/>
    <w:rsid w:val="00A75635"/>
    <w:rsid w:val="00A77733"/>
    <w:rsid w:val="00A80080"/>
    <w:rsid w:val="00A802A2"/>
    <w:rsid w:val="00A805CD"/>
    <w:rsid w:val="00A82B5C"/>
    <w:rsid w:val="00A839E9"/>
    <w:rsid w:val="00A916F4"/>
    <w:rsid w:val="00AA1846"/>
    <w:rsid w:val="00AA2CAA"/>
    <w:rsid w:val="00AA66D2"/>
    <w:rsid w:val="00AB15F1"/>
    <w:rsid w:val="00AB366C"/>
    <w:rsid w:val="00AB3B4B"/>
    <w:rsid w:val="00AB3C72"/>
    <w:rsid w:val="00AB4951"/>
    <w:rsid w:val="00AC059F"/>
    <w:rsid w:val="00AC7047"/>
    <w:rsid w:val="00AD3717"/>
    <w:rsid w:val="00AD43E3"/>
    <w:rsid w:val="00AD45EE"/>
    <w:rsid w:val="00AD4CDC"/>
    <w:rsid w:val="00AD627A"/>
    <w:rsid w:val="00AE0314"/>
    <w:rsid w:val="00AE0FF9"/>
    <w:rsid w:val="00AF1F05"/>
    <w:rsid w:val="00AF232E"/>
    <w:rsid w:val="00AF33E0"/>
    <w:rsid w:val="00B01D7A"/>
    <w:rsid w:val="00B02CFA"/>
    <w:rsid w:val="00B03054"/>
    <w:rsid w:val="00B0614C"/>
    <w:rsid w:val="00B12958"/>
    <w:rsid w:val="00B14834"/>
    <w:rsid w:val="00B17C86"/>
    <w:rsid w:val="00B219B6"/>
    <w:rsid w:val="00B22386"/>
    <w:rsid w:val="00B230F9"/>
    <w:rsid w:val="00B26290"/>
    <w:rsid w:val="00B265A2"/>
    <w:rsid w:val="00B27A14"/>
    <w:rsid w:val="00B315A0"/>
    <w:rsid w:val="00B32B66"/>
    <w:rsid w:val="00B34A18"/>
    <w:rsid w:val="00B35E3C"/>
    <w:rsid w:val="00B366D0"/>
    <w:rsid w:val="00B40448"/>
    <w:rsid w:val="00B40755"/>
    <w:rsid w:val="00B4306E"/>
    <w:rsid w:val="00B44558"/>
    <w:rsid w:val="00B44E31"/>
    <w:rsid w:val="00B45698"/>
    <w:rsid w:val="00B45F0A"/>
    <w:rsid w:val="00B468CE"/>
    <w:rsid w:val="00B5090E"/>
    <w:rsid w:val="00B5125F"/>
    <w:rsid w:val="00B52172"/>
    <w:rsid w:val="00B53861"/>
    <w:rsid w:val="00B579CB"/>
    <w:rsid w:val="00B60D96"/>
    <w:rsid w:val="00B626CD"/>
    <w:rsid w:val="00B66FB8"/>
    <w:rsid w:val="00B70083"/>
    <w:rsid w:val="00B7175E"/>
    <w:rsid w:val="00B720A4"/>
    <w:rsid w:val="00B7451D"/>
    <w:rsid w:val="00B76998"/>
    <w:rsid w:val="00B81590"/>
    <w:rsid w:val="00B825B8"/>
    <w:rsid w:val="00B82C62"/>
    <w:rsid w:val="00B92CFC"/>
    <w:rsid w:val="00B96A36"/>
    <w:rsid w:val="00BA06A8"/>
    <w:rsid w:val="00BA0E74"/>
    <w:rsid w:val="00BA200F"/>
    <w:rsid w:val="00BB043D"/>
    <w:rsid w:val="00BB28F6"/>
    <w:rsid w:val="00BB631E"/>
    <w:rsid w:val="00BC0CDE"/>
    <w:rsid w:val="00BC2609"/>
    <w:rsid w:val="00BC2B19"/>
    <w:rsid w:val="00BC77FD"/>
    <w:rsid w:val="00BD03D3"/>
    <w:rsid w:val="00BD4FFF"/>
    <w:rsid w:val="00BD5031"/>
    <w:rsid w:val="00BD531D"/>
    <w:rsid w:val="00BD6972"/>
    <w:rsid w:val="00BF4E05"/>
    <w:rsid w:val="00C02A96"/>
    <w:rsid w:val="00C02AFD"/>
    <w:rsid w:val="00C03B40"/>
    <w:rsid w:val="00C0528F"/>
    <w:rsid w:val="00C074C0"/>
    <w:rsid w:val="00C13145"/>
    <w:rsid w:val="00C13AC2"/>
    <w:rsid w:val="00C15384"/>
    <w:rsid w:val="00C17D96"/>
    <w:rsid w:val="00C20FEB"/>
    <w:rsid w:val="00C2635B"/>
    <w:rsid w:val="00C2797A"/>
    <w:rsid w:val="00C3358B"/>
    <w:rsid w:val="00C40587"/>
    <w:rsid w:val="00C44B12"/>
    <w:rsid w:val="00C470C3"/>
    <w:rsid w:val="00C5043F"/>
    <w:rsid w:val="00C521F2"/>
    <w:rsid w:val="00C553EB"/>
    <w:rsid w:val="00C60E73"/>
    <w:rsid w:val="00C643BE"/>
    <w:rsid w:val="00C709C4"/>
    <w:rsid w:val="00C72564"/>
    <w:rsid w:val="00C72626"/>
    <w:rsid w:val="00C73C5E"/>
    <w:rsid w:val="00C7418B"/>
    <w:rsid w:val="00C74EFF"/>
    <w:rsid w:val="00C80316"/>
    <w:rsid w:val="00C809D9"/>
    <w:rsid w:val="00C81133"/>
    <w:rsid w:val="00C8400C"/>
    <w:rsid w:val="00C84041"/>
    <w:rsid w:val="00C85F9B"/>
    <w:rsid w:val="00C91F7A"/>
    <w:rsid w:val="00CA081A"/>
    <w:rsid w:val="00CA1839"/>
    <w:rsid w:val="00CA29F3"/>
    <w:rsid w:val="00CA3A68"/>
    <w:rsid w:val="00CA3ECA"/>
    <w:rsid w:val="00CA4C07"/>
    <w:rsid w:val="00CA5B11"/>
    <w:rsid w:val="00CA5D39"/>
    <w:rsid w:val="00CA743D"/>
    <w:rsid w:val="00CB247F"/>
    <w:rsid w:val="00CB42FE"/>
    <w:rsid w:val="00CB6079"/>
    <w:rsid w:val="00CB687E"/>
    <w:rsid w:val="00CC0111"/>
    <w:rsid w:val="00CC3F98"/>
    <w:rsid w:val="00CC4AF5"/>
    <w:rsid w:val="00CD0339"/>
    <w:rsid w:val="00CD6253"/>
    <w:rsid w:val="00CE274B"/>
    <w:rsid w:val="00CE4304"/>
    <w:rsid w:val="00CE750F"/>
    <w:rsid w:val="00CF52FD"/>
    <w:rsid w:val="00CF642C"/>
    <w:rsid w:val="00D007FD"/>
    <w:rsid w:val="00D01563"/>
    <w:rsid w:val="00D06C39"/>
    <w:rsid w:val="00D1054C"/>
    <w:rsid w:val="00D137DD"/>
    <w:rsid w:val="00D160CB"/>
    <w:rsid w:val="00D236ED"/>
    <w:rsid w:val="00D245A1"/>
    <w:rsid w:val="00D25EF1"/>
    <w:rsid w:val="00D3265D"/>
    <w:rsid w:val="00D40C13"/>
    <w:rsid w:val="00D415E2"/>
    <w:rsid w:val="00D42055"/>
    <w:rsid w:val="00D42C0D"/>
    <w:rsid w:val="00D43B2F"/>
    <w:rsid w:val="00D4443F"/>
    <w:rsid w:val="00D44F70"/>
    <w:rsid w:val="00D47E14"/>
    <w:rsid w:val="00D5326C"/>
    <w:rsid w:val="00D5521C"/>
    <w:rsid w:val="00D644E7"/>
    <w:rsid w:val="00D647C3"/>
    <w:rsid w:val="00D65F11"/>
    <w:rsid w:val="00D7390A"/>
    <w:rsid w:val="00D75A57"/>
    <w:rsid w:val="00D75D2A"/>
    <w:rsid w:val="00D76946"/>
    <w:rsid w:val="00D817DF"/>
    <w:rsid w:val="00D82FCB"/>
    <w:rsid w:val="00D900D5"/>
    <w:rsid w:val="00D9281C"/>
    <w:rsid w:val="00D9440E"/>
    <w:rsid w:val="00D9633A"/>
    <w:rsid w:val="00D96A07"/>
    <w:rsid w:val="00D976DD"/>
    <w:rsid w:val="00DA5A8F"/>
    <w:rsid w:val="00DA686C"/>
    <w:rsid w:val="00DA706D"/>
    <w:rsid w:val="00DA74AD"/>
    <w:rsid w:val="00DB034F"/>
    <w:rsid w:val="00DB517D"/>
    <w:rsid w:val="00DB7940"/>
    <w:rsid w:val="00DC24A0"/>
    <w:rsid w:val="00DC2A43"/>
    <w:rsid w:val="00DC55EC"/>
    <w:rsid w:val="00DC66F6"/>
    <w:rsid w:val="00DC6962"/>
    <w:rsid w:val="00DD1CBB"/>
    <w:rsid w:val="00DD1F49"/>
    <w:rsid w:val="00DD42F4"/>
    <w:rsid w:val="00DD61B7"/>
    <w:rsid w:val="00DD69B7"/>
    <w:rsid w:val="00DE068F"/>
    <w:rsid w:val="00DE3180"/>
    <w:rsid w:val="00DF2386"/>
    <w:rsid w:val="00DF282B"/>
    <w:rsid w:val="00DF3359"/>
    <w:rsid w:val="00DF3718"/>
    <w:rsid w:val="00DF40E6"/>
    <w:rsid w:val="00DF66E2"/>
    <w:rsid w:val="00DF7FE7"/>
    <w:rsid w:val="00E02013"/>
    <w:rsid w:val="00E02F12"/>
    <w:rsid w:val="00E07DBA"/>
    <w:rsid w:val="00E113D5"/>
    <w:rsid w:val="00E15A05"/>
    <w:rsid w:val="00E15D01"/>
    <w:rsid w:val="00E16002"/>
    <w:rsid w:val="00E23CE7"/>
    <w:rsid w:val="00E23FEC"/>
    <w:rsid w:val="00E24C54"/>
    <w:rsid w:val="00E30051"/>
    <w:rsid w:val="00E3431B"/>
    <w:rsid w:val="00E349B4"/>
    <w:rsid w:val="00E34E3D"/>
    <w:rsid w:val="00E362D9"/>
    <w:rsid w:val="00E36EE0"/>
    <w:rsid w:val="00E406D3"/>
    <w:rsid w:val="00E4244A"/>
    <w:rsid w:val="00E44F53"/>
    <w:rsid w:val="00E45630"/>
    <w:rsid w:val="00E46367"/>
    <w:rsid w:val="00E54F1E"/>
    <w:rsid w:val="00E55A37"/>
    <w:rsid w:val="00E6055D"/>
    <w:rsid w:val="00E61698"/>
    <w:rsid w:val="00E63F0B"/>
    <w:rsid w:val="00E63F9E"/>
    <w:rsid w:val="00E64180"/>
    <w:rsid w:val="00E644E2"/>
    <w:rsid w:val="00E64AB3"/>
    <w:rsid w:val="00E70823"/>
    <w:rsid w:val="00E75065"/>
    <w:rsid w:val="00E7654B"/>
    <w:rsid w:val="00E76C30"/>
    <w:rsid w:val="00E77CF9"/>
    <w:rsid w:val="00E811E0"/>
    <w:rsid w:val="00E819DD"/>
    <w:rsid w:val="00E82C86"/>
    <w:rsid w:val="00E90530"/>
    <w:rsid w:val="00E93DFF"/>
    <w:rsid w:val="00E964F5"/>
    <w:rsid w:val="00E96C32"/>
    <w:rsid w:val="00E96F42"/>
    <w:rsid w:val="00EA0A5C"/>
    <w:rsid w:val="00EA3A7F"/>
    <w:rsid w:val="00EA587F"/>
    <w:rsid w:val="00EB1D9E"/>
    <w:rsid w:val="00EB1EB2"/>
    <w:rsid w:val="00EB3DF9"/>
    <w:rsid w:val="00EB5704"/>
    <w:rsid w:val="00EB682B"/>
    <w:rsid w:val="00EB75BB"/>
    <w:rsid w:val="00EB7ACC"/>
    <w:rsid w:val="00EC149A"/>
    <w:rsid w:val="00EC3313"/>
    <w:rsid w:val="00EC6837"/>
    <w:rsid w:val="00ED012C"/>
    <w:rsid w:val="00ED0573"/>
    <w:rsid w:val="00ED06D4"/>
    <w:rsid w:val="00ED2387"/>
    <w:rsid w:val="00ED252D"/>
    <w:rsid w:val="00ED27AC"/>
    <w:rsid w:val="00ED6436"/>
    <w:rsid w:val="00ED740E"/>
    <w:rsid w:val="00ED7807"/>
    <w:rsid w:val="00EF2C90"/>
    <w:rsid w:val="00EF2D9C"/>
    <w:rsid w:val="00EF55C4"/>
    <w:rsid w:val="00EF643B"/>
    <w:rsid w:val="00EF7204"/>
    <w:rsid w:val="00F0047E"/>
    <w:rsid w:val="00F01FB3"/>
    <w:rsid w:val="00F074A5"/>
    <w:rsid w:val="00F078F1"/>
    <w:rsid w:val="00F16775"/>
    <w:rsid w:val="00F17E59"/>
    <w:rsid w:val="00F2081F"/>
    <w:rsid w:val="00F21A76"/>
    <w:rsid w:val="00F22100"/>
    <w:rsid w:val="00F25C1A"/>
    <w:rsid w:val="00F32D03"/>
    <w:rsid w:val="00F344DE"/>
    <w:rsid w:val="00F345A7"/>
    <w:rsid w:val="00F34705"/>
    <w:rsid w:val="00F36182"/>
    <w:rsid w:val="00F37EC6"/>
    <w:rsid w:val="00F40D84"/>
    <w:rsid w:val="00F40EAA"/>
    <w:rsid w:val="00F419FC"/>
    <w:rsid w:val="00F46021"/>
    <w:rsid w:val="00F46361"/>
    <w:rsid w:val="00F531E4"/>
    <w:rsid w:val="00F610EE"/>
    <w:rsid w:val="00F64353"/>
    <w:rsid w:val="00F67721"/>
    <w:rsid w:val="00F704C5"/>
    <w:rsid w:val="00F7150C"/>
    <w:rsid w:val="00F72442"/>
    <w:rsid w:val="00F73E71"/>
    <w:rsid w:val="00F74FC4"/>
    <w:rsid w:val="00F852EF"/>
    <w:rsid w:val="00F856AC"/>
    <w:rsid w:val="00F947D1"/>
    <w:rsid w:val="00F96760"/>
    <w:rsid w:val="00FA0E44"/>
    <w:rsid w:val="00FA1BC9"/>
    <w:rsid w:val="00FA227C"/>
    <w:rsid w:val="00FA3ADD"/>
    <w:rsid w:val="00FA6C00"/>
    <w:rsid w:val="00FB0807"/>
    <w:rsid w:val="00FB1778"/>
    <w:rsid w:val="00FB37C0"/>
    <w:rsid w:val="00FB4507"/>
    <w:rsid w:val="00FC2388"/>
    <w:rsid w:val="00FC324A"/>
    <w:rsid w:val="00FD0674"/>
    <w:rsid w:val="00FD0F4B"/>
    <w:rsid w:val="00FD24EF"/>
    <w:rsid w:val="00FD55CA"/>
    <w:rsid w:val="00FD57F6"/>
    <w:rsid w:val="00FD5D2F"/>
    <w:rsid w:val="00FE5BEE"/>
    <w:rsid w:val="00FF0C79"/>
    <w:rsid w:val="00FF1BF0"/>
    <w:rsid w:val="00FF4157"/>
    <w:rsid w:val="00FF4542"/>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036B381"/>
  <w15:docId w15:val="{DB0D8AFF-C1A0-4539-8DA6-0F24875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25" w:hanging="425"/>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1"/>
    <w:semiHidden/>
    <w:unhideWhenUsed/>
    <w:qFormat/>
    <w:pPr>
      <w:widowControl w:val="0"/>
      <w:ind w:left="3" w:hanging="440"/>
    </w:pPr>
    <w:rPr>
      <w:rFonts w:cstheme="minorBidi"/>
      <w:lang w:val="en-US"/>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eastAsia="en-US"/>
    </w:rPr>
  </w:style>
  <w:style w:type="character" w:customStyle="1" w:styleId="ListParagraphChar">
    <w:name w:val="List Paragraph Char"/>
    <w:aliases w:val="Rec para Char"/>
    <w:link w:val="ListParagraph"/>
    <w:uiPriority w:val="34"/>
    <w:qFormat/>
    <w:locked/>
    <w:rPr>
      <w:rFonts w:ascii="Calibri" w:eastAsia="Calibri" w:hAnsi="Calibri" w:cs="Times New Roman"/>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firstLine="0"/>
      <w:jc w:val="center"/>
    </w:pPr>
    <w:rPr>
      <w:rFonts w:asciiTheme="minorHAnsi" w:eastAsiaTheme="minorHAnsi" w:hAnsiTheme="minorHAnsi" w:cstheme="minorBidi"/>
      <w:i/>
      <w:iCs/>
      <w:color w:val="4F81BD" w:themeColor="accent1"/>
      <w:lang w:val="en-NZ"/>
    </w:rPr>
  </w:style>
  <w:style w:type="character" w:customStyle="1" w:styleId="IntenseQuoteChar">
    <w:name w:val="Intense Quote Char"/>
    <w:basedOn w:val="DefaultParagraphFont"/>
    <w:link w:val="IntenseQuote"/>
    <w:uiPriority w:val="30"/>
    <w:qFormat/>
    <w:rPr>
      <w:i/>
      <w:iCs/>
      <w:color w:val="4F81BD" w:themeColor="accent1"/>
      <w:lang w:val="en-NZ"/>
    </w:rPr>
  </w:style>
  <w:style w:type="paragraph" w:customStyle="1" w:styleId="msonormal0">
    <w:name w:val="msonormal"/>
    <w:basedOn w:val="Normal"/>
    <w:qFormat/>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1"/>
    <w:semiHidden/>
    <w:qFormat/>
    <w:rPr>
      <w:rFonts w:ascii="Calibri" w:eastAsia="Calibri" w:hAnsi="Calibri"/>
      <w:lang w:val="en-U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val="en-US"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838AD"/>
    <w:rPr>
      <w:color w:val="605E5C"/>
      <w:shd w:val="clear" w:color="auto" w:fill="E1DFDD"/>
    </w:rPr>
  </w:style>
  <w:style w:type="paragraph" w:styleId="NormalWeb">
    <w:name w:val="Normal (Web)"/>
    <w:basedOn w:val="Normal"/>
    <w:uiPriority w:val="99"/>
    <w:semiHidden/>
    <w:unhideWhenUsed/>
    <w:rsid w:val="00BD03D3"/>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5D6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513">
      <w:bodyDiv w:val="1"/>
      <w:marLeft w:val="0"/>
      <w:marRight w:val="0"/>
      <w:marTop w:val="0"/>
      <w:marBottom w:val="0"/>
      <w:divBdr>
        <w:top w:val="none" w:sz="0" w:space="0" w:color="auto"/>
        <w:left w:val="none" w:sz="0" w:space="0" w:color="auto"/>
        <w:bottom w:val="none" w:sz="0" w:space="0" w:color="auto"/>
        <w:right w:val="none" w:sz="0" w:space="0" w:color="auto"/>
      </w:divBdr>
    </w:div>
    <w:div w:id="203254161">
      <w:bodyDiv w:val="1"/>
      <w:marLeft w:val="0"/>
      <w:marRight w:val="0"/>
      <w:marTop w:val="0"/>
      <w:marBottom w:val="0"/>
      <w:divBdr>
        <w:top w:val="none" w:sz="0" w:space="0" w:color="auto"/>
        <w:left w:val="none" w:sz="0" w:space="0" w:color="auto"/>
        <w:bottom w:val="none" w:sz="0" w:space="0" w:color="auto"/>
        <w:right w:val="none" w:sz="0" w:space="0" w:color="auto"/>
      </w:divBdr>
    </w:div>
    <w:div w:id="372462346">
      <w:bodyDiv w:val="1"/>
      <w:marLeft w:val="0"/>
      <w:marRight w:val="0"/>
      <w:marTop w:val="0"/>
      <w:marBottom w:val="0"/>
      <w:divBdr>
        <w:top w:val="none" w:sz="0" w:space="0" w:color="auto"/>
        <w:left w:val="none" w:sz="0" w:space="0" w:color="auto"/>
        <w:bottom w:val="none" w:sz="0" w:space="0" w:color="auto"/>
        <w:right w:val="none" w:sz="0" w:space="0" w:color="auto"/>
      </w:divBdr>
      <w:divsChild>
        <w:div w:id="1118330714">
          <w:marLeft w:val="0"/>
          <w:marRight w:val="0"/>
          <w:marTop w:val="0"/>
          <w:marBottom w:val="0"/>
          <w:divBdr>
            <w:top w:val="none" w:sz="0" w:space="0" w:color="auto"/>
            <w:left w:val="none" w:sz="0" w:space="0" w:color="auto"/>
            <w:bottom w:val="none" w:sz="0" w:space="0" w:color="auto"/>
            <w:right w:val="none" w:sz="0" w:space="0" w:color="auto"/>
          </w:divBdr>
          <w:divsChild>
            <w:div w:id="1121538606">
              <w:marLeft w:val="0"/>
              <w:marRight w:val="0"/>
              <w:marTop w:val="0"/>
              <w:marBottom w:val="0"/>
              <w:divBdr>
                <w:top w:val="none" w:sz="0" w:space="0" w:color="auto"/>
                <w:left w:val="none" w:sz="0" w:space="0" w:color="auto"/>
                <w:bottom w:val="none" w:sz="0" w:space="0" w:color="auto"/>
                <w:right w:val="none" w:sz="0" w:space="0" w:color="auto"/>
              </w:divBdr>
              <w:divsChild>
                <w:div w:id="2287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6467">
      <w:bodyDiv w:val="1"/>
      <w:marLeft w:val="0"/>
      <w:marRight w:val="0"/>
      <w:marTop w:val="0"/>
      <w:marBottom w:val="0"/>
      <w:divBdr>
        <w:top w:val="none" w:sz="0" w:space="0" w:color="auto"/>
        <w:left w:val="none" w:sz="0" w:space="0" w:color="auto"/>
        <w:bottom w:val="none" w:sz="0" w:space="0" w:color="auto"/>
        <w:right w:val="none" w:sz="0" w:space="0" w:color="auto"/>
      </w:divBdr>
      <w:divsChild>
        <w:div w:id="2024890836">
          <w:marLeft w:val="0"/>
          <w:marRight w:val="0"/>
          <w:marTop w:val="0"/>
          <w:marBottom w:val="0"/>
          <w:divBdr>
            <w:top w:val="none" w:sz="0" w:space="0" w:color="auto"/>
            <w:left w:val="none" w:sz="0" w:space="0" w:color="auto"/>
            <w:bottom w:val="none" w:sz="0" w:space="0" w:color="auto"/>
            <w:right w:val="none" w:sz="0" w:space="0" w:color="auto"/>
          </w:divBdr>
          <w:divsChild>
            <w:div w:id="1108040073">
              <w:marLeft w:val="0"/>
              <w:marRight w:val="0"/>
              <w:marTop w:val="0"/>
              <w:marBottom w:val="0"/>
              <w:divBdr>
                <w:top w:val="none" w:sz="0" w:space="0" w:color="auto"/>
                <w:left w:val="none" w:sz="0" w:space="0" w:color="auto"/>
                <w:bottom w:val="none" w:sz="0" w:space="0" w:color="auto"/>
                <w:right w:val="none" w:sz="0" w:space="0" w:color="auto"/>
              </w:divBdr>
              <w:divsChild>
                <w:div w:id="18174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7905">
      <w:bodyDiv w:val="1"/>
      <w:marLeft w:val="0"/>
      <w:marRight w:val="0"/>
      <w:marTop w:val="0"/>
      <w:marBottom w:val="0"/>
      <w:divBdr>
        <w:top w:val="none" w:sz="0" w:space="0" w:color="auto"/>
        <w:left w:val="none" w:sz="0" w:space="0" w:color="auto"/>
        <w:bottom w:val="none" w:sz="0" w:space="0" w:color="auto"/>
        <w:right w:val="none" w:sz="0" w:space="0" w:color="auto"/>
      </w:divBdr>
    </w:div>
    <w:div w:id="514804673">
      <w:bodyDiv w:val="1"/>
      <w:marLeft w:val="0"/>
      <w:marRight w:val="0"/>
      <w:marTop w:val="0"/>
      <w:marBottom w:val="0"/>
      <w:divBdr>
        <w:top w:val="none" w:sz="0" w:space="0" w:color="auto"/>
        <w:left w:val="none" w:sz="0" w:space="0" w:color="auto"/>
        <w:bottom w:val="none" w:sz="0" w:space="0" w:color="auto"/>
        <w:right w:val="none" w:sz="0" w:space="0" w:color="auto"/>
      </w:divBdr>
    </w:div>
    <w:div w:id="888567162">
      <w:bodyDiv w:val="1"/>
      <w:marLeft w:val="0"/>
      <w:marRight w:val="0"/>
      <w:marTop w:val="0"/>
      <w:marBottom w:val="0"/>
      <w:divBdr>
        <w:top w:val="none" w:sz="0" w:space="0" w:color="auto"/>
        <w:left w:val="none" w:sz="0" w:space="0" w:color="auto"/>
        <w:bottom w:val="none" w:sz="0" w:space="0" w:color="auto"/>
        <w:right w:val="none" w:sz="0" w:space="0" w:color="auto"/>
      </w:divBdr>
    </w:div>
    <w:div w:id="935400795">
      <w:bodyDiv w:val="1"/>
      <w:marLeft w:val="0"/>
      <w:marRight w:val="0"/>
      <w:marTop w:val="0"/>
      <w:marBottom w:val="0"/>
      <w:divBdr>
        <w:top w:val="none" w:sz="0" w:space="0" w:color="auto"/>
        <w:left w:val="none" w:sz="0" w:space="0" w:color="auto"/>
        <w:bottom w:val="none" w:sz="0" w:space="0" w:color="auto"/>
        <w:right w:val="none" w:sz="0" w:space="0" w:color="auto"/>
      </w:divBdr>
    </w:div>
    <w:div w:id="1001932341">
      <w:bodyDiv w:val="1"/>
      <w:marLeft w:val="0"/>
      <w:marRight w:val="0"/>
      <w:marTop w:val="0"/>
      <w:marBottom w:val="0"/>
      <w:divBdr>
        <w:top w:val="none" w:sz="0" w:space="0" w:color="auto"/>
        <w:left w:val="none" w:sz="0" w:space="0" w:color="auto"/>
        <w:bottom w:val="none" w:sz="0" w:space="0" w:color="auto"/>
        <w:right w:val="none" w:sz="0" w:space="0" w:color="auto"/>
      </w:divBdr>
      <w:divsChild>
        <w:div w:id="231433525">
          <w:marLeft w:val="0"/>
          <w:marRight w:val="0"/>
          <w:marTop w:val="0"/>
          <w:marBottom w:val="0"/>
          <w:divBdr>
            <w:top w:val="none" w:sz="0" w:space="0" w:color="auto"/>
            <w:left w:val="none" w:sz="0" w:space="0" w:color="auto"/>
            <w:bottom w:val="none" w:sz="0" w:space="0" w:color="auto"/>
            <w:right w:val="none" w:sz="0" w:space="0" w:color="auto"/>
          </w:divBdr>
          <w:divsChild>
            <w:div w:id="1388802777">
              <w:marLeft w:val="0"/>
              <w:marRight w:val="0"/>
              <w:marTop w:val="0"/>
              <w:marBottom w:val="0"/>
              <w:divBdr>
                <w:top w:val="none" w:sz="0" w:space="0" w:color="auto"/>
                <w:left w:val="none" w:sz="0" w:space="0" w:color="auto"/>
                <w:bottom w:val="none" w:sz="0" w:space="0" w:color="auto"/>
                <w:right w:val="none" w:sz="0" w:space="0" w:color="auto"/>
              </w:divBdr>
              <w:divsChild>
                <w:div w:id="17227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7749">
      <w:bodyDiv w:val="1"/>
      <w:marLeft w:val="0"/>
      <w:marRight w:val="0"/>
      <w:marTop w:val="0"/>
      <w:marBottom w:val="0"/>
      <w:divBdr>
        <w:top w:val="none" w:sz="0" w:space="0" w:color="auto"/>
        <w:left w:val="none" w:sz="0" w:space="0" w:color="auto"/>
        <w:bottom w:val="none" w:sz="0" w:space="0" w:color="auto"/>
        <w:right w:val="none" w:sz="0" w:space="0" w:color="auto"/>
      </w:divBdr>
    </w:div>
    <w:div w:id="1274437223">
      <w:bodyDiv w:val="1"/>
      <w:marLeft w:val="0"/>
      <w:marRight w:val="0"/>
      <w:marTop w:val="0"/>
      <w:marBottom w:val="0"/>
      <w:divBdr>
        <w:top w:val="none" w:sz="0" w:space="0" w:color="auto"/>
        <w:left w:val="none" w:sz="0" w:space="0" w:color="auto"/>
        <w:bottom w:val="none" w:sz="0" w:space="0" w:color="auto"/>
        <w:right w:val="none" w:sz="0" w:space="0" w:color="auto"/>
      </w:divBdr>
    </w:div>
    <w:div w:id="1295596344">
      <w:bodyDiv w:val="1"/>
      <w:marLeft w:val="0"/>
      <w:marRight w:val="0"/>
      <w:marTop w:val="0"/>
      <w:marBottom w:val="0"/>
      <w:divBdr>
        <w:top w:val="none" w:sz="0" w:space="0" w:color="auto"/>
        <w:left w:val="none" w:sz="0" w:space="0" w:color="auto"/>
        <w:bottom w:val="none" w:sz="0" w:space="0" w:color="auto"/>
        <w:right w:val="none" w:sz="0" w:space="0" w:color="auto"/>
      </w:divBdr>
      <w:divsChild>
        <w:div w:id="1702630817">
          <w:marLeft w:val="0"/>
          <w:marRight w:val="0"/>
          <w:marTop w:val="0"/>
          <w:marBottom w:val="0"/>
          <w:divBdr>
            <w:top w:val="none" w:sz="0" w:space="0" w:color="auto"/>
            <w:left w:val="none" w:sz="0" w:space="0" w:color="auto"/>
            <w:bottom w:val="none" w:sz="0" w:space="0" w:color="auto"/>
            <w:right w:val="none" w:sz="0" w:space="0" w:color="auto"/>
          </w:divBdr>
          <w:divsChild>
            <w:div w:id="486674522">
              <w:marLeft w:val="0"/>
              <w:marRight w:val="0"/>
              <w:marTop w:val="0"/>
              <w:marBottom w:val="0"/>
              <w:divBdr>
                <w:top w:val="none" w:sz="0" w:space="0" w:color="auto"/>
                <w:left w:val="none" w:sz="0" w:space="0" w:color="auto"/>
                <w:bottom w:val="none" w:sz="0" w:space="0" w:color="auto"/>
                <w:right w:val="none" w:sz="0" w:space="0" w:color="auto"/>
              </w:divBdr>
              <w:divsChild>
                <w:div w:id="6580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020">
      <w:bodyDiv w:val="1"/>
      <w:marLeft w:val="0"/>
      <w:marRight w:val="0"/>
      <w:marTop w:val="0"/>
      <w:marBottom w:val="0"/>
      <w:divBdr>
        <w:top w:val="none" w:sz="0" w:space="0" w:color="auto"/>
        <w:left w:val="none" w:sz="0" w:space="0" w:color="auto"/>
        <w:bottom w:val="none" w:sz="0" w:space="0" w:color="auto"/>
        <w:right w:val="none" w:sz="0" w:space="0" w:color="auto"/>
      </w:divBdr>
      <w:divsChild>
        <w:div w:id="460003492">
          <w:marLeft w:val="0"/>
          <w:marRight w:val="0"/>
          <w:marTop w:val="0"/>
          <w:marBottom w:val="0"/>
          <w:divBdr>
            <w:top w:val="none" w:sz="0" w:space="0" w:color="auto"/>
            <w:left w:val="none" w:sz="0" w:space="0" w:color="auto"/>
            <w:bottom w:val="none" w:sz="0" w:space="0" w:color="auto"/>
            <w:right w:val="none" w:sz="0" w:space="0" w:color="auto"/>
          </w:divBdr>
          <w:divsChild>
            <w:div w:id="1503666436">
              <w:marLeft w:val="0"/>
              <w:marRight w:val="0"/>
              <w:marTop w:val="0"/>
              <w:marBottom w:val="0"/>
              <w:divBdr>
                <w:top w:val="none" w:sz="0" w:space="0" w:color="auto"/>
                <w:left w:val="none" w:sz="0" w:space="0" w:color="auto"/>
                <w:bottom w:val="none" w:sz="0" w:space="0" w:color="auto"/>
                <w:right w:val="none" w:sz="0" w:space="0" w:color="auto"/>
              </w:divBdr>
              <w:divsChild>
                <w:div w:id="282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3612">
      <w:bodyDiv w:val="1"/>
      <w:marLeft w:val="0"/>
      <w:marRight w:val="0"/>
      <w:marTop w:val="0"/>
      <w:marBottom w:val="0"/>
      <w:divBdr>
        <w:top w:val="none" w:sz="0" w:space="0" w:color="auto"/>
        <w:left w:val="none" w:sz="0" w:space="0" w:color="auto"/>
        <w:bottom w:val="none" w:sz="0" w:space="0" w:color="auto"/>
        <w:right w:val="none" w:sz="0" w:space="0" w:color="auto"/>
      </w:divBdr>
    </w:div>
    <w:div w:id="1522234249">
      <w:bodyDiv w:val="1"/>
      <w:marLeft w:val="0"/>
      <w:marRight w:val="0"/>
      <w:marTop w:val="0"/>
      <w:marBottom w:val="0"/>
      <w:divBdr>
        <w:top w:val="none" w:sz="0" w:space="0" w:color="auto"/>
        <w:left w:val="none" w:sz="0" w:space="0" w:color="auto"/>
        <w:bottom w:val="none" w:sz="0" w:space="0" w:color="auto"/>
        <w:right w:val="none" w:sz="0" w:space="0" w:color="auto"/>
      </w:divBdr>
      <w:divsChild>
        <w:div w:id="1689214695">
          <w:marLeft w:val="0"/>
          <w:marRight w:val="0"/>
          <w:marTop w:val="0"/>
          <w:marBottom w:val="0"/>
          <w:divBdr>
            <w:top w:val="none" w:sz="0" w:space="0" w:color="auto"/>
            <w:left w:val="none" w:sz="0" w:space="0" w:color="auto"/>
            <w:bottom w:val="none" w:sz="0" w:space="0" w:color="auto"/>
            <w:right w:val="none" w:sz="0" w:space="0" w:color="auto"/>
          </w:divBdr>
          <w:divsChild>
            <w:div w:id="354116170">
              <w:marLeft w:val="0"/>
              <w:marRight w:val="0"/>
              <w:marTop w:val="0"/>
              <w:marBottom w:val="0"/>
              <w:divBdr>
                <w:top w:val="none" w:sz="0" w:space="0" w:color="auto"/>
                <w:left w:val="none" w:sz="0" w:space="0" w:color="auto"/>
                <w:bottom w:val="none" w:sz="0" w:space="0" w:color="auto"/>
                <w:right w:val="none" w:sz="0" w:space="0" w:color="auto"/>
              </w:divBdr>
              <w:divsChild>
                <w:div w:id="2338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765">
      <w:bodyDiv w:val="1"/>
      <w:marLeft w:val="0"/>
      <w:marRight w:val="0"/>
      <w:marTop w:val="0"/>
      <w:marBottom w:val="0"/>
      <w:divBdr>
        <w:top w:val="none" w:sz="0" w:space="0" w:color="auto"/>
        <w:left w:val="none" w:sz="0" w:space="0" w:color="auto"/>
        <w:bottom w:val="none" w:sz="0" w:space="0" w:color="auto"/>
        <w:right w:val="none" w:sz="0" w:space="0" w:color="auto"/>
      </w:divBdr>
    </w:div>
    <w:div w:id="1822503207">
      <w:bodyDiv w:val="1"/>
      <w:marLeft w:val="0"/>
      <w:marRight w:val="0"/>
      <w:marTop w:val="0"/>
      <w:marBottom w:val="0"/>
      <w:divBdr>
        <w:top w:val="none" w:sz="0" w:space="0" w:color="auto"/>
        <w:left w:val="none" w:sz="0" w:space="0" w:color="auto"/>
        <w:bottom w:val="none" w:sz="0" w:space="0" w:color="auto"/>
        <w:right w:val="none" w:sz="0" w:space="0" w:color="auto"/>
      </w:divBdr>
      <w:divsChild>
        <w:div w:id="984547331">
          <w:marLeft w:val="0"/>
          <w:marRight w:val="0"/>
          <w:marTop w:val="0"/>
          <w:marBottom w:val="0"/>
          <w:divBdr>
            <w:top w:val="none" w:sz="0" w:space="0" w:color="auto"/>
            <w:left w:val="none" w:sz="0" w:space="0" w:color="auto"/>
            <w:bottom w:val="none" w:sz="0" w:space="0" w:color="auto"/>
            <w:right w:val="none" w:sz="0" w:space="0" w:color="auto"/>
          </w:divBdr>
          <w:divsChild>
            <w:div w:id="1823696201">
              <w:marLeft w:val="0"/>
              <w:marRight w:val="0"/>
              <w:marTop w:val="0"/>
              <w:marBottom w:val="0"/>
              <w:divBdr>
                <w:top w:val="none" w:sz="0" w:space="0" w:color="auto"/>
                <w:left w:val="none" w:sz="0" w:space="0" w:color="auto"/>
                <w:bottom w:val="none" w:sz="0" w:space="0" w:color="auto"/>
                <w:right w:val="none" w:sz="0" w:space="0" w:color="auto"/>
              </w:divBdr>
              <w:divsChild>
                <w:div w:id="13071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7758">
      <w:bodyDiv w:val="1"/>
      <w:marLeft w:val="0"/>
      <w:marRight w:val="0"/>
      <w:marTop w:val="0"/>
      <w:marBottom w:val="0"/>
      <w:divBdr>
        <w:top w:val="none" w:sz="0" w:space="0" w:color="auto"/>
        <w:left w:val="none" w:sz="0" w:space="0" w:color="auto"/>
        <w:bottom w:val="none" w:sz="0" w:space="0" w:color="auto"/>
        <w:right w:val="none" w:sz="0" w:space="0" w:color="auto"/>
      </w:divBdr>
    </w:div>
    <w:div w:id="2064792604">
      <w:bodyDiv w:val="1"/>
      <w:marLeft w:val="0"/>
      <w:marRight w:val="0"/>
      <w:marTop w:val="0"/>
      <w:marBottom w:val="0"/>
      <w:divBdr>
        <w:top w:val="none" w:sz="0" w:space="0" w:color="auto"/>
        <w:left w:val="none" w:sz="0" w:space="0" w:color="auto"/>
        <w:bottom w:val="none" w:sz="0" w:space="0" w:color="auto"/>
        <w:right w:val="none" w:sz="0" w:space="0" w:color="auto"/>
      </w:divBdr>
    </w:div>
    <w:div w:id="2070227062">
      <w:bodyDiv w:val="1"/>
      <w:marLeft w:val="0"/>
      <w:marRight w:val="0"/>
      <w:marTop w:val="0"/>
      <w:marBottom w:val="0"/>
      <w:divBdr>
        <w:top w:val="none" w:sz="0" w:space="0" w:color="auto"/>
        <w:left w:val="none" w:sz="0" w:space="0" w:color="auto"/>
        <w:bottom w:val="none" w:sz="0" w:space="0" w:color="auto"/>
        <w:right w:val="none" w:sz="0" w:space="0" w:color="auto"/>
      </w:divBdr>
    </w:div>
    <w:div w:id="20714621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kunming-montreal-global-biodiversity-framework-upscaling-wetland-conservation-restoration" TargetMode="External"/><Relationship Id="rId2" Type="http://schemas.openxmlformats.org/officeDocument/2006/relationships/hyperlink" Target="https://www.ramsar.org/document/sc63-doc20-technical-proposal-strp-resourcing-implementing-waterbird-population-estimates" TargetMode="External"/><Relationship Id="rId1" Type="http://schemas.openxmlformats.org/officeDocument/2006/relationships/hyperlink" Target="https://www.ramsar.org/document/scientific-technical-review-panel-strp-workplan-2023-2025" TargetMode="External"/><Relationship Id="rId5" Type="http://schemas.openxmlformats.org/officeDocument/2006/relationships/hyperlink" Target="https://www.ramsar.org/document/sc63-inf3-submission-convention-wetlands-6th-meeting-ad-hoc-technical-expert-group" TargetMode="External"/><Relationship Id="rId4" Type="http://schemas.openxmlformats.org/officeDocument/2006/relationships/hyperlink" Target="https://www.ramsar.org/document/scaling-wetland-conservation-restoration-deliver-kunming-montreal-global-bi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35505-1929-450B-A6E8-53867BA90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CCE47-3BA3-4E9C-AAD5-48CDEF78829B}">
  <ds:schemaRefs>
    <ds:schemaRef ds:uri="http://schemas.openxmlformats.org/officeDocument/2006/bibliography"/>
  </ds:schemaRefs>
</ds:datastoreItem>
</file>

<file path=customXml/itemProps4.xml><?xml version="1.0" encoding="utf-8"?>
<ds:datastoreItem xmlns:ds="http://schemas.openxmlformats.org/officeDocument/2006/customXml" ds:itemID="{38799254-B2D4-42B4-9807-16182C8ECFF3}">
  <ds:schemaRefs>
    <ds:schemaRef ds:uri="http://schemas.microsoft.com/sharepoint/v3/contenttype/forms"/>
  </ds:schemaRefs>
</ds:datastoreItem>
</file>

<file path=customXml/itemProps5.xml><?xml version="1.0" encoding="utf-8"?>
<ds:datastoreItem xmlns:ds="http://schemas.openxmlformats.org/officeDocument/2006/customXml" ds:itemID="{D1920C6F-0222-4866-944B-943B590EADD8}">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BRACE Poppy</cp:lastModifiedBy>
  <cp:revision>3</cp:revision>
  <dcterms:created xsi:type="dcterms:W3CDTF">2025-03-26T16:26:00Z</dcterms:created>
  <dcterms:modified xsi:type="dcterms:W3CDTF">2025-04-15T14:58:00Z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