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D67C" w14:textId="77777777" w:rsidR="00D84642" w:rsidRPr="00F827B2" w:rsidRDefault="00D84642" w:rsidP="00D84642">
      <w:pPr>
        <w:jc w:val="center"/>
        <w:outlineLvl w:val="0"/>
        <w:rPr>
          <w:rFonts w:eastAsia="Times New Roman" w:cs="Cambria"/>
          <w:b/>
          <w:bCs/>
          <w:sz w:val="24"/>
          <w:szCs w:val="24"/>
          <w:lang w:val="es-ES"/>
        </w:rPr>
      </w:pPr>
      <w:r w:rsidRPr="00F827B2">
        <w:rPr>
          <w:rFonts w:cs="Arial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6936C33" wp14:editId="30AAB13A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7" name="Picture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" b="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12A09" w14:textId="77777777" w:rsidR="00D84642" w:rsidRPr="00F827B2" w:rsidRDefault="00D84642" w:rsidP="00D84642">
      <w:pPr>
        <w:jc w:val="center"/>
        <w:outlineLvl w:val="0"/>
        <w:rPr>
          <w:rFonts w:eastAsia="Times New Roman" w:cs="Cambria"/>
          <w:b/>
          <w:bCs/>
          <w:sz w:val="24"/>
          <w:szCs w:val="24"/>
          <w:lang w:val="es-ES"/>
        </w:rPr>
      </w:pPr>
      <w:r w:rsidRPr="00F827B2">
        <w:rPr>
          <w:rFonts w:eastAsia="Times New Roman" w:cs="Cambria"/>
          <w:b/>
          <w:bCs/>
          <w:sz w:val="24"/>
          <w:szCs w:val="24"/>
          <w:lang w:val="es-ES"/>
        </w:rPr>
        <w:t>15ª reunión de la Conferencia de las Partes Contratantes</w:t>
      </w:r>
    </w:p>
    <w:p w14:paraId="02B6970E" w14:textId="77777777" w:rsidR="00D84642" w:rsidRPr="00F827B2" w:rsidRDefault="00D84642" w:rsidP="00D84642">
      <w:pPr>
        <w:jc w:val="center"/>
        <w:outlineLvl w:val="0"/>
        <w:rPr>
          <w:rFonts w:eastAsia="Times New Roman" w:cs="Cambria"/>
          <w:b/>
          <w:bCs/>
          <w:sz w:val="24"/>
          <w:szCs w:val="24"/>
          <w:lang w:val="es-ES"/>
        </w:rPr>
      </w:pPr>
      <w:r w:rsidRPr="00F827B2">
        <w:rPr>
          <w:rFonts w:eastAsia="Times New Roman" w:cs="Cambria"/>
          <w:b/>
          <w:bCs/>
          <w:sz w:val="24"/>
          <w:szCs w:val="24"/>
          <w:lang w:val="es-ES"/>
        </w:rPr>
        <w:t>en la Convención sobre los Humedales</w:t>
      </w:r>
    </w:p>
    <w:p w14:paraId="31CDAA43" w14:textId="77777777" w:rsidR="00D84642" w:rsidRPr="00F827B2" w:rsidRDefault="00D84642" w:rsidP="00D84642">
      <w:pPr>
        <w:jc w:val="center"/>
        <w:outlineLvl w:val="0"/>
        <w:rPr>
          <w:rFonts w:eastAsia="Times New Roman" w:cs="Cambria"/>
          <w:b/>
          <w:bCs/>
          <w:sz w:val="24"/>
          <w:szCs w:val="24"/>
          <w:lang w:val="es-ES"/>
        </w:rPr>
      </w:pPr>
    </w:p>
    <w:p w14:paraId="3A098C55" w14:textId="77777777" w:rsidR="00D84642" w:rsidRPr="00F827B2" w:rsidRDefault="00D84642" w:rsidP="00D84642">
      <w:pPr>
        <w:jc w:val="center"/>
        <w:outlineLvl w:val="0"/>
        <w:rPr>
          <w:rFonts w:eastAsia="Times New Roman" w:cs="Cambria"/>
          <w:b/>
          <w:bCs/>
          <w:sz w:val="24"/>
          <w:szCs w:val="24"/>
          <w:lang w:val="es-ES"/>
        </w:rPr>
      </w:pPr>
      <w:r w:rsidRPr="00F827B2">
        <w:rPr>
          <w:rFonts w:eastAsia="Times New Roman" w:cs="Cambria"/>
          <w:b/>
          <w:bCs/>
          <w:sz w:val="24"/>
          <w:szCs w:val="24"/>
          <w:lang w:val="es-ES"/>
        </w:rPr>
        <w:t>“Proteger los humedales para nuestro futuro común”</w:t>
      </w:r>
    </w:p>
    <w:p w14:paraId="1B596801" w14:textId="77777777" w:rsidR="00D84642" w:rsidRPr="00F827B2" w:rsidRDefault="00D84642" w:rsidP="00D84642">
      <w:pPr>
        <w:jc w:val="center"/>
        <w:outlineLvl w:val="0"/>
        <w:rPr>
          <w:rFonts w:eastAsia="Times New Roman" w:cs="Cambria"/>
          <w:b/>
          <w:bCs/>
          <w:sz w:val="24"/>
          <w:szCs w:val="24"/>
          <w:lang w:val="es-ES"/>
        </w:rPr>
      </w:pPr>
      <w:r w:rsidRPr="00F827B2">
        <w:rPr>
          <w:rFonts w:eastAsia="Times New Roman" w:cs="Cambria"/>
          <w:b/>
          <w:bCs/>
          <w:sz w:val="24"/>
          <w:szCs w:val="24"/>
          <w:lang w:val="es-ES"/>
        </w:rPr>
        <w:t>Victoria Falls (Zimbabwe), 23 a 31 de julio de 2025</w:t>
      </w:r>
    </w:p>
    <w:p w14:paraId="4FF7C102" w14:textId="77777777" w:rsidR="00D84642" w:rsidRPr="00063E10" w:rsidRDefault="00D84642" w:rsidP="00D84642">
      <w:pPr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</w:p>
    <w:p w14:paraId="6EB450FA" w14:textId="77777777" w:rsidR="00D84642" w:rsidRPr="00063E10" w:rsidRDefault="00D84642" w:rsidP="00D84642">
      <w:pPr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</w:p>
    <w:p w14:paraId="460D73CB" w14:textId="77777777" w:rsidR="007949D0" w:rsidRPr="009B15FB" w:rsidRDefault="007949D0" w:rsidP="007949D0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noProof/>
          <w:lang w:val="es-ES"/>
        </w:rPr>
      </w:pPr>
    </w:p>
    <w:p w14:paraId="0D20144E" w14:textId="77777777" w:rsidR="007949D0" w:rsidRPr="009B15FB" w:rsidRDefault="007949D0" w:rsidP="007949D0">
      <w:pPr>
        <w:autoSpaceDE w:val="0"/>
        <w:autoSpaceDN w:val="0"/>
        <w:jc w:val="right"/>
        <w:rPr>
          <w:rFonts w:eastAsia="Times New Roman" w:cs="Calibri"/>
          <w:noProof/>
          <w:lang w:val="es-ES"/>
        </w:rPr>
      </w:pPr>
    </w:p>
    <w:p w14:paraId="22B7BAD8" w14:textId="0FE0B249" w:rsidR="007949D0" w:rsidRPr="009B15FB" w:rsidRDefault="007949D0" w:rsidP="007949D0">
      <w:pPr>
        <w:autoSpaceDE w:val="0"/>
        <w:autoSpaceDN w:val="0"/>
        <w:jc w:val="right"/>
        <w:rPr>
          <w:rFonts w:eastAsia="Times New Roman" w:cs="Calibri"/>
          <w:noProof/>
          <w:sz w:val="28"/>
          <w:szCs w:val="28"/>
          <w:lang w:val="es-ES"/>
        </w:rPr>
      </w:pPr>
      <w:r w:rsidRPr="009B15FB">
        <w:rPr>
          <w:rFonts w:eastAsia="Times New Roman" w:cs="Calibri"/>
          <w:b/>
          <w:noProof/>
          <w:sz w:val="28"/>
          <w:szCs w:val="28"/>
          <w:lang w:val="es-ES"/>
        </w:rPr>
        <w:t>COP15 Doc.18</w:t>
      </w:r>
    </w:p>
    <w:p w14:paraId="7D87C762" w14:textId="77777777" w:rsidR="007949D0" w:rsidRPr="009B15FB" w:rsidRDefault="007949D0" w:rsidP="007949D0">
      <w:pPr>
        <w:tabs>
          <w:tab w:val="left" w:pos="10650"/>
          <w:tab w:val="right" w:pos="13958"/>
        </w:tabs>
        <w:autoSpaceDE w:val="0"/>
        <w:autoSpaceDN w:val="0"/>
        <w:jc w:val="right"/>
        <w:rPr>
          <w:rFonts w:eastAsia="Times New Roman" w:cs="Calibri"/>
          <w:b/>
          <w:bCs/>
          <w:noProof/>
          <w:sz w:val="28"/>
          <w:szCs w:val="28"/>
          <w:lang w:val="es-ES"/>
        </w:rPr>
      </w:pPr>
    </w:p>
    <w:p w14:paraId="489690C8" w14:textId="77777777" w:rsidR="00BA6428" w:rsidRPr="00B852A5" w:rsidRDefault="00BA6428" w:rsidP="00B852A5">
      <w:pPr>
        <w:jc w:val="right"/>
        <w:rPr>
          <w:rFonts w:asciiTheme="minorHAnsi" w:hAnsiTheme="minorHAnsi"/>
          <w:b/>
          <w:noProof/>
          <w:sz w:val="28"/>
          <w:szCs w:val="28"/>
          <w:lang w:val="es-ES"/>
        </w:rPr>
      </w:pPr>
      <w:bookmarkStart w:id="0" w:name="OLE_LINK3"/>
    </w:p>
    <w:p w14:paraId="672BB347" w14:textId="121CBDCF" w:rsidR="009B15FB" w:rsidRPr="00641B1B" w:rsidRDefault="009B15FB" w:rsidP="007949D0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  <w:r w:rsidRPr="009B15FB">
        <w:rPr>
          <w:rFonts w:eastAsia="Times New Roman" w:cstheme="majorHAnsi"/>
          <w:b/>
          <w:bCs/>
          <w:noProof/>
          <w:sz w:val="28"/>
          <w:szCs w:val="28"/>
          <w:lang w:val="es-ES"/>
        </w:rPr>
        <w:t xml:space="preserve">Informe financiero 2023-2025 de la Presidencia del Subgrupo de Finanzas del Comité Permanente y </w:t>
      </w:r>
      <w:r w:rsidR="00641B1B" w:rsidRPr="00641B1B">
        <w:rPr>
          <w:rFonts w:eastAsia="Times New Roman" w:cstheme="majorHAnsi"/>
          <w:b/>
          <w:bCs/>
          <w:noProof/>
          <w:sz w:val="28"/>
          <w:szCs w:val="28"/>
          <w:lang w:val="es-ES"/>
        </w:rPr>
        <w:t>presupuesto propuesto para el trienio 2026-2028</w:t>
      </w:r>
    </w:p>
    <w:bookmarkEnd w:id="0"/>
    <w:p w14:paraId="5FC38F0F" w14:textId="77777777" w:rsidR="00B32E40" w:rsidRPr="009B15FB" w:rsidRDefault="00B32E40" w:rsidP="007949D0">
      <w:pPr>
        <w:rPr>
          <w:rFonts w:asciiTheme="minorHAnsi" w:hAnsiTheme="minorHAnsi"/>
          <w:b/>
          <w:noProof/>
          <w:lang w:val="es-ES"/>
        </w:rPr>
      </w:pPr>
    </w:p>
    <w:p w14:paraId="6C541FC4" w14:textId="77777777" w:rsidR="007856EC" w:rsidRPr="009B15FB" w:rsidRDefault="007856EC" w:rsidP="007949D0">
      <w:pPr>
        <w:rPr>
          <w:rFonts w:asciiTheme="minorHAnsi" w:hAnsiTheme="minorHAnsi"/>
          <w:b/>
          <w:noProof/>
          <w:lang w:val="es-ES"/>
        </w:rPr>
      </w:pPr>
    </w:p>
    <w:p w14:paraId="5361CCFD" w14:textId="2CB7C4DF" w:rsidR="009B15FB" w:rsidRDefault="007949D0" w:rsidP="00583FCA">
      <w:pPr>
        <w:rPr>
          <w:rFonts w:asciiTheme="minorHAnsi" w:eastAsia="Batang" w:hAnsiTheme="minorHAnsi"/>
          <w:noProof/>
          <w:color w:val="000000"/>
          <w:lang w:val="es-ES" w:eastAsia="ko-KR"/>
        </w:rPr>
      </w:pPr>
      <w:r w:rsidRPr="009B15FB">
        <w:rPr>
          <w:rFonts w:asciiTheme="minorHAnsi" w:eastAsia="Batang" w:hAnsiTheme="minorHAnsi"/>
          <w:noProof/>
          <w:color w:val="000000"/>
          <w:lang w:val="es-ES" w:eastAsia="ko-KR"/>
        </w:rPr>
        <w:t>1.</w:t>
      </w:r>
      <w:r w:rsidRPr="009B15FB">
        <w:rPr>
          <w:rFonts w:asciiTheme="minorHAnsi" w:eastAsia="Batang" w:hAnsiTheme="minorHAnsi"/>
          <w:noProof/>
          <w:color w:val="000000"/>
          <w:lang w:val="es-ES" w:eastAsia="ko-KR"/>
        </w:rPr>
        <w:tab/>
      </w:r>
      <w:r w:rsidR="009B15FB">
        <w:rPr>
          <w:rFonts w:asciiTheme="minorHAnsi" w:eastAsia="Batang" w:hAnsiTheme="minorHAnsi"/>
          <w:noProof/>
          <w:color w:val="000000"/>
          <w:lang w:val="es-ES" w:eastAsia="ko-KR"/>
        </w:rPr>
        <w:t>Este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informe ha sido </w:t>
      </w:r>
      <w:r w:rsidR="009B15FB">
        <w:rPr>
          <w:rFonts w:asciiTheme="minorHAnsi" w:eastAsia="Batang" w:hAnsiTheme="minorHAnsi"/>
          <w:noProof/>
          <w:color w:val="000000"/>
          <w:lang w:val="es-ES" w:eastAsia="ko-KR"/>
        </w:rPr>
        <w:t>elabo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rado por la Secretaría para que </w:t>
      </w:r>
      <w:r w:rsidR="009B15FB">
        <w:rPr>
          <w:rFonts w:asciiTheme="minorHAnsi" w:eastAsia="Batang" w:hAnsiTheme="minorHAnsi"/>
          <w:noProof/>
          <w:color w:val="000000"/>
          <w:lang w:val="es-ES" w:eastAsia="ko-KR"/>
        </w:rPr>
        <w:t>la Presidencia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del Subgrupo de Finanzas lo presente </w:t>
      </w:r>
      <w:r w:rsidR="00B838D9">
        <w:rPr>
          <w:rFonts w:asciiTheme="minorHAnsi" w:eastAsia="Batang" w:hAnsiTheme="minorHAnsi"/>
          <w:noProof/>
          <w:color w:val="000000"/>
          <w:lang w:val="es-ES" w:eastAsia="ko-KR"/>
        </w:rPr>
        <w:t>a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la 15ª reunión de la Conferencia de las Partes Contratantes (COP15). </w:t>
      </w:r>
      <w:r w:rsidR="00583FCA">
        <w:rPr>
          <w:rFonts w:asciiTheme="minorHAnsi" w:eastAsia="Batang" w:hAnsiTheme="minorHAnsi"/>
          <w:noProof/>
          <w:color w:val="000000"/>
          <w:lang w:val="es-ES" w:eastAsia="ko-KR"/>
        </w:rPr>
        <w:t>En el informe figura</w:t>
      </w:r>
      <w:r w:rsidR="00B838D9">
        <w:rPr>
          <w:rFonts w:asciiTheme="minorHAnsi" w:eastAsia="Batang" w:hAnsiTheme="minorHAnsi"/>
          <w:noProof/>
          <w:color w:val="000000"/>
          <w:lang w:val="es-ES" w:eastAsia="ko-KR"/>
        </w:rPr>
        <w:t xml:space="preserve"> 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un resumen de </w:t>
      </w:r>
      <w:r w:rsidR="00B838D9">
        <w:rPr>
          <w:rFonts w:asciiTheme="minorHAnsi" w:eastAsia="Batang" w:hAnsiTheme="minorHAnsi"/>
          <w:noProof/>
          <w:color w:val="000000"/>
          <w:lang w:val="es-ES" w:eastAsia="ko-KR"/>
        </w:rPr>
        <w:t>los informes financieros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</w:t>
      </w:r>
      <w:r w:rsidR="00B838D9">
        <w:rPr>
          <w:rFonts w:asciiTheme="minorHAnsi" w:eastAsia="Batang" w:hAnsiTheme="minorHAnsi"/>
          <w:noProof/>
          <w:color w:val="000000"/>
          <w:lang w:val="es-ES" w:eastAsia="ko-KR"/>
        </w:rPr>
        <w:t>correspondientes al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trienio 2023-2025</w:t>
      </w:r>
      <w:r w:rsidR="00583FCA">
        <w:rPr>
          <w:rFonts w:asciiTheme="minorHAnsi" w:eastAsia="Batang" w:hAnsiTheme="minorHAnsi"/>
          <w:noProof/>
          <w:color w:val="000000"/>
          <w:lang w:val="es-ES" w:eastAsia="ko-KR"/>
        </w:rPr>
        <w:t xml:space="preserve"> y se destacan 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las principales </w:t>
      </w:r>
      <w:r w:rsidR="00B838D9">
        <w:rPr>
          <w:rFonts w:asciiTheme="minorHAnsi" w:eastAsia="Batang" w:hAnsiTheme="minorHAnsi"/>
          <w:noProof/>
          <w:color w:val="000000"/>
          <w:lang w:val="es-ES" w:eastAsia="ko-KR"/>
        </w:rPr>
        <w:t>repercusiones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de las propuestas presupuestarias para el trienio 2026-2028. El informe se centra en los fondos básicos, </w:t>
      </w:r>
      <w:r w:rsidR="00B838D9">
        <w:rPr>
          <w:rFonts w:asciiTheme="minorHAnsi" w:eastAsia="Batang" w:hAnsiTheme="minorHAnsi"/>
          <w:noProof/>
          <w:color w:val="000000"/>
          <w:lang w:val="es-ES" w:eastAsia="ko-KR"/>
        </w:rPr>
        <w:t>mientras que los debates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sobre las contribuciones voluntarias complementarias se </w:t>
      </w:r>
      <w:r w:rsidR="00B838D9">
        <w:rPr>
          <w:rFonts w:asciiTheme="minorHAnsi" w:eastAsia="Batang" w:hAnsiTheme="minorHAnsi"/>
          <w:noProof/>
          <w:color w:val="000000"/>
          <w:lang w:val="es-ES" w:eastAsia="ko-KR"/>
        </w:rPr>
        <w:t>realizarán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</w:t>
      </w:r>
      <w:r w:rsidR="00B838D9">
        <w:rPr>
          <w:rFonts w:asciiTheme="minorHAnsi" w:eastAsia="Batang" w:hAnsiTheme="minorHAnsi"/>
          <w:noProof/>
          <w:color w:val="000000"/>
          <w:lang w:val="es-ES" w:eastAsia="ko-KR"/>
        </w:rPr>
        <w:t>en el marco de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las prioridades de recaudación de fondos complementarios </w:t>
      </w:r>
      <w:r w:rsidR="00B838D9">
        <w:rPr>
          <w:rFonts w:asciiTheme="minorHAnsi" w:eastAsia="Batang" w:hAnsiTheme="minorHAnsi"/>
          <w:noProof/>
          <w:color w:val="000000"/>
          <w:lang w:val="es-ES" w:eastAsia="ko-KR"/>
        </w:rPr>
        <w:t>en</w:t>
      </w:r>
      <w:r w:rsidR="009B15FB" w:rsidRPr="009B15FB">
        <w:rPr>
          <w:rFonts w:asciiTheme="minorHAnsi" w:eastAsia="Batang" w:hAnsiTheme="minorHAnsi"/>
          <w:noProof/>
          <w:color w:val="000000"/>
          <w:lang w:val="es-ES" w:eastAsia="ko-KR"/>
        </w:rPr>
        <w:t xml:space="preserve"> la COP15.</w:t>
      </w:r>
    </w:p>
    <w:p w14:paraId="37C7D547" w14:textId="77777777" w:rsidR="00BB482B" w:rsidRPr="009B15FB" w:rsidRDefault="00BB482B" w:rsidP="007949D0">
      <w:pPr>
        <w:pStyle w:val="ListParagraph"/>
        <w:ind w:left="425"/>
        <w:rPr>
          <w:rFonts w:asciiTheme="minorHAnsi" w:eastAsia="Batang" w:hAnsiTheme="minorHAnsi"/>
          <w:noProof/>
          <w:color w:val="000000"/>
          <w:lang w:val="es-ES" w:eastAsia="ko-KR"/>
        </w:rPr>
      </w:pPr>
    </w:p>
    <w:p w14:paraId="56D29C5A" w14:textId="708A84D3" w:rsidR="00B838D9" w:rsidRDefault="007949D0" w:rsidP="007949D0">
      <w:pPr>
        <w:pStyle w:val="ListParagraph"/>
        <w:ind w:left="425"/>
        <w:rPr>
          <w:noProof/>
          <w:lang w:val="es-ES"/>
        </w:rPr>
      </w:pPr>
      <w:r w:rsidRPr="009B15FB">
        <w:rPr>
          <w:noProof/>
          <w:lang w:val="es-ES"/>
        </w:rPr>
        <w:t>2.</w:t>
      </w:r>
      <w:r w:rsidRPr="009B15FB">
        <w:rPr>
          <w:noProof/>
          <w:lang w:val="es-ES"/>
        </w:rPr>
        <w:tab/>
      </w:r>
      <w:r w:rsidR="00B838D9" w:rsidRPr="00B838D9">
        <w:rPr>
          <w:noProof/>
          <w:lang w:val="es-ES"/>
        </w:rPr>
        <w:t xml:space="preserve">En general, la Secretaría mantiene una </w:t>
      </w:r>
      <w:r w:rsidR="00B838D9">
        <w:rPr>
          <w:noProof/>
          <w:lang w:val="es-ES"/>
        </w:rPr>
        <w:t>situación</w:t>
      </w:r>
      <w:r w:rsidR="00B838D9" w:rsidRPr="00B838D9">
        <w:rPr>
          <w:noProof/>
          <w:lang w:val="es-ES"/>
        </w:rPr>
        <w:t xml:space="preserve"> financiera</w:t>
      </w:r>
      <w:r w:rsidR="00B838D9">
        <w:rPr>
          <w:noProof/>
          <w:lang w:val="es-ES"/>
        </w:rPr>
        <w:t xml:space="preserve"> fuerte</w:t>
      </w:r>
      <w:r w:rsidR="00B838D9" w:rsidRPr="00B838D9">
        <w:rPr>
          <w:noProof/>
          <w:lang w:val="es-ES"/>
        </w:rPr>
        <w:t xml:space="preserve">, un flujo de caja sólido y un superávit </w:t>
      </w:r>
      <w:r w:rsidR="00B838D9">
        <w:rPr>
          <w:noProof/>
          <w:lang w:val="es-ES"/>
        </w:rPr>
        <w:t>considerable</w:t>
      </w:r>
      <w:r w:rsidR="00B838D9" w:rsidRPr="00B838D9">
        <w:rPr>
          <w:noProof/>
          <w:lang w:val="es-ES"/>
        </w:rPr>
        <w:t xml:space="preserve">, como lo </w:t>
      </w:r>
      <w:r w:rsidR="00743CCA">
        <w:rPr>
          <w:noProof/>
          <w:lang w:val="es-ES"/>
        </w:rPr>
        <w:t>han validado</w:t>
      </w:r>
      <w:r w:rsidR="00B838D9" w:rsidRPr="00B838D9">
        <w:rPr>
          <w:noProof/>
          <w:lang w:val="es-ES"/>
        </w:rPr>
        <w:t xml:space="preserve"> los auditores y se refleja en los estados financieros auditados. Los auditores no han planteado </w:t>
      </w:r>
      <w:r w:rsidR="00743CCA">
        <w:rPr>
          <w:noProof/>
          <w:lang w:val="es-ES"/>
        </w:rPr>
        <w:t>ninguna objeción</w:t>
      </w:r>
      <w:r w:rsidR="00B838D9" w:rsidRPr="00B838D9">
        <w:rPr>
          <w:noProof/>
          <w:lang w:val="es-ES"/>
        </w:rPr>
        <w:t xml:space="preserve"> desde 2019, cuando se resolvieron </w:t>
      </w:r>
      <w:r w:rsidR="00743CCA">
        <w:rPr>
          <w:noProof/>
          <w:lang w:val="es-ES"/>
        </w:rPr>
        <w:t>todas las cuestiones</w:t>
      </w:r>
      <w:r w:rsidR="00B838D9" w:rsidRPr="00B838D9">
        <w:rPr>
          <w:noProof/>
          <w:lang w:val="es-ES"/>
        </w:rPr>
        <w:t xml:space="preserve"> pendientes.</w:t>
      </w:r>
    </w:p>
    <w:p w14:paraId="6D4A7686" w14:textId="77777777" w:rsidR="00437949" w:rsidRPr="009B15FB" w:rsidRDefault="00437949" w:rsidP="00743CCA">
      <w:pPr>
        <w:ind w:left="0" w:firstLine="0"/>
        <w:rPr>
          <w:noProof/>
          <w:lang w:val="es-ES"/>
        </w:rPr>
      </w:pPr>
    </w:p>
    <w:p w14:paraId="17385B33" w14:textId="2F662BEA" w:rsidR="00743CCA" w:rsidRDefault="007949D0" w:rsidP="007949D0">
      <w:pPr>
        <w:pStyle w:val="ListParagraph"/>
        <w:ind w:left="425"/>
        <w:rPr>
          <w:noProof/>
          <w:lang w:val="es-ES"/>
        </w:rPr>
      </w:pPr>
      <w:r w:rsidRPr="009B15FB">
        <w:rPr>
          <w:noProof/>
          <w:lang w:val="es-ES"/>
        </w:rPr>
        <w:t>3.</w:t>
      </w:r>
      <w:r w:rsidRPr="009B15FB">
        <w:rPr>
          <w:noProof/>
          <w:lang w:val="es-ES"/>
        </w:rPr>
        <w:tab/>
      </w:r>
      <w:r w:rsidR="00743CCA" w:rsidRPr="00743CCA">
        <w:rPr>
          <w:noProof/>
          <w:lang w:val="es-ES"/>
        </w:rPr>
        <w:t xml:space="preserve">En cuanto a la ejecución del presupuesto básico para el trienio 2023-2025, la Secretaría presentó al Comité Permanente </w:t>
      </w:r>
      <w:r w:rsidR="00583FCA">
        <w:rPr>
          <w:noProof/>
          <w:lang w:val="es-ES"/>
        </w:rPr>
        <w:t xml:space="preserve">los </w:t>
      </w:r>
      <w:r w:rsidR="00743CCA">
        <w:rPr>
          <w:noProof/>
          <w:lang w:val="es-ES"/>
        </w:rPr>
        <w:t>informes</w:t>
      </w:r>
      <w:r w:rsidR="00743CCA" w:rsidRPr="00743CCA">
        <w:rPr>
          <w:noProof/>
          <w:lang w:val="es-ES"/>
        </w:rPr>
        <w:t xml:space="preserve"> presupuestari</w:t>
      </w:r>
      <w:r w:rsidR="00743CCA">
        <w:rPr>
          <w:noProof/>
          <w:lang w:val="es-ES"/>
        </w:rPr>
        <w:t>o</w:t>
      </w:r>
      <w:r w:rsidR="00743CCA" w:rsidRPr="00743CCA">
        <w:rPr>
          <w:noProof/>
          <w:lang w:val="es-ES"/>
        </w:rPr>
        <w:t>s anuales</w:t>
      </w:r>
      <w:r w:rsidR="00743CCA">
        <w:rPr>
          <w:noProof/>
          <w:lang w:val="es-ES"/>
        </w:rPr>
        <w:t xml:space="preserve"> que </w:t>
      </w:r>
      <w:r w:rsidR="001524B6">
        <w:rPr>
          <w:noProof/>
          <w:lang w:val="es-ES"/>
        </w:rPr>
        <w:t>este aprobó</w:t>
      </w:r>
      <w:r w:rsidR="00743CCA" w:rsidRPr="00743CCA">
        <w:rPr>
          <w:noProof/>
          <w:lang w:val="es-ES"/>
        </w:rPr>
        <w:t xml:space="preserve"> </w:t>
      </w:r>
      <w:r w:rsidR="00743CCA">
        <w:rPr>
          <w:noProof/>
          <w:lang w:val="es-ES"/>
        </w:rPr>
        <w:t>en</w:t>
      </w:r>
      <w:r w:rsidR="00743CCA" w:rsidRPr="00743CCA">
        <w:rPr>
          <w:noProof/>
          <w:lang w:val="es-ES"/>
        </w:rPr>
        <w:t xml:space="preserve"> sus reuniones de 2023, 2024 y 2025. </w:t>
      </w:r>
      <w:r w:rsidR="00743CCA">
        <w:rPr>
          <w:noProof/>
          <w:lang w:val="es-ES"/>
        </w:rPr>
        <w:t>Asimismo, el</w:t>
      </w:r>
      <w:r w:rsidR="00743CCA" w:rsidRPr="00743CCA">
        <w:rPr>
          <w:noProof/>
          <w:lang w:val="es-ES"/>
        </w:rPr>
        <w:t xml:space="preserve"> Comité aprobó la utilización parcial de los superávits de los trienios 2019-2021 y 2022, junto con los traspasos para actividades </w:t>
      </w:r>
      <w:r w:rsidR="00743CCA">
        <w:rPr>
          <w:noProof/>
          <w:lang w:val="es-ES"/>
        </w:rPr>
        <w:t>previstas</w:t>
      </w:r>
      <w:r w:rsidR="00743CCA" w:rsidRPr="00743CCA">
        <w:rPr>
          <w:noProof/>
          <w:lang w:val="es-ES"/>
        </w:rPr>
        <w:t xml:space="preserve"> y </w:t>
      </w:r>
      <w:r w:rsidR="00743CCA">
        <w:rPr>
          <w:noProof/>
          <w:lang w:val="es-ES"/>
        </w:rPr>
        <w:t xml:space="preserve">los </w:t>
      </w:r>
      <w:r w:rsidR="00743CCA" w:rsidRPr="00743CCA">
        <w:rPr>
          <w:noProof/>
          <w:lang w:val="es-ES"/>
        </w:rPr>
        <w:t xml:space="preserve">ahorros </w:t>
      </w:r>
      <w:r w:rsidR="00743CCA">
        <w:rPr>
          <w:noProof/>
          <w:lang w:val="es-ES"/>
        </w:rPr>
        <w:t>no comprometidos</w:t>
      </w:r>
      <w:r w:rsidR="00743CCA" w:rsidRPr="00743CCA">
        <w:rPr>
          <w:noProof/>
          <w:lang w:val="es-ES"/>
        </w:rPr>
        <w:t>.</w:t>
      </w:r>
    </w:p>
    <w:p w14:paraId="6FDD26E6" w14:textId="77777777" w:rsidR="00D009A3" w:rsidRPr="00743CCA" w:rsidRDefault="00D009A3" w:rsidP="00743CCA">
      <w:pPr>
        <w:ind w:left="0" w:firstLine="0"/>
        <w:rPr>
          <w:noProof/>
          <w:lang w:val="es-ES"/>
        </w:rPr>
      </w:pPr>
    </w:p>
    <w:p w14:paraId="2224AAF1" w14:textId="12E54527" w:rsidR="00743CCA" w:rsidRDefault="007949D0" w:rsidP="007949D0">
      <w:pPr>
        <w:pStyle w:val="ListParagraph"/>
        <w:ind w:left="425"/>
        <w:rPr>
          <w:noProof/>
          <w:lang w:val="es-ES"/>
        </w:rPr>
      </w:pPr>
      <w:r w:rsidRPr="009B15FB">
        <w:rPr>
          <w:noProof/>
          <w:lang w:val="es-ES"/>
        </w:rPr>
        <w:t>4.</w:t>
      </w:r>
      <w:r w:rsidRPr="009B15FB">
        <w:rPr>
          <w:noProof/>
          <w:lang w:val="es-ES"/>
        </w:rPr>
        <w:tab/>
      </w:r>
      <w:r w:rsidR="001F191D" w:rsidRPr="001F191D">
        <w:rPr>
          <w:noProof/>
          <w:lang w:val="es-ES"/>
        </w:rPr>
        <w:t xml:space="preserve">El saldo de ahorros </w:t>
      </w:r>
      <w:r w:rsidR="001F191D">
        <w:rPr>
          <w:noProof/>
          <w:lang w:val="es-ES"/>
        </w:rPr>
        <w:t>registrado</w:t>
      </w:r>
      <w:r w:rsidR="001F191D" w:rsidRPr="001F191D">
        <w:rPr>
          <w:noProof/>
          <w:lang w:val="es-ES"/>
        </w:rPr>
        <w:t xml:space="preserve"> </w:t>
      </w:r>
      <w:r w:rsidR="001F191D">
        <w:rPr>
          <w:noProof/>
          <w:lang w:val="es-ES"/>
        </w:rPr>
        <w:t>a</w:t>
      </w:r>
      <w:r w:rsidR="001F191D" w:rsidRPr="001F191D">
        <w:rPr>
          <w:noProof/>
          <w:lang w:val="es-ES"/>
        </w:rPr>
        <w:t xml:space="preserve"> final</w:t>
      </w:r>
      <w:r w:rsidR="001F191D">
        <w:rPr>
          <w:noProof/>
          <w:lang w:val="es-ES"/>
        </w:rPr>
        <w:t>es</w:t>
      </w:r>
      <w:r w:rsidR="001F191D" w:rsidRPr="001F191D">
        <w:rPr>
          <w:noProof/>
          <w:lang w:val="es-ES"/>
        </w:rPr>
        <w:t xml:space="preserve"> de 2024</w:t>
      </w:r>
      <w:r w:rsidR="001F191D" w:rsidRPr="009B15FB">
        <w:rPr>
          <w:rStyle w:val="FootnoteReference"/>
          <w:noProof/>
          <w:lang w:val="es-ES"/>
        </w:rPr>
        <w:footnoteReference w:id="1"/>
      </w:r>
      <w:r w:rsidR="001F191D" w:rsidRPr="001F191D">
        <w:rPr>
          <w:noProof/>
          <w:lang w:val="es-ES"/>
        </w:rPr>
        <w:t xml:space="preserve"> refleja los fondos acumulados no utilizados</w:t>
      </w:r>
      <w:r w:rsidR="001F191D">
        <w:rPr>
          <w:noProof/>
          <w:lang w:val="es-ES"/>
        </w:rPr>
        <w:t xml:space="preserve"> y</w:t>
      </w:r>
      <w:r w:rsidR="001F191D" w:rsidRPr="001F191D">
        <w:rPr>
          <w:noProof/>
          <w:lang w:val="es-ES"/>
        </w:rPr>
        <w:t xml:space="preserve"> traspasados debido a la ejecución </w:t>
      </w:r>
      <w:r w:rsidR="001F191D">
        <w:rPr>
          <w:noProof/>
          <w:lang w:val="es-ES"/>
        </w:rPr>
        <w:t xml:space="preserve">reducida </w:t>
      </w:r>
      <w:r w:rsidR="001F191D" w:rsidRPr="001F191D">
        <w:rPr>
          <w:noProof/>
          <w:lang w:val="es-ES"/>
        </w:rPr>
        <w:t xml:space="preserve">de las actividades presupuestadas durante la pandemia COVID-19, en </w:t>
      </w:r>
      <w:r w:rsidR="001F191D">
        <w:rPr>
          <w:noProof/>
          <w:lang w:val="es-ES"/>
        </w:rPr>
        <w:t>especial</w:t>
      </w:r>
      <w:r w:rsidR="001F191D" w:rsidRPr="001F191D">
        <w:rPr>
          <w:noProof/>
          <w:lang w:val="es-ES"/>
        </w:rPr>
        <w:t xml:space="preserve"> las relacionadas con </w:t>
      </w:r>
      <w:r w:rsidR="001524B6">
        <w:rPr>
          <w:noProof/>
          <w:lang w:val="es-ES"/>
        </w:rPr>
        <w:t xml:space="preserve">los </w:t>
      </w:r>
      <w:r w:rsidR="001F191D" w:rsidRPr="001F191D">
        <w:rPr>
          <w:noProof/>
          <w:lang w:val="es-ES"/>
        </w:rPr>
        <w:t xml:space="preserve">viajes, como las reuniones de los órganos </w:t>
      </w:r>
      <w:r w:rsidR="001F191D">
        <w:rPr>
          <w:noProof/>
          <w:lang w:val="es-ES"/>
        </w:rPr>
        <w:t>directivos</w:t>
      </w:r>
      <w:r w:rsidR="001F191D" w:rsidRPr="001F191D">
        <w:rPr>
          <w:noProof/>
          <w:lang w:val="es-ES"/>
        </w:rPr>
        <w:t xml:space="preserve"> y subsidiarios y los viajes de la Secretaría, así como los ahorros </w:t>
      </w:r>
      <w:r w:rsidR="001F191D">
        <w:rPr>
          <w:noProof/>
          <w:lang w:val="es-ES"/>
        </w:rPr>
        <w:t>derivados de</w:t>
      </w:r>
      <w:r w:rsidR="001F191D" w:rsidRPr="001F191D">
        <w:rPr>
          <w:noProof/>
          <w:lang w:val="es-ES"/>
        </w:rPr>
        <w:t xml:space="preserve"> las vacantes</w:t>
      </w:r>
      <w:r w:rsidR="00583FCA">
        <w:rPr>
          <w:noProof/>
          <w:lang w:val="es-ES"/>
        </w:rPr>
        <w:t>,</w:t>
      </w:r>
      <w:r w:rsidR="001F191D" w:rsidRPr="001F191D">
        <w:rPr>
          <w:noProof/>
          <w:lang w:val="es-ES"/>
        </w:rPr>
        <w:t xml:space="preserve"> causad</w:t>
      </w:r>
      <w:r w:rsidR="001524B6">
        <w:rPr>
          <w:noProof/>
          <w:lang w:val="es-ES"/>
        </w:rPr>
        <w:t>o</w:t>
      </w:r>
      <w:r w:rsidR="001F191D" w:rsidRPr="001F191D">
        <w:rPr>
          <w:noProof/>
          <w:lang w:val="es-ES"/>
        </w:rPr>
        <w:t xml:space="preserve">s por </w:t>
      </w:r>
      <w:r w:rsidR="001F191D">
        <w:rPr>
          <w:noProof/>
          <w:lang w:val="es-ES"/>
        </w:rPr>
        <w:t>demoras</w:t>
      </w:r>
      <w:r w:rsidR="001F191D" w:rsidRPr="001F191D">
        <w:rPr>
          <w:noProof/>
          <w:lang w:val="es-ES"/>
        </w:rPr>
        <w:t xml:space="preserve"> en la contratación de personal. </w:t>
      </w:r>
      <w:r w:rsidR="001F191D">
        <w:rPr>
          <w:noProof/>
          <w:lang w:val="es-ES"/>
        </w:rPr>
        <w:t>E</w:t>
      </w:r>
      <w:r w:rsidR="001F191D" w:rsidRPr="001F191D">
        <w:rPr>
          <w:noProof/>
          <w:lang w:val="es-ES"/>
        </w:rPr>
        <w:t xml:space="preserve">l Comité de Finanzas </w:t>
      </w:r>
      <w:r w:rsidR="001F191D">
        <w:rPr>
          <w:noProof/>
          <w:lang w:val="es-ES"/>
        </w:rPr>
        <w:t xml:space="preserve">examinará la </w:t>
      </w:r>
      <w:r w:rsidR="001F191D" w:rsidRPr="001F191D">
        <w:rPr>
          <w:noProof/>
          <w:lang w:val="es-ES"/>
        </w:rPr>
        <w:t xml:space="preserve">asignación del superávit del presupuesto básico y </w:t>
      </w:r>
      <w:r w:rsidR="001524B6" w:rsidRPr="001F191D">
        <w:rPr>
          <w:noProof/>
          <w:lang w:val="es-ES"/>
        </w:rPr>
        <w:t xml:space="preserve">recomendará su aprobación </w:t>
      </w:r>
      <w:r w:rsidR="001F191D" w:rsidRPr="001F191D">
        <w:rPr>
          <w:noProof/>
          <w:lang w:val="es-ES"/>
        </w:rPr>
        <w:t>en la COP15.</w:t>
      </w:r>
    </w:p>
    <w:p w14:paraId="765424E1" w14:textId="77777777" w:rsidR="00BB482B" w:rsidRPr="001F191D" w:rsidRDefault="00BB482B" w:rsidP="001F191D">
      <w:pPr>
        <w:ind w:left="0" w:firstLine="0"/>
        <w:rPr>
          <w:rFonts w:asciiTheme="minorHAnsi" w:eastAsia="Batang" w:hAnsiTheme="minorHAnsi"/>
          <w:noProof/>
          <w:color w:val="000000"/>
          <w:lang w:val="es-ES" w:eastAsia="ko-KR"/>
        </w:rPr>
      </w:pPr>
    </w:p>
    <w:p w14:paraId="5C900456" w14:textId="0637DB69" w:rsidR="001F191D" w:rsidRDefault="007949D0" w:rsidP="007949D0">
      <w:pPr>
        <w:pStyle w:val="ListParagraph"/>
        <w:ind w:left="425"/>
        <w:rPr>
          <w:rFonts w:asciiTheme="minorHAnsi" w:eastAsia="Batang" w:hAnsiTheme="minorHAnsi"/>
          <w:noProof/>
          <w:color w:val="000000"/>
          <w:lang w:val="es-ES" w:eastAsia="ko-KR"/>
        </w:rPr>
      </w:pPr>
      <w:r w:rsidRPr="009B15FB">
        <w:rPr>
          <w:rFonts w:asciiTheme="minorHAnsi" w:eastAsia="Batang" w:hAnsiTheme="minorHAnsi"/>
          <w:noProof/>
          <w:color w:val="000000"/>
          <w:lang w:val="es-ES" w:eastAsia="ko-KR"/>
        </w:rPr>
        <w:t>5.</w:t>
      </w:r>
      <w:r w:rsidRPr="009B15FB">
        <w:rPr>
          <w:rFonts w:asciiTheme="minorHAnsi" w:eastAsia="Batang" w:hAnsiTheme="minorHAnsi"/>
          <w:noProof/>
          <w:color w:val="000000"/>
          <w:lang w:val="es-ES" w:eastAsia="ko-KR"/>
        </w:rPr>
        <w:tab/>
      </w:r>
      <w:r w:rsidR="001F191D" w:rsidRPr="001F191D">
        <w:rPr>
          <w:rFonts w:asciiTheme="minorHAnsi" w:eastAsia="Batang" w:hAnsiTheme="minorHAnsi"/>
          <w:noProof/>
          <w:color w:val="000000"/>
          <w:lang w:val="es-ES" w:eastAsia="ko-KR"/>
        </w:rPr>
        <w:t xml:space="preserve">El </w:t>
      </w:r>
      <w:r w:rsidR="001F191D">
        <w:rPr>
          <w:rFonts w:asciiTheme="minorHAnsi" w:eastAsia="Batang" w:hAnsiTheme="minorHAnsi"/>
          <w:noProof/>
          <w:color w:val="000000"/>
          <w:lang w:val="es-ES" w:eastAsia="ko-KR"/>
        </w:rPr>
        <w:t>a</w:t>
      </w:r>
      <w:r w:rsidR="001F191D" w:rsidRPr="001F191D">
        <w:rPr>
          <w:rFonts w:asciiTheme="minorHAnsi" w:eastAsia="Batang" w:hAnsiTheme="minorHAnsi"/>
          <w:noProof/>
          <w:color w:val="000000"/>
          <w:lang w:val="es-ES" w:eastAsia="ko-KR"/>
        </w:rPr>
        <w:t xml:space="preserve">nexo 1 ofrece un resumen de la ejecución presupuestaria durante el trienio 2023-2025. </w:t>
      </w:r>
      <w:r w:rsidR="001524B6">
        <w:rPr>
          <w:rFonts w:asciiTheme="minorHAnsi" w:eastAsia="Batang" w:hAnsiTheme="minorHAnsi"/>
          <w:noProof/>
          <w:color w:val="000000"/>
          <w:lang w:val="es-ES" w:eastAsia="ko-KR"/>
        </w:rPr>
        <w:t>Se puede consultar</w:t>
      </w:r>
      <w:r w:rsidR="001F191D" w:rsidRPr="001F191D">
        <w:rPr>
          <w:rFonts w:asciiTheme="minorHAnsi" w:eastAsia="Batang" w:hAnsiTheme="minorHAnsi"/>
          <w:noProof/>
          <w:color w:val="000000"/>
          <w:lang w:val="es-ES" w:eastAsia="ko-KR"/>
        </w:rPr>
        <w:t xml:space="preserve"> información detallada sobre los informes financieros anuales en los informes de las reuniones del Comité Permanente de 2023 a 2025, en concreto en los documentos SC62 </w:t>
      </w:r>
      <w:r w:rsidR="001F191D" w:rsidRPr="001F191D">
        <w:rPr>
          <w:rFonts w:asciiTheme="minorHAnsi" w:eastAsia="Batang" w:hAnsiTheme="minorHAnsi"/>
          <w:noProof/>
          <w:color w:val="000000"/>
          <w:lang w:val="es-ES" w:eastAsia="ko-KR"/>
        </w:rPr>
        <w:lastRenderedPageBreak/>
        <w:t xml:space="preserve">Doc.8.1, SC63 Doc.9.1, SC64 Doc.9.1 y SC65 Doc.8.1, junto con los </w:t>
      </w:r>
      <w:r w:rsidR="001F191D">
        <w:rPr>
          <w:rFonts w:asciiTheme="minorHAnsi" w:eastAsia="Batang" w:hAnsiTheme="minorHAnsi"/>
          <w:noProof/>
          <w:color w:val="000000"/>
          <w:lang w:val="es-ES" w:eastAsia="ko-KR"/>
        </w:rPr>
        <w:t>respectivos</w:t>
      </w:r>
      <w:r w:rsidR="001F191D" w:rsidRPr="001F191D">
        <w:rPr>
          <w:rFonts w:asciiTheme="minorHAnsi" w:eastAsia="Batang" w:hAnsiTheme="minorHAnsi"/>
          <w:noProof/>
          <w:color w:val="000000"/>
          <w:lang w:val="es-ES" w:eastAsia="ko-KR"/>
        </w:rPr>
        <w:t xml:space="preserve"> informes de las reuniones y las </w:t>
      </w:r>
      <w:r w:rsidR="004B6CAD">
        <w:rPr>
          <w:rFonts w:asciiTheme="minorHAnsi" w:eastAsia="Batang" w:hAnsiTheme="minorHAnsi"/>
          <w:noProof/>
          <w:color w:val="000000"/>
          <w:lang w:val="es-ES" w:eastAsia="ko-KR"/>
        </w:rPr>
        <w:t>D</w:t>
      </w:r>
      <w:r w:rsidR="001F191D" w:rsidRPr="001F191D">
        <w:rPr>
          <w:rFonts w:asciiTheme="minorHAnsi" w:eastAsia="Batang" w:hAnsiTheme="minorHAnsi"/>
          <w:noProof/>
          <w:color w:val="000000"/>
          <w:lang w:val="es-ES" w:eastAsia="ko-KR"/>
        </w:rPr>
        <w:t>ecisiones financieras del Comité Permanente, basadas en las recomendaciones del Subgrupo de Finanzas.</w:t>
      </w:r>
    </w:p>
    <w:p w14:paraId="709A240C" w14:textId="77777777" w:rsidR="00737885" w:rsidRPr="0031625D" w:rsidRDefault="00737885" w:rsidP="0031625D">
      <w:pPr>
        <w:ind w:left="0" w:firstLine="0"/>
        <w:rPr>
          <w:rFonts w:asciiTheme="minorHAnsi" w:hAnsiTheme="minorHAnsi"/>
          <w:noProof/>
          <w:lang w:val="es-ES"/>
        </w:rPr>
      </w:pPr>
    </w:p>
    <w:p w14:paraId="57D47D9F" w14:textId="511D28F4" w:rsidR="0031625D" w:rsidRDefault="007949D0" w:rsidP="007949D0">
      <w:pPr>
        <w:pStyle w:val="ListParagraph"/>
        <w:ind w:left="425"/>
        <w:rPr>
          <w:rFonts w:asciiTheme="minorHAnsi" w:hAnsiTheme="minorHAnsi"/>
          <w:noProof/>
          <w:lang w:val="es-ES"/>
        </w:rPr>
      </w:pPr>
      <w:r w:rsidRPr="009B15FB">
        <w:rPr>
          <w:rFonts w:asciiTheme="minorHAnsi" w:hAnsiTheme="minorHAnsi"/>
          <w:noProof/>
          <w:lang w:val="es-ES"/>
        </w:rPr>
        <w:t>6.</w:t>
      </w:r>
      <w:r w:rsidRPr="009B15FB">
        <w:rPr>
          <w:rFonts w:asciiTheme="minorHAnsi" w:hAnsiTheme="minorHAnsi"/>
          <w:noProof/>
          <w:lang w:val="es-ES"/>
        </w:rPr>
        <w:tab/>
      </w:r>
      <w:r w:rsidR="0031625D" w:rsidRPr="0031625D">
        <w:rPr>
          <w:rFonts w:asciiTheme="minorHAnsi" w:hAnsiTheme="minorHAnsi"/>
          <w:noProof/>
          <w:lang w:val="es-ES"/>
        </w:rPr>
        <w:t xml:space="preserve">El presupuesto básico propuesto para el trienio 2026-2028 se incluye en el </w:t>
      </w:r>
      <w:r w:rsidR="004B6CAD">
        <w:rPr>
          <w:rFonts w:asciiTheme="minorHAnsi" w:hAnsiTheme="minorHAnsi"/>
          <w:noProof/>
          <w:lang w:val="es-ES"/>
        </w:rPr>
        <w:t xml:space="preserve">anexo 1 del </w:t>
      </w:r>
      <w:r w:rsidR="0031625D" w:rsidRPr="0031625D">
        <w:rPr>
          <w:rFonts w:asciiTheme="minorHAnsi" w:hAnsiTheme="minorHAnsi"/>
          <w:noProof/>
          <w:lang w:val="es-ES"/>
        </w:rPr>
        <w:t xml:space="preserve">documento COP15 Doc.23.1, </w:t>
      </w:r>
      <w:r w:rsidR="004B6CAD">
        <w:rPr>
          <w:rFonts w:asciiTheme="minorHAnsi" w:hAnsiTheme="minorHAnsi"/>
          <w:noProof/>
          <w:lang w:val="es-ES"/>
        </w:rPr>
        <w:t>donde</w:t>
      </w:r>
      <w:r w:rsidR="0031625D">
        <w:rPr>
          <w:rFonts w:asciiTheme="minorHAnsi" w:hAnsiTheme="minorHAnsi"/>
          <w:noProof/>
          <w:lang w:val="es-ES"/>
        </w:rPr>
        <w:t xml:space="preserve"> se</w:t>
      </w:r>
      <w:r w:rsidR="0031625D" w:rsidRPr="0031625D">
        <w:rPr>
          <w:rFonts w:asciiTheme="minorHAnsi" w:hAnsiTheme="minorHAnsi"/>
          <w:noProof/>
          <w:lang w:val="es-ES"/>
        </w:rPr>
        <w:t xml:space="preserve"> presenta</w:t>
      </w:r>
      <w:r w:rsidR="0031625D">
        <w:rPr>
          <w:rFonts w:asciiTheme="minorHAnsi" w:hAnsiTheme="minorHAnsi"/>
          <w:noProof/>
          <w:lang w:val="es-ES"/>
        </w:rPr>
        <w:t>n</w:t>
      </w:r>
      <w:r w:rsidR="0031625D" w:rsidRPr="0031625D">
        <w:rPr>
          <w:rFonts w:asciiTheme="minorHAnsi" w:hAnsiTheme="minorHAnsi"/>
          <w:noProof/>
          <w:lang w:val="es-ES"/>
        </w:rPr>
        <w:t xml:space="preserve"> los escenarios presupuestarios </w:t>
      </w:r>
      <w:r w:rsidR="0031625D">
        <w:rPr>
          <w:rFonts w:asciiTheme="minorHAnsi" w:hAnsiTheme="minorHAnsi"/>
          <w:noProof/>
          <w:lang w:val="es-ES"/>
        </w:rPr>
        <w:t xml:space="preserve">que </w:t>
      </w:r>
      <w:r w:rsidR="0031625D" w:rsidRPr="0031625D">
        <w:rPr>
          <w:rFonts w:asciiTheme="minorHAnsi" w:hAnsiTheme="minorHAnsi"/>
          <w:noProof/>
          <w:lang w:val="es-ES"/>
        </w:rPr>
        <w:t xml:space="preserve">el Comité Permanente </w:t>
      </w:r>
      <w:r w:rsidR="0031625D">
        <w:rPr>
          <w:rFonts w:asciiTheme="minorHAnsi" w:hAnsiTheme="minorHAnsi"/>
          <w:noProof/>
          <w:lang w:val="es-ES"/>
        </w:rPr>
        <w:t xml:space="preserve">recomendó </w:t>
      </w:r>
      <w:r w:rsidR="0031625D" w:rsidRPr="0031625D">
        <w:rPr>
          <w:rFonts w:asciiTheme="minorHAnsi" w:hAnsiTheme="minorHAnsi"/>
          <w:noProof/>
          <w:lang w:val="es-ES"/>
        </w:rPr>
        <w:t>en su 64ª reunión (SC64).</w:t>
      </w:r>
    </w:p>
    <w:p w14:paraId="26B419AF" w14:textId="77777777" w:rsidR="00737885" w:rsidRPr="009B15FB" w:rsidRDefault="00737885" w:rsidP="0031625D">
      <w:pPr>
        <w:ind w:left="0" w:firstLine="0"/>
        <w:rPr>
          <w:noProof/>
          <w:lang w:val="es-ES"/>
        </w:rPr>
      </w:pPr>
    </w:p>
    <w:p w14:paraId="14AFCBAE" w14:textId="464C91ED" w:rsidR="0031625D" w:rsidRDefault="007949D0" w:rsidP="007949D0">
      <w:pPr>
        <w:pStyle w:val="ListParagraph"/>
        <w:ind w:left="425"/>
        <w:rPr>
          <w:rFonts w:asciiTheme="minorHAnsi" w:hAnsiTheme="minorHAnsi"/>
          <w:noProof/>
          <w:lang w:val="es-ES"/>
        </w:rPr>
      </w:pPr>
      <w:r w:rsidRPr="009B15FB">
        <w:rPr>
          <w:rFonts w:asciiTheme="minorHAnsi" w:hAnsiTheme="minorHAnsi"/>
          <w:noProof/>
          <w:lang w:val="es-ES"/>
        </w:rPr>
        <w:t>7.</w:t>
      </w:r>
      <w:r w:rsidRPr="009B15FB">
        <w:rPr>
          <w:rFonts w:asciiTheme="minorHAnsi" w:hAnsiTheme="minorHAnsi"/>
          <w:noProof/>
          <w:lang w:val="es-ES"/>
        </w:rPr>
        <w:tab/>
      </w:r>
      <w:r w:rsidR="0031625D">
        <w:rPr>
          <w:rFonts w:asciiTheme="minorHAnsi" w:hAnsiTheme="minorHAnsi"/>
          <w:noProof/>
          <w:lang w:val="es-ES"/>
        </w:rPr>
        <w:t>E</w:t>
      </w:r>
      <w:r w:rsidR="0031625D" w:rsidRPr="0031625D">
        <w:rPr>
          <w:rFonts w:asciiTheme="minorHAnsi" w:hAnsiTheme="minorHAnsi"/>
          <w:noProof/>
          <w:lang w:val="es-ES"/>
        </w:rPr>
        <w:t xml:space="preserve">n los </w:t>
      </w:r>
      <w:r w:rsidR="0031625D">
        <w:rPr>
          <w:rFonts w:asciiTheme="minorHAnsi" w:hAnsiTheme="minorHAnsi"/>
          <w:noProof/>
          <w:lang w:val="es-ES"/>
        </w:rPr>
        <w:t>a</w:t>
      </w:r>
      <w:r w:rsidR="0031625D" w:rsidRPr="0031625D">
        <w:rPr>
          <w:rFonts w:asciiTheme="minorHAnsi" w:hAnsiTheme="minorHAnsi"/>
          <w:noProof/>
          <w:lang w:val="es-ES"/>
        </w:rPr>
        <w:t xml:space="preserve">nexos 2 y 3 del mismo documento </w:t>
      </w:r>
      <w:r w:rsidR="0031625D">
        <w:rPr>
          <w:rFonts w:asciiTheme="minorHAnsi" w:hAnsiTheme="minorHAnsi"/>
          <w:noProof/>
          <w:lang w:val="es-ES"/>
        </w:rPr>
        <w:t>se detallan</w:t>
      </w:r>
      <w:r w:rsidR="0031625D" w:rsidRPr="0031625D">
        <w:rPr>
          <w:rFonts w:asciiTheme="minorHAnsi" w:hAnsiTheme="minorHAnsi"/>
          <w:noProof/>
          <w:lang w:val="es-ES"/>
        </w:rPr>
        <w:t xml:space="preserve"> las contribuciones </w:t>
      </w:r>
      <w:r w:rsidR="0031625D">
        <w:rPr>
          <w:rFonts w:asciiTheme="minorHAnsi" w:hAnsiTheme="minorHAnsi"/>
          <w:noProof/>
          <w:lang w:val="es-ES"/>
        </w:rPr>
        <w:t>aproximadas</w:t>
      </w:r>
      <w:r w:rsidR="0031625D" w:rsidRPr="0031625D">
        <w:rPr>
          <w:rFonts w:asciiTheme="minorHAnsi" w:hAnsiTheme="minorHAnsi"/>
          <w:noProof/>
          <w:lang w:val="es-ES"/>
        </w:rPr>
        <w:t xml:space="preserve"> </w:t>
      </w:r>
      <w:r w:rsidR="0031625D">
        <w:rPr>
          <w:rFonts w:asciiTheme="minorHAnsi" w:hAnsiTheme="minorHAnsi"/>
          <w:noProof/>
          <w:lang w:val="es-ES"/>
        </w:rPr>
        <w:t>del</w:t>
      </w:r>
      <w:r w:rsidR="0031625D" w:rsidRPr="0031625D">
        <w:rPr>
          <w:rFonts w:asciiTheme="minorHAnsi" w:hAnsiTheme="minorHAnsi"/>
          <w:noProof/>
          <w:lang w:val="es-ES"/>
        </w:rPr>
        <w:t xml:space="preserve"> presupuesto básico de las Partes Contratantes y la dotación de personal de la Secretaría para el trienio 2026-2028. </w:t>
      </w:r>
    </w:p>
    <w:p w14:paraId="384C82AB" w14:textId="77777777" w:rsidR="0031625D" w:rsidRDefault="0031625D" w:rsidP="007949D0">
      <w:pPr>
        <w:pStyle w:val="ListParagraph"/>
        <w:ind w:left="425"/>
        <w:rPr>
          <w:rFonts w:asciiTheme="minorHAnsi" w:hAnsiTheme="minorHAnsi"/>
          <w:noProof/>
          <w:lang w:val="es-ES"/>
        </w:rPr>
      </w:pPr>
    </w:p>
    <w:p w14:paraId="7922FABC" w14:textId="7C3CC639" w:rsidR="004639AC" w:rsidRPr="0031625D" w:rsidRDefault="0031625D" w:rsidP="0031625D">
      <w:pPr>
        <w:pStyle w:val="ListParagraph"/>
        <w:ind w:left="425"/>
        <w:rPr>
          <w:rFonts w:asciiTheme="minorHAnsi" w:hAnsiTheme="minorHAnsi"/>
          <w:noProof/>
          <w:lang w:val="es-ES"/>
        </w:rPr>
      </w:pPr>
      <w:r w:rsidRPr="0031625D">
        <w:rPr>
          <w:rFonts w:asciiTheme="minorHAnsi" w:hAnsiTheme="minorHAnsi"/>
          <w:noProof/>
          <w:lang w:val="es-ES"/>
        </w:rPr>
        <w:t xml:space="preserve">8. </w:t>
      </w:r>
      <w:r>
        <w:rPr>
          <w:rFonts w:asciiTheme="minorHAnsi" w:hAnsiTheme="minorHAnsi"/>
          <w:noProof/>
          <w:lang w:val="es-ES"/>
        </w:rPr>
        <w:tab/>
      </w:r>
      <w:r w:rsidRPr="0031625D">
        <w:rPr>
          <w:rFonts w:asciiTheme="minorHAnsi" w:hAnsiTheme="minorHAnsi"/>
          <w:noProof/>
          <w:lang w:val="es-ES"/>
        </w:rPr>
        <w:t>Las prioridades para la financiación complementaria se debatirán y decidirán en otros puntos de</w:t>
      </w:r>
      <w:r>
        <w:rPr>
          <w:rFonts w:asciiTheme="minorHAnsi" w:hAnsiTheme="minorHAnsi"/>
          <w:noProof/>
          <w:lang w:val="es-ES"/>
        </w:rPr>
        <w:t>l</w:t>
      </w:r>
      <w:r w:rsidRPr="0031625D">
        <w:rPr>
          <w:rFonts w:asciiTheme="minorHAnsi" w:hAnsiTheme="minorHAnsi"/>
          <w:noProof/>
          <w:lang w:val="es-ES"/>
        </w:rPr>
        <w:t xml:space="preserve"> </w:t>
      </w:r>
      <w:r>
        <w:rPr>
          <w:rFonts w:asciiTheme="minorHAnsi" w:hAnsiTheme="minorHAnsi"/>
          <w:noProof/>
          <w:lang w:val="es-ES"/>
        </w:rPr>
        <w:t>orden del día</w:t>
      </w:r>
      <w:r w:rsidRPr="0031625D">
        <w:rPr>
          <w:rFonts w:asciiTheme="minorHAnsi" w:hAnsiTheme="minorHAnsi"/>
          <w:noProof/>
          <w:lang w:val="es-ES"/>
        </w:rPr>
        <w:t xml:space="preserve"> de la COP15 y se registrarán en el </w:t>
      </w:r>
      <w:r>
        <w:rPr>
          <w:rFonts w:asciiTheme="minorHAnsi" w:hAnsiTheme="minorHAnsi"/>
          <w:noProof/>
          <w:lang w:val="es-ES"/>
        </w:rPr>
        <w:t>a</w:t>
      </w:r>
      <w:r w:rsidRPr="0031625D">
        <w:rPr>
          <w:rFonts w:asciiTheme="minorHAnsi" w:hAnsiTheme="minorHAnsi"/>
          <w:noProof/>
          <w:lang w:val="es-ES"/>
        </w:rPr>
        <w:t xml:space="preserve">nexo 4 de la Resolución final sobre </w:t>
      </w:r>
      <w:r>
        <w:rPr>
          <w:rFonts w:asciiTheme="minorHAnsi" w:hAnsiTheme="minorHAnsi"/>
          <w:noProof/>
          <w:lang w:val="es-ES"/>
        </w:rPr>
        <w:t>cuestiones</w:t>
      </w:r>
      <w:r w:rsidRPr="0031625D">
        <w:rPr>
          <w:rFonts w:asciiTheme="minorHAnsi" w:hAnsiTheme="minorHAnsi"/>
          <w:noProof/>
          <w:lang w:val="es-ES"/>
        </w:rPr>
        <w:t xml:space="preserve"> financier</w:t>
      </w:r>
      <w:r>
        <w:rPr>
          <w:rFonts w:asciiTheme="minorHAnsi" w:hAnsiTheme="minorHAnsi"/>
          <w:noProof/>
          <w:lang w:val="es-ES"/>
        </w:rPr>
        <w:t>a</w:t>
      </w:r>
      <w:r w:rsidRPr="0031625D">
        <w:rPr>
          <w:rFonts w:asciiTheme="minorHAnsi" w:hAnsiTheme="minorHAnsi"/>
          <w:noProof/>
          <w:lang w:val="es-ES"/>
        </w:rPr>
        <w:t>s y presupuestari</w:t>
      </w:r>
      <w:r>
        <w:rPr>
          <w:rFonts w:asciiTheme="minorHAnsi" w:hAnsiTheme="minorHAnsi"/>
          <w:noProof/>
          <w:lang w:val="es-ES"/>
        </w:rPr>
        <w:t>a</w:t>
      </w:r>
      <w:r w:rsidRPr="0031625D">
        <w:rPr>
          <w:rFonts w:asciiTheme="minorHAnsi" w:hAnsiTheme="minorHAnsi"/>
          <w:noProof/>
          <w:lang w:val="es-ES"/>
        </w:rPr>
        <w:t>s.</w:t>
      </w:r>
    </w:p>
    <w:p w14:paraId="4DF9FDAD" w14:textId="77777777" w:rsidR="004639AC" w:rsidRPr="009B15FB" w:rsidRDefault="004639AC" w:rsidP="007949D0">
      <w:pPr>
        <w:rPr>
          <w:rFonts w:asciiTheme="minorHAnsi" w:eastAsia="Batang" w:hAnsiTheme="minorHAnsi"/>
          <w:noProof/>
          <w:color w:val="000000"/>
          <w:lang w:val="es-ES" w:eastAsia="ko-KR"/>
        </w:rPr>
      </w:pPr>
    </w:p>
    <w:p w14:paraId="4997E67A" w14:textId="66FC83B4" w:rsidR="0031625D" w:rsidRDefault="007949D0" w:rsidP="007949D0">
      <w:pPr>
        <w:pStyle w:val="MGfulltext"/>
        <w:spacing w:after="0"/>
        <w:ind w:left="425" w:hanging="425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  <w:r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9.</w:t>
      </w:r>
      <w:r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ab/>
      </w:r>
      <w:r w:rsid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E</w:t>
      </w:r>
      <w:r w:rsidR="00957B70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n su reunión SC64,</w:t>
      </w:r>
      <w:r w:rsid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el </w:t>
      </w:r>
      <w:r w:rsidR="0031625D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Comité Permanente aprobó los siguientes escenarios presupuestarios para el período 2026-2028,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los </w:t>
      </w:r>
      <w:r w:rsidR="0031625D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que se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someterán</w:t>
      </w:r>
      <w:r w:rsidR="0031625D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a la </w:t>
      </w:r>
      <w:r w:rsidR="00E925A9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consideración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de la </w:t>
      </w:r>
      <w:r w:rsidR="0031625D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COP15. Estos escenarios se han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elaborado</w:t>
      </w:r>
      <w:r w:rsidR="0031625D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tras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extensos</w:t>
      </w:r>
      <w:r w:rsidR="0031625D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debate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s</w:t>
      </w:r>
      <w:r w:rsidR="0031625D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sobre los costos, beneficios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y repercusiones</w:t>
      </w:r>
      <w:r w:rsidR="0031625D" w:rsidRPr="00957B70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estratégicas de cada propuesta:</w:t>
      </w:r>
    </w:p>
    <w:p w14:paraId="0A128E40" w14:textId="77777777" w:rsidR="007D3628" w:rsidRPr="009B15FB" w:rsidRDefault="007D3628" w:rsidP="007949D0">
      <w:pPr>
        <w:pStyle w:val="MGfulltext"/>
        <w:spacing w:after="0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</w:p>
    <w:p w14:paraId="4DCB5EDA" w14:textId="17656A13" w:rsidR="00E925A9" w:rsidRDefault="00AE1F9C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a.</w:t>
      </w: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ab/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Aumento nominal del 0 % en comparación con el presupuesto del trienio 2023-2025 (Escenario 0 %);</w:t>
      </w:r>
    </w:p>
    <w:p w14:paraId="7A7D1F61" w14:textId="77777777" w:rsidR="006449B6" w:rsidRPr="009B15FB" w:rsidRDefault="006449B6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</w:p>
    <w:p w14:paraId="12F84A94" w14:textId="41A54BF8" w:rsidR="00E925A9" w:rsidRDefault="00902768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b.</w:t>
      </w: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ab/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Aumento del 4,1 % en comparación con el trienio 2023-2025 (Escenario 4,1 %);</w:t>
      </w:r>
    </w:p>
    <w:p w14:paraId="387AD274" w14:textId="77777777" w:rsidR="006449B6" w:rsidRPr="009B15FB" w:rsidRDefault="006449B6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</w:p>
    <w:p w14:paraId="72CC0749" w14:textId="375E2B1F" w:rsidR="00E925A9" w:rsidRDefault="00902768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c.</w:t>
      </w: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ab/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Aumento del 9,6 % en comparación con el trienio 2023-2025 (Escenario 9,6 %); y</w:t>
      </w:r>
    </w:p>
    <w:p w14:paraId="5E82D747" w14:textId="77777777" w:rsidR="007D3628" w:rsidRPr="009B15FB" w:rsidRDefault="007D3628" w:rsidP="00E925A9">
      <w:pPr>
        <w:pStyle w:val="MGfulltext"/>
        <w:spacing w:after="0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</w:p>
    <w:p w14:paraId="1A0EFE7C" w14:textId="576470EF" w:rsidR="00E925A9" w:rsidRDefault="007D3628" w:rsidP="007949D0">
      <w:pPr>
        <w:pStyle w:val="MGfulltext"/>
        <w:spacing w:after="0"/>
        <w:ind w:left="850" w:hanging="425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d.</w:t>
      </w: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ab/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Aumento del 11,3 % en comparación con el presupuesto 2023-2025 (Escenario 11,3 %).</w:t>
      </w:r>
    </w:p>
    <w:p w14:paraId="60072BB9" w14:textId="77777777" w:rsidR="00737885" w:rsidRPr="009B15FB" w:rsidRDefault="00737885" w:rsidP="00E925A9">
      <w:pPr>
        <w:pStyle w:val="MGfulltext"/>
        <w:spacing w:after="0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</w:p>
    <w:p w14:paraId="6D8B0249" w14:textId="7411CFED" w:rsidR="00E925A9" w:rsidRDefault="007949D0" w:rsidP="007949D0">
      <w:pPr>
        <w:pStyle w:val="MGfulltext"/>
        <w:spacing w:after="0"/>
        <w:ind w:left="426" w:hanging="426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10.</w:t>
      </w:r>
      <w:r w:rsidRPr="009B15FB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ab/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En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el cuadro</w:t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1</w:t>
      </w:r>
      <w:r w:rsidR="004B6CAD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, a continuación,</w:t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se presenta un resumen de los escenarios presupuestarios y sus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repercusiones</w:t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.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Se puede</w:t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encontrar información más detallada en el documento COP15 Doc.23.1 y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en </w:t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el documento informativo COP15 Inf.1, que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presentan</w:t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análisis narrativos y cuantitativos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que </w:t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describen los respectivos costos, beneficios </w:t>
      </w:r>
      <w:r w:rsid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>y repercusiones</w:t>
      </w:r>
      <w:r w:rsidR="00E925A9" w:rsidRPr="00E925A9">
        <w:rPr>
          <w:rFonts w:asciiTheme="minorHAnsi" w:eastAsia="Batang" w:hAnsiTheme="minorHAnsi" w:cs="Times New Roman"/>
          <w:noProof/>
          <w:sz w:val="22"/>
          <w:szCs w:val="22"/>
          <w:lang w:val="es-ES"/>
        </w:rPr>
        <w:t xml:space="preserve"> políticas de cada escenario.</w:t>
      </w:r>
    </w:p>
    <w:p w14:paraId="279C1C0B" w14:textId="77777777" w:rsidR="00125B29" w:rsidRPr="009B15FB" w:rsidRDefault="00125B29" w:rsidP="007949D0">
      <w:pPr>
        <w:pStyle w:val="MGfulltext"/>
        <w:spacing w:after="0"/>
        <w:rPr>
          <w:rFonts w:asciiTheme="minorHAnsi" w:eastAsia="Batang" w:hAnsiTheme="minorHAnsi"/>
          <w:b/>
          <w:bCs/>
          <w:iCs/>
          <w:noProof/>
          <w:sz w:val="22"/>
          <w:szCs w:val="22"/>
          <w:lang w:val="es-ES"/>
        </w:rPr>
      </w:pPr>
    </w:p>
    <w:p w14:paraId="18E62A44" w14:textId="26D03008" w:rsidR="00737885" w:rsidRPr="009B15FB" w:rsidRDefault="00E925A9" w:rsidP="007949D0">
      <w:pPr>
        <w:pStyle w:val="MGfulltext"/>
        <w:spacing w:after="0"/>
        <w:rPr>
          <w:rFonts w:asciiTheme="minorHAnsi" w:eastAsia="Batang" w:hAnsiTheme="minorHAnsi"/>
          <w:i/>
          <w:noProof/>
          <w:sz w:val="22"/>
          <w:szCs w:val="22"/>
          <w:lang w:val="es-ES"/>
        </w:rPr>
      </w:pPr>
      <w:r>
        <w:rPr>
          <w:rFonts w:asciiTheme="minorHAnsi" w:eastAsia="Batang" w:hAnsiTheme="minorHAnsi"/>
          <w:i/>
          <w:noProof/>
          <w:sz w:val="22"/>
          <w:szCs w:val="22"/>
          <w:lang w:val="es-ES"/>
        </w:rPr>
        <w:t>Cuadro</w:t>
      </w:r>
      <w:r w:rsidR="007D25EE" w:rsidRPr="009B15FB">
        <w:rPr>
          <w:rFonts w:asciiTheme="minorHAnsi" w:eastAsia="Batang" w:hAnsiTheme="minorHAnsi"/>
          <w:i/>
          <w:noProof/>
          <w:sz w:val="22"/>
          <w:szCs w:val="22"/>
          <w:lang w:val="es-ES"/>
        </w:rPr>
        <w:t xml:space="preserve"> 1</w:t>
      </w:r>
      <w:r w:rsidR="007949D0" w:rsidRPr="009B15FB">
        <w:rPr>
          <w:rFonts w:asciiTheme="minorHAnsi" w:eastAsia="Batang" w:hAnsiTheme="minorHAnsi"/>
          <w:i/>
          <w:noProof/>
          <w:sz w:val="22"/>
          <w:szCs w:val="22"/>
          <w:lang w:val="es-ES"/>
        </w:rPr>
        <w:t>:</w:t>
      </w:r>
      <w:r w:rsidR="007D25EE" w:rsidRPr="009B15FB">
        <w:rPr>
          <w:rFonts w:asciiTheme="minorHAnsi" w:eastAsia="Batang" w:hAnsiTheme="minorHAnsi"/>
          <w:i/>
          <w:noProof/>
          <w:sz w:val="22"/>
          <w:szCs w:val="22"/>
          <w:lang w:val="es-ES"/>
        </w:rPr>
        <w:t xml:space="preserve"> </w:t>
      </w:r>
      <w:r>
        <w:rPr>
          <w:rFonts w:asciiTheme="minorHAnsi" w:eastAsia="Batang" w:hAnsiTheme="minorHAnsi"/>
          <w:i/>
          <w:noProof/>
          <w:sz w:val="22"/>
          <w:szCs w:val="22"/>
          <w:lang w:val="es-ES"/>
        </w:rPr>
        <w:t>Resumen de las repercusiones de los escenarios presupuestarios 2062-2028 presentados a la COP15</w:t>
      </w:r>
    </w:p>
    <w:tbl>
      <w:tblPr>
        <w:tblStyle w:val="TableGrid"/>
        <w:tblW w:w="940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1252"/>
        <w:gridCol w:w="1775"/>
        <w:gridCol w:w="1306"/>
        <w:gridCol w:w="1407"/>
        <w:gridCol w:w="1220"/>
        <w:gridCol w:w="1199"/>
      </w:tblGrid>
      <w:tr w:rsidR="00D808CC" w:rsidRPr="00641B1B" w14:paraId="62DED1CC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03431" w14:textId="102594E9" w:rsidR="00737885" w:rsidRPr="009B15FB" w:rsidRDefault="00D808CC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>Escenario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0F0C33" w14:textId="6962E598" w:rsidR="00737885" w:rsidRPr="009B15FB" w:rsidRDefault="00D808CC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 xml:space="preserve">Nuevos puestos de personal en comparación con trienios anteriores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53D68C" w14:textId="3B6E8539" w:rsidR="00737885" w:rsidRPr="009B15FB" w:rsidRDefault="00D808CC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 xml:space="preserve">Ajustes de equidad del personal existente según la recomendación de Recursos Humanos de la UICN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5A806B" w14:textId="4A35DF5C" w:rsidR="00737885" w:rsidRPr="009B15FB" w:rsidRDefault="00D808CC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>Ajuste del costo de la mano de obra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FD4E41" w14:textId="29C37DC1" w:rsidR="00737885" w:rsidRPr="009B15FB" w:rsidRDefault="00D808CC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>Ajustes por desempeño y ascensos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AFF519" w14:textId="376DEA0A" w:rsidR="00737885" w:rsidRPr="009B15FB" w:rsidRDefault="00D808CC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>Creación de capacidad del personal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5A7FA0" w14:textId="10D2FA1A" w:rsidR="00737885" w:rsidRPr="009B15FB" w:rsidRDefault="00D808CC" w:rsidP="007949D0">
            <w:pPr>
              <w:pStyle w:val="MGfulltext"/>
              <w:spacing w:after="0"/>
              <w:jc w:val="center"/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 xml:space="preserve">Servicios operativos de la </w:t>
            </w:r>
            <w:r w:rsidR="00737885" w:rsidRPr="009B15FB"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 xml:space="preserve">COP16 </w:t>
            </w:r>
            <w:r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>(no como anfitrión</w:t>
            </w:r>
            <w:r w:rsidR="00737885" w:rsidRPr="009B15FB">
              <w:rPr>
                <w:rFonts w:asciiTheme="minorHAnsi" w:eastAsia="Batang" w:hAnsiTheme="minorHAnsi"/>
                <w:b/>
                <w:bCs/>
                <w:iCs/>
                <w:noProof/>
                <w:sz w:val="20"/>
                <w:szCs w:val="20"/>
                <w:lang w:val="es-ES"/>
              </w:rPr>
              <w:t>)</w:t>
            </w:r>
          </w:p>
        </w:tc>
      </w:tr>
      <w:tr w:rsidR="00D808CC" w:rsidRPr="009B15FB" w14:paraId="25CA26D1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738D" w14:textId="48BE224D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 xml:space="preserve">0%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A60B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A1DA" w14:textId="5D5BACEC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Par</w:t>
            </w:r>
            <w:r w:rsidR="00D808CC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c</w:t>
            </w: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ial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0855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No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67B6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B238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No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E6FC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No</w:t>
            </w:r>
          </w:p>
        </w:tc>
      </w:tr>
      <w:tr w:rsidR="00D808CC" w:rsidRPr="009B15FB" w14:paraId="0B13D406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E86" w14:textId="6624E43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4</w:t>
            </w:r>
            <w:r w:rsidR="00D808CC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,</w:t>
            </w: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1%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7946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502B" w14:textId="72932266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Par</w:t>
            </w:r>
            <w:r w:rsidR="00D808CC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c</w:t>
            </w: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ial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3E04" w14:textId="41F447E3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Sí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E25E" w14:textId="22F34D37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Sí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EB7E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No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539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No</w:t>
            </w:r>
          </w:p>
        </w:tc>
      </w:tr>
      <w:tr w:rsidR="00D808CC" w:rsidRPr="009B15FB" w14:paraId="1B0463BE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9305" w14:textId="1EB8A6E5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9</w:t>
            </w:r>
            <w:r w:rsidR="00D808CC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,</w:t>
            </w: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6%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E591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DD74" w14:textId="1D6B8321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 xml:space="preserve">Completo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916B" w14:textId="4BE3D0D1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Sí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8D63" w14:textId="1357658C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Sí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EECC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No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EE3E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No</w:t>
            </w:r>
          </w:p>
        </w:tc>
      </w:tr>
      <w:tr w:rsidR="00D808CC" w:rsidRPr="009B15FB" w14:paraId="1980FB95" w14:textId="77777777" w:rsidTr="007949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31BD" w14:textId="42E7E9F2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11</w:t>
            </w:r>
            <w:r w:rsidR="00D808CC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,</w:t>
            </w: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3%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EA19" w14:textId="77777777" w:rsidR="00737885" w:rsidRPr="009B15FB" w:rsidRDefault="00737885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 w:rsidRPr="009B15FB"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BFC0" w14:textId="65FC9923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Completo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F1E0" w14:textId="7CBE9A20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Sí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295E" w14:textId="0772EB3E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Sí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D2E5" w14:textId="3E1DFC27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Sí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4333" w14:textId="21C3FC75" w:rsidR="00737885" w:rsidRPr="009B15FB" w:rsidRDefault="00D808CC" w:rsidP="007949D0">
            <w:pPr>
              <w:pStyle w:val="MGfulltext"/>
              <w:spacing w:after="0"/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eastAsia="Batang" w:hAnsiTheme="minorHAnsi"/>
                <w:iCs/>
                <w:noProof/>
                <w:sz w:val="20"/>
                <w:szCs w:val="20"/>
                <w:lang w:val="es-ES"/>
              </w:rPr>
              <w:t>Sí</w:t>
            </w:r>
          </w:p>
        </w:tc>
      </w:tr>
    </w:tbl>
    <w:p w14:paraId="5FD2B1FA" w14:textId="044046F1" w:rsidR="007D3628" w:rsidRPr="009B15FB" w:rsidRDefault="007D3628" w:rsidP="007949D0">
      <w:pPr>
        <w:pStyle w:val="MGfulltext"/>
        <w:spacing w:after="0"/>
        <w:rPr>
          <w:rFonts w:asciiTheme="minorHAnsi" w:eastAsia="Batang" w:hAnsiTheme="minorHAnsi" w:cs="Times New Roman"/>
          <w:noProof/>
          <w:sz w:val="22"/>
          <w:szCs w:val="22"/>
          <w:lang w:val="es-ES"/>
        </w:rPr>
      </w:pPr>
    </w:p>
    <w:p w14:paraId="6CEEBBDF" w14:textId="77777777" w:rsidR="00327DFA" w:rsidRPr="009B15FB" w:rsidRDefault="00327DFA" w:rsidP="007949D0">
      <w:pPr>
        <w:rPr>
          <w:rFonts w:asciiTheme="minorHAnsi" w:eastAsia="Batang" w:hAnsiTheme="minorHAnsi"/>
          <w:noProof/>
          <w:color w:val="000000"/>
          <w:lang w:val="es-ES" w:eastAsia="ko-KR"/>
        </w:rPr>
      </w:pPr>
    </w:p>
    <w:p w14:paraId="74E7B8AE" w14:textId="35E8D0DF" w:rsidR="005236F8" w:rsidRDefault="007949D0" w:rsidP="007949D0">
      <w:pPr>
        <w:rPr>
          <w:rFonts w:asciiTheme="minorHAnsi" w:eastAsia="Batang" w:hAnsiTheme="minorHAnsi"/>
          <w:noProof/>
          <w:color w:val="000000"/>
          <w:lang w:val="es-ES" w:eastAsia="ko-KR"/>
        </w:rPr>
      </w:pPr>
      <w:r w:rsidRPr="009B15FB">
        <w:rPr>
          <w:rFonts w:asciiTheme="minorHAnsi" w:eastAsia="Batang" w:hAnsiTheme="minorHAnsi"/>
          <w:noProof/>
          <w:color w:val="000000"/>
          <w:lang w:val="es-ES" w:eastAsia="ko-KR"/>
        </w:rPr>
        <w:lastRenderedPageBreak/>
        <w:t>11</w:t>
      </w:r>
      <w:r w:rsidR="00327DFA" w:rsidRPr="009B15FB">
        <w:rPr>
          <w:rFonts w:asciiTheme="minorHAnsi" w:eastAsia="Batang" w:hAnsiTheme="minorHAnsi"/>
          <w:noProof/>
          <w:color w:val="000000"/>
          <w:lang w:val="es-ES" w:eastAsia="ko-KR"/>
        </w:rPr>
        <w:t>.</w:t>
      </w:r>
      <w:r w:rsidR="00327DFA" w:rsidRPr="009B15FB">
        <w:rPr>
          <w:rFonts w:asciiTheme="minorHAnsi" w:eastAsia="Batang" w:hAnsiTheme="minorHAnsi"/>
          <w:noProof/>
          <w:color w:val="000000"/>
          <w:lang w:val="es-ES" w:eastAsia="ko-KR"/>
        </w:rPr>
        <w:tab/>
      </w:r>
      <w:r w:rsidR="005236F8" w:rsidRPr="005236F8">
        <w:rPr>
          <w:rFonts w:asciiTheme="minorHAnsi" w:eastAsia="Batang" w:hAnsiTheme="minorHAnsi"/>
          <w:noProof/>
          <w:color w:val="000000"/>
          <w:lang w:val="es-ES" w:eastAsia="ko-KR"/>
        </w:rPr>
        <w:t xml:space="preserve">Se han mantenido los detalles del presupuesto básico de cada departamento o categoría para ayudar a las Partes Contratantes a </w:t>
      </w:r>
      <w:r w:rsidR="005236F8">
        <w:rPr>
          <w:rFonts w:asciiTheme="minorHAnsi" w:eastAsia="Batang" w:hAnsiTheme="minorHAnsi"/>
          <w:noProof/>
          <w:color w:val="000000"/>
          <w:lang w:val="es-ES" w:eastAsia="ko-KR"/>
        </w:rPr>
        <w:t>conocer</w:t>
      </w:r>
      <w:r w:rsidR="005236F8" w:rsidRPr="005236F8">
        <w:rPr>
          <w:rFonts w:asciiTheme="minorHAnsi" w:eastAsia="Batang" w:hAnsiTheme="minorHAnsi"/>
          <w:noProof/>
          <w:color w:val="000000"/>
          <w:lang w:val="es-ES" w:eastAsia="ko-KR"/>
        </w:rPr>
        <w:t xml:space="preserve"> en detalle cómo se utilizarán sus contribuciones. Estos </w:t>
      </w:r>
      <w:r w:rsidR="005236F8">
        <w:rPr>
          <w:rFonts w:asciiTheme="minorHAnsi" w:eastAsia="Batang" w:hAnsiTheme="minorHAnsi"/>
          <w:noProof/>
          <w:color w:val="000000"/>
          <w:lang w:val="es-ES" w:eastAsia="ko-KR"/>
        </w:rPr>
        <w:t>pormenores</w:t>
      </w:r>
      <w:r w:rsidR="005236F8" w:rsidRPr="005236F8">
        <w:rPr>
          <w:rFonts w:asciiTheme="minorHAnsi" w:eastAsia="Batang" w:hAnsiTheme="minorHAnsi"/>
          <w:noProof/>
          <w:color w:val="000000"/>
          <w:lang w:val="es-ES" w:eastAsia="ko-KR"/>
        </w:rPr>
        <w:t xml:space="preserve"> se eliminarán en la </w:t>
      </w:r>
      <w:r w:rsidR="00FE3EE1">
        <w:rPr>
          <w:rFonts w:asciiTheme="minorHAnsi" w:eastAsia="Batang" w:hAnsiTheme="minorHAnsi"/>
          <w:noProof/>
          <w:color w:val="000000"/>
          <w:lang w:val="es-ES" w:eastAsia="ko-KR"/>
        </w:rPr>
        <w:t>R</w:t>
      </w:r>
      <w:r w:rsidR="005236F8" w:rsidRPr="005236F8">
        <w:rPr>
          <w:rFonts w:asciiTheme="minorHAnsi" w:eastAsia="Batang" w:hAnsiTheme="minorHAnsi"/>
          <w:noProof/>
          <w:color w:val="000000"/>
          <w:lang w:val="es-ES" w:eastAsia="ko-KR"/>
        </w:rPr>
        <w:t xml:space="preserve">esolución final que se </w:t>
      </w:r>
      <w:r w:rsidR="005236F8">
        <w:rPr>
          <w:rFonts w:asciiTheme="minorHAnsi" w:eastAsia="Batang" w:hAnsiTheme="minorHAnsi"/>
          <w:noProof/>
          <w:color w:val="000000"/>
          <w:lang w:val="es-ES" w:eastAsia="ko-KR"/>
        </w:rPr>
        <w:t>aprobará</w:t>
      </w:r>
      <w:r w:rsidR="005236F8" w:rsidRPr="005236F8">
        <w:rPr>
          <w:rFonts w:asciiTheme="minorHAnsi" w:eastAsia="Batang" w:hAnsiTheme="minorHAnsi"/>
          <w:noProof/>
          <w:color w:val="000000"/>
          <w:lang w:val="es-ES" w:eastAsia="ko-KR"/>
        </w:rPr>
        <w:t xml:space="preserve"> en la COP15, </w:t>
      </w:r>
      <w:r w:rsidR="005236F8">
        <w:rPr>
          <w:rFonts w:asciiTheme="minorHAnsi" w:eastAsia="Batang" w:hAnsiTheme="minorHAnsi"/>
          <w:noProof/>
          <w:color w:val="000000"/>
          <w:lang w:val="es-ES" w:eastAsia="ko-KR"/>
        </w:rPr>
        <w:t>de conformidad con</w:t>
      </w:r>
      <w:r w:rsidR="005236F8" w:rsidRPr="005236F8">
        <w:rPr>
          <w:rFonts w:asciiTheme="minorHAnsi" w:eastAsia="Batang" w:hAnsiTheme="minorHAnsi"/>
          <w:noProof/>
          <w:color w:val="000000"/>
          <w:lang w:val="es-ES" w:eastAsia="ko-KR"/>
        </w:rPr>
        <w:t xml:space="preserve"> la práctica de las COP anteriores.</w:t>
      </w:r>
    </w:p>
    <w:p w14:paraId="1449D528" w14:textId="77777777" w:rsidR="006C4772" w:rsidRPr="009B15FB" w:rsidRDefault="006C4772" w:rsidP="005236F8">
      <w:pPr>
        <w:ind w:left="0" w:firstLine="0"/>
        <w:rPr>
          <w:rFonts w:asciiTheme="minorHAnsi" w:eastAsia="Batang" w:hAnsiTheme="minorHAnsi"/>
          <w:bCs/>
          <w:noProof/>
          <w:lang w:val="es-ES" w:eastAsia="ko-KR"/>
        </w:rPr>
      </w:pPr>
      <w:r w:rsidRPr="009B15FB">
        <w:rPr>
          <w:rFonts w:asciiTheme="minorHAnsi" w:eastAsia="Batang" w:hAnsiTheme="minorHAnsi"/>
          <w:bCs/>
          <w:noProof/>
          <w:lang w:val="es-ES" w:eastAsia="ko-KR"/>
        </w:rPr>
        <w:br w:type="page"/>
      </w:r>
    </w:p>
    <w:p w14:paraId="530D17AC" w14:textId="73C99556" w:rsidR="00F21A80" w:rsidRPr="009B15FB" w:rsidRDefault="005236F8" w:rsidP="007949D0">
      <w:pPr>
        <w:pStyle w:val="ListParagraph"/>
        <w:ind w:left="0" w:firstLine="0"/>
        <w:contextualSpacing w:val="0"/>
        <w:rPr>
          <w:rFonts w:cs="Arial"/>
          <w:b/>
          <w:noProof/>
          <w:sz w:val="24"/>
          <w:szCs w:val="24"/>
          <w:lang w:val="es-ES"/>
        </w:rPr>
      </w:pPr>
      <w:r>
        <w:rPr>
          <w:rFonts w:cs="Arial"/>
          <w:b/>
          <w:noProof/>
          <w:sz w:val="24"/>
          <w:szCs w:val="24"/>
          <w:lang w:val="es-ES"/>
        </w:rPr>
        <w:lastRenderedPageBreak/>
        <w:t>Anexo</w:t>
      </w:r>
      <w:r w:rsidR="00F21A80" w:rsidRPr="009B15FB">
        <w:rPr>
          <w:rFonts w:cs="Arial"/>
          <w:b/>
          <w:noProof/>
          <w:sz w:val="24"/>
          <w:szCs w:val="24"/>
          <w:lang w:val="es-ES"/>
        </w:rPr>
        <w:t xml:space="preserve"> 1</w:t>
      </w:r>
    </w:p>
    <w:p w14:paraId="301FD660" w14:textId="10176AE7" w:rsidR="005236F8" w:rsidRDefault="005236F8" w:rsidP="007949D0">
      <w:pPr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s-ES" w:eastAsia="en-GB"/>
        </w:rPr>
      </w:pPr>
      <w:r>
        <w:rPr>
          <w:rFonts w:asciiTheme="minorHAnsi" w:hAnsiTheme="minorHAnsi"/>
          <w:b/>
          <w:bCs/>
          <w:noProof/>
          <w:sz w:val="24"/>
          <w:szCs w:val="24"/>
          <w:lang w:val="es-ES" w:eastAsia="en-GB"/>
        </w:rPr>
        <w:t>Resumen de los resultados del presupuesto básico de 2023-2024</w:t>
      </w:r>
      <w:r w:rsidR="00E72090">
        <w:rPr>
          <w:rFonts w:asciiTheme="minorHAnsi" w:hAnsiTheme="minorHAnsi"/>
          <w:b/>
          <w:bCs/>
          <w:noProof/>
          <w:sz w:val="24"/>
          <w:szCs w:val="24"/>
          <w:lang w:val="es-ES" w:eastAsia="en-GB"/>
        </w:rPr>
        <w:t xml:space="preserve"> y </w:t>
      </w:r>
      <w:r w:rsidR="00FE3EE1">
        <w:rPr>
          <w:rFonts w:asciiTheme="minorHAnsi" w:hAnsiTheme="minorHAnsi"/>
          <w:b/>
          <w:bCs/>
          <w:noProof/>
          <w:sz w:val="24"/>
          <w:szCs w:val="24"/>
          <w:lang w:val="es-ES" w:eastAsia="en-GB"/>
        </w:rPr>
        <w:t xml:space="preserve">del </w:t>
      </w:r>
      <w:r w:rsidR="00E72090">
        <w:rPr>
          <w:rFonts w:asciiTheme="minorHAnsi" w:hAnsiTheme="minorHAnsi"/>
          <w:b/>
          <w:bCs/>
          <w:noProof/>
          <w:sz w:val="24"/>
          <w:szCs w:val="24"/>
          <w:lang w:val="es-ES" w:eastAsia="en-GB"/>
        </w:rPr>
        <w:t>presupuesto aprobado para 2025</w:t>
      </w:r>
    </w:p>
    <w:p w14:paraId="08FE8D70" w14:textId="59B2E0CB" w:rsidR="002116FA" w:rsidRPr="009B15FB" w:rsidRDefault="00E72090" w:rsidP="007949D0">
      <w:pPr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s-ES" w:eastAsia="en-GB"/>
        </w:rPr>
      </w:pPr>
      <w:r w:rsidRPr="00E72090">
        <w:rPr>
          <w:rFonts w:asciiTheme="minorHAnsi" w:eastAsia="Times New Roman" w:hAnsiTheme="minorHAnsi" w:cs="Arial"/>
          <w:bCs/>
          <w:i/>
          <w:noProof/>
          <w:sz w:val="20"/>
          <w:szCs w:val="20"/>
          <w:lang w:val="es-ES" w:eastAsia="en-GB"/>
        </w:rPr>
        <w:t>(en miles de francos suizos, con posibles diferencias por redondeo)</w:t>
      </w:r>
    </w:p>
    <w:p w14:paraId="05891D55" w14:textId="77777777" w:rsidR="007949D0" w:rsidRPr="009B15FB" w:rsidRDefault="007949D0" w:rsidP="007949D0">
      <w:pPr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s-ES" w:eastAsia="en-GB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5"/>
        <w:gridCol w:w="1131"/>
        <w:gridCol w:w="1027"/>
        <w:gridCol w:w="1095"/>
        <w:gridCol w:w="1134"/>
        <w:gridCol w:w="1134"/>
        <w:gridCol w:w="1134"/>
      </w:tblGrid>
      <w:tr w:rsidR="0060177F" w:rsidRPr="009B15FB" w14:paraId="213528BE" w14:textId="77777777" w:rsidTr="007949D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104F3C" w14:textId="54AB98D4" w:rsidR="0060177F" w:rsidRPr="009B15FB" w:rsidRDefault="00E72090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Presupuesto básico del trienio 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  <w:t>2023-2025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en miles de francos suizos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BCA29E" w14:textId="41C85B50" w:rsidR="0060177F" w:rsidRPr="009B15FB" w:rsidRDefault="00E72090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E7209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Datos básicos reales</w:t>
            </w:r>
            <w:r w:rsidR="0060177F" w:rsidRPr="00E7209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0177F" w:rsidRPr="00E7209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B73780" w14:textId="77C04FBF" w:rsidR="0060177F" w:rsidRPr="009B15FB" w:rsidRDefault="00E72090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E7209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Datos básicos reales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  <w:t>2024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D91ADD" w14:textId="09E2B5A6" w:rsidR="0060177F" w:rsidRPr="009B15FB" w:rsidRDefault="00E72090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Presupuesto básico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F928CC" w14:textId="2C73BE7C" w:rsidR="0060177F" w:rsidRPr="009B15FB" w:rsidRDefault="00E72090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Datos básicos reales totales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9EEDBA" w14:textId="245A80FE" w:rsidR="0060177F" w:rsidRPr="009B15FB" w:rsidRDefault="00E72090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spacing w:val="-6"/>
                <w:sz w:val="20"/>
                <w:szCs w:val="20"/>
                <w:lang w:val="es-ES" w:eastAsia="en-GB"/>
              </w:rPr>
              <w:t xml:space="preserve">Presupuesto aprobado por la 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pacing w:val="-6"/>
                <w:sz w:val="20"/>
                <w:szCs w:val="20"/>
                <w:lang w:val="es-ES" w:eastAsia="en-GB"/>
              </w:rPr>
              <w:t xml:space="preserve">COP14 </w:t>
            </w: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para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662906" w14:textId="68D1EA01" w:rsidR="00E72090" w:rsidRDefault="00E72090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Variación - superávit / (déficit) </w:t>
            </w:r>
          </w:p>
          <w:p w14:paraId="7012EDAE" w14:textId="2A657C81" w:rsidR="0060177F" w:rsidRPr="009B15FB" w:rsidRDefault="0060177F" w:rsidP="007949D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br/>
              <w:t>2023-2025</w:t>
            </w:r>
          </w:p>
        </w:tc>
      </w:tr>
      <w:tr w:rsidR="0060177F" w:rsidRPr="009B15FB" w14:paraId="79B67083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6AB" w14:textId="5DA8BFA2" w:rsidR="0060177F" w:rsidRPr="009B15FB" w:rsidRDefault="00E72090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INGRESOS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2933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6384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9E91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3CD8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EF54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4095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</w:tr>
      <w:tr w:rsidR="0060177F" w:rsidRPr="009B15FB" w14:paraId="22F7464E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05E" w14:textId="3176B0A2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Contribu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ciones de las Partes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0CE1" w14:textId="43C32D38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779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C856" w14:textId="7AE67BAE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779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78B6" w14:textId="300BE385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779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AA96" w14:textId="2EF40616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334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1C07" w14:textId="53ABF9C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334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02B8" w14:textId="0F2BCA4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0 </w:t>
            </w:r>
          </w:p>
        </w:tc>
      </w:tr>
      <w:tr w:rsidR="0060177F" w:rsidRPr="009B15FB" w14:paraId="127E6D07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2AD" w14:textId="1DEF7C0D" w:rsidR="0060177F" w:rsidRPr="009B15FB" w:rsidRDefault="003E3436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Contribuciones voluntarias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AD23" w14:textId="3F29A4B2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066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EA97" w14:textId="087614EB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065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694A" w14:textId="55AE4DCC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065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BCF4" w14:textId="53E88BC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9690" w14:textId="457712D6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D573" w14:textId="0A70895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0</w:t>
            </w:r>
          </w:p>
        </w:tc>
      </w:tr>
      <w:tr w:rsidR="0060177F" w:rsidRPr="009B15FB" w14:paraId="1BAFD30D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6DA0" w14:textId="0F837C02" w:rsidR="0060177F" w:rsidRPr="009B15FB" w:rsidRDefault="003E3436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Impuesto sobre la renta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62ED" w14:textId="0854E800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189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E2BC" w14:textId="2021286A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194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0876" w14:textId="24F50F71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225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E9E8" w14:textId="099EAA13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608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3435" w14:textId="071F9D8E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675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C7AB" w14:textId="7852593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67</w:t>
            </w:r>
          </w:p>
        </w:tc>
      </w:tr>
      <w:tr w:rsidR="0060177F" w:rsidRPr="009B15FB" w14:paraId="7608F02B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ACD" w14:textId="2B29BFC7" w:rsidR="0060177F" w:rsidRPr="009B15FB" w:rsidRDefault="003E3436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Otros ingresos</w:t>
            </w:r>
            <w:r w:rsidR="0060177F"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incluyendo ingresos por intereses</w:t>
            </w:r>
            <w:r w:rsidR="0060177F"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7357" w14:textId="3C54F21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19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946A" w14:textId="2AFD7A0A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52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8F1B" w14:textId="5E786BA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844A" w14:textId="5CA68ED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DD27" w14:textId="731B3313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0BF2" w14:textId="638D9C8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(47) </w:t>
            </w:r>
          </w:p>
        </w:tc>
      </w:tr>
      <w:tr w:rsidR="0060177F" w:rsidRPr="009B15FB" w14:paraId="72E2650A" w14:textId="77777777" w:rsidTr="007949D0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FF296BC" w14:textId="780C6F58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TOTAL</w:t>
            </w:r>
            <w:r w:rsidR="00C47CC3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DE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="003E3436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INGRESOS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88D808B" w14:textId="045D3AFB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053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7890A98" w14:textId="79DC0FE0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090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F68489A" w14:textId="3A29769E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BBEE28F" w14:textId="329DD784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15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224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50671E5" w14:textId="7BB173A2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15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243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34C5841" w14:textId="62B22F9A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20</w:t>
            </w:r>
          </w:p>
        </w:tc>
      </w:tr>
      <w:tr w:rsidR="0060177F" w:rsidRPr="009B15FB" w14:paraId="12DA545F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002" w14:textId="6224E0D5" w:rsidR="0060177F" w:rsidRPr="009B15FB" w:rsidRDefault="003E3436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GASTOS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B4D6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562C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CD6B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832B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F68A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F7E2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</w:tr>
      <w:tr w:rsidR="0060177F" w:rsidRPr="009B15FB" w14:paraId="3ED4AA62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DFC" w14:textId="5E511110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A. 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Personal directivo de la Secretaría y gobernanza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F5B5" w14:textId="6A5BA37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122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EF95" w14:textId="717AE56C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281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DDE7" w14:textId="74E80C68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062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D2C4" w14:textId="3F395F51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618D" w14:textId="09D057E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2879" w14:textId="5A6FFDCC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(297)</w:t>
            </w:r>
          </w:p>
        </w:tc>
      </w:tr>
      <w:tr w:rsidR="0060177F" w:rsidRPr="009B15FB" w14:paraId="42F77407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5853" w14:textId="5144C9EE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B. 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Movilización de recursos y promoción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697B" w14:textId="68D239CA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494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5AF1" w14:textId="6B1BF20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668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9F6D" w14:textId="7C92E15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508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5CEF" w14:textId="70C83D5A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670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FF96" w14:textId="42D9CF61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524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F142" w14:textId="5E75E11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(146)</w:t>
            </w:r>
          </w:p>
        </w:tc>
      </w:tr>
      <w:tr w:rsidR="0060177F" w:rsidRPr="009B15FB" w14:paraId="349B2800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E8C" w14:textId="3CAEAC8B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C. 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Asesoramiento y apoyo regionales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F7B5" w14:textId="415765C1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109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B318" w14:textId="5CDF0863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109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7F7A" w14:textId="1CE323E1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316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3E83" w14:textId="5EC17E75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534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1369" w14:textId="3A428266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943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8B99" w14:textId="0E2EEA86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409</w:t>
            </w:r>
          </w:p>
        </w:tc>
      </w:tr>
      <w:tr w:rsidR="0060177F" w:rsidRPr="009B15FB" w14:paraId="14D34E23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636A" w14:textId="5F0C91E5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D. 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Apoyo a las iniciativas regionales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A411" w14:textId="68CAFCE3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C964" w14:textId="0807B132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B10F" w14:textId="1582E153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EA15" w14:textId="17A3ABA1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097D" w14:textId="6681D01A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BC93" w14:textId="31E993A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150</w:t>
            </w:r>
          </w:p>
        </w:tc>
      </w:tr>
      <w:tr w:rsidR="0060177F" w:rsidRPr="009B15FB" w14:paraId="7574802E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5C93" w14:textId="6D5A1648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E. 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Ciencia y políticas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2E4C" w14:textId="4E546DA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752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EA9B" w14:textId="31F0C7E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939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23B6" w14:textId="3E86E2AB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817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DCEB" w14:textId="777D50AC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2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508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0F31" w14:textId="3C29914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2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B340" w14:textId="11F55E3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(31) </w:t>
            </w:r>
          </w:p>
        </w:tc>
      </w:tr>
      <w:tr w:rsidR="0060177F" w:rsidRPr="009B15FB" w14:paraId="3F66FCD7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4E10" w14:textId="3F6DA605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F.  Administra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ció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7E47" w14:textId="18005E31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409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21B1" w14:textId="6B61C672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448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4A1C" w14:textId="541E34C5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31E8" w14:textId="397BE236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99CC" w14:textId="40CCD9A3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2583" w14:textId="11DD29F6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95 </w:t>
            </w:r>
          </w:p>
        </w:tc>
      </w:tr>
      <w:tr w:rsidR="0060177F" w:rsidRPr="009B15FB" w14:paraId="2E694569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8D4F" w14:textId="1582FAA0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G.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Servicios del Comité Permanente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FB4B" w14:textId="612A3732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172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6627" w14:textId="3430B7B0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238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D464" w14:textId="3795628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4AB5" w14:textId="7B5D06D9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560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C2CA" w14:textId="3347AD2B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B2B4" w14:textId="3AC9848A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(110)</w:t>
            </w:r>
          </w:p>
        </w:tc>
      </w:tr>
      <w:tr w:rsidR="0060177F" w:rsidRPr="009B15FB" w14:paraId="136AC482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275" w14:textId="46B99B2B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H. 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Gastos por servicios administrativos de la UICN (máximo)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46A7" w14:textId="2B945840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540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5EB2" w14:textId="561FF639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534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86F6" w14:textId="4F2FFD6D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541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0003" w14:textId="03E739F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615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4C67" w14:textId="65575D8E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1</w:t>
            </w:r>
            <w:r w:rsidR="007A7521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623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F909" w14:textId="5BAC4A6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8 </w:t>
            </w:r>
          </w:p>
        </w:tc>
      </w:tr>
      <w:tr w:rsidR="0060177F" w:rsidRPr="009B15FB" w14:paraId="7040FEE1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AD5" w14:textId="64761789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I. 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Varios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–</w:t>
            </w: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</w:t>
            </w:r>
            <w:r w:rsidR="003E343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Fondo de reserva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FB6C" w14:textId="750A55FB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457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20FF" w14:textId="455B8D9B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106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C168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109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A9F4" w14:textId="04F614F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672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CBCE" w14:textId="37FBDF1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99B0" w14:textId="0C6B7A03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 xml:space="preserve">  (345)</w:t>
            </w:r>
          </w:p>
        </w:tc>
      </w:tr>
      <w:tr w:rsidR="0060177F" w:rsidRPr="009B15FB" w14:paraId="0FF9CFC8" w14:textId="77777777" w:rsidTr="007949D0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7EE704" w14:textId="117C5CE2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TOTAL</w:t>
            </w:r>
            <w:r w:rsidR="00C47CC3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DE</w:t>
            </w:r>
            <w:r w:rsidR="003E3436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GASTOS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7713FE0" w14:textId="00EE4C9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059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EAC296D" w14:textId="3E58E6D4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370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DBE0527" w14:textId="48BF6740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9CE71E" w14:textId="0B4AC74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15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510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25B386C" w14:textId="24F81B8E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15</w:t>
            </w:r>
            <w:r w:rsidR="007A752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</w:t>
            </w: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243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0906EDD" w14:textId="01332DAA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(267)</w:t>
            </w:r>
          </w:p>
        </w:tc>
      </w:tr>
      <w:tr w:rsidR="0060177F" w:rsidRPr="009B15FB" w14:paraId="2671CC80" w14:textId="77777777" w:rsidTr="0060177F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E7AC" w14:textId="77777777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9E48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001A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DE62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0A8E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D7F5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9AD5" w14:textId="77777777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s-ES" w:eastAsia="en-GB"/>
              </w:rPr>
              <w:t> </w:t>
            </w:r>
          </w:p>
        </w:tc>
      </w:tr>
      <w:tr w:rsidR="0060177F" w:rsidRPr="009B15FB" w14:paraId="10362817" w14:textId="77777777" w:rsidTr="007949D0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6BF0C5C" w14:textId="13884B2F" w:rsidR="0060177F" w:rsidRPr="009B15FB" w:rsidRDefault="003E3436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SUPARÁVIT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 / (D</w:t>
            </w: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É</w:t>
            </w:r>
            <w:r w:rsidR="0060177F"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>FICIT)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A4A18AA" w14:textId="6D9C90E3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(6)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7A0F352" w14:textId="20F6D17B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(282)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4A36827" w14:textId="7210533A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BE77BE4" w14:textId="2BEF2DA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  <w:r w:rsidRPr="009B15FB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  <w:t xml:space="preserve">(288)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A88C20D" w14:textId="0470E99F" w:rsidR="0060177F" w:rsidRPr="009B15FB" w:rsidRDefault="0060177F" w:rsidP="007949D0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B896009" w14:textId="45A4614F" w:rsidR="0060177F" w:rsidRPr="009B15FB" w:rsidRDefault="0060177F" w:rsidP="007949D0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ES" w:eastAsia="en-GB"/>
              </w:rPr>
            </w:pPr>
          </w:p>
        </w:tc>
      </w:tr>
    </w:tbl>
    <w:p w14:paraId="03A01B08" w14:textId="419F7C4D" w:rsidR="002116FA" w:rsidRPr="009B15FB" w:rsidRDefault="002116FA" w:rsidP="007949D0">
      <w:pPr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s-ES" w:eastAsia="en-GB"/>
        </w:rPr>
      </w:pPr>
    </w:p>
    <w:p w14:paraId="03C99E4B" w14:textId="5D0F1B1B" w:rsidR="00962719" w:rsidRPr="009B15FB" w:rsidRDefault="00962719" w:rsidP="007949D0">
      <w:pPr>
        <w:ind w:left="0" w:firstLine="0"/>
        <w:rPr>
          <w:rFonts w:asciiTheme="minorHAnsi" w:eastAsia="Times New Roman" w:hAnsiTheme="minorHAnsi" w:cs="Arial"/>
          <w:noProof/>
          <w:sz w:val="20"/>
          <w:szCs w:val="20"/>
          <w:lang w:val="es-ES" w:eastAsia="en-GB"/>
        </w:rPr>
      </w:pPr>
      <w:bookmarkStart w:id="1" w:name="RANGE!B1:L176"/>
      <w:bookmarkEnd w:id="1"/>
    </w:p>
    <w:sectPr w:rsidR="00962719" w:rsidRPr="009B15FB" w:rsidSect="00BA64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05F9" w14:textId="77777777" w:rsidR="00DA3E79" w:rsidRDefault="00DA3E79" w:rsidP="00DF2386">
      <w:r>
        <w:separator/>
      </w:r>
    </w:p>
  </w:endnote>
  <w:endnote w:type="continuationSeparator" w:id="0">
    <w:p w14:paraId="0931A288" w14:textId="77777777" w:rsidR="00DA3E79" w:rsidRDefault="00DA3E79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CF5E" w14:textId="77777777" w:rsidR="001C692A" w:rsidRDefault="001C6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D56C" w14:textId="4EA4DAE4" w:rsidR="0054294B" w:rsidRPr="007856EC" w:rsidRDefault="0054294B" w:rsidP="00B938BE">
    <w:pPr>
      <w:pStyle w:val="Footer"/>
      <w:tabs>
        <w:tab w:val="clear" w:pos="9026"/>
        <w:tab w:val="left" w:pos="8789"/>
        <w:tab w:val="left" w:pos="13892"/>
      </w:tabs>
      <w:ind w:left="0" w:firstLine="0"/>
      <w:rPr>
        <w:sz w:val="20"/>
        <w:szCs w:val="20"/>
      </w:rPr>
    </w:pPr>
    <w:r>
      <w:rPr>
        <w:sz w:val="20"/>
        <w:szCs w:val="20"/>
      </w:rPr>
      <w:t>COP1</w:t>
    </w:r>
    <w:r w:rsidR="00CE5EB4">
      <w:rPr>
        <w:sz w:val="20"/>
        <w:szCs w:val="20"/>
      </w:rPr>
      <w:t>5</w:t>
    </w:r>
    <w:r>
      <w:rPr>
        <w:sz w:val="20"/>
        <w:szCs w:val="20"/>
      </w:rPr>
      <w:t xml:space="preserve"> Doc.1</w:t>
    </w:r>
    <w:r w:rsidR="00CE5EB4">
      <w:rPr>
        <w:sz w:val="20"/>
        <w:szCs w:val="20"/>
      </w:rPr>
      <w:t>8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A6428">
      <w:rPr>
        <w:sz w:val="20"/>
        <w:szCs w:val="20"/>
      </w:rPr>
      <w:fldChar w:fldCharType="begin"/>
    </w:r>
    <w:r w:rsidRPr="00BA6428">
      <w:rPr>
        <w:sz w:val="20"/>
        <w:szCs w:val="20"/>
      </w:rPr>
      <w:instrText xml:space="preserve"> PAGE   \* MERGEFORMAT </w:instrText>
    </w:r>
    <w:r w:rsidRPr="00BA6428">
      <w:rPr>
        <w:sz w:val="20"/>
        <w:szCs w:val="20"/>
      </w:rPr>
      <w:fldChar w:fldCharType="separate"/>
    </w:r>
    <w:r w:rsidR="00E93BDD">
      <w:rPr>
        <w:noProof/>
        <w:sz w:val="20"/>
        <w:szCs w:val="20"/>
      </w:rPr>
      <w:t>12</w:t>
    </w:r>
    <w:r w:rsidRPr="00BA6428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31D8" w14:textId="77777777" w:rsidR="001C692A" w:rsidRDefault="001C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1E1F" w14:textId="77777777" w:rsidR="00DA3E79" w:rsidRDefault="00DA3E79" w:rsidP="00DF2386">
      <w:r>
        <w:separator/>
      </w:r>
    </w:p>
  </w:footnote>
  <w:footnote w:type="continuationSeparator" w:id="0">
    <w:p w14:paraId="39B028F3" w14:textId="77777777" w:rsidR="00DA3E79" w:rsidRDefault="00DA3E79" w:rsidP="00DF2386">
      <w:r>
        <w:continuationSeparator/>
      </w:r>
    </w:p>
  </w:footnote>
  <w:footnote w:id="1">
    <w:p w14:paraId="08D280D9" w14:textId="4372DA05" w:rsidR="001F191D" w:rsidRPr="001F191D" w:rsidRDefault="001F191D" w:rsidP="00B852A5">
      <w:pPr>
        <w:pStyle w:val="FootnoteText"/>
        <w:ind w:left="0" w:firstLine="0"/>
        <w:rPr>
          <w:noProof/>
          <w:lang w:val="es-ES"/>
        </w:rPr>
      </w:pPr>
      <w:r w:rsidRPr="001F191D">
        <w:rPr>
          <w:rStyle w:val="FootnoteReference"/>
          <w:noProof/>
          <w:lang w:val="es-ES"/>
        </w:rPr>
        <w:footnoteRef/>
      </w:r>
      <w:r w:rsidRPr="001F191D">
        <w:rPr>
          <w:noProof/>
          <w:lang w:val="es-ES"/>
        </w:rPr>
        <w:t xml:space="preserve"> Véase el párrafo 15</w:t>
      </w:r>
      <w:r>
        <w:rPr>
          <w:noProof/>
          <w:lang w:val="es-ES"/>
        </w:rPr>
        <w:t xml:space="preserve"> del </w:t>
      </w:r>
      <w:r w:rsidRPr="001F191D">
        <w:rPr>
          <w:noProof/>
          <w:lang w:val="es-ES"/>
        </w:rPr>
        <w:t xml:space="preserve">documento SC65 Doc.8.1 en </w:t>
      </w:r>
      <w:hyperlink r:id="rId1" w:history="1">
        <w:r w:rsidR="00B852A5" w:rsidRPr="00B852A5">
          <w:rPr>
            <w:rStyle w:val="Hyperlink"/>
            <w:noProof/>
            <w:lang w:val="es-ES"/>
          </w:rPr>
          <w:t>https://www.ramsar.org/es/document/sc65-doc81-cuestiones-financieras-y-presupuestarias-actualizacion-sobre-cuestiones</w:t>
        </w:r>
      </w:hyperlink>
      <w:r w:rsidRPr="001F191D">
        <w:rPr>
          <w:noProof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E389" w14:textId="77777777" w:rsidR="001C692A" w:rsidRDefault="001C6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44C8" w14:textId="77777777" w:rsidR="001C692A" w:rsidRDefault="001C6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2A46" w14:textId="77777777" w:rsidR="001C692A" w:rsidRDefault="001C6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71C1"/>
    <w:multiLevelType w:val="hybridMultilevel"/>
    <w:tmpl w:val="A34C4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DDD"/>
    <w:multiLevelType w:val="hybridMultilevel"/>
    <w:tmpl w:val="19CAB11E"/>
    <w:lvl w:ilvl="0" w:tplc="497CAC9A">
      <w:start w:val="2"/>
      <w:numFmt w:val="lowerLetter"/>
      <w:lvlText w:val="%1."/>
      <w:lvlJc w:val="left"/>
      <w:pPr>
        <w:ind w:left="86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2D339EF"/>
    <w:multiLevelType w:val="hybridMultilevel"/>
    <w:tmpl w:val="5BA40BD2"/>
    <w:lvl w:ilvl="0" w:tplc="2C52B3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85741"/>
    <w:multiLevelType w:val="hybridMultilevel"/>
    <w:tmpl w:val="45D8F036"/>
    <w:lvl w:ilvl="0" w:tplc="0809000F">
      <w:start w:val="1"/>
      <w:numFmt w:val="decimal"/>
      <w:lvlText w:val="%1."/>
      <w:lvlJc w:val="left"/>
      <w:pPr>
        <w:ind w:left="65" w:hanging="360"/>
      </w:pPr>
    </w:lvl>
    <w:lvl w:ilvl="1" w:tplc="08090019" w:tentative="1">
      <w:start w:val="1"/>
      <w:numFmt w:val="lowerLetter"/>
      <w:lvlText w:val="%2."/>
      <w:lvlJc w:val="left"/>
      <w:pPr>
        <w:ind w:left="785" w:hanging="360"/>
      </w:pPr>
    </w:lvl>
    <w:lvl w:ilvl="2" w:tplc="0809001B" w:tentative="1">
      <w:start w:val="1"/>
      <w:numFmt w:val="lowerRoman"/>
      <w:lvlText w:val="%3."/>
      <w:lvlJc w:val="right"/>
      <w:pPr>
        <w:ind w:left="1505" w:hanging="180"/>
      </w:pPr>
    </w:lvl>
    <w:lvl w:ilvl="3" w:tplc="0809000F" w:tentative="1">
      <w:start w:val="1"/>
      <w:numFmt w:val="decimal"/>
      <w:lvlText w:val="%4."/>
      <w:lvlJc w:val="left"/>
      <w:pPr>
        <w:ind w:left="2225" w:hanging="360"/>
      </w:pPr>
    </w:lvl>
    <w:lvl w:ilvl="4" w:tplc="08090019" w:tentative="1">
      <w:start w:val="1"/>
      <w:numFmt w:val="lowerLetter"/>
      <w:lvlText w:val="%5."/>
      <w:lvlJc w:val="left"/>
      <w:pPr>
        <w:ind w:left="2945" w:hanging="360"/>
      </w:pPr>
    </w:lvl>
    <w:lvl w:ilvl="5" w:tplc="0809001B" w:tentative="1">
      <w:start w:val="1"/>
      <w:numFmt w:val="lowerRoman"/>
      <w:lvlText w:val="%6."/>
      <w:lvlJc w:val="right"/>
      <w:pPr>
        <w:ind w:left="3665" w:hanging="180"/>
      </w:pPr>
    </w:lvl>
    <w:lvl w:ilvl="6" w:tplc="0809000F" w:tentative="1">
      <w:start w:val="1"/>
      <w:numFmt w:val="decimal"/>
      <w:lvlText w:val="%7."/>
      <w:lvlJc w:val="left"/>
      <w:pPr>
        <w:ind w:left="4385" w:hanging="360"/>
      </w:pPr>
    </w:lvl>
    <w:lvl w:ilvl="7" w:tplc="08090019" w:tentative="1">
      <w:start w:val="1"/>
      <w:numFmt w:val="lowerLetter"/>
      <w:lvlText w:val="%8."/>
      <w:lvlJc w:val="left"/>
      <w:pPr>
        <w:ind w:left="5105" w:hanging="360"/>
      </w:pPr>
    </w:lvl>
    <w:lvl w:ilvl="8" w:tplc="0809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4" w15:restartNumberingAfterBreak="0">
    <w:nsid w:val="3D6A4BBA"/>
    <w:multiLevelType w:val="hybridMultilevel"/>
    <w:tmpl w:val="BFC0C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44E68"/>
    <w:multiLevelType w:val="hybridMultilevel"/>
    <w:tmpl w:val="A12475E6"/>
    <w:lvl w:ilvl="0" w:tplc="8018AFA2">
      <w:start w:val="1"/>
      <w:numFmt w:val="lowerLetter"/>
      <w:pStyle w:val="Listpara2"/>
      <w:lvlText w:val="%1."/>
      <w:lvlJc w:val="left"/>
      <w:pPr>
        <w:ind w:left="203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50" w:hanging="360"/>
      </w:pPr>
    </w:lvl>
    <w:lvl w:ilvl="2" w:tplc="0809001B" w:tentative="1">
      <w:start w:val="1"/>
      <w:numFmt w:val="lowerRoman"/>
      <w:lvlText w:val="%3."/>
      <w:lvlJc w:val="right"/>
      <w:pPr>
        <w:ind w:left="3470" w:hanging="180"/>
      </w:pPr>
    </w:lvl>
    <w:lvl w:ilvl="3" w:tplc="0809000F" w:tentative="1">
      <w:start w:val="1"/>
      <w:numFmt w:val="decimal"/>
      <w:lvlText w:val="%4."/>
      <w:lvlJc w:val="left"/>
      <w:pPr>
        <w:ind w:left="4190" w:hanging="360"/>
      </w:pPr>
    </w:lvl>
    <w:lvl w:ilvl="4" w:tplc="08090019" w:tentative="1">
      <w:start w:val="1"/>
      <w:numFmt w:val="lowerLetter"/>
      <w:lvlText w:val="%5."/>
      <w:lvlJc w:val="left"/>
      <w:pPr>
        <w:ind w:left="4910" w:hanging="360"/>
      </w:pPr>
    </w:lvl>
    <w:lvl w:ilvl="5" w:tplc="0809001B" w:tentative="1">
      <w:start w:val="1"/>
      <w:numFmt w:val="lowerRoman"/>
      <w:lvlText w:val="%6."/>
      <w:lvlJc w:val="right"/>
      <w:pPr>
        <w:ind w:left="5630" w:hanging="180"/>
      </w:pPr>
    </w:lvl>
    <w:lvl w:ilvl="6" w:tplc="0809000F" w:tentative="1">
      <w:start w:val="1"/>
      <w:numFmt w:val="decimal"/>
      <w:lvlText w:val="%7."/>
      <w:lvlJc w:val="left"/>
      <w:pPr>
        <w:ind w:left="6350" w:hanging="360"/>
      </w:pPr>
    </w:lvl>
    <w:lvl w:ilvl="7" w:tplc="08090019" w:tentative="1">
      <w:start w:val="1"/>
      <w:numFmt w:val="lowerLetter"/>
      <w:lvlText w:val="%8."/>
      <w:lvlJc w:val="left"/>
      <w:pPr>
        <w:ind w:left="7070" w:hanging="360"/>
      </w:pPr>
    </w:lvl>
    <w:lvl w:ilvl="8" w:tplc="08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6" w15:restartNumberingAfterBreak="0">
    <w:nsid w:val="4D336135"/>
    <w:multiLevelType w:val="hybridMultilevel"/>
    <w:tmpl w:val="EF8AFFB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C4C271B"/>
    <w:multiLevelType w:val="hybridMultilevel"/>
    <w:tmpl w:val="06146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65C5"/>
    <w:multiLevelType w:val="hybridMultilevel"/>
    <w:tmpl w:val="27704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15FD6"/>
    <w:multiLevelType w:val="hybridMultilevel"/>
    <w:tmpl w:val="D4BAA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E3E6F"/>
    <w:multiLevelType w:val="hybridMultilevel"/>
    <w:tmpl w:val="F49A7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F2A7C"/>
    <w:multiLevelType w:val="hybridMultilevel"/>
    <w:tmpl w:val="41A48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20BB"/>
    <w:multiLevelType w:val="hybridMultilevel"/>
    <w:tmpl w:val="A3020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6456">
    <w:abstractNumId w:val="1"/>
  </w:num>
  <w:num w:numId="2" w16cid:durableId="1787769596">
    <w:abstractNumId w:val="5"/>
  </w:num>
  <w:num w:numId="3" w16cid:durableId="1515922397">
    <w:abstractNumId w:val="12"/>
  </w:num>
  <w:num w:numId="4" w16cid:durableId="2070958016">
    <w:abstractNumId w:val="3"/>
  </w:num>
  <w:num w:numId="5" w16cid:durableId="793063297">
    <w:abstractNumId w:val="2"/>
  </w:num>
  <w:num w:numId="6" w16cid:durableId="1633906193">
    <w:abstractNumId w:val="6"/>
  </w:num>
  <w:num w:numId="7" w16cid:durableId="1311013568">
    <w:abstractNumId w:val="11"/>
  </w:num>
  <w:num w:numId="8" w16cid:durableId="1167209973">
    <w:abstractNumId w:val="4"/>
  </w:num>
  <w:num w:numId="9" w16cid:durableId="989358406">
    <w:abstractNumId w:val="8"/>
  </w:num>
  <w:num w:numId="10" w16cid:durableId="628707049">
    <w:abstractNumId w:val="0"/>
  </w:num>
  <w:num w:numId="11" w16cid:durableId="232667949">
    <w:abstractNumId w:val="9"/>
  </w:num>
  <w:num w:numId="12" w16cid:durableId="989333753">
    <w:abstractNumId w:val="10"/>
  </w:num>
  <w:num w:numId="13" w16cid:durableId="19168885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07F0"/>
    <w:rsid w:val="00005FED"/>
    <w:rsid w:val="00006F21"/>
    <w:rsid w:val="00010426"/>
    <w:rsid w:val="0001102A"/>
    <w:rsid w:val="000132F5"/>
    <w:rsid w:val="000133D1"/>
    <w:rsid w:val="0001357D"/>
    <w:rsid w:val="00013774"/>
    <w:rsid w:val="00014168"/>
    <w:rsid w:val="00017A16"/>
    <w:rsid w:val="00021393"/>
    <w:rsid w:val="00022B87"/>
    <w:rsid w:val="00023130"/>
    <w:rsid w:val="0002479F"/>
    <w:rsid w:val="000260B4"/>
    <w:rsid w:val="00026E09"/>
    <w:rsid w:val="00027C99"/>
    <w:rsid w:val="000302D8"/>
    <w:rsid w:val="00034071"/>
    <w:rsid w:val="0003651E"/>
    <w:rsid w:val="00037CE0"/>
    <w:rsid w:val="00040DC4"/>
    <w:rsid w:val="00042392"/>
    <w:rsid w:val="00042791"/>
    <w:rsid w:val="0004295A"/>
    <w:rsid w:val="000445EA"/>
    <w:rsid w:val="000467E7"/>
    <w:rsid w:val="000475BC"/>
    <w:rsid w:val="0005215D"/>
    <w:rsid w:val="00053929"/>
    <w:rsid w:val="00054C1C"/>
    <w:rsid w:val="00056BD1"/>
    <w:rsid w:val="0006384D"/>
    <w:rsid w:val="00074DE8"/>
    <w:rsid w:val="000751A6"/>
    <w:rsid w:val="00075983"/>
    <w:rsid w:val="00077B46"/>
    <w:rsid w:val="00080177"/>
    <w:rsid w:val="00082217"/>
    <w:rsid w:val="00082DCB"/>
    <w:rsid w:val="00083151"/>
    <w:rsid w:val="00086C00"/>
    <w:rsid w:val="00087A13"/>
    <w:rsid w:val="000937A7"/>
    <w:rsid w:val="00094DC0"/>
    <w:rsid w:val="00096371"/>
    <w:rsid w:val="000A3D46"/>
    <w:rsid w:val="000A3E3E"/>
    <w:rsid w:val="000A3F5A"/>
    <w:rsid w:val="000A4604"/>
    <w:rsid w:val="000A4C26"/>
    <w:rsid w:val="000A5278"/>
    <w:rsid w:val="000A5EC4"/>
    <w:rsid w:val="000A7AEC"/>
    <w:rsid w:val="000B38AA"/>
    <w:rsid w:val="000B522B"/>
    <w:rsid w:val="000C01EC"/>
    <w:rsid w:val="000C1C0D"/>
    <w:rsid w:val="000C2489"/>
    <w:rsid w:val="000C59E7"/>
    <w:rsid w:val="000C600B"/>
    <w:rsid w:val="000D039A"/>
    <w:rsid w:val="000D066A"/>
    <w:rsid w:val="000D0F6E"/>
    <w:rsid w:val="000D1C2A"/>
    <w:rsid w:val="000D51B0"/>
    <w:rsid w:val="000D5C76"/>
    <w:rsid w:val="000E0F92"/>
    <w:rsid w:val="000E265D"/>
    <w:rsid w:val="000E2FA0"/>
    <w:rsid w:val="000E47E9"/>
    <w:rsid w:val="000E5F2A"/>
    <w:rsid w:val="000F0539"/>
    <w:rsid w:val="000F4DD0"/>
    <w:rsid w:val="000F6E38"/>
    <w:rsid w:val="000F76F7"/>
    <w:rsid w:val="00102D6A"/>
    <w:rsid w:val="0010479D"/>
    <w:rsid w:val="00104F7B"/>
    <w:rsid w:val="00105995"/>
    <w:rsid w:val="00105DC0"/>
    <w:rsid w:val="00106197"/>
    <w:rsid w:val="00116270"/>
    <w:rsid w:val="00117850"/>
    <w:rsid w:val="0012096C"/>
    <w:rsid w:val="00123AB5"/>
    <w:rsid w:val="00125B29"/>
    <w:rsid w:val="00127828"/>
    <w:rsid w:val="0013260E"/>
    <w:rsid w:val="0013618C"/>
    <w:rsid w:val="00140698"/>
    <w:rsid w:val="00141CBE"/>
    <w:rsid w:val="001464AF"/>
    <w:rsid w:val="00147381"/>
    <w:rsid w:val="00150B17"/>
    <w:rsid w:val="00150BB8"/>
    <w:rsid w:val="001524B6"/>
    <w:rsid w:val="0015544B"/>
    <w:rsid w:val="001605A0"/>
    <w:rsid w:val="001606A7"/>
    <w:rsid w:val="00161BDA"/>
    <w:rsid w:val="001657F8"/>
    <w:rsid w:val="00165E2A"/>
    <w:rsid w:val="00166F05"/>
    <w:rsid w:val="001701E6"/>
    <w:rsid w:val="0017123E"/>
    <w:rsid w:val="00171618"/>
    <w:rsid w:val="001819B1"/>
    <w:rsid w:val="0018239F"/>
    <w:rsid w:val="00184F41"/>
    <w:rsid w:val="00185F89"/>
    <w:rsid w:val="0018623B"/>
    <w:rsid w:val="00186BF9"/>
    <w:rsid w:val="001879A4"/>
    <w:rsid w:val="00190B6F"/>
    <w:rsid w:val="001912A8"/>
    <w:rsid w:val="001933A4"/>
    <w:rsid w:val="001936D6"/>
    <w:rsid w:val="00193F6D"/>
    <w:rsid w:val="00196C5B"/>
    <w:rsid w:val="00197225"/>
    <w:rsid w:val="001973A3"/>
    <w:rsid w:val="00197946"/>
    <w:rsid w:val="001A2D10"/>
    <w:rsid w:val="001A34B5"/>
    <w:rsid w:val="001A386F"/>
    <w:rsid w:val="001A57B1"/>
    <w:rsid w:val="001A694E"/>
    <w:rsid w:val="001A6C6E"/>
    <w:rsid w:val="001B1561"/>
    <w:rsid w:val="001B4012"/>
    <w:rsid w:val="001B4EE4"/>
    <w:rsid w:val="001B583F"/>
    <w:rsid w:val="001B73D1"/>
    <w:rsid w:val="001B773B"/>
    <w:rsid w:val="001B79AE"/>
    <w:rsid w:val="001C022A"/>
    <w:rsid w:val="001C0E27"/>
    <w:rsid w:val="001C229A"/>
    <w:rsid w:val="001C22F2"/>
    <w:rsid w:val="001C3590"/>
    <w:rsid w:val="001C5E41"/>
    <w:rsid w:val="001C6805"/>
    <w:rsid w:val="001C692A"/>
    <w:rsid w:val="001C77BC"/>
    <w:rsid w:val="001D0FDF"/>
    <w:rsid w:val="001D14A4"/>
    <w:rsid w:val="001D162C"/>
    <w:rsid w:val="001D42CA"/>
    <w:rsid w:val="001D48BB"/>
    <w:rsid w:val="001D5FC6"/>
    <w:rsid w:val="001D72DE"/>
    <w:rsid w:val="001E00E3"/>
    <w:rsid w:val="001E02FF"/>
    <w:rsid w:val="001E11E9"/>
    <w:rsid w:val="001E1A9E"/>
    <w:rsid w:val="001E1B19"/>
    <w:rsid w:val="001E22DA"/>
    <w:rsid w:val="001E4155"/>
    <w:rsid w:val="001E4959"/>
    <w:rsid w:val="001E5FD0"/>
    <w:rsid w:val="001E683A"/>
    <w:rsid w:val="001F0F34"/>
    <w:rsid w:val="001F1724"/>
    <w:rsid w:val="001F191D"/>
    <w:rsid w:val="001F2349"/>
    <w:rsid w:val="001F2749"/>
    <w:rsid w:val="001F4370"/>
    <w:rsid w:val="001F43AF"/>
    <w:rsid w:val="001F5C62"/>
    <w:rsid w:val="001F7C59"/>
    <w:rsid w:val="0020050E"/>
    <w:rsid w:val="002005D2"/>
    <w:rsid w:val="0020298B"/>
    <w:rsid w:val="00202BA5"/>
    <w:rsid w:val="002035D8"/>
    <w:rsid w:val="00204644"/>
    <w:rsid w:val="00206111"/>
    <w:rsid w:val="002116FA"/>
    <w:rsid w:val="00212850"/>
    <w:rsid w:val="00213702"/>
    <w:rsid w:val="002137E0"/>
    <w:rsid w:val="00213B27"/>
    <w:rsid w:val="00214C88"/>
    <w:rsid w:val="0022005B"/>
    <w:rsid w:val="002207A7"/>
    <w:rsid w:val="00223428"/>
    <w:rsid w:val="00225647"/>
    <w:rsid w:val="00227712"/>
    <w:rsid w:val="00230DE2"/>
    <w:rsid w:val="002325C0"/>
    <w:rsid w:val="00233EC7"/>
    <w:rsid w:val="0023426A"/>
    <w:rsid w:val="00234E62"/>
    <w:rsid w:val="00235282"/>
    <w:rsid w:val="0023550A"/>
    <w:rsid w:val="00236D86"/>
    <w:rsid w:val="00236EBD"/>
    <w:rsid w:val="00241217"/>
    <w:rsid w:val="00241822"/>
    <w:rsid w:val="0024313F"/>
    <w:rsid w:val="00245037"/>
    <w:rsid w:val="00246454"/>
    <w:rsid w:val="002604DE"/>
    <w:rsid w:val="00260DF3"/>
    <w:rsid w:val="00261307"/>
    <w:rsid w:val="00267D03"/>
    <w:rsid w:val="00271A5C"/>
    <w:rsid w:val="00273D84"/>
    <w:rsid w:val="002741AC"/>
    <w:rsid w:val="002750A4"/>
    <w:rsid w:val="00275F13"/>
    <w:rsid w:val="00276352"/>
    <w:rsid w:val="00277A87"/>
    <w:rsid w:val="00277B11"/>
    <w:rsid w:val="002804D7"/>
    <w:rsid w:val="002819C0"/>
    <w:rsid w:val="00281C69"/>
    <w:rsid w:val="002822F8"/>
    <w:rsid w:val="002849A4"/>
    <w:rsid w:val="0028584C"/>
    <w:rsid w:val="002866BB"/>
    <w:rsid w:val="0028694E"/>
    <w:rsid w:val="0028729D"/>
    <w:rsid w:val="002873BB"/>
    <w:rsid w:val="002873E7"/>
    <w:rsid w:val="0029247A"/>
    <w:rsid w:val="0029320C"/>
    <w:rsid w:val="00295556"/>
    <w:rsid w:val="002957DC"/>
    <w:rsid w:val="00295BB5"/>
    <w:rsid w:val="00297F0F"/>
    <w:rsid w:val="002A2072"/>
    <w:rsid w:val="002A391C"/>
    <w:rsid w:val="002A5A4D"/>
    <w:rsid w:val="002B0CEF"/>
    <w:rsid w:val="002B1C47"/>
    <w:rsid w:val="002B3EE6"/>
    <w:rsid w:val="002B4262"/>
    <w:rsid w:val="002B7543"/>
    <w:rsid w:val="002C062C"/>
    <w:rsid w:val="002C3209"/>
    <w:rsid w:val="002C76D6"/>
    <w:rsid w:val="002D0566"/>
    <w:rsid w:val="002D0F4C"/>
    <w:rsid w:val="002D28C5"/>
    <w:rsid w:val="002D300B"/>
    <w:rsid w:val="002D42FA"/>
    <w:rsid w:val="002D510D"/>
    <w:rsid w:val="002D5A4D"/>
    <w:rsid w:val="002E22AF"/>
    <w:rsid w:val="002E34F8"/>
    <w:rsid w:val="002E5B2A"/>
    <w:rsid w:val="002E660E"/>
    <w:rsid w:val="002F01A0"/>
    <w:rsid w:val="002F124A"/>
    <w:rsid w:val="002F1EDE"/>
    <w:rsid w:val="002F42C1"/>
    <w:rsid w:val="002F5502"/>
    <w:rsid w:val="002F6DAB"/>
    <w:rsid w:val="002F77F4"/>
    <w:rsid w:val="00302925"/>
    <w:rsid w:val="00302B21"/>
    <w:rsid w:val="00307B39"/>
    <w:rsid w:val="003107B5"/>
    <w:rsid w:val="00311D22"/>
    <w:rsid w:val="003155CC"/>
    <w:rsid w:val="003157C2"/>
    <w:rsid w:val="0031625D"/>
    <w:rsid w:val="00316852"/>
    <w:rsid w:val="00316ECA"/>
    <w:rsid w:val="00321DDF"/>
    <w:rsid w:val="00322C05"/>
    <w:rsid w:val="003231A5"/>
    <w:rsid w:val="00323F11"/>
    <w:rsid w:val="00324398"/>
    <w:rsid w:val="0032775E"/>
    <w:rsid w:val="00327DFA"/>
    <w:rsid w:val="00334F8D"/>
    <w:rsid w:val="00335704"/>
    <w:rsid w:val="00335AC9"/>
    <w:rsid w:val="003441D3"/>
    <w:rsid w:val="00345CB1"/>
    <w:rsid w:val="00346EFB"/>
    <w:rsid w:val="00350647"/>
    <w:rsid w:val="00352486"/>
    <w:rsid w:val="0035280A"/>
    <w:rsid w:val="00353914"/>
    <w:rsid w:val="0035654A"/>
    <w:rsid w:val="00356F77"/>
    <w:rsid w:val="0035719A"/>
    <w:rsid w:val="00357919"/>
    <w:rsid w:val="0035796C"/>
    <w:rsid w:val="00357EB1"/>
    <w:rsid w:val="00360DA7"/>
    <w:rsid w:val="00363957"/>
    <w:rsid w:val="00363A20"/>
    <w:rsid w:val="00363CF1"/>
    <w:rsid w:val="00366633"/>
    <w:rsid w:val="00370190"/>
    <w:rsid w:val="00372F20"/>
    <w:rsid w:val="00373C7B"/>
    <w:rsid w:val="00374AD7"/>
    <w:rsid w:val="00380D54"/>
    <w:rsid w:val="00382F90"/>
    <w:rsid w:val="003849AD"/>
    <w:rsid w:val="00384FC3"/>
    <w:rsid w:val="00385027"/>
    <w:rsid w:val="00387103"/>
    <w:rsid w:val="003874CD"/>
    <w:rsid w:val="00391DA2"/>
    <w:rsid w:val="00393F28"/>
    <w:rsid w:val="003959F5"/>
    <w:rsid w:val="00395F30"/>
    <w:rsid w:val="003969AD"/>
    <w:rsid w:val="003970F7"/>
    <w:rsid w:val="0039739D"/>
    <w:rsid w:val="003A2A36"/>
    <w:rsid w:val="003A3804"/>
    <w:rsid w:val="003A52BE"/>
    <w:rsid w:val="003A5809"/>
    <w:rsid w:val="003A5866"/>
    <w:rsid w:val="003A69BF"/>
    <w:rsid w:val="003A6E9F"/>
    <w:rsid w:val="003A7CE6"/>
    <w:rsid w:val="003B571C"/>
    <w:rsid w:val="003C1EA0"/>
    <w:rsid w:val="003C6652"/>
    <w:rsid w:val="003C6E8D"/>
    <w:rsid w:val="003C770E"/>
    <w:rsid w:val="003C7CE6"/>
    <w:rsid w:val="003D01D9"/>
    <w:rsid w:val="003D0BF9"/>
    <w:rsid w:val="003D145E"/>
    <w:rsid w:val="003D2096"/>
    <w:rsid w:val="003D45F1"/>
    <w:rsid w:val="003D460E"/>
    <w:rsid w:val="003D4CD6"/>
    <w:rsid w:val="003E3436"/>
    <w:rsid w:val="003E4877"/>
    <w:rsid w:val="003F0D85"/>
    <w:rsid w:val="003F6377"/>
    <w:rsid w:val="003F7105"/>
    <w:rsid w:val="003F7706"/>
    <w:rsid w:val="00400C43"/>
    <w:rsid w:val="004029A2"/>
    <w:rsid w:val="004149AD"/>
    <w:rsid w:val="00415B3D"/>
    <w:rsid w:val="00417C1C"/>
    <w:rsid w:val="004228C7"/>
    <w:rsid w:val="00422BD2"/>
    <w:rsid w:val="00426DD9"/>
    <w:rsid w:val="0042798B"/>
    <w:rsid w:val="00430552"/>
    <w:rsid w:val="00431678"/>
    <w:rsid w:val="00431D65"/>
    <w:rsid w:val="00434913"/>
    <w:rsid w:val="00434B19"/>
    <w:rsid w:val="00436E55"/>
    <w:rsid w:val="00437949"/>
    <w:rsid w:val="00441C17"/>
    <w:rsid w:val="00441EEB"/>
    <w:rsid w:val="00443D01"/>
    <w:rsid w:val="0044702A"/>
    <w:rsid w:val="004474F8"/>
    <w:rsid w:val="00454034"/>
    <w:rsid w:val="0046079B"/>
    <w:rsid w:val="004639AC"/>
    <w:rsid w:val="004641E7"/>
    <w:rsid w:val="0046582F"/>
    <w:rsid w:val="004662E5"/>
    <w:rsid w:val="00466336"/>
    <w:rsid w:val="0046658E"/>
    <w:rsid w:val="004668DB"/>
    <w:rsid w:val="0046771B"/>
    <w:rsid w:val="00467A8D"/>
    <w:rsid w:val="0047081F"/>
    <w:rsid w:val="004717A4"/>
    <w:rsid w:val="00473818"/>
    <w:rsid w:val="00477550"/>
    <w:rsid w:val="00477A0A"/>
    <w:rsid w:val="00480679"/>
    <w:rsid w:val="00482AC0"/>
    <w:rsid w:val="00483851"/>
    <w:rsid w:val="00483E42"/>
    <w:rsid w:val="00484041"/>
    <w:rsid w:val="004844A8"/>
    <w:rsid w:val="00491151"/>
    <w:rsid w:val="00491283"/>
    <w:rsid w:val="00491DF5"/>
    <w:rsid w:val="00496214"/>
    <w:rsid w:val="00496803"/>
    <w:rsid w:val="0049707C"/>
    <w:rsid w:val="004A0101"/>
    <w:rsid w:val="004A01E5"/>
    <w:rsid w:val="004A23AF"/>
    <w:rsid w:val="004A3251"/>
    <w:rsid w:val="004A6E86"/>
    <w:rsid w:val="004B08CD"/>
    <w:rsid w:val="004B2272"/>
    <w:rsid w:val="004B4108"/>
    <w:rsid w:val="004B420F"/>
    <w:rsid w:val="004B4DF1"/>
    <w:rsid w:val="004B6688"/>
    <w:rsid w:val="004B6CAD"/>
    <w:rsid w:val="004C2E05"/>
    <w:rsid w:val="004C55A5"/>
    <w:rsid w:val="004C670E"/>
    <w:rsid w:val="004C734F"/>
    <w:rsid w:val="004D202E"/>
    <w:rsid w:val="004D241A"/>
    <w:rsid w:val="004D3710"/>
    <w:rsid w:val="004D5634"/>
    <w:rsid w:val="004D5C67"/>
    <w:rsid w:val="004E30D7"/>
    <w:rsid w:val="004E7B47"/>
    <w:rsid w:val="004F0C05"/>
    <w:rsid w:val="004F18A1"/>
    <w:rsid w:val="004F20C4"/>
    <w:rsid w:val="004F38CE"/>
    <w:rsid w:val="004F69CE"/>
    <w:rsid w:val="004F69FF"/>
    <w:rsid w:val="005004A7"/>
    <w:rsid w:val="005013DD"/>
    <w:rsid w:val="00502B42"/>
    <w:rsid w:val="00503517"/>
    <w:rsid w:val="005069AB"/>
    <w:rsid w:val="0051043B"/>
    <w:rsid w:val="0051145C"/>
    <w:rsid w:val="0051153F"/>
    <w:rsid w:val="00511762"/>
    <w:rsid w:val="0051296E"/>
    <w:rsid w:val="00512B7C"/>
    <w:rsid w:val="005148FC"/>
    <w:rsid w:val="00515A18"/>
    <w:rsid w:val="00516A43"/>
    <w:rsid w:val="00516DE4"/>
    <w:rsid w:val="00521308"/>
    <w:rsid w:val="00522533"/>
    <w:rsid w:val="005236F8"/>
    <w:rsid w:val="005244A4"/>
    <w:rsid w:val="00524DDB"/>
    <w:rsid w:val="00527783"/>
    <w:rsid w:val="0053048D"/>
    <w:rsid w:val="00530B27"/>
    <w:rsid w:val="0053257A"/>
    <w:rsid w:val="0053307B"/>
    <w:rsid w:val="005331D2"/>
    <w:rsid w:val="005340AC"/>
    <w:rsid w:val="0053462D"/>
    <w:rsid w:val="005357CB"/>
    <w:rsid w:val="00536FAB"/>
    <w:rsid w:val="0054294B"/>
    <w:rsid w:val="0054389C"/>
    <w:rsid w:val="00543E0D"/>
    <w:rsid w:val="005459B4"/>
    <w:rsid w:val="005464D2"/>
    <w:rsid w:val="00550B0D"/>
    <w:rsid w:val="00552A82"/>
    <w:rsid w:val="00553DEA"/>
    <w:rsid w:val="00561197"/>
    <w:rsid w:val="0056310E"/>
    <w:rsid w:val="00564CB5"/>
    <w:rsid w:val="00567A80"/>
    <w:rsid w:val="005704AB"/>
    <w:rsid w:val="00572629"/>
    <w:rsid w:val="00580BAF"/>
    <w:rsid w:val="005814B5"/>
    <w:rsid w:val="00583FCA"/>
    <w:rsid w:val="005863D6"/>
    <w:rsid w:val="0059377F"/>
    <w:rsid w:val="005A0C33"/>
    <w:rsid w:val="005A188B"/>
    <w:rsid w:val="005A2183"/>
    <w:rsid w:val="005B0E16"/>
    <w:rsid w:val="005B47D6"/>
    <w:rsid w:val="005B535C"/>
    <w:rsid w:val="005B5B11"/>
    <w:rsid w:val="005B73CA"/>
    <w:rsid w:val="005C1B09"/>
    <w:rsid w:val="005C5D59"/>
    <w:rsid w:val="005C6565"/>
    <w:rsid w:val="005D0475"/>
    <w:rsid w:val="005D0A19"/>
    <w:rsid w:val="005D35BD"/>
    <w:rsid w:val="005D3E9D"/>
    <w:rsid w:val="005D57D6"/>
    <w:rsid w:val="005E263B"/>
    <w:rsid w:val="005E3166"/>
    <w:rsid w:val="005E32A8"/>
    <w:rsid w:val="005E4301"/>
    <w:rsid w:val="005E4453"/>
    <w:rsid w:val="005E4BF4"/>
    <w:rsid w:val="005E72A4"/>
    <w:rsid w:val="005E7310"/>
    <w:rsid w:val="005F1D0B"/>
    <w:rsid w:val="005F4BF4"/>
    <w:rsid w:val="005F5616"/>
    <w:rsid w:val="005F56E0"/>
    <w:rsid w:val="005F64E0"/>
    <w:rsid w:val="005F64EE"/>
    <w:rsid w:val="005F6A21"/>
    <w:rsid w:val="005F6AE1"/>
    <w:rsid w:val="0060119A"/>
    <w:rsid w:val="0060177F"/>
    <w:rsid w:val="00603199"/>
    <w:rsid w:val="00606501"/>
    <w:rsid w:val="0060750B"/>
    <w:rsid w:val="00607AC7"/>
    <w:rsid w:val="0061020A"/>
    <w:rsid w:val="0061047C"/>
    <w:rsid w:val="00610530"/>
    <w:rsid w:val="006119BD"/>
    <w:rsid w:val="0061276F"/>
    <w:rsid w:val="006140AD"/>
    <w:rsid w:val="006175DE"/>
    <w:rsid w:val="006178CB"/>
    <w:rsid w:val="006211E5"/>
    <w:rsid w:val="00622F48"/>
    <w:rsid w:val="006241C1"/>
    <w:rsid w:val="006256D3"/>
    <w:rsid w:val="00627BB7"/>
    <w:rsid w:val="00630394"/>
    <w:rsid w:val="00630399"/>
    <w:rsid w:val="00632997"/>
    <w:rsid w:val="00636D84"/>
    <w:rsid w:val="00637653"/>
    <w:rsid w:val="00637897"/>
    <w:rsid w:val="006409C6"/>
    <w:rsid w:val="00641220"/>
    <w:rsid w:val="006412FD"/>
    <w:rsid w:val="00641B1B"/>
    <w:rsid w:val="006449B6"/>
    <w:rsid w:val="00644A13"/>
    <w:rsid w:val="0064691F"/>
    <w:rsid w:val="0065136E"/>
    <w:rsid w:val="00651EA5"/>
    <w:rsid w:val="0065617C"/>
    <w:rsid w:val="00660E1F"/>
    <w:rsid w:val="006619FF"/>
    <w:rsid w:val="00661D61"/>
    <w:rsid w:val="00662A6E"/>
    <w:rsid w:val="0066454A"/>
    <w:rsid w:val="00667DDD"/>
    <w:rsid w:val="00670D71"/>
    <w:rsid w:val="00672D6E"/>
    <w:rsid w:val="00673291"/>
    <w:rsid w:val="00673C6A"/>
    <w:rsid w:val="0068090E"/>
    <w:rsid w:val="00682E98"/>
    <w:rsid w:val="006836AC"/>
    <w:rsid w:val="00684CC3"/>
    <w:rsid w:val="00685BD5"/>
    <w:rsid w:val="00690016"/>
    <w:rsid w:val="00694C87"/>
    <w:rsid w:val="00694EAA"/>
    <w:rsid w:val="00695F7A"/>
    <w:rsid w:val="006A1159"/>
    <w:rsid w:val="006A1992"/>
    <w:rsid w:val="006A22FF"/>
    <w:rsid w:val="006A2A7B"/>
    <w:rsid w:val="006A5564"/>
    <w:rsid w:val="006A7029"/>
    <w:rsid w:val="006A7D80"/>
    <w:rsid w:val="006B2831"/>
    <w:rsid w:val="006B5D16"/>
    <w:rsid w:val="006B6B2C"/>
    <w:rsid w:val="006B7BB7"/>
    <w:rsid w:val="006C05A5"/>
    <w:rsid w:val="006C0AD6"/>
    <w:rsid w:val="006C1D07"/>
    <w:rsid w:val="006C4772"/>
    <w:rsid w:val="006C5088"/>
    <w:rsid w:val="006D0F96"/>
    <w:rsid w:val="006D3CBA"/>
    <w:rsid w:val="006D3E0B"/>
    <w:rsid w:val="006D6374"/>
    <w:rsid w:val="006E140C"/>
    <w:rsid w:val="006E7DCE"/>
    <w:rsid w:val="006F3E3D"/>
    <w:rsid w:val="006F4B80"/>
    <w:rsid w:val="006F6E6B"/>
    <w:rsid w:val="007009E2"/>
    <w:rsid w:val="00700E21"/>
    <w:rsid w:val="007050FF"/>
    <w:rsid w:val="00706CF5"/>
    <w:rsid w:val="00707D00"/>
    <w:rsid w:val="00711DD9"/>
    <w:rsid w:val="007148A0"/>
    <w:rsid w:val="00714D98"/>
    <w:rsid w:val="007204E3"/>
    <w:rsid w:val="00722C79"/>
    <w:rsid w:val="007236B4"/>
    <w:rsid w:val="007238F7"/>
    <w:rsid w:val="00727C10"/>
    <w:rsid w:val="00730CBE"/>
    <w:rsid w:val="007329B2"/>
    <w:rsid w:val="00736A32"/>
    <w:rsid w:val="00737885"/>
    <w:rsid w:val="00737DB6"/>
    <w:rsid w:val="00740966"/>
    <w:rsid w:val="0074377E"/>
    <w:rsid w:val="00743CCA"/>
    <w:rsid w:val="00745F48"/>
    <w:rsid w:val="00750259"/>
    <w:rsid w:val="00750E89"/>
    <w:rsid w:val="00750F17"/>
    <w:rsid w:val="007517AD"/>
    <w:rsid w:val="00752764"/>
    <w:rsid w:val="00752C1E"/>
    <w:rsid w:val="00754ED9"/>
    <w:rsid w:val="0076273C"/>
    <w:rsid w:val="007629C8"/>
    <w:rsid w:val="00763438"/>
    <w:rsid w:val="00764209"/>
    <w:rsid w:val="00766962"/>
    <w:rsid w:val="00767F54"/>
    <w:rsid w:val="00771A41"/>
    <w:rsid w:val="00771E27"/>
    <w:rsid w:val="00775287"/>
    <w:rsid w:val="00776B11"/>
    <w:rsid w:val="0078029B"/>
    <w:rsid w:val="007856EC"/>
    <w:rsid w:val="00786471"/>
    <w:rsid w:val="00786D6D"/>
    <w:rsid w:val="00791D27"/>
    <w:rsid w:val="007936EA"/>
    <w:rsid w:val="0079408E"/>
    <w:rsid w:val="007943EA"/>
    <w:rsid w:val="007949D0"/>
    <w:rsid w:val="0079613F"/>
    <w:rsid w:val="00796355"/>
    <w:rsid w:val="007967B6"/>
    <w:rsid w:val="007976F6"/>
    <w:rsid w:val="007A0489"/>
    <w:rsid w:val="007A0880"/>
    <w:rsid w:val="007A1F2A"/>
    <w:rsid w:val="007A200C"/>
    <w:rsid w:val="007A224B"/>
    <w:rsid w:val="007A4861"/>
    <w:rsid w:val="007A653C"/>
    <w:rsid w:val="007A7521"/>
    <w:rsid w:val="007A77F0"/>
    <w:rsid w:val="007B00B7"/>
    <w:rsid w:val="007B3669"/>
    <w:rsid w:val="007B37B1"/>
    <w:rsid w:val="007B4739"/>
    <w:rsid w:val="007B676F"/>
    <w:rsid w:val="007B6A43"/>
    <w:rsid w:val="007C5B75"/>
    <w:rsid w:val="007C6F1D"/>
    <w:rsid w:val="007D064F"/>
    <w:rsid w:val="007D06F0"/>
    <w:rsid w:val="007D25EE"/>
    <w:rsid w:val="007D33F4"/>
    <w:rsid w:val="007D3628"/>
    <w:rsid w:val="007D493C"/>
    <w:rsid w:val="007D5E1F"/>
    <w:rsid w:val="007D6721"/>
    <w:rsid w:val="007D788C"/>
    <w:rsid w:val="007E1946"/>
    <w:rsid w:val="007E2A3A"/>
    <w:rsid w:val="007E5798"/>
    <w:rsid w:val="007E63D8"/>
    <w:rsid w:val="007F0899"/>
    <w:rsid w:val="007F1BE5"/>
    <w:rsid w:val="007F2DFF"/>
    <w:rsid w:val="007F3ABE"/>
    <w:rsid w:val="007F3ADE"/>
    <w:rsid w:val="007F4106"/>
    <w:rsid w:val="007F64B3"/>
    <w:rsid w:val="00800EDD"/>
    <w:rsid w:val="00803C20"/>
    <w:rsid w:val="0080422A"/>
    <w:rsid w:val="00804E93"/>
    <w:rsid w:val="00805122"/>
    <w:rsid w:val="00805CBF"/>
    <w:rsid w:val="008065B3"/>
    <w:rsid w:val="008066FA"/>
    <w:rsid w:val="00813385"/>
    <w:rsid w:val="00814323"/>
    <w:rsid w:val="00816C80"/>
    <w:rsid w:val="008276E0"/>
    <w:rsid w:val="0083226F"/>
    <w:rsid w:val="00832664"/>
    <w:rsid w:val="008328E9"/>
    <w:rsid w:val="0083353F"/>
    <w:rsid w:val="00834C7C"/>
    <w:rsid w:val="00835833"/>
    <w:rsid w:val="00835BCB"/>
    <w:rsid w:val="00835CDC"/>
    <w:rsid w:val="00840733"/>
    <w:rsid w:val="00843DA3"/>
    <w:rsid w:val="008445F1"/>
    <w:rsid w:val="008446C3"/>
    <w:rsid w:val="008472A2"/>
    <w:rsid w:val="00850B09"/>
    <w:rsid w:val="008514F2"/>
    <w:rsid w:val="008530C1"/>
    <w:rsid w:val="00853A95"/>
    <w:rsid w:val="00857D5B"/>
    <w:rsid w:val="00860D2D"/>
    <w:rsid w:val="0086150F"/>
    <w:rsid w:val="00863306"/>
    <w:rsid w:val="00863B9D"/>
    <w:rsid w:val="00863BE6"/>
    <w:rsid w:val="00865C43"/>
    <w:rsid w:val="00867775"/>
    <w:rsid w:val="0087029D"/>
    <w:rsid w:val="008702EC"/>
    <w:rsid w:val="00871E48"/>
    <w:rsid w:val="0087434C"/>
    <w:rsid w:val="00876B83"/>
    <w:rsid w:val="00877561"/>
    <w:rsid w:val="008775BC"/>
    <w:rsid w:val="00880C09"/>
    <w:rsid w:val="008813A4"/>
    <w:rsid w:val="00882AA6"/>
    <w:rsid w:val="00882F1B"/>
    <w:rsid w:val="008900A8"/>
    <w:rsid w:val="008926BA"/>
    <w:rsid w:val="00896FD6"/>
    <w:rsid w:val="00897620"/>
    <w:rsid w:val="008A24C2"/>
    <w:rsid w:val="008A5BFC"/>
    <w:rsid w:val="008A70CE"/>
    <w:rsid w:val="008B313D"/>
    <w:rsid w:val="008B4C81"/>
    <w:rsid w:val="008B5CED"/>
    <w:rsid w:val="008B6423"/>
    <w:rsid w:val="008C04B8"/>
    <w:rsid w:val="008C0B07"/>
    <w:rsid w:val="008C1A1A"/>
    <w:rsid w:val="008C25E4"/>
    <w:rsid w:val="008C2DAE"/>
    <w:rsid w:val="008C3FB1"/>
    <w:rsid w:val="008C6426"/>
    <w:rsid w:val="008C6E36"/>
    <w:rsid w:val="008C6E9B"/>
    <w:rsid w:val="008D2383"/>
    <w:rsid w:val="008D2C95"/>
    <w:rsid w:val="008E0C14"/>
    <w:rsid w:val="008E4DA6"/>
    <w:rsid w:val="008E50BB"/>
    <w:rsid w:val="008E620B"/>
    <w:rsid w:val="008E7AD9"/>
    <w:rsid w:val="008F3863"/>
    <w:rsid w:val="008F43D2"/>
    <w:rsid w:val="008F521D"/>
    <w:rsid w:val="008F6521"/>
    <w:rsid w:val="008F68AC"/>
    <w:rsid w:val="009015A7"/>
    <w:rsid w:val="00902768"/>
    <w:rsid w:val="009036E9"/>
    <w:rsid w:val="00903B37"/>
    <w:rsid w:val="009041D7"/>
    <w:rsid w:val="009053D9"/>
    <w:rsid w:val="009059A9"/>
    <w:rsid w:val="00906511"/>
    <w:rsid w:val="00912580"/>
    <w:rsid w:val="00913CF1"/>
    <w:rsid w:val="0091622F"/>
    <w:rsid w:val="0091743B"/>
    <w:rsid w:val="00922386"/>
    <w:rsid w:val="0092515E"/>
    <w:rsid w:val="0092540B"/>
    <w:rsid w:val="00926073"/>
    <w:rsid w:val="009308C1"/>
    <w:rsid w:val="009315CC"/>
    <w:rsid w:val="00932BB4"/>
    <w:rsid w:val="00933106"/>
    <w:rsid w:val="00933C52"/>
    <w:rsid w:val="00934E1B"/>
    <w:rsid w:val="00935277"/>
    <w:rsid w:val="0094052C"/>
    <w:rsid w:val="00940B6C"/>
    <w:rsid w:val="0094177A"/>
    <w:rsid w:val="009426A2"/>
    <w:rsid w:val="00942FBD"/>
    <w:rsid w:val="0094770B"/>
    <w:rsid w:val="00947D4A"/>
    <w:rsid w:val="00947E61"/>
    <w:rsid w:val="00951D88"/>
    <w:rsid w:val="009530BB"/>
    <w:rsid w:val="00957260"/>
    <w:rsid w:val="00957B70"/>
    <w:rsid w:val="0096056C"/>
    <w:rsid w:val="00961848"/>
    <w:rsid w:val="00962719"/>
    <w:rsid w:val="009633F6"/>
    <w:rsid w:val="00963889"/>
    <w:rsid w:val="0096485E"/>
    <w:rsid w:val="00971CD2"/>
    <w:rsid w:val="00972459"/>
    <w:rsid w:val="00972C4F"/>
    <w:rsid w:val="00977459"/>
    <w:rsid w:val="00977E6E"/>
    <w:rsid w:val="00980C7D"/>
    <w:rsid w:val="00981341"/>
    <w:rsid w:val="00984037"/>
    <w:rsid w:val="00986165"/>
    <w:rsid w:val="00990B67"/>
    <w:rsid w:val="00991BBD"/>
    <w:rsid w:val="00992343"/>
    <w:rsid w:val="00993074"/>
    <w:rsid w:val="009931FF"/>
    <w:rsid w:val="00994B64"/>
    <w:rsid w:val="00996216"/>
    <w:rsid w:val="0099776D"/>
    <w:rsid w:val="009A3663"/>
    <w:rsid w:val="009A3F5D"/>
    <w:rsid w:val="009A515B"/>
    <w:rsid w:val="009A7332"/>
    <w:rsid w:val="009B15FB"/>
    <w:rsid w:val="009B1BB7"/>
    <w:rsid w:val="009B2267"/>
    <w:rsid w:val="009B2FCA"/>
    <w:rsid w:val="009B3176"/>
    <w:rsid w:val="009B525F"/>
    <w:rsid w:val="009B725F"/>
    <w:rsid w:val="009C42FF"/>
    <w:rsid w:val="009C48E5"/>
    <w:rsid w:val="009C4DB1"/>
    <w:rsid w:val="009C561B"/>
    <w:rsid w:val="009C573B"/>
    <w:rsid w:val="009D0B00"/>
    <w:rsid w:val="009D0E20"/>
    <w:rsid w:val="009D1E0B"/>
    <w:rsid w:val="009D4424"/>
    <w:rsid w:val="009D4F60"/>
    <w:rsid w:val="009D5773"/>
    <w:rsid w:val="009D5A89"/>
    <w:rsid w:val="009D7623"/>
    <w:rsid w:val="009E0AE8"/>
    <w:rsid w:val="009E1B4F"/>
    <w:rsid w:val="009E3DFD"/>
    <w:rsid w:val="009E495F"/>
    <w:rsid w:val="009E4DDD"/>
    <w:rsid w:val="009E5374"/>
    <w:rsid w:val="009E6FD2"/>
    <w:rsid w:val="009F18B2"/>
    <w:rsid w:val="009F1E3B"/>
    <w:rsid w:val="009F345D"/>
    <w:rsid w:val="009F3866"/>
    <w:rsid w:val="009F63B2"/>
    <w:rsid w:val="009F6FBD"/>
    <w:rsid w:val="009F7A19"/>
    <w:rsid w:val="00A00F2B"/>
    <w:rsid w:val="00A01170"/>
    <w:rsid w:val="00A030A3"/>
    <w:rsid w:val="00A03DB2"/>
    <w:rsid w:val="00A05CF6"/>
    <w:rsid w:val="00A108EA"/>
    <w:rsid w:val="00A13218"/>
    <w:rsid w:val="00A134B7"/>
    <w:rsid w:val="00A14E3E"/>
    <w:rsid w:val="00A1743D"/>
    <w:rsid w:val="00A21358"/>
    <w:rsid w:val="00A217FF"/>
    <w:rsid w:val="00A21936"/>
    <w:rsid w:val="00A227A3"/>
    <w:rsid w:val="00A242F6"/>
    <w:rsid w:val="00A25291"/>
    <w:rsid w:val="00A358D4"/>
    <w:rsid w:val="00A40842"/>
    <w:rsid w:val="00A4198B"/>
    <w:rsid w:val="00A423BC"/>
    <w:rsid w:val="00A433E8"/>
    <w:rsid w:val="00A47766"/>
    <w:rsid w:val="00A47C5E"/>
    <w:rsid w:val="00A516A0"/>
    <w:rsid w:val="00A517A7"/>
    <w:rsid w:val="00A53DA4"/>
    <w:rsid w:val="00A550B1"/>
    <w:rsid w:val="00A574C0"/>
    <w:rsid w:val="00A60B73"/>
    <w:rsid w:val="00A616A2"/>
    <w:rsid w:val="00A62ABF"/>
    <w:rsid w:val="00A645AB"/>
    <w:rsid w:val="00A64B8E"/>
    <w:rsid w:val="00A66677"/>
    <w:rsid w:val="00A67F2E"/>
    <w:rsid w:val="00A72B74"/>
    <w:rsid w:val="00A73A28"/>
    <w:rsid w:val="00A73BE7"/>
    <w:rsid w:val="00A75E4E"/>
    <w:rsid w:val="00A76012"/>
    <w:rsid w:val="00A768EA"/>
    <w:rsid w:val="00A80080"/>
    <w:rsid w:val="00A80C35"/>
    <w:rsid w:val="00A80DBA"/>
    <w:rsid w:val="00A8332C"/>
    <w:rsid w:val="00A85369"/>
    <w:rsid w:val="00A91B0F"/>
    <w:rsid w:val="00A92149"/>
    <w:rsid w:val="00A94085"/>
    <w:rsid w:val="00AA0317"/>
    <w:rsid w:val="00AA063C"/>
    <w:rsid w:val="00AA084C"/>
    <w:rsid w:val="00AA1858"/>
    <w:rsid w:val="00AA24E2"/>
    <w:rsid w:val="00AA50BD"/>
    <w:rsid w:val="00AA5213"/>
    <w:rsid w:val="00AA6478"/>
    <w:rsid w:val="00AA6EAE"/>
    <w:rsid w:val="00AA77BF"/>
    <w:rsid w:val="00AB3A8C"/>
    <w:rsid w:val="00AB4951"/>
    <w:rsid w:val="00AB6113"/>
    <w:rsid w:val="00AB7B49"/>
    <w:rsid w:val="00AC2E85"/>
    <w:rsid w:val="00AC3BD0"/>
    <w:rsid w:val="00AC5D61"/>
    <w:rsid w:val="00AC600F"/>
    <w:rsid w:val="00AC6E97"/>
    <w:rsid w:val="00AD5296"/>
    <w:rsid w:val="00AD65E1"/>
    <w:rsid w:val="00AD7B95"/>
    <w:rsid w:val="00AE1F9C"/>
    <w:rsid w:val="00AE4EEA"/>
    <w:rsid w:val="00AF121D"/>
    <w:rsid w:val="00AF1B24"/>
    <w:rsid w:val="00AF2796"/>
    <w:rsid w:val="00AF3282"/>
    <w:rsid w:val="00AF3B92"/>
    <w:rsid w:val="00B00BB3"/>
    <w:rsid w:val="00B02A3D"/>
    <w:rsid w:val="00B02FB3"/>
    <w:rsid w:val="00B05CC2"/>
    <w:rsid w:val="00B11A97"/>
    <w:rsid w:val="00B1292C"/>
    <w:rsid w:val="00B243ED"/>
    <w:rsid w:val="00B25283"/>
    <w:rsid w:val="00B27A27"/>
    <w:rsid w:val="00B27DC2"/>
    <w:rsid w:val="00B315A0"/>
    <w:rsid w:val="00B32E40"/>
    <w:rsid w:val="00B3437E"/>
    <w:rsid w:val="00B34A18"/>
    <w:rsid w:val="00B34C13"/>
    <w:rsid w:val="00B34D86"/>
    <w:rsid w:val="00B36BDD"/>
    <w:rsid w:val="00B402F1"/>
    <w:rsid w:val="00B42A00"/>
    <w:rsid w:val="00B468CE"/>
    <w:rsid w:val="00B50C33"/>
    <w:rsid w:val="00B5172C"/>
    <w:rsid w:val="00B54F35"/>
    <w:rsid w:val="00B568F0"/>
    <w:rsid w:val="00B56EED"/>
    <w:rsid w:val="00B571DD"/>
    <w:rsid w:val="00B579CB"/>
    <w:rsid w:val="00B6147F"/>
    <w:rsid w:val="00B626CD"/>
    <w:rsid w:val="00B6314D"/>
    <w:rsid w:val="00B63535"/>
    <w:rsid w:val="00B657C5"/>
    <w:rsid w:val="00B65E1E"/>
    <w:rsid w:val="00B65E41"/>
    <w:rsid w:val="00B66787"/>
    <w:rsid w:val="00B66864"/>
    <w:rsid w:val="00B66E23"/>
    <w:rsid w:val="00B70083"/>
    <w:rsid w:val="00B72062"/>
    <w:rsid w:val="00B73978"/>
    <w:rsid w:val="00B73D0E"/>
    <w:rsid w:val="00B8058B"/>
    <w:rsid w:val="00B82513"/>
    <w:rsid w:val="00B8312D"/>
    <w:rsid w:val="00B838D9"/>
    <w:rsid w:val="00B852A5"/>
    <w:rsid w:val="00B8572A"/>
    <w:rsid w:val="00B85790"/>
    <w:rsid w:val="00B86C2E"/>
    <w:rsid w:val="00B87A76"/>
    <w:rsid w:val="00B87D1E"/>
    <w:rsid w:val="00B9303A"/>
    <w:rsid w:val="00B938BE"/>
    <w:rsid w:val="00B94A19"/>
    <w:rsid w:val="00B961C4"/>
    <w:rsid w:val="00B96241"/>
    <w:rsid w:val="00BA41C3"/>
    <w:rsid w:val="00BA6428"/>
    <w:rsid w:val="00BA67DE"/>
    <w:rsid w:val="00BA6806"/>
    <w:rsid w:val="00BB17A0"/>
    <w:rsid w:val="00BB198B"/>
    <w:rsid w:val="00BB28F6"/>
    <w:rsid w:val="00BB2ACA"/>
    <w:rsid w:val="00BB3B4B"/>
    <w:rsid w:val="00BB482B"/>
    <w:rsid w:val="00BB585D"/>
    <w:rsid w:val="00BC2609"/>
    <w:rsid w:val="00BC26DD"/>
    <w:rsid w:val="00BC3E79"/>
    <w:rsid w:val="00BC4468"/>
    <w:rsid w:val="00BC6576"/>
    <w:rsid w:val="00BD3CE7"/>
    <w:rsid w:val="00BD4CE7"/>
    <w:rsid w:val="00BE194C"/>
    <w:rsid w:val="00BE2F24"/>
    <w:rsid w:val="00BE38DF"/>
    <w:rsid w:val="00BE3D67"/>
    <w:rsid w:val="00BE5629"/>
    <w:rsid w:val="00BE764D"/>
    <w:rsid w:val="00BF000E"/>
    <w:rsid w:val="00BF28C7"/>
    <w:rsid w:val="00BF5DD8"/>
    <w:rsid w:val="00BF71C2"/>
    <w:rsid w:val="00BF744E"/>
    <w:rsid w:val="00C00144"/>
    <w:rsid w:val="00C03DD1"/>
    <w:rsid w:val="00C117BC"/>
    <w:rsid w:val="00C12DA1"/>
    <w:rsid w:val="00C13145"/>
    <w:rsid w:val="00C139A9"/>
    <w:rsid w:val="00C13A7C"/>
    <w:rsid w:val="00C14792"/>
    <w:rsid w:val="00C16975"/>
    <w:rsid w:val="00C21374"/>
    <w:rsid w:val="00C24936"/>
    <w:rsid w:val="00C2572C"/>
    <w:rsid w:val="00C26BCE"/>
    <w:rsid w:val="00C305C9"/>
    <w:rsid w:val="00C34785"/>
    <w:rsid w:val="00C374A0"/>
    <w:rsid w:val="00C40A9A"/>
    <w:rsid w:val="00C40DCC"/>
    <w:rsid w:val="00C40FD8"/>
    <w:rsid w:val="00C41420"/>
    <w:rsid w:val="00C42B0A"/>
    <w:rsid w:val="00C4610D"/>
    <w:rsid w:val="00C465EC"/>
    <w:rsid w:val="00C47178"/>
    <w:rsid w:val="00C47CC3"/>
    <w:rsid w:val="00C55495"/>
    <w:rsid w:val="00C60C63"/>
    <w:rsid w:val="00C61012"/>
    <w:rsid w:val="00C616E6"/>
    <w:rsid w:val="00C62D50"/>
    <w:rsid w:val="00C642A9"/>
    <w:rsid w:val="00C64F4C"/>
    <w:rsid w:val="00C65574"/>
    <w:rsid w:val="00C65D54"/>
    <w:rsid w:val="00C6757F"/>
    <w:rsid w:val="00C67C97"/>
    <w:rsid w:val="00C70EC0"/>
    <w:rsid w:val="00C7135A"/>
    <w:rsid w:val="00C71797"/>
    <w:rsid w:val="00C72A9C"/>
    <w:rsid w:val="00C75207"/>
    <w:rsid w:val="00C76FE7"/>
    <w:rsid w:val="00C77A51"/>
    <w:rsid w:val="00C83760"/>
    <w:rsid w:val="00C83C4D"/>
    <w:rsid w:val="00C83C66"/>
    <w:rsid w:val="00C83F07"/>
    <w:rsid w:val="00C84123"/>
    <w:rsid w:val="00C85553"/>
    <w:rsid w:val="00C857D3"/>
    <w:rsid w:val="00C866DA"/>
    <w:rsid w:val="00C90410"/>
    <w:rsid w:val="00C92BF6"/>
    <w:rsid w:val="00C9304F"/>
    <w:rsid w:val="00CA1164"/>
    <w:rsid w:val="00CA17AC"/>
    <w:rsid w:val="00CA1968"/>
    <w:rsid w:val="00CA1CBE"/>
    <w:rsid w:val="00CA3EAA"/>
    <w:rsid w:val="00CA5C67"/>
    <w:rsid w:val="00CA6305"/>
    <w:rsid w:val="00CA6820"/>
    <w:rsid w:val="00CA6F5D"/>
    <w:rsid w:val="00CB0623"/>
    <w:rsid w:val="00CB2720"/>
    <w:rsid w:val="00CB276B"/>
    <w:rsid w:val="00CB4937"/>
    <w:rsid w:val="00CB62E4"/>
    <w:rsid w:val="00CB6541"/>
    <w:rsid w:val="00CC04B8"/>
    <w:rsid w:val="00CC2FDD"/>
    <w:rsid w:val="00CC4078"/>
    <w:rsid w:val="00CC6CC0"/>
    <w:rsid w:val="00CD1752"/>
    <w:rsid w:val="00CD4DD4"/>
    <w:rsid w:val="00CD5DAF"/>
    <w:rsid w:val="00CE1F5D"/>
    <w:rsid w:val="00CE338D"/>
    <w:rsid w:val="00CE3829"/>
    <w:rsid w:val="00CE4795"/>
    <w:rsid w:val="00CE4F89"/>
    <w:rsid w:val="00CE5EB4"/>
    <w:rsid w:val="00CE7104"/>
    <w:rsid w:val="00CE750F"/>
    <w:rsid w:val="00CE778B"/>
    <w:rsid w:val="00CF1498"/>
    <w:rsid w:val="00CF3980"/>
    <w:rsid w:val="00CF4050"/>
    <w:rsid w:val="00CF4437"/>
    <w:rsid w:val="00CF4E03"/>
    <w:rsid w:val="00CF6A1A"/>
    <w:rsid w:val="00CF7397"/>
    <w:rsid w:val="00D009A3"/>
    <w:rsid w:val="00D049B8"/>
    <w:rsid w:val="00D06197"/>
    <w:rsid w:val="00D10585"/>
    <w:rsid w:val="00D12474"/>
    <w:rsid w:val="00D15464"/>
    <w:rsid w:val="00D160CB"/>
    <w:rsid w:val="00D20D16"/>
    <w:rsid w:val="00D2106F"/>
    <w:rsid w:val="00D245A1"/>
    <w:rsid w:val="00D24CB3"/>
    <w:rsid w:val="00D24E98"/>
    <w:rsid w:val="00D25B3B"/>
    <w:rsid w:val="00D314E5"/>
    <w:rsid w:val="00D32543"/>
    <w:rsid w:val="00D32BA7"/>
    <w:rsid w:val="00D33BE6"/>
    <w:rsid w:val="00D3416D"/>
    <w:rsid w:val="00D3680D"/>
    <w:rsid w:val="00D36825"/>
    <w:rsid w:val="00D368D8"/>
    <w:rsid w:val="00D402F9"/>
    <w:rsid w:val="00D41049"/>
    <w:rsid w:val="00D415E2"/>
    <w:rsid w:val="00D42055"/>
    <w:rsid w:val="00D44E0C"/>
    <w:rsid w:val="00D4566C"/>
    <w:rsid w:val="00D4581F"/>
    <w:rsid w:val="00D45D56"/>
    <w:rsid w:val="00D45F79"/>
    <w:rsid w:val="00D56FB7"/>
    <w:rsid w:val="00D5729E"/>
    <w:rsid w:val="00D60B3D"/>
    <w:rsid w:val="00D617A4"/>
    <w:rsid w:val="00D647C3"/>
    <w:rsid w:val="00D6650E"/>
    <w:rsid w:val="00D67844"/>
    <w:rsid w:val="00D707FA"/>
    <w:rsid w:val="00D75180"/>
    <w:rsid w:val="00D77739"/>
    <w:rsid w:val="00D808CC"/>
    <w:rsid w:val="00D82C99"/>
    <w:rsid w:val="00D83BE5"/>
    <w:rsid w:val="00D83D91"/>
    <w:rsid w:val="00D84642"/>
    <w:rsid w:val="00D91838"/>
    <w:rsid w:val="00D91897"/>
    <w:rsid w:val="00D9386E"/>
    <w:rsid w:val="00D93C16"/>
    <w:rsid w:val="00D9633A"/>
    <w:rsid w:val="00D97562"/>
    <w:rsid w:val="00DA3E79"/>
    <w:rsid w:val="00DA609B"/>
    <w:rsid w:val="00DB4C0C"/>
    <w:rsid w:val="00DB5BB2"/>
    <w:rsid w:val="00DC0DF4"/>
    <w:rsid w:val="00DD0BD9"/>
    <w:rsid w:val="00DD0F9D"/>
    <w:rsid w:val="00DD3C97"/>
    <w:rsid w:val="00DD49B6"/>
    <w:rsid w:val="00DD4FC4"/>
    <w:rsid w:val="00DE0D42"/>
    <w:rsid w:val="00DF2386"/>
    <w:rsid w:val="00DF2F8A"/>
    <w:rsid w:val="00DF5F99"/>
    <w:rsid w:val="00DF6B3E"/>
    <w:rsid w:val="00DF6F49"/>
    <w:rsid w:val="00DF7FE7"/>
    <w:rsid w:val="00E00D38"/>
    <w:rsid w:val="00E016CC"/>
    <w:rsid w:val="00E042F9"/>
    <w:rsid w:val="00E0612A"/>
    <w:rsid w:val="00E12CA5"/>
    <w:rsid w:val="00E16CC7"/>
    <w:rsid w:val="00E17EE6"/>
    <w:rsid w:val="00E20094"/>
    <w:rsid w:val="00E21C66"/>
    <w:rsid w:val="00E236B9"/>
    <w:rsid w:val="00E25075"/>
    <w:rsid w:val="00E30B90"/>
    <w:rsid w:val="00E30B98"/>
    <w:rsid w:val="00E319D3"/>
    <w:rsid w:val="00E42A55"/>
    <w:rsid w:val="00E4514F"/>
    <w:rsid w:val="00E46367"/>
    <w:rsid w:val="00E4663F"/>
    <w:rsid w:val="00E50224"/>
    <w:rsid w:val="00E53769"/>
    <w:rsid w:val="00E604F4"/>
    <w:rsid w:val="00E6313B"/>
    <w:rsid w:val="00E631A8"/>
    <w:rsid w:val="00E63F0B"/>
    <w:rsid w:val="00E642B6"/>
    <w:rsid w:val="00E70ABD"/>
    <w:rsid w:val="00E72090"/>
    <w:rsid w:val="00E73B49"/>
    <w:rsid w:val="00E74C69"/>
    <w:rsid w:val="00E75CA2"/>
    <w:rsid w:val="00E7606D"/>
    <w:rsid w:val="00E77109"/>
    <w:rsid w:val="00E777F3"/>
    <w:rsid w:val="00E80FF3"/>
    <w:rsid w:val="00E85C33"/>
    <w:rsid w:val="00E9257D"/>
    <w:rsid w:val="00E925A9"/>
    <w:rsid w:val="00E93BDD"/>
    <w:rsid w:val="00E949F7"/>
    <w:rsid w:val="00E96B53"/>
    <w:rsid w:val="00EA0456"/>
    <w:rsid w:val="00EA196C"/>
    <w:rsid w:val="00EA3A7F"/>
    <w:rsid w:val="00EA5C9D"/>
    <w:rsid w:val="00EA5E82"/>
    <w:rsid w:val="00EB2CA8"/>
    <w:rsid w:val="00EB3F23"/>
    <w:rsid w:val="00EB6182"/>
    <w:rsid w:val="00EB6561"/>
    <w:rsid w:val="00EB682B"/>
    <w:rsid w:val="00EC3923"/>
    <w:rsid w:val="00EC588F"/>
    <w:rsid w:val="00EC72C3"/>
    <w:rsid w:val="00ED2630"/>
    <w:rsid w:val="00ED2A0B"/>
    <w:rsid w:val="00ED2B49"/>
    <w:rsid w:val="00ED3A8C"/>
    <w:rsid w:val="00ED3AEB"/>
    <w:rsid w:val="00ED4036"/>
    <w:rsid w:val="00ED536D"/>
    <w:rsid w:val="00ED5805"/>
    <w:rsid w:val="00ED6F22"/>
    <w:rsid w:val="00ED7225"/>
    <w:rsid w:val="00EE37D2"/>
    <w:rsid w:val="00EE4971"/>
    <w:rsid w:val="00EE5DC3"/>
    <w:rsid w:val="00EE60AF"/>
    <w:rsid w:val="00EE7641"/>
    <w:rsid w:val="00EE7F06"/>
    <w:rsid w:val="00EF27A8"/>
    <w:rsid w:val="00EF37C0"/>
    <w:rsid w:val="00EF3D80"/>
    <w:rsid w:val="00EF4718"/>
    <w:rsid w:val="00EF557F"/>
    <w:rsid w:val="00F0628B"/>
    <w:rsid w:val="00F06D68"/>
    <w:rsid w:val="00F078F1"/>
    <w:rsid w:val="00F126E5"/>
    <w:rsid w:val="00F136F5"/>
    <w:rsid w:val="00F14404"/>
    <w:rsid w:val="00F207AC"/>
    <w:rsid w:val="00F20F57"/>
    <w:rsid w:val="00F21A80"/>
    <w:rsid w:val="00F21BAF"/>
    <w:rsid w:val="00F25929"/>
    <w:rsid w:val="00F26C2E"/>
    <w:rsid w:val="00F27FD2"/>
    <w:rsid w:val="00F32D03"/>
    <w:rsid w:val="00F331A5"/>
    <w:rsid w:val="00F33F24"/>
    <w:rsid w:val="00F344DE"/>
    <w:rsid w:val="00F34DE3"/>
    <w:rsid w:val="00F40D7D"/>
    <w:rsid w:val="00F4516D"/>
    <w:rsid w:val="00F503EA"/>
    <w:rsid w:val="00F50A7A"/>
    <w:rsid w:val="00F50F8D"/>
    <w:rsid w:val="00F51485"/>
    <w:rsid w:val="00F52E89"/>
    <w:rsid w:val="00F548E2"/>
    <w:rsid w:val="00F55ABA"/>
    <w:rsid w:val="00F56BB7"/>
    <w:rsid w:val="00F57D79"/>
    <w:rsid w:val="00F60DF2"/>
    <w:rsid w:val="00F61B79"/>
    <w:rsid w:val="00F7138B"/>
    <w:rsid w:val="00F73E71"/>
    <w:rsid w:val="00F73EE2"/>
    <w:rsid w:val="00F7539C"/>
    <w:rsid w:val="00F80085"/>
    <w:rsid w:val="00F819EB"/>
    <w:rsid w:val="00F8382F"/>
    <w:rsid w:val="00F847E5"/>
    <w:rsid w:val="00F84F55"/>
    <w:rsid w:val="00F862BE"/>
    <w:rsid w:val="00F90014"/>
    <w:rsid w:val="00F93D0E"/>
    <w:rsid w:val="00F94327"/>
    <w:rsid w:val="00F9634F"/>
    <w:rsid w:val="00F96963"/>
    <w:rsid w:val="00F9719A"/>
    <w:rsid w:val="00FA00D4"/>
    <w:rsid w:val="00FA276A"/>
    <w:rsid w:val="00FA2F4B"/>
    <w:rsid w:val="00FA4977"/>
    <w:rsid w:val="00FA5E54"/>
    <w:rsid w:val="00FA6159"/>
    <w:rsid w:val="00FB2AB2"/>
    <w:rsid w:val="00FB6EE7"/>
    <w:rsid w:val="00FB70D8"/>
    <w:rsid w:val="00FB7C64"/>
    <w:rsid w:val="00FC0A0E"/>
    <w:rsid w:val="00FC2EBB"/>
    <w:rsid w:val="00FC42BB"/>
    <w:rsid w:val="00FC6B33"/>
    <w:rsid w:val="00FC725D"/>
    <w:rsid w:val="00FC7A32"/>
    <w:rsid w:val="00FD0EEF"/>
    <w:rsid w:val="00FD1CE3"/>
    <w:rsid w:val="00FD27EB"/>
    <w:rsid w:val="00FD2D00"/>
    <w:rsid w:val="00FD2F1D"/>
    <w:rsid w:val="00FD45EA"/>
    <w:rsid w:val="00FD692A"/>
    <w:rsid w:val="00FD730C"/>
    <w:rsid w:val="00FE0683"/>
    <w:rsid w:val="00FE34A2"/>
    <w:rsid w:val="00FE3EE1"/>
    <w:rsid w:val="00FE4202"/>
    <w:rsid w:val="00FE5EEB"/>
    <w:rsid w:val="00FE7BC1"/>
    <w:rsid w:val="00FF2029"/>
    <w:rsid w:val="00FF3BCE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14292"/>
  <w15:docId w15:val="{C28AB3F9-CB73-49BF-A256-C3C8044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MGfulltext">
    <w:name w:val="MG_fulltext"/>
    <w:basedOn w:val="Normal"/>
    <w:link w:val="MGfulltextChar"/>
    <w:qFormat/>
    <w:rsid w:val="00B32E40"/>
    <w:pPr>
      <w:spacing w:after="120"/>
      <w:ind w:left="0"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GfulltextChar">
    <w:name w:val="MG_fulltext Char"/>
    <w:basedOn w:val="DefaultParagraphFont"/>
    <w:link w:val="MGfulltext"/>
    <w:rsid w:val="00B32E40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basedOn w:val="Normal"/>
    <w:rsid w:val="00267D03"/>
    <w:pPr>
      <w:autoSpaceDE w:val="0"/>
      <w:autoSpaceDN w:val="0"/>
      <w:ind w:left="0" w:firstLine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0F96"/>
    <w:rPr>
      <w:color w:val="800080"/>
      <w:u w:val="single"/>
    </w:rPr>
  </w:style>
  <w:style w:type="paragraph" w:customStyle="1" w:styleId="xl65">
    <w:name w:val="xl65"/>
    <w:basedOn w:val="Normal"/>
    <w:rsid w:val="006D0F96"/>
    <w:pPr>
      <w:spacing w:before="100" w:beforeAutospacing="1" w:after="100" w:afterAutospacing="1"/>
      <w:ind w:left="0" w:firstLine="0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qFormat/>
    <w:rsid w:val="002D300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E1F5D"/>
    <w:pPr>
      <w:widowControl w:val="0"/>
      <w:ind w:left="548" w:firstLine="0"/>
    </w:pPr>
    <w:rPr>
      <w:rFonts w:ascii="Arial" w:eastAsia="Arial" w:hAnsi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1F5D"/>
    <w:rPr>
      <w:rFonts w:ascii="Arial" w:eastAsia="Arial" w:hAnsi="Arial"/>
      <w:lang w:val="en-US"/>
    </w:rPr>
  </w:style>
  <w:style w:type="paragraph" w:customStyle="1" w:styleId="xl66">
    <w:name w:val="xl66"/>
    <w:basedOn w:val="Normal"/>
    <w:rsid w:val="00CE1F5D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CE1F5D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E1F5D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CE1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CE1F5D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CE1F5D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CE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eastAsia="Times New Roman"/>
      <w:b/>
      <w:bCs/>
      <w:sz w:val="26"/>
      <w:szCs w:val="26"/>
      <w:lang w:eastAsia="en-GB"/>
    </w:rPr>
  </w:style>
  <w:style w:type="paragraph" w:customStyle="1" w:styleId="xl97">
    <w:name w:val="xl97"/>
    <w:basedOn w:val="Normal"/>
    <w:rsid w:val="00CE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E1F5D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E1F5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0">
    <w:name w:val="xl100"/>
    <w:basedOn w:val="Normal"/>
    <w:rsid w:val="00CE1F5D"/>
    <w:pPr>
      <w:pBdr>
        <w:left w:val="single" w:sz="8" w:space="0" w:color="auto"/>
        <w:bottom w:val="double" w:sz="6" w:space="0" w:color="000000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1">
    <w:name w:val="xl101"/>
    <w:basedOn w:val="Normal"/>
    <w:rsid w:val="00CE1F5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E1F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E1F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E1F5D"/>
    <w:pPr>
      <w:pBdr>
        <w:top w:val="single" w:sz="8" w:space="0" w:color="auto"/>
        <w:left w:val="single" w:sz="12" w:space="0" w:color="000000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E1F5D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E1F5D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CE1F5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8">
    <w:name w:val="xl108"/>
    <w:basedOn w:val="Normal"/>
    <w:rsid w:val="00CE1F5D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CE1F5D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table" w:styleId="GridTable4-Accent1">
    <w:name w:val="Grid Table 4 Accent 1"/>
    <w:basedOn w:val="TableNormal"/>
    <w:uiPriority w:val="49"/>
    <w:rsid w:val="004B4D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8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1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C1B0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Listpara2">
    <w:name w:val="List para 2"/>
    <w:basedOn w:val="Normal"/>
    <w:qFormat/>
    <w:rsid w:val="005C1B09"/>
    <w:pPr>
      <w:numPr>
        <w:numId w:val="2"/>
      </w:numPr>
      <w:contextualSpacing/>
    </w:pPr>
    <w:rPr>
      <w:rFonts w:asciiTheme="majorHAnsi" w:hAnsiTheme="majorHAnsi"/>
      <w:bCs/>
    </w:rPr>
  </w:style>
  <w:style w:type="table" w:styleId="PlainTable1">
    <w:name w:val="Plain Table 1"/>
    <w:basedOn w:val="TableNormal"/>
    <w:uiPriority w:val="41"/>
    <w:rsid w:val="005C1B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5C1B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es/document/sc65-doc81-cuestiones-financieras-y-presupuestarias-actualizacion-sobre-cuesti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3" ma:contentTypeDescription="Create a new document." ma:contentTypeScope="" ma:versionID="5013cc71c1859598a18b9ce7312ef19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4e80ea02e018efc09e8a65ba00d312e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C4B3-C46C-4E9E-881B-7C8702451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329CF-AD15-467B-83E2-FE2EC862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A59D1-DF64-47A6-A56D-7AB823873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77F199-DDAF-433B-B8CC-C28A0146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6942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3</cp:revision>
  <cp:lastPrinted>2025-04-01T07:39:00Z</cp:lastPrinted>
  <dcterms:created xsi:type="dcterms:W3CDTF">2025-04-14T07:33:00Z</dcterms:created>
  <dcterms:modified xsi:type="dcterms:W3CDTF">2025-04-15T12:03:00Z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