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F5667" w14:textId="77777777" w:rsidR="007949D0" w:rsidRPr="00FE4BE9" w:rsidRDefault="007949D0" w:rsidP="007949D0">
      <w:pPr>
        <w:autoSpaceDE w:val="0"/>
        <w:autoSpaceDN w:val="0"/>
        <w:jc w:val="center"/>
        <w:outlineLvl w:val="0"/>
        <w:rPr>
          <w:rFonts w:eastAsia="Times New Roman" w:cs="Calibri"/>
          <w:b/>
          <w:bCs/>
        </w:rPr>
      </w:pPr>
      <w:r w:rsidRPr="00FE4BE9">
        <w:rPr>
          <w:rFonts w:eastAsia="Times New Roman" w:cs="Calibr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505963D" wp14:editId="52618F1B">
            <wp:simplePos x="0" y="0"/>
            <wp:positionH relativeFrom="margin">
              <wp:posOffset>0</wp:posOffset>
            </wp:positionH>
            <wp:positionV relativeFrom="margin">
              <wp:posOffset>-229235</wp:posOffset>
            </wp:positionV>
            <wp:extent cx="1733550" cy="1708150"/>
            <wp:effectExtent l="0" t="0" r="0" b="6350"/>
            <wp:wrapSquare wrapText="bothSides"/>
            <wp:docPr id="191683123" name="Picture 3" descr="A logo with elephants and a bo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3123" name="Picture 3" descr="A logo with elephants and a boat&#10;&#10;AI-generated content may be incorrect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03" t="10342" r="20563" b="9746"/>
                    <a:stretch/>
                  </pic:blipFill>
                  <pic:spPr bwMode="auto">
                    <a:xfrm>
                      <a:off x="0" y="0"/>
                      <a:ext cx="1733550" cy="170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2A3F4" w14:textId="77777777" w:rsidR="007949D0" w:rsidRPr="00FE4BE9" w:rsidRDefault="007949D0" w:rsidP="007949D0">
      <w:pPr>
        <w:autoSpaceDE w:val="0"/>
        <w:autoSpaceDN w:val="0"/>
        <w:jc w:val="center"/>
        <w:outlineLvl w:val="0"/>
        <w:rPr>
          <w:rFonts w:eastAsia="Times New Roman" w:cs="Calibri"/>
          <w:b/>
          <w:bCs/>
          <w:sz w:val="24"/>
          <w:szCs w:val="24"/>
        </w:rPr>
      </w:pPr>
      <w:r w:rsidRPr="00FE4BE9">
        <w:rPr>
          <w:rFonts w:eastAsia="Times New Roman" w:cs="Calibri"/>
          <w:b/>
          <w:bCs/>
          <w:sz w:val="24"/>
          <w:szCs w:val="24"/>
        </w:rPr>
        <w:t>15th meeting of the Conference of the Contracting Parties</w:t>
      </w:r>
    </w:p>
    <w:p w14:paraId="7988AF1D" w14:textId="77777777" w:rsidR="007949D0" w:rsidRPr="00FE4BE9" w:rsidRDefault="007949D0" w:rsidP="007949D0">
      <w:pPr>
        <w:autoSpaceDE w:val="0"/>
        <w:autoSpaceDN w:val="0"/>
        <w:jc w:val="center"/>
        <w:outlineLvl w:val="0"/>
        <w:rPr>
          <w:rFonts w:eastAsia="Times New Roman" w:cs="Calibri"/>
          <w:b/>
          <w:bCs/>
          <w:sz w:val="24"/>
          <w:szCs w:val="24"/>
        </w:rPr>
      </w:pPr>
      <w:r w:rsidRPr="00FE4BE9">
        <w:rPr>
          <w:rFonts w:eastAsia="Times New Roman" w:cs="Calibri"/>
          <w:b/>
          <w:bCs/>
          <w:sz w:val="24"/>
          <w:szCs w:val="24"/>
        </w:rPr>
        <w:t>to the Convention on Wetlands</w:t>
      </w:r>
    </w:p>
    <w:p w14:paraId="0BB2E5E6" w14:textId="77777777" w:rsidR="007949D0" w:rsidRPr="00FE4BE9" w:rsidRDefault="007949D0" w:rsidP="007949D0">
      <w:pPr>
        <w:autoSpaceDE w:val="0"/>
        <w:autoSpaceDN w:val="0"/>
        <w:jc w:val="center"/>
        <w:outlineLvl w:val="0"/>
        <w:rPr>
          <w:rFonts w:eastAsia="Times New Roman" w:cs="Calibri"/>
          <w:b/>
          <w:bCs/>
          <w:sz w:val="24"/>
          <w:szCs w:val="24"/>
        </w:rPr>
      </w:pPr>
    </w:p>
    <w:p w14:paraId="692A4D7E" w14:textId="77777777" w:rsidR="007949D0" w:rsidRPr="00FE4BE9" w:rsidRDefault="007949D0" w:rsidP="007949D0">
      <w:pPr>
        <w:autoSpaceDE w:val="0"/>
        <w:autoSpaceDN w:val="0"/>
        <w:jc w:val="center"/>
        <w:outlineLvl w:val="0"/>
        <w:rPr>
          <w:rFonts w:eastAsia="Times New Roman" w:cs="Calibri"/>
          <w:b/>
          <w:bCs/>
          <w:sz w:val="24"/>
          <w:szCs w:val="24"/>
        </w:rPr>
      </w:pPr>
      <w:r w:rsidRPr="00FE4BE9">
        <w:rPr>
          <w:rFonts w:eastAsia="Times New Roman" w:cs="Calibri"/>
          <w:b/>
          <w:bCs/>
          <w:sz w:val="24"/>
          <w:szCs w:val="24"/>
        </w:rPr>
        <w:t>“Protecting wetlands for our common future”</w:t>
      </w:r>
    </w:p>
    <w:p w14:paraId="16EBC9AC" w14:textId="77777777" w:rsidR="007949D0" w:rsidRPr="00FE4BE9" w:rsidRDefault="007949D0" w:rsidP="007949D0">
      <w:pPr>
        <w:autoSpaceDE w:val="0"/>
        <w:autoSpaceDN w:val="0"/>
        <w:jc w:val="center"/>
        <w:outlineLvl w:val="0"/>
        <w:rPr>
          <w:rFonts w:eastAsia="Times New Roman" w:cs="Calibri"/>
          <w:b/>
          <w:bCs/>
          <w:sz w:val="24"/>
          <w:szCs w:val="24"/>
        </w:rPr>
      </w:pPr>
      <w:r w:rsidRPr="00FE4BE9">
        <w:rPr>
          <w:rFonts w:eastAsia="Times New Roman" w:cs="Calibri"/>
          <w:b/>
          <w:bCs/>
          <w:sz w:val="24"/>
          <w:szCs w:val="24"/>
        </w:rPr>
        <w:t>Victoria Falls, Zimbabwe, 23-31 July 2025</w:t>
      </w:r>
    </w:p>
    <w:p w14:paraId="6EA4785D" w14:textId="77777777" w:rsidR="007949D0" w:rsidRPr="00FE4BE9" w:rsidRDefault="007949D0" w:rsidP="007949D0">
      <w:pPr>
        <w:autoSpaceDE w:val="0"/>
        <w:autoSpaceDN w:val="0"/>
        <w:jc w:val="center"/>
        <w:outlineLvl w:val="0"/>
        <w:rPr>
          <w:rFonts w:eastAsia="Times New Roman" w:cs="Calibri"/>
          <w:b/>
          <w:bCs/>
        </w:rPr>
      </w:pPr>
    </w:p>
    <w:p w14:paraId="36AA806C" w14:textId="77777777" w:rsidR="007949D0" w:rsidRPr="00FE4BE9" w:rsidRDefault="007949D0" w:rsidP="007949D0">
      <w:pPr>
        <w:autoSpaceDE w:val="0"/>
        <w:autoSpaceDN w:val="0"/>
        <w:jc w:val="center"/>
        <w:outlineLvl w:val="0"/>
        <w:rPr>
          <w:rFonts w:eastAsia="Times New Roman" w:cs="Calibri"/>
          <w:b/>
          <w:bCs/>
        </w:rPr>
      </w:pPr>
    </w:p>
    <w:p w14:paraId="460D73CB" w14:textId="77777777" w:rsidR="007949D0" w:rsidRPr="00FE4BE9" w:rsidRDefault="007949D0" w:rsidP="007949D0">
      <w:pPr>
        <w:autoSpaceDE w:val="0"/>
        <w:autoSpaceDN w:val="0"/>
        <w:jc w:val="center"/>
        <w:outlineLvl w:val="0"/>
        <w:rPr>
          <w:rFonts w:eastAsia="Times New Roman" w:cs="Calibri"/>
          <w:b/>
          <w:bCs/>
        </w:rPr>
      </w:pPr>
    </w:p>
    <w:p w14:paraId="0D20144E" w14:textId="77777777" w:rsidR="007949D0" w:rsidRPr="00FE4BE9" w:rsidRDefault="007949D0" w:rsidP="007949D0">
      <w:pPr>
        <w:autoSpaceDE w:val="0"/>
        <w:autoSpaceDN w:val="0"/>
        <w:jc w:val="right"/>
        <w:rPr>
          <w:rFonts w:eastAsia="Times New Roman" w:cs="Calibri"/>
        </w:rPr>
      </w:pPr>
    </w:p>
    <w:p w14:paraId="22B7BAD8" w14:textId="0FE0B249" w:rsidR="007949D0" w:rsidRPr="00FE4BE9" w:rsidRDefault="007949D0" w:rsidP="007949D0">
      <w:pPr>
        <w:autoSpaceDE w:val="0"/>
        <w:autoSpaceDN w:val="0"/>
        <w:jc w:val="right"/>
        <w:rPr>
          <w:rFonts w:eastAsia="Times New Roman" w:cs="Calibri"/>
          <w:sz w:val="28"/>
          <w:szCs w:val="28"/>
        </w:rPr>
      </w:pPr>
      <w:r w:rsidRPr="00FE4BE9">
        <w:rPr>
          <w:rFonts w:eastAsia="Times New Roman" w:cs="Calibri"/>
          <w:b/>
          <w:sz w:val="28"/>
          <w:szCs w:val="28"/>
        </w:rPr>
        <w:t>COP15 Doc.1</w:t>
      </w:r>
      <w:r>
        <w:rPr>
          <w:rFonts w:eastAsia="Times New Roman" w:cs="Calibri"/>
          <w:b/>
          <w:sz w:val="28"/>
          <w:szCs w:val="28"/>
        </w:rPr>
        <w:t>8</w:t>
      </w:r>
    </w:p>
    <w:p w14:paraId="7D87C762" w14:textId="77777777" w:rsidR="007949D0" w:rsidRPr="00FE4BE9" w:rsidRDefault="007949D0" w:rsidP="007949D0">
      <w:pPr>
        <w:tabs>
          <w:tab w:val="left" w:pos="10650"/>
          <w:tab w:val="right" w:pos="13958"/>
        </w:tabs>
        <w:autoSpaceDE w:val="0"/>
        <w:autoSpaceDN w:val="0"/>
        <w:jc w:val="right"/>
        <w:rPr>
          <w:rFonts w:eastAsia="Times New Roman" w:cs="Calibri"/>
          <w:b/>
          <w:bCs/>
          <w:sz w:val="28"/>
          <w:szCs w:val="28"/>
        </w:rPr>
      </w:pPr>
    </w:p>
    <w:p w14:paraId="489690C8" w14:textId="77777777" w:rsidR="00BA6428" w:rsidRPr="009954FE" w:rsidRDefault="00BA6428" w:rsidP="009954FE">
      <w:pPr>
        <w:jc w:val="right"/>
        <w:rPr>
          <w:rFonts w:asciiTheme="minorHAnsi" w:hAnsiTheme="minorHAnsi"/>
          <w:b/>
          <w:sz w:val="28"/>
          <w:szCs w:val="28"/>
        </w:rPr>
      </w:pPr>
      <w:bookmarkStart w:id="0" w:name="OLE_LINK3"/>
    </w:p>
    <w:p w14:paraId="77CF1E1F" w14:textId="78AE9E1E" w:rsidR="00B32E40" w:rsidRPr="001D42CA" w:rsidRDefault="0079613F" w:rsidP="007949D0">
      <w:pPr>
        <w:ind w:right="17"/>
        <w:jc w:val="center"/>
        <w:outlineLvl w:val="0"/>
        <w:rPr>
          <w:rFonts w:eastAsia="Times New Roman" w:cstheme="majorHAnsi"/>
          <w:b/>
          <w:bCs/>
          <w:sz w:val="28"/>
          <w:szCs w:val="28"/>
          <w:lang w:eastAsia="en-GB"/>
        </w:rPr>
      </w:pPr>
      <w:r w:rsidRPr="00BE3861">
        <w:rPr>
          <w:rFonts w:eastAsia="Times New Roman" w:cstheme="majorHAnsi"/>
          <w:b/>
          <w:bCs/>
          <w:sz w:val="28"/>
          <w:szCs w:val="28"/>
          <w:lang w:val="en-US"/>
        </w:rPr>
        <w:t xml:space="preserve">Financial report for </w:t>
      </w:r>
      <w:r w:rsidR="005704AB" w:rsidRPr="00BE3861">
        <w:rPr>
          <w:rFonts w:eastAsia="Times New Roman" w:cstheme="majorHAnsi"/>
          <w:b/>
          <w:bCs/>
          <w:sz w:val="28"/>
          <w:szCs w:val="28"/>
          <w:lang w:val="en-US"/>
        </w:rPr>
        <w:t>20</w:t>
      </w:r>
      <w:r w:rsidR="005704AB">
        <w:rPr>
          <w:rFonts w:eastAsia="Times New Roman" w:cstheme="majorHAnsi"/>
          <w:b/>
          <w:bCs/>
          <w:sz w:val="28"/>
          <w:szCs w:val="28"/>
          <w:lang w:val="en-US"/>
        </w:rPr>
        <w:t>23</w:t>
      </w:r>
      <w:r w:rsidRPr="00BE3861">
        <w:rPr>
          <w:rFonts w:eastAsia="Times New Roman" w:cstheme="majorHAnsi"/>
          <w:b/>
          <w:bCs/>
          <w:sz w:val="28"/>
          <w:szCs w:val="28"/>
          <w:lang w:val="en-US"/>
        </w:rPr>
        <w:t>-</w:t>
      </w:r>
      <w:r w:rsidR="005704AB" w:rsidRPr="00BE3861">
        <w:rPr>
          <w:rFonts w:eastAsia="Times New Roman" w:cstheme="majorHAnsi"/>
          <w:b/>
          <w:bCs/>
          <w:sz w:val="28"/>
          <w:szCs w:val="28"/>
          <w:lang w:val="en-US"/>
        </w:rPr>
        <w:t>20</w:t>
      </w:r>
      <w:r w:rsidR="005704AB">
        <w:rPr>
          <w:rFonts w:eastAsia="Times New Roman" w:cstheme="majorHAnsi"/>
          <w:b/>
          <w:bCs/>
          <w:sz w:val="28"/>
          <w:szCs w:val="28"/>
          <w:lang w:val="en-US"/>
        </w:rPr>
        <w:t>25</w:t>
      </w:r>
      <w:r w:rsidR="005704AB" w:rsidRPr="00BE3861">
        <w:rPr>
          <w:rFonts w:eastAsia="Times New Roman" w:cstheme="majorHAnsi"/>
          <w:b/>
          <w:bCs/>
          <w:sz w:val="28"/>
          <w:szCs w:val="28"/>
          <w:lang w:val="en-US"/>
        </w:rPr>
        <w:t xml:space="preserve"> </w:t>
      </w:r>
      <w:r w:rsidR="00CA5C67">
        <w:rPr>
          <w:rFonts w:eastAsia="Times New Roman" w:cstheme="majorHAnsi"/>
          <w:b/>
          <w:bCs/>
          <w:sz w:val="28"/>
          <w:szCs w:val="28"/>
          <w:lang w:val="en-US"/>
        </w:rPr>
        <w:t>of</w:t>
      </w:r>
      <w:r w:rsidR="00CA5C67" w:rsidRPr="00516DE4">
        <w:rPr>
          <w:rFonts w:eastAsia="Times New Roman" w:cstheme="majorHAnsi"/>
          <w:b/>
          <w:bCs/>
          <w:sz w:val="28"/>
          <w:szCs w:val="28"/>
          <w:lang w:val="en-US"/>
        </w:rPr>
        <w:t xml:space="preserve"> </w:t>
      </w:r>
      <w:r w:rsidRPr="00516DE4">
        <w:rPr>
          <w:rFonts w:eastAsia="Times New Roman" w:cstheme="majorHAnsi"/>
          <w:b/>
          <w:bCs/>
          <w:sz w:val="28"/>
          <w:szCs w:val="28"/>
          <w:lang w:val="en-US"/>
        </w:rPr>
        <w:t>the Chair of the Subgroup on Finance</w:t>
      </w:r>
      <w:r w:rsidRPr="00BE3861">
        <w:rPr>
          <w:rFonts w:eastAsia="Times New Roman" w:cstheme="majorHAnsi"/>
          <w:b/>
          <w:bCs/>
          <w:sz w:val="28"/>
          <w:szCs w:val="28"/>
          <w:lang w:val="en-US"/>
        </w:rPr>
        <w:t xml:space="preserve"> </w:t>
      </w:r>
      <w:r w:rsidR="007949D0">
        <w:rPr>
          <w:rFonts w:eastAsia="Times New Roman" w:cstheme="majorHAnsi"/>
          <w:b/>
          <w:bCs/>
          <w:sz w:val="28"/>
          <w:szCs w:val="28"/>
          <w:lang w:val="en-US"/>
        </w:rPr>
        <w:br/>
      </w:r>
      <w:r w:rsidR="00CA5C67">
        <w:rPr>
          <w:rFonts w:eastAsia="Times New Roman" w:cstheme="majorHAnsi"/>
          <w:b/>
          <w:bCs/>
          <w:sz w:val="28"/>
          <w:szCs w:val="28"/>
          <w:lang w:val="en-US"/>
        </w:rPr>
        <w:t xml:space="preserve">of the </w:t>
      </w:r>
      <w:r w:rsidR="00CA5C67" w:rsidRPr="00516DE4">
        <w:rPr>
          <w:rFonts w:eastAsia="Times New Roman" w:cstheme="majorHAnsi"/>
          <w:b/>
          <w:bCs/>
          <w:sz w:val="28"/>
          <w:szCs w:val="28"/>
          <w:lang w:val="en-US"/>
        </w:rPr>
        <w:t>Standing Committee</w:t>
      </w:r>
      <w:r w:rsidR="00CA5C67">
        <w:rPr>
          <w:rFonts w:eastAsia="Times New Roman" w:cstheme="majorHAnsi"/>
          <w:b/>
          <w:bCs/>
          <w:sz w:val="28"/>
          <w:szCs w:val="28"/>
          <w:lang w:val="en-US"/>
        </w:rPr>
        <w:t xml:space="preserve">, </w:t>
      </w:r>
      <w:r w:rsidRPr="00BE3861">
        <w:rPr>
          <w:rFonts w:eastAsia="Times New Roman" w:cstheme="majorHAnsi"/>
          <w:b/>
          <w:bCs/>
          <w:sz w:val="28"/>
          <w:szCs w:val="28"/>
          <w:lang w:val="en-US"/>
        </w:rPr>
        <w:t xml:space="preserve">and proposed budget </w:t>
      </w:r>
      <w:r w:rsidR="007949D0">
        <w:rPr>
          <w:rFonts w:eastAsia="Times New Roman" w:cstheme="majorHAnsi"/>
          <w:b/>
          <w:bCs/>
          <w:sz w:val="28"/>
          <w:szCs w:val="28"/>
          <w:lang w:val="en-US"/>
        </w:rPr>
        <w:br/>
      </w:r>
      <w:r w:rsidRPr="00BE3861">
        <w:rPr>
          <w:rFonts w:eastAsia="Times New Roman" w:cstheme="majorHAnsi"/>
          <w:b/>
          <w:bCs/>
          <w:sz w:val="28"/>
          <w:szCs w:val="28"/>
          <w:lang w:val="en-US"/>
        </w:rPr>
        <w:t xml:space="preserve">for the </w:t>
      </w:r>
      <w:r w:rsidR="005704AB" w:rsidRPr="00BE3861">
        <w:rPr>
          <w:rFonts w:eastAsia="Times New Roman" w:cstheme="majorHAnsi"/>
          <w:b/>
          <w:bCs/>
          <w:sz w:val="28"/>
          <w:szCs w:val="28"/>
          <w:lang w:val="en-US"/>
        </w:rPr>
        <w:t>202</w:t>
      </w:r>
      <w:r w:rsidR="005704AB">
        <w:rPr>
          <w:rFonts w:eastAsia="Times New Roman" w:cstheme="majorHAnsi"/>
          <w:b/>
          <w:bCs/>
          <w:sz w:val="28"/>
          <w:szCs w:val="28"/>
          <w:lang w:val="en-US"/>
        </w:rPr>
        <w:t>6</w:t>
      </w:r>
      <w:r w:rsidRPr="00BE3861">
        <w:rPr>
          <w:rFonts w:eastAsia="Times New Roman" w:cstheme="majorHAnsi"/>
          <w:b/>
          <w:bCs/>
          <w:sz w:val="28"/>
          <w:szCs w:val="28"/>
          <w:lang w:val="en-US"/>
        </w:rPr>
        <w:t>-</w:t>
      </w:r>
      <w:r w:rsidR="00CA5C67" w:rsidRPr="00BE3861">
        <w:rPr>
          <w:rFonts w:eastAsia="Times New Roman" w:cstheme="majorHAnsi"/>
          <w:b/>
          <w:bCs/>
          <w:sz w:val="28"/>
          <w:szCs w:val="28"/>
          <w:lang w:val="en-US"/>
        </w:rPr>
        <w:t>202</w:t>
      </w:r>
      <w:r w:rsidR="00CA5C67">
        <w:rPr>
          <w:rFonts w:eastAsia="Times New Roman" w:cstheme="majorHAnsi"/>
          <w:b/>
          <w:bCs/>
          <w:sz w:val="28"/>
          <w:szCs w:val="28"/>
          <w:lang w:val="en-US"/>
        </w:rPr>
        <w:t>8</w:t>
      </w:r>
      <w:r w:rsidR="00CA5C67" w:rsidRPr="00BE3861">
        <w:rPr>
          <w:rFonts w:eastAsia="Times New Roman" w:cstheme="majorHAnsi"/>
          <w:b/>
          <w:bCs/>
          <w:sz w:val="28"/>
          <w:szCs w:val="28"/>
          <w:lang w:val="en-US"/>
        </w:rPr>
        <w:t xml:space="preserve"> </w:t>
      </w:r>
      <w:r w:rsidRPr="00BE3861">
        <w:rPr>
          <w:rFonts w:eastAsia="Times New Roman" w:cstheme="majorHAnsi"/>
          <w:b/>
          <w:bCs/>
          <w:sz w:val="28"/>
          <w:szCs w:val="28"/>
          <w:lang w:val="en-US"/>
        </w:rPr>
        <w:t>triennium</w:t>
      </w:r>
      <w:bookmarkEnd w:id="0"/>
    </w:p>
    <w:p w14:paraId="5FC38F0F" w14:textId="77777777" w:rsidR="00B32E40" w:rsidRPr="001D42CA" w:rsidRDefault="00B32E40" w:rsidP="007949D0">
      <w:pPr>
        <w:rPr>
          <w:rFonts w:asciiTheme="minorHAnsi" w:hAnsiTheme="minorHAnsi"/>
          <w:b/>
        </w:rPr>
      </w:pPr>
    </w:p>
    <w:p w14:paraId="6C541FC4" w14:textId="77777777" w:rsidR="007856EC" w:rsidRPr="001D42CA" w:rsidRDefault="007856EC" w:rsidP="007949D0">
      <w:pPr>
        <w:rPr>
          <w:rFonts w:asciiTheme="minorHAnsi" w:hAnsiTheme="minorHAnsi"/>
          <w:b/>
        </w:rPr>
      </w:pPr>
    </w:p>
    <w:p w14:paraId="3F177AC8" w14:textId="0163144F" w:rsidR="00E74C69" w:rsidRPr="007949D0" w:rsidRDefault="007949D0" w:rsidP="007949D0">
      <w:pPr>
        <w:rPr>
          <w:rFonts w:asciiTheme="minorHAnsi" w:eastAsia="Batang" w:hAnsiTheme="minorHAnsi"/>
          <w:color w:val="000000"/>
          <w:lang w:eastAsia="ko-KR"/>
        </w:rPr>
      </w:pPr>
      <w:r w:rsidRPr="007949D0">
        <w:rPr>
          <w:rFonts w:asciiTheme="minorHAnsi" w:eastAsia="Batang" w:hAnsiTheme="minorHAnsi"/>
          <w:color w:val="000000"/>
          <w:lang w:eastAsia="ko-KR"/>
        </w:rPr>
        <w:t>1.</w:t>
      </w:r>
      <w:r w:rsidRPr="007949D0">
        <w:rPr>
          <w:rFonts w:asciiTheme="minorHAnsi" w:eastAsia="Batang" w:hAnsiTheme="minorHAnsi"/>
          <w:color w:val="000000"/>
          <w:lang w:eastAsia="ko-KR"/>
        </w:rPr>
        <w:tab/>
      </w:r>
      <w:r w:rsidR="00BB482B" w:rsidRPr="007949D0">
        <w:rPr>
          <w:rFonts w:asciiTheme="minorHAnsi" w:eastAsia="Batang" w:hAnsiTheme="minorHAnsi"/>
          <w:color w:val="000000"/>
          <w:lang w:eastAsia="ko-KR"/>
        </w:rPr>
        <w:t xml:space="preserve">The present report </w:t>
      </w:r>
      <w:r w:rsidR="00FF2029" w:rsidRPr="007949D0">
        <w:rPr>
          <w:rFonts w:asciiTheme="minorHAnsi" w:eastAsia="Batang" w:hAnsiTheme="minorHAnsi"/>
          <w:color w:val="000000"/>
          <w:lang w:eastAsia="ko-KR"/>
        </w:rPr>
        <w:t>has been</w:t>
      </w:r>
      <w:r w:rsidR="00BB482B" w:rsidRPr="007949D0">
        <w:rPr>
          <w:rFonts w:asciiTheme="minorHAnsi" w:eastAsia="Batang" w:hAnsiTheme="minorHAnsi"/>
          <w:color w:val="000000"/>
          <w:lang w:eastAsia="ko-KR"/>
        </w:rPr>
        <w:t xml:space="preserve"> prepared by the Secretariat for the Chair of the Subgroup on Finance to present to the 15th meeting of the Conference of the Contracting Parties (COP15)</w:t>
      </w:r>
      <w:r w:rsidR="00FF2029" w:rsidRPr="007949D0">
        <w:rPr>
          <w:rFonts w:asciiTheme="minorHAnsi" w:eastAsia="Batang" w:hAnsiTheme="minorHAnsi"/>
          <w:color w:val="000000"/>
          <w:lang w:eastAsia="ko-KR"/>
        </w:rPr>
        <w:t>. It provide</w:t>
      </w:r>
      <w:r w:rsidR="009C48E5" w:rsidRPr="007949D0">
        <w:rPr>
          <w:rFonts w:asciiTheme="minorHAnsi" w:eastAsia="Batang" w:hAnsiTheme="minorHAnsi"/>
          <w:color w:val="000000"/>
          <w:lang w:eastAsia="ko-KR"/>
        </w:rPr>
        <w:t>s</w:t>
      </w:r>
      <w:r w:rsidR="00FF2029" w:rsidRPr="007949D0">
        <w:rPr>
          <w:rFonts w:asciiTheme="minorHAnsi" w:eastAsia="Batang" w:hAnsiTheme="minorHAnsi"/>
          <w:color w:val="000000"/>
          <w:lang w:eastAsia="ko-KR"/>
        </w:rPr>
        <w:t xml:space="preserve"> a</w:t>
      </w:r>
      <w:r w:rsidR="00BB482B" w:rsidRPr="007949D0">
        <w:rPr>
          <w:rFonts w:asciiTheme="minorHAnsi" w:eastAsia="Batang" w:hAnsiTheme="minorHAnsi"/>
          <w:color w:val="000000"/>
          <w:lang w:eastAsia="ko-KR"/>
        </w:rPr>
        <w:t xml:space="preserve"> summary </w:t>
      </w:r>
      <w:r w:rsidR="00FF2029" w:rsidRPr="007949D0">
        <w:rPr>
          <w:rFonts w:asciiTheme="minorHAnsi" w:eastAsia="Batang" w:hAnsiTheme="minorHAnsi"/>
          <w:color w:val="000000"/>
          <w:lang w:eastAsia="ko-KR"/>
        </w:rPr>
        <w:t>of financial reporting</w:t>
      </w:r>
      <w:r w:rsidR="00BB482B" w:rsidRPr="007949D0">
        <w:rPr>
          <w:rFonts w:asciiTheme="minorHAnsi" w:eastAsia="Batang" w:hAnsiTheme="minorHAnsi"/>
          <w:color w:val="000000"/>
          <w:lang w:eastAsia="ko-KR"/>
        </w:rPr>
        <w:t xml:space="preserve"> </w:t>
      </w:r>
      <w:r>
        <w:rPr>
          <w:rFonts w:asciiTheme="minorHAnsi" w:eastAsia="Batang" w:hAnsiTheme="minorHAnsi"/>
          <w:color w:val="000000"/>
          <w:lang w:eastAsia="ko-KR"/>
        </w:rPr>
        <w:t xml:space="preserve">during the </w:t>
      </w:r>
      <w:r w:rsidRPr="007949D0">
        <w:rPr>
          <w:rFonts w:asciiTheme="minorHAnsi" w:eastAsia="Batang" w:hAnsiTheme="minorHAnsi"/>
          <w:color w:val="000000"/>
          <w:lang w:eastAsia="ko-KR"/>
        </w:rPr>
        <w:t xml:space="preserve">2023-2025 </w:t>
      </w:r>
      <w:r>
        <w:rPr>
          <w:rFonts w:asciiTheme="minorHAnsi" w:eastAsia="Batang" w:hAnsiTheme="minorHAnsi"/>
          <w:color w:val="000000"/>
          <w:lang w:eastAsia="ko-KR"/>
        </w:rPr>
        <w:t xml:space="preserve">triennium, </w:t>
      </w:r>
      <w:r w:rsidR="00BB482B" w:rsidRPr="007949D0">
        <w:rPr>
          <w:rFonts w:asciiTheme="minorHAnsi" w:eastAsia="Batang" w:hAnsiTheme="minorHAnsi"/>
          <w:color w:val="000000"/>
          <w:lang w:eastAsia="ko-KR"/>
        </w:rPr>
        <w:t xml:space="preserve">and </w:t>
      </w:r>
      <w:r w:rsidR="00FF2029" w:rsidRPr="007949D0">
        <w:rPr>
          <w:rFonts w:asciiTheme="minorHAnsi" w:eastAsia="Batang" w:hAnsiTheme="minorHAnsi"/>
          <w:color w:val="000000"/>
          <w:lang w:eastAsia="ko-KR"/>
        </w:rPr>
        <w:t xml:space="preserve">highlights </w:t>
      </w:r>
      <w:r>
        <w:rPr>
          <w:rFonts w:asciiTheme="minorHAnsi" w:eastAsia="Batang" w:hAnsiTheme="minorHAnsi"/>
          <w:color w:val="000000"/>
          <w:lang w:eastAsia="ko-KR"/>
        </w:rPr>
        <w:t xml:space="preserve">the </w:t>
      </w:r>
      <w:r w:rsidR="00FF2029" w:rsidRPr="007949D0">
        <w:rPr>
          <w:rFonts w:asciiTheme="minorHAnsi" w:eastAsia="Batang" w:hAnsiTheme="minorHAnsi"/>
          <w:color w:val="000000"/>
          <w:lang w:eastAsia="ko-KR"/>
        </w:rPr>
        <w:t xml:space="preserve">key implications of </w:t>
      </w:r>
      <w:r w:rsidR="00BB482B" w:rsidRPr="007949D0">
        <w:rPr>
          <w:rFonts w:asciiTheme="minorHAnsi" w:eastAsia="Batang" w:hAnsiTheme="minorHAnsi"/>
          <w:color w:val="000000"/>
          <w:lang w:eastAsia="ko-KR"/>
        </w:rPr>
        <w:t>the budget proposal</w:t>
      </w:r>
      <w:r w:rsidR="00FF2029" w:rsidRPr="007949D0">
        <w:rPr>
          <w:rFonts w:asciiTheme="minorHAnsi" w:eastAsia="Batang" w:hAnsiTheme="minorHAnsi"/>
          <w:color w:val="000000"/>
          <w:lang w:eastAsia="ko-KR"/>
        </w:rPr>
        <w:t>s</w:t>
      </w:r>
      <w:r w:rsidR="00BB482B" w:rsidRPr="007949D0">
        <w:rPr>
          <w:rFonts w:asciiTheme="minorHAnsi" w:eastAsia="Batang" w:hAnsiTheme="minorHAnsi"/>
          <w:color w:val="000000"/>
          <w:lang w:eastAsia="ko-KR"/>
        </w:rPr>
        <w:t xml:space="preserve"> for the 2026-2028</w:t>
      </w:r>
      <w:r w:rsidR="00FF2029" w:rsidRPr="007949D0">
        <w:rPr>
          <w:rFonts w:asciiTheme="minorHAnsi" w:eastAsia="Batang" w:hAnsiTheme="minorHAnsi"/>
          <w:color w:val="000000"/>
          <w:lang w:eastAsia="ko-KR"/>
        </w:rPr>
        <w:t xml:space="preserve"> triennium</w:t>
      </w:r>
      <w:r w:rsidR="00BB482B" w:rsidRPr="007949D0">
        <w:rPr>
          <w:rFonts w:asciiTheme="minorHAnsi" w:eastAsia="Batang" w:hAnsiTheme="minorHAnsi"/>
          <w:color w:val="000000"/>
          <w:lang w:eastAsia="ko-KR"/>
        </w:rPr>
        <w:t xml:space="preserve">. </w:t>
      </w:r>
      <w:r w:rsidRPr="007949D0">
        <w:rPr>
          <w:rFonts w:asciiTheme="minorHAnsi" w:eastAsia="Batang" w:hAnsiTheme="minorHAnsi"/>
          <w:color w:val="000000"/>
          <w:lang w:eastAsia="ko-KR"/>
        </w:rPr>
        <w:t>Th</w:t>
      </w:r>
      <w:r>
        <w:rPr>
          <w:rFonts w:asciiTheme="minorHAnsi" w:eastAsia="Batang" w:hAnsiTheme="minorHAnsi"/>
          <w:color w:val="000000"/>
          <w:lang w:eastAsia="ko-KR"/>
        </w:rPr>
        <w:t>e</w:t>
      </w:r>
      <w:r w:rsidRPr="007949D0">
        <w:rPr>
          <w:rFonts w:asciiTheme="minorHAnsi" w:eastAsia="Batang" w:hAnsiTheme="minorHAnsi"/>
          <w:color w:val="000000"/>
          <w:lang w:eastAsia="ko-KR"/>
        </w:rPr>
        <w:t xml:space="preserve"> </w:t>
      </w:r>
      <w:r w:rsidR="00BB482B" w:rsidRPr="007949D0">
        <w:rPr>
          <w:rFonts w:asciiTheme="minorHAnsi" w:eastAsia="Batang" w:hAnsiTheme="minorHAnsi"/>
          <w:color w:val="000000"/>
          <w:lang w:eastAsia="ko-KR"/>
        </w:rPr>
        <w:t xml:space="preserve">report </w:t>
      </w:r>
      <w:r w:rsidR="00FF2029" w:rsidRPr="007949D0">
        <w:rPr>
          <w:rFonts w:asciiTheme="minorHAnsi" w:eastAsia="Batang" w:hAnsiTheme="minorHAnsi"/>
          <w:color w:val="000000"/>
          <w:lang w:eastAsia="ko-KR"/>
        </w:rPr>
        <w:t>focuses</w:t>
      </w:r>
      <w:r w:rsidR="00BB482B" w:rsidRPr="007949D0">
        <w:rPr>
          <w:rFonts w:asciiTheme="minorHAnsi" w:eastAsia="Batang" w:hAnsiTheme="minorHAnsi"/>
          <w:color w:val="000000"/>
          <w:lang w:eastAsia="ko-KR"/>
        </w:rPr>
        <w:t xml:space="preserve"> </w:t>
      </w:r>
      <w:r w:rsidR="00FF2029" w:rsidRPr="007949D0">
        <w:rPr>
          <w:rFonts w:asciiTheme="minorHAnsi" w:eastAsia="Batang" w:hAnsiTheme="minorHAnsi"/>
          <w:color w:val="000000"/>
          <w:lang w:eastAsia="ko-KR"/>
        </w:rPr>
        <w:t>on</w:t>
      </w:r>
      <w:r w:rsidR="00BB482B" w:rsidRPr="007949D0">
        <w:rPr>
          <w:rFonts w:asciiTheme="minorHAnsi" w:eastAsia="Batang" w:hAnsiTheme="minorHAnsi"/>
          <w:color w:val="000000"/>
          <w:lang w:eastAsia="ko-KR"/>
        </w:rPr>
        <w:t xml:space="preserve">  core funds, while </w:t>
      </w:r>
      <w:r w:rsidR="00FF2029" w:rsidRPr="007949D0">
        <w:rPr>
          <w:rFonts w:asciiTheme="minorHAnsi" w:eastAsia="Batang" w:hAnsiTheme="minorHAnsi"/>
          <w:color w:val="000000"/>
          <w:lang w:eastAsia="ko-KR"/>
        </w:rPr>
        <w:t>discussions on</w:t>
      </w:r>
      <w:r w:rsidR="00BB482B" w:rsidRPr="007949D0">
        <w:rPr>
          <w:rFonts w:asciiTheme="minorHAnsi" w:eastAsia="Batang" w:hAnsiTheme="minorHAnsi"/>
          <w:color w:val="000000"/>
          <w:lang w:eastAsia="ko-KR"/>
        </w:rPr>
        <w:t xml:space="preserve"> non-core voluntary contributions </w:t>
      </w:r>
      <w:r w:rsidR="00FF2029" w:rsidRPr="007949D0">
        <w:rPr>
          <w:rFonts w:asciiTheme="minorHAnsi" w:eastAsia="Batang" w:hAnsiTheme="minorHAnsi"/>
          <w:color w:val="000000"/>
          <w:lang w:eastAsia="ko-KR"/>
        </w:rPr>
        <w:t xml:space="preserve">will take place within the context of the </w:t>
      </w:r>
      <w:r w:rsidR="00BB482B" w:rsidRPr="007949D0">
        <w:rPr>
          <w:rFonts w:asciiTheme="minorHAnsi" w:eastAsia="Batang" w:hAnsiTheme="minorHAnsi"/>
          <w:color w:val="000000"/>
          <w:lang w:eastAsia="ko-KR"/>
        </w:rPr>
        <w:t>non-core fundraising priorities at COP15.</w:t>
      </w:r>
    </w:p>
    <w:p w14:paraId="37C7D547" w14:textId="77777777" w:rsidR="00BB482B" w:rsidRPr="007949D0" w:rsidRDefault="00BB482B" w:rsidP="007949D0">
      <w:pPr>
        <w:pStyle w:val="ListParagraph"/>
        <w:ind w:left="425"/>
        <w:rPr>
          <w:rFonts w:asciiTheme="minorHAnsi" w:eastAsia="Batang" w:hAnsiTheme="minorHAnsi"/>
          <w:color w:val="000000"/>
          <w:lang w:eastAsia="ko-KR"/>
        </w:rPr>
      </w:pPr>
    </w:p>
    <w:p w14:paraId="32168EB3" w14:textId="371613DD" w:rsidR="00437949" w:rsidRPr="007949D0" w:rsidRDefault="007949D0" w:rsidP="007949D0">
      <w:pPr>
        <w:pStyle w:val="ListParagraph"/>
        <w:ind w:left="425"/>
      </w:pPr>
      <w:r w:rsidRPr="007949D0">
        <w:t>2.</w:t>
      </w:r>
      <w:r w:rsidRPr="007949D0">
        <w:tab/>
      </w:r>
      <w:r w:rsidR="00FF2029" w:rsidRPr="007949D0">
        <w:t xml:space="preserve">In general, the Secretariat maintains a strong financial position, with a healthy cash flow and a significant surplus, as validated by the auditors and reflected in the audited financial statements. No issues have been raised by </w:t>
      </w:r>
      <w:r>
        <w:t xml:space="preserve">the </w:t>
      </w:r>
      <w:r w:rsidR="00FF2029" w:rsidRPr="007949D0">
        <w:t>auditors since 2019, when all previously outstanding matters were resolved</w:t>
      </w:r>
      <w:r w:rsidR="00980C7D" w:rsidRPr="007949D0">
        <w:t>.</w:t>
      </w:r>
    </w:p>
    <w:p w14:paraId="6D4A7686" w14:textId="77777777" w:rsidR="00437949" w:rsidRPr="007949D0" w:rsidRDefault="00437949" w:rsidP="007949D0"/>
    <w:p w14:paraId="2C7717EA" w14:textId="2C042842" w:rsidR="00D009A3" w:rsidRPr="007949D0" w:rsidRDefault="007949D0" w:rsidP="007949D0">
      <w:pPr>
        <w:pStyle w:val="ListParagraph"/>
        <w:ind w:left="425"/>
      </w:pPr>
      <w:r w:rsidRPr="007949D0">
        <w:t>3.</w:t>
      </w:r>
      <w:r w:rsidRPr="007949D0">
        <w:tab/>
      </w:r>
      <w:r w:rsidR="00BB482B" w:rsidRPr="007949D0">
        <w:t xml:space="preserve">Regarding the </w:t>
      </w:r>
      <w:r w:rsidR="00CA5C67" w:rsidRPr="007949D0">
        <w:t xml:space="preserve">implementation </w:t>
      </w:r>
      <w:r w:rsidR="00BB482B" w:rsidRPr="007949D0">
        <w:t xml:space="preserve">of the core budget </w:t>
      </w:r>
      <w:r w:rsidR="00FF2029" w:rsidRPr="007949D0">
        <w:t>for</w:t>
      </w:r>
      <w:r w:rsidR="00BB482B" w:rsidRPr="007949D0">
        <w:t xml:space="preserve"> the 2023-2025</w:t>
      </w:r>
      <w:r w:rsidRPr="007949D0">
        <w:t xml:space="preserve"> triennium</w:t>
      </w:r>
      <w:r w:rsidR="00BB482B" w:rsidRPr="007949D0">
        <w:t xml:space="preserve">, the Secretariat presented annual </w:t>
      </w:r>
      <w:r w:rsidR="00FF2029" w:rsidRPr="007949D0">
        <w:t xml:space="preserve">budget </w:t>
      </w:r>
      <w:r w:rsidR="00BB482B" w:rsidRPr="007949D0">
        <w:t xml:space="preserve">reviews </w:t>
      </w:r>
      <w:r w:rsidR="00FF2029" w:rsidRPr="007949D0">
        <w:t xml:space="preserve">to the Standing Committee which </w:t>
      </w:r>
      <w:r w:rsidR="0086150F">
        <w:t>it</w:t>
      </w:r>
      <w:r w:rsidR="00BB482B" w:rsidRPr="007949D0">
        <w:t xml:space="preserve"> </w:t>
      </w:r>
      <w:r w:rsidR="00BB482B" w:rsidRPr="007949D0">
        <w:rPr>
          <w:rFonts w:asciiTheme="minorHAnsi" w:eastAsia="Batang" w:hAnsiTheme="minorHAnsi"/>
          <w:color w:val="000000"/>
          <w:lang w:eastAsia="ko-KR"/>
        </w:rPr>
        <w:t>approved</w:t>
      </w:r>
      <w:r w:rsidR="00BB482B" w:rsidRPr="007949D0">
        <w:t xml:space="preserve"> </w:t>
      </w:r>
      <w:r w:rsidR="00FF2029" w:rsidRPr="007949D0">
        <w:t xml:space="preserve">during </w:t>
      </w:r>
      <w:r w:rsidR="0086150F">
        <w:t xml:space="preserve">its </w:t>
      </w:r>
      <w:r w:rsidR="00BB482B" w:rsidRPr="007949D0">
        <w:t>meetings in 20</w:t>
      </w:r>
      <w:r w:rsidR="00B36BDD" w:rsidRPr="007949D0">
        <w:t>23</w:t>
      </w:r>
      <w:r w:rsidR="00BB482B" w:rsidRPr="007949D0">
        <w:t>, 202</w:t>
      </w:r>
      <w:r w:rsidR="00B36BDD" w:rsidRPr="007949D0">
        <w:t>4</w:t>
      </w:r>
      <w:r w:rsidR="00BB482B" w:rsidRPr="007949D0">
        <w:t xml:space="preserve"> and 20</w:t>
      </w:r>
      <w:r w:rsidR="00B36BDD" w:rsidRPr="007949D0">
        <w:t>25</w:t>
      </w:r>
      <w:r w:rsidR="00BB482B" w:rsidRPr="007949D0">
        <w:t xml:space="preserve">. </w:t>
      </w:r>
      <w:r w:rsidR="00FF2029" w:rsidRPr="007949D0">
        <w:t xml:space="preserve">The </w:t>
      </w:r>
      <w:r w:rsidR="0086150F">
        <w:t xml:space="preserve">Committee also approved the </w:t>
      </w:r>
      <w:r w:rsidR="00FF2029" w:rsidRPr="007949D0">
        <w:t xml:space="preserve">partial </w:t>
      </w:r>
      <w:r w:rsidR="00BB482B" w:rsidRPr="007949D0">
        <w:t xml:space="preserve">use of surpluses from the </w:t>
      </w:r>
      <w:r w:rsidR="00B36BDD" w:rsidRPr="007949D0">
        <w:t xml:space="preserve">2019-2021 </w:t>
      </w:r>
      <w:r w:rsidR="0086150F" w:rsidRPr="007949D0">
        <w:t xml:space="preserve">triennium </w:t>
      </w:r>
      <w:r w:rsidR="00B36BDD" w:rsidRPr="007949D0">
        <w:t>and 2022</w:t>
      </w:r>
      <w:r w:rsidR="00BB482B" w:rsidRPr="007949D0">
        <w:t xml:space="preserve">, </w:t>
      </w:r>
      <w:r w:rsidR="00FF2029" w:rsidRPr="007949D0">
        <w:t xml:space="preserve">along with </w:t>
      </w:r>
      <w:r w:rsidR="00B36BDD" w:rsidRPr="007949D0">
        <w:t>carry</w:t>
      </w:r>
      <w:r w:rsidR="0086150F">
        <w:t>-</w:t>
      </w:r>
      <w:r w:rsidR="00B36BDD" w:rsidRPr="007949D0">
        <w:t>forward</w:t>
      </w:r>
      <w:r w:rsidR="00D009A3" w:rsidRPr="007949D0">
        <w:t>s</w:t>
      </w:r>
      <w:r w:rsidR="00B36BDD" w:rsidRPr="007949D0">
        <w:t xml:space="preserve"> for planned activities and </w:t>
      </w:r>
      <w:r w:rsidR="00BB482B" w:rsidRPr="007949D0">
        <w:t>uncommitted savings.</w:t>
      </w:r>
    </w:p>
    <w:p w14:paraId="6FDD26E6" w14:textId="77777777" w:rsidR="00D009A3" w:rsidRPr="007949D0" w:rsidRDefault="00D009A3" w:rsidP="007949D0">
      <w:pPr>
        <w:pStyle w:val="ListParagraph"/>
        <w:ind w:left="425"/>
      </w:pPr>
    </w:p>
    <w:p w14:paraId="6678217C" w14:textId="4409BF70" w:rsidR="00BB482B" w:rsidRPr="007949D0" w:rsidRDefault="007949D0" w:rsidP="007949D0">
      <w:pPr>
        <w:pStyle w:val="ListParagraph"/>
        <w:ind w:left="425"/>
      </w:pPr>
      <w:r w:rsidRPr="007949D0">
        <w:t>4.</w:t>
      </w:r>
      <w:r w:rsidRPr="007949D0">
        <w:tab/>
      </w:r>
      <w:r w:rsidR="00B36BDD" w:rsidRPr="007949D0">
        <w:t xml:space="preserve">The </w:t>
      </w:r>
      <w:r w:rsidR="00D009A3" w:rsidRPr="007949D0">
        <w:t xml:space="preserve">reported </w:t>
      </w:r>
      <w:r w:rsidR="00682E98" w:rsidRPr="007949D0">
        <w:t xml:space="preserve">balance </w:t>
      </w:r>
      <w:r w:rsidR="00B36BDD" w:rsidRPr="007949D0">
        <w:t xml:space="preserve">of savings </w:t>
      </w:r>
      <w:r w:rsidR="00682E98" w:rsidRPr="007949D0">
        <w:t>at the end of 2024</w:t>
      </w:r>
      <w:r w:rsidR="001C692A">
        <w:rPr>
          <w:rStyle w:val="FootnoteReference"/>
        </w:rPr>
        <w:footnoteReference w:id="1"/>
      </w:r>
      <w:r w:rsidR="00B36BDD" w:rsidRPr="007949D0">
        <w:t xml:space="preserve"> </w:t>
      </w:r>
      <w:r w:rsidR="00D009A3" w:rsidRPr="007949D0">
        <w:t>reflects the</w:t>
      </w:r>
      <w:r w:rsidR="00B36BDD" w:rsidRPr="007949D0">
        <w:t xml:space="preserve"> accumulated </w:t>
      </w:r>
      <w:r w:rsidR="00682E98" w:rsidRPr="007949D0">
        <w:t xml:space="preserve">unspent funds carried forward </w:t>
      </w:r>
      <w:r w:rsidR="00D009A3" w:rsidRPr="007949D0">
        <w:t>due to reduced</w:t>
      </w:r>
      <w:r w:rsidR="00682E98" w:rsidRPr="007949D0">
        <w:t xml:space="preserve"> implementation of budgeted activities during the </w:t>
      </w:r>
      <w:r w:rsidR="0086150F" w:rsidRPr="007949D0">
        <w:t>C</w:t>
      </w:r>
      <w:r w:rsidR="0086150F">
        <w:t>ovid</w:t>
      </w:r>
      <w:r w:rsidR="00682E98" w:rsidRPr="007949D0">
        <w:t>-19 pandemic, particularly those involving travel</w:t>
      </w:r>
      <w:r w:rsidR="00D009A3" w:rsidRPr="007949D0">
        <w:t xml:space="preserve">, such as </w:t>
      </w:r>
      <w:r w:rsidR="00682E98" w:rsidRPr="007949D0">
        <w:t xml:space="preserve">meetings of governing and subsidiary bodies and Secretariat travel, as well as </w:t>
      </w:r>
      <w:r w:rsidR="00D009A3" w:rsidRPr="007949D0">
        <w:t xml:space="preserve">savings </w:t>
      </w:r>
      <w:r w:rsidR="00EB2CA8">
        <w:t>due to</w:t>
      </w:r>
      <w:r w:rsidR="00D009A3" w:rsidRPr="007949D0">
        <w:t xml:space="preserve"> vacancies </w:t>
      </w:r>
      <w:r w:rsidR="00682E98" w:rsidRPr="007949D0">
        <w:t>caused by delays in staff recruitment.</w:t>
      </w:r>
      <w:r w:rsidR="00711DD9" w:rsidRPr="007949D0">
        <w:t xml:space="preserve"> </w:t>
      </w:r>
      <w:r w:rsidR="00BB482B" w:rsidRPr="007949D0">
        <w:t xml:space="preserve">The allocation of the core-budget surplus </w:t>
      </w:r>
      <w:r w:rsidR="00EB2CA8">
        <w:t>will</w:t>
      </w:r>
      <w:r w:rsidR="00EB2CA8" w:rsidRPr="007949D0">
        <w:t xml:space="preserve"> </w:t>
      </w:r>
      <w:r w:rsidR="00BB482B" w:rsidRPr="007949D0">
        <w:t xml:space="preserve">be considered </w:t>
      </w:r>
      <w:r w:rsidR="009C48E5" w:rsidRPr="007949D0">
        <w:t xml:space="preserve">by the </w:t>
      </w:r>
      <w:r w:rsidR="00BB482B" w:rsidRPr="007949D0">
        <w:t xml:space="preserve">Finance Committee and recommended for </w:t>
      </w:r>
      <w:r w:rsidR="00BB482B" w:rsidRPr="007949D0">
        <w:rPr>
          <w:rFonts w:asciiTheme="minorHAnsi" w:eastAsia="Batang" w:hAnsiTheme="minorHAnsi"/>
          <w:color w:val="000000"/>
          <w:lang w:eastAsia="ko-KR"/>
        </w:rPr>
        <w:t>approval</w:t>
      </w:r>
      <w:r w:rsidR="00BB482B" w:rsidRPr="007949D0">
        <w:t xml:space="preserve"> </w:t>
      </w:r>
      <w:r w:rsidR="00EB2CA8">
        <w:t>at</w:t>
      </w:r>
      <w:r w:rsidR="00BB482B" w:rsidRPr="007949D0">
        <w:t xml:space="preserve"> COP1</w:t>
      </w:r>
      <w:r w:rsidR="00682E98" w:rsidRPr="007949D0">
        <w:t>5</w:t>
      </w:r>
      <w:r w:rsidR="00BB482B" w:rsidRPr="007949D0">
        <w:t>.</w:t>
      </w:r>
    </w:p>
    <w:p w14:paraId="765424E1" w14:textId="77777777" w:rsidR="00BB482B" w:rsidRPr="007949D0" w:rsidRDefault="00BB482B" w:rsidP="007949D0">
      <w:pPr>
        <w:pStyle w:val="ListParagraph"/>
        <w:ind w:left="425"/>
        <w:rPr>
          <w:rFonts w:asciiTheme="minorHAnsi" w:eastAsia="Batang" w:hAnsiTheme="minorHAnsi"/>
          <w:color w:val="000000"/>
          <w:lang w:eastAsia="ko-KR"/>
        </w:rPr>
      </w:pPr>
    </w:p>
    <w:p w14:paraId="48499CEB" w14:textId="54DE3B8C" w:rsidR="00437949" w:rsidRPr="007949D0" w:rsidRDefault="007949D0" w:rsidP="007949D0">
      <w:pPr>
        <w:pStyle w:val="ListParagraph"/>
        <w:ind w:left="425"/>
        <w:rPr>
          <w:rFonts w:asciiTheme="minorHAnsi" w:hAnsiTheme="minorHAnsi"/>
        </w:rPr>
      </w:pPr>
      <w:r w:rsidRPr="007949D0">
        <w:rPr>
          <w:rFonts w:asciiTheme="minorHAnsi" w:eastAsia="Batang" w:hAnsiTheme="minorHAnsi"/>
          <w:color w:val="000000"/>
          <w:lang w:eastAsia="ko-KR"/>
        </w:rPr>
        <w:t>5.</w:t>
      </w:r>
      <w:r w:rsidRPr="007949D0">
        <w:rPr>
          <w:rFonts w:asciiTheme="minorHAnsi" w:eastAsia="Batang" w:hAnsiTheme="minorHAnsi"/>
          <w:color w:val="000000"/>
          <w:lang w:eastAsia="ko-KR"/>
        </w:rPr>
        <w:tab/>
      </w:r>
      <w:r w:rsidR="00754ED9" w:rsidRPr="007949D0">
        <w:rPr>
          <w:rFonts w:asciiTheme="minorHAnsi" w:eastAsia="Batang" w:hAnsiTheme="minorHAnsi"/>
          <w:color w:val="000000"/>
          <w:lang w:eastAsia="ko-KR"/>
        </w:rPr>
        <w:t>Annex</w:t>
      </w:r>
      <w:r w:rsidR="00754ED9" w:rsidRPr="007949D0">
        <w:rPr>
          <w:rFonts w:asciiTheme="minorHAnsi" w:hAnsiTheme="minorHAnsi"/>
        </w:rPr>
        <w:t xml:space="preserve"> 1 provides an overview o</w:t>
      </w:r>
      <w:r w:rsidR="00857D5B" w:rsidRPr="007949D0">
        <w:rPr>
          <w:rFonts w:asciiTheme="minorHAnsi" w:hAnsiTheme="minorHAnsi"/>
        </w:rPr>
        <w:t>f</w:t>
      </w:r>
      <w:r w:rsidR="00754ED9" w:rsidRPr="007949D0">
        <w:rPr>
          <w:rFonts w:asciiTheme="minorHAnsi" w:hAnsiTheme="minorHAnsi"/>
        </w:rPr>
        <w:t xml:space="preserve"> budget implementation during the</w:t>
      </w:r>
      <w:r w:rsidR="00A80C35" w:rsidRPr="007949D0">
        <w:rPr>
          <w:rFonts w:asciiTheme="minorHAnsi" w:hAnsiTheme="minorHAnsi"/>
        </w:rPr>
        <w:t xml:space="preserve"> </w:t>
      </w:r>
      <w:r w:rsidR="00437949" w:rsidRPr="007949D0">
        <w:rPr>
          <w:rFonts w:asciiTheme="minorHAnsi" w:hAnsiTheme="minorHAnsi"/>
        </w:rPr>
        <w:t>2023-2025</w:t>
      </w:r>
      <w:r w:rsidR="00CA6820" w:rsidRPr="007949D0">
        <w:rPr>
          <w:rFonts w:asciiTheme="minorHAnsi" w:hAnsiTheme="minorHAnsi"/>
        </w:rPr>
        <w:t xml:space="preserve"> </w:t>
      </w:r>
      <w:r w:rsidR="00754ED9" w:rsidRPr="007949D0">
        <w:rPr>
          <w:rFonts w:asciiTheme="minorHAnsi" w:hAnsiTheme="minorHAnsi"/>
        </w:rPr>
        <w:t>triennium.</w:t>
      </w:r>
      <w:r w:rsidR="00737885" w:rsidRPr="007949D0">
        <w:rPr>
          <w:rFonts w:asciiTheme="minorHAnsi" w:hAnsiTheme="minorHAnsi"/>
        </w:rPr>
        <w:t xml:space="preserve"> </w:t>
      </w:r>
      <w:r w:rsidR="00D009A3" w:rsidRPr="007949D0">
        <w:rPr>
          <w:rFonts w:asciiTheme="minorHAnsi" w:hAnsiTheme="minorHAnsi"/>
        </w:rPr>
        <w:t>Detailed</w:t>
      </w:r>
      <w:r w:rsidR="00437949" w:rsidRPr="007949D0">
        <w:rPr>
          <w:rFonts w:asciiTheme="minorHAnsi" w:hAnsiTheme="minorHAnsi"/>
        </w:rPr>
        <w:t xml:space="preserve"> </w:t>
      </w:r>
      <w:r w:rsidR="00437949" w:rsidRPr="007949D0">
        <w:t>information</w:t>
      </w:r>
      <w:r w:rsidR="00437949" w:rsidRPr="007949D0">
        <w:rPr>
          <w:rFonts w:asciiTheme="minorHAnsi" w:hAnsiTheme="minorHAnsi"/>
        </w:rPr>
        <w:t xml:space="preserve"> on </w:t>
      </w:r>
      <w:r w:rsidR="00D009A3" w:rsidRPr="007949D0">
        <w:rPr>
          <w:rFonts w:asciiTheme="minorHAnsi" w:hAnsiTheme="minorHAnsi"/>
        </w:rPr>
        <w:t>annual</w:t>
      </w:r>
      <w:r w:rsidR="00437949" w:rsidRPr="007949D0">
        <w:rPr>
          <w:rFonts w:asciiTheme="minorHAnsi" w:hAnsiTheme="minorHAnsi"/>
        </w:rPr>
        <w:t xml:space="preserve"> financial reporting </w:t>
      </w:r>
      <w:r w:rsidR="00D009A3" w:rsidRPr="007949D0">
        <w:rPr>
          <w:rFonts w:asciiTheme="minorHAnsi" w:hAnsiTheme="minorHAnsi"/>
        </w:rPr>
        <w:t>can be found</w:t>
      </w:r>
      <w:r w:rsidR="00437949" w:rsidRPr="007949D0">
        <w:rPr>
          <w:rFonts w:asciiTheme="minorHAnsi" w:hAnsiTheme="minorHAnsi"/>
        </w:rPr>
        <w:t xml:space="preserve"> in</w:t>
      </w:r>
      <w:r w:rsidR="00D009A3" w:rsidRPr="007949D0">
        <w:rPr>
          <w:rFonts w:asciiTheme="minorHAnsi" w:hAnsiTheme="minorHAnsi"/>
        </w:rPr>
        <w:t xml:space="preserve"> reports to the </w:t>
      </w:r>
      <w:r w:rsidR="00C55495">
        <w:rPr>
          <w:rFonts w:asciiTheme="minorHAnsi" w:hAnsiTheme="minorHAnsi"/>
        </w:rPr>
        <w:t xml:space="preserve">meetings of the </w:t>
      </w:r>
      <w:r w:rsidR="00D009A3" w:rsidRPr="007949D0">
        <w:rPr>
          <w:rFonts w:asciiTheme="minorHAnsi" w:hAnsiTheme="minorHAnsi"/>
        </w:rPr>
        <w:t xml:space="preserve">Standing Committee </w:t>
      </w:r>
      <w:r w:rsidR="00C55495">
        <w:rPr>
          <w:rFonts w:asciiTheme="minorHAnsi" w:hAnsiTheme="minorHAnsi"/>
        </w:rPr>
        <w:t>from</w:t>
      </w:r>
      <w:r w:rsidR="00C55495" w:rsidRPr="007949D0">
        <w:rPr>
          <w:rFonts w:asciiTheme="minorHAnsi" w:hAnsiTheme="minorHAnsi"/>
        </w:rPr>
        <w:t xml:space="preserve"> </w:t>
      </w:r>
      <w:r w:rsidR="00D009A3" w:rsidRPr="007949D0">
        <w:rPr>
          <w:rFonts w:asciiTheme="minorHAnsi" w:hAnsiTheme="minorHAnsi"/>
        </w:rPr>
        <w:t>2023</w:t>
      </w:r>
      <w:r w:rsidR="00C55495">
        <w:rPr>
          <w:rFonts w:asciiTheme="minorHAnsi" w:hAnsiTheme="minorHAnsi"/>
        </w:rPr>
        <w:t xml:space="preserve"> to </w:t>
      </w:r>
      <w:r w:rsidR="00D009A3" w:rsidRPr="007949D0">
        <w:rPr>
          <w:rFonts w:asciiTheme="minorHAnsi" w:hAnsiTheme="minorHAnsi"/>
        </w:rPr>
        <w:t>2025, specifically</w:t>
      </w:r>
      <w:r w:rsidR="00437949" w:rsidRPr="007949D0">
        <w:rPr>
          <w:rFonts w:asciiTheme="minorHAnsi" w:hAnsiTheme="minorHAnsi"/>
        </w:rPr>
        <w:t xml:space="preserve"> </w:t>
      </w:r>
      <w:r w:rsidR="00EB2CA8">
        <w:rPr>
          <w:rFonts w:asciiTheme="minorHAnsi" w:hAnsiTheme="minorHAnsi"/>
        </w:rPr>
        <w:t xml:space="preserve">documents </w:t>
      </w:r>
      <w:r w:rsidR="00437949" w:rsidRPr="007949D0">
        <w:t>SC62</w:t>
      </w:r>
      <w:r w:rsidR="00437949" w:rsidRPr="007949D0">
        <w:rPr>
          <w:rFonts w:asciiTheme="minorHAnsi" w:hAnsiTheme="minorHAnsi"/>
        </w:rPr>
        <w:t xml:space="preserve"> Doc.8.1, SC63 Doc.9.1, SC64 Doc</w:t>
      </w:r>
      <w:r w:rsidR="00EB2CA8">
        <w:rPr>
          <w:rFonts w:asciiTheme="minorHAnsi" w:hAnsiTheme="minorHAnsi"/>
        </w:rPr>
        <w:t>.</w:t>
      </w:r>
      <w:r w:rsidR="00437949" w:rsidRPr="007949D0">
        <w:rPr>
          <w:rFonts w:asciiTheme="minorHAnsi" w:hAnsiTheme="minorHAnsi"/>
        </w:rPr>
        <w:t>9.1 and SC65 Doc 8.1</w:t>
      </w:r>
      <w:r w:rsidR="00D009A3" w:rsidRPr="007949D0">
        <w:rPr>
          <w:rFonts w:asciiTheme="minorHAnsi" w:hAnsiTheme="minorHAnsi"/>
        </w:rPr>
        <w:t>, along with the corresponding</w:t>
      </w:r>
      <w:r w:rsidR="00437949" w:rsidRPr="007949D0">
        <w:rPr>
          <w:rFonts w:asciiTheme="minorHAnsi" w:hAnsiTheme="minorHAnsi"/>
        </w:rPr>
        <w:t xml:space="preserve"> </w:t>
      </w:r>
      <w:r w:rsidR="00EB2CA8">
        <w:rPr>
          <w:rFonts w:asciiTheme="minorHAnsi" w:hAnsiTheme="minorHAnsi"/>
        </w:rPr>
        <w:t>meeting reports and finance-</w:t>
      </w:r>
      <w:r w:rsidR="00EB2CA8">
        <w:rPr>
          <w:rFonts w:asciiTheme="minorHAnsi" w:hAnsiTheme="minorHAnsi"/>
        </w:rPr>
        <w:lastRenderedPageBreak/>
        <w:t xml:space="preserve">related Decisions of the </w:t>
      </w:r>
      <w:r w:rsidR="00437949" w:rsidRPr="007949D0">
        <w:rPr>
          <w:rFonts w:asciiTheme="minorHAnsi" w:hAnsiTheme="minorHAnsi"/>
        </w:rPr>
        <w:t>S</w:t>
      </w:r>
      <w:r w:rsidR="00D009A3" w:rsidRPr="007949D0">
        <w:rPr>
          <w:rFonts w:asciiTheme="minorHAnsi" w:hAnsiTheme="minorHAnsi"/>
        </w:rPr>
        <w:t>tanding Committee,</w:t>
      </w:r>
      <w:r w:rsidR="00437949" w:rsidRPr="007949D0">
        <w:rPr>
          <w:rFonts w:asciiTheme="minorHAnsi" w:hAnsiTheme="minorHAnsi"/>
        </w:rPr>
        <w:t xml:space="preserve"> based on</w:t>
      </w:r>
      <w:r w:rsidR="00D009A3" w:rsidRPr="007949D0">
        <w:rPr>
          <w:rFonts w:asciiTheme="minorHAnsi" w:hAnsiTheme="minorHAnsi"/>
        </w:rPr>
        <w:t xml:space="preserve"> the</w:t>
      </w:r>
      <w:r w:rsidR="00437949" w:rsidRPr="007949D0">
        <w:rPr>
          <w:rFonts w:asciiTheme="minorHAnsi" w:hAnsiTheme="minorHAnsi"/>
        </w:rPr>
        <w:t xml:space="preserve"> recommendation</w:t>
      </w:r>
      <w:r w:rsidR="00D009A3" w:rsidRPr="007949D0">
        <w:rPr>
          <w:rFonts w:asciiTheme="minorHAnsi" w:hAnsiTheme="minorHAnsi"/>
        </w:rPr>
        <w:t>s</w:t>
      </w:r>
      <w:r w:rsidR="00437949" w:rsidRPr="007949D0">
        <w:rPr>
          <w:rFonts w:asciiTheme="minorHAnsi" w:hAnsiTheme="minorHAnsi"/>
        </w:rPr>
        <w:t xml:space="preserve"> of the Subgroup on Finance.</w:t>
      </w:r>
    </w:p>
    <w:p w14:paraId="709A240C" w14:textId="77777777" w:rsidR="00737885" w:rsidRPr="007949D0" w:rsidRDefault="00737885" w:rsidP="007949D0">
      <w:pPr>
        <w:pStyle w:val="ListParagraph"/>
        <w:ind w:left="425"/>
        <w:rPr>
          <w:rFonts w:asciiTheme="minorHAnsi" w:hAnsiTheme="minorHAnsi"/>
        </w:rPr>
      </w:pPr>
    </w:p>
    <w:p w14:paraId="1292EFBE" w14:textId="631489F2" w:rsidR="00980C7D" w:rsidRPr="007949D0" w:rsidRDefault="007949D0" w:rsidP="007949D0">
      <w:pPr>
        <w:pStyle w:val="ListParagraph"/>
        <w:ind w:left="425"/>
        <w:rPr>
          <w:rFonts w:asciiTheme="minorHAnsi" w:hAnsiTheme="minorHAnsi"/>
        </w:rPr>
      </w:pPr>
      <w:r w:rsidRPr="007949D0">
        <w:rPr>
          <w:rFonts w:asciiTheme="minorHAnsi" w:hAnsiTheme="minorHAnsi"/>
        </w:rPr>
        <w:t>6.</w:t>
      </w:r>
      <w:r w:rsidRPr="007949D0">
        <w:rPr>
          <w:rFonts w:asciiTheme="minorHAnsi" w:hAnsiTheme="minorHAnsi"/>
        </w:rPr>
        <w:tab/>
      </w:r>
      <w:r w:rsidR="00D009A3" w:rsidRPr="007949D0">
        <w:rPr>
          <w:rFonts w:asciiTheme="minorHAnsi" w:hAnsiTheme="minorHAnsi"/>
        </w:rPr>
        <w:t>The p</w:t>
      </w:r>
      <w:r w:rsidR="00754ED9" w:rsidRPr="007949D0">
        <w:rPr>
          <w:rFonts w:asciiTheme="minorHAnsi" w:hAnsiTheme="minorHAnsi"/>
        </w:rPr>
        <w:t xml:space="preserve">roposed </w:t>
      </w:r>
      <w:r w:rsidR="004D241A" w:rsidRPr="007949D0">
        <w:rPr>
          <w:rFonts w:asciiTheme="minorHAnsi" w:hAnsiTheme="minorHAnsi"/>
        </w:rPr>
        <w:t xml:space="preserve">core </w:t>
      </w:r>
      <w:r w:rsidR="00754ED9" w:rsidRPr="007949D0">
        <w:rPr>
          <w:rFonts w:asciiTheme="minorHAnsi" w:hAnsiTheme="minorHAnsi"/>
        </w:rPr>
        <w:t>budget</w:t>
      </w:r>
      <w:r w:rsidR="004D241A" w:rsidRPr="007949D0">
        <w:rPr>
          <w:rFonts w:asciiTheme="minorHAnsi" w:hAnsiTheme="minorHAnsi"/>
        </w:rPr>
        <w:t xml:space="preserve"> </w:t>
      </w:r>
      <w:r w:rsidR="00A358D4" w:rsidRPr="007949D0">
        <w:rPr>
          <w:rFonts w:asciiTheme="minorHAnsi" w:hAnsiTheme="minorHAnsi"/>
        </w:rPr>
        <w:t xml:space="preserve">for </w:t>
      </w:r>
      <w:r w:rsidR="00D009A3" w:rsidRPr="007949D0">
        <w:rPr>
          <w:rFonts w:asciiTheme="minorHAnsi" w:hAnsiTheme="minorHAnsi"/>
        </w:rPr>
        <w:t xml:space="preserve">the </w:t>
      </w:r>
      <w:r w:rsidR="000D51B0" w:rsidRPr="007949D0">
        <w:rPr>
          <w:rFonts w:asciiTheme="minorHAnsi" w:hAnsiTheme="minorHAnsi"/>
        </w:rPr>
        <w:t>2026</w:t>
      </w:r>
      <w:r w:rsidR="004D241A" w:rsidRPr="007949D0">
        <w:rPr>
          <w:rFonts w:asciiTheme="minorHAnsi" w:hAnsiTheme="minorHAnsi"/>
        </w:rPr>
        <w:t>-</w:t>
      </w:r>
      <w:r w:rsidR="000D51B0" w:rsidRPr="007949D0">
        <w:rPr>
          <w:rFonts w:asciiTheme="minorHAnsi" w:hAnsiTheme="minorHAnsi"/>
        </w:rPr>
        <w:t>2028</w:t>
      </w:r>
      <w:r w:rsidR="00D009A3" w:rsidRPr="007949D0">
        <w:rPr>
          <w:rFonts w:asciiTheme="minorHAnsi" w:hAnsiTheme="minorHAnsi"/>
        </w:rPr>
        <w:t xml:space="preserve"> triennium</w:t>
      </w:r>
      <w:r w:rsidR="000D51B0" w:rsidRPr="007949D0">
        <w:rPr>
          <w:rFonts w:asciiTheme="minorHAnsi" w:hAnsiTheme="minorHAnsi"/>
        </w:rPr>
        <w:t xml:space="preserve"> </w:t>
      </w:r>
      <w:r w:rsidR="00D009A3" w:rsidRPr="007949D0">
        <w:rPr>
          <w:rFonts w:asciiTheme="minorHAnsi" w:hAnsiTheme="minorHAnsi"/>
        </w:rPr>
        <w:t>is</w:t>
      </w:r>
      <w:r w:rsidR="00363A20" w:rsidRPr="007949D0">
        <w:rPr>
          <w:rFonts w:asciiTheme="minorHAnsi" w:hAnsiTheme="minorHAnsi"/>
        </w:rPr>
        <w:t xml:space="preserve"> </w:t>
      </w:r>
      <w:r w:rsidR="004639AC" w:rsidRPr="007949D0">
        <w:rPr>
          <w:rFonts w:asciiTheme="minorHAnsi" w:hAnsiTheme="minorHAnsi"/>
        </w:rPr>
        <w:t>included</w:t>
      </w:r>
      <w:r w:rsidR="009E6FD2" w:rsidRPr="007949D0">
        <w:rPr>
          <w:rFonts w:asciiTheme="minorHAnsi" w:hAnsiTheme="minorHAnsi"/>
        </w:rPr>
        <w:t xml:space="preserve"> </w:t>
      </w:r>
      <w:r w:rsidR="004639AC" w:rsidRPr="007949D0">
        <w:rPr>
          <w:rFonts w:asciiTheme="minorHAnsi" w:hAnsiTheme="minorHAnsi"/>
        </w:rPr>
        <w:t xml:space="preserve">in </w:t>
      </w:r>
      <w:r w:rsidR="00431D65" w:rsidRPr="007949D0">
        <w:rPr>
          <w:rFonts w:asciiTheme="minorHAnsi" w:hAnsiTheme="minorHAnsi"/>
        </w:rPr>
        <w:t xml:space="preserve">document </w:t>
      </w:r>
      <w:r w:rsidR="000D51B0" w:rsidRPr="007949D0">
        <w:rPr>
          <w:rFonts w:asciiTheme="minorHAnsi" w:hAnsiTheme="minorHAnsi"/>
        </w:rPr>
        <w:t xml:space="preserve">COP15 </w:t>
      </w:r>
      <w:r w:rsidR="00C857D3" w:rsidRPr="007949D0">
        <w:rPr>
          <w:rFonts w:asciiTheme="minorHAnsi" w:hAnsiTheme="minorHAnsi"/>
        </w:rPr>
        <w:t>Doc.</w:t>
      </w:r>
      <w:r w:rsidR="000D51B0" w:rsidRPr="007949D0">
        <w:rPr>
          <w:rFonts w:asciiTheme="minorHAnsi" w:hAnsiTheme="minorHAnsi"/>
        </w:rPr>
        <w:t>23</w:t>
      </w:r>
      <w:r w:rsidR="00C857D3" w:rsidRPr="007949D0">
        <w:rPr>
          <w:rFonts w:asciiTheme="minorHAnsi" w:hAnsiTheme="minorHAnsi"/>
        </w:rPr>
        <w:t>.</w:t>
      </w:r>
      <w:r w:rsidR="00CA6820" w:rsidRPr="007949D0">
        <w:rPr>
          <w:rFonts w:asciiTheme="minorHAnsi" w:hAnsiTheme="minorHAnsi"/>
        </w:rPr>
        <w:t xml:space="preserve">1 </w:t>
      </w:r>
      <w:r w:rsidR="00363A20" w:rsidRPr="007949D0">
        <w:rPr>
          <w:rFonts w:asciiTheme="minorHAnsi" w:hAnsiTheme="minorHAnsi"/>
        </w:rPr>
        <w:t xml:space="preserve">as </w:t>
      </w:r>
      <w:r w:rsidR="009E6FD2" w:rsidRPr="007949D0">
        <w:rPr>
          <w:rFonts w:asciiTheme="minorHAnsi" w:hAnsiTheme="minorHAnsi"/>
        </w:rPr>
        <w:t>Annex 1</w:t>
      </w:r>
      <w:r w:rsidR="00754ED9" w:rsidRPr="007949D0">
        <w:rPr>
          <w:rFonts w:asciiTheme="minorHAnsi" w:hAnsiTheme="minorHAnsi"/>
        </w:rPr>
        <w:t>,</w:t>
      </w:r>
      <w:r w:rsidR="009E6FD2" w:rsidRPr="007949D0">
        <w:rPr>
          <w:rFonts w:asciiTheme="minorHAnsi" w:hAnsiTheme="minorHAnsi"/>
        </w:rPr>
        <w:t xml:space="preserve"> </w:t>
      </w:r>
      <w:r w:rsidR="00D009A3" w:rsidRPr="007949D0">
        <w:rPr>
          <w:rFonts w:asciiTheme="minorHAnsi" w:hAnsiTheme="minorHAnsi"/>
        </w:rPr>
        <w:t>which presents</w:t>
      </w:r>
      <w:r w:rsidR="00363A20" w:rsidRPr="007949D0">
        <w:rPr>
          <w:rFonts w:asciiTheme="minorHAnsi" w:hAnsiTheme="minorHAnsi"/>
        </w:rPr>
        <w:t xml:space="preserve"> </w:t>
      </w:r>
      <w:r w:rsidR="009E6FD2" w:rsidRPr="007949D0">
        <w:rPr>
          <w:rFonts w:asciiTheme="minorHAnsi" w:hAnsiTheme="minorHAnsi"/>
        </w:rPr>
        <w:t>the budget</w:t>
      </w:r>
      <w:r w:rsidR="000D51B0" w:rsidRPr="007949D0">
        <w:rPr>
          <w:rFonts w:asciiTheme="minorHAnsi" w:hAnsiTheme="minorHAnsi"/>
        </w:rPr>
        <w:t xml:space="preserve"> scenarios </w:t>
      </w:r>
      <w:r w:rsidR="00980C7D" w:rsidRPr="007949D0">
        <w:rPr>
          <w:rFonts w:asciiTheme="minorHAnsi" w:hAnsiTheme="minorHAnsi"/>
        </w:rPr>
        <w:t xml:space="preserve">recommended </w:t>
      </w:r>
      <w:r w:rsidR="00FC0A0E" w:rsidRPr="007949D0">
        <w:rPr>
          <w:rFonts w:asciiTheme="minorHAnsi" w:hAnsiTheme="minorHAnsi"/>
        </w:rPr>
        <w:t xml:space="preserve">by the </w:t>
      </w:r>
      <w:r w:rsidR="00EB2CA8">
        <w:rPr>
          <w:rFonts w:asciiTheme="minorHAnsi" w:hAnsiTheme="minorHAnsi"/>
        </w:rPr>
        <w:t>the Standing Committee at its 64th meeting (</w:t>
      </w:r>
      <w:r w:rsidR="00980C7D" w:rsidRPr="007949D0">
        <w:rPr>
          <w:rFonts w:asciiTheme="minorHAnsi" w:hAnsiTheme="minorHAnsi"/>
        </w:rPr>
        <w:t>SC64</w:t>
      </w:r>
      <w:r w:rsidR="00EB2CA8">
        <w:rPr>
          <w:rFonts w:asciiTheme="minorHAnsi" w:hAnsiTheme="minorHAnsi"/>
        </w:rPr>
        <w:t>)</w:t>
      </w:r>
      <w:r w:rsidR="00CA6305" w:rsidRPr="007949D0">
        <w:rPr>
          <w:rFonts w:asciiTheme="minorHAnsi" w:hAnsiTheme="minorHAnsi"/>
        </w:rPr>
        <w:t>.</w:t>
      </w:r>
    </w:p>
    <w:p w14:paraId="26B419AF" w14:textId="77777777" w:rsidR="00737885" w:rsidRPr="007949D0" w:rsidRDefault="00737885" w:rsidP="007949D0"/>
    <w:p w14:paraId="28CB3BF7" w14:textId="25FD0752" w:rsidR="00754ED9" w:rsidRPr="007949D0" w:rsidRDefault="007949D0" w:rsidP="007949D0">
      <w:pPr>
        <w:pStyle w:val="ListParagraph"/>
        <w:ind w:left="425"/>
        <w:rPr>
          <w:rFonts w:asciiTheme="minorHAnsi" w:eastAsia="Batang" w:hAnsiTheme="minorHAnsi"/>
          <w:color w:val="000000"/>
          <w:lang w:eastAsia="ko-KR"/>
        </w:rPr>
      </w:pPr>
      <w:r w:rsidRPr="007949D0">
        <w:rPr>
          <w:rFonts w:asciiTheme="minorHAnsi" w:hAnsiTheme="minorHAnsi"/>
        </w:rPr>
        <w:t>7.</w:t>
      </w:r>
      <w:r w:rsidRPr="007949D0">
        <w:rPr>
          <w:rFonts w:asciiTheme="minorHAnsi" w:hAnsiTheme="minorHAnsi"/>
        </w:rPr>
        <w:tab/>
      </w:r>
      <w:r w:rsidR="00D009A3" w:rsidRPr="007949D0">
        <w:rPr>
          <w:rFonts w:asciiTheme="minorHAnsi" w:hAnsiTheme="minorHAnsi"/>
        </w:rPr>
        <w:t>D</w:t>
      </w:r>
      <w:r w:rsidR="00754ED9" w:rsidRPr="007949D0">
        <w:rPr>
          <w:rFonts w:asciiTheme="minorHAnsi" w:hAnsiTheme="minorHAnsi"/>
        </w:rPr>
        <w:t xml:space="preserve">etails </w:t>
      </w:r>
      <w:r w:rsidR="006836AC" w:rsidRPr="007949D0">
        <w:rPr>
          <w:rFonts w:asciiTheme="minorHAnsi" w:hAnsiTheme="minorHAnsi"/>
        </w:rPr>
        <w:t xml:space="preserve">of </w:t>
      </w:r>
      <w:r w:rsidR="00754ED9" w:rsidRPr="007949D0">
        <w:rPr>
          <w:rFonts w:asciiTheme="minorHAnsi" w:hAnsiTheme="minorHAnsi"/>
        </w:rPr>
        <w:t>the estimated core budget contributions by Contractin</w:t>
      </w:r>
      <w:r w:rsidR="00F84F55" w:rsidRPr="007949D0">
        <w:rPr>
          <w:rFonts w:asciiTheme="minorHAnsi" w:hAnsiTheme="minorHAnsi"/>
        </w:rPr>
        <w:t>g Parties and staffing of the Secretariat</w:t>
      </w:r>
      <w:r w:rsidR="00786471" w:rsidRPr="007949D0">
        <w:rPr>
          <w:rFonts w:asciiTheme="minorHAnsi" w:hAnsiTheme="minorHAnsi"/>
        </w:rPr>
        <w:t xml:space="preserve"> for the </w:t>
      </w:r>
      <w:r w:rsidR="00980C7D" w:rsidRPr="007949D0">
        <w:rPr>
          <w:rFonts w:asciiTheme="minorHAnsi" w:hAnsiTheme="minorHAnsi"/>
        </w:rPr>
        <w:t>2026</w:t>
      </w:r>
      <w:r w:rsidR="003A7CE6" w:rsidRPr="007949D0">
        <w:rPr>
          <w:rFonts w:asciiTheme="minorHAnsi" w:hAnsiTheme="minorHAnsi"/>
        </w:rPr>
        <w:t>-</w:t>
      </w:r>
      <w:r w:rsidR="00980C7D" w:rsidRPr="007949D0">
        <w:rPr>
          <w:rFonts w:asciiTheme="minorHAnsi" w:hAnsiTheme="minorHAnsi"/>
        </w:rPr>
        <w:t xml:space="preserve">2028 </w:t>
      </w:r>
      <w:r w:rsidR="00786471" w:rsidRPr="007949D0">
        <w:rPr>
          <w:rFonts w:asciiTheme="minorHAnsi" w:hAnsiTheme="minorHAnsi"/>
        </w:rPr>
        <w:t>triennium</w:t>
      </w:r>
      <w:r w:rsidR="00857D5B" w:rsidRPr="007949D0">
        <w:rPr>
          <w:rFonts w:asciiTheme="minorHAnsi" w:hAnsiTheme="minorHAnsi"/>
        </w:rPr>
        <w:t xml:space="preserve"> can be found in</w:t>
      </w:r>
      <w:r w:rsidR="006836AC" w:rsidRPr="007949D0">
        <w:rPr>
          <w:rFonts w:asciiTheme="minorHAnsi" w:hAnsiTheme="minorHAnsi"/>
        </w:rPr>
        <w:t xml:space="preserve"> A</w:t>
      </w:r>
      <w:r w:rsidR="00786471" w:rsidRPr="007949D0">
        <w:rPr>
          <w:rFonts w:asciiTheme="minorHAnsi" w:hAnsiTheme="minorHAnsi"/>
        </w:rPr>
        <w:t>nnexes</w:t>
      </w:r>
      <w:r w:rsidR="00A423BC" w:rsidRPr="007949D0">
        <w:rPr>
          <w:rFonts w:asciiTheme="minorHAnsi" w:hAnsiTheme="minorHAnsi"/>
        </w:rPr>
        <w:t> </w:t>
      </w:r>
      <w:r w:rsidR="006836AC" w:rsidRPr="007949D0">
        <w:rPr>
          <w:rFonts w:asciiTheme="minorHAnsi" w:hAnsiTheme="minorHAnsi"/>
        </w:rPr>
        <w:t xml:space="preserve">2 and </w:t>
      </w:r>
      <w:r w:rsidR="003A7CE6" w:rsidRPr="007949D0">
        <w:rPr>
          <w:rFonts w:asciiTheme="minorHAnsi" w:hAnsiTheme="minorHAnsi"/>
        </w:rPr>
        <w:t xml:space="preserve">3 </w:t>
      </w:r>
      <w:r w:rsidR="006836AC" w:rsidRPr="007949D0">
        <w:rPr>
          <w:rFonts w:asciiTheme="minorHAnsi" w:hAnsiTheme="minorHAnsi"/>
        </w:rPr>
        <w:t xml:space="preserve">of </w:t>
      </w:r>
      <w:r w:rsidR="00D009A3" w:rsidRPr="007949D0">
        <w:rPr>
          <w:rFonts w:asciiTheme="minorHAnsi" w:hAnsiTheme="minorHAnsi"/>
        </w:rPr>
        <w:t xml:space="preserve">the same </w:t>
      </w:r>
      <w:r w:rsidR="006836AC" w:rsidRPr="007949D0">
        <w:rPr>
          <w:rFonts w:asciiTheme="minorHAnsi" w:hAnsiTheme="minorHAnsi"/>
        </w:rPr>
        <w:t>document</w:t>
      </w:r>
      <w:r w:rsidR="00F84F55" w:rsidRPr="007949D0">
        <w:rPr>
          <w:rFonts w:asciiTheme="minorHAnsi" w:hAnsiTheme="minorHAnsi"/>
        </w:rPr>
        <w:t>.</w:t>
      </w:r>
    </w:p>
    <w:p w14:paraId="17C8459B" w14:textId="77777777" w:rsidR="004639AC" w:rsidRPr="007949D0" w:rsidRDefault="004639AC" w:rsidP="007949D0">
      <w:pPr>
        <w:pStyle w:val="ListParagraph"/>
        <w:ind w:left="425"/>
        <w:rPr>
          <w:rFonts w:asciiTheme="minorHAnsi" w:eastAsia="Batang" w:hAnsiTheme="minorHAnsi"/>
          <w:color w:val="000000"/>
          <w:lang w:eastAsia="ko-KR"/>
        </w:rPr>
      </w:pPr>
    </w:p>
    <w:p w14:paraId="7922FABC" w14:textId="4B4990E1" w:rsidR="004639AC" w:rsidRPr="007949D0" w:rsidRDefault="007949D0" w:rsidP="007949D0">
      <w:pPr>
        <w:pStyle w:val="ListParagraph"/>
        <w:ind w:left="425"/>
        <w:rPr>
          <w:rFonts w:asciiTheme="minorHAnsi" w:eastAsia="Batang" w:hAnsiTheme="minorHAnsi"/>
          <w:color w:val="000000"/>
          <w:lang w:eastAsia="ko-KR"/>
        </w:rPr>
      </w:pPr>
      <w:r w:rsidRPr="007949D0">
        <w:rPr>
          <w:rFonts w:asciiTheme="minorHAnsi" w:eastAsia="Batang" w:hAnsiTheme="minorHAnsi"/>
          <w:color w:val="000000"/>
          <w:lang w:eastAsia="ko-KR"/>
        </w:rPr>
        <w:t>8.</w:t>
      </w:r>
      <w:r w:rsidRPr="007949D0">
        <w:rPr>
          <w:rFonts w:asciiTheme="minorHAnsi" w:eastAsia="Batang" w:hAnsiTheme="minorHAnsi"/>
          <w:color w:val="000000"/>
          <w:lang w:eastAsia="ko-KR"/>
        </w:rPr>
        <w:tab/>
      </w:r>
      <w:r w:rsidR="00EB2CA8">
        <w:rPr>
          <w:rFonts w:asciiTheme="minorHAnsi" w:eastAsia="Batang" w:hAnsiTheme="minorHAnsi"/>
          <w:lang w:eastAsia="ko-KR"/>
        </w:rPr>
        <w:t>Priorities for n</w:t>
      </w:r>
      <w:r w:rsidR="004639AC" w:rsidRPr="007949D0">
        <w:rPr>
          <w:rFonts w:asciiTheme="minorHAnsi" w:eastAsia="Batang" w:hAnsiTheme="minorHAnsi"/>
          <w:lang w:eastAsia="ko-KR"/>
        </w:rPr>
        <w:t xml:space="preserve">on-core </w:t>
      </w:r>
      <w:r w:rsidR="00EB2CA8">
        <w:rPr>
          <w:rFonts w:asciiTheme="minorHAnsi" w:eastAsia="Batang" w:hAnsiTheme="minorHAnsi"/>
          <w:lang w:eastAsia="ko-KR"/>
        </w:rPr>
        <w:t xml:space="preserve">funding </w:t>
      </w:r>
      <w:r w:rsidR="004639AC" w:rsidRPr="007949D0">
        <w:rPr>
          <w:rFonts w:asciiTheme="minorHAnsi" w:eastAsia="Batang" w:hAnsiTheme="minorHAnsi"/>
          <w:lang w:eastAsia="ko-KR"/>
        </w:rPr>
        <w:t xml:space="preserve">will be discussed and decided </w:t>
      </w:r>
      <w:r w:rsidR="00245037" w:rsidRPr="007949D0">
        <w:rPr>
          <w:rFonts w:asciiTheme="minorHAnsi" w:eastAsia="Batang" w:hAnsiTheme="minorHAnsi"/>
          <w:lang w:eastAsia="ko-KR"/>
        </w:rPr>
        <w:t xml:space="preserve">under other agenda items </w:t>
      </w:r>
      <w:r w:rsidR="004639AC" w:rsidRPr="007949D0">
        <w:rPr>
          <w:rFonts w:asciiTheme="minorHAnsi" w:eastAsia="Batang" w:hAnsiTheme="minorHAnsi"/>
          <w:lang w:eastAsia="ko-KR"/>
        </w:rPr>
        <w:t xml:space="preserve">at </w:t>
      </w:r>
      <w:r w:rsidR="00980C7D" w:rsidRPr="007949D0">
        <w:rPr>
          <w:rFonts w:asciiTheme="minorHAnsi" w:eastAsia="Batang" w:hAnsiTheme="minorHAnsi"/>
          <w:lang w:eastAsia="ko-KR"/>
        </w:rPr>
        <w:t>COP15</w:t>
      </w:r>
      <w:r w:rsidR="001C692A">
        <w:rPr>
          <w:rFonts w:asciiTheme="minorHAnsi" w:eastAsia="Batang" w:hAnsiTheme="minorHAnsi"/>
          <w:lang w:eastAsia="ko-KR"/>
        </w:rPr>
        <w:t>,</w:t>
      </w:r>
      <w:r w:rsidR="00980C7D" w:rsidRPr="007949D0">
        <w:rPr>
          <w:rFonts w:asciiTheme="minorHAnsi" w:eastAsia="Batang" w:hAnsiTheme="minorHAnsi"/>
          <w:lang w:eastAsia="ko-KR"/>
        </w:rPr>
        <w:t xml:space="preserve"> </w:t>
      </w:r>
      <w:r w:rsidR="001C692A">
        <w:rPr>
          <w:rFonts w:asciiTheme="minorHAnsi" w:eastAsia="Batang" w:hAnsiTheme="minorHAnsi"/>
          <w:lang w:eastAsia="ko-KR"/>
        </w:rPr>
        <w:t>and will be recorded in Annex 4 of the final Resolution on financial and budgetary matters</w:t>
      </w:r>
      <w:r w:rsidRPr="007949D0">
        <w:rPr>
          <w:rFonts w:asciiTheme="minorHAnsi" w:eastAsia="Batang" w:hAnsiTheme="minorHAnsi"/>
          <w:lang w:eastAsia="ko-KR"/>
        </w:rPr>
        <w:t>.</w:t>
      </w:r>
    </w:p>
    <w:p w14:paraId="4DF9FDAD" w14:textId="77777777" w:rsidR="004639AC" w:rsidRPr="007949D0" w:rsidRDefault="004639AC" w:rsidP="007949D0">
      <w:pPr>
        <w:rPr>
          <w:rFonts w:asciiTheme="minorHAnsi" w:eastAsia="Batang" w:hAnsiTheme="minorHAnsi"/>
          <w:color w:val="000000"/>
          <w:lang w:eastAsia="ko-KR"/>
        </w:rPr>
      </w:pPr>
    </w:p>
    <w:p w14:paraId="055B27C5" w14:textId="79D78761" w:rsidR="007D3628" w:rsidRPr="007949D0" w:rsidRDefault="007949D0" w:rsidP="007949D0">
      <w:pPr>
        <w:pStyle w:val="MGfulltext"/>
        <w:spacing w:after="0"/>
        <w:ind w:left="425" w:hanging="425"/>
        <w:rPr>
          <w:rFonts w:asciiTheme="minorHAnsi" w:eastAsia="Batang" w:hAnsiTheme="minorHAnsi" w:cs="Times New Roman"/>
          <w:sz w:val="22"/>
          <w:szCs w:val="22"/>
        </w:rPr>
      </w:pPr>
      <w:r w:rsidRPr="007949D0">
        <w:rPr>
          <w:rFonts w:asciiTheme="minorHAnsi" w:eastAsia="Batang" w:hAnsiTheme="minorHAnsi" w:cs="Times New Roman"/>
          <w:sz w:val="22"/>
          <w:szCs w:val="22"/>
        </w:rPr>
        <w:t>9.</w:t>
      </w:r>
      <w:r w:rsidRPr="007949D0">
        <w:rPr>
          <w:rFonts w:asciiTheme="minorHAnsi" w:eastAsia="Batang" w:hAnsiTheme="minorHAnsi" w:cs="Times New Roman"/>
          <w:sz w:val="22"/>
          <w:szCs w:val="22"/>
        </w:rPr>
        <w:tab/>
      </w:r>
      <w:r w:rsidR="00EB2CA8">
        <w:rPr>
          <w:rFonts w:asciiTheme="minorHAnsi" w:eastAsia="Batang" w:hAnsiTheme="minorHAnsi" w:cs="Times New Roman"/>
          <w:sz w:val="22"/>
          <w:szCs w:val="22"/>
        </w:rPr>
        <w:t xml:space="preserve">The Standing Committee at </w:t>
      </w:r>
      <w:r w:rsidR="007D3628" w:rsidRPr="007949D0">
        <w:rPr>
          <w:rFonts w:asciiTheme="minorHAnsi" w:eastAsia="Batang" w:hAnsiTheme="minorHAnsi" w:cs="Times New Roman"/>
          <w:sz w:val="22"/>
          <w:szCs w:val="22"/>
        </w:rPr>
        <w:t xml:space="preserve">SC64 </w:t>
      </w:r>
      <w:r w:rsidR="00FE7BC1" w:rsidRPr="007949D0">
        <w:rPr>
          <w:rFonts w:asciiTheme="minorHAnsi" w:eastAsia="Batang" w:hAnsiTheme="minorHAnsi" w:cs="Times New Roman"/>
          <w:sz w:val="22"/>
          <w:szCs w:val="22"/>
        </w:rPr>
        <w:t>approved</w:t>
      </w:r>
      <w:r w:rsidR="007D3628" w:rsidRPr="007949D0">
        <w:rPr>
          <w:rFonts w:asciiTheme="minorHAnsi" w:eastAsia="Batang" w:hAnsiTheme="minorHAnsi" w:cs="Times New Roman"/>
          <w:sz w:val="22"/>
          <w:szCs w:val="22"/>
        </w:rPr>
        <w:t xml:space="preserve"> the following 2026-2028 budget scenarios </w:t>
      </w:r>
      <w:r w:rsidR="00FE7BC1" w:rsidRPr="007949D0">
        <w:rPr>
          <w:rFonts w:asciiTheme="minorHAnsi" w:eastAsia="Batang" w:hAnsiTheme="minorHAnsi" w:cs="Times New Roman"/>
          <w:sz w:val="22"/>
          <w:szCs w:val="22"/>
        </w:rPr>
        <w:t xml:space="preserve">to be </w:t>
      </w:r>
      <w:r w:rsidR="007D3628" w:rsidRPr="007949D0">
        <w:rPr>
          <w:rFonts w:asciiTheme="minorHAnsi" w:eastAsia="Batang" w:hAnsiTheme="minorHAnsi" w:cs="Times New Roman"/>
          <w:sz w:val="22"/>
          <w:szCs w:val="22"/>
        </w:rPr>
        <w:t>presented to COP15 for consideration</w:t>
      </w:r>
      <w:r w:rsidR="00D009A3" w:rsidRPr="007949D0">
        <w:rPr>
          <w:rFonts w:asciiTheme="minorHAnsi" w:eastAsia="Batang" w:hAnsiTheme="minorHAnsi" w:cs="Times New Roman"/>
          <w:sz w:val="22"/>
          <w:szCs w:val="22"/>
        </w:rPr>
        <w:t>.</w:t>
      </w:r>
      <w:r w:rsidR="007D3628" w:rsidRPr="007949D0">
        <w:rPr>
          <w:rFonts w:asciiTheme="minorHAnsi" w:eastAsia="Batang" w:hAnsiTheme="minorHAnsi" w:cs="Times New Roman"/>
          <w:sz w:val="22"/>
          <w:szCs w:val="22"/>
        </w:rPr>
        <w:t xml:space="preserve"> </w:t>
      </w:r>
      <w:r w:rsidR="00D009A3" w:rsidRPr="007949D0">
        <w:rPr>
          <w:rFonts w:asciiTheme="minorHAnsi" w:eastAsia="Batang" w:hAnsiTheme="minorHAnsi" w:cs="Times New Roman"/>
          <w:sz w:val="22"/>
          <w:szCs w:val="22"/>
        </w:rPr>
        <w:t>These scenarios have been developed following extensive discussions on the costs, benefits</w:t>
      </w:r>
      <w:r w:rsidR="00125B29" w:rsidRPr="007949D0">
        <w:rPr>
          <w:rFonts w:asciiTheme="minorHAnsi" w:eastAsia="Batang" w:hAnsiTheme="minorHAnsi" w:cs="Times New Roman"/>
          <w:sz w:val="22"/>
          <w:szCs w:val="22"/>
        </w:rPr>
        <w:t xml:space="preserve"> and strategic implications of </w:t>
      </w:r>
      <w:r w:rsidR="00D009A3" w:rsidRPr="007949D0">
        <w:rPr>
          <w:rFonts w:asciiTheme="minorHAnsi" w:eastAsia="Batang" w:hAnsiTheme="minorHAnsi" w:cs="Times New Roman"/>
          <w:sz w:val="22"/>
          <w:szCs w:val="22"/>
        </w:rPr>
        <w:t>each proposal</w:t>
      </w:r>
      <w:r w:rsidR="00125B29" w:rsidRPr="007949D0">
        <w:rPr>
          <w:rFonts w:asciiTheme="minorHAnsi" w:eastAsia="Batang" w:hAnsiTheme="minorHAnsi" w:cs="Times New Roman"/>
          <w:sz w:val="22"/>
          <w:szCs w:val="22"/>
        </w:rPr>
        <w:t>:</w:t>
      </w:r>
    </w:p>
    <w:p w14:paraId="0A128E40" w14:textId="77777777" w:rsidR="007D3628" w:rsidRPr="007949D0" w:rsidRDefault="007D3628" w:rsidP="007949D0">
      <w:pPr>
        <w:pStyle w:val="MGfulltext"/>
        <w:spacing w:after="0"/>
        <w:rPr>
          <w:rFonts w:asciiTheme="minorHAnsi" w:eastAsia="Batang" w:hAnsiTheme="minorHAnsi" w:cs="Times New Roman"/>
          <w:sz w:val="22"/>
          <w:szCs w:val="22"/>
        </w:rPr>
      </w:pPr>
    </w:p>
    <w:p w14:paraId="689D6D75" w14:textId="65FA2787" w:rsidR="005F4BF4" w:rsidRPr="007949D0" w:rsidRDefault="00AE1F9C" w:rsidP="007949D0">
      <w:pPr>
        <w:pStyle w:val="MGfulltext"/>
        <w:spacing w:after="0"/>
        <w:ind w:left="850" w:hanging="425"/>
        <w:rPr>
          <w:rFonts w:asciiTheme="minorHAnsi" w:eastAsia="Batang" w:hAnsiTheme="minorHAnsi" w:cs="Times New Roman"/>
          <w:sz w:val="22"/>
          <w:szCs w:val="22"/>
        </w:rPr>
      </w:pPr>
      <w:r w:rsidRPr="007949D0">
        <w:rPr>
          <w:rFonts w:asciiTheme="minorHAnsi" w:eastAsia="Batang" w:hAnsiTheme="minorHAnsi" w:cs="Times New Roman"/>
          <w:sz w:val="22"/>
          <w:szCs w:val="22"/>
        </w:rPr>
        <w:t>a.</w:t>
      </w:r>
      <w:r w:rsidRPr="007949D0">
        <w:rPr>
          <w:rFonts w:asciiTheme="minorHAnsi" w:eastAsia="Batang" w:hAnsiTheme="minorHAnsi" w:cs="Times New Roman"/>
          <w:sz w:val="22"/>
          <w:szCs w:val="22"/>
        </w:rPr>
        <w:tab/>
      </w:r>
      <w:r w:rsidR="005F4BF4" w:rsidRPr="007949D0">
        <w:rPr>
          <w:rFonts w:asciiTheme="minorHAnsi" w:eastAsia="Batang" w:hAnsiTheme="minorHAnsi" w:cs="Times New Roman"/>
          <w:sz w:val="22"/>
          <w:szCs w:val="22"/>
        </w:rPr>
        <w:t>0</w:t>
      </w:r>
      <w:r w:rsidR="007F2DFF" w:rsidRPr="007949D0">
        <w:rPr>
          <w:rFonts w:asciiTheme="minorHAnsi" w:eastAsia="Batang" w:hAnsiTheme="minorHAnsi" w:cs="Times New Roman"/>
          <w:sz w:val="22"/>
          <w:szCs w:val="22"/>
        </w:rPr>
        <w:t>%</w:t>
      </w:r>
      <w:r w:rsidR="005F4BF4" w:rsidRPr="007949D0">
        <w:rPr>
          <w:rFonts w:asciiTheme="minorHAnsi" w:eastAsia="Batang" w:hAnsiTheme="minorHAnsi" w:cs="Times New Roman"/>
          <w:sz w:val="22"/>
          <w:szCs w:val="22"/>
        </w:rPr>
        <w:t xml:space="preserve"> </w:t>
      </w:r>
      <w:r w:rsidR="007D3628" w:rsidRPr="007949D0">
        <w:rPr>
          <w:rFonts w:asciiTheme="minorHAnsi" w:eastAsia="Batang" w:hAnsiTheme="minorHAnsi" w:cs="Times New Roman"/>
          <w:sz w:val="22"/>
          <w:szCs w:val="22"/>
        </w:rPr>
        <w:t xml:space="preserve">nominal </w:t>
      </w:r>
      <w:r w:rsidR="005F4BF4" w:rsidRPr="007949D0">
        <w:rPr>
          <w:rFonts w:asciiTheme="minorHAnsi" w:eastAsia="Batang" w:hAnsiTheme="minorHAnsi" w:cs="Times New Roman"/>
          <w:sz w:val="22"/>
          <w:szCs w:val="22"/>
        </w:rPr>
        <w:t xml:space="preserve">increase compared to the </w:t>
      </w:r>
      <w:r w:rsidR="007D3628" w:rsidRPr="007949D0">
        <w:rPr>
          <w:rFonts w:asciiTheme="minorHAnsi" w:eastAsia="Batang" w:hAnsiTheme="minorHAnsi" w:cs="Times New Roman"/>
          <w:sz w:val="22"/>
          <w:szCs w:val="22"/>
        </w:rPr>
        <w:t>2023-2025</w:t>
      </w:r>
      <w:r w:rsidR="005F4BF4" w:rsidRPr="007949D0">
        <w:rPr>
          <w:rFonts w:asciiTheme="minorHAnsi" w:eastAsia="Batang" w:hAnsiTheme="minorHAnsi" w:cs="Times New Roman"/>
          <w:sz w:val="22"/>
          <w:szCs w:val="22"/>
        </w:rPr>
        <w:t xml:space="preserve"> triennium</w:t>
      </w:r>
      <w:r w:rsidR="00E949F7" w:rsidRPr="007949D0">
        <w:rPr>
          <w:rFonts w:asciiTheme="minorHAnsi" w:eastAsia="Batang" w:hAnsiTheme="minorHAnsi" w:cs="Times New Roman"/>
          <w:sz w:val="22"/>
          <w:szCs w:val="22"/>
        </w:rPr>
        <w:t xml:space="preserve"> budget</w:t>
      </w:r>
      <w:r w:rsidR="00DD0BD9" w:rsidRPr="007949D0">
        <w:rPr>
          <w:rFonts w:asciiTheme="minorHAnsi" w:eastAsia="Batang" w:hAnsiTheme="minorHAnsi" w:cs="Times New Roman"/>
          <w:sz w:val="22"/>
          <w:szCs w:val="22"/>
        </w:rPr>
        <w:t xml:space="preserve"> (Scenario </w:t>
      </w:r>
      <w:r w:rsidR="007D3628" w:rsidRPr="007949D0">
        <w:rPr>
          <w:rFonts w:asciiTheme="minorHAnsi" w:eastAsia="Batang" w:hAnsiTheme="minorHAnsi" w:cs="Times New Roman"/>
          <w:sz w:val="22"/>
          <w:szCs w:val="22"/>
        </w:rPr>
        <w:t>0%</w:t>
      </w:r>
      <w:r w:rsidR="00DD0BD9" w:rsidRPr="007949D0">
        <w:rPr>
          <w:rFonts w:asciiTheme="minorHAnsi" w:eastAsia="Batang" w:hAnsiTheme="minorHAnsi" w:cs="Times New Roman"/>
          <w:sz w:val="22"/>
          <w:szCs w:val="22"/>
        </w:rPr>
        <w:t>)</w:t>
      </w:r>
      <w:r w:rsidR="005F4BF4" w:rsidRPr="007949D0">
        <w:rPr>
          <w:rFonts w:asciiTheme="minorHAnsi" w:eastAsia="Batang" w:hAnsiTheme="minorHAnsi" w:cs="Times New Roman"/>
          <w:sz w:val="22"/>
          <w:szCs w:val="22"/>
        </w:rPr>
        <w:t>;</w:t>
      </w:r>
    </w:p>
    <w:p w14:paraId="7A7D1F61" w14:textId="77777777" w:rsidR="006449B6" w:rsidRPr="007949D0" w:rsidRDefault="006449B6" w:rsidP="007949D0">
      <w:pPr>
        <w:pStyle w:val="MGfulltext"/>
        <w:spacing w:after="0"/>
        <w:ind w:left="850" w:hanging="425"/>
        <w:rPr>
          <w:rFonts w:asciiTheme="minorHAnsi" w:eastAsia="Batang" w:hAnsiTheme="minorHAnsi" w:cs="Times New Roman"/>
          <w:sz w:val="22"/>
          <w:szCs w:val="22"/>
        </w:rPr>
      </w:pPr>
    </w:p>
    <w:p w14:paraId="2D29D270" w14:textId="52415A47" w:rsidR="005F4BF4" w:rsidRPr="007949D0" w:rsidRDefault="00902768" w:rsidP="007949D0">
      <w:pPr>
        <w:pStyle w:val="MGfulltext"/>
        <w:spacing w:after="0"/>
        <w:ind w:left="850" w:hanging="425"/>
        <w:rPr>
          <w:rFonts w:asciiTheme="minorHAnsi" w:eastAsia="Batang" w:hAnsiTheme="minorHAnsi" w:cs="Times New Roman"/>
          <w:sz w:val="22"/>
          <w:szCs w:val="22"/>
        </w:rPr>
      </w:pPr>
      <w:r w:rsidRPr="007949D0">
        <w:rPr>
          <w:rFonts w:asciiTheme="minorHAnsi" w:eastAsia="Batang" w:hAnsiTheme="minorHAnsi" w:cs="Times New Roman"/>
          <w:sz w:val="22"/>
          <w:szCs w:val="22"/>
        </w:rPr>
        <w:t>b.</w:t>
      </w:r>
      <w:r w:rsidRPr="007949D0">
        <w:rPr>
          <w:rFonts w:asciiTheme="minorHAnsi" w:eastAsia="Batang" w:hAnsiTheme="minorHAnsi" w:cs="Times New Roman"/>
          <w:sz w:val="22"/>
          <w:szCs w:val="22"/>
        </w:rPr>
        <w:tab/>
      </w:r>
      <w:r w:rsidR="007D3628" w:rsidRPr="007949D0">
        <w:rPr>
          <w:rFonts w:asciiTheme="minorHAnsi" w:eastAsia="Batang" w:hAnsiTheme="minorHAnsi" w:cs="Times New Roman"/>
          <w:sz w:val="22"/>
          <w:szCs w:val="22"/>
        </w:rPr>
        <w:t>4.1</w:t>
      </w:r>
      <w:r w:rsidR="007F2DFF" w:rsidRPr="007949D0">
        <w:rPr>
          <w:rFonts w:asciiTheme="minorHAnsi" w:eastAsia="Batang" w:hAnsiTheme="minorHAnsi" w:cs="Times New Roman"/>
          <w:sz w:val="22"/>
          <w:szCs w:val="22"/>
        </w:rPr>
        <w:t>%</w:t>
      </w:r>
      <w:r w:rsidR="001F4370" w:rsidRPr="007949D0">
        <w:rPr>
          <w:rFonts w:asciiTheme="minorHAnsi" w:eastAsia="Batang" w:hAnsiTheme="minorHAnsi" w:cs="Times New Roman"/>
          <w:sz w:val="22"/>
          <w:szCs w:val="22"/>
        </w:rPr>
        <w:t xml:space="preserve"> increase</w:t>
      </w:r>
      <w:r w:rsidR="00363CF1" w:rsidRPr="007949D0">
        <w:rPr>
          <w:rFonts w:asciiTheme="minorHAnsi" w:eastAsia="Batang" w:hAnsiTheme="minorHAnsi" w:cs="Times New Roman"/>
          <w:sz w:val="22"/>
          <w:szCs w:val="22"/>
        </w:rPr>
        <w:t xml:space="preserve"> compared to the </w:t>
      </w:r>
      <w:r w:rsidR="007D3628" w:rsidRPr="007949D0">
        <w:rPr>
          <w:rFonts w:asciiTheme="minorHAnsi" w:eastAsia="Batang" w:hAnsiTheme="minorHAnsi" w:cs="Times New Roman"/>
          <w:sz w:val="22"/>
          <w:szCs w:val="22"/>
        </w:rPr>
        <w:t>2023-2025</w:t>
      </w:r>
      <w:r w:rsidR="00E949F7" w:rsidRPr="007949D0">
        <w:rPr>
          <w:rFonts w:asciiTheme="minorHAnsi" w:eastAsia="Batang" w:hAnsiTheme="minorHAnsi" w:cs="Times New Roman"/>
          <w:sz w:val="22"/>
          <w:szCs w:val="22"/>
        </w:rPr>
        <w:t xml:space="preserve"> </w:t>
      </w:r>
      <w:r w:rsidR="00363CF1" w:rsidRPr="007949D0">
        <w:rPr>
          <w:rFonts w:asciiTheme="minorHAnsi" w:eastAsia="Batang" w:hAnsiTheme="minorHAnsi" w:cs="Times New Roman"/>
          <w:sz w:val="22"/>
          <w:szCs w:val="22"/>
        </w:rPr>
        <w:t>triennium</w:t>
      </w:r>
      <w:r w:rsidR="0099776D" w:rsidRPr="007949D0">
        <w:rPr>
          <w:rFonts w:asciiTheme="minorHAnsi" w:eastAsia="Batang" w:hAnsiTheme="minorHAnsi" w:cs="Times New Roman"/>
          <w:sz w:val="22"/>
          <w:szCs w:val="22"/>
        </w:rPr>
        <w:t xml:space="preserve"> </w:t>
      </w:r>
      <w:r w:rsidR="00DD0BD9" w:rsidRPr="007949D0">
        <w:rPr>
          <w:rFonts w:asciiTheme="minorHAnsi" w:eastAsia="Batang" w:hAnsiTheme="minorHAnsi" w:cs="Times New Roman"/>
          <w:sz w:val="22"/>
          <w:szCs w:val="22"/>
        </w:rPr>
        <w:t xml:space="preserve">(Scenario </w:t>
      </w:r>
      <w:r w:rsidR="007D3628" w:rsidRPr="007949D0">
        <w:rPr>
          <w:rFonts w:asciiTheme="minorHAnsi" w:eastAsia="Batang" w:hAnsiTheme="minorHAnsi" w:cs="Times New Roman"/>
          <w:sz w:val="22"/>
          <w:szCs w:val="22"/>
        </w:rPr>
        <w:t>4.1%</w:t>
      </w:r>
      <w:r w:rsidR="00DD0BD9" w:rsidRPr="007949D0">
        <w:rPr>
          <w:rFonts w:asciiTheme="minorHAnsi" w:eastAsia="Batang" w:hAnsiTheme="minorHAnsi" w:cs="Times New Roman"/>
          <w:sz w:val="22"/>
          <w:szCs w:val="22"/>
        </w:rPr>
        <w:t>)</w:t>
      </w:r>
      <w:r w:rsidR="00F819EB" w:rsidRPr="007949D0">
        <w:rPr>
          <w:rFonts w:asciiTheme="minorHAnsi" w:eastAsia="Batang" w:hAnsiTheme="minorHAnsi" w:cs="Times New Roman"/>
          <w:sz w:val="22"/>
          <w:szCs w:val="22"/>
        </w:rPr>
        <w:t>;</w:t>
      </w:r>
      <w:r w:rsidR="00DD0BD9" w:rsidRPr="007949D0">
        <w:rPr>
          <w:rFonts w:asciiTheme="minorHAnsi" w:eastAsia="Batang" w:hAnsiTheme="minorHAnsi" w:cs="Times New Roman"/>
          <w:sz w:val="22"/>
          <w:szCs w:val="22"/>
        </w:rPr>
        <w:t xml:space="preserve"> </w:t>
      </w:r>
    </w:p>
    <w:p w14:paraId="387AD274" w14:textId="77777777" w:rsidR="006449B6" w:rsidRPr="007949D0" w:rsidRDefault="006449B6" w:rsidP="007949D0">
      <w:pPr>
        <w:pStyle w:val="MGfulltext"/>
        <w:spacing w:after="0"/>
        <w:ind w:left="850" w:hanging="425"/>
        <w:rPr>
          <w:rFonts w:asciiTheme="minorHAnsi" w:eastAsia="Batang" w:hAnsiTheme="minorHAnsi" w:cs="Times New Roman"/>
          <w:sz w:val="22"/>
          <w:szCs w:val="22"/>
        </w:rPr>
      </w:pPr>
    </w:p>
    <w:p w14:paraId="511533F0" w14:textId="0C337518" w:rsidR="007D3628" w:rsidRPr="007949D0" w:rsidRDefault="00902768" w:rsidP="007949D0">
      <w:pPr>
        <w:pStyle w:val="MGfulltext"/>
        <w:spacing w:after="0"/>
        <w:ind w:left="850" w:hanging="425"/>
        <w:rPr>
          <w:rFonts w:asciiTheme="minorHAnsi" w:eastAsia="Batang" w:hAnsiTheme="minorHAnsi" w:cs="Times New Roman"/>
          <w:sz w:val="22"/>
          <w:szCs w:val="22"/>
        </w:rPr>
      </w:pPr>
      <w:r w:rsidRPr="007949D0">
        <w:rPr>
          <w:rFonts w:asciiTheme="minorHAnsi" w:eastAsia="Batang" w:hAnsiTheme="minorHAnsi" w:cs="Times New Roman"/>
          <w:sz w:val="22"/>
          <w:szCs w:val="22"/>
        </w:rPr>
        <w:t>c.</w:t>
      </w:r>
      <w:r w:rsidRPr="007949D0">
        <w:rPr>
          <w:rFonts w:asciiTheme="minorHAnsi" w:eastAsia="Batang" w:hAnsiTheme="minorHAnsi" w:cs="Times New Roman"/>
          <w:sz w:val="22"/>
          <w:szCs w:val="22"/>
        </w:rPr>
        <w:tab/>
      </w:r>
      <w:r w:rsidR="007D3628" w:rsidRPr="007949D0">
        <w:rPr>
          <w:rFonts w:asciiTheme="minorHAnsi" w:eastAsia="Batang" w:hAnsiTheme="minorHAnsi" w:cs="Times New Roman"/>
          <w:sz w:val="22"/>
          <w:szCs w:val="22"/>
        </w:rPr>
        <w:t>9.6</w:t>
      </w:r>
      <w:r w:rsidR="007F2DFF" w:rsidRPr="007949D0">
        <w:rPr>
          <w:rFonts w:asciiTheme="minorHAnsi" w:eastAsia="Batang" w:hAnsiTheme="minorHAnsi" w:cs="Times New Roman"/>
          <w:sz w:val="22"/>
          <w:szCs w:val="22"/>
        </w:rPr>
        <w:t>%</w:t>
      </w:r>
      <w:r w:rsidR="001F4370" w:rsidRPr="007949D0">
        <w:rPr>
          <w:rFonts w:asciiTheme="minorHAnsi" w:eastAsia="Batang" w:hAnsiTheme="minorHAnsi" w:cs="Times New Roman"/>
          <w:sz w:val="22"/>
          <w:szCs w:val="22"/>
        </w:rPr>
        <w:t xml:space="preserve"> increase </w:t>
      </w:r>
      <w:r w:rsidR="00363CF1" w:rsidRPr="007949D0">
        <w:rPr>
          <w:rFonts w:asciiTheme="minorHAnsi" w:eastAsia="Batang" w:hAnsiTheme="minorHAnsi" w:cs="Times New Roman"/>
          <w:sz w:val="22"/>
          <w:szCs w:val="22"/>
        </w:rPr>
        <w:t xml:space="preserve">compared to the </w:t>
      </w:r>
      <w:r w:rsidR="007D3628" w:rsidRPr="007949D0">
        <w:rPr>
          <w:rFonts w:asciiTheme="minorHAnsi" w:eastAsia="Batang" w:hAnsiTheme="minorHAnsi" w:cs="Times New Roman"/>
          <w:sz w:val="22"/>
          <w:szCs w:val="22"/>
        </w:rPr>
        <w:t>2023-2025</w:t>
      </w:r>
      <w:r w:rsidR="00ED536D" w:rsidRPr="007949D0">
        <w:rPr>
          <w:rFonts w:asciiTheme="minorHAnsi" w:eastAsia="Batang" w:hAnsiTheme="minorHAnsi" w:cs="Times New Roman"/>
          <w:sz w:val="22"/>
          <w:szCs w:val="22"/>
        </w:rPr>
        <w:t xml:space="preserve"> </w:t>
      </w:r>
      <w:r w:rsidR="00363CF1" w:rsidRPr="007949D0">
        <w:rPr>
          <w:rFonts w:asciiTheme="minorHAnsi" w:eastAsia="Batang" w:hAnsiTheme="minorHAnsi" w:cs="Times New Roman"/>
          <w:sz w:val="22"/>
          <w:szCs w:val="22"/>
        </w:rPr>
        <w:t>triennium</w:t>
      </w:r>
      <w:r w:rsidR="00E4514F" w:rsidRPr="007949D0">
        <w:rPr>
          <w:rFonts w:asciiTheme="minorHAnsi" w:eastAsia="Batang" w:hAnsiTheme="minorHAnsi" w:cs="Times New Roman"/>
          <w:sz w:val="22"/>
          <w:szCs w:val="22"/>
        </w:rPr>
        <w:t xml:space="preserve"> </w:t>
      </w:r>
      <w:r w:rsidR="00DD0BD9" w:rsidRPr="007949D0">
        <w:rPr>
          <w:rFonts w:asciiTheme="minorHAnsi" w:eastAsia="Batang" w:hAnsiTheme="minorHAnsi" w:cs="Times New Roman"/>
          <w:sz w:val="22"/>
          <w:szCs w:val="22"/>
        </w:rPr>
        <w:t xml:space="preserve">(Scenario </w:t>
      </w:r>
      <w:r w:rsidR="007D3628" w:rsidRPr="007949D0">
        <w:rPr>
          <w:rFonts w:asciiTheme="minorHAnsi" w:eastAsia="Batang" w:hAnsiTheme="minorHAnsi" w:cs="Times New Roman"/>
          <w:sz w:val="22"/>
          <w:szCs w:val="22"/>
        </w:rPr>
        <w:t>9.6%</w:t>
      </w:r>
      <w:r w:rsidR="00DD0BD9" w:rsidRPr="007949D0">
        <w:rPr>
          <w:rFonts w:asciiTheme="minorHAnsi" w:eastAsia="Batang" w:hAnsiTheme="minorHAnsi" w:cs="Times New Roman"/>
          <w:sz w:val="22"/>
          <w:szCs w:val="22"/>
        </w:rPr>
        <w:t>)</w:t>
      </w:r>
      <w:r w:rsidR="007D3628" w:rsidRPr="007949D0">
        <w:rPr>
          <w:rFonts w:asciiTheme="minorHAnsi" w:eastAsia="Batang" w:hAnsiTheme="minorHAnsi" w:cs="Times New Roman"/>
          <w:sz w:val="22"/>
          <w:szCs w:val="22"/>
        </w:rPr>
        <w:t xml:space="preserve">; and </w:t>
      </w:r>
    </w:p>
    <w:p w14:paraId="5E82D747" w14:textId="77777777" w:rsidR="007D3628" w:rsidRPr="007949D0" w:rsidRDefault="007D3628" w:rsidP="007949D0">
      <w:pPr>
        <w:pStyle w:val="MGfulltext"/>
        <w:spacing w:after="0"/>
        <w:ind w:left="850" w:hanging="425"/>
        <w:rPr>
          <w:rFonts w:asciiTheme="minorHAnsi" w:eastAsia="Batang" w:hAnsiTheme="minorHAnsi" w:cs="Times New Roman"/>
          <w:sz w:val="22"/>
          <w:szCs w:val="22"/>
        </w:rPr>
      </w:pPr>
    </w:p>
    <w:p w14:paraId="5AE875B8" w14:textId="1B0B519D" w:rsidR="001F4370" w:rsidRPr="005069AB" w:rsidRDefault="007D3628" w:rsidP="007949D0">
      <w:pPr>
        <w:pStyle w:val="MGfulltext"/>
        <w:spacing w:after="0"/>
        <w:ind w:left="850" w:hanging="425"/>
        <w:rPr>
          <w:rFonts w:asciiTheme="minorHAnsi" w:eastAsia="Batang" w:hAnsiTheme="minorHAnsi" w:cs="Times New Roman"/>
          <w:sz w:val="22"/>
          <w:szCs w:val="22"/>
        </w:rPr>
      </w:pPr>
      <w:r w:rsidRPr="005069AB">
        <w:rPr>
          <w:rFonts w:asciiTheme="minorHAnsi" w:eastAsia="Batang" w:hAnsiTheme="minorHAnsi" w:cs="Times New Roman"/>
          <w:sz w:val="22"/>
          <w:szCs w:val="22"/>
        </w:rPr>
        <w:t>d.</w:t>
      </w:r>
      <w:r w:rsidRPr="005069AB">
        <w:rPr>
          <w:rFonts w:asciiTheme="minorHAnsi" w:eastAsia="Batang" w:hAnsiTheme="minorHAnsi" w:cs="Times New Roman"/>
          <w:sz w:val="22"/>
          <w:szCs w:val="22"/>
        </w:rPr>
        <w:tab/>
        <w:t>11.3% increase compared to 2023-2025 budget (Scenario 11.3%)</w:t>
      </w:r>
      <w:r w:rsidR="007949D0" w:rsidRPr="005069AB">
        <w:rPr>
          <w:rFonts w:asciiTheme="minorHAnsi" w:eastAsia="Batang" w:hAnsiTheme="minorHAnsi" w:cs="Times New Roman"/>
          <w:sz w:val="22"/>
          <w:szCs w:val="22"/>
        </w:rPr>
        <w:t>.</w:t>
      </w:r>
    </w:p>
    <w:p w14:paraId="60072BB9" w14:textId="77777777" w:rsidR="00737885" w:rsidRPr="005069AB" w:rsidRDefault="00737885" w:rsidP="007949D0">
      <w:pPr>
        <w:pStyle w:val="MGfulltext"/>
        <w:spacing w:after="0"/>
        <w:ind w:left="720"/>
        <w:rPr>
          <w:rFonts w:asciiTheme="minorHAnsi" w:eastAsia="Batang" w:hAnsiTheme="minorHAnsi" w:cs="Times New Roman"/>
          <w:sz w:val="22"/>
          <w:szCs w:val="22"/>
        </w:rPr>
      </w:pPr>
    </w:p>
    <w:p w14:paraId="66D1C7AD" w14:textId="6C9F3D67" w:rsidR="00737885" w:rsidRPr="007949D0" w:rsidRDefault="007949D0" w:rsidP="007949D0">
      <w:pPr>
        <w:pStyle w:val="MGfulltext"/>
        <w:spacing w:after="0"/>
        <w:ind w:left="426" w:hanging="426"/>
        <w:rPr>
          <w:rFonts w:asciiTheme="minorHAnsi" w:eastAsia="Batang" w:hAnsiTheme="minorHAnsi"/>
          <w:iCs/>
          <w:sz w:val="22"/>
          <w:szCs w:val="22"/>
        </w:rPr>
      </w:pPr>
      <w:r w:rsidRPr="005069AB">
        <w:rPr>
          <w:rFonts w:asciiTheme="minorHAnsi" w:eastAsia="Batang" w:hAnsiTheme="minorHAnsi" w:cs="Times New Roman"/>
          <w:sz w:val="22"/>
          <w:szCs w:val="22"/>
        </w:rPr>
        <w:t>10.</w:t>
      </w:r>
      <w:r w:rsidRPr="005069AB">
        <w:rPr>
          <w:rFonts w:asciiTheme="minorHAnsi" w:eastAsia="Batang" w:hAnsiTheme="minorHAnsi" w:cs="Times New Roman"/>
          <w:sz w:val="22"/>
          <w:szCs w:val="22"/>
        </w:rPr>
        <w:tab/>
      </w:r>
      <w:r w:rsidR="00125B29" w:rsidRPr="005069AB">
        <w:rPr>
          <w:rFonts w:asciiTheme="minorHAnsi" w:eastAsia="Batang" w:hAnsiTheme="minorHAnsi" w:cs="Times New Roman"/>
          <w:sz w:val="22"/>
          <w:szCs w:val="22"/>
        </w:rPr>
        <w:t>A</w:t>
      </w:r>
      <w:r w:rsidR="007D3628" w:rsidRPr="005069AB">
        <w:rPr>
          <w:rFonts w:asciiTheme="minorHAnsi" w:eastAsia="Batang" w:hAnsiTheme="minorHAnsi" w:cs="Times New Roman"/>
          <w:sz w:val="22"/>
          <w:szCs w:val="22"/>
        </w:rPr>
        <w:t xml:space="preserve"> summary of the </w:t>
      </w:r>
      <w:r w:rsidR="00125B29" w:rsidRPr="005069AB">
        <w:rPr>
          <w:rFonts w:asciiTheme="minorHAnsi" w:eastAsia="Batang" w:hAnsiTheme="minorHAnsi" w:cs="Times New Roman"/>
          <w:sz w:val="22"/>
          <w:szCs w:val="22"/>
        </w:rPr>
        <w:t xml:space="preserve">budget </w:t>
      </w:r>
      <w:r w:rsidR="007D3628" w:rsidRPr="005069AB">
        <w:rPr>
          <w:rFonts w:asciiTheme="minorHAnsi" w:eastAsia="Batang" w:hAnsiTheme="minorHAnsi" w:cs="Times New Roman"/>
          <w:sz w:val="22"/>
          <w:szCs w:val="22"/>
        </w:rPr>
        <w:t xml:space="preserve">scenarios </w:t>
      </w:r>
      <w:r w:rsidR="00737885" w:rsidRPr="005069AB">
        <w:rPr>
          <w:rFonts w:asciiTheme="minorHAnsi" w:eastAsia="Batang" w:hAnsiTheme="minorHAnsi" w:cs="Times New Roman"/>
          <w:sz w:val="22"/>
          <w:szCs w:val="22"/>
        </w:rPr>
        <w:t xml:space="preserve">and their implications </w:t>
      </w:r>
      <w:r w:rsidR="00125B29" w:rsidRPr="005069AB">
        <w:rPr>
          <w:rFonts w:asciiTheme="minorHAnsi" w:eastAsia="Batang" w:hAnsiTheme="minorHAnsi" w:cs="Times New Roman"/>
          <w:sz w:val="22"/>
          <w:szCs w:val="22"/>
        </w:rPr>
        <w:t>is</w:t>
      </w:r>
      <w:r w:rsidR="00737885" w:rsidRPr="005069AB">
        <w:rPr>
          <w:rFonts w:asciiTheme="minorHAnsi" w:eastAsia="Batang" w:hAnsiTheme="minorHAnsi" w:cs="Times New Roman"/>
          <w:sz w:val="22"/>
          <w:szCs w:val="22"/>
        </w:rPr>
        <w:t xml:space="preserve"> presented in Table 1 below</w:t>
      </w:r>
      <w:r w:rsidR="00125B29" w:rsidRPr="005069AB">
        <w:rPr>
          <w:rFonts w:asciiTheme="minorHAnsi" w:eastAsia="Batang" w:hAnsiTheme="minorHAnsi" w:cs="Times New Roman"/>
          <w:sz w:val="22"/>
          <w:szCs w:val="22"/>
        </w:rPr>
        <w:t>. M</w:t>
      </w:r>
      <w:r w:rsidR="00737885" w:rsidRPr="005069AB">
        <w:rPr>
          <w:rFonts w:asciiTheme="minorHAnsi" w:eastAsia="Batang" w:hAnsiTheme="minorHAnsi" w:cs="Times New Roman"/>
          <w:sz w:val="22"/>
          <w:szCs w:val="22"/>
        </w:rPr>
        <w:t xml:space="preserve">ore detailed information </w:t>
      </w:r>
      <w:r w:rsidR="00125B29" w:rsidRPr="005069AB">
        <w:rPr>
          <w:rFonts w:asciiTheme="minorHAnsi" w:eastAsia="Batang" w:hAnsiTheme="minorHAnsi" w:cs="Times New Roman"/>
          <w:sz w:val="22"/>
          <w:szCs w:val="22"/>
        </w:rPr>
        <w:t>can be found</w:t>
      </w:r>
      <w:r w:rsidR="00737885" w:rsidRPr="005069AB">
        <w:rPr>
          <w:rFonts w:asciiTheme="minorHAnsi" w:eastAsia="Batang" w:hAnsiTheme="minorHAnsi" w:cs="Times New Roman"/>
          <w:sz w:val="22"/>
          <w:szCs w:val="22"/>
        </w:rPr>
        <w:t xml:space="preserve"> in </w:t>
      </w:r>
      <w:r w:rsidR="00125B29" w:rsidRPr="005069AB">
        <w:rPr>
          <w:rFonts w:asciiTheme="minorHAnsi" w:eastAsia="Batang" w:hAnsiTheme="minorHAnsi" w:cs="Times New Roman"/>
          <w:sz w:val="22"/>
          <w:szCs w:val="22"/>
        </w:rPr>
        <w:t>d</w:t>
      </w:r>
      <w:r w:rsidR="00737885" w:rsidRPr="005069AB">
        <w:rPr>
          <w:rFonts w:asciiTheme="minorHAnsi" w:eastAsia="Batang" w:hAnsiTheme="minorHAnsi" w:cs="Times New Roman"/>
          <w:sz w:val="22"/>
          <w:szCs w:val="22"/>
        </w:rPr>
        <w:t xml:space="preserve">ocument </w:t>
      </w:r>
      <w:r w:rsidR="003F0D85" w:rsidRPr="005069AB">
        <w:rPr>
          <w:rFonts w:asciiTheme="minorHAnsi" w:eastAsia="Batang" w:hAnsiTheme="minorHAnsi" w:cs="Times New Roman"/>
          <w:sz w:val="22"/>
          <w:szCs w:val="22"/>
        </w:rPr>
        <w:t>COP15 Doc</w:t>
      </w:r>
      <w:r w:rsidR="00C55495" w:rsidRPr="005069AB">
        <w:rPr>
          <w:rFonts w:asciiTheme="minorHAnsi" w:eastAsia="Batang" w:hAnsiTheme="minorHAnsi" w:cs="Times New Roman"/>
          <w:sz w:val="22"/>
          <w:szCs w:val="22"/>
        </w:rPr>
        <w:t>.</w:t>
      </w:r>
      <w:r w:rsidR="003F0D85" w:rsidRPr="005069AB">
        <w:rPr>
          <w:rFonts w:asciiTheme="minorHAnsi" w:eastAsia="Batang" w:hAnsiTheme="minorHAnsi" w:cs="Times New Roman"/>
          <w:sz w:val="22"/>
          <w:szCs w:val="22"/>
        </w:rPr>
        <w:t xml:space="preserve">23.1 </w:t>
      </w:r>
      <w:r w:rsidR="00737885" w:rsidRPr="005069AB">
        <w:rPr>
          <w:rFonts w:asciiTheme="minorHAnsi" w:eastAsia="Batang" w:hAnsiTheme="minorHAnsi" w:cs="Times New Roman"/>
          <w:sz w:val="22"/>
          <w:szCs w:val="22"/>
        </w:rPr>
        <w:t>and</w:t>
      </w:r>
      <w:r w:rsidR="00EB2CA8" w:rsidRPr="005069AB">
        <w:rPr>
          <w:rFonts w:asciiTheme="minorHAnsi" w:eastAsia="Batang" w:hAnsiTheme="minorHAnsi" w:cs="Times New Roman"/>
          <w:sz w:val="22"/>
          <w:szCs w:val="22"/>
        </w:rPr>
        <w:t xml:space="preserve"> information document</w:t>
      </w:r>
      <w:r w:rsidR="00737885" w:rsidRPr="005069AB">
        <w:rPr>
          <w:rFonts w:asciiTheme="minorHAnsi" w:eastAsia="Batang" w:hAnsiTheme="minorHAnsi" w:cs="Times New Roman"/>
          <w:sz w:val="22"/>
          <w:szCs w:val="22"/>
        </w:rPr>
        <w:t xml:space="preserve"> </w:t>
      </w:r>
      <w:r w:rsidR="007238F7" w:rsidRPr="005069AB">
        <w:rPr>
          <w:rFonts w:asciiTheme="minorHAnsi" w:eastAsia="Batang" w:hAnsiTheme="minorHAnsi" w:cs="Times New Roman"/>
          <w:sz w:val="22"/>
          <w:szCs w:val="22"/>
        </w:rPr>
        <w:t xml:space="preserve">COP15 </w:t>
      </w:r>
      <w:r w:rsidR="00737885" w:rsidRPr="005069AB">
        <w:rPr>
          <w:rFonts w:asciiTheme="minorHAnsi" w:eastAsia="Batang" w:hAnsiTheme="minorHAnsi" w:cs="Times New Roman"/>
          <w:sz w:val="22"/>
          <w:szCs w:val="22"/>
        </w:rPr>
        <w:t>Inf</w:t>
      </w:r>
      <w:r w:rsidR="006C4772" w:rsidRPr="005069AB">
        <w:rPr>
          <w:rFonts w:asciiTheme="minorHAnsi" w:eastAsia="Batang" w:hAnsiTheme="minorHAnsi" w:cs="Times New Roman"/>
          <w:sz w:val="22"/>
          <w:szCs w:val="22"/>
        </w:rPr>
        <w:t>.1</w:t>
      </w:r>
      <w:r w:rsidR="003F0D85" w:rsidRPr="005069AB">
        <w:rPr>
          <w:rFonts w:asciiTheme="minorHAnsi" w:eastAsia="Batang" w:hAnsiTheme="minorHAnsi" w:cs="Times New Roman"/>
          <w:sz w:val="22"/>
          <w:szCs w:val="22"/>
        </w:rPr>
        <w:t xml:space="preserve">, </w:t>
      </w:r>
      <w:r w:rsidR="00125B29" w:rsidRPr="005069AB">
        <w:rPr>
          <w:rFonts w:asciiTheme="minorHAnsi" w:eastAsia="Batang" w:hAnsiTheme="minorHAnsi" w:cs="Times New Roman"/>
          <w:sz w:val="22"/>
          <w:szCs w:val="22"/>
        </w:rPr>
        <w:t>which provide</w:t>
      </w:r>
      <w:r w:rsidR="003F0D85" w:rsidRPr="005069AB">
        <w:rPr>
          <w:rFonts w:asciiTheme="minorHAnsi" w:eastAsia="Batang" w:hAnsiTheme="minorHAnsi" w:cs="Times New Roman"/>
          <w:sz w:val="22"/>
          <w:szCs w:val="22"/>
        </w:rPr>
        <w:t xml:space="preserve"> narrative and quantitative analys</w:t>
      </w:r>
      <w:r w:rsidR="00125B29" w:rsidRPr="005069AB">
        <w:rPr>
          <w:rFonts w:asciiTheme="minorHAnsi" w:eastAsia="Batang" w:hAnsiTheme="minorHAnsi" w:cs="Times New Roman"/>
          <w:sz w:val="22"/>
          <w:szCs w:val="22"/>
        </w:rPr>
        <w:t>e</w:t>
      </w:r>
      <w:r w:rsidR="003F0D85" w:rsidRPr="005069AB">
        <w:rPr>
          <w:rFonts w:asciiTheme="minorHAnsi" w:eastAsia="Batang" w:hAnsiTheme="minorHAnsi" w:cs="Times New Roman"/>
          <w:sz w:val="22"/>
          <w:szCs w:val="22"/>
        </w:rPr>
        <w:t xml:space="preserve">s </w:t>
      </w:r>
      <w:r w:rsidR="00125B29" w:rsidRPr="005069AB">
        <w:rPr>
          <w:rFonts w:asciiTheme="minorHAnsi" w:eastAsia="Batang" w:hAnsiTheme="minorHAnsi" w:cs="Times New Roman"/>
          <w:sz w:val="22"/>
          <w:szCs w:val="22"/>
        </w:rPr>
        <w:t xml:space="preserve">outlining </w:t>
      </w:r>
      <w:r w:rsidR="003F0D85" w:rsidRPr="005069AB">
        <w:rPr>
          <w:rFonts w:asciiTheme="minorHAnsi" w:eastAsia="Batang" w:hAnsiTheme="minorHAnsi" w:cs="Times New Roman"/>
          <w:sz w:val="22"/>
          <w:szCs w:val="22"/>
        </w:rPr>
        <w:t>the respective costs</w:t>
      </w:r>
      <w:r w:rsidR="00125B29" w:rsidRPr="005069AB">
        <w:rPr>
          <w:rFonts w:asciiTheme="minorHAnsi" w:eastAsia="Batang" w:hAnsiTheme="minorHAnsi" w:cs="Times New Roman"/>
          <w:sz w:val="22"/>
          <w:szCs w:val="22"/>
        </w:rPr>
        <w:t xml:space="preserve">, </w:t>
      </w:r>
      <w:r w:rsidR="003F0D85" w:rsidRPr="005069AB">
        <w:rPr>
          <w:rFonts w:asciiTheme="minorHAnsi" w:eastAsia="Batang" w:hAnsiTheme="minorHAnsi" w:cs="Times New Roman"/>
          <w:sz w:val="22"/>
          <w:szCs w:val="22"/>
        </w:rPr>
        <w:t xml:space="preserve">benefits, </w:t>
      </w:r>
      <w:r w:rsidR="00125B29" w:rsidRPr="005069AB">
        <w:rPr>
          <w:rFonts w:asciiTheme="minorHAnsi" w:eastAsia="Batang" w:hAnsiTheme="minorHAnsi" w:cs="Times New Roman"/>
          <w:sz w:val="22"/>
          <w:szCs w:val="22"/>
        </w:rPr>
        <w:t xml:space="preserve">and </w:t>
      </w:r>
      <w:r w:rsidR="003F0D85" w:rsidRPr="005069AB">
        <w:rPr>
          <w:rFonts w:asciiTheme="minorHAnsi" w:eastAsia="Batang" w:hAnsiTheme="minorHAnsi" w:cs="Times New Roman"/>
          <w:sz w:val="22"/>
          <w:szCs w:val="22"/>
        </w:rPr>
        <w:t xml:space="preserve">policy implications </w:t>
      </w:r>
      <w:r w:rsidR="00125B29" w:rsidRPr="005069AB">
        <w:rPr>
          <w:rFonts w:asciiTheme="minorHAnsi" w:eastAsia="Batang" w:hAnsiTheme="minorHAnsi" w:cs="Times New Roman"/>
          <w:sz w:val="22"/>
          <w:szCs w:val="22"/>
        </w:rPr>
        <w:t>of</w:t>
      </w:r>
      <w:r w:rsidR="003F0D85" w:rsidRPr="005069AB">
        <w:rPr>
          <w:rFonts w:asciiTheme="minorHAnsi" w:eastAsia="Batang" w:hAnsiTheme="minorHAnsi" w:cs="Times New Roman"/>
          <w:sz w:val="22"/>
          <w:szCs w:val="22"/>
        </w:rPr>
        <w:t xml:space="preserve"> each scenario</w:t>
      </w:r>
      <w:r w:rsidR="00737885" w:rsidRPr="005069AB">
        <w:rPr>
          <w:rFonts w:asciiTheme="minorHAnsi" w:eastAsia="Batang" w:hAnsiTheme="minorHAnsi"/>
          <w:iCs/>
        </w:rPr>
        <w:t>.</w:t>
      </w:r>
    </w:p>
    <w:p w14:paraId="279C1C0B" w14:textId="77777777" w:rsidR="00125B29" w:rsidRPr="007949D0" w:rsidRDefault="00125B29" w:rsidP="007949D0">
      <w:pPr>
        <w:pStyle w:val="MGfulltext"/>
        <w:spacing w:after="0"/>
        <w:rPr>
          <w:rFonts w:asciiTheme="minorHAnsi" w:eastAsia="Batang" w:hAnsiTheme="minorHAnsi"/>
          <w:b/>
          <w:bCs/>
          <w:iCs/>
          <w:sz w:val="22"/>
          <w:szCs w:val="22"/>
        </w:rPr>
      </w:pPr>
    </w:p>
    <w:p w14:paraId="18E62A44" w14:textId="064E1CC1" w:rsidR="00737885" w:rsidRPr="007949D0" w:rsidRDefault="007D25EE" w:rsidP="007949D0">
      <w:pPr>
        <w:pStyle w:val="MGfulltext"/>
        <w:spacing w:after="0"/>
        <w:rPr>
          <w:rFonts w:asciiTheme="minorHAnsi" w:eastAsia="Batang" w:hAnsiTheme="minorHAnsi"/>
          <w:i/>
          <w:sz w:val="22"/>
          <w:szCs w:val="22"/>
        </w:rPr>
      </w:pPr>
      <w:r w:rsidRPr="007949D0">
        <w:rPr>
          <w:rFonts w:asciiTheme="minorHAnsi" w:eastAsia="Batang" w:hAnsiTheme="minorHAnsi"/>
          <w:i/>
          <w:sz w:val="22"/>
          <w:szCs w:val="22"/>
        </w:rPr>
        <w:t>Table 1</w:t>
      </w:r>
      <w:r w:rsidR="007949D0">
        <w:rPr>
          <w:rFonts w:asciiTheme="minorHAnsi" w:eastAsia="Batang" w:hAnsiTheme="minorHAnsi"/>
          <w:i/>
          <w:sz w:val="22"/>
          <w:szCs w:val="22"/>
        </w:rPr>
        <w:t>:</w:t>
      </w:r>
      <w:r w:rsidRPr="007949D0">
        <w:rPr>
          <w:rFonts w:asciiTheme="minorHAnsi" w:eastAsia="Batang" w:hAnsiTheme="minorHAnsi"/>
          <w:i/>
          <w:sz w:val="22"/>
          <w:szCs w:val="22"/>
        </w:rPr>
        <w:t xml:space="preserve"> Summary</w:t>
      </w:r>
      <w:r w:rsidR="005069AB">
        <w:rPr>
          <w:rFonts w:asciiTheme="minorHAnsi" w:eastAsia="Batang" w:hAnsiTheme="minorHAnsi"/>
          <w:i/>
          <w:sz w:val="22"/>
          <w:szCs w:val="22"/>
        </w:rPr>
        <w:t xml:space="preserve"> of</w:t>
      </w:r>
      <w:r w:rsidRPr="007949D0">
        <w:rPr>
          <w:rFonts w:asciiTheme="minorHAnsi" w:eastAsia="Batang" w:hAnsiTheme="minorHAnsi"/>
          <w:i/>
          <w:sz w:val="22"/>
          <w:szCs w:val="22"/>
        </w:rPr>
        <w:t xml:space="preserve"> </w:t>
      </w:r>
      <w:r w:rsidR="005069AB" w:rsidRPr="007949D0">
        <w:rPr>
          <w:rFonts w:asciiTheme="minorHAnsi" w:eastAsia="Batang" w:hAnsiTheme="minorHAnsi"/>
          <w:i/>
          <w:sz w:val="22"/>
          <w:szCs w:val="22"/>
        </w:rPr>
        <w:t xml:space="preserve">implications </w:t>
      </w:r>
      <w:r w:rsidR="005069AB">
        <w:rPr>
          <w:rFonts w:asciiTheme="minorHAnsi" w:eastAsia="Batang" w:hAnsiTheme="minorHAnsi"/>
          <w:i/>
          <w:sz w:val="22"/>
          <w:szCs w:val="22"/>
        </w:rPr>
        <w:t xml:space="preserve">of </w:t>
      </w:r>
      <w:r w:rsidRPr="007949D0">
        <w:rPr>
          <w:rFonts w:asciiTheme="minorHAnsi" w:eastAsia="Batang" w:hAnsiTheme="minorHAnsi"/>
          <w:i/>
          <w:sz w:val="22"/>
          <w:szCs w:val="22"/>
        </w:rPr>
        <w:t xml:space="preserve">2026-2028 </w:t>
      </w:r>
      <w:r w:rsidR="005069AB" w:rsidRPr="007949D0">
        <w:rPr>
          <w:rFonts w:asciiTheme="minorHAnsi" w:eastAsia="Batang" w:hAnsiTheme="minorHAnsi"/>
          <w:i/>
          <w:sz w:val="22"/>
          <w:szCs w:val="22"/>
        </w:rPr>
        <w:t xml:space="preserve">budget </w:t>
      </w:r>
      <w:r w:rsidRPr="007949D0">
        <w:rPr>
          <w:rFonts w:asciiTheme="minorHAnsi" w:eastAsia="Batang" w:hAnsiTheme="minorHAnsi"/>
          <w:i/>
          <w:sz w:val="22"/>
          <w:szCs w:val="22"/>
        </w:rPr>
        <w:t>scenarios presented to COP15</w:t>
      </w:r>
    </w:p>
    <w:tbl>
      <w:tblPr>
        <w:tblStyle w:val="TableGrid"/>
        <w:tblW w:w="9401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42"/>
        <w:gridCol w:w="1252"/>
        <w:gridCol w:w="1775"/>
        <w:gridCol w:w="1306"/>
        <w:gridCol w:w="1407"/>
        <w:gridCol w:w="1220"/>
        <w:gridCol w:w="1199"/>
      </w:tblGrid>
      <w:tr w:rsidR="00737885" w:rsidRPr="007949D0" w14:paraId="62DED1CC" w14:textId="77777777" w:rsidTr="007949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03431" w14:textId="77777777" w:rsidR="00737885" w:rsidRPr="007949D0" w:rsidRDefault="00737885" w:rsidP="007949D0">
            <w:pPr>
              <w:pStyle w:val="MGfulltext"/>
              <w:spacing w:after="0"/>
              <w:jc w:val="center"/>
              <w:rPr>
                <w:rFonts w:asciiTheme="minorHAnsi" w:eastAsia="Batang" w:hAnsiTheme="minorHAnsi"/>
                <w:b/>
                <w:bCs/>
                <w:iCs/>
                <w:sz w:val="20"/>
                <w:szCs w:val="20"/>
              </w:rPr>
            </w:pPr>
            <w:r w:rsidRPr="007949D0">
              <w:rPr>
                <w:rFonts w:asciiTheme="minorHAnsi" w:eastAsia="Batang" w:hAnsiTheme="minorHAnsi"/>
                <w:b/>
                <w:bCs/>
                <w:iCs/>
                <w:sz w:val="20"/>
                <w:szCs w:val="20"/>
              </w:rPr>
              <w:t>Scenario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A0F0C33" w14:textId="70BC8C3F" w:rsidR="00737885" w:rsidRPr="007949D0" w:rsidRDefault="00737885" w:rsidP="007949D0">
            <w:pPr>
              <w:pStyle w:val="MGfulltext"/>
              <w:spacing w:after="0"/>
              <w:jc w:val="center"/>
              <w:rPr>
                <w:rFonts w:asciiTheme="minorHAnsi" w:eastAsia="Batang" w:hAnsiTheme="minorHAnsi"/>
                <w:b/>
                <w:bCs/>
                <w:iCs/>
                <w:sz w:val="20"/>
                <w:szCs w:val="20"/>
              </w:rPr>
            </w:pPr>
            <w:r w:rsidRPr="007949D0">
              <w:rPr>
                <w:rFonts w:asciiTheme="minorHAnsi" w:eastAsia="Batang" w:hAnsiTheme="minorHAnsi"/>
                <w:b/>
                <w:bCs/>
                <w:iCs/>
                <w:sz w:val="20"/>
                <w:szCs w:val="20"/>
              </w:rPr>
              <w:t>New staff positions</w:t>
            </w:r>
            <w:r w:rsidR="004D3710" w:rsidRPr="007949D0">
              <w:rPr>
                <w:rFonts w:asciiTheme="minorHAnsi" w:eastAsia="Batang" w:hAnsiTheme="minorHAnsi"/>
                <w:b/>
                <w:bCs/>
                <w:iCs/>
                <w:sz w:val="20"/>
                <w:szCs w:val="20"/>
              </w:rPr>
              <w:t xml:space="preserve"> compared to prior triennia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E53D68C" w14:textId="5168B926" w:rsidR="00737885" w:rsidRPr="007949D0" w:rsidRDefault="00737885" w:rsidP="007949D0">
            <w:pPr>
              <w:pStyle w:val="MGfulltext"/>
              <w:spacing w:after="0"/>
              <w:jc w:val="center"/>
              <w:rPr>
                <w:rFonts w:asciiTheme="minorHAnsi" w:eastAsia="Batang" w:hAnsiTheme="minorHAnsi"/>
                <w:b/>
                <w:bCs/>
                <w:iCs/>
                <w:sz w:val="20"/>
                <w:szCs w:val="20"/>
              </w:rPr>
            </w:pPr>
            <w:r w:rsidRPr="007949D0">
              <w:rPr>
                <w:rFonts w:asciiTheme="minorHAnsi" w:eastAsia="Batang" w:hAnsiTheme="minorHAnsi"/>
                <w:b/>
                <w:bCs/>
                <w:iCs/>
                <w:sz w:val="20"/>
                <w:szCs w:val="20"/>
              </w:rPr>
              <w:t xml:space="preserve">Existing staff </w:t>
            </w:r>
            <w:r w:rsidR="00EB2CA8">
              <w:rPr>
                <w:rFonts w:asciiTheme="minorHAnsi" w:eastAsia="Batang" w:hAnsiTheme="minorHAnsi"/>
                <w:b/>
                <w:bCs/>
                <w:iCs/>
                <w:sz w:val="20"/>
                <w:szCs w:val="20"/>
              </w:rPr>
              <w:br/>
            </w:r>
            <w:r w:rsidRPr="007949D0">
              <w:rPr>
                <w:rFonts w:asciiTheme="minorHAnsi" w:eastAsia="Batang" w:hAnsiTheme="minorHAnsi"/>
                <w:b/>
                <w:bCs/>
                <w:iCs/>
                <w:sz w:val="20"/>
                <w:szCs w:val="20"/>
              </w:rPr>
              <w:t xml:space="preserve">equity adjustments as per </w:t>
            </w:r>
            <w:r w:rsidR="00EB2CA8">
              <w:rPr>
                <w:rFonts w:asciiTheme="minorHAnsi" w:eastAsia="Batang" w:hAnsiTheme="minorHAnsi"/>
                <w:b/>
                <w:bCs/>
                <w:iCs/>
                <w:sz w:val="20"/>
                <w:szCs w:val="20"/>
              </w:rPr>
              <w:t xml:space="preserve">IUCN </w:t>
            </w:r>
            <w:r w:rsidRPr="007949D0">
              <w:rPr>
                <w:rFonts w:asciiTheme="minorHAnsi" w:eastAsia="Batang" w:hAnsiTheme="minorHAnsi"/>
                <w:b/>
                <w:bCs/>
                <w:iCs/>
                <w:sz w:val="20"/>
                <w:szCs w:val="20"/>
              </w:rPr>
              <w:t>HR recommendation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15A806B" w14:textId="77777777" w:rsidR="00737885" w:rsidRPr="007949D0" w:rsidRDefault="00737885" w:rsidP="007949D0">
            <w:pPr>
              <w:pStyle w:val="MGfulltext"/>
              <w:spacing w:after="0"/>
              <w:jc w:val="center"/>
              <w:rPr>
                <w:rFonts w:asciiTheme="minorHAnsi" w:eastAsia="Batang" w:hAnsiTheme="minorHAnsi"/>
                <w:b/>
                <w:bCs/>
                <w:iCs/>
                <w:sz w:val="20"/>
                <w:szCs w:val="20"/>
              </w:rPr>
            </w:pPr>
            <w:r w:rsidRPr="007949D0">
              <w:rPr>
                <w:rFonts w:asciiTheme="minorHAnsi" w:eastAsia="Batang" w:hAnsiTheme="minorHAnsi"/>
                <w:b/>
                <w:bCs/>
                <w:iCs/>
                <w:sz w:val="20"/>
                <w:szCs w:val="20"/>
              </w:rPr>
              <w:t>Cost of labour adjustment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7FD4E41" w14:textId="3C5FC004" w:rsidR="00737885" w:rsidRPr="007949D0" w:rsidRDefault="00737885" w:rsidP="007949D0">
            <w:pPr>
              <w:pStyle w:val="MGfulltext"/>
              <w:spacing w:after="0"/>
              <w:jc w:val="center"/>
              <w:rPr>
                <w:rFonts w:asciiTheme="minorHAnsi" w:eastAsia="Batang" w:hAnsiTheme="minorHAnsi"/>
                <w:b/>
                <w:bCs/>
                <w:iCs/>
                <w:sz w:val="20"/>
                <w:szCs w:val="20"/>
              </w:rPr>
            </w:pPr>
            <w:r w:rsidRPr="007949D0">
              <w:rPr>
                <w:rFonts w:asciiTheme="minorHAnsi" w:eastAsia="Batang" w:hAnsiTheme="minorHAnsi"/>
                <w:b/>
                <w:bCs/>
                <w:iCs/>
                <w:sz w:val="20"/>
                <w:szCs w:val="20"/>
              </w:rPr>
              <w:t>Performance and promotion</w:t>
            </w:r>
            <w:r w:rsidR="004D3710" w:rsidRPr="007949D0">
              <w:rPr>
                <w:rFonts w:asciiTheme="minorHAnsi" w:eastAsia="Batang" w:hAnsiTheme="minorHAnsi"/>
                <w:b/>
                <w:bCs/>
                <w:iCs/>
                <w:sz w:val="20"/>
                <w:szCs w:val="20"/>
              </w:rPr>
              <w:t xml:space="preserve"> adjustments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BAFF519" w14:textId="6E2748D5" w:rsidR="00737885" w:rsidRPr="007949D0" w:rsidRDefault="00737885" w:rsidP="007949D0">
            <w:pPr>
              <w:pStyle w:val="MGfulltext"/>
              <w:spacing w:after="0"/>
              <w:jc w:val="center"/>
              <w:rPr>
                <w:rFonts w:asciiTheme="minorHAnsi" w:eastAsia="Batang" w:hAnsiTheme="minorHAnsi"/>
                <w:b/>
                <w:bCs/>
                <w:iCs/>
                <w:sz w:val="20"/>
                <w:szCs w:val="20"/>
              </w:rPr>
            </w:pPr>
            <w:r w:rsidRPr="007949D0">
              <w:rPr>
                <w:rFonts w:asciiTheme="minorHAnsi" w:eastAsia="Batang" w:hAnsiTheme="minorHAnsi"/>
                <w:b/>
                <w:bCs/>
                <w:iCs/>
                <w:sz w:val="20"/>
                <w:szCs w:val="20"/>
              </w:rPr>
              <w:t>Capacity building</w:t>
            </w:r>
            <w:r w:rsidR="004D3710" w:rsidRPr="007949D0">
              <w:rPr>
                <w:rFonts w:asciiTheme="minorHAnsi" w:eastAsia="Batang" w:hAnsiTheme="minorHAnsi"/>
                <w:b/>
                <w:bCs/>
                <w:iCs/>
                <w:sz w:val="20"/>
                <w:szCs w:val="20"/>
              </w:rPr>
              <w:t xml:space="preserve"> for staff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85A7FA0" w14:textId="77777777" w:rsidR="00737885" w:rsidRPr="007949D0" w:rsidRDefault="00737885" w:rsidP="007949D0">
            <w:pPr>
              <w:pStyle w:val="MGfulltext"/>
              <w:spacing w:after="0"/>
              <w:jc w:val="center"/>
              <w:rPr>
                <w:rFonts w:asciiTheme="minorHAnsi" w:eastAsia="Batang" w:hAnsiTheme="minorHAnsi"/>
                <w:b/>
                <w:bCs/>
                <w:iCs/>
                <w:sz w:val="20"/>
                <w:szCs w:val="20"/>
              </w:rPr>
            </w:pPr>
            <w:r w:rsidRPr="007949D0">
              <w:rPr>
                <w:rFonts w:asciiTheme="minorHAnsi" w:eastAsia="Batang" w:hAnsiTheme="minorHAnsi"/>
                <w:b/>
                <w:bCs/>
                <w:iCs/>
                <w:sz w:val="20"/>
                <w:szCs w:val="20"/>
              </w:rPr>
              <w:t>COP16 operational services (not hosting)</w:t>
            </w:r>
          </w:p>
        </w:tc>
      </w:tr>
      <w:tr w:rsidR="00737885" w:rsidRPr="007949D0" w14:paraId="25CA26D1" w14:textId="77777777" w:rsidTr="007949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738D" w14:textId="48BE224D" w:rsidR="00737885" w:rsidRPr="007949D0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sz w:val="20"/>
                <w:szCs w:val="20"/>
              </w:rPr>
            </w:pPr>
            <w:r w:rsidRPr="007949D0">
              <w:rPr>
                <w:rFonts w:asciiTheme="minorHAnsi" w:eastAsia="Batang" w:hAnsiTheme="minorHAnsi"/>
                <w:iCs/>
                <w:sz w:val="20"/>
                <w:szCs w:val="20"/>
              </w:rPr>
              <w:t xml:space="preserve">0%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A60B" w14:textId="77777777" w:rsidR="00737885" w:rsidRPr="007949D0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sz w:val="20"/>
                <w:szCs w:val="20"/>
              </w:rPr>
            </w:pPr>
            <w:r w:rsidRPr="007949D0">
              <w:rPr>
                <w:rFonts w:asciiTheme="minorHAnsi" w:eastAsia="Batang" w:hAnsiTheme="minorHAnsi"/>
                <w:iCs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A1DA" w14:textId="77777777" w:rsidR="00737885" w:rsidRPr="007949D0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sz w:val="20"/>
                <w:szCs w:val="20"/>
              </w:rPr>
            </w:pPr>
            <w:r w:rsidRPr="007949D0">
              <w:rPr>
                <w:rFonts w:asciiTheme="minorHAnsi" w:eastAsia="Batang" w:hAnsiTheme="minorHAnsi"/>
                <w:iCs/>
                <w:sz w:val="20"/>
                <w:szCs w:val="20"/>
              </w:rPr>
              <w:t>Partial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0855" w14:textId="77777777" w:rsidR="00737885" w:rsidRPr="007949D0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sz w:val="20"/>
                <w:szCs w:val="20"/>
              </w:rPr>
            </w:pPr>
            <w:r w:rsidRPr="007949D0">
              <w:rPr>
                <w:rFonts w:asciiTheme="minorHAnsi" w:eastAsia="Batang" w:hAnsiTheme="minorHAnsi"/>
                <w:iCs/>
                <w:sz w:val="20"/>
                <w:szCs w:val="20"/>
              </w:rPr>
              <w:t>No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67B6" w14:textId="77777777" w:rsidR="00737885" w:rsidRPr="007949D0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sz w:val="20"/>
                <w:szCs w:val="20"/>
              </w:rPr>
            </w:pPr>
            <w:r w:rsidRPr="007949D0">
              <w:rPr>
                <w:rFonts w:asciiTheme="minorHAnsi" w:eastAsia="Batang" w:hAnsiTheme="minorHAnsi"/>
                <w:iCs/>
                <w:sz w:val="20"/>
                <w:szCs w:val="20"/>
              </w:rPr>
              <w:t>No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B238" w14:textId="77777777" w:rsidR="00737885" w:rsidRPr="007949D0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sz w:val="20"/>
                <w:szCs w:val="20"/>
              </w:rPr>
            </w:pPr>
            <w:r w:rsidRPr="007949D0">
              <w:rPr>
                <w:rFonts w:asciiTheme="minorHAnsi" w:eastAsia="Batang" w:hAnsiTheme="minorHAnsi"/>
                <w:iCs/>
                <w:sz w:val="20"/>
                <w:szCs w:val="20"/>
              </w:rPr>
              <w:t>No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E6FC" w14:textId="77777777" w:rsidR="00737885" w:rsidRPr="007949D0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sz w:val="20"/>
                <w:szCs w:val="20"/>
              </w:rPr>
            </w:pPr>
            <w:r w:rsidRPr="007949D0">
              <w:rPr>
                <w:rFonts w:asciiTheme="minorHAnsi" w:eastAsia="Batang" w:hAnsiTheme="minorHAnsi"/>
                <w:iCs/>
                <w:sz w:val="20"/>
                <w:szCs w:val="20"/>
              </w:rPr>
              <w:t>No</w:t>
            </w:r>
          </w:p>
        </w:tc>
      </w:tr>
      <w:tr w:rsidR="00737885" w:rsidRPr="007949D0" w14:paraId="0B13D406" w14:textId="77777777" w:rsidTr="007949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EE86" w14:textId="77777777" w:rsidR="00737885" w:rsidRPr="007949D0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sz w:val="20"/>
                <w:szCs w:val="20"/>
              </w:rPr>
            </w:pPr>
            <w:r w:rsidRPr="007949D0">
              <w:rPr>
                <w:rFonts w:asciiTheme="minorHAnsi" w:eastAsia="Batang" w:hAnsiTheme="minorHAnsi"/>
                <w:iCs/>
                <w:sz w:val="20"/>
                <w:szCs w:val="20"/>
              </w:rPr>
              <w:t>4.1%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7946" w14:textId="77777777" w:rsidR="00737885" w:rsidRPr="007949D0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sz w:val="20"/>
                <w:szCs w:val="20"/>
              </w:rPr>
            </w:pPr>
            <w:r w:rsidRPr="007949D0">
              <w:rPr>
                <w:rFonts w:asciiTheme="minorHAnsi" w:eastAsia="Batang" w:hAnsiTheme="minorHAnsi"/>
                <w:iCs/>
                <w:sz w:val="20"/>
                <w:szCs w:val="20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502B" w14:textId="77777777" w:rsidR="00737885" w:rsidRPr="007949D0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sz w:val="20"/>
                <w:szCs w:val="20"/>
              </w:rPr>
            </w:pPr>
            <w:r w:rsidRPr="007949D0">
              <w:rPr>
                <w:rFonts w:asciiTheme="minorHAnsi" w:eastAsia="Batang" w:hAnsiTheme="minorHAnsi"/>
                <w:iCs/>
                <w:sz w:val="20"/>
                <w:szCs w:val="20"/>
              </w:rPr>
              <w:t>Partial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3E04" w14:textId="77777777" w:rsidR="00737885" w:rsidRPr="007949D0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sz w:val="20"/>
                <w:szCs w:val="20"/>
              </w:rPr>
            </w:pPr>
            <w:r w:rsidRPr="007949D0">
              <w:rPr>
                <w:rFonts w:asciiTheme="minorHAnsi" w:eastAsia="Batang" w:hAnsiTheme="minorHAnsi"/>
                <w:iCs/>
                <w:sz w:val="20"/>
                <w:szCs w:val="20"/>
              </w:rPr>
              <w:t>Yes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E25E" w14:textId="77777777" w:rsidR="00737885" w:rsidRPr="007949D0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sz w:val="20"/>
                <w:szCs w:val="20"/>
              </w:rPr>
            </w:pPr>
            <w:r w:rsidRPr="007949D0">
              <w:rPr>
                <w:rFonts w:asciiTheme="minorHAnsi" w:eastAsia="Batang" w:hAnsiTheme="minorHAnsi"/>
                <w:iCs/>
                <w:sz w:val="20"/>
                <w:szCs w:val="20"/>
              </w:rPr>
              <w:t>Yes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EB7E" w14:textId="77777777" w:rsidR="00737885" w:rsidRPr="007949D0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sz w:val="20"/>
                <w:szCs w:val="20"/>
              </w:rPr>
            </w:pPr>
            <w:r w:rsidRPr="007949D0">
              <w:rPr>
                <w:rFonts w:asciiTheme="minorHAnsi" w:eastAsia="Batang" w:hAnsiTheme="minorHAnsi"/>
                <w:iCs/>
                <w:sz w:val="20"/>
                <w:szCs w:val="20"/>
              </w:rPr>
              <w:t>No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1539" w14:textId="77777777" w:rsidR="00737885" w:rsidRPr="007949D0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sz w:val="20"/>
                <w:szCs w:val="20"/>
              </w:rPr>
            </w:pPr>
            <w:r w:rsidRPr="007949D0">
              <w:rPr>
                <w:rFonts w:asciiTheme="minorHAnsi" w:eastAsia="Batang" w:hAnsiTheme="minorHAnsi"/>
                <w:iCs/>
                <w:sz w:val="20"/>
                <w:szCs w:val="20"/>
              </w:rPr>
              <w:t>No</w:t>
            </w:r>
          </w:p>
        </w:tc>
      </w:tr>
      <w:tr w:rsidR="00737885" w:rsidRPr="007949D0" w14:paraId="1B0463BE" w14:textId="77777777" w:rsidTr="007949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9305" w14:textId="77777777" w:rsidR="00737885" w:rsidRPr="007949D0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sz w:val="20"/>
                <w:szCs w:val="20"/>
              </w:rPr>
            </w:pPr>
            <w:r w:rsidRPr="007949D0">
              <w:rPr>
                <w:rFonts w:asciiTheme="minorHAnsi" w:eastAsia="Batang" w:hAnsiTheme="minorHAnsi"/>
                <w:iCs/>
                <w:sz w:val="20"/>
                <w:szCs w:val="20"/>
              </w:rPr>
              <w:t>9.6%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E591" w14:textId="77777777" w:rsidR="00737885" w:rsidRPr="007949D0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sz w:val="20"/>
                <w:szCs w:val="20"/>
              </w:rPr>
            </w:pPr>
            <w:r w:rsidRPr="007949D0">
              <w:rPr>
                <w:rFonts w:asciiTheme="minorHAnsi" w:eastAsia="Batang" w:hAnsiTheme="minorHAnsi"/>
                <w:iCs/>
                <w:sz w:val="20"/>
                <w:szCs w:val="20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8DD74" w14:textId="77777777" w:rsidR="00737885" w:rsidRPr="007949D0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sz w:val="20"/>
                <w:szCs w:val="20"/>
              </w:rPr>
            </w:pPr>
            <w:r w:rsidRPr="007949D0">
              <w:rPr>
                <w:rFonts w:asciiTheme="minorHAnsi" w:eastAsia="Batang" w:hAnsiTheme="minorHAnsi"/>
                <w:iCs/>
                <w:sz w:val="20"/>
                <w:szCs w:val="20"/>
              </w:rPr>
              <w:t>Full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916B" w14:textId="77777777" w:rsidR="00737885" w:rsidRPr="007949D0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sz w:val="20"/>
                <w:szCs w:val="20"/>
              </w:rPr>
            </w:pPr>
            <w:r w:rsidRPr="007949D0">
              <w:rPr>
                <w:rFonts w:asciiTheme="minorHAnsi" w:eastAsia="Batang" w:hAnsiTheme="minorHAnsi"/>
                <w:iCs/>
                <w:sz w:val="20"/>
                <w:szCs w:val="20"/>
              </w:rPr>
              <w:t>Yes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8D63" w14:textId="77777777" w:rsidR="00737885" w:rsidRPr="007949D0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sz w:val="20"/>
                <w:szCs w:val="20"/>
              </w:rPr>
            </w:pPr>
            <w:r w:rsidRPr="007949D0">
              <w:rPr>
                <w:rFonts w:asciiTheme="minorHAnsi" w:eastAsia="Batang" w:hAnsiTheme="minorHAnsi"/>
                <w:iCs/>
                <w:sz w:val="20"/>
                <w:szCs w:val="20"/>
              </w:rPr>
              <w:t>Yes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EECC" w14:textId="77777777" w:rsidR="00737885" w:rsidRPr="007949D0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sz w:val="20"/>
                <w:szCs w:val="20"/>
              </w:rPr>
            </w:pPr>
            <w:r w:rsidRPr="007949D0">
              <w:rPr>
                <w:rFonts w:asciiTheme="minorHAnsi" w:eastAsia="Batang" w:hAnsiTheme="minorHAnsi"/>
                <w:iCs/>
                <w:sz w:val="20"/>
                <w:szCs w:val="20"/>
              </w:rPr>
              <w:t>No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EE3E" w14:textId="77777777" w:rsidR="00737885" w:rsidRPr="007949D0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sz w:val="20"/>
                <w:szCs w:val="20"/>
              </w:rPr>
            </w:pPr>
            <w:r w:rsidRPr="007949D0">
              <w:rPr>
                <w:rFonts w:asciiTheme="minorHAnsi" w:eastAsia="Batang" w:hAnsiTheme="minorHAnsi"/>
                <w:iCs/>
                <w:sz w:val="20"/>
                <w:szCs w:val="20"/>
              </w:rPr>
              <w:t>No</w:t>
            </w:r>
          </w:p>
        </w:tc>
      </w:tr>
      <w:tr w:rsidR="00737885" w:rsidRPr="007949D0" w14:paraId="1980FB95" w14:textId="77777777" w:rsidTr="007949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31BD" w14:textId="77777777" w:rsidR="00737885" w:rsidRPr="007949D0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sz w:val="20"/>
                <w:szCs w:val="20"/>
              </w:rPr>
            </w:pPr>
            <w:r w:rsidRPr="007949D0">
              <w:rPr>
                <w:rFonts w:asciiTheme="minorHAnsi" w:eastAsia="Batang" w:hAnsiTheme="minorHAnsi"/>
                <w:iCs/>
                <w:sz w:val="20"/>
                <w:szCs w:val="20"/>
              </w:rPr>
              <w:t>11.3%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EA19" w14:textId="77777777" w:rsidR="00737885" w:rsidRPr="007949D0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sz w:val="20"/>
                <w:szCs w:val="20"/>
              </w:rPr>
            </w:pPr>
            <w:r w:rsidRPr="007949D0">
              <w:rPr>
                <w:rFonts w:asciiTheme="minorHAnsi" w:eastAsia="Batang" w:hAnsiTheme="minorHAnsi"/>
                <w:iCs/>
                <w:sz w:val="20"/>
                <w:szCs w:val="20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BFC0" w14:textId="77777777" w:rsidR="00737885" w:rsidRPr="007949D0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sz w:val="20"/>
                <w:szCs w:val="20"/>
              </w:rPr>
            </w:pPr>
            <w:r w:rsidRPr="007949D0">
              <w:rPr>
                <w:rFonts w:asciiTheme="minorHAnsi" w:eastAsia="Batang" w:hAnsiTheme="minorHAnsi"/>
                <w:iCs/>
                <w:sz w:val="20"/>
                <w:szCs w:val="20"/>
              </w:rPr>
              <w:t>Full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F1E0" w14:textId="77777777" w:rsidR="00737885" w:rsidRPr="007949D0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sz w:val="20"/>
                <w:szCs w:val="20"/>
              </w:rPr>
            </w:pPr>
            <w:r w:rsidRPr="007949D0">
              <w:rPr>
                <w:rFonts w:asciiTheme="minorHAnsi" w:eastAsia="Batang" w:hAnsiTheme="minorHAnsi"/>
                <w:iCs/>
                <w:sz w:val="20"/>
                <w:szCs w:val="20"/>
              </w:rPr>
              <w:t>Yes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295E" w14:textId="77777777" w:rsidR="00737885" w:rsidRPr="007949D0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sz w:val="20"/>
                <w:szCs w:val="20"/>
              </w:rPr>
            </w:pPr>
            <w:r w:rsidRPr="007949D0">
              <w:rPr>
                <w:rFonts w:asciiTheme="minorHAnsi" w:eastAsia="Batang" w:hAnsiTheme="minorHAnsi"/>
                <w:iCs/>
                <w:sz w:val="20"/>
                <w:szCs w:val="20"/>
              </w:rPr>
              <w:t>Yes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D2E5" w14:textId="77777777" w:rsidR="00737885" w:rsidRPr="007949D0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sz w:val="20"/>
                <w:szCs w:val="20"/>
              </w:rPr>
            </w:pPr>
            <w:r w:rsidRPr="007949D0">
              <w:rPr>
                <w:rFonts w:asciiTheme="minorHAnsi" w:eastAsia="Batang" w:hAnsiTheme="minorHAnsi"/>
                <w:iCs/>
                <w:sz w:val="20"/>
                <w:szCs w:val="20"/>
              </w:rPr>
              <w:t>Yes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4333" w14:textId="77777777" w:rsidR="00737885" w:rsidRPr="007949D0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sz w:val="20"/>
                <w:szCs w:val="20"/>
              </w:rPr>
            </w:pPr>
            <w:r w:rsidRPr="007949D0">
              <w:rPr>
                <w:rFonts w:asciiTheme="minorHAnsi" w:eastAsia="Batang" w:hAnsiTheme="minorHAnsi"/>
                <w:iCs/>
                <w:sz w:val="20"/>
                <w:szCs w:val="20"/>
              </w:rPr>
              <w:t>Yes</w:t>
            </w:r>
          </w:p>
        </w:tc>
      </w:tr>
    </w:tbl>
    <w:p w14:paraId="5FD2B1FA" w14:textId="044046F1" w:rsidR="007D3628" w:rsidRPr="00737885" w:rsidRDefault="007D3628" w:rsidP="007949D0">
      <w:pPr>
        <w:pStyle w:val="MGfulltext"/>
        <w:spacing w:after="0"/>
        <w:rPr>
          <w:rFonts w:asciiTheme="minorHAnsi" w:eastAsia="Batang" w:hAnsiTheme="minorHAnsi" w:cs="Times New Roman"/>
          <w:sz w:val="22"/>
          <w:szCs w:val="22"/>
        </w:rPr>
      </w:pPr>
    </w:p>
    <w:p w14:paraId="6CEEBBDF" w14:textId="77777777" w:rsidR="00327DFA" w:rsidRPr="00327DFA" w:rsidRDefault="00327DFA" w:rsidP="007949D0">
      <w:pPr>
        <w:rPr>
          <w:rFonts w:asciiTheme="minorHAnsi" w:eastAsia="Batang" w:hAnsiTheme="minorHAnsi"/>
          <w:color w:val="000000"/>
          <w:lang w:eastAsia="ko-KR"/>
        </w:rPr>
      </w:pPr>
    </w:p>
    <w:p w14:paraId="1C3E0261" w14:textId="2EE00F5F" w:rsidR="006C4772" w:rsidRDefault="007949D0" w:rsidP="007949D0">
      <w:pPr>
        <w:rPr>
          <w:rFonts w:asciiTheme="minorHAnsi" w:eastAsia="Batang" w:hAnsiTheme="minorHAnsi"/>
          <w:bCs/>
          <w:lang w:eastAsia="ko-KR"/>
        </w:rPr>
      </w:pPr>
      <w:r>
        <w:rPr>
          <w:rFonts w:asciiTheme="minorHAnsi" w:eastAsia="Batang" w:hAnsiTheme="minorHAnsi"/>
          <w:color w:val="000000"/>
          <w:lang w:eastAsia="ko-KR"/>
        </w:rPr>
        <w:t>11</w:t>
      </w:r>
      <w:r w:rsidR="00327DFA">
        <w:rPr>
          <w:rFonts w:asciiTheme="minorHAnsi" w:eastAsia="Batang" w:hAnsiTheme="minorHAnsi"/>
          <w:color w:val="000000"/>
          <w:lang w:eastAsia="ko-KR"/>
        </w:rPr>
        <w:t>.</w:t>
      </w:r>
      <w:r w:rsidR="00327DFA">
        <w:rPr>
          <w:rFonts w:asciiTheme="minorHAnsi" w:eastAsia="Batang" w:hAnsiTheme="minorHAnsi"/>
          <w:color w:val="000000"/>
          <w:lang w:eastAsia="ko-KR"/>
        </w:rPr>
        <w:tab/>
      </w:r>
      <w:r w:rsidR="003849AD" w:rsidRPr="00327DFA">
        <w:rPr>
          <w:rFonts w:asciiTheme="minorHAnsi" w:eastAsia="Batang" w:hAnsiTheme="minorHAnsi"/>
          <w:color w:val="000000"/>
          <w:lang w:eastAsia="ko-KR"/>
        </w:rPr>
        <w:t xml:space="preserve">The core budget details </w:t>
      </w:r>
      <w:r w:rsidR="00673C6A">
        <w:rPr>
          <w:rFonts w:asciiTheme="minorHAnsi" w:eastAsia="Batang" w:hAnsiTheme="minorHAnsi"/>
          <w:color w:val="000000"/>
          <w:lang w:eastAsia="ko-KR"/>
        </w:rPr>
        <w:t>for each</w:t>
      </w:r>
      <w:r w:rsidR="003849AD" w:rsidRPr="00327DFA">
        <w:rPr>
          <w:rFonts w:asciiTheme="minorHAnsi" w:eastAsia="Batang" w:hAnsiTheme="minorHAnsi"/>
          <w:color w:val="000000"/>
          <w:lang w:eastAsia="ko-KR"/>
        </w:rPr>
        <w:t xml:space="preserve"> department </w:t>
      </w:r>
      <w:r w:rsidR="00673C6A">
        <w:rPr>
          <w:rFonts w:asciiTheme="minorHAnsi" w:eastAsia="Batang" w:hAnsiTheme="minorHAnsi"/>
          <w:color w:val="000000"/>
          <w:lang w:eastAsia="ko-KR"/>
        </w:rPr>
        <w:t>or</w:t>
      </w:r>
      <w:r w:rsidR="003849AD" w:rsidRPr="00327DFA">
        <w:rPr>
          <w:rFonts w:asciiTheme="minorHAnsi" w:eastAsia="Batang" w:hAnsiTheme="minorHAnsi"/>
          <w:color w:val="000000"/>
          <w:lang w:eastAsia="ko-KR"/>
        </w:rPr>
        <w:t xml:space="preserve"> category have been retained to help Contracting Parties </w:t>
      </w:r>
      <w:r w:rsidR="00EB2CA8">
        <w:rPr>
          <w:rFonts w:asciiTheme="minorHAnsi" w:eastAsia="Batang" w:hAnsiTheme="minorHAnsi"/>
          <w:color w:val="000000"/>
          <w:lang w:eastAsia="ko-KR"/>
        </w:rPr>
        <w:t>understand</w:t>
      </w:r>
      <w:r w:rsidR="00EB2CA8" w:rsidRPr="00327DFA">
        <w:rPr>
          <w:rFonts w:asciiTheme="minorHAnsi" w:eastAsia="Batang" w:hAnsiTheme="minorHAnsi"/>
          <w:color w:val="000000"/>
          <w:lang w:eastAsia="ko-KR"/>
        </w:rPr>
        <w:t xml:space="preserve"> </w:t>
      </w:r>
      <w:r w:rsidR="00EB2CA8">
        <w:rPr>
          <w:rFonts w:asciiTheme="minorHAnsi" w:eastAsia="Batang" w:hAnsiTheme="minorHAnsi"/>
          <w:color w:val="000000"/>
          <w:lang w:eastAsia="ko-KR"/>
        </w:rPr>
        <w:t xml:space="preserve">in detail </w:t>
      </w:r>
      <w:r w:rsidR="003849AD" w:rsidRPr="00327DFA">
        <w:rPr>
          <w:rFonts w:asciiTheme="minorHAnsi" w:eastAsia="Batang" w:hAnsiTheme="minorHAnsi"/>
          <w:color w:val="000000"/>
          <w:lang w:eastAsia="ko-KR"/>
        </w:rPr>
        <w:t xml:space="preserve">how their contributions will be </w:t>
      </w:r>
      <w:r w:rsidR="004D3710">
        <w:rPr>
          <w:rFonts w:asciiTheme="minorHAnsi" w:eastAsia="Batang" w:hAnsiTheme="minorHAnsi"/>
          <w:color w:val="000000"/>
          <w:lang w:eastAsia="ko-KR"/>
        </w:rPr>
        <w:t>utilized</w:t>
      </w:r>
      <w:r w:rsidR="00673C6A">
        <w:rPr>
          <w:rFonts w:asciiTheme="minorHAnsi" w:eastAsia="Batang" w:hAnsiTheme="minorHAnsi"/>
          <w:color w:val="000000"/>
          <w:lang w:eastAsia="ko-KR"/>
        </w:rPr>
        <w:t>.</w:t>
      </w:r>
      <w:r w:rsidR="003849AD" w:rsidRPr="00327DFA">
        <w:rPr>
          <w:rFonts w:asciiTheme="minorHAnsi" w:eastAsia="Batang" w:hAnsiTheme="minorHAnsi"/>
          <w:color w:val="000000"/>
          <w:lang w:eastAsia="ko-KR"/>
        </w:rPr>
        <w:t xml:space="preserve"> </w:t>
      </w:r>
      <w:r w:rsidR="00673C6A">
        <w:rPr>
          <w:rFonts w:asciiTheme="minorHAnsi" w:eastAsia="Batang" w:hAnsiTheme="minorHAnsi"/>
          <w:color w:val="000000"/>
          <w:lang w:eastAsia="ko-KR"/>
        </w:rPr>
        <w:t>T</w:t>
      </w:r>
      <w:r w:rsidR="003849AD" w:rsidRPr="00327DFA">
        <w:rPr>
          <w:rFonts w:asciiTheme="minorHAnsi" w:eastAsia="Batang" w:hAnsiTheme="minorHAnsi"/>
          <w:color w:val="000000"/>
          <w:lang w:eastAsia="ko-KR"/>
        </w:rPr>
        <w:t>hese details will be removed in the final resolution</w:t>
      </w:r>
      <w:r w:rsidR="00673C6A">
        <w:rPr>
          <w:rFonts w:asciiTheme="minorHAnsi" w:eastAsia="Batang" w:hAnsiTheme="minorHAnsi"/>
          <w:color w:val="000000"/>
          <w:lang w:eastAsia="ko-KR"/>
        </w:rPr>
        <w:t xml:space="preserve"> to be</w:t>
      </w:r>
      <w:r w:rsidR="003849AD" w:rsidRPr="00327DFA">
        <w:rPr>
          <w:rFonts w:asciiTheme="minorHAnsi" w:eastAsia="Batang" w:hAnsiTheme="minorHAnsi"/>
          <w:color w:val="000000"/>
          <w:lang w:eastAsia="ko-KR"/>
        </w:rPr>
        <w:t xml:space="preserve"> adopted </w:t>
      </w:r>
      <w:r w:rsidR="00673C6A">
        <w:rPr>
          <w:rFonts w:asciiTheme="minorHAnsi" w:eastAsia="Batang" w:hAnsiTheme="minorHAnsi"/>
          <w:color w:val="000000"/>
          <w:lang w:eastAsia="ko-KR"/>
        </w:rPr>
        <w:t xml:space="preserve">at </w:t>
      </w:r>
      <w:r w:rsidR="00737885" w:rsidRPr="00327DFA">
        <w:rPr>
          <w:rFonts w:asciiTheme="minorHAnsi" w:eastAsia="Batang" w:hAnsiTheme="minorHAnsi"/>
          <w:color w:val="000000"/>
          <w:lang w:eastAsia="ko-KR"/>
        </w:rPr>
        <w:t>COP1</w:t>
      </w:r>
      <w:r w:rsidR="00737885">
        <w:rPr>
          <w:rFonts w:asciiTheme="minorHAnsi" w:eastAsia="Batang" w:hAnsiTheme="minorHAnsi"/>
          <w:color w:val="000000"/>
          <w:lang w:eastAsia="ko-KR"/>
        </w:rPr>
        <w:t>5</w:t>
      </w:r>
      <w:r w:rsidR="003849AD" w:rsidRPr="00327DFA">
        <w:rPr>
          <w:rFonts w:asciiTheme="minorHAnsi" w:eastAsia="Batang" w:hAnsiTheme="minorHAnsi"/>
          <w:color w:val="000000"/>
          <w:lang w:eastAsia="ko-KR"/>
        </w:rPr>
        <w:t xml:space="preserve">, following </w:t>
      </w:r>
      <w:r w:rsidR="00673C6A">
        <w:rPr>
          <w:rFonts w:asciiTheme="minorHAnsi" w:eastAsia="Batang" w:hAnsiTheme="minorHAnsi"/>
          <w:color w:val="000000"/>
          <w:lang w:eastAsia="ko-KR"/>
        </w:rPr>
        <w:t>the</w:t>
      </w:r>
      <w:r w:rsidR="000E265D" w:rsidRPr="00327DFA">
        <w:rPr>
          <w:rFonts w:asciiTheme="minorHAnsi" w:eastAsia="Batang" w:hAnsiTheme="minorHAnsi"/>
          <w:color w:val="000000"/>
          <w:lang w:eastAsia="ko-KR"/>
        </w:rPr>
        <w:t xml:space="preserve"> </w:t>
      </w:r>
      <w:r w:rsidR="003849AD" w:rsidRPr="00327DFA">
        <w:rPr>
          <w:rFonts w:asciiTheme="minorHAnsi" w:eastAsia="Batang" w:hAnsiTheme="minorHAnsi"/>
          <w:color w:val="000000"/>
          <w:lang w:eastAsia="ko-KR"/>
        </w:rPr>
        <w:t xml:space="preserve">practice in </w:t>
      </w:r>
      <w:r w:rsidR="00673C6A">
        <w:rPr>
          <w:rFonts w:asciiTheme="minorHAnsi" w:eastAsia="Batang" w:hAnsiTheme="minorHAnsi"/>
          <w:color w:val="000000"/>
          <w:lang w:eastAsia="ko-KR"/>
        </w:rPr>
        <w:t>previous</w:t>
      </w:r>
      <w:r w:rsidR="003849AD" w:rsidRPr="00327DFA">
        <w:rPr>
          <w:rFonts w:asciiTheme="minorHAnsi" w:eastAsia="Batang" w:hAnsiTheme="minorHAnsi"/>
          <w:color w:val="000000"/>
          <w:lang w:eastAsia="ko-KR"/>
        </w:rPr>
        <w:t xml:space="preserve"> COPs.</w:t>
      </w:r>
    </w:p>
    <w:p w14:paraId="1449D528" w14:textId="77777777" w:rsidR="006C4772" w:rsidRDefault="006C4772" w:rsidP="007949D0">
      <w:pPr>
        <w:rPr>
          <w:rFonts w:asciiTheme="minorHAnsi" w:eastAsia="Batang" w:hAnsiTheme="minorHAnsi"/>
          <w:bCs/>
          <w:lang w:eastAsia="ko-KR"/>
        </w:rPr>
      </w:pPr>
      <w:r>
        <w:rPr>
          <w:rFonts w:asciiTheme="minorHAnsi" w:eastAsia="Batang" w:hAnsiTheme="minorHAnsi"/>
          <w:bCs/>
          <w:lang w:eastAsia="ko-KR"/>
        </w:rPr>
        <w:br w:type="page"/>
      </w:r>
    </w:p>
    <w:p w14:paraId="530D17AC" w14:textId="77777777" w:rsidR="00F21A80" w:rsidRPr="00F21A80" w:rsidRDefault="00F21A80" w:rsidP="007949D0">
      <w:pPr>
        <w:pStyle w:val="ListParagraph"/>
        <w:ind w:left="0" w:firstLine="0"/>
        <w:contextualSpacing w:val="0"/>
        <w:rPr>
          <w:rFonts w:cs="Arial"/>
          <w:b/>
          <w:sz w:val="24"/>
          <w:szCs w:val="24"/>
        </w:rPr>
      </w:pPr>
      <w:r w:rsidRPr="001D42CA">
        <w:rPr>
          <w:rFonts w:cs="Arial"/>
          <w:b/>
          <w:sz w:val="24"/>
          <w:szCs w:val="24"/>
        </w:rPr>
        <w:lastRenderedPageBreak/>
        <w:t>Annex 1</w:t>
      </w:r>
    </w:p>
    <w:p w14:paraId="3F67EB31" w14:textId="1A25225E" w:rsidR="00F21A80" w:rsidRDefault="00F21A80" w:rsidP="007949D0">
      <w:pPr>
        <w:ind w:left="0" w:firstLine="0"/>
        <w:rPr>
          <w:rFonts w:asciiTheme="minorHAnsi" w:hAnsiTheme="minorHAnsi"/>
          <w:b/>
          <w:bCs/>
          <w:sz w:val="24"/>
          <w:szCs w:val="24"/>
          <w:lang w:eastAsia="en-GB"/>
        </w:rPr>
      </w:pPr>
      <w:r w:rsidRPr="001D42CA">
        <w:rPr>
          <w:rFonts w:asciiTheme="minorHAnsi" w:hAnsiTheme="minorHAnsi"/>
          <w:b/>
          <w:bCs/>
          <w:sz w:val="24"/>
          <w:szCs w:val="24"/>
          <w:lang w:eastAsia="en-GB"/>
        </w:rPr>
        <w:t>S</w:t>
      </w:r>
      <w:r>
        <w:rPr>
          <w:rFonts w:asciiTheme="minorHAnsi" w:hAnsiTheme="minorHAnsi"/>
          <w:b/>
          <w:bCs/>
          <w:sz w:val="24"/>
          <w:szCs w:val="24"/>
          <w:lang w:eastAsia="en-GB"/>
        </w:rPr>
        <w:t xml:space="preserve">ummary of </w:t>
      </w:r>
      <w:r w:rsidR="005704AB">
        <w:rPr>
          <w:rFonts w:asciiTheme="minorHAnsi" w:hAnsiTheme="minorHAnsi"/>
          <w:b/>
          <w:bCs/>
          <w:sz w:val="24"/>
          <w:szCs w:val="24"/>
          <w:lang w:eastAsia="en-GB"/>
        </w:rPr>
        <w:t>2023-2024</w:t>
      </w:r>
      <w:r w:rsidR="00AC600F">
        <w:rPr>
          <w:rFonts w:asciiTheme="minorHAnsi" w:hAnsiTheme="minorHAnsi"/>
          <w:b/>
          <w:bCs/>
          <w:sz w:val="24"/>
          <w:szCs w:val="24"/>
          <w:lang w:eastAsia="en-GB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  <w:lang w:eastAsia="en-GB"/>
        </w:rPr>
        <w:t xml:space="preserve">financial core budget results and </w:t>
      </w:r>
      <w:r w:rsidR="005704AB">
        <w:rPr>
          <w:rFonts w:asciiTheme="minorHAnsi" w:hAnsiTheme="minorHAnsi"/>
          <w:b/>
          <w:bCs/>
          <w:sz w:val="24"/>
          <w:szCs w:val="24"/>
          <w:lang w:eastAsia="en-GB"/>
        </w:rPr>
        <w:t xml:space="preserve">2025 </w:t>
      </w:r>
      <w:r>
        <w:rPr>
          <w:rFonts w:asciiTheme="minorHAnsi" w:hAnsiTheme="minorHAnsi"/>
          <w:b/>
          <w:bCs/>
          <w:sz w:val="24"/>
          <w:szCs w:val="24"/>
          <w:lang w:eastAsia="en-GB"/>
        </w:rPr>
        <w:t>approved budget</w:t>
      </w:r>
    </w:p>
    <w:p w14:paraId="1B041B2E" w14:textId="77777777" w:rsidR="00FE0683" w:rsidRDefault="00FE0683" w:rsidP="007949D0">
      <w:pPr>
        <w:ind w:left="0" w:firstLine="0"/>
        <w:rPr>
          <w:rFonts w:asciiTheme="minorHAnsi" w:eastAsia="Times New Roman" w:hAnsiTheme="minorHAnsi" w:cs="Arial"/>
          <w:bCs/>
          <w:i/>
          <w:sz w:val="20"/>
          <w:szCs w:val="20"/>
          <w:lang w:eastAsia="en-GB"/>
        </w:rPr>
      </w:pPr>
      <w:r w:rsidRPr="00861214">
        <w:rPr>
          <w:rFonts w:asciiTheme="minorHAnsi" w:eastAsia="Times New Roman" w:hAnsiTheme="minorHAnsi" w:cs="Arial"/>
          <w:bCs/>
          <w:i/>
          <w:sz w:val="20"/>
          <w:szCs w:val="20"/>
          <w:lang w:eastAsia="en-GB"/>
        </w:rPr>
        <w:t>(CHF ‘000s, includes possible rounding differences)</w:t>
      </w:r>
    </w:p>
    <w:p w14:paraId="08FE8D70" w14:textId="2884A44E" w:rsidR="002116FA" w:rsidRDefault="002116FA" w:rsidP="007949D0">
      <w:pPr>
        <w:ind w:left="0" w:firstLine="0"/>
        <w:rPr>
          <w:rFonts w:asciiTheme="minorHAnsi" w:hAnsiTheme="minorHAnsi"/>
          <w:b/>
          <w:bCs/>
          <w:sz w:val="24"/>
          <w:szCs w:val="24"/>
          <w:lang w:eastAsia="en-GB"/>
        </w:rPr>
      </w:pPr>
    </w:p>
    <w:p w14:paraId="05891D55" w14:textId="77777777" w:rsidR="007949D0" w:rsidRDefault="007949D0" w:rsidP="007949D0">
      <w:pPr>
        <w:ind w:left="0" w:firstLine="0"/>
        <w:rPr>
          <w:rFonts w:asciiTheme="minorHAnsi" w:hAnsiTheme="minorHAnsi"/>
          <w:b/>
          <w:bCs/>
          <w:sz w:val="24"/>
          <w:szCs w:val="24"/>
          <w:lang w:eastAsia="en-GB"/>
        </w:rPr>
      </w:pP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85"/>
        <w:gridCol w:w="1131"/>
        <w:gridCol w:w="1027"/>
        <w:gridCol w:w="1095"/>
        <w:gridCol w:w="1134"/>
        <w:gridCol w:w="1134"/>
        <w:gridCol w:w="1134"/>
      </w:tblGrid>
      <w:tr w:rsidR="0060177F" w:rsidRPr="003D145E" w14:paraId="213528BE" w14:textId="77777777" w:rsidTr="007949D0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3104F3C" w14:textId="3F3668EF" w:rsidR="0060177F" w:rsidRPr="002866BB" w:rsidRDefault="0060177F" w:rsidP="007949D0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2866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Triennium Core Budget</w:t>
            </w:r>
            <w:r w:rsidRPr="002866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br/>
              <w:t>20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23</w:t>
            </w:r>
            <w:r w:rsidRPr="002866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-20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25</w:t>
            </w:r>
            <w:r w:rsidRPr="002866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br/>
            </w:r>
            <w:r w:rsidRPr="002866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br/>
              <w:t>in CHF 000's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3BCA29E" w14:textId="25645FA2" w:rsidR="0060177F" w:rsidRPr="002866BB" w:rsidRDefault="0060177F" w:rsidP="007949D0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2866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 xml:space="preserve">Core Actuals </w:t>
            </w:r>
            <w:r w:rsidRPr="002866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br/>
            </w:r>
            <w:r w:rsidRPr="002866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br/>
              <w:t>20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6B73780" w14:textId="16B59648" w:rsidR="0060177F" w:rsidRPr="002866BB" w:rsidRDefault="0060177F" w:rsidP="007949D0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2866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Core Actuals</w:t>
            </w:r>
            <w:r w:rsidRPr="002866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br/>
            </w:r>
            <w:r w:rsidRPr="002866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br/>
              <w:t>20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FEFFFEC" w14:textId="4AE9BA7A" w:rsidR="0060177F" w:rsidRDefault="0060177F" w:rsidP="007949D0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2866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Core</w:t>
            </w:r>
          </w:p>
          <w:p w14:paraId="6DD91ADD" w14:textId="3F1EB56B" w:rsidR="0060177F" w:rsidRPr="002866BB" w:rsidRDefault="0060177F" w:rsidP="007949D0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Budget</w:t>
            </w:r>
            <w:r w:rsidRPr="002866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br/>
            </w:r>
            <w:r w:rsidRPr="002866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br/>
              <w:t>202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FF928CC" w14:textId="5B87B39D" w:rsidR="0060177F" w:rsidRPr="002866BB" w:rsidRDefault="0060177F" w:rsidP="007949D0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2866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 xml:space="preserve">Total Actuals </w:t>
            </w:r>
            <w:r w:rsidRPr="002866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br/>
            </w:r>
            <w:r w:rsidRPr="002866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br/>
              <w:t>20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23</w:t>
            </w:r>
            <w:r w:rsidRPr="002866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-20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9EEDBA" w14:textId="4F9E8FBA" w:rsidR="0060177F" w:rsidRPr="002866BB" w:rsidRDefault="0060177F" w:rsidP="007949D0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2866BB">
              <w:rPr>
                <w:rFonts w:asciiTheme="minorHAnsi" w:eastAsia="Times New Roman" w:hAnsiTheme="minorHAnsi" w:cstheme="minorHAnsi"/>
                <w:b/>
                <w:bCs/>
                <w:spacing w:val="-6"/>
                <w:sz w:val="20"/>
                <w:szCs w:val="20"/>
                <w:lang w:eastAsia="en-GB"/>
              </w:rPr>
              <w:t>COP1</w:t>
            </w:r>
            <w:r>
              <w:rPr>
                <w:rFonts w:asciiTheme="minorHAnsi" w:eastAsia="Times New Roman" w:hAnsiTheme="minorHAnsi" w:cstheme="minorHAnsi"/>
                <w:b/>
                <w:bCs/>
                <w:spacing w:val="-6"/>
                <w:sz w:val="20"/>
                <w:szCs w:val="20"/>
                <w:lang w:eastAsia="en-GB"/>
              </w:rPr>
              <w:t>4</w:t>
            </w:r>
            <w:r w:rsidRPr="002866BB">
              <w:rPr>
                <w:rFonts w:asciiTheme="minorHAnsi" w:eastAsia="Times New Roman" w:hAnsiTheme="minorHAnsi" w:cstheme="minorHAnsi"/>
                <w:b/>
                <w:bCs/>
                <w:spacing w:val="-6"/>
                <w:sz w:val="20"/>
                <w:szCs w:val="20"/>
                <w:lang w:eastAsia="en-GB"/>
              </w:rPr>
              <w:t xml:space="preserve"> </w:t>
            </w:r>
            <w:r w:rsidRPr="002866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approved budget</w:t>
            </w:r>
            <w:r w:rsidRPr="002866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2023</w:t>
            </w:r>
            <w:r w:rsidRPr="002866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-20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012EDAE" w14:textId="20ADD5E6" w:rsidR="0060177F" w:rsidRPr="002866BB" w:rsidRDefault="0060177F" w:rsidP="007949D0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2866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Variance - surplus / (deficit)</w:t>
            </w:r>
            <w:r w:rsidRPr="002866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br/>
              <w:t>20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23</w:t>
            </w:r>
            <w:r w:rsidRPr="002866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-20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25</w:t>
            </w:r>
          </w:p>
        </w:tc>
      </w:tr>
      <w:tr w:rsidR="0060177F" w:rsidRPr="002866BB" w14:paraId="79B67083" w14:textId="77777777" w:rsidTr="0060177F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D6AB" w14:textId="77777777" w:rsidR="0060177F" w:rsidRPr="002866BB" w:rsidRDefault="0060177F" w:rsidP="007949D0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2866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INCOME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02933" w14:textId="77777777" w:rsidR="0060177F" w:rsidRPr="002866B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866BB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96384" w14:textId="77777777" w:rsidR="0060177F" w:rsidRPr="002866B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866BB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B9E91" w14:textId="77777777" w:rsidR="0060177F" w:rsidRPr="002866B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866BB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03CD8" w14:textId="77777777" w:rsidR="0060177F" w:rsidRPr="002866B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866BB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AEF54" w14:textId="77777777" w:rsidR="0060177F" w:rsidRPr="002866B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866BB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C4095" w14:textId="77777777" w:rsidR="0060177F" w:rsidRPr="002866B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866BB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60177F" w:rsidRPr="002866BB" w14:paraId="22F7464E" w14:textId="77777777" w:rsidTr="0060177F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505E" w14:textId="77777777" w:rsidR="0060177F" w:rsidRPr="002866BB" w:rsidRDefault="0060177F" w:rsidP="007949D0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866BB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Parties’ Contributions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30CE1" w14:textId="5E166FB1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3,77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9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1C856" w14:textId="12557090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3,77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9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F78B6" w14:textId="161BCFFD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3,77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9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9AA96" w14:textId="304D1021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11,334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21C07" w14:textId="199DFBAB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11,334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A02B8" w14:textId="0F2BCA4F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0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0177F" w:rsidRPr="002866BB" w14:paraId="127E6D07" w14:textId="77777777" w:rsidTr="0060177F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E2AD" w14:textId="77777777" w:rsidR="0060177F" w:rsidRPr="002866BB" w:rsidRDefault="0060177F" w:rsidP="007949D0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866BB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Voluntary Contributions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4AD23" w14:textId="06FA942D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1,06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2EA97" w14:textId="307181EC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1,06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5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E694A" w14:textId="5607A588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1,06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5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4BCF4" w14:textId="5519F111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3,198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19690" w14:textId="7DE93DB3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3,198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9D573" w14:textId="0A70895D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60177F" w:rsidRPr="002866BB" w14:paraId="1BAFD30D" w14:textId="77777777" w:rsidTr="0060177F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6DA0" w14:textId="77777777" w:rsidR="0060177F" w:rsidRPr="002866BB" w:rsidRDefault="0060177F" w:rsidP="007949D0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866BB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Income Tax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F62ED" w14:textId="0854E800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189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2E2BC" w14:textId="2021286A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194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10876" w14:textId="24F50F71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225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2E9E8" w14:textId="099EAA13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608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43435" w14:textId="071F9D8E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675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3C7AB" w14:textId="7852593D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67</w:t>
            </w:r>
          </w:p>
        </w:tc>
      </w:tr>
      <w:tr w:rsidR="0060177F" w:rsidRPr="002866BB" w14:paraId="7608F02B" w14:textId="77777777" w:rsidTr="0060177F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4ACD" w14:textId="77777777" w:rsidR="0060177F" w:rsidRPr="002866BB" w:rsidRDefault="0060177F" w:rsidP="007949D0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866BB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Other Income (including Interest Income)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27357" w14:textId="3C54F21D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19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946A" w14:textId="2AFD7A0A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52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D8F1B" w14:textId="5E786BA7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12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6844A" w14:textId="5CA68ED7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83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DDD27" w14:textId="731B3313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36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A0BF2" w14:textId="638D9C8D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(47)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0177F" w:rsidRPr="003D145E" w14:paraId="72E2650A" w14:textId="77777777" w:rsidTr="007949D0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FF296BC" w14:textId="77777777" w:rsidR="0060177F" w:rsidRPr="002866BB" w:rsidRDefault="0060177F" w:rsidP="007949D0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2866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TOTAL INCOME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288D808B" w14:textId="21D904A9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7238F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5,0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53</w:t>
            </w:r>
            <w:r w:rsidRPr="007238F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57890A98" w14:textId="0F8FACA4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7238F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5,0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90</w:t>
            </w:r>
            <w:r w:rsidRPr="007238F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3F68489A" w14:textId="15AAB0B4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7238F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5,0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81</w:t>
            </w:r>
            <w:r w:rsidRPr="007238F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BBEE28F" w14:textId="765FA7A2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15,224</w:t>
            </w:r>
            <w:r w:rsidRPr="007238F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50671E5" w14:textId="27A36BCC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15,243</w:t>
            </w:r>
            <w:r w:rsidRPr="007238F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134C5841" w14:textId="62B22F9A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20</w:t>
            </w:r>
          </w:p>
        </w:tc>
      </w:tr>
      <w:tr w:rsidR="0060177F" w:rsidRPr="002866BB" w14:paraId="12DA545F" w14:textId="77777777" w:rsidTr="0060177F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3002" w14:textId="77777777" w:rsidR="0060177F" w:rsidRPr="002866BB" w:rsidRDefault="0060177F" w:rsidP="007949D0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2866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EXPENDITURE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DB4D6" w14:textId="77777777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F562C" w14:textId="77777777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9CD6B" w14:textId="77777777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6832B" w14:textId="77777777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2F68A" w14:textId="77777777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8F7E2" w14:textId="77777777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60177F" w:rsidRPr="002866BB" w14:paraId="3ED4AA62" w14:textId="77777777" w:rsidTr="0060177F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8DFC" w14:textId="77777777" w:rsidR="0060177F" w:rsidRPr="002866BB" w:rsidRDefault="0060177F" w:rsidP="007949D0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866BB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A.  Secretariat Senior Management and Governance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AF5B5" w14:textId="1D949985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1,122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0EF95" w14:textId="08E99315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1,281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3DDE7" w14:textId="6D023685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1,062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ED2C4" w14:textId="6E52A40A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3,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466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8618D" w14:textId="1A2D9AB6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3,169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32879" w14:textId="5A6FFDCC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(297)</w:t>
            </w:r>
          </w:p>
        </w:tc>
      </w:tr>
      <w:tr w:rsidR="0060177F" w:rsidRPr="002866BB" w14:paraId="42F77407" w14:textId="77777777" w:rsidTr="0060177F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5853" w14:textId="77777777" w:rsidR="0060177F" w:rsidRPr="002866BB" w:rsidRDefault="0060177F" w:rsidP="007949D0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866BB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B.  Resource Mobilization and Outreach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E697B" w14:textId="68D239CA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494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15AF1" w14:textId="6B1BF20F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668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A9F6D" w14:textId="7C92E15D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508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95CEF" w14:textId="25E1EB0E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1,670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EFF96" w14:textId="3206AFC0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1,524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FF142" w14:textId="5E75E11D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(146)</w:t>
            </w:r>
          </w:p>
        </w:tc>
      </w:tr>
      <w:tr w:rsidR="0060177F" w:rsidRPr="002866BB" w14:paraId="349B2800" w14:textId="77777777" w:rsidTr="0060177F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FE8C" w14:textId="77777777" w:rsidR="0060177F" w:rsidRPr="002866BB" w:rsidRDefault="0060177F" w:rsidP="007949D0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866BB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C.  Regional Advice and Support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3F7B5" w14:textId="63FFD63E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1,1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09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2B318" w14:textId="4CA6B394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109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D7F7A" w14:textId="7A2F9E28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1,316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33E83" w14:textId="62F9E581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3,534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21369" w14:textId="7CEE97D1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3,943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F8B99" w14:textId="0E2EEA86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409</w:t>
            </w:r>
          </w:p>
        </w:tc>
      </w:tr>
      <w:tr w:rsidR="0060177F" w:rsidRPr="002866BB" w14:paraId="14D34E23" w14:textId="77777777" w:rsidTr="0060177F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636A" w14:textId="77777777" w:rsidR="0060177F" w:rsidRPr="002866BB" w:rsidRDefault="0060177F" w:rsidP="007949D0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866BB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D.  Support to Regional Initiatives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4A411" w14:textId="68CAFCE3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4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6C964" w14:textId="0807B132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46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8B10F" w14:textId="1582E153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100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7EA15" w14:textId="17A3ABA1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150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C097D" w14:textId="6681D01A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300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4BC93" w14:textId="31E993AF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150</w:t>
            </w:r>
          </w:p>
        </w:tc>
      </w:tr>
      <w:tr w:rsidR="0060177F" w:rsidRPr="002866BB" w14:paraId="7574802E" w14:textId="77777777" w:rsidTr="0060177F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5C93" w14:textId="77777777" w:rsidR="0060177F" w:rsidRPr="002866BB" w:rsidRDefault="0060177F" w:rsidP="007949D0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866BB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E.  Science and Policy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12E4C" w14:textId="4E546DAD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752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9EA9B" w14:textId="31F0C7E7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939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A23B6" w14:textId="3E86E2AB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817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CDCEB" w14:textId="27977093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2,508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40F31" w14:textId="79BFED26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2,477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7B340" w14:textId="11F55E3D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(31)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0177F" w:rsidRPr="002866BB" w14:paraId="3F66FCD7" w14:textId="77777777" w:rsidTr="0060177F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4E10" w14:textId="75E43302" w:rsidR="0060177F" w:rsidRPr="002866BB" w:rsidRDefault="0060177F" w:rsidP="007949D0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F</w:t>
            </w:r>
            <w:r w:rsidRPr="002866BB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.  Administration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D7E47" w14:textId="18005E31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409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221B1" w14:textId="6B61C672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448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34A1C" w14:textId="541E34C5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478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B31E8" w14:textId="5477F91C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335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699CC" w14:textId="4CD031A7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430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72583" w14:textId="11DD29F6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95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0177F" w:rsidRPr="002866BB" w14:paraId="2E694569" w14:textId="77777777" w:rsidTr="0060177F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8D4F" w14:textId="4AE008EC" w:rsidR="0060177F" w:rsidRPr="002866BB" w:rsidRDefault="0060177F" w:rsidP="007949D0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G</w:t>
            </w:r>
            <w:r w:rsidRPr="002866BB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. Standing Committee Services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FFB4B" w14:textId="612A3732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172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86627" w14:textId="3430B7B0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238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3D464" w14:textId="3795628D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150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64AB5" w14:textId="7B5D06D9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560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CC2CA" w14:textId="3347AD2B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450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9B2B4" w14:textId="3AC9848A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(110)</w:t>
            </w:r>
          </w:p>
        </w:tc>
      </w:tr>
      <w:tr w:rsidR="0060177F" w:rsidRPr="002866BB" w14:paraId="136AC482" w14:textId="77777777" w:rsidTr="0060177F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9275" w14:textId="6BC06A09" w:rsidR="0060177F" w:rsidRPr="002866BB" w:rsidRDefault="0060177F" w:rsidP="007949D0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H</w:t>
            </w:r>
            <w:r w:rsidRPr="002866BB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.  IUCN Administrative Service Charges (maximum)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746A7" w14:textId="2B945840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40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E5EB2" w14:textId="561FF639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534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386F6" w14:textId="4F2FFD6D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541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40003" w14:textId="7A0B6199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1,615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14C67" w14:textId="442DA6D9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1,623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CF909" w14:textId="5BAC4A67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8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0177F" w:rsidRPr="002866BB" w14:paraId="7040FEE1" w14:textId="77777777" w:rsidTr="0060177F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7AD5" w14:textId="02B17878" w:rsidR="0060177F" w:rsidRPr="002866BB" w:rsidRDefault="0060177F" w:rsidP="007949D0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I</w:t>
            </w:r>
            <w:r w:rsidRPr="002866BB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.  Miscellaneous - Reserve Fund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1FB6C" w14:textId="750A55FB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457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720FF" w14:textId="455B8D9B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106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9C168" w14:textId="77777777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109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9A9F4" w14:textId="04F614FF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672</w:t>
            </w: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9CBCE" w14:textId="37FBDF17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C99B0" w14:textId="0C6B7A03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(345)</w:t>
            </w:r>
          </w:p>
        </w:tc>
      </w:tr>
      <w:tr w:rsidR="0060177F" w:rsidRPr="003D145E" w14:paraId="0FF9CFC8" w14:textId="77777777" w:rsidTr="007949D0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87EE704" w14:textId="77777777" w:rsidR="0060177F" w:rsidRPr="002866BB" w:rsidRDefault="0060177F" w:rsidP="007949D0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2866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TOTAL EXPENDITURE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7713FE0" w14:textId="28916A02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5,059</w:t>
            </w:r>
            <w:r w:rsidRPr="007238F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1EAC296D" w14:textId="603DF723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5,370</w:t>
            </w:r>
            <w:r w:rsidRPr="007238F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DBE0527" w14:textId="1D05DD1B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5,081</w:t>
            </w:r>
            <w:r w:rsidRPr="007238F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49CE71E" w14:textId="7CCBED20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7238F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5</w:t>
            </w:r>
            <w:r w:rsidRPr="007238F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,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510</w:t>
            </w:r>
            <w:r w:rsidRPr="007238F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525B386C" w14:textId="65D07000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15,243</w:t>
            </w:r>
            <w:r w:rsidRPr="007238F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10906EDD" w14:textId="01332DAA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(267)</w:t>
            </w:r>
          </w:p>
        </w:tc>
      </w:tr>
      <w:tr w:rsidR="0060177F" w:rsidRPr="002866BB" w14:paraId="2671CC80" w14:textId="77777777" w:rsidTr="0060177F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E7AC" w14:textId="77777777" w:rsidR="0060177F" w:rsidRPr="002866BB" w:rsidRDefault="0060177F" w:rsidP="007949D0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866BB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89E48" w14:textId="77777777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D001A" w14:textId="77777777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9DE62" w14:textId="77777777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70A8E" w14:textId="77777777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CD7F5" w14:textId="77777777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59AD5" w14:textId="77777777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238F7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60177F" w:rsidRPr="003D145E" w14:paraId="10362817" w14:textId="77777777" w:rsidTr="007949D0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76BF0C5C" w14:textId="4C1FC170" w:rsidR="0060177F" w:rsidRPr="002866BB" w:rsidRDefault="0060177F" w:rsidP="007949D0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2866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SURPLUS / (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DEFICIT</w:t>
            </w:r>
            <w:r w:rsidRPr="002866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A4A18AA" w14:textId="6D9C90E3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(6)</w:t>
            </w:r>
            <w:r w:rsidRPr="007238F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7A0F352" w14:textId="20F6D17B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(282)</w:t>
            </w:r>
            <w:r w:rsidRPr="007238F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4A36827" w14:textId="7210533A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0</w:t>
            </w:r>
            <w:r w:rsidRPr="007238F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BE77BE4" w14:textId="2BEF2DAF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(288)</w:t>
            </w:r>
            <w:r w:rsidRPr="007238F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A88C20D" w14:textId="0470E99F" w:rsidR="0060177F" w:rsidRPr="007238F7" w:rsidRDefault="0060177F" w:rsidP="007949D0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B896009" w14:textId="45A4614F" w:rsidR="0060177F" w:rsidRPr="007238F7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03A01B08" w14:textId="419F7C4D" w:rsidR="002116FA" w:rsidRDefault="002116FA" w:rsidP="007949D0">
      <w:pPr>
        <w:ind w:left="0" w:firstLine="0"/>
        <w:rPr>
          <w:rFonts w:asciiTheme="minorHAnsi" w:hAnsiTheme="minorHAnsi"/>
          <w:b/>
          <w:bCs/>
          <w:sz w:val="24"/>
          <w:szCs w:val="24"/>
          <w:lang w:eastAsia="en-GB"/>
        </w:rPr>
      </w:pPr>
    </w:p>
    <w:p w14:paraId="03C99E4B" w14:textId="5D0F1B1B" w:rsidR="00962719" w:rsidRPr="00CE1F5D" w:rsidRDefault="00962719" w:rsidP="007949D0">
      <w:pPr>
        <w:ind w:left="0" w:firstLine="0"/>
        <w:rPr>
          <w:rFonts w:asciiTheme="minorHAnsi" w:eastAsia="Times New Roman" w:hAnsiTheme="minorHAnsi" w:cs="Arial"/>
          <w:sz w:val="20"/>
          <w:szCs w:val="20"/>
          <w:lang w:eastAsia="en-GB"/>
        </w:rPr>
      </w:pPr>
      <w:bookmarkStart w:id="1" w:name="RANGE!B1:L176"/>
      <w:bookmarkEnd w:id="1"/>
    </w:p>
    <w:sectPr w:rsidR="00962719" w:rsidRPr="00CE1F5D" w:rsidSect="00BA64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D8A0C" w14:textId="77777777" w:rsidR="0054294B" w:rsidRDefault="0054294B" w:rsidP="00DF2386">
      <w:r>
        <w:separator/>
      </w:r>
    </w:p>
  </w:endnote>
  <w:endnote w:type="continuationSeparator" w:id="0">
    <w:p w14:paraId="0FC25401" w14:textId="77777777" w:rsidR="0054294B" w:rsidRDefault="0054294B" w:rsidP="00DF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2CF5E" w14:textId="77777777" w:rsidR="001C692A" w:rsidRDefault="001C6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2D56C" w14:textId="4EA4DAE4" w:rsidR="0054294B" w:rsidRPr="007856EC" w:rsidRDefault="0054294B" w:rsidP="00B938BE">
    <w:pPr>
      <w:pStyle w:val="Footer"/>
      <w:tabs>
        <w:tab w:val="clear" w:pos="9026"/>
        <w:tab w:val="left" w:pos="8789"/>
        <w:tab w:val="left" w:pos="13892"/>
      </w:tabs>
      <w:ind w:left="0" w:firstLine="0"/>
      <w:rPr>
        <w:sz w:val="20"/>
        <w:szCs w:val="20"/>
      </w:rPr>
    </w:pPr>
    <w:r>
      <w:rPr>
        <w:sz w:val="20"/>
        <w:szCs w:val="20"/>
      </w:rPr>
      <w:t>COP1</w:t>
    </w:r>
    <w:r w:rsidR="00CE5EB4">
      <w:rPr>
        <w:sz w:val="20"/>
        <w:szCs w:val="20"/>
      </w:rPr>
      <w:t>5</w:t>
    </w:r>
    <w:r>
      <w:rPr>
        <w:sz w:val="20"/>
        <w:szCs w:val="20"/>
      </w:rPr>
      <w:t xml:space="preserve"> Doc.1</w:t>
    </w:r>
    <w:r w:rsidR="00CE5EB4">
      <w:rPr>
        <w:sz w:val="20"/>
        <w:szCs w:val="20"/>
      </w:rPr>
      <w:t>8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BA6428">
      <w:rPr>
        <w:sz w:val="20"/>
        <w:szCs w:val="20"/>
      </w:rPr>
      <w:fldChar w:fldCharType="begin"/>
    </w:r>
    <w:r w:rsidRPr="00BA6428">
      <w:rPr>
        <w:sz w:val="20"/>
        <w:szCs w:val="20"/>
      </w:rPr>
      <w:instrText xml:space="preserve"> PAGE   \* MERGEFORMAT </w:instrText>
    </w:r>
    <w:r w:rsidRPr="00BA6428">
      <w:rPr>
        <w:sz w:val="20"/>
        <w:szCs w:val="20"/>
      </w:rPr>
      <w:fldChar w:fldCharType="separate"/>
    </w:r>
    <w:r w:rsidR="00E93BDD">
      <w:rPr>
        <w:noProof/>
        <w:sz w:val="20"/>
        <w:szCs w:val="20"/>
      </w:rPr>
      <w:t>12</w:t>
    </w:r>
    <w:r w:rsidRPr="00BA6428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031D8" w14:textId="77777777" w:rsidR="001C692A" w:rsidRDefault="001C6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DF871" w14:textId="77777777" w:rsidR="0054294B" w:rsidRDefault="0054294B" w:rsidP="00DF2386">
      <w:r>
        <w:separator/>
      </w:r>
    </w:p>
  </w:footnote>
  <w:footnote w:type="continuationSeparator" w:id="0">
    <w:p w14:paraId="0E2D0041" w14:textId="77777777" w:rsidR="0054294B" w:rsidRDefault="0054294B" w:rsidP="00DF2386">
      <w:r>
        <w:continuationSeparator/>
      </w:r>
    </w:p>
  </w:footnote>
  <w:footnote w:id="1">
    <w:p w14:paraId="71B8C88B" w14:textId="437CC556" w:rsidR="001C692A" w:rsidRDefault="001C692A" w:rsidP="000A4E0E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See document </w:t>
      </w:r>
      <w:r w:rsidRPr="001C692A">
        <w:t>SC65 Do</w:t>
      </w:r>
      <w:r>
        <w:t>c.</w:t>
      </w:r>
      <w:r w:rsidRPr="001C692A">
        <w:t>8.1</w:t>
      </w:r>
      <w:r>
        <w:t>,</w:t>
      </w:r>
      <w:r w:rsidRPr="001C692A">
        <w:t xml:space="preserve"> para</w:t>
      </w:r>
      <w:r>
        <w:t>graph</w:t>
      </w:r>
      <w:r w:rsidRPr="001C692A">
        <w:t xml:space="preserve"> 15</w:t>
      </w:r>
      <w:r>
        <w:t xml:space="preserve"> at </w:t>
      </w:r>
      <w:hyperlink r:id="rId1" w:history="1">
        <w:r w:rsidR="000A4E0E" w:rsidRPr="000A4E0E">
          <w:rPr>
            <w:rStyle w:val="Hyperlink"/>
          </w:rPr>
          <w:t>https://www.ramsar.org/document/sc65-doc81-financial-budgetary-matters-update-financial-matters-2024-2025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9E389" w14:textId="77777777" w:rsidR="001C692A" w:rsidRDefault="001C69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044C8" w14:textId="77777777" w:rsidR="001C692A" w:rsidRDefault="001C69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12A46" w14:textId="77777777" w:rsidR="001C692A" w:rsidRDefault="001C69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071C1"/>
    <w:multiLevelType w:val="hybridMultilevel"/>
    <w:tmpl w:val="A34C4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E7DDD"/>
    <w:multiLevelType w:val="hybridMultilevel"/>
    <w:tmpl w:val="19CAB11E"/>
    <w:lvl w:ilvl="0" w:tplc="497CAC9A">
      <w:start w:val="2"/>
      <w:numFmt w:val="lowerLetter"/>
      <w:lvlText w:val="%1."/>
      <w:lvlJc w:val="left"/>
      <w:pPr>
        <w:ind w:left="860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2D339EF"/>
    <w:multiLevelType w:val="hybridMultilevel"/>
    <w:tmpl w:val="5BA40BD2"/>
    <w:lvl w:ilvl="0" w:tplc="2C52B34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85741"/>
    <w:multiLevelType w:val="hybridMultilevel"/>
    <w:tmpl w:val="45D8F036"/>
    <w:lvl w:ilvl="0" w:tplc="0809000F">
      <w:start w:val="1"/>
      <w:numFmt w:val="decimal"/>
      <w:lvlText w:val="%1."/>
      <w:lvlJc w:val="left"/>
      <w:pPr>
        <w:ind w:left="65" w:hanging="360"/>
      </w:pPr>
    </w:lvl>
    <w:lvl w:ilvl="1" w:tplc="08090019" w:tentative="1">
      <w:start w:val="1"/>
      <w:numFmt w:val="lowerLetter"/>
      <w:lvlText w:val="%2."/>
      <w:lvlJc w:val="left"/>
      <w:pPr>
        <w:ind w:left="785" w:hanging="360"/>
      </w:pPr>
    </w:lvl>
    <w:lvl w:ilvl="2" w:tplc="0809001B" w:tentative="1">
      <w:start w:val="1"/>
      <w:numFmt w:val="lowerRoman"/>
      <w:lvlText w:val="%3."/>
      <w:lvlJc w:val="right"/>
      <w:pPr>
        <w:ind w:left="1505" w:hanging="180"/>
      </w:pPr>
    </w:lvl>
    <w:lvl w:ilvl="3" w:tplc="0809000F" w:tentative="1">
      <w:start w:val="1"/>
      <w:numFmt w:val="decimal"/>
      <w:lvlText w:val="%4."/>
      <w:lvlJc w:val="left"/>
      <w:pPr>
        <w:ind w:left="2225" w:hanging="360"/>
      </w:pPr>
    </w:lvl>
    <w:lvl w:ilvl="4" w:tplc="08090019" w:tentative="1">
      <w:start w:val="1"/>
      <w:numFmt w:val="lowerLetter"/>
      <w:lvlText w:val="%5."/>
      <w:lvlJc w:val="left"/>
      <w:pPr>
        <w:ind w:left="2945" w:hanging="360"/>
      </w:pPr>
    </w:lvl>
    <w:lvl w:ilvl="5" w:tplc="0809001B" w:tentative="1">
      <w:start w:val="1"/>
      <w:numFmt w:val="lowerRoman"/>
      <w:lvlText w:val="%6."/>
      <w:lvlJc w:val="right"/>
      <w:pPr>
        <w:ind w:left="3665" w:hanging="180"/>
      </w:pPr>
    </w:lvl>
    <w:lvl w:ilvl="6" w:tplc="0809000F" w:tentative="1">
      <w:start w:val="1"/>
      <w:numFmt w:val="decimal"/>
      <w:lvlText w:val="%7."/>
      <w:lvlJc w:val="left"/>
      <w:pPr>
        <w:ind w:left="4385" w:hanging="360"/>
      </w:pPr>
    </w:lvl>
    <w:lvl w:ilvl="7" w:tplc="08090019" w:tentative="1">
      <w:start w:val="1"/>
      <w:numFmt w:val="lowerLetter"/>
      <w:lvlText w:val="%8."/>
      <w:lvlJc w:val="left"/>
      <w:pPr>
        <w:ind w:left="5105" w:hanging="360"/>
      </w:pPr>
    </w:lvl>
    <w:lvl w:ilvl="8" w:tplc="0809001B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4" w15:restartNumberingAfterBreak="0">
    <w:nsid w:val="3D6A4BBA"/>
    <w:multiLevelType w:val="hybridMultilevel"/>
    <w:tmpl w:val="BFC0CB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44E68"/>
    <w:multiLevelType w:val="hybridMultilevel"/>
    <w:tmpl w:val="A12475E6"/>
    <w:lvl w:ilvl="0" w:tplc="8018AFA2">
      <w:start w:val="1"/>
      <w:numFmt w:val="lowerLetter"/>
      <w:pStyle w:val="Listpara2"/>
      <w:lvlText w:val="%1."/>
      <w:lvlJc w:val="left"/>
      <w:pPr>
        <w:ind w:left="203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750" w:hanging="360"/>
      </w:pPr>
    </w:lvl>
    <w:lvl w:ilvl="2" w:tplc="0809001B" w:tentative="1">
      <w:start w:val="1"/>
      <w:numFmt w:val="lowerRoman"/>
      <w:lvlText w:val="%3."/>
      <w:lvlJc w:val="right"/>
      <w:pPr>
        <w:ind w:left="3470" w:hanging="180"/>
      </w:pPr>
    </w:lvl>
    <w:lvl w:ilvl="3" w:tplc="0809000F" w:tentative="1">
      <w:start w:val="1"/>
      <w:numFmt w:val="decimal"/>
      <w:lvlText w:val="%4."/>
      <w:lvlJc w:val="left"/>
      <w:pPr>
        <w:ind w:left="4190" w:hanging="360"/>
      </w:pPr>
    </w:lvl>
    <w:lvl w:ilvl="4" w:tplc="08090019" w:tentative="1">
      <w:start w:val="1"/>
      <w:numFmt w:val="lowerLetter"/>
      <w:lvlText w:val="%5."/>
      <w:lvlJc w:val="left"/>
      <w:pPr>
        <w:ind w:left="4910" w:hanging="360"/>
      </w:pPr>
    </w:lvl>
    <w:lvl w:ilvl="5" w:tplc="0809001B" w:tentative="1">
      <w:start w:val="1"/>
      <w:numFmt w:val="lowerRoman"/>
      <w:lvlText w:val="%6."/>
      <w:lvlJc w:val="right"/>
      <w:pPr>
        <w:ind w:left="5630" w:hanging="180"/>
      </w:pPr>
    </w:lvl>
    <w:lvl w:ilvl="6" w:tplc="0809000F" w:tentative="1">
      <w:start w:val="1"/>
      <w:numFmt w:val="decimal"/>
      <w:lvlText w:val="%7."/>
      <w:lvlJc w:val="left"/>
      <w:pPr>
        <w:ind w:left="6350" w:hanging="360"/>
      </w:pPr>
    </w:lvl>
    <w:lvl w:ilvl="7" w:tplc="08090019" w:tentative="1">
      <w:start w:val="1"/>
      <w:numFmt w:val="lowerLetter"/>
      <w:lvlText w:val="%8."/>
      <w:lvlJc w:val="left"/>
      <w:pPr>
        <w:ind w:left="7070" w:hanging="360"/>
      </w:pPr>
    </w:lvl>
    <w:lvl w:ilvl="8" w:tplc="0809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6" w15:restartNumberingAfterBreak="0">
    <w:nsid w:val="4D336135"/>
    <w:multiLevelType w:val="hybridMultilevel"/>
    <w:tmpl w:val="EF8AFFBA"/>
    <w:lvl w:ilvl="0" w:tplc="0809000F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5C4C271B"/>
    <w:multiLevelType w:val="hybridMultilevel"/>
    <w:tmpl w:val="06146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B65C5"/>
    <w:multiLevelType w:val="hybridMultilevel"/>
    <w:tmpl w:val="277042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15FD6"/>
    <w:multiLevelType w:val="hybridMultilevel"/>
    <w:tmpl w:val="D4BAA3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E3E6F"/>
    <w:multiLevelType w:val="hybridMultilevel"/>
    <w:tmpl w:val="F49A7F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F2A7C"/>
    <w:multiLevelType w:val="hybridMultilevel"/>
    <w:tmpl w:val="41A48C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420BB"/>
    <w:multiLevelType w:val="hybridMultilevel"/>
    <w:tmpl w:val="A3020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616456">
    <w:abstractNumId w:val="1"/>
  </w:num>
  <w:num w:numId="2" w16cid:durableId="1787769596">
    <w:abstractNumId w:val="5"/>
  </w:num>
  <w:num w:numId="3" w16cid:durableId="1515922397">
    <w:abstractNumId w:val="12"/>
  </w:num>
  <w:num w:numId="4" w16cid:durableId="2070958016">
    <w:abstractNumId w:val="3"/>
  </w:num>
  <w:num w:numId="5" w16cid:durableId="793063297">
    <w:abstractNumId w:val="2"/>
  </w:num>
  <w:num w:numId="6" w16cid:durableId="1633906193">
    <w:abstractNumId w:val="6"/>
  </w:num>
  <w:num w:numId="7" w16cid:durableId="1311013568">
    <w:abstractNumId w:val="11"/>
  </w:num>
  <w:num w:numId="8" w16cid:durableId="1167209973">
    <w:abstractNumId w:val="4"/>
  </w:num>
  <w:num w:numId="9" w16cid:durableId="989358406">
    <w:abstractNumId w:val="8"/>
  </w:num>
  <w:num w:numId="10" w16cid:durableId="628707049">
    <w:abstractNumId w:val="0"/>
  </w:num>
  <w:num w:numId="11" w16cid:durableId="232667949">
    <w:abstractNumId w:val="9"/>
  </w:num>
  <w:num w:numId="12" w16cid:durableId="989333753">
    <w:abstractNumId w:val="10"/>
  </w:num>
  <w:num w:numId="13" w16cid:durableId="191688853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86"/>
    <w:rsid w:val="000007F0"/>
    <w:rsid w:val="00005FED"/>
    <w:rsid w:val="00006F21"/>
    <w:rsid w:val="00010426"/>
    <w:rsid w:val="0001102A"/>
    <w:rsid w:val="000132F5"/>
    <w:rsid w:val="000133D1"/>
    <w:rsid w:val="0001357D"/>
    <w:rsid w:val="00013774"/>
    <w:rsid w:val="00014168"/>
    <w:rsid w:val="00017A16"/>
    <w:rsid w:val="00021393"/>
    <w:rsid w:val="00022B87"/>
    <w:rsid w:val="00023130"/>
    <w:rsid w:val="0002479F"/>
    <w:rsid w:val="000260B4"/>
    <w:rsid w:val="00026E09"/>
    <w:rsid w:val="00027C99"/>
    <w:rsid w:val="000302D8"/>
    <w:rsid w:val="00034071"/>
    <w:rsid w:val="0003651E"/>
    <w:rsid w:val="00037CE0"/>
    <w:rsid w:val="00040DC4"/>
    <w:rsid w:val="00042392"/>
    <w:rsid w:val="00042791"/>
    <w:rsid w:val="0004295A"/>
    <w:rsid w:val="000445EA"/>
    <w:rsid w:val="000467E7"/>
    <w:rsid w:val="000475BC"/>
    <w:rsid w:val="0005215D"/>
    <w:rsid w:val="00053929"/>
    <w:rsid w:val="00054C1C"/>
    <w:rsid w:val="00056BD1"/>
    <w:rsid w:val="0006384D"/>
    <w:rsid w:val="00074DE8"/>
    <w:rsid w:val="000751A6"/>
    <w:rsid w:val="00075983"/>
    <w:rsid w:val="00077B46"/>
    <w:rsid w:val="00080177"/>
    <w:rsid w:val="00082217"/>
    <w:rsid w:val="00082DCB"/>
    <w:rsid w:val="00083151"/>
    <w:rsid w:val="00086C00"/>
    <w:rsid w:val="00087A13"/>
    <w:rsid w:val="000937A7"/>
    <w:rsid w:val="00094DC0"/>
    <w:rsid w:val="00096371"/>
    <w:rsid w:val="000A3D46"/>
    <w:rsid w:val="000A3E3E"/>
    <w:rsid w:val="000A3F5A"/>
    <w:rsid w:val="000A4604"/>
    <w:rsid w:val="000A4C26"/>
    <w:rsid w:val="000A4E0E"/>
    <w:rsid w:val="000A5278"/>
    <w:rsid w:val="000A5EC4"/>
    <w:rsid w:val="000A7AEC"/>
    <w:rsid w:val="000B38AA"/>
    <w:rsid w:val="000B522B"/>
    <w:rsid w:val="000C01EC"/>
    <w:rsid w:val="000C1C0D"/>
    <w:rsid w:val="000C2489"/>
    <w:rsid w:val="000C59E7"/>
    <w:rsid w:val="000C600B"/>
    <w:rsid w:val="000D039A"/>
    <w:rsid w:val="000D066A"/>
    <w:rsid w:val="000D0F6E"/>
    <w:rsid w:val="000D51B0"/>
    <w:rsid w:val="000D5C76"/>
    <w:rsid w:val="000E0F92"/>
    <w:rsid w:val="000E265D"/>
    <w:rsid w:val="000E2FA0"/>
    <w:rsid w:val="000E47E9"/>
    <w:rsid w:val="000E5F2A"/>
    <w:rsid w:val="000F0539"/>
    <w:rsid w:val="000F4DD0"/>
    <w:rsid w:val="000F6E38"/>
    <w:rsid w:val="000F76F7"/>
    <w:rsid w:val="00102D6A"/>
    <w:rsid w:val="0010479D"/>
    <w:rsid w:val="00104F7B"/>
    <w:rsid w:val="00105995"/>
    <w:rsid w:val="00105DC0"/>
    <w:rsid w:val="00106197"/>
    <w:rsid w:val="00116270"/>
    <w:rsid w:val="00117850"/>
    <w:rsid w:val="0012096C"/>
    <w:rsid w:val="00123AB5"/>
    <w:rsid w:val="00125B29"/>
    <w:rsid w:val="00127828"/>
    <w:rsid w:val="0013260E"/>
    <w:rsid w:val="0013618C"/>
    <w:rsid w:val="00140698"/>
    <w:rsid w:val="00141CBE"/>
    <w:rsid w:val="001464AF"/>
    <w:rsid w:val="00147381"/>
    <w:rsid w:val="00150B17"/>
    <w:rsid w:val="00150BB8"/>
    <w:rsid w:val="0015544B"/>
    <w:rsid w:val="001605A0"/>
    <w:rsid w:val="001606A7"/>
    <w:rsid w:val="00161BDA"/>
    <w:rsid w:val="001657F8"/>
    <w:rsid w:val="00165E2A"/>
    <w:rsid w:val="00166F05"/>
    <w:rsid w:val="001701E6"/>
    <w:rsid w:val="0017123E"/>
    <w:rsid w:val="00171618"/>
    <w:rsid w:val="001819B1"/>
    <w:rsid w:val="0018239F"/>
    <w:rsid w:val="00184F41"/>
    <w:rsid w:val="00185F89"/>
    <w:rsid w:val="0018623B"/>
    <w:rsid w:val="00186BF9"/>
    <w:rsid w:val="001879A4"/>
    <w:rsid w:val="00190B6F"/>
    <w:rsid w:val="001912A8"/>
    <w:rsid w:val="001933A4"/>
    <w:rsid w:val="001936D6"/>
    <w:rsid w:val="00193F6D"/>
    <w:rsid w:val="00196C5B"/>
    <w:rsid w:val="00197225"/>
    <w:rsid w:val="001973A3"/>
    <w:rsid w:val="00197946"/>
    <w:rsid w:val="001A2D10"/>
    <w:rsid w:val="001A34B5"/>
    <w:rsid w:val="001A386F"/>
    <w:rsid w:val="001A57B1"/>
    <w:rsid w:val="001A694E"/>
    <w:rsid w:val="001A6C6E"/>
    <w:rsid w:val="001B1561"/>
    <w:rsid w:val="001B4012"/>
    <w:rsid w:val="001B4EE4"/>
    <w:rsid w:val="001B583F"/>
    <w:rsid w:val="001B73D1"/>
    <w:rsid w:val="001B773B"/>
    <w:rsid w:val="001B79AE"/>
    <w:rsid w:val="001C022A"/>
    <w:rsid w:val="001C0E27"/>
    <w:rsid w:val="001C229A"/>
    <w:rsid w:val="001C22F2"/>
    <w:rsid w:val="001C3590"/>
    <w:rsid w:val="001C5E41"/>
    <w:rsid w:val="001C6805"/>
    <w:rsid w:val="001C692A"/>
    <w:rsid w:val="001C77BC"/>
    <w:rsid w:val="001D0FDF"/>
    <w:rsid w:val="001D14A4"/>
    <w:rsid w:val="001D162C"/>
    <w:rsid w:val="001D42CA"/>
    <w:rsid w:val="001D48BB"/>
    <w:rsid w:val="001D5FC6"/>
    <w:rsid w:val="001D72DE"/>
    <w:rsid w:val="001E00E3"/>
    <w:rsid w:val="001E02FF"/>
    <w:rsid w:val="001E11E9"/>
    <w:rsid w:val="001E1A9E"/>
    <w:rsid w:val="001E1B19"/>
    <w:rsid w:val="001E22DA"/>
    <w:rsid w:val="001E4155"/>
    <w:rsid w:val="001E4959"/>
    <w:rsid w:val="001E5FD0"/>
    <w:rsid w:val="001E683A"/>
    <w:rsid w:val="001F0F34"/>
    <w:rsid w:val="001F1724"/>
    <w:rsid w:val="001F2349"/>
    <w:rsid w:val="001F2749"/>
    <w:rsid w:val="001F4370"/>
    <w:rsid w:val="001F43AF"/>
    <w:rsid w:val="001F5C62"/>
    <w:rsid w:val="001F7C59"/>
    <w:rsid w:val="0020050E"/>
    <w:rsid w:val="002005D2"/>
    <w:rsid w:val="0020298B"/>
    <w:rsid w:val="00202BA5"/>
    <w:rsid w:val="002035D8"/>
    <w:rsid w:val="00204644"/>
    <w:rsid w:val="00206111"/>
    <w:rsid w:val="002116FA"/>
    <w:rsid w:val="00212850"/>
    <w:rsid w:val="00213702"/>
    <w:rsid w:val="002137E0"/>
    <w:rsid w:val="00213B27"/>
    <w:rsid w:val="00214C88"/>
    <w:rsid w:val="0022005B"/>
    <w:rsid w:val="002207A7"/>
    <w:rsid w:val="00223428"/>
    <w:rsid w:val="00225647"/>
    <w:rsid w:val="00227712"/>
    <w:rsid w:val="00230DE2"/>
    <w:rsid w:val="002325C0"/>
    <w:rsid w:val="00233EC7"/>
    <w:rsid w:val="0023426A"/>
    <w:rsid w:val="00234E62"/>
    <w:rsid w:val="00235282"/>
    <w:rsid w:val="0023550A"/>
    <w:rsid w:val="00236D86"/>
    <w:rsid w:val="00236EBD"/>
    <w:rsid w:val="00241217"/>
    <w:rsid w:val="00241822"/>
    <w:rsid w:val="0024313F"/>
    <w:rsid w:val="00245037"/>
    <w:rsid w:val="00246454"/>
    <w:rsid w:val="002604DE"/>
    <w:rsid w:val="00260DF3"/>
    <w:rsid w:val="00261307"/>
    <w:rsid w:val="00267D03"/>
    <w:rsid w:val="00271A5C"/>
    <w:rsid w:val="00273D84"/>
    <w:rsid w:val="002741AC"/>
    <w:rsid w:val="002750A4"/>
    <w:rsid w:val="00275F13"/>
    <w:rsid w:val="00276352"/>
    <w:rsid w:val="00277A87"/>
    <w:rsid w:val="00277B11"/>
    <w:rsid w:val="002804D7"/>
    <w:rsid w:val="002819C0"/>
    <w:rsid w:val="00281C69"/>
    <w:rsid w:val="002822F8"/>
    <w:rsid w:val="002849A4"/>
    <w:rsid w:val="0028584C"/>
    <w:rsid w:val="002866BB"/>
    <w:rsid w:val="0028694E"/>
    <w:rsid w:val="0028729D"/>
    <w:rsid w:val="002873BB"/>
    <w:rsid w:val="002873E7"/>
    <w:rsid w:val="0029247A"/>
    <w:rsid w:val="0029320C"/>
    <w:rsid w:val="00295556"/>
    <w:rsid w:val="002957DC"/>
    <w:rsid w:val="00295BB5"/>
    <w:rsid w:val="00297F0F"/>
    <w:rsid w:val="002A2072"/>
    <w:rsid w:val="002A391C"/>
    <w:rsid w:val="002A5A4D"/>
    <w:rsid w:val="002B0CEF"/>
    <w:rsid w:val="002B1C47"/>
    <w:rsid w:val="002B3EE6"/>
    <w:rsid w:val="002B4262"/>
    <w:rsid w:val="002B7543"/>
    <w:rsid w:val="002C062C"/>
    <w:rsid w:val="002C3209"/>
    <w:rsid w:val="002C76D6"/>
    <w:rsid w:val="002D0566"/>
    <w:rsid w:val="002D0F4C"/>
    <w:rsid w:val="002D28C5"/>
    <w:rsid w:val="002D300B"/>
    <w:rsid w:val="002D42FA"/>
    <w:rsid w:val="002D510D"/>
    <w:rsid w:val="002D5A4D"/>
    <w:rsid w:val="002E22AF"/>
    <w:rsid w:val="002E34F8"/>
    <w:rsid w:val="002E5B2A"/>
    <w:rsid w:val="002E660E"/>
    <w:rsid w:val="002F01A0"/>
    <w:rsid w:val="002F124A"/>
    <w:rsid w:val="002F1EDE"/>
    <w:rsid w:val="002F42C1"/>
    <w:rsid w:val="002F5502"/>
    <w:rsid w:val="002F6DAB"/>
    <w:rsid w:val="002F77F4"/>
    <w:rsid w:val="00302925"/>
    <w:rsid w:val="00302B21"/>
    <w:rsid w:val="00307B39"/>
    <w:rsid w:val="003107B5"/>
    <w:rsid w:val="00311D22"/>
    <w:rsid w:val="003155CC"/>
    <w:rsid w:val="003157C2"/>
    <w:rsid w:val="00316852"/>
    <w:rsid w:val="00316ECA"/>
    <w:rsid w:val="00321DDF"/>
    <w:rsid w:val="00322C05"/>
    <w:rsid w:val="003231A5"/>
    <w:rsid w:val="00323F11"/>
    <w:rsid w:val="00324398"/>
    <w:rsid w:val="0032775E"/>
    <w:rsid w:val="00327DFA"/>
    <w:rsid w:val="00334F8D"/>
    <w:rsid w:val="00335704"/>
    <w:rsid w:val="00335AC9"/>
    <w:rsid w:val="003441D3"/>
    <w:rsid w:val="00345CB1"/>
    <w:rsid w:val="00346EFB"/>
    <w:rsid w:val="00350647"/>
    <w:rsid w:val="00352486"/>
    <w:rsid w:val="0035280A"/>
    <w:rsid w:val="00353914"/>
    <w:rsid w:val="0035654A"/>
    <w:rsid w:val="00356F77"/>
    <w:rsid w:val="0035719A"/>
    <w:rsid w:val="00357919"/>
    <w:rsid w:val="0035796C"/>
    <w:rsid w:val="00357EB1"/>
    <w:rsid w:val="00360DA7"/>
    <w:rsid w:val="00363957"/>
    <w:rsid w:val="00363A20"/>
    <w:rsid w:val="00363CF1"/>
    <w:rsid w:val="00366633"/>
    <w:rsid w:val="00370190"/>
    <w:rsid w:val="00372F20"/>
    <w:rsid w:val="00373C7B"/>
    <w:rsid w:val="00374AD7"/>
    <w:rsid w:val="00380D54"/>
    <w:rsid w:val="00382F90"/>
    <w:rsid w:val="003849AD"/>
    <w:rsid w:val="00384FC3"/>
    <w:rsid w:val="00385027"/>
    <w:rsid w:val="00387103"/>
    <w:rsid w:val="003874CD"/>
    <w:rsid w:val="00391DA2"/>
    <w:rsid w:val="00393F28"/>
    <w:rsid w:val="003959F5"/>
    <w:rsid w:val="00395F30"/>
    <w:rsid w:val="003969AD"/>
    <w:rsid w:val="003970F7"/>
    <w:rsid w:val="0039739D"/>
    <w:rsid w:val="003A2A36"/>
    <w:rsid w:val="003A3804"/>
    <w:rsid w:val="003A52BE"/>
    <w:rsid w:val="003A5809"/>
    <w:rsid w:val="003A5866"/>
    <w:rsid w:val="003A69BF"/>
    <w:rsid w:val="003A6E9F"/>
    <w:rsid w:val="003A7CE6"/>
    <w:rsid w:val="003B571C"/>
    <w:rsid w:val="003C1EA0"/>
    <w:rsid w:val="003C6E8D"/>
    <w:rsid w:val="003C770E"/>
    <w:rsid w:val="003C7CE6"/>
    <w:rsid w:val="003D01D9"/>
    <w:rsid w:val="003D0BF9"/>
    <w:rsid w:val="003D145E"/>
    <w:rsid w:val="003D2096"/>
    <w:rsid w:val="003D45F1"/>
    <w:rsid w:val="003D460E"/>
    <w:rsid w:val="003D4CD6"/>
    <w:rsid w:val="003E4877"/>
    <w:rsid w:val="003F0D85"/>
    <w:rsid w:val="003F6377"/>
    <w:rsid w:val="003F7105"/>
    <w:rsid w:val="003F7706"/>
    <w:rsid w:val="00400C43"/>
    <w:rsid w:val="004029A2"/>
    <w:rsid w:val="004149AD"/>
    <w:rsid w:val="00415B3D"/>
    <w:rsid w:val="00417C1C"/>
    <w:rsid w:val="004228C7"/>
    <w:rsid w:val="00422BD2"/>
    <w:rsid w:val="00426DD9"/>
    <w:rsid w:val="0042798B"/>
    <w:rsid w:val="00430552"/>
    <w:rsid w:val="00431678"/>
    <w:rsid w:val="00431D65"/>
    <w:rsid w:val="00434913"/>
    <w:rsid w:val="00434B19"/>
    <w:rsid w:val="00436E55"/>
    <w:rsid w:val="00437949"/>
    <w:rsid w:val="00441C17"/>
    <w:rsid w:val="00441EEB"/>
    <w:rsid w:val="00443D01"/>
    <w:rsid w:val="0044702A"/>
    <w:rsid w:val="004474F8"/>
    <w:rsid w:val="00454034"/>
    <w:rsid w:val="0046079B"/>
    <w:rsid w:val="004639AC"/>
    <w:rsid w:val="004641E7"/>
    <w:rsid w:val="0046582F"/>
    <w:rsid w:val="004662E5"/>
    <w:rsid w:val="00466336"/>
    <w:rsid w:val="0046658E"/>
    <w:rsid w:val="004668DB"/>
    <w:rsid w:val="0046771B"/>
    <w:rsid w:val="00467A8D"/>
    <w:rsid w:val="0047081F"/>
    <w:rsid w:val="004717A4"/>
    <w:rsid w:val="00473818"/>
    <w:rsid w:val="00477550"/>
    <w:rsid w:val="00477A0A"/>
    <w:rsid w:val="00480679"/>
    <w:rsid w:val="00482AC0"/>
    <w:rsid w:val="00483851"/>
    <w:rsid w:val="00483E42"/>
    <w:rsid w:val="00484041"/>
    <w:rsid w:val="004844A8"/>
    <w:rsid w:val="00491151"/>
    <w:rsid w:val="00491283"/>
    <w:rsid w:val="00491DF5"/>
    <w:rsid w:val="00496214"/>
    <w:rsid w:val="00496803"/>
    <w:rsid w:val="0049707C"/>
    <w:rsid w:val="004A0101"/>
    <w:rsid w:val="004A01E5"/>
    <w:rsid w:val="004A23AF"/>
    <w:rsid w:val="004A3251"/>
    <w:rsid w:val="004A6E86"/>
    <w:rsid w:val="004B08CD"/>
    <w:rsid w:val="004B2272"/>
    <w:rsid w:val="004B4108"/>
    <w:rsid w:val="004B420F"/>
    <w:rsid w:val="004B4DF1"/>
    <w:rsid w:val="004B6688"/>
    <w:rsid w:val="004C2E05"/>
    <w:rsid w:val="004C55A5"/>
    <w:rsid w:val="004C670E"/>
    <w:rsid w:val="004C734F"/>
    <w:rsid w:val="004D202E"/>
    <w:rsid w:val="004D241A"/>
    <w:rsid w:val="004D3710"/>
    <w:rsid w:val="004D5634"/>
    <w:rsid w:val="004D5C67"/>
    <w:rsid w:val="004E30D7"/>
    <w:rsid w:val="004E7B47"/>
    <w:rsid w:val="004F0C05"/>
    <w:rsid w:val="004F18A1"/>
    <w:rsid w:val="004F20C4"/>
    <w:rsid w:val="004F38CE"/>
    <w:rsid w:val="004F69CE"/>
    <w:rsid w:val="004F69FF"/>
    <w:rsid w:val="005004A7"/>
    <w:rsid w:val="005013DD"/>
    <w:rsid w:val="00502B42"/>
    <w:rsid w:val="00503517"/>
    <w:rsid w:val="005069AB"/>
    <w:rsid w:val="0051043B"/>
    <w:rsid w:val="0051145C"/>
    <w:rsid w:val="0051153F"/>
    <w:rsid w:val="00511762"/>
    <w:rsid w:val="0051296E"/>
    <w:rsid w:val="00512B7C"/>
    <w:rsid w:val="005148FC"/>
    <w:rsid w:val="00515A18"/>
    <w:rsid w:val="00516A43"/>
    <w:rsid w:val="00516DE4"/>
    <w:rsid w:val="00521308"/>
    <w:rsid w:val="00522533"/>
    <w:rsid w:val="005244A4"/>
    <w:rsid w:val="00524DDB"/>
    <w:rsid w:val="00527783"/>
    <w:rsid w:val="0053048D"/>
    <w:rsid w:val="00530B27"/>
    <w:rsid w:val="0053257A"/>
    <w:rsid w:val="0053307B"/>
    <w:rsid w:val="005331D2"/>
    <w:rsid w:val="005340AC"/>
    <w:rsid w:val="0053462D"/>
    <w:rsid w:val="005357CB"/>
    <w:rsid w:val="00536FAB"/>
    <w:rsid w:val="0054294B"/>
    <w:rsid w:val="0054389C"/>
    <w:rsid w:val="00543E0D"/>
    <w:rsid w:val="005459B4"/>
    <w:rsid w:val="005464D2"/>
    <w:rsid w:val="00550B0D"/>
    <w:rsid w:val="00552A82"/>
    <w:rsid w:val="00553DEA"/>
    <w:rsid w:val="0056310E"/>
    <w:rsid w:val="00564CB5"/>
    <w:rsid w:val="00567A80"/>
    <w:rsid w:val="005704AB"/>
    <w:rsid w:val="00572629"/>
    <w:rsid w:val="00580BAF"/>
    <w:rsid w:val="005814B5"/>
    <w:rsid w:val="005863D6"/>
    <w:rsid w:val="0059377F"/>
    <w:rsid w:val="005A0C33"/>
    <w:rsid w:val="005A188B"/>
    <w:rsid w:val="005A2183"/>
    <w:rsid w:val="005B0E16"/>
    <w:rsid w:val="005B47D6"/>
    <w:rsid w:val="005B535C"/>
    <w:rsid w:val="005B5B11"/>
    <w:rsid w:val="005B73CA"/>
    <w:rsid w:val="005C1B09"/>
    <w:rsid w:val="005C5D59"/>
    <w:rsid w:val="005C6565"/>
    <w:rsid w:val="005D0475"/>
    <w:rsid w:val="005D0A19"/>
    <w:rsid w:val="005D35BD"/>
    <w:rsid w:val="005D3E9D"/>
    <w:rsid w:val="005D57D6"/>
    <w:rsid w:val="005E263B"/>
    <w:rsid w:val="005E3166"/>
    <w:rsid w:val="005E32A8"/>
    <w:rsid w:val="005E4301"/>
    <w:rsid w:val="005E4453"/>
    <w:rsid w:val="005E4BF4"/>
    <w:rsid w:val="005E72A4"/>
    <w:rsid w:val="005E7310"/>
    <w:rsid w:val="005F1D0B"/>
    <w:rsid w:val="005F4BF4"/>
    <w:rsid w:val="005F5616"/>
    <w:rsid w:val="005F56E0"/>
    <w:rsid w:val="005F64E0"/>
    <w:rsid w:val="005F64EE"/>
    <w:rsid w:val="005F6A21"/>
    <w:rsid w:val="005F6AE1"/>
    <w:rsid w:val="0060119A"/>
    <w:rsid w:val="0060177F"/>
    <w:rsid w:val="00603199"/>
    <w:rsid w:val="00606501"/>
    <w:rsid w:val="0060750B"/>
    <w:rsid w:val="00607AC7"/>
    <w:rsid w:val="0061020A"/>
    <w:rsid w:val="0061047C"/>
    <w:rsid w:val="00610530"/>
    <w:rsid w:val="006119BD"/>
    <w:rsid w:val="0061276F"/>
    <w:rsid w:val="006140AD"/>
    <w:rsid w:val="006175DE"/>
    <w:rsid w:val="006178CB"/>
    <w:rsid w:val="006211E5"/>
    <w:rsid w:val="00622F48"/>
    <w:rsid w:val="006241C1"/>
    <w:rsid w:val="006256D3"/>
    <w:rsid w:val="00627BB7"/>
    <w:rsid w:val="00630394"/>
    <w:rsid w:val="00630399"/>
    <w:rsid w:val="00632997"/>
    <w:rsid w:val="00636D84"/>
    <w:rsid w:val="00637653"/>
    <w:rsid w:val="00637897"/>
    <w:rsid w:val="006409C6"/>
    <w:rsid w:val="00641220"/>
    <w:rsid w:val="006412FD"/>
    <w:rsid w:val="006449B6"/>
    <w:rsid w:val="00644A13"/>
    <w:rsid w:val="0064691F"/>
    <w:rsid w:val="0065136E"/>
    <w:rsid w:val="00651EA5"/>
    <w:rsid w:val="0065617C"/>
    <w:rsid w:val="00660E1F"/>
    <w:rsid w:val="006619FF"/>
    <w:rsid w:val="00661D61"/>
    <w:rsid w:val="00662A6E"/>
    <w:rsid w:val="0066454A"/>
    <w:rsid w:val="00667DDD"/>
    <w:rsid w:val="00670D71"/>
    <w:rsid w:val="00672D6E"/>
    <w:rsid w:val="00673291"/>
    <w:rsid w:val="00673C6A"/>
    <w:rsid w:val="0068090E"/>
    <w:rsid w:val="00682E98"/>
    <w:rsid w:val="006836AC"/>
    <w:rsid w:val="00684CC3"/>
    <w:rsid w:val="00685BD5"/>
    <w:rsid w:val="00690016"/>
    <w:rsid w:val="00694C87"/>
    <w:rsid w:val="00694EAA"/>
    <w:rsid w:val="00695F7A"/>
    <w:rsid w:val="006A1159"/>
    <w:rsid w:val="006A1992"/>
    <w:rsid w:val="006A22FF"/>
    <w:rsid w:val="006A2A7B"/>
    <w:rsid w:val="006A5564"/>
    <w:rsid w:val="006A7029"/>
    <w:rsid w:val="006A7D80"/>
    <w:rsid w:val="006B2831"/>
    <w:rsid w:val="006B5D16"/>
    <w:rsid w:val="006B6B2C"/>
    <w:rsid w:val="006B7BB7"/>
    <w:rsid w:val="006C05A5"/>
    <w:rsid w:val="006C0AD6"/>
    <w:rsid w:val="006C1D07"/>
    <w:rsid w:val="006C4772"/>
    <w:rsid w:val="006C5088"/>
    <w:rsid w:val="006D0F96"/>
    <w:rsid w:val="006D3CBA"/>
    <w:rsid w:val="006D3E0B"/>
    <w:rsid w:val="006D6374"/>
    <w:rsid w:val="006E140C"/>
    <w:rsid w:val="006E7DCE"/>
    <w:rsid w:val="006F3E3D"/>
    <w:rsid w:val="006F4B80"/>
    <w:rsid w:val="006F6E6B"/>
    <w:rsid w:val="007009E2"/>
    <w:rsid w:val="00700E21"/>
    <w:rsid w:val="007050FF"/>
    <w:rsid w:val="00706CF5"/>
    <w:rsid w:val="00707D00"/>
    <w:rsid w:val="00711DD9"/>
    <w:rsid w:val="007148A0"/>
    <w:rsid w:val="00714D98"/>
    <w:rsid w:val="007204E3"/>
    <w:rsid w:val="00722C79"/>
    <w:rsid w:val="007236B4"/>
    <w:rsid w:val="007238F7"/>
    <w:rsid w:val="00727C10"/>
    <w:rsid w:val="00730CBE"/>
    <w:rsid w:val="007329B2"/>
    <w:rsid w:val="00736A32"/>
    <w:rsid w:val="00737885"/>
    <w:rsid w:val="00737DB6"/>
    <w:rsid w:val="00740966"/>
    <w:rsid w:val="0074377E"/>
    <w:rsid w:val="00745F48"/>
    <w:rsid w:val="00750259"/>
    <w:rsid w:val="00750E89"/>
    <w:rsid w:val="00750F17"/>
    <w:rsid w:val="007517AD"/>
    <w:rsid w:val="00752764"/>
    <w:rsid w:val="00752C1E"/>
    <w:rsid w:val="00754ED9"/>
    <w:rsid w:val="0076273C"/>
    <w:rsid w:val="007629C8"/>
    <w:rsid w:val="00763438"/>
    <w:rsid w:val="00764209"/>
    <w:rsid w:val="00766962"/>
    <w:rsid w:val="00767F54"/>
    <w:rsid w:val="00771A41"/>
    <w:rsid w:val="00771E27"/>
    <w:rsid w:val="00775287"/>
    <w:rsid w:val="00776B11"/>
    <w:rsid w:val="0078029B"/>
    <w:rsid w:val="007856EC"/>
    <w:rsid w:val="00786471"/>
    <w:rsid w:val="00786D6D"/>
    <w:rsid w:val="00791D27"/>
    <w:rsid w:val="007936EA"/>
    <w:rsid w:val="0079408E"/>
    <w:rsid w:val="007943EA"/>
    <w:rsid w:val="007949D0"/>
    <w:rsid w:val="0079613F"/>
    <w:rsid w:val="00796355"/>
    <w:rsid w:val="007967B6"/>
    <w:rsid w:val="007976F6"/>
    <w:rsid w:val="007A0489"/>
    <w:rsid w:val="007A0880"/>
    <w:rsid w:val="007A1F2A"/>
    <w:rsid w:val="007A200C"/>
    <w:rsid w:val="007A224B"/>
    <w:rsid w:val="007A4861"/>
    <w:rsid w:val="007A653C"/>
    <w:rsid w:val="007A77F0"/>
    <w:rsid w:val="007B00B7"/>
    <w:rsid w:val="007B3669"/>
    <w:rsid w:val="007B37B1"/>
    <w:rsid w:val="007B4739"/>
    <w:rsid w:val="007B676F"/>
    <w:rsid w:val="007B6A43"/>
    <w:rsid w:val="007C5B75"/>
    <w:rsid w:val="007C6F1D"/>
    <w:rsid w:val="007D064F"/>
    <w:rsid w:val="007D06F0"/>
    <w:rsid w:val="007D25EE"/>
    <w:rsid w:val="007D33F4"/>
    <w:rsid w:val="007D3628"/>
    <w:rsid w:val="007D493C"/>
    <w:rsid w:val="007D5E1F"/>
    <w:rsid w:val="007D6721"/>
    <w:rsid w:val="007D788C"/>
    <w:rsid w:val="007E1946"/>
    <w:rsid w:val="007E2A3A"/>
    <w:rsid w:val="007E5798"/>
    <w:rsid w:val="007E63D8"/>
    <w:rsid w:val="007F0899"/>
    <w:rsid w:val="007F1BE5"/>
    <w:rsid w:val="007F2DFF"/>
    <w:rsid w:val="007F3ABE"/>
    <w:rsid w:val="007F3ADE"/>
    <w:rsid w:val="007F4106"/>
    <w:rsid w:val="007F64B3"/>
    <w:rsid w:val="00800EDD"/>
    <w:rsid w:val="00803C20"/>
    <w:rsid w:val="0080422A"/>
    <w:rsid w:val="00804E93"/>
    <w:rsid w:val="00805122"/>
    <w:rsid w:val="00805CBF"/>
    <w:rsid w:val="008065B3"/>
    <w:rsid w:val="008066FA"/>
    <w:rsid w:val="00813385"/>
    <w:rsid w:val="00814323"/>
    <w:rsid w:val="00816C80"/>
    <w:rsid w:val="008276E0"/>
    <w:rsid w:val="0083226F"/>
    <w:rsid w:val="00832664"/>
    <w:rsid w:val="008328E9"/>
    <w:rsid w:val="0083353F"/>
    <w:rsid w:val="00834C7C"/>
    <w:rsid w:val="00835833"/>
    <w:rsid w:val="00835BCB"/>
    <w:rsid w:val="00835CDC"/>
    <w:rsid w:val="00840733"/>
    <w:rsid w:val="00843DA3"/>
    <w:rsid w:val="008445F1"/>
    <w:rsid w:val="008446C3"/>
    <w:rsid w:val="008472A2"/>
    <w:rsid w:val="00850B09"/>
    <w:rsid w:val="008514F2"/>
    <w:rsid w:val="008530C1"/>
    <w:rsid w:val="00853A95"/>
    <w:rsid w:val="00857D5B"/>
    <w:rsid w:val="00860D2D"/>
    <w:rsid w:val="0086150F"/>
    <w:rsid w:val="00863306"/>
    <w:rsid w:val="00863B9D"/>
    <w:rsid w:val="00863BE6"/>
    <w:rsid w:val="00865C43"/>
    <w:rsid w:val="00867775"/>
    <w:rsid w:val="0087029D"/>
    <w:rsid w:val="008702EC"/>
    <w:rsid w:val="00871E48"/>
    <w:rsid w:val="0087434C"/>
    <w:rsid w:val="00876B83"/>
    <w:rsid w:val="00877561"/>
    <w:rsid w:val="008775BC"/>
    <w:rsid w:val="00880C09"/>
    <w:rsid w:val="008813A4"/>
    <w:rsid w:val="00882AA6"/>
    <w:rsid w:val="00882F1B"/>
    <w:rsid w:val="008900A8"/>
    <w:rsid w:val="008926BA"/>
    <w:rsid w:val="00896FD6"/>
    <w:rsid w:val="00897620"/>
    <w:rsid w:val="008A24C2"/>
    <w:rsid w:val="008A5BFC"/>
    <w:rsid w:val="008A70CE"/>
    <w:rsid w:val="008B313D"/>
    <w:rsid w:val="008B4C81"/>
    <w:rsid w:val="008B5CED"/>
    <w:rsid w:val="008B6423"/>
    <w:rsid w:val="008C04B8"/>
    <w:rsid w:val="008C0B07"/>
    <w:rsid w:val="008C1A1A"/>
    <w:rsid w:val="008C25E4"/>
    <w:rsid w:val="008C2DAE"/>
    <w:rsid w:val="008C3FB1"/>
    <w:rsid w:val="008C6426"/>
    <w:rsid w:val="008C6E36"/>
    <w:rsid w:val="008C6E9B"/>
    <w:rsid w:val="008D2383"/>
    <w:rsid w:val="008D2C95"/>
    <w:rsid w:val="008E0C14"/>
    <w:rsid w:val="008E4DA6"/>
    <w:rsid w:val="008E50BB"/>
    <w:rsid w:val="008E620B"/>
    <w:rsid w:val="008E7AD9"/>
    <w:rsid w:val="008F3863"/>
    <w:rsid w:val="008F43D2"/>
    <w:rsid w:val="008F521D"/>
    <w:rsid w:val="008F6521"/>
    <w:rsid w:val="008F68AC"/>
    <w:rsid w:val="009015A7"/>
    <w:rsid w:val="00902768"/>
    <w:rsid w:val="009036E9"/>
    <w:rsid w:val="00903B37"/>
    <w:rsid w:val="009041D7"/>
    <w:rsid w:val="009053D9"/>
    <w:rsid w:val="009059A9"/>
    <w:rsid w:val="00906511"/>
    <w:rsid w:val="00912580"/>
    <w:rsid w:val="00913CF1"/>
    <w:rsid w:val="0091622F"/>
    <w:rsid w:val="0091743B"/>
    <w:rsid w:val="00922386"/>
    <w:rsid w:val="0092515E"/>
    <w:rsid w:val="0092540B"/>
    <w:rsid w:val="00926073"/>
    <w:rsid w:val="009308C1"/>
    <w:rsid w:val="009315CC"/>
    <w:rsid w:val="00932BB4"/>
    <w:rsid w:val="00933106"/>
    <w:rsid w:val="00933C52"/>
    <w:rsid w:val="00934E1B"/>
    <w:rsid w:val="00935277"/>
    <w:rsid w:val="0094052C"/>
    <w:rsid w:val="00940B6C"/>
    <w:rsid w:val="0094177A"/>
    <w:rsid w:val="009426A2"/>
    <w:rsid w:val="00942FBD"/>
    <w:rsid w:val="0094770B"/>
    <w:rsid w:val="00947D4A"/>
    <w:rsid w:val="00947E61"/>
    <w:rsid w:val="00951D88"/>
    <w:rsid w:val="009530BB"/>
    <w:rsid w:val="00957260"/>
    <w:rsid w:val="0096056C"/>
    <w:rsid w:val="00961848"/>
    <w:rsid w:val="00962719"/>
    <w:rsid w:val="009633F6"/>
    <w:rsid w:val="00963889"/>
    <w:rsid w:val="0096485E"/>
    <w:rsid w:val="00971CD2"/>
    <w:rsid w:val="00972459"/>
    <w:rsid w:val="00972C4F"/>
    <w:rsid w:val="00977459"/>
    <w:rsid w:val="00977E6E"/>
    <w:rsid w:val="00980C7D"/>
    <w:rsid w:val="00981341"/>
    <w:rsid w:val="00984037"/>
    <w:rsid w:val="00986165"/>
    <w:rsid w:val="00990B67"/>
    <w:rsid w:val="00991BBD"/>
    <w:rsid w:val="00992343"/>
    <w:rsid w:val="00993074"/>
    <w:rsid w:val="009931FF"/>
    <w:rsid w:val="00994B64"/>
    <w:rsid w:val="009954FE"/>
    <w:rsid w:val="00996216"/>
    <w:rsid w:val="0099776D"/>
    <w:rsid w:val="009A3663"/>
    <w:rsid w:val="009A3F5D"/>
    <w:rsid w:val="009A515B"/>
    <w:rsid w:val="009A7332"/>
    <w:rsid w:val="009B1BB7"/>
    <w:rsid w:val="009B2267"/>
    <w:rsid w:val="009B2FCA"/>
    <w:rsid w:val="009B3176"/>
    <w:rsid w:val="009B525F"/>
    <w:rsid w:val="009B725F"/>
    <w:rsid w:val="009C42FF"/>
    <w:rsid w:val="009C48E5"/>
    <w:rsid w:val="009C4DB1"/>
    <w:rsid w:val="009C561B"/>
    <w:rsid w:val="009C573B"/>
    <w:rsid w:val="009D0B00"/>
    <w:rsid w:val="009D0E20"/>
    <w:rsid w:val="009D1E0B"/>
    <w:rsid w:val="009D4424"/>
    <w:rsid w:val="009D4F60"/>
    <w:rsid w:val="009D5773"/>
    <w:rsid w:val="009D5A89"/>
    <w:rsid w:val="009D7623"/>
    <w:rsid w:val="009E0AE8"/>
    <w:rsid w:val="009E1B4F"/>
    <w:rsid w:val="009E3DFD"/>
    <w:rsid w:val="009E495F"/>
    <w:rsid w:val="009E4DDD"/>
    <w:rsid w:val="009E5374"/>
    <w:rsid w:val="009E6FD2"/>
    <w:rsid w:val="009F18B2"/>
    <w:rsid w:val="009F1E3B"/>
    <w:rsid w:val="009F345D"/>
    <w:rsid w:val="009F3866"/>
    <w:rsid w:val="009F63B2"/>
    <w:rsid w:val="009F6FBD"/>
    <w:rsid w:val="009F7A19"/>
    <w:rsid w:val="00A00F2B"/>
    <w:rsid w:val="00A01170"/>
    <w:rsid w:val="00A030A3"/>
    <w:rsid w:val="00A03DB2"/>
    <w:rsid w:val="00A05CF6"/>
    <w:rsid w:val="00A108EA"/>
    <w:rsid w:val="00A13218"/>
    <w:rsid w:val="00A134B7"/>
    <w:rsid w:val="00A14E3E"/>
    <w:rsid w:val="00A1743D"/>
    <w:rsid w:val="00A21358"/>
    <w:rsid w:val="00A217FF"/>
    <w:rsid w:val="00A21936"/>
    <w:rsid w:val="00A227A3"/>
    <w:rsid w:val="00A242F6"/>
    <w:rsid w:val="00A25291"/>
    <w:rsid w:val="00A358D4"/>
    <w:rsid w:val="00A40842"/>
    <w:rsid w:val="00A4198B"/>
    <w:rsid w:val="00A423BC"/>
    <w:rsid w:val="00A433E8"/>
    <w:rsid w:val="00A47766"/>
    <w:rsid w:val="00A47C5E"/>
    <w:rsid w:val="00A516A0"/>
    <w:rsid w:val="00A517A7"/>
    <w:rsid w:val="00A53DA4"/>
    <w:rsid w:val="00A550B1"/>
    <w:rsid w:val="00A574C0"/>
    <w:rsid w:val="00A60B73"/>
    <w:rsid w:val="00A616A2"/>
    <w:rsid w:val="00A62ABF"/>
    <w:rsid w:val="00A645AB"/>
    <w:rsid w:val="00A64B8E"/>
    <w:rsid w:val="00A66677"/>
    <w:rsid w:val="00A67F2E"/>
    <w:rsid w:val="00A72B74"/>
    <w:rsid w:val="00A73A28"/>
    <w:rsid w:val="00A73BE7"/>
    <w:rsid w:val="00A75E4E"/>
    <w:rsid w:val="00A76012"/>
    <w:rsid w:val="00A768EA"/>
    <w:rsid w:val="00A80080"/>
    <w:rsid w:val="00A80C35"/>
    <w:rsid w:val="00A80DBA"/>
    <w:rsid w:val="00A8332C"/>
    <w:rsid w:val="00A85369"/>
    <w:rsid w:val="00A91B0F"/>
    <w:rsid w:val="00A92149"/>
    <w:rsid w:val="00A94085"/>
    <w:rsid w:val="00AA0317"/>
    <w:rsid w:val="00AA063C"/>
    <w:rsid w:val="00AA084C"/>
    <w:rsid w:val="00AA1858"/>
    <w:rsid w:val="00AA24E2"/>
    <w:rsid w:val="00AA50BD"/>
    <w:rsid w:val="00AA5213"/>
    <w:rsid w:val="00AA6478"/>
    <w:rsid w:val="00AA6EAE"/>
    <w:rsid w:val="00AA77BF"/>
    <w:rsid w:val="00AB3A8C"/>
    <w:rsid w:val="00AB4951"/>
    <w:rsid w:val="00AB6113"/>
    <w:rsid w:val="00AB7B49"/>
    <w:rsid w:val="00AC2E85"/>
    <w:rsid w:val="00AC3BD0"/>
    <w:rsid w:val="00AC5D61"/>
    <w:rsid w:val="00AC600F"/>
    <w:rsid w:val="00AC6E97"/>
    <w:rsid w:val="00AD5296"/>
    <w:rsid w:val="00AD65E1"/>
    <w:rsid w:val="00AD7B95"/>
    <w:rsid w:val="00AE1F9C"/>
    <w:rsid w:val="00AE4EEA"/>
    <w:rsid w:val="00AF121D"/>
    <w:rsid w:val="00AF1B24"/>
    <w:rsid w:val="00AF2796"/>
    <w:rsid w:val="00AF3282"/>
    <w:rsid w:val="00AF3B92"/>
    <w:rsid w:val="00B00BB3"/>
    <w:rsid w:val="00B02A3D"/>
    <w:rsid w:val="00B02FB3"/>
    <w:rsid w:val="00B05CC2"/>
    <w:rsid w:val="00B11A97"/>
    <w:rsid w:val="00B1292C"/>
    <w:rsid w:val="00B243ED"/>
    <w:rsid w:val="00B25283"/>
    <w:rsid w:val="00B27A27"/>
    <w:rsid w:val="00B27DC2"/>
    <w:rsid w:val="00B315A0"/>
    <w:rsid w:val="00B32E40"/>
    <w:rsid w:val="00B3437E"/>
    <w:rsid w:val="00B34A18"/>
    <w:rsid w:val="00B34C13"/>
    <w:rsid w:val="00B34D86"/>
    <w:rsid w:val="00B36BDD"/>
    <w:rsid w:val="00B402F1"/>
    <w:rsid w:val="00B42A00"/>
    <w:rsid w:val="00B468CE"/>
    <w:rsid w:val="00B50C33"/>
    <w:rsid w:val="00B5172C"/>
    <w:rsid w:val="00B54F35"/>
    <w:rsid w:val="00B568F0"/>
    <w:rsid w:val="00B56EED"/>
    <w:rsid w:val="00B571DD"/>
    <w:rsid w:val="00B579CB"/>
    <w:rsid w:val="00B6147F"/>
    <w:rsid w:val="00B626CD"/>
    <w:rsid w:val="00B6314D"/>
    <w:rsid w:val="00B63535"/>
    <w:rsid w:val="00B657C5"/>
    <w:rsid w:val="00B65E1E"/>
    <w:rsid w:val="00B65E41"/>
    <w:rsid w:val="00B66787"/>
    <w:rsid w:val="00B66864"/>
    <w:rsid w:val="00B66E23"/>
    <w:rsid w:val="00B70083"/>
    <w:rsid w:val="00B72062"/>
    <w:rsid w:val="00B73978"/>
    <w:rsid w:val="00B73D0E"/>
    <w:rsid w:val="00B8058B"/>
    <w:rsid w:val="00B82513"/>
    <w:rsid w:val="00B8312D"/>
    <w:rsid w:val="00B8572A"/>
    <w:rsid w:val="00B85790"/>
    <w:rsid w:val="00B86C2E"/>
    <w:rsid w:val="00B87A76"/>
    <w:rsid w:val="00B9303A"/>
    <w:rsid w:val="00B938BE"/>
    <w:rsid w:val="00B94A19"/>
    <w:rsid w:val="00B961C4"/>
    <w:rsid w:val="00B96241"/>
    <w:rsid w:val="00BA41C3"/>
    <w:rsid w:val="00BA6428"/>
    <w:rsid w:val="00BA67DE"/>
    <w:rsid w:val="00BA6806"/>
    <w:rsid w:val="00BB17A0"/>
    <w:rsid w:val="00BB198B"/>
    <w:rsid w:val="00BB28F6"/>
    <w:rsid w:val="00BB2ACA"/>
    <w:rsid w:val="00BB3B4B"/>
    <w:rsid w:val="00BB482B"/>
    <w:rsid w:val="00BB585D"/>
    <w:rsid w:val="00BC2609"/>
    <w:rsid w:val="00BC26DD"/>
    <w:rsid w:val="00BC3E79"/>
    <w:rsid w:val="00BC4468"/>
    <w:rsid w:val="00BC6576"/>
    <w:rsid w:val="00BD3CE7"/>
    <w:rsid w:val="00BD4CE7"/>
    <w:rsid w:val="00BE194C"/>
    <w:rsid w:val="00BE2F24"/>
    <w:rsid w:val="00BE38DF"/>
    <w:rsid w:val="00BE3D67"/>
    <w:rsid w:val="00BE5629"/>
    <w:rsid w:val="00BE764D"/>
    <w:rsid w:val="00BF000E"/>
    <w:rsid w:val="00BF28C7"/>
    <w:rsid w:val="00BF5DD8"/>
    <w:rsid w:val="00BF71C2"/>
    <w:rsid w:val="00BF744E"/>
    <w:rsid w:val="00C00144"/>
    <w:rsid w:val="00C03DD1"/>
    <w:rsid w:val="00C117BC"/>
    <w:rsid w:val="00C12DA1"/>
    <w:rsid w:val="00C13145"/>
    <w:rsid w:val="00C139A9"/>
    <w:rsid w:val="00C13A7C"/>
    <w:rsid w:val="00C14792"/>
    <w:rsid w:val="00C16975"/>
    <w:rsid w:val="00C21374"/>
    <w:rsid w:val="00C24936"/>
    <w:rsid w:val="00C2572C"/>
    <w:rsid w:val="00C26BCE"/>
    <w:rsid w:val="00C305C9"/>
    <w:rsid w:val="00C34785"/>
    <w:rsid w:val="00C374A0"/>
    <w:rsid w:val="00C40A9A"/>
    <w:rsid w:val="00C40DCC"/>
    <w:rsid w:val="00C41420"/>
    <w:rsid w:val="00C42B0A"/>
    <w:rsid w:val="00C4610D"/>
    <w:rsid w:val="00C465EC"/>
    <w:rsid w:val="00C47178"/>
    <w:rsid w:val="00C55495"/>
    <w:rsid w:val="00C60C63"/>
    <w:rsid w:val="00C61012"/>
    <w:rsid w:val="00C616E6"/>
    <w:rsid w:val="00C62D50"/>
    <w:rsid w:val="00C642A9"/>
    <w:rsid w:val="00C64F4C"/>
    <w:rsid w:val="00C65574"/>
    <w:rsid w:val="00C65D54"/>
    <w:rsid w:val="00C6757F"/>
    <w:rsid w:val="00C67C97"/>
    <w:rsid w:val="00C70EC0"/>
    <w:rsid w:val="00C7135A"/>
    <w:rsid w:val="00C71797"/>
    <w:rsid w:val="00C72A9C"/>
    <w:rsid w:val="00C75207"/>
    <w:rsid w:val="00C76FE7"/>
    <w:rsid w:val="00C77A51"/>
    <w:rsid w:val="00C83760"/>
    <w:rsid w:val="00C83C4D"/>
    <w:rsid w:val="00C83C66"/>
    <w:rsid w:val="00C83F07"/>
    <w:rsid w:val="00C84123"/>
    <w:rsid w:val="00C85553"/>
    <w:rsid w:val="00C857D3"/>
    <w:rsid w:val="00C866DA"/>
    <w:rsid w:val="00C90410"/>
    <w:rsid w:val="00C92BF6"/>
    <w:rsid w:val="00C9304F"/>
    <w:rsid w:val="00CA1164"/>
    <w:rsid w:val="00CA17AC"/>
    <w:rsid w:val="00CA1968"/>
    <w:rsid w:val="00CA1CBE"/>
    <w:rsid w:val="00CA3EAA"/>
    <w:rsid w:val="00CA5C67"/>
    <w:rsid w:val="00CA6305"/>
    <w:rsid w:val="00CA6820"/>
    <w:rsid w:val="00CA6F5D"/>
    <w:rsid w:val="00CB0623"/>
    <w:rsid w:val="00CB2720"/>
    <w:rsid w:val="00CB276B"/>
    <w:rsid w:val="00CB4937"/>
    <w:rsid w:val="00CB62E4"/>
    <w:rsid w:val="00CB6541"/>
    <w:rsid w:val="00CC04B8"/>
    <w:rsid w:val="00CC2FDD"/>
    <w:rsid w:val="00CC4078"/>
    <w:rsid w:val="00CC6CC0"/>
    <w:rsid w:val="00CD1752"/>
    <w:rsid w:val="00CD4DD4"/>
    <w:rsid w:val="00CD5DAF"/>
    <w:rsid w:val="00CE1F5D"/>
    <w:rsid w:val="00CE338D"/>
    <w:rsid w:val="00CE3829"/>
    <w:rsid w:val="00CE4795"/>
    <w:rsid w:val="00CE4F89"/>
    <w:rsid w:val="00CE5EB4"/>
    <w:rsid w:val="00CE7104"/>
    <w:rsid w:val="00CE750F"/>
    <w:rsid w:val="00CE778B"/>
    <w:rsid w:val="00CF1498"/>
    <w:rsid w:val="00CF3980"/>
    <w:rsid w:val="00CF4050"/>
    <w:rsid w:val="00CF4437"/>
    <w:rsid w:val="00CF4E03"/>
    <w:rsid w:val="00CF6A1A"/>
    <w:rsid w:val="00CF7397"/>
    <w:rsid w:val="00D009A3"/>
    <w:rsid w:val="00D049B8"/>
    <w:rsid w:val="00D06197"/>
    <w:rsid w:val="00D10585"/>
    <w:rsid w:val="00D12474"/>
    <w:rsid w:val="00D15464"/>
    <w:rsid w:val="00D160CB"/>
    <w:rsid w:val="00D20D16"/>
    <w:rsid w:val="00D2106F"/>
    <w:rsid w:val="00D245A1"/>
    <w:rsid w:val="00D24CB3"/>
    <w:rsid w:val="00D24E98"/>
    <w:rsid w:val="00D25B3B"/>
    <w:rsid w:val="00D314E5"/>
    <w:rsid w:val="00D32543"/>
    <w:rsid w:val="00D32BA7"/>
    <w:rsid w:val="00D33BE6"/>
    <w:rsid w:val="00D3416D"/>
    <w:rsid w:val="00D3680D"/>
    <w:rsid w:val="00D36825"/>
    <w:rsid w:val="00D368D8"/>
    <w:rsid w:val="00D402F9"/>
    <w:rsid w:val="00D41049"/>
    <w:rsid w:val="00D415E2"/>
    <w:rsid w:val="00D42055"/>
    <w:rsid w:val="00D44E0C"/>
    <w:rsid w:val="00D4566C"/>
    <w:rsid w:val="00D4581F"/>
    <w:rsid w:val="00D45D56"/>
    <w:rsid w:val="00D45F79"/>
    <w:rsid w:val="00D56FB7"/>
    <w:rsid w:val="00D5729E"/>
    <w:rsid w:val="00D60B3D"/>
    <w:rsid w:val="00D617A4"/>
    <w:rsid w:val="00D647C3"/>
    <w:rsid w:val="00D6650E"/>
    <w:rsid w:val="00D67844"/>
    <w:rsid w:val="00D707FA"/>
    <w:rsid w:val="00D77739"/>
    <w:rsid w:val="00D82C99"/>
    <w:rsid w:val="00D83BE5"/>
    <w:rsid w:val="00D83D91"/>
    <w:rsid w:val="00D91838"/>
    <w:rsid w:val="00D91897"/>
    <w:rsid w:val="00D9386E"/>
    <w:rsid w:val="00D93C16"/>
    <w:rsid w:val="00D9633A"/>
    <w:rsid w:val="00D97562"/>
    <w:rsid w:val="00DA609B"/>
    <w:rsid w:val="00DB4C0C"/>
    <w:rsid w:val="00DB5BB2"/>
    <w:rsid w:val="00DC0DF4"/>
    <w:rsid w:val="00DD0BD9"/>
    <w:rsid w:val="00DD0F9D"/>
    <w:rsid w:val="00DD3C97"/>
    <w:rsid w:val="00DD49B6"/>
    <w:rsid w:val="00DD4FC4"/>
    <w:rsid w:val="00DE0D42"/>
    <w:rsid w:val="00DF2386"/>
    <w:rsid w:val="00DF2F8A"/>
    <w:rsid w:val="00DF5F99"/>
    <w:rsid w:val="00DF6B3E"/>
    <w:rsid w:val="00DF7FE7"/>
    <w:rsid w:val="00E00D38"/>
    <w:rsid w:val="00E016CC"/>
    <w:rsid w:val="00E042F9"/>
    <w:rsid w:val="00E0612A"/>
    <w:rsid w:val="00E12CA5"/>
    <w:rsid w:val="00E16CC7"/>
    <w:rsid w:val="00E17EE6"/>
    <w:rsid w:val="00E20094"/>
    <w:rsid w:val="00E21C66"/>
    <w:rsid w:val="00E236B9"/>
    <w:rsid w:val="00E25075"/>
    <w:rsid w:val="00E30B90"/>
    <w:rsid w:val="00E30B98"/>
    <w:rsid w:val="00E319D3"/>
    <w:rsid w:val="00E42A55"/>
    <w:rsid w:val="00E4514F"/>
    <w:rsid w:val="00E46367"/>
    <w:rsid w:val="00E4663F"/>
    <w:rsid w:val="00E50224"/>
    <w:rsid w:val="00E53769"/>
    <w:rsid w:val="00E604F4"/>
    <w:rsid w:val="00E6313B"/>
    <w:rsid w:val="00E631A8"/>
    <w:rsid w:val="00E63F0B"/>
    <w:rsid w:val="00E642B6"/>
    <w:rsid w:val="00E70ABD"/>
    <w:rsid w:val="00E73B49"/>
    <w:rsid w:val="00E74C69"/>
    <w:rsid w:val="00E75CA2"/>
    <w:rsid w:val="00E7606D"/>
    <w:rsid w:val="00E77109"/>
    <w:rsid w:val="00E777F3"/>
    <w:rsid w:val="00E80FF3"/>
    <w:rsid w:val="00E85C33"/>
    <w:rsid w:val="00E9257D"/>
    <w:rsid w:val="00E93BDD"/>
    <w:rsid w:val="00E949F7"/>
    <w:rsid w:val="00E96B53"/>
    <w:rsid w:val="00EA0456"/>
    <w:rsid w:val="00EA196C"/>
    <w:rsid w:val="00EA3A7F"/>
    <w:rsid w:val="00EA5C9D"/>
    <w:rsid w:val="00EA5E82"/>
    <w:rsid w:val="00EB2CA8"/>
    <w:rsid w:val="00EB3F23"/>
    <w:rsid w:val="00EB6182"/>
    <w:rsid w:val="00EB6561"/>
    <w:rsid w:val="00EB682B"/>
    <w:rsid w:val="00EC3923"/>
    <w:rsid w:val="00EC588F"/>
    <w:rsid w:val="00EC72C3"/>
    <w:rsid w:val="00ED2630"/>
    <w:rsid w:val="00ED2A0B"/>
    <w:rsid w:val="00ED2B49"/>
    <w:rsid w:val="00ED3A8C"/>
    <w:rsid w:val="00ED3AEB"/>
    <w:rsid w:val="00ED4036"/>
    <w:rsid w:val="00ED536D"/>
    <w:rsid w:val="00ED5805"/>
    <w:rsid w:val="00ED6F22"/>
    <w:rsid w:val="00ED7225"/>
    <w:rsid w:val="00EE37D2"/>
    <w:rsid w:val="00EE4971"/>
    <w:rsid w:val="00EE5DC3"/>
    <w:rsid w:val="00EE60AF"/>
    <w:rsid w:val="00EE7641"/>
    <w:rsid w:val="00EE7F06"/>
    <w:rsid w:val="00EF27A8"/>
    <w:rsid w:val="00EF37C0"/>
    <w:rsid w:val="00EF3D80"/>
    <w:rsid w:val="00EF4718"/>
    <w:rsid w:val="00EF557F"/>
    <w:rsid w:val="00F0628B"/>
    <w:rsid w:val="00F06D68"/>
    <w:rsid w:val="00F078F1"/>
    <w:rsid w:val="00F126E5"/>
    <w:rsid w:val="00F136F5"/>
    <w:rsid w:val="00F14404"/>
    <w:rsid w:val="00F207AC"/>
    <w:rsid w:val="00F20F57"/>
    <w:rsid w:val="00F21A80"/>
    <w:rsid w:val="00F21BAF"/>
    <w:rsid w:val="00F25929"/>
    <w:rsid w:val="00F26C2E"/>
    <w:rsid w:val="00F27FD2"/>
    <w:rsid w:val="00F32D03"/>
    <w:rsid w:val="00F331A5"/>
    <w:rsid w:val="00F33F24"/>
    <w:rsid w:val="00F344DE"/>
    <w:rsid w:val="00F34DE3"/>
    <w:rsid w:val="00F40D7D"/>
    <w:rsid w:val="00F4516D"/>
    <w:rsid w:val="00F503EA"/>
    <w:rsid w:val="00F50A7A"/>
    <w:rsid w:val="00F50F8D"/>
    <w:rsid w:val="00F51485"/>
    <w:rsid w:val="00F52E89"/>
    <w:rsid w:val="00F548E2"/>
    <w:rsid w:val="00F55ABA"/>
    <w:rsid w:val="00F56BB7"/>
    <w:rsid w:val="00F57D79"/>
    <w:rsid w:val="00F60DF2"/>
    <w:rsid w:val="00F61B79"/>
    <w:rsid w:val="00F7138B"/>
    <w:rsid w:val="00F73E71"/>
    <w:rsid w:val="00F73EE2"/>
    <w:rsid w:val="00F7539C"/>
    <w:rsid w:val="00F80085"/>
    <w:rsid w:val="00F819EB"/>
    <w:rsid w:val="00F8382F"/>
    <w:rsid w:val="00F847E5"/>
    <w:rsid w:val="00F84F55"/>
    <w:rsid w:val="00F862BE"/>
    <w:rsid w:val="00F90014"/>
    <w:rsid w:val="00F93D0E"/>
    <w:rsid w:val="00F94327"/>
    <w:rsid w:val="00F9634F"/>
    <w:rsid w:val="00F96963"/>
    <w:rsid w:val="00F9719A"/>
    <w:rsid w:val="00FA00D4"/>
    <w:rsid w:val="00FA276A"/>
    <w:rsid w:val="00FA2F4B"/>
    <w:rsid w:val="00FA4977"/>
    <w:rsid w:val="00FA5E54"/>
    <w:rsid w:val="00FA6159"/>
    <w:rsid w:val="00FB2AB2"/>
    <w:rsid w:val="00FB6EE7"/>
    <w:rsid w:val="00FB70D8"/>
    <w:rsid w:val="00FB7C64"/>
    <w:rsid w:val="00FC0A0E"/>
    <w:rsid w:val="00FC2EBB"/>
    <w:rsid w:val="00FC42BB"/>
    <w:rsid w:val="00FC6B33"/>
    <w:rsid w:val="00FC725D"/>
    <w:rsid w:val="00FC7A32"/>
    <w:rsid w:val="00FD0EEF"/>
    <w:rsid w:val="00FD1CE3"/>
    <w:rsid w:val="00FD27EB"/>
    <w:rsid w:val="00FD2D00"/>
    <w:rsid w:val="00FD2F1D"/>
    <w:rsid w:val="00FD45EA"/>
    <w:rsid w:val="00FD692A"/>
    <w:rsid w:val="00FE0683"/>
    <w:rsid w:val="00FE34A2"/>
    <w:rsid w:val="00FE4202"/>
    <w:rsid w:val="00FE5EEB"/>
    <w:rsid w:val="00FE7BC1"/>
    <w:rsid w:val="00FF2029"/>
    <w:rsid w:val="00FF3BCE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26314292"/>
  <w15:docId w15:val="{C28AB3F9-CB73-49BF-A256-C3C80442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B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F23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D24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0C2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E0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2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F13"/>
    <w:rPr>
      <w:rFonts w:ascii="Calibri" w:eastAsia="Calibri" w:hAnsi="Calibri" w:cs="Times New Roman"/>
    </w:rPr>
  </w:style>
  <w:style w:type="paragraph" w:customStyle="1" w:styleId="MGfulltext">
    <w:name w:val="MG_fulltext"/>
    <w:basedOn w:val="Normal"/>
    <w:link w:val="MGfulltextChar"/>
    <w:qFormat/>
    <w:rsid w:val="00B32E40"/>
    <w:pPr>
      <w:spacing w:after="120"/>
      <w:ind w:left="0" w:firstLine="0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MGfulltextChar">
    <w:name w:val="MG_fulltext Char"/>
    <w:basedOn w:val="DefaultParagraphFont"/>
    <w:link w:val="MGfulltext"/>
    <w:rsid w:val="00B32E40"/>
    <w:rPr>
      <w:rFonts w:ascii="Arial" w:eastAsia="Times New Roman" w:hAnsi="Arial" w:cs="Arial"/>
      <w:sz w:val="24"/>
      <w:szCs w:val="24"/>
      <w:lang w:val="en-US"/>
    </w:rPr>
  </w:style>
  <w:style w:type="paragraph" w:customStyle="1" w:styleId="Default">
    <w:name w:val="Default"/>
    <w:basedOn w:val="Normal"/>
    <w:rsid w:val="00267D03"/>
    <w:pPr>
      <w:autoSpaceDE w:val="0"/>
      <w:autoSpaceDN w:val="0"/>
      <w:ind w:left="0" w:firstLine="0"/>
    </w:pPr>
    <w:rPr>
      <w:rFonts w:ascii="Arial" w:eastAsiaTheme="minorHAnsi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D0F96"/>
    <w:rPr>
      <w:color w:val="800080"/>
      <w:u w:val="single"/>
    </w:rPr>
  </w:style>
  <w:style w:type="paragraph" w:customStyle="1" w:styleId="xl65">
    <w:name w:val="xl65"/>
    <w:basedOn w:val="Normal"/>
    <w:rsid w:val="006D0F96"/>
    <w:pPr>
      <w:spacing w:before="100" w:beforeAutospacing="1" w:after="100" w:afterAutospacing="1"/>
      <w:ind w:left="0" w:firstLine="0"/>
      <w:textAlignment w:val="top"/>
    </w:pPr>
    <w:rPr>
      <w:rFonts w:eastAsia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ind w:left="0" w:firstLine="0"/>
      <w:jc w:val="center"/>
      <w:textAlignment w:val="top"/>
    </w:pPr>
    <w:rPr>
      <w:rFonts w:eastAsia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left="0" w:firstLine="0"/>
      <w:jc w:val="center"/>
      <w:textAlignment w:val="top"/>
    </w:pPr>
    <w:rPr>
      <w:rFonts w:eastAsia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ind w:left="0" w:firstLine="0"/>
      <w:jc w:val="center"/>
      <w:textAlignment w:val="top"/>
    </w:pPr>
    <w:rPr>
      <w:rFonts w:eastAsia="Times New Roman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5">
    <w:name w:val="xl75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7">
    <w:name w:val="xl77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9">
    <w:name w:val="xl79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eastAsia="Times New Roman"/>
      <w:b/>
      <w:bCs/>
      <w:sz w:val="24"/>
      <w:szCs w:val="24"/>
      <w:lang w:eastAsia="en-GB"/>
    </w:rPr>
  </w:style>
  <w:style w:type="paragraph" w:customStyle="1" w:styleId="xl80">
    <w:name w:val="xl80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eastAsia="Times New Roman"/>
      <w:b/>
      <w:bCs/>
      <w:sz w:val="24"/>
      <w:szCs w:val="24"/>
      <w:lang w:eastAsia="en-GB"/>
    </w:rPr>
  </w:style>
  <w:style w:type="paragraph" w:customStyle="1" w:styleId="xl81">
    <w:name w:val="xl81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2">
    <w:name w:val="xl82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5">
    <w:name w:val="xl85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8">
    <w:name w:val="xl88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9">
    <w:name w:val="xl89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90">
    <w:name w:val="xl90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qFormat/>
    <w:rsid w:val="002D300B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CE1F5D"/>
    <w:pPr>
      <w:widowControl w:val="0"/>
      <w:ind w:left="548" w:firstLine="0"/>
    </w:pPr>
    <w:rPr>
      <w:rFonts w:ascii="Arial" w:eastAsia="Arial" w:hAnsi="Arial" w:cstheme="minorBid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E1F5D"/>
    <w:rPr>
      <w:rFonts w:ascii="Arial" w:eastAsia="Arial" w:hAnsi="Arial"/>
      <w:lang w:val="en-US"/>
    </w:rPr>
  </w:style>
  <w:style w:type="paragraph" w:customStyle="1" w:styleId="xl66">
    <w:name w:val="xl66"/>
    <w:basedOn w:val="Normal"/>
    <w:rsid w:val="00CE1F5D"/>
    <w:pPr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1">
    <w:name w:val="xl91"/>
    <w:basedOn w:val="Normal"/>
    <w:rsid w:val="00CE1F5D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2">
    <w:name w:val="xl92"/>
    <w:basedOn w:val="Normal"/>
    <w:rsid w:val="00CE1F5D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12" w:space="0" w:color="000000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3">
    <w:name w:val="xl93"/>
    <w:basedOn w:val="Normal"/>
    <w:rsid w:val="00CE1F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4">
    <w:name w:val="xl94"/>
    <w:basedOn w:val="Normal"/>
    <w:rsid w:val="00CE1F5D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8" w:space="0" w:color="auto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5">
    <w:name w:val="xl95"/>
    <w:basedOn w:val="Normal"/>
    <w:rsid w:val="00CE1F5D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6">
    <w:name w:val="xl96"/>
    <w:basedOn w:val="Normal"/>
    <w:rsid w:val="00CE1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</w:pPr>
    <w:rPr>
      <w:rFonts w:eastAsia="Times New Roman"/>
      <w:b/>
      <w:bCs/>
      <w:sz w:val="26"/>
      <w:szCs w:val="26"/>
      <w:lang w:eastAsia="en-GB"/>
    </w:rPr>
  </w:style>
  <w:style w:type="paragraph" w:customStyle="1" w:styleId="xl97">
    <w:name w:val="xl97"/>
    <w:basedOn w:val="Normal"/>
    <w:rsid w:val="00CE1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98">
    <w:name w:val="xl98"/>
    <w:basedOn w:val="Normal"/>
    <w:rsid w:val="00CE1F5D"/>
    <w:pPr>
      <w:pBdr>
        <w:top w:val="single" w:sz="8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99">
    <w:name w:val="xl99"/>
    <w:basedOn w:val="Normal"/>
    <w:rsid w:val="00CE1F5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b/>
      <w:bCs/>
      <w:sz w:val="26"/>
      <w:szCs w:val="26"/>
      <w:lang w:eastAsia="en-GB"/>
    </w:rPr>
  </w:style>
  <w:style w:type="paragraph" w:customStyle="1" w:styleId="xl100">
    <w:name w:val="xl100"/>
    <w:basedOn w:val="Normal"/>
    <w:rsid w:val="00CE1F5D"/>
    <w:pPr>
      <w:pBdr>
        <w:left w:val="single" w:sz="8" w:space="0" w:color="auto"/>
        <w:bottom w:val="double" w:sz="6" w:space="0" w:color="000000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b/>
      <w:bCs/>
      <w:sz w:val="26"/>
      <w:szCs w:val="26"/>
      <w:lang w:eastAsia="en-GB"/>
    </w:rPr>
  </w:style>
  <w:style w:type="paragraph" w:customStyle="1" w:styleId="xl101">
    <w:name w:val="xl101"/>
    <w:basedOn w:val="Normal"/>
    <w:rsid w:val="00CE1F5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2">
    <w:name w:val="xl102"/>
    <w:basedOn w:val="Normal"/>
    <w:rsid w:val="00CE1F5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3">
    <w:name w:val="xl103"/>
    <w:basedOn w:val="Normal"/>
    <w:rsid w:val="00CE1F5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4">
    <w:name w:val="xl104"/>
    <w:basedOn w:val="Normal"/>
    <w:rsid w:val="00CE1F5D"/>
    <w:pPr>
      <w:pBdr>
        <w:top w:val="single" w:sz="8" w:space="0" w:color="auto"/>
        <w:left w:val="single" w:sz="12" w:space="0" w:color="000000"/>
        <w:bottom w:val="double" w:sz="6" w:space="0" w:color="000000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5">
    <w:name w:val="xl105"/>
    <w:basedOn w:val="Normal"/>
    <w:rsid w:val="00CE1F5D"/>
    <w:pPr>
      <w:pBdr>
        <w:top w:val="single" w:sz="8" w:space="0" w:color="auto"/>
        <w:bottom w:val="double" w:sz="6" w:space="0" w:color="000000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6">
    <w:name w:val="xl106"/>
    <w:basedOn w:val="Normal"/>
    <w:rsid w:val="00CE1F5D"/>
    <w:pPr>
      <w:pBdr>
        <w:top w:val="single" w:sz="8" w:space="0" w:color="auto"/>
        <w:bottom w:val="double" w:sz="6" w:space="0" w:color="000000"/>
        <w:right w:val="single" w:sz="8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7">
    <w:name w:val="xl107"/>
    <w:basedOn w:val="Normal"/>
    <w:rsid w:val="00CE1F5D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6"/>
      <w:szCs w:val="26"/>
      <w:lang w:eastAsia="en-GB"/>
    </w:rPr>
  </w:style>
  <w:style w:type="paragraph" w:customStyle="1" w:styleId="xl108">
    <w:name w:val="xl108"/>
    <w:basedOn w:val="Normal"/>
    <w:rsid w:val="00CE1F5D"/>
    <w:pPr>
      <w:pBdr>
        <w:top w:val="single" w:sz="8" w:space="0" w:color="auto"/>
        <w:bottom w:val="double" w:sz="6" w:space="0" w:color="000000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9">
    <w:name w:val="xl109"/>
    <w:basedOn w:val="Normal"/>
    <w:rsid w:val="00CE1F5D"/>
    <w:pPr>
      <w:pBdr>
        <w:top w:val="single" w:sz="8" w:space="0" w:color="auto"/>
        <w:bottom w:val="double" w:sz="6" w:space="0" w:color="000000"/>
        <w:right w:val="single" w:sz="8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table" w:styleId="GridTable4-Accent1">
    <w:name w:val="Grid Table 4 Accent 1"/>
    <w:basedOn w:val="TableNormal"/>
    <w:uiPriority w:val="49"/>
    <w:rsid w:val="004B4D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82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C1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5C1B09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Listpara2">
    <w:name w:val="List para 2"/>
    <w:basedOn w:val="Normal"/>
    <w:qFormat/>
    <w:rsid w:val="005C1B09"/>
    <w:pPr>
      <w:numPr>
        <w:numId w:val="2"/>
      </w:numPr>
      <w:contextualSpacing/>
    </w:pPr>
    <w:rPr>
      <w:rFonts w:asciiTheme="majorHAnsi" w:hAnsiTheme="majorHAnsi"/>
      <w:bCs/>
    </w:rPr>
  </w:style>
  <w:style w:type="table" w:styleId="PlainTable1">
    <w:name w:val="Plain Table 1"/>
    <w:basedOn w:val="TableNormal"/>
    <w:uiPriority w:val="41"/>
    <w:rsid w:val="005C1B0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5C1B0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37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amsar.org/document/sc65-doc81-financial-budgetary-matters-update-financial-matters-2024-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866174F1EB4584C940634C144C32" ma:contentTypeVersion="13" ma:contentTypeDescription="Create a new document." ma:contentTypeScope="" ma:versionID="5013cc71c1859598a18b9ce7312ef195">
  <xsd:schema xmlns:xsd="http://www.w3.org/2001/XMLSchema" xmlns:xs="http://www.w3.org/2001/XMLSchema" xmlns:p="http://schemas.microsoft.com/office/2006/metadata/properties" xmlns:ns3="8c0b6b05-eb82-4bda-97e8-cd82d0d6b453" xmlns:ns4="aedd258d-19a7-41ba-8260-b0918f25313d" targetNamespace="http://schemas.microsoft.com/office/2006/metadata/properties" ma:root="true" ma:fieldsID="4e80ea02e018efc09e8a65ba00d312e4" ns3:_="" ns4:_="">
    <xsd:import namespace="8c0b6b05-eb82-4bda-97e8-cd82d0d6b453"/>
    <xsd:import namespace="aedd258d-19a7-41ba-8260-b0918f253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b6b05-eb82-4bda-97e8-cd82d0d6b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258d-19a7-41ba-8260-b0918f25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77F199-DDAF-433B-B8CC-C28A0146F9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34C4B3-C46C-4E9E-881B-7C8702451B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329CF-AD15-467B-83E2-FE2EC862B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b6b05-eb82-4bda-97e8-cd82d0d6b453"/>
    <ds:schemaRef ds:uri="aedd258d-19a7-41ba-8260-b0918f25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FA59D1-DF64-47A6-A56D-7AB82387348C}">
  <ds:schemaRefs>
    <ds:schemaRef ds:uri="http://purl.org/dc/terms/"/>
    <ds:schemaRef ds:uri="http://schemas.microsoft.com/office/2006/metadata/properties"/>
    <ds:schemaRef ds:uri="http://purl.org/dc/elements/1.1/"/>
    <ds:schemaRef ds:uri="8c0b6b05-eb82-4bda-97e8-cd82d0d6b453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aedd258d-19a7-41ba-8260-b0918f25313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Convention on Wetlands</dc:creator>
  <cp:lastModifiedBy>BRACE Poppy</cp:lastModifiedBy>
  <cp:revision>4</cp:revision>
  <cp:lastPrinted>2025-04-01T07:39:00Z</cp:lastPrinted>
  <dcterms:created xsi:type="dcterms:W3CDTF">2025-04-10T11:38:00Z</dcterms:created>
  <dcterms:modified xsi:type="dcterms:W3CDTF">2025-04-15T12:03:00Z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0x01010020C2866174F1EB4584C940634C144C32</vt:lpwstr>
  </property>
</Properties>
</file>