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8D0E1" w14:textId="77777777" w:rsidR="000C3BD5" w:rsidRPr="00DF7FA6" w:rsidRDefault="000C3BD5" w:rsidP="000C3BD5">
      <w:pPr>
        <w:jc w:val="center"/>
        <w:outlineLvl w:val="0"/>
        <w:rPr>
          <w:rFonts w:ascii="Calibri" w:hAnsi="Calibri" w:cs="Cambria"/>
          <w:b/>
          <w:bCs/>
          <w:lang w:eastAsia="en-US"/>
        </w:rPr>
      </w:pPr>
      <w:r w:rsidRPr="00DF7FA6">
        <w:rPr>
          <w:rFonts w:ascii="Calibri" w:hAnsi="Calibri" w:cs="Cambria"/>
          <w:b/>
          <w:bCs/>
          <w:noProof/>
          <w:lang w:eastAsia="en-US"/>
        </w:rPr>
        <w:drawing>
          <wp:anchor distT="0" distB="0" distL="114300" distR="114300" simplePos="0" relativeHeight="251659264" behindDoc="0" locked="0" layoutInCell="1" allowOverlap="1" wp14:anchorId="0C31522A" wp14:editId="5B29BC85">
            <wp:simplePos x="0" y="0"/>
            <wp:positionH relativeFrom="margin">
              <wp:posOffset>0</wp:posOffset>
            </wp:positionH>
            <wp:positionV relativeFrom="margin">
              <wp:posOffset>-234315</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11" cstate="print">
                      <a:extLst>
                        <a:ext uri="{28A0092B-C50C-407E-A947-70E740481C1C}">
                          <a14:useLocalDpi xmlns:a14="http://schemas.microsoft.com/office/drawing/2010/main" val="0"/>
                        </a:ext>
                      </a:extLst>
                    </a:blip>
                    <a:srcRect t="930" b="930"/>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021E0D" w14:textId="77777777" w:rsidR="000C3BD5" w:rsidRPr="00DF7FA6" w:rsidRDefault="000C3BD5" w:rsidP="000C3BD5">
      <w:pPr>
        <w:jc w:val="center"/>
        <w:outlineLvl w:val="0"/>
        <w:rPr>
          <w:rFonts w:ascii="Calibri" w:hAnsi="Calibri" w:cs="Cambria"/>
          <w:b/>
          <w:bCs/>
          <w:lang w:eastAsia="en-US"/>
        </w:rPr>
      </w:pPr>
      <w:r w:rsidRPr="00DF7FA6">
        <w:rPr>
          <w:rFonts w:ascii="Calibri" w:hAnsi="Calibri" w:cs="Cambria"/>
          <w:b/>
          <w:bCs/>
          <w:lang w:eastAsia="en-US"/>
        </w:rPr>
        <w:t>15ª reunión de la Conferencia de las Partes Contratantes</w:t>
      </w:r>
    </w:p>
    <w:p w14:paraId="4A47E284" w14:textId="77777777" w:rsidR="000C3BD5" w:rsidRPr="00DF7FA6" w:rsidRDefault="000C3BD5" w:rsidP="000C3BD5">
      <w:pPr>
        <w:jc w:val="center"/>
        <w:outlineLvl w:val="0"/>
        <w:rPr>
          <w:rFonts w:ascii="Calibri" w:hAnsi="Calibri" w:cs="Cambria"/>
          <w:b/>
          <w:bCs/>
          <w:lang w:eastAsia="en-US"/>
        </w:rPr>
      </w:pPr>
      <w:r w:rsidRPr="00DF7FA6">
        <w:rPr>
          <w:rFonts w:ascii="Calibri" w:hAnsi="Calibri" w:cs="Cambria"/>
          <w:b/>
          <w:bCs/>
          <w:lang w:eastAsia="en-US"/>
        </w:rPr>
        <w:t>en la Convención sobre los Humedales</w:t>
      </w:r>
    </w:p>
    <w:p w14:paraId="42C9BD4A" w14:textId="77777777" w:rsidR="000C3BD5" w:rsidRPr="00DF7FA6" w:rsidRDefault="000C3BD5" w:rsidP="000C3BD5">
      <w:pPr>
        <w:jc w:val="center"/>
        <w:outlineLvl w:val="0"/>
        <w:rPr>
          <w:rFonts w:ascii="Calibri" w:hAnsi="Calibri" w:cs="Cambria"/>
          <w:b/>
          <w:bCs/>
          <w:lang w:eastAsia="en-US"/>
        </w:rPr>
      </w:pPr>
    </w:p>
    <w:p w14:paraId="506FA9D5" w14:textId="77777777" w:rsidR="000C3BD5" w:rsidRPr="00DF7FA6" w:rsidRDefault="000C3BD5" w:rsidP="000C3BD5">
      <w:pPr>
        <w:jc w:val="center"/>
        <w:outlineLvl w:val="0"/>
        <w:rPr>
          <w:rFonts w:ascii="Calibri" w:hAnsi="Calibri" w:cs="Cambria"/>
          <w:b/>
          <w:bCs/>
          <w:lang w:eastAsia="en-US"/>
        </w:rPr>
      </w:pPr>
      <w:r w:rsidRPr="00DF7FA6">
        <w:rPr>
          <w:rFonts w:ascii="Calibri" w:hAnsi="Calibri" w:cs="Cambria"/>
          <w:b/>
          <w:bCs/>
          <w:lang w:eastAsia="en-US"/>
        </w:rPr>
        <w:t>“Proteger los humedales para nuestro futuro común”</w:t>
      </w:r>
    </w:p>
    <w:p w14:paraId="66D32412" w14:textId="77777777" w:rsidR="000C3BD5" w:rsidRPr="00DF7FA6" w:rsidRDefault="000C3BD5" w:rsidP="000C3BD5">
      <w:pPr>
        <w:jc w:val="center"/>
        <w:outlineLvl w:val="0"/>
        <w:rPr>
          <w:rFonts w:ascii="Calibri" w:hAnsi="Calibri" w:cs="Cambria"/>
          <w:b/>
          <w:bCs/>
          <w:lang w:eastAsia="en-US"/>
        </w:rPr>
      </w:pPr>
      <w:r w:rsidRPr="00DF7FA6">
        <w:rPr>
          <w:rFonts w:ascii="Calibri" w:hAnsi="Calibri" w:cs="Cambria"/>
          <w:b/>
          <w:bCs/>
          <w:lang w:eastAsia="en-US"/>
        </w:rPr>
        <w:t>Victoria Falls (Zimbabwe), 23 a 31 de julio de 2025</w:t>
      </w:r>
    </w:p>
    <w:p w14:paraId="4D1BC29F" w14:textId="77777777" w:rsidR="000C3BD5" w:rsidRPr="00DF7FA6" w:rsidRDefault="000C3BD5" w:rsidP="000C3BD5">
      <w:pPr>
        <w:jc w:val="center"/>
        <w:outlineLvl w:val="0"/>
        <w:rPr>
          <w:rFonts w:ascii="Calibri" w:hAnsi="Calibri" w:cs="Cambria"/>
          <w:b/>
          <w:bCs/>
          <w:lang w:eastAsia="en-US"/>
        </w:rPr>
      </w:pPr>
    </w:p>
    <w:p w14:paraId="3D061FCF" w14:textId="77777777" w:rsidR="000C3BD5" w:rsidRPr="00DF7FA6" w:rsidRDefault="000C3BD5" w:rsidP="000C3BD5">
      <w:pPr>
        <w:jc w:val="center"/>
        <w:outlineLvl w:val="0"/>
        <w:rPr>
          <w:rFonts w:ascii="Calibri" w:hAnsi="Calibri" w:cs="Cambria"/>
          <w:b/>
          <w:bCs/>
          <w:lang w:eastAsia="en-US"/>
        </w:rPr>
      </w:pPr>
    </w:p>
    <w:p w14:paraId="2EFF1E12" w14:textId="77777777" w:rsidR="000C3BD5" w:rsidRPr="00014784" w:rsidRDefault="000C3BD5" w:rsidP="000C3BD5">
      <w:pPr>
        <w:jc w:val="center"/>
        <w:outlineLvl w:val="0"/>
        <w:rPr>
          <w:rFonts w:asciiTheme="minorHAnsi" w:hAnsiTheme="minorHAnsi" w:cstheme="minorHAnsi"/>
          <w:b/>
          <w:bCs/>
          <w:sz w:val="22"/>
          <w:szCs w:val="22"/>
        </w:rPr>
      </w:pPr>
    </w:p>
    <w:p w14:paraId="575CE261" w14:textId="77777777" w:rsidR="0016610A" w:rsidRPr="00553AD2" w:rsidRDefault="0016610A" w:rsidP="0016610A">
      <w:pPr>
        <w:ind w:left="0" w:firstLine="0"/>
        <w:jc w:val="right"/>
        <w:rPr>
          <w:rFonts w:asciiTheme="minorHAnsi" w:eastAsiaTheme="minorHAnsi" w:hAnsiTheme="minorHAnsi"/>
          <w:sz w:val="22"/>
          <w:szCs w:val="22"/>
          <w:lang w:eastAsia="en-US"/>
        </w:rPr>
      </w:pPr>
    </w:p>
    <w:p w14:paraId="21657B0E" w14:textId="11876886" w:rsidR="0016610A" w:rsidRPr="00553AD2" w:rsidRDefault="0016610A" w:rsidP="0016610A">
      <w:pPr>
        <w:widowControl w:val="0"/>
        <w:ind w:left="0" w:firstLine="0"/>
        <w:jc w:val="right"/>
        <w:rPr>
          <w:rFonts w:asciiTheme="minorHAnsi" w:eastAsiaTheme="minorHAnsi" w:hAnsiTheme="minorHAnsi" w:cstheme="minorHAnsi"/>
          <w:sz w:val="22"/>
          <w:szCs w:val="22"/>
        </w:rPr>
      </w:pPr>
      <w:r w:rsidRPr="00553AD2">
        <w:rPr>
          <w:rFonts w:asciiTheme="minorHAnsi" w:hAnsiTheme="minorHAnsi"/>
          <w:b/>
          <w:sz w:val="28"/>
          <w:szCs w:val="28"/>
        </w:rPr>
        <w:t>COP15 Doc.17</w:t>
      </w:r>
    </w:p>
    <w:p w14:paraId="23E946FC" w14:textId="77777777" w:rsidR="00065B8F" w:rsidRPr="001C523E" w:rsidRDefault="00065B8F" w:rsidP="00A451D1">
      <w:pPr>
        <w:widowControl w:val="0"/>
        <w:jc w:val="center"/>
        <w:rPr>
          <w:rFonts w:asciiTheme="minorHAnsi" w:hAnsiTheme="minorHAnsi" w:cstheme="minorHAnsi"/>
          <w:bCs/>
          <w:sz w:val="28"/>
          <w:szCs w:val="28"/>
        </w:rPr>
      </w:pPr>
    </w:p>
    <w:p w14:paraId="3F7717A0" w14:textId="77777777" w:rsidR="0000149B" w:rsidRPr="001C523E" w:rsidRDefault="0000149B" w:rsidP="00A451D1">
      <w:pPr>
        <w:widowControl w:val="0"/>
        <w:jc w:val="center"/>
        <w:rPr>
          <w:rFonts w:asciiTheme="minorHAnsi" w:hAnsiTheme="minorHAnsi" w:cstheme="minorHAnsi"/>
          <w:bCs/>
          <w:sz w:val="28"/>
          <w:szCs w:val="28"/>
        </w:rPr>
      </w:pPr>
    </w:p>
    <w:p w14:paraId="6D68E7B9" w14:textId="73D8D75C" w:rsidR="00024100" w:rsidRPr="00553AD2" w:rsidRDefault="0000149B" w:rsidP="00A451D1">
      <w:pPr>
        <w:widowControl w:val="0"/>
        <w:jc w:val="center"/>
        <w:rPr>
          <w:rFonts w:asciiTheme="minorHAnsi" w:hAnsiTheme="minorHAnsi" w:cstheme="minorHAnsi"/>
          <w:b/>
          <w:bCs/>
          <w:sz w:val="28"/>
          <w:szCs w:val="28"/>
        </w:rPr>
      </w:pPr>
      <w:r w:rsidRPr="00553AD2">
        <w:rPr>
          <w:rFonts w:asciiTheme="minorHAnsi" w:hAnsiTheme="minorHAnsi"/>
          <w:b/>
          <w:bCs/>
          <w:sz w:val="28"/>
          <w:szCs w:val="28"/>
        </w:rPr>
        <w:t>Informe de la Secretaría sobre las repercusiones administrativas y financieras de los proyectos de resolución</w:t>
      </w:r>
    </w:p>
    <w:p w14:paraId="4EEC0818" w14:textId="77777777" w:rsidR="006058B3" w:rsidRPr="001C523E" w:rsidRDefault="006058B3" w:rsidP="00A451D1">
      <w:pPr>
        <w:widowControl w:val="0"/>
        <w:jc w:val="left"/>
        <w:rPr>
          <w:rFonts w:asciiTheme="minorHAnsi" w:hAnsiTheme="minorHAnsi" w:cstheme="minorHAnsi"/>
          <w:b/>
          <w:bCs/>
          <w:sz w:val="22"/>
          <w:szCs w:val="22"/>
        </w:rPr>
      </w:pPr>
    </w:p>
    <w:p w14:paraId="75451CD6" w14:textId="77777777" w:rsidR="0000149B" w:rsidRPr="001C523E" w:rsidRDefault="0000149B" w:rsidP="00A451D1">
      <w:pPr>
        <w:widowControl w:val="0"/>
        <w:jc w:val="left"/>
        <w:rPr>
          <w:rFonts w:asciiTheme="minorHAnsi" w:hAnsiTheme="minorHAnsi" w:cstheme="minorHAnsi"/>
          <w:b/>
          <w:bCs/>
          <w:sz w:val="22"/>
          <w:szCs w:val="22"/>
        </w:rPr>
      </w:pPr>
    </w:p>
    <w:p w14:paraId="4FFF5DA1" w14:textId="77777777" w:rsidR="00773024" w:rsidRPr="00553AD2" w:rsidRDefault="00773024" w:rsidP="00A451D1">
      <w:pPr>
        <w:widowControl w:val="0"/>
        <w:ind w:left="425" w:hanging="425"/>
        <w:jc w:val="left"/>
        <w:rPr>
          <w:rFonts w:asciiTheme="minorHAnsi" w:hAnsiTheme="minorHAnsi" w:cstheme="minorHAnsi"/>
          <w:b/>
          <w:bCs/>
          <w:sz w:val="22"/>
          <w:szCs w:val="22"/>
        </w:rPr>
      </w:pPr>
      <w:r w:rsidRPr="00553AD2">
        <w:rPr>
          <w:rFonts w:asciiTheme="minorHAnsi" w:hAnsiTheme="minorHAnsi"/>
          <w:b/>
          <w:bCs/>
          <w:sz w:val="22"/>
          <w:szCs w:val="22"/>
        </w:rPr>
        <w:t>Antecedentes</w:t>
      </w:r>
    </w:p>
    <w:p w14:paraId="12B7CC52" w14:textId="77777777" w:rsidR="00C32315" w:rsidRPr="00553AD2" w:rsidRDefault="00C32315" w:rsidP="00A451D1">
      <w:pPr>
        <w:widowControl w:val="0"/>
        <w:ind w:left="0" w:firstLine="0"/>
        <w:jc w:val="left"/>
        <w:rPr>
          <w:rFonts w:asciiTheme="minorHAnsi" w:hAnsiTheme="minorHAnsi" w:cstheme="minorHAnsi"/>
          <w:sz w:val="22"/>
          <w:szCs w:val="22"/>
        </w:rPr>
      </w:pPr>
    </w:p>
    <w:p w14:paraId="734459E4" w14:textId="7944A23A" w:rsidR="00027DBC" w:rsidRPr="00553AD2" w:rsidRDefault="003501A9" w:rsidP="00A451D1">
      <w:pPr>
        <w:widowControl w:val="0"/>
        <w:ind w:left="425" w:hanging="425"/>
        <w:jc w:val="left"/>
        <w:rPr>
          <w:rFonts w:asciiTheme="minorHAnsi" w:hAnsiTheme="minorHAnsi" w:cstheme="minorHAnsi"/>
          <w:bCs/>
          <w:sz w:val="22"/>
          <w:szCs w:val="22"/>
        </w:rPr>
      </w:pPr>
      <w:r w:rsidRPr="00553AD2">
        <w:rPr>
          <w:rFonts w:asciiTheme="minorHAnsi" w:hAnsiTheme="minorHAnsi"/>
          <w:bCs/>
          <w:sz w:val="22"/>
          <w:szCs w:val="22"/>
        </w:rPr>
        <w:t>1.</w:t>
      </w:r>
      <w:r w:rsidR="00553AD2" w:rsidRPr="00553AD2">
        <w:rPr>
          <w:rFonts w:asciiTheme="minorHAnsi" w:hAnsiTheme="minorHAnsi" w:cstheme="minorHAnsi"/>
          <w:bCs/>
          <w:sz w:val="22"/>
          <w:szCs w:val="22"/>
        </w:rPr>
        <w:tab/>
      </w:r>
      <w:r w:rsidR="00BD2193" w:rsidRPr="00553AD2">
        <w:rPr>
          <w:rFonts w:asciiTheme="minorHAnsi" w:hAnsiTheme="minorHAnsi"/>
          <w:sz w:val="22"/>
          <w:szCs w:val="22"/>
        </w:rPr>
        <w:t xml:space="preserve">El artículo 14 del reglamento de la Convención establece que </w:t>
      </w:r>
      <w:r w:rsidR="00553AD2">
        <w:rPr>
          <w:rFonts w:asciiTheme="minorHAnsi" w:hAnsiTheme="minorHAnsi"/>
          <w:sz w:val="22"/>
          <w:szCs w:val="22"/>
        </w:rPr>
        <w:t>“</w:t>
      </w:r>
      <w:r w:rsidR="00BD2193" w:rsidRPr="00553AD2">
        <w:rPr>
          <w:rFonts w:asciiTheme="minorHAnsi" w:hAnsiTheme="minorHAnsi"/>
          <w:sz w:val="22"/>
          <w:szCs w:val="22"/>
        </w:rPr>
        <w:t>la Secretaría informará sobre las consecuencias administrativas y financieras de todos los asuntos sustantivos del orden del día presentados a la reunión de la Conferencia de las Partes en un plazo de 24 horas desde la apertura de la reunión y antes de que la Conferencia de las Partes tome decisiones sobre dichos asuntos</w:t>
      </w:r>
      <w:r w:rsidR="00553AD2">
        <w:rPr>
          <w:rFonts w:asciiTheme="minorHAnsi" w:hAnsiTheme="minorHAnsi"/>
          <w:sz w:val="22"/>
          <w:szCs w:val="22"/>
        </w:rPr>
        <w:t>”</w:t>
      </w:r>
      <w:r w:rsidR="00BD2193" w:rsidRPr="00553AD2">
        <w:rPr>
          <w:rFonts w:asciiTheme="minorHAnsi" w:hAnsiTheme="minorHAnsi"/>
          <w:sz w:val="22"/>
          <w:szCs w:val="22"/>
        </w:rPr>
        <w:t>.</w:t>
      </w:r>
    </w:p>
    <w:p w14:paraId="43FF90B5" w14:textId="77777777" w:rsidR="00027DBC" w:rsidRPr="00553AD2" w:rsidRDefault="00027DBC" w:rsidP="00A451D1">
      <w:pPr>
        <w:widowControl w:val="0"/>
        <w:ind w:left="425" w:hanging="425"/>
        <w:jc w:val="left"/>
        <w:rPr>
          <w:rFonts w:asciiTheme="minorHAnsi" w:hAnsiTheme="minorHAnsi" w:cstheme="minorHAnsi"/>
          <w:bCs/>
          <w:sz w:val="22"/>
          <w:szCs w:val="22"/>
        </w:rPr>
      </w:pPr>
    </w:p>
    <w:p w14:paraId="20397F35" w14:textId="7D777D15" w:rsidR="00C41747" w:rsidRPr="00553AD2" w:rsidRDefault="00027DBC" w:rsidP="00A451D1">
      <w:pPr>
        <w:widowControl w:val="0"/>
        <w:ind w:left="425" w:hanging="425"/>
        <w:jc w:val="left"/>
        <w:rPr>
          <w:rFonts w:asciiTheme="minorHAnsi" w:hAnsiTheme="minorHAnsi" w:cstheme="minorHAnsi"/>
          <w:sz w:val="22"/>
          <w:szCs w:val="22"/>
        </w:rPr>
      </w:pPr>
      <w:r w:rsidRPr="00553AD2">
        <w:rPr>
          <w:rFonts w:asciiTheme="minorHAnsi" w:hAnsiTheme="minorHAnsi"/>
          <w:bCs/>
          <w:sz w:val="22"/>
          <w:szCs w:val="22"/>
        </w:rPr>
        <w:t>2.</w:t>
      </w:r>
      <w:r w:rsidR="00553AD2" w:rsidRPr="00553AD2">
        <w:rPr>
          <w:rFonts w:asciiTheme="minorHAnsi" w:hAnsiTheme="minorHAnsi" w:cstheme="minorHAnsi"/>
          <w:bCs/>
          <w:sz w:val="22"/>
          <w:szCs w:val="22"/>
        </w:rPr>
        <w:tab/>
      </w:r>
      <w:r w:rsidR="00BA2B45" w:rsidRPr="00553AD2">
        <w:rPr>
          <w:rFonts w:asciiTheme="minorHAnsi" w:hAnsiTheme="minorHAnsi"/>
          <w:sz w:val="22"/>
          <w:szCs w:val="22"/>
        </w:rPr>
        <w:t>La Secretaría ha preparado el cuadro 1 que figura a continuación, en el que se identifican las repercusiones administrativas y financieras preliminares previstas de los proyectos de resolución presentados a la 15</w:t>
      </w:r>
      <w:r w:rsidR="00BA2B45" w:rsidRPr="00553AD2">
        <w:rPr>
          <w:rFonts w:asciiTheme="minorHAnsi" w:hAnsiTheme="minorHAnsi"/>
          <w:sz w:val="22"/>
          <w:szCs w:val="22"/>
          <w:vertAlign w:val="superscript"/>
        </w:rPr>
        <w:t>a</w:t>
      </w:r>
      <w:r w:rsidR="00BA2B45" w:rsidRPr="00553AD2">
        <w:rPr>
          <w:rFonts w:asciiTheme="minorHAnsi" w:hAnsiTheme="minorHAnsi"/>
          <w:sz w:val="22"/>
          <w:szCs w:val="22"/>
        </w:rPr>
        <w:t xml:space="preserve"> reunión de la Conferencia de las Partes Contratantes (COP15). </w:t>
      </w:r>
    </w:p>
    <w:p w14:paraId="7F025D77" w14:textId="77777777" w:rsidR="002B429F" w:rsidRPr="00553AD2" w:rsidRDefault="002B429F" w:rsidP="00A451D1">
      <w:pPr>
        <w:widowControl w:val="0"/>
        <w:ind w:left="425" w:hanging="425"/>
        <w:jc w:val="left"/>
        <w:rPr>
          <w:rFonts w:asciiTheme="minorHAnsi" w:hAnsiTheme="minorHAnsi" w:cstheme="minorHAnsi"/>
          <w:sz w:val="22"/>
          <w:szCs w:val="22"/>
        </w:rPr>
      </w:pPr>
    </w:p>
    <w:p w14:paraId="58D1E600" w14:textId="6352E02C" w:rsidR="002B429F" w:rsidRPr="00553AD2" w:rsidRDefault="002B429F" w:rsidP="00A451D1">
      <w:pPr>
        <w:widowControl w:val="0"/>
        <w:ind w:left="425" w:hanging="425"/>
        <w:jc w:val="left"/>
        <w:rPr>
          <w:rFonts w:asciiTheme="minorHAnsi" w:hAnsiTheme="minorHAnsi" w:cstheme="minorHAnsi"/>
          <w:bCs/>
          <w:sz w:val="22"/>
          <w:szCs w:val="22"/>
        </w:rPr>
      </w:pPr>
      <w:r w:rsidRPr="00553AD2">
        <w:rPr>
          <w:rFonts w:asciiTheme="minorHAnsi" w:hAnsiTheme="minorHAnsi"/>
          <w:bCs/>
          <w:sz w:val="22"/>
          <w:szCs w:val="22"/>
        </w:rPr>
        <w:t>3.</w:t>
      </w:r>
      <w:r w:rsidR="00553AD2" w:rsidRPr="00553AD2">
        <w:rPr>
          <w:rFonts w:asciiTheme="minorHAnsi" w:hAnsiTheme="minorHAnsi" w:cstheme="minorHAnsi"/>
          <w:bCs/>
          <w:sz w:val="22"/>
          <w:szCs w:val="22"/>
        </w:rPr>
        <w:tab/>
      </w:r>
      <w:r w:rsidRPr="00553AD2">
        <w:rPr>
          <w:rFonts w:asciiTheme="minorHAnsi" w:hAnsiTheme="minorHAnsi"/>
          <w:bCs/>
          <w:sz w:val="22"/>
          <w:szCs w:val="22"/>
        </w:rPr>
        <w:t>Las acciones propuestas y sus correspondientes cost</w:t>
      </w:r>
      <w:r w:rsidR="00553AD2">
        <w:rPr>
          <w:rFonts w:asciiTheme="minorHAnsi" w:hAnsiTheme="minorHAnsi"/>
          <w:bCs/>
          <w:sz w:val="22"/>
          <w:szCs w:val="22"/>
        </w:rPr>
        <w:t>e</w:t>
      </w:r>
      <w:r w:rsidRPr="00553AD2">
        <w:rPr>
          <w:rFonts w:asciiTheme="minorHAnsi" w:hAnsiTheme="minorHAnsi"/>
          <w:bCs/>
          <w:sz w:val="22"/>
          <w:szCs w:val="22"/>
        </w:rPr>
        <w:t>s, que figuran en el cuadro 1 elaborado por la Secretaría, provienen de los proyectos de resolución presentados por las Partes Contratantes, los grupos de trabajo o los órganos subsidiarios, o de los que han sido preparados por la Secretaría. Los costes indicados son los totales para el trienio 2026 – 2028. En lo que respecta a los días de trabajo del personal, la información facilitada en el cuadro se refiere a los días adicionales del personal que son necesarios para realizar las actividades y tareas propuestas; no se incluyen los días de trabajo del personal necesarios para llevar a cabo actividades y tareas que ya están incluidas en las áreas básicas de trabajo de la Secretaría y en su plan de trabajo.</w:t>
      </w:r>
    </w:p>
    <w:p w14:paraId="02350DE4" w14:textId="0EE6F92A" w:rsidR="002B429F" w:rsidRPr="00553AD2" w:rsidRDefault="002B429F" w:rsidP="00A451D1">
      <w:pPr>
        <w:widowControl w:val="0"/>
        <w:ind w:left="425" w:hanging="425"/>
        <w:jc w:val="left"/>
        <w:rPr>
          <w:rFonts w:asciiTheme="minorHAnsi" w:hAnsiTheme="minorHAnsi" w:cstheme="minorHAnsi"/>
          <w:bCs/>
          <w:sz w:val="22"/>
          <w:szCs w:val="22"/>
        </w:rPr>
      </w:pPr>
    </w:p>
    <w:p w14:paraId="6E503F40" w14:textId="77777777" w:rsidR="002B6DE6" w:rsidRPr="00553AD2" w:rsidRDefault="002B429F" w:rsidP="00A451D1">
      <w:pPr>
        <w:widowControl w:val="0"/>
        <w:spacing w:after="160" w:line="259" w:lineRule="auto"/>
        <w:ind w:left="0" w:firstLine="0"/>
        <w:jc w:val="left"/>
        <w:rPr>
          <w:rFonts w:asciiTheme="minorHAnsi" w:hAnsiTheme="minorHAnsi" w:cstheme="minorHAnsi"/>
          <w:i/>
          <w:sz w:val="22"/>
          <w:szCs w:val="22"/>
        </w:rPr>
        <w:sectPr w:rsidR="002B6DE6" w:rsidRPr="00553AD2" w:rsidSect="003D6800">
          <w:footerReference w:type="default" r:id="rId12"/>
          <w:pgSz w:w="11906" w:h="16838"/>
          <w:pgMar w:top="1440" w:right="1440" w:bottom="1440" w:left="1440" w:header="708" w:footer="708" w:gutter="0"/>
          <w:cols w:space="708"/>
          <w:titlePg/>
          <w:docGrid w:linePitch="360"/>
        </w:sectPr>
      </w:pPr>
      <w:r w:rsidRPr="00553AD2">
        <w:br w:type="page"/>
      </w:r>
    </w:p>
    <w:p w14:paraId="4DF17515" w14:textId="3DC2A7C3" w:rsidR="002B429F" w:rsidRPr="00553AD2" w:rsidRDefault="002B429F" w:rsidP="002B6DE6">
      <w:pPr>
        <w:widowControl w:val="0"/>
        <w:jc w:val="left"/>
        <w:rPr>
          <w:rFonts w:asciiTheme="minorHAnsi" w:hAnsiTheme="minorHAnsi" w:cstheme="minorHAnsi"/>
          <w:bCs/>
          <w:sz w:val="22"/>
          <w:szCs w:val="22"/>
        </w:rPr>
      </w:pPr>
      <w:r w:rsidRPr="00553AD2">
        <w:rPr>
          <w:rFonts w:asciiTheme="minorHAnsi" w:hAnsiTheme="minorHAnsi"/>
          <w:i/>
          <w:sz w:val="22"/>
          <w:szCs w:val="22"/>
        </w:rPr>
        <w:lastRenderedPageBreak/>
        <w:t>Cuadro 1. Repercusiones administrativas y financieras previstas de los proyectos de resolución para el trienio 2026 – 2028</w:t>
      </w:r>
    </w:p>
    <w:tbl>
      <w:tblPr>
        <w:tblW w:w="141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699"/>
        <w:gridCol w:w="4533"/>
        <w:gridCol w:w="4825"/>
        <w:gridCol w:w="1413"/>
        <w:gridCol w:w="1706"/>
      </w:tblGrid>
      <w:tr w:rsidR="00772E80" w:rsidRPr="00553AD2" w14:paraId="713C34C8" w14:textId="77777777" w:rsidTr="00270374">
        <w:trPr>
          <w:cantSplit/>
          <w:tblHeader/>
        </w:trPr>
        <w:tc>
          <w:tcPr>
            <w:tcW w:w="1699" w:type="dxa"/>
            <w:shd w:val="clear" w:color="auto" w:fill="D9D9D9" w:themeFill="background1" w:themeFillShade="D9"/>
            <w:noWrap/>
            <w:vAlign w:val="center"/>
          </w:tcPr>
          <w:p w14:paraId="4EFDD6A2" w14:textId="77777777" w:rsidR="00A451D1" w:rsidRPr="00553AD2" w:rsidRDefault="00A451D1" w:rsidP="00A46A05">
            <w:pPr>
              <w:widowControl w:val="0"/>
              <w:ind w:left="0" w:firstLine="0"/>
              <w:jc w:val="center"/>
              <w:rPr>
                <w:rFonts w:asciiTheme="minorHAnsi" w:hAnsiTheme="minorHAnsi" w:cstheme="minorHAnsi"/>
                <w:b/>
                <w:bCs/>
                <w:color w:val="000000"/>
                <w:sz w:val="22"/>
                <w:szCs w:val="22"/>
              </w:rPr>
            </w:pPr>
            <w:r w:rsidRPr="00553AD2">
              <w:rPr>
                <w:rFonts w:asciiTheme="minorHAnsi" w:hAnsiTheme="minorHAnsi"/>
                <w:b/>
                <w:bCs/>
                <w:color w:val="000000"/>
                <w:sz w:val="22"/>
                <w:szCs w:val="22"/>
              </w:rPr>
              <w:t>Documento</w:t>
            </w:r>
          </w:p>
        </w:tc>
        <w:tc>
          <w:tcPr>
            <w:tcW w:w="4533" w:type="dxa"/>
            <w:shd w:val="clear" w:color="auto" w:fill="D9D9D9" w:themeFill="background1" w:themeFillShade="D9"/>
            <w:noWrap/>
            <w:vAlign w:val="center"/>
          </w:tcPr>
          <w:p w14:paraId="7B1FF384" w14:textId="6D57197A" w:rsidR="00A451D1" w:rsidRPr="00553AD2" w:rsidRDefault="00A451D1" w:rsidP="00A46A05">
            <w:pPr>
              <w:widowControl w:val="0"/>
              <w:ind w:left="0" w:firstLine="0"/>
              <w:jc w:val="center"/>
              <w:rPr>
                <w:rFonts w:asciiTheme="minorHAnsi" w:hAnsiTheme="minorHAnsi" w:cstheme="minorHAnsi"/>
                <w:b/>
                <w:bCs/>
                <w:color w:val="000000"/>
                <w:sz w:val="22"/>
                <w:szCs w:val="22"/>
              </w:rPr>
            </w:pPr>
            <w:r w:rsidRPr="00553AD2">
              <w:rPr>
                <w:rFonts w:asciiTheme="minorHAnsi" w:hAnsiTheme="minorHAnsi"/>
                <w:b/>
                <w:bCs/>
                <w:color w:val="000000"/>
                <w:sz w:val="22"/>
                <w:szCs w:val="22"/>
              </w:rPr>
              <w:t>Proyecto de resolución</w:t>
            </w:r>
          </w:p>
        </w:tc>
        <w:tc>
          <w:tcPr>
            <w:tcW w:w="4825" w:type="dxa"/>
            <w:shd w:val="clear" w:color="auto" w:fill="D9D9D9" w:themeFill="background1" w:themeFillShade="D9"/>
            <w:vAlign w:val="center"/>
          </w:tcPr>
          <w:p w14:paraId="13CE1A06" w14:textId="41794193" w:rsidR="00A451D1" w:rsidRPr="00553AD2" w:rsidRDefault="00A451D1" w:rsidP="00A46A05">
            <w:pPr>
              <w:widowControl w:val="0"/>
              <w:ind w:left="0" w:firstLine="0"/>
              <w:jc w:val="center"/>
              <w:rPr>
                <w:rFonts w:asciiTheme="minorHAnsi" w:hAnsiTheme="minorHAnsi" w:cstheme="minorHAnsi"/>
                <w:b/>
                <w:bCs/>
                <w:color w:val="000000"/>
                <w:sz w:val="22"/>
                <w:szCs w:val="22"/>
              </w:rPr>
            </w:pPr>
            <w:r w:rsidRPr="00553AD2">
              <w:rPr>
                <w:rFonts w:asciiTheme="minorHAnsi" w:hAnsiTheme="minorHAnsi"/>
                <w:b/>
                <w:bCs/>
                <w:color w:val="000000"/>
                <w:sz w:val="22"/>
                <w:szCs w:val="22"/>
              </w:rPr>
              <w:t xml:space="preserve">Actividades / tareas necesarias </w:t>
            </w:r>
          </w:p>
        </w:tc>
        <w:tc>
          <w:tcPr>
            <w:tcW w:w="1413" w:type="dxa"/>
            <w:shd w:val="clear" w:color="auto" w:fill="D9D9D9" w:themeFill="background1" w:themeFillShade="D9"/>
            <w:vAlign w:val="center"/>
          </w:tcPr>
          <w:p w14:paraId="64C91073" w14:textId="10925F9D" w:rsidR="00A451D1" w:rsidRPr="00553AD2" w:rsidRDefault="00A451D1" w:rsidP="00A46A05">
            <w:pPr>
              <w:widowControl w:val="0"/>
              <w:ind w:left="0" w:firstLine="0"/>
              <w:jc w:val="center"/>
              <w:rPr>
                <w:rFonts w:asciiTheme="minorHAnsi" w:hAnsiTheme="minorHAnsi" w:cstheme="minorHAnsi"/>
                <w:b/>
                <w:bCs/>
                <w:color w:val="000000"/>
                <w:sz w:val="22"/>
                <w:szCs w:val="22"/>
              </w:rPr>
            </w:pPr>
            <w:r w:rsidRPr="00553AD2">
              <w:rPr>
                <w:rFonts w:asciiTheme="minorHAnsi" w:hAnsiTheme="minorHAnsi"/>
                <w:b/>
                <w:bCs/>
                <w:color w:val="000000"/>
                <w:sz w:val="22"/>
                <w:szCs w:val="22"/>
              </w:rPr>
              <w:t xml:space="preserve">Días de trabajo adicionales del personal  </w:t>
            </w:r>
          </w:p>
        </w:tc>
        <w:tc>
          <w:tcPr>
            <w:tcW w:w="1706" w:type="dxa"/>
            <w:shd w:val="clear" w:color="auto" w:fill="D9D9D9" w:themeFill="background1" w:themeFillShade="D9"/>
            <w:vAlign w:val="center"/>
          </w:tcPr>
          <w:p w14:paraId="1088F56E" w14:textId="0510FFC4" w:rsidR="00A451D1" w:rsidRPr="00553AD2" w:rsidRDefault="00A451D1" w:rsidP="00A46A05">
            <w:pPr>
              <w:widowControl w:val="0"/>
              <w:ind w:left="0" w:firstLine="0"/>
              <w:jc w:val="center"/>
              <w:rPr>
                <w:rFonts w:asciiTheme="minorHAnsi" w:hAnsiTheme="minorHAnsi" w:cstheme="minorHAnsi"/>
                <w:b/>
                <w:bCs/>
                <w:color w:val="000000"/>
                <w:sz w:val="22"/>
                <w:szCs w:val="22"/>
              </w:rPr>
            </w:pPr>
            <w:r w:rsidRPr="00553AD2">
              <w:rPr>
                <w:rFonts w:asciiTheme="minorHAnsi" w:hAnsiTheme="minorHAnsi"/>
                <w:b/>
                <w:bCs/>
                <w:color w:val="000000"/>
                <w:sz w:val="22"/>
                <w:szCs w:val="22"/>
              </w:rPr>
              <w:t>Cost</w:t>
            </w:r>
            <w:r w:rsidR="00CB4ADD">
              <w:rPr>
                <w:rFonts w:asciiTheme="minorHAnsi" w:hAnsiTheme="minorHAnsi"/>
                <w:b/>
                <w:bCs/>
                <w:color w:val="000000"/>
                <w:sz w:val="22"/>
                <w:szCs w:val="22"/>
              </w:rPr>
              <w:t>e</w:t>
            </w:r>
            <w:r w:rsidRPr="00553AD2">
              <w:rPr>
                <w:rFonts w:asciiTheme="minorHAnsi" w:hAnsiTheme="minorHAnsi"/>
                <w:b/>
                <w:bCs/>
                <w:color w:val="000000"/>
                <w:sz w:val="22"/>
                <w:szCs w:val="22"/>
              </w:rPr>
              <w:t xml:space="preserve"> (en francos suizos) (no incluye el tiempo de trabajo del personal)</w:t>
            </w:r>
          </w:p>
        </w:tc>
      </w:tr>
      <w:tr w:rsidR="00D22D6F" w:rsidRPr="00553AD2" w14:paraId="4B81FFCB" w14:textId="77777777" w:rsidTr="00A1095B">
        <w:trPr>
          <w:cantSplit/>
        </w:trPr>
        <w:tc>
          <w:tcPr>
            <w:tcW w:w="14176" w:type="dxa"/>
            <w:gridSpan w:val="5"/>
            <w:shd w:val="clear" w:color="auto" w:fill="auto"/>
            <w:noWrap/>
            <w:vAlign w:val="center"/>
          </w:tcPr>
          <w:p w14:paraId="28F7F515" w14:textId="7090E143" w:rsidR="00D22D6F" w:rsidRPr="00553AD2" w:rsidDel="00886642" w:rsidRDefault="00D22D6F" w:rsidP="00165BEA">
            <w:pPr>
              <w:widowControl w:val="0"/>
              <w:spacing w:before="60" w:after="60"/>
              <w:ind w:left="0" w:firstLine="0"/>
              <w:jc w:val="left"/>
              <w:rPr>
                <w:rFonts w:asciiTheme="minorHAnsi" w:hAnsiTheme="minorHAnsi" w:cstheme="minorHAnsi"/>
                <w:bCs/>
                <w:color w:val="000000"/>
                <w:sz w:val="22"/>
                <w:szCs w:val="22"/>
              </w:rPr>
            </w:pPr>
            <w:r w:rsidRPr="00553AD2">
              <w:rPr>
                <w:rFonts w:asciiTheme="minorHAnsi" w:hAnsiTheme="minorHAnsi"/>
                <w:b/>
                <w:bCs/>
                <w:color w:val="000000"/>
                <w:sz w:val="22"/>
                <w:szCs w:val="22"/>
              </w:rPr>
              <w:t>Proyectos de resolución preparados por la Secretaría</w:t>
            </w:r>
          </w:p>
        </w:tc>
      </w:tr>
      <w:tr w:rsidR="00AA3B37" w:rsidRPr="00553AD2" w14:paraId="3683D293" w14:textId="77777777" w:rsidTr="00270374">
        <w:trPr>
          <w:cantSplit/>
        </w:trPr>
        <w:tc>
          <w:tcPr>
            <w:tcW w:w="1699" w:type="dxa"/>
            <w:shd w:val="clear" w:color="auto" w:fill="auto"/>
            <w:noWrap/>
          </w:tcPr>
          <w:p w14:paraId="553EEE6E" w14:textId="4E8ADBBF" w:rsidR="00AA3B37" w:rsidRPr="00553AD2" w:rsidRDefault="00A1095B" w:rsidP="00AA3B37">
            <w:pPr>
              <w:widowControl w:val="0"/>
              <w:ind w:left="0" w:firstLine="0"/>
              <w:jc w:val="left"/>
              <w:rPr>
                <w:rFonts w:asciiTheme="minorHAnsi" w:hAnsiTheme="minorHAnsi" w:cstheme="minorHAnsi"/>
                <w:bCs/>
                <w:color w:val="000000"/>
                <w:sz w:val="22"/>
                <w:szCs w:val="22"/>
              </w:rPr>
            </w:pPr>
            <w:r w:rsidRPr="00553AD2">
              <w:rPr>
                <w:rFonts w:ascii="Calibri" w:hAnsi="Calibri"/>
                <w:bCs/>
                <w:sz w:val="22"/>
                <w:szCs w:val="22"/>
              </w:rPr>
              <w:t>COP15 Doc.23.1</w:t>
            </w:r>
          </w:p>
        </w:tc>
        <w:tc>
          <w:tcPr>
            <w:tcW w:w="4533" w:type="dxa"/>
            <w:shd w:val="clear" w:color="auto" w:fill="auto"/>
            <w:noWrap/>
            <w:vAlign w:val="center"/>
          </w:tcPr>
          <w:p w14:paraId="6A4DCA13" w14:textId="33E34130" w:rsidR="00AA3B37" w:rsidRPr="00553AD2" w:rsidRDefault="00644727" w:rsidP="00AA3B37">
            <w:pPr>
              <w:widowControl w:val="0"/>
              <w:ind w:left="0" w:firstLine="0"/>
              <w:jc w:val="left"/>
              <w:rPr>
                <w:rFonts w:asciiTheme="minorHAnsi" w:hAnsiTheme="minorHAnsi" w:cstheme="minorHAnsi"/>
                <w:bCs/>
                <w:color w:val="000000"/>
                <w:sz w:val="22"/>
                <w:szCs w:val="22"/>
              </w:rPr>
            </w:pPr>
            <w:r w:rsidRPr="00553AD2">
              <w:rPr>
                <w:rFonts w:asciiTheme="minorHAnsi" w:hAnsiTheme="minorHAnsi"/>
                <w:color w:val="000000"/>
                <w:sz w:val="22"/>
                <w:szCs w:val="22"/>
              </w:rPr>
              <w:t>Proyecto de resolución sobre asuntos financieros y presupuestarios</w:t>
            </w:r>
          </w:p>
        </w:tc>
        <w:tc>
          <w:tcPr>
            <w:tcW w:w="4825" w:type="dxa"/>
            <w:shd w:val="clear" w:color="auto" w:fill="auto"/>
          </w:tcPr>
          <w:p w14:paraId="454E2C1E" w14:textId="15F43D62" w:rsidR="00AA3B37" w:rsidRPr="00553AD2" w:rsidRDefault="006B02CA" w:rsidP="00AA3B37">
            <w:pPr>
              <w:widowControl w:val="0"/>
              <w:ind w:left="0" w:firstLine="0"/>
              <w:jc w:val="left"/>
              <w:rPr>
                <w:rFonts w:asciiTheme="minorHAnsi" w:hAnsiTheme="minorHAnsi" w:cstheme="minorHAnsi"/>
                <w:bCs/>
                <w:color w:val="000000"/>
                <w:sz w:val="22"/>
                <w:szCs w:val="22"/>
              </w:rPr>
            </w:pPr>
            <w:r w:rsidRPr="00553AD2">
              <w:rPr>
                <w:rFonts w:asciiTheme="minorHAnsi" w:hAnsiTheme="minorHAnsi"/>
                <w:bCs/>
                <w:color w:val="000000"/>
                <w:sz w:val="22"/>
                <w:szCs w:val="22"/>
              </w:rPr>
              <w:t>En el documento SC64 Doc.9.3 se presentan los escenarios presupuestarios propuestos para 2026-2028</w:t>
            </w:r>
          </w:p>
        </w:tc>
        <w:tc>
          <w:tcPr>
            <w:tcW w:w="1413" w:type="dxa"/>
            <w:shd w:val="clear" w:color="auto" w:fill="auto"/>
          </w:tcPr>
          <w:p w14:paraId="62FF6658" w14:textId="19303B70" w:rsidR="00AA3B37" w:rsidRPr="00553AD2" w:rsidRDefault="00AA3B37" w:rsidP="00AA3B37">
            <w:pPr>
              <w:widowControl w:val="0"/>
              <w:ind w:left="0" w:firstLine="0"/>
              <w:jc w:val="left"/>
              <w:rPr>
                <w:rFonts w:asciiTheme="minorHAnsi" w:hAnsiTheme="minorHAnsi" w:cstheme="minorBidi"/>
                <w:color w:val="000000"/>
                <w:sz w:val="22"/>
                <w:szCs w:val="22"/>
              </w:rPr>
            </w:pPr>
          </w:p>
        </w:tc>
        <w:tc>
          <w:tcPr>
            <w:tcW w:w="1706" w:type="dxa"/>
            <w:shd w:val="clear" w:color="auto" w:fill="auto"/>
          </w:tcPr>
          <w:p w14:paraId="7B0629F0" w14:textId="535B87B6" w:rsidR="00AA3B37" w:rsidRPr="00553AD2" w:rsidDel="00886642" w:rsidRDefault="00AA3B37" w:rsidP="00AA3B37">
            <w:pPr>
              <w:widowControl w:val="0"/>
              <w:ind w:left="0" w:firstLine="0"/>
              <w:jc w:val="left"/>
              <w:rPr>
                <w:rFonts w:asciiTheme="minorHAnsi" w:hAnsiTheme="minorHAnsi" w:cstheme="minorHAnsi"/>
                <w:bCs/>
                <w:color w:val="000000"/>
                <w:sz w:val="22"/>
                <w:szCs w:val="22"/>
              </w:rPr>
            </w:pPr>
          </w:p>
        </w:tc>
      </w:tr>
      <w:tr w:rsidR="00AA3B37" w:rsidRPr="00553AD2" w14:paraId="4AF98413" w14:textId="77777777" w:rsidTr="00270374">
        <w:trPr>
          <w:cantSplit/>
        </w:trPr>
        <w:tc>
          <w:tcPr>
            <w:tcW w:w="1699" w:type="dxa"/>
            <w:shd w:val="clear" w:color="auto" w:fill="auto"/>
            <w:noWrap/>
          </w:tcPr>
          <w:p w14:paraId="7A322AF0" w14:textId="63C12306" w:rsidR="00AA3B37" w:rsidRPr="00553AD2" w:rsidRDefault="00A1095B" w:rsidP="00AA3B37">
            <w:pPr>
              <w:widowControl w:val="0"/>
              <w:ind w:left="0" w:firstLine="0"/>
              <w:jc w:val="left"/>
              <w:rPr>
                <w:rFonts w:asciiTheme="minorHAnsi" w:hAnsiTheme="minorHAnsi" w:cstheme="minorHAnsi"/>
                <w:bCs/>
                <w:color w:val="000000"/>
                <w:sz w:val="22"/>
                <w:szCs w:val="22"/>
              </w:rPr>
            </w:pPr>
            <w:r w:rsidRPr="00553AD2">
              <w:rPr>
                <w:rFonts w:ascii="Calibri" w:hAnsi="Calibri"/>
                <w:bCs/>
                <w:sz w:val="22"/>
                <w:szCs w:val="22"/>
              </w:rPr>
              <w:t>COP15 Doc.23.2</w:t>
            </w:r>
          </w:p>
        </w:tc>
        <w:tc>
          <w:tcPr>
            <w:tcW w:w="4533" w:type="dxa"/>
            <w:shd w:val="clear" w:color="auto" w:fill="auto"/>
            <w:noWrap/>
            <w:vAlign w:val="center"/>
          </w:tcPr>
          <w:p w14:paraId="71A63BB6" w14:textId="07F812F4" w:rsidR="00AA3B37" w:rsidRPr="00553AD2" w:rsidRDefault="00644727" w:rsidP="00AA3B37">
            <w:pPr>
              <w:widowControl w:val="0"/>
              <w:ind w:left="0" w:firstLine="0"/>
              <w:jc w:val="left"/>
              <w:rPr>
                <w:rFonts w:asciiTheme="minorHAnsi" w:hAnsiTheme="minorHAnsi" w:cstheme="minorHAnsi"/>
                <w:bCs/>
                <w:color w:val="000000"/>
                <w:sz w:val="22"/>
                <w:szCs w:val="22"/>
              </w:rPr>
            </w:pPr>
            <w:r w:rsidRPr="00553AD2">
              <w:rPr>
                <w:rFonts w:asciiTheme="minorHAnsi" w:hAnsiTheme="minorHAnsi"/>
                <w:color w:val="000000"/>
                <w:sz w:val="22"/>
                <w:szCs w:val="22"/>
              </w:rPr>
              <w:t>Proyecto de resolución sobre las responsabilidades, funciones y composición del Comité Permanente y clasificación de los países por regiones en el marco de la Convención sobre los Humedales</w:t>
            </w:r>
          </w:p>
        </w:tc>
        <w:tc>
          <w:tcPr>
            <w:tcW w:w="4825" w:type="dxa"/>
            <w:shd w:val="clear" w:color="auto" w:fill="auto"/>
          </w:tcPr>
          <w:p w14:paraId="114D9F25" w14:textId="3488AA45" w:rsidR="00AA3B37" w:rsidRPr="00553AD2" w:rsidRDefault="00AA3B37" w:rsidP="00AA3B37">
            <w:pPr>
              <w:widowControl w:val="0"/>
              <w:ind w:left="0" w:firstLine="0"/>
              <w:jc w:val="left"/>
              <w:rPr>
                <w:rFonts w:asciiTheme="minorHAnsi" w:hAnsiTheme="minorHAnsi" w:cstheme="minorHAnsi"/>
                <w:bCs/>
                <w:color w:val="000000"/>
                <w:sz w:val="22"/>
                <w:szCs w:val="22"/>
              </w:rPr>
            </w:pPr>
          </w:p>
        </w:tc>
        <w:tc>
          <w:tcPr>
            <w:tcW w:w="1413" w:type="dxa"/>
            <w:shd w:val="clear" w:color="auto" w:fill="auto"/>
          </w:tcPr>
          <w:p w14:paraId="69DF02D0" w14:textId="3EF17A17" w:rsidR="00AA3B37" w:rsidRPr="00553AD2" w:rsidRDefault="006B507F" w:rsidP="00AA3B37">
            <w:pPr>
              <w:widowControl w:val="0"/>
              <w:ind w:left="0" w:firstLine="0"/>
              <w:jc w:val="left"/>
              <w:rPr>
                <w:rFonts w:asciiTheme="minorHAnsi" w:hAnsiTheme="minorHAnsi" w:cstheme="minorHAnsi"/>
                <w:bCs/>
                <w:color w:val="000000"/>
                <w:sz w:val="22"/>
                <w:szCs w:val="22"/>
              </w:rPr>
            </w:pPr>
            <w:r w:rsidRPr="00553AD2">
              <w:rPr>
                <w:rFonts w:asciiTheme="minorHAnsi" w:hAnsiTheme="minorHAnsi"/>
                <w:bCs/>
                <w:color w:val="000000"/>
                <w:sz w:val="22"/>
                <w:szCs w:val="22"/>
              </w:rPr>
              <w:t>0</w:t>
            </w:r>
          </w:p>
        </w:tc>
        <w:tc>
          <w:tcPr>
            <w:tcW w:w="1706" w:type="dxa"/>
            <w:shd w:val="clear" w:color="auto" w:fill="auto"/>
          </w:tcPr>
          <w:p w14:paraId="2B7BE47E" w14:textId="50E5A04B" w:rsidR="00AA3B37" w:rsidRPr="00553AD2" w:rsidDel="00886642" w:rsidRDefault="006B507F" w:rsidP="00AA3B37">
            <w:pPr>
              <w:widowControl w:val="0"/>
              <w:ind w:left="0" w:firstLine="0"/>
              <w:jc w:val="left"/>
              <w:rPr>
                <w:rFonts w:asciiTheme="minorHAnsi" w:hAnsiTheme="minorHAnsi" w:cstheme="minorHAnsi"/>
                <w:bCs/>
                <w:color w:val="000000"/>
                <w:sz w:val="22"/>
                <w:szCs w:val="22"/>
              </w:rPr>
            </w:pPr>
            <w:r w:rsidRPr="00553AD2">
              <w:rPr>
                <w:rFonts w:asciiTheme="minorHAnsi" w:hAnsiTheme="minorHAnsi"/>
                <w:bCs/>
                <w:color w:val="000000"/>
                <w:sz w:val="22"/>
                <w:szCs w:val="22"/>
              </w:rPr>
              <w:t>0</w:t>
            </w:r>
          </w:p>
        </w:tc>
      </w:tr>
      <w:tr w:rsidR="00AA3B37" w:rsidRPr="00553AD2" w14:paraId="4FCC6233" w14:textId="77777777" w:rsidTr="00270374">
        <w:trPr>
          <w:cantSplit/>
        </w:trPr>
        <w:tc>
          <w:tcPr>
            <w:tcW w:w="1699" w:type="dxa"/>
            <w:shd w:val="clear" w:color="auto" w:fill="auto"/>
            <w:noWrap/>
          </w:tcPr>
          <w:p w14:paraId="614C9F9F" w14:textId="3EDEFB16" w:rsidR="00AA3B37" w:rsidRPr="00553AD2" w:rsidRDefault="00A1095B" w:rsidP="00AA3B37">
            <w:pPr>
              <w:widowControl w:val="0"/>
              <w:ind w:left="0" w:firstLine="0"/>
              <w:jc w:val="left"/>
              <w:rPr>
                <w:rFonts w:asciiTheme="minorHAnsi" w:hAnsiTheme="minorHAnsi" w:cstheme="minorHAnsi"/>
                <w:bCs/>
                <w:color w:val="000000"/>
                <w:sz w:val="22"/>
                <w:szCs w:val="22"/>
              </w:rPr>
            </w:pPr>
            <w:r w:rsidRPr="00553AD2">
              <w:rPr>
                <w:rFonts w:asciiTheme="minorHAnsi" w:hAnsiTheme="minorHAnsi"/>
                <w:color w:val="000000"/>
                <w:sz w:val="22"/>
                <w:szCs w:val="22"/>
              </w:rPr>
              <w:t>COP15 Doc.23.4</w:t>
            </w:r>
          </w:p>
        </w:tc>
        <w:tc>
          <w:tcPr>
            <w:tcW w:w="4533" w:type="dxa"/>
            <w:shd w:val="clear" w:color="auto" w:fill="auto"/>
            <w:noWrap/>
          </w:tcPr>
          <w:p w14:paraId="539484FB" w14:textId="0D118514" w:rsidR="00AA3B37" w:rsidRPr="00553AD2" w:rsidRDefault="00644727" w:rsidP="00AA3B37">
            <w:pPr>
              <w:widowControl w:val="0"/>
              <w:ind w:left="0" w:firstLine="0"/>
              <w:jc w:val="left"/>
              <w:rPr>
                <w:rFonts w:asciiTheme="minorHAnsi" w:hAnsiTheme="minorHAnsi" w:cstheme="minorHAnsi"/>
                <w:bCs/>
                <w:color w:val="000000"/>
                <w:sz w:val="22"/>
                <w:szCs w:val="22"/>
              </w:rPr>
            </w:pPr>
            <w:r w:rsidRPr="00553AD2">
              <w:rPr>
                <w:rFonts w:asciiTheme="minorHAnsi" w:hAnsiTheme="minorHAnsi"/>
                <w:color w:val="000000"/>
                <w:sz w:val="22"/>
                <w:szCs w:val="22"/>
              </w:rPr>
              <w:t>Proyecto de resolución sobre mejora de la visibilidad de la Convención y de las sinergias en colaboración con acuerdos multilaterales sobre el medio ambiente y otras instituciones internacionales</w:t>
            </w:r>
          </w:p>
        </w:tc>
        <w:tc>
          <w:tcPr>
            <w:tcW w:w="4825" w:type="dxa"/>
            <w:shd w:val="clear" w:color="auto" w:fill="auto"/>
          </w:tcPr>
          <w:p w14:paraId="3C392A0C" w14:textId="27542ED9" w:rsidR="00AA3B37" w:rsidRPr="00553AD2" w:rsidRDefault="00AA3B37" w:rsidP="00AA3B37">
            <w:pPr>
              <w:widowControl w:val="0"/>
              <w:ind w:left="0" w:firstLine="0"/>
              <w:jc w:val="left"/>
              <w:rPr>
                <w:rFonts w:asciiTheme="minorHAnsi" w:hAnsiTheme="minorHAnsi" w:cstheme="minorHAnsi"/>
                <w:bCs/>
                <w:color w:val="000000"/>
                <w:sz w:val="22"/>
                <w:szCs w:val="22"/>
              </w:rPr>
            </w:pPr>
          </w:p>
        </w:tc>
        <w:tc>
          <w:tcPr>
            <w:tcW w:w="1413" w:type="dxa"/>
            <w:shd w:val="clear" w:color="auto" w:fill="auto"/>
          </w:tcPr>
          <w:p w14:paraId="780EF5C2" w14:textId="14433238" w:rsidR="00AA3B37" w:rsidRPr="00553AD2" w:rsidRDefault="003F2340" w:rsidP="00AA3B37">
            <w:pPr>
              <w:widowControl w:val="0"/>
              <w:ind w:left="0" w:firstLine="0"/>
              <w:jc w:val="left"/>
              <w:rPr>
                <w:rFonts w:asciiTheme="minorHAnsi" w:hAnsiTheme="minorHAnsi" w:cstheme="minorHAnsi"/>
                <w:bCs/>
                <w:color w:val="000000"/>
                <w:sz w:val="22"/>
                <w:szCs w:val="22"/>
              </w:rPr>
            </w:pPr>
            <w:r w:rsidRPr="00553AD2">
              <w:rPr>
                <w:rFonts w:asciiTheme="minorHAnsi" w:hAnsiTheme="minorHAnsi"/>
                <w:bCs/>
                <w:color w:val="000000"/>
                <w:sz w:val="22"/>
                <w:szCs w:val="22"/>
              </w:rPr>
              <w:t>0</w:t>
            </w:r>
          </w:p>
        </w:tc>
        <w:tc>
          <w:tcPr>
            <w:tcW w:w="1706" w:type="dxa"/>
            <w:shd w:val="clear" w:color="auto" w:fill="auto"/>
          </w:tcPr>
          <w:p w14:paraId="70F706CA" w14:textId="70EA4111" w:rsidR="00AA3B37" w:rsidRPr="00553AD2" w:rsidDel="00886642" w:rsidRDefault="003F2340" w:rsidP="00AA3B37">
            <w:pPr>
              <w:widowControl w:val="0"/>
              <w:ind w:left="0" w:firstLine="0"/>
              <w:jc w:val="left"/>
              <w:rPr>
                <w:rFonts w:asciiTheme="minorHAnsi" w:hAnsiTheme="minorHAnsi" w:cstheme="minorHAnsi"/>
                <w:bCs/>
                <w:color w:val="000000"/>
                <w:sz w:val="22"/>
                <w:szCs w:val="22"/>
              </w:rPr>
            </w:pPr>
            <w:r w:rsidRPr="00553AD2">
              <w:rPr>
                <w:rFonts w:asciiTheme="minorHAnsi" w:hAnsiTheme="minorHAnsi"/>
                <w:bCs/>
                <w:color w:val="000000"/>
                <w:sz w:val="22"/>
                <w:szCs w:val="22"/>
              </w:rPr>
              <w:t>0</w:t>
            </w:r>
          </w:p>
        </w:tc>
      </w:tr>
      <w:tr w:rsidR="00AA3B37" w:rsidRPr="00553AD2" w14:paraId="7645911D" w14:textId="77777777" w:rsidTr="00270374">
        <w:trPr>
          <w:cantSplit/>
        </w:trPr>
        <w:tc>
          <w:tcPr>
            <w:tcW w:w="1699" w:type="dxa"/>
            <w:shd w:val="clear" w:color="auto" w:fill="auto"/>
            <w:noWrap/>
          </w:tcPr>
          <w:p w14:paraId="78376F9F" w14:textId="63A902B9" w:rsidR="00AA3B37" w:rsidRPr="00553AD2" w:rsidRDefault="00A1095B" w:rsidP="00AA3B37">
            <w:pPr>
              <w:widowControl w:val="0"/>
              <w:ind w:left="0" w:firstLine="0"/>
              <w:jc w:val="left"/>
              <w:rPr>
                <w:rFonts w:asciiTheme="minorHAnsi" w:hAnsiTheme="minorHAnsi" w:cstheme="minorHAnsi"/>
                <w:bCs/>
                <w:color w:val="000000"/>
                <w:sz w:val="22"/>
                <w:szCs w:val="22"/>
              </w:rPr>
            </w:pPr>
            <w:r w:rsidRPr="00553AD2">
              <w:rPr>
                <w:rFonts w:asciiTheme="minorHAnsi" w:hAnsiTheme="minorHAnsi"/>
                <w:color w:val="000000"/>
                <w:sz w:val="22"/>
                <w:szCs w:val="22"/>
              </w:rPr>
              <w:t>COP15 Doc.23.5</w:t>
            </w:r>
          </w:p>
        </w:tc>
        <w:tc>
          <w:tcPr>
            <w:tcW w:w="4533" w:type="dxa"/>
            <w:shd w:val="clear" w:color="auto" w:fill="auto"/>
            <w:noWrap/>
            <w:vAlign w:val="center"/>
          </w:tcPr>
          <w:p w14:paraId="01C20DA4" w14:textId="4514702B" w:rsidR="00AA3B37" w:rsidRPr="00553AD2" w:rsidRDefault="00644727" w:rsidP="00C76D46">
            <w:pPr>
              <w:ind w:left="0" w:firstLine="0"/>
              <w:jc w:val="left"/>
              <w:rPr>
                <w:rFonts w:asciiTheme="minorHAnsi" w:hAnsiTheme="minorHAnsi" w:cstheme="minorHAnsi"/>
                <w:sz w:val="22"/>
                <w:szCs w:val="22"/>
              </w:rPr>
            </w:pPr>
            <w:r w:rsidRPr="00553AD2">
              <w:rPr>
                <w:rFonts w:asciiTheme="minorHAnsi" w:hAnsiTheme="minorHAnsi"/>
                <w:color w:val="000000"/>
                <w:sz w:val="22"/>
                <w:szCs w:val="22"/>
              </w:rPr>
              <w:t>Proyecto de resolución sobre las iniciativas regionales de Ramsar 2025-2028</w:t>
            </w:r>
          </w:p>
        </w:tc>
        <w:tc>
          <w:tcPr>
            <w:tcW w:w="4825" w:type="dxa"/>
            <w:shd w:val="clear" w:color="auto" w:fill="auto"/>
          </w:tcPr>
          <w:p w14:paraId="0C920F31" w14:textId="1F9EFBCB" w:rsidR="00AA3B37" w:rsidRPr="00553AD2" w:rsidRDefault="00AA3B37" w:rsidP="00AA3B37">
            <w:pPr>
              <w:widowControl w:val="0"/>
              <w:ind w:left="0" w:firstLine="0"/>
              <w:jc w:val="left"/>
              <w:rPr>
                <w:rFonts w:asciiTheme="minorHAnsi" w:hAnsiTheme="minorHAnsi" w:cstheme="minorHAnsi"/>
                <w:bCs/>
                <w:color w:val="000000"/>
                <w:sz w:val="22"/>
                <w:szCs w:val="22"/>
              </w:rPr>
            </w:pPr>
          </w:p>
        </w:tc>
        <w:tc>
          <w:tcPr>
            <w:tcW w:w="1413" w:type="dxa"/>
            <w:shd w:val="clear" w:color="auto" w:fill="auto"/>
          </w:tcPr>
          <w:p w14:paraId="5A5D90A3" w14:textId="3F77ABD1" w:rsidR="00AA3B37" w:rsidRPr="00553AD2" w:rsidRDefault="000D05D9" w:rsidP="00AA3B37">
            <w:pPr>
              <w:widowControl w:val="0"/>
              <w:ind w:left="0" w:firstLine="0"/>
              <w:jc w:val="left"/>
              <w:rPr>
                <w:rFonts w:asciiTheme="minorHAnsi" w:hAnsiTheme="minorHAnsi" w:cstheme="minorHAnsi"/>
                <w:bCs/>
                <w:color w:val="000000"/>
                <w:sz w:val="22"/>
                <w:szCs w:val="22"/>
              </w:rPr>
            </w:pPr>
            <w:r w:rsidRPr="00553AD2">
              <w:rPr>
                <w:rFonts w:asciiTheme="minorHAnsi" w:hAnsiTheme="minorHAnsi"/>
                <w:bCs/>
                <w:color w:val="000000"/>
                <w:sz w:val="22"/>
                <w:szCs w:val="22"/>
              </w:rPr>
              <w:t>0</w:t>
            </w:r>
          </w:p>
        </w:tc>
        <w:tc>
          <w:tcPr>
            <w:tcW w:w="1706" w:type="dxa"/>
            <w:shd w:val="clear" w:color="auto" w:fill="auto"/>
          </w:tcPr>
          <w:p w14:paraId="528292C6" w14:textId="6D07352F" w:rsidR="00AA3B37" w:rsidRPr="00553AD2" w:rsidDel="00886642" w:rsidRDefault="000D05D9" w:rsidP="00AA3B37">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themeColor="text1"/>
                <w:sz w:val="22"/>
                <w:szCs w:val="22"/>
              </w:rPr>
              <w:t>0</w:t>
            </w:r>
          </w:p>
        </w:tc>
      </w:tr>
      <w:tr w:rsidR="00A1095B" w:rsidRPr="00553AD2" w14:paraId="76E20576" w14:textId="77777777" w:rsidTr="00270374">
        <w:trPr>
          <w:cantSplit/>
        </w:trPr>
        <w:tc>
          <w:tcPr>
            <w:tcW w:w="1699" w:type="dxa"/>
            <w:shd w:val="clear" w:color="auto" w:fill="auto"/>
            <w:noWrap/>
          </w:tcPr>
          <w:p w14:paraId="4D8F2E39" w14:textId="6418AF52"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lastRenderedPageBreak/>
              <w:t>COP15 Doc.23.6</w:t>
            </w:r>
          </w:p>
        </w:tc>
        <w:tc>
          <w:tcPr>
            <w:tcW w:w="4533" w:type="dxa"/>
            <w:shd w:val="clear" w:color="auto" w:fill="auto"/>
            <w:noWrap/>
          </w:tcPr>
          <w:p w14:paraId="08ED1322" w14:textId="705F6ED7" w:rsidR="00A1095B" w:rsidRPr="00553AD2" w:rsidRDefault="00A1095B" w:rsidP="00A1095B">
            <w:pPr>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t>Proyecto de resolución sobre CECoP (comunicación, fomento de capacidad, educación, concienciación y participación)</w:t>
            </w:r>
          </w:p>
        </w:tc>
        <w:tc>
          <w:tcPr>
            <w:tcW w:w="4825" w:type="dxa"/>
            <w:shd w:val="clear" w:color="auto" w:fill="auto"/>
          </w:tcPr>
          <w:p w14:paraId="0A03AB57" w14:textId="182C12D0" w:rsidR="00A1095B" w:rsidRPr="00553AD2" w:rsidRDefault="00824167" w:rsidP="00A1095B">
            <w:pPr>
              <w:widowControl w:val="0"/>
              <w:ind w:left="0" w:firstLine="0"/>
              <w:jc w:val="left"/>
              <w:rPr>
                <w:rFonts w:asciiTheme="minorHAnsi" w:hAnsiTheme="minorHAnsi" w:cstheme="minorHAnsi"/>
                <w:bCs/>
                <w:color w:val="000000"/>
                <w:sz w:val="22"/>
                <w:szCs w:val="22"/>
              </w:rPr>
            </w:pPr>
            <w:r w:rsidRPr="00553AD2">
              <w:rPr>
                <w:rFonts w:asciiTheme="minorHAnsi" w:hAnsiTheme="minorHAnsi"/>
                <w:sz w:val="22"/>
                <w:szCs w:val="22"/>
              </w:rPr>
              <w:t>En función de los recursos disponibles, la Secretaría ayudará a reforzar la capacidad de los coordinadores nacionales de CECoP mediante el suministro de recursos, formación, herramientas y plantillas para las actividades de CECoP; y prestará apoyo técnico a los coordinadores de CECoP mediante el establecimiento de una red para el intercambio de conocimientos entre dichos coordinadores.</w:t>
            </w:r>
          </w:p>
        </w:tc>
        <w:tc>
          <w:tcPr>
            <w:tcW w:w="1413" w:type="dxa"/>
            <w:shd w:val="clear" w:color="auto" w:fill="auto"/>
          </w:tcPr>
          <w:p w14:paraId="49D0CD9F" w14:textId="0E91DE76" w:rsidR="00A1095B" w:rsidRPr="00553AD2" w:rsidRDefault="00A1095B" w:rsidP="00A1095B">
            <w:pPr>
              <w:widowControl w:val="0"/>
              <w:ind w:left="0" w:firstLine="0"/>
              <w:jc w:val="left"/>
              <w:rPr>
                <w:rFonts w:asciiTheme="minorHAnsi" w:hAnsiTheme="minorHAnsi" w:cstheme="minorHAnsi"/>
                <w:bCs/>
                <w:color w:val="000000"/>
                <w:sz w:val="22"/>
                <w:szCs w:val="22"/>
              </w:rPr>
            </w:pPr>
            <w:r w:rsidRPr="00553AD2">
              <w:rPr>
                <w:rFonts w:asciiTheme="minorHAnsi" w:hAnsiTheme="minorHAnsi"/>
                <w:bCs/>
                <w:color w:val="000000"/>
                <w:sz w:val="22"/>
                <w:szCs w:val="22"/>
              </w:rPr>
              <w:t>0</w:t>
            </w:r>
          </w:p>
        </w:tc>
        <w:tc>
          <w:tcPr>
            <w:tcW w:w="1706" w:type="dxa"/>
            <w:shd w:val="clear" w:color="auto" w:fill="auto"/>
          </w:tcPr>
          <w:p w14:paraId="6A6D1C42" w14:textId="0D1014DC" w:rsidR="00A1095B" w:rsidRPr="00553AD2" w:rsidDel="004D5D77" w:rsidRDefault="00A1095B" w:rsidP="00A1095B">
            <w:pPr>
              <w:widowControl w:val="0"/>
              <w:ind w:left="0" w:firstLine="0"/>
              <w:jc w:val="left"/>
              <w:rPr>
                <w:rFonts w:asciiTheme="minorHAnsi" w:hAnsiTheme="minorHAnsi" w:cstheme="minorHAnsi"/>
                <w:color w:val="000000" w:themeColor="text1"/>
                <w:sz w:val="22"/>
                <w:szCs w:val="22"/>
              </w:rPr>
            </w:pPr>
            <w:r w:rsidRPr="00553AD2">
              <w:rPr>
                <w:rFonts w:asciiTheme="minorHAnsi" w:hAnsiTheme="minorHAnsi"/>
                <w:color w:val="000000" w:themeColor="text1"/>
                <w:sz w:val="22"/>
                <w:szCs w:val="22"/>
              </w:rPr>
              <w:t xml:space="preserve">45 000 </w:t>
            </w:r>
            <w:r w:rsidRPr="00553AD2">
              <w:rPr>
                <w:rFonts w:asciiTheme="minorHAnsi" w:hAnsiTheme="minorHAnsi"/>
                <w:color w:val="000000" w:themeColor="text1"/>
                <w:sz w:val="22"/>
                <w:szCs w:val="22"/>
              </w:rPr>
              <w:br/>
              <w:t>(presupuesto básico)</w:t>
            </w:r>
          </w:p>
        </w:tc>
      </w:tr>
      <w:tr w:rsidR="00A1095B" w:rsidRPr="00553AD2" w14:paraId="7FF3E494" w14:textId="77777777" w:rsidTr="00270374">
        <w:trPr>
          <w:cantSplit/>
        </w:trPr>
        <w:tc>
          <w:tcPr>
            <w:tcW w:w="1699" w:type="dxa"/>
            <w:shd w:val="clear" w:color="auto" w:fill="auto"/>
            <w:noWrap/>
          </w:tcPr>
          <w:p w14:paraId="43AAE3AD" w14:textId="08DCBE13"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t>COP15 Doc.23.7</w:t>
            </w:r>
          </w:p>
        </w:tc>
        <w:tc>
          <w:tcPr>
            <w:tcW w:w="4533" w:type="dxa"/>
            <w:shd w:val="clear" w:color="auto" w:fill="auto"/>
            <w:noWrap/>
            <w:vAlign w:val="center"/>
          </w:tcPr>
          <w:p w14:paraId="0DED3500" w14:textId="29B8BCD0" w:rsidR="00A1095B" w:rsidRPr="00553AD2" w:rsidRDefault="00A1095B" w:rsidP="00A1095B">
            <w:pPr>
              <w:ind w:left="0" w:firstLine="0"/>
              <w:rPr>
                <w:rFonts w:asciiTheme="minorHAnsi" w:hAnsiTheme="minorHAnsi" w:cstheme="minorHAnsi"/>
                <w:sz w:val="22"/>
                <w:szCs w:val="22"/>
              </w:rPr>
            </w:pPr>
            <w:r w:rsidRPr="00553AD2">
              <w:rPr>
                <w:rFonts w:asciiTheme="minorHAnsi" w:hAnsiTheme="minorHAnsi"/>
                <w:color w:val="000000"/>
                <w:sz w:val="22"/>
                <w:szCs w:val="22"/>
              </w:rPr>
              <w:t>Proyecto de resolución sobre el estado de los sitios incluidos en la Lista de Humedales de Importancia Internacional</w:t>
            </w:r>
          </w:p>
        </w:tc>
        <w:tc>
          <w:tcPr>
            <w:tcW w:w="4825" w:type="dxa"/>
            <w:shd w:val="clear" w:color="auto" w:fill="auto"/>
          </w:tcPr>
          <w:p w14:paraId="6016E99C" w14:textId="77777777" w:rsidR="00A1095B" w:rsidRPr="00553AD2" w:rsidRDefault="00A1095B" w:rsidP="00A1095B">
            <w:pPr>
              <w:widowControl w:val="0"/>
              <w:ind w:left="0" w:firstLine="0"/>
              <w:jc w:val="left"/>
              <w:rPr>
                <w:rFonts w:asciiTheme="minorHAnsi" w:hAnsiTheme="minorHAnsi" w:cstheme="minorHAnsi"/>
                <w:bCs/>
                <w:color w:val="000000"/>
                <w:sz w:val="22"/>
                <w:szCs w:val="22"/>
              </w:rPr>
            </w:pPr>
          </w:p>
        </w:tc>
        <w:tc>
          <w:tcPr>
            <w:tcW w:w="1413" w:type="dxa"/>
            <w:shd w:val="clear" w:color="auto" w:fill="auto"/>
          </w:tcPr>
          <w:p w14:paraId="6A0CF0BE" w14:textId="4890381F" w:rsidR="00A1095B" w:rsidRPr="00553AD2" w:rsidRDefault="00A1095B" w:rsidP="00A1095B">
            <w:pPr>
              <w:widowControl w:val="0"/>
              <w:ind w:left="0" w:firstLine="0"/>
              <w:jc w:val="left"/>
              <w:rPr>
                <w:rFonts w:asciiTheme="minorHAnsi" w:hAnsiTheme="minorHAnsi" w:cstheme="minorHAnsi"/>
                <w:bCs/>
                <w:color w:val="000000"/>
                <w:sz w:val="22"/>
                <w:szCs w:val="22"/>
              </w:rPr>
            </w:pPr>
            <w:r w:rsidRPr="00553AD2">
              <w:rPr>
                <w:rFonts w:asciiTheme="minorHAnsi" w:hAnsiTheme="minorHAnsi"/>
                <w:bCs/>
                <w:color w:val="000000"/>
                <w:sz w:val="22"/>
                <w:szCs w:val="22"/>
              </w:rPr>
              <w:t>0</w:t>
            </w:r>
          </w:p>
        </w:tc>
        <w:tc>
          <w:tcPr>
            <w:tcW w:w="1706" w:type="dxa"/>
            <w:shd w:val="clear" w:color="auto" w:fill="auto"/>
          </w:tcPr>
          <w:p w14:paraId="0D7C9885" w14:textId="5FC5D467" w:rsidR="00A1095B" w:rsidRPr="00553AD2" w:rsidDel="00886642" w:rsidRDefault="00A1095B" w:rsidP="00A1095B">
            <w:pPr>
              <w:widowControl w:val="0"/>
              <w:ind w:left="0" w:firstLine="0"/>
              <w:jc w:val="left"/>
              <w:rPr>
                <w:rFonts w:asciiTheme="minorHAnsi" w:hAnsiTheme="minorHAnsi" w:cstheme="minorHAnsi"/>
                <w:bCs/>
                <w:color w:val="000000"/>
                <w:sz w:val="22"/>
                <w:szCs w:val="22"/>
              </w:rPr>
            </w:pPr>
            <w:r w:rsidRPr="00553AD2">
              <w:rPr>
                <w:rFonts w:asciiTheme="minorHAnsi" w:hAnsiTheme="minorHAnsi"/>
                <w:bCs/>
                <w:color w:val="000000"/>
                <w:sz w:val="22"/>
                <w:szCs w:val="22"/>
              </w:rPr>
              <w:t>0</w:t>
            </w:r>
          </w:p>
        </w:tc>
      </w:tr>
      <w:tr w:rsidR="00A1095B" w:rsidRPr="00553AD2" w14:paraId="6ECC58FD" w14:textId="77777777" w:rsidTr="00A1095B">
        <w:trPr>
          <w:cantSplit/>
        </w:trPr>
        <w:tc>
          <w:tcPr>
            <w:tcW w:w="14176" w:type="dxa"/>
            <w:gridSpan w:val="5"/>
            <w:shd w:val="clear" w:color="auto" w:fill="auto"/>
            <w:noWrap/>
          </w:tcPr>
          <w:p w14:paraId="45732E84" w14:textId="6B578761" w:rsidR="00A1095B" w:rsidRPr="00553AD2" w:rsidRDefault="00A1095B" w:rsidP="00270374">
            <w:pPr>
              <w:keepNext/>
              <w:widowControl w:val="0"/>
              <w:spacing w:before="60" w:after="60"/>
              <w:ind w:left="0" w:firstLine="0"/>
              <w:jc w:val="left"/>
              <w:rPr>
                <w:rFonts w:asciiTheme="minorHAnsi" w:hAnsiTheme="minorHAnsi" w:cstheme="minorHAnsi"/>
                <w:b/>
                <w:bCs/>
                <w:color w:val="000000"/>
                <w:sz w:val="22"/>
                <w:szCs w:val="22"/>
              </w:rPr>
            </w:pPr>
            <w:r w:rsidRPr="00553AD2">
              <w:rPr>
                <w:rFonts w:asciiTheme="minorHAnsi" w:hAnsiTheme="minorHAnsi"/>
                <w:b/>
                <w:bCs/>
                <w:color w:val="000000"/>
                <w:sz w:val="22"/>
                <w:szCs w:val="22"/>
              </w:rPr>
              <w:t>Proyectos de resolución presentados por los grupos de trabajo y el GECT</w:t>
            </w:r>
          </w:p>
        </w:tc>
      </w:tr>
      <w:tr w:rsidR="00A1095B" w:rsidRPr="00553AD2" w14:paraId="24213C48" w14:textId="77777777" w:rsidTr="00270374">
        <w:trPr>
          <w:cantSplit/>
        </w:trPr>
        <w:tc>
          <w:tcPr>
            <w:tcW w:w="1699" w:type="dxa"/>
            <w:shd w:val="clear" w:color="auto" w:fill="auto"/>
            <w:noWrap/>
          </w:tcPr>
          <w:p w14:paraId="307ED65A" w14:textId="79D9F3D9" w:rsidR="00A1095B" w:rsidRPr="00553AD2" w:rsidRDefault="00A1095B" w:rsidP="00A1095B">
            <w:pPr>
              <w:widowControl w:val="0"/>
              <w:ind w:left="0" w:firstLine="0"/>
              <w:jc w:val="left"/>
              <w:rPr>
                <w:rFonts w:asciiTheme="minorHAnsi" w:hAnsiTheme="minorHAnsi" w:cstheme="minorHAnsi"/>
                <w:bCs/>
                <w:color w:val="000000"/>
                <w:sz w:val="22"/>
                <w:szCs w:val="22"/>
              </w:rPr>
            </w:pPr>
            <w:r w:rsidRPr="00553AD2">
              <w:rPr>
                <w:rFonts w:asciiTheme="minorHAnsi" w:hAnsiTheme="minorHAnsi"/>
                <w:color w:val="000000"/>
                <w:sz w:val="22"/>
                <w:szCs w:val="22"/>
              </w:rPr>
              <w:t>COP15 Doc.23.3</w:t>
            </w:r>
          </w:p>
        </w:tc>
        <w:tc>
          <w:tcPr>
            <w:tcW w:w="4533" w:type="dxa"/>
            <w:shd w:val="clear" w:color="auto" w:fill="auto"/>
            <w:noWrap/>
            <w:vAlign w:val="center"/>
          </w:tcPr>
          <w:p w14:paraId="0CF1F8AA" w14:textId="587458B2" w:rsidR="00A1095B" w:rsidRPr="00553AD2" w:rsidRDefault="00A1095B" w:rsidP="00A1095B">
            <w:pPr>
              <w:widowControl w:val="0"/>
              <w:ind w:left="0" w:firstLine="0"/>
              <w:jc w:val="left"/>
              <w:rPr>
                <w:rFonts w:asciiTheme="minorHAnsi" w:hAnsiTheme="minorHAnsi" w:cstheme="minorHAnsi"/>
                <w:bCs/>
                <w:color w:val="000000"/>
                <w:sz w:val="22"/>
                <w:szCs w:val="22"/>
              </w:rPr>
            </w:pPr>
            <w:r w:rsidRPr="00553AD2">
              <w:rPr>
                <w:rFonts w:asciiTheme="minorHAnsi" w:hAnsiTheme="minorHAnsi"/>
                <w:color w:val="000000"/>
                <w:sz w:val="22"/>
                <w:szCs w:val="22"/>
              </w:rPr>
              <w:t>Proyecto de resolución sobre el Plan Estratégico de la Convención sobre los Humedales 2025-2034</w:t>
            </w:r>
          </w:p>
        </w:tc>
        <w:tc>
          <w:tcPr>
            <w:tcW w:w="4825" w:type="dxa"/>
            <w:shd w:val="clear" w:color="auto" w:fill="auto"/>
          </w:tcPr>
          <w:p w14:paraId="39DD4D8D" w14:textId="2C9F1F49" w:rsidR="00A1095B" w:rsidRPr="00553AD2" w:rsidRDefault="00A1095B" w:rsidP="00A1095B">
            <w:pPr>
              <w:widowControl w:val="0"/>
              <w:ind w:left="0" w:firstLine="0"/>
              <w:jc w:val="left"/>
              <w:rPr>
                <w:rFonts w:asciiTheme="minorHAnsi" w:hAnsiTheme="minorHAnsi" w:cstheme="minorHAnsi"/>
                <w:bCs/>
                <w:color w:val="000000"/>
                <w:sz w:val="22"/>
                <w:szCs w:val="22"/>
              </w:rPr>
            </w:pPr>
          </w:p>
        </w:tc>
        <w:tc>
          <w:tcPr>
            <w:tcW w:w="1413" w:type="dxa"/>
            <w:shd w:val="clear" w:color="auto" w:fill="auto"/>
          </w:tcPr>
          <w:p w14:paraId="79F4F21C" w14:textId="17F18B01" w:rsidR="00A1095B" w:rsidRPr="00553AD2" w:rsidRDefault="00A1095B" w:rsidP="00A1095B">
            <w:pPr>
              <w:widowControl w:val="0"/>
              <w:ind w:left="0" w:firstLine="0"/>
              <w:jc w:val="left"/>
              <w:rPr>
                <w:rFonts w:asciiTheme="minorHAnsi" w:hAnsiTheme="minorHAnsi" w:cstheme="minorHAnsi"/>
                <w:bCs/>
                <w:color w:val="000000"/>
                <w:sz w:val="22"/>
                <w:szCs w:val="22"/>
              </w:rPr>
            </w:pPr>
            <w:r w:rsidRPr="00553AD2">
              <w:rPr>
                <w:rFonts w:asciiTheme="minorHAnsi" w:hAnsiTheme="minorHAnsi"/>
                <w:bCs/>
                <w:color w:val="000000"/>
                <w:sz w:val="22"/>
                <w:szCs w:val="22"/>
              </w:rPr>
              <w:t>0</w:t>
            </w:r>
          </w:p>
        </w:tc>
        <w:tc>
          <w:tcPr>
            <w:tcW w:w="1706" w:type="dxa"/>
            <w:shd w:val="clear" w:color="auto" w:fill="auto"/>
          </w:tcPr>
          <w:p w14:paraId="44F91ED9" w14:textId="286E5518" w:rsidR="00A1095B" w:rsidRPr="00553AD2" w:rsidRDefault="00A1095B" w:rsidP="00A1095B">
            <w:pPr>
              <w:widowControl w:val="0"/>
              <w:ind w:left="0" w:firstLine="0"/>
              <w:jc w:val="left"/>
              <w:rPr>
                <w:rFonts w:asciiTheme="minorHAnsi" w:hAnsiTheme="minorHAnsi" w:cstheme="minorHAnsi"/>
                <w:bCs/>
                <w:color w:val="000000"/>
                <w:sz w:val="22"/>
                <w:szCs w:val="22"/>
              </w:rPr>
            </w:pPr>
            <w:r w:rsidRPr="00553AD2">
              <w:rPr>
                <w:rFonts w:asciiTheme="minorHAnsi" w:hAnsiTheme="minorHAnsi"/>
                <w:bCs/>
                <w:color w:val="000000"/>
                <w:sz w:val="22"/>
                <w:szCs w:val="22"/>
              </w:rPr>
              <w:t>0</w:t>
            </w:r>
          </w:p>
        </w:tc>
      </w:tr>
      <w:tr w:rsidR="0016610A" w:rsidRPr="00553AD2" w14:paraId="2BB3E549" w14:textId="77777777" w:rsidTr="00270374">
        <w:trPr>
          <w:cantSplit/>
        </w:trPr>
        <w:tc>
          <w:tcPr>
            <w:tcW w:w="1699" w:type="dxa"/>
            <w:shd w:val="clear" w:color="auto" w:fill="auto"/>
            <w:noWrap/>
          </w:tcPr>
          <w:p w14:paraId="1460C885" w14:textId="7C842084" w:rsidR="0016610A" w:rsidRPr="00553AD2" w:rsidRDefault="0016610A"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t>COP15 Doc.23.8</w:t>
            </w:r>
          </w:p>
        </w:tc>
        <w:tc>
          <w:tcPr>
            <w:tcW w:w="4533" w:type="dxa"/>
            <w:shd w:val="clear" w:color="auto" w:fill="auto"/>
            <w:noWrap/>
            <w:vAlign w:val="center"/>
          </w:tcPr>
          <w:p w14:paraId="5FF944B2" w14:textId="5C5D1CA6" w:rsidR="0016610A" w:rsidRPr="00553AD2" w:rsidRDefault="0016610A" w:rsidP="00A1095B">
            <w:pPr>
              <w:widowControl w:val="0"/>
              <w:ind w:left="0" w:firstLine="0"/>
              <w:jc w:val="left"/>
              <w:rPr>
                <w:rFonts w:asciiTheme="minorHAnsi" w:hAnsiTheme="minorHAnsi" w:cstheme="minorHAnsi"/>
                <w:color w:val="000000"/>
                <w:sz w:val="22"/>
                <w:szCs w:val="22"/>
              </w:rPr>
            </w:pPr>
            <w:r w:rsidRPr="00553AD2">
              <w:rPr>
                <w:rFonts w:ascii="Calibri" w:hAnsi="Calibri"/>
                <w:sz w:val="22"/>
                <w:szCs w:val="22"/>
              </w:rPr>
              <w:t>Proyecto de resolución sobre el proceso de contratación de un nuevo Secretario o Secretaria General</w:t>
            </w:r>
          </w:p>
        </w:tc>
        <w:tc>
          <w:tcPr>
            <w:tcW w:w="4825" w:type="dxa"/>
            <w:shd w:val="clear" w:color="auto" w:fill="auto"/>
          </w:tcPr>
          <w:p w14:paraId="78CD4B35" w14:textId="77777777" w:rsidR="0016610A" w:rsidRPr="00553AD2" w:rsidRDefault="0016610A" w:rsidP="00A1095B">
            <w:pPr>
              <w:widowControl w:val="0"/>
              <w:ind w:left="0" w:firstLine="0"/>
              <w:jc w:val="left"/>
              <w:rPr>
                <w:rFonts w:asciiTheme="minorHAnsi" w:hAnsiTheme="minorHAnsi" w:cstheme="minorHAnsi"/>
                <w:bCs/>
                <w:color w:val="000000"/>
                <w:sz w:val="22"/>
                <w:szCs w:val="22"/>
              </w:rPr>
            </w:pPr>
          </w:p>
        </w:tc>
        <w:tc>
          <w:tcPr>
            <w:tcW w:w="1413" w:type="dxa"/>
            <w:shd w:val="clear" w:color="auto" w:fill="auto"/>
          </w:tcPr>
          <w:p w14:paraId="76CB3BB1" w14:textId="63DC415C" w:rsidR="0016610A" w:rsidRPr="00553AD2" w:rsidRDefault="001E209D" w:rsidP="00A1095B">
            <w:pPr>
              <w:widowControl w:val="0"/>
              <w:ind w:left="0" w:firstLine="0"/>
              <w:jc w:val="left"/>
              <w:rPr>
                <w:rFonts w:asciiTheme="minorHAnsi" w:hAnsiTheme="minorHAnsi" w:cstheme="minorHAnsi"/>
                <w:bCs/>
                <w:color w:val="000000"/>
                <w:sz w:val="22"/>
                <w:szCs w:val="22"/>
              </w:rPr>
            </w:pPr>
            <w:r w:rsidRPr="00553AD2">
              <w:rPr>
                <w:rFonts w:asciiTheme="minorHAnsi" w:hAnsiTheme="minorHAnsi"/>
                <w:bCs/>
                <w:color w:val="000000"/>
                <w:sz w:val="22"/>
                <w:szCs w:val="22"/>
              </w:rPr>
              <w:t>0</w:t>
            </w:r>
          </w:p>
        </w:tc>
        <w:tc>
          <w:tcPr>
            <w:tcW w:w="1706" w:type="dxa"/>
            <w:shd w:val="clear" w:color="auto" w:fill="auto"/>
          </w:tcPr>
          <w:p w14:paraId="6DBDF6D9" w14:textId="03DCE488" w:rsidR="0016610A" w:rsidRPr="00553AD2" w:rsidRDefault="6C572C96" w:rsidP="00BC7037">
            <w:pPr>
              <w:widowControl w:val="0"/>
              <w:ind w:left="0" w:firstLine="0"/>
              <w:jc w:val="left"/>
              <w:rPr>
                <w:rFonts w:asciiTheme="minorHAnsi" w:hAnsiTheme="minorHAnsi" w:cstheme="minorBidi"/>
                <w:color w:val="000000" w:themeColor="text1"/>
                <w:sz w:val="22"/>
                <w:szCs w:val="22"/>
              </w:rPr>
            </w:pPr>
            <w:r w:rsidRPr="00553AD2">
              <w:rPr>
                <w:rFonts w:asciiTheme="minorHAnsi" w:hAnsiTheme="minorHAnsi"/>
                <w:color w:val="000000" w:themeColor="text1"/>
                <w:sz w:val="22"/>
                <w:szCs w:val="22"/>
              </w:rPr>
              <w:t>60 000</w:t>
            </w:r>
            <w:r w:rsidR="00BB624E" w:rsidRPr="00553AD2">
              <w:rPr>
                <w:rStyle w:val="FootnoteReference"/>
                <w:rFonts w:asciiTheme="minorHAnsi" w:hAnsiTheme="minorHAnsi" w:cstheme="minorBidi"/>
                <w:color w:val="000000" w:themeColor="text1"/>
                <w:sz w:val="22"/>
                <w:szCs w:val="22"/>
              </w:rPr>
              <w:footnoteReference w:id="2"/>
            </w:r>
          </w:p>
        </w:tc>
      </w:tr>
      <w:tr w:rsidR="00A1095B" w:rsidRPr="00553AD2" w14:paraId="20003C21" w14:textId="77777777" w:rsidTr="00270374">
        <w:trPr>
          <w:cantSplit/>
        </w:trPr>
        <w:tc>
          <w:tcPr>
            <w:tcW w:w="1699" w:type="dxa"/>
            <w:shd w:val="clear" w:color="auto" w:fill="auto"/>
            <w:noWrap/>
          </w:tcPr>
          <w:p w14:paraId="2A125AA4" w14:textId="5EE14EF4" w:rsidR="00A1095B" w:rsidRPr="00553AD2" w:rsidRDefault="00A1095B" w:rsidP="00A1095B">
            <w:pPr>
              <w:widowControl w:val="0"/>
              <w:ind w:left="0" w:firstLine="0"/>
              <w:jc w:val="left"/>
              <w:rPr>
                <w:rFonts w:asciiTheme="minorHAnsi" w:hAnsiTheme="minorHAnsi" w:cstheme="minorHAnsi"/>
                <w:bCs/>
                <w:color w:val="000000"/>
                <w:sz w:val="22"/>
                <w:szCs w:val="22"/>
              </w:rPr>
            </w:pPr>
            <w:r w:rsidRPr="00553AD2">
              <w:rPr>
                <w:rFonts w:asciiTheme="minorHAnsi" w:hAnsiTheme="minorHAnsi"/>
                <w:color w:val="000000"/>
                <w:sz w:val="22"/>
                <w:szCs w:val="22"/>
              </w:rPr>
              <w:t>COP15 Doc.23.9</w:t>
            </w:r>
          </w:p>
        </w:tc>
        <w:tc>
          <w:tcPr>
            <w:tcW w:w="4533" w:type="dxa"/>
            <w:shd w:val="clear" w:color="auto" w:fill="auto"/>
            <w:noWrap/>
          </w:tcPr>
          <w:p w14:paraId="1D2C202B" w14:textId="12350B48" w:rsidR="00A1095B" w:rsidRPr="00553AD2" w:rsidRDefault="00A1095B" w:rsidP="00A1095B">
            <w:pPr>
              <w:widowControl w:val="0"/>
              <w:ind w:left="0" w:firstLine="0"/>
              <w:jc w:val="left"/>
              <w:rPr>
                <w:rFonts w:asciiTheme="minorHAnsi" w:hAnsiTheme="minorHAnsi" w:cstheme="minorHAnsi"/>
                <w:bCs/>
                <w:color w:val="000000"/>
                <w:sz w:val="22"/>
                <w:szCs w:val="22"/>
              </w:rPr>
            </w:pPr>
            <w:r w:rsidRPr="00553AD2">
              <w:rPr>
                <w:rFonts w:asciiTheme="minorHAnsi" w:hAnsiTheme="minorHAnsi"/>
                <w:color w:val="000000"/>
                <w:sz w:val="22"/>
                <w:szCs w:val="22"/>
              </w:rPr>
              <w:t>Proyecto de resolución sobre la aplicación del fortalecimiento institucional de la Convención sobre los Humedales</w:t>
            </w:r>
          </w:p>
        </w:tc>
        <w:tc>
          <w:tcPr>
            <w:tcW w:w="4825" w:type="dxa"/>
            <w:shd w:val="clear" w:color="auto" w:fill="auto"/>
          </w:tcPr>
          <w:p w14:paraId="40DADC40" w14:textId="42192613" w:rsidR="00A1095B" w:rsidRPr="00553AD2" w:rsidRDefault="00A1095B" w:rsidP="00A1095B">
            <w:pPr>
              <w:widowControl w:val="0"/>
              <w:ind w:left="0" w:firstLine="0"/>
              <w:jc w:val="left"/>
              <w:rPr>
                <w:rFonts w:asciiTheme="minorHAnsi" w:hAnsiTheme="minorHAnsi" w:cstheme="minorHAnsi"/>
                <w:bCs/>
                <w:color w:val="000000"/>
                <w:sz w:val="22"/>
                <w:szCs w:val="22"/>
              </w:rPr>
            </w:pPr>
          </w:p>
        </w:tc>
        <w:tc>
          <w:tcPr>
            <w:tcW w:w="1413" w:type="dxa"/>
            <w:shd w:val="clear" w:color="auto" w:fill="auto"/>
          </w:tcPr>
          <w:p w14:paraId="274059CB" w14:textId="2BC3483F" w:rsidR="00A1095B" w:rsidRPr="00553AD2" w:rsidRDefault="00A1095B" w:rsidP="00A1095B">
            <w:pPr>
              <w:widowControl w:val="0"/>
              <w:ind w:left="0" w:firstLine="0"/>
              <w:jc w:val="left"/>
              <w:rPr>
                <w:rFonts w:asciiTheme="minorHAnsi" w:hAnsiTheme="minorHAnsi" w:cstheme="minorHAnsi"/>
                <w:bCs/>
                <w:color w:val="000000"/>
                <w:sz w:val="22"/>
                <w:szCs w:val="22"/>
              </w:rPr>
            </w:pPr>
            <w:r w:rsidRPr="00553AD2">
              <w:rPr>
                <w:rFonts w:asciiTheme="minorHAnsi" w:hAnsiTheme="minorHAnsi"/>
                <w:bCs/>
                <w:color w:val="000000"/>
                <w:sz w:val="22"/>
                <w:szCs w:val="22"/>
              </w:rPr>
              <w:t>0</w:t>
            </w:r>
          </w:p>
        </w:tc>
        <w:tc>
          <w:tcPr>
            <w:tcW w:w="1706" w:type="dxa"/>
            <w:shd w:val="clear" w:color="auto" w:fill="auto"/>
          </w:tcPr>
          <w:p w14:paraId="1F266BBF" w14:textId="7DB75A25" w:rsidR="00A1095B" w:rsidRPr="00553AD2" w:rsidRDefault="00A1095B" w:rsidP="00A1095B">
            <w:pPr>
              <w:widowControl w:val="0"/>
              <w:ind w:left="0" w:firstLine="0"/>
              <w:jc w:val="left"/>
              <w:rPr>
                <w:rFonts w:asciiTheme="minorHAnsi" w:hAnsiTheme="minorHAnsi" w:cstheme="minorHAnsi"/>
                <w:bCs/>
                <w:color w:val="000000"/>
                <w:sz w:val="22"/>
                <w:szCs w:val="22"/>
              </w:rPr>
            </w:pPr>
            <w:r w:rsidRPr="00553AD2">
              <w:rPr>
                <w:rFonts w:asciiTheme="minorHAnsi" w:hAnsiTheme="minorHAnsi"/>
                <w:bCs/>
                <w:color w:val="000000"/>
                <w:sz w:val="22"/>
                <w:szCs w:val="22"/>
              </w:rPr>
              <w:t>0</w:t>
            </w:r>
          </w:p>
        </w:tc>
      </w:tr>
      <w:tr w:rsidR="00A1095B" w:rsidRPr="00553AD2" w14:paraId="5AC892B7" w14:textId="77777777" w:rsidTr="00270374">
        <w:trPr>
          <w:cantSplit/>
        </w:trPr>
        <w:tc>
          <w:tcPr>
            <w:tcW w:w="1699" w:type="dxa"/>
            <w:shd w:val="clear" w:color="auto" w:fill="auto"/>
            <w:noWrap/>
          </w:tcPr>
          <w:p w14:paraId="440F8B3D" w14:textId="3439513E" w:rsidR="00A1095B" w:rsidRPr="00553AD2" w:rsidRDefault="00A1095B" w:rsidP="00A1095B">
            <w:pPr>
              <w:widowControl w:val="0"/>
              <w:ind w:left="0" w:firstLine="0"/>
              <w:jc w:val="left"/>
              <w:rPr>
                <w:rFonts w:asciiTheme="minorHAnsi" w:hAnsiTheme="minorHAnsi" w:cstheme="minorHAnsi"/>
                <w:bCs/>
                <w:color w:val="000000"/>
                <w:sz w:val="22"/>
                <w:szCs w:val="22"/>
              </w:rPr>
            </w:pPr>
            <w:r w:rsidRPr="00553AD2">
              <w:rPr>
                <w:rFonts w:asciiTheme="minorHAnsi" w:hAnsiTheme="minorHAnsi"/>
                <w:color w:val="000000"/>
                <w:sz w:val="22"/>
                <w:szCs w:val="22"/>
              </w:rPr>
              <w:lastRenderedPageBreak/>
              <w:t>COP15 Doc.23.10</w:t>
            </w:r>
          </w:p>
        </w:tc>
        <w:tc>
          <w:tcPr>
            <w:tcW w:w="4533" w:type="dxa"/>
            <w:shd w:val="clear" w:color="auto" w:fill="auto"/>
            <w:noWrap/>
          </w:tcPr>
          <w:p w14:paraId="235D876B" w14:textId="2F3033BB" w:rsidR="00A1095B" w:rsidRPr="00553AD2" w:rsidRDefault="00A1095B" w:rsidP="00A1095B">
            <w:pPr>
              <w:widowControl w:val="0"/>
              <w:ind w:left="0" w:firstLine="0"/>
              <w:jc w:val="left"/>
              <w:rPr>
                <w:rFonts w:asciiTheme="minorHAnsi" w:hAnsiTheme="minorHAnsi" w:cstheme="minorHAnsi"/>
                <w:bCs/>
                <w:color w:val="000000"/>
                <w:sz w:val="22"/>
                <w:szCs w:val="22"/>
              </w:rPr>
            </w:pPr>
            <w:r w:rsidRPr="00553AD2">
              <w:rPr>
                <w:rFonts w:asciiTheme="minorHAnsi" w:hAnsiTheme="minorHAnsi"/>
                <w:color w:val="000000" w:themeColor="text1"/>
                <w:sz w:val="22"/>
                <w:szCs w:val="22"/>
              </w:rPr>
              <w:t>Proyecto de resolución sobre la aplicación futura de los aspectos científicos y técnicos de la Convención para 2025-2028</w:t>
            </w:r>
          </w:p>
        </w:tc>
        <w:tc>
          <w:tcPr>
            <w:tcW w:w="4825" w:type="dxa"/>
            <w:shd w:val="clear" w:color="auto" w:fill="auto"/>
          </w:tcPr>
          <w:p w14:paraId="240EE7A7" w14:textId="673D614D" w:rsidR="00A1095B" w:rsidRPr="00553AD2" w:rsidRDefault="00824167"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themeColor="text1"/>
                <w:sz w:val="22"/>
                <w:szCs w:val="22"/>
              </w:rPr>
              <w:t>La Secretaría publicará futuras convocatorias de candidaturas para ser miembros del Grupo de Examen Científico y Técnico (GECT).</w:t>
            </w:r>
          </w:p>
          <w:p w14:paraId="6AD9B733" w14:textId="77777777" w:rsidR="00A1095B" w:rsidRPr="00553AD2" w:rsidRDefault="00A1095B" w:rsidP="00A1095B">
            <w:pPr>
              <w:widowControl w:val="0"/>
              <w:ind w:left="0" w:firstLine="0"/>
              <w:jc w:val="left"/>
              <w:rPr>
                <w:rFonts w:asciiTheme="minorHAnsi" w:hAnsiTheme="minorHAnsi" w:cstheme="minorHAnsi"/>
                <w:color w:val="000000"/>
                <w:sz w:val="22"/>
                <w:szCs w:val="22"/>
              </w:rPr>
            </w:pPr>
          </w:p>
          <w:p w14:paraId="6DD850E9" w14:textId="62B7BBE8" w:rsidR="00A1095B" w:rsidRPr="00553AD2" w:rsidRDefault="00824167"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themeColor="text1"/>
                <w:sz w:val="22"/>
                <w:szCs w:val="22"/>
              </w:rPr>
              <w:t xml:space="preserve">La Secretaría, en consulta con el GECT y sus colaboradores, seguirá desarrollando una iniciativa para mejorar la aplicación de la observación de la Tierra en el inventario de humedales, e informará al Comité Permanente al respecto </w:t>
            </w:r>
          </w:p>
          <w:p w14:paraId="78F46570" w14:textId="77777777" w:rsidR="00A1095B" w:rsidRPr="00553AD2" w:rsidRDefault="00A1095B" w:rsidP="00A1095B">
            <w:pPr>
              <w:widowControl w:val="0"/>
              <w:ind w:left="0" w:firstLine="0"/>
              <w:jc w:val="left"/>
              <w:rPr>
                <w:rFonts w:asciiTheme="minorHAnsi" w:hAnsiTheme="minorHAnsi" w:cstheme="minorHAnsi"/>
                <w:color w:val="000000"/>
                <w:sz w:val="22"/>
                <w:szCs w:val="22"/>
              </w:rPr>
            </w:pPr>
          </w:p>
          <w:p w14:paraId="5620C8B2" w14:textId="498E62AC" w:rsidR="00A1095B" w:rsidRPr="00553AD2" w:rsidRDefault="00824167" w:rsidP="00A1095B">
            <w:pPr>
              <w:widowControl w:val="0"/>
              <w:ind w:left="0" w:firstLine="0"/>
              <w:jc w:val="left"/>
              <w:rPr>
                <w:rFonts w:asciiTheme="minorHAnsi" w:hAnsiTheme="minorHAnsi" w:cstheme="minorHAnsi"/>
                <w:color w:val="000000"/>
                <w:sz w:val="22"/>
                <w:szCs w:val="22"/>
                <w:highlight w:val="yellow"/>
              </w:rPr>
            </w:pPr>
            <w:r w:rsidRPr="00553AD2">
              <w:rPr>
                <w:rFonts w:asciiTheme="minorHAnsi" w:hAnsiTheme="minorHAnsi"/>
                <w:color w:val="000000" w:themeColor="text1"/>
                <w:sz w:val="22"/>
                <w:szCs w:val="22"/>
              </w:rPr>
              <w:t>La Secretaría estudiará mecanismos de financiación innovadores para apoyar el trabajo científico y técnico del GECT, incluida la posibilidad de asociaciones público-privadas y colaboraciones con entidades filantrópicas</w:t>
            </w:r>
          </w:p>
        </w:tc>
        <w:tc>
          <w:tcPr>
            <w:tcW w:w="1413" w:type="dxa"/>
            <w:shd w:val="clear" w:color="auto" w:fill="auto"/>
          </w:tcPr>
          <w:p w14:paraId="6E2264A8" w14:textId="3E0B084C"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themeColor="text1"/>
                <w:sz w:val="22"/>
                <w:szCs w:val="22"/>
              </w:rPr>
              <w:t>0</w:t>
            </w:r>
          </w:p>
          <w:p w14:paraId="19F85DAC" w14:textId="77777777" w:rsidR="00A1095B" w:rsidRPr="00553AD2" w:rsidRDefault="00A1095B" w:rsidP="00A1095B">
            <w:pPr>
              <w:widowControl w:val="0"/>
              <w:ind w:left="0" w:firstLine="0"/>
              <w:jc w:val="left"/>
              <w:rPr>
                <w:rFonts w:asciiTheme="minorHAnsi" w:hAnsiTheme="minorHAnsi" w:cstheme="minorHAnsi"/>
                <w:color w:val="000000"/>
                <w:sz w:val="22"/>
                <w:szCs w:val="22"/>
              </w:rPr>
            </w:pPr>
          </w:p>
          <w:p w14:paraId="3B2FBDE3" w14:textId="77777777" w:rsidR="00A1095B" w:rsidRPr="00553AD2" w:rsidRDefault="00A1095B" w:rsidP="00A1095B">
            <w:pPr>
              <w:widowControl w:val="0"/>
              <w:ind w:left="0" w:firstLine="0"/>
              <w:jc w:val="left"/>
              <w:rPr>
                <w:rFonts w:asciiTheme="minorHAnsi" w:hAnsiTheme="minorHAnsi" w:cstheme="minorHAnsi"/>
                <w:color w:val="000000"/>
                <w:sz w:val="22"/>
                <w:szCs w:val="22"/>
              </w:rPr>
            </w:pPr>
          </w:p>
          <w:p w14:paraId="6AFB3029" w14:textId="77777777" w:rsidR="00824167" w:rsidRPr="00553AD2" w:rsidRDefault="00824167" w:rsidP="00A1095B">
            <w:pPr>
              <w:widowControl w:val="0"/>
              <w:ind w:left="0" w:firstLine="0"/>
              <w:jc w:val="left"/>
              <w:rPr>
                <w:rFonts w:asciiTheme="minorHAnsi" w:hAnsiTheme="minorHAnsi" w:cstheme="minorHAnsi"/>
                <w:color w:val="000000"/>
                <w:sz w:val="22"/>
                <w:szCs w:val="22"/>
              </w:rPr>
            </w:pPr>
          </w:p>
          <w:p w14:paraId="38500E2A" w14:textId="484A2A78"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themeColor="text1"/>
                <w:sz w:val="22"/>
                <w:szCs w:val="22"/>
              </w:rPr>
              <w:t>50</w:t>
            </w:r>
          </w:p>
          <w:p w14:paraId="59152045" w14:textId="77777777" w:rsidR="00A1095B" w:rsidRPr="00553AD2" w:rsidRDefault="00A1095B" w:rsidP="00A1095B">
            <w:pPr>
              <w:widowControl w:val="0"/>
              <w:ind w:left="0" w:firstLine="0"/>
              <w:jc w:val="left"/>
              <w:rPr>
                <w:rFonts w:asciiTheme="minorHAnsi" w:hAnsiTheme="minorHAnsi" w:cstheme="minorHAnsi"/>
                <w:color w:val="000000"/>
                <w:sz w:val="22"/>
                <w:szCs w:val="22"/>
              </w:rPr>
            </w:pPr>
          </w:p>
          <w:p w14:paraId="4F1758C3" w14:textId="77777777" w:rsidR="00A1095B" w:rsidRPr="00553AD2" w:rsidRDefault="00A1095B" w:rsidP="00A1095B">
            <w:pPr>
              <w:widowControl w:val="0"/>
              <w:ind w:left="0" w:firstLine="0"/>
              <w:jc w:val="left"/>
              <w:rPr>
                <w:rFonts w:asciiTheme="minorHAnsi" w:hAnsiTheme="minorHAnsi" w:cstheme="minorHAnsi"/>
                <w:color w:val="000000"/>
                <w:sz w:val="22"/>
                <w:szCs w:val="22"/>
              </w:rPr>
            </w:pPr>
          </w:p>
          <w:p w14:paraId="359584D1" w14:textId="77777777" w:rsidR="00A1095B" w:rsidRPr="00553AD2" w:rsidRDefault="00A1095B" w:rsidP="00A1095B">
            <w:pPr>
              <w:widowControl w:val="0"/>
              <w:ind w:left="0" w:firstLine="0"/>
              <w:jc w:val="left"/>
              <w:rPr>
                <w:rFonts w:asciiTheme="minorHAnsi" w:hAnsiTheme="minorHAnsi" w:cstheme="minorHAnsi"/>
                <w:color w:val="000000"/>
                <w:sz w:val="22"/>
                <w:szCs w:val="22"/>
              </w:rPr>
            </w:pPr>
          </w:p>
          <w:p w14:paraId="753D643D" w14:textId="77777777" w:rsidR="00A1095B" w:rsidRPr="00553AD2" w:rsidRDefault="00A1095B" w:rsidP="00A1095B">
            <w:pPr>
              <w:widowControl w:val="0"/>
              <w:ind w:left="0" w:firstLine="0"/>
              <w:jc w:val="left"/>
              <w:rPr>
                <w:rFonts w:asciiTheme="minorHAnsi" w:hAnsiTheme="minorHAnsi" w:cstheme="minorHAnsi"/>
                <w:color w:val="000000"/>
                <w:sz w:val="22"/>
                <w:szCs w:val="22"/>
              </w:rPr>
            </w:pPr>
          </w:p>
          <w:p w14:paraId="3876CEAB" w14:textId="77777777" w:rsidR="00A1095B" w:rsidRPr="00553AD2" w:rsidRDefault="00A1095B" w:rsidP="00A1095B">
            <w:pPr>
              <w:widowControl w:val="0"/>
              <w:ind w:left="0" w:firstLine="0"/>
              <w:jc w:val="left"/>
              <w:rPr>
                <w:rFonts w:asciiTheme="minorHAnsi" w:hAnsiTheme="minorHAnsi" w:cstheme="minorHAnsi"/>
                <w:color w:val="000000"/>
                <w:sz w:val="22"/>
                <w:szCs w:val="22"/>
              </w:rPr>
            </w:pPr>
          </w:p>
          <w:p w14:paraId="42C030AD" w14:textId="604C15C8"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themeColor="text1"/>
                <w:sz w:val="22"/>
                <w:szCs w:val="22"/>
              </w:rPr>
              <w:t>20</w:t>
            </w:r>
          </w:p>
        </w:tc>
        <w:tc>
          <w:tcPr>
            <w:tcW w:w="1706" w:type="dxa"/>
            <w:shd w:val="clear" w:color="auto" w:fill="auto"/>
          </w:tcPr>
          <w:p w14:paraId="125ABB7C" w14:textId="77777777" w:rsidR="00A1095B" w:rsidRPr="00553AD2" w:rsidRDefault="00A1095B" w:rsidP="00A1095B">
            <w:pPr>
              <w:widowControl w:val="0"/>
              <w:ind w:left="0" w:firstLine="0"/>
              <w:jc w:val="left"/>
              <w:rPr>
                <w:rFonts w:asciiTheme="minorHAnsi" w:hAnsiTheme="minorHAnsi" w:cstheme="minorHAnsi"/>
                <w:sz w:val="22"/>
                <w:szCs w:val="22"/>
              </w:rPr>
            </w:pPr>
          </w:p>
          <w:p w14:paraId="03CD691D" w14:textId="77777777" w:rsidR="00A1095B" w:rsidRPr="00553AD2" w:rsidRDefault="00A1095B" w:rsidP="00824167">
            <w:pPr>
              <w:widowControl w:val="0"/>
              <w:ind w:left="0" w:firstLine="0"/>
              <w:jc w:val="center"/>
              <w:rPr>
                <w:rFonts w:asciiTheme="minorHAnsi" w:hAnsiTheme="minorHAnsi" w:cstheme="minorHAnsi"/>
                <w:sz w:val="22"/>
                <w:szCs w:val="22"/>
              </w:rPr>
            </w:pPr>
          </w:p>
          <w:p w14:paraId="557687B7" w14:textId="77777777" w:rsidR="00824167" w:rsidRPr="00553AD2" w:rsidRDefault="00824167" w:rsidP="00824167">
            <w:pPr>
              <w:widowControl w:val="0"/>
              <w:ind w:left="0" w:firstLine="0"/>
              <w:jc w:val="center"/>
              <w:rPr>
                <w:rFonts w:asciiTheme="minorHAnsi" w:hAnsiTheme="minorHAnsi" w:cstheme="minorHAnsi"/>
                <w:sz w:val="22"/>
                <w:szCs w:val="22"/>
              </w:rPr>
            </w:pPr>
          </w:p>
          <w:p w14:paraId="7451350C" w14:textId="77777777" w:rsidR="00A1095B" w:rsidRPr="00553AD2" w:rsidRDefault="00A1095B" w:rsidP="00A1095B">
            <w:pPr>
              <w:widowControl w:val="0"/>
              <w:ind w:left="0" w:firstLine="0"/>
              <w:jc w:val="left"/>
              <w:rPr>
                <w:rFonts w:asciiTheme="minorHAnsi" w:hAnsiTheme="minorHAnsi" w:cstheme="minorHAnsi"/>
                <w:sz w:val="22"/>
                <w:szCs w:val="22"/>
              </w:rPr>
            </w:pPr>
          </w:p>
          <w:p w14:paraId="083B0201" w14:textId="7A4641A4" w:rsidR="00A1095B" w:rsidRPr="00553AD2" w:rsidRDefault="00A1095B" w:rsidP="00A1095B">
            <w:pPr>
              <w:widowControl w:val="0"/>
              <w:ind w:left="0" w:firstLine="0"/>
              <w:jc w:val="left"/>
              <w:rPr>
                <w:rFonts w:asciiTheme="minorHAnsi" w:hAnsiTheme="minorHAnsi" w:cstheme="minorHAnsi"/>
                <w:sz w:val="22"/>
                <w:szCs w:val="22"/>
              </w:rPr>
            </w:pPr>
            <w:r w:rsidRPr="00553AD2">
              <w:rPr>
                <w:rFonts w:asciiTheme="minorHAnsi" w:hAnsiTheme="minorHAnsi"/>
                <w:sz w:val="22"/>
                <w:szCs w:val="22"/>
              </w:rPr>
              <w:t xml:space="preserve">105 000 </w:t>
            </w:r>
            <w:r w:rsidRPr="00553AD2">
              <w:rPr>
                <w:rFonts w:asciiTheme="minorHAnsi" w:hAnsiTheme="minorHAnsi"/>
                <w:sz w:val="22"/>
                <w:szCs w:val="22"/>
              </w:rPr>
              <w:br/>
              <w:t>(presupuesto básico)</w:t>
            </w:r>
          </w:p>
        </w:tc>
      </w:tr>
      <w:tr w:rsidR="00A1095B" w:rsidRPr="00553AD2" w14:paraId="6E03E5EC" w14:textId="77777777" w:rsidTr="00270374">
        <w:trPr>
          <w:cantSplit/>
        </w:trPr>
        <w:tc>
          <w:tcPr>
            <w:tcW w:w="1699" w:type="dxa"/>
            <w:shd w:val="clear" w:color="auto" w:fill="auto"/>
            <w:noWrap/>
          </w:tcPr>
          <w:p w14:paraId="5BB152B7" w14:textId="617717EF" w:rsidR="00A1095B" w:rsidRPr="00553AD2" w:rsidRDefault="00A1095B" w:rsidP="00A1095B">
            <w:pPr>
              <w:widowControl w:val="0"/>
              <w:ind w:left="0" w:firstLine="0"/>
              <w:jc w:val="left"/>
              <w:rPr>
                <w:rFonts w:asciiTheme="minorHAnsi" w:hAnsiTheme="minorHAnsi" w:cstheme="minorHAnsi"/>
                <w:bCs/>
                <w:color w:val="000000"/>
                <w:sz w:val="22"/>
                <w:szCs w:val="22"/>
              </w:rPr>
            </w:pPr>
            <w:r w:rsidRPr="00553AD2">
              <w:rPr>
                <w:rFonts w:asciiTheme="minorHAnsi" w:hAnsiTheme="minorHAnsi"/>
                <w:color w:val="000000"/>
                <w:sz w:val="22"/>
                <w:szCs w:val="22"/>
              </w:rPr>
              <w:lastRenderedPageBreak/>
              <w:t>COP15 Doc.23.11</w:t>
            </w:r>
          </w:p>
        </w:tc>
        <w:tc>
          <w:tcPr>
            <w:tcW w:w="4533" w:type="dxa"/>
            <w:shd w:val="clear" w:color="auto" w:fill="auto"/>
            <w:noWrap/>
          </w:tcPr>
          <w:p w14:paraId="3CBF2753" w14:textId="6CB7EFB4" w:rsidR="00A1095B" w:rsidRPr="00553AD2" w:rsidRDefault="00A1095B" w:rsidP="00A1095B">
            <w:pPr>
              <w:widowControl w:val="0"/>
              <w:ind w:left="0" w:firstLine="0"/>
              <w:jc w:val="left"/>
              <w:rPr>
                <w:rFonts w:asciiTheme="minorHAnsi" w:hAnsiTheme="minorHAnsi" w:cstheme="minorHAnsi"/>
                <w:bCs/>
                <w:color w:val="000000"/>
                <w:sz w:val="22"/>
                <w:szCs w:val="22"/>
              </w:rPr>
            </w:pPr>
            <w:r w:rsidRPr="00553AD2">
              <w:rPr>
                <w:rFonts w:asciiTheme="minorHAnsi" w:hAnsiTheme="minorHAnsi"/>
                <w:color w:val="000000"/>
                <w:sz w:val="22"/>
                <w:szCs w:val="22"/>
              </w:rPr>
              <w:t xml:space="preserve">Proyecto de resolución sobre el establecimiento de la Alianza para las Estimaciones de Aves Acuáticas y la publicación de la edición de 2027 de </w:t>
            </w:r>
            <w:r w:rsidRPr="00553AD2">
              <w:rPr>
                <w:rFonts w:asciiTheme="minorHAnsi" w:hAnsiTheme="minorHAnsi"/>
                <w:i/>
                <w:iCs/>
                <w:color w:val="000000"/>
                <w:sz w:val="22"/>
                <w:szCs w:val="22"/>
              </w:rPr>
              <w:t>Waterbird Population Estimates</w:t>
            </w:r>
          </w:p>
        </w:tc>
        <w:tc>
          <w:tcPr>
            <w:tcW w:w="4825" w:type="dxa"/>
            <w:shd w:val="clear" w:color="auto" w:fill="auto"/>
          </w:tcPr>
          <w:p w14:paraId="0C5463C3" w14:textId="0F4DB5EF" w:rsidR="00A1095B" w:rsidRPr="00553AD2" w:rsidRDefault="00824167" w:rsidP="00A1095B">
            <w:pPr>
              <w:widowControl w:val="0"/>
              <w:ind w:left="0" w:firstLine="0"/>
              <w:jc w:val="left"/>
              <w:rPr>
                <w:rFonts w:asciiTheme="minorHAnsi" w:hAnsiTheme="minorHAnsi" w:cstheme="minorBidi"/>
                <w:color w:val="000000"/>
                <w:sz w:val="22"/>
                <w:szCs w:val="22"/>
              </w:rPr>
            </w:pPr>
            <w:r w:rsidRPr="00553AD2">
              <w:rPr>
                <w:rFonts w:asciiTheme="minorHAnsi" w:hAnsiTheme="minorHAnsi"/>
                <w:sz w:val="22"/>
                <w:szCs w:val="22"/>
              </w:rPr>
              <w:t>La Secretaría, en consulta con el GECT y basándose en la información facilitada por la Alianza para las Estimaciones de Aves Acuáticas (AEAA), proporcionará información actualizada al Comité Permanente en su 67</w:t>
            </w:r>
            <w:r w:rsidRPr="00553AD2">
              <w:rPr>
                <w:rFonts w:asciiTheme="minorHAnsi" w:hAnsiTheme="minorHAnsi"/>
                <w:sz w:val="22"/>
                <w:szCs w:val="22"/>
                <w:vertAlign w:val="superscript"/>
              </w:rPr>
              <w:t>a</w:t>
            </w:r>
            <w:r w:rsidRPr="00553AD2">
              <w:rPr>
                <w:rFonts w:asciiTheme="minorHAnsi" w:hAnsiTheme="minorHAnsi"/>
                <w:sz w:val="22"/>
                <w:szCs w:val="22"/>
              </w:rPr>
              <w:t xml:space="preserve"> reunión en relación con el coste previsto de la edición 2027 de </w:t>
            </w:r>
            <w:r w:rsidRPr="00553AD2">
              <w:rPr>
                <w:rFonts w:asciiTheme="minorHAnsi" w:hAnsiTheme="minorHAnsi"/>
                <w:i/>
                <w:iCs/>
                <w:sz w:val="22"/>
                <w:szCs w:val="22"/>
              </w:rPr>
              <w:t>Waterbird Population Estimates</w:t>
            </w:r>
            <w:r w:rsidRPr="00553AD2">
              <w:rPr>
                <w:rFonts w:asciiTheme="minorHAnsi" w:hAnsiTheme="minorHAnsi"/>
                <w:sz w:val="22"/>
                <w:szCs w:val="22"/>
              </w:rPr>
              <w:t xml:space="preserve"> (WPE2027) y facilitará las actividades de la AEAA; y ofrecerá asesoramiento sobre los aspectos técnicos y operativos para apoyar el establecimiento y la puesta en marcha de la AEAA (incluida la facilitación de la formación de un comité de coordinación provisional, de conformidad con el anexo 1 del proyecto de resolución).</w:t>
            </w:r>
          </w:p>
        </w:tc>
        <w:tc>
          <w:tcPr>
            <w:tcW w:w="1413" w:type="dxa"/>
            <w:shd w:val="clear" w:color="auto" w:fill="auto"/>
          </w:tcPr>
          <w:p w14:paraId="1C83E3B1" w14:textId="69419997"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themeColor="text1"/>
                <w:sz w:val="22"/>
                <w:szCs w:val="22"/>
              </w:rPr>
              <w:t>20</w:t>
            </w:r>
          </w:p>
        </w:tc>
        <w:tc>
          <w:tcPr>
            <w:tcW w:w="1706" w:type="dxa"/>
            <w:shd w:val="clear" w:color="auto" w:fill="auto"/>
          </w:tcPr>
          <w:p w14:paraId="0AC2CB74" w14:textId="14AE27C0"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themeColor="text1"/>
                <w:sz w:val="22"/>
                <w:szCs w:val="22"/>
              </w:rPr>
              <w:t>465 000 (financiación voluntaria)</w:t>
            </w:r>
          </w:p>
        </w:tc>
      </w:tr>
      <w:tr w:rsidR="00A1095B" w:rsidRPr="00553AD2" w14:paraId="1F4CB378" w14:textId="77777777" w:rsidTr="00270374">
        <w:trPr>
          <w:cantSplit/>
        </w:trPr>
        <w:tc>
          <w:tcPr>
            <w:tcW w:w="1699" w:type="dxa"/>
            <w:shd w:val="clear" w:color="auto" w:fill="auto"/>
            <w:noWrap/>
          </w:tcPr>
          <w:p w14:paraId="4BA842E8" w14:textId="1E45B48B" w:rsidR="00A1095B" w:rsidRPr="00553AD2" w:rsidRDefault="00A1095B" w:rsidP="00A1095B">
            <w:pPr>
              <w:widowControl w:val="0"/>
              <w:ind w:left="0" w:firstLine="0"/>
              <w:jc w:val="left"/>
              <w:rPr>
                <w:rFonts w:asciiTheme="minorHAnsi" w:hAnsiTheme="minorHAnsi" w:cstheme="minorHAnsi"/>
                <w:bCs/>
                <w:color w:val="000000"/>
                <w:sz w:val="22"/>
                <w:szCs w:val="22"/>
              </w:rPr>
            </w:pPr>
            <w:r w:rsidRPr="00553AD2">
              <w:rPr>
                <w:rFonts w:asciiTheme="minorHAnsi" w:hAnsiTheme="minorHAnsi"/>
                <w:color w:val="000000"/>
                <w:sz w:val="22"/>
                <w:szCs w:val="22"/>
              </w:rPr>
              <w:t>COP15 Doc.23.12</w:t>
            </w:r>
          </w:p>
        </w:tc>
        <w:tc>
          <w:tcPr>
            <w:tcW w:w="4533" w:type="dxa"/>
            <w:shd w:val="clear" w:color="auto" w:fill="auto"/>
            <w:noWrap/>
          </w:tcPr>
          <w:p w14:paraId="111B8F48" w14:textId="3233900C" w:rsidR="00A1095B" w:rsidRPr="00553AD2" w:rsidRDefault="00A1095B" w:rsidP="00A1095B">
            <w:pPr>
              <w:widowControl w:val="0"/>
              <w:ind w:left="0" w:firstLine="0"/>
              <w:jc w:val="left"/>
              <w:rPr>
                <w:rFonts w:asciiTheme="minorHAnsi" w:hAnsiTheme="minorHAnsi" w:cstheme="minorHAnsi"/>
                <w:bCs/>
                <w:color w:val="000000"/>
                <w:sz w:val="22"/>
                <w:szCs w:val="22"/>
              </w:rPr>
            </w:pPr>
            <w:r w:rsidRPr="00553AD2">
              <w:rPr>
                <w:rFonts w:asciiTheme="minorHAnsi" w:hAnsiTheme="minorHAnsi"/>
                <w:color w:val="000000"/>
                <w:sz w:val="22"/>
                <w:szCs w:val="22"/>
              </w:rPr>
              <w:t>Proyecto de resolución sobre la aplicación de los Criterios 6 y 9 a los Humedales de Importancia Internacional nuevos y existentes</w:t>
            </w:r>
          </w:p>
        </w:tc>
        <w:tc>
          <w:tcPr>
            <w:tcW w:w="4825" w:type="dxa"/>
            <w:shd w:val="clear" w:color="auto" w:fill="auto"/>
          </w:tcPr>
          <w:p w14:paraId="40B378F9" w14:textId="190CCBC1" w:rsidR="00A1095B" w:rsidRPr="00553AD2" w:rsidRDefault="00824167" w:rsidP="00A1095B">
            <w:pPr>
              <w:widowControl w:val="0"/>
              <w:ind w:left="0" w:firstLine="0"/>
              <w:jc w:val="left"/>
              <w:rPr>
                <w:rFonts w:asciiTheme="minorHAnsi" w:hAnsiTheme="minorHAnsi" w:cstheme="minorHAnsi"/>
                <w:b/>
                <w:bCs/>
                <w:color w:val="000000"/>
                <w:sz w:val="22"/>
                <w:szCs w:val="22"/>
              </w:rPr>
            </w:pPr>
            <w:r w:rsidRPr="00553AD2">
              <w:rPr>
                <w:rFonts w:asciiTheme="minorHAnsi" w:hAnsiTheme="minorHAnsi"/>
                <w:color w:val="000000" w:themeColor="text1"/>
                <w:sz w:val="22"/>
                <w:szCs w:val="22"/>
              </w:rPr>
              <w:t xml:space="preserve">La Secretaría modificará el </w:t>
            </w:r>
            <w:r w:rsidRPr="00553AD2">
              <w:rPr>
                <w:rFonts w:asciiTheme="minorHAnsi" w:hAnsiTheme="minorHAnsi"/>
                <w:i/>
                <w:iCs/>
                <w:color w:val="000000" w:themeColor="text1"/>
                <w:sz w:val="22"/>
                <w:szCs w:val="22"/>
              </w:rPr>
              <w:t>Marco estratégico y lineamientos para el desarrollo futuro de la Lista de Humedales de Importancia Internacional</w:t>
            </w:r>
            <w:r w:rsidRPr="00553AD2">
              <w:rPr>
                <w:rFonts w:asciiTheme="minorHAnsi" w:hAnsiTheme="minorHAnsi"/>
                <w:color w:val="000000" w:themeColor="text1"/>
                <w:sz w:val="22"/>
                <w:szCs w:val="22"/>
              </w:rPr>
              <w:t xml:space="preserve">; informará a otros acuerdos ambientales multilaterales; y, basándose en la información proporcionada por el GECT, actualizará cada trienio la lista de la Convención de estimaciones de población y umbrales del 1% para el Criterio 9. </w:t>
            </w:r>
          </w:p>
          <w:p w14:paraId="67DB5495" w14:textId="77777777" w:rsidR="00A1095B" w:rsidRPr="00553AD2" w:rsidRDefault="00A1095B" w:rsidP="00A1095B">
            <w:pPr>
              <w:widowControl w:val="0"/>
              <w:ind w:left="0" w:firstLine="0"/>
              <w:jc w:val="left"/>
              <w:rPr>
                <w:rFonts w:asciiTheme="minorHAnsi" w:hAnsiTheme="minorHAnsi" w:cstheme="minorHAnsi"/>
                <w:color w:val="000000"/>
                <w:sz w:val="22"/>
                <w:szCs w:val="22"/>
              </w:rPr>
            </w:pPr>
          </w:p>
          <w:p w14:paraId="69547E31" w14:textId="039EE5AB" w:rsidR="00A1095B" w:rsidRPr="00553AD2" w:rsidRDefault="00824167"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themeColor="text1"/>
                <w:sz w:val="22"/>
                <w:szCs w:val="22"/>
              </w:rPr>
              <w:t>La Secretaría, en cooperación con el GECT, desarrollará iniciativas de fomento de la capacidad en relación con la aplicación de los Criterios 6 y 9.</w:t>
            </w:r>
          </w:p>
        </w:tc>
        <w:tc>
          <w:tcPr>
            <w:tcW w:w="1413" w:type="dxa"/>
            <w:shd w:val="clear" w:color="auto" w:fill="auto"/>
          </w:tcPr>
          <w:p w14:paraId="60A9A653" w14:textId="6CEB7E5C"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themeColor="text1"/>
                <w:sz w:val="22"/>
                <w:szCs w:val="22"/>
              </w:rPr>
              <w:t>0</w:t>
            </w:r>
          </w:p>
          <w:p w14:paraId="7DF890DF" w14:textId="77777777" w:rsidR="00A1095B" w:rsidRPr="00553AD2" w:rsidRDefault="00A1095B" w:rsidP="00A1095B">
            <w:pPr>
              <w:widowControl w:val="0"/>
              <w:ind w:left="0" w:firstLine="0"/>
              <w:jc w:val="left"/>
              <w:rPr>
                <w:rFonts w:asciiTheme="minorHAnsi" w:hAnsiTheme="minorHAnsi" w:cstheme="minorHAnsi"/>
                <w:color w:val="000000"/>
                <w:sz w:val="22"/>
                <w:szCs w:val="22"/>
              </w:rPr>
            </w:pPr>
          </w:p>
          <w:p w14:paraId="3AB16EB1" w14:textId="77777777" w:rsidR="00A1095B" w:rsidRPr="00553AD2" w:rsidRDefault="00A1095B" w:rsidP="00A1095B">
            <w:pPr>
              <w:widowControl w:val="0"/>
              <w:ind w:left="0" w:firstLine="0"/>
              <w:jc w:val="left"/>
              <w:rPr>
                <w:rFonts w:asciiTheme="minorHAnsi" w:hAnsiTheme="minorHAnsi" w:cstheme="minorHAnsi"/>
                <w:color w:val="000000"/>
                <w:sz w:val="22"/>
                <w:szCs w:val="22"/>
              </w:rPr>
            </w:pPr>
          </w:p>
          <w:p w14:paraId="75481EB5" w14:textId="77777777" w:rsidR="00A1095B" w:rsidRPr="00553AD2" w:rsidRDefault="00A1095B" w:rsidP="00A1095B">
            <w:pPr>
              <w:widowControl w:val="0"/>
              <w:ind w:left="0" w:firstLine="0"/>
              <w:jc w:val="left"/>
              <w:rPr>
                <w:rFonts w:asciiTheme="minorHAnsi" w:hAnsiTheme="minorHAnsi" w:cstheme="minorHAnsi"/>
                <w:color w:val="000000"/>
                <w:sz w:val="22"/>
                <w:szCs w:val="22"/>
              </w:rPr>
            </w:pPr>
          </w:p>
          <w:p w14:paraId="1EE2EAB1" w14:textId="77777777" w:rsidR="00A1095B" w:rsidRPr="00553AD2" w:rsidRDefault="00A1095B" w:rsidP="00A1095B">
            <w:pPr>
              <w:widowControl w:val="0"/>
              <w:ind w:left="0" w:firstLine="0"/>
              <w:jc w:val="left"/>
              <w:rPr>
                <w:rFonts w:asciiTheme="minorHAnsi" w:hAnsiTheme="minorHAnsi" w:cstheme="minorHAnsi"/>
                <w:color w:val="000000"/>
                <w:sz w:val="22"/>
                <w:szCs w:val="22"/>
              </w:rPr>
            </w:pPr>
          </w:p>
          <w:p w14:paraId="2BD6E469" w14:textId="77777777" w:rsidR="00A1095B" w:rsidRPr="00553AD2" w:rsidRDefault="00A1095B" w:rsidP="00A1095B">
            <w:pPr>
              <w:widowControl w:val="0"/>
              <w:ind w:left="0" w:firstLine="0"/>
              <w:jc w:val="left"/>
              <w:rPr>
                <w:rFonts w:asciiTheme="minorHAnsi" w:hAnsiTheme="minorHAnsi" w:cstheme="minorHAnsi"/>
                <w:color w:val="000000"/>
                <w:sz w:val="22"/>
                <w:szCs w:val="22"/>
              </w:rPr>
            </w:pPr>
          </w:p>
          <w:p w14:paraId="7788B29E" w14:textId="77777777" w:rsidR="00824167" w:rsidRPr="00553AD2" w:rsidRDefault="00824167" w:rsidP="00A1095B">
            <w:pPr>
              <w:widowControl w:val="0"/>
              <w:ind w:left="0" w:firstLine="0"/>
              <w:jc w:val="left"/>
              <w:rPr>
                <w:rFonts w:asciiTheme="minorHAnsi" w:hAnsiTheme="minorHAnsi" w:cstheme="minorHAnsi"/>
                <w:color w:val="000000"/>
                <w:sz w:val="22"/>
                <w:szCs w:val="22"/>
              </w:rPr>
            </w:pPr>
          </w:p>
          <w:p w14:paraId="2CD28AC5" w14:textId="77777777" w:rsidR="00824167" w:rsidRPr="00553AD2" w:rsidRDefault="00824167" w:rsidP="00A1095B">
            <w:pPr>
              <w:widowControl w:val="0"/>
              <w:ind w:left="0" w:firstLine="0"/>
              <w:jc w:val="left"/>
              <w:rPr>
                <w:rFonts w:asciiTheme="minorHAnsi" w:hAnsiTheme="minorHAnsi" w:cstheme="minorHAnsi"/>
                <w:color w:val="000000"/>
                <w:sz w:val="22"/>
                <w:szCs w:val="22"/>
              </w:rPr>
            </w:pPr>
          </w:p>
          <w:p w14:paraId="697A111D" w14:textId="215B7361"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themeColor="text1"/>
                <w:sz w:val="22"/>
                <w:szCs w:val="22"/>
              </w:rPr>
              <w:t>en función del enfoque</w:t>
            </w:r>
          </w:p>
        </w:tc>
        <w:tc>
          <w:tcPr>
            <w:tcW w:w="1706" w:type="dxa"/>
            <w:shd w:val="clear" w:color="auto" w:fill="auto"/>
          </w:tcPr>
          <w:p w14:paraId="735304C7" w14:textId="4C660FB4" w:rsidR="00A1095B" w:rsidRPr="00553AD2" w:rsidRDefault="00A1095B" w:rsidP="00A1095B">
            <w:pPr>
              <w:widowControl w:val="0"/>
              <w:ind w:left="0" w:firstLine="0"/>
              <w:jc w:val="left"/>
              <w:rPr>
                <w:rFonts w:asciiTheme="minorHAnsi" w:hAnsiTheme="minorHAnsi" w:cstheme="minorHAnsi"/>
                <w:color w:val="000000" w:themeColor="text1"/>
                <w:sz w:val="22"/>
                <w:szCs w:val="22"/>
              </w:rPr>
            </w:pPr>
            <w:r w:rsidRPr="00553AD2">
              <w:rPr>
                <w:rFonts w:asciiTheme="minorHAnsi" w:hAnsiTheme="minorHAnsi"/>
                <w:color w:val="000000" w:themeColor="text1"/>
                <w:sz w:val="22"/>
                <w:szCs w:val="22"/>
              </w:rPr>
              <w:t>0</w:t>
            </w:r>
          </w:p>
          <w:p w14:paraId="47547091" w14:textId="667847C1" w:rsidR="00A1095B" w:rsidRPr="00553AD2" w:rsidRDefault="00A1095B" w:rsidP="00A1095B">
            <w:pPr>
              <w:widowControl w:val="0"/>
              <w:ind w:left="0" w:firstLine="0"/>
              <w:jc w:val="left"/>
              <w:rPr>
                <w:rFonts w:asciiTheme="minorHAnsi" w:hAnsiTheme="minorHAnsi" w:cstheme="minorHAnsi"/>
                <w:color w:val="000000" w:themeColor="text1"/>
                <w:sz w:val="22"/>
                <w:szCs w:val="22"/>
              </w:rPr>
            </w:pPr>
          </w:p>
          <w:p w14:paraId="53C09955" w14:textId="508126A8" w:rsidR="00A1095B" w:rsidRPr="00553AD2" w:rsidRDefault="00A1095B" w:rsidP="00A1095B">
            <w:pPr>
              <w:widowControl w:val="0"/>
              <w:ind w:left="0" w:firstLine="0"/>
              <w:jc w:val="left"/>
              <w:rPr>
                <w:rFonts w:asciiTheme="minorHAnsi" w:hAnsiTheme="minorHAnsi" w:cstheme="minorHAnsi"/>
                <w:color w:val="000000" w:themeColor="text1"/>
                <w:sz w:val="22"/>
                <w:szCs w:val="22"/>
              </w:rPr>
            </w:pPr>
          </w:p>
          <w:p w14:paraId="2AE1C641" w14:textId="3E30CBEA" w:rsidR="00A1095B" w:rsidRPr="00553AD2" w:rsidRDefault="00A1095B" w:rsidP="00A1095B">
            <w:pPr>
              <w:widowControl w:val="0"/>
              <w:ind w:left="0" w:firstLine="0"/>
              <w:jc w:val="left"/>
              <w:rPr>
                <w:rFonts w:asciiTheme="minorHAnsi" w:hAnsiTheme="minorHAnsi" w:cstheme="minorHAnsi"/>
                <w:color w:val="000000" w:themeColor="text1"/>
                <w:sz w:val="22"/>
                <w:szCs w:val="22"/>
              </w:rPr>
            </w:pPr>
          </w:p>
          <w:p w14:paraId="38B25C6E" w14:textId="72A0FE8B" w:rsidR="00A1095B" w:rsidRPr="00553AD2" w:rsidRDefault="00A1095B" w:rsidP="00A1095B">
            <w:pPr>
              <w:widowControl w:val="0"/>
              <w:ind w:left="0" w:firstLine="0"/>
              <w:jc w:val="left"/>
              <w:rPr>
                <w:rFonts w:asciiTheme="minorHAnsi" w:hAnsiTheme="minorHAnsi" w:cstheme="minorHAnsi"/>
                <w:color w:val="000000" w:themeColor="text1"/>
                <w:sz w:val="22"/>
                <w:szCs w:val="22"/>
              </w:rPr>
            </w:pPr>
          </w:p>
          <w:p w14:paraId="60021796" w14:textId="76FFC4D9" w:rsidR="00A1095B" w:rsidRPr="00553AD2" w:rsidRDefault="00A1095B" w:rsidP="00A1095B">
            <w:pPr>
              <w:widowControl w:val="0"/>
              <w:ind w:left="0" w:firstLine="0"/>
              <w:jc w:val="left"/>
              <w:rPr>
                <w:rFonts w:asciiTheme="minorHAnsi" w:hAnsiTheme="minorHAnsi" w:cstheme="minorHAnsi"/>
                <w:color w:val="000000" w:themeColor="text1"/>
                <w:sz w:val="22"/>
                <w:szCs w:val="22"/>
              </w:rPr>
            </w:pPr>
          </w:p>
          <w:p w14:paraId="2816EF52" w14:textId="77777777" w:rsidR="00824167" w:rsidRPr="00553AD2" w:rsidRDefault="00824167" w:rsidP="00A1095B">
            <w:pPr>
              <w:widowControl w:val="0"/>
              <w:ind w:left="0" w:firstLine="0"/>
              <w:jc w:val="left"/>
              <w:rPr>
                <w:rFonts w:asciiTheme="minorHAnsi" w:hAnsiTheme="minorHAnsi" w:cstheme="minorHAnsi"/>
                <w:color w:val="000000" w:themeColor="text1"/>
                <w:sz w:val="22"/>
                <w:szCs w:val="22"/>
              </w:rPr>
            </w:pPr>
          </w:p>
          <w:p w14:paraId="28A067B1" w14:textId="77777777" w:rsidR="00824167" w:rsidRPr="00553AD2" w:rsidRDefault="00824167" w:rsidP="00A1095B">
            <w:pPr>
              <w:widowControl w:val="0"/>
              <w:ind w:left="0" w:firstLine="0"/>
              <w:jc w:val="left"/>
              <w:rPr>
                <w:rFonts w:asciiTheme="minorHAnsi" w:hAnsiTheme="minorHAnsi" w:cstheme="minorHAnsi"/>
                <w:color w:val="000000" w:themeColor="text1"/>
                <w:sz w:val="22"/>
                <w:szCs w:val="22"/>
              </w:rPr>
            </w:pPr>
          </w:p>
          <w:p w14:paraId="0AEF7448" w14:textId="0D72C904"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themeColor="text1"/>
                <w:sz w:val="22"/>
                <w:szCs w:val="22"/>
              </w:rPr>
              <w:t>en función del enfoque</w:t>
            </w:r>
          </w:p>
        </w:tc>
      </w:tr>
      <w:tr w:rsidR="00A1095B" w:rsidRPr="00553AD2" w14:paraId="7C1715D3" w14:textId="77777777" w:rsidTr="00270374">
        <w:trPr>
          <w:cantSplit/>
        </w:trPr>
        <w:tc>
          <w:tcPr>
            <w:tcW w:w="1699" w:type="dxa"/>
            <w:tcBorders>
              <w:bottom w:val="single" w:sz="4" w:space="0" w:color="auto"/>
            </w:tcBorders>
            <w:shd w:val="clear" w:color="auto" w:fill="auto"/>
            <w:noWrap/>
          </w:tcPr>
          <w:p w14:paraId="5C8DB6BE" w14:textId="16677138" w:rsidR="00A1095B" w:rsidRPr="00553AD2" w:rsidRDefault="00A1095B" w:rsidP="00A1095B">
            <w:pPr>
              <w:widowControl w:val="0"/>
              <w:ind w:left="0" w:firstLine="0"/>
              <w:jc w:val="left"/>
              <w:rPr>
                <w:rFonts w:asciiTheme="minorHAnsi" w:hAnsiTheme="minorHAnsi" w:cstheme="minorHAnsi"/>
                <w:bCs/>
                <w:color w:val="000000"/>
                <w:sz w:val="22"/>
                <w:szCs w:val="22"/>
              </w:rPr>
            </w:pPr>
            <w:r w:rsidRPr="00553AD2">
              <w:rPr>
                <w:rFonts w:asciiTheme="minorHAnsi" w:hAnsiTheme="minorHAnsi"/>
                <w:color w:val="000000"/>
                <w:sz w:val="22"/>
                <w:szCs w:val="22"/>
              </w:rPr>
              <w:lastRenderedPageBreak/>
              <w:t>COP15 Doc.23.13</w:t>
            </w:r>
          </w:p>
        </w:tc>
        <w:tc>
          <w:tcPr>
            <w:tcW w:w="4533" w:type="dxa"/>
            <w:tcBorders>
              <w:bottom w:val="single" w:sz="4" w:space="0" w:color="auto"/>
            </w:tcBorders>
            <w:shd w:val="clear" w:color="auto" w:fill="auto"/>
            <w:noWrap/>
          </w:tcPr>
          <w:p w14:paraId="43A8810C" w14:textId="45AC5213" w:rsidR="00A1095B" w:rsidRPr="00553AD2" w:rsidRDefault="0016610A" w:rsidP="00A1095B">
            <w:pPr>
              <w:widowControl w:val="0"/>
              <w:ind w:left="0" w:firstLine="0"/>
              <w:jc w:val="left"/>
              <w:rPr>
                <w:rFonts w:asciiTheme="minorHAnsi" w:hAnsiTheme="minorHAnsi" w:cstheme="minorHAnsi"/>
                <w:bCs/>
                <w:color w:val="000000"/>
                <w:sz w:val="22"/>
                <w:szCs w:val="22"/>
              </w:rPr>
            </w:pPr>
            <w:r w:rsidRPr="00553AD2">
              <w:rPr>
                <w:rFonts w:asciiTheme="minorHAnsi" w:hAnsiTheme="minorHAnsi"/>
                <w:color w:val="000000"/>
                <w:sz w:val="22"/>
                <w:szCs w:val="22"/>
              </w:rPr>
              <w:t>Proyecto de resolución sobre [actualizaciones de] las Fichas Informativas de Ramsar</w:t>
            </w:r>
          </w:p>
        </w:tc>
        <w:tc>
          <w:tcPr>
            <w:tcW w:w="4825" w:type="dxa"/>
            <w:tcBorders>
              <w:bottom w:val="single" w:sz="4" w:space="0" w:color="auto"/>
            </w:tcBorders>
            <w:shd w:val="clear" w:color="auto" w:fill="auto"/>
          </w:tcPr>
          <w:p w14:paraId="326B8406" w14:textId="4D378F07" w:rsidR="00A1095B" w:rsidRPr="00553AD2" w:rsidRDefault="00824167" w:rsidP="00A1095B">
            <w:pPr>
              <w:widowControl w:val="0"/>
              <w:ind w:left="0" w:firstLine="0"/>
              <w:jc w:val="left"/>
              <w:rPr>
                <w:rFonts w:asciiTheme="minorHAnsi" w:hAnsiTheme="minorHAnsi" w:cstheme="minorHAnsi"/>
                <w:bCs/>
                <w:color w:val="000000"/>
                <w:sz w:val="22"/>
                <w:szCs w:val="22"/>
              </w:rPr>
            </w:pPr>
            <w:r w:rsidRPr="00553AD2">
              <w:rPr>
                <w:rFonts w:asciiTheme="minorHAnsi" w:hAnsiTheme="minorHAnsi"/>
                <w:sz w:val="22"/>
                <w:szCs w:val="22"/>
              </w:rPr>
              <w:t>La Secretaría identificará y recomendará al Comité Permanente medios para permitir la transferencia automatizada de datos a la Ficha Informativa de Ramsar desde fuentes externas para campos específicos, incluidas las listas de especies</w:t>
            </w:r>
            <w:r w:rsidR="00A1095B" w:rsidRPr="00553AD2">
              <w:rPr>
                <w:rStyle w:val="FootnoteReference"/>
                <w:rFonts w:asciiTheme="minorHAnsi" w:hAnsiTheme="minorHAnsi" w:cstheme="minorHAnsi"/>
                <w:sz w:val="22"/>
                <w:szCs w:val="22"/>
              </w:rPr>
              <w:footnoteReference w:id="3"/>
            </w:r>
            <w:r w:rsidRPr="00553AD2">
              <w:rPr>
                <w:rFonts w:asciiTheme="minorHAnsi" w:hAnsiTheme="minorHAnsi"/>
                <w:sz w:val="22"/>
                <w:szCs w:val="22"/>
              </w:rPr>
              <w:t>.</w:t>
            </w:r>
          </w:p>
        </w:tc>
        <w:tc>
          <w:tcPr>
            <w:tcW w:w="1413" w:type="dxa"/>
            <w:tcBorders>
              <w:bottom w:val="single" w:sz="4" w:space="0" w:color="auto"/>
            </w:tcBorders>
            <w:shd w:val="clear" w:color="auto" w:fill="auto"/>
          </w:tcPr>
          <w:p w14:paraId="61B4ABC6" w14:textId="7B44B53E"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themeColor="text1"/>
                <w:sz w:val="22"/>
                <w:szCs w:val="22"/>
              </w:rPr>
              <w:t>3</w:t>
            </w:r>
          </w:p>
        </w:tc>
        <w:tc>
          <w:tcPr>
            <w:tcW w:w="1706" w:type="dxa"/>
            <w:tcBorders>
              <w:bottom w:val="single" w:sz="4" w:space="0" w:color="auto"/>
            </w:tcBorders>
            <w:shd w:val="clear" w:color="auto" w:fill="auto"/>
          </w:tcPr>
          <w:p w14:paraId="6B2EC3B6" w14:textId="15EA0031"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themeColor="text1"/>
                <w:sz w:val="22"/>
                <w:szCs w:val="22"/>
              </w:rPr>
              <w:t xml:space="preserve">3 000 </w:t>
            </w:r>
          </w:p>
        </w:tc>
      </w:tr>
      <w:tr w:rsidR="00A1095B" w:rsidRPr="00553AD2" w14:paraId="60706FF4" w14:textId="77777777" w:rsidTr="00024100">
        <w:trPr>
          <w:cantSplit/>
        </w:trPr>
        <w:tc>
          <w:tcPr>
            <w:tcW w:w="14176" w:type="dxa"/>
            <w:gridSpan w:val="5"/>
            <w:tcBorders>
              <w:top w:val="single" w:sz="4" w:space="0" w:color="auto"/>
            </w:tcBorders>
            <w:shd w:val="clear" w:color="auto" w:fill="auto"/>
            <w:noWrap/>
          </w:tcPr>
          <w:p w14:paraId="3A0156EC" w14:textId="159946D7" w:rsidR="00A1095B" w:rsidRPr="00553AD2" w:rsidRDefault="00A1095B" w:rsidP="00A1095B">
            <w:pPr>
              <w:keepNext/>
              <w:widowControl w:val="0"/>
              <w:spacing w:before="60" w:after="60"/>
              <w:ind w:left="0" w:firstLine="0"/>
              <w:jc w:val="left"/>
              <w:rPr>
                <w:rFonts w:asciiTheme="minorHAnsi" w:hAnsiTheme="minorHAnsi" w:cstheme="minorHAnsi"/>
                <w:b/>
                <w:bCs/>
                <w:color w:val="000000"/>
                <w:sz w:val="22"/>
                <w:szCs w:val="22"/>
              </w:rPr>
            </w:pPr>
            <w:r w:rsidRPr="00553AD2">
              <w:rPr>
                <w:rFonts w:asciiTheme="minorHAnsi" w:hAnsiTheme="minorHAnsi"/>
                <w:b/>
                <w:bCs/>
                <w:color w:val="000000"/>
                <w:sz w:val="22"/>
                <w:szCs w:val="22"/>
              </w:rPr>
              <w:t>Proyectos de resolución presentados por las Partes Contratantes</w:t>
            </w:r>
          </w:p>
        </w:tc>
      </w:tr>
      <w:tr w:rsidR="00A1095B" w:rsidRPr="00553AD2" w14:paraId="20A0A818" w14:textId="77777777" w:rsidTr="00270374">
        <w:trPr>
          <w:cantSplit/>
        </w:trPr>
        <w:tc>
          <w:tcPr>
            <w:tcW w:w="1699" w:type="dxa"/>
            <w:shd w:val="clear" w:color="auto" w:fill="auto"/>
          </w:tcPr>
          <w:p w14:paraId="5483C3C6" w14:textId="5994DFC6"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t>COP15 Doc.23.14</w:t>
            </w:r>
          </w:p>
        </w:tc>
        <w:tc>
          <w:tcPr>
            <w:tcW w:w="4533" w:type="dxa"/>
            <w:shd w:val="clear" w:color="auto" w:fill="auto"/>
          </w:tcPr>
          <w:p w14:paraId="5DFA5E7E" w14:textId="627452B3"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t>Proyecto de resolución sobre fortalecimiento de la acción en materia de cultura y humedales</w:t>
            </w:r>
          </w:p>
        </w:tc>
        <w:tc>
          <w:tcPr>
            <w:tcW w:w="4825" w:type="dxa"/>
            <w:shd w:val="clear" w:color="auto" w:fill="auto"/>
          </w:tcPr>
          <w:p w14:paraId="6907E043" w14:textId="16E6F0C4" w:rsidR="00A1095B" w:rsidRPr="00553AD2" w:rsidRDefault="00824167"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sz w:val="22"/>
                <w:szCs w:val="22"/>
              </w:rPr>
              <w:t>La Secretaría, junto con la Red de Cultura de Ramsar y con el asesoramiento del GECT, según proceda, estudiará opciones para desarrollar un programa específico de trabajo relacionado con la cultura en apoyo de los objetivos pertinentes definidos en el Quinto Plan Estratégico de la Convención</w:t>
            </w:r>
          </w:p>
        </w:tc>
        <w:tc>
          <w:tcPr>
            <w:tcW w:w="1413" w:type="dxa"/>
          </w:tcPr>
          <w:p w14:paraId="6E335808" w14:textId="7147CD52"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t>5</w:t>
            </w:r>
          </w:p>
        </w:tc>
        <w:tc>
          <w:tcPr>
            <w:tcW w:w="1706" w:type="dxa"/>
            <w:shd w:val="clear" w:color="auto" w:fill="auto"/>
          </w:tcPr>
          <w:p w14:paraId="42C5281D" w14:textId="6A9CC769"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themeColor="text1"/>
                <w:sz w:val="22"/>
                <w:szCs w:val="22"/>
              </w:rPr>
              <w:t>15 000</w:t>
            </w:r>
          </w:p>
        </w:tc>
      </w:tr>
      <w:tr w:rsidR="00A1095B" w:rsidRPr="00553AD2" w14:paraId="21349D8A" w14:textId="77777777" w:rsidTr="00270374">
        <w:trPr>
          <w:cantSplit/>
        </w:trPr>
        <w:tc>
          <w:tcPr>
            <w:tcW w:w="1699" w:type="dxa"/>
            <w:shd w:val="clear" w:color="auto" w:fill="auto"/>
          </w:tcPr>
          <w:p w14:paraId="00C8FF9E" w14:textId="34D7454B"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t>COP15 Doc.23.15</w:t>
            </w:r>
          </w:p>
        </w:tc>
        <w:tc>
          <w:tcPr>
            <w:tcW w:w="4533" w:type="dxa"/>
            <w:shd w:val="clear" w:color="auto" w:fill="auto"/>
          </w:tcPr>
          <w:p w14:paraId="3A0312A3" w14:textId="1D9C45BD"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t>Proyecto de resolución sobre la restauración de los ecosistemas de agua dulce degradados para apoyar la biodiversidad de las características ecológicas y los servicios de los ecosistemas</w:t>
            </w:r>
          </w:p>
        </w:tc>
        <w:tc>
          <w:tcPr>
            <w:tcW w:w="4825" w:type="dxa"/>
            <w:shd w:val="clear" w:color="auto" w:fill="auto"/>
            <w:noWrap/>
          </w:tcPr>
          <w:p w14:paraId="22EEC093" w14:textId="37D1A0CA" w:rsidR="00A1095B" w:rsidRPr="00553AD2" w:rsidRDefault="00A1095B" w:rsidP="00A1095B">
            <w:pPr>
              <w:widowControl w:val="0"/>
              <w:autoSpaceDE w:val="0"/>
              <w:autoSpaceDN w:val="0"/>
              <w:adjustRightInd w:val="0"/>
              <w:ind w:left="36" w:firstLine="0"/>
              <w:jc w:val="left"/>
              <w:rPr>
                <w:rFonts w:asciiTheme="minorHAnsi" w:hAnsiTheme="minorHAnsi" w:cstheme="minorHAnsi"/>
                <w:color w:val="000000"/>
                <w:sz w:val="22"/>
                <w:szCs w:val="22"/>
              </w:rPr>
            </w:pPr>
          </w:p>
        </w:tc>
        <w:tc>
          <w:tcPr>
            <w:tcW w:w="1413" w:type="dxa"/>
          </w:tcPr>
          <w:p w14:paraId="3C5E7FAD" w14:textId="72B29737"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t>0</w:t>
            </w:r>
          </w:p>
        </w:tc>
        <w:tc>
          <w:tcPr>
            <w:tcW w:w="1706" w:type="dxa"/>
            <w:shd w:val="clear" w:color="auto" w:fill="auto"/>
            <w:noWrap/>
          </w:tcPr>
          <w:p w14:paraId="1054D323" w14:textId="48601C68"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t>0</w:t>
            </w:r>
          </w:p>
        </w:tc>
      </w:tr>
      <w:tr w:rsidR="00A1095B" w:rsidRPr="00553AD2" w14:paraId="3A856B85" w14:textId="77777777" w:rsidTr="00270374">
        <w:trPr>
          <w:cantSplit/>
        </w:trPr>
        <w:tc>
          <w:tcPr>
            <w:tcW w:w="1699" w:type="dxa"/>
            <w:shd w:val="clear" w:color="auto" w:fill="auto"/>
          </w:tcPr>
          <w:p w14:paraId="4B813289" w14:textId="059A288D"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lastRenderedPageBreak/>
              <w:t>COP15 Doc.23.16</w:t>
            </w:r>
          </w:p>
        </w:tc>
        <w:tc>
          <w:tcPr>
            <w:tcW w:w="4533" w:type="dxa"/>
            <w:shd w:val="clear" w:color="auto" w:fill="auto"/>
          </w:tcPr>
          <w:p w14:paraId="367C9ECB" w14:textId="3914C0F0"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t>Proyecto de resolución sobre el fortalecimiento de las medidas nacionales para la conservación y restauración de las vías migratorias de las aves acuáticas</w:t>
            </w:r>
          </w:p>
        </w:tc>
        <w:tc>
          <w:tcPr>
            <w:tcW w:w="4825" w:type="dxa"/>
            <w:shd w:val="clear" w:color="auto" w:fill="auto"/>
          </w:tcPr>
          <w:p w14:paraId="65E4903C" w14:textId="34AF50BB" w:rsidR="00A1095B" w:rsidRPr="00553AD2" w:rsidRDefault="00852D58" w:rsidP="00A1095B">
            <w:pPr>
              <w:widowControl w:val="0"/>
              <w:ind w:left="0" w:firstLine="0"/>
              <w:jc w:val="left"/>
              <w:rPr>
                <w:rFonts w:asciiTheme="minorHAnsi" w:hAnsiTheme="minorHAnsi" w:cstheme="minorHAnsi"/>
                <w:sz w:val="22"/>
                <w:szCs w:val="22"/>
              </w:rPr>
            </w:pPr>
            <w:r w:rsidRPr="00553AD2">
              <w:rPr>
                <w:rFonts w:asciiTheme="minorHAnsi" w:hAnsiTheme="minorHAnsi"/>
                <w:sz w:val="22"/>
                <w:szCs w:val="22"/>
              </w:rPr>
              <w:t xml:space="preserve">La Secretaría examinará la aplicación de la Resolución X.22 sobre </w:t>
            </w:r>
            <w:r w:rsidRPr="00553AD2">
              <w:rPr>
                <w:rFonts w:asciiTheme="minorHAnsi" w:hAnsiTheme="minorHAnsi"/>
                <w:i/>
                <w:iCs/>
                <w:sz w:val="22"/>
                <w:szCs w:val="22"/>
              </w:rPr>
              <w:t>Promoción de la cooperación internacional para la conservación de las vías migratorias de las aves acuáticas</w:t>
            </w:r>
            <w:r w:rsidRPr="00553AD2">
              <w:rPr>
                <w:rFonts w:asciiTheme="minorHAnsi" w:hAnsiTheme="minorHAnsi"/>
                <w:sz w:val="22"/>
                <w:szCs w:val="22"/>
              </w:rPr>
              <w:t>.</w:t>
            </w:r>
          </w:p>
        </w:tc>
        <w:tc>
          <w:tcPr>
            <w:tcW w:w="1413" w:type="dxa"/>
          </w:tcPr>
          <w:p w14:paraId="0C7E3A5F" w14:textId="2A2E8C56"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t>5</w:t>
            </w:r>
          </w:p>
        </w:tc>
        <w:tc>
          <w:tcPr>
            <w:tcW w:w="1706" w:type="dxa"/>
            <w:shd w:val="clear" w:color="auto" w:fill="auto"/>
          </w:tcPr>
          <w:p w14:paraId="6192098E" w14:textId="260A3ACA"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t>0</w:t>
            </w:r>
          </w:p>
        </w:tc>
      </w:tr>
      <w:tr w:rsidR="00A1095B" w:rsidRPr="00553AD2" w14:paraId="26BFD19B" w14:textId="77777777" w:rsidTr="00270374">
        <w:trPr>
          <w:cantSplit/>
        </w:trPr>
        <w:tc>
          <w:tcPr>
            <w:tcW w:w="1699" w:type="dxa"/>
            <w:shd w:val="clear" w:color="auto" w:fill="auto"/>
          </w:tcPr>
          <w:p w14:paraId="6D27261E" w14:textId="6D778E36"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t>COP15 Doc.23.17</w:t>
            </w:r>
          </w:p>
        </w:tc>
        <w:tc>
          <w:tcPr>
            <w:tcW w:w="4533" w:type="dxa"/>
            <w:shd w:val="clear" w:color="auto" w:fill="auto"/>
          </w:tcPr>
          <w:p w14:paraId="11EE313B" w14:textId="44339CED"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t>Proyecto de resolución sobre el fomento de la incorporación de nuevas tecnologías y conocimientos tradicionales en la conservación, restauración, gestión y uso racional de los humedales</w:t>
            </w:r>
          </w:p>
        </w:tc>
        <w:tc>
          <w:tcPr>
            <w:tcW w:w="4825" w:type="dxa"/>
            <w:shd w:val="clear" w:color="auto" w:fill="auto"/>
            <w:noWrap/>
          </w:tcPr>
          <w:p w14:paraId="09788579" w14:textId="3AE4CF8F" w:rsidR="00A1095B" w:rsidRPr="00553AD2" w:rsidRDefault="00A64D58" w:rsidP="00A1095B">
            <w:pPr>
              <w:widowControl w:val="0"/>
              <w:ind w:left="0" w:firstLine="0"/>
              <w:jc w:val="left"/>
              <w:rPr>
                <w:rFonts w:asciiTheme="minorHAnsi" w:hAnsiTheme="minorHAnsi" w:cstheme="minorHAnsi"/>
                <w:sz w:val="22"/>
                <w:szCs w:val="22"/>
              </w:rPr>
            </w:pPr>
            <w:r w:rsidRPr="00553AD2">
              <w:rPr>
                <w:rFonts w:asciiTheme="minorHAnsi" w:hAnsiTheme="minorHAnsi"/>
                <w:sz w:val="22"/>
                <w:szCs w:val="22"/>
              </w:rPr>
              <w:t>El GECT elaborará un informe técnico y recomendaciones para la COP17</w:t>
            </w:r>
          </w:p>
          <w:p w14:paraId="3021A695" w14:textId="77777777" w:rsidR="00A1095B" w:rsidRPr="00553AD2" w:rsidRDefault="00A1095B" w:rsidP="00A1095B">
            <w:pPr>
              <w:widowControl w:val="0"/>
              <w:ind w:left="0" w:firstLine="0"/>
              <w:jc w:val="left"/>
              <w:rPr>
                <w:rFonts w:asciiTheme="minorHAnsi" w:hAnsiTheme="minorHAnsi" w:cstheme="minorHAnsi"/>
                <w:sz w:val="22"/>
                <w:szCs w:val="22"/>
              </w:rPr>
            </w:pPr>
          </w:p>
          <w:p w14:paraId="79E3604C" w14:textId="3113AAF6" w:rsidR="00A1095B" w:rsidRPr="00553AD2" w:rsidRDefault="00A64D58" w:rsidP="00A1095B">
            <w:pPr>
              <w:widowControl w:val="0"/>
              <w:ind w:left="0" w:firstLine="0"/>
              <w:jc w:val="left"/>
              <w:rPr>
                <w:rFonts w:asciiTheme="minorHAnsi" w:eastAsia="SimSun" w:hAnsiTheme="minorHAnsi" w:cstheme="minorHAnsi"/>
                <w:bCs/>
                <w:sz w:val="22"/>
                <w:szCs w:val="22"/>
              </w:rPr>
            </w:pPr>
            <w:r w:rsidRPr="00553AD2">
              <w:rPr>
                <w:rFonts w:asciiTheme="minorHAnsi" w:hAnsiTheme="minorHAnsi"/>
                <w:sz w:val="22"/>
                <w:szCs w:val="22"/>
              </w:rPr>
              <w:t>La Secretaría informará de la situación al Comité Permanente</w:t>
            </w:r>
          </w:p>
        </w:tc>
        <w:tc>
          <w:tcPr>
            <w:tcW w:w="1413" w:type="dxa"/>
          </w:tcPr>
          <w:p w14:paraId="53824325" w14:textId="5C04D302"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t>3</w:t>
            </w:r>
          </w:p>
          <w:p w14:paraId="36598946" w14:textId="769C6097" w:rsidR="00A1095B" w:rsidRPr="00553AD2" w:rsidRDefault="00A1095B" w:rsidP="00A1095B">
            <w:pPr>
              <w:widowControl w:val="0"/>
              <w:ind w:left="0" w:firstLine="0"/>
              <w:jc w:val="left"/>
              <w:rPr>
                <w:rFonts w:asciiTheme="minorHAnsi" w:hAnsiTheme="minorHAnsi" w:cstheme="minorHAnsi"/>
                <w:color w:val="000000"/>
                <w:sz w:val="22"/>
                <w:szCs w:val="22"/>
              </w:rPr>
            </w:pPr>
          </w:p>
          <w:p w14:paraId="7106E96F" w14:textId="77777777" w:rsidR="00A1095B" w:rsidRPr="00553AD2" w:rsidRDefault="00A1095B" w:rsidP="00A1095B">
            <w:pPr>
              <w:widowControl w:val="0"/>
              <w:ind w:left="0" w:firstLine="0"/>
              <w:jc w:val="left"/>
              <w:rPr>
                <w:rFonts w:asciiTheme="minorHAnsi" w:hAnsiTheme="minorHAnsi" w:cstheme="minorHAnsi"/>
                <w:color w:val="000000"/>
                <w:sz w:val="22"/>
                <w:szCs w:val="22"/>
              </w:rPr>
            </w:pPr>
          </w:p>
          <w:p w14:paraId="22F248D6" w14:textId="717E27C7"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t>5</w:t>
            </w:r>
          </w:p>
        </w:tc>
        <w:tc>
          <w:tcPr>
            <w:tcW w:w="1706" w:type="dxa"/>
            <w:shd w:val="clear" w:color="auto" w:fill="auto"/>
          </w:tcPr>
          <w:p w14:paraId="1A71DCBA" w14:textId="18FA919C"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t>28 000</w:t>
            </w:r>
          </w:p>
          <w:p w14:paraId="007DDFA7" w14:textId="62F71134" w:rsidR="00A1095B" w:rsidRPr="00553AD2" w:rsidRDefault="00A1095B" w:rsidP="00A1095B">
            <w:pPr>
              <w:widowControl w:val="0"/>
              <w:ind w:left="0" w:firstLine="0"/>
              <w:jc w:val="left"/>
              <w:rPr>
                <w:rFonts w:asciiTheme="minorHAnsi" w:hAnsiTheme="minorHAnsi" w:cstheme="minorHAnsi"/>
                <w:color w:val="000000"/>
                <w:sz w:val="22"/>
                <w:szCs w:val="22"/>
              </w:rPr>
            </w:pPr>
          </w:p>
          <w:p w14:paraId="49BC3833" w14:textId="77777777" w:rsidR="00A1095B" w:rsidRPr="00553AD2" w:rsidRDefault="00A1095B" w:rsidP="00A1095B">
            <w:pPr>
              <w:widowControl w:val="0"/>
              <w:ind w:left="0" w:firstLine="0"/>
              <w:jc w:val="left"/>
              <w:rPr>
                <w:rFonts w:asciiTheme="minorHAnsi" w:hAnsiTheme="minorHAnsi" w:cstheme="minorHAnsi"/>
                <w:color w:val="000000"/>
                <w:sz w:val="22"/>
                <w:szCs w:val="22"/>
              </w:rPr>
            </w:pPr>
          </w:p>
          <w:p w14:paraId="43E0EBB8" w14:textId="0EEA333C"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t>0</w:t>
            </w:r>
          </w:p>
        </w:tc>
      </w:tr>
      <w:tr w:rsidR="00A1095B" w:rsidRPr="00553AD2" w14:paraId="0B5E688B" w14:textId="77777777" w:rsidTr="00270374">
        <w:trPr>
          <w:cantSplit/>
        </w:trPr>
        <w:tc>
          <w:tcPr>
            <w:tcW w:w="1699" w:type="dxa"/>
            <w:shd w:val="clear" w:color="auto" w:fill="auto"/>
          </w:tcPr>
          <w:p w14:paraId="27D8E008" w14:textId="5E2C2009"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t>COP15 Doc.23.18</w:t>
            </w:r>
          </w:p>
        </w:tc>
        <w:tc>
          <w:tcPr>
            <w:tcW w:w="4533" w:type="dxa"/>
            <w:shd w:val="clear" w:color="auto" w:fill="auto"/>
          </w:tcPr>
          <w:p w14:paraId="461759A3" w14:textId="6A484444"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t>Proyecto de resolución sobre la consecución de la conservación equitativa y eficaz de los humedales como áreas protegidas y otras medidas eficaces de conservación basadas en áreas (OMEC)</w:t>
            </w:r>
          </w:p>
        </w:tc>
        <w:tc>
          <w:tcPr>
            <w:tcW w:w="4825" w:type="dxa"/>
            <w:shd w:val="clear" w:color="auto" w:fill="auto"/>
            <w:noWrap/>
          </w:tcPr>
          <w:p w14:paraId="08D6AE0A" w14:textId="282B28A1" w:rsidR="00A1095B" w:rsidRPr="00553AD2" w:rsidRDefault="00A64D58" w:rsidP="00A1095B">
            <w:pPr>
              <w:widowControl w:val="0"/>
              <w:ind w:left="36" w:firstLine="0"/>
              <w:jc w:val="left"/>
              <w:rPr>
                <w:rFonts w:asciiTheme="minorHAnsi" w:eastAsia="FangSong" w:hAnsiTheme="minorHAnsi" w:cstheme="minorHAnsi"/>
                <w:sz w:val="22"/>
                <w:szCs w:val="22"/>
              </w:rPr>
            </w:pPr>
            <w:r w:rsidRPr="00553AD2">
              <w:rPr>
                <w:rFonts w:asciiTheme="minorHAnsi" w:hAnsiTheme="minorHAnsi"/>
                <w:sz w:val="22"/>
                <w:szCs w:val="22"/>
              </w:rPr>
              <w:t>La Secretaría se coordinará con otras organizaciones (Centro Mundial de Vigilancia de la Conservación del Programa de las Naciones Unidas para el Medioambiente, Secretaría del Convenio sobre la Diversidad Biológica, Fondo para el Medioambiente Mundial) para apoyar y asesorar a las Partes Contratantes. La Secretaría adaptará el formato de la Ficha Informativa de Ramsar.</w:t>
            </w:r>
          </w:p>
        </w:tc>
        <w:tc>
          <w:tcPr>
            <w:tcW w:w="1413" w:type="dxa"/>
          </w:tcPr>
          <w:p w14:paraId="2EDF77B9" w14:textId="4BC1F637"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t>5</w:t>
            </w:r>
          </w:p>
        </w:tc>
        <w:tc>
          <w:tcPr>
            <w:tcW w:w="1706" w:type="dxa"/>
            <w:shd w:val="clear" w:color="auto" w:fill="auto"/>
          </w:tcPr>
          <w:p w14:paraId="4E00AFA0" w14:textId="2BC4B1D5"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t>0</w:t>
            </w:r>
          </w:p>
        </w:tc>
      </w:tr>
      <w:tr w:rsidR="00A1095B" w:rsidRPr="00553AD2" w14:paraId="2EBBAD9C" w14:textId="77777777" w:rsidTr="00270374">
        <w:trPr>
          <w:cantSplit/>
        </w:trPr>
        <w:tc>
          <w:tcPr>
            <w:tcW w:w="1699" w:type="dxa"/>
            <w:shd w:val="clear" w:color="auto" w:fill="auto"/>
          </w:tcPr>
          <w:p w14:paraId="38215EC2" w14:textId="0E6BFDF5"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t>COP15 Doc.23.19</w:t>
            </w:r>
          </w:p>
        </w:tc>
        <w:tc>
          <w:tcPr>
            <w:tcW w:w="4533" w:type="dxa"/>
            <w:shd w:val="clear" w:color="auto" w:fill="auto"/>
          </w:tcPr>
          <w:p w14:paraId="733D1250" w14:textId="5E779307"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t>Proyecto de resolución sobre el empoderamiento y la integración de la juventud: promoción de su participación en la Convención sobre los Humedales y perennidad de la Convención</w:t>
            </w:r>
          </w:p>
        </w:tc>
        <w:tc>
          <w:tcPr>
            <w:tcW w:w="4825" w:type="dxa"/>
            <w:shd w:val="clear" w:color="auto" w:fill="auto"/>
            <w:noWrap/>
          </w:tcPr>
          <w:p w14:paraId="08F47F1A" w14:textId="5BFE4FB5" w:rsidR="00A1095B" w:rsidRPr="00553AD2" w:rsidRDefault="00A64D58" w:rsidP="00A1095B">
            <w:pPr>
              <w:widowControl w:val="0"/>
              <w:ind w:left="0" w:firstLine="0"/>
              <w:jc w:val="left"/>
              <w:rPr>
                <w:rFonts w:asciiTheme="minorHAnsi" w:hAnsiTheme="minorHAnsi" w:cstheme="minorHAnsi"/>
                <w:sz w:val="22"/>
                <w:szCs w:val="22"/>
              </w:rPr>
            </w:pPr>
            <w:r w:rsidRPr="00553AD2">
              <w:rPr>
                <w:rFonts w:asciiTheme="minorHAnsi" w:hAnsiTheme="minorHAnsi"/>
                <w:sz w:val="22"/>
                <w:szCs w:val="22"/>
              </w:rPr>
              <w:t>La Secretaría [solicitará contribuciones financieras voluntarias y] prestará apoyo administrativo</w:t>
            </w:r>
          </w:p>
        </w:tc>
        <w:tc>
          <w:tcPr>
            <w:tcW w:w="1413" w:type="dxa"/>
          </w:tcPr>
          <w:p w14:paraId="7A0EDE92" w14:textId="326691BC" w:rsidR="00A1095B" w:rsidRPr="00553AD2" w:rsidRDefault="008C76E1"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t>0</w:t>
            </w:r>
          </w:p>
          <w:p w14:paraId="14FF4FC1" w14:textId="77777777" w:rsidR="00A1095B" w:rsidRPr="00553AD2" w:rsidRDefault="00A1095B" w:rsidP="00A1095B">
            <w:pPr>
              <w:widowControl w:val="0"/>
              <w:ind w:left="0" w:firstLine="0"/>
              <w:jc w:val="left"/>
              <w:rPr>
                <w:rFonts w:asciiTheme="minorHAnsi" w:hAnsiTheme="minorHAnsi" w:cstheme="minorHAnsi"/>
                <w:color w:val="000000"/>
                <w:sz w:val="22"/>
                <w:szCs w:val="22"/>
              </w:rPr>
            </w:pPr>
          </w:p>
          <w:p w14:paraId="79630F48" w14:textId="77777777" w:rsidR="00A64D58" w:rsidRPr="00553AD2" w:rsidRDefault="00A64D58" w:rsidP="00A1095B">
            <w:pPr>
              <w:widowControl w:val="0"/>
              <w:ind w:left="0" w:firstLine="0"/>
              <w:jc w:val="left"/>
              <w:rPr>
                <w:rFonts w:asciiTheme="minorHAnsi" w:hAnsiTheme="minorHAnsi" w:cstheme="minorHAnsi"/>
                <w:color w:val="000000"/>
                <w:sz w:val="22"/>
                <w:szCs w:val="22"/>
              </w:rPr>
            </w:pPr>
          </w:p>
          <w:p w14:paraId="26BCBBA0" w14:textId="7ACE71EA"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t>10</w:t>
            </w:r>
          </w:p>
        </w:tc>
        <w:tc>
          <w:tcPr>
            <w:tcW w:w="1706" w:type="dxa"/>
            <w:shd w:val="clear" w:color="auto" w:fill="auto"/>
          </w:tcPr>
          <w:p w14:paraId="1B35E326" w14:textId="5CF50DCD"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t>0</w:t>
            </w:r>
          </w:p>
          <w:p w14:paraId="314E0970" w14:textId="77777777" w:rsidR="00A1095B" w:rsidRPr="00553AD2" w:rsidRDefault="00A1095B" w:rsidP="00A1095B">
            <w:pPr>
              <w:widowControl w:val="0"/>
              <w:ind w:left="0" w:firstLine="0"/>
              <w:jc w:val="left"/>
              <w:rPr>
                <w:rFonts w:asciiTheme="minorHAnsi" w:hAnsiTheme="minorHAnsi" w:cstheme="minorHAnsi"/>
                <w:color w:val="000000"/>
                <w:sz w:val="22"/>
                <w:szCs w:val="22"/>
              </w:rPr>
            </w:pPr>
          </w:p>
          <w:p w14:paraId="63654886" w14:textId="77777777" w:rsidR="00A1095B" w:rsidRPr="00553AD2" w:rsidRDefault="00A1095B" w:rsidP="00A1095B">
            <w:pPr>
              <w:widowControl w:val="0"/>
              <w:ind w:left="0" w:firstLine="0"/>
              <w:jc w:val="left"/>
              <w:rPr>
                <w:rFonts w:asciiTheme="minorHAnsi" w:hAnsiTheme="minorHAnsi" w:cstheme="minorHAnsi"/>
                <w:color w:val="000000"/>
                <w:sz w:val="22"/>
                <w:szCs w:val="22"/>
              </w:rPr>
            </w:pPr>
          </w:p>
          <w:p w14:paraId="31769EED" w14:textId="0BA48D38"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t>0</w:t>
            </w:r>
          </w:p>
        </w:tc>
      </w:tr>
      <w:tr w:rsidR="00A1095B" w:rsidRPr="00553AD2" w14:paraId="4033A43D" w14:textId="77777777" w:rsidTr="00270374">
        <w:trPr>
          <w:cantSplit/>
        </w:trPr>
        <w:tc>
          <w:tcPr>
            <w:tcW w:w="1699" w:type="dxa"/>
            <w:shd w:val="clear" w:color="auto" w:fill="auto"/>
          </w:tcPr>
          <w:p w14:paraId="2F2FDC61" w14:textId="2E5951E4"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lastRenderedPageBreak/>
              <w:t>COP15 Doc.23.20</w:t>
            </w:r>
          </w:p>
        </w:tc>
        <w:tc>
          <w:tcPr>
            <w:tcW w:w="4533" w:type="dxa"/>
            <w:shd w:val="clear" w:color="auto" w:fill="auto"/>
          </w:tcPr>
          <w:p w14:paraId="5A264184" w14:textId="6ABAE1DD"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t>Proyecto de resolución sobre la promoción de estilos de vida sostenibles para el uso racional de los humedales</w:t>
            </w:r>
          </w:p>
        </w:tc>
        <w:tc>
          <w:tcPr>
            <w:tcW w:w="4825" w:type="dxa"/>
            <w:shd w:val="clear" w:color="auto" w:fill="auto"/>
            <w:noWrap/>
          </w:tcPr>
          <w:p w14:paraId="08AC3B59" w14:textId="70FA67E9" w:rsidR="00A1095B" w:rsidRPr="00553AD2" w:rsidRDefault="00A64D58" w:rsidP="00A1095B">
            <w:pPr>
              <w:widowControl w:val="0"/>
              <w:ind w:left="0" w:firstLine="0"/>
              <w:jc w:val="left"/>
              <w:rPr>
                <w:rFonts w:asciiTheme="minorHAnsi" w:hAnsiTheme="minorHAnsi" w:cstheme="minorHAnsi"/>
                <w:bCs/>
                <w:sz w:val="22"/>
                <w:szCs w:val="22"/>
              </w:rPr>
            </w:pPr>
            <w:r w:rsidRPr="00553AD2">
              <w:rPr>
                <w:rFonts w:ascii="Calibri" w:hAnsi="Calibri"/>
                <w:sz w:val="22"/>
                <w:szCs w:val="22"/>
              </w:rPr>
              <w:t>El GECT preparará una recopilación de métodos, estudios de caso y datos empíricos para promover la integración de los estilos de vida sostenibles en la gestión de los humedales.</w:t>
            </w:r>
          </w:p>
        </w:tc>
        <w:tc>
          <w:tcPr>
            <w:tcW w:w="1413" w:type="dxa"/>
          </w:tcPr>
          <w:p w14:paraId="526D895E" w14:textId="1E69CE9D" w:rsidR="00A1095B" w:rsidRPr="00553AD2" w:rsidRDefault="00A1095B" w:rsidP="00A1095B">
            <w:pPr>
              <w:widowControl w:val="0"/>
              <w:ind w:left="0" w:firstLine="0"/>
              <w:jc w:val="left"/>
              <w:rPr>
                <w:rFonts w:asciiTheme="minorHAnsi" w:hAnsiTheme="minorHAnsi" w:cstheme="minorHAnsi"/>
                <w:sz w:val="22"/>
                <w:szCs w:val="22"/>
              </w:rPr>
            </w:pPr>
            <w:r w:rsidRPr="00553AD2">
              <w:rPr>
                <w:rFonts w:asciiTheme="minorHAnsi" w:hAnsiTheme="minorHAnsi"/>
                <w:sz w:val="22"/>
                <w:szCs w:val="22"/>
              </w:rPr>
              <w:t>2</w:t>
            </w:r>
          </w:p>
        </w:tc>
        <w:tc>
          <w:tcPr>
            <w:tcW w:w="1706" w:type="dxa"/>
            <w:shd w:val="clear" w:color="auto" w:fill="auto"/>
          </w:tcPr>
          <w:p w14:paraId="4F3BB24A" w14:textId="74CE89EF" w:rsidR="00A1095B" w:rsidRPr="00553AD2" w:rsidRDefault="00A1095B" w:rsidP="00A1095B">
            <w:pPr>
              <w:widowControl w:val="0"/>
              <w:ind w:left="0" w:firstLine="0"/>
              <w:jc w:val="left"/>
              <w:rPr>
                <w:rFonts w:asciiTheme="minorHAnsi" w:hAnsiTheme="minorHAnsi" w:cstheme="minorBidi"/>
                <w:sz w:val="22"/>
                <w:szCs w:val="22"/>
              </w:rPr>
            </w:pPr>
            <w:r w:rsidRPr="00553AD2">
              <w:rPr>
                <w:rFonts w:asciiTheme="minorHAnsi" w:hAnsiTheme="minorHAnsi"/>
                <w:sz w:val="22"/>
                <w:szCs w:val="22"/>
              </w:rPr>
              <w:t>15 000</w:t>
            </w:r>
          </w:p>
        </w:tc>
      </w:tr>
      <w:tr w:rsidR="00A1095B" w:rsidRPr="00553AD2" w14:paraId="3BFBC7EE" w14:textId="77777777" w:rsidTr="00270374">
        <w:trPr>
          <w:cantSplit/>
        </w:trPr>
        <w:tc>
          <w:tcPr>
            <w:tcW w:w="1699" w:type="dxa"/>
            <w:shd w:val="clear" w:color="auto" w:fill="auto"/>
          </w:tcPr>
          <w:p w14:paraId="18308C75" w14:textId="2BE73B5C"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t>COP15 Doc.23.21</w:t>
            </w:r>
          </w:p>
        </w:tc>
        <w:tc>
          <w:tcPr>
            <w:tcW w:w="4533" w:type="dxa"/>
            <w:shd w:val="clear" w:color="auto" w:fill="auto"/>
          </w:tcPr>
          <w:p w14:paraId="1989253F" w14:textId="6FBB5CB7"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sz w:val="22"/>
                <w:szCs w:val="22"/>
              </w:rPr>
              <w:t>Proyecto de resolución sobre el reconocimiento de los delfines de río como especies claves para la conservación y uso sostenible de los humedales en Suramérica y Asia</w:t>
            </w:r>
          </w:p>
        </w:tc>
        <w:tc>
          <w:tcPr>
            <w:tcW w:w="4825" w:type="dxa"/>
            <w:shd w:val="clear" w:color="auto" w:fill="auto"/>
            <w:noWrap/>
          </w:tcPr>
          <w:p w14:paraId="3D6692F7" w14:textId="0549FEBA" w:rsidR="00A1095B" w:rsidRPr="00553AD2" w:rsidRDefault="00A1095B" w:rsidP="00A1095B">
            <w:pPr>
              <w:widowControl w:val="0"/>
              <w:ind w:left="0" w:firstLine="0"/>
              <w:jc w:val="left"/>
              <w:rPr>
                <w:rFonts w:asciiTheme="minorHAnsi" w:hAnsiTheme="minorHAnsi" w:cstheme="minorHAnsi"/>
                <w:bCs/>
                <w:sz w:val="22"/>
                <w:szCs w:val="22"/>
              </w:rPr>
            </w:pPr>
          </w:p>
        </w:tc>
        <w:tc>
          <w:tcPr>
            <w:tcW w:w="1413" w:type="dxa"/>
          </w:tcPr>
          <w:p w14:paraId="2320E699" w14:textId="3DB1587D"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t>0</w:t>
            </w:r>
          </w:p>
        </w:tc>
        <w:tc>
          <w:tcPr>
            <w:tcW w:w="1706" w:type="dxa"/>
            <w:shd w:val="clear" w:color="auto" w:fill="auto"/>
          </w:tcPr>
          <w:p w14:paraId="403B3F64" w14:textId="579C79B1"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t>0</w:t>
            </w:r>
          </w:p>
        </w:tc>
      </w:tr>
      <w:tr w:rsidR="00A1095B" w:rsidRPr="00553AD2" w14:paraId="59F82FAF" w14:textId="77777777" w:rsidTr="00270374">
        <w:trPr>
          <w:cantSplit/>
        </w:trPr>
        <w:tc>
          <w:tcPr>
            <w:tcW w:w="1699" w:type="dxa"/>
            <w:shd w:val="clear" w:color="auto" w:fill="auto"/>
          </w:tcPr>
          <w:p w14:paraId="600656A3" w14:textId="5E91EF29"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t>COP15 Doc.23.22</w:t>
            </w:r>
          </w:p>
        </w:tc>
        <w:tc>
          <w:tcPr>
            <w:tcW w:w="4533" w:type="dxa"/>
            <w:shd w:val="clear" w:color="auto" w:fill="auto"/>
          </w:tcPr>
          <w:p w14:paraId="6E36A053" w14:textId="39629ABB"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sz w:val="22"/>
                <w:szCs w:val="22"/>
              </w:rPr>
              <w:t>Proyecto de resolución sobre educación y participación como base para la gestión de los humedales urbanos y periurbanos</w:t>
            </w:r>
            <w:r w:rsidRPr="00553AD2">
              <w:rPr>
                <w:rFonts w:asciiTheme="minorHAnsi" w:hAnsiTheme="minorHAnsi"/>
                <w:color w:val="000000"/>
                <w:sz w:val="22"/>
                <w:szCs w:val="22"/>
              </w:rPr>
              <w:t xml:space="preserve"> </w:t>
            </w:r>
          </w:p>
        </w:tc>
        <w:tc>
          <w:tcPr>
            <w:tcW w:w="4825" w:type="dxa"/>
            <w:shd w:val="clear" w:color="auto" w:fill="auto"/>
            <w:noWrap/>
          </w:tcPr>
          <w:p w14:paraId="40B18CAF" w14:textId="7A946022" w:rsidR="00A1095B" w:rsidRPr="00553AD2" w:rsidRDefault="00A1095B" w:rsidP="00A1095B">
            <w:pPr>
              <w:widowControl w:val="0"/>
              <w:ind w:left="0" w:firstLine="0"/>
              <w:jc w:val="left"/>
              <w:rPr>
                <w:rFonts w:asciiTheme="minorHAnsi" w:hAnsiTheme="minorHAnsi" w:cstheme="minorHAnsi"/>
                <w:bCs/>
                <w:sz w:val="22"/>
                <w:szCs w:val="22"/>
              </w:rPr>
            </w:pPr>
          </w:p>
        </w:tc>
        <w:tc>
          <w:tcPr>
            <w:tcW w:w="1413" w:type="dxa"/>
          </w:tcPr>
          <w:p w14:paraId="766EEB37" w14:textId="28F563AD"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t>0</w:t>
            </w:r>
          </w:p>
        </w:tc>
        <w:tc>
          <w:tcPr>
            <w:tcW w:w="1706" w:type="dxa"/>
            <w:shd w:val="clear" w:color="auto" w:fill="auto"/>
          </w:tcPr>
          <w:p w14:paraId="4E276FC8" w14:textId="68FDBEA9"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t>0</w:t>
            </w:r>
          </w:p>
        </w:tc>
      </w:tr>
      <w:tr w:rsidR="00A1095B" w:rsidRPr="00553AD2" w14:paraId="2586F6A8" w14:textId="77777777" w:rsidTr="00270374">
        <w:trPr>
          <w:cantSplit/>
        </w:trPr>
        <w:tc>
          <w:tcPr>
            <w:tcW w:w="1699" w:type="dxa"/>
            <w:shd w:val="clear" w:color="auto" w:fill="auto"/>
          </w:tcPr>
          <w:p w14:paraId="214A3939" w14:textId="33ABA39C"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t>COP15 Doc.23.23</w:t>
            </w:r>
          </w:p>
        </w:tc>
        <w:tc>
          <w:tcPr>
            <w:tcW w:w="4533" w:type="dxa"/>
            <w:shd w:val="clear" w:color="auto" w:fill="auto"/>
          </w:tcPr>
          <w:p w14:paraId="378201B8" w14:textId="422D016F" w:rsidR="00A1095B" w:rsidRPr="00553AD2" w:rsidRDefault="00956DCE"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t>Proyecto de resolución sobre la evaluación de las presiones y los riesgos para los humedales</w:t>
            </w:r>
          </w:p>
        </w:tc>
        <w:tc>
          <w:tcPr>
            <w:tcW w:w="4825" w:type="dxa"/>
            <w:shd w:val="clear" w:color="auto" w:fill="auto"/>
            <w:noWrap/>
          </w:tcPr>
          <w:p w14:paraId="1188CAA9" w14:textId="3FEEE52C" w:rsidR="00A1095B" w:rsidRPr="00553AD2" w:rsidRDefault="00A1095B" w:rsidP="00A1095B">
            <w:pPr>
              <w:widowControl w:val="0"/>
              <w:ind w:left="0" w:firstLine="0"/>
              <w:jc w:val="left"/>
              <w:rPr>
                <w:rFonts w:asciiTheme="minorHAnsi" w:hAnsiTheme="minorHAnsi" w:cstheme="minorHAnsi"/>
                <w:bCs/>
                <w:sz w:val="22"/>
                <w:szCs w:val="22"/>
              </w:rPr>
            </w:pPr>
          </w:p>
        </w:tc>
        <w:tc>
          <w:tcPr>
            <w:tcW w:w="1413" w:type="dxa"/>
          </w:tcPr>
          <w:p w14:paraId="47D36E91" w14:textId="698838ED"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t>0</w:t>
            </w:r>
          </w:p>
        </w:tc>
        <w:tc>
          <w:tcPr>
            <w:tcW w:w="1706" w:type="dxa"/>
            <w:shd w:val="clear" w:color="auto" w:fill="auto"/>
          </w:tcPr>
          <w:p w14:paraId="15457ADC" w14:textId="29FCCCA4" w:rsidR="00A1095B" w:rsidRPr="00553AD2" w:rsidRDefault="00A1095B"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t>0</w:t>
            </w:r>
          </w:p>
        </w:tc>
      </w:tr>
      <w:tr w:rsidR="0016610A" w:rsidRPr="00553AD2" w14:paraId="6B92F201" w14:textId="77777777" w:rsidTr="00270374">
        <w:trPr>
          <w:cantSplit/>
        </w:trPr>
        <w:tc>
          <w:tcPr>
            <w:tcW w:w="1699" w:type="dxa"/>
            <w:shd w:val="clear" w:color="auto" w:fill="auto"/>
          </w:tcPr>
          <w:p w14:paraId="7920FABB" w14:textId="16387BCC" w:rsidR="0016610A" w:rsidRPr="00553AD2" w:rsidRDefault="0016610A"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t>COP15 Doc.23.24</w:t>
            </w:r>
          </w:p>
        </w:tc>
        <w:tc>
          <w:tcPr>
            <w:tcW w:w="4533" w:type="dxa"/>
            <w:shd w:val="clear" w:color="auto" w:fill="auto"/>
          </w:tcPr>
          <w:p w14:paraId="013FC75B" w14:textId="00BBA693" w:rsidR="0016610A" w:rsidRPr="00553AD2" w:rsidRDefault="0016610A" w:rsidP="00A1095B">
            <w:pPr>
              <w:widowControl w:val="0"/>
              <w:ind w:left="0" w:firstLine="0"/>
              <w:jc w:val="left"/>
              <w:rPr>
                <w:rFonts w:asciiTheme="minorHAnsi" w:hAnsiTheme="minorHAnsi" w:cstheme="minorHAnsi"/>
                <w:color w:val="000000"/>
                <w:sz w:val="22"/>
                <w:szCs w:val="22"/>
              </w:rPr>
            </w:pPr>
            <w:r w:rsidRPr="00553AD2">
              <w:rPr>
                <w:rFonts w:ascii="Calibri" w:hAnsi="Calibri"/>
                <w:bCs/>
                <w:sz w:val="22"/>
                <w:szCs w:val="22"/>
              </w:rPr>
              <w:t>Proyecto de resolución enmendado sobre la Lista de Ramsar</w:t>
            </w:r>
          </w:p>
        </w:tc>
        <w:tc>
          <w:tcPr>
            <w:tcW w:w="4825" w:type="dxa"/>
            <w:shd w:val="clear" w:color="auto" w:fill="auto"/>
            <w:noWrap/>
          </w:tcPr>
          <w:p w14:paraId="06CFA56F" w14:textId="77777777" w:rsidR="0016610A" w:rsidRPr="00553AD2" w:rsidRDefault="0016610A" w:rsidP="00A1095B">
            <w:pPr>
              <w:widowControl w:val="0"/>
              <w:ind w:left="0" w:firstLine="0"/>
              <w:jc w:val="left"/>
              <w:rPr>
                <w:rFonts w:asciiTheme="minorHAnsi" w:hAnsiTheme="minorHAnsi" w:cstheme="minorHAnsi"/>
                <w:bCs/>
                <w:sz w:val="22"/>
                <w:szCs w:val="22"/>
              </w:rPr>
            </w:pPr>
          </w:p>
        </w:tc>
        <w:tc>
          <w:tcPr>
            <w:tcW w:w="1413" w:type="dxa"/>
          </w:tcPr>
          <w:p w14:paraId="670A4FB7" w14:textId="556BF7F7" w:rsidR="0016610A" w:rsidRPr="00553AD2" w:rsidRDefault="008223E2"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t>0</w:t>
            </w:r>
          </w:p>
        </w:tc>
        <w:tc>
          <w:tcPr>
            <w:tcW w:w="1706" w:type="dxa"/>
            <w:shd w:val="clear" w:color="auto" w:fill="auto"/>
          </w:tcPr>
          <w:p w14:paraId="11A11442" w14:textId="18E32395" w:rsidR="0016610A" w:rsidRPr="00553AD2" w:rsidDel="004D5D77" w:rsidRDefault="008223E2"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t>0</w:t>
            </w:r>
          </w:p>
        </w:tc>
      </w:tr>
      <w:tr w:rsidR="0016610A" w:rsidRPr="00553AD2" w14:paraId="65AAA622" w14:textId="77777777" w:rsidTr="00270374">
        <w:trPr>
          <w:cantSplit/>
        </w:trPr>
        <w:tc>
          <w:tcPr>
            <w:tcW w:w="1699" w:type="dxa"/>
            <w:shd w:val="clear" w:color="auto" w:fill="auto"/>
          </w:tcPr>
          <w:p w14:paraId="159133F4" w14:textId="3908E97E" w:rsidR="0016610A" w:rsidRPr="00553AD2" w:rsidRDefault="0016610A"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t>COP15 Doc.23.25</w:t>
            </w:r>
          </w:p>
        </w:tc>
        <w:tc>
          <w:tcPr>
            <w:tcW w:w="4533" w:type="dxa"/>
            <w:shd w:val="clear" w:color="auto" w:fill="auto"/>
          </w:tcPr>
          <w:p w14:paraId="7E82C711" w14:textId="5AAD1F47" w:rsidR="0016610A" w:rsidRPr="00553AD2" w:rsidRDefault="0016610A" w:rsidP="00A1095B">
            <w:pPr>
              <w:widowControl w:val="0"/>
              <w:ind w:left="0" w:firstLine="0"/>
              <w:jc w:val="left"/>
              <w:rPr>
                <w:rFonts w:asciiTheme="minorHAnsi" w:hAnsiTheme="minorHAnsi" w:cstheme="minorHAnsi"/>
                <w:color w:val="000000"/>
                <w:sz w:val="22"/>
                <w:szCs w:val="22"/>
              </w:rPr>
            </w:pPr>
            <w:r w:rsidRPr="00553AD2">
              <w:rPr>
                <w:rFonts w:ascii="Calibri" w:hAnsi="Calibri"/>
                <w:bCs/>
                <w:sz w:val="22"/>
                <w:szCs w:val="22"/>
              </w:rPr>
              <w:t>Proyecto de resolución sobre el agradecimiento al país anfitrión, la República de Zimbabwe</w:t>
            </w:r>
          </w:p>
        </w:tc>
        <w:tc>
          <w:tcPr>
            <w:tcW w:w="4825" w:type="dxa"/>
            <w:shd w:val="clear" w:color="auto" w:fill="auto"/>
            <w:noWrap/>
          </w:tcPr>
          <w:p w14:paraId="7A1BD68D" w14:textId="77777777" w:rsidR="0016610A" w:rsidRPr="00553AD2" w:rsidRDefault="0016610A" w:rsidP="00A1095B">
            <w:pPr>
              <w:widowControl w:val="0"/>
              <w:ind w:left="0" w:firstLine="0"/>
              <w:jc w:val="left"/>
              <w:rPr>
                <w:rFonts w:asciiTheme="minorHAnsi" w:hAnsiTheme="minorHAnsi" w:cstheme="minorHAnsi"/>
                <w:bCs/>
                <w:sz w:val="22"/>
                <w:szCs w:val="22"/>
              </w:rPr>
            </w:pPr>
          </w:p>
        </w:tc>
        <w:tc>
          <w:tcPr>
            <w:tcW w:w="1413" w:type="dxa"/>
          </w:tcPr>
          <w:p w14:paraId="1902D756" w14:textId="7DEEC2A5" w:rsidR="0016610A" w:rsidRPr="00553AD2" w:rsidRDefault="0004017C"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t>0</w:t>
            </w:r>
          </w:p>
        </w:tc>
        <w:tc>
          <w:tcPr>
            <w:tcW w:w="1706" w:type="dxa"/>
            <w:shd w:val="clear" w:color="auto" w:fill="auto"/>
          </w:tcPr>
          <w:p w14:paraId="1D0BB850" w14:textId="13A8DE82" w:rsidR="0016610A" w:rsidRPr="00553AD2" w:rsidDel="004D5D77" w:rsidRDefault="0004017C" w:rsidP="00A1095B">
            <w:pPr>
              <w:widowControl w:val="0"/>
              <w:ind w:left="0" w:firstLine="0"/>
              <w:jc w:val="left"/>
              <w:rPr>
                <w:rFonts w:asciiTheme="minorHAnsi" w:hAnsiTheme="minorHAnsi" w:cstheme="minorHAnsi"/>
                <w:color w:val="000000"/>
                <w:sz w:val="22"/>
                <w:szCs w:val="22"/>
              </w:rPr>
            </w:pPr>
            <w:r w:rsidRPr="00553AD2">
              <w:rPr>
                <w:rFonts w:asciiTheme="minorHAnsi" w:hAnsiTheme="minorHAnsi"/>
                <w:color w:val="000000"/>
                <w:sz w:val="22"/>
                <w:szCs w:val="22"/>
              </w:rPr>
              <w:t>0</w:t>
            </w:r>
          </w:p>
        </w:tc>
      </w:tr>
    </w:tbl>
    <w:p w14:paraId="01313558" w14:textId="77777777" w:rsidR="00A451D1" w:rsidRPr="00553AD2" w:rsidRDefault="00A451D1" w:rsidP="00A451D1">
      <w:pPr>
        <w:widowControl w:val="0"/>
        <w:ind w:left="0" w:firstLine="0"/>
        <w:jc w:val="left"/>
        <w:rPr>
          <w:rFonts w:asciiTheme="minorHAnsi" w:hAnsiTheme="minorHAnsi" w:cstheme="minorHAnsi"/>
          <w:color w:val="000000"/>
          <w:sz w:val="22"/>
          <w:szCs w:val="22"/>
        </w:rPr>
      </w:pPr>
    </w:p>
    <w:sectPr w:rsidR="00A451D1" w:rsidRPr="00553AD2" w:rsidSect="00024100">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08608" w14:textId="77777777" w:rsidR="00BC57B3" w:rsidRDefault="00BC57B3" w:rsidP="006058B3">
      <w:r>
        <w:separator/>
      </w:r>
    </w:p>
  </w:endnote>
  <w:endnote w:type="continuationSeparator" w:id="0">
    <w:p w14:paraId="5BAE0629" w14:textId="77777777" w:rsidR="00BC57B3" w:rsidRDefault="00BC57B3" w:rsidP="006058B3">
      <w:r>
        <w:continuationSeparator/>
      </w:r>
    </w:p>
  </w:endnote>
  <w:endnote w:type="continuationNotice" w:id="1">
    <w:p w14:paraId="36159477" w14:textId="77777777" w:rsidR="00BC57B3" w:rsidRDefault="00BC57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angSong">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EDE03" w14:textId="33856E89" w:rsidR="006058B3" w:rsidRPr="006058B3" w:rsidRDefault="00644727">
    <w:pPr>
      <w:pStyle w:val="Footer"/>
      <w:rPr>
        <w:rFonts w:asciiTheme="minorHAnsi" w:hAnsiTheme="minorHAnsi" w:cstheme="minorHAnsi"/>
        <w:sz w:val="20"/>
        <w:szCs w:val="20"/>
      </w:rPr>
    </w:pPr>
    <w:r>
      <w:rPr>
        <w:rFonts w:asciiTheme="minorHAnsi" w:hAnsiTheme="minorHAnsi"/>
        <w:sz w:val="20"/>
        <w:szCs w:val="20"/>
      </w:rPr>
      <w:t>SC64 Doc.9.4</w:t>
    </w:r>
    <w:r>
      <w:rPr>
        <w:rFonts w:asciiTheme="minorHAnsi" w:hAnsiTheme="minorHAnsi"/>
        <w:sz w:val="20"/>
        <w:szCs w:val="20"/>
      </w:rPr>
      <w:tab/>
    </w:r>
    <w:r>
      <w:rPr>
        <w:rFonts w:asciiTheme="minorHAnsi" w:hAnsiTheme="minorHAnsi"/>
        <w:sz w:val="20"/>
        <w:szCs w:val="20"/>
      </w:rPr>
      <w:tab/>
    </w:r>
    <w:r w:rsidR="006058B3" w:rsidRPr="00967BF4">
      <w:rPr>
        <w:rFonts w:asciiTheme="minorHAnsi" w:hAnsiTheme="minorHAnsi" w:cstheme="minorHAnsi"/>
        <w:sz w:val="20"/>
        <w:szCs w:val="20"/>
      </w:rPr>
      <w:fldChar w:fldCharType="begin"/>
    </w:r>
    <w:r w:rsidR="006058B3" w:rsidRPr="00967BF4">
      <w:rPr>
        <w:rFonts w:asciiTheme="minorHAnsi" w:hAnsiTheme="minorHAnsi" w:cstheme="minorHAnsi"/>
        <w:sz w:val="20"/>
        <w:szCs w:val="20"/>
      </w:rPr>
      <w:instrText xml:space="preserve"> PAGE   \* MERGEFORMAT </w:instrText>
    </w:r>
    <w:r w:rsidR="006058B3" w:rsidRPr="00967BF4">
      <w:rPr>
        <w:rFonts w:asciiTheme="minorHAnsi" w:hAnsiTheme="minorHAnsi" w:cstheme="minorHAnsi"/>
        <w:sz w:val="20"/>
        <w:szCs w:val="20"/>
      </w:rPr>
      <w:fldChar w:fldCharType="separate"/>
    </w:r>
    <w:r w:rsidR="00165BEA">
      <w:rPr>
        <w:rFonts w:asciiTheme="minorHAnsi" w:hAnsiTheme="minorHAnsi" w:cstheme="minorHAnsi"/>
        <w:sz w:val="20"/>
        <w:szCs w:val="20"/>
      </w:rPr>
      <w:t>4</w:t>
    </w:r>
    <w:r w:rsidR="006058B3" w:rsidRPr="00967BF4">
      <w:rPr>
        <w:rFonts w:asciiTheme="minorHAnsi" w:hAnsiTheme="minorHAnsi" w:cs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58939" w14:textId="1D8E31BD" w:rsidR="00024100" w:rsidRPr="00BC7037" w:rsidRDefault="00A1095B" w:rsidP="00024100">
    <w:pPr>
      <w:pStyle w:val="Footer"/>
      <w:tabs>
        <w:tab w:val="clear" w:pos="9026"/>
        <w:tab w:val="right" w:pos="13892"/>
      </w:tabs>
      <w:rPr>
        <w:rFonts w:asciiTheme="minorHAnsi" w:hAnsiTheme="minorHAnsi" w:cstheme="minorHAnsi"/>
        <w:sz w:val="20"/>
        <w:szCs w:val="20"/>
      </w:rPr>
    </w:pPr>
    <w:r>
      <w:rPr>
        <w:rFonts w:ascii="Calibri" w:hAnsi="Calibri"/>
        <w:bCs/>
        <w:sz w:val="20"/>
        <w:szCs w:val="20"/>
      </w:rPr>
      <w:t>COP15 Doc.17</w:t>
    </w:r>
    <w:r>
      <w:rPr>
        <w:rFonts w:asciiTheme="minorHAnsi" w:hAnsiTheme="minorHAnsi"/>
        <w:sz w:val="20"/>
        <w:szCs w:val="20"/>
      </w:rPr>
      <w:tab/>
    </w:r>
    <w:r>
      <w:rPr>
        <w:rFonts w:asciiTheme="minorHAnsi" w:hAnsiTheme="minorHAnsi"/>
        <w:sz w:val="20"/>
        <w:szCs w:val="20"/>
      </w:rPr>
      <w:tab/>
    </w:r>
    <w:r w:rsidR="00024100" w:rsidRPr="00BC7037">
      <w:rPr>
        <w:rFonts w:asciiTheme="minorHAnsi" w:hAnsiTheme="minorHAnsi" w:cstheme="minorHAnsi"/>
        <w:sz w:val="20"/>
        <w:szCs w:val="20"/>
      </w:rPr>
      <w:fldChar w:fldCharType="begin"/>
    </w:r>
    <w:r w:rsidR="00024100" w:rsidRPr="00BC7037">
      <w:rPr>
        <w:rFonts w:asciiTheme="minorHAnsi" w:hAnsiTheme="minorHAnsi" w:cstheme="minorHAnsi"/>
        <w:sz w:val="20"/>
        <w:szCs w:val="20"/>
      </w:rPr>
      <w:instrText xml:space="preserve"> PAGE   \* MERGEFORMAT </w:instrText>
    </w:r>
    <w:r w:rsidR="00024100" w:rsidRPr="00BC7037">
      <w:rPr>
        <w:rFonts w:asciiTheme="minorHAnsi" w:hAnsiTheme="minorHAnsi" w:cstheme="minorHAnsi"/>
        <w:sz w:val="20"/>
        <w:szCs w:val="20"/>
      </w:rPr>
      <w:fldChar w:fldCharType="separate"/>
    </w:r>
    <w:r w:rsidR="00024100" w:rsidRPr="00BC7037">
      <w:rPr>
        <w:rFonts w:asciiTheme="minorHAnsi" w:hAnsiTheme="minorHAnsi" w:cstheme="minorHAnsi"/>
        <w:sz w:val="20"/>
        <w:szCs w:val="20"/>
      </w:rPr>
      <w:t>4</w:t>
    </w:r>
    <w:r w:rsidR="00024100" w:rsidRPr="00BC7037">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84A66" w14:textId="77777777" w:rsidR="00BC57B3" w:rsidRDefault="00BC57B3" w:rsidP="006058B3">
      <w:r>
        <w:separator/>
      </w:r>
    </w:p>
  </w:footnote>
  <w:footnote w:type="continuationSeparator" w:id="0">
    <w:p w14:paraId="24F579D7" w14:textId="77777777" w:rsidR="00BC57B3" w:rsidRDefault="00BC57B3" w:rsidP="006058B3">
      <w:r>
        <w:continuationSeparator/>
      </w:r>
    </w:p>
  </w:footnote>
  <w:footnote w:type="continuationNotice" w:id="1">
    <w:p w14:paraId="2E0B0769" w14:textId="77777777" w:rsidR="00BC57B3" w:rsidRDefault="00BC57B3"/>
  </w:footnote>
  <w:footnote w:id="2">
    <w:p w14:paraId="05EB853F" w14:textId="2D87E826" w:rsidR="00BB624E" w:rsidRPr="00BC7037" w:rsidRDefault="00BB624E">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rPr>
        <w:t xml:space="preserve"> Coste si la contratación de un nuevo Secretario o Secretaria General se realiza durante el trienio.</w:t>
      </w:r>
    </w:p>
  </w:footnote>
  <w:footnote w:id="3">
    <w:p w14:paraId="4FF83C95" w14:textId="1FC7B993" w:rsidR="00A1095B" w:rsidRPr="00024100" w:rsidRDefault="00A1095B" w:rsidP="00024100">
      <w:pPr>
        <w:pStyle w:val="pf0"/>
        <w:spacing w:before="0" w:beforeAutospacing="0" w:after="0" w:afterAutospacing="0"/>
        <w:rPr>
          <w:rFonts w:asciiTheme="minorHAnsi" w:hAnsiTheme="minorHAnsi" w:cstheme="minorHAnsi"/>
          <w:sz w:val="20"/>
          <w:szCs w:val="20"/>
        </w:rPr>
      </w:pPr>
      <w:r>
        <w:rPr>
          <w:rStyle w:val="FootnoteReference"/>
          <w:rFonts w:asciiTheme="minorHAnsi" w:hAnsiTheme="minorHAnsi" w:cstheme="minorHAnsi"/>
          <w:sz w:val="20"/>
          <w:szCs w:val="20"/>
        </w:rPr>
        <w:footnoteRef/>
      </w:r>
      <w:r>
        <w:rPr>
          <w:rFonts w:asciiTheme="minorHAnsi" w:hAnsiTheme="minorHAnsi"/>
          <w:sz w:val="20"/>
          <w:szCs w:val="20"/>
        </w:rPr>
        <w:t xml:space="preserve"> </w:t>
      </w:r>
      <w:r>
        <w:rPr>
          <w:rStyle w:val="cf01"/>
          <w:rFonts w:asciiTheme="minorHAnsi" w:hAnsiTheme="minorHAnsi"/>
          <w:sz w:val="20"/>
          <w:szCs w:val="20"/>
        </w:rPr>
        <w:t>En función de estos resultados y de la solución que elijan las Partes Contratantes, así como del número de Partes que recurran a este proceso, los cost</w:t>
      </w:r>
      <w:r w:rsidR="00553AD2">
        <w:rPr>
          <w:rStyle w:val="cf01"/>
          <w:rFonts w:asciiTheme="minorHAnsi" w:hAnsiTheme="minorHAnsi"/>
          <w:sz w:val="20"/>
          <w:szCs w:val="20"/>
        </w:rPr>
        <w:t>e</w:t>
      </w:r>
      <w:r>
        <w:rPr>
          <w:rStyle w:val="cf01"/>
          <w:rFonts w:asciiTheme="minorHAnsi" w:hAnsiTheme="minorHAnsi"/>
          <w:sz w:val="20"/>
          <w:szCs w:val="20"/>
        </w:rPr>
        <w:t>s de seguimiento sufrirán un incremento significativo (aún desconocido) en lo relativo a:</w:t>
      </w:r>
    </w:p>
    <w:p w14:paraId="0139098F" w14:textId="5A47EB91" w:rsidR="00A1095B" w:rsidRPr="00024100" w:rsidRDefault="00824167" w:rsidP="00024100">
      <w:pPr>
        <w:pStyle w:val="pf1"/>
        <w:numPr>
          <w:ilvl w:val="0"/>
          <w:numId w:val="10"/>
        </w:numPr>
        <w:tabs>
          <w:tab w:val="clear" w:pos="720"/>
        </w:tabs>
        <w:spacing w:before="0" w:beforeAutospacing="0" w:after="0" w:afterAutospacing="0"/>
        <w:ind w:left="426" w:hanging="426"/>
        <w:rPr>
          <w:rFonts w:asciiTheme="minorHAnsi" w:hAnsiTheme="minorHAnsi" w:cstheme="minorHAnsi"/>
          <w:sz w:val="20"/>
          <w:szCs w:val="20"/>
        </w:rPr>
      </w:pPr>
      <w:r>
        <w:rPr>
          <w:rStyle w:val="cf01"/>
          <w:rFonts w:asciiTheme="minorHAnsi" w:hAnsiTheme="minorHAnsi"/>
          <w:sz w:val="20"/>
          <w:szCs w:val="20"/>
        </w:rPr>
        <w:t>aplicación de la solución elegida; y</w:t>
      </w:r>
    </w:p>
    <w:p w14:paraId="0FD274EC" w14:textId="66C51BE7" w:rsidR="00A1095B" w:rsidRPr="00024100" w:rsidRDefault="00824167" w:rsidP="00024100">
      <w:pPr>
        <w:pStyle w:val="pf1"/>
        <w:numPr>
          <w:ilvl w:val="0"/>
          <w:numId w:val="10"/>
        </w:numPr>
        <w:tabs>
          <w:tab w:val="clear" w:pos="720"/>
        </w:tabs>
        <w:spacing w:before="0" w:beforeAutospacing="0" w:after="0" w:afterAutospacing="0"/>
        <w:ind w:left="426" w:hanging="426"/>
        <w:rPr>
          <w:rFonts w:asciiTheme="minorHAnsi" w:hAnsiTheme="minorHAnsi" w:cstheme="minorHAnsi"/>
          <w:sz w:val="20"/>
          <w:szCs w:val="20"/>
        </w:rPr>
      </w:pPr>
      <w:r>
        <w:rPr>
          <w:rStyle w:val="cf01"/>
          <w:rFonts w:asciiTheme="minorHAnsi" w:hAnsiTheme="minorHAnsi"/>
          <w:sz w:val="20"/>
          <w:szCs w:val="20"/>
        </w:rPr>
        <w:t>cost</w:t>
      </w:r>
      <w:r w:rsidR="00553AD2">
        <w:rPr>
          <w:rStyle w:val="cf01"/>
          <w:rFonts w:asciiTheme="minorHAnsi" w:hAnsiTheme="minorHAnsi"/>
          <w:sz w:val="20"/>
          <w:szCs w:val="20"/>
        </w:rPr>
        <w:t>e</w:t>
      </w:r>
      <w:r>
        <w:rPr>
          <w:rStyle w:val="cf01"/>
          <w:rFonts w:asciiTheme="minorHAnsi" w:hAnsiTheme="minorHAnsi"/>
          <w:sz w:val="20"/>
          <w:szCs w:val="20"/>
        </w:rPr>
        <w:t>s corrientes y tiempo de trabajo del personal para la transferencia de datos por país cuando este proceso no pueda realizarse de forma totalmente automatizada.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484C"/>
    <w:multiLevelType w:val="hybridMultilevel"/>
    <w:tmpl w:val="84A2A9D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B94814"/>
    <w:multiLevelType w:val="hybridMultilevel"/>
    <w:tmpl w:val="EFD6AEC6"/>
    <w:lvl w:ilvl="0" w:tplc="DFA2C69C">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355FB3"/>
    <w:multiLevelType w:val="multilevel"/>
    <w:tmpl w:val="1DFA58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 w15:restartNumberingAfterBreak="0">
    <w:nsid w:val="421271EE"/>
    <w:multiLevelType w:val="multilevel"/>
    <w:tmpl w:val="EBB2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FC2928"/>
    <w:multiLevelType w:val="hybridMultilevel"/>
    <w:tmpl w:val="5B6CD4C4"/>
    <w:lvl w:ilvl="0" w:tplc="07662AD6">
      <w:start w:val="1"/>
      <w:numFmt w:val="bullet"/>
      <w:lvlText w:val=""/>
      <w:lvlJc w:val="left"/>
      <w:pPr>
        <w:ind w:left="720" w:hanging="360"/>
      </w:pPr>
      <w:rPr>
        <w:rFonts w:ascii="Symbol" w:hAnsi="Symbol"/>
      </w:rPr>
    </w:lvl>
    <w:lvl w:ilvl="1" w:tplc="D89A0EF8">
      <w:start w:val="1"/>
      <w:numFmt w:val="bullet"/>
      <w:lvlText w:val=""/>
      <w:lvlJc w:val="left"/>
      <w:pPr>
        <w:ind w:left="720" w:hanging="360"/>
      </w:pPr>
      <w:rPr>
        <w:rFonts w:ascii="Symbol" w:hAnsi="Symbol"/>
      </w:rPr>
    </w:lvl>
    <w:lvl w:ilvl="2" w:tplc="AFA009E8">
      <w:start w:val="1"/>
      <w:numFmt w:val="bullet"/>
      <w:lvlText w:val=""/>
      <w:lvlJc w:val="left"/>
      <w:pPr>
        <w:ind w:left="720" w:hanging="360"/>
      </w:pPr>
      <w:rPr>
        <w:rFonts w:ascii="Symbol" w:hAnsi="Symbol"/>
      </w:rPr>
    </w:lvl>
    <w:lvl w:ilvl="3" w:tplc="644E66C0">
      <w:start w:val="1"/>
      <w:numFmt w:val="bullet"/>
      <w:lvlText w:val=""/>
      <w:lvlJc w:val="left"/>
      <w:pPr>
        <w:ind w:left="720" w:hanging="360"/>
      </w:pPr>
      <w:rPr>
        <w:rFonts w:ascii="Symbol" w:hAnsi="Symbol"/>
      </w:rPr>
    </w:lvl>
    <w:lvl w:ilvl="4" w:tplc="34FAB150">
      <w:start w:val="1"/>
      <w:numFmt w:val="bullet"/>
      <w:lvlText w:val=""/>
      <w:lvlJc w:val="left"/>
      <w:pPr>
        <w:ind w:left="720" w:hanging="360"/>
      </w:pPr>
      <w:rPr>
        <w:rFonts w:ascii="Symbol" w:hAnsi="Symbol"/>
      </w:rPr>
    </w:lvl>
    <w:lvl w:ilvl="5" w:tplc="D79E4E96">
      <w:start w:val="1"/>
      <w:numFmt w:val="bullet"/>
      <w:lvlText w:val=""/>
      <w:lvlJc w:val="left"/>
      <w:pPr>
        <w:ind w:left="720" w:hanging="360"/>
      </w:pPr>
      <w:rPr>
        <w:rFonts w:ascii="Symbol" w:hAnsi="Symbol"/>
      </w:rPr>
    </w:lvl>
    <w:lvl w:ilvl="6" w:tplc="2E76CDDE">
      <w:start w:val="1"/>
      <w:numFmt w:val="bullet"/>
      <w:lvlText w:val=""/>
      <w:lvlJc w:val="left"/>
      <w:pPr>
        <w:ind w:left="720" w:hanging="360"/>
      </w:pPr>
      <w:rPr>
        <w:rFonts w:ascii="Symbol" w:hAnsi="Symbol"/>
      </w:rPr>
    </w:lvl>
    <w:lvl w:ilvl="7" w:tplc="7736F5BA">
      <w:start w:val="1"/>
      <w:numFmt w:val="bullet"/>
      <w:lvlText w:val=""/>
      <w:lvlJc w:val="left"/>
      <w:pPr>
        <w:ind w:left="720" w:hanging="360"/>
      </w:pPr>
      <w:rPr>
        <w:rFonts w:ascii="Symbol" w:hAnsi="Symbol"/>
      </w:rPr>
    </w:lvl>
    <w:lvl w:ilvl="8" w:tplc="907209AA">
      <w:start w:val="1"/>
      <w:numFmt w:val="bullet"/>
      <w:lvlText w:val=""/>
      <w:lvlJc w:val="left"/>
      <w:pPr>
        <w:ind w:left="720" w:hanging="360"/>
      </w:pPr>
      <w:rPr>
        <w:rFonts w:ascii="Symbol" w:hAnsi="Symbol"/>
      </w:rPr>
    </w:lvl>
  </w:abstractNum>
  <w:abstractNum w:abstractNumId="5" w15:restartNumberingAfterBreak="0">
    <w:nsid w:val="57786ADB"/>
    <w:multiLevelType w:val="hybridMultilevel"/>
    <w:tmpl w:val="2E9EE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2F51A4C"/>
    <w:multiLevelType w:val="hybridMultilevel"/>
    <w:tmpl w:val="0FA448C8"/>
    <w:lvl w:ilvl="0" w:tplc="4656AA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951639"/>
    <w:multiLevelType w:val="hybridMultilevel"/>
    <w:tmpl w:val="78FE1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775B16"/>
    <w:multiLevelType w:val="hybridMultilevel"/>
    <w:tmpl w:val="D93C8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496721">
    <w:abstractNumId w:val="2"/>
  </w:num>
  <w:num w:numId="2" w16cid:durableId="135293889">
    <w:abstractNumId w:val="0"/>
    <w:lvlOverride w:ilvl="0">
      <w:startOverride w:val="1"/>
    </w:lvlOverride>
    <w:lvlOverride w:ilvl="1"/>
    <w:lvlOverride w:ilvl="2"/>
    <w:lvlOverride w:ilvl="3"/>
    <w:lvlOverride w:ilvl="4"/>
    <w:lvlOverride w:ilvl="5"/>
    <w:lvlOverride w:ilvl="6"/>
    <w:lvlOverride w:ilvl="7"/>
    <w:lvlOverride w:ilvl="8"/>
  </w:num>
  <w:num w:numId="3" w16cid:durableId="400253489">
    <w:abstractNumId w:val="5"/>
  </w:num>
  <w:num w:numId="4" w16cid:durableId="608656927">
    <w:abstractNumId w:val="0"/>
  </w:num>
  <w:num w:numId="5" w16cid:durableId="2141457576">
    <w:abstractNumId w:val="7"/>
  </w:num>
  <w:num w:numId="6" w16cid:durableId="421990449">
    <w:abstractNumId w:val="8"/>
  </w:num>
  <w:num w:numId="7" w16cid:durableId="413892067">
    <w:abstractNumId w:val="6"/>
  </w:num>
  <w:num w:numId="8" w16cid:durableId="2061325130">
    <w:abstractNumId w:val="1"/>
  </w:num>
  <w:num w:numId="9" w16cid:durableId="714160016">
    <w:abstractNumId w:val="4"/>
  </w:num>
  <w:num w:numId="10" w16cid:durableId="1285573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AFD"/>
    <w:rsid w:val="0000149B"/>
    <w:rsid w:val="0000755C"/>
    <w:rsid w:val="00013636"/>
    <w:rsid w:val="000206E7"/>
    <w:rsid w:val="00022A0A"/>
    <w:rsid w:val="00024100"/>
    <w:rsid w:val="00024F22"/>
    <w:rsid w:val="000250FF"/>
    <w:rsid w:val="000267EF"/>
    <w:rsid w:val="00027DBC"/>
    <w:rsid w:val="00034125"/>
    <w:rsid w:val="00037632"/>
    <w:rsid w:val="0004017C"/>
    <w:rsid w:val="00046B52"/>
    <w:rsid w:val="00057413"/>
    <w:rsid w:val="00057932"/>
    <w:rsid w:val="00065171"/>
    <w:rsid w:val="00065B8F"/>
    <w:rsid w:val="00065C00"/>
    <w:rsid w:val="00072A4E"/>
    <w:rsid w:val="000737A0"/>
    <w:rsid w:val="00074DFF"/>
    <w:rsid w:val="00076CE7"/>
    <w:rsid w:val="00087E7E"/>
    <w:rsid w:val="00090B48"/>
    <w:rsid w:val="00091C10"/>
    <w:rsid w:val="00092019"/>
    <w:rsid w:val="000A7F0C"/>
    <w:rsid w:val="000B21AC"/>
    <w:rsid w:val="000B5387"/>
    <w:rsid w:val="000C3BD5"/>
    <w:rsid w:val="000C42CB"/>
    <w:rsid w:val="000C73F3"/>
    <w:rsid w:val="000D05D9"/>
    <w:rsid w:val="000D0626"/>
    <w:rsid w:val="000D066A"/>
    <w:rsid w:val="000D14A1"/>
    <w:rsid w:val="000E4489"/>
    <w:rsid w:val="000E637A"/>
    <w:rsid w:val="000F55EE"/>
    <w:rsid w:val="001055E5"/>
    <w:rsid w:val="00105677"/>
    <w:rsid w:val="0011350A"/>
    <w:rsid w:val="001155B4"/>
    <w:rsid w:val="001158EA"/>
    <w:rsid w:val="00134B76"/>
    <w:rsid w:val="001353CD"/>
    <w:rsid w:val="00141784"/>
    <w:rsid w:val="001429CC"/>
    <w:rsid w:val="001438E6"/>
    <w:rsid w:val="00144492"/>
    <w:rsid w:val="00144C7A"/>
    <w:rsid w:val="001529FF"/>
    <w:rsid w:val="00152C0C"/>
    <w:rsid w:val="00155904"/>
    <w:rsid w:val="00165691"/>
    <w:rsid w:val="00165BEA"/>
    <w:rsid w:val="0016610A"/>
    <w:rsid w:val="00173D3F"/>
    <w:rsid w:val="00174C19"/>
    <w:rsid w:val="00176FC9"/>
    <w:rsid w:val="001828C8"/>
    <w:rsid w:val="00184C60"/>
    <w:rsid w:val="00191A10"/>
    <w:rsid w:val="00192CDE"/>
    <w:rsid w:val="001A2A45"/>
    <w:rsid w:val="001A45F2"/>
    <w:rsid w:val="001A492D"/>
    <w:rsid w:val="001A624D"/>
    <w:rsid w:val="001B1070"/>
    <w:rsid w:val="001B1EDC"/>
    <w:rsid w:val="001B3EEB"/>
    <w:rsid w:val="001B5379"/>
    <w:rsid w:val="001B5CCD"/>
    <w:rsid w:val="001B6A31"/>
    <w:rsid w:val="001B6F33"/>
    <w:rsid w:val="001B7AB2"/>
    <w:rsid w:val="001C341F"/>
    <w:rsid w:val="001C4D6A"/>
    <w:rsid w:val="001C523E"/>
    <w:rsid w:val="001D1CA4"/>
    <w:rsid w:val="001D5A0F"/>
    <w:rsid w:val="001E209D"/>
    <w:rsid w:val="001E2AA0"/>
    <w:rsid w:val="001E2ECF"/>
    <w:rsid w:val="001E34E1"/>
    <w:rsid w:val="001E57F5"/>
    <w:rsid w:val="001F3BE1"/>
    <w:rsid w:val="001F488E"/>
    <w:rsid w:val="001F4CB2"/>
    <w:rsid w:val="002039BA"/>
    <w:rsid w:val="00203A5E"/>
    <w:rsid w:val="002059AB"/>
    <w:rsid w:val="00211F03"/>
    <w:rsid w:val="00213388"/>
    <w:rsid w:val="00214B41"/>
    <w:rsid w:val="00217FA7"/>
    <w:rsid w:val="00224BB3"/>
    <w:rsid w:val="002314AC"/>
    <w:rsid w:val="00231EBC"/>
    <w:rsid w:val="002332D4"/>
    <w:rsid w:val="00235922"/>
    <w:rsid w:val="00236FE6"/>
    <w:rsid w:val="002462A8"/>
    <w:rsid w:val="0025233F"/>
    <w:rsid w:val="002646F3"/>
    <w:rsid w:val="00270374"/>
    <w:rsid w:val="00271FC4"/>
    <w:rsid w:val="00274B40"/>
    <w:rsid w:val="00275E30"/>
    <w:rsid w:val="0027767A"/>
    <w:rsid w:val="002864ED"/>
    <w:rsid w:val="002934A0"/>
    <w:rsid w:val="00295E57"/>
    <w:rsid w:val="00295F80"/>
    <w:rsid w:val="002973CF"/>
    <w:rsid w:val="002A4E04"/>
    <w:rsid w:val="002A5383"/>
    <w:rsid w:val="002B2A41"/>
    <w:rsid w:val="002B429F"/>
    <w:rsid w:val="002B5EA6"/>
    <w:rsid w:val="002B6DE6"/>
    <w:rsid w:val="002C53DC"/>
    <w:rsid w:val="002C6100"/>
    <w:rsid w:val="002D293B"/>
    <w:rsid w:val="002D2B79"/>
    <w:rsid w:val="002E346A"/>
    <w:rsid w:val="002E403E"/>
    <w:rsid w:val="002E6839"/>
    <w:rsid w:val="002F3493"/>
    <w:rsid w:val="002F4875"/>
    <w:rsid w:val="00303D77"/>
    <w:rsid w:val="0030644A"/>
    <w:rsid w:val="00307B7E"/>
    <w:rsid w:val="00311716"/>
    <w:rsid w:val="003149A3"/>
    <w:rsid w:val="00314E01"/>
    <w:rsid w:val="00317126"/>
    <w:rsid w:val="00317FDC"/>
    <w:rsid w:val="00330AD3"/>
    <w:rsid w:val="00341934"/>
    <w:rsid w:val="00343274"/>
    <w:rsid w:val="00343A90"/>
    <w:rsid w:val="003501A9"/>
    <w:rsid w:val="003531A1"/>
    <w:rsid w:val="00354AB1"/>
    <w:rsid w:val="00354D36"/>
    <w:rsid w:val="003574E3"/>
    <w:rsid w:val="00357BF6"/>
    <w:rsid w:val="0036297B"/>
    <w:rsid w:val="003637BE"/>
    <w:rsid w:val="00373D04"/>
    <w:rsid w:val="00377EF3"/>
    <w:rsid w:val="003835EB"/>
    <w:rsid w:val="00384AA8"/>
    <w:rsid w:val="00387289"/>
    <w:rsid w:val="003902C7"/>
    <w:rsid w:val="003951B5"/>
    <w:rsid w:val="003962BF"/>
    <w:rsid w:val="003963B3"/>
    <w:rsid w:val="003976C4"/>
    <w:rsid w:val="003A2B95"/>
    <w:rsid w:val="003B0100"/>
    <w:rsid w:val="003B0DA3"/>
    <w:rsid w:val="003B1847"/>
    <w:rsid w:val="003B407E"/>
    <w:rsid w:val="003C17FF"/>
    <w:rsid w:val="003C4A83"/>
    <w:rsid w:val="003C5910"/>
    <w:rsid w:val="003C7167"/>
    <w:rsid w:val="003D55B0"/>
    <w:rsid w:val="003D6800"/>
    <w:rsid w:val="003D7C72"/>
    <w:rsid w:val="003E16E1"/>
    <w:rsid w:val="003E79DA"/>
    <w:rsid w:val="003F2340"/>
    <w:rsid w:val="003F63D8"/>
    <w:rsid w:val="004063DA"/>
    <w:rsid w:val="00406AF2"/>
    <w:rsid w:val="0042096E"/>
    <w:rsid w:val="00421460"/>
    <w:rsid w:val="004252C7"/>
    <w:rsid w:val="004278CF"/>
    <w:rsid w:val="004312C3"/>
    <w:rsid w:val="0043271B"/>
    <w:rsid w:val="00432BE5"/>
    <w:rsid w:val="0043430C"/>
    <w:rsid w:val="00435A3A"/>
    <w:rsid w:val="004371F2"/>
    <w:rsid w:val="00443677"/>
    <w:rsid w:val="00444FF1"/>
    <w:rsid w:val="0044619B"/>
    <w:rsid w:val="00453CB9"/>
    <w:rsid w:val="00454246"/>
    <w:rsid w:val="004553B8"/>
    <w:rsid w:val="00456093"/>
    <w:rsid w:val="004564EA"/>
    <w:rsid w:val="00460B12"/>
    <w:rsid w:val="00470762"/>
    <w:rsid w:val="004733D9"/>
    <w:rsid w:val="00473C47"/>
    <w:rsid w:val="00480DDF"/>
    <w:rsid w:val="00480F5D"/>
    <w:rsid w:val="00482698"/>
    <w:rsid w:val="004911DF"/>
    <w:rsid w:val="00491BEE"/>
    <w:rsid w:val="004A290F"/>
    <w:rsid w:val="004A4C3D"/>
    <w:rsid w:val="004A5A53"/>
    <w:rsid w:val="004C1157"/>
    <w:rsid w:val="004C12D8"/>
    <w:rsid w:val="004C2350"/>
    <w:rsid w:val="004C343C"/>
    <w:rsid w:val="004C3AFC"/>
    <w:rsid w:val="004C6C80"/>
    <w:rsid w:val="004D5D77"/>
    <w:rsid w:val="004D5EC7"/>
    <w:rsid w:val="004E0DB3"/>
    <w:rsid w:val="004E1D29"/>
    <w:rsid w:val="004E6D45"/>
    <w:rsid w:val="004F0C81"/>
    <w:rsid w:val="004F2362"/>
    <w:rsid w:val="004F2E7A"/>
    <w:rsid w:val="004F7BE5"/>
    <w:rsid w:val="004F7E98"/>
    <w:rsid w:val="00503DDE"/>
    <w:rsid w:val="00505301"/>
    <w:rsid w:val="005069A3"/>
    <w:rsid w:val="005078BB"/>
    <w:rsid w:val="0051038A"/>
    <w:rsid w:val="005114E8"/>
    <w:rsid w:val="00515D0B"/>
    <w:rsid w:val="00524FEB"/>
    <w:rsid w:val="0053410E"/>
    <w:rsid w:val="00535F9D"/>
    <w:rsid w:val="0054327A"/>
    <w:rsid w:val="00546EFD"/>
    <w:rsid w:val="005513F0"/>
    <w:rsid w:val="00553AB5"/>
    <w:rsid w:val="00553AD2"/>
    <w:rsid w:val="00557311"/>
    <w:rsid w:val="00557635"/>
    <w:rsid w:val="00560682"/>
    <w:rsid w:val="00561CB9"/>
    <w:rsid w:val="005653D8"/>
    <w:rsid w:val="00573F75"/>
    <w:rsid w:val="00576098"/>
    <w:rsid w:val="0058153D"/>
    <w:rsid w:val="005855E2"/>
    <w:rsid w:val="00586AA0"/>
    <w:rsid w:val="00591F47"/>
    <w:rsid w:val="00594741"/>
    <w:rsid w:val="00594A88"/>
    <w:rsid w:val="00594ED0"/>
    <w:rsid w:val="005A19A6"/>
    <w:rsid w:val="005A3E31"/>
    <w:rsid w:val="005A5742"/>
    <w:rsid w:val="005B0A8B"/>
    <w:rsid w:val="005B47D6"/>
    <w:rsid w:val="005B7233"/>
    <w:rsid w:val="005C0613"/>
    <w:rsid w:val="005C4417"/>
    <w:rsid w:val="005C4558"/>
    <w:rsid w:val="005C567F"/>
    <w:rsid w:val="005C6528"/>
    <w:rsid w:val="005D106B"/>
    <w:rsid w:val="005D2FAE"/>
    <w:rsid w:val="005D3A14"/>
    <w:rsid w:val="005E0686"/>
    <w:rsid w:val="005E0BC1"/>
    <w:rsid w:val="005F0984"/>
    <w:rsid w:val="005F6616"/>
    <w:rsid w:val="00601430"/>
    <w:rsid w:val="00604BAD"/>
    <w:rsid w:val="006058B3"/>
    <w:rsid w:val="0061482E"/>
    <w:rsid w:val="00630146"/>
    <w:rsid w:val="00630704"/>
    <w:rsid w:val="006320E6"/>
    <w:rsid w:val="00632664"/>
    <w:rsid w:val="00634417"/>
    <w:rsid w:val="00644727"/>
    <w:rsid w:val="00644C1D"/>
    <w:rsid w:val="006451A9"/>
    <w:rsid w:val="006476AB"/>
    <w:rsid w:val="00647DCF"/>
    <w:rsid w:val="006546B1"/>
    <w:rsid w:val="0065602D"/>
    <w:rsid w:val="00657F96"/>
    <w:rsid w:val="00660359"/>
    <w:rsid w:val="00663013"/>
    <w:rsid w:val="0066368E"/>
    <w:rsid w:val="00663E0C"/>
    <w:rsid w:val="0067141B"/>
    <w:rsid w:val="0067358E"/>
    <w:rsid w:val="0068240A"/>
    <w:rsid w:val="00683AAA"/>
    <w:rsid w:val="00685785"/>
    <w:rsid w:val="00686267"/>
    <w:rsid w:val="006866C6"/>
    <w:rsid w:val="006870A3"/>
    <w:rsid w:val="006943E0"/>
    <w:rsid w:val="006948DC"/>
    <w:rsid w:val="00695535"/>
    <w:rsid w:val="00696FF1"/>
    <w:rsid w:val="006978F0"/>
    <w:rsid w:val="006A5172"/>
    <w:rsid w:val="006A54D8"/>
    <w:rsid w:val="006A54E9"/>
    <w:rsid w:val="006A7C44"/>
    <w:rsid w:val="006B02CA"/>
    <w:rsid w:val="006B103E"/>
    <w:rsid w:val="006B3286"/>
    <w:rsid w:val="006B507F"/>
    <w:rsid w:val="006B72AF"/>
    <w:rsid w:val="006C3012"/>
    <w:rsid w:val="006C41F6"/>
    <w:rsid w:val="006D3F0C"/>
    <w:rsid w:val="006D7718"/>
    <w:rsid w:val="006E1698"/>
    <w:rsid w:val="006E44E9"/>
    <w:rsid w:val="006E56DC"/>
    <w:rsid w:val="006F0610"/>
    <w:rsid w:val="006F29D1"/>
    <w:rsid w:val="006F30DC"/>
    <w:rsid w:val="006F3D1E"/>
    <w:rsid w:val="006F48CA"/>
    <w:rsid w:val="00701F07"/>
    <w:rsid w:val="00703BDC"/>
    <w:rsid w:val="007068E2"/>
    <w:rsid w:val="007114C9"/>
    <w:rsid w:val="00713A51"/>
    <w:rsid w:val="007350D4"/>
    <w:rsid w:val="00740391"/>
    <w:rsid w:val="00743F7A"/>
    <w:rsid w:val="0074505F"/>
    <w:rsid w:val="00746135"/>
    <w:rsid w:val="00750225"/>
    <w:rsid w:val="007557D5"/>
    <w:rsid w:val="0075712F"/>
    <w:rsid w:val="007656E7"/>
    <w:rsid w:val="00772E80"/>
    <w:rsid w:val="00773024"/>
    <w:rsid w:val="00773C97"/>
    <w:rsid w:val="007777BD"/>
    <w:rsid w:val="00780AFD"/>
    <w:rsid w:val="00783031"/>
    <w:rsid w:val="00785555"/>
    <w:rsid w:val="007910A9"/>
    <w:rsid w:val="00791F0A"/>
    <w:rsid w:val="0079354C"/>
    <w:rsid w:val="00794E4F"/>
    <w:rsid w:val="00795C6E"/>
    <w:rsid w:val="00797CBB"/>
    <w:rsid w:val="007A26F0"/>
    <w:rsid w:val="007A38D2"/>
    <w:rsid w:val="007A3DCA"/>
    <w:rsid w:val="007A4DE6"/>
    <w:rsid w:val="007A58EA"/>
    <w:rsid w:val="007B138B"/>
    <w:rsid w:val="007B2EAC"/>
    <w:rsid w:val="007B548D"/>
    <w:rsid w:val="007B7A16"/>
    <w:rsid w:val="007C36A8"/>
    <w:rsid w:val="007F15B5"/>
    <w:rsid w:val="007F382B"/>
    <w:rsid w:val="007F3DCC"/>
    <w:rsid w:val="007F7A6A"/>
    <w:rsid w:val="007F7C24"/>
    <w:rsid w:val="007F7F60"/>
    <w:rsid w:val="008047D8"/>
    <w:rsid w:val="00805127"/>
    <w:rsid w:val="00807C3B"/>
    <w:rsid w:val="008116CB"/>
    <w:rsid w:val="00817AF6"/>
    <w:rsid w:val="00821B90"/>
    <w:rsid w:val="008223E2"/>
    <w:rsid w:val="00822E22"/>
    <w:rsid w:val="00824167"/>
    <w:rsid w:val="008255DF"/>
    <w:rsid w:val="0083180C"/>
    <w:rsid w:val="00836398"/>
    <w:rsid w:val="008363CE"/>
    <w:rsid w:val="00852D58"/>
    <w:rsid w:val="00853A4C"/>
    <w:rsid w:val="00856950"/>
    <w:rsid w:val="00857CD6"/>
    <w:rsid w:val="00863D03"/>
    <w:rsid w:val="00865385"/>
    <w:rsid w:val="0086554B"/>
    <w:rsid w:val="0086687C"/>
    <w:rsid w:val="00867491"/>
    <w:rsid w:val="00870A47"/>
    <w:rsid w:val="00873BE1"/>
    <w:rsid w:val="008844BD"/>
    <w:rsid w:val="00885247"/>
    <w:rsid w:val="00886642"/>
    <w:rsid w:val="00886858"/>
    <w:rsid w:val="0089103F"/>
    <w:rsid w:val="008952D7"/>
    <w:rsid w:val="00896489"/>
    <w:rsid w:val="008964BB"/>
    <w:rsid w:val="008A1B89"/>
    <w:rsid w:val="008B01BC"/>
    <w:rsid w:val="008B29F2"/>
    <w:rsid w:val="008B5951"/>
    <w:rsid w:val="008B6904"/>
    <w:rsid w:val="008B7DC2"/>
    <w:rsid w:val="008C1D57"/>
    <w:rsid w:val="008C2764"/>
    <w:rsid w:val="008C4264"/>
    <w:rsid w:val="008C76E1"/>
    <w:rsid w:val="008D0CC8"/>
    <w:rsid w:val="008D0D24"/>
    <w:rsid w:val="008D1C4F"/>
    <w:rsid w:val="008D37B8"/>
    <w:rsid w:val="008D5714"/>
    <w:rsid w:val="008D7EB3"/>
    <w:rsid w:val="008E1A1F"/>
    <w:rsid w:val="008F2E14"/>
    <w:rsid w:val="008F53B6"/>
    <w:rsid w:val="008F5480"/>
    <w:rsid w:val="00902C42"/>
    <w:rsid w:val="00905A09"/>
    <w:rsid w:val="00906AAE"/>
    <w:rsid w:val="00910559"/>
    <w:rsid w:val="009229F3"/>
    <w:rsid w:val="00922CF5"/>
    <w:rsid w:val="00935BB2"/>
    <w:rsid w:val="00943A3D"/>
    <w:rsid w:val="00943E75"/>
    <w:rsid w:val="00947F9A"/>
    <w:rsid w:val="009536BC"/>
    <w:rsid w:val="00954F0A"/>
    <w:rsid w:val="00955C6C"/>
    <w:rsid w:val="00956B48"/>
    <w:rsid w:val="00956DCE"/>
    <w:rsid w:val="00960912"/>
    <w:rsid w:val="00961949"/>
    <w:rsid w:val="00963A63"/>
    <w:rsid w:val="00967BF4"/>
    <w:rsid w:val="00970AA9"/>
    <w:rsid w:val="0097291E"/>
    <w:rsid w:val="00973990"/>
    <w:rsid w:val="00974760"/>
    <w:rsid w:val="0097657A"/>
    <w:rsid w:val="00983C9C"/>
    <w:rsid w:val="00984032"/>
    <w:rsid w:val="0098508D"/>
    <w:rsid w:val="009935C4"/>
    <w:rsid w:val="009978A7"/>
    <w:rsid w:val="009A113C"/>
    <w:rsid w:val="009A1562"/>
    <w:rsid w:val="009A4362"/>
    <w:rsid w:val="009A5D89"/>
    <w:rsid w:val="009A609E"/>
    <w:rsid w:val="009B10DA"/>
    <w:rsid w:val="009B24B7"/>
    <w:rsid w:val="009B2C8F"/>
    <w:rsid w:val="009B3696"/>
    <w:rsid w:val="009B687A"/>
    <w:rsid w:val="009B769F"/>
    <w:rsid w:val="009C1E4F"/>
    <w:rsid w:val="009C1F9B"/>
    <w:rsid w:val="009C2384"/>
    <w:rsid w:val="009C24AD"/>
    <w:rsid w:val="009C2C80"/>
    <w:rsid w:val="009C3959"/>
    <w:rsid w:val="009C4474"/>
    <w:rsid w:val="009C6711"/>
    <w:rsid w:val="009C75F1"/>
    <w:rsid w:val="009D3818"/>
    <w:rsid w:val="009D4F79"/>
    <w:rsid w:val="009D6313"/>
    <w:rsid w:val="009E03EE"/>
    <w:rsid w:val="009E09E2"/>
    <w:rsid w:val="009E159F"/>
    <w:rsid w:val="009E3F1E"/>
    <w:rsid w:val="009F3B67"/>
    <w:rsid w:val="00A01347"/>
    <w:rsid w:val="00A01851"/>
    <w:rsid w:val="00A051F2"/>
    <w:rsid w:val="00A06715"/>
    <w:rsid w:val="00A1080E"/>
    <w:rsid w:val="00A1095B"/>
    <w:rsid w:val="00A10B27"/>
    <w:rsid w:val="00A12875"/>
    <w:rsid w:val="00A13239"/>
    <w:rsid w:val="00A156E5"/>
    <w:rsid w:val="00A21AEA"/>
    <w:rsid w:val="00A2244A"/>
    <w:rsid w:val="00A24454"/>
    <w:rsid w:val="00A26DC8"/>
    <w:rsid w:val="00A32562"/>
    <w:rsid w:val="00A3276C"/>
    <w:rsid w:val="00A37A40"/>
    <w:rsid w:val="00A40951"/>
    <w:rsid w:val="00A451D1"/>
    <w:rsid w:val="00A4559E"/>
    <w:rsid w:val="00A45D31"/>
    <w:rsid w:val="00A46A05"/>
    <w:rsid w:val="00A50A28"/>
    <w:rsid w:val="00A52A09"/>
    <w:rsid w:val="00A60EDD"/>
    <w:rsid w:val="00A64D58"/>
    <w:rsid w:val="00A64F64"/>
    <w:rsid w:val="00A66157"/>
    <w:rsid w:val="00A66325"/>
    <w:rsid w:val="00A66527"/>
    <w:rsid w:val="00A72BC9"/>
    <w:rsid w:val="00A75060"/>
    <w:rsid w:val="00A7626E"/>
    <w:rsid w:val="00A7752F"/>
    <w:rsid w:val="00A82FE8"/>
    <w:rsid w:val="00A969EB"/>
    <w:rsid w:val="00AA2EDD"/>
    <w:rsid w:val="00AA3B37"/>
    <w:rsid w:val="00AB00C2"/>
    <w:rsid w:val="00AB60B1"/>
    <w:rsid w:val="00AC138B"/>
    <w:rsid w:val="00AC56C4"/>
    <w:rsid w:val="00AD0037"/>
    <w:rsid w:val="00AD2236"/>
    <w:rsid w:val="00AE0369"/>
    <w:rsid w:val="00AE560D"/>
    <w:rsid w:val="00AE6055"/>
    <w:rsid w:val="00AE7B3F"/>
    <w:rsid w:val="00AF16B4"/>
    <w:rsid w:val="00AF1A7C"/>
    <w:rsid w:val="00AF25A0"/>
    <w:rsid w:val="00AF2D24"/>
    <w:rsid w:val="00AF3AF8"/>
    <w:rsid w:val="00AF3FB2"/>
    <w:rsid w:val="00AF7E90"/>
    <w:rsid w:val="00B02590"/>
    <w:rsid w:val="00B10629"/>
    <w:rsid w:val="00B13C46"/>
    <w:rsid w:val="00B1462E"/>
    <w:rsid w:val="00B17F01"/>
    <w:rsid w:val="00B20630"/>
    <w:rsid w:val="00B21D00"/>
    <w:rsid w:val="00B25366"/>
    <w:rsid w:val="00B304E0"/>
    <w:rsid w:val="00B33745"/>
    <w:rsid w:val="00B42E2D"/>
    <w:rsid w:val="00B44012"/>
    <w:rsid w:val="00B50635"/>
    <w:rsid w:val="00B50B70"/>
    <w:rsid w:val="00B556D3"/>
    <w:rsid w:val="00B5585B"/>
    <w:rsid w:val="00B57927"/>
    <w:rsid w:val="00B61F9A"/>
    <w:rsid w:val="00B62685"/>
    <w:rsid w:val="00B64C7E"/>
    <w:rsid w:val="00B65264"/>
    <w:rsid w:val="00B70F9C"/>
    <w:rsid w:val="00B75D11"/>
    <w:rsid w:val="00B77C89"/>
    <w:rsid w:val="00B80504"/>
    <w:rsid w:val="00B8118A"/>
    <w:rsid w:val="00B82B82"/>
    <w:rsid w:val="00B952CC"/>
    <w:rsid w:val="00B9629C"/>
    <w:rsid w:val="00BA0B46"/>
    <w:rsid w:val="00BA2B45"/>
    <w:rsid w:val="00BA3A1E"/>
    <w:rsid w:val="00BB0025"/>
    <w:rsid w:val="00BB61DD"/>
    <w:rsid w:val="00BB624E"/>
    <w:rsid w:val="00BC0610"/>
    <w:rsid w:val="00BC31BC"/>
    <w:rsid w:val="00BC424E"/>
    <w:rsid w:val="00BC5325"/>
    <w:rsid w:val="00BC57B3"/>
    <w:rsid w:val="00BC7037"/>
    <w:rsid w:val="00BC7F81"/>
    <w:rsid w:val="00BD2193"/>
    <w:rsid w:val="00BD37B4"/>
    <w:rsid w:val="00BD6E03"/>
    <w:rsid w:val="00BE0188"/>
    <w:rsid w:val="00BE2889"/>
    <w:rsid w:val="00BE4075"/>
    <w:rsid w:val="00BE4FAE"/>
    <w:rsid w:val="00BF7B9F"/>
    <w:rsid w:val="00C216DF"/>
    <w:rsid w:val="00C234AA"/>
    <w:rsid w:val="00C24C57"/>
    <w:rsid w:val="00C25122"/>
    <w:rsid w:val="00C30C01"/>
    <w:rsid w:val="00C32315"/>
    <w:rsid w:val="00C36260"/>
    <w:rsid w:val="00C36EC2"/>
    <w:rsid w:val="00C41747"/>
    <w:rsid w:val="00C460A4"/>
    <w:rsid w:val="00C47178"/>
    <w:rsid w:val="00C56C0A"/>
    <w:rsid w:val="00C63E7B"/>
    <w:rsid w:val="00C6401E"/>
    <w:rsid w:val="00C648EB"/>
    <w:rsid w:val="00C659A9"/>
    <w:rsid w:val="00C65B97"/>
    <w:rsid w:val="00C71DB1"/>
    <w:rsid w:val="00C728C8"/>
    <w:rsid w:val="00C72F5E"/>
    <w:rsid w:val="00C746CB"/>
    <w:rsid w:val="00C74CF6"/>
    <w:rsid w:val="00C763DD"/>
    <w:rsid w:val="00C76D46"/>
    <w:rsid w:val="00C77920"/>
    <w:rsid w:val="00C81384"/>
    <w:rsid w:val="00C87BC6"/>
    <w:rsid w:val="00C907C8"/>
    <w:rsid w:val="00C945FD"/>
    <w:rsid w:val="00C95B67"/>
    <w:rsid w:val="00CA19C8"/>
    <w:rsid w:val="00CA1B42"/>
    <w:rsid w:val="00CA2042"/>
    <w:rsid w:val="00CA43DA"/>
    <w:rsid w:val="00CA73B0"/>
    <w:rsid w:val="00CA79E2"/>
    <w:rsid w:val="00CB4ADD"/>
    <w:rsid w:val="00CB67BF"/>
    <w:rsid w:val="00CC0EFA"/>
    <w:rsid w:val="00CC14FE"/>
    <w:rsid w:val="00CD231D"/>
    <w:rsid w:val="00CD30D4"/>
    <w:rsid w:val="00CD492B"/>
    <w:rsid w:val="00CD5358"/>
    <w:rsid w:val="00CD5F72"/>
    <w:rsid w:val="00D037EC"/>
    <w:rsid w:val="00D03FF8"/>
    <w:rsid w:val="00D04785"/>
    <w:rsid w:val="00D07F73"/>
    <w:rsid w:val="00D1132B"/>
    <w:rsid w:val="00D22D6F"/>
    <w:rsid w:val="00D23AF8"/>
    <w:rsid w:val="00D24D12"/>
    <w:rsid w:val="00D300FB"/>
    <w:rsid w:val="00D31563"/>
    <w:rsid w:val="00D34487"/>
    <w:rsid w:val="00D37C9C"/>
    <w:rsid w:val="00D415F5"/>
    <w:rsid w:val="00D42DBD"/>
    <w:rsid w:val="00D44FEB"/>
    <w:rsid w:val="00D458F6"/>
    <w:rsid w:val="00D46BE9"/>
    <w:rsid w:val="00D52B3E"/>
    <w:rsid w:val="00D5325E"/>
    <w:rsid w:val="00D644E3"/>
    <w:rsid w:val="00D705EF"/>
    <w:rsid w:val="00D70864"/>
    <w:rsid w:val="00D82FFB"/>
    <w:rsid w:val="00D84B2B"/>
    <w:rsid w:val="00D85DFB"/>
    <w:rsid w:val="00D86190"/>
    <w:rsid w:val="00D86598"/>
    <w:rsid w:val="00D86EB0"/>
    <w:rsid w:val="00D926EF"/>
    <w:rsid w:val="00D92869"/>
    <w:rsid w:val="00D9355B"/>
    <w:rsid w:val="00D953C7"/>
    <w:rsid w:val="00DB0082"/>
    <w:rsid w:val="00DB0725"/>
    <w:rsid w:val="00DB4D70"/>
    <w:rsid w:val="00DC0AFC"/>
    <w:rsid w:val="00DF1EBC"/>
    <w:rsid w:val="00DF3152"/>
    <w:rsid w:val="00DF5A3E"/>
    <w:rsid w:val="00E00002"/>
    <w:rsid w:val="00E029E1"/>
    <w:rsid w:val="00E06C17"/>
    <w:rsid w:val="00E06E63"/>
    <w:rsid w:val="00E07995"/>
    <w:rsid w:val="00E101A9"/>
    <w:rsid w:val="00E11391"/>
    <w:rsid w:val="00E11B53"/>
    <w:rsid w:val="00E122ED"/>
    <w:rsid w:val="00E14014"/>
    <w:rsid w:val="00E150BD"/>
    <w:rsid w:val="00E2101B"/>
    <w:rsid w:val="00E23793"/>
    <w:rsid w:val="00E25AA5"/>
    <w:rsid w:val="00E33D92"/>
    <w:rsid w:val="00E414F3"/>
    <w:rsid w:val="00E414F9"/>
    <w:rsid w:val="00E41D81"/>
    <w:rsid w:val="00E44ACE"/>
    <w:rsid w:val="00E4593D"/>
    <w:rsid w:val="00E507B6"/>
    <w:rsid w:val="00E52386"/>
    <w:rsid w:val="00E53799"/>
    <w:rsid w:val="00E53DFC"/>
    <w:rsid w:val="00E55735"/>
    <w:rsid w:val="00E5772D"/>
    <w:rsid w:val="00E57E6C"/>
    <w:rsid w:val="00E61E00"/>
    <w:rsid w:val="00E62E1A"/>
    <w:rsid w:val="00E635E8"/>
    <w:rsid w:val="00E64FC1"/>
    <w:rsid w:val="00E65AB3"/>
    <w:rsid w:val="00E67184"/>
    <w:rsid w:val="00E6779B"/>
    <w:rsid w:val="00E70C14"/>
    <w:rsid w:val="00E74ED7"/>
    <w:rsid w:val="00E9062A"/>
    <w:rsid w:val="00E959E6"/>
    <w:rsid w:val="00E95E62"/>
    <w:rsid w:val="00E973B2"/>
    <w:rsid w:val="00EA3584"/>
    <w:rsid w:val="00EB248D"/>
    <w:rsid w:val="00EB3007"/>
    <w:rsid w:val="00EB5FFE"/>
    <w:rsid w:val="00EB682B"/>
    <w:rsid w:val="00EC0046"/>
    <w:rsid w:val="00EC6F59"/>
    <w:rsid w:val="00EC77A7"/>
    <w:rsid w:val="00ED060E"/>
    <w:rsid w:val="00ED2DDD"/>
    <w:rsid w:val="00ED3C9E"/>
    <w:rsid w:val="00ED6FAF"/>
    <w:rsid w:val="00EE0EEE"/>
    <w:rsid w:val="00EE11FB"/>
    <w:rsid w:val="00EF1AAE"/>
    <w:rsid w:val="00EF368A"/>
    <w:rsid w:val="00EF798D"/>
    <w:rsid w:val="00F00776"/>
    <w:rsid w:val="00F022D4"/>
    <w:rsid w:val="00F03ECD"/>
    <w:rsid w:val="00F04CFC"/>
    <w:rsid w:val="00F11666"/>
    <w:rsid w:val="00F123DD"/>
    <w:rsid w:val="00F12993"/>
    <w:rsid w:val="00F14174"/>
    <w:rsid w:val="00F143F2"/>
    <w:rsid w:val="00F14C21"/>
    <w:rsid w:val="00F1563F"/>
    <w:rsid w:val="00F377DB"/>
    <w:rsid w:val="00F40DCA"/>
    <w:rsid w:val="00F43027"/>
    <w:rsid w:val="00F43BB7"/>
    <w:rsid w:val="00F44FBF"/>
    <w:rsid w:val="00F44FC7"/>
    <w:rsid w:val="00F45A80"/>
    <w:rsid w:val="00F5204D"/>
    <w:rsid w:val="00F536C7"/>
    <w:rsid w:val="00F61479"/>
    <w:rsid w:val="00F61E9D"/>
    <w:rsid w:val="00F62379"/>
    <w:rsid w:val="00F81316"/>
    <w:rsid w:val="00F86F5D"/>
    <w:rsid w:val="00F87343"/>
    <w:rsid w:val="00F908A2"/>
    <w:rsid w:val="00F935F0"/>
    <w:rsid w:val="00FA00BF"/>
    <w:rsid w:val="00FA2095"/>
    <w:rsid w:val="00FA69CB"/>
    <w:rsid w:val="00FB7720"/>
    <w:rsid w:val="00FB7FA9"/>
    <w:rsid w:val="00FC3682"/>
    <w:rsid w:val="00FC5F91"/>
    <w:rsid w:val="00FD282B"/>
    <w:rsid w:val="00FE3101"/>
    <w:rsid w:val="00FE63C6"/>
    <w:rsid w:val="00FE782B"/>
    <w:rsid w:val="00FF0E07"/>
    <w:rsid w:val="00FF1427"/>
    <w:rsid w:val="00FF5278"/>
    <w:rsid w:val="00FF6B79"/>
    <w:rsid w:val="02E14856"/>
    <w:rsid w:val="04520C2B"/>
    <w:rsid w:val="075C622F"/>
    <w:rsid w:val="08E55185"/>
    <w:rsid w:val="09A31348"/>
    <w:rsid w:val="0A8839F6"/>
    <w:rsid w:val="0B73F745"/>
    <w:rsid w:val="0DCD5289"/>
    <w:rsid w:val="10C2BDC6"/>
    <w:rsid w:val="12505C78"/>
    <w:rsid w:val="157E0DE0"/>
    <w:rsid w:val="176FD7FB"/>
    <w:rsid w:val="17C6AB0E"/>
    <w:rsid w:val="1AC4E8F7"/>
    <w:rsid w:val="1C3527B9"/>
    <w:rsid w:val="1E1A0332"/>
    <w:rsid w:val="219BF58B"/>
    <w:rsid w:val="2537BBFA"/>
    <w:rsid w:val="259C3A9A"/>
    <w:rsid w:val="27783726"/>
    <w:rsid w:val="2804A4E5"/>
    <w:rsid w:val="2946F080"/>
    <w:rsid w:val="2A121BDB"/>
    <w:rsid w:val="2C86F877"/>
    <w:rsid w:val="31147CE0"/>
    <w:rsid w:val="32519387"/>
    <w:rsid w:val="32DD6100"/>
    <w:rsid w:val="331A9700"/>
    <w:rsid w:val="33937F6C"/>
    <w:rsid w:val="34E0CA27"/>
    <w:rsid w:val="354F04EC"/>
    <w:rsid w:val="358797EA"/>
    <w:rsid w:val="3937A391"/>
    <w:rsid w:val="39E4EF57"/>
    <w:rsid w:val="3CC8423E"/>
    <w:rsid w:val="3D2F2810"/>
    <w:rsid w:val="433AD6BA"/>
    <w:rsid w:val="440A10B0"/>
    <w:rsid w:val="4687895F"/>
    <w:rsid w:val="47214DBF"/>
    <w:rsid w:val="47CDFE57"/>
    <w:rsid w:val="494714A7"/>
    <w:rsid w:val="49A97ADA"/>
    <w:rsid w:val="4A17BD9F"/>
    <w:rsid w:val="4D2BD01F"/>
    <w:rsid w:val="57145B48"/>
    <w:rsid w:val="57C7C723"/>
    <w:rsid w:val="58473FDC"/>
    <w:rsid w:val="5A35EEB3"/>
    <w:rsid w:val="5BD4E01E"/>
    <w:rsid w:val="5D1DCBF4"/>
    <w:rsid w:val="5D5F56EE"/>
    <w:rsid w:val="5EBA9845"/>
    <w:rsid w:val="64AA7E76"/>
    <w:rsid w:val="65F28222"/>
    <w:rsid w:val="67E62FB7"/>
    <w:rsid w:val="694814B9"/>
    <w:rsid w:val="6C572C96"/>
    <w:rsid w:val="6D11CDF7"/>
    <w:rsid w:val="73CC1007"/>
    <w:rsid w:val="765C114D"/>
    <w:rsid w:val="7AA4E65D"/>
    <w:rsid w:val="7D665BDF"/>
    <w:rsid w:val="7F68A9E1"/>
    <w:rsid w:val="7F6EC7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44F2A6"/>
  <w15:chartTrackingRefBased/>
  <w15:docId w15:val="{CCE362C0-2C45-4B4B-B87D-341A4805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027"/>
    <w:pPr>
      <w:spacing w:after="0" w:line="240" w:lineRule="auto"/>
      <w:ind w:left="357" w:hanging="357"/>
      <w:jc w:val="both"/>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52D5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5B8F"/>
    <w:pPr>
      <w:autoSpaceDE w:val="0"/>
      <w:autoSpaceDN w:val="0"/>
      <w:adjustRightInd w:val="0"/>
      <w:spacing w:after="0" w:line="240" w:lineRule="auto"/>
      <w:ind w:left="357" w:hanging="357"/>
      <w:jc w:val="both"/>
    </w:pPr>
    <w:rPr>
      <w:rFonts w:ascii="Palatino Linotype" w:hAnsi="Palatino Linotype" w:cs="Palatino Linotype"/>
      <w:color w:val="000000"/>
      <w:sz w:val="24"/>
      <w:szCs w:val="24"/>
    </w:rPr>
  </w:style>
  <w:style w:type="character" w:customStyle="1" w:styleId="EnlacedeInternet">
    <w:name w:val="Enlace de Internet"/>
    <w:basedOn w:val="DefaultParagraphFont"/>
    <w:rsid w:val="001C4D6A"/>
    <w:rPr>
      <w:color w:val="0000FF"/>
      <w:u w:val="single"/>
    </w:rPr>
  </w:style>
  <w:style w:type="paragraph" w:styleId="ListParagraph">
    <w:name w:val="List Paragraph"/>
    <w:aliases w:val="Rec para"/>
    <w:basedOn w:val="Normal"/>
    <w:link w:val="ListParagraphChar"/>
    <w:uiPriority w:val="34"/>
    <w:qFormat/>
    <w:rsid w:val="00634417"/>
    <w:pPr>
      <w:spacing w:after="160" w:line="259" w:lineRule="auto"/>
      <w:ind w:left="720" w:firstLine="0"/>
      <w:contextualSpacing/>
      <w:jc w:val="left"/>
    </w:pPr>
    <w:rPr>
      <w:rFonts w:asciiTheme="minorHAnsi" w:eastAsiaTheme="minorHAnsi" w:hAnsiTheme="minorHAnsi" w:cstheme="minorBidi"/>
      <w:sz w:val="22"/>
      <w:szCs w:val="22"/>
      <w:lang w:eastAsia="en-US"/>
    </w:rPr>
  </w:style>
  <w:style w:type="character" w:customStyle="1" w:styleId="ListParagraphChar">
    <w:name w:val="List Paragraph Char"/>
    <w:aliases w:val="Rec para Char"/>
    <w:link w:val="ListParagraph"/>
    <w:uiPriority w:val="34"/>
    <w:locked/>
    <w:rsid w:val="00634417"/>
  </w:style>
  <w:style w:type="character" w:styleId="CommentReference">
    <w:name w:val="annotation reference"/>
    <w:basedOn w:val="DefaultParagraphFont"/>
    <w:uiPriority w:val="99"/>
    <w:semiHidden/>
    <w:unhideWhenUsed/>
    <w:rsid w:val="00AE7B3F"/>
    <w:rPr>
      <w:sz w:val="16"/>
      <w:szCs w:val="16"/>
    </w:rPr>
  </w:style>
  <w:style w:type="paragraph" w:styleId="CommentText">
    <w:name w:val="annotation text"/>
    <w:basedOn w:val="Normal"/>
    <w:link w:val="CommentTextChar"/>
    <w:uiPriority w:val="99"/>
    <w:unhideWhenUsed/>
    <w:rsid w:val="00AE7B3F"/>
    <w:rPr>
      <w:sz w:val="20"/>
      <w:szCs w:val="20"/>
    </w:rPr>
  </w:style>
  <w:style w:type="character" w:customStyle="1" w:styleId="CommentTextChar">
    <w:name w:val="Comment Text Char"/>
    <w:basedOn w:val="DefaultParagraphFont"/>
    <w:link w:val="CommentText"/>
    <w:uiPriority w:val="99"/>
    <w:rsid w:val="00AE7B3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E7B3F"/>
    <w:rPr>
      <w:b/>
      <w:bCs/>
    </w:rPr>
  </w:style>
  <w:style w:type="character" w:customStyle="1" w:styleId="CommentSubjectChar">
    <w:name w:val="Comment Subject Char"/>
    <w:basedOn w:val="CommentTextChar"/>
    <w:link w:val="CommentSubject"/>
    <w:uiPriority w:val="99"/>
    <w:semiHidden/>
    <w:rsid w:val="00AE7B3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AE7B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B3F"/>
    <w:rPr>
      <w:rFonts w:ascii="Segoe UI" w:eastAsia="Times New Roman" w:hAnsi="Segoe UI" w:cs="Segoe UI"/>
      <w:sz w:val="18"/>
      <w:szCs w:val="18"/>
      <w:lang w:eastAsia="en-GB"/>
    </w:rPr>
  </w:style>
  <w:style w:type="paragraph" w:styleId="BodyText">
    <w:name w:val="Body Text"/>
    <w:basedOn w:val="Normal"/>
    <w:link w:val="BodyTextChar"/>
    <w:uiPriority w:val="1"/>
    <w:qFormat/>
    <w:rsid w:val="00960912"/>
    <w:pPr>
      <w:widowControl w:val="0"/>
      <w:autoSpaceDE w:val="0"/>
      <w:autoSpaceDN w:val="0"/>
      <w:ind w:left="0" w:firstLine="0"/>
      <w:jc w:val="left"/>
    </w:pPr>
    <w:rPr>
      <w:rFonts w:ascii="Calibri" w:eastAsia="Calibri" w:hAnsi="Calibri" w:cs="Calibri"/>
      <w:lang w:eastAsia="en-US"/>
    </w:rPr>
  </w:style>
  <w:style w:type="character" w:customStyle="1" w:styleId="BodyTextChar">
    <w:name w:val="Body Text Char"/>
    <w:basedOn w:val="DefaultParagraphFont"/>
    <w:link w:val="BodyText"/>
    <w:uiPriority w:val="1"/>
    <w:rsid w:val="00960912"/>
    <w:rPr>
      <w:rFonts w:ascii="Calibri" w:eastAsia="Calibri" w:hAnsi="Calibri" w:cs="Calibri"/>
      <w:sz w:val="24"/>
      <w:szCs w:val="24"/>
      <w:lang w:val="es-ES"/>
    </w:rPr>
  </w:style>
  <w:style w:type="paragraph" w:customStyle="1" w:styleId="ColorfulList-Accent11">
    <w:name w:val="Colorful List - Accent 11"/>
    <w:basedOn w:val="Normal"/>
    <w:uiPriority w:val="34"/>
    <w:qFormat/>
    <w:rsid w:val="007F7F60"/>
    <w:pPr>
      <w:ind w:left="720" w:hanging="425"/>
      <w:contextualSpacing/>
      <w:jc w:val="left"/>
    </w:pPr>
    <w:rPr>
      <w:rFonts w:ascii="Calibri" w:eastAsia="Calibri" w:hAnsi="Calibri"/>
      <w:sz w:val="22"/>
      <w:szCs w:val="22"/>
      <w:lang w:eastAsia="en-US"/>
    </w:rPr>
  </w:style>
  <w:style w:type="paragraph" w:styleId="FootnoteText">
    <w:name w:val="footnote text"/>
    <w:basedOn w:val="Normal"/>
    <w:link w:val="FootnoteTextChar"/>
    <w:uiPriority w:val="99"/>
    <w:semiHidden/>
    <w:unhideWhenUsed/>
    <w:rsid w:val="006058B3"/>
    <w:rPr>
      <w:sz w:val="20"/>
      <w:szCs w:val="20"/>
    </w:rPr>
  </w:style>
  <w:style w:type="character" w:customStyle="1" w:styleId="FootnoteTextChar">
    <w:name w:val="Footnote Text Char"/>
    <w:basedOn w:val="DefaultParagraphFont"/>
    <w:link w:val="FootnoteText"/>
    <w:uiPriority w:val="99"/>
    <w:semiHidden/>
    <w:rsid w:val="006058B3"/>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6058B3"/>
    <w:rPr>
      <w:vertAlign w:val="superscript"/>
    </w:rPr>
  </w:style>
  <w:style w:type="character" w:styleId="Hyperlink">
    <w:name w:val="Hyperlink"/>
    <w:basedOn w:val="DefaultParagraphFont"/>
    <w:uiPriority w:val="99"/>
    <w:unhideWhenUsed/>
    <w:rsid w:val="006058B3"/>
    <w:rPr>
      <w:color w:val="0000FF"/>
      <w:u w:val="single"/>
    </w:rPr>
  </w:style>
  <w:style w:type="paragraph" w:styleId="Header">
    <w:name w:val="header"/>
    <w:basedOn w:val="Normal"/>
    <w:link w:val="HeaderChar"/>
    <w:uiPriority w:val="99"/>
    <w:unhideWhenUsed/>
    <w:rsid w:val="006058B3"/>
    <w:pPr>
      <w:tabs>
        <w:tab w:val="center" w:pos="4513"/>
        <w:tab w:val="right" w:pos="9026"/>
      </w:tabs>
    </w:pPr>
  </w:style>
  <w:style w:type="character" w:customStyle="1" w:styleId="HeaderChar">
    <w:name w:val="Header Char"/>
    <w:basedOn w:val="DefaultParagraphFont"/>
    <w:link w:val="Header"/>
    <w:uiPriority w:val="99"/>
    <w:rsid w:val="006058B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058B3"/>
    <w:pPr>
      <w:tabs>
        <w:tab w:val="center" w:pos="4513"/>
        <w:tab w:val="right" w:pos="9026"/>
      </w:tabs>
    </w:pPr>
  </w:style>
  <w:style w:type="character" w:customStyle="1" w:styleId="FooterChar">
    <w:name w:val="Footer Char"/>
    <w:basedOn w:val="DefaultParagraphFont"/>
    <w:link w:val="Footer"/>
    <w:uiPriority w:val="99"/>
    <w:rsid w:val="006058B3"/>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67BF4"/>
    <w:rPr>
      <w:color w:val="954F72" w:themeColor="followedHyperlink"/>
      <w:u w:val="single"/>
    </w:rPr>
  </w:style>
  <w:style w:type="paragraph" w:styleId="Revision">
    <w:name w:val="Revision"/>
    <w:hidden/>
    <w:uiPriority w:val="99"/>
    <w:semiHidden/>
    <w:rsid w:val="00482698"/>
    <w:pPr>
      <w:spacing w:after="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A45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870A3"/>
    <w:rPr>
      <w:sz w:val="20"/>
      <w:szCs w:val="20"/>
    </w:rPr>
  </w:style>
  <w:style w:type="character" w:customStyle="1" w:styleId="EndnoteTextChar">
    <w:name w:val="Endnote Text Char"/>
    <w:basedOn w:val="DefaultParagraphFont"/>
    <w:link w:val="EndnoteText"/>
    <w:uiPriority w:val="99"/>
    <w:semiHidden/>
    <w:rsid w:val="006870A3"/>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6870A3"/>
    <w:rPr>
      <w:vertAlign w:val="superscript"/>
    </w:rPr>
  </w:style>
  <w:style w:type="paragraph" w:customStyle="1" w:styleId="pf1">
    <w:name w:val="pf1"/>
    <w:basedOn w:val="Normal"/>
    <w:rsid w:val="006870A3"/>
    <w:pPr>
      <w:spacing w:before="100" w:beforeAutospacing="1" w:after="100" w:afterAutospacing="1"/>
      <w:ind w:left="0" w:firstLine="0"/>
      <w:jc w:val="left"/>
    </w:pPr>
  </w:style>
  <w:style w:type="paragraph" w:customStyle="1" w:styleId="pf0">
    <w:name w:val="pf0"/>
    <w:basedOn w:val="Normal"/>
    <w:rsid w:val="006870A3"/>
    <w:pPr>
      <w:spacing w:before="100" w:beforeAutospacing="1" w:after="100" w:afterAutospacing="1"/>
      <w:ind w:left="0" w:firstLine="0"/>
      <w:jc w:val="left"/>
    </w:pPr>
  </w:style>
  <w:style w:type="character" w:customStyle="1" w:styleId="cf01">
    <w:name w:val="cf01"/>
    <w:basedOn w:val="DefaultParagraphFont"/>
    <w:rsid w:val="006870A3"/>
    <w:rPr>
      <w:rFonts w:ascii="Segoe UI" w:hAnsi="Segoe UI" w:cs="Segoe UI" w:hint="default"/>
      <w:sz w:val="18"/>
      <w:szCs w:val="18"/>
    </w:rPr>
  </w:style>
  <w:style w:type="character" w:customStyle="1" w:styleId="Heading1Char">
    <w:name w:val="Heading 1 Char"/>
    <w:basedOn w:val="DefaultParagraphFont"/>
    <w:link w:val="Heading1"/>
    <w:uiPriority w:val="9"/>
    <w:rsid w:val="00852D58"/>
    <w:rPr>
      <w:rFonts w:asciiTheme="majorHAnsi" w:eastAsiaTheme="majorEastAsia" w:hAnsiTheme="majorHAnsi" w:cstheme="majorBidi"/>
      <w:color w:val="2E74B5"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55230">
      <w:bodyDiv w:val="1"/>
      <w:marLeft w:val="0"/>
      <w:marRight w:val="0"/>
      <w:marTop w:val="0"/>
      <w:marBottom w:val="0"/>
      <w:divBdr>
        <w:top w:val="none" w:sz="0" w:space="0" w:color="auto"/>
        <w:left w:val="none" w:sz="0" w:space="0" w:color="auto"/>
        <w:bottom w:val="none" w:sz="0" w:space="0" w:color="auto"/>
        <w:right w:val="none" w:sz="0" w:space="0" w:color="auto"/>
      </w:divBdr>
    </w:div>
    <w:div w:id="189614327">
      <w:bodyDiv w:val="1"/>
      <w:marLeft w:val="0"/>
      <w:marRight w:val="0"/>
      <w:marTop w:val="0"/>
      <w:marBottom w:val="0"/>
      <w:divBdr>
        <w:top w:val="none" w:sz="0" w:space="0" w:color="auto"/>
        <w:left w:val="none" w:sz="0" w:space="0" w:color="auto"/>
        <w:bottom w:val="none" w:sz="0" w:space="0" w:color="auto"/>
        <w:right w:val="none" w:sz="0" w:space="0" w:color="auto"/>
      </w:divBdr>
    </w:div>
    <w:div w:id="248465961">
      <w:bodyDiv w:val="1"/>
      <w:marLeft w:val="0"/>
      <w:marRight w:val="0"/>
      <w:marTop w:val="0"/>
      <w:marBottom w:val="0"/>
      <w:divBdr>
        <w:top w:val="none" w:sz="0" w:space="0" w:color="auto"/>
        <w:left w:val="none" w:sz="0" w:space="0" w:color="auto"/>
        <w:bottom w:val="none" w:sz="0" w:space="0" w:color="auto"/>
        <w:right w:val="none" w:sz="0" w:space="0" w:color="auto"/>
      </w:divBdr>
    </w:div>
    <w:div w:id="410977514">
      <w:bodyDiv w:val="1"/>
      <w:marLeft w:val="0"/>
      <w:marRight w:val="0"/>
      <w:marTop w:val="0"/>
      <w:marBottom w:val="0"/>
      <w:divBdr>
        <w:top w:val="none" w:sz="0" w:space="0" w:color="auto"/>
        <w:left w:val="none" w:sz="0" w:space="0" w:color="auto"/>
        <w:bottom w:val="none" w:sz="0" w:space="0" w:color="auto"/>
        <w:right w:val="none" w:sz="0" w:space="0" w:color="auto"/>
      </w:divBdr>
    </w:div>
    <w:div w:id="426198269">
      <w:bodyDiv w:val="1"/>
      <w:marLeft w:val="0"/>
      <w:marRight w:val="0"/>
      <w:marTop w:val="0"/>
      <w:marBottom w:val="0"/>
      <w:divBdr>
        <w:top w:val="none" w:sz="0" w:space="0" w:color="auto"/>
        <w:left w:val="none" w:sz="0" w:space="0" w:color="auto"/>
        <w:bottom w:val="none" w:sz="0" w:space="0" w:color="auto"/>
        <w:right w:val="none" w:sz="0" w:space="0" w:color="auto"/>
      </w:divBdr>
    </w:div>
    <w:div w:id="834761879">
      <w:bodyDiv w:val="1"/>
      <w:marLeft w:val="0"/>
      <w:marRight w:val="0"/>
      <w:marTop w:val="0"/>
      <w:marBottom w:val="0"/>
      <w:divBdr>
        <w:top w:val="none" w:sz="0" w:space="0" w:color="auto"/>
        <w:left w:val="none" w:sz="0" w:space="0" w:color="auto"/>
        <w:bottom w:val="none" w:sz="0" w:space="0" w:color="auto"/>
        <w:right w:val="none" w:sz="0" w:space="0" w:color="auto"/>
      </w:divBdr>
    </w:div>
    <w:div w:id="957102199">
      <w:bodyDiv w:val="1"/>
      <w:marLeft w:val="0"/>
      <w:marRight w:val="0"/>
      <w:marTop w:val="0"/>
      <w:marBottom w:val="0"/>
      <w:divBdr>
        <w:top w:val="none" w:sz="0" w:space="0" w:color="auto"/>
        <w:left w:val="none" w:sz="0" w:space="0" w:color="auto"/>
        <w:bottom w:val="none" w:sz="0" w:space="0" w:color="auto"/>
        <w:right w:val="none" w:sz="0" w:space="0" w:color="auto"/>
      </w:divBdr>
    </w:div>
    <w:div w:id="960766400">
      <w:bodyDiv w:val="1"/>
      <w:marLeft w:val="0"/>
      <w:marRight w:val="0"/>
      <w:marTop w:val="0"/>
      <w:marBottom w:val="0"/>
      <w:divBdr>
        <w:top w:val="none" w:sz="0" w:space="0" w:color="auto"/>
        <w:left w:val="none" w:sz="0" w:space="0" w:color="auto"/>
        <w:bottom w:val="none" w:sz="0" w:space="0" w:color="auto"/>
        <w:right w:val="none" w:sz="0" w:space="0" w:color="auto"/>
      </w:divBdr>
    </w:div>
    <w:div w:id="1064261307">
      <w:bodyDiv w:val="1"/>
      <w:marLeft w:val="0"/>
      <w:marRight w:val="0"/>
      <w:marTop w:val="0"/>
      <w:marBottom w:val="0"/>
      <w:divBdr>
        <w:top w:val="none" w:sz="0" w:space="0" w:color="auto"/>
        <w:left w:val="none" w:sz="0" w:space="0" w:color="auto"/>
        <w:bottom w:val="none" w:sz="0" w:space="0" w:color="auto"/>
        <w:right w:val="none" w:sz="0" w:space="0" w:color="auto"/>
      </w:divBdr>
    </w:div>
    <w:div w:id="1320187299">
      <w:bodyDiv w:val="1"/>
      <w:marLeft w:val="0"/>
      <w:marRight w:val="0"/>
      <w:marTop w:val="0"/>
      <w:marBottom w:val="0"/>
      <w:divBdr>
        <w:top w:val="none" w:sz="0" w:space="0" w:color="auto"/>
        <w:left w:val="none" w:sz="0" w:space="0" w:color="auto"/>
        <w:bottom w:val="none" w:sz="0" w:space="0" w:color="auto"/>
        <w:right w:val="none" w:sz="0" w:space="0" w:color="auto"/>
      </w:divBdr>
    </w:div>
    <w:div w:id="1362514546">
      <w:bodyDiv w:val="1"/>
      <w:marLeft w:val="0"/>
      <w:marRight w:val="0"/>
      <w:marTop w:val="0"/>
      <w:marBottom w:val="0"/>
      <w:divBdr>
        <w:top w:val="none" w:sz="0" w:space="0" w:color="auto"/>
        <w:left w:val="none" w:sz="0" w:space="0" w:color="auto"/>
        <w:bottom w:val="none" w:sz="0" w:space="0" w:color="auto"/>
        <w:right w:val="none" w:sz="0" w:space="0" w:color="auto"/>
      </w:divBdr>
    </w:div>
    <w:div w:id="1489589704">
      <w:bodyDiv w:val="1"/>
      <w:marLeft w:val="0"/>
      <w:marRight w:val="0"/>
      <w:marTop w:val="0"/>
      <w:marBottom w:val="0"/>
      <w:divBdr>
        <w:top w:val="none" w:sz="0" w:space="0" w:color="auto"/>
        <w:left w:val="none" w:sz="0" w:space="0" w:color="auto"/>
        <w:bottom w:val="none" w:sz="0" w:space="0" w:color="auto"/>
        <w:right w:val="none" w:sz="0" w:space="0" w:color="auto"/>
      </w:divBdr>
    </w:div>
    <w:div w:id="1499542462">
      <w:bodyDiv w:val="1"/>
      <w:marLeft w:val="0"/>
      <w:marRight w:val="0"/>
      <w:marTop w:val="0"/>
      <w:marBottom w:val="0"/>
      <w:divBdr>
        <w:top w:val="none" w:sz="0" w:space="0" w:color="auto"/>
        <w:left w:val="none" w:sz="0" w:space="0" w:color="auto"/>
        <w:bottom w:val="none" w:sz="0" w:space="0" w:color="auto"/>
        <w:right w:val="none" w:sz="0" w:space="0" w:color="auto"/>
      </w:divBdr>
    </w:div>
    <w:div w:id="165440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28499A3D4EBC46A54B223F15BF4755" ma:contentTypeVersion="14" ma:contentTypeDescription="Create a new document." ma:contentTypeScope="" ma:versionID="e19d1ba65b16215b94192fe30fef1093">
  <xsd:schema xmlns:xsd="http://www.w3.org/2001/XMLSchema" xmlns:xs="http://www.w3.org/2001/XMLSchema" xmlns:p="http://schemas.microsoft.com/office/2006/metadata/properties" xmlns:ns3="682f1ccd-e5c5-43c9-b9d9-dd72e0a643d0" xmlns:ns4="75035800-fbd9-4494-bf62-86cc10c5d50d" targetNamespace="http://schemas.microsoft.com/office/2006/metadata/properties" ma:root="true" ma:fieldsID="793f03ab7b181d42bf7ece909e5aba98" ns3:_="" ns4:_="">
    <xsd:import namespace="682f1ccd-e5c5-43c9-b9d9-dd72e0a643d0"/>
    <xsd:import namespace="75035800-fbd9-4494-bf62-86cc10c5d5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f1ccd-e5c5-43c9-b9d9-dd72e0a64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35800-fbd9-4494-bf62-86cc10c5d5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C8A11C-F1D0-4752-BBC4-924DA3911365}">
  <ds:schemaRefs>
    <ds:schemaRef ds:uri="http://schemas.openxmlformats.org/officeDocument/2006/bibliography"/>
  </ds:schemaRefs>
</ds:datastoreItem>
</file>

<file path=customXml/itemProps2.xml><?xml version="1.0" encoding="utf-8"?>
<ds:datastoreItem xmlns:ds="http://schemas.openxmlformats.org/officeDocument/2006/customXml" ds:itemID="{81DEA916-19D4-4B41-800A-1B7C448A1581}">
  <ds:schemaRefs>
    <ds:schemaRef ds:uri="http://schemas.microsoft.com/sharepoint/v3/contenttype/forms"/>
  </ds:schemaRefs>
</ds:datastoreItem>
</file>

<file path=customXml/itemProps3.xml><?xml version="1.0" encoding="utf-8"?>
<ds:datastoreItem xmlns:ds="http://schemas.openxmlformats.org/officeDocument/2006/customXml" ds:itemID="{28771A80-3EB5-4641-8AA9-F2C9D0472A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3F06C2-A773-4AD3-A05C-458A023A3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f1ccd-e5c5-43c9-b9d9-dd72e0a643d0"/>
    <ds:schemaRef ds:uri="75035800-fbd9-4494-bf62-86cc10c5d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3</cp:revision>
  <dcterms:created xsi:type="dcterms:W3CDTF">2025-04-08T07:41:00Z</dcterms:created>
  <dcterms:modified xsi:type="dcterms:W3CDTF">2025-04-15T11:15:00Z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0x0101009528499A3D4EBC46A54B223F15BF4755</vt:lpwstr>
  </property>
</Properties>
</file>