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CD790" w14:textId="77777777" w:rsidR="003E26DD" w:rsidRPr="00147059" w:rsidRDefault="003E26DD" w:rsidP="003E26DD">
      <w:pPr>
        <w:jc w:val="center"/>
        <w:outlineLvl w:val="0"/>
        <w:rPr>
          <w:rFonts w:ascii="Calibri" w:hAnsi="Calibri" w:cs="Cambria"/>
          <w:b/>
          <w:bCs/>
          <w:lang w:eastAsia="en-US"/>
        </w:rPr>
      </w:pPr>
      <w:r w:rsidRPr="00147059">
        <w:rPr>
          <w:rFonts w:ascii="Calibri" w:hAnsi="Calibri" w:cs="Cambria"/>
          <w:b/>
          <w:bCs/>
          <w:noProof/>
          <w:lang w:eastAsia="en-US"/>
        </w:rPr>
        <w:drawing>
          <wp:anchor distT="0" distB="0" distL="114300" distR="114300" simplePos="0" relativeHeight="251659264" behindDoc="0" locked="0" layoutInCell="1" allowOverlap="1" wp14:anchorId="5865C50A" wp14:editId="53450692">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cstate="print">
                      <a:extLst>
                        <a:ext uri="{28A0092B-C50C-407E-A947-70E740481C1C}">
                          <a14:useLocalDpi xmlns:a14="http://schemas.microsoft.com/office/drawing/2010/main" val="0"/>
                        </a:ext>
                      </a:extLst>
                    </a:blip>
                    <a:srcRect t="549" b="549"/>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46985D" w14:textId="77777777" w:rsidR="003E26DD" w:rsidRPr="00147059" w:rsidRDefault="003E26DD" w:rsidP="003E26DD">
      <w:pPr>
        <w:jc w:val="center"/>
        <w:outlineLvl w:val="0"/>
        <w:rPr>
          <w:rFonts w:ascii="Calibri" w:hAnsi="Calibri" w:cs="Cambria"/>
          <w:b/>
          <w:bCs/>
          <w:lang w:eastAsia="en-US"/>
        </w:rPr>
      </w:pPr>
      <w:r w:rsidRPr="00147059">
        <w:rPr>
          <w:rFonts w:ascii="Calibri" w:hAnsi="Calibri" w:cs="Cambria"/>
          <w:b/>
          <w:bCs/>
          <w:lang w:eastAsia="en-US"/>
        </w:rPr>
        <w:t>15</w:t>
      </w:r>
      <w:r w:rsidRPr="00147059">
        <w:rPr>
          <w:rFonts w:ascii="Calibri" w:hAnsi="Calibri" w:cs="Cambria"/>
          <w:b/>
          <w:bCs/>
          <w:vertAlign w:val="superscript"/>
          <w:lang w:eastAsia="en-US"/>
        </w:rPr>
        <w:t>e</w:t>
      </w:r>
      <w:r w:rsidRPr="00147059">
        <w:rPr>
          <w:rFonts w:ascii="Calibri" w:hAnsi="Calibri" w:cs="Cambria"/>
          <w:b/>
          <w:bCs/>
          <w:lang w:eastAsia="en-US"/>
        </w:rPr>
        <w:t xml:space="preserve"> session de la Conférence des Parties contractantes à la Convention sur les zones humides</w:t>
      </w:r>
    </w:p>
    <w:p w14:paraId="704FF4BC" w14:textId="77777777" w:rsidR="003E26DD" w:rsidRPr="00147059" w:rsidRDefault="003E26DD" w:rsidP="003E26DD">
      <w:pPr>
        <w:jc w:val="center"/>
        <w:outlineLvl w:val="0"/>
        <w:rPr>
          <w:rFonts w:ascii="Calibri" w:hAnsi="Calibri" w:cs="Cambria"/>
          <w:b/>
          <w:bCs/>
          <w:lang w:eastAsia="en-US"/>
        </w:rPr>
      </w:pPr>
    </w:p>
    <w:p w14:paraId="466CBF0A" w14:textId="77777777" w:rsidR="003E26DD" w:rsidRPr="00147059" w:rsidRDefault="003E26DD" w:rsidP="003E26DD">
      <w:pPr>
        <w:jc w:val="center"/>
        <w:outlineLvl w:val="0"/>
        <w:rPr>
          <w:rFonts w:ascii="Calibri" w:hAnsi="Calibri" w:cs="Cambria"/>
          <w:b/>
          <w:bCs/>
          <w:lang w:eastAsia="en-US"/>
        </w:rPr>
      </w:pPr>
      <w:r w:rsidRPr="00147059">
        <w:rPr>
          <w:rFonts w:ascii="Calibri" w:hAnsi="Calibri" w:cs="Cambria"/>
          <w:b/>
          <w:bCs/>
          <w:lang w:eastAsia="en-US"/>
        </w:rPr>
        <w:t xml:space="preserve">« Protéger les zones humides pour notre avenir commun » </w:t>
      </w:r>
    </w:p>
    <w:p w14:paraId="54E9CE74" w14:textId="77777777" w:rsidR="003E26DD" w:rsidRPr="00147059" w:rsidRDefault="003E26DD" w:rsidP="003E26DD">
      <w:pPr>
        <w:jc w:val="center"/>
        <w:outlineLvl w:val="0"/>
        <w:rPr>
          <w:rFonts w:ascii="Calibri" w:hAnsi="Calibri" w:cs="Cambria"/>
          <w:b/>
          <w:bCs/>
          <w:lang w:eastAsia="en-US"/>
        </w:rPr>
      </w:pPr>
      <w:r w:rsidRPr="00147059">
        <w:rPr>
          <w:rFonts w:ascii="Calibri" w:hAnsi="Calibri" w:cs="Cambria"/>
          <w:b/>
          <w:bCs/>
          <w:lang w:eastAsia="en-US"/>
        </w:rPr>
        <w:t>Victoria Falls, Zimbabwe, 23-31 juillet 2025</w:t>
      </w:r>
    </w:p>
    <w:p w14:paraId="28A22098" w14:textId="77777777" w:rsidR="003E26DD" w:rsidRPr="00147059" w:rsidRDefault="003E26DD" w:rsidP="003E26DD">
      <w:pPr>
        <w:jc w:val="center"/>
        <w:outlineLvl w:val="0"/>
        <w:rPr>
          <w:rFonts w:ascii="Calibri" w:hAnsi="Calibri" w:cs="Cambria"/>
          <w:b/>
          <w:bCs/>
          <w:lang w:eastAsia="en-US"/>
        </w:rPr>
      </w:pPr>
    </w:p>
    <w:p w14:paraId="6EC922A2" w14:textId="77777777" w:rsidR="003E26DD" w:rsidRPr="00147059" w:rsidRDefault="003E26DD" w:rsidP="003E26DD">
      <w:pPr>
        <w:jc w:val="center"/>
        <w:outlineLvl w:val="0"/>
        <w:rPr>
          <w:rFonts w:ascii="Calibri" w:hAnsi="Calibri" w:cs="Cambria"/>
          <w:b/>
          <w:bCs/>
          <w:lang w:eastAsia="en-US"/>
        </w:rPr>
      </w:pPr>
    </w:p>
    <w:p w14:paraId="3542A2A1" w14:textId="77777777" w:rsidR="003E26DD" w:rsidRPr="00147059" w:rsidRDefault="003E26DD" w:rsidP="003E26DD">
      <w:pPr>
        <w:jc w:val="center"/>
        <w:outlineLvl w:val="0"/>
        <w:rPr>
          <w:rFonts w:ascii="Calibri" w:hAnsi="Calibri" w:cs="Cambria"/>
          <w:b/>
          <w:bCs/>
          <w:lang w:eastAsia="en-US"/>
        </w:rPr>
      </w:pPr>
    </w:p>
    <w:p w14:paraId="575CE261" w14:textId="77777777" w:rsidR="0016610A" w:rsidRPr="0016610A" w:rsidRDefault="0016610A" w:rsidP="0016610A">
      <w:pPr>
        <w:ind w:left="0" w:firstLine="0"/>
        <w:jc w:val="right"/>
        <w:rPr>
          <w:rFonts w:asciiTheme="minorHAnsi" w:eastAsiaTheme="minorHAnsi" w:hAnsiTheme="minorHAnsi"/>
          <w:sz w:val="22"/>
          <w:szCs w:val="22"/>
          <w:lang w:eastAsia="en-US"/>
        </w:rPr>
      </w:pPr>
    </w:p>
    <w:p w14:paraId="21657B0E" w14:textId="11876886" w:rsidR="0016610A" w:rsidRPr="0016610A" w:rsidRDefault="0016610A" w:rsidP="0016610A">
      <w:pPr>
        <w:widowControl w:val="0"/>
        <w:ind w:left="0" w:firstLine="0"/>
        <w:jc w:val="right"/>
        <w:rPr>
          <w:rFonts w:asciiTheme="minorHAnsi" w:eastAsiaTheme="minorHAnsi" w:hAnsiTheme="minorHAnsi" w:cstheme="minorHAnsi"/>
          <w:sz w:val="22"/>
          <w:szCs w:val="22"/>
        </w:rPr>
      </w:pPr>
      <w:r>
        <w:rPr>
          <w:rFonts w:asciiTheme="minorHAnsi" w:hAnsiTheme="minorHAnsi"/>
          <w:b/>
          <w:sz w:val="28"/>
        </w:rPr>
        <w:t>COP15 Doc.17</w:t>
      </w:r>
    </w:p>
    <w:p w14:paraId="23E946FC" w14:textId="77777777" w:rsidR="00065B8F" w:rsidRPr="00881022" w:rsidRDefault="00065B8F" w:rsidP="00A451D1">
      <w:pPr>
        <w:widowControl w:val="0"/>
        <w:jc w:val="center"/>
        <w:rPr>
          <w:rFonts w:asciiTheme="minorHAnsi" w:hAnsiTheme="minorHAnsi" w:cstheme="minorHAnsi"/>
          <w:bCs/>
          <w:sz w:val="28"/>
          <w:szCs w:val="28"/>
        </w:rPr>
      </w:pPr>
    </w:p>
    <w:p w14:paraId="3F7717A0" w14:textId="77777777" w:rsidR="0000149B" w:rsidRPr="00881022" w:rsidRDefault="0000149B" w:rsidP="00A451D1">
      <w:pPr>
        <w:widowControl w:val="0"/>
        <w:jc w:val="center"/>
        <w:rPr>
          <w:rFonts w:asciiTheme="minorHAnsi" w:hAnsiTheme="minorHAnsi" w:cstheme="minorHAnsi"/>
          <w:bCs/>
          <w:sz w:val="28"/>
          <w:szCs w:val="28"/>
        </w:rPr>
      </w:pPr>
    </w:p>
    <w:p w14:paraId="6D68E7B9" w14:textId="73D8D75C" w:rsidR="00024100" w:rsidRDefault="0000149B" w:rsidP="00A451D1">
      <w:pPr>
        <w:widowControl w:val="0"/>
        <w:jc w:val="center"/>
        <w:rPr>
          <w:rFonts w:asciiTheme="minorHAnsi" w:hAnsiTheme="minorHAnsi" w:cstheme="minorHAnsi"/>
          <w:b/>
          <w:bCs/>
          <w:sz w:val="28"/>
          <w:szCs w:val="28"/>
        </w:rPr>
      </w:pPr>
      <w:r>
        <w:rPr>
          <w:rFonts w:asciiTheme="minorHAnsi" w:hAnsiTheme="minorHAnsi"/>
          <w:b/>
          <w:sz w:val="28"/>
        </w:rPr>
        <w:t>Rapport du Secrétariat sur les incidences administratives et financières des projets de résolutions</w:t>
      </w:r>
    </w:p>
    <w:p w14:paraId="4EEC0818" w14:textId="77777777" w:rsidR="006058B3" w:rsidRPr="00881022" w:rsidRDefault="006058B3" w:rsidP="00A451D1">
      <w:pPr>
        <w:widowControl w:val="0"/>
        <w:jc w:val="left"/>
        <w:rPr>
          <w:rFonts w:asciiTheme="minorHAnsi" w:hAnsiTheme="minorHAnsi" w:cstheme="minorHAnsi"/>
          <w:sz w:val="22"/>
          <w:szCs w:val="22"/>
        </w:rPr>
      </w:pPr>
    </w:p>
    <w:p w14:paraId="75451CD6" w14:textId="77777777" w:rsidR="0000149B" w:rsidRPr="00881022" w:rsidRDefault="0000149B" w:rsidP="00A451D1">
      <w:pPr>
        <w:widowControl w:val="0"/>
        <w:jc w:val="left"/>
        <w:rPr>
          <w:rFonts w:asciiTheme="minorHAnsi" w:hAnsiTheme="minorHAnsi" w:cstheme="minorHAnsi"/>
          <w:sz w:val="22"/>
          <w:szCs w:val="22"/>
        </w:rPr>
      </w:pPr>
    </w:p>
    <w:p w14:paraId="4FFF5DA1" w14:textId="77777777" w:rsidR="00773024" w:rsidRPr="00024100" w:rsidRDefault="00773024" w:rsidP="00A451D1">
      <w:pPr>
        <w:widowControl w:val="0"/>
        <w:ind w:left="425" w:hanging="425"/>
        <w:jc w:val="left"/>
        <w:rPr>
          <w:rFonts w:asciiTheme="minorHAnsi" w:hAnsiTheme="minorHAnsi" w:cstheme="minorHAnsi"/>
          <w:b/>
          <w:bCs/>
          <w:sz w:val="22"/>
          <w:szCs w:val="22"/>
        </w:rPr>
      </w:pPr>
      <w:r>
        <w:rPr>
          <w:rFonts w:asciiTheme="minorHAnsi" w:hAnsiTheme="minorHAnsi"/>
          <w:b/>
          <w:sz w:val="22"/>
        </w:rPr>
        <w:t>Contexte</w:t>
      </w:r>
    </w:p>
    <w:p w14:paraId="12B7CC52" w14:textId="77777777" w:rsidR="00C32315" w:rsidRPr="00772E80" w:rsidRDefault="00C32315" w:rsidP="00A451D1">
      <w:pPr>
        <w:widowControl w:val="0"/>
        <w:ind w:left="0" w:firstLine="0"/>
        <w:jc w:val="left"/>
        <w:rPr>
          <w:rFonts w:asciiTheme="minorHAnsi" w:hAnsiTheme="minorHAnsi" w:cstheme="minorHAnsi"/>
          <w:sz w:val="22"/>
          <w:szCs w:val="22"/>
        </w:rPr>
      </w:pPr>
    </w:p>
    <w:p w14:paraId="30262FAB" w14:textId="55AF82C7" w:rsidR="00027DBC" w:rsidRPr="00772E80" w:rsidRDefault="003501A9" w:rsidP="00A451D1">
      <w:pPr>
        <w:widowControl w:val="0"/>
        <w:ind w:left="425" w:hanging="425"/>
        <w:jc w:val="left"/>
        <w:rPr>
          <w:rFonts w:asciiTheme="minorHAnsi" w:hAnsiTheme="minorHAnsi" w:cstheme="minorHAnsi"/>
          <w:bCs/>
          <w:sz w:val="22"/>
          <w:szCs w:val="22"/>
        </w:rPr>
      </w:pPr>
      <w:r>
        <w:rPr>
          <w:rFonts w:asciiTheme="minorHAnsi" w:hAnsiTheme="minorHAnsi"/>
          <w:sz w:val="22"/>
        </w:rPr>
        <w:t>1.</w:t>
      </w:r>
      <w:r>
        <w:rPr>
          <w:rFonts w:asciiTheme="minorHAnsi" w:hAnsiTheme="minorHAnsi"/>
          <w:sz w:val="22"/>
        </w:rPr>
        <w:tab/>
        <w:t>L</w:t>
      </w:r>
      <w:r w:rsidR="00FC47B5">
        <w:rPr>
          <w:rFonts w:asciiTheme="minorHAnsi" w:hAnsiTheme="minorHAnsi"/>
          <w:sz w:val="22"/>
        </w:rPr>
        <w:t>’</w:t>
      </w:r>
      <w:r>
        <w:rPr>
          <w:rFonts w:asciiTheme="minorHAnsi" w:hAnsiTheme="minorHAnsi"/>
          <w:sz w:val="22"/>
        </w:rPr>
        <w:t>article 14 du Règlement intérieur de la Convention sur les zones humides stipule que « le Secrétariat fait rapport, dans un délai de 24 heures après l</w:t>
      </w:r>
      <w:r w:rsidR="00FC47B5">
        <w:rPr>
          <w:rFonts w:asciiTheme="minorHAnsi" w:hAnsiTheme="minorHAnsi"/>
          <w:sz w:val="22"/>
        </w:rPr>
        <w:t>’</w:t>
      </w:r>
      <w:r>
        <w:rPr>
          <w:rFonts w:asciiTheme="minorHAnsi" w:hAnsiTheme="minorHAnsi"/>
          <w:sz w:val="22"/>
        </w:rPr>
        <w:t>ouverture de la session de la Conférence des Parties (COP) sur les incidences administratives et financières prévues de toutes les questions de fond inscrites à l</w:t>
      </w:r>
      <w:r w:rsidR="00FC47B5">
        <w:rPr>
          <w:rFonts w:asciiTheme="minorHAnsi" w:hAnsiTheme="minorHAnsi"/>
          <w:sz w:val="22"/>
        </w:rPr>
        <w:t>’</w:t>
      </w:r>
      <w:r>
        <w:rPr>
          <w:rFonts w:asciiTheme="minorHAnsi" w:hAnsiTheme="minorHAnsi"/>
          <w:sz w:val="22"/>
        </w:rPr>
        <w:t>ordre du jour de la session avant que ces questions ne soient examinées par la Conférence des Parties ».</w:t>
      </w:r>
    </w:p>
    <w:p w14:paraId="43FF90B5" w14:textId="77777777" w:rsidR="00027DBC" w:rsidRPr="00772E80" w:rsidRDefault="00027DBC" w:rsidP="00A451D1">
      <w:pPr>
        <w:widowControl w:val="0"/>
        <w:ind w:left="425" w:hanging="425"/>
        <w:jc w:val="left"/>
        <w:rPr>
          <w:rFonts w:asciiTheme="minorHAnsi" w:hAnsiTheme="minorHAnsi" w:cstheme="minorHAnsi"/>
          <w:bCs/>
          <w:sz w:val="22"/>
          <w:szCs w:val="22"/>
        </w:rPr>
      </w:pPr>
    </w:p>
    <w:p w14:paraId="3E5F4493" w14:textId="2AC90953" w:rsidR="00C41747" w:rsidRPr="00772E80" w:rsidRDefault="00027DBC" w:rsidP="00A451D1">
      <w:pPr>
        <w:widowControl w:val="0"/>
        <w:ind w:left="425" w:hanging="425"/>
        <w:jc w:val="left"/>
        <w:rPr>
          <w:rFonts w:asciiTheme="minorHAnsi" w:hAnsiTheme="minorHAnsi" w:cstheme="minorHAnsi"/>
          <w:sz w:val="22"/>
          <w:szCs w:val="22"/>
        </w:rPr>
      </w:pPr>
      <w:r>
        <w:rPr>
          <w:rFonts w:asciiTheme="minorHAnsi" w:hAnsiTheme="minorHAnsi"/>
          <w:sz w:val="22"/>
        </w:rPr>
        <w:t>2.</w:t>
      </w:r>
      <w:r>
        <w:rPr>
          <w:rFonts w:asciiTheme="minorHAnsi" w:hAnsiTheme="minorHAnsi"/>
          <w:sz w:val="22"/>
        </w:rPr>
        <w:tab/>
        <w:t>Le Secrétariat a préparé le tableau 1 ci-dessus</w:t>
      </w:r>
      <w:r w:rsidR="00404973">
        <w:rPr>
          <w:rFonts w:asciiTheme="minorHAnsi" w:hAnsiTheme="minorHAnsi"/>
          <w:sz w:val="22"/>
        </w:rPr>
        <w:t>,</w:t>
      </w:r>
      <w:r>
        <w:rPr>
          <w:rFonts w:asciiTheme="minorHAnsi" w:hAnsiTheme="minorHAnsi"/>
          <w:sz w:val="22"/>
        </w:rPr>
        <w:t xml:space="preserve"> qui recense les premières incidences administratives et financières prévues des projets de résolutions soumis à la 15</w:t>
      </w:r>
      <w:r>
        <w:rPr>
          <w:rFonts w:asciiTheme="minorHAnsi" w:hAnsiTheme="minorHAnsi"/>
          <w:sz w:val="22"/>
          <w:vertAlign w:val="superscript"/>
        </w:rPr>
        <w:t>e</w:t>
      </w:r>
      <w:r>
        <w:rPr>
          <w:rFonts w:asciiTheme="minorHAnsi" w:hAnsiTheme="minorHAnsi"/>
          <w:sz w:val="22"/>
        </w:rPr>
        <w:t> session de la Conférence des Parties contractantes (COP15).</w:t>
      </w:r>
    </w:p>
    <w:p w14:paraId="7F025D77" w14:textId="77777777" w:rsidR="002B429F" w:rsidRPr="00772E80" w:rsidRDefault="002B429F" w:rsidP="00A451D1">
      <w:pPr>
        <w:widowControl w:val="0"/>
        <w:ind w:left="425" w:hanging="425"/>
        <w:jc w:val="left"/>
        <w:rPr>
          <w:rFonts w:asciiTheme="minorHAnsi" w:hAnsiTheme="minorHAnsi" w:cstheme="minorHAnsi"/>
          <w:sz w:val="22"/>
          <w:szCs w:val="22"/>
        </w:rPr>
      </w:pPr>
    </w:p>
    <w:p w14:paraId="7908F4F2" w14:textId="7E525271" w:rsidR="002B429F" w:rsidRPr="00772E80" w:rsidRDefault="002B429F" w:rsidP="00A451D1">
      <w:pPr>
        <w:widowControl w:val="0"/>
        <w:ind w:left="425" w:hanging="425"/>
        <w:jc w:val="left"/>
        <w:rPr>
          <w:rFonts w:asciiTheme="minorHAnsi" w:hAnsiTheme="minorHAnsi" w:cstheme="minorHAnsi"/>
          <w:bCs/>
          <w:sz w:val="22"/>
          <w:szCs w:val="22"/>
        </w:rPr>
      </w:pPr>
      <w:r>
        <w:rPr>
          <w:rFonts w:asciiTheme="minorHAnsi" w:hAnsiTheme="minorHAnsi"/>
          <w:sz w:val="22"/>
        </w:rPr>
        <w:t>3.</w:t>
      </w:r>
      <w:r>
        <w:rPr>
          <w:rFonts w:asciiTheme="minorHAnsi" w:hAnsiTheme="minorHAnsi"/>
          <w:sz w:val="22"/>
        </w:rPr>
        <w:tab/>
        <w:t>Rassemblés par le Secrétariat dans le tableau 1, les mesures proposées et les coûts y afférents sont tirés des projets de résolutions soumis par les Parties contractantes, les groupes de travail, et les organes subsidiaires ou préparés par le Secrétariat. Les coûts indiqués correspondent aux montants pour la période triennale 2026-2028. S</w:t>
      </w:r>
      <w:r w:rsidR="00FC47B5">
        <w:rPr>
          <w:rFonts w:asciiTheme="minorHAnsi" w:hAnsiTheme="minorHAnsi"/>
          <w:sz w:val="22"/>
        </w:rPr>
        <w:t>’</w:t>
      </w:r>
      <w:r>
        <w:rPr>
          <w:rFonts w:asciiTheme="minorHAnsi" w:hAnsiTheme="minorHAnsi"/>
          <w:sz w:val="22"/>
        </w:rPr>
        <w:t>agissant des jours de travail, les informations figurant dans le tableau se rapportent aux jours de travail supplémentaires nécessaires pour mener à bien les activités et les tâches proposées ; les jours de travail requis pour s</w:t>
      </w:r>
      <w:r w:rsidR="00FC47B5">
        <w:rPr>
          <w:rFonts w:asciiTheme="minorHAnsi" w:hAnsiTheme="minorHAnsi"/>
          <w:sz w:val="22"/>
        </w:rPr>
        <w:t>’</w:t>
      </w:r>
      <w:r>
        <w:rPr>
          <w:rFonts w:asciiTheme="minorHAnsi" w:hAnsiTheme="minorHAnsi"/>
          <w:sz w:val="22"/>
        </w:rPr>
        <w:t>acquitter des activités et tâches qui relèvent d</w:t>
      </w:r>
      <w:r w:rsidR="00FC47B5">
        <w:rPr>
          <w:rFonts w:asciiTheme="minorHAnsi" w:hAnsiTheme="minorHAnsi"/>
          <w:sz w:val="22"/>
        </w:rPr>
        <w:t>’</w:t>
      </w:r>
      <w:r>
        <w:rPr>
          <w:rFonts w:asciiTheme="minorHAnsi" w:hAnsiTheme="minorHAnsi"/>
          <w:sz w:val="22"/>
        </w:rPr>
        <w:t>ores et déjà des principaux domaines d</w:t>
      </w:r>
      <w:r w:rsidR="00FC47B5">
        <w:rPr>
          <w:rFonts w:asciiTheme="minorHAnsi" w:hAnsiTheme="minorHAnsi"/>
          <w:sz w:val="22"/>
        </w:rPr>
        <w:t>’</w:t>
      </w:r>
      <w:r>
        <w:rPr>
          <w:rFonts w:asciiTheme="minorHAnsi" w:hAnsiTheme="minorHAnsi"/>
          <w:sz w:val="22"/>
        </w:rPr>
        <w:t>activité du Secrétariat et qui sont d</w:t>
      </w:r>
      <w:r w:rsidR="00FC47B5">
        <w:rPr>
          <w:rFonts w:asciiTheme="minorHAnsi" w:hAnsiTheme="minorHAnsi"/>
          <w:sz w:val="22"/>
        </w:rPr>
        <w:t>’</w:t>
      </w:r>
      <w:r>
        <w:rPr>
          <w:rFonts w:asciiTheme="minorHAnsi" w:hAnsiTheme="minorHAnsi"/>
          <w:sz w:val="22"/>
        </w:rPr>
        <w:t>ores et déjà inscrits dans son plan de travail ne figurent pas dans le tableau.</w:t>
      </w:r>
    </w:p>
    <w:p w14:paraId="02350DE4" w14:textId="0EE6F92A" w:rsidR="002B429F" w:rsidRPr="00772E80" w:rsidRDefault="002B429F" w:rsidP="00A451D1">
      <w:pPr>
        <w:widowControl w:val="0"/>
        <w:ind w:left="425" w:hanging="425"/>
        <w:jc w:val="left"/>
        <w:rPr>
          <w:rFonts w:asciiTheme="minorHAnsi" w:hAnsiTheme="minorHAnsi" w:cstheme="minorHAnsi"/>
          <w:bCs/>
          <w:sz w:val="22"/>
          <w:szCs w:val="22"/>
        </w:rPr>
      </w:pPr>
    </w:p>
    <w:p w14:paraId="6E503F40" w14:textId="77777777" w:rsidR="002B6DE6" w:rsidRDefault="002B429F" w:rsidP="00A451D1">
      <w:pPr>
        <w:widowControl w:val="0"/>
        <w:spacing w:after="160" w:line="259" w:lineRule="auto"/>
        <w:ind w:left="0" w:firstLine="0"/>
        <w:jc w:val="left"/>
        <w:rPr>
          <w:rFonts w:asciiTheme="minorHAnsi" w:hAnsiTheme="minorHAnsi" w:cstheme="minorHAnsi"/>
          <w:i/>
          <w:sz w:val="22"/>
          <w:szCs w:val="22"/>
        </w:rPr>
        <w:sectPr w:rsidR="002B6DE6" w:rsidSect="003D6800">
          <w:footerReference w:type="default" r:id="rId12"/>
          <w:pgSz w:w="11906" w:h="16838"/>
          <w:pgMar w:top="1440" w:right="1440" w:bottom="1440" w:left="1440" w:header="708" w:footer="708" w:gutter="0"/>
          <w:cols w:space="708"/>
          <w:titlePg/>
          <w:docGrid w:linePitch="360"/>
        </w:sectPr>
      </w:pPr>
      <w:r>
        <w:br w:type="page"/>
      </w:r>
    </w:p>
    <w:p w14:paraId="4DF17515" w14:textId="3DC2A7C3" w:rsidR="002B429F" w:rsidRPr="00772E80" w:rsidRDefault="002B429F" w:rsidP="002B6DE6">
      <w:pPr>
        <w:widowControl w:val="0"/>
        <w:jc w:val="left"/>
        <w:rPr>
          <w:rFonts w:asciiTheme="minorHAnsi" w:hAnsiTheme="minorHAnsi" w:cstheme="minorHAnsi"/>
          <w:bCs/>
          <w:sz w:val="22"/>
          <w:szCs w:val="22"/>
        </w:rPr>
      </w:pPr>
      <w:r>
        <w:rPr>
          <w:rFonts w:asciiTheme="minorHAnsi" w:hAnsiTheme="minorHAnsi"/>
          <w:i/>
          <w:sz w:val="22"/>
        </w:rPr>
        <w:lastRenderedPageBreak/>
        <w:t>Tableau 1 : Incidences administratives et financières prévues des projets de résolutions pour la période triennale 2026-2028</w:t>
      </w:r>
    </w:p>
    <w:tbl>
      <w:tblPr>
        <w:tblW w:w="141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699"/>
        <w:gridCol w:w="4533"/>
        <w:gridCol w:w="4825"/>
        <w:gridCol w:w="1413"/>
        <w:gridCol w:w="1706"/>
      </w:tblGrid>
      <w:tr w:rsidR="00772E80" w:rsidRPr="00024100" w14:paraId="713C34C8" w14:textId="77777777" w:rsidTr="00270374">
        <w:trPr>
          <w:cantSplit/>
          <w:tblHeader/>
        </w:trPr>
        <w:tc>
          <w:tcPr>
            <w:tcW w:w="1699" w:type="dxa"/>
            <w:shd w:val="clear" w:color="auto" w:fill="D9D9D9" w:themeFill="background1" w:themeFillShade="D9"/>
            <w:noWrap/>
            <w:vAlign w:val="center"/>
          </w:tcPr>
          <w:p w14:paraId="4EFDD6A2" w14:textId="77777777" w:rsidR="00A451D1" w:rsidRPr="00024100" w:rsidRDefault="00A451D1" w:rsidP="00A46A05">
            <w:pPr>
              <w:widowControl w:val="0"/>
              <w:ind w:left="0" w:firstLine="0"/>
              <w:jc w:val="center"/>
              <w:rPr>
                <w:rFonts w:asciiTheme="minorHAnsi" w:hAnsiTheme="minorHAnsi" w:cstheme="minorHAnsi"/>
                <w:b/>
                <w:bCs/>
                <w:color w:val="000000"/>
                <w:sz w:val="22"/>
                <w:szCs w:val="22"/>
              </w:rPr>
            </w:pPr>
            <w:r>
              <w:rPr>
                <w:rFonts w:asciiTheme="minorHAnsi" w:hAnsiTheme="minorHAnsi"/>
                <w:b/>
                <w:color w:val="000000"/>
                <w:sz w:val="22"/>
              </w:rPr>
              <w:t>Document</w:t>
            </w:r>
          </w:p>
        </w:tc>
        <w:tc>
          <w:tcPr>
            <w:tcW w:w="4533" w:type="dxa"/>
            <w:shd w:val="clear" w:color="auto" w:fill="D9D9D9" w:themeFill="background1" w:themeFillShade="D9"/>
            <w:noWrap/>
            <w:vAlign w:val="center"/>
          </w:tcPr>
          <w:p w14:paraId="7B1FF384" w14:textId="6D57197A" w:rsidR="00A451D1" w:rsidRPr="00024100" w:rsidRDefault="00A451D1" w:rsidP="00A46A05">
            <w:pPr>
              <w:widowControl w:val="0"/>
              <w:ind w:left="0" w:firstLine="0"/>
              <w:jc w:val="center"/>
              <w:rPr>
                <w:rFonts w:asciiTheme="minorHAnsi" w:hAnsiTheme="minorHAnsi" w:cstheme="minorHAnsi"/>
                <w:b/>
                <w:bCs/>
                <w:color w:val="000000"/>
                <w:sz w:val="22"/>
                <w:szCs w:val="22"/>
              </w:rPr>
            </w:pPr>
            <w:r>
              <w:rPr>
                <w:rFonts w:asciiTheme="minorHAnsi" w:hAnsiTheme="minorHAnsi"/>
                <w:b/>
                <w:color w:val="000000"/>
                <w:sz w:val="22"/>
              </w:rPr>
              <w:t>Projet de résolution</w:t>
            </w:r>
          </w:p>
        </w:tc>
        <w:tc>
          <w:tcPr>
            <w:tcW w:w="4825" w:type="dxa"/>
            <w:shd w:val="clear" w:color="auto" w:fill="D9D9D9" w:themeFill="background1" w:themeFillShade="D9"/>
            <w:vAlign w:val="center"/>
          </w:tcPr>
          <w:p w14:paraId="13CE1A06" w14:textId="41794193" w:rsidR="00A451D1" w:rsidRPr="00024100" w:rsidRDefault="00A451D1" w:rsidP="00A46A05">
            <w:pPr>
              <w:widowControl w:val="0"/>
              <w:ind w:left="0" w:firstLine="0"/>
              <w:jc w:val="center"/>
              <w:rPr>
                <w:rFonts w:asciiTheme="minorHAnsi" w:hAnsiTheme="minorHAnsi" w:cstheme="minorHAnsi"/>
                <w:b/>
                <w:bCs/>
                <w:color w:val="000000"/>
                <w:sz w:val="22"/>
                <w:szCs w:val="22"/>
              </w:rPr>
            </w:pPr>
            <w:r>
              <w:rPr>
                <w:rFonts w:asciiTheme="minorHAnsi" w:hAnsiTheme="minorHAnsi"/>
                <w:b/>
                <w:color w:val="000000"/>
                <w:sz w:val="22"/>
              </w:rPr>
              <w:t xml:space="preserve">Activités/tâches requises </w:t>
            </w:r>
          </w:p>
        </w:tc>
        <w:tc>
          <w:tcPr>
            <w:tcW w:w="1413" w:type="dxa"/>
            <w:shd w:val="clear" w:color="auto" w:fill="D9D9D9" w:themeFill="background1" w:themeFillShade="D9"/>
            <w:vAlign w:val="center"/>
          </w:tcPr>
          <w:p w14:paraId="64C91073" w14:textId="627A1D1B" w:rsidR="00A451D1" w:rsidRPr="00024100" w:rsidRDefault="00A451D1" w:rsidP="00A46A05">
            <w:pPr>
              <w:widowControl w:val="0"/>
              <w:ind w:left="0" w:firstLine="0"/>
              <w:jc w:val="center"/>
              <w:rPr>
                <w:rFonts w:asciiTheme="minorHAnsi" w:hAnsiTheme="minorHAnsi" w:cstheme="minorHAnsi"/>
                <w:b/>
                <w:bCs/>
                <w:color w:val="000000"/>
                <w:sz w:val="22"/>
                <w:szCs w:val="22"/>
              </w:rPr>
            </w:pPr>
            <w:r>
              <w:rPr>
                <w:rFonts w:asciiTheme="minorHAnsi" w:hAnsiTheme="minorHAnsi"/>
                <w:b/>
                <w:color w:val="000000"/>
                <w:sz w:val="22"/>
              </w:rPr>
              <w:t>Jours de travail supplémentaires</w:t>
            </w:r>
          </w:p>
        </w:tc>
        <w:tc>
          <w:tcPr>
            <w:tcW w:w="1706" w:type="dxa"/>
            <w:shd w:val="clear" w:color="auto" w:fill="D9D9D9" w:themeFill="background1" w:themeFillShade="D9"/>
            <w:vAlign w:val="center"/>
          </w:tcPr>
          <w:p w14:paraId="1088F56E" w14:textId="53E43191" w:rsidR="00A451D1" w:rsidRPr="00024100" w:rsidRDefault="00A451D1" w:rsidP="00A46A05">
            <w:pPr>
              <w:widowControl w:val="0"/>
              <w:ind w:left="0" w:firstLine="0"/>
              <w:jc w:val="center"/>
              <w:rPr>
                <w:rFonts w:asciiTheme="minorHAnsi" w:hAnsiTheme="minorHAnsi" w:cstheme="minorHAnsi"/>
                <w:b/>
                <w:bCs/>
                <w:color w:val="000000"/>
                <w:sz w:val="22"/>
                <w:szCs w:val="22"/>
              </w:rPr>
            </w:pPr>
            <w:r>
              <w:rPr>
                <w:rFonts w:asciiTheme="minorHAnsi" w:hAnsiTheme="minorHAnsi"/>
                <w:b/>
                <w:color w:val="000000"/>
                <w:sz w:val="22"/>
              </w:rPr>
              <w:t>Coût (en CHF) (hors jours de travail)</w:t>
            </w:r>
          </w:p>
        </w:tc>
      </w:tr>
      <w:tr w:rsidR="00D22D6F" w:rsidRPr="00024100" w14:paraId="4B81FFCB" w14:textId="77777777" w:rsidTr="00A1095B">
        <w:trPr>
          <w:cantSplit/>
        </w:trPr>
        <w:tc>
          <w:tcPr>
            <w:tcW w:w="14176" w:type="dxa"/>
            <w:gridSpan w:val="5"/>
            <w:shd w:val="clear" w:color="auto" w:fill="auto"/>
            <w:noWrap/>
            <w:vAlign w:val="center"/>
          </w:tcPr>
          <w:p w14:paraId="28F7F515" w14:textId="7090E143" w:rsidR="00D22D6F" w:rsidRPr="00024100" w:rsidDel="00886642" w:rsidRDefault="00D22D6F" w:rsidP="00165BEA">
            <w:pPr>
              <w:widowControl w:val="0"/>
              <w:spacing w:before="60" w:after="60"/>
              <w:ind w:left="0" w:firstLine="0"/>
              <w:jc w:val="left"/>
              <w:rPr>
                <w:rFonts w:asciiTheme="minorHAnsi" w:hAnsiTheme="minorHAnsi" w:cstheme="minorHAnsi"/>
                <w:bCs/>
                <w:color w:val="000000"/>
                <w:sz w:val="22"/>
                <w:szCs w:val="22"/>
              </w:rPr>
            </w:pPr>
            <w:r>
              <w:rPr>
                <w:rFonts w:asciiTheme="minorHAnsi" w:hAnsiTheme="minorHAnsi"/>
                <w:b/>
                <w:color w:val="000000"/>
                <w:sz w:val="22"/>
              </w:rPr>
              <w:t>Projets de résolutions préparés par le Secrétariat</w:t>
            </w:r>
          </w:p>
        </w:tc>
      </w:tr>
      <w:tr w:rsidR="00AA3B37" w:rsidRPr="00024100" w14:paraId="3683D293" w14:textId="77777777" w:rsidTr="00270374">
        <w:trPr>
          <w:cantSplit/>
        </w:trPr>
        <w:tc>
          <w:tcPr>
            <w:tcW w:w="1699" w:type="dxa"/>
            <w:shd w:val="clear" w:color="auto" w:fill="auto"/>
            <w:noWrap/>
          </w:tcPr>
          <w:p w14:paraId="553EEE6E" w14:textId="4E8ADBBF" w:rsidR="00AA3B37" w:rsidRPr="00024100" w:rsidRDefault="00A1095B" w:rsidP="00AA3B37">
            <w:pPr>
              <w:widowControl w:val="0"/>
              <w:ind w:left="0" w:firstLine="0"/>
              <w:jc w:val="left"/>
              <w:rPr>
                <w:rFonts w:asciiTheme="minorHAnsi" w:hAnsiTheme="minorHAnsi" w:cstheme="minorHAnsi"/>
                <w:bCs/>
                <w:color w:val="000000"/>
                <w:sz w:val="22"/>
                <w:szCs w:val="22"/>
              </w:rPr>
            </w:pPr>
            <w:r>
              <w:rPr>
                <w:rFonts w:ascii="Calibri" w:hAnsi="Calibri"/>
                <w:sz w:val="22"/>
              </w:rPr>
              <w:t>COP15 Doc.23.1</w:t>
            </w:r>
          </w:p>
        </w:tc>
        <w:tc>
          <w:tcPr>
            <w:tcW w:w="4533" w:type="dxa"/>
            <w:shd w:val="clear" w:color="auto" w:fill="auto"/>
            <w:noWrap/>
            <w:vAlign w:val="center"/>
          </w:tcPr>
          <w:p w14:paraId="6A4DCA13" w14:textId="33E34130" w:rsidR="00AA3B37" w:rsidRPr="00024100" w:rsidRDefault="00644727" w:rsidP="00AA3B37">
            <w:pPr>
              <w:widowControl w:val="0"/>
              <w:ind w:left="0" w:firstLine="0"/>
              <w:jc w:val="left"/>
              <w:rPr>
                <w:rFonts w:asciiTheme="minorHAnsi" w:hAnsiTheme="minorHAnsi" w:cstheme="minorHAnsi"/>
                <w:bCs/>
                <w:color w:val="000000"/>
                <w:sz w:val="22"/>
                <w:szCs w:val="22"/>
              </w:rPr>
            </w:pPr>
            <w:r>
              <w:rPr>
                <w:rFonts w:asciiTheme="minorHAnsi" w:hAnsiTheme="minorHAnsi"/>
                <w:color w:val="000000"/>
                <w:sz w:val="22"/>
              </w:rPr>
              <w:t>Projet de résolution sur les questions financières et budgétaires</w:t>
            </w:r>
          </w:p>
        </w:tc>
        <w:tc>
          <w:tcPr>
            <w:tcW w:w="4825" w:type="dxa"/>
            <w:shd w:val="clear" w:color="auto" w:fill="auto"/>
          </w:tcPr>
          <w:p w14:paraId="454E2C1E" w14:textId="15F43D62" w:rsidR="00AA3B37" w:rsidRPr="00024100" w:rsidRDefault="006B02CA" w:rsidP="00AA3B37">
            <w:pPr>
              <w:widowControl w:val="0"/>
              <w:ind w:left="0" w:firstLine="0"/>
              <w:jc w:val="left"/>
              <w:rPr>
                <w:rFonts w:asciiTheme="minorHAnsi" w:hAnsiTheme="minorHAnsi" w:cstheme="minorHAnsi"/>
                <w:bCs/>
                <w:color w:val="000000"/>
                <w:sz w:val="22"/>
                <w:szCs w:val="22"/>
              </w:rPr>
            </w:pPr>
            <w:r>
              <w:rPr>
                <w:rFonts w:asciiTheme="minorHAnsi" w:hAnsiTheme="minorHAnsi"/>
                <w:color w:val="000000"/>
                <w:sz w:val="22"/>
              </w:rPr>
              <w:t>Voir document SC64 Doc.9.3 pour les scénarios budgétaires envisagés pour la période 2026-2028.</w:t>
            </w:r>
          </w:p>
        </w:tc>
        <w:tc>
          <w:tcPr>
            <w:tcW w:w="1413" w:type="dxa"/>
            <w:shd w:val="clear" w:color="auto" w:fill="auto"/>
          </w:tcPr>
          <w:p w14:paraId="62FF6658" w14:textId="19303B70" w:rsidR="00AA3B37" w:rsidRPr="00024100" w:rsidRDefault="00AA3B37" w:rsidP="00AA3B37">
            <w:pPr>
              <w:widowControl w:val="0"/>
              <w:ind w:left="0" w:firstLine="0"/>
              <w:jc w:val="left"/>
              <w:rPr>
                <w:rFonts w:asciiTheme="minorHAnsi" w:hAnsiTheme="minorHAnsi" w:cstheme="minorBidi"/>
                <w:color w:val="000000"/>
                <w:sz w:val="22"/>
                <w:szCs w:val="22"/>
              </w:rPr>
            </w:pPr>
          </w:p>
        </w:tc>
        <w:tc>
          <w:tcPr>
            <w:tcW w:w="1706" w:type="dxa"/>
            <w:shd w:val="clear" w:color="auto" w:fill="auto"/>
          </w:tcPr>
          <w:p w14:paraId="7B0629F0" w14:textId="535B87B6" w:rsidR="00AA3B37" w:rsidRPr="00024100" w:rsidDel="00886642" w:rsidRDefault="00AA3B37" w:rsidP="00AA3B37">
            <w:pPr>
              <w:widowControl w:val="0"/>
              <w:ind w:left="0" w:firstLine="0"/>
              <w:jc w:val="left"/>
              <w:rPr>
                <w:rFonts w:asciiTheme="minorHAnsi" w:hAnsiTheme="minorHAnsi" w:cstheme="minorHAnsi"/>
                <w:bCs/>
                <w:color w:val="000000"/>
                <w:sz w:val="22"/>
                <w:szCs w:val="22"/>
              </w:rPr>
            </w:pPr>
          </w:p>
        </w:tc>
      </w:tr>
      <w:tr w:rsidR="00AA3B37" w:rsidRPr="00024100" w14:paraId="4AF98413" w14:textId="77777777" w:rsidTr="00270374">
        <w:trPr>
          <w:cantSplit/>
        </w:trPr>
        <w:tc>
          <w:tcPr>
            <w:tcW w:w="1699" w:type="dxa"/>
            <w:shd w:val="clear" w:color="auto" w:fill="auto"/>
            <w:noWrap/>
          </w:tcPr>
          <w:p w14:paraId="7A322AF0" w14:textId="63C12306" w:rsidR="00AA3B37" w:rsidRPr="00024100" w:rsidRDefault="00A1095B" w:rsidP="00AA3B37">
            <w:pPr>
              <w:widowControl w:val="0"/>
              <w:ind w:left="0" w:firstLine="0"/>
              <w:jc w:val="left"/>
              <w:rPr>
                <w:rFonts w:asciiTheme="minorHAnsi" w:hAnsiTheme="minorHAnsi" w:cstheme="minorHAnsi"/>
                <w:bCs/>
                <w:color w:val="000000"/>
                <w:sz w:val="22"/>
                <w:szCs w:val="22"/>
              </w:rPr>
            </w:pPr>
            <w:r>
              <w:rPr>
                <w:rFonts w:ascii="Calibri" w:hAnsi="Calibri"/>
                <w:sz w:val="22"/>
              </w:rPr>
              <w:t>COP15 Doc.23.2</w:t>
            </w:r>
          </w:p>
        </w:tc>
        <w:tc>
          <w:tcPr>
            <w:tcW w:w="4533" w:type="dxa"/>
            <w:shd w:val="clear" w:color="auto" w:fill="auto"/>
            <w:noWrap/>
            <w:vAlign w:val="center"/>
          </w:tcPr>
          <w:p w14:paraId="71A63BB6" w14:textId="07F812F4" w:rsidR="00AA3B37" w:rsidRPr="00024100" w:rsidRDefault="00644727" w:rsidP="00AA3B37">
            <w:pPr>
              <w:widowControl w:val="0"/>
              <w:ind w:left="0" w:firstLine="0"/>
              <w:jc w:val="left"/>
              <w:rPr>
                <w:rFonts w:asciiTheme="minorHAnsi" w:hAnsiTheme="minorHAnsi" w:cstheme="minorHAnsi"/>
                <w:bCs/>
                <w:color w:val="000000"/>
                <w:sz w:val="22"/>
                <w:szCs w:val="22"/>
              </w:rPr>
            </w:pPr>
            <w:r>
              <w:rPr>
                <w:rFonts w:asciiTheme="minorHAnsi" w:hAnsiTheme="minorHAnsi"/>
                <w:color w:val="000000"/>
                <w:sz w:val="22"/>
              </w:rPr>
              <w:t>Projet de résolution sur les responsabilités, le rôle et la composition du Comité permanent et sur la répartition régionale des pays dans le cadre de la Convention sur les zones humides</w:t>
            </w:r>
          </w:p>
        </w:tc>
        <w:tc>
          <w:tcPr>
            <w:tcW w:w="4825" w:type="dxa"/>
            <w:shd w:val="clear" w:color="auto" w:fill="auto"/>
          </w:tcPr>
          <w:p w14:paraId="114D9F25" w14:textId="3488AA45" w:rsidR="00AA3B37" w:rsidRPr="00024100" w:rsidRDefault="00AA3B37" w:rsidP="00AA3B37">
            <w:pPr>
              <w:widowControl w:val="0"/>
              <w:ind w:left="0" w:firstLine="0"/>
              <w:jc w:val="left"/>
              <w:rPr>
                <w:rFonts w:asciiTheme="minorHAnsi" w:hAnsiTheme="minorHAnsi" w:cstheme="minorHAnsi"/>
                <w:bCs/>
                <w:color w:val="000000"/>
                <w:sz w:val="22"/>
                <w:szCs w:val="22"/>
              </w:rPr>
            </w:pPr>
          </w:p>
        </w:tc>
        <w:tc>
          <w:tcPr>
            <w:tcW w:w="1413" w:type="dxa"/>
            <w:shd w:val="clear" w:color="auto" w:fill="auto"/>
          </w:tcPr>
          <w:p w14:paraId="69DF02D0" w14:textId="3EF17A17" w:rsidR="00AA3B37" w:rsidRPr="00024100" w:rsidRDefault="006B507F" w:rsidP="00AA3B37">
            <w:pPr>
              <w:widowControl w:val="0"/>
              <w:ind w:left="0" w:firstLine="0"/>
              <w:jc w:val="left"/>
              <w:rPr>
                <w:rFonts w:asciiTheme="minorHAnsi" w:hAnsiTheme="minorHAnsi" w:cstheme="minorHAnsi"/>
                <w:bCs/>
                <w:color w:val="000000"/>
                <w:sz w:val="22"/>
                <w:szCs w:val="22"/>
              </w:rPr>
            </w:pPr>
            <w:r>
              <w:rPr>
                <w:rFonts w:asciiTheme="minorHAnsi" w:hAnsiTheme="minorHAnsi"/>
                <w:color w:val="000000"/>
                <w:sz w:val="22"/>
              </w:rPr>
              <w:t>0</w:t>
            </w:r>
          </w:p>
        </w:tc>
        <w:tc>
          <w:tcPr>
            <w:tcW w:w="1706" w:type="dxa"/>
            <w:shd w:val="clear" w:color="auto" w:fill="auto"/>
          </w:tcPr>
          <w:p w14:paraId="2B7BE47E" w14:textId="50E5A04B" w:rsidR="00AA3B37" w:rsidRPr="00024100" w:rsidDel="00886642" w:rsidRDefault="006B507F" w:rsidP="00AA3B37">
            <w:pPr>
              <w:widowControl w:val="0"/>
              <w:ind w:left="0" w:firstLine="0"/>
              <w:jc w:val="left"/>
              <w:rPr>
                <w:rFonts w:asciiTheme="minorHAnsi" w:hAnsiTheme="minorHAnsi" w:cstheme="minorHAnsi"/>
                <w:bCs/>
                <w:color w:val="000000"/>
                <w:sz w:val="22"/>
                <w:szCs w:val="22"/>
              </w:rPr>
            </w:pPr>
            <w:r>
              <w:rPr>
                <w:rFonts w:asciiTheme="minorHAnsi" w:hAnsiTheme="minorHAnsi"/>
                <w:color w:val="000000"/>
                <w:sz w:val="22"/>
              </w:rPr>
              <w:t>0</w:t>
            </w:r>
          </w:p>
        </w:tc>
      </w:tr>
      <w:tr w:rsidR="00AA3B37" w:rsidRPr="00024100" w14:paraId="4FCC6233" w14:textId="77777777" w:rsidTr="00270374">
        <w:trPr>
          <w:cantSplit/>
        </w:trPr>
        <w:tc>
          <w:tcPr>
            <w:tcW w:w="1699" w:type="dxa"/>
            <w:shd w:val="clear" w:color="auto" w:fill="auto"/>
            <w:noWrap/>
          </w:tcPr>
          <w:p w14:paraId="614C9F9F" w14:textId="3EDEFB16" w:rsidR="00AA3B37" w:rsidRPr="00024100" w:rsidRDefault="00A1095B" w:rsidP="00AA3B37">
            <w:pPr>
              <w:widowControl w:val="0"/>
              <w:ind w:left="0" w:firstLine="0"/>
              <w:jc w:val="left"/>
              <w:rPr>
                <w:rFonts w:asciiTheme="minorHAnsi" w:hAnsiTheme="minorHAnsi" w:cstheme="minorHAnsi"/>
                <w:bCs/>
                <w:color w:val="000000"/>
                <w:sz w:val="22"/>
                <w:szCs w:val="22"/>
              </w:rPr>
            </w:pPr>
            <w:r>
              <w:rPr>
                <w:rFonts w:asciiTheme="minorHAnsi" w:hAnsiTheme="minorHAnsi"/>
                <w:color w:val="000000"/>
                <w:sz w:val="22"/>
              </w:rPr>
              <w:t>COP15 Doc.23.4</w:t>
            </w:r>
          </w:p>
        </w:tc>
        <w:tc>
          <w:tcPr>
            <w:tcW w:w="4533" w:type="dxa"/>
            <w:shd w:val="clear" w:color="auto" w:fill="auto"/>
            <w:noWrap/>
          </w:tcPr>
          <w:p w14:paraId="539484FB" w14:textId="554B6CA8" w:rsidR="00AA3B37" w:rsidRPr="00024100" w:rsidRDefault="00644727" w:rsidP="00AA3B37">
            <w:pPr>
              <w:widowControl w:val="0"/>
              <w:ind w:left="0" w:firstLine="0"/>
              <w:jc w:val="left"/>
              <w:rPr>
                <w:rFonts w:asciiTheme="minorHAnsi" w:hAnsiTheme="minorHAnsi" w:cstheme="minorHAnsi"/>
                <w:bCs/>
                <w:color w:val="000000"/>
                <w:sz w:val="22"/>
                <w:szCs w:val="22"/>
              </w:rPr>
            </w:pPr>
            <w:r>
              <w:rPr>
                <w:rFonts w:asciiTheme="minorHAnsi" w:hAnsiTheme="minorHAnsi"/>
                <w:color w:val="000000"/>
                <w:sz w:val="22"/>
              </w:rPr>
              <w:t>Projet de résolution sur le renforcement de la visibilité de la Convention et les synergies avec d</w:t>
            </w:r>
            <w:r w:rsidR="00FC47B5">
              <w:rPr>
                <w:rFonts w:asciiTheme="minorHAnsi" w:hAnsiTheme="minorHAnsi"/>
                <w:color w:val="000000"/>
                <w:sz w:val="22"/>
              </w:rPr>
              <w:t>’</w:t>
            </w:r>
            <w:r>
              <w:rPr>
                <w:rFonts w:asciiTheme="minorHAnsi" w:hAnsiTheme="minorHAnsi"/>
                <w:color w:val="000000"/>
                <w:sz w:val="22"/>
              </w:rPr>
              <w:t>autres accords multilatéraux sur l</w:t>
            </w:r>
            <w:r w:rsidR="00FC47B5">
              <w:rPr>
                <w:rFonts w:asciiTheme="minorHAnsi" w:hAnsiTheme="minorHAnsi"/>
                <w:color w:val="000000"/>
                <w:sz w:val="22"/>
              </w:rPr>
              <w:t>’</w:t>
            </w:r>
            <w:r>
              <w:rPr>
                <w:rFonts w:asciiTheme="minorHAnsi" w:hAnsiTheme="minorHAnsi"/>
                <w:color w:val="000000"/>
                <w:sz w:val="22"/>
              </w:rPr>
              <w:t>environnement et institutions internationales</w:t>
            </w:r>
          </w:p>
        </w:tc>
        <w:tc>
          <w:tcPr>
            <w:tcW w:w="4825" w:type="dxa"/>
            <w:shd w:val="clear" w:color="auto" w:fill="auto"/>
          </w:tcPr>
          <w:p w14:paraId="3C392A0C" w14:textId="27542ED9" w:rsidR="00AA3B37" w:rsidRPr="00024100" w:rsidRDefault="00AA3B37" w:rsidP="00AA3B37">
            <w:pPr>
              <w:widowControl w:val="0"/>
              <w:ind w:left="0" w:firstLine="0"/>
              <w:jc w:val="left"/>
              <w:rPr>
                <w:rFonts w:asciiTheme="minorHAnsi" w:hAnsiTheme="minorHAnsi" w:cstheme="minorHAnsi"/>
                <w:bCs/>
                <w:color w:val="000000"/>
                <w:sz w:val="22"/>
                <w:szCs w:val="22"/>
              </w:rPr>
            </w:pPr>
          </w:p>
        </w:tc>
        <w:tc>
          <w:tcPr>
            <w:tcW w:w="1413" w:type="dxa"/>
            <w:shd w:val="clear" w:color="auto" w:fill="auto"/>
          </w:tcPr>
          <w:p w14:paraId="780EF5C2" w14:textId="14433238" w:rsidR="00AA3B37" w:rsidRPr="00024100" w:rsidRDefault="003F2340" w:rsidP="00AA3B37">
            <w:pPr>
              <w:widowControl w:val="0"/>
              <w:ind w:left="0" w:firstLine="0"/>
              <w:jc w:val="left"/>
              <w:rPr>
                <w:rFonts w:asciiTheme="minorHAnsi" w:hAnsiTheme="minorHAnsi" w:cstheme="minorHAnsi"/>
                <w:bCs/>
                <w:color w:val="000000"/>
                <w:sz w:val="22"/>
                <w:szCs w:val="22"/>
              </w:rPr>
            </w:pPr>
            <w:r>
              <w:rPr>
                <w:rFonts w:asciiTheme="minorHAnsi" w:hAnsiTheme="minorHAnsi"/>
                <w:color w:val="000000"/>
                <w:sz w:val="22"/>
              </w:rPr>
              <w:t>0</w:t>
            </w:r>
          </w:p>
        </w:tc>
        <w:tc>
          <w:tcPr>
            <w:tcW w:w="1706" w:type="dxa"/>
            <w:shd w:val="clear" w:color="auto" w:fill="auto"/>
          </w:tcPr>
          <w:p w14:paraId="70F706CA" w14:textId="70EA4111" w:rsidR="00AA3B37" w:rsidRPr="00024100" w:rsidDel="00886642" w:rsidRDefault="003F2340" w:rsidP="00AA3B37">
            <w:pPr>
              <w:widowControl w:val="0"/>
              <w:ind w:left="0" w:firstLine="0"/>
              <w:jc w:val="left"/>
              <w:rPr>
                <w:rFonts w:asciiTheme="minorHAnsi" w:hAnsiTheme="minorHAnsi" w:cstheme="minorHAnsi"/>
                <w:bCs/>
                <w:color w:val="000000"/>
                <w:sz w:val="22"/>
                <w:szCs w:val="22"/>
              </w:rPr>
            </w:pPr>
            <w:r>
              <w:rPr>
                <w:rFonts w:asciiTheme="minorHAnsi" w:hAnsiTheme="minorHAnsi"/>
                <w:color w:val="000000"/>
                <w:sz w:val="22"/>
              </w:rPr>
              <w:t>0</w:t>
            </w:r>
          </w:p>
        </w:tc>
      </w:tr>
      <w:tr w:rsidR="00AA3B37" w:rsidRPr="00024100" w14:paraId="7645911D" w14:textId="77777777" w:rsidTr="00270374">
        <w:trPr>
          <w:cantSplit/>
        </w:trPr>
        <w:tc>
          <w:tcPr>
            <w:tcW w:w="1699" w:type="dxa"/>
            <w:shd w:val="clear" w:color="auto" w:fill="auto"/>
            <w:noWrap/>
          </w:tcPr>
          <w:p w14:paraId="78376F9F" w14:textId="63A902B9" w:rsidR="00AA3B37" w:rsidRPr="00024100" w:rsidRDefault="00A1095B" w:rsidP="00AA3B37">
            <w:pPr>
              <w:widowControl w:val="0"/>
              <w:ind w:left="0" w:firstLine="0"/>
              <w:jc w:val="left"/>
              <w:rPr>
                <w:rFonts w:asciiTheme="minorHAnsi" w:hAnsiTheme="minorHAnsi" w:cstheme="minorHAnsi"/>
                <w:bCs/>
                <w:color w:val="000000"/>
                <w:sz w:val="22"/>
                <w:szCs w:val="22"/>
              </w:rPr>
            </w:pPr>
            <w:r>
              <w:rPr>
                <w:rFonts w:asciiTheme="minorHAnsi" w:hAnsiTheme="minorHAnsi"/>
                <w:color w:val="000000"/>
                <w:sz w:val="22"/>
              </w:rPr>
              <w:t>COP15 Doc.23.5</w:t>
            </w:r>
          </w:p>
        </w:tc>
        <w:tc>
          <w:tcPr>
            <w:tcW w:w="4533" w:type="dxa"/>
            <w:shd w:val="clear" w:color="auto" w:fill="auto"/>
            <w:noWrap/>
            <w:vAlign w:val="center"/>
          </w:tcPr>
          <w:p w14:paraId="01C20DA4" w14:textId="4514702B" w:rsidR="00AA3B37" w:rsidRPr="00024100" w:rsidRDefault="00644727" w:rsidP="00C76D46">
            <w:pPr>
              <w:ind w:left="0" w:firstLine="0"/>
              <w:jc w:val="left"/>
              <w:rPr>
                <w:rFonts w:asciiTheme="minorHAnsi" w:hAnsiTheme="minorHAnsi" w:cstheme="minorHAnsi"/>
                <w:sz w:val="22"/>
                <w:szCs w:val="22"/>
              </w:rPr>
            </w:pPr>
            <w:r>
              <w:rPr>
                <w:rFonts w:asciiTheme="minorHAnsi" w:hAnsiTheme="minorHAnsi"/>
                <w:color w:val="000000"/>
                <w:sz w:val="22"/>
              </w:rPr>
              <w:t>Projet de résolution sur les Initiatives régionales Ramsar 2025-2028</w:t>
            </w:r>
          </w:p>
        </w:tc>
        <w:tc>
          <w:tcPr>
            <w:tcW w:w="4825" w:type="dxa"/>
            <w:shd w:val="clear" w:color="auto" w:fill="auto"/>
          </w:tcPr>
          <w:p w14:paraId="0C920F31" w14:textId="1F9EFBCB" w:rsidR="00AA3B37" w:rsidRPr="00024100" w:rsidRDefault="00AA3B37" w:rsidP="00AA3B37">
            <w:pPr>
              <w:widowControl w:val="0"/>
              <w:ind w:left="0" w:firstLine="0"/>
              <w:jc w:val="left"/>
              <w:rPr>
                <w:rFonts w:asciiTheme="minorHAnsi" w:hAnsiTheme="minorHAnsi" w:cstheme="minorHAnsi"/>
                <w:bCs/>
                <w:color w:val="000000"/>
                <w:sz w:val="22"/>
                <w:szCs w:val="22"/>
              </w:rPr>
            </w:pPr>
          </w:p>
        </w:tc>
        <w:tc>
          <w:tcPr>
            <w:tcW w:w="1413" w:type="dxa"/>
            <w:shd w:val="clear" w:color="auto" w:fill="auto"/>
          </w:tcPr>
          <w:p w14:paraId="5A5D90A3" w14:textId="3F77ABD1" w:rsidR="00AA3B37" w:rsidRPr="00024100" w:rsidRDefault="000D05D9" w:rsidP="00AA3B37">
            <w:pPr>
              <w:widowControl w:val="0"/>
              <w:ind w:left="0" w:firstLine="0"/>
              <w:jc w:val="left"/>
              <w:rPr>
                <w:rFonts w:asciiTheme="minorHAnsi" w:hAnsiTheme="minorHAnsi" w:cstheme="minorHAnsi"/>
                <w:bCs/>
                <w:color w:val="000000"/>
                <w:sz w:val="22"/>
                <w:szCs w:val="22"/>
              </w:rPr>
            </w:pPr>
            <w:r>
              <w:rPr>
                <w:rFonts w:asciiTheme="minorHAnsi" w:hAnsiTheme="minorHAnsi"/>
                <w:color w:val="000000"/>
                <w:sz w:val="22"/>
              </w:rPr>
              <w:t>0</w:t>
            </w:r>
          </w:p>
        </w:tc>
        <w:tc>
          <w:tcPr>
            <w:tcW w:w="1706" w:type="dxa"/>
            <w:shd w:val="clear" w:color="auto" w:fill="auto"/>
          </w:tcPr>
          <w:p w14:paraId="528292C6" w14:textId="6D07352F" w:rsidR="00AA3B37" w:rsidRPr="00024100" w:rsidDel="00886642" w:rsidRDefault="000D05D9" w:rsidP="00AA3B37">
            <w:pPr>
              <w:widowControl w:val="0"/>
              <w:ind w:left="0" w:firstLine="0"/>
              <w:jc w:val="left"/>
              <w:rPr>
                <w:rFonts w:asciiTheme="minorHAnsi" w:hAnsiTheme="minorHAnsi" w:cstheme="minorHAnsi"/>
                <w:color w:val="000000"/>
                <w:sz w:val="22"/>
                <w:szCs w:val="22"/>
              </w:rPr>
            </w:pPr>
            <w:r>
              <w:rPr>
                <w:rFonts w:asciiTheme="minorHAnsi" w:hAnsiTheme="minorHAnsi"/>
                <w:color w:val="000000" w:themeColor="text1"/>
                <w:sz w:val="22"/>
              </w:rPr>
              <w:t>0</w:t>
            </w:r>
          </w:p>
        </w:tc>
      </w:tr>
      <w:tr w:rsidR="00A1095B" w:rsidRPr="00024100" w14:paraId="76E20576" w14:textId="77777777" w:rsidTr="00270374">
        <w:trPr>
          <w:cantSplit/>
        </w:trPr>
        <w:tc>
          <w:tcPr>
            <w:tcW w:w="1699" w:type="dxa"/>
            <w:shd w:val="clear" w:color="auto" w:fill="auto"/>
            <w:noWrap/>
          </w:tcPr>
          <w:p w14:paraId="4D8F2E39" w14:textId="6418AF52" w:rsidR="00A1095B"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COP15 Doc.23.6</w:t>
            </w:r>
          </w:p>
        </w:tc>
        <w:tc>
          <w:tcPr>
            <w:tcW w:w="4533" w:type="dxa"/>
            <w:shd w:val="clear" w:color="auto" w:fill="auto"/>
            <w:noWrap/>
          </w:tcPr>
          <w:p w14:paraId="08ED1322" w14:textId="7E734397" w:rsidR="00A1095B" w:rsidRPr="00024100" w:rsidRDefault="00A1095B" w:rsidP="00A1095B">
            <w:pPr>
              <w:ind w:left="0" w:firstLine="0"/>
              <w:jc w:val="left"/>
              <w:rPr>
                <w:rFonts w:asciiTheme="minorHAnsi" w:hAnsiTheme="minorHAnsi" w:cstheme="minorHAnsi"/>
                <w:color w:val="000000"/>
                <w:sz w:val="22"/>
                <w:szCs w:val="22"/>
              </w:rPr>
            </w:pPr>
            <w:r>
              <w:rPr>
                <w:rFonts w:asciiTheme="minorHAnsi" w:hAnsiTheme="minorHAnsi"/>
                <w:color w:val="000000"/>
                <w:sz w:val="22"/>
              </w:rPr>
              <w:t>Projet de résolution sur la CESP (communication, renforcement des capacités, éducation, participation et sensibilisation)</w:t>
            </w:r>
          </w:p>
        </w:tc>
        <w:tc>
          <w:tcPr>
            <w:tcW w:w="4825" w:type="dxa"/>
            <w:shd w:val="clear" w:color="auto" w:fill="auto"/>
          </w:tcPr>
          <w:p w14:paraId="0A03AB57" w14:textId="26F501BA" w:rsidR="00A1095B" w:rsidRPr="00024100" w:rsidRDefault="00824167" w:rsidP="00A1095B">
            <w:pPr>
              <w:widowControl w:val="0"/>
              <w:ind w:left="0" w:firstLine="0"/>
              <w:jc w:val="left"/>
              <w:rPr>
                <w:rFonts w:asciiTheme="minorHAnsi" w:hAnsiTheme="minorHAnsi" w:cstheme="minorHAnsi"/>
                <w:bCs/>
                <w:color w:val="000000"/>
                <w:sz w:val="22"/>
                <w:szCs w:val="22"/>
              </w:rPr>
            </w:pPr>
            <w:r>
              <w:rPr>
                <w:rFonts w:asciiTheme="minorHAnsi" w:hAnsiTheme="minorHAnsi"/>
                <w:sz w:val="22"/>
              </w:rPr>
              <w:t>Le Secrétariat, en fonction des ressources disponibles, aidera à renforcer les capacités des Correspondants de CESP en mettant à leur disposition des ressources, des formations, des manuels et des modèles pour les activités de CESP, et apportera un soutien technique aux Correspondants de CESP en créant un réseau leur permettant de partager leurs connaissances.</w:t>
            </w:r>
          </w:p>
        </w:tc>
        <w:tc>
          <w:tcPr>
            <w:tcW w:w="1413" w:type="dxa"/>
            <w:shd w:val="clear" w:color="auto" w:fill="auto"/>
          </w:tcPr>
          <w:p w14:paraId="49D0CD9F" w14:textId="0E91DE76" w:rsidR="00A1095B" w:rsidRPr="00024100" w:rsidRDefault="00A1095B" w:rsidP="00A1095B">
            <w:pPr>
              <w:widowControl w:val="0"/>
              <w:ind w:left="0" w:firstLine="0"/>
              <w:jc w:val="left"/>
              <w:rPr>
                <w:rFonts w:asciiTheme="minorHAnsi" w:hAnsiTheme="minorHAnsi" w:cstheme="minorHAnsi"/>
                <w:bCs/>
                <w:color w:val="000000"/>
                <w:sz w:val="22"/>
                <w:szCs w:val="22"/>
              </w:rPr>
            </w:pPr>
            <w:r>
              <w:rPr>
                <w:rFonts w:asciiTheme="minorHAnsi" w:hAnsiTheme="minorHAnsi"/>
                <w:color w:val="000000"/>
                <w:sz w:val="22"/>
              </w:rPr>
              <w:t>0</w:t>
            </w:r>
          </w:p>
        </w:tc>
        <w:tc>
          <w:tcPr>
            <w:tcW w:w="1706" w:type="dxa"/>
            <w:shd w:val="clear" w:color="auto" w:fill="auto"/>
          </w:tcPr>
          <w:p w14:paraId="6A6D1C42" w14:textId="0D1014DC" w:rsidR="00A1095B" w:rsidRPr="00024100" w:rsidDel="004D5D77" w:rsidRDefault="00A1095B" w:rsidP="00A1095B">
            <w:pPr>
              <w:widowControl w:val="0"/>
              <w:ind w:left="0" w:firstLine="0"/>
              <w:jc w:val="left"/>
              <w:rPr>
                <w:rFonts w:asciiTheme="minorHAnsi" w:hAnsiTheme="minorHAnsi" w:cstheme="minorHAnsi"/>
                <w:color w:val="000000" w:themeColor="text1"/>
                <w:sz w:val="22"/>
                <w:szCs w:val="22"/>
              </w:rPr>
            </w:pPr>
            <w:r>
              <w:rPr>
                <w:rFonts w:asciiTheme="minorHAnsi" w:hAnsiTheme="minorHAnsi"/>
                <w:color w:val="000000" w:themeColor="text1"/>
                <w:sz w:val="22"/>
              </w:rPr>
              <w:t xml:space="preserve">45 000 </w:t>
            </w:r>
            <w:r>
              <w:rPr>
                <w:rFonts w:asciiTheme="minorHAnsi" w:hAnsiTheme="minorHAnsi"/>
                <w:color w:val="000000" w:themeColor="text1"/>
                <w:sz w:val="22"/>
              </w:rPr>
              <w:br/>
              <w:t>(budget administratif)</w:t>
            </w:r>
          </w:p>
        </w:tc>
      </w:tr>
      <w:tr w:rsidR="00A1095B" w:rsidRPr="00024100" w14:paraId="7FF3E494" w14:textId="77777777" w:rsidTr="00270374">
        <w:trPr>
          <w:cantSplit/>
        </w:trPr>
        <w:tc>
          <w:tcPr>
            <w:tcW w:w="1699" w:type="dxa"/>
            <w:shd w:val="clear" w:color="auto" w:fill="auto"/>
            <w:noWrap/>
          </w:tcPr>
          <w:p w14:paraId="43AAE3AD" w14:textId="08DCBE13"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COP15 Doc.23.7</w:t>
            </w:r>
          </w:p>
        </w:tc>
        <w:tc>
          <w:tcPr>
            <w:tcW w:w="4533" w:type="dxa"/>
            <w:shd w:val="clear" w:color="auto" w:fill="auto"/>
            <w:noWrap/>
            <w:vAlign w:val="center"/>
          </w:tcPr>
          <w:p w14:paraId="0DED3500" w14:textId="5D9674FF" w:rsidR="00A1095B" w:rsidRPr="00024100" w:rsidRDefault="00A1095B" w:rsidP="00A1095B">
            <w:pPr>
              <w:ind w:left="0" w:firstLine="0"/>
              <w:rPr>
                <w:rFonts w:asciiTheme="minorHAnsi" w:hAnsiTheme="minorHAnsi" w:cstheme="minorHAnsi"/>
                <w:sz w:val="22"/>
                <w:szCs w:val="22"/>
              </w:rPr>
            </w:pPr>
            <w:r>
              <w:rPr>
                <w:rFonts w:asciiTheme="minorHAnsi" w:hAnsiTheme="minorHAnsi"/>
                <w:color w:val="000000"/>
                <w:sz w:val="22"/>
              </w:rPr>
              <w:t>Projet de résolution sur l</w:t>
            </w:r>
            <w:r w:rsidR="00FC47B5">
              <w:rPr>
                <w:rFonts w:asciiTheme="minorHAnsi" w:hAnsiTheme="minorHAnsi"/>
                <w:color w:val="000000"/>
                <w:sz w:val="22"/>
              </w:rPr>
              <w:t>’</w:t>
            </w:r>
            <w:r>
              <w:rPr>
                <w:rFonts w:asciiTheme="minorHAnsi" w:hAnsiTheme="minorHAnsi"/>
                <w:color w:val="000000"/>
                <w:sz w:val="22"/>
              </w:rPr>
              <w:t>état des sites inscrits sur la Liste des zones humides d</w:t>
            </w:r>
            <w:r w:rsidR="00FC47B5">
              <w:rPr>
                <w:rFonts w:asciiTheme="minorHAnsi" w:hAnsiTheme="minorHAnsi"/>
                <w:color w:val="000000"/>
                <w:sz w:val="22"/>
              </w:rPr>
              <w:t>’</w:t>
            </w:r>
            <w:r>
              <w:rPr>
                <w:rFonts w:asciiTheme="minorHAnsi" w:hAnsiTheme="minorHAnsi"/>
                <w:color w:val="000000"/>
                <w:sz w:val="22"/>
              </w:rPr>
              <w:t>importance internationale</w:t>
            </w:r>
          </w:p>
        </w:tc>
        <w:tc>
          <w:tcPr>
            <w:tcW w:w="4825" w:type="dxa"/>
            <w:shd w:val="clear" w:color="auto" w:fill="auto"/>
          </w:tcPr>
          <w:p w14:paraId="6016E99C" w14:textId="77777777" w:rsidR="00A1095B" w:rsidRPr="00024100" w:rsidRDefault="00A1095B" w:rsidP="00A1095B">
            <w:pPr>
              <w:widowControl w:val="0"/>
              <w:ind w:left="0" w:firstLine="0"/>
              <w:jc w:val="left"/>
              <w:rPr>
                <w:rFonts w:asciiTheme="minorHAnsi" w:hAnsiTheme="minorHAnsi" w:cstheme="minorHAnsi"/>
                <w:bCs/>
                <w:color w:val="000000"/>
                <w:sz w:val="22"/>
                <w:szCs w:val="22"/>
              </w:rPr>
            </w:pPr>
          </w:p>
        </w:tc>
        <w:tc>
          <w:tcPr>
            <w:tcW w:w="1413" w:type="dxa"/>
            <w:shd w:val="clear" w:color="auto" w:fill="auto"/>
          </w:tcPr>
          <w:p w14:paraId="6A0CF0BE" w14:textId="4890381F" w:rsidR="00A1095B" w:rsidRPr="00024100" w:rsidRDefault="00A1095B" w:rsidP="00A1095B">
            <w:pPr>
              <w:widowControl w:val="0"/>
              <w:ind w:left="0" w:firstLine="0"/>
              <w:jc w:val="left"/>
              <w:rPr>
                <w:rFonts w:asciiTheme="minorHAnsi" w:hAnsiTheme="minorHAnsi" w:cstheme="minorHAnsi"/>
                <w:bCs/>
                <w:color w:val="000000"/>
                <w:sz w:val="22"/>
                <w:szCs w:val="22"/>
              </w:rPr>
            </w:pPr>
            <w:r>
              <w:rPr>
                <w:rFonts w:asciiTheme="minorHAnsi" w:hAnsiTheme="minorHAnsi"/>
                <w:color w:val="000000"/>
                <w:sz w:val="22"/>
              </w:rPr>
              <w:t>0</w:t>
            </w:r>
          </w:p>
        </w:tc>
        <w:tc>
          <w:tcPr>
            <w:tcW w:w="1706" w:type="dxa"/>
            <w:shd w:val="clear" w:color="auto" w:fill="auto"/>
          </w:tcPr>
          <w:p w14:paraId="0D7C9885" w14:textId="5FC5D467" w:rsidR="00A1095B" w:rsidRPr="00024100" w:rsidDel="00886642" w:rsidRDefault="00A1095B" w:rsidP="00A1095B">
            <w:pPr>
              <w:widowControl w:val="0"/>
              <w:ind w:left="0" w:firstLine="0"/>
              <w:jc w:val="left"/>
              <w:rPr>
                <w:rFonts w:asciiTheme="minorHAnsi" w:hAnsiTheme="minorHAnsi" w:cstheme="minorHAnsi"/>
                <w:bCs/>
                <w:color w:val="000000"/>
                <w:sz w:val="22"/>
                <w:szCs w:val="22"/>
              </w:rPr>
            </w:pPr>
            <w:r>
              <w:rPr>
                <w:rFonts w:asciiTheme="minorHAnsi" w:hAnsiTheme="minorHAnsi"/>
                <w:color w:val="000000"/>
                <w:sz w:val="22"/>
              </w:rPr>
              <w:t>0</w:t>
            </w:r>
          </w:p>
        </w:tc>
      </w:tr>
      <w:tr w:rsidR="00A1095B" w:rsidRPr="00024100" w14:paraId="6ECC58FD" w14:textId="77777777" w:rsidTr="00A1095B">
        <w:trPr>
          <w:cantSplit/>
        </w:trPr>
        <w:tc>
          <w:tcPr>
            <w:tcW w:w="14176" w:type="dxa"/>
            <w:gridSpan w:val="5"/>
            <w:shd w:val="clear" w:color="auto" w:fill="auto"/>
            <w:noWrap/>
          </w:tcPr>
          <w:p w14:paraId="45732E84" w14:textId="574F3AE4" w:rsidR="00A1095B" w:rsidRPr="00024100" w:rsidRDefault="00A1095B" w:rsidP="00270374">
            <w:pPr>
              <w:keepNext/>
              <w:widowControl w:val="0"/>
              <w:spacing w:before="60" w:after="60"/>
              <w:ind w:left="0" w:firstLine="0"/>
              <w:jc w:val="left"/>
              <w:rPr>
                <w:rFonts w:asciiTheme="minorHAnsi" w:hAnsiTheme="minorHAnsi" w:cstheme="minorHAnsi"/>
                <w:b/>
                <w:bCs/>
                <w:color w:val="000000"/>
                <w:sz w:val="22"/>
                <w:szCs w:val="22"/>
              </w:rPr>
            </w:pPr>
            <w:r>
              <w:rPr>
                <w:rFonts w:asciiTheme="minorHAnsi" w:hAnsiTheme="minorHAnsi"/>
                <w:b/>
                <w:color w:val="000000"/>
                <w:sz w:val="22"/>
              </w:rPr>
              <w:lastRenderedPageBreak/>
              <w:t>Projets de résolutions soumis par les Groupe</w:t>
            </w:r>
            <w:r w:rsidR="00642E8E">
              <w:rPr>
                <w:rFonts w:asciiTheme="minorHAnsi" w:hAnsiTheme="minorHAnsi"/>
                <w:b/>
                <w:color w:val="000000"/>
                <w:sz w:val="22"/>
              </w:rPr>
              <w:t>s</w:t>
            </w:r>
            <w:r>
              <w:rPr>
                <w:rFonts w:asciiTheme="minorHAnsi" w:hAnsiTheme="minorHAnsi"/>
                <w:b/>
                <w:color w:val="000000"/>
                <w:sz w:val="22"/>
              </w:rPr>
              <w:t xml:space="preserve"> de travail et le GEST</w:t>
            </w:r>
          </w:p>
        </w:tc>
      </w:tr>
      <w:tr w:rsidR="00A1095B" w:rsidRPr="00024100" w14:paraId="24213C48" w14:textId="77777777" w:rsidTr="00270374">
        <w:trPr>
          <w:cantSplit/>
        </w:trPr>
        <w:tc>
          <w:tcPr>
            <w:tcW w:w="1699" w:type="dxa"/>
            <w:shd w:val="clear" w:color="auto" w:fill="auto"/>
            <w:noWrap/>
          </w:tcPr>
          <w:p w14:paraId="307ED65A" w14:textId="79D9F3D9" w:rsidR="00A1095B" w:rsidRPr="00024100" w:rsidRDefault="00A1095B" w:rsidP="00A1095B">
            <w:pPr>
              <w:widowControl w:val="0"/>
              <w:ind w:left="0" w:firstLine="0"/>
              <w:jc w:val="left"/>
              <w:rPr>
                <w:rFonts w:asciiTheme="minorHAnsi" w:hAnsiTheme="minorHAnsi" w:cstheme="minorHAnsi"/>
                <w:bCs/>
                <w:color w:val="000000"/>
                <w:sz w:val="22"/>
                <w:szCs w:val="22"/>
              </w:rPr>
            </w:pPr>
            <w:r>
              <w:rPr>
                <w:rFonts w:asciiTheme="minorHAnsi" w:hAnsiTheme="minorHAnsi"/>
                <w:color w:val="000000"/>
                <w:sz w:val="22"/>
              </w:rPr>
              <w:t>COP15 Doc.23.3</w:t>
            </w:r>
          </w:p>
        </w:tc>
        <w:tc>
          <w:tcPr>
            <w:tcW w:w="4533" w:type="dxa"/>
            <w:shd w:val="clear" w:color="auto" w:fill="auto"/>
            <w:noWrap/>
            <w:vAlign w:val="center"/>
          </w:tcPr>
          <w:p w14:paraId="0CF1F8AA" w14:textId="587458B2" w:rsidR="00A1095B" w:rsidRPr="00024100" w:rsidRDefault="00A1095B" w:rsidP="00A1095B">
            <w:pPr>
              <w:widowControl w:val="0"/>
              <w:ind w:left="0" w:firstLine="0"/>
              <w:jc w:val="left"/>
              <w:rPr>
                <w:rFonts w:asciiTheme="minorHAnsi" w:hAnsiTheme="minorHAnsi" w:cstheme="minorHAnsi"/>
                <w:bCs/>
                <w:color w:val="000000"/>
                <w:sz w:val="22"/>
                <w:szCs w:val="22"/>
              </w:rPr>
            </w:pPr>
            <w:r>
              <w:rPr>
                <w:rFonts w:asciiTheme="minorHAnsi" w:hAnsiTheme="minorHAnsi"/>
                <w:color w:val="000000"/>
                <w:sz w:val="22"/>
              </w:rPr>
              <w:t>Projet de résolution sur le Plan stratégique de la Convention sur les zones humides 2025-2034</w:t>
            </w:r>
          </w:p>
        </w:tc>
        <w:tc>
          <w:tcPr>
            <w:tcW w:w="4825" w:type="dxa"/>
            <w:shd w:val="clear" w:color="auto" w:fill="auto"/>
          </w:tcPr>
          <w:p w14:paraId="39DD4D8D" w14:textId="2C9F1F49" w:rsidR="00A1095B" w:rsidRPr="00024100" w:rsidRDefault="00A1095B" w:rsidP="00A1095B">
            <w:pPr>
              <w:widowControl w:val="0"/>
              <w:ind w:left="0" w:firstLine="0"/>
              <w:jc w:val="left"/>
              <w:rPr>
                <w:rFonts w:asciiTheme="minorHAnsi" w:hAnsiTheme="minorHAnsi" w:cstheme="minorHAnsi"/>
                <w:bCs/>
                <w:color w:val="000000"/>
                <w:sz w:val="22"/>
                <w:szCs w:val="22"/>
              </w:rPr>
            </w:pPr>
          </w:p>
        </w:tc>
        <w:tc>
          <w:tcPr>
            <w:tcW w:w="1413" w:type="dxa"/>
            <w:shd w:val="clear" w:color="auto" w:fill="auto"/>
          </w:tcPr>
          <w:p w14:paraId="79F4F21C" w14:textId="17F18B01" w:rsidR="00A1095B" w:rsidRPr="00024100" w:rsidRDefault="00A1095B" w:rsidP="00A1095B">
            <w:pPr>
              <w:widowControl w:val="0"/>
              <w:ind w:left="0" w:firstLine="0"/>
              <w:jc w:val="left"/>
              <w:rPr>
                <w:rFonts w:asciiTheme="minorHAnsi" w:hAnsiTheme="minorHAnsi" w:cstheme="minorHAnsi"/>
                <w:bCs/>
                <w:color w:val="000000"/>
                <w:sz w:val="22"/>
                <w:szCs w:val="22"/>
              </w:rPr>
            </w:pPr>
            <w:r>
              <w:rPr>
                <w:rFonts w:asciiTheme="minorHAnsi" w:hAnsiTheme="minorHAnsi"/>
                <w:color w:val="000000"/>
                <w:sz w:val="22"/>
              </w:rPr>
              <w:t>0</w:t>
            </w:r>
          </w:p>
        </w:tc>
        <w:tc>
          <w:tcPr>
            <w:tcW w:w="1706" w:type="dxa"/>
            <w:shd w:val="clear" w:color="auto" w:fill="auto"/>
          </w:tcPr>
          <w:p w14:paraId="44F91ED9" w14:textId="286E5518" w:rsidR="00A1095B" w:rsidRPr="00024100" w:rsidRDefault="00A1095B" w:rsidP="00A1095B">
            <w:pPr>
              <w:widowControl w:val="0"/>
              <w:ind w:left="0" w:firstLine="0"/>
              <w:jc w:val="left"/>
              <w:rPr>
                <w:rFonts w:asciiTheme="minorHAnsi" w:hAnsiTheme="minorHAnsi" w:cstheme="minorHAnsi"/>
                <w:bCs/>
                <w:color w:val="000000"/>
                <w:sz w:val="22"/>
                <w:szCs w:val="22"/>
              </w:rPr>
            </w:pPr>
            <w:r>
              <w:rPr>
                <w:rFonts w:asciiTheme="minorHAnsi" w:hAnsiTheme="minorHAnsi"/>
                <w:color w:val="000000"/>
                <w:sz w:val="22"/>
              </w:rPr>
              <w:t>0</w:t>
            </w:r>
          </w:p>
        </w:tc>
      </w:tr>
      <w:tr w:rsidR="0016610A" w:rsidRPr="00024100" w14:paraId="2BB3E549" w14:textId="77777777" w:rsidTr="00270374">
        <w:trPr>
          <w:cantSplit/>
        </w:trPr>
        <w:tc>
          <w:tcPr>
            <w:tcW w:w="1699" w:type="dxa"/>
            <w:shd w:val="clear" w:color="auto" w:fill="auto"/>
            <w:noWrap/>
          </w:tcPr>
          <w:p w14:paraId="1460C885" w14:textId="7C842084" w:rsidR="0016610A" w:rsidRDefault="0016610A"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COP15 Doc.23.8</w:t>
            </w:r>
          </w:p>
        </w:tc>
        <w:tc>
          <w:tcPr>
            <w:tcW w:w="4533" w:type="dxa"/>
            <w:shd w:val="clear" w:color="auto" w:fill="auto"/>
            <w:noWrap/>
            <w:vAlign w:val="center"/>
          </w:tcPr>
          <w:p w14:paraId="5FF944B2" w14:textId="2D498D0D" w:rsidR="0016610A" w:rsidRPr="00024100" w:rsidRDefault="0016610A" w:rsidP="00A1095B">
            <w:pPr>
              <w:widowControl w:val="0"/>
              <w:ind w:left="0" w:firstLine="0"/>
              <w:jc w:val="left"/>
              <w:rPr>
                <w:rFonts w:asciiTheme="minorHAnsi" w:hAnsiTheme="minorHAnsi" w:cstheme="minorHAnsi"/>
                <w:color w:val="000000"/>
                <w:sz w:val="22"/>
                <w:szCs w:val="22"/>
              </w:rPr>
            </w:pPr>
            <w:r>
              <w:rPr>
                <w:rFonts w:ascii="Calibri" w:hAnsi="Calibri"/>
                <w:sz w:val="22"/>
              </w:rPr>
              <w:t>Projet de résolution sur la procédure de recrutement d</w:t>
            </w:r>
            <w:r w:rsidR="00FC47B5">
              <w:rPr>
                <w:rFonts w:ascii="Calibri" w:hAnsi="Calibri"/>
                <w:sz w:val="22"/>
              </w:rPr>
              <w:t>’</w:t>
            </w:r>
            <w:r>
              <w:rPr>
                <w:rFonts w:ascii="Calibri" w:hAnsi="Calibri"/>
                <w:sz w:val="22"/>
              </w:rPr>
              <w:t>un/e nouveau/elle Secrétaire général/e</w:t>
            </w:r>
          </w:p>
        </w:tc>
        <w:tc>
          <w:tcPr>
            <w:tcW w:w="4825" w:type="dxa"/>
            <w:shd w:val="clear" w:color="auto" w:fill="auto"/>
          </w:tcPr>
          <w:p w14:paraId="78CD4B35" w14:textId="77777777" w:rsidR="0016610A" w:rsidRPr="00024100" w:rsidRDefault="0016610A" w:rsidP="00A1095B">
            <w:pPr>
              <w:widowControl w:val="0"/>
              <w:ind w:left="0" w:firstLine="0"/>
              <w:jc w:val="left"/>
              <w:rPr>
                <w:rFonts w:asciiTheme="minorHAnsi" w:hAnsiTheme="minorHAnsi" w:cstheme="minorHAnsi"/>
                <w:bCs/>
                <w:color w:val="000000"/>
                <w:sz w:val="22"/>
                <w:szCs w:val="22"/>
              </w:rPr>
            </w:pPr>
          </w:p>
        </w:tc>
        <w:tc>
          <w:tcPr>
            <w:tcW w:w="1413" w:type="dxa"/>
            <w:shd w:val="clear" w:color="auto" w:fill="auto"/>
          </w:tcPr>
          <w:p w14:paraId="76CB3BB1" w14:textId="63DC415C" w:rsidR="0016610A" w:rsidRPr="00024100" w:rsidRDefault="001E209D" w:rsidP="00A1095B">
            <w:pPr>
              <w:widowControl w:val="0"/>
              <w:ind w:left="0" w:firstLine="0"/>
              <w:jc w:val="left"/>
              <w:rPr>
                <w:rFonts w:asciiTheme="minorHAnsi" w:hAnsiTheme="minorHAnsi" w:cstheme="minorHAnsi"/>
                <w:bCs/>
                <w:color w:val="000000"/>
                <w:sz w:val="22"/>
                <w:szCs w:val="22"/>
              </w:rPr>
            </w:pPr>
            <w:r>
              <w:rPr>
                <w:rFonts w:asciiTheme="minorHAnsi" w:hAnsiTheme="minorHAnsi"/>
                <w:color w:val="000000"/>
                <w:sz w:val="22"/>
              </w:rPr>
              <w:t>0</w:t>
            </w:r>
          </w:p>
        </w:tc>
        <w:tc>
          <w:tcPr>
            <w:tcW w:w="1706" w:type="dxa"/>
            <w:shd w:val="clear" w:color="auto" w:fill="auto"/>
          </w:tcPr>
          <w:p w14:paraId="6DBDF6D9" w14:textId="03DCE488" w:rsidR="0016610A" w:rsidRPr="00024100" w:rsidRDefault="6C572C96" w:rsidP="00BC7037">
            <w:pPr>
              <w:widowControl w:val="0"/>
              <w:ind w:left="0" w:firstLine="0"/>
              <w:jc w:val="left"/>
              <w:rPr>
                <w:rFonts w:asciiTheme="minorHAnsi" w:hAnsiTheme="minorHAnsi" w:cstheme="minorBidi"/>
                <w:color w:val="000000" w:themeColor="text1"/>
                <w:sz w:val="22"/>
                <w:szCs w:val="22"/>
              </w:rPr>
            </w:pPr>
            <w:r>
              <w:rPr>
                <w:rFonts w:asciiTheme="minorHAnsi" w:hAnsiTheme="minorHAnsi"/>
                <w:color w:val="000000" w:themeColor="text1"/>
                <w:sz w:val="22"/>
              </w:rPr>
              <w:t>60 000</w:t>
            </w:r>
            <w:r w:rsidR="00BB624E">
              <w:rPr>
                <w:rStyle w:val="FootnoteReference"/>
                <w:rFonts w:asciiTheme="minorHAnsi" w:hAnsiTheme="minorHAnsi" w:cstheme="minorBidi"/>
                <w:color w:val="000000" w:themeColor="text1"/>
                <w:sz w:val="22"/>
                <w:szCs w:val="22"/>
              </w:rPr>
              <w:footnoteReference w:id="2"/>
            </w:r>
          </w:p>
        </w:tc>
      </w:tr>
      <w:tr w:rsidR="00A1095B" w:rsidRPr="00024100" w14:paraId="20003C21" w14:textId="77777777" w:rsidTr="00270374">
        <w:trPr>
          <w:cantSplit/>
        </w:trPr>
        <w:tc>
          <w:tcPr>
            <w:tcW w:w="1699" w:type="dxa"/>
            <w:shd w:val="clear" w:color="auto" w:fill="auto"/>
            <w:noWrap/>
          </w:tcPr>
          <w:p w14:paraId="2A125AA4" w14:textId="5EE14EF4" w:rsidR="00A1095B" w:rsidRPr="00024100" w:rsidRDefault="00A1095B" w:rsidP="00A1095B">
            <w:pPr>
              <w:widowControl w:val="0"/>
              <w:ind w:left="0" w:firstLine="0"/>
              <w:jc w:val="left"/>
              <w:rPr>
                <w:rFonts w:asciiTheme="minorHAnsi" w:hAnsiTheme="minorHAnsi" w:cstheme="minorHAnsi"/>
                <w:bCs/>
                <w:color w:val="000000"/>
                <w:sz w:val="22"/>
                <w:szCs w:val="22"/>
              </w:rPr>
            </w:pPr>
            <w:r>
              <w:rPr>
                <w:rFonts w:asciiTheme="minorHAnsi" w:hAnsiTheme="minorHAnsi"/>
                <w:color w:val="000000"/>
                <w:sz w:val="22"/>
              </w:rPr>
              <w:t>COP15 Doc.23.9</w:t>
            </w:r>
          </w:p>
        </w:tc>
        <w:tc>
          <w:tcPr>
            <w:tcW w:w="4533" w:type="dxa"/>
            <w:shd w:val="clear" w:color="auto" w:fill="auto"/>
            <w:noWrap/>
          </w:tcPr>
          <w:p w14:paraId="1D2C202B" w14:textId="12350B48" w:rsidR="00A1095B" w:rsidRPr="00024100" w:rsidRDefault="00A1095B" w:rsidP="00A1095B">
            <w:pPr>
              <w:widowControl w:val="0"/>
              <w:ind w:left="0" w:firstLine="0"/>
              <w:jc w:val="left"/>
              <w:rPr>
                <w:rFonts w:asciiTheme="minorHAnsi" w:hAnsiTheme="minorHAnsi" w:cstheme="minorHAnsi"/>
                <w:bCs/>
                <w:color w:val="000000"/>
                <w:sz w:val="22"/>
                <w:szCs w:val="22"/>
              </w:rPr>
            </w:pPr>
            <w:r>
              <w:rPr>
                <w:rFonts w:asciiTheme="minorHAnsi" w:hAnsiTheme="minorHAnsi"/>
                <w:color w:val="000000"/>
                <w:sz w:val="22"/>
              </w:rPr>
              <w:t>Projet de résolution sur la mise en œuvre du renforcement institutionnel de la Convention sur les zones humides</w:t>
            </w:r>
          </w:p>
        </w:tc>
        <w:tc>
          <w:tcPr>
            <w:tcW w:w="4825" w:type="dxa"/>
            <w:shd w:val="clear" w:color="auto" w:fill="auto"/>
          </w:tcPr>
          <w:p w14:paraId="40DADC40" w14:textId="42192613" w:rsidR="00A1095B" w:rsidRPr="00024100" w:rsidRDefault="00A1095B" w:rsidP="00A1095B">
            <w:pPr>
              <w:widowControl w:val="0"/>
              <w:ind w:left="0" w:firstLine="0"/>
              <w:jc w:val="left"/>
              <w:rPr>
                <w:rFonts w:asciiTheme="minorHAnsi" w:hAnsiTheme="minorHAnsi" w:cstheme="minorHAnsi"/>
                <w:bCs/>
                <w:color w:val="000000"/>
                <w:sz w:val="22"/>
                <w:szCs w:val="22"/>
              </w:rPr>
            </w:pPr>
          </w:p>
        </w:tc>
        <w:tc>
          <w:tcPr>
            <w:tcW w:w="1413" w:type="dxa"/>
            <w:shd w:val="clear" w:color="auto" w:fill="auto"/>
          </w:tcPr>
          <w:p w14:paraId="274059CB" w14:textId="2BC3483F" w:rsidR="00A1095B" w:rsidRPr="00024100" w:rsidRDefault="00A1095B" w:rsidP="00A1095B">
            <w:pPr>
              <w:widowControl w:val="0"/>
              <w:ind w:left="0" w:firstLine="0"/>
              <w:jc w:val="left"/>
              <w:rPr>
                <w:rFonts w:asciiTheme="minorHAnsi" w:hAnsiTheme="minorHAnsi" w:cstheme="minorHAnsi"/>
                <w:bCs/>
                <w:color w:val="000000"/>
                <w:sz w:val="22"/>
                <w:szCs w:val="22"/>
              </w:rPr>
            </w:pPr>
            <w:r>
              <w:rPr>
                <w:rFonts w:asciiTheme="minorHAnsi" w:hAnsiTheme="minorHAnsi"/>
                <w:color w:val="000000"/>
                <w:sz w:val="22"/>
              </w:rPr>
              <w:t>0</w:t>
            </w:r>
          </w:p>
        </w:tc>
        <w:tc>
          <w:tcPr>
            <w:tcW w:w="1706" w:type="dxa"/>
            <w:shd w:val="clear" w:color="auto" w:fill="auto"/>
          </w:tcPr>
          <w:p w14:paraId="1F266BBF" w14:textId="7DB75A25" w:rsidR="00A1095B" w:rsidRPr="00024100" w:rsidRDefault="00A1095B" w:rsidP="00A1095B">
            <w:pPr>
              <w:widowControl w:val="0"/>
              <w:ind w:left="0" w:firstLine="0"/>
              <w:jc w:val="left"/>
              <w:rPr>
                <w:rFonts w:asciiTheme="minorHAnsi" w:hAnsiTheme="minorHAnsi" w:cstheme="minorHAnsi"/>
                <w:bCs/>
                <w:color w:val="000000"/>
                <w:sz w:val="22"/>
                <w:szCs w:val="22"/>
              </w:rPr>
            </w:pPr>
            <w:r>
              <w:rPr>
                <w:rFonts w:asciiTheme="minorHAnsi" w:hAnsiTheme="minorHAnsi"/>
                <w:color w:val="000000"/>
                <w:sz w:val="22"/>
              </w:rPr>
              <w:t>0</w:t>
            </w:r>
          </w:p>
        </w:tc>
      </w:tr>
      <w:tr w:rsidR="00A1095B" w:rsidRPr="00024100" w14:paraId="5AC892B7" w14:textId="77777777" w:rsidTr="00270374">
        <w:trPr>
          <w:cantSplit/>
        </w:trPr>
        <w:tc>
          <w:tcPr>
            <w:tcW w:w="1699" w:type="dxa"/>
            <w:shd w:val="clear" w:color="auto" w:fill="auto"/>
            <w:noWrap/>
          </w:tcPr>
          <w:p w14:paraId="440F8B3D" w14:textId="3439513E" w:rsidR="00A1095B" w:rsidRPr="00024100" w:rsidRDefault="00A1095B" w:rsidP="00A1095B">
            <w:pPr>
              <w:widowControl w:val="0"/>
              <w:ind w:left="0" w:firstLine="0"/>
              <w:jc w:val="left"/>
              <w:rPr>
                <w:rFonts w:asciiTheme="minorHAnsi" w:hAnsiTheme="minorHAnsi" w:cstheme="minorHAnsi"/>
                <w:bCs/>
                <w:color w:val="000000"/>
                <w:sz w:val="22"/>
                <w:szCs w:val="22"/>
              </w:rPr>
            </w:pPr>
            <w:r>
              <w:rPr>
                <w:rFonts w:asciiTheme="minorHAnsi" w:hAnsiTheme="minorHAnsi"/>
                <w:color w:val="000000"/>
                <w:sz w:val="22"/>
              </w:rPr>
              <w:t>COP15 Doc.23.10</w:t>
            </w:r>
          </w:p>
        </w:tc>
        <w:tc>
          <w:tcPr>
            <w:tcW w:w="4533" w:type="dxa"/>
            <w:shd w:val="clear" w:color="auto" w:fill="auto"/>
            <w:noWrap/>
          </w:tcPr>
          <w:p w14:paraId="235D876B" w14:textId="0248ECFA" w:rsidR="00A1095B" w:rsidRPr="00024100" w:rsidRDefault="00A1095B" w:rsidP="00A1095B">
            <w:pPr>
              <w:widowControl w:val="0"/>
              <w:ind w:left="0" w:firstLine="0"/>
              <w:jc w:val="left"/>
              <w:rPr>
                <w:rFonts w:asciiTheme="minorHAnsi" w:hAnsiTheme="minorHAnsi" w:cstheme="minorHAnsi"/>
                <w:bCs/>
                <w:color w:val="000000"/>
                <w:sz w:val="22"/>
                <w:szCs w:val="22"/>
              </w:rPr>
            </w:pPr>
            <w:r>
              <w:rPr>
                <w:rFonts w:asciiTheme="minorHAnsi" w:hAnsiTheme="minorHAnsi"/>
                <w:color w:val="000000" w:themeColor="text1"/>
                <w:sz w:val="22"/>
              </w:rPr>
              <w:t>Projet de résolution sur l</w:t>
            </w:r>
            <w:r w:rsidR="00FC47B5">
              <w:rPr>
                <w:rFonts w:asciiTheme="minorHAnsi" w:hAnsiTheme="minorHAnsi"/>
                <w:color w:val="000000" w:themeColor="text1"/>
                <w:sz w:val="22"/>
              </w:rPr>
              <w:t>’</w:t>
            </w:r>
            <w:r>
              <w:rPr>
                <w:rFonts w:asciiTheme="minorHAnsi" w:hAnsiTheme="minorHAnsi"/>
                <w:color w:val="000000" w:themeColor="text1"/>
                <w:sz w:val="22"/>
              </w:rPr>
              <w:t>application future des aspects scientifiques et techniques de la Convention pour la période 2025-2028</w:t>
            </w:r>
          </w:p>
        </w:tc>
        <w:tc>
          <w:tcPr>
            <w:tcW w:w="4825" w:type="dxa"/>
            <w:shd w:val="clear" w:color="auto" w:fill="auto"/>
          </w:tcPr>
          <w:p w14:paraId="240EE7A7" w14:textId="24C87AC0" w:rsidR="00A1095B" w:rsidRPr="00024100" w:rsidRDefault="00824167"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themeColor="text1"/>
                <w:sz w:val="22"/>
              </w:rPr>
              <w:t>Le Secrétariat publiera les prochains appels à nominations pour les membres du Groupe d</w:t>
            </w:r>
            <w:r w:rsidR="00FC47B5">
              <w:rPr>
                <w:rFonts w:asciiTheme="minorHAnsi" w:hAnsiTheme="minorHAnsi"/>
                <w:color w:val="000000" w:themeColor="text1"/>
                <w:sz w:val="22"/>
              </w:rPr>
              <w:t>’</w:t>
            </w:r>
            <w:r>
              <w:rPr>
                <w:rFonts w:asciiTheme="minorHAnsi" w:hAnsiTheme="minorHAnsi"/>
                <w:color w:val="000000" w:themeColor="text1"/>
                <w:sz w:val="22"/>
              </w:rPr>
              <w:t>évaluation scientifique et technique (GEST).</w:t>
            </w:r>
          </w:p>
          <w:p w14:paraId="6AD9B733" w14:textId="77777777" w:rsidR="00A1095B" w:rsidRPr="00024100" w:rsidRDefault="00A1095B" w:rsidP="00A1095B">
            <w:pPr>
              <w:widowControl w:val="0"/>
              <w:ind w:left="0" w:firstLine="0"/>
              <w:jc w:val="left"/>
              <w:rPr>
                <w:rFonts w:asciiTheme="minorHAnsi" w:hAnsiTheme="minorHAnsi" w:cstheme="minorHAnsi"/>
                <w:color w:val="000000"/>
                <w:sz w:val="22"/>
                <w:szCs w:val="22"/>
              </w:rPr>
            </w:pPr>
          </w:p>
          <w:p w14:paraId="6DD850E9" w14:textId="3F64DE6D" w:rsidR="00A1095B" w:rsidRPr="00024100" w:rsidRDefault="00824167"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themeColor="text1"/>
                <w:sz w:val="22"/>
              </w:rPr>
              <w:t>Le Secrétariat, en consultation avec le GEST et des partenaires, poursuivra l</w:t>
            </w:r>
            <w:r w:rsidR="00FC47B5">
              <w:rPr>
                <w:rFonts w:asciiTheme="minorHAnsi" w:hAnsiTheme="minorHAnsi"/>
                <w:color w:val="000000" w:themeColor="text1"/>
                <w:sz w:val="22"/>
              </w:rPr>
              <w:t>’</w:t>
            </w:r>
            <w:r>
              <w:rPr>
                <w:rFonts w:asciiTheme="minorHAnsi" w:hAnsiTheme="minorHAnsi"/>
                <w:color w:val="000000" w:themeColor="text1"/>
                <w:sz w:val="22"/>
              </w:rPr>
              <w:t>élaboration d</w:t>
            </w:r>
            <w:r w:rsidR="00FC47B5">
              <w:rPr>
                <w:rFonts w:asciiTheme="minorHAnsi" w:hAnsiTheme="minorHAnsi"/>
                <w:color w:val="000000" w:themeColor="text1"/>
                <w:sz w:val="22"/>
              </w:rPr>
              <w:t>’</w:t>
            </w:r>
            <w:r>
              <w:rPr>
                <w:rFonts w:asciiTheme="minorHAnsi" w:hAnsiTheme="minorHAnsi"/>
                <w:color w:val="000000" w:themeColor="text1"/>
                <w:sz w:val="22"/>
              </w:rPr>
              <w:t>une initiative visant à mieux appliquer l</w:t>
            </w:r>
            <w:r w:rsidR="00FC47B5">
              <w:rPr>
                <w:rFonts w:asciiTheme="minorHAnsi" w:hAnsiTheme="minorHAnsi"/>
                <w:color w:val="000000" w:themeColor="text1"/>
                <w:sz w:val="22"/>
              </w:rPr>
              <w:t>’</w:t>
            </w:r>
            <w:r>
              <w:rPr>
                <w:rFonts w:asciiTheme="minorHAnsi" w:hAnsiTheme="minorHAnsi"/>
                <w:color w:val="000000" w:themeColor="text1"/>
                <w:sz w:val="22"/>
              </w:rPr>
              <w:t>observation de la Terre à l</w:t>
            </w:r>
            <w:r w:rsidR="00FC47B5">
              <w:rPr>
                <w:rFonts w:asciiTheme="minorHAnsi" w:hAnsiTheme="minorHAnsi"/>
                <w:color w:val="000000" w:themeColor="text1"/>
                <w:sz w:val="22"/>
              </w:rPr>
              <w:t>’</w:t>
            </w:r>
            <w:r>
              <w:rPr>
                <w:rFonts w:asciiTheme="minorHAnsi" w:hAnsiTheme="minorHAnsi"/>
                <w:color w:val="000000" w:themeColor="text1"/>
                <w:sz w:val="22"/>
              </w:rPr>
              <w:t xml:space="preserve">inventaire des zones humides, et fera rapport au Comité permanent. </w:t>
            </w:r>
          </w:p>
          <w:p w14:paraId="78F46570" w14:textId="77777777" w:rsidR="00A1095B" w:rsidRPr="00024100" w:rsidRDefault="00A1095B" w:rsidP="00A1095B">
            <w:pPr>
              <w:widowControl w:val="0"/>
              <w:ind w:left="0" w:firstLine="0"/>
              <w:jc w:val="left"/>
              <w:rPr>
                <w:rFonts w:asciiTheme="minorHAnsi" w:hAnsiTheme="minorHAnsi" w:cstheme="minorHAnsi"/>
                <w:color w:val="000000"/>
                <w:sz w:val="22"/>
                <w:szCs w:val="22"/>
              </w:rPr>
            </w:pPr>
          </w:p>
          <w:p w14:paraId="5620C8B2" w14:textId="498E62AC" w:rsidR="00A1095B" w:rsidRPr="00024100" w:rsidRDefault="00824167" w:rsidP="00A1095B">
            <w:pPr>
              <w:widowControl w:val="0"/>
              <w:ind w:left="0" w:firstLine="0"/>
              <w:jc w:val="left"/>
              <w:rPr>
                <w:rFonts w:asciiTheme="minorHAnsi" w:hAnsiTheme="minorHAnsi" w:cstheme="minorHAnsi"/>
                <w:color w:val="000000"/>
                <w:sz w:val="22"/>
                <w:szCs w:val="22"/>
                <w:highlight w:val="yellow"/>
              </w:rPr>
            </w:pPr>
            <w:r>
              <w:rPr>
                <w:rFonts w:asciiTheme="minorHAnsi" w:hAnsiTheme="minorHAnsi"/>
                <w:color w:val="000000" w:themeColor="text1"/>
                <w:sz w:val="22"/>
              </w:rPr>
              <w:t>Le Secrétariat étudiera de nouveaux mécanismes de financement permettant de soutenir les travaux scientifiques et techniques du GEST, y compris la possibilité de nouer des partenariats public-privé et de collaborer avec le secteur philanthropique.</w:t>
            </w:r>
          </w:p>
        </w:tc>
        <w:tc>
          <w:tcPr>
            <w:tcW w:w="1413" w:type="dxa"/>
            <w:shd w:val="clear" w:color="auto" w:fill="auto"/>
          </w:tcPr>
          <w:p w14:paraId="6E2264A8" w14:textId="3E0B084C"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themeColor="text1"/>
                <w:sz w:val="22"/>
              </w:rPr>
              <w:t>0</w:t>
            </w:r>
          </w:p>
          <w:p w14:paraId="19F85DAC" w14:textId="77777777" w:rsidR="00A1095B" w:rsidRPr="00024100" w:rsidRDefault="00A1095B" w:rsidP="00A1095B">
            <w:pPr>
              <w:widowControl w:val="0"/>
              <w:ind w:left="0" w:firstLine="0"/>
              <w:jc w:val="left"/>
              <w:rPr>
                <w:rFonts w:asciiTheme="minorHAnsi" w:hAnsiTheme="minorHAnsi" w:cstheme="minorHAnsi"/>
                <w:color w:val="000000"/>
                <w:sz w:val="22"/>
                <w:szCs w:val="22"/>
              </w:rPr>
            </w:pPr>
          </w:p>
          <w:p w14:paraId="3B2FBDE3" w14:textId="77777777" w:rsidR="00A1095B" w:rsidRDefault="00A1095B" w:rsidP="00A1095B">
            <w:pPr>
              <w:widowControl w:val="0"/>
              <w:ind w:left="0" w:firstLine="0"/>
              <w:jc w:val="left"/>
              <w:rPr>
                <w:rFonts w:asciiTheme="minorHAnsi" w:hAnsiTheme="minorHAnsi" w:cstheme="minorHAnsi"/>
                <w:color w:val="000000"/>
                <w:sz w:val="22"/>
                <w:szCs w:val="22"/>
              </w:rPr>
            </w:pPr>
          </w:p>
          <w:p w14:paraId="6AFB3029" w14:textId="77777777" w:rsidR="00824167" w:rsidRPr="00024100" w:rsidRDefault="00824167" w:rsidP="00A1095B">
            <w:pPr>
              <w:widowControl w:val="0"/>
              <w:ind w:left="0" w:firstLine="0"/>
              <w:jc w:val="left"/>
              <w:rPr>
                <w:rFonts w:asciiTheme="minorHAnsi" w:hAnsiTheme="minorHAnsi" w:cstheme="minorHAnsi"/>
                <w:color w:val="000000"/>
                <w:sz w:val="22"/>
                <w:szCs w:val="22"/>
              </w:rPr>
            </w:pPr>
          </w:p>
          <w:p w14:paraId="38500E2A" w14:textId="484A2A78"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themeColor="text1"/>
                <w:sz w:val="22"/>
              </w:rPr>
              <w:t>50</w:t>
            </w:r>
          </w:p>
          <w:p w14:paraId="59152045" w14:textId="77777777" w:rsidR="00A1095B" w:rsidRPr="00024100" w:rsidRDefault="00A1095B" w:rsidP="00A1095B">
            <w:pPr>
              <w:widowControl w:val="0"/>
              <w:ind w:left="0" w:firstLine="0"/>
              <w:jc w:val="left"/>
              <w:rPr>
                <w:rFonts w:asciiTheme="minorHAnsi" w:hAnsiTheme="minorHAnsi" w:cstheme="minorHAnsi"/>
                <w:color w:val="000000"/>
                <w:sz w:val="22"/>
                <w:szCs w:val="22"/>
              </w:rPr>
            </w:pPr>
          </w:p>
          <w:p w14:paraId="4F1758C3" w14:textId="77777777" w:rsidR="00A1095B" w:rsidRPr="00024100" w:rsidRDefault="00A1095B" w:rsidP="00A1095B">
            <w:pPr>
              <w:widowControl w:val="0"/>
              <w:ind w:left="0" w:firstLine="0"/>
              <w:jc w:val="left"/>
              <w:rPr>
                <w:rFonts w:asciiTheme="minorHAnsi" w:hAnsiTheme="minorHAnsi" w:cstheme="minorHAnsi"/>
                <w:color w:val="000000"/>
                <w:sz w:val="22"/>
                <w:szCs w:val="22"/>
              </w:rPr>
            </w:pPr>
          </w:p>
          <w:p w14:paraId="359584D1" w14:textId="77777777" w:rsidR="00A1095B" w:rsidRPr="00024100" w:rsidRDefault="00A1095B" w:rsidP="00A1095B">
            <w:pPr>
              <w:widowControl w:val="0"/>
              <w:ind w:left="0" w:firstLine="0"/>
              <w:jc w:val="left"/>
              <w:rPr>
                <w:rFonts w:asciiTheme="minorHAnsi" w:hAnsiTheme="minorHAnsi" w:cstheme="minorHAnsi"/>
                <w:color w:val="000000"/>
                <w:sz w:val="22"/>
                <w:szCs w:val="22"/>
              </w:rPr>
            </w:pPr>
          </w:p>
          <w:p w14:paraId="753D643D" w14:textId="77777777" w:rsidR="00A1095B" w:rsidRPr="00024100" w:rsidRDefault="00A1095B" w:rsidP="00A1095B">
            <w:pPr>
              <w:widowControl w:val="0"/>
              <w:ind w:left="0" w:firstLine="0"/>
              <w:jc w:val="left"/>
              <w:rPr>
                <w:rFonts w:asciiTheme="minorHAnsi" w:hAnsiTheme="minorHAnsi" w:cstheme="minorHAnsi"/>
                <w:color w:val="000000"/>
                <w:sz w:val="22"/>
                <w:szCs w:val="22"/>
              </w:rPr>
            </w:pPr>
          </w:p>
          <w:p w14:paraId="3876CEAB" w14:textId="77777777" w:rsidR="00A1095B" w:rsidRPr="00024100" w:rsidRDefault="00A1095B" w:rsidP="00A1095B">
            <w:pPr>
              <w:widowControl w:val="0"/>
              <w:ind w:left="0" w:firstLine="0"/>
              <w:jc w:val="left"/>
              <w:rPr>
                <w:rFonts w:asciiTheme="minorHAnsi" w:hAnsiTheme="minorHAnsi" w:cstheme="minorHAnsi"/>
                <w:color w:val="000000"/>
                <w:sz w:val="22"/>
                <w:szCs w:val="22"/>
              </w:rPr>
            </w:pPr>
          </w:p>
          <w:p w14:paraId="42C030AD" w14:textId="604C15C8"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themeColor="text1"/>
                <w:sz w:val="22"/>
              </w:rPr>
              <w:t>20</w:t>
            </w:r>
          </w:p>
        </w:tc>
        <w:tc>
          <w:tcPr>
            <w:tcW w:w="1706" w:type="dxa"/>
            <w:shd w:val="clear" w:color="auto" w:fill="auto"/>
          </w:tcPr>
          <w:p w14:paraId="125ABB7C" w14:textId="77777777" w:rsidR="00A1095B" w:rsidRDefault="00A1095B" w:rsidP="00A1095B">
            <w:pPr>
              <w:widowControl w:val="0"/>
              <w:ind w:left="0" w:firstLine="0"/>
              <w:jc w:val="left"/>
              <w:rPr>
                <w:rFonts w:asciiTheme="minorHAnsi" w:hAnsiTheme="minorHAnsi" w:cstheme="minorHAnsi"/>
                <w:sz w:val="22"/>
                <w:szCs w:val="22"/>
              </w:rPr>
            </w:pPr>
          </w:p>
          <w:p w14:paraId="03CD691D" w14:textId="77777777" w:rsidR="00A1095B" w:rsidRDefault="00A1095B" w:rsidP="00824167">
            <w:pPr>
              <w:widowControl w:val="0"/>
              <w:ind w:left="0" w:firstLine="0"/>
              <w:jc w:val="center"/>
              <w:rPr>
                <w:rFonts w:asciiTheme="minorHAnsi" w:hAnsiTheme="minorHAnsi" w:cstheme="minorHAnsi"/>
                <w:sz w:val="22"/>
                <w:szCs w:val="22"/>
              </w:rPr>
            </w:pPr>
          </w:p>
          <w:p w14:paraId="557687B7" w14:textId="77777777" w:rsidR="00824167" w:rsidRDefault="00824167" w:rsidP="00824167">
            <w:pPr>
              <w:widowControl w:val="0"/>
              <w:ind w:left="0" w:firstLine="0"/>
              <w:jc w:val="center"/>
              <w:rPr>
                <w:rFonts w:asciiTheme="minorHAnsi" w:hAnsiTheme="minorHAnsi" w:cstheme="minorHAnsi"/>
                <w:sz w:val="22"/>
                <w:szCs w:val="22"/>
              </w:rPr>
            </w:pPr>
          </w:p>
          <w:p w14:paraId="7451350C" w14:textId="77777777" w:rsidR="00A1095B" w:rsidRDefault="00A1095B" w:rsidP="00A1095B">
            <w:pPr>
              <w:widowControl w:val="0"/>
              <w:ind w:left="0" w:firstLine="0"/>
              <w:jc w:val="left"/>
              <w:rPr>
                <w:rFonts w:asciiTheme="minorHAnsi" w:hAnsiTheme="minorHAnsi" w:cstheme="minorHAnsi"/>
                <w:sz w:val="22"/>
                <w:szCs w:val="22"/>
              </w:rPr>
            </w:pPr>
          </w:p>
          <w:p w14:paraId="083B0201" w14:textId="7A4641A4" w:rsidR="00A1095B" w:rsidRPr="00024100" w:rsidRDefault="00A1095B" w:rsidP="00A1095B">
            <w:pPr>
              <w:widowControl w:val="0"/>
              <w:ind w:left="0" w:firstLine="0"/>
              <w:jc w:val="left"/>
              <w:rPr>
                <w:rFonts w:asciiTheme="minorHAnsi" w:hAnsiTheme="minorHAnsi" w:cstheme="minorHAnsi"/>
                <w:sz w:val="22"/>
                <w:szCs w:val="22"/>
              </w:rPr>
            </w:pPr>
            <w:r>
              <w:rPr>
                <w:rFonts w:asciiTheme="minorHAnsi" w:hAnsiTheme="minorHAnsi"/>
                <w:sz w:val="22"/>
              </w:rPr>
              <w:t xml:space="preserve">105 000 </w:t>
            </w:r>
            <w:r>
              <w:rPr>
                <w:rFonts w:asciiTheme="minorHAnsi" w:hAnsiTheme="minorHAnsi"/>
                <w:sz w:val="22"/>
              </w:rPr>
              <w:br/>
              <w:t>(budget administratif)</w:t>
            </w:r>
          </w:p>
        </w:tc>
      </w:tr>
      <w:tr w:rsidR="00A1095B" w:rsidRPr="00024100" w14:paraId="6E03E5EC" w14:textId="77777777" w:rsidTr="00270374">
        <w:trPr>
          <w:cantSplit/>
        </w:trPr>
        <w:tc>
          <w:tcPr>
            <w:tcW w:w="1699" w:type="dxa"/>
            <w:shd w:val="clear" w:color="auto" w:fill="auto"/>
            <w:noWrap/>
          </w:tcPr>
          <w:p w14:paraId="5BB152B7" w14:textId="617717EF" w:rsidR="00A1095B" w:rsidRPr="00024100" w:rsidRDefault="00A1095B" w:rsidP="00A1095B">
            <w:pPr>
              <w:widowControl w:val="0"/>
              <w:ind w:left="0" w:firstLine="0"/>
              <w:jc w:val="left"/>
              <w:rPr>
                <w:rFonts w:asciiTheme="minorHAnsi" w:hAnsiTheme="minorHAnsi" w:cstheme="minorHAnsi"/>
                <w:bCs/>
                <w:color w:val="000000"/>
                <w:sz w:val="22"/>
                <w:szCs w:val="22"/>
              </w:rPr>
            </w:pPr>
            <w:r>
              <w:rPr>
                <w:rFonts w:asciiTheme="minorHAnsi" w:hAnsiTheme="minorHAnsi"/>
                <w:color w:val="000000"/>
                <w:sz w:val="22"/>
              </w:rPr>
              <w:lastRenderedPageBreak/>
              <w:t>COP15 Doc.23.11</w:t>
            </w:r>
          </w:p>
        </w:tc>
        <w:tc>
          <w:tcPr>
            <w:tcW w:w="4533" w:type="dxa"/>
            <w:shd w:val="clear" w:color="auto" w:fill="auto"/>
            <w:noWrap/>
          </w:tcPr>
          <w:p w14:paraId="3CBF2753" w14:textId="42D69F1A" w:rsidR="00A1095B" w:rsidRPr="00024100" w:rsidRDefault="00A1095B" w:rsidP="00A1095B">
            <w:pPr>
              <w:widowControl w:val="0"/>
              <w:ind w:left="0" w:firstLine="0"/>
              <w:jc w:val="left"/>
              <w:rPr>
                <w:rFonts w:asciiTheme="minorHAnsi" w:hAnsiTheme="minorHAnsi" w:cstheme="minorHAnsi"/>
                <w:bCs/>
                <w:color w:val="000000"/>
                <w:sz w:val="22"/>
                <w:szCs w:val="22"/>
              </w:rPr>
            </w:pPr>
            <w:r>
              <w:rPr>
                <w:rFonts w:asciiTheme="minorHAnsi" w:hAnsiTheme="minorHAnsi"/>
                <w:color w:val="000000"/>
                <w:sz w:val="22"/>
              </w:rPr>
              <w:t>Projet de résolution sur la création du Partenariat pour les estimations des populations d</w:t>
            </w:r>
            <w:r w:rsidR="00FC47B5">
              <w:rPr>
                <w:rFonts w:asciiTheme="minorHAnsi" w:hAnsiTheme="minorHAnsi"/>
                <w:color w:val="000000"/>
                <w:sz w:val="22"/>
              </w:rPr>
              <w:t>’</w:t>
            </w:r>
            <w:r>
              <w:rPr>
                <w:rFonts w:asciiTheme="minorHAnsi" w:hAnsiTheme="minorHAnsi"/>
                <w:color w:val="000000"/>
                <w:sz w:val="22"/>
              </w:rPr>
              <w:t>oiseaux d</w:t>
            </w:r>
            <w:r w:rsidR="00FC47B5">
              <w:rPr>
                <w:rFonts w:asciiTheme="minorHAnsi" w:hAnsiTheme="minorHAnsi"/>
                <w:color w:val="000000"/>
                <w:sz w:val="22"/>
              </w:rPr>
              <w:t>’</w:t>
            </w:r>
            <w:r>
              <w:rPr>
                <w:rFonts w:asciiTheme="minorHAnsi" w:hAnsiTheme="minorHAnsi"/>
                <w:color w:val="000000"/>
                <w:sz w:val="22"/>
              </w:rPr>
              <w:t>eau et la publication de l</w:t>
            </w:r>
            <w:r w:rsidR="00FC47B5">
              <w:rPr>
                <w:rFonts w:asciiTheme="minorHAnsi" w:hAnsiTheme="minorHAnsi"/>
                <w:color w:val="000000"/>
                <w:sz w:val="22"/>
              </w:rPr>
              <w:t>’</w:t>
            </w:r>
            <w:r>
              <w:rPr>
                <w:rFonts w:asciiTheme="minorHAnsi" w:hAnsiTheme="minorHAnsi"/>
                <w:color w:val="000000"/>
                <w:sz w:val="22"/>
              </w:rPr>
              <w:t xml:space="preserve">édition 2027 du rapport </w:t>
            </w:r>
            <w:r>
              <w:rPr>
                <w:rFonts w:asciiTheme="minorHAnsi" w:hAnsiTheme="minorHAnsi"/>
                <w:i/>
                <w:iCs/>
                <w:color w:val="000000"/>
                <w:sz w:val="22"/>
              </w:rPr>
              <w:t>Waterbird Population Estimates</w:t>
            </w:r>
          </w:p>
        </w:tc>
        <w:tc>
          <w:tcPr>
            <w:tcW w:w="4825" w:type="dxa"/>
            <w:shd w:val="clear" w:color="auto" w:fill="auto"/>
          </w:tcPr>
          <w:p w14:paraId="0C5463C3" w14:textId="5561B29C" w:rsidR="00A1095B" w:rsidRPr="00024100" w:rsidRDefault="00824167" w:rsidP="00A1095B">
            <w:pPr>
              <w:widowControl w:val="0"/>
              <w:ind w:left="0" w:firstLine="0"/>
              <w:jc w:val="left"/>
              <w:rPr>
                <w:rFonts w:asciiTheme="minorHAnsi" w:hAnsiTheme="minorHAnsi" w:cstheme="minorBidi"/>
                <w:color w:val="000000"/>
                <w:sz w:val="22"/>
                <w:szCs w:val="22"/>
              </w:rPr>
            </w:pPr>
            <w:r>
              <w:rPr>
                <w:rFonts w:asciiTheme="minorHAnsi" w:hAnsiTheme="minorHAnsi"/>
                <w:sz w:val="22"/>
              </w:rPr>
              <w:t>Le Secrétariat, en consultation avec le GEST et sur la base des informations fournies par le Partenariat pour les estimations des populations d</w:t>
            </w:r>
            <w:r w:rsidR="00FC47B5">
              <w:rPr>
                <w:rFonts w:asciiTheme="minorHAnsi" w:hAnsiTheme="minorHAnsi"/>
                <w:sz w:val="22"/>
              </w:rPr>
              <w:t>’</w:t>
            </w:r>
            <w:r>
              <w:rPr>
                <w:rFonts w:asciiTheme="minorHAnsi" w:hAnsiTheme="minorHAnsi"/>
                <w:sz w:val="22"/>
              </w:rPr>
              <w:t>oiseaux d</w:t>
            </w:r>
            <w:r w:rsidR="00FC47B5">
              <w:rPr>
                <w:rFonts w:asciiTheme="minorHAnsi" w:hAnsiTheme="minorHAnsi"/>
                <w:sz w:val="22"/>
              </w:rPr>
              <w:t>’</w:t>
            </w:r>
            <w:r>
              <w:rPr>
                <w:rFonts w:asciiTheme="minorHAnsi" w:hAnsiTheme="minorHAnsi"/>
                <w:sz w:val="22"/>
              </w:rPr>
              <w:t>eau (WEP), fournira à la 67</w:t>
            </w:r>
            <w:r>
              <w:rPr>
                <w:rFonts w:asciiTheme="minorHAnsi" w:hAnsiTheme="minorHAnsi"/>
                <w:sz w:val="22"/>
                <w:vertAlign w:val="superscript"/>
              </w:rPr>
              <w:t>e</w:t>
            </w:r>
            <w:r>
              <w:rPr>
                <w:rFonts w:asciiTheme="minorHAnsi" w:hAnsiTheme="minorHAnsi"/>
                <w:sz w:val="22"/>
              </w:rPr>
              <w:t xml:space="preserve"> réunion du Comité permanent une actualisation des coûts à prévoir pour la production de l</w:t>
            </w:r>
            <w:r w:rsidR="00FC47B5">
              <w:rPr>
                <w:rFonts w:asciiTheme="minorHAnsi" w:hAnsiTheme="minorHAnsi"/>
                <w:sz w:val="22"/>
              </w:rPr>
              <w:t>’</w:t>
            </w:r>
            <w:r>
              <w:rPr>
                <w:rFonts w:asciiTheme="minorHAnsi" w:hAnsiTheme="minorHAnsi"/>
                <w:sz w:val="22"/>
              </w:rPr>
              <w:t xml:space="preserve">édition 2027 du </w:t>
            </w:r>
            <w:r>
              <w:rPr>
                <w:rFonts w:asciiTheme="minorHAnsi" w:hAnsiTheme="minorHAnsi"/>
                <w:i/>
                <w:iCs/>
                <w:sz w:val="22"/>
              </w:rPr>
              <w:t>Waterbird Population Estimates</w:t>
            </w:r>
            <w:r>
              <w:rPr>
                <w:rFonts w:asciiTheme="minorHAnsi" w:hAnsiTheme="minorHAnsi"/>
                <w:sz w:val="22"/>
              </w:rPr>
              <w:t xml:space="preserve"> (WPE2027) et la réalisation les activités du WEP ; il fournira en outre des conseils sur différents points d</w:t>
            </w:r>
            <w:r w:rsidR="00FC47B5">
              <w:rPr>
                <w:rFonts w:asciiTheme="minorHAnsi" w:hAnsiTheme="minorHAnsi"/>
                <w:sz w:val="22"/>
              </w:rPr>
              <w:t>’</w:t>
            </w:r>
            <w:r>
              <w:rPr>
                <w:rFonts w:asciiTheme="minorHAnsi" w:hAnsiTheme="minorHAnsi"/>
                <w:sz w:val="22"/>
              </w:rPr>
              <w:t>ordre technique ou opérationnel afin de soutenir la mise en place et l</w:t>
            </w:r>
            <w:r w:rsidR="00FC47B5">
              <w:rPr>
                <w:rFonts w:asciiTheme="minorHAnsi" w:hAnsiTheme="minorHAnsi"/>
                <w:sz w:val="22"/>
              </w:rPr>
              <w:t>’</w:t>
            </w:r>
            <w:r>
              <w:rPr>
                <w:rFonts w:asciiTheme="minorHAnsi" w:hAnsiTheme="minorHAnsi"/>
                <w:sz w:val="22"/>
              </w:rPr>
              <w:t>entrée en activité du WEP (y compris en facilitant la formation d</w:t>
            </w:r>
            <w:r w:rsidR="00FC47B5">
              <w:rPr>
                <w:rFonts w:asciiTheme="minorHAnsi" w:hAnsiTheme="minorHAnsi"/>
                <w:sz w:val="22"/>
              </w:rPr>
              <w:t>’</w:t>
            </w:r>
            <w:r>
              <w:rPr>
                <w:rFonts w:asciiTheme="minorHAnsi" w:hAnsiTheme="minorHAnsi"/>
                <w:sz w:val="22"/>
              </w:rPr>
              <w:t>un Comité de coordination provisoire conformément à l</w:t>
            </w:r>
            <w:r w:rsidR="00FC47B5">
              <w:rPr>
                <w:rFonts w:asciiTheme="minorHAnsi" w:hAnsiTheme="minorHAnsi"/>
                <w:sz w:val="22"/>
              </w:rPr>
              <w:t>’</w:t>
            </w:r>
            <w:r>
              <w:rPr>
                <w:rFonts w:asciiTheme="minorHAnsi" w:hAnsiTheme="minorHAnsi"/>
                <w:sz w:val="22"/>
              </w:rPr>
              <w:t>annexe 1).</w:t>
            </w:r>
          </w:p>
        </w:tc>
        <w:tc>
          <w:tcPr>
            <w:tcW w:w="1413" w:type="dxa"/>
            <w:shd w:val="clear" w:color="auto" w:fill="auto"/>
          </w:tcPr>
          <w:p w14:paraId="1C83E3B1" w14:textId="69419997"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themeColor="text1"/>
                <w:sz w:val="22"/>
              </w:rPr>
              <w:t>20</w:t>
            </w:r>
          </w:p>
        </w:tc>
        <w:tc>
          <w:tcPr>
            <w:tcW w:w="1706" w:type="dxa"/>
            <w:shd w:val="clear" w:color="auto" w:fill="auto"/>
          </w:tcPr>
          <w:p w14:paraId="0AC2CB74" w14:textId="14AE27C0"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themeColor="text1"/>
                <w:sz w:val="22"/>
              </w:rPr>
              <w:t>465 000 (financement volontaire)</w:t>
            </w:r>
          </w:p>
        </w:tc>
      </w:tr>
      <w:tr w:rsidR="00A1095B" w:rsidRPr="00024100" w14:paraId="1F4CB378" w14:textId="77777777" w:rsidTr="00270374">
        <w:trPr>
          <w:cantSplit/>
        </w:trPr>
        <w:tc>
          <w:tcPr>
            <w:tcW w:w="1699" w:type="dxa"/>
            <w:shd w:val="clear" w:color="auto" w:fill="auto"/>
            <w:noWrap/>
          </w:tcPr>
          <w:p w14:paraId="4BA842E8" w14:textId="1E45B48B" w:rsidR="00A1095B" w:rsidRPr="00024100" w:rsidRDefault="00A1095B" w:rsidP="00A1095B">
            <w:pPr>
              <w:widowControl w:val="0"/>
              <w:ind w:left="0" w:firstLine="0"/>
              <w:jc w:val="left"/>
              <w:rPr>
                <w:rFonts w:asciiTheme="minorHAnsi" w:hAnsiTheme="minorHAnsi" w:cstheme="minorHAnsi"/>
                <w:bCs/>
                <w:color w:val="000000"/>
                <w:sz w:val="22"/>
                <w:szCs w:val="22"/>
              </w:rPr>
            </w:pPr>
            <w:r>
              <w:rPr>
                <w:rFonts w:asciiTheme="minorHAnsi" w:hAnsiTheme="minorHAnsi"/>
                <w:color w:val="000000"/>
                <w:sz w:val="22"/>
              </w:rPr>
              <w:t>COP15 Doc.23.12</w:t>
            </w:r>
          </w:p>
        </w:tc>
        <w:tc>
          <w:tcPr>
            <w:tcW w:w="4533" w:type="dxa"/>
            <w:shd w:val="clear" w:color="auto" w:fill="auto"/>
            <w:noWrap/>
          </w:tcPr>
          <w:p w14:paraId="111B8F48" w14:textId="178CCF02" w:rsidR="00A1095B" w:rsidRPr="00024100" w:rsidRDefault="00A1095B" w:rsidP="00A1095B">
            <w:pPr>
              <w:widowControl w:val="0"/>
              <w:ind w:left="0" w:firstLine="0"/>
              <w:jc w:val="left"/>
              <w:rPr>
                <w:rFonts w:asciiTheme="minorHAnsi" w:hAnsiTheme="minorHAnsi" w:cstheme="minorHAnsi"/>
                <w:bCs/>
                <w:color w:val="000000"/>
                <w:sz w:val="22"/>
                <w:szCs w:val="22"/>
              </w:rPr>
            </w:pPr>
            <w:r>
              <w:rPr>
                <w:rFonts w:asciiTheme="minorHAnsi" w:hAnsiTheme="minorHAnsi"/>
                <w:color w:val="000000"/>
                <w:sz w:val="22"/>
              </w:rPr>
              <w:t>Projet de résolution sur l</w:t>
            </w:r>
            <w:r w:rsidR="00FC47B5">
              <w:rPr>
                <w:rFonts w:asciiTheme="minorHAnsi" w:hAnsiTheme="minorHAnsi"/>
                <w:color w:val="000000"/>
                <w:sz w:val="22"/>
              </w:rPr>
              <w:t>’</w:t>
            </w:r>
            <w:r>
              <w:rPr>
                <w:rFonts w:asciiTheme="minorHAnsi" w:hAnsiTheme="minorHAnsi"/>
                <w:color w:val="000000"/>
                <w:sz w:val="22"/>
              </w:rPr>
              <w:t>application des Critères 6 et 9 aux nouvelles zones humides d</w:t>
            </w:r>
            <w:r w:rsidR="00FC47B5">
              <w:rPr>
                <w:rFonts w:asciiTheme="minorHAnsi" w:hAnsiTheme="minorHAnsi"/>
                <w:color w:val="000000"/>
                <w:sz w:val="22"/>
              </w:rPr>
              <w:t>’</w:t>
            </w:r>
            <w:r>
              <w:rPr>
                <w:rFonts w:asciiTheme="minorHAnsi" w:hAnsiTheme="minorHAnsi"/>
                <w:color w:val="000000"/>
                <w:sz w:val="22"/>
              </w:rPr>
              <w:t>importance internationale et aux zones déjà inscrites</w:t>
            </w:r>
          </w:p>
        </w:tc>
        <w:tc>
          <w:tcPr>
            <w:tcW w:w="4825" w:type="dxa"/>
            <w:shd w:val="clear" w:color="auto" w:fill="auto"/>
          </w:tcPr>
          <w:p w14:paraId="40B378F9" w14:textId="6CA62AD5" w:rsidR="00A1095B" w:rsidRPr="00024100" w:rsidRDefault="00824167" w:rsidP="00A1095B">
            <w:pPr>
              <w:widowControl w:val="0"/>
              <w:ind w:left="0" w:firstLine="0"/>
              <w:jc w:val="left"/>
              <w:rPr>
                <w:rFonts w:asciiTheme="minorHAnsi" w:hAnsiTheme="minorHAnsi" w:cstheme="minorHAnsi"/>
                <w:b/>
                <w:bCs/>
                <w:color w:val="000000"/>
                <w:sz w:val="22"/>
                <w:szCs w:val="22"/>
              </w:rPr>
            </w:pPr>
            <w:r>
              <w:rPr>
                <w:rFonts w:asciiTheme="minorHAnsi" w:hAnsiTheme="minorHAnsi"/>
                <w:color w:val="000000" w:themeColor="text1"/>
                <w:sz w:val="22"/>
              </w:rPr>
              <w:t xml:space="preserve">Le Secrétariat apportera des amendements au </w:t>
            </w:r>
            <w:r>
              <w:rPr>
                <w:rFonts w:asciiTheme="minorHAnsi" w:hAnsiTheme="minorHAnsi"/>
                <w:i/>
                <w:iCs/>
                <w:color w:val="000000" w:themeColor="text1"/>
                <w:sz w:val="22"/>
              </w:rPr>
              <w:t>Cadre stratégique et lignes directrices pour orienter l</w:t>
            </w:r>
            <w:r w:rsidR="00FC47B5">
              <w:rPr>
                <w:rFonts w:asciiTheme="minorHAnsi" w:hAnsiTheme="minorHAnsi"/>
                <w:i/>
                <w:iCs/>
                <w:color w:val="000000" w:themeColor="text1"/>
                <w:sz w:val="22"/>
              </w:rPr>
              <w:t>’</w:t>
            </w:r>
            <w:r>
              <w:rPr>
                <w:rFonts w:asciiTheme="minorHAnsi" w:hAnsiTheme="minorHAnsi"/>
                <w:i/>
                <w:iCs/>
                <w:color w:val="000000" w:themeColor="text1"/>
                <w:sz w:val="22"/>
              </w:rPr>
              <w:t>évolution de la Liste des zones humides d</w:t>
            </w:r>
            <w:r w:rsidR="00FC47B5">
              <w:rPr>
                <w:rFonts w:asciiTheme="minorHAnsi" w:hAnsiTheme="minorHAnsi"/>
                <w:i/>
                <w:iCs/>
                <w:color w:val="000000" w:themeColor="text1"/>
                <w:sz w:val="22"/>
              </w:rPr>
              <w:t>’</w:t>
            </w:r>
            <w:r>
              <w:rPr>
                <w:rFonts w:asciiTheme="minorHAnsi" w:hAnsiTheme="minorHAnsi"/>
                <w:i/>
                <w:iCs/>
                <w:color w:val="000000" w:themeColor="text1"/>
                <w:sz w:val="22"/>
              </w:rPr>
              <w:t>importance internationale</w:t>
            </w:r>
            <w:r>
              <w:rPr>
                <w:rFonts w:asciiTheme="minorHAnsi" w:hAnsiTheme="minorHAnsi"/>
                <w:color w:val="000000" w:themeColor="text1"/>
                <w:sz w:val="22"/>
              </w:rPr>
              <w:t> ; informera les autres accords multilatéraux sur l</w:t>
            </w:r>
            <w:r w:rsidR="00FC47B5">
              <w:rPr>
                <w:rFonts w:asciiTheme="minorHAnsi" w:hAnsiTheme="minorHAnsi"/>
                <w:color w:val="000000" w:themeColor="text1"/>
                <w:sz w:val="22"/>
              </w:rPr>
              <w:t>’</w:t>
            </w:r>
            <w:r>
              <w:rPr>
                <w:rFonts w:asciiTheme="minorHAnsi" w:hAnsiTheme="minorHAnsi"/>
                <w:color w:val="000000" w:themeColor="text1"/>
                <w:sz w:val="22"/>
              </w:rPr>
              <w:t>environnement ; et, sur la base des informations fournies par le GEST, lancera une mise à jour triennale des listes de la Convention des estimations des populations et seuils de 1 % pour l</w:t>
            </w:r>
            <w:r w:rsidR="00FC47B5">
              <w:rPr>
                <w:rFonts w:asciiTheme="minorHAnsi" w:hAnsiTheme="minorHAnsi"/>
                <w:color w:val="000000" w:themeColor="text1"/>
                <w:sz w:val="22"/>
              </w:rPr>
              <w:t>’</w:t>
            </w:r>
            <w:r>
              <w:rPr>
                <w:rFonts w:asciiTheme="minorHAnsi" w:hAnsiTheme="minorHAnsi"/>
                <w:color w:val="000000" w:themeColor="text1"/>
                <w:sz w:val="22"/>
              </w:rPr>
              <w:t xml:space="preserve">application du Critère 9. </w:t>
            </w:r>
          </w:p>
          <w:p w14:paraId="67DB5495" w14:textId="77777777" w:rsidR="00A1095B" w:rsidRPr="00024100" w:rsidRDefault="00A1095B" w:rsidP="00A1095B">
            <w:pPr>
              <w:widowControl w:val="0"/>
              <w:ind w:left="0" w:firstLine="0"/>
              <w:jc w:val="left"/>
              <w:rPr>
                <w:rFonts w:asciiTheme="minorHAnsi" w:hAnsiTheme="minorHAnsi" w:cstheme="minorHAnsi"/>
                <w:color w:val="000000"/>
                <w:sz w:val="22"/>
                <w:szCs w:val="22"/>
              </w:rPr>
            </w:pPr>
          </w:p>
          <w:p w14:paraId="69547E31" w14:textId="74B5F6FB" w:rsidR="00A1095B" w:rsidRPr="00024100" w:rsidRDefault="00824167"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themeColor="text1"/>
                <w:sz w:val="22"/>
              </w:rPr>
              <w:t>Le Secrétariat, en coopération avec le GEST, mettra au point des initiatives de renforcement des capacités sur l</w:t>
            </w:r>
            <w:r w:rsidR="00FC47B5">
              <w:rPr>
                <w:rFonts w:asciiTheme="minorHAnsi" w:hAnsiTheme="minorHAnsi"/>
                <w:color w:val="000000" w:themeColor="text1"/>
                <w:sz w:val="22"/>
              </w:rPr>
              <w:t>’</w:t>
            </w:r>
            <w:r>
              <w:rPr>
                <w:rFonts w:asciiTheme="minorHAnsi" w:hAnsiTheme="minorHAnsi"/>
                <w:color w:val="000000" w:themeColor="text1"/>
                <w:sz w:val="22"/>
              </w:rPr>
              <w:t>application des Critères 6 et 9.</w:t>
            </w:r>
          </w:p>
        </w:tc>
        <w:tc>
          <w:tcPr>
            <w:tcW w:w="1413" w:type="dxa"/>
            <w:shd w:val="clear" w:color="auto" w:fill="auto"/>
          </w:tcPr>
          <w:p w14:paraId="60A9A653" w14:textId="6CEB7E5C"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themeColor="text1"/>
                <w:sz w:val="22"/>
              </w:rPr>
              <w:t>0</w:t>
            </w:r>
          </w:p>
          <w:p w14:paraId="7DF890DF" w14:textId="77777777" w:rsidR="00A1095B" w:rsidRPr="00024100" w:rsidRDefault="00A1095B" w:rsidP="00A1095B">
            <w:pPr>
              <w:widowControl w:val="0"/>
              <w:ind w:left="0" w:firstLine="0"/>
              <w:jc w:val="left"/>
              <w:rPr>
                <w:rFonts w:asciiTheme="minorHAnsi" w:hAnsiTheme="minorHAnsi" w:cstheme="minorHAnsi"/>
                <w:color w:val="000000"/>
                <w:sz w:val="22"/>
                <w:szCs w:val="22"/>
              </w:rPr>
            </w:pPr>
          </w:p>
          <w:p w14:paraId="3AB16EB1" w14:textId="77777777" w:rsidR="00A1095B" w:rsidRPr="00024100" w:rsidRDefault="00A1095B" w:rsidP="00A1095B">
            <w:pPr>
              <w:widowControl w:val="0"/>
              <w:ind w:left="0" w:firstLine="0"/>
              <w:jc w:val="left"/>
              <w:rPr>
                <w:rFonts w:asciiTheme="minorHAnsi" w:hAnsiTheme="minorHAnsi" w:cstheme="minorHAnsi"/>
                <w:color w:val="000000"/>
                <w:sz w:val="22"/>
                <w:szCs w:val="22"/>
              </w:rPr>
            </w:pPr>
          </w:p>
          <w:p w14:paraId="75481EB5" w14:textId="77777777" w:rsidR="00A1095B" w:rsidRPr="00024100" w:rsidRDefault="00A1095B" w:rsidP="00A1095B">
            <w:pPr>
              <w:widowControl w:val="0"/>
              <w:ind w:left="0" w:firstLine="0"/>
              <w:jc w:val="left"/>
              <w:rPr>
                <w:rFonts w:asciiTheme="minorHAnsi" w:hAnsiTheme="minorHAnsi" w:cstheme="minorHAnsi"/>
                <w:color w:val="000000"/>
                <w:sz w:val="22"/>
                <w:szCs w:val="22"/>
              </w:rPr>
            </w:pPr>
          </w:p>
          <w:p w14:paraId="1EE2EAB1" w14:textId="77777777" w:rsidR="00A1095B" w:rsidRPr="00024100" w:rsidRDefault="00A1095B" w:rsidP="00A1095B">
            <w:pPr>
              <w:widowControl w:val="0"/>
              <w:ind w:left="0" w:firstLine="0"/>
              <w:jc w:val="left"/>
              <w:rPr>
                <w:rFonts w:asciiTheme="minorHAnsi" w:hAnsiTheme="minorHAnsi" w:cstheme="minorHAnsi"/>
                <w:color w:val="000000"/>
                <w:sz w:val="22"/>
                <w:szCs w:val="22"/>
              </w:rPr>
            </w:pPr>
          </w:p>
          <w:p w14:paraId="2BD6E469" w14:textId="77777777" w:rsidR="00A1095B" w:rsidRDefault="00A1095B" w:rsidP="00A1095B">
            <w:pPr>
              <w:widowControl w:val="0"/>
              <w:ind w:left="0" w:firstLine="0"/>
              <w:jc w:val="left"/>
              <w:rPr>
                <w:rFonts w:asciiTheme="minorHAnsi" w:hAnsiTheme="minorHAnsi" w:cstheme="minorHAnsi"/>
                <w:color w:val="000000"/>
                <w:sz w:val="22"/>
                <w:szCs w:val="22"/>
              </w:rPr>
            </w:pPr>
          </w:p>
          <w:p w14:paraId="7788B29E" w14:textId="77777777" w:rsidR="00824167" w:rsidRDefault="00824167" w:rsidP="00A1095B">
            <w:pPr>
              <w:widowControl w:val="0"/>
              <w:ind w:left="0" w:firstLine="0"/>
              <w:jc w:val="left"/>
              <w:rPr>
                <w:rFonts w:asciiTheme="minorHAnsi" w:hAnsiTheme="minorHAnsi" w:cstheme="minorHAnsi"/>
                <w:color w:val="000000"/>
                <w:sz w:val="22"/>
                <w:szCs w:val="22"/>
              </w:rPr>
            </w:pPr>
          </w:p>
          <w:p w14:paraId="2CD28AC5" w14:textId="77777777" w:rsidR="00824167" w:rsidRPr="00024100" w:rsidRDefault="00824167" w:rsidP="00A1095B">
            <w:pPr>
              <w:widowControl w:val="0"/>
              <w:ind w:left="0" w:firstLine="0"/>
              <w:jc w:val="left"/>
              <w:rPr>
                <w:rFonts w:asciiTheme="minorHAnsi" w:hAnsiTheme="minorHAnsi" w:cstheme="minorHAnsi"/>
                <w:color w:val="000000"/>
                <w:sz w:val="22"/>
                <w:szCs w:val="22"/>
              </w:rPr>
            </w:pPr>
          </w:p>
          <w:p w14:paraId="697A111D" w14:textId="03B8F1BF"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themeColor="text1"/>
                <w:sz w:val="22"/>
              </w:rPr>
              <w:t>En fonction de l</w:t>
            </w:r>
            <w:r w:rsidR="00FC47B5">
              <w:rPr>
                <w:rFonts w:asciiTheme="minorHAnsi" w:hAnsiTheme="minorHAnsi"/>
                <w:color w:val="000000" w:themeColor="text1"/>
                <w:sz w:val="22"/>
              </w:rPr>
              <w:t>’</w:t>
            </w:r>
            <w:r>
              <w:rPr>
                <w:rFonts w:asciiTheme="minorHAnsi" w:hAnsiTheme="minorHAnsi"/>
                <w:color w:val="000000" w:themeColor="text1"/>
                <w:sz w:val="22"/>
              </w:rPr>
              <w:t>approche retenue</w:t>
            </w:r>
          </w:p>
        </w:tc>
        <w:tc>
          <w:tcPr>
            <w:tcW w:w="1706" w:type="dxa"/>
            <w:shd w:val="clear" w:color="auto" w:fill="auto"/>
          </w:tcPr>
          <w:p w14:paraId="735304C7" w14:textId="4C660FB4" w:rsidR="00A1095B" w:rsidRPr="00024100" w:rsidRDefault="00A1095B" w:rsidP="00A1095B">
            <w:pPr>
              <w:widowControl w:val="0"/>
              <w:ind w:left="0" w:firstLine="0"/>
              <w:jc w:val="left"/>
              <w:rPr>
                <w:rFonts w:asciiTheme="minorHAnsi" w:hAnsiTheme="minorHAnsi" w:cstheme="minorHAnsi"/>
                <w:color w:val="000000" w:themeColor="text1"/>
                <w:sz w:val="22"/>
                <w:szCs w:val="22"/>
              </w:rPr>
            </w:pPr>
            <w:r>
              <w:rPr>
                <w:rFonts w:asciiTheme="minorHAnsi" w:hAnsiTheme="minorHAnsi"/>
                <w:color w:val="000000" w:themeColor="text1"/>
                <w:sz w:val="22"/>
              </w:rPr>
              <w:t>0</w:t>
            </w:r>
          </w:p>
          <w:p w14:paraId="47547091" w14:textId="667847C1" w:rsidR="00A1095B" w:rsidRPr="00024100" w:rsidRDefault="00A1095B" w:rsidP="00A1095B">
            <w:pPr>
              <w:widowControl w:val="0"/>
              <w:ind w:left="0" w:firstLine="0"/>
              <w:jc w:val="left"/>
              <w:rPr>
                <w:rFonts w:asciiTheme="minorHAnsi" w:hAnsiTheme="minorHAnsi" w:cstheme="minorHAnsi"/>
                <w:color w:val="000000" w:themeColor="text1"/>
                <w:sz w:val="22"/>
                <w:szCs w:val="22"/>
              </w:rPr>
            </w:pPr>
          </w:p>
          <w:p w14:paraId="53C09955" w14:textId="508126A8" w:rsidR="00A1095B" w:rsidRPr="00024100" w:rsidRDefault="00A1095B" w:rsidP="00A1095B">
            <w:pPr>
              <w:widowControl w:val="0"/>
              <w:ind w:left="0" w:firstLine="0"/>
              <w:jc w:val="left"/>
              <w:rPr>
                <w:rFonts w:asciiTheme="minorHAnsi" w:hAnsiTheme="minorHAnsi" w:cstheme="minorHAnsi"/>
                <w:color w:val="000000" w:themeColor="text1"/>
                <w:sz w:val="22"/>
                <w:szCs w:val="22"/>
              </w:rPr>
            </w:pPr>
          </w:p>
          <w:p w14:paraId="2AE1C641" w14:textId="3E30CBEA" w:rsidR="00A1095B" w:rsidRPr="00024100" w:rsidRDefault="00A1095B" w:rsidP="00A1095B">
            <w:pPr>
              <w:widowControl w:val="0"/>
              <w:ind w:left="0" w:firstLine="0"/>
              <w:jc w:val="left"/>
              <w:rPr>
                <w:rFonts w:asciiTheme="minorHAnsi" w:hAnsiTheme="minorHAnsi" w:cstheme="minorHAnsi"/>
                <w:color w:val="000000" w:themeColor="text1"/>
                <w:sz w:val="22"/>
                <w:szCs w:val="22"/>
              </w:rPr>
            </w:pPr>
          </w:p>
          <w:p w14:paraId="38B25C6E" w14:textId="72A0FE8B" w:rsidR="00A1095B" w:rsidRPr="00024100" w:rsidRDefault="00A1095B" w:rsidP="00A1095B">
            <w:pPr>
              <w:widowControl w:val="0"/>
              <w:ind w:left="0" w:firstLine="0"/>
              <w:jc w:val="left"/>
              <w:rPr>
                <w:rFonts w:asciiTheme="minorHAnsi" w:hAnsiTheme="minorHAnsi" w:cstheme="minorHAnsi"/>
                <w:color w:val="000000" w:themeColor="text1"/>
                <w:sz w:val="22"/>
                <w:szCs w:val="22"/>
              </w:rPr>
            </w:pPr>
          </w:p>
          <w:p w14:paraId="60021796" w14:textId="76FFC4D9" w:rsidR="00A1095B" w:rsidRDefault="00A1095B" w:rsidP="00A1095B">
            <w:pPr>
              <w:widowControl w:val="0"/>
              <w:ind w:left="0" w:firstLine="0"/>
              <w:jc w:val="left"/>
              <w:rPr>
                <w:rFonts w:asciiTheme="minorHAnsi" w:hAnsiTheme="minorHAnsi" w:cstheme="minorHAnsi"/>
                <w:color w:val="000000" w:themeColor="text1"/>
                <w:sz w:val="22"/>
                <w:szCs w:val="22"/>
              </w:rPr>
            </w:pPr>
          </w:p>
          <w:p w14:paraId="2816EF52" w14:textId="77777777" w:rsidR="00824167" w:rsidRDefault="00824167" w:rsidP="00A1095B">
            <w:pPr>
              <w:widowControl w:val="0"/>
              <w:ind w:left="0" w:firstLine="0"/>
              <w:jc w:val="left"/>
              <w:rPr>
                <w:rFonts w:asciiTheme="minorHAnsi" w:hAnsiTheme="minorHAnsi" w:cstheme="minorHAnsi"/>
                <w:color w:val="000000" w:themeColor="text1"/>
                <w:sz w:val="22"/>
                <w:szCs w:val="22"/>
              </w:rPr>
            </w:pPr>
          </w:p>
          <w:p w14:paraId="28A067B1" w14:textId="77777777" w:rsidR="00824167" w:rsidRPr="00024100" w:rsidRDefault="00824167" w:rsidP="00A1095B">
            <w:pPr>
              <w:widowControl w:val="0"/>
              <w:ind w:left="0" w:firstLine="0"/>
              <w:jc w:val="left"/>
              <w:rPr>
                <w:rFonts w:asciiTheme="minorHAnsi" w:hAnsiTheme="minorHAnsi" w:cstheme="minorHAnsi"/>
                <w:color w:val="000000" w:themeColor="text1"/>
                <w:sz w:val="22"/>
                <w:szCs w:val="22"/>
              </w:rPr>
            </w:pPr>
          </w:p>
          <w:p w14:paraId="0AEF7448" w14:textId="616D8839"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themeColor="text1"/>
                <w:sz w:val="22"/>
              </w:rPr>
              <w:t>En fonction de l</w:t>
            </w:r>
            <w:r w:rsidR="00FC47B5">
              <w:rPr>
                <w:rFonts w:asciiTheme="minorHAnsi" w:hAnsiTheme="minorHAnsi"/>
                <w:color w:val="000000" w:themeColor="text1"/>
                <w:sz w:val="22"/>
              </w:rPr>
              <w:t>’</w:t>
            </w:r>
            <w:r>
              <w:rPr>
                <w:rFonts w:asciiTheme="minorHAnsi" w:hAnsiTheme="minorHAnsi"/>
                <w:color w:val="000000" w:themeColor="text1"/>
                <w:sz w:val="22"/>
              </w:rPr>
              <w:t>approche retenue</w:t>
            </w:r>
          </w:p>
        </w:tc>
      </w:tr>
      <w:tr w:rsidR="00A1095B" w:rsidRPr="00024100" w14:paraId="7C1715D3" w14:textId="77777777" w:rsidTr="00270374">
        <w:trPr>
          <w:cantSplit/>
        </w:trPr>
        <w:tc>
          <w:tcPr>
            <w:tcW w:w="1699" w:type="dxa"/>
            <w:tcBorders>
              <w:bottom w:val="single" w:sz="4" w:space="0" w:color="auto"/>
            </w:tcBorders>
            <w:shd w:val="clear" w:color="auto" w:fill="auto"/>
            <w:noWrap/>
          </w:tcPr>
          <w:p w14:paraId="5C8DB6BE" w14:textId="16677138" w:rsidR="00A1095B" w:rsidRPr="00024100" w:rsidRDefault="00A1095B" w:rsidP="00A1095B">
            <w:pPr>
              <w:widowControl w:val="0"/>
              <w:ind w:left="0" w:firstLine="0"/>
              <w:jc w:val="left"/>
              <w:rPr>
                <w:rFonts w:asciiTheme="minorHAnsi" w:hAnsiTheme="minorHAnsi" w:cstheme="minorHAnsi"/>
                <w:bCs/>
                <w:color w:val="000000"/>
                <w:sz w:val="22"/>
                <w:szCs w:val="22"/>
              </w:rPr>
            </w:pPr>
            <w:r>
              <w:rPr>
                <w:rFonts w:asciiTheme="minorHAnsi" w:hAnsiTheme="minorHAnsi"/>
                <w:color w:val="000000"/>
                <w:sz w:val="22"/>
              </w:rPr>
              <w:lastRenderedPageBreak/>
              <w:t>COP15 Doc.23.13</w:t>
            </w:r>
          </w:p>
        </w:tc>
        <w:tc>
          <w:tcPr>
            <w:tcW w:w="4533" w:type="dxa"/>
            <w:tcBorders>
              <w:bottom w:val="single" w:sz="4" w:space="0" w:color="auto"/>
            </w:tcBorders>
            <w:shd w:val="clear" w:color="auto" w:fill="auto"/>
            <w:noWrap/>
          </w:tcPr>
          <w:p w14:paraId="43A8810C" w14:textId="45AC5213" w:rsidR="00A1095B" w:rsidRPr="00024100" w:rsidRDefault="0016610A" w:rsidP="00A1095B">
            <w:pPr>
              <w:widowControl w:val="0"/>
              <w:ind w:left="0" w:firstLine="0"/>
              <w:jc w:val="left"/>
              <w:rPr>
                <w:rFonts w:asciiTheme="minorHAnsi" w:hAnsiTheme="minorHAnsi" w:cstheme="minorHAnsi"/>
                <w:bCs/>
                <w:color w:val="000000"/>
                <w:sz w:val="22"/>
                <w:szCs w:val="22"/>
              </w:rPr>
            </w:pPr>
            <w:r>
              <w:rPr>
                <w:rFonts w:asciiTheme="minorHAnsi" w:hAnsiTheme="minorHAnsi"/>
                <w:color w:val="000000"/>
                <w:sz w:val="22"/>
              </w:rPr>
              <w:t>Projet de résolution sur les [la mise à jour des] Fiches descriptives Ramsar</w:t>
            </w:r>
          </w:p>
        </w:tc>
        <w:tc>
          <w:tcPr>
            <w:tcW w:w="4825" w:type="dxa"/>
            <w:tcBorders>
              <w:bottom w:val="single" w:sz="4" w:space="0" w:color="auto"/>
            </w:tcBorders>
            <w:shd w:val="clear" w:color="auto" w:fill="auto"/>
          </w:tcPr>
          <w:p w14:paraId="326B8406" w14:textId="739143BE" w:rsidR="00A1095B" w:rsidRPr="00024100" w:rsidRDefault="00824167" w:rsidP="00A1095B">
            <w:pPr>
              <w:widowControl w:val="0"/>
              <w:ind w:left="0" w:firstLine="0"/>
              <w:jc w:val="left"/>
              <w:rPr>
                <w:rFonts w:asciiTheme="minorHAnsi" w:hAnsiTheme="minorHAnsi" w:cstheme="minorHAnsi"/>
                <w:bCs/>
                <w:color w:val="000000"/>
                <w:sz w:val="22"/>
                <w:szCs w:val="22"/>
              </w:rPr>
            </w:pPr>
            <w:r>
              <w:rPr>
                <w:rFonts w:asciiTheme="minorHAnsi" w:hAnsiTheme="minorHAnsi"/>
                <w:sz w:val="22"/>
              </w:rPr>
              <w:t>Le Secrétariat trouvera et recommandera au Comité permanent des moyens permettant un transfert automatisé de données vers les FDR, à partir de sources externes et pour des champs spécifiques, y compris des listes d</w:t>
            </w:r>
            <w:r w:rsidR="00FC47B5">
              <w:rPr>
                <w:rFonts w:asciiTheme="minorHAnsi" w:hAnsiTheme="minorHAnsi"/>
                <w:sz w:val="22"/>
              </w:rPr>
              <w:t>’</w:t>
            </w:r>
            <w:r>
              <w:rPr>
                <w:rFonts w:asciiTheme="minorHAnsi" w:hAnsiTheme="minorHAnsi"/>
                <w:sz w:val="22"/>
              </w:rPr>
              <w:t>espèces</w:t>
            </w:r>
            <w:r w:rsidR="00A1095B" w:rsidRPr="00024100">
              <w:rPr>
                <w:rStyle w:val="FootnoteReference"/>
                <w:rFonts w:asciiTheme="minorHAnsi" w:hAnsiTheme="minorHAnsi" w:cstheme="minorHAnsi"/>
                <w:sz w:val="22"/>
                <w:szCs w:val="22"/>
              </w:rPr>
              <w:footnoteReference w:id="3"/>
            </w:r>
            <w:r>
              <w:rPr>
                <w:rFonts w:asciiTheme="minorHAnsi" w:hAnsiTheme="minorHAnsi"/>
                <w:sz w:val="22"/>
              </w:rPr>
              <w:t>.</w:t>
            </w:r>
          </w:p>
        </w:tc>
        <w:tc>
          <w:tcPr>
            <w:tcW w:w="1413" w:type="dxa"/>
            <w:tcBorders>
              <w:bottom w:val="single" w:sz="4" w:space="0" w:color="auto"/>
            </w:tcBorders>
            <w:shd w:val="clear" w:color="auto" w:fill="auto"/>
          </w:tcPr>
          <w:p w14:paraId="61B4ABC6" w14:textId="7B44B53E"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themeColor="text1"/>
                <w:sz w:val="22"/>
              </w:rPr>
              <w:t>3</w:t>
            </w:r>
          </w:p>
        </w:tc>
        <w:tc>
          <w:tcPr>
            <w:tcW w:w="1706" w:type="dxa"/>
            <w:tcBorders>
              <w:bottom w:val="single" w:sz="4" w:space="0" w:color="auto"/>
            </w:tcBorders>
            <w:shd w:val="clear" w:color="auto" w:fill="auto"/>
          </w:tcPr>
          <w:p w14:paraId="6B2EC3B6" w14:textId="15EA0031"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themeColor="text1"/>
                <w:sz w:val="22"/>
              </w:rPr>
              <w:t xml:space="preserve">3 000 </w:t>
            </w:r>
          </w:p>
        </w:tc>
      </w:tr>
      <w:tr w:rsidR="00A1095B" w:rsidRPr="00024100" w14:paraId="60706FF4" w14:textId="77777777" w:rsidTr="00024100">
        <w:trPr>
          <w:cantSplit/>
        </w:trPr>
        <w:tc>
          <w:tcPr>
            <w:tcW w:w="14176" w:type="dxa"/>
            <w:gridSpan w:val="5"/>
            <w:tcBorders>
              <w:top w:val="single" w:sz="4" w:space="0" w:color="auto"/>
            </w:tcBorders>
            <w:shd w:val="clear" w:color="auto" w:fill="auto"/>
            <w:noWrap/>
          </w:tcPr>
          <w:p w14:paraId="3A0156EC" w14:textId="159946D7" w:rsidR="00A1095B" w:rsidRPr="00024100" w:rsidRDefault="00A1095B" w:rsidP="00A1095B">
            <w:pPr>
              <w:keepNext/>
              <w:widowControl w:val="0"/>
              <w:spacing w:before="60" w:after="60"/>
              <w:ind w:left="0" w:firstLine="0"/>
              <w:jc w:val="left"/>
              <w:rPr>
                <w:rFonts w:asciiTheme="minorHAnsi" w:hAnsiTheme="minorHAnsi" w:cstheme="minorHAnsi"/>
                <w:b/>
                <w:bCs/>
                <w:color w:val="000000"/>
                <w:sz w:val="22"/>
                <w:szCs w:val="22"/>
              </w:rPr>
            </w:pPr>
            <w:r>
              <w:rPr>
                <w:rFonts w:asciiTheme="minorHAnsi" w:hAnsiTheme="minorHAnsi"/>
                <w:b/>
                <w:color w:val="000000"/>
                <w:sz w:val="22"/>
              </w:rPr>
              <w:t>Projets de résolutions soumis par les Parties contractantes</w:t>
            </w:r>
          </w:p>
        </w:tc>
      </w:tr>
      <w:tr w:rsidR="00A1095B" w:rsidRPr="00024100" w14:paraId="20A0A818" w14:textId="77777777" w:rsidTr="00270374">
        <w:trPr>
          <w:cantSplit/>
        </w:trPr>
        <w:tc>
          <w:tcPr>
            <w:tcW w:w="1699" w:type="dxa"/>
            <w:shd w:val="clear" w:color="auto" w:fill="auto"/>
          </w:tcPr>
          <w:p w14:paraId="5483C3C6" w14:textId="5994DFC6"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COP15 Doc.23.14</w:t>
            </w:r>
          </w:p>
        </w:tc>
        <w:tc>
          <w:tcPr>
            <w:tcW w:w="4533" w:type="dxa"/>
            <w:shd w:val="clear" w:color="auto" w:fill="auto"/>
          </w:tcPr>
          <w:p w14:paraId="5DFA5E7E" w14:textId="19B531FD"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Projet de résolution sur le renforcement de l</w:t>
            </w:r>
            <w:r w:rsidR="00FC47B5">
              <w:rPr>
                <w:rFonts w:asciiTheme="minorHAnsi" w:hAnsiTheme="minorHAnsi"/>
                <w:color w:val="000000"/>
                <w:sz w:val="22"/>
              </w:rPr>
              <w:t>’</w:t>
            </w:r>
            <w:r>
              <w:rPr>
                <w:rFonts w:asciiTheme="minorHAnsi" w:hAnsiTheme="minorHAnsi"/>
                <w:color w:val="000000"/>
                <w:sz w:val="22"/>
              </w:rPr>
              <w:t>action en faveur de la culture et des zones humides</w:t>
            </w:r>
          </w:p>
        </w:tc>
        <w:tc>
          <w:tcPr>
            <w:tcW w:w="4825" w:type="dxa"/>
            <w:shd w:val="clear" w:color="auto" w:fill="auto"/>
          </w:tcPr>
          <w:p w14:paraId="6907E043" w14:textId="553A62EF" w:rsidR="00A1095B" w:rsidRPr="00024100" w:rsidRDefault="00824167" w:rsidP="00A1095B">
            <w:pPr>
              <w:widowControl w:val="0"/>
              <w:ind w:left="0" w:firstLine="0"/>
              <w:jc w:val="left"/>
              <w:rPr>
                <w:rFonts w:asciiTheme="minorHAnsi" w:hAnsiTheme="minorHAnsi" w:cstheme="minorHAnsi"/>
                <w:color w:val="000000"/>
                <w:sz w:val="22"/>
                <w:szCs w:val="22"/>
              </w:rPr>
            </w:pPr>
            <w:r>
              <w:rPr>
                <w:rFonts w:asciiTheme="minorHAnsi" w:hAnsiTheme="minorHAnsi"/>
                <w:sz w:val="22"/>
              </w:rPr>
              <w:t>Le Secrétariat, en collaboration avec le Réseau culturel Ramsar et en s</w:t>
            </w:r>
            <w:r w:rsidR="00FC47B5">
              <w:rPr>
                <w:rFonts w:asciiTheme="minorHAnsi" w:hAnsiTheme="minorHAnsi"/>
                <w:sz w:val="22"/>
              </w:rPr>
              <w:t>’</w:t>
            </w:r>
            <w:r>
              <w:rPr>
                <w:rFonts w:asciiTheme="minorHAnsi" w:hAnsiTheme="minorHAnsi"/>
                <w:sz w:val="22"/>
              </w:rPr>
              <w:t>appuyant sur les conseils du GEST, le cas échéant, étudiera les possibilités d</w:t>
            </w:r>
            <w:r w:rsidR="00FC47B5">
              <w:rPr>
                <w:rFonts w:asciiTheme="minorHAnsi" w:hAnsiTheme="minorHAnsi"/>
                <w:sz w:val="22"/>
              </w:rPr>
              <w:t>’</w:t>
            </w:r>
            <w:r>
              <w:rPr>
                <w:rFonts w:asciiTheme="minorHAnsi" w:hAnsiTheme="minorHAnsi"/>
                <w:sz w:val="22"/>
              </w:rPr>
              <w:t>élaborer un programme ciblé de travaux liés à la culture à l</w:t>
            </w:r>
            <w:r w:rsidR="00FC47B5">
              <w:rPr>
                <w:rFonts w:asciiTheme="minorHAnsi" w:hAnsiTheme="minorHAnsi"/>
                <w:sz w:val="22"/>
              </w:rPr>
              <w:t>’</w:t>
            </w:r>
            <w:r>
              <w:rPr>
                <w:rFonts w:asciiTheme="minorHAnsi" w:hAnsiTheme="minorHAnsi"/>
                <w:sz w:val="22"/>
              </w:rPr>
              <w:t>appui des objectifs pertinents définis dans le cinquième Plan stratégique de la Convention.</w:t>
            </w:r>
          </w:p>
        </w:tc>
        <w:tc>
          <w:tcPr>
            <w:tcW w:w="1413" w:type="dxa"/>
          </w:tcPr>
          <w:p w14:paraId="6E335808" w14:textId="7147CD52"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5</w:t>
            </w:r>
          </w:p>
        </w:tc>
        <w:tc>
          <w:tcPr>
            <w:tcW w:w="1706" w:type="dxa"/>
            <w:shd w:val="clear" w:color="auto" w:fill="auto"/>
          </w:tcPr>
          <w:p w14:paraId="42C5281D" w14:textId="6A9CC769"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themeColor="text1"/>
                <w:sz w:val="22"/>
              </w:rPr>
              <w:t>15 000</w:t>
            </w:r>
          </w:p>
        </w:tc>
      </w:tr>
      <w:tr w:rsidR="00A1095B" w:rsidRPr="00024100" w14:paraId="21349D8A" w14:textId="77777777" w:rsidTr="00270374">
        <w:trPr>
          <w:cantSplit/>
        </w:trPr>
        <w:tc>
          <w:tcPr>
            <w:tcW w:w="1699" w:type="dxa"/>
            <w:shd w:val="clear" w:color="auto" w:fill="auto"/>
          </w:tcPr>
          <w:p w14:paraId="00C8FF9E" w14:textId="34D7454B"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COP15 Doc.23.15</w:t>
            </w:r>
          </w:p>
        </w:tc>
        <w:tc>
          <w:tcPr>
            <w:tcW w:w="4533" w:type="dxa"/>
            <w:shd w:val="clear" w:color="auto" w:fill="auto"/>
          </w:tcPr>
          <w:p w14:paraId="3A0312A3" w14:textId="5943B3CA"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Projet de résolution sur la restauration des écosystèmes d</w:t>
            </w:r>
            <w:r w:rsidR="00FC47B5">
              <w:rPr>
                <w:rFonts w:asciiTheme="minorHAnsi" w:hAnsiTheme="minorHAnsi"/>
                <w:color w:val="000000"/>
                <w:sz w:val="22"/>
              </w:rPr>
              <w:t>’</w:t>
            </w:r>
            <w:r>
              <w:rPr>
                <w:rFonts w:asciiTheme="minorHAnsi" w:hAnsiTheme="minorHAnsi"/>
                <w:color w:val="000000"/>
                <w:sz w:val="22"/>
              </w:rPr>
              <w:t>eau douce dégradés afin de préserver les caractéristiques écologiques, la biodiversité et les services écosystémiques</w:t>
            </w:r>
          </w:p>
        </w:tc>
        <w:tc>
          <w:tcPr>
            <w:tcW w:w="4825" w:type="dxa"/>
            <w:shd w:val="clear" w:color="auto" w:fill="auto"/>
            <w:noWrap/>
          </w:tcPr>
          <w:p w14:paraId="22EEC093" w14:textId="37D1A0CA" w:rsidR="00A1095B" w:rsidRPr="00024100" w:rsidRDefault="00A1095B" w:rsidP="00A1095B">
            <w:pPr>
              <w:widowControl w:val="0"/>
              <w:autoSpaceDE w:val="0"/>
              <w:autoSpaceDN w:val="0"/>
              <w:adjustRightInd w:val="0"/>
              <w:ind w:left="36" w:firstLine="0"/>
              <w:jc w:val="left"/>
              <w:rPr>
                <w:rFonts w:asciiTheme="minorHAnsi" w:hAnsiTheme="minorHAnsi" w:cstheme="minorHAnsi"/>
                <w:color w:val="000000"/>
                <w:sz w:val="22"/>
                <w:szCs w:val="22"/>
              </w:rPr>
            </w:pPr>
          </w:p>
        </w:tc>
        <w:tc>
          <w:tcPr>
            <w:tcW w:w="1413" w:type="dxa"/>
          </w:tcPr>
          <w:p w14:paraId="3C5E7FAD" w14:textId="72B29737"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0</w:t>
            </w:r>
          </w:p>
        </w:tc>
        <w:tc>
          <w:tcPr>
            <w:tcW w:w="1706" w:type="dxa"/>
            <w:shd w:val="clear" w:color="auto" w:fill="auto"/>
            <w:noWrap/>
          </w:tcPr>
          <w:p w14:paraId="1054D323" w14:textId="48601C68"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0</w:t>
            </w:r>
          </w:p>
        </w:tc>
      </w:tr>
      <w:tr w:rsidR="00A1095B" w:rsidRPr="00024100" w14:paraId="3A856B85" w14:textId="77777777" w:rsidTr="00270374">
        <w:trPr>
          <w:cantSplit/>
        </w:trPr>
        <w:tc>
          <w:tcPr>
            <w:tcW w:w="1699" w:type="dxa"/>
            <w:shd w:val="clear" w:color="auto" w:fill="auto"/>
          </w:tcPr>
          <w:p w14:paraId="4B813289" w14:textId="059A288D"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COP15 Doc.23.16</w:t>
            </w:r>
          </w:p>
        </w:tc>
        <w:tc>
          <w:tcPr>
            <w:tcW w:w="4533" w:type="dxa"/>
            <w:shd w:val="clear" w:color="auto" w:fill="auto"/>
          </w:tcPr>
          <w:p w14:paraId="367C9ECB" w14:textId="007F952C"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Projet de résolution sur le renforcement des actions nationales en faveur de la conservation et de la restauration des voies de migration des oiseaux d</w:t>
            </w:r>
            <w:r w:rsidR="00FC47B5">
              <w:rPr>
                <w:rFonts w:asciiTheme="minorHAnsi" w:hAnsiTheme="minorHAnsi"/>
                <w:color w:val="000000"/>
                <w:sz w:val="22"/>
              </w:rPr>
              <w:t>’</w:t>
            </w:r>
            <w:r>
              <w:rPr>
                <w:rFonts w:asciiTheme="minorHAnsi" w:hAnsiTheme="minorHAnsi"/>
                <w:color w:val="000000"/>
                <w:sz w:val="22"/>
              </w:rPr>
              <w:t>eau</w:t>
            </w:r>
          </w:p>
        </w:tc>
        <w:tc>
          <w:tcPr>
            <w:tcW w:w="4825" w:type="dxa"/>
            <w:shd w:val="clear" w:color="auto" w:fill="auto"/>
          </w:tcPr>
          <w:p w14:paraId="65E4903C" w14:textId="7C3ADCA4" w:rsidR="00A1095B" w:rsidRPr="00852D58" w:rsidRDefault="00852D58" w:rsidP="00A1095B">
            <w:pPr>
              <w:widowControl w:val="0"/>
              <w:ind w:left="0" w:firstLine="0"/>
              <w:jc w:val="left"/>
              <w:rPr>
                <w:rFonts w:asciiTheme="minorHAnsi" w:hAnsiTheme="minorHAnsi" w:cstheme="minorHAnsi"/>
                <w:sz w:val="22"/>
                <w:szCs w:val="22"/>
              </w:rPr>
            </w:pPr>
            <w:r>
              <w:rPr>
                <w:rFonts w:asciiTheme="minorHAnsi" w:hAnsiTheme="minorHAnsi"/>
                <w:sz w:val="22"/>
              </w:rPr>
              <w:t>Le Secrétariat examinera l</w:t>
            </w:r>
            <w:r w:rsidR="00FC47B5">
              <w:rPr>
                <w:rFonts w:asciiTheme="minorHAnsi" w:hAnsiTheme="minorHAnsi"/>
                <w:sz w:val="22"/>
              </w:rPr>
              <w:t>’</w:t>
            </w:r>
            <w:r>
              <w:rPr>
                <w:rFonts w:asciiTheme="minorHAnsi" w:hAnsiTheme="minorHAnsi"/>
                <w:sz w:val="22"/>
              </w:rPr>
              <w:t xml:space="preserve">application de la Résolution X.22 </w:t>
            </w:r>
            <w:r>
              <w:rPr>
                <w:rFonts w:asciiTheme="minorHAnsi" w:hAnsiTheme="minorHAnsi"/>
                <w:i/>
                <w:iCs/>
                <w:sz w:val="22"/>
              </w:rPr>
              <w:t>Promouvoir la coopération internationale pour la conservation des voies de migration des oiseaux d</w:t>
            </w:r>
            <w:r w:rsidR="00FC47B5">
              <w:rPr>
                <w:rFonts w:asciiTheme="minorHAnsi" w:hAnsiTheme="minorHAnsi"/>
                <w:i/>
                <w:iCs/>
                <w:sz w:val="22"/>
              </w:rPr>
              <w:t>’</w:t>
            </w:r>
            <w:r>
              <w:rPr>
                <w:rFonts w:asciiTheme="minorHAnsi" w:hAnsiTheme="minorHAnsi"/>
                <w:i/>
                <w:iCs/>
                <w:sz w:val="22"/>
              </w:rPr>
              <w:t>eau</w:t>
            </w:r>
            <w:r>
              <w:rPr>
                <w:rFonts w:asciiTheme="minorHAnsi" w:hAnsiTheme="minorHAnsi"/>
                <w:sz w:val="22"/>
              </w:rPr>
              <w:t>.</w:t>
            </w:r>
          </w:p>
        </w:tc>
        <w:tc>
          <w:tcPr>
            <w:tcW w:w="1413" w:type="dxa"/>
          </w:tcPr>
          <w:p w14:paraId="0C7E3A5F" w14:textId="2A2E8C56"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5</w:t>
            </w:r>
          </w:p>
        </w:tc>
        <w:tc>
          <w:tcPr>
            <w:tcW w:w="1706" w:type="dxa"/>
            <w:shd w:val="clear" w:color="auto" w:fill="auto"/>
          </w:tcPr>
          <w:p w14:paraId="6192098E" w14:textId="260A3ACA"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0</w:t>
            </w:r>
          </w:p>
        </w:tc>
      </w:tr>
      <w:tr w:rsidR="00A1095B" w:rsidRPr="00024100" w14:paraId="26BFD19B" w14:textId="77777777" w:rsidTr="00270374">
        <w:trPr>
          <w:cantSplit/>
        </w:trPr>
        <w:tc>
          <w:tcPr>
            <w:tcW w:w="1699" w:type="dxa"/>
            <w:shd w:val="clear" w:color="auto" w:fill="auto"/>
          </w:tcPr>
          <w:p w14:paraId="6D27261E" w14:textId="6D778E36"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lastRenderedPageBreak/>
              <w:t>COP15 Doc.23.17</w:t>
            </w:r>
          </w:p>
        </w:tc>
        <w:tc>
          <w:tcPr>
            <w:tcW w:w="4533" w:type="dxa"/>
            <w:shd w:val="clear" w:color="auto" w:fill="auto"/>
          </w:tcPr>
          <w:p w14:paraId="11EE313B" w14:textId="421384D0"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Projet de résolution sur la promotion de l</w:t>
            </w:r>
            <w:r w:rsidR="00FC47B5">
              <w:rPr>
                <w:rFonts w:asciiTheme="minorHAnsi" w:hAnsiTheme="minorHAnsi"/>
                <w:color w:val="000000"/>
                <w:sz w:val="22"/>
              </w:rPr>
              <w:t>’</w:t>
            </w:r>
            <w:r>
              <w:rPr>
                <w:rFonts w:asciiTheme="minorHAnsi" w:hAnsiTheme="minorHAnsi"/>
                <w:color w:val="000000"/>
                <w:sz w:val="22"/>
              </w:rPr>
              <w:t>intégration des nouvelles technologies et des connaissances traditionnelles dans la conservation, la restauration, la gestion et l</w:t>
            </w:r>
            <w:r w:rsidR="00FC47B5">
              <w:rPr>
                <w:rFonts w:asciiTheme="minorHAnsi" w:hAnsiTheme="minorHAnsi"/>
                <w:color w:val="000000"/>
                <w:sz w:val="22"/>
              </w:rPr>
              <w:t>’</w:t>
            </w:r>
            <w:r>
              <w:rPr>
                <w:rFonts w:asciiTheme="minorHAnsi" w:hAnsiTheme="minorHAnsi"/>
                <w:color w:val="000000"/>
                <w:sz w:val="22"/>
              </w:rPr>
              <w:t>utilisation rationnelle des zones humides</w:t>
            </w:r>
          </w:p>
        </w:tc>
        <w:tc>
          <w:tcPr>
            <w:tcW w:w="4825" w:type="dxa"/>
            <w:shd w:val="clear" w:color="auto" w:fill="auto"/>
            <w:noWrap/>
          </w:tcPr>
          <w:p w14:paraId="09788579" w14:textId="30C6E454" w:rsidR="00A1095B" w:rsidRPr="00024100" w:rsidRDefault="00A64D58" w:rsidP="00A1095B">
            <w:pPr>
              <w:widowControl w:val="0"/>
              <w:ind w:left="0" w:firstLine="0"/>
              <w:jc w:val="left"/>
              <w:rPr>
                <w:rFonts w:asciiTheme="minorHAnsi" w:hAnsiTheme="minorHAnsi" w:cstheme="minorHAnsi"/>
                <w:sz w:val="22"/>
                <w:szCs w:val="22"/>
              </w:rPr>
            </w:pPr>
            <w:r>
              <w:rPr>
                <w:rFonts w:asciiTheme="minorHAnsi" w:hAnsiTheme="minorHAnsi"/>
                <w:sz w:val="22"/>
              </w:rPr>
              <w:t>Le GEST élaborera un rapport technique et formulera des recommandations pour la COP17.</w:t>
            </w:r>
          </w:p>
          <w:p w14:paraId="3021A695" w14:textId="77777777" w:rsidR="00A1095B" w:rsidRPr="00024100" w:rsidRDefault="00A1095B" w:rsidP="00A1095B">
            <w:pPr>
              <w:widowControl w:val="0"/>
              <w:ind w:left="0" w:firstLine="0"/>
              <w:jc w:val="left"/>
              <w:rPr>
                <w:rFonts w:asciiTheme="minorHAnsi" w:hAnsiTheme="minorHAnsi" w:cstheme="minorHAnsi"/>
                <w:sz w:val="22"/>
                <w:szCs w:val="22"/>
              </w:rPr>
            </w:pPr>
          </w:p>
          <w:p w14:paraId="79E3604C" w14:textId="31C87694" w:rsidR="00A1095B" w:rsidRPr="00024100" w:rsidRDefault="00A64D58" w:rsidP="00A1095B">
            <w:pPr>
              <w:widowControl w:val="0"/>
              <w:ind w:left="0" w:firstLine="0"/>
              <w:jc w:val="left"/>
              <w:rPr>
                <w:rFonts w:asciiTheme="minorHAnsi" w:eastAsia="SimSun" w:hAnsiTheme="minorHAnsi" w:cstheme="minorHAnsi"/>
                <w:bCs/>
                <w:sz w:val="22"/>
                <w:szCs w:val="22"/>
              </w:rPr>
            </w:pPr>
            <w:r>
              <w:rPr>
                <w:rFonts w:asciiTheme="minorHAnsi" w:hAnsiTheme="minorHAnsi"/>
                <w:sz w:val="22"/>
              </w:rPr>
              <w:t>Le Secrétariat présentera un rapport de situation au Comité permanent.</w:t>
            </w:r>
          </w:p>
        </w:tc>
        <w:tc>
          <w:tcPr>
            <w:tcW w:w="1413" w:type="dxa"/>
          </w:tcPr>
          <w:p w14:paraId="53824325" w14:textId="5C04D302" w:rsidR="00A1095B"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3</w:t>
            </w:r>
          </w:p>
          <w:p w14:paraId="36598946" w14:textId="769C6097" w:rsidR="00A1095B" w:rsidRPr="00024100" w:rsidRDefault="00A1095B" w:rsidP="00A1095B">
            <w:pPr>
              <w:widowControl w:val="0"/>
              <w:ind w:left="0" w:firstLine="0"/>
              <w:jc w:val="left"/>
              <w:rPr>
                <w:rFonts w:asciiTheme="minorHAnsi" w:hAnsiTheme="minorHAnsi" w:cstheme="minorHAnsi"/>
                <w:color w:val="000000"/>
                <w:sz w:val="22"/>
                <w:szCs w:val="22"/>
              </w:rPr>
            </w:pPr>
          </w:p>
          <w:p w14:paraId="7106E96F" w14:textId="77777777" w:rsidR="00A1095B" w:rsidRPr="00024100" w:rsidRDefault="00A1095B" w:rsidP="00A1095B">
            <w:pPr>
              <w:widowControl w:val="0"/>
              <w:ind w:left="0" w:firstLine="0"/>
              <w:jc w:val="left"/>
              <w:rPr>
                <w:rFonts w:asciiTheme="minorHAnsi" w:hAnsiTheme="minorHAnsi" w:cstheme="minorHAnsi"/>
                <w:color w:val="000000"/>
                <w:sz w:val="22"/>
                <w:szCs w:val="22"/>
              </w:rPr>
            </w:pPr>
          </w:p>
          <w:p w14:paraId="22F248D6" w14:textId="717E27C7"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5</w:t>
            </w:r>
          </w:p>
        </w:tc>
        <w:tc>
          <w:tcPr>
            <w:tcW w:w="1706" w:type="dxa"/>
            <w:shd w:val="clear" w:color="auto" w:fill="auto"/>
          </w:tcPr>
          <w:p w14:paraId="1A71DCBA" w14:textId="18FA919C"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28 000</w:t>
            </w:r>
          </w:p>
          <w:p w14:paraId="007DDFA7" w14:textId="62F71134" w:rsidR="00A1095B" w:rsidRPr="00024100" w:rsidRDefault="00A1095B" w:rsidP="00A1095B">
            <w:pPr>
              <w:widowControl w:val="0"/>
              <w:ind w:left="0" w:firstLine="0"/>
              <w:jc w:val="left"/>
              <w:rPr>
                <w:rFonts w:asciiTheme="minorHAnsi" w:hAnsiTheme="minorHAnsi" w:cstheme="minorHAnsi"/>
                <w:color w:val="000000"/>
                <w:sz w:val="22"/>
                <w:szCs w:val="22"/>
              </w:rPr>
            </w:pPr>
          </w:p>
          <w:p w14:paraId="49BC3833" w14:textId="77777777" w:rsidR="00A1095B" w:rsidRDefault="00A1095B" w:rsidP="00A1095B">
            <w:pPr>
              <w:widowControl w:val="0"/>
              <w:ind w:left="0" w:firstLine="0"/>
              <w:jc w:val="left"/>
              <w:rPr>
                <w:rFonts w:asciiTheme="minorHAnsi" w:hAnsiTheme="minorHAnsi" w:cstheme="minorHAnsi"/>
                <w:color w:val="000000"/>
                <w:sz w:val="22"/>
                <w:szCs w:val="22"/>
              </w:rPr>
            </w:pPr>
          </w:p>
          <w:p w14:paraId="43E0EBB8" w14:textId="0EEA333C"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0</w:t>
            </w:r>
          </w:p>
        </w:tc>
      </w:tr>
      <w:tr w:rsidR="00A1095B" w:rsidRPr="00024100" w14:paraId="0B5E688B" w14:textId="77777777" w:rsidTr="00270374">
        <w:trPr>
          <w:cantSplit/>
        </w:trPr>
        <w:tc>
          <w:tcPr>
            <w:tcW w:w="1699" w:type="dxa"/>
            <w:shd w:val="clear" w:color="auto" w:fill="auto"/>
          </w:tcPr>
          <w:p w14:paraId="27D8E008" w14:textId="5E2C2009"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COP15 Doc.23.18</w:t>
            </w:r>
          </w:p>
        </w:tc>
        <w:tc>
          <w:tcPr>
            <w:tcW w:w="4533" w:type="dxa"/>
            <w:shd w:val="clear" w:color="auto" w:fill="auto"/>
          </w:tcPr>
          <w:p w14:paraId="461759A3" w14:textId="48C1348A"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Projet de résolution sur la conservation équitable et efficace des zones humides en tant qu</w:t>
            </w:r>
            <w:r w:rsidR="00FC47B5">
              <w:rPr>
                <w:rFonts w:asciiTheme="minorHAnsi" w:hAnsiTheme="minorHAnsi"/>
                <w:color w:val="000000"/>
                <w:sz w:val="22"/>
              </w:rPr>
              <w:t>’</w:t>
            </w:r>
            <w:r>
              <w:rPr>
                <w:rFonts w:asciiTheme="minorHAnsi" w:hAnsiTheme="minorHAnsi"/>
                <w:color w:val="000000"/>
                <w:sz w:val="22"/>
              </w:rPr>
              <w:t>aires protégées et autres mesures de conservation efficaces par zone (AMCE)</w:t>
            </w:r>
          </w:p>
        </w:tc>
        <w:tc>
          <w:tcPr>
            <w:tcW w:w="4825" w:type="dxa"/>
            <w:shd w:val="clear" w:color="auto" w:fill="auto"/>
            <w:noWrap/>
          </w:tcPr>
          <w:p w14:paraId="08D6AE0A" w14:textId="1A88A0FF" w:rsidR="00A1095B" w:rsidRPr="00024100" w:rsidRDefault="00A64D58" w:rsidP="00A1095B">
            <w:pPr>
              <w:widowControl w:val="0"/>
              <w:ind w:left="36" w:firstLine="0"/>
              <w:jc w:val="left"/>
              <w:rPr>
                <w:rFonts w:asciiTheme="minorHAnsi" w:eastAsia="FangSong" w:hAnsiTheme="minorHAnsi" w:cstheme="minorHAnsi"/>
                <w:sz w:val="22"/>
                <w:szCs w:val="22"/>
              </w:rPr>
            </w:pPr>
            <w:r>
              <w:rPr>
                <w:rFonts w:asciiTheme="minorHAnsi" w:hAnsiTheme="minorHAnsi"/>
                <w:sz w:val="22"/>
              </w:rPr>
              <w:t>Le Secrétariat coordonnera son action avec celle d</w:t>
            </w:r>
            <w:r w:rsidR="00FC47B5">
              <w:rPr>
                <w:rFonts w:asciiTheme="minorHAnsi" w:hAnsiTheme="minorHAnsi"/>
                <w:sz w:val="22"/>
              </w:rPr>
              <w:t>’</w:t>
            </w:r>
            <w:r>
              <w:rPr>
                <w:rFonts w:asciiTheme="minorHAnsi" w:hAnsiTheme="minorHAnsi"/>
                <w:sz w:val="22"/>
              </w:rPr>
              <w:t>autres organisations (Centre mondial de surveillance pour la conservation du Programme des Nations Unies pour l</w:t>
            </w:r>
            <w:r w:rsidR="00FC47B5">
              <w:rPr>
                <w:rFonts w:asciiTheme="minorHAnsi" w:hAnsiTheme="minorHAnsi"/>
                <w:sz w:val="22"/>
              </w:rPr>
              <w:t>’</w:t>
            </w:r>
            <w:r>
              <w:rPr>
                <w:rFonts w:asciiTheme="minorHAnsi" w:hAnsiTheme="minorHAnsi"/>
                <w:sz w:val="22"/>
              </w:rPr>
              <w:t>environnement, Secrétariat de la Convention sur la diversité biologique, Fonds pour l</w:t>
            </w:r>
            <w:r w:rsidR="00FC47B5">
              <w:rPr>
                <w:rFonts w:asciiTheme="minorHAnsi" w:hAnsiTheme="minorHAnsi"/>
                <w:sz w:val="22"/>
              </w:rPr>
              <w:t>’</w:t>
            </w:r>
            <w:r>
              <w:rPr>
                <w:rFonts w:asciiTheme="minorHAnsi" w:hAnsiTheme="minorHAnsi"/>
                <w:sz w:val="22"/>
              </w:rPr>
              <w:t>environnement mondial) afin de soutenir et de conseiller les Parties contractantes. Le Secrétariat ajustera le modèle de Fiche descriptive Ramsar.</w:t>
            </w:r>
          </w:p>
        </w:tc>
        <w:tc>
          <w:tcPr>
            <w:tcW w:w="1413" w:type="dxa"/>
          </w:tcPr>
          <w:p w14:paraId="2EDF77B9" w14:textId="4BC1F637"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5</w:t>
            </w:r>
          </w:p>
        </w:tc>
        <w:tc>
          <w:tcPr>
            <w:tcW w:w="1706" w:type="dxa"/>
            <w:shd w:val="clear" w:color="auto" w:fill="auto"/>
          </w:tcPr>
          <w:p w14:paraId="4E00AFA0" w14:textId="2BC4B1D5"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0</w:t>
            </w:r>
          </w:p>
        </w:tc>
      </w:tr>
      <w:tr w:rsidR="00A1095B" w:rsidRPr="00024100" w14:paraId="2EBBAD9C" w14:textId="77777777" w:rsidTr="00270374">
        <w:trPr>
          <w:cantSplit/>
        </w:trPr>
        <w:tc>
          <w:tcPr>
            <w:tcW w:w="1699" w:type="dxa"/>
            <w:shd w:val="clear" w:color="auto" w:fill="auto"/>
          </w:tcPr>
          <w:p w14:paraId="38215EC2" w14:textId="0E6BFDF5"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COP15 Doc.23.19</w:t>
            </w:r>
          </w:p>
        </w:tc>
        <w:tc>
          <w:tcPr>
            <w:tcW w:w="4533" w:type="dxa"/>
            <w:shd w:val="clear" w:color="auto" w:fill="auto"/>
          </w:tcPr>
          <w:p w14:paraId="733D1250" w14:textId="233DF7D5"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Projet de résolution sur la réalisation du potentiel et l</w:t>
            </w:r>
            <w:r w:rsidR="00FC47B5">
              <w:rPr>
                <w:rFonts w:asciiTheme="minorHAnsi" w:hAnsiTheme="minorHAnsi"/>
                <w:color w:val="000000"/>
                <w:sz w:val="22"/>
              </w:rPr>
              <w:t>’</w:t>
            </w:r>
            <w:r>
              <w:rPr>
                <w:rFonts w:asciiTheme="minorHAnsi" w:hAnsiTheme="minorHAnsi"/>
                <w:color w:val="000000"/>
                <w:sz w:val="22"/>
              </w:rPr>
              <w:t>intégration de la jeunesse : favoriser la mobilisation des jeunes et la longévité de la Convention sur les zones humides</w:t>
            </w:r>
          </w:p>
        </w:tc>
        <w:tc>
          <w:tcPr>
            <w:tcW w:w="4825" w:type="dxa"/>
            <w:shd w:val="clear" w:color="auto" w:fill="auto"/>
            <w:noWrap/>
          </w:tcPr>
          <w:p w14:paraId="08F47F1A" w14:textId="5BFE4FB5" w:rsidR="00A1095B" w:rsidRPr="00024100" w:rsidRDefault="00A64D58" w:rsidP="00A1095B">
            <w:pPr>
              <w:widowControl w:val="0"/>
              <w:ind w:left="0" w:firstLine="0"/>
              <w:jc w:val="left"/>
              <w:rPr>
                <w:rFonts w:asciiTheme="minorHAnsi" w:hAnsiTheme="minorHAnsi" w:cstheme="minorHAnsi"/>
                <w:sz w:val="22"/>
                <w:szCs w:val="22"/>
              </w:rPr>
            </w:pPr>
            <w:r>
              <w:rPr>
                <w:rFonts w:asciiTheme="minorHAnsi" w:hAnsiTheme="minorHAnsi"/>
                <w:sz w:val="22"/>
              </w:rPr>
              <w:t>Le Secrétariat [sollicitera des contributions financières volontaires] et fournira un appui administratif.</w:t>
            </w:r>
          </w:p>
        </w:tc>
        <w:tc>
          <w:tcPr>
            <w:tcW w:w="1413" w:type="dxa"/>
          </w:tcPr>
          <w:p w14:paraId="26BCBBA0" w14:textId="7ACE71EA"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10</w:t>
            </w:r>
          </w:p>
        </w:tc>
        <w:tc>
          <w:tcPr>
            <w:tcW w:w="1706" w:type="dxa"/>
            <w:shd w:val="clear" w:color="auto" w:fill="auto"/>
          </w:tcPr>
          <w:p w14:paraId="31769EED" w14:textId="0BA48D38"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0</w:t>
            </w:r>
          </w:p>
        </w:tc>
      </w:tr>
      <w:tr w:rsidR="00A1095B" w:rsidRPr="00024100" w14:paraId="4033A43D" w14:textId="77777777" w:rsidTr="00270374">
        <w:trPr>
          <w:cantSplit/>
        </w:trPr>
        <w:tc>
          <w:tcPr>
            <w:tcW w:w="1699" w:type="dxa"/>
            <w:shd w:val="clear" w:color="auto" w:fill="auto"/>
          </w:tcPr>
          <w:p w14:paraId="2F2FDC61" w14:textId="2E5951E4"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COP15 Doc.23.20</w:t>
            </w:r>
          </w:p>
        </w:tc>
        <w:tc>
          <w:tcPr>
            <w:tcW w:w="4533" w:type="dxa"/>
            <w:shd w:val="clear" w:color="auto" w:fill="auto"/>
          </w:tcPr>
          <w:p w14:paraId="5A264184" w14:textId="509EF849"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Projet de résolution sur la promotion de modes de vie durables au service de l</w:t>
            </w:r>
            <w:r w:rsidR="00FC47B5">
              <w:rPr>
                <w:rFonts w:asciiTheme="minorHAnsi" w:hAnsiTheme="minorHAnsi"/>
                <w:color w:val="000000"/>
                <w:sz w:val="22"/>
              </w:rPr>
              <w:t>’</w:t>
            </w:r>
            <w:r>
              <w:rPr>
                <w:rFonts w:asciiTheme="minorHAnsi" w:hAnsiTheme="minorHAnsi"/>
                <w:color w:val="000000"/>
                <w:sz w:val="22"/>
              </w:rPr>
              <w:t>utilisation rationnelle des zones humides</w:t>
            </w:r>
          </w:p>
        </w:tc>
        <w:tc>
          <w:tcPr>
            <w:tcW w:w="4825" w:type="dxa"/>
            <w:shd w:val="clear" w:color="auto" w:fill="auto"/>
            <w:noWrap/>
          </w:tcPr>
          <w:p w14:paraId="08AC3B59" w14:textId="2F4176F6" w:rsidR="00A1095B" w:rsidRPr="000E4489" w:rsidRDefault="00A64D58" w:rsidP="00A1095B">
            <w:pPr>
              <w:widowControl w:val="0"/>
              <w:ind w:left="0" w:firstLine="0"/>
              <w:jc w:val="left"/>
              <w:rPr>
                <w:rFonts w:asciiTheme="minorHAnsi" w:hAnsiTheme="minorHAnsi" w:cstheme="minorHAnsi"/>
                <w:bCs/>
                <w:sz w:val="22"/>
                <w:szCs w:val="22"/>
              </w:rPr>
            </w:pPr>
            <w:r>
              <w:rPr>
                <w:rFonts w:ascii="Calibri" w:hAnsi="Calibri"/>
                <w:sz w:val="22"/>
              </w:rPr>
              <w:t>Le GEST établira une compilation des méthodes, études de cas et données probantes pour faciliter l</w:t>
            </w:r>
            <w:r w:rsidR="00FC47B5">
              <w:rPr>
                <w:rFonts w:ascii="Calibri" w:hAnsi="Calibri"/>
                <w:sz w:val="22"/>
              </w:rPr>
              <w:t>’</w:t>
            </w:r>
            <w:r>
              <w:rPr>
                <w:rFonts w:ascii="Calibri" w:hAnsi="Calibri"/>
                <w:sz w:val="22"/>
              </w:rPr>
              <w:t>intégration des modes de vie durables dans la gestion des zones humides.</w:t>
            </w:r>
          </w:p>
        </w:tc>
        <w:tc>
          <w:tcPr>
            <w:tcW w:w="1413" w:type="dxa"/>
          </w:tcPr>
          <w:p w14:paraId="526D895E" w14:textId="1E69CE9D" w:rsidR="00A1095B" w:rsidRPr="000E4489" w:rsidRDefault="00A1095B" w:rsidP="00A1095B">
            <w:pPr>
              <w:widowControl w:val="0"/>
              <w:ind w:left="0" w:firstLine="0"/>
              <w:jc w:val="left"/>
              <w:rPr>
                <w:rFonts w:asciiTheme="minorHAnsi" w:hAnsiTheme="minorHAnsi" w:cstheme="minorHAnsi"/>
                <w:sz w:val="22"/>
                <w:szCs w:val="22"/>
              </w:rPr>
            </w:pPr>
            <w:r>
              <w:rPr>
                <w:rFonts w:asciiTheme="minorHAnsi" w:hAnsiTheme="minorHAnsi"/>
                <w:sz w:val="22"/>
              </w:rPr>
              <w:t>2</w:t>
            </w:r>
          </w:p>
        </w:tc>
        <w:tc>
          <w:tcPr>
            <w:tcW w:w="1706" w:type="dxa"/>
            <w:shd w:val="clear" w:color="auto" w:fill="auto"/>
          </w:tcPr>
          <w:p w14:paraId="4F3BB24A" w14:textId="74CE89EF" w:rsidR="00A1095B" w:rsidRPr="000E4489" w:rsidRDefault="00A1095B" w:rsidP="00A1095B">
            <w:pPr>
              <w:widowControl w:val="0"/>
              <w:ind w:left="0" w:firstLine="0"/>
              <w:jc w:val="left"/>
              <w:rPr>
                <w:rFonts w:asciiTheme="minorHAnsi" w:hAnsiTheme="minorHAnsi" w:cstheme="minorBidi"/>
                <w:sz w:val="22"/>
                <w:szCs w:val="22"/>
              </w:rPr>
            </w:pPr>
            <w:r>
              <w:rPr>
                <w:rFonts w:asciiTheme="minorHAnsi" w:hAnsiTheme="minorHAnsi"/>
                <w:sz w:val="22"/>
              </w:rPr>
              <w:t>15 000</w:t>
            </w:r>
          </w:p>
        </w:tc>
      </w:tr>
      <w:tr w:rsidR="00A1095B" w:rsidRPr="00024100" w14:paraId="3BFBC7EE" w14:textId="77777777" w:rsidTr="00270374">
        <w:trPr>
          <w:cantSplit/>
        </w:trPr>
        <w:tc>
          <w:tcPr>
            <w:tcW w:w="1699" w:type="dxa"/>
            <w:shd w:val="clear" w:color="auto" w:fill="auto"/>
          </w:tcPr>
          <w:p w14:paraId="18308C75" w14:textId="2BE73B5C"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COP15 Doc.23.21</w:t>
            </w:r>
          </w:p>
        </w:tc>
        <w:tc>
          <w:tcPr>
            <w:tcW w:w="4533" w:type="dxa"/>
            <w:shd w:val="clear" w:color="auto" w:fill="auto"/>
          </w:tcPr>
          <w:p w14:paraId="1989253F" w14:textId="01D3695A"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sz w:val="22"/>
              </w:rPr>
              <w:t>Projet de résolution sur la reconnaissance des dauphins de rivière comme des espèces clés pour la conservation et l</w:t>
            </w:r>
            <w:r w:rsidR="00FC47B5">
              <w:rPr>
                <w:rFonts w:asciiTheme="minorHAnsi" w:hAnsiTheme="minorHAnsi"/>
                <w:sz w:val="22"/>
              </w:rPr>
              <w:t>’</w:t>
            </w:r>
            <w:r>
              <w:rPr>
                <w:rFonts w:asciiTheme="minorHAnsi" w:hAnsiTheme="minorHAnsi"/>
                <w:sz w:val="22"/>
              </w:rPr>
              <w:t>utilisation durable des zones humides d</w:t>
            </w:r>
            <w:r w:rsidR="00FC47B5">
              <w:rPr>
                <w:rFonts w:asciiTheme="minorHAnsi" w:hAnsiTheme="minorHAnsi"/>
                <w:sz w:val="22"/>
              </w:rPr>
              <w:t>’</w:t>
            </w:r>
            <w:r>
              <w:rPr>
                <w:rFonts w:asciiTheme="minorHAnsi" w:hAnsiTheme="minorHAnsi"/>
                <w:sz w:val="22"/>
              </w:rPr>
              <w:t>Amérique du Sud et d</w:t>
            </w:r>
            <w:r w:rsidR="00FC47B5">
              <w:rPr>
                <w:rFonts w:asciiTheme="minorHAnsi" w:hAnsiTheme="minorHAnsi"/>
                <w:sz w:val="22"/>
              </w:rPr>
              <w:t>’</w:t>
            </w:r>
            <w:r>
              <w:rPr>
                <w:rFonts w:asciiTheme="minorHAnsi" w:hAnsiTheme="minorHAnsi"/>
                <w:sz w:val="22"/>
              </w:rPr>
              <w:t>Asie</w:t>
            </w:r>
          </w:p>
        </w:tc>
        <w:tc>
          <w:tcPr>
            <w:tcW w:w="4825" w:type="dxa"/>
            <w:shd w:val="clear" w:color="auto" w:fill="auto"/>
            <w:noWrap/>
          </w:tcPr>
          <w:p w14:paraId="3D6692F7" w14:textId="0549FEBA" w:rsidR="00A1095B" w:rsidRPr="00024100" w:rsidRDefault="00A1095B" w:rsidP="00A1095B">
            <w:pPr>
              <w:widowControl w:val="0"/>
              <w:ind w:left="0" w:firstLine="0"/>
              <w:jc w:val="left"/>
              <w:rPr>
                <w:rFonts w:asciiTheme="minorHAnsi" w:hAnsiTheme="minorHAnsi" w:cstheme="minorHAnsi"/>
                <w:bCs/>
                <w:sz w:val="22"/>
                <w:szCs w:val="22"/>
              </w:rPr>
            </w:pPr>
          </w:p>
        </w:tc>
        <w:tc>
          <w:tcPr>
            <w:tcW w:w="1413" w:type="dxa"/>
          </w:tcPr>
          <w:p w14:paraId="2320E699" w14:textId="3DB1587D"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0</w:t>
            </w:r>
          </w:p>
        </w:tc>
        <w:tc>
          <w:tcPr>
            <w:tcW w:w="1706" w:type="dxa"/>
            <w:shd w:val="clear" w:color="auto" w:fill="auto"/>
          </w:tcPr>
          <w:p w14:paraId="403B3F64" w14:textId="579C79B1"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0</w:t>
            </w:r>
          </w:p>
        </w:tc>
      </w:tr>
      <w:tr w:rsidR="00A1095B" w:rsidRPr="00024100" w14:paraId="59F82FAF" w14:textId="77777777" w:rsidTr="00270374">
        <w:trPr>
          <w:cantSplit/>
        </w:trPr>
        <w:tc>
          <w:tcPr>
            <w:tcW w:w="1699" w:type="dxa"/>
            <w:shd w:val="clear" w:color="auto" w:fill="auto"/>
          </w:tcPr>
          <w:p w14:paraId="600656A3" w14:textId="5E91EF29"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lastRenderedPageBreak/>
              <w:t>COP15 Doc.23.22</w:t>
            </w:r>
          </w:p>
        </w:tc>
        <w:tc>
          <w:tcPr>
            <w:tcW w:w="4533" w:type="dxa"/>
            <w:shd w:val="clear" w:color="auto" w:fill="auto"/>
          </w:tcPr>
          <w:p w14:paraId="6E36A053" w14:textId="315BC91C"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sz w:val="22"/>
              </w:rPr>
              <w:t>Projet de résolution sur l</w:t>
            </w:r>
            <w:r w:rsidR="00FC47B5">
              <w:rPr>
                <w:rFonts w:asciiTheme="minorHAnsi" w:hAnsiTheme="minorHAnsi"/>
                <w:sz w:val="22"/>
              </w:rPr>
              <w:t>’</w:t>
            </w:r>
            <w:r>
              <w:rPr>
                <w:rFonts w:asciiTheme="minorHAnsi" w:hAnsiTheme="minorHAnsi"/>
                <w:sz w:val="22"/>
              </w:rPr>
              <w:t>éducation et la participation comme piliers de la gestion des zones humides urbaines et périurbaines</w:t>
            </w:r>
            <w:r>
              <w:rPr>
                <w:rFonts w:asciiTheme="minorHAnsi" w:hAnsiTheme="minorHAnsi"/>
                <w:color w:val="000000"/>
                <w:sz w:val="22"/>
              </w:rPr>
              <w:t xml:space="preserve"> </w:t>
            </w:r>
          </w:p>
        </w:tc>
        <w:tc>
          <w:tcPr>
            <w:tcW w:w="4825" w:type="dxa"/>
            <w:shd w:val="clear" w:color="auto" w:fill="auto"/>
            <w:noWrap/>
          </w:tcPr>
          <w:p w14:paraId="40B18CAF" w14:textId="7A946022" w:rsidR="00A1095B" w:rsidRPr="00024100" w:rsidRDefault="00A1095B" w:rsidP="00A1095B">
            <w:pPr>
              <w:widowControl w:val="0"/>
              <w:ind w:left="0" w:firstLine="0"/>
              <w:jc w:val="left"/>
              <w:rPr>
                <w:rFonts w:asciiTheme="minorHAnsi" w:hAnsiTheme="minorHAnsi" w:cstheme="minorHAnsi"/>
                <w:bCs/>
                <w:sz w:val="22"/>
                <w:szCs w:val="22"/>
              </w:rPr>
            </w:pPr>
          </w:p>
        </w:tc>
        <w:tc>
          <w:tcPr>
            <w:tcW w:w="1413" w:type="dxa"/>
          </w:tcPr>
          <w:p w14:paraId="766EEB37" w14:textId="28F563AD"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0</w:t>
            </w:r>
          </w:p>
        </w:tc>
        <w:tc>
          <w:tcPr>
            <w:tcW w:w="1706" w:type="dxa"/>
            <w:shd w:val="clear" w:color="auto" w:fill="auto"/>
          </w:tcPr>
          <w:p w14:paraId="4E276FC8" w14:textId="68FDBEA9"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0</w:t>
            </w:r>
          </w:p>
        </w:tc>
      </w:tr>
      <w:tr w:rsidR="00A1095B" w:rsidRPr="00024100" w14:paraId="2586F6A8" w14:textId="77777777" w:rsidTr="00270374">
        <w:trPr>
          <w:cantSplit/>
        </w:trPr>
        <w:tc>
          <w:tcPr>
            <w:tcW w:w="1699" w:type="dxa"/>
            <w:shd w:val="clear" w:color="auto" w:fill="auto"/>
          </w:tcPr>
          <w:p w14:paraId="214A3939" w14:textId="33ABA39C"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COP15 Doc.23.23</w:t>
            </w:r>
          </w:p>
        </w:tc>
        <w:tc>
          <w:tcPr>
            <w:tcW w:w="4533" w:type="dxa"/>
            <w:shd w:val="clear" w:color="auto" w:fill="auto"/>
          </w:tcPr>
          <w:p w14:paraId="378201B8" w14:textId="6F748030" w:rsidR="00A1095B" w:rsidRPr="00024100" w:rsidRDefault="00956DCE"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Projet de résolution sur l</w:t>
            </w:r>
            <w:r w:rsidR="00FC47B5">
              <w:rPr>
                <w:rFonts w:asciiTheme="minorHAnsi" w:hAnsiTheme="minorHAnsi"/>
                <w:color w:val="000000"/>
                <w:sz w:val="22"/>
              </w:rPr>
              <w:t>’</w:t>
            </w:r>
            <w:r>
              <w:rPr>
                <w:rFonts w:asciiTheme="minorHAnsi" w:hAnsiTheme="minorHAnsi"/>
                <w:color w:val="000000"/>
                <w:sz w:val="22"/>
              </w:rPr>
              <w:t>évaluation des menaces et des risques qui pèsent sur les zones humides</w:t>
            </w:r>
          </w:p>
        </w:tc>
        <w:tc>
          <w:tcPr>
            <w:tcW w:w="4825" w:type="dxa"/>
            <w:shd w:val="clear" w:color="auto" w:fill="auto"/>
            <w:noWrap/>
          </w:tcPr>
          <w:p w14:paraId="1188CAA9" w14:textId="3FEEE52C" w:rsidR="00A1095B" w:rsidRPr="00024100" w:rsidRDefault="00A1095B" w:rsidP="00A1095B">
            <w:pPr>
              <w:widowControl w:val="0"/>
              <w:ind w:left="0" w:firstLine="0"/>
              <w:jc w:val="left"/>
              <w:rPr>
                <w:rFonts w:asciiTheme="minorHAnsi" w:hAnsiTheme="minorHAnsi" w:cstheme="minorHAnsi"/>
                <w:bCs/>
                <w:sz w:val="22"/>
                <w:szCs w:val="22"/>
              </w:rPr>
            </w:pPr>
          </w:p>
        </w:tc>
        <w:tc>
          <w:tcPr>
            <w:tcW w:w="1413" w:type="dxa"/>
          </w:tcPr>
          <w:p w14:paraId="47D36E91" w14:textId="698838ED"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0</w:t>
            </w:r>
          </w:p>
        </w:tc>
        <w:tc>
          <w:tcPr>
            <w:tcW w:w="1706" w:type="dxa"/>
            <w:shd w:val="clear" w:color="auto" w:fill="auto"/>
          </w:tcPr>
          <w:p w14:paraId="15457ADC" w14:textId="29FCCCA4" w:rsidR="00A1095B" w:rsidRPr="00024100" w:rsidRDefault="00A1095B"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0</w:t>
            </w:r>
          </w:p>
        </w:tc>
      </w:tr>
      <w:tr w:rsidR="0016610A" w:rsidRPr="00024100" w14:paraId="6B92F201" w14:textId="77777777" w:rsidTr="00270374">
        <w:trPr>
          <w:cantSplit/>
        </w:trPr>
        <w:tc>
          <w:tcPr>
            <w:tcW w:w="1699" w:type="dxa"/>
            <w:shd w:val="clear" w:color="auto" w:fill="auto"/>
          </w:tcPr>
          <w:p w14:paraId="7920FABB" w14:textId="16387BCC" w:rsidR="0016610A" w:rsidRDefault="0016610A"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COP15 Doc.23.24</w:t>
            </w:r>
          </w:p>
        </w:tc>
        <w:tc>
          <w:tcPr>
            <w:tcW w:w="4533" w:type="dxa"/>
            <w:shd w:val="clear" w:color="auto" w:fill="auto"/>
          </w:tcPr>
          <w:p w14:paraId="013FC75B" w14:textId="00BBA693" w:rsidR="0016610A" w:rsidRPr="00956DCE" w:rsidRDefault="0016610A" w:rsidP="00A1095B">
            <w:pPr>
              <w:widowControl w:val="0"/>
              <w:ind w:left="0" w:firstLine="0"/>
              <w:jc w:val="left"/>
              <w:rPr>
                <w:rFonts w:asciiTheme="minorHAnsi" w:hAnsiTheme="minorHAnsi" w:cstheme="minorHAnsi"/>
                <w:color w:val="000000"/>
                <w:sz w:val="22"/>
                <w:szCs w:val="22"/>
              </w:rPr>
            </w:pPr>
            <w:r>
              <w:rPr>
                <w:rFonts w:ascii="Calibri" w:hAnsi="Calibri"/>
                <w:sz w:val="22"/>
              </w:rPr>
              <w:t>Projet de résolution amendé sur la Liste Ramsar</w:t>
            </w:r>
          </w:p>
        </w:tc>
        <w:tc>
          <w:tcPr>
            <w:tcW w:w="4825" w:type="dxa"/>
            <w:shd w:val="clear" w:color="auto" w:fill="auto"/>
            <w:noWrap/>
          </w:tcPr>
          <w:p w14:paraId="06CFA56F" w14:textId="77777777" w:rsidR="0016610A" w:rsidRPr="00024100" w:rsidRDefault="0016610A" w:rsidP="00A1095B">
            <w:pPr>
              <w:widowControl w:val="0"/>
              <w:ind w:left="0" w:firstLine="0"/>
              <w:jc w:val="left"/>
              <w:rPr>
                <w:rFonts w:asciiTheme="minorHAnsi" w:hAnsiTheme="minorHAnsi" w:cstheme="minorHAnsi"/>
                <w:bCs/>
                <w:sz w:val="22"/>
                <w:szCs w:val="22"/>
              </w:rPr>
            </w:pPr>
          </w:p>
        </w:tc>
        <w:tc>
          <w:tcPr>
            <w:tcW w:w="1413" w:type="dxa"/>
          </w:tcPr>
          <w:p w14:paraId="670A4FB7" w14:textId="556BF7F7" w:rsidR="0016610A" w:rsidRPr="00024100" w:rsidRDefault="008223E2"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0</w:t>
            </w:r>
          </w:p>
        </w:tc>
        <w:tc>
          <w:tcPr>
            <w:tcW w:w="1706" w:type="dxa"/>
            <w:shd w:val="clear" w:color="auto" w:fill="auto"/>
          </w:tcPr>
          <w:p w14:paraId="11A11442" w14:textId="18E32395" w:rsidR="0016610A" w:rsidRPr="00024100" w:rsidDel="004D5D77" w:rsidRDefault="008223E2"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0</w:t>
            </w:r>
          </w:p>
        </w:tc>
      </w:tr>
      <w:tr w:rsidR="0016610A" w:rsidRPr="00024100" w14:paraId="65AAA622" w14:textId="77777777" w:rsidTr="00270374">
        <w:trPr>
          <w:cantSplit/>
        </w:trPr>
        <w:tc>
          <w:tcPr>
            <w:tcW w:w="1699" w:type="dxa"/>
            <w:shd w:val="clear" w:color="auto" w:fill="auto"/>
          </w:tcPr>
          <w:p w14:paraId="159133F4" w14:textId="3908E97E" w:rsidR="0016610A" w:rsidRDefault="0016610A"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COP15 Doc.23.25</w:t>
            </w:r>
          </w:p>
        </w:tc>
        <w:tc>
          <w:tcPr>
            <w:tcW w:w="4533" w:type="dxa"/>
            <w:shd w:val="clear" w:color="auto" w:fill="auto"/>
          </w:tcPr>
          <w:p w14:paraId="7E82C711" w14:textId="5AAD1F47" w:rsidR="0016610A" w:rsidRPr="00956DCE" w:rsidRDefault="0016610A" w:rsidP="00A1095B">
            <w:pPr>
              <w:widowControl w:val="0"/>
              <w:ind w:left="0" w:firstLine="0"/>
              <w:jc w:val="left"/>
              <w:rPr>
                <w:rFonts w:asciiTheme="minorHAnsi" w:hAnsiTheme="minorHAnsi" w:cstheme="minorHAnsi"/>
                <w:color w:val="000000"/>
                <w:sz w:val="22"/>
                <w:szCs w:val="22"/>
              </w:rPr>
            </w:pPr>
            <w:r>
              <w:rPr>
                <w:rFonts w:ascii="Calibri" w:hAnsi="Calibri"/>
                <w:sz w:val="22"/>
              </w:rPr>
              <w:t>Projet de résolution sur les remerciements adressés au pays hôte, la République du Zimbabwe</w:t>
            </w:r>
          </w:p>
        </w:tc>
        <w:tc>
          <w:tcPr>
            <w:tcW w:w="4825" w:type="dxa"/>
            <w:shd w:val="clear" w:color="auto" w:fill="auto"/>
            <w:noWrap/>
          </w:tcPr>
          <w:p w14:paraId="7A1BD68D" w14:textId="77777777" w:rsidR="0016610A" w:rsidRPr="00024100" w:rsidRDefault="0016610A" w:rsidP="00A1095B">
            <w:pPr>
              <w:widowControl w:val="0"/>
              <w:ind w:left="0" w:firstLine="0"/>
              <w:jc w:val="left"/>
              <w:rPr>
                <w:rFonts w:asciiTheme="minorHAnsi" w:hAnsiTheme="minorHAnsi" w:cstheme="minorHAnsi"/>
                <w:bCs/>
                <w:sz w:val="22"/>
                <w:szCs w:val="22"/>
              </w:rPr>
            </w:pPr>
          </w:p>
        </w:tc>
        <w:tc>
          <w:tcPr>
            <w:tcW w:w="1413" w:type="dxa"/>
          </w:tcPr>
          <w:p w14:paraId="1902D756" w14:textId="7DEEC2A5" w:rsidR="0016610A" w:rsidRPr="00024100" w:rsidRDefault="0004017C"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0</w:t>
            </w:r>
          </w:p>
        </w:tc>
        <w:tc>
          <w:tcPr>
            <w:tcW w:w="1706" w:type="dxa"/>
            <w:shd w:val="clear" w:color="auto" w:fill="auto"/>
          </w:tcPr>
          <w:p w14:paraId="1D0BB850" w14:textId="13A8DE82" w:rsidR="0016610A" w:rsidRPr="00024100" w:rsidDel="004D5D77" w:rsidRDefault="0004017C" w:rsidP="00A1095B">
            <w:pPr>
              <w:widowControl w:val="0"/>
              <w:ind w:left="0" w:firstLine="0"/>
              <w:jc w:val="left"/>
              <w:rPr>
                <w:rFonts w:asciiTheme="minorHAnsi" w:hAnsiTheme="minorHAnsi" w:cstheme="minorHAnsi"/>
                <w:color w:val="000000"/>
                <w:sz w:val="22"/>
                <w:szCs w:val="22"/>
              </w:rPr>
            </w:pPr>
            <w:r>
              <w:rPr>
                <w:rFonts w:asciiTheme="minorHAnsi" w:hAnsiTheme="minorHAnsi"/>
                <w:color w:val="000000"/>
                <w:sz w:val="22"/>
              </w:rPr>
              <w:t>0</w:t>
            </w:r>
          </w:p>
        </w:tc>
      </w:tr>
    </w:tbl>
    <w:p w14:paraId="01313558" w14:textId="77777777" w:rsidR="00A451D1" w:rsidRPr="00024100" w:rsidRDefault="00A451D1" w:rsidP="00A451D1">
      <w:pPr>
        <w:widowControl w:val="0"/>
        <w:ind w:left="0" w:firstLine="0"/>
        <w:jc w:val="left"/>
        <w:rPr>
          <w:rFonts w:asciiTheme="minorHAnsi" w:hAnsiTheme="minorHAnsi" w:cstheme="minorHAnsi"/>
          <w:color w:val="000000"/>
          <w:sz w:val="22"/>
          <w:szCs w:val="22"/>
        </w:rPr>
      </w:pPr>
    </w:p>
    <w:sectPr w:rsidR="00A451D1" w:rsidRPr="00024100" w:rsidSect="00024100">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028DB" w14:textId="77777777" w:rsidR="00C12BCD" w:rsidRDefault="00C12BCD" w:rsidP="006058B3">
      <w:r>
        <w:separator/>
      </w:r>
    </w:p>
  </w:endnote>
  <w:endnote w:type="continuationSeparator" w:id="0">
    <w:p w14:paraId="14FAC0C5" w14:textId="77777777" w:rsidR="00C12BCD" w:rsidRDefault="00C12BCD" w:rsidP="006058B3">
      <w:r>
        <w:continuationSeparator/>
      </w:r>
    </w:p>
  </w:endnote>
  <w:endnote w:type="continuationNotice" w:id="1">
    <w:p w14:paraId="1528BBEE" w14:textId="77777777" w:rsidR="00C12BCD" w:rsidRDefault="00C12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angSong">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EDE03" w14:textId="33856E89" w:rsidR="006058B3" w:rsidRPr="006058B3" w:rsidRDefault="00644727">
    <w:pPr>
      <w:pStyle w:val="Footer"/>
      <w:rPr>
        <w:rFonts w:asciiTheme="minorHAnsi" w:hAnsiTheme="minorHAnsi" w:cstheme="minorHAnsi"/>
        <w:sz w:val="20"/>
        <w:szCs w:val="20"/>
      </w:rPr>
    </w:pPr>
    <w:r>
      <w:rPr>
        <w:rFonts w:asciiTheme="minorHAnsi" w:hAnsiTheme="minorHAnsi"/>
        <w:sz w:val="20"/>
      </w:rPr>
      <w:t>SC64 Doc.9.4</w:t>
    </w:r>
    <w:r>
      <w:rPr>
        <w:rFonts w:asciiTheme="minorHAnsi" w:hAnsiTheme="minorHAnsi"/>
        <w:sz w:val="20"/>
      </w:rPr>
      <w:tab/>
    </w:r>
    <w:r>
      <w:rPr>
        <w:rFonts w:asciiTheme="minorHAnsi" w:hAnsiTheme="minorHAnsi"/>
        <w:sz w:val="20"/>
      </w:rPr>
      <w:tab/>
    </w:r>
    <w:r w:rsidR="006058B3" w:rsidRPr="00967BF4">
      <w:rPr>
        <w:rFonts w:asciiTheme="minorHAnsi" w:hAnsiTheme="minorHAnsi" w:cstheme="minorHAnsi"/>
        <w:sz w:val="20"/>
      </w:rPr>
      <w:fldChar w:fldCharType="begin"/>
    </w:r>
    <w:r w:rsidR="006058B3" w:rsidRPr="00967BF4">
      <w:rPr>
        <w:rFonts w:asciiTheme="minorHAnsi" w:hAnsiTheme="minorHAnsi" w:cstheme="minorHAnsi"/>
        <w:sz w:val="20"/>
      </w:rPr>
      <w:instrText xml:space="preserve"> PAGE   \* MERGEFORMAT </w:instrText>
    </w:r>
    <w:r w:rsidR="006058B3" w:rsidRPr="00967BF4">
      <w:rPr>
        <w:rFonts w:asciiTheme="minorHAnsi" w:hAnsiTheme="minorHAnsi" w:cstheme="minorHAnsi"/>
        <w:sz w:val="20"/>
      </w:rPr>
      <w:fldChar w:fldCharType="separate"/>
    </w:r>
    <w:r w:rsidR="00165BEA">
      <w:rPr>
        <w:rFonts w:asciiTheme="minorHAnsi" w:hAnsiTheme="minorHAnsi" w:cstheme="minorHAnsi"/>
        <w:sz w:val="20"/>
      </w:rPr>
      <w:t>4</w:t>
    </w:r>
    <w:r w:rsidR="006058B3" w:rsidRPr="00967BF4">
      <w:rPr>
        <w:rFonts w:asciiTheme="minorHAnsi" w:hAnsiTheme="minorHAnsi" w:cstheme="minorHAns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58939" w14:textId="1D8E31BD" w:rsidR="00024100" w:rsidRPr="00BC7037" w:rsidRDefault="00A1095B" w:rsidP="00024100">
    <w:pPr>
      <w:pStyle w:val="Footer"/>
      <w:tabs>
        <w:tab w:val="clear" w:pos="9026"/>
        <w:tab w:val="right" w:pos="13892"/>
      </w:tabs>
      <w:rPr>
        <w:rFonts w:asciiTheme="minorHAnsi" w:hAnsiTheme="minorHAnsi" w:cstheme="minorHAnsi"/>
        <w:sz w:val="20"/>
        <w:szCs w:val="20"/>
      </w:rPr>
    </w:pPr>
    <w:r>
      <w:rPr>
        <w:rFonts w:ascii="Calibri" w:hAnsi="Calibri"/>
        <w:sz w:val="20"/>
      </w:rPr>
      <w:t>COP15 Doc.17</w:t>
    </w:r>
    <w:r>
      <w:rPr>
        <w:rFonts w:asciiTheme="minorHAnsi" w:hAnsiTheme="minorHAnsi"/>
        <w:sz w:val="20"/>
      </w:rPr>
      <w:tab/>
    </w:r>
    <w:r>
      <w:rPr>
        <w:rFonts w:asciiTheme="minorHAnsi" w:hAnsiTheme="minorHAnsi"/>
        <w:sz w:val="20"/>
      </w:rPr>
      <w:tab/>
    </w:r>
    <w:r w:rsidR="00024100" w:rsidRPr="00BC7037">
      <w:rPr>
        <w:rFonts w:asciiTheme="minorHAnsi" w:hAnsiTheme="minorHAnsi" w:cstheme="minorHAnsi"/>
        <w:sz w:val="20"/>
      </w:rPr>
      <w:fldChar w:fldCharType="begin"/>
    </w:r>
    <w:r w:rsidR="00024100" w:rsidRPr="00BC7037">
      <w:rPr>
        <w:rFonts w:asciiTheme="minorHAnsi" w:hAnsiTheme="minorHAnsi" w:cstheme="minorHAnsi"/>
        <w:sz w:val="20"/>
      </w:rPr>
      <w:instrText xml:space="preserve"> PAGE   \* MERGEFORMAT </w:instrText>
    </w:r>
    <w:r w:rsidR="00024100" w:rsidRPr="00BC7037">
      <w:rPr>
        <w:rFonts w:asciiTheme="minorHAnsi" w:hAnsiTheme="minorHAnsi" w:cstheme="minorHAnsi"/>
        <w:sz w:val="20"/>
      </w:rPr>
      <w:fldChar w:fldCharType="separate"/>
    </w:r>
    <w:r w:rsidR="00024100" w:rsidRPr="00BC7037">
      <w:rPr>
        <w:rFonts w:asciiTheme="minorHAnsi" w:hAnsiTheme="minorHAnsi" w:cstheme="minorHAnsi"/>
        <w:sz w:val="20"/>
      </w:rPr>
      <w:t>4</w:t>
    </w:r>
    <w:r w:rsidR="00024100" w:rsidRPr="00BC7037">
      <w:rPr>
        <w:rFonts w:asciiTheme="minorHAnsi" w:hAnsiTheme="minorHAnsi"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2D8B9" w14:textId="77777777" w:rsidR="00C12BCD" w:rsidRDefault="00C12BCD" w:rsidP="006058B3">
      <w:r>
        <w:separator/>
      </w:r>
    </w:p>
  </w:footnote>
  <w:footnote w:type="continuationSeparator" w:id="0">
    <w:p w14:paraId="34378E6F" w14:textId="77777777" w:rsidR="00C12BCD" w:rsidRDefault="00C12BCD" w:rsidP="006058B3">
      <w:r>
        <w:continuationSeparator/>
      </w:r>
    </w:p>
  </w:footnote>
  <w:footnote w:type="continuationNotice" w:id="1">
    <w:p w14:paraId="4AC82561" w14:textId="77777777" w:rsidR="00C12BCD" w:rsidRDefault="00C12BCD"/>
  </w:footnote>
  <w:footnote w:id="2">
    <w:p w14:paraId="05EB853F" w14:textId="515D97BD" w:rsidR="00BB624E" w:rsidRPr="00881022" w:rsidRDefault="00BB624E">
      <w:pPr>
        <w:pStyle w:val="FootnoteText"/>
        <w:rPr>
          <w:rFonts w:asciiTheme="minorHAnsi" w:hAnsiTheme="minorHAnsi" w:cstheme="minorHAnsi"/>
        </w:rPr>
      </w:pPr>
      <w:r w:rsidRPr="00881022">
        <w:rPr>
          <w:rStyle w:val="FootnoteReference"/>
          <w:rFonts w:asciiTheme="minorHAnsi" w:hAnsiTheme="minorHAnsi" w:cstheme="minorHAnsi"/>
        </w:rPr>
        <w:footnoteRef/>
      </w:r>
      <w:r w:rsidRPr="00881022">
        <w:rPr>
          <w:rFonts w:asciiTheme="minorHAnsi" w:hAnsiTheme="minorHAnsi" w:cstheme="minorHAnsi"/>
        </w:rPr>
        <w:t xml:space="preserve"> Coût si un/e nouveau/elle Secrétaire général/e est recruté/e pendant la période triennale.</w:t>
      </w:r>
    </w:p>
  </w:footnote>
  <w:footnote w:id="3">
    <w:p w14:paraId="4FF83C95" w14:textId="64E50CE2" w:rsidR="00A1095B" w:rsidRPr="00024100" w:rsidRDefault="00A1095B" w:rsidP="00024100">
      <w:pPr>
        <w:pStyle w:val="pf0"/>
        <w:spacing w:before="0" w:beforeAutospacing="0" w:after="0" w:afterAutospacing="0"/>
        <w:rPr>
          <w:rFonts w:asciiTheme="minorHAnsi" w:hAnsiTheme="minorHAnsi" w:cstheme="minorHAnsi"/>
          <w:sz w:val="20"/>
          <w:szCs w:val="20"/>
        </w:rPr>
      </w:pPr>
      <w:r>
        <w:rPr>
          <w:rStyle w:val="FootnoteReference"/>
          <w:rFonts w:asciiTheme="minorHAnsi" w:hAnsiTheme="minorHAnsi" w:cstheme="minorHAnsi"/>
          <w:sz w:val="20"/>
          <w:szCs w:val="20"/>
        </w:rPr>
        <w:footnoteRef/>
      </w:r>
      <w:r>
        <w:rPr>
          <w:rFonts w:asciiTheme="minorHAnsi" w:hAnsiTheme="minorHAnsi"/>
          <w:sz w:val="20"/>
        </w:rPr>
        <w:t xml:space="preserve"> </w:t>
      </w:r>
      <w:r>
        <w:rPr>
          <w:rStyle w:val="cf01"/>
          <w:rFonts w:asciiTheme="minorHAnsi" w:hAnsiTheme="minorHAnsi"/>
          <w:sz w:val="20"/>
        </w:rPr>
        <w:t>En fonction des conclusions tirées et de la solution retenue par les Parties contractantes, ainsi que du nombre de Parties qui auront recours à ce processus, des coûts de suivi nettement plus élevés (encore inconnus) sont à prévoir en ce qui concerne :</w:t>
      </w:r>
    </w:p>
    <w:p w14:paraId="0139098F" w14:textId="0262A0F6" w:rsidR="00A1095B" w:rsidRPr="00024100" w:rsidRDefault="00824167" w:rsidP="00024100">
      <w:pPr>
        <w:pStyle w:val="pf1"/>
        <w:numPr>
          <w:ilvl w:val="0"/>
          <w:numId w:val="10"/>
        </w:numPr>
        <w:tabs>
          <w:tab w:val="clear" w:pos="720"/>
        </w:tabs>
        <w:spacing w:before="0" w:beforeAutospacing="0" w:after="0" w:afterAutospacing="0"/>
        <w:ind w:left="426" w:hanging="426"/>
        <w:rPr>
          <w:rFonts w:asciiTheme="minorHAnsi" w:hAnsiTheme="minorHAnsi" w:cstheme="minorHAnsi"/>
          <w:sz w:val="20"/>
          <w:szCs w:val="20"/>
        </w:rPr>
      </w:pPr>
      <w:r>
        <w:rPr>
          <w:rStyle w:val="cf01"/>
          <w:rFonts w:asciiTheme="minorHAnsi" w:hAnsiTheme="minorHAnsi"/>
          <w:sz w:val="20"/>
        </w:rPr>
        <w:t>la mise en œuvre de la solution retenue ; et</w:t>
      </w:r>
    </w:p>
    <w:p w14:paraId="0FD274EC" w14:textId="3F89A224" w:rsidR="00A1095B" w:rsidRPr="00024100" w:rsidRDefault="00824167" w:rsidP="00024100">
      <w:pPr>
        <w:pStyle w:val="pf1"/>
        <w:numPr>
          <w:ilvl w:val="0"/>
          <w:numId w:val="10"/>
        </w:numPr>
        <w:tabs>
          <w:tab w:val="clear" w:pos="720"/>
        </w:tabs>
        <w:spacing w:before="0" w:beforeAutospacing="0" w:after="0" w:afterAutospacing="0"/>
        <w:ind w:left="426" w:hanging="426"/>
        <w:rPr>
          <w:rFonts w:asciiTheme="minorHAnsi" w:hAnsiTheme="minorHAnsi" w:cstheme="minorHAnsi"/>
          <w:sz w:val="20"/>
          <w:szCs w:val="20"/>
        </w:rPr>
      </w:pPr>
      <w:r>
        <w:rPr>
          <w:rStyle w:val="cf01"/>
          <w:rFonts w:asciiTheme="minorHAnsi" w:hAnsiTheme="minorHAnsi"/>
          <w:sz w:val="20"/>
        </w:rPr>
        <w:t>les dépenses courantes et les jours de travail relatifs au transfert des données par pays lorsque celui-ci ne pourra pas être entièrement automatisé.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84C"/>
    <w:multiLevelType w:val="hybridMultilevel"/>
    <w:tmpl w:val="84A2A9D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B94814"/>
    <w:multiLevelType w:val="hybridMultilevel"/>
    <w:tmpl w:val="EFD6AEC6"/>
    <w:lvl w:ilvl="0" w:tplc="DFA2C69C">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355FB3"/>
    <w:multiLevelType w:val="multilevel"/>
    <w:tmpl w:val="1DFA58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15:restartNumberingAfterBreak="0">
    <w:nsid w:val="421271EE"/>
    <w:multiLevelType w:val="multilevel"/>
    <w:tmpl w:val="EBB2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FC2928"/>
    <w:multiLevelType w:val="hybridMultilevel"/>
    <w:tmpl w:val="5B6CD4C4"/>
    <w:lvl w:ilvl="0" w:tplc="07662AD6">
      <w:start w:val="1"/>
      <w:numFmt w:val="bullet"/>
      <w:lvlText w:val=""/>
      <w:lvlJc w:val="left"/>
      <w:pPr>
        <w:ind w:left="720" w:hanging="360"/>
      </w:pPr>
      <w:rPr>
        <w:rFonts w:ascii="Symbol" w:hAnsi="Symbol"/>
      </w:rPr>
    </w:lvl>
    <w:lvl w:ilvl="1" w:tplc="D89A0EF8">
      <w:start w:val="1"/>
      <w:numFmt w:val="bullet"/>
      <w:lvlText w:val=""/>
      <w:lvlJc w:val="left"/>
      <w:pPr>
        <w:ind w:left="720" w:hanging="360"/>
      </w:pPr>
      <w:rPr>
        <w:rFonts w:ascii="Symbol" w:hAnsi="Symbol"/>
      </w:rPr>
    </w:lvl>
    <w:lvl w:ilvl="2" w:tplc="AFA009E8">
      <w:start w:val="1"/>
      <w:numFmt w:val="bullet"/>
      <w:lvlText w:val=""/>
      <w:lvlJc w:val="left"/>
      <w:pPr>
        <w:ind w:left="720" w:hanging="360"/>
      </w:pPr>
      <w:rPr>
        <w:rFonts w:ascii="Symbol" w:hAnsi="Symbol"/>
      </w:rPr>
    </w:lvl>
    <w:lvl w:ilvl="3" w:tplc="644E66C0">
      <w:start w:val="1"/>
      <w:numFmt w:val="bullet"/>
      <w:lvlText w:val=""/>
      <w:lvlJc w:val="left"/>
      <w:pPr>
        <w:ind w:left="720" w:hanging="360"/>
      </w:pPr>
      <w:rPr>
        <w:rFonts w:ascii="Symbol" w:hAnsi="Symbol"/>
      </w:rPr>
    </w:lvl>
    <w:lvl w:ilvl="4" w:tplc="34FAB150">
      <w:start w:val="1"/>
      <w:numFmt w:val="bullet"/>
      <w:lvlText w:val=""/>
      <w:lvlJc w:val="left"/>
      <w:pPr>
        <w:ind w:left="720" w:hanging="360"/>
      </w:pPr>
      <w:rPr>
        <w:rFonts w:ascii="Symbol" w:hAnsi="Symbol"/>
      </w:rPr>
    </w:lvl>
    <w:lvl w:ilvl="5" w:tplc="D79E4E96">
      <w:start w:val="1"/>
      <w:numFmt w:val="bullet"/>
      <w:lvlText w:val=""/>
      <w:lvlJc w:val="left"/>
      <w:pPr>
        <w:ind w:left="720" w:hanging="360"/>
      </w:pPr>
      <w:rPr>
        <w:rFonts w:ascii="Symbol" w:hAnsi="Symbol"/>
      </w:rPr>
    </w:lvl>
    <w:lvl w:ilvl="6" w:tplc="2E76CDDE">
      <w:start w:val="1"/>
      <w:numFmt w:val="bullet"/>
      <w:lvlText w:val=""/>
      <w:lvlJc w:val="left"/>
      <w:pPr>
        <w:ind w:left="720" w:hanging="360"/>
      </w:pPr>
      <w:rPr>
        <w:rFonts w:ascii="Symbol" w:hAnsi="Symbol"/>
      </w:rPr>
    </w:lvl>
    <w:lvl w:ilvl="7" w:tplc="7736F5BA">
      <w:start w:val="1"/>
      <w:numFmt w:val="bullet"/>
      <w:lvlText w:val=""/>
      <w:lvlJc w:val="left"/>
      <w:pPr>
        <w:ind w:left="720" w:hanging="360"/>
      </w:pPr>
      <w:rPr>
        <w:rFonts w:ascii="Symbol" w:hAnsi="Symbol"/>
      </w:rPr>
    </w:lvl>
    <w:lvl w:ilvl="8" w:tplc="907209AA">
      <w:start w:val="1"/>
      <w:numFmt w:val="bullet"/>
      <w:lvlText w:val=""/>
      <w:lvlJc w:val="left"/>
      <w:pPr>
        <w:ind w:left="720" w:hanging="360"/>
      </w:pPr>
      <w:rPr>
        <w:rFonts w:ascii="Symbol" w:hAnsi="Symbol"/>
      </w:rPr>
    </w:lvl>
  </w:abstractNum>
  <w:abstractNum w:abstractNumId="5" w15:restartNumberingAfterBreak="0">
    <w:nsid w:val="57786ADB"/>
    <w:multiLevelType w:val="hybridMultilevel"/>
    <w:tmpl w:val="2E9EE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2F51A4C"/>
    <w:multiLevelType w:val="hybridMultilevel"/>
    <w:tmpl w:val="0FA448C8"/>
    <w:lvl w:ilvl="0" w:tplc="4656AA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951639"/>
    <w:multiLevelType w:val="hybridMultilevel"/>
    <w:tmpl w:val="78FE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775B16"/>
    <w:multiLevelType w:val="hybridMultilevel"/>
    <w:tmpl w:val="D93C8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1059552">
    <w:abstractNumId w:val="2"/>
  </w:num>
  <w:num w:numId="2" w16cid:durableId="1967540534">
    <w:abstractNumId w:val="0"/>
    <w:lvlOverride w:ilvl="0">
      <w:startOverride w:val="1"/>
    </w:lvlOverride>
    <w:lvlOverride w:ilvl="1"/>
    <w:lvlOverride w:ilvl="2"/>
    <w:lvlOverride w:ilvl="3"/>
    <w:lvlOverride w:ilvl="4"/>
    <w:lvlOverride w:ilvl="5"/>
    <w:lvlOverride w:ilvl="6"/>
    <w:lvlOverride w:ilvl="7"/>
    <w:lvlOverride w:ilvl="8"/>
  </w:num>
  <w:num w:numId="3" w16cid:durableId="1484665536">
    <w:abstractNumId w:val="5"/>
  </w:num>
  <w:num w:numId="4" w16cid:durableId="1447234255">
    <w:abstractNumId w:val="0"/>
  </w:num>
  <w:num w:numId="5" w16cid:durableId="495069920">
    <w:abstractNumId w:val="7"/>
  </w:num>
  <w:num w:numId="6" w16cid:durableId="864905750">
    <w:abstractNumId w:val="8"/>
  </w:num>
  <w:num w:numId="7" w16cid:durableId="904530687">
    <w:abstractNumId w:val="6"/>
  </w:num>
  <w:num w:numId="8" w16cid:durableId="178129411">
    <w:abstractNumId w:val="1"/>
  </w:num>
  <w:num w:numId="9" w16cid:durableId="258105016">
    <w:abstractNumId w:val="4"/>
  </w:num>
  <w:num w:numId="10" w16cid:durableId="68119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AFD"/>
    <w:rsid w:val="0000149B"/>
    <w:rsid w:val="0000755C"/>
    <w:rsid w:val="00013636"/>
    <w:rsid w:val="000206E7"/>
    <w:rsid w:val="00022A0A"/>
    <w:rsid w:val="00024100"/>
    <w:rsid w:val="00024F22"/>
    <w:rsid w:val="000250FF"/>
    <w:rsid w:val="000267EF"/>
    <w:rsid w:val="00027DBC"/>
    <w:rsid w:val="00034125"/>
    <w:rsid w:val="00037632"/>
    <w:rsid w:val="0004017C"/>
    <w:rsid w:val="00046B52"/>
    <w:rsid w:val="00057413"/>
    <w:rsid w:val="00057932"/>
    <w:rsid w:val="00065171"/>
    <w:rsid w:val="00065B8F"/>
    <w:rsid w:val="00065C00"/>
    <w:rsid w:val="00072A4E"/>
    <w:rsid w:val="000737A0"/>
    <w:rsid w:val="00074DFF"/>
    <w:rsid w:val="00076CE7"/>
    <w:rsid w:val="00087E7E"/>
    <w:rsid w:val="00090B48"/>
    <w:rsid w:val="00091C10"/>
    <w:rsid w:val="00092019"/>
    <w:rsid w:val="000A7F0C"/>
    <w:rsid w:val="000B21AC"/>
    <w:rsid w:val="000B5387"/>
    <w:rsid w:val="000C42CB"/>
    <w:rsid w:val="000C73F3"/>
    <w:rsid w:val="000D05D9"/>
    <w:rsid w:val="000D0626"/>
    <w:rsid w:val="000D066A"/>
    <w:rsid w:val="000D14A1"/>
    <w:rsid w:val="000E4489"/>
    <w:rsid w:val="000E637A"/>
    <w:rsid w:val="000F55EE"/>
    <w:rsid w:val="001055E5"/>
    <w:rsid w:val="00105677"/>
    <w:rsid w:val="0011350A"/>
    <w:rsid w:val="001155B4"/>
    <w:rsid w:val="001158EA"/>
    <w:rsid w:val="00134B76"/>
    <w:rsid w:val="001353CD"/>
    <w:rsid w:val="00135BF6"/>
    <w:rsid w:val="00141784"/>
    <w:rsid w:val="001429CC"/>
    <w:rsid w:val="001438E6"/>
    <w:rsid w:val="00144492"/>
    <w:rsid w:val="00144C7A"/>
    <w:rsid w:val="001529FF"/>
    <w:rsid w:val="00152C0C"/>
    <w:rsid w:val="00155904"/>
    <w:rsid w:val="00165691"/>
    <w:rsid w:val="00165BEA"/>
    <w:rsid w:val="0016610A"/>
    <w:rsid w:val="00171941"/>
    <w:rsid w:val="00173D3F"/>
    <w:rsid w:val="00174C19"/>
    <w:rsid w:val="00176FC9"/>
    <w:rsid w:val="001828C8"/>
    <w:rsid w:val="00184C60"/>
    <w:rsid w:val="00191A10"/>
    <w:rsid w:val="00192CDE"/>
    <w:rsid w:val="001A2A45"/>
    <w:rsid w:val="001A45F2"/>
    <w:rsid w:val="001A492D"/>
    <w:rsid w:val="001A624D"/>
    <w:rsid w:val="001B1070"/>
    <w:rsid w:val="001B1EDC"/>
    <w:rsid w:val="001B3EEB"/>
    <w:rsid w:val="001B5379"/>
    <w:rsid w:val="001B5CCD"/>
    <w:rsid w:val="001B6A31"/>
    <w:rsid w:val="001B6F33"/>
    <w:rsid w:val="001B7AB2"/>
    <w:rsid w:val="001C341F"/>
    <w:rsid w:val="001C4D6A"/>
    <w:rsid w:val="001D1CA4"/>
    <w:rsid w:val="001D5A0F"/>
    <w:rsid w:val="001E209D"/>
    <w:rsid w:val="001E2AA0"/>
    <w:rsid w:val="001E2ECF"/>
    <w:rsid w:val="001E34E1"/>
    <w:rsid w:val="001E57F5"/>
    <w:rsid w:val="001F3BE1"/>
    <w:rsid w:val="001F488E"/>
    <w:rsid w:val="001F4CB2"/>
    <w:rsid w:val="002039BA"/>
    <w:rsid w:val="00203A5E"/>
    <w:rsid w:val="002059AB"/>
    <w:rsid w:val="00211F03"/>
    <w:rsid w:val="00213388"/>
    <w:rsid w:val="00214B41"/>
    <w:rsid w:val="00217FA7"/>
    <w:rsid w:val="00224BB3"/>
    <w:rsid w:val="002314AC"/>
    <w:rsid w:val="00231EBC"/>
    <w:rsid w:val="002332D4"/>
    <w:rsid w:val="00235922"/>
    <w:rsid w:val="00236FE6"/>
    <w:rsid w:val="002462A8"/>
    <w:rsid w:val="0025233F"/>
    <w:rsid w:val="002646F3"/>
    <w:rsid w:val="00270374"/>
    <w:rsid w:val="00274B40"/>
    <w:rsid w:val="00275E30"/>
    <w:rsid w:val="0027767A"/>
    <w:rsid w:val="002864ED"/>
    <w:rsid w:val="002934A0"/>
    <w:rsid w:val="00295E57"/>
    <w:rsid w:val="00295F80"/>
    <w:rsid w:val="002973CF"/>
    <w:rsid w:val="002A4E04"/>
    <w:rsid w:val="002A5383"/>
    <w:rsid w:val="002B2A41"/>
    <w:rsid w:val="002B429F"/>
    <w:rsid w:val="002B5EA6"/>
    <w:rsid w:val="002B6DE6"/>
    <w:rsid w:val="002C53DC"/>
    <w:rsid w:val="002C6100"/>
    <w:rsid w:val="002D293B"/>
    <w:rsid w:val="002D2B79"/>
    <w:rsid w:val="002E346A"/>
    <w:rsid w:val="002E403E"/>
    <w:rsid w:val="002E6839"/>
    <w:rsid w:val="002F3493"/>
    <w:rsid w:val="002F4875"/>
    <w:rsid w:val="00303D77"/>
    <w:rsid w:val="0030644A"/>
    <w:rsid w:val="00307B7E"/>
    <w:rsid w:val="00311716"/>
    <w:rsid w:val="003149A3"/>
    <w:rsid w:val="00314E01"/>
    <w:rsid w:val="00317126"/>
    <w:rsid w:val="00317FDC"/>
    <w:rsid w:val="00330AD3"/>
    <w:rsid w:val="00341934"/>
    <w:rsid w:val="00343274"/>
    <w:rsid w:val="00343A90"/>
    <w:rsid w:val="003501A9"/>
    <w:rsid w:val="003531A1"/>
    <w:rsid w:val="00354AB1"/>
    <w:rsid w:val="00354D36"/>
    <w:rsid w:val="003574E3"/>
    <w:rsid w:val="00357BF6"/>
    <w:rsid w:val="0036297B"/>
    <w:rsid w:val="003637BE"/>
    <w:rsid w:val="00373D04"/>
    <w:rsid w:val="00377E56"/>
    <w:rsid w:val="00377EF3"/>
    <w:rsid w:val="003835EB"/>
    <w:rsid w:val="00384AA8"/>
    <w:rsid w:val="00387289"/>
    <w:rsid w:val="003902C7"/>
    <w:rsid w:val="003951B5"/>
    <w:rsid w:val="003962BF"/>
    <w:rsid w:val="003963B3"/>
    <w:rsid w:val="003976C4"/>
    <w:rsid w:val="003A2B95"/>
    <w:rsid w:val="003B0100"/>
    <w:rsid w:val="003B0DA3"/>
    <w:rsid w:val="003B1847"/>
    <w:rsid w:val="003B407E"/>
    <w:rsid w:val="003C17FF"/>
    <w:rsid w:val="003C4A83"/>
    <w:rsid w:val="003C5910"/>
    <w:rsid w:val="003C7167"/>
    <w:rsid w:val="003D55B0"/>
    <w:rsid w:val="003D6800"/>
    <w:rsid w:val="003D7C72"/>
    <w:rsid w:val="003E16E1"/>
    <w:rsid w:val="003E26DD"/>
    <w:rsid w:val="003E3D85"/>
    <w:rsid w:val="003E79DA"/>
    <w:rsid w:val="003F2340"/>
    <w:rsid w:val="003F63D8"/>
    <w:rsid w:val="00404973"/>
    <w:rsid w:val="004063DA"/>
    <w:rsid w:val="00406AF2"/>
    <w:rsid w:val="0042096E"/>
    <w:rsid w:val="00421460"/>
    <w:rsid w:val="004252C7"/>
    <w:rsid w:val="004278CF"/>
    <w:rsid w:val="004312C3"/>
    <w:rsid w:val="0043271B"/>
    <w:rsid w:val="00432BE5"/>
    <w:rsid w:val="0043430C"/>
    <w:rsid w:val="00435A3A"/>
    <w:rsid w:val="004371F2"/>
    <w:rsid w:val="00443677"/>
    <w:rsid w:val="00444FF1"/>
    <w:rsid w:val="0044619B"/>
    <w:rsid w:val="00453CB9"/>
    <w:rsid w:val="00454246"/>
    <w:rsid w:val="004553B8"/>
    <w:rsid w:val="00456093"/>
    <w:rsid w:val="004564EA"/>
    <w:rsid w:val="00460B12"/>
    <w:rsid w:val="00470762"/>
    <w:rsid w:val="004733D9"/>
    <w:rsid w:val="00473C47"/>
    <w:rsid w:val="00480DDF"/>
    <w:rsid w:val="00480F5D"/>
    <w:rsid w:val="00482698"/>
    <w:rsid w:val="00484235"/>
    <w:rsid w:val="004911DF"/>
    <w:rsid w:val="00491A34"/>
    <w:rsid w:val="00491BEE"/>
    <w:rsid w:val="00492891"/>
    <w:rsid w:val="004A290F"/>
    <w:rsid w:val="004A4C3D"/>
    <w:rsid w:val="004A5A53"/>
    <w:rsid w:val="004C1157"/>
    <w:rsid w:val="004C12D8"/>
    <w:rsid w:val="004C2350"/>
    <w:rsid w:val="004C343C"/>
    <w:rsid w:val="004C3AFC"/>
    <w:rsid w:val="004C6C80"/>
    <w:rsid w:val="004D5D77"/>
    <w:rsid w:val="004D5EC7"/>
    <w:rsid w:val="004E0DB3"/>
    <w:rsid w:val="004E1D29"/>
    <w:rsid w:val="004E6D45"/>
    <w:rsid w:val="004F0C81"/>
    <w:rsid w:val="004F2362"/>
    <w:rsid w:val="004F2E7A"/>
    <w:rsid w:val="004F7BE5"/>
    <w:rsid w:val="004F7E98"/>
    <w:rsid w:val="00503DDE"/>
    <w:rsid w:val="00505301"/>
    <w:rsid w:val="005069A3"/>
    <w:rsid w:val="005078BB"/>
    <w:rsid w:val="0051038A"/>
    <w:rsid w:val="005114E8"/>
    <w:rsid w:val="00515D0B"/>
    <w:rsid w:val="00524FEB"/>
    <w:rsid w:val="0053410E"/>
    <w:rsid w:val="00535F9D"/>
    <w:rsid w:val="0054327A"/>
    <w:rsid w:val="00546EFD"/>
    <w:rsid w:val="005513F0"/>
    <w:rsid w:val="00553AB5"/>
    <w:rsid w:val="00557311"/>
    <w:rsid w:val="00557635"/>
    <w:rsid w:val="00560682"/>
    <w:rsid w:val="00561CB9"/>
    <w:rsid w:val="005653D8"/>
    <w:rsid w:val="00573F75"/>
    <w:rsid w:val="00576098"/>
    <w:rsid w:val="0058153D"/>
    <w:rsid w:val="005855E2"/>
    <w:rsid w:val="00586AA0"/>
    <w:rsid w:val="00591F47"/>
    <w:rsid w:val="00594741"/>
    <w:rsid w:val="00594A88"/>
    <w:rsid w:val="00594ED0"/>
    <w:rsid w:val="005A11EA"/>
    <w:rsid w:val="005A19A6"/>
    <w:rsid w:val="005A3E31"/>
    <w:rsid w:val="005A5742"/>
    <w:rsid w:val="005B0A8B"/>
    <w:rsid w:val="005B47D6"/>
    <w:rsid w:val="005B7233"/>
    <w:rsid w:val="005C0613"/>
    <w:rsid w:val="005C4417"/>
    <w:rsid w:val="005C4558"/>
    <w:rsid w:val="005C567F"/>
    <w:rsid w:val="005C6528"/>
    <w:rsid w:val="005D106B"/>
    <w:rsid w:val="005D2FAE"/>
    <w:rsid w:val="005D3A14"/>
    <w:rsid w:val="005E0686"/>
    <w:rsid w:val="005E0BC1"/>
    <w:rsid w:val="005F0984"/>
    <w:rsid w:val="005F6616"/>
    <w:rsid w:val="00601430"/>
    <w:rsid w:val="00604BAD"/>
    <w:rsid w:val="006058B3"/>
    <w:rsid w:val="0061482E"/>
    <w:rsid w:val="00630146"/>
    <w:rsid w:val="00630704"/>
    <w:rsid w:val="006320E6"/>
    <w:rsid w:val="00632664"/>
    <w:rsid w:val="00634417"/>
    <w:rsid w:val="00642E8E"/>
    <w:rsid w:val="00644727"/>
    <w:rsid w:val="00644C1D"/>
    <w:rsid w:val="006451A9"/>
    <w:rsid w:val="006476AB"/>
    <w:rsid w:val="00647DCF"/>
    <w:rsid w:val="006546B1"/>
    <w:rsid w:val="0065602D"/>
    <w:rsid w:val="00657F96"/>
    <w:rsid w:val="00660359"/>
    <w:rsid w:val="00663013"/>
    <w:rsid w:val="0066368E"/>
    <w:rsid w:val="00663E0C"/>
    <w:rsid w:val="0067141B"/>
    <w:rsid w:val="0067358E"/>
    <w:rsid w:val="0068240A"/>
    <w:rsid w:val="00683AAA"/>
    <w:rsid w:val="00685785"/>
    <w:rsid w:val="00686267"/>
    <w:rsid w:val="006866C6"/>
    <w:rsid w:val="006870A3"/>
    <w:rsid w:val="006943E0"/>
    <w:rsid w:val="006948DC"/>
    <w:rsid w:val="00695535"/>
    <w:rsid w:val="00696FF1"/>
    <w:rsid w:val="006978F0"/>
    <w:rsid w:val="006A5172"/>
    <w:rsid w:val="006A54D8"/>
    <w:rsid w:val="006A54E9"/>
    <w:rsid w:val="006A5C86"/>
    <w:rsid w:val="006A7C44"/>
    <w:rsid w:val="006B02CA"/>
    <w:rsid w:val="006B103E"/>
    <w:rsid w:val="006B1FD3"/>
    <w:rsid w:val="006B3286"/>
    <w:rsid w:val="006B507F"/>
    <w:rsid w:val="006B72AF"/>
    <w:rsid w:val="006C2263"/>
    <w:rsid w:val="006C3012"/>
    <w:rsid w:val="006C41F6"/>
    <w:rsid w:val="006D3F0C"/>
    <w:rsid w:val="006D7718"/>
    <w:rsid w:val="006E1698"/>
    <w:rsid w:val="006E44E9"/>
    <w:rsid w:val="006E56DC"/>
    <w:rsid w:val="006F0610"/>
    <w:rsid w:val="006F29D1"/>
    <w:rsid w:val="006F30DC"/>
    <w:rsid w:val="006F3D1E"/>
    <w:rsid w:val="006F48CA"/>
    <w:rsid w:val="00701F07"/>
    <w:rsid w:val="00703BDC"/>
    <w:rsid w:val="007068E2"/>
    <w:rsid w:val="007114C9"/>
    <w:rsid w:val="00713A51"/>
    <w:rsid w:val="007350D4"/>
    <w:rsid w:val="00740391"/>
    <w:rsid w:val="00743F7A"/>
    <w:rsid w:val="0074505F"/>
    <w:rsid w:val="00746135"/>
    <w:rsid w:val="00750225"/>
    <w:rsid w:val="007557D5"/>
    <w:rsid w:val="0075712F"/>
    <w:rsid w:val="007656E7"/>
    <w:rsid w:val="00772E80"/>
    <w:rsid w:val="00773024"/>
    <w:rsid w:val="00773C97"/>
    <w:rsid w:val="007777BD"/>
    <w:rsid w:val="00780AFD"/>
    <w:rsid w:val="00783031"/>
    <w:rsid w:val="00785555"/>
    <w:rsid w:val="007910A9"/>
    <w:rsid w:val="00791F0A"/>
    <w:rsid w:val="0079354C"/>
    <w:rsid w:val="00794E4F"/>
    <w:rsid w:val="00795C6E"/>
    <w:rsid w:val="00797CBB"/>
    <w:rsid w:val="007A26F0"/>
    <w:rsid w:val="007A38D2"/>
    <w:rsid w:val="007A3DCA"/>
    <w:rsid w:val="007A4DE6"/>
    <w:rsid w:val="007A58EA"/>
    <w:rsid w:val="007B138B"/>
    <w:rsid w:val="007B2EAC"/>
    <w:rsid w:val="007B548D"/>
    <w:rsid w:val="007B7A16"/>
    <w:rsid w:val="007C36A8"/>
    <w:rsid w:val="007F15B5"/>
    <w:rsid w:val="007F382B"/>
    <w:rsid w:val="007F3DCC"/>
    <w:rsid w:val="007F7A6A"/>
    <w:rsid w:val="007F7C24"/>
    <w:rsid w:val="007F7F60"/>
    <w:rsid w:val="008047D8"/>
    <w:rsid w:val="00805127"/>
    <w:rsid w:val="00807C3B"/>
    <w:rsid w:val="008116CB"/>
    <w:rsid w:val="00817AF6"/>
    <w:rsid w:val="00821B90"/>
    <w:rsid w:val="008223E2"/>
    <w:rsid w:val="00822E22"/>
    <w:rsid w:val="00824167"/>
    <w:rsid w:val="008255DF"/>
    <w:rsid w:val="0083180C"/>
    <w:rsid w:val="00836398"/>
    <w:rsid w:val="008363CE"/>
    <w:rsid w:val="00852D58"/>
    <w:rsid w:val="00853A4C"/>
    <w:rsid w:val="00856950"/>
    <w:rsid w:val="00857CD6"/>
    <w:rsid w:val="00863D03"/>
    <w:rsid w:val="00865385"/>
    <w:rsid w:val="0086554B"/>
    <w:rsid w:val="0086687C"/>
    <w:rsid w:val="00867491"/>
    <w:rsid w:val="00870A47"/>
    <w:rsid w:val="00873BE1"/>
    <w:rsid w:val="00881022"/>
    <w:rsid w:val="008844BD"/>
    <w:rsid w:val="00885247"/>
    <w:rsid w:val="00886642"/>
    <w:rsid w:val="00886858"/>
    <w:rsid w:val="0089103F"/>
    <w:rsid w:val="008952D7"/>
    <w:rsid w:val="00896489"/>
    <w:rsid w:val="008964BB"/>
    <w:rsid w:val="008A1B89"/>
    <w:rsid w:val="008B01BC"/>
    <w:rsid w:val="008B29F2"/>
    <w:rsid w:val="008B5951"/>
    <w:rsid w:val="008B6904"/>
    <w:rsid w:val="008B7DC2"/>
    <w:rsid w:val="008C1D57"/>
    <w:rsid w:val="008C2764"/>
    <w:rsid w:val="008C4264"/>
    <w:rsid w:val="008C76E1"/>
    <w:rsid w:val="008D0CC8"/>
    <w:rsid w:val="008D0D24"/>
    <w:rsid w:val="008D1C4F"/>
    <w:rsid w:val="008D37B8"/>
    <w:rsid w:val="008D5714"/>
    <w:rsid w:val="008D7EB3"/>
    <w:rsid w:val="008E1A1F"/>
    <w:rsid w:val="008F2E14"/>
    <w:rsid w:val="008F53B6"/>
    <w:rsid w:val="008F5480"/>
    <w:rsid w:val="00902C42"/>
    <w:rsid w:val="00905A09"/>
    <w:rsid w:val="00906AAE"/>
    <w:rsid w:val="00910559"/>
    <w:rsid w:val="009229F3"/>
    <w:rsid w:val="00922CF5"/>
    <w:rsid w:val="00934A4B"/>
    <w:rsid w:val="00935BB2"/>
    <w:rsid w:val="00943A3D"/>
    <w:rsid w:val="00943E75"/>
    <w:rsid w:val="00947F9A"/>
    <w:rsid w:val="009536BC"/>
    <w:rsid w:val="00954F0A"/>
    <w:rsid w:val="00955C6C"/>
    <w:rsid w:val="00956B48"/>
    <w:rsid w:val="00956DCE"/>
    <w:rsid w:val="00960912"/>
    <w:rsid w:val="00961949"/>
    <w:rsid w:val="00963A63"/>
    <w:rsid w:val="00967BF4"/>
    <w:rsid w:val="00970AA9"/>
    <w:rsid w:val="0097291E"/>
    <w:rsid w:val="00973990"/>
    <w:rsid w:val="00974760"/>
    <w:rsid w:val="0097657A"/>
    <w:rsid w:val="00983C9C"/>
    <w:rsid w:val="00984032"/>
    <w:rsid w:val="0098508D"/>
    <w:rsid w:val="009935C4"/>
    <w:rsid w:val="009978A7"/>
    <w:rsid w:val="009A113C"/>
    <w:rsid w:val="009A1562"/>
    <w:rsid w:val="009A4362"/>
    <w:rsid w:val="009A5D89"/>
    <w:rsid w:val="009A609E"/>
    <w:rsid w:val="009B10DA"/>
    <w:rsid w:val="009B24B7"/>
    <w:rsid w:val="009B2C8F"/>
    <w:rsid w:val="009B3696"/>
    <w:rsid w:val="009B687A"/>
    <w:rsid w:val="009B769F"/>
    <w:rsid w:val="009B7AFE"/>
    <w:rsid w:val="009C1E4F"/>
    <w:rsid w:val="009C1F9B"/>
    <w:rsid w:val="009C2384"/>
    <w:rsid w:val="009C24AD"/>
    <w:rsid w:val="009C2C80"/>
    <w:rsid w:val="009C3959"/>
    <w:rsid w:val="009C4474"/>
    <w:rsid w:val="009C6711"/>
    <w:rsid w:val="009C75F1"/>
    <w:rsid w:val="009D3818"/>
    <w:rsid w:val="009D4F79"/>
    <w:rsid w:val="009D6313"/>
    <w:rsid w:val="009E03EE"/>
    <w:rsid w:val="009E09E2"/>
    <w:rsid w:val="009E159F"/>
    <w:rsid w:val="009E3F1E"/>
    <w:rsid w:val="009F3B67"/>
    <w:rsid w:val="00A01347"/>
    <w:rsid w:val="00A01851"/>
    <w:rsid w:val="00A051F2"/>
    <w:rsid w:val="00A06715"/>
    <w:rsid w:val="00A1080E"/>
    <w:rsid w:val="00A1095B"/>
    <w:rsid w:val="00A10B27"/>
    <w:rsid w:val="00A12875"/>
    <w:rsid w:val="00A13239"/>
    <w:rsid w:val="00A156E5"/>
    <w:rsid w:val="00A21AEA"/>
    <w:rsid w:val="00A2244A"/>
    <w:rsid w:val="00A236CE"/>
    <w:rsid w:val="00A24454"/>
    <w:rsid w:val="00A26DC8"/>
    <w:rsid w:val="00A32562"/>
    <w:rsid w:val="00A3276C"/>
    <w:rsid w:val="00A37A40"/>
    <w:rsid w:val="00A40951"/>
    <w:rsid w:val="00A451D1"/>
    <w:rsid w:val="00A4559E"/>
    <w:rsid w:val="00A45D31"/>
    <w:rsid w:val="00A46A05"/>
    <w:rsid w:val="00A50A28"/>
    <w:rsid w:val="00A52A09"/>
    <w:rsid w:val="00A60EDD"/>
    <w:rsid w:val="00A64D58"/>
    <w:rsid w:val="00A64F64"/>
    <w:rsid w:val="00A66157"/>
    <w:rsid w:val="00A66325"/>
    <w:rsid w:val="00A66527"/>
    <w:rsid w:val="00A72BC9"/>
    <w:rsid w:val="00A75060"/>
    <w:rsid w:val="00A7626E"/>
    <w:rsid w:val="00A7752F"/>
    <w:rsid w:val="00A82FE8"/>
    <w:rsid w:val="00A969EB"/>
    <w:rsid w:val="00AA2EDD"/>
    <w:rsid w:val="00AA3B37"/>
    <w:rsid w:val="00AB00C2"/>
    <w:rsid w:val="00AB60B1"/>
    <w:rsid w:val="00AC138B"/>
    <w:rsid w:val="00AC56C4"/>
    <w:rsid w:val="00AD0037"/>
    <w:rsid w:val="00AD2236"/>
    <w:rsid w:val="00AE0369"/>
    <w:rsid w:val="00AE560D"/>
    <w:rsid w:val="00AE6055"/>
    <w:rsid w:val="00AE7B3F"/>
    <w:rsid w:val="00AF16B4"/>
    <w:rsid w:val="00AF1A7C"/>
    <w:rsid w:val="00AF25A0"/>
    <w:rsid w:val="00AF2D24"/>
    <w:rsid w:val="00AF3AF8"/>
    <w:rsid w:val="00AF3FB2"/>
    <w:rsid w:val="00AF7E90"/>
    <w:rsid w:val="00B02590"/>
    <w:rsid w:val="00B10629"/>
    <w:rsid w:val="00B13C46"/>
    <w:rsid w:val="00B1462E"/>
    <w:rsid w:val="00B17F01"/>
    <w:rsid w:val="00B20630"/>
    <w:rsid w:val="00B21D00"/>
    <w:rsid w:val="00B25366"/>
    <w:rsid w:val="00B304E0"/>
    <w:rsid w:val="00B33745"/>
    <w:rsid w:val="00B42E2D"/>
    <w:rsid w:val="00B44012"/>
    <w:rsid w:val="00B50635"/>
    <w:rsid w:val="00B50B70"/>
    <w:rsid w:val="00B556D3"/>
    <w:rsid w:val="00B5585B"/>
    <w:rsid w:val="00B57927"/>
    <w:rsid w:val="00B61F9A"/>
    <w:rsid w:val="00B62685"/>
    <w:rsid w:val="00B64C7E"/>
    <w:rsid w:val="00B65264"/>
    <w:rsid w:val="00B75D11"/>
    <w:rsid w:val="00B77C89"/>
    <w:rsid w:val="00B80504"/>
    <w:rsid w:val="00B8118A"/>
    <w:rsid w:val="00B82B82"/>
    <w:rsid w:val="00B952CC"/>
    <w:rsid w:val="00B9629C"/>
    <w:rsid w:val="00BA0B46"/>
    <w:rsid w:val="00BA2B45"/>
    <w:rsid w:val="00BA3A1E"/>
    <w:rsid w:val="00BA4717"/>
    <w:rsid w:val="00BB0025"/>
    <w:rsid w:val="00BB06E2"/>
    <w:rsid w:val="00BB0BA5"/>
    <w:rsid w:val="00BB61DD"/>
    <w:rsid w:val="00BB624E"/>
    <w:rsid w:val="00BC0610"/>
    <w:rsid w:val="00BC31BC"/>
    <w:rsid w:val="00BC424E"/>
    <w:rsid w:val="00BC5325"/>
    <w:rsid w:val="00BC7037"/>
    <w:rsid w:val="00BC7F81"/>
    <w:rsid w:val="00BD2193"/>
    <w:rsid w:val="00BD37B4"/>
    <w:rsid w:val="00BD6E03"/>
    <w:rsid w:val="00BE0188"/>
    <w:rsid w:val="00BE2889"/>
    <w:rsid w:val="00BE4075"/>
    <w:rsid w:val="00BE4FAE"/>
    <w:rsid w:val="00BF7B9F"/>
    <w:rsid w:val="00C12BCD"/>
    <w:rsid w:val="00C216DF"/>
    <w:rsid w:val="00C234AA"/>
    <w:rsid w:val="00C24C57"/>
    <w:rsid w:val="00C25122"/>
    <w:rsid w:val="00C30C01"/>
    <w:rsid w:val="00C32315"/>
    <w:rsid w:val="00C36260"/>
    <w:rsid w:val="00C36EC2"/>
    <w:rsid w:val="00C41747"/>
    <w:rsid w:val="00C460A4"/>
    <w:rsid w:val="00C47178"/>
    <w:rsid w:val="00C56C0A"/>
    <w:rsid w:val="00C63E7B"/>
    <w:rsid w:val="00C6401E"/>
    <w:rsid w:val="00C648EB"/>
    <w:rsid w:val="00C659A9"/>
    <w:rsid w:val="00C65B97"/>
    <w:rsid w:val="00C71DB1"/>
    <w:rsid w:val="00C728C8"/>
    <w:rsid w:val="00C72F5E"/>
    <w:rsid w:val="00C746CB"/>
    <w:rsid w:val="00C74CF6"/>
    <w:rsid w:val="00C763DD"/>
    <w:rsid w:val="00C76D46"/>
    <w:rsid w:val="00C77920"/>
    <w:rsid w:val="00C81384"/>
    <w:rsid w:val="00C87BC6"/>
    <w:rsid w:val="00C907C8"/>
    <w:rsid w:val="00C945FD"/>
    <w:rsid w:val="00C95B67"/>
    <w:rsid w:val="00C95C1E"/>
    <w:rsid w:val="00CA19C8"/>
    <w:rsid w:val="00CA1B42"/>
    <w:rsid w:val="00CA2042"/>
    <w:rsid w:val="00CA43DA"/>
    <w:rsid w:val="00CA73B0"/>
    <w:rsid w:val="00CA79E2"/>
    <w:rsid w:val="00CB67BF"/>
    <w:rsid w:val="00CC0EFA"/>
    <w:rsid w:val="00CC14FE"/>
    <w:rsid w:val="00CC65F7"/>
    <w:rsid w:val="00CD231D"/>
    <w:rsid w:val="00CD30D4"/>
    <w:rsid w:val="00CD492B"/>
    <w:rsid w:val="00CD5358"/>
    <w:rsid w:val="00CD5F72"/>
    <w:rsid w:val="00D037EC"/>
    <w:rsid w:val="00D04785"/>
    <w:rsid w:val="00D07F73"/>
    <w:rsid w:val="00D1132B"/>
    <w:rsid w:val="00D22D6F"/>
    <w:rsid w:val="00D23AF8"/>
    <w:rsid w:val="00D24D12"/>
    <w:rsid w:val="00D300FB"/>
    <w:rsid w:val="00D31563"/>
    <w:rsid w:val="00D34487"/>
    <w:rsid w:val="00D37C9C"/>
    <w:rsid w:val="00D415F5"/>
    <w:rsid w:val="00D42DBD"/>
    <w:rsid w:val="00D44FEB"/>
    <w:rsid w:val="00D458F6"/>
    <w:rsid w:val="00D46BE9"/>
    <w:rsid w:val="00D52B3E"/>
    <w:rsid w:val="00D5325E"/>
    <w:rsid w:val="00D644E3"/>
    <w:rsid w:val="00D65807"/>
    <w:rsid w:val="00D705EF"/>
    <w:rsid w:val="00D70864"/>
    <w:rsid w:val="00D82FFB"/>
    <w:rsid w:val="00D83E15"/>
    <w:rsid w:val="00D84B2B"/>
    <w:rsid w:val="00D85DFB"/>
    <w:rsid w:val="00D86190"/>
    <w:rsid w:val="00D86598"/>
    <w:rsid w:val="00D86EB0"/>
    <w:rsid w:val="00D926EF"/>
    <w:rsid w:val="00D92869"/>
    <w:rsid w:val="00D9355B"/>
    <w:rsid w:val="00D953C7"/>
    <w:rsid w:val="00DB0082"/>
    <w:rsid w:val="00DB0725"/>
    <w:rsid w:val="00DB4D70"/>
    <w:rsid w:val="00DC0AFC"/>
    <w:rsid w:val="00DF1EBC"/>
    <w:rsid w:val="00DF3152"/>
    <w:rsid w:val="00DF5A3E"/>
    <w:rsid w:val="00E00002"/>
    <w:rsid w:val="00E029E1"/>
    <w:rsid w:val="00E06C17"/>
    <w:rsid w:val="00E06E63"/>
    <w:rsid w:val="00E07995"/>
    <w:rsid w:val="00E101A9"/>
    <w:rsid w:val="00E11391"/>
    <w:rsid w:val="00E11B53"/>
    <w:rsid w:val="00E122ED"/>
    <w:rsid w:val="00E14014"/>
    <w:rsid w:val="00E150BD"/>
    <w:rsid w:val="00E23793"/>
    <w:rsid w:val="00E25AA5"/>
    <w:rsid w:val="00E33D92"/>
    <w:rsid w:val="00E414F3"/>
    <w:rsid w:val="00E414F9"/>
    <w:rsid w:val="00E41D81"/>
    <w:rsid w:val="00E44ACE"/>
    <w:rsid w:val="00E4593D"/>
    <w:rsid w:val="00E46839"/>
    <w:rsid w:val="00E507B6"/>
    <w:rsid w:val="00E52386"/>
    <w:rsid w:val="00E53799"/>
    <w:rsid w:val="00E53DFC"/>
    <w:rsid w:val="00E55735"/>
    <w:rsid w:val="00E5772D"/>
    <w:rsid w:val="00E57E6C"/>
    <w:rsid w:val="00E61E00"/>
    <w:rsid w:val="00E62E1A"/>
    <w:rsid w:val="00E635E8"/>
    <w:rsid w:val="00E64FC1"/>
    <w:rsid w:val="00E65AB3"/>
    <w:rsid w:val="00E67184"/>
    <w:rsid w:val="00E6779B"/>
    <w:rsid w:val="00E70C14"/>
    <w:rsid w:val="00E74ED7"/>
    <w:rsid w:val="00E9062A"/>
    <w:rsid w:val="00E959E6"/>
    <w:rsid w:val="00E95E62"/>
    <w:rsid w:val="00E973B2"/>
    <w:rsid w:val="00EA3584"/>
    <w:rsid w:val="00EB248D"/>
    <w:rsid w:val="00EB3007"/>
    <w:rsid w:val="00EB5FFE"/>
    <w:rsid w:val="00EB682B"/>
    <w:rsid w:val="00EC0046"/>
    <w:rsid w:val="00EC6F59"/>
    <w:rsid w:val="00EC77A7"/>
    <w:rsid w:val="00ED060E"/>
    <w:rsid w:val="00ED2DDD"/>
    <w:rsid w:val="00ED3C9E"/>
    <w:rsid w:val="00ED6FAF"/>
    <w:rsid w:val="00EE0EEE"/>
    <w:rsid w:val="00EE11FB"/>
    <w:rsid w:val="00EF1AAE"/>
    <w:rsid w:val="00EF368A"/>
    <w:rsid w:val="00EF798D"/>
    <w:rsid w:val="00F00776"/>
    <w:rsid w:val="00F022D4"/>
    <w:rsid w:val="00F03ECD"/>
    <w:rsid w:val="00F04CFC"/>
    <w:rsid w:val="00F11666"/>
    <w:rsid w:val="00F123DD"/>
    <w:rsid w:val="00F12993"/>
    <w:rsid w:val="00F14174"/>
    <w:rsid w:val="00F143F2"/>
    <w:rsid w:val="00F14C21"/>
    <w:rsid w:val="00F1563F"/>
    <w:rsid w:val="00F377DB"/>
    <w:rsid w:val="00F40DCA"/>
    <w:rsid w:val="00F43027"/>
    <w:rsid w:val="00F43BB7"/>
    <w:rsid w:val="00F44FBF"/>
    <w:rsid w:val="00F44FC7"/>
    <w:rsid w:val="00F45A80"/>
    <w:rsid w:val="00F5204D"/>
    <w:rsid w:val="00F536C7"/>
    <w:rsid w:val="00F61479"/>
    <w:rsid w:val="00F61E9D"/>
    <w:rsid w:val="00F62379"/>
    <w:rsid w:val="00F81316"/>
    <w:rsid w:val="00F86F5D"/>
    <w:rsid w:val="00F87343"/>
    <w:rsid w:val="00F908A2"/>
    <w:rsid w:val="00F935F0"/>
    <w:rsid w:val="00FA00BF"/>
    <w:rsid w:val="00FA2095"/>
    <w:rsid w:val="00FA69CB"/>
    <w:rsid w:val="00FB7720"/>
    <w:rsid w:val="00FB7FA9"/>
    <w:rsid w:val="00FC2067"/>
    <w:rsid w:val="00FC3682"/>
    <w:rsid w:val="00FC47B5"/>
    <w:rsid w:val="00FC5F91"/>
    <w:rsid w:val="00FD282B"/>
    <w:rsid w:val="00FE3101"/>
    <w:rsid w:val="00FE63C6"/>
    <w:rsid w:val="00FE782B"/>
    <w:rsid w:val="00FF0E07"/>
    <w:rsid w:val="00FF1427"/>
    <w:rsid w:val="00FF5278"/>
    <w:rsid w:val="00FF6B79"/>
    <w:rsid w:val="02E14856"/>
    <w:rsid w:val="04520C2B"/>
    <w:rsid w:val="075C622F"/>
    <w:rsid w:val="08E55185"/>
    <w:rsid w:val="09A31348"/>
    <w:rsid w:val="0A8839F6"/>
    <w:rsid w:val="0B73F745"/>
    <w:rsid w:val="0DCD5289"/>
    <w:rsid w:val="10C2BDC6"/>
    <w:rsid w:val="12505C78"/>
    <w:rsid w:val="157E0DE0"/>
    <w:rsid w:val="176FD7FB"/>
    <w:rsid w:val="17C6AB0E"/>
    <w:rsid w:val="1AC4E8F7"/>
    <w:rsid w:val="1C3527B9"/>
    <w:rsid w:val="1E1A0332"/>
    <w:rsid w:val="219BF58B"/>
    <w:rsid w:val="2537BBFA"/>
    <w:rsid w:val="259C3A9A"/>
    <w:rsid w:val="27783726"/>
    <w:rsid w:val="2804A4E5"/>
    <w:rsid w:val="2946F080"/>
    <w:rsid w:val="2A121BDB"/>
    <w:rsid w:val="2C86F877"/>
    <w:rsid w:val="31147CE0"/>
    <w:rsid w:val="32519387"/>
    <w:rsid w:val="32DD6100"/>
    <w:rsid w:val="331A9700"/>
    <w:rsid w:val="33937F6C"/>
    <w:rsid w:val="34E0CA27"/>
    <w:rsid w:val="354F04EC"/>
    <w:rsid w:val="358797EA"/>
    <w:rsid w:val="3937A391"/>
    <w:rsid w:val="39E4EF57"/>
    <w:rsid w:val="3CC8423E"/>
    <w:rsid w:val="3D2F2810"/>
    <w:rsid w:val="433AD6BA"/>
    <w:rsid w:val="440A10B0"/>
    <w:rsid w:val="4687895F"/>
    <w:rsid w:val="47214DBF"/>
    <w:rsid w:val="47CDFE57"/>
    <w:rsid w:val="494714A7"/>
    <w:rsid w:val="49A97ADA"/>
    <w:rsid w:val="4A17BD9F"/>
    <w:rsid w:val="4D2BD01F"/>
    <w:rsid w:val="57145B48"/>
    <w:rsid w:val="57C7C723"/>
    <w:rsid w:val="58473FDC"/>
    <w:rsid w:val="5A35EEB3"/>
    <w:rsid w:val="5BD4E01E"/>
    <w:rsid w:val="5D1DCBF4"/>
    <w:rsid w:val="5D5F56EE"/>
    <w:rsid w:val="5EBA9845"/>
    <w:rsid w:val="64AA7E76"/>
    <w:rsid w:val="65F28222"/>
    <w:rsid w:val="67E62FB7"/>
    <w:rsid w:val="694814B9"/>
    <w:rsid w:val="6C572C96"/>
    <w:rsid w:val="6D11CDF7"/>
    <w:rsid w:val="73CC1007"/>
    <w:rsid w:val="765C114D"/>
    <w:rsid w:val="7AA4E65D"/>
    <w:rsid w:val="7D665BDF"/>
    <w:rsid w:val="7F68A9E1"/>
    <w:rsid w:val="7F6EC7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4F2A6"/>
  <w15:chartTrackingRefBased/>
  <w15:docId w15:val="{CCE362C0-2C45-4B4B-B87D-341A4805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027"/>
    <w:pPr>
      <w:spacing w:after="0" w:line="240" w:lineRule="auto"/>
      <w:ind w:left="357" w:hanging="357"/>
      <w:jc w:val="both"/>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52D5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5B8F"/>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character" w:customStyle="1" w:styleId="EnlacedeInternet">
    <w:name w:val="Enlace de Internet"/>
    <w:basedOn w:val="DefaultParagraphFont"/>
    <w:rsid w:val="001C4D6A"/>
    <w:rPr>
      <w:color w:val="0000FF"/>
      <w:u w:val="single"/>
    </w:rPr>
  </w:style>
  <w:style w:type="paragraph" w:styleId="ListParagraph">
    <w:name w:val="List Paragraph"/>
    <w:aliases w:val="Rec para"/>
    <w:basedOn w:val="Normal"/>
    <w:link w:val="ListParagraphChar"/>
    <w:uiPriority w:val="34"/>
    <w:qFormat/>
    <w:rsid w:val="00634417"/>
    <w:pPr>
      <w:spacing w:after="160" w:line="259" w:lineRule="auto"/>
      <w:ind w:left="720" w:firstLine="0"/>
      <w:contextualSpacing/>
      <w:jc w:val="left"/>
    </w:pPr>
    <w:rPr>
      <w:rFonts w:asciiTheme="minorHAnsi" w:eastAsiaTheme="minorHAnsi" w:hAnsiTheme="minorHAnsi" w:cstheme="minorBidi"/>
      <w:sz w:val="22"/>
      <w:szCs w:val="22"/>
      <w:lang w:eastAsia="en-US"/>
    </w:rPr>
  </w:style>
  <w:style w:type="character" w:customStyle="1" w:styleId="ListParagraphChar">
    <w:name w:val="List Paragraph Char"/>
    <w:aliases w:val="Rec para Char"/>
    <w:link w:val="ListParagraph"/>
    <w:uiPriority w:val="34"/>
    <w:locked/>
    <w:rsid w:val="00634417"/>
  </w:style>
  <w:style w:type="character" w:styleId="CommentReference">
    <w:name w:val="annotation reference"/>
    <w:basedOn w:val="DefaultParagraphFont"/>
    <w:uiPriority w:val="99"/>
    <w:semiHidden/>
    <w:unhideWhenUsed/>
    <w:rsid w:val="00AE7B3F"/>
    <w:rPr>
      <w:sz w:val="16"/>
      <w:szCs w:val="16"/>
    </w:rPr>
  </w:style>
  <w:style w:type="paragraph" w:styleId="CommentText">
    <w:name w:val="annotation text"/>
    <w:basedOn w:val="Normal"/>
    <w:link w:val="CommentTextChar"/>
    <w:uiPriority w:val="99"/>
    <w:unhideWhenUsed/>
    <w:rsid w:val="00AE7B3F"/>
    <w:rPr>
      <w:sz w:val="20"/>
      <w:szCs w:val="20"/>
    </w:rPr>
  </w:style>
  <w:style w:type="character" w:customStyle="1" w:styleId="CommentTextChar">
    <w:name w:val="Comment Text Char"/>
    <w:basedOn w:val="DefaultParagraphFont"/>
    <w:link w:val="CommentText"/>
    <w:uiPriority w:val="99"/>
    <w:rsid w:val="00AE7B3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E7B3F"/>
    <w:rPr>
      <w:b/>
      <w:bCs/>
    </w:rPr>
  </w:style>
  <w:style w:type="character" w:customStyle="1" w:styleId="CommentSubjectChar">
    <w:name w:val="Comment Subject Char"/>
    <w:basedOn w:val="CommentTextChar"/>
    <w:link w:val="CommentSubject"/>
    <w:uiPriority w:val="99"/>
    <w:semiHidden/>
    <w:rsid w:val="00AE7B3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AE7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B3F"/>
    <w:rPr>
      <w:rFonts w:ascii="Segoe UI" w:eastAsia="Times New Roman" w:hAnsi="Segoe UI" w:cs="Segoe UI"/>
      <w:sz w:val="18"/>
      <w:szCs w:val="18"/>
      <w:lang w:eastAsia="en-GB"/>
    </w:rPr>
  </w:style>
  <w:style w:type="paragraph" w:styleId="BodyText">
    <w:name w:val="Body Text"/>
    <w:basedOn w:val="Normal"/>
    <w:link w:val="BodyTextChar"/>
    <w:uiPriority w:val="1"/>
    <w:qFormat/>
    <w:rsid w:val="00960912"/>
    <w:pPr>
      <w:widowControl w:val="0"/>
      <w:autoSpaceDE w:val="0"/>
      <w:autoSpaceDN w:val="0"/>
      <w:ind w:left="0" w:firstLine="0"/>
      <w:jc w:val="left"/>
    </w:pPr>
    <w:rPr>
      <w:rFonts w:ascii="Calibri" w:eastAsia="Calibri" w:hAnsi="Calibri" w:cs="Calibri"/>
      <w:lang w:eastAsia="en-US"/>
    </w:rPr>
  </w:style>
  <w:style w:type="character" w:customStyle="1" w:styleId="BodyTextChar">
    <w:name w:val="Body Text Char"/>
    <w:basedOn w:val="DefaultParagraphFont"/>
    <w:link w:val="BodyText"/>
    <w:uiPriority w:val="1"/>
    <w:rsid w:val="00960912"/>
    <w:rPr>
      <w:rFonts w:ascii="Calibri" w:eastAsia="Calibri" w:hAnsi="Calibri" w:cs="Calibri"/>
      <w:sz w:val="24"/>
      <w:szCs w:val="24"/>
      <w:lang w:val="fr-FR"/>
    </w:rPr>
  </w:style>
  <w:style w:type="paragraph" w:customStyle="1" w:styleId="ColorfulList-Accent11">
    <w:name w:val="Colorful List - Accent 11"/>
    <w:basedOn w:val="Normal"/>
    <w:uiPriority w:val="34"/>
    <w:qFormat/>
    <w:rsid w:val="007F7F60"/>
    <w:pPr>
      <w:ind w:left="720" w:hanging="425"/>
      <w:contextualSpacing/>
      <w:jc w:val="left"/>
    </w:pPr>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6058B3"/>
    <w:rPr>
      <w:sz w:val="20"/>
      <w:szCs w:val="20"/>
    </w:rPr>
  </w:style>
  <w:style w:type="character" w:customStyle="1" w:styleId="FootnoteTextChar">
    <w:name w:val="Footnote Text Char"/>
    <w:basedOn w:val="DefaultParagraphFont"/>
    <w:link w:val="FootnoteText"/>
    <w:uiPriority w:val="99"/>
    <w:semiHidden/>
    <w:rsid w:val="006058B3"/>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058B3"/>
    <w:rPr>
      <w:vertAlign w:val="superscript"/>
    </w:rPr>
  </w:style>
  <w:style w:type="character" w:styleId="Hyperlink">
    <w:name w:val="Hyperlink"/>
    <w:basedOn w:val="DefaultParagraphFont"/>
    <w:uiPriority w:val="99"/>
    <w:unhideWhenUsed/>
    <w:rsid w:val="006058B3"/>
    <w:rPr>
      <w:color w:val="0000FF"/>
      <w:u w:val="single"/>
    </w:rPr>
  </w:style>
  <w:style w:type="paragraph" w:styleId="Header">
    <w:name w:val="header"/>
    <w:basedOn w:val="Normal"/>
    <w:link w:val="HeaderChar"/>
    <w:uiPriority w:val="99"/>
    <w:unhideWhenUsed/>
    <w:rsid w:val="006058B3"/>
    <w:pPr>
      <w:tabs>
        <w:tab w:val="center" w:pos="4513"/>
        <w:tab w:val="right" w:pos="9026"/>
      </w:tabs>
    </w:pPr>
  </w:style>
  <w:style w:type="character" w:customStyle="1" w:styleId="HeaderChar">
    <w:name w:val="Header Char"/>
    <w:basedOn w:val="DefaultParagraphFont"/>
    <w:link w:val="Header"/>
    <w:uiPriority w:val="99"/>
    <w:rsid w:val="006058B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058B3"/>
    <w:pPr>
      <w:tabs>
        <w:tab w:val="center" w:pos="4513"/>
        <w:tab w:val="right" w:pos="9026"/>
      </w:tabs>
    </w:pPr>
  </w:style>
  <w:style w:type="character" w:customStyle="1" w:styleId="FooterChar">
    <w:name w:val="Footer Char"/>
    <w:basedOn w:val="DefaultParagraphFont"/>
    <w:link w:val="Footer"/>
    <w:uiPriority w:val="99"/>
    <w:rsid w:val="006058B3"/>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67BF4"/>
    <w:rPr>
      <w:color w:val="954F72" w:themeColor="followedHyperlink"/>
      <w:u w:val="single"/>
    </w:rPr>
  </w:style>
  <w:style w:type="paragraph" w:styleId="Revision">
    <w:name w:val="Revision"/>
    <w:hidden/>
    <w:uiPriority w:val="99"/>
    <w:semiHidden/>
    <w:rsid w:val="00482698"/>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45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870A3"/>
    <w:rPr>
      <w:sz w:val="20"/>
      <w:szCs w:val="20"/>
    </w:rPr>
  </w:style>
  <w:style w:type="character" w:customStyle="1" w:styleId="EndnoteTextChar">
    <w:name w:val="Endnote Text Char"/>
    <w:basedOn w:val="DefaultParagraphFont"/>
    <w:link w:val="EndnoteText"/>
    <w:uiPriority w:val="99"/>
    <w:semiHidden/>
    <w:rsid w:val="006870A3"/>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6870A3"/>
    <w:rPr>
      <w:vertAlign w:val="superscript"/>
    </w:rPr>
  </w:style>
  <w:style w:type="paragraph" w:customStyle="1" w:styleId="pf1">
    <w:name w:val="pf1"/>
    <w:basedOn w:val="Normal"/>
    <w:rsid w:val="006870A3"/>
    <w:pPr>
      <w:spacing w:before="100" w:beforeAutospacing="1" w:after="100" w:afterAutospacing="1"/>
      <w:ind w:left="0" w:firstLine="0"/>
      <w:jc w:val="left"/>
    </w:pPr>
  </w:style>
  <w:style w:type="paragraph" w:customStyle="1" w:styleId="pf0">
    <w:name w:val="pf0"/>
    <w:basedOn w:val="Normal"/>
    <w:rsid w:val="006870A3"/>
    <w:pPr>
      <w:spacing w:before="100" w:beforeAutospacing="1" w:after="100" w:afterAutospacing="1"/>
      <w:ind w:left="0" w:firstLine="0"/>
      <w:jc w:val="left"/>
    </w:pPr>
  </w:style>
  <w:style w:type="character" w:customStyle="1" w:styleId="cf01">
    <w:name w:val="cf01"/>
    <w:basedOn w:val="DefaultParagraphFont"/>
    <w:rsid w:val="006870A3"/>
    <w:rPr>
      <w:rFonts w:ascii="Segoe UI" w:hAnsi="Segoe UI" w:cs="Segoe UI" w:hint="default"/>
      <w:sz w:val="18"/>
      <w:szCs w:val="18"/>
    </w:rPr>
  </w:style>
  <w:style w:type="character" w:customStyle="1" w:styleId="Heading1Char">
    <w:name w:val="Heading 1 Char"/>
    <w:basedOn w:val="DefaultParagraphFont"/>
    <w:link w:val="Heading1"/>
    <w:uiPriority w:val="9"/>
    <w:rsid w:val="00852D58"/>
    <w:rPr>
      <w:rFonts w:asciiTheme="majorHAnsi" w:eastAsiaTheme="majorEastAsia" w:hAnsiTheme="majorHAnsi" w:cstheme="majorBidi"/>
      <w:color w:val="2E74B5"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55230">
      <w:bodyDiv w:val="1"/>
      <w:marLeft w:val="0"/>
      <w:marRight w:val="0"/>
      <w:marTop w:val="0"/>
      <w:marBottom w:val="0"/>
      <w:divBdr>
        <w:top w:val="none" w:sz="0" w:space="0" w:color="auto"/>
        <w:left w:val="none" w:sz="0" w:space="0" w:color="auto"/>
        <w:bottom w:val="none" w:sz="0" w:space="0" w:color="auto"/>
        <w:right w:val="none" w:sz="0" w:space="0" w:color="auto"/>
      </w:divBdr>
    </w:div>
    <w:div w:id="189614327">
      <w:bodyDiv w:val="1"/>
      <w:marLeft w:val="0"/>
      <w:marRight w:val="0"/>
      <w:marTop w:val="0"/>
      <w:marBottom w:val="0"/>
      <w:divBdr>
        <w:top w:val="none" w:sz="0" w:space="0" w:color="auto"/>
        <w:left w:val="none" w:sz="0" w:space="0" w:color="auto"/>
        <w:bottom w:val="none" w:sz="0" w:space="0" w:color="auto"/>
        <w:right w:val="none" w:sz="0" w:space="0" w:color="auto"/>
      </w:divBdr>
    </w:div>
    <w:div w:id="248465961">
      <w:bodyDiv w:val="1"/>
      <w:marLeft w:val="0"/>
      <w:marRight w:val="0"/>
      <w:marTop w:val="0"/>
      <w:marBottom w:val="0"/>
      <w:divBdr>
        <w:top w:val="none" w:sz="0" w:space="0" w:color="auto"/>
        <w:left w:val="none" w:sz="0" w:space="0" w:color="auto"/>
        <w:bottom w:val="none" w:sz="0" w:space="0" w:color="auto"/>
        <w:right w:val="none" w:sz="0" w:space="0" w:color="auto"/>
      </w:divBdr>
    </w:div>
    <w:div w:id="410977514">
      <w:bodyDiv w:val="1"/>
      <w:marLeft w:val="0"/>
      <w:marRight w:val="0"/>
      <w:marTop w:val="0"/>
      <w:marBottom w:val="0"/>
      <w:divBdr>
        <w:top w:val="none" w:sz="0" w:space="0" w:color="auto"/>
        <w:left w:val="none" w:sz="0" w:space="0" w:color="auto"/>
        <w:bottom w:val="none" w:sz="0" w:space="0" w:color="auto"/>
        <w:right w:val="none" w:sz="0" w:space="0" w:color="auto"/>
      </w:divBdr>
    </w:div>
    <w:div w:id="426198269">
      <w:bodyDiv w:val="1"/>
      <w:marLeft w:val="0"/>
      <w:marRight w:val="0"/>
      <w:marTop w:val="0"/>
      <w:marBottom w:val="0"/>
      <w:divBdr>
        <w:top w:val="none" w:sz="0" w:space="0" w:color="auto"/>
        <w:left w:val="none" w:sz="0" w:space="0" w:color="auto"/>
        <w:bottom w:val="none" w:sz="0" w:space="0" w:color="auto"/>
        <w:right w:val="none" w:sz="0" w:space="0" w:color="auto"/>
      </w:divBdr>
    </w:div>
    <w:div w:id="834761879">
      <w:bodyDiv w:val="1"/>
      <w:marLeft w:val="0"/>
      <w:marRight w:val="0"/>
      <w:marTop w:val="0"/>
      <w:marBottom w:val="0"/>
      <w:divBdr>
        <w:top w:val="none" w:sz="0" w:space="0" w:color="auto"/>
        <w:left w:val="none" w:sz="0" w:space="0" w:color="auto"/>
        <w:bottom w:val="none" w:sz="0" w:space="0" w:color="auto"/>
        <w:right w:val="none" w:sz="0" w:space="0" w:color="auto"/>
      </w:divBdr>
    </w:div>
    <w:div w:id="957102199">
      <w:bodyDiv w:val="1"/>
      <w:marLeft w:val="0"/>
      <w:marRight w:val="0"/>
      <w:marTop w:val="0"/>
      <w:marBottom w:val="0"/>
      <w:divBdr>
        <w:top w:val="none" w:sz="0" w:space="0" w:color="auto"/>
        <w:left w:val="none" w:sz="0" w:space="0" w:color="auto"/>
        <w:bottom w:val="none" w:sz="0" w:space="0" w:color="auto"/>
        <w:right w:val="none" w:sz="0" w:space="0" w:color="auto"/>
      </w:divBdr>
    </w:div>
    <w:div w:id="960766400">
      <w:bodyDiv w:val="1"/>
      <w:marLeft w:val="0"/>
      <w:marRight w:val="0"/>
      <w:marTop w:val="0"/>
      <w:marBottom w:val="0"/>
      <w:divBdr>
        <w:top w:val="none" w:sz="0" w:space="0" w:color="auto"/>
        <w:left w:val="none" w:sz="0" w:space="0" w:color="auto"/>
        <w:bottom w:val="none" w:sz="0" w:space="0" w:color="auto"/>
        <w:right w:val="none" w:sz="0" w:space="0" w:color="auto"/>
      </w:divBdr>
    </w:div>
    <w:div w:id="1064261307">
      <w:bodyDiv w:val="1"/>
      <w:marLeft w:val="0"/>
      <w:marRight w:val="0"/>
      <w:marTop w:val="0"/>
      <w:marBottom w:val="0"/>
      <w:divBdr>
        <w:top w:val="none" w:sz="0" w:space="0" w:color="auto"/>
        <w:left w:val="none" w:sz="0" w:space="0" w:color="auto"/>
        <w:bottom w:val="none" w:sz="0" w:space="0" w:color="auto"/>
        <w:right w:val="none" w:sz="0" w:space="0" w:color="auto"/>
      </w:divBdr>
    </w:div>
    <w:div w:id="1320187299">
      <w:bodyDiv w:val="1"/>
      <w:marLeft w:val="0"/>
      <w:marRight w:val="0"/>
      <w:marTop w:val="0"/>
      <w:marBottom w:val="0"/>
      <w:divBdr>
        <w:top w:val="none" w:sz="0" w:space="0" w:color="auto"/>
        <w:left w:val="none" w:sz="0" w:space="0" w:color="auto"/>
        <w:bottom w:val="none" w:sz="0" w:space="0" w:color="auto"/>
        <w:right w:val="none" w:sz="0" w:space="0" w:color="auto"/>
      </w:divBdr>
    </w:div>
    <w:div w:id="1362514546">
      <w:bodyDiv w:val="1"/>
      <w:marLeft w:val="0"/>
      <w:marRight w:val="0"/>
      <w:marTop w:val="0"/>
      <w:marBottom w:val="0"/>
      <w:divBdr>
        <w:top w:val="none" w:sz="0" w:space="0" w:color="auto"/>
        <w:left w:val="none" w:sz="0" w:space="0" w:color="auto"/>
        <w:bottom w:val="none" w:sz="0" w:space="0" w:color="auto"/>
        <w:right w:val="none" w:sz="0" w:space="0" w:color="auto"/>
      </w:divBdr>
    </w:div>
    <w:div w:id="1489589704">
      <w:bodyDiv w:val="1"/>
      <w:marLeft w:val="0"/>
      <w:marRight w:val="0"/>
      <w:marTop w:val="0"/>
      <w:marBottom w:val="0"/>
      <w:divBdr>
        <w:top w:val="none" w:sz="0" w:space="0" w:color="auto"/>
        <w:left w:val="none" w:sz="0" w:space="0" w:color="auto"/>
        <w:bottom w:val="none" w:sz="0" w:space="0" w:color="auto"/>
        <w:right w:val="none" w:sz="0" w:space="0" w:color="auto"/>
      </w:divBdr>
    </w:div>
    <w:div w:id="1499542462">
      <w:bodyDiv w:val="1"/>
      <w:marLeft w:val="0"/>
      <w:marRight w:val="0"/>
      <w:marTop w:val="0"/>
      <w:marBottom w:val="0"/>
      <w:divBdr>
        <w:top w:val="none" w:sz="0" w:space="0" w:color="auto"/>
        <w:left w:val="none" w:sz="0" w:space="0" w:color="auto"/>
        <w:bottom w:val="none" w:sz="0" w:space="0" w:color="auto"/>
        <w:right w:val="none" w:sz="0" w:space="0" w:color="auto"/>
      </w:divBdr>
    </w:div>
    <w:div w:id="165440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28499A3D4EBC46A54B223F15BF4755" ma:contentTypeVersion="14" ma:contentTypeDescription="Create a new document." ma:contentTypeScope="" ma:versionID="e19d1ba65b16215b94192fe30fef1093">
  <xsd:schema xmlns:xsd="http://www.w3.org/2001/XMLSchema" xmlns:xs="http://www.w3.org/2001/XMLSchema" xmlns:p="http://schemas.microsoft.com/office/2006/metadata/properties" xmlns:ns3="682f1ccd-e5c5-43c9-b9d9-dd72e0a643d0" xmlns:ns4="75035800-fbd9-4494-bf62-86cc10c5d50d" targetNamespace="http://schemas.microsoft.com/office/2006/metadata/properties" ma:root="true" ma:fieldsID="793f03ab7b181d42bf7ece909e5aba98" ns3:_="" ns4:_="">
    <xsd:import namespace="682f1ccd-e5c5-43c9-b9d9-dd72e0a643d0"/>
    <xsd:import namespace="75035800-fbd9-4494-bf62-86cc10c5d5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f1ccd-e5c5-43c9-b9d9-dd72e0a64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35800-fbd9-4494-bf62-86cc10c5d5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EA916-19D4-4B41-800A-1B7C448A1581}">
  <ds:schemaRefs>
    <ds:schemaRef ds:uri="http://schemas.microsoft.com/sharepoint/v3/contenttype/forms"/>
  </ds:schemaRefs>
</ds:datastoreItem>
</file>

<file path=customXml/itemProps2.xml><?xml version="1.0" encoding="utf-8"?>
<ds:datastoreItem xmlns:ds="http://schemas.openxmlformats.org/officeDocument/2006/customXml" ds:itemID="{28771A80-3EB5-4641-8AA9-F2C9D0472A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3F06C2-A773-4AD3-A05C-458A023A3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f1ccd-e5c5-43c9-b9d9-dd72e0a643d0"/>
    <ds:schemaRef ds:uri="75035800-fbd9-4494-bf62-86cc10c5d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A9F202-1F11-4414-8194-32B0AACF2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3</cp:revision>
  <dcterms:created xsi:type="dcterms:W3CDTF">2025-04-08T07:41:00Z</dcterms:created>
  <dcterms:modified xsi:type="dcterms:W3CDTF">2025-04-15T11:15:00Z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0x0101009528499A3D4EBC46A54B223F15BF4755</vt:lpwstr>
  </property>
</Properties>
</file>