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9437" w14:textId="77777777" w:rsidR="00B36D04" w:rsidRDefault="00B36D04" w:rsidP="00575F2E">
      <w:pPr>
        <w:spacing w:after="0" w:line="240" w:lineRule="auto"/>
        <w:jc w:val="center"/>
        <w:outlineLvl w:val="0"/>
        <w:rPr>
          <w:rFonts w:eastAsia="Times New Roman" w:cstheme="majorHAnsi"/>
          <w:b/>
          <w:bCs/>
          <w:sz w:val="24"/>
          <w:szCs w:val="24"/>
          <w:lang w:val="en-US"/>
        </w:rPr>
      </w:pPr>
      <w:r>
        <w:rPr>
          <w:rFonts w:eastAsia="Times New Roman" w:cstheme="majorHAnsi"/>
          <w:b/>
          <w:bCs/>
          <w:noProof/>
          <w:sz w:val="24"/>
          <w:szCs w:val="24"/>
          <w:lang w:val="en-US"/>
        </w:rPr>
        <w:drawing>
          <wp:anchor distT="0" distB="0" distL="114300" distR="114300" simplePos="0" relativeHeight="251659264" behindDoc="0" locked="0" layoutInCell="1" allowOverlap="1" wp14:anchorId="202CF0B8" wp14:editId="38F687AB">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8"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2FD275" w14:textId="77777777" w:rsidR="00B36D04" w:rsidRPr="00517C51" w:rsidRDefault="00B36D04" w:rsidP="00575F2E">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1</w:t>
      </w:r>
      <w:r>
        <w:rPr>
          <w:rFonts w:eastAsia="Times New Roman" w:cstheme="majorHAnsi"/>
          <w:b/>
          <w:bCs/>
          <w:sz w:val="24"/>
          <w:szCs w:val="24"/>
          <w:lang w:val="en-US"/>
        </w:rPr>
        <w:t>5</w:t>
      </w:r>
      <w:r w:rsidRPr="00517C51">
        <w:rPr>
          <w:rFonts w:eastAsia="Times New Roman" w:cstheme="majorHAnsi"/>
          <w:b/>
          <w:bCs/>
          <w:sz w:val="24"/>
          <w:szCs w:val="24"/>
          <w:lang w:val="en-US"/>
        </w:rPr>
        <w:t xml:space="preserve">th </w:t>
      </w:r>
      <w:r>
        <w:rPr>
          <w:rFonts w:eastAsia="Times New Roman" w:cstheme="majorHAnsi"/>
          <w:b/>
          <w:bCs/>
          <w:sz w:val="24"/>
          <w:szCs w:val="24"/>
          <w:lang w:val="en-US"/>
        </w:rPr>
        <w:t>m</w:t>
      </w:r>
      <w:r w:rsidRPr="00517C51">
        <w:rPr>
          <w:rFonts w:eastAsia="Times New Roman" w:cstheme="majorHAnsi"/>
          <w:b/>
          <w:bCs/>
          <w:sz w:val="24"/>
          <w:szCs w:val="24"/>
          <w:lang w:val="en-US"/>
        </w:rPr>
        <w:t>eeting of the Conference of the Contracting Parties</w:t>
      </w:r>
    </w:p>
    <w:p w14:paraId="22A98921" w14:textId="77777777" w:rsidR="00B36D04" w:rsidRDefault="00B36D04" w:rsidP="00575F2E">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Convention on Wetlands</w:t>
      </w:r>
    </w:p>
    <w:p w14:paraId="5CFE7A6C" w14:textId="77777777" w:rsidR="00B36D04" w:rsidRPr="00B85A24" w:rsidRDefault="00B36D04" w:rsidP="00575F2E">
      <w:pPr>
        <w:spacing w:after="0" w:line="240" w:lineRule="auto"/>
        <w:jc w:val="center"/>
        <w:outlineLvl w:val="0"/>
        <w:rPr>
          <w:rFonts w:eastAsia="Times New Roman" w:cstheme="majorHAnsi"/>
          <w:b/>
          <w:bCs/>
          <w:sz w:val="24"/>
          <w:szCs w:val="24"/>
          <w:lang w:val="en-US"/>
        </w:rPr>
      </w:pPr>
    </w:p>
    <w:p w14:paraId="29AB78DC" w14:textId="77777777" w:rsidR="00B36D04" w:rsidRPr="00B85A24" w:rsidRDefault="00B36D04" w:rsidP="00575F2E">
      <w:pPr>
        <w:spacing w:after="0" w:line="240" w:lineRule="auto"/>
        <w:jc w:val="center"/>
        <w:outlineLvl w:val="0"/>
        <w:rPr>
          <w:rFonts w:eastAsia="Times New Roman" w:cstheme="majorHAnsi"/>
          <w:b/>
          <w:bCs/>
          <w:sz w:val="24"/>
          <w:szCs w:val="24"/>
          <w:lang w:val="en-US"/>
        </w:rPr>
      </w:pPr>
      <w:r w:rsidRPr="00B85A24">
        <w:rPr>
          <w:rFonts w:eastAsia="Times New Roman" w:cstheme="majorHAnsi"/>
          <w:b/>
          <w:bCs/>
          <w:sz w:val="24"/>
          <w:szCs w:val="24"/>
          <w:lang w:val="en-US"/>
        </w:rPr>
        <w:t>“</w:t>
      </w:r>
      <w:r>
        <w:rPr>
          <w:rFonts w:eastAsia="Times New Roman" w:cstheme="majorHAnsi"/>
          <w:b/>
          <w:bCs/>
          <w:sz w:val="24"/>
          <w:szCs w:val="24"/>
          <w:lang w:val="en-US"/>
        </w:rPr>
        <w:t xml:space="preserve">Protecting </w:t>
      </w:r>
      <w:r w:rsidRPr="00B36D04">
        <w:rPr>
          <w:rFonts w:eastAsia="Times New Roman" w:cstheme="majorHAnsi"/>
          <w:b/>
          <w:bCs/>
          <w:sz w:val="24"/>
          <w:szCs w:val="24"/>
          <w:lang w:val="en-US"/>
        </w:rPr>
        <w:t>wetlands</w:t>
      </w:r>
      <w:r>
        <w:rPr>
          <w:rFonts w:eastAsia="Times New Roman" w:cstheme="majorHAnsi"/>
          <w:b/>
          <w:bCs/>
          <w:sz w:val="24"/>
          <w:szCs w:val="24"/>
          <w:lang w:val="en-US"/>
        </w:rPr>
        <w:t xml:space="preserve"> for our common future</w:t>
      </w:r>
      <w:r w:rsidRPr="00B85A24">
        <w:rPr>
          <w:rFonts w:eastAsia="Times New Roman" w:cstheme="majorHAnsi"/>
          <w:b/>
          <w:bCs/>
          <w:sz w:val="24"/>
          <w:szCs w:val="24"/>
          <w:lang w:val="en-US"/>
        </w:rPr>
        <w:t>”</w:t>
      </w:r>
    </w:p>
    <w:p w14:paraId="32485635" w14:textId="77777777" w:rsidR="00B36D04" w:rsidRDefault="00B36D04" w:rsidP="00575F2E">
      <w:pPr>
        <w:spacing w:after="0" w:line="240" w:lineRule="auto"/>
        <w:jc w:val="center"/>
        <w:outlineLvl w:val="0"/>
        <w:rPr>
          <w:rFonts w:eastAsia="Times New Roman" w:cstheme="majorHAnsi"/>
          <w:b/>
          <w:bCs/>
          <w:sz w:val="24"/>
          <w:szCs w:val="24"/>
          <w:lang w:val="en-US"/>
        </w:rPr>
      </w:pPr>
      <w:r>
        <w:rPr>
          <w:rFonts w:eastAsia="Times New Roman" w:cstheme="majorHAnsi"/>
          <w:b/>
          <w:bCs/>
          <w:sz w:val="24"/>
          <w:szCs w:val="24"/>
          <w:lang w:val="en-US"/>
        </w:rPr>
        <w:t>Victoria Falls, Zimbabwe</w:t>
      </w:r>
      <w:r w:rsidRPr="00B85A24">
        <w:rPr>
          <w:rFonts w:eastAsia="Times New Roman" w:cstheme="majorHAnsi"/>
          <w:b/>
          <w:bCs/>
          <w:sz w:val="24"/>
          <w:szCs w:val="24"/>
          <w:lang w:val="en-US"/>
        </w:rPr>
        <w:t xml:space="preserve">, </w:t>
      </w:r>
      <w:r>
        <w:rPr>
          <w:rFonts w:eastAsia="Times New Roman" w:cstheme="majorHAnsi"/>
          <w:b/>
          <w:bCs/>
          <w:sz w:val="24"/>
          <w:szCs w:val="24"/>
          <w:lang w:val="en-US"/>
        </w:rPr>
        <w:t>23-31 July</w:t>
      </w:r>
      <w:r w:rsidRPr="00B85A24">
        <w:rPr>
          <w:rFonts w:eastAsia="Times New Roman" w:cstheme="majorHAnsi"/>
          <w:b/>
          <w:bCs/>
          <w:sz w:val="24"/>
          <w:szCs w:val="24"/>
          <w:lang w:val="en-US"/>
        </w:rPr>
        <w:t xml:space="preserve"> </w:t>
      </w:r>
      <w:r>
        <w:rPr>
          <w:rFonts w:eastAsia="Times New Roman" w:cstheme="majorHAnsi"/>
          <w:b/>
          <w:bCs/>
          <w:sz w:val="24"/>
          <w:szCs w:val="24"/>
          <w:lang w:val="en-US"/>
        </w:rPr>
        <w:t>2025</w:t>
      </w:r>
    </w:p>
    <w:p w14:paraId="1C1FF145" w14:textId="77777777" w:rsidR="00B36D04" w:rsidRDefault="00B36D04" w:rsidP="00575F2E">
      <w:pPr>
        <w:spacing w:after="0" w:line="240" w:lineRule="auto"/>
        <w:jc w:val="center"/>
        <w:outlineLvl w:val="0"/>
        <w:rPr>
          <w:rFonts w:eastAsia="Times New Roman" w:cstheme="majorHAnsi"/>
          <w:b/>
          <w:bCs/>
          <w:sz w:val="24"/>
          <w:szCs w:val="24"/>
          <w:lang w:val="en-US"/>
        </w:rPr>
      </w:pPr>
    </w:p>
    <w:p w14:paraId="10779885" w14:textId="77777777" w:rsidR="00B36D04" w:rsidRDefault="00B36D04" w:rsidP="00575F2E">
      <w:pPr>
        <w:spacing w:after="0" w:line="240" w:lineRule="auto"/>
        <w:jc w:val="center"/>
        <w:outlineLvl w:val="0"/>
        <w:rPr>
          <w:rFonts w:eastAsia="Times New Roman" w:cstheme="majorHAnsi"/>
          <w:b/>
          <w:bCs/>
          <w:sz w:val="24"/>
          <w:szCs w:val="24"/>
          <w:lang w:val="en-US"/>
        </w:rPr>
      </w:pPr>
    </w:p>
    <w:p w14:paraId="5722DF7C" w14:textId="77777777" w:rsidR="00B36D04" w:rsidRPr="00B85A24" w:rsidRDefault="00B36D04" w:rsidP="00575F2E">
      <w:pPr>
        <w:spacing w:after="0" w:line="240" w:lineRule="auto"/>
        <w:jc w:val="center"/>
        <w:outlineLvl w:val="0"/>
        <w:rPr>
          <w:rFonts w:eastAsia="Times New Roman" w:cstheme="majorHAnsi"/>
          <w:b/>
          <w:bCs/>
          <w:sz w:val="24"/>
          <w:szCs w:val="24"/>
          <w:lang w:val="en-US"/>
        </w:rPr>
      </w:pPr>
    </w:p>
    <w:p w14:paraId="6FE48896" w14:textId="77777777" w:rsidR="00B36D04" w:rsidRPr="00FA0356" w:rsidRDefault="00B36D04" w:rsidP="00575F2E">
      <w:pPr>
        <w:spacing w:after="0" w:line="240" w:lineRule="auto"/>
        <w:jc w:val="right"/>
        <w:rPr>
          <w:rFonts w:cs="Times New Roman"/>
        </w:rPr>
      </w:pPr>
    </w:p>
    <w:p w14:paraId="2D58DBF4" w14:textId="7E989591" w:rsidR="00B36D04" w:rsidRDefault="00B36D04" w:rsidP="00575F2E">
      <w:pPr>
        <w:widowControl w:val="0"/>
        <w:spacing w:after="0" w:line="240" w:lineRule="auto"/>
        <w:jc w:val="right"/>
        <w:rPr>
          <w:rFonts w:cstheme="minorHAnsi"/>
        </w:rPr>
      </w:pPr>
      <w:r w:rsidRPr="00A71FEB">
        <w:rPr>
          <w:rFonts w:cs="Times New Roman"/>
          <w:b/>
          <w:sz w:val="28"/>
          <w:szCs w:val="28"/>
        </w:rPr>
        <w:t>COP15 Doc.</w:t>
      </w:r>
      <w:r w:rsidR="00B56AE8">
        <w:rPr>
          <w:rFonts w:cs="Times New Roman"/>
          <w:b/>
          <w:sz w:val="28"/>
          <w:szCs w:val="28"/>
        </w:rPr>
        <w:t>16</w:t>
      </w:r>
    </w:p>
    <w:p w14:paraId="44FAE40D" w14:textId="77777777" w:rsidR="00B36D04" w:rsidRPr="00101185" w:rsidRDefault="00B36D04" w:rsidP="00575F2E">
      <w:pPr>
        <w:spacing w:after="0" w:line="240" w:lineRule="auto"/>
        <w:jc w:val="center"/>
        <w:rPr>
          <w:rFonts w:cs="Times New Roman"/>
          <w:sz w:val="28"/>
          <w:szCs w:val="28"/>
        </w:rPr>
      </w:pPr>
    </w:p>
    <w:p w14:paraId="492D36AF" w14:textId="77777777" w:rsidR="00B56AE8" w:rsidRPr="00101185" w:rsidRDefault="00B56AE8" w:rsidP="00575F2E">
      <w:pPr>
        <w:spacing w:after="0" w:line="240" w:lineRule="auto"/>
        <w:jc w:val="center"/>
        <w:rPr>
          <w:rFonts w:cs="Times New Roman"/>
          <w:sz w:val="28"/>
          <w:szCs w:val="28"/>
        </w:rPr>
      </w:pPr>
    </w:p>
    <w:p w14:paraId="444D272A" w14:textId="0DF91DB0" w:rsidR="00544F74" w:rsidRDefault="00B56AE8" w:rsidP="00575F2E">
      <w:pPr>
        <w:spacing w:after="0" w:line="240" w:lineRule="auto"/>
        <w:jc w:val="center"/>
        <w:rPr>
          <w:rFonts w:cs="Times New Roman"/>
          <w:b/>
          <w:sz w:val="28"/>
          <w:szCs w:val="28"/>
        </w:rPr>
      </w:pPr>
      <w:r w:rsidRPr="00B56AE8">
        <w:rPr>
          <w:rFonts w:cs="Times New Roman"/>
          <w:b/>
          <w:sz w:val="28"/>
          <w:szCs w:val="28"/>
        </w:rPr>
        <w:t>Report of the Secretariat on the implementation of Resolution XIV.20</w:t>
      </w:r>
    </w:p>
    <w:p w14:paraId="769EFFAD" w14:textId="77777777" w:rsidR="00942E8C" w:rsidRPr="00A76B84" w:rsidRDefault="00942E8C" w:rsidP="00575F2E">
      <w:pPr>
        <w:spacing w:after="0" w:line="240" w:lineRule="auto"/>
        <w:rPr>
          <w:rFonts w:cs="Times New Roman"/>
          <w:b/>
        </w:rPr>
      </w:pPr>
    </w:p>
    <w:p w14:paraId="1E715C61" w14:textId="1EE9A6D0" w:rsidR="005648F4" w:rsidRPr="00507062" w:rsidRDefault="005648F4" w:rsidP="00101185">
      <w:pPr>
        <w:autoSpaceDE w:val="0"/>
        <w:autoSpaceDN w:val="0"/>
        <w:adjustRightInd w:val="0"/>
        <w:spacing w:after="0" w:line="240" w:lineRule="auto"/>
        <w:rPr>
          <w:rFonts w:cs="Calibri-Bold"/>
          <w:b/>
          <w:bCs/>
        </w:rPr>
      </w:pPr>
    </w:p>
    <w:p w14:paraId="0FA3AA9D" w14:textId="7F7BFACF" w:rsidR="00575F2E" w:rsidRPr="005648F4" w:rsidRDefault="005648F4" w:rsidP="00101185">
      <w:pPr>
        <w:spacing w:after="0" w:line="240" w:lineRule="auto"/>
        <w:rPr>
          <w:b/>
          <w:bCs/>
        </w:rPr>
      </w:pPr>
      <w:r w:rsidRPr="00C54BE8">
        <w:rPr>
          <w:b/>
          <w:bCs/>
        </w:rPr>
        <w:t xml:space="preserve">Background </w:t>
      </w:r>
    </w:p>
    <w:p w14:paraId="6F7C5E61" w14:textId="77777777" w:rsidR="00575F2E" w:rsidRDefault="00575F2E" w:rsidP="00575F2E">
      <w:pPr>
        <w:spacing w:after="0" w:line="240" w:lineRule="auto"/>
      </w:pPr>
    </w:p>
    <w:p w14:paraId="1816ACBD" w14:textId="758598C7" w:rsidR="00EF4D12" w:rsidRDefault="00594624" w:rsidP="00575F2E">
      <w:pPr>
        <w:spacing w:after="0" w:line="240" w:lineRule="auto"/>
        <w:ind w:left="425" w:hanging="425"/>
      </w:pPr>
      <w:r>
        <w:t>1.</w:t>
      </w:r>
      <w:r>
        <w:tab/>
      </w:r>
      <w:r w:rsidR="005648F4">
        <w:t xml:space="preserve">At </w:t>
      </w:r>
      <w:r w:rsidR="00575F2E">
        <w:t>the 14th meeting of the Conference of the Contracting Parties (</w:t>
      </w:r>
      <w:r w:rsidR="005648F4">
        <w:t>COP14</w:t>
      </w:r>
      <w:r w:rsidR="00575F2E">
        <w:t>)</w:t>
      </w:r>
      <w:r w:rsidR="005648F4">
        <w:t xml:space="preserve">, </w:t>
      </w:r>
      <w:r>
        <w:t xml:space="preserve">the Contracting Parties adopted </w:t>
      </w:r>
      <w:r w:rsidR="005648F4">
        <w:t xml:space="preserve">Resolution XIV.20 on </w:t>
      </w:r>
      <w:r w:rsidR="005648F4" w:rsidRPr="00594624">
        <w:rPr>
          <w:i/>
        </w:rPr>
        <w:t>The Ramsar Convention’s response to environmental emergency in Ukraine relating to the damage of its Wetlands of International Importance (Ramsar Sites) stemming from the Russian Federation’s aggression</w:t>
      </w:r>
      <w:r w:rsidRPr="00594624">
        <w:rPr>
          <w:i/>
        </w:rPr>
        <w:t xml:space="preserve">. </w:t>
      </w:r>
      <w:r w:rsidRPr="00594624">
        <w:rPr>
          <w:iCs/>
        </w:rPr>
        <w:t xml:space="preserve">This report is presented </w:t>
      </w:r>
      <w:r w:rsidR="005648F4" w:rsidRPr="005648F4">
        <w:t>pursuant to Resolution XIV.</w:t>
      </w:r>
      <w:r>
        <w:t>20</w:t>
      </w:r>
      <w:r w:rsidR="005648F4" w:rsidRPr="005648F4">
        <w:t xml:space="preserve"> para</w:t>
      </w:r>
      <w:r w:rsidR="00136D20">
        <w:t>graph</w:t>
      </w:r>
      <w:r w:rsidR="005648F4" w:rsidRPr="005648F4">
        <w:t xml:space="preserve"> </w:t>
      </w:r>
      <w:r>
        <w:t>18, which</w:t>
      </w:r>
      <w:r w:rsidR="00136D20">
        <w:t>:</w:t>
      </w:r>
    </w:p>
    <w:p w14:paraId="374D47DF" w14:textId="77777777" w:rsidR="00EF4D12" w:rsidRDefault="00EF4D12" w:rsidP="00575F2E">
      <w:pPr>
        <w:spacing w:after="0" w:line="240" w:lineRule="auto"/>
        <w:ind w:left="425" w:hanging="425"/>
      </w:pPr>
    </w:p>
    <w:p w14:paraId="34FAF5E8" w14:textId="3C021786" w:rsidR="00594624" w:rsidRPr="00594624" w:rsidRDefault="00594624" w:rsidP="00136D20">
      <w:pPr>
        <w:spacing w:after="0" w:line="240" w:lineRule="auto"/>
        <w:ind w:left="851"/>
        <w:rPr>
          <w:i/>
        </w:rPr>
      </w:pPr>
      <w:r w:rsidRPr="00E25F1E">
        <w:t>“</w:t>
      </w:r>
      <w:r w:rsidRPr="00594624">
        <w:rPr>
          <w:i/>
        </w:rPr>
        <w:t>REQUESTS the Secretariat of the Convention on Wetlands to coordinate actions with the Contracting Parties and relevant national and international organizations to conduct assessments of the Ramsar Sites in Ukraine affected by aggression of the Russian Federation, and advise on appropriate mitigation and restoration measures; and FURTHER REQUESTS the Secretariat to provide a report on the assessed damage and mitigation measures to the 15th meeting of the Conference of the Contracting Parties, in addition to providing an update on the implementation of this Resolution to all intervening meetings of the Standing Committee</w:t>
      </w:r>
      <w:r w:rsidRPr="00E25F1E">
        <w:t>”</w:t>
      </w:r>
      <w:r>
        <w:t>.</w:t>
      </w:r>
    </w:p>
    <w:p w14:paraId="6C8EBF36" w14:textId="4BB80B34" w:rsidR="00594624" w:rsidRDefault="00594624" w:rsidP="00575F2E">
      <w:pPr>
        <w:spacing w:after="0" w:line="240" w:lineRule="auto"/>
      </w:pPr>
    </w:p>
    <w:p w14:paraId="243D16F0" w14:textId="5AF8BCC3" w:rsidR="00F57873" w:rsidRPr="00C66817" w:rsidRDefault="00594624" w:rsidP="00101185">
      <w:pPr>
        <w:spacing w:after="0" w:line="240" w:lineRule="auto"/>
        <w:ind w:left="425" w:hanging="425"/>
      </w:pPr>
      <w:r>
        <w:t>2.</w:t>
      </w:r>
      <w:r>
        <w:tab/>
        <w:t xml:space="preserve">This report outlines the coordination and consultation activities conducted by the Secretariat </w:t>
      </w:r>
      <w:r w:rsidR="00136D20">
        <w:t xml:space="preserve">from </w:t>
      </w:r>
      <w:r>
        <w:t>COP14 until 31 March 2025</w:t>
      </w:r>
      <w:r w:rsidR="00F57873">
        <w:t xml:space="preserve"> to conduct assessments of the</w:t>
      </w:r>
      <w:r w:rsidR="009A3E77">
        <w:t xml:space="preserve"> Wetlands of International Importance</w:t>
      </w:r>
      <w:r w:rsidR="00F57873">
        <w:t xml:space="preserve"> in Ukraine</w:t>
      </w:r>
      <w:r w:rsidR="002C4026">
        <w:t xml:space="preserve"> affected by the war</w:t>
      </w:r>
      <w:r w:rsidR="00F57873">
        <w:t xml:space="preserve">. It also updates Contracting Parties on the assessed damage and </w:t>
      </w:r>
      <w:r w:rsidR="00794227">
        <w:t xml:space="preserve">advises on remediation </w:t>
      </w:r>
      <w:r w:rsidR="00F57873">
        <w:t xml:space="preserve">measures, </w:t>
      </w:r>
      <w:r w:rsidR="00D91AD8">
        <w:t xml:space="preserve">based on </w:t>
      </w:r>
      <w:r w:rsidR="008F4914">
        <w:t xml:space="preserve">the </w:t>
      </w:r>
      <w:r w:rsidR="00D933D0">
        <w:t>detailed</w:t>
      </w:r>
      <w:r w:rsidR="00F57873">
        <w:t xml:space="preserve"> </w:t>
      </w:r>
      <w:r w:rsidR="00F57873" w:rsidRPr="00F57873">
        <w:rPr>
          <w:i/>
          <w:iCs/>
        </w:rPr>
        <w:t>Assessment of environmental damage to Ukraine’s Ramsar Sites resulting from the Russian Federation’s invasion of Ukraine</w:t>
      </w:r>
      <w:r w:rsidR="00D933D0">
        <w:t xml:space="preserve"> that is </w:t>
      </w:r>
      <w:r w:rsidR="00C66817">
        <w:t xml:space="preserve">made available </w:t>
      </w:r>
      <w:r w:rsidR="00D91AD8">
        <w:t xml:space="preserve">in </w:t>
      </w:r>
      <w:r w:rsidR="00252A40">
        <w:t xml:space="preserve">information document </w:t>
      </w:r>
      <w:r w:rsidR="00A40163" w:rsidRPr="008B26CE">
        <w:t>COP15 Inf.</w:t>
      </w:r>
      <w:r w:rsidR="007D336D" w:rsidRPr="008B26CE">
        <w:t>2</w:t>
      </w:r>
      <w:r w:rsidR="00136D20">
        <w:rPr>
          <w:rStyle w:val="FootnoteReference"/>
        </w:rPr>
        <w:footnoteReference w:id="1"/>
      </w:r>
      <w:r w:rsidR="00A40163" w:rsidRPr="008B26CE">
        <w:t>.</w:t>
      </w:r>
    </w:p>
    <w:p w14:paraId="39BE6A37" w14:textId="56A5B301" w:rsidR="00594624" w:rsidRDefault="00594624" w:rsidP="00101185">
      <w:pPr>
        <w:spacing w:after="0" w:line="240" w:lineRule="auto"/>
      </w:pPr>
    </w:p>
    <w:p w14:paraId="75211890" w14:textId="66A67493" w:rsidR="00AD5EF0" w:rsidRPr="00C06777" w:rsidRDefault="00594624" w:rsidP="00101185">
      <w:pPr>
        <w:keepNext/>
        <w:spacing w:after="0" w:line="240" w:lineRule="auto"/>
        <w:rPr>
          <w:b/>
          <w:bCs/>
        </w:rPr>
      </w:pPr>
      <w:r w:rsidRPr="00C54BE8">
        <w:rPr>
          <w:b/>
          <w:bCs/>
        </w:rPr>
        <w:t xml:space="preserve">Coordination and consultation </w:t>
      </w:r>
    </w:p>
    <w:p w14:paraId="055A9A01" w14:textId="77777777" w:rsidR="00575F2E" w:rsidRDefault="00575F2E" w:rsidP="00101185">
      <w:pPr>
        <w:keepNext/>
        <w:spacing w:after="0" w:line="240" w:lineRule="auto"/>
      </w:pPr>
    </w:p>
    <w:p w14:paraId="0DD3F89A" w14:textId="6A691D92" w:rsidR="00594624" w:rsidRDefault="00594624" w:rsidP="00101185">
      <w:pPr>
        <w:spacing w:after="0" w:line="240" w:lineRule="auto"/>
        <w:ind w:left="425" w:hanging="425"/>
      </w:pPr>
      <w:r>
        <w:t>3.</w:t>
      </w:r>
      <w:r>
        <w:tab/>
        <w:t>The Secretariat has</w:t>
      </w:r>
      <w:r w:rsidR="00E9745C">
        <w:t xml:space="preserve"> participated</w:t>
      </w:r>
      <w:r>
        <w:t xml:space="preserve"> </w:t>
      </w:r>
      <w:r w:rsidR="00EF4D12">
        <w:t xml:space="preserve">in </w:t>
      </w:r>
      <w:r>
        <w:t xml:space="preserve">the Inter-Agency Coordination Group on Environmental Assessments for Ukraine. The membership of this informal group includes the United Nations Economic Commission for Europe (UNECE), the UN Environment Programme (UNEP), the </w:t>
      </w:r>
      <w:r w:rsidRPr="00CE57E2">
        <w:t xml:space="preserve">Organisation for Economic Cooperation and Development </w:t>
      </w:r>
      <w:r>
        <w:t xml:space="preserve">(OECD), the UN </w:t>
      </w:r>
      <w:r w:rsidRPr="00CE57E2">
        <w:t>Industrial Development Organization (UNIDO)</w:t>
      </w:r>
      <w:r>
        <w:t xml:space="preserve">, the UN Development Programme (UNDP), the World Bank, </w:t>
      </w:r>
      <w:r>
        <w:lastRenderedPageBreak/>
        <w:t xml:space="preserve">and </w:t>
      </w:r>
      <w:r w:rsidRPr="00CE57E2">
        <w:t xml:space="preserve">the Organization for Security and Co-operation in Europe </w:t>
      </w:r>
      <w:r>
        <w:t>(OSCE). Through engagement in the Group and with individual members, the Secretaria</w:t>
      </w:r>
      <w:r w:rsidR="007F3B43">
        <w:t>t</w:t>
      </w:r>
      <w:r w:rsidR="00204902">
        <w:t xml:space="preserve"> </w:t>
      </w:r>
      <w:r w:rsidR="00136D20">
        <w:t xml:space="preserve">has </w:t>
      </w:r>
      <w:r>
        <w:t>share</w:t>
      </w:r>
      <w:r w:rsidR="00807E6C">
        <w:t>d</w:t>
      </w:r>
      <w:r>
        <w:t xml:space="preserve"> information on work under the Convention and Resolution XIV.20, and on how consideration of wetlands may be best addressed in the context of current or planned environmental assessments. </w:t>
      </w:r>
    </w:p>
    <w:p w14:paraId="247EDD42" w14:textId="77777777" w:rsidR="00710C59" w:rsidRDefault="00710C59" w:rsidP="00101185">
      <w:pPr>
        <w:spacing w:after="0" w:line="240" w:lineRule="auto"/>
        <w:ind w:left="425" w:hanging="425"/>
      </w:pPr>
    </w:p>
    <w:p w14:paraId="054FDC77" w14:textId="17360C0A" w:rsidR="00710C59" w:rsidRDefault="00594624" w:rsidP="00101185">
      <w:pPr>
        <w:spacing w:after="0" w:line="240" w:lineRule="auto"/>
        <w:ind w:left="425" w:hanging="425"/>
      </w:pPr>
      <w:r>
        <w:t>4.</w:t>
      </w:r>
      <w:r>
        <w:tab/>
      </w:r>
      <w:r w:rsidRPr="0016117A">
        <w:t>F</w:t>
      </w:r>
      <w:r>
        <w:t>ollowing the breaching</w:t>
      </w:r>
      <w:r w:rsidRPr="0016117A">
        <w:t xml:space="preserve"> </w:t>
      </w:r>
      <w:r>
        <w:t xml:space="preserve">on 6 June 2023 </w:t>
      </w:r>
      <w:r w:rsidRPr="0016117A">
        <w:t>of the</w:t>
      </w:r>
      <w:r>
        <w:t xml:space="preserve"> </w:t>
      </w:r>
      <w:r>
        <w:rPr>
          <w:lang w:val="en-US"/>
        </w:rPr>
        <w:t xml:space="preserve">Kakhovka Hydroelectric Power Plant </w:t>
      </w:r>
      <w:r w:rsidRPr="0016117A">
        <w:t xml:space="preserve">on the Dnipro River in Ukraine’s Kherson </w:t>
      </w:r>
      <w:r>
        <w:t>O</w:t>
      </w:r>
      <w:r w:rsidRPr="0016117A">
        <w:t xml:space="preserve">blast, a team of 20 experts representing 13 institutions </w:t>
      </w:r>
      <w:r>
        <w:t>was</w:t>
      </w:r>
      <w:r w:rsidRPr="0016117A">
        <w:t xml:space="preserve"> mobili</w:t>
      </w:r>
      <w:r>
        <w:t>z</w:t>
      </w:r>
      <w:r w:rsidRPr="0016117A">
        <w:t xml:space="preserve">ed under the leadership of UNEP to assess the environmental impacts of the dam breach, including hydrological and geomorphological impacts, chemical contamination, disaster waste and impacts on biodiversity and protected areas. </w:t>
      </w:r>
      <w:r>
        <w:t xml:space="preserve">The Secretariat </w:t>
      </w:r>
      <w:r w:rsidR="00AC695A">
        <w:t xml:space="preserve">contributed with written inputs to the report </w:t>
      </w:r>
      <w:r w:rsidR="00AC695A" w:rsidRPr="00862375">
        <w:rPr>
          <w:i/>
          <w:iCs/>
        </w:rPr>
        <w:t>Rapid Environmental Assessment of Kakhovka Dam Breach</w:t>
      </w:r>
      <w:r w:rsidR="00AC695A" w:rsidDel="00AC695A">
        <w:t xml:space="preserve"> </w:t>
      </w:r>
      <w:r>
        <w:t>to provide wetland expertise.</w:t>
      </w:r>
    </w:p>
    <w:p w14:paraId="744C8B4E" w14:textId="31FB0086" w:rsidR="00594624" w:rsidRDefault="00594624" w:rsidP="00101185">
      <w:pPr>
        <w:spacing w:after="0" w:line="240" w:lineRule="auto"/>
        <w:ind w:left="425" w:hanging="425"/>
      </w:pPr>
      <w:r>
        <w:t xml:space="preserve"> </w:t>
      </w:r>
    </w:p>
    <w:p w14:paraId="249E36B5" w14:textId="4891FC72" w:rsidR="00594624" w:rsidRDefault="00C83296" w:rsidP="00101185">
      <w:pPr>
        <w:spacing w:after="0" w:line="240" w:lineRule="auto"/>
        <w:ind w:left="425" w:hanging="425"/>
      </w:pPr>
      <w:r>
        <w:t>5</w:t>
      </w:r>
      <w:r w:rsidR="00594624">
        <w:t>.</w:t>
      </w:r>
      <w:r w:rsidR="00594624">
        <w:tab/>
        <w:t xml:space="preserve">As a member of the Inter-Agency Coordination Group, the Secretariat </w:t>
      </w:r>
      <w:r>
        <w:t xml:space="preserve">also </w:t>
      </w:r>
      <w:r w:rsidR="00594624">
        <w:t>contributed to a UNEP</w:t>
      </w:r>
      <w:r w:rsidR="00232D49">
        <w:t xml:space="preserve">-led </w:t>
      </w:r>
      <w:r w:rsidR="00232D49" w:rsidRPr="00232D49">
        <w:t>effort to create a comprehensive overview of environmental assessments in Ukraine</w:t>
      </w:r>
      <w:r w:rsidR="00594624">
        <w:t xml:space="preserve">. The </w:t>
      </w:r>
      <w:r w:rsidR="00594624" w:rsidRPr="005B09CE">
        <w:rPr>
          <w:i/>
          <w:iCs/>
        </w:rPr>
        <w:t>Ukraine Environmental Damage Assessments</w:t>
      </w:r>
      <w:r w:rsidR="00594624">
        <w:t xml:space="preserve"> report, published in December 2023, </w:t>
      </w:r>
      <w:r w:rsidR="00594624" w:rsidRPr="00F61F24">
        <w:t>identif</w:t>
      </w:r>
      <w:r w:rsidR="00594624">
        <w:t>ied</w:t>
      </w:r>
      <w:r w:rsidR="00594624" w:rsidRPr="00F61F24">
        <w:t xml:space="preserve"> gaps and overlaps in the assessments</w:t>
      </w:r>
      <w:r w:rsidR="00594624">
        <w:t xml:space="preserve"> and</w:t>
      </w:r>
      <w:r w:rsidR="00594624" w:rsidRPr="00F61F24">
        <w:t xml:space="preserve"> recommend</w:t>
      </w:r>
      <w:r w:rsidR="00594624">
        <w:t>ed</w:t>
      </w:r>
      <w:r w:rsidR="00594624" w:rsidRPr="00F61F24">
        <w:t xml:space="preserve"> means to support coordination</w:t>
      </w:r>
      <w:r w:rsidR="00594624">
        <w:t xml:space="preserve"> </w:t>
      </w:r>
      <w:r w:rsidR="00594624" w:rsidRPr="00F61F24">
        <w:t>between actors and recovery and remediation measures.</w:t>
      </w:r>
      <w:r w:rsidR="00594624">
        <w:t xml:space="preserve"> </w:t>
      </w:r>
    </w:p>
    <w:p w14:paraId="42A054A6" w14:textId="0320434A" w:rsidR="00710C59" w:rsidRDefault="00710C59" w:rsidP="00101185">
      <w:pPr>
        <w:spacing w:after="0" w:line="240" w:lineRule="auto"/>
        <w:ind w:left="425" w:hanging="425"/>
      </w:pPr>
    </w:p>
    <w:p w14:paraId="4EC14200" w14:textId="6A418A6C" w:rsidR="005648F4" w:rsidRDefault="00C06777" w:rsidP="00101185">
      <w:pPr>
        <w:spacing w:after="0" w:line="240" w:lineRule="auto"/>
        <w:ind w:left="425" w:hanging="425"/>
      </w:pPr>
      <w:r>
        <w:t>6</w:t>
      </w:r>
      <w:r w:rsidR="00594624">
        <w:t>.</w:t>
      </w:r>
      <w:r w:rsidR="00594624">
        <w:tab/>
        <w:t>Another contribution of the Secretariat</w:t>
      </w:r>
      <w:r w:rsidR="00594624" w:rsidRPr="009F2703">
        <w:t xml:space="preserve"> </w:t>
      </w:r>
      <w:r w:rsidR="00805908">
        <w:t xml:space="preserve">was </w:t>
      </w:r>
      <w:r w:rsidR="00594624">
        <w:t xml:space="preserve">the </w:t>
      </w:r>
      <w:r w:rsidR="003120DC">
        <w:t>co-</w:t>
      </w:r>
      <w:r w:rsidR="00594624">
        <w:t>organization of a s</w:t>
      </w:r>
      <w:r w:rsidR="00594624" w:rsidRPr="0028740C">
        <w:t xml:space="preserve">eminar on use of Earth </w:t>
      </w:r>
      <w:r w:rsidR="00594624">
        <w:t>o</w:t>
      </w:r>
      <w:r w:rsidR="00594624" w:rsidRPr="0028740C">
        <w:t>bservation and remote sensing for assessing damage to ecosystems</w:t>
      </w:r>
      <w:r w:rsidR="00CC1CCA">
        <w:t xml:space="preserve"> in Ukraine</w:t>
      </w:r>
      <w:r w:rsidR="00594624">
        <w:t xml:space="preserve">. The seminar </w:t>
      </w:r>
      <w:r>
        <w:t xml:space="preserve">took </w:t>
      </w:r>
      <w:r w:rsidR="00594624">
        <w:t xml:space="preserve">place in March 2024, with the participation of global experts and the support of other members of the Inter-Agency Coordination Group. </w:t>
      </w:r>
      <w:r w:rsidR="00AB1529">
        <w:t xml:space="preserve">A policy and technical brief that summarizes information from the webinar </w:t>
      </w:r>
      <w:r w:rsidR="00136D20">
        <w:t>was</w:t>
      </w:r>
      <w:r w:rsidR="00AB1529">
        <w:t xml:space="preserve"> prepared and published by UNECE</w:t>
      </w:r>
      <w:r w:rsidR="005A46A5">
        <w:t xml:space="preserve"> in May 2024.</w:t>
      </w:r>
    </w:p>
    <w:p w14:paraId="71DED2EE" w14:textId="77777777" w:rsidR="00092C59" w:rsidRPr="00710C59" w:rsidRDefault="00092C59" w:rsidP="00101185">
      <w:pPr>
        <w:spacing w:after="0" w:line="240" w:lineRule="auto"/>
        <w:ind w:left="425" w:hanging="425"/>
      </w:pPr>
    </w:p>
    <w:p w14:paraId="5AD872CF" w14:textId="78D36913" w:rsidR="00613948" w:rsidRDefault="00092C59" w:rsidP="00101185">
      <w:pPr>
        <w:spacing w:after="0" w:line="240" w:lineRule="auto"/>
        <w:ind w:left="425" w:hanging="425"/>
      </w:pPr>
      <w:r>
        <w:t>7</w:t>
      </w:r>
      <w:r w:rsidR="005648F4">
        <w:t>.</w:t>
      </w:r>
      <w:r w:rsidR="005648F4">
        <w:tab/>
      </w:r>
      <w:r w:rsidR="00CC34B1">
        <w:t xml:space="preserve">Regular updates on </w:t>
      </w:r>
      <w:r w:rsidR="0063241A">
        <w:t xml:space="preserve">the </w:t>
      </w:r>
      <w:r w:rsidR="00CC34B1">
        <w:t>coordination and consultation activities</w:t>
      </w:r>
      <w:r w:rsidR="007818A8">
        <w:t xml:space="preserve"> in relation to Resolution XIV.20</w:t>
      </w:r>
      <w:r w:rsidR="00CC34B1">
        <w:t xml:space="preserve"> were presented to</w:t>
      </w:r>
      <w:r w:rsidR="000925B2">
        <w:t xml:space="preserve"> the</w:t>
      </w:r>
      <w:r w:rsidR="00CC34B1">
        <w:t xml:space="preserve"> Standing Committee at its </w:t>
      </w:r>
      <w:r w:rsidR="0063241A">
        <w:t>62</w:t>
      </w:r>
      <w:r w:rsidR="0063241A" w:rsidRPr="00101185">
        <w:t>nd</w:t>
      </w:r>
      <w:r w:rsidR="00813603">
        <w:rPr>
          <w:rStyle w:val="FootnoteReference"/>
        </w:rPr>
        <w:footnoteReference w:id="2"/>
      </w:r>
      <w:r w:rsidR="0063241A">
        <w:t>, 63</w:t>
      </w:r>
      <w:r w:rsidR="0063241A" w:rsidRPr="00101185">
        <w:t>rd</w:t>
      </w:r>
      <w:r w:rsidR="00813603">
        <w:rPr>
          <w:rStyle w:val="FootnoteReference"/>
        </w:rPr>
        <w:footnoteReference w:id="3"/>
      </w:r>
      <w:r w:rsidR="0063241A">
        <w:t xml:space="preserve"> and 64</w:t>
      </w:r>
      <w:r w:rsidR="0063241A" w:rsidRPr="00101185">
        <w:t>th</w:t>
      </w:r>
      <w:r w:rsidR="00813603">
        <w:rPr>
          <w:rStyle w:val="FootnoteReference"/>
        </w:rPr>
        <w:footnoteReference w:id="4"/>
      </w:r>
      <w:r w:rsidR="0063241A">
        <w:t xml:space="preserve"> meetings</w:t>
      </w:r>
      <w:r w:rsidR="00454B92">
        <w:t>.</w:t>
      </w:r>
    </w:p>
    <w:p w14:paraId="0CC14A6C" w14:textId="77777777" w:rsidR="00613948" w:rsidRDefault="00613948" w:rsidP="00101185">
      <w:pPr>
        <w:spacing w:after="0" w:line="240" w:lineRule="auto"/>
      </w:pPr>
    </w:p>
    <w:p w14:paraId="11DD5078" w14:textId="0262EF14" w:rsidR="00A57873" w:rsidRPr="00C947EF" w:rsidRDefault="005648F4" w:rsidP="00101185">
      <w:pPr>
        <w:spacing w:after="0" w:line="240" w:lineRule="auto"/>
        <w:rPr>
          <w:b/>
          <w:bCs/>
        </w:rPr>
      </w:pPr>
      <w:r w:rsidRPr="309F4F59">
        <w:rPr>
          <w:b/>
          <w:bCs/>
        </w:rPr>
        <w:t xml:space="preserve">Assessment of environmental damage </w:t>
      </w:r>
      <w:r>
        <w:rPr>
          <w:b/>
          <w:bCs/>
        </w:rPr>
        <w:t xml:space="preserve">to Ukraine’s Ramsar Sites </w:t>
      </w:r>
      <w:r w:rsidRPr="309F4F59">
        <w:rPr>
          <w:b/>
          <w:bCs/>
        </w:rPr>
        <w:t>resulting from the Russian</w:t>
      </w:r>
      <w:r>
        <w:rPr>
          <w:b/>
          <w:bCs/>
        </w:rPr>
        <w:t xml:space="preserve"> Federation’s</w:t>
      </w:r>
      <w:r w:rsidRPr="309F4F59">
        <w:rPr>
          <w:b/>
          <w:bCs/>
        </w:rPr>
        <w:t xml:space="preserve"> invasion of Ukraine</w:t>
      </w:r>
      <w:r w:rsidR="006F6E60">
        <w:rPr>
          <w:b/>
          <w:bCs/>
        </w:rPr>
        <w:t xml:space="preserve"> </w:t>
      </w:r>
    </w:p>
    <w:p w14:paraId="75715B2F" w14:textId="77777777" w:rsidR="00813603" w:rsidRDefault="00813603" w:rsidP="00575F2E">
      <w:pPr>
        <w:spacing w:after="0" w:line="240" w:lineRule="auto"/>
        <w:rPr>
          <w:i/>
          <w:iCs/>
        </w:rPr>
      </w:pPr>
    </w:p>
    <w:p w14:paraId="7C981C28" w14:textId="71F8EB8C" w:rsidR="00C947EF" w:rsidRPr="00C947EF" w:rsidRDefault="008507C9" w:rsidP="00101185">
      <w:pPr>
        <w:spacing w:after="0" w:line="240" w:lineRule="auto"/>
        <w:rPr>
          <w:i/>
          <w:iCs/>
        </w:rPr>
      </w:pPr>
      <w:r w:rsidRPr="00FC7FD6">
        <w:rPr>
          <w:i/>
          <w:iCs/>
        </w:rPr>
        <w:t>T</w:t>
      </w:r>
      <w:r w:rsidR="006F6E60" w:rsidRPr="00FC7FD6">
        <w:rPr>
          <w:i/>
          <w:iCs/>
        </w:rPr>
        <w:t>he</w:t>
      </w:r>
      <w:r w:rsidR="00FF0A4F" w:rsidRPr="00FC7FD6">
        <w:rPr>
          <w:i/>
          <w:iCs/>
        </w:rPr>
        <w:t xml:space="preserve"> assessment</w:t>
      </w:r>
      <w:r w:rsidR="006F6E60" w:rsidRPr="00FC7FD6">
        <w:rPr>
          <w:i/>
          <w:iCs/>
        </w:rPr>
        <w:t xml:space="preserve"> process</w:t>
      </w:r>
    </w:p>
    <w:p w14:paraId="643FE2CE" w14:textId="77777777" w:rsidR="00813603" w:rsidRDefault="00813603" w:rsidP="00575F2E">
      <w:pPr>
        <w:spacing w:after="0" w:line="240" w:lineRule="auto"/>
        <w:ind w:left="425" w:hanging="425"/>
      </w:pPr>
    </w:p>
    <w:p w14:paraId="1D26BBFB" w14:textId="624EA53B" w:rsidR="005648F4" w:rsidRPr="009A6253" w:rsidRDefault="005648F4" w:rsidP="00101185">
      <w:pPr>
        <w:spacing w:after="0" w:line="240" w:lineRule="auto"/>
        <w:ind w:left="425" w:hanging="425"/>
      </w:pPr>
      <w:r>
        <w:t>8.</w:t>
      </w:r>
      <w:r>
        <w:tab/>
        <w:t xml:space="preserve">The Secretariat hired a team of three international </w:t>
      </w:r>
      <w:r w:rsidR="00660138">
        <w:t xml:space="preserve">expert </w:t>
      </w:r>
      <w:r>
        <w:t>consultants to conduct the a</w:t>
      </w:r>
      <w:r w:rsidRPr="00C01DE9">
        <w:t>ssessment of environmental damage on Ukraine</w:t>
      </w:r>
      <w:r>
        <w:t>’s</w:t>
      </w:r>
      <w:r w:rsidRPr="00C01DE9">
        <w:t xml:space="preserve"> </w:t>
      </w:r>
      <w:r w:rsidR="00130433">
        <w:t>Wetlands of International Importance</w:t>
      </w:r>
      <w:r>
        <w:t>, pursuant to paragraph 18 of Resolution XIV.20.</w:t>
      </w:r>
      <w:r w:rsidR="00027798">
        <w:t xml:space="preserve"> </w:t>
      </w:r>
      <w:r>
        <w:t xml:space="preserve">The team </w:t>
      </w:r>
      <w:r w:rsidR="003B5BD2">
        <w:t>wa</w:t>
      </w:r>
      <w:r>
        <w:t>s composed of</w:t>
      </w:r>
      <w:r w:rsidR="00393FB8">
        <w:t xml:space="preserve"> </w:t>
      </w:r>
      <w:r>
        <w:t>a team lead, a lead wetland expert and an Earth observation and GIS expert</w:t>
      </w:r>
      <w:r w:rsidR="00720F93">
        <w:t>, who started the work in January 2024</w:t>
      </w:r>
      <w:r>
        <w:t>.</w:t>
      </w:r>
      <w:r w:rsidR="003B5BD2">
        <w:t xml:space="preserve"> A national expert also joined the team to support the </w:t>
      </w:r>
      <w:r w:rsidR="00136D20">
        <w:t xml:space="preserve">organization </w:t>
      </w:r>
      <w:r w:rsidR="003B5BD2">
        <w:t xml:space="preserve">of the field </w:t>
      </w:r>
      <w:r w:rsidR="005368A9">
        <w:t>mission</w:t>
      </w:r>
      <w:r w:rsidR="00F05F48">
        <w:t xml:space="preserve">, who also </w:t>
      </w:r>
      <w:r w:rsidR="001355C6">
        <w:t>supported</w:t>
      </w:r>
      <w:r w:rsidR="005368A9">
        <w:t xml:space="preserve"> the</w:t>
      </w:r>
      <w:r w:rsidR="001355C6">
        <w:t xml:space="preserve"> </w:t>
      </w:r>
      <w:r w:rsidR="00FB7FB7">
        <w:t xml:space="preserve">international </w:t>
      </w:r>
      <w:r w:rsidR="001355C6">
        <w:t>consultancy</w:t>
      </w:r>
      <w:r w:rsidR="005368A9">
        <w:t xml:space="preserve"> team with </w:t>
      </w:r>
      <w:r w:rsidR="00FB7FB7">
        <w:t>management</w:t>
      </w:r>
      <w:r w:rsidR="005368A9">
        <w:t xml:space="preserve"> of data sources</w:t>
      </w:r>
      <w:r w:rsidR="00E04F16">
        <w:t xml:space="preserve"> available in Ukrainian language</w:t>
      </w:r>
      <w:r w:rsidR="00E76F9A">
        <w:t xml:space="preserve"> including Site managers’</w:t>
      </w:r>
      <w:r w:rsidR="00F83B94">
        <w:t xml:space="preserve"> </w:t>
      </w:r>
      <w:r w:rsidR="00E76F9A">
        <w:t>surveys,</w:t>
      </w:r>
      <w:r w:rsidR="005368A9">
        <w:t xml:space="preserve"> and </w:t>
      </w:r>
      <w:r w:rsidR="00E04F16">
        <w:t xml:space="preserve">with </w:t>
      </w:r>
      <w:r w:rsidR="005368A9">
        <w:t>interpretation</w:t>
      </w:r>
      <w:r w:rsidR="00E04F16">
        <w:t xml:space="preserve"> during the </w:t>
      </w:r>
      <w:r w:rsidR="00813603">
        <w:t xml:space="preserve">Kyiv </w:t>
      </w:r>
      <w:r w:rsidR="00E04F16">
        <w:t xml:space="preserve">workshop and </w:t>
      </w:r>
      <w:r w:rsidR="001355C6">
        <w:t xml:space="preserve">other oral </w:t>
      </w:r>
      <w:r w:rsidR="00E04F16">
        <w:t>exchanges</w:t>
      </w:r>
      <w:r w:rsidR="005368A9">
        <w:t>.</w:t>
      </w:r>
    </w:p>
    <w:p w14:paraId="2D7DAE41" w14:textId="77777777" w:rsidR="00760DDF" w:rsidRPr="002F0AFB" w:rsidRDefault="00760DDF" w:rsidP="00101185">
      <w:pPr>
        <w:spacing w:after="0" w:line="240" w:lineRule="auto"/>
        <w:ind w:left="425" w:hanging="425"/>
      </w:pPr>
    </w:p>
    <w:p w14:paraId="7D64BE84" w14:textId="086F9F55" w:rsidR="00814355" w:rsidRDefault="00C947EF" w:rsidP="00101185">
      <w:pPr>
        <w:spacing w:after="0" w:line="240" w:lineRule="auto"/>
        <w:ind w:left="425" w:hanging="425"/>
      </w:pPr>
      <w:r>
        <w:t>9</w:t>
      </w:r>
      <w:r w:rsidR="005648F4">
        <w:t xml:space="preserve">. </w:t>
      </w:r>
      <w:r w:rsidR="005648F4">
        <w:tab/>
      </w:r>
      <w:r w:rsidR="00814355">
        <w:t>The Secretariat set up an advisory board to provide methodological, scientific and technical guidance, and review assessment outputs at the end of each phase. The four members of the board were selected in December 2023. The Chair</w:t>
      </w:r>
      <w:r w:rsidR="00813603">
        <w:t xml:space="preserve"> of the </w:t>
      </w:r>
      <w:r w:rsidR="00813603" w:rsidRPr="00813603">
        <w:t>Scientific and Technical Review Panel (STRP)</w:t>
      </w:r>
      <w:r w:rsidR="00814355">
        <w:t xml:space="preserve"> nominated Dr Laurent Durieux, a scientific expert member of the STRP, to the board. Three other global experts were selected: Dr Gordana Beltram, former Chair of the Convention’s Standing Committee and former National Focal Point for Slovenia; Dr Hassan </w:t>
      </w:r>
      <w:r w:rsidR="00814355">
        <w:lastRenderedPageBreak/>
        <w:t xml:space="preserve">Partow, </w:t>
      </w:r>
      <w:r w:rsidR="00814355" w:rsidRPr="0030285C">
        <w:t>Programme Manager, Response and Recovery Unit</w:t>
      </w:r>
      <w:r w:rsidR="00814355">
        <w:t xml:space="preserve"> </w:t>
      </w:r>
      <w:r w:rsidR="00814355" w:rsidRPr="0030285C">
        <w:t>Disasters and Confli</w:t>
      </w:r>
      <w:r w:rsidR="00814355" w:rsidRPr="007F082F">
        <w:rPr>
          <w:rFonts w:eastAsiaTheme="minorEastAsia"/>
        </w:rPr>
        <w:t>cts Branch, UNEP</w:t>
      </w:r>
      <w:r w:rsidR="00814355">
        <w:rPr>
          <w:rFonts w:eastAsiaTheme="minorEastAsia"/>
        </w:rPr>
        <w:t>;</w:t>
      </w:r>
      <w:r w:rsidR="00814355" w:rsidRPr="007F082F">
        <w:rPr>
          <w:rFonts w:eastAsiaTheme="minorEastAsia"/>
        </w:rPr>
        <w:t xml:space="preserve"> and Dr Muralee Thummarukudy, Director of the Coordination Office of the G20 Global Initiative on Reducing Land Degradation and Enhancing Conservation of Terrestrial Habitats, United Nations Convention to Combat Desertification (UNCCD</w:t>
      </w:r>
      <w:r w:rsidR="00814355" w:rsidRPr="7A18BDF9">
        <w:rPr>
          <w:rFonts w:eastAsiaTheme="minorEastAsia"/>
        </w:rPr>
        <w:t>)</w:t>
      </w:r>
      <w:r w:rsidR="00814355" w:rsidRPr="007F082F">
        <w:rPr>
          <w:rFonts w:eastAsiaTheme="minorEastAsia"/>
        </w:rPr>
        <w:t xml:space="preserve"> Secretariat. </w:t>
      </w:r>
      <w:r w:rsidR="008D5ADF">
        <w:rPr>
          <w:rFonts w:eastAsiaTheme="minorEastAsia"/>
        </w:rPr>
        <w:t>In total over the assessment period,</w:t>
      </w:r>
      <w:r w:rsidR="00576B90">
        <w:rPr>
          <w:rFonts w:eastAsiaTheme="minorEastAsia"/>
        </w:rPr>
        <w:t xml:space="preserve"> </w:t>
      </w:r>
      <w:r w:rsidR="00482B15">
        <w:rPr>
          <w:rFonts w:eastAsiaTheme="minorEastAsia"/>
        </w:rPr>
        <w:t>five</w:t>
      </w:r>
      <w:r w:rsidR="0091500E">
        <w:rPr>
          <w:rFonts w:eastAsiaTheme="minorEastAsia"/>
        </w:rPr>
        <w:t xml:space="preserve"> online</w:t>
      </w:r>
      <w:r w:rsidR="008D5ADF">
        <w:rPr>
          <w:rFonts w:eastAsiaTheme="minorEastAsia"/>
        </w:rPr>
        <w:t xml:space="preserve"> </w:t>
      </w:r>
      <w:r w:rsidR="00814355" w:rsidRPr="007F082F">
        <w:rPr>
          <w:rFonts w:eastAsiaTheme="minorEastAsia"/>
        </w:rPr>
        <w:t>meeting</w:t>
      </w:r>
      <w:r w:rsidR="008D5ADF">
        <w:rPr>
          <w:rFonts w:eastAsiaTheme="minorEastAsia"/>
        </w:rPr>
        <w:t>s</w:t>
      </w:r>
      <w:r w:rsidR="00814355" w:rsidRPr="007F082F">
        <w:rPr>
          <w:rFonts w:eastAsiaTheme="minorEastAsia"/>
        </w:rPr>
        <w:t xml:space="preserve"> of the </w:t>
      </w:r>
      <w:r w:rsidR="00576B90">
        <w:rPr>
          <w:rFonts w:eastAsiaTheme="minorEastAsia"/>
        </w:rPr>
        <w:t xml:space="preserve">advisory </w:t>
      </w:r>
      <w:r w:rsidR="00814355">
        <w:rPr>
          <w:rFonts w:eastAsiaTheme="minorEastAsia"/>
        </w:rPr>
        <w:t>b</w:t>
      </w:r>
      <w:r w:rsidR="00814355" w:rsidRPr="007F082F">
        <w:rPr>
          <w:rFonts w:eastAsiaTheme="minorEastAsia"/>
        </w:rPr>
        <w:t xml:space="preserve">oard </w:t>
      </w:r>
      <w:r w:rsidR="00814355">
        <w:rPr>
          <w:rFonts w:eastAsiaTheme="minorEastAsia"/>
        </w:rPr>
        <w:t>took</w:t>
      </w:r>
      <w:r w:rsidR="00FE0C11">
        <w:rPr>
          <w:rFonts w:eastAsiaTheme="minorEastAsia"/>
        </w:rPr>
        <w:t xml:space="preserve"> place</w:t>
      </w:r>
      <w:r w:rsidR="00814355">
        <w:t>.</w:t>
      </w:r>
      <w:r w:rsidR="00C06884">
        <w:t xml:space="preserve"> The Secretariat expresses its </w:t>
      </w:r>
      <w:r w:rsidR="00F05F48">
        <w:t xml:space="preserve">gratitude </w:t>
      </w:r>
      <w:r w:rsidR="00C06884">
        <w:t>to these experts for their voluntary contributions to the assessment.</w:t>
      </w:r>
    </w:p>
    <w:p w14:paraId="217FE217" w14:textId="77777777" w:rsidR="00DA0501" w:rsidRDefault="00DA0501" w:rsidP="00101185">
      <w:pPr>
        <w:spacing w:after="0" w:line="240" w:lineRule="auto"/>
        <w:ind w:left="425" w:hanging="425"/>
      </w:pPr>
    </w:p>
    <w:p w14:paraId="31806989" w14:textId="26478838" w:rsidR="00DD0128" w:rsidRPr="002C4026" w:rsidRDefault="00DA0501" w:rsidP="00101185">
      <w:pPr>
        <w:spacing w:after="0" w:line="240" w:lineRule="auto"/>
        <w:ind w:left="425" w:hanging="425"/>
      </w:pPr>
      <w:r>
        <w:t>1</w:t>
      </w:r>
      <w:r w:rsidR="00C947EF">
        <w:t>0</w:t>
      </w:r>
      <w:r>
        <w:t>.</w:t>
      </w:r>
      <w:r>
        <w:tab/>
      </w:r>
      <w:r w:rsidR="005648F4">
        <w:t xml:space="preserve">The consultancy work </w:t>
      </w:r>
      <w:r w:rsidR="00760DDF">
        <w:t xml:space="preserve">was </w:t>
      </w:r>
      <w:r w:rsidR="00F05F48">
        <w:t xml:space="preserve">organized </w:t>
      </w:r>
      <w:r w:rsidR="00760DDF">
        <w:t>in</w:t>
      </w:r>
      <w:r w:rsidR="005648F4">
        <w:t xml:space="preserve"> three phases. The preparation phase conducted from January to </w:t>
      </w:r>
      <w:r w:rsidR="005648F4" w:rsidRPr="002C4026">
        <w:t xml:space="preserve">February 2024 led to the production of </w:t>
      </w:r>
      <w:r w:rsidR="00CF4D75" w:rsidRPr="002C4026">
        <w:t xml:space="preserve">an </w:t>
      </w:r>
      <w:r w:rsidR="005648F4" w:rsidRPr="002C4026">
        <w:rPr>
          <w:iCs/>
        </w:rPr>
        <w:t>assessment strategy and methodology</w:t>
      </w:r>
      <w:r w:rsidR="008C4F4F" w:rsidRPr="002C4026">
        <w:rPr>
          <w:iCs/>
        </w:rPr>
        <w:t xml:space="preserve"> to evaluate the </w:t>
      </w:r>
      <w:r w:rsidR="00F05F48" w:rsidRPr="002C4026">
        <w:rPr>
          <w:iCs/>
        </w:rPr>
        <w:t xml:space="preserve">changes in </w:t>
      </w:r>
      <w:r w:rsidR="008C4F4F" w:rsidRPr="002C4026">
        <w:rPr>
          <w:iCs/>
        </w:rPr>
        <w:t xml:space="preserve">ecological character of Wetlands of International Importance as </w:t>
      </w:r>
      <w:r w:rsidR="00F05F48" w:rsidRPr="002C4026">
        <w:rPr>
          <w:iCs/>
        </w:rPr>
        <w:t xml:space="preserve">a </w:t>
      </w:r>
      <w:r w:rsidR="008C4F4F" w:rsidRPr="002C4026">
        <w:rPr>
          <w:iCs/>
        </w:rPr>
        <w:t xml:space="preserve">result of the war; </w:t>
      </w:r>
      <w:r w:rsidR="00F918E0" w:rsidRPr="002C4026">
        <w:rPr>
          <w:iCs/>
        </w:rPr>
        <w:t xml:space="preserve">to </w:t>
      </w:r>
      <w:r w:rsidR="008C4F4F" w:rsidRPr="002C4026">
        <w:rPr>
          <w:iCs/>
        </w:rPr>
        <w:t>conduc</w:t>
      </w:r>
      <w:r w:rsidR="00F918E0" w:rsidRPr="002C4026">
        <w:rPr>
          <w:iCs/>
        </w:rPr>
        <w:t>t</w:t>
      </w:r>
      <w:r w:rsidR="008C4F4F" w:rsidRPr="002C4026">
        <w:rPr>
          <w:iCs/>
        </w:rPr>
        <w:t xml:space="preserve"> the assessments of the Ramsar Sites in Ukraine that are affected or potentially affected; and </w:t>
      </w:r>
      <w:r w:rsidR="00F918E0" w:rsidRPr="002C4026">
        <w:rPr>
          <w:iCs/>
        </w:rPr>
        <w:t xml:space="preserve">to </w:t>
      </w:r>
      <w:r w:rsidR="008C4F4F" w:rsidRPr="002C4026">
        <w:rPr>
          <w:iCs/>
        </w:rPr>
        <w:t>develop proposed mitigation and restoration measures for these Sites, considering immediate, mid-term and long-term approaches</w:t>
      </w:r>
      <w:r w:rsidR="005648F4" w:rsidRPr="002C4026">
        <w:t xml:space="preserve">. </w:t>
      </w:r>
      <w:r w:rsidR="000D7194" w:rsidRPr="002C4026">
        <w:t>Th</w:t>
      </w:r>
      <w:r w:rsidR="00EC1310" w:rsidRPr="002C4026">
        <w:t xml:space="preserve">e </w:t>
      </w:r>
      <w:r w:rsidR="00AE29D8" w:rsidRPr="002C4026">
        <w:t xml:space="preserve">proposed </w:t>
      </w:r>
      <w:r w:rsidR="00EC1310" w:rsidRPr="002C4026">
        <w:t xml:space="preserve">methodology </w:t>
      </w:r>
      <w:r w:rsidR="00AE29D8" w:rsidRPr="002C4026">
        <w:t xml:space="preserve">benefited from </w:t>
      </w:r>
      <w:r w:rsidR="00476D81" w:rsidRPr="002C4026">
        <w:t xml:space="preserve">the </w:t>
      </w:r>
      <w:r w:rsidR="00EC1310" w:rsidRPr="002C4026">
        <w:t>compilation of</w:t>
      </w:r>
      <w:r w:rsidR="00D95209" w:rsidRPr="002C4026">
        <w:t xml:space="preserve"> existing</w:t>
      </w:r>
      <w:r w:rsidR="00EC1310" w:rsidRPr="002C4026">
        <w:t xml:space="preserve"> </w:t>
      </w:r>
      <w:r w:rsidR="000D7194" w:rsidRPr="002C4026">
        <w:t xml:space="preserve">assessments compiled by the </w:t>
      </w:r>
      <w:r w:rsidR="00AE29D8" w:rsidRPr="002C4026">
        <w:t>Inter-Agency Coordination Group</w:t>
      </w:r>
      <w:r w:rsidR="000D7194" w:rsidRPr="002C4026">
        <w:t xml:space="preserve">. A list of </w:t>
      </w:r>
      <w:r w:rsidR="00962D52" w:rsidRPr="002C4026">
        <w:t xml:space="preserve">these </w:t>
      </w:r>
      <w:r w:rsidR="000D7194" w:rsidRPr="002C4026">
        <w:t xml:space="preserve">assessments with brief information on the methods used and topics covered is provided in </w:t>
      </w:r>
      <w:r w:rsidR="00476D81" w:rsidRPr="002C4026">
        <w:t xml:space="preserve">Annex 2 of </w:t>
      </w:r>
      <w:r w:rsidR="00A2010D" w:rsidRPr="002C4026">
        <w:t xml:space="preserve">document </w:t>
      </w:r>
      <w:r w:rsidR="00B815C5" w:rsidRPr="002C4026">
        <w:t>SC62 Doc.24 Rev</w:t>
      </w:r>
      <w:r w:rsidR="00F05F48" w:rsidRPr="002C4026">
        <w:t>.</w:t>
      </w:r>
      <w:r w:rsidR="00B815C5" w:rsidRPr="002C4026">
        <w:t xml:space="preserve">1 </w:t>
      </w:r>
      <w:r w:rsidR="00B815C5" w:rsidRPr="002C4026">
        <w:rPr>
          <w:i/>
          <w:iCs/>
        </w:rPr>
        <w:t>Update of the Secretariat on the implementation of Resolution XIV.20</w:t>
      </w:r>
      <w:r w:rsidR="00476D81" w:rsidRPr="002C4026">
        <w:t>.</w:t>
      </w:r>
      <w:r w:rsidR="000E4D0B" w:rsidRPr="002C4026">
        <w:t xml:space="preserve"> </w:t>
      </w:r>
    </w:p>
    <w:p w14:paraId="35FDDB8E" w14:textId="77777777" w:rsidR="0064776F" w:rsidRPr="002C4026" w:rsidRDefault="0064776F" w:rsidP="00101185">
      <w:pPr>
        <w:spacing w:after="0" w:line="240" w:lineRule="auto"/>
        <w:ind w:left="425" w:hanging="425"/>
      </w:pPr>
    </w:p>
    <w:p w14:paraId="6F428B66" w14:textId="1FE7E603" w:rsidR="00A04559" w:rsidRDefault="00DD0128" w:rsidP="00101185">
      <w:pPr>
        <w:spacing w:after="0" w:line="240" w:lineRule="auto"/>
        <w:ind w:left="425" w:hanging="425"/>
      </w:pPr>
      <w:r w:rsidRPr="002C4026">
        <w:t>1</w:t>
      </w:r>
      <w:r w:rsidR="00C947EF" w:rsidRPr="002C4026">
        <w:t>1</w:t>
      </w:r>
      <w:r w:rsidRPr="002C4026">
        <w:t>.</w:t>
      </w:r>
      <w:r w:rsidRPr="002C4026">
        <w:tab/>
      </w:r>
      <w:r w:rsidR="005648F4" w:rsidRPr="002C4026">
        <w:t xml:space="preserve">The implementation phase from </w:t>
      </w:r>
      <w:r w:rsidR="00D61BCC" w:rsidRPr="002C4026">
        <w:t>March</w:t>
      </w:r>
      <w:r w:rsidR="005648F4" w:rsidRPr="002C4026">
        <w:t xml:space="preserve"> to </w:t>
      </w:r>
      <w:r w:rsidR="00D61BCC" w:rsidRPr="002C4026">
        <w:t>September</w:t>
      </w:r>
      <w:r w:rsidR="005648F4" w:rsidRPr="002C4026">
        <w:t xml:space="preserve"> 2024 include</w:t>
      </w:r>
      <w:r w:rsidR="00760DDF" w:rsidRPr="002C4026">
        <w:t>d</w:t>
      </w:r>
      <w:r w:rsidR="005648F4" w:rsidRPr="002C4026">
        <w:t xml:space="preserve"> a literature review</w:t>
      </w:r>
      <w:r w:rsidR="00E942E2" w:rsidRPr="002C4026">
        <w:t xml:space="preserve"> or desk study</w:t>
      </w:r>
      <w:r w:rsidR="007D53A1" w:rsidRPr="002C4026">
        <w:t xml:space="preserve">, a specific remote sensing analysis, </w:t>
      </w:r>
      <w:r w:rsidR="00A2010D" w:rsidRPr="002C4026">
        <w:t>and</w:t>
      </w:r>
      <w:r w:rsidR="007D53A1" w:rsidRPr="002C4026">
        <w:t xml:space="preserve"> ten days of </w:t>
      </w:r>
      <w:r w:rsidR="00A2010D" w:rsidRPr="002C4026">
        <w:t xml:space="preserve">in-situ assessments </w:t>
      </w:r>
      <w:r w:rsidR="007D53A1" w:rsidRPr="002C4026">
        <w:t>in Ukraine from 26 May to 5 June 2024</w:t>
      </w:r>
      <w:r w:rsidR="0068347C" w:rsidRPr="002C4026">
        <w:t>.</w:t>
      </w:r>
      <w:r w:rsidR="00ED21ED" w:rsidRPr="002C4026">
        <w:t xml:space="preserve"> Baseline information for each Wetland of International Importance in Ukraine was obtained from </w:t>
      </w:r>
      <w:r w:rsidR="00B815C5" w:rsidRPr="002C4026">
        <w:t xml:space="preserve">Ramsar Information Sheets </w:t>
      </w:r>
      <w:r w:rsidR="00A2010D" w:rsidRPr="002C4026">
        <w:t xml:space="preserve">in </w:t>
      </w:r>
      <w:r w:rsidR="00ED21ED" w:rsidRPr="002C4026">
        <w:t xml:space="preserve">the </w:t>
      </w:r>
      <w:r w:rsidR="00B815C5" w:rsidRPr="002C4026">
        <w:t>Ramsar Sites Information Service</w:t>
      </w:r>
      <w:r w:rsidR="00B815C5" w:rsidRPr="002C4026">
        <w:rPr>
          <w:rStyle w:val="FootnoteReference"/>
        </w:rPr>
        <w:footnoteReference w:id="5"/>
      </w:r>
      <w:r w:rsidR="00ED21ED" w:rsidRPr="002C4026">
        <w:t xml:space="preserve">. </w:t>
      </w:r>
      <w:r w:rsidR="005D45E4" w:rsidRPr="002C4026">
        <w:t xml:space="preserve">Due </w:t>
      </w:r>
      <w:r w:rsidR="00315589" w:rsidRPr="002C4026">
        <w:t xml:space="preserve">to security threats, no </w:t>
      </w:r>
      <w:r w:rsidR="00A2010D" w:rsidRPr="002C4026">
        <w:t xml:space="preserve">Sites </w:t>
      </w:r>
      <w:r w:rsidR="00315589" w:rsidRPr="002C4026">
        <w:t xml:space="preserve">located in occupied areas or in the vicinity of the frontline </w:t>
      </w:r>
      <w:r w:rsidR="007C02C4" w:rsidRPr="002C4026">
        <w:t>were</w:t>
      </w:r>
      <w:r w:rsidR="00315589" w:rsidRPr="002C4026">
        <w:t xml:space="preserve"> visited. </w:t>
      </w:r>
      <w:r w:rsidR="00A2010D" w:rsidRPr="002C4026">
        <w:t xml:space="preserve">During </w:t>
      </w:r>
      <w:r w:rsidR="00863136" w:rsidRPr="002C4026">
        <w:t>the mission, the Consultants visited six Wetlands of International Importance</w:t>
      </w:r>
      <w:r w:rsidR="00D62A95" w:rsidRPr="002C4026">
        <w:t xml:space="preserve">. </w:t>
      </w:r>
      <w:r w:rsidR="00863136" w:rsidRPr="002C4026">
        <w:t>During each site visit, a range of conflict-related</w:t>
      </w:r>
      <w:r w:rsidR="00863136" w:rsidRPr="00D84DE1">
        <w:t xml:space="preserve"> impacts were observed </w:t>
      </w:r>
      <w:r w:rsidR="00863136">
        <w:t xml:space="preserve">at </w:t>
      </w:r>
      <w:r w:rsidR="00863136" w:rsidRPr="00D84DE1">
        <w:t>first</w:t>
      </w:r>
      <w:r w:rsidR="00863136">
        <w:t xml:space="preserve"> </w:t>
      </w:r>
      <w:r w:rsidR="00863136" w:rsidRPr="00D84DE1">
        <w:t>hand</w:t>
      </w:r>
      <w:r w:rsidR="001F6CAC">
        <w:t xml:space="preserve">. </w:t>
      </w:r>
      <w:r w:rsidR="00B40268" w:rsidRPr="00D84DE1">
        <w:t>The</w:t>
      </w:r>
      <w:r w:rsidR="00B40268">
        <w:t xml:space="preserve"> </w:t>
      </w:r>
      <w:r w:rsidR="00055B2B">
        <w:t xml:space="preserve">Sites </w:t>
      </w:r>
      <w:r w:rsidR="00B40268">
        <w:t xml:space="preserve">that were visited also </w:t>
      </w:r>
      <w:r w:rsidR="00B40268" w:rsidRPr="00D84DE1">
        <w:t>serve as “</w:t>
      </w:r>
      <w:r w:rsidR="00B40268" w:rsidRPr="00935D8C">
        <w:t>proxy</w:t>
      </w:r>
      <w:r w:rsidR="00B40268">
        <w:t xml:space="preserve"> </w:t>
      </w:r>
      <w:r w:rsidR="00B40268" w:rsidRPr="00935D8C">
        <w:t>sites</w:t>
      </w:r>
      <w:r w:rsidR="00B40268" w:rsidRPr="00D84DE1">
        <w:t xml:space="preserve">” for </w:t>
      </w:r>
      <w:r w:rsidR="00055B2B">
        <w:t>S</w:t>
      </w:r>
      <w:r w:rsidR="00055B2B" w:rsidRPr="00D84DE1">
        <w:t xml:space="preserve">ites </w:t>
      </w:r>
      <w:r w:rsidR="00B40268" w:rsidRPr="00D84DE1">
        <w:t>which could not be visited</w:t>
      </w:r>
      <w:r w:rsidR="00863136" w:rsidRPr="00D84DE1">
        <w:t>.</w:t>
      </w:r>
      <w:r w:rsidR="00061CD5">
        <w:t xml:space="preserve"> </w:t>
      </w:r>
      <w:r w:rsidR="001F6CAC">
        <w:t>To</w:t>
      </w:r>
      <w:r w:rsidR="001B24DB">
        <w:t xml:space="preserve"> qualify the intensity of impacts on individual Wetlands of International Importance, the consultancy team </w:t>
      </w:r>
      <w:r w:rsidR="006E1813">
        <w:t xml:space="preserve">also </w:t>
      </w:r>
      <w:r w:rsidR="001B24DB">
        <w:t xml:space="preserve">collected qualitative data from Site managers through </w:t>
      </w:r>
      <w:r w:rsidR="00084FF2">
        <w:t xml:space="preserve">a </w:t>
      </w:r>
      <w:r w:rsidR="001B24DB">
        <w:t>workshop</w:t>
      </w:r>
      <w:r w:rsidR="00084FF2">
        <w:t xml:space="preserve"> in Kyiv on 31 May 2024</w:t>
      </w:r>
      <w:r w:rsidR="001B24DB">
        <w:t xml:space="preserve"> and surveys</w:t>
      </w:r>
      <w:r w:rsidR="00623FC8">
        <w:t>.</w:t>
      </w:r>
    </w:p>
    <w:p w14:paraId="462A983B" w14:textId="77777777" w:rsidR="004A058A" w:rsidRDefault="004A058A" w:rsidP="00101185">
      <w:pPr>
        <w:spacing w:after="0" w:line="240" w:lineRule="auto"/>
        <w:ind w:left="425" w:hanging="425"/>
      </w:pPr>
    </w:p>
    <w:p w14:paraId="39D17637" w14:textId="5328B9DB" w:rsidR="005648F4" w:rsidRDefault="00DD0128" w:rsidP="00101185">
      <w:pPr>
        <w:spacing w:after="0" w:line="240" w:lineRule="auto"/>
        <w:ind w:left="425" w:hanging="425"/>
      </w:pPr>
      <w:r>
        <w:t>1</w:t>
      </w:r>
      <w:r w:rsidR="00C947EF">
        <w:t>2</w:t>
      </w:r>
      <w:r>
        <w:t>.</w:t>
      </w:r>
      <w:r>
        <w:tab/>
      </w:r>
      <w:r w:rsidR="005648F4">
        <w:t>The conclusion and recommendation phase w</w:t>
      </w:r>
      <w:r>
        <w:t>as</w:t>
      </w:r>
      <w:r w:rsidR="005648F4">
        <w:t xml:space="preserve"> conducted from September </w:t>
      </w:r>
      <w:r>
        <w:t xml:space="preserve">2024 </w:t>
      </w:r>
      <w:r w:rsidR="005648F4">
        <w:t xml:space="preserve">to </w:t>
      </w:r>
      <w:r>
        <w:t>February</w:t>
      </w:r>
      <w:r w:rsidR="005648F4">
        <w:t xml:space="preserve"> 202</w:t>
      </w:r>
      <w:r>
        <w:t>5</w:t>
      </w:r>
      <w:r w:rsidR="005648F4">
        <w:t>.</w:t>
      </w:r>
      <w:r w:rsidR="00E713E2">
        <w:t xml:space="preserve"> This phase included the writing of the final assessment report, </w:t>
      </w:r>
      <w:r w:rsidR="009B17A9">
        <w:t xml:space="preserve">as well as </w:t>
      </w:r>
      <w:r w:rsidR="00FB6577">
        <w:t>feedback</w:t>
      </w:r>
      <w:r w:rsidR="009B17A9">
        <w:t xml:space="preserve"> </w:t>
      </w:r>
      <w:r w:rsidR="00F63974">
        <w:t xml:space="preserve">from </w:t>
      </w:r>
      <w:r w:rsidR="009B17A9">
        <w:t>and exchanges</w:t>
      </w:r>
      <w:r w:rsidR="00FB6577">
        <w:t xml:space="preserve"> </w:t>
      </w:r>
      <w:r w:rsidR="00F63974">
        <w:t>with</w:t>
      </w:r>
      <w:r w:rsidR="00FB6577">
        <w:t xml:space="preserve"> the advisory board and</w:t>
      </w:r>
      <w:r w:rsidR="00F63974">
        <w:t xml:space="preserve"> the</w:t>
      </w:r>
      <w:r w:rsidR="00FB6577">
        <w:t xml:space="preserve"> Secretariat on the report.</w:t>
      </w:r>
      <w:r w:rsidR="00203AB5">
        <w:t xml:space="preserve"> Final formatting of the report was conducted</w:t>
      </w:r>
      <w:r w:rsidR="00F63974">
        <w:t xml:space="preserve"> in April 2025</w:t>
      </w:r>
      <w:r w:rsidR="00203AB5">
        <w:t xml:space="preserve"> by a </w:t>
      </w:r>
      <w:r w:rsidR="00401B85">
        <w:t>graphic designer</w:t>
      </w:r>
      <w:r w:rsidR="009B17A9">
        <w:t>.</w:t>
      </w:r>
    </w:p>
    <w:p w14:paraId="25B00516" w14:textId="77777777" w:rsidR="0052103B" w:rsidRDefault="0052103B" w:rsidP="00101185">
      <w:pPr>
        <w:spacing w:after="0" w:line="240" w:lineRule="auto"/>
        <w:ind w:left="425" w:hanging="425"/>
      </w:pPr>
    </w:p>
    <w:p w14:paraId="238BF0BA" w14:textId="25B76E50" w:rsidR="005648F4" w:rsidRDefault="005648F4" w:rsidP="00101185">
      <w:pPr>
        <w:spacing w:after="0" w:line="240" w:lineRule="auto"/>
        <w:ind w:left="425" w:hanging="425"/>
      </w:pPr>
      <w:r>
        <w:t>1</w:t>
      </w:r>
      <w:r w:rsidR="00C947EF">
        <w:t>3</w:t>
      </w:r>
      <w:r>
        <w:t>.</w:t>
      </w:r>
      <w:r>
        <w:tab/>
        <w:t xml:space="preserve">Pursuant to paragraph 19 of Resolution XIV.20, the United Kingdom of Great Britain and Northern Ireland and the United States of America provided voluntary contributions towards the Secretariat’s work in implementing the actions requested in Resolution XIV.20. </w:t>
      </w:r>
    </w:p>
    <w:p w14:paraId="0167C3AF" w14:textId="40DD0479" w:rsidR="00DE6566" w:rsidRDefault="00DE6566" w:rsidP="00575F2E">
      <w:pPr>
        <w:spacing w:after="0" w:line="240" w:lineRule="auto"/>
        <w:rPr>
          <w:b/>
          <w:bCs/>
        </w:rPr>
      </w:pPr>
    </w:p>
    <w:p w14:paraId="7A691A54" w14:textId="19FD2CC1" w:rsidR="005648F4" w:rsidRPr="00613948" w:rsidRDefault="000776FC" w:rsidP="00101185">
      <w:pPr>
        <w:keepNext/>
        <w:spacing w:after="0" w:line="240" w:lineRule="auto"/>
        <w:rPr>
          <w:i/>
          <w:iCs/>
        </w:rPr>
      </w:pPr>
      <w:r>
        <w:rPr>
          <w:i/>
          <w:iCs/>
        </w:rPr>
        <w:t>F</w:t>
      </w:r>
      <w:r w:rsidR="00170095" w:rsidRPr="00613948">
        <w:rPr>
          <w:i/>
          <w:iCs/>
        </w:rPr>
        <w:t>indings</w:t>
      </w:r>
      <w:r w:rsidR="00E3158D" w:rsidRPr="00613948">
        <w:rPr>
          <w:i/>
          <w:iCs/>
        </w:rPr>
        <w:t xml:space="preserve"> </w:t>
      </w:r>
    </w:p>
    <w:p w14:paraId="2D23FD7B" w14:textId="77777777" w:rsidR="005648F4" w:rsidRDefault="005648F4" w:rsidP="00101185">
      <w:pPr>
        <w:keepNext/>
        <w:spacing w:after="0" w:line="240" w:lineRule="auto"/>
      </w:pPr>
    </w:p>
    <w:p w14:paraId="58C01FFD" w14:textId="1D94AA61" w:rsidR="00EB313D" w:rsidRDefault="005648F4" w:rsidP="00101185">
      <w:pPr>
        <w:spacing w:after="0" w:line="240" w:lineRule="auto"/>
        <w:ind w:left="425" w:hanging="425"/>
      </w:pPr>
      <w:r>
        <w:t>1</w:t>
      </w:r>
      <w:r w:rsidR="00C947EF">
        <w:t>4</w:t>
      </w:r>
      <w:r>
        <w:t>.</w:t>
      </w:r>
      <w:r w:rsidR="00900DD9">
        <w:tab/>
      </w:r>
      <w:r w:rsidR="00B17267">
        <w:t xml:space="preserve">The </w:t>
      </w:r>
      <w:r w:rsidR="00D746B0">
        <w:t>assessment</w:t>
      </w:r>
      <w:r w:rsidR="00FC7FD6">
        <w:t xml:space="preserve"> </w:t>
      </w:r>
      <w:r w:rsidR="00B17267">
        <w:t>collect</w:t>
      </w:r>
      <w:r w:rsidR="006C14B2">
        <w:t>ed</w:t>
      </w:r>
      <w:r w:rsidR="00B17267">
        <w:t xml:space="preserve"> </w:t>
      </w:r>
      <w:r w:rsidR="00E84B71">
        <w:t>existing</w:t>
      </w:r>
      <w:r w:rsidR="00B17267">
        <w:t xml:space="preserve"> academic studies that provide</w:t>
      </w:r>
      <w:r w:rsidR="00616C9A">
        <w:t xml:space="preserve"> </w:t>
      </w:r>
      <w:r w:rsidR="00892370">
        <w:t>quantitative estimations of impacts on various parts of the environment in Ukraine due to the war.</w:t>
      </w:r>
      <w:r w:rsidR="00C055ED">
        <w:t xml:space="preserve"> The main impacts that are assessed in these studies are </w:t>
      </w:r>
      <w:r w:rsidR="00C7537A">
        <w:t xml:space="preserve">linked to </w:t>
      </w:r>
      <w:r w:rsidR="00C055ED">
        <w:t>contamination by landmines, unexpl</w:t>
      </w:r>
      <w:r w:rsidR="00877B9F">
        <w:t>oded ordnance (UXOs), wildfires, deforestation and pollution</w:t>
      </w:r>
      <w:r w:rsidR="006B2284">
        <w:t xml:space="preserve"> </w:t>
      </w:r>
      <w:r w:rsidR="00EF3346">
        <w:t>from</w:t>
      </w:r>
      <w:r w:rsidR="006B2284">
        <w:t xml:space="preserve"> hazardous substances</w:t>
      </w:r>
      <w:r w:rsidR="00877B9F">
        <w:t xml:space="preserve">. </w:t>
      </w:r>
      <w:r w:rsidR="0006335D">
        <w:t>Soil sampl</w:t>
      </w:r>
      <w:r w:rsidR="00322BE6">
        <w:t>ing</w:t>
      </w:r>
      <w:r w:rsidR="0006335D">
        <w:t xml:space="preserve"> ha</w:t>
      </w:r>
      <w:r w:rsidR="00322BE6">
        <w:t>s</w:t>
      </w:r>
      <w:r w:rsidR="0006335D">
        <w:t xml:space="preserve"> proven how ground battles, occupation, terrestrial land mines and explosions can severely impact the so</w:t>
      </w:r>
      <w:r w:rsidR="00042E32">
        <w:t>i</w:t>
      </w:r>
      <w:r w:rsidR="0006335D">
        <w:t>ls.</w:t>
      </w:r>
      <w:r w:rsidR="00061F69">
        <w:t xml:space="preserve"> </w:t>
      </w:r>
      <w:r w:rsidR="00635A4A">
        <w:t>Studies</w:t>
      </w:r>
      <w:r w:rsidR="00C44E32">
        <w:t xml:space="preserve"> </w:t>
      </w:r>
      <w:r w:rsidR="008D1012">
        <w:t xml:space="preserve">also </w:t>
      </w:r>
      <w:r w:rsidR="00C44E32">
        <w:t>reported that a</w:t>
      </w:r>
      <w:r w:rsidR="00061F69">
        <w:t xml:space="preserve">ir quality </w:t>
      </w:r>
      <w:r w:rsidR="00FD3B2B">
        <w:t xml:space="preserve">was </w:t>
      </w:r>
      <w:r w:rsidR="00061F69">
        <w:t>affecte</w:t>
      </w:r>
      <w:r w:rsidR="008A2F90">
        <w:t>d</w:t>
      </w:r>
      <w:r w:rsidR="00061F69">
        <w:t xml:space="preserve"> further to the burning of fuel storage facilities.</w:t>
      </w:r>
      <w:r w:rsidR="0006335D">
        <w:t xml:space="preserve"> </w:t>
      </w:r>
      <w:r w:rsidR="00F86AC4">
        <w:t xml:space="preserve">Due to prolonged war, the development of </w:t>
      </w:r>
      <w:r w:rsidR="00881E15">
        <w:t xml:space="preserve">opportunistic </w:t>
      </w:r>
      <w:r w:rsidR="00F86AC4">
        <w:t xml:space="preserve">fauna and/or alien species </w:t>
      </w:r>
      <w:r w:rsidR="00FD3B2B">
        <w:t xml:space="preserve">can be </w:t>
      </w:r>
      <w:r w:rsidR="00F86AC4">
        <w:t xml:space="preserve">observed. </w:t>
      </w:r>
      <w:r w:rsidR="00DF6DC8">
        <w:t xml:space="preserve">Several </w:t>
      </w:r>
      <w:r w:rsidR="00047CA0">
        <w:t xml:space="preserve">academic and grey literature </w:t>
      </w:r>
      <w:r w:rsidR="00DF6DC8">
        <w:t xml:space="preserve">reports </w:t>
      </w:r>
      <w:r w:rsidR="000F2531">
        <w:t xml:space="preserve">also </w:t>
      </w:r>
      <w:r w:rsidR="00DF6DC8">
        <w:t xml:space="preserve">discuss the destruction of infrastructure, such as reservoirs, sewage treatment plants </w:t>
      </w:r>
      <w:r w:rsidR="00FD3B2B">
        <w:t xml:space="preserve">and </w:t>
      </w:r>
      <w:r w:rsidR="00DF6DC8">
        <w:t>water pumping-</w:t>
      </w:r>
      <w:r w:rsidR="00DF6DC8">
        <w:lastRenderedPageBreak/>
        <w:t>stations</w:t>
      </w:r>
      <w:r w:rsidR="00033245">
        <w:t>.</w:t>
      </w:r>
      <w:r w:rsidR="00BF6F32">
        <w:t xml:space="preserve"> </w:t>
      </w:r>
      <w:r w:rsidR="000D510F">
        <w:t>The destruction of facilities on land affect</w:t>
      </w:r>
      <w:r w:rsidR="005451AE">
        <w:t>s</w:t>
      </w:r>
      <w:r w:rsidR="000D510F">
        <w:t xml:space="preserve"> coastal and marine areas via the release of organic and toxic matters in the rivers that drain Ukraine and join </w:t>
      </w:r>
      <w:r w:rsidR="00FD3B2B">
        <w:t xml:space="preserve">the </w:t>
      </w:r>
      <w:r w:rsidR="000D510F">
        <w:t xml:space="preserve">Azov Sea and </w:t>
      </w:r>
      <w:r w:rsidR="00FD3B2B">
        <w:t xml:space="preserve">the </w:t>
      </w:r>
      <w:r w:rsidR="000D510F">
        <w:t>Black Sea.</w:t>
      </w:r>
      <w:r w:rsidR="005451AE">
        <w:t xml:space="preserve"> </w:t>
      </w:r>
      <w:r w:rsidR="00075CB0">
        <w:t xml:space="preserve">A </w:t>
      </w:r>
      <w:r w:rsidR="009653F6">
        <w:t xml:space="preserve">2023 </w:t>
      </w:r>
      <w:r w:rsidR="00075CB0">
        <w:t>paper analyses in particular 21 national parks and national biosphere reserves</w:t>
      </w:r>
      <w:r w:rsidR="00317F4F">
        <w:t xml:space="preserve"> </w:t>
      </w:r>
      <w:r w:rsidR="005566F8">
        <w:t xml:space="preserve">– half of them overlapping with </w:t>
      </w:r>
      <w:r w:rsidR="00317F4F">
        <w:t>Wetlands of International Importance</w:t>
      </w:r>
      <w:r w:rsidR="00E27FF2">
        <w:t>. Explosive munitions and active hostilities</w:t>
      </w:r>
      <w:r w:rsidR="00582F9D">
        <w:t xml:space="preserve">, </w:t>
      </w:r>
      <w:r w:rsidR="00805908">
        <w:t xml:space="preserve">and </w:t>
      </w:r>
      <w:r w:rsidR="00582F9D">
        <w:t>pollution from explosives</w:t>
      </w:r>
      <w:r w:rsidR="00E27FF2">
        <w:t xml:space="preserve"> were the most frequent source of impact</w:t>
      </w:r>
      <w:r w:rsidR="00582F9D">
        <w:t xml:space="preserve"> (respectively 18 out of 21, and 15 out of 21)</w:t>
      </w:r>
      <w:r w:rsidR="00E27FF2">
        <w:t xml:space="preserve">, while </w:t>
      </w:r>
      <w:r w:rsidR="00582F9D">
        <w:t>pollution from chemicals affected 4</w:t>
      </w:r>
      <w:r w:rsidR="003B2A00">
        <w:t xml:space="preserve"> protected areas</w:t>
      </w:r>
      <w:r w:rsidR="00582F9D">
        <w:t xml:space="preserve"> out of 21</w:t>
      </w:r>
      <w:r w:rsidR="003B2A00">
        <w:rPr>
          <w:rStyle w:val="FootnoteReference"/>
        </w:rPr>
        <w:footnoteReference w:id="6"/>
      </w:r>
      <w:r w:rsidR="00582F9D">
        <w:t>.</w:t>
      </w:r>
      <w:r w:rsidR="00B10962">
        <w:t xml:space="preserve"> </w:t>
      </w:r>
    </w:p>
    <w:p w14:paraId="0DE31CC1" w14:textId="77777777" w:rsidR="002F3AEC" w:rsidRDefault="002F3AEC" w:rsidP="00101185">
      <w:pPr>
        <w:spacing w:after="0" w:line="240" w:lineRule="auto"/>
        <w:ind w:left="425" w:hanging="425"/>
      </w:pPr>
    </w:p>
    <w:p w14:paraId="54256D3F" w14:textId="6C2703A0" w:rsidR="005E1A87" w:rsidRPr="00250E08" w:rsidRDefault="00C52D66" w:rsidP="00101185">
      <w:pPr>
        <w:spacing w:after="0" w:line="240" w:lineRule="auto"/>
        <w:ind w:left="425" w:hanging="425"/>
      </w:pPr>
      <w:r>
        <w:t>1</w:t>
      </w:r>
      <w:r w:rsidR="00C947EF">
        <w:t>5</w:t>
      </w:r>
      <w:r>
        <w:t>.</w:t>
      </w:r>
      <w:r>
        <w:tab/>
      </w:r>
      <w:r w:rsidR="00161FAF">
        <w:t xml:space="preserve">Out of 50 </w:t>
      </w:r>
      <w:r w:rsidR="00CD1249">
        <w:t xml:space="preserve">Wetlands of International Importance, 48 have been </w:t>
      </w:r>
      <w:r w:rsidR="00D067F6">
        <w:t xml:space="preserve">directly </w:t>
      </w:r>
      <w:r w:rsidR="002F3AEC">
        <w:t>or</w:t>
      </w:r>
      <w:r w:rsidR="00D067F6">
        <w:t xml:space="preserve"> indirectly </w:t>
      </w:r>
      <w:r w:rsidR="00CD1249">
        <w:t>impacted by the war</w:t>
      </w:r>
      <w:r w:rsidR="00E82726">
        <w:t xml:space="preserve"> (see Table 1 below)</w:t>
      </w:r>
      <w:r w:rsidR="00CD1249">
        <w:t xml:space="preserve">. </w:t>
      </w:r>
      <w:r>
        <w:t xml:space="preserve">The assessment found that 31 Wetlands of International Importance have been directly impacted by the war, with four of them experiencing a major change in ecological character, i.e. with significant impacts on all </w:t>
      </w:r>
      <w:r w:rsidR="00DC7F60">
        <w:t>dimension</w:t>
      </w:r>
      <w:r>
        <w:t>s of the ecological character of the Site (</w:t>
      </w:r>
      <w:r w:rsidR="00DC7F60">
        <w:t>ecological components, processes and benefits/services</w:t>
      </w:r>
      <w:r>
        <w:t>).</w:t>
      </w:r>
      <w:r w:rsidR="00E82726">
        <w:t xml:space="preserve"> D</w:t>
      </w:r>
      <w:r w:rsidR="008E4290" w:rsidRPr="008E4290">
        <w:t xml:space="preserve">ramatic </w:t>
      </w:r>
      <w:r w:rsidR="00DA3F25">
        <w:t>changes of ecosystem conditions</w:t>
      </w:r>
      <w:r w:rsidR="00E26C60">
        <w:t xml:space="preserve"> (drying up of land as well as</w:t>
      </w:r>
      <w:r w:rsidR="00E65E9F">
        <w:t xml:space="preserve"> new</w:t>
      </w:r>
      <w:r w:rsidR="00E26C60">
        <w:t xml:space="preserve"> inundated areas)</w:t>
      </w:r>
      <w:r w:rsidR="00DA3F25">
        <w:t xml:space="preserve"> </w:t>
      </w:r>
      <w:r w:rsidR="008E4290" w:rsidRPr="008E4290">
        <w:t xml:space="preserve">further to the Kakhovka dam breach, both upstream and </w:t>
      </w:r>
      <w:r w:rsidR="008E4290" w:rsidRPr="00912703">
        <w:t>downstream of</w:t>
      </w:r>
      <w:r w:rsidR="008E4290" w:rsidRPr="008E4290">
        <w:t xml:space="preserve"> the dam, was clearly visible from satellite photos of the region that encompasses</w:t>
      </w:r>
      <w:r w:rsidR="00D7229F">
        <w:t xml:space="preserve"> four</w:t>
      </w:r>
      <w:r w:rsidR="008E4290" w:rsidRPr="008E4290">
        <w:t xml:space="preserve"> </w:t>
      </w:r>
      <w:r w:rsidR="008E4290" w:rsidRPr="00250E08">
        <w:t>Wetlands of International Importance</w:t>
      </w:r>
      <w:r w:rsidR="008E67DF" w:rsidRPr="00250E08">
        <w:t xml:space="preserve">, </w:t>
      </w:r>
      <w:r w:rsidR="005E1A87">
        <w:t>with</w:t>
      </w:r>
      <w:r w:rsidR="005E1A87" w:rsidRPr="00250E08">
        <w:t xml:space="preserve"> </w:t>
      </w:r>
      <w:r w:rsidR="008E67DF" w:rsidRPr="00250E08">
        <w:t>ecological</w:t>
      </w:r>
      <w:r w:rsidR="00F57AA5" w:rsidRPr="00250E08">
        <w:t xml:space="preserve"> functions</w:t>
      </w:r>
      <w:r w:rsidR="008E67DF" w:rsidRPr="00250E08">
        <w:t xml:space="preserve"> and services severely disrupted </w:t>
      </w:r>
      <w:r w:rsidR="008E4290" w:rsidRPr="00250E08">
        <w:t>(Sites 2273 and 2282</w:t>
      </w:r>
      <w:r w:rsidR="006509BC" w:rsidRPr="00250E08">
        <w:t xml:space="preserve">, see Figure 16 in </w:t>
      </w:r>
      <w:r w:rsidR="00252A40">
        <w:t xml:space="preserve">information document </w:t>
      </w:r>
      <w:r w:rsidR="006509BC" w:rsidRPr="00250E08">
        <w:t>COP15 Inf.2</w:t>
      </w:r>
      <w:r w:rsidR="00D7229F">
        <w:t xml:space="preserve">, also </w:t>
      </w:r>
      <w:r w:rsidR="00BF552C">
        <w:t xml:space="preserve">Sites </w:t>
      </w:r>
      <w:r w:rsidR="00805908">
        <w:t xml:space="preserve">770 </w:t>
      </w:r>
      <w:r w:rsidR="00D7229F">
        <w:t>and 767</w:t>
      </w:r>
      <w:r w:rsidR="008E4290" w:rsidRPr="00250E08">
        <w:t>).</w:t>
      </w:r>
      <w:r w:rsidR="00E82364">
        <w:t xml:space="preserve"> </w:t>
      </w:r>
      <w:r w:rsidR="00BF552C">
        <w:t xml:space="preserve">The </w:t>
      </w:r>
      <w:r w:rsidR="00E82364">
        <w:t>Dnipro River Delta</w:t>
      </w:r>
      <w:r w:rsidR="00BF552C">
        <w:t xml:space="preserve"> (</w:t>
      </w:r>
      <w:r w:rsidR="005E1A87">
        <w:t>Site</w:t>
      </w:r>
      <w:r w:rsidR="00BF552C">
        <w:t xml:space="preserve"> 767)</w:t>
      </w:r>
      <w:r w:rsidR="00565681">
        <w:t xml:space="preserve"> has </w:t>
      </w:r>
      <w:r w:rsidR="00690915">
        <w:t xml:space="preserve">also </w:t>
      </w:r>
      <w:r w:rsidR="00565681">
        <w:t>been on the frontline and under</w:t>
      </w:r>
      <w:r w:rsidR="00981263">
        <w:t xml:space="preserve"> repeated</w:t>
      </w:r>
      <w:r w:rsidR="00565681">
        <w:t xml:space="preserve"> shelling that has destroyed vegetation</w:t>
      </w:r>
      <w:r w:rsidR="00690915">
        <w:t xml:space="preserve"> and</w:t>
      </w:r>
      <w:r w:rsidR="00565681">
        <w:t xml:space="preserve"> caused fires on the area</w:t>
      </w:r>
      <w:r w:rsidR="00223495">
        <w:t xml:space="preserve">. </w:t>
      </w:r>
      <w:r w:rsidR="00C44422">
        <w:t>The coastal areas have been mined.</w:t>
      </w:r>
    </w:p>
    <w:p w14:paraId="68E6EDB6" w14:textId="77777777" w:rsidR="005E1A87" w:rsidRDefault="005E1A87" w:rsidP="005E1A87">
      <w:pPr>
        <w:spacing w:after="0" w:line="240" w:lineRule="auto"/>
        <w:ind w:left="425"/>
      </w:pPr>
    </w:p>
    <w:p w14:paraId="07BCEEEF" w14:textId="05E43807" w:rsidR="00C52D66" w:rsidRPr="00250E08" w:rsidRDefault="00055B2B" w:rsidP="00A76B84">
      <w:pPr>
        <w:spacing w:after="0" w:line="240" w:lineRule="auto"/>
        <w:ind w:left="425" w:hanging="425"/>
      </w:pPr>
      <w:r>
        <w:t>16.</w:t>
      </w:r>
      <w:r>
        <w:tab/>
      </w:r>
      <w:r w:rsidR="00C52D66" w:rsidRPr="00250E08">
        <w:t xml:space="preserve">For the 27 Sites that are experiencing a ‘moderate change of the ecological character’, a relatively strong impact on either ecological components, processes or services was noted in relation to military actions, defensive actions, or change in the hydrological regime. </w:t>
      </w:r>
      <w:r w:rsidR="00FC6EBC" w:rsidRPr="00250E08">
        <w:t xml:space="preserve">Five types of impacts </w:t>
      </w:r>
      <w:r w:rsidR="005E1A87">
        <w:t xml:space="preserve">which </w:t>
      </w:r>
      <w:r w:rsidR="00FC6EBC" w:rsidRPr="00250E08">
        <w:t xml:space="preserve">are fire, flood, water regime, water quality and military infrastructure could be investigated using Earth </w:t>
      </w:r>
      <w:r w:rsidR="005E1A87">
        <w:t>observation</w:t>
      </w:r>
      <w:r w:rsidR="005E1A87" w:rsidRPr="00250E08">
        <w:t xml:space="preserve"> </w:t>
      </w:r>
      <w:r w:rsidR="00FC6EBC" w:rsidRPr="00250E08">
        <w:t xml:space="preserve">based on open-source datasets and analyses. For 13 out of the 50 Ukrainian Wetlands of International Importance, the relevant impacts were confirmed with a high confidence with Earth </w:t>
      </w:r>
      <w:r w:rsidR="005E1A87">
        <w:t>observation</w:t>
      </w:r>
      <w:r w:rsidR="005E1A87" w:rsidRPr="00250E08">
        <w:t xml:space="preserve"> </w:t>
      </w:r>
      <w:r w:rsidR="00FC6EBC" w:rsidRPr="00250E08">
        <w:t>data.</w:t>
      </w:r>
      <w:r w:rsidR="006C06B8" w:rsidRPr="00250E08">
        <w:t xml:space="preserve"> </w:t>
      </w:r>
      <w:r w:rsidR="00C702DE" w:rsidRPr="00250E08">
        <w:t xml:space="preserve">The Earth Observation </w:t>
      </w:r>
      <w:r w:rsidR="00A74B4F" w:rsidRPr="00250E08">
        <w:t>study</w:t>
      </w:r>
      <w:r w:rsidR="008B662A" w:rsidRPr="00250E08">
        <w:t xml:space="preserve"> showed for instance</w:t>
      </w:r>
      <w:r w:rsidR="00C702DE" w:rsidRPr="00250E08">
        <w:t xml:space="preserve"> that military infrastructure such as trenches, roads or training grounds have been built in the immediate vicinity of </w:t>
      </w:r>
      <w:r w:rsidR="00205E3B" w:rsidRPr="00250E08">
        <w:t>some</w:t>
      </w:r>
      <w:r w:rsidR="00C702DE" w:rsidRPr="00250E08">
        <w:t xml:space="preserve"> Wetlands of International Importance.</w:t>
      </w:r>
      <w:r w:rsidR="00A74B4F" w:rsidRPr="00250E08">
        <w:t xml:space="preserve"> </w:t>
      </w:r>
    </w:p>
    <w:p w14:paraId="6383BE2B" w14:textId="77777777" w:rsidR="005E1A87" w:rsidRDefault="005E1A87" w:rsidP="00A76B84">
      <w:pPr>
        <w:spacing w:after="0" w:line="240" w:lineRule="auto"/>
        <w:ind w:left="425" w:hanging="425"/>
      </w:pPr>
    </w:p>
    <w:p w14:paraId="6EE9B62A" w14:textId="60A6B762" w:rsidR="00C947EF" w:rsidRDefault="00055B2B" w:rsidP="009E0CAD">
      <w:pPr>
        <w:spacing w:after="0" w:line="240" w:lineRule="auto"/>
        <w:ind w:left="426" w:hanging="426"/>
      </w:pPr>
      <w:r>
        <w:t>17.</w:t>
      </w:r>
      <w:r>
        <w:tab/>
      </w:r>
      <w:r w:rsidR="000F6EDB" w:rsidRPr="00250E08">
        <w:t>Descriptions of the impacts for the 31 directly impacted Sites with major and moderate changes of their ecological character, are available in the full assessment report.</w:t>
      </w:r>
    </w:p>
    <w:p w14:paraId="67483E73" w14:textId="77777777" w:rsidR="00C947EF" w:rsidRPr="00250E08" w:rsidRDefault="00C947EF" w:rsidP="00101185">
      <w:pPr>
        <w:spacing w:after="0" w:line="240" w:lineRule="auto"/>
        <w:ind w:left="425" w:hanging="425"/>
      </w:pPr>
    </w:p>
    <w:p w14:paraId="65D90FC3" w14:textId="774DB570" w:rsidR="00C327F9" w:rsidRDefault="00055B2B" w:rsidP="00101185">
      <w:pPr>
        <w:spacing w:after="0" w:line="240" w:lineRule="auto"/>
        <w:ind w:left="425" w:hanging="425"/>
      </w:pPr>
      <w:r>
        <w:t>18</w:t>
      </w:r>
      <w:r w:rsidR="002F163A" w:rsidRPr="00250E08">
        <w:t>.</w:t>
      </w:r>
      <w:r w:rsidR="002F163A" w:rsidRPr="00250E08">
        <w:tab/>
      </w:r>
      <w:r w:rsidR="00DA70FE" w:rsidRPr="00250E08">
        <w:t xml:space="preserve">The intensity of different types of impacts on ecosystems within Wetlands of International Importance, including indirect ones, was ranked: destruction and physical damage; pollution of water, air, soil; disturbance; management disruption; </w:t>
      </w:r>
      <w:r w:rsidR="00252A40">
        <w:t xml:space="preserve">and </w:t>
      </w:r>
      <w:r w:rsidR="00DA70FE" w:rsidRPr="00250E08">
        <w:t xml:space="preserve">budget reduction. Some Sites were simultaneously affected by multiple types of impact, resulting in a greater negative change in ecological character. </w:t>
      </w:r>
      <w:r w:rsidR="00C327F9" w:rsidRPr="00250E08">
        <w:t>The analysis showed that 17 Sites were affected by indirect impacts on their ecological character, such a</w:t>
      </w:r>
      <w:r w:rsidR="00C327F9">
        <w:t xml:space="preserve">s reduction in management capacity and funding, and in some instances, reduced equipment and reduced access to some ecosystem services. Only two Sites out of 50 were found to have experienced no impacts and no changes to their ecological character </w:t>
      </w:r>
      <w:r w:rsidR="00C327F9" w:rsidRPr="007F24FC">
        <w:t>(see</w:t>
      </w:r>
      <w:r w:rsidR="00C327F9">
        <w:t xml:space="preserve"> </w:t>
      </w:r>
      <w:r w:rsidR="00C327F9" w:rsidRPr="007F24FC">
        <w:t>Section 4.5.2</w:t>
      </w:r>
      <w:r w:rsidR="00252A40">
        <w:t xml:space="preserve"> of the assessment report</w:t>
      </w:r>
      <w:r w:rsidR="00C327F9" w:rsidRPr="007F24FC">
        <w:t>, Figure 24, which presents change in ecological character for each of the 50 Sites)</w:t>
      </w:r>
      <w:r w:rsidR="00C327F9">
        <w:t xml:space="preserve">.  </w:t>
      </w:r>
    </w:p>
    <w:p w14:paraId="7053D7C6" w14:textId="77777777" w:rsidR="00101185" w:rsidRDefault="00101185" w:rsidP="00101185">
      <w:pPr>
        <w:spacing w:after="0" w:line="240" w:lineRule="auto"/>
        <w:ind w:left="425" w:hanging="425"/>
      </w:pPr>
    </w:p>
    <w:p w14:paraId="4395D28E" w14:textId="77777777" w:rsidR="00101185" w:rsidRPr="00101185" w:rsidRDefault="00101185" w:rsidP="00101185">
      <w:pPr>
        <w:pStyle w:val="Caption"/>
        <w:keepNext/>
        <w:spacing w:after="0"/>
        <w:jc w:val="left"/>
        <w:rPr>
          <w:color w:val="auto"/>
          <w:sz w:val="22"/>
          <w:szCs w:val="22"/>
        </w:rPr>
      </w:pPr>
      <w:bookmarkStart w:id="0" w:name="_Toc188345395"/>
      <w:r w:rsidRPr="00101185">
        <w:rPr>
          <w:color w:val="auto"/>
          <w:sz w:val="22"/>
          <w:szCs w:val="22"/>
        </w:rPr>
        <w:t>Table 1: Ecological character change in the 50 Wetlands of International Importance</w:t>
      </w:r>
      <w:bookmarkEnd w:id="0"/>
      <w:r w:rsidRPr="00101185">
        <w:rPr>
          <w:color w:val="auto"/>
          <w:sz w:val="22"/>
          <w:szCs w:val="22"/>
        </w:rPr>
        <w:t xml:space="preserve"> in Ukraine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9"/>
        <w:gridCol w:w="1134"/>
        <w:gridCol w:w="2552"/>
        <w:gridCol w:w="3260"/>
        <w:gridCol w:w="1134"/>
      </w:tblGrid>
      <w:tr w:rsidR="00613948" w:rsidRPr="00302FD5" w14:paraId="1C31EC94" w14:textId="77777777" w:rsidTr="00101185">
        <w:trPr>
          <w:trHeight w:val="527"/>
        </w:trPr>
        <w:tc>
          <w:tcPr>
            <w:tcW w:w="1129" w:type="dxa"/>
            <w:shd w:val="clear" w:color="auto" w:fill="E7E6E6" w:themeFill="background2"/>
            <w:tcMar>
              <w:top w:w="0" w:type="dxa"/>
              <w:left w:w="100" w:type="dxa"/>
              <w:bottom w:w="0" w:type="dxa"/>
              <w:right w:w="100" w:type="dxa"/>
            </w:tcMar>
            <w:vAlign w:val="center"/>
          </w:tcPr>
          <w:p w14:paraId="5F0B7E1A" w14:textId="77777777" w:rsidR="00F66442" w:rsidRPr="00302FD5" w:rsidRDefault="00F66442" w:rsidP="00101185">
            <w:pPr>
              <w:keepNext/>
              <w:keepLines/>
              <w:widowControl w:val="0"/>
              <w:spacing w:after="0" w:line="240" w:lineRule="auto"/>
              <w:jc w:val="center"/>
              <w:rPr>
                <w:b/>
                <w:color w:val="252525"/>
              </w:rPr>
            </w:pPr>
            <w:r w:rsidRPr="00302FD5">
              <w:rPr>
                <w:b/>
                <w:color w:val="252525"/>
              </w:rPr>
              <w:t>Nature of</w:t>
            </w:r>
          </w:p>
          <w:p w14:paraId="56F18D4D" w14:textId="004BFB28" w:rsidR="00F66442" w:rsidRPr="00302FD5" w:rsidRDefault="00F66442" w:rsidP="00101185">
            <w:pPr>
              <w:keepNext/>
              <w:keepLines/>
              <w:widowControl w:val="0"/>
              <w:spacing w:after="0" w:line="240" w:lineRule="auto"/>
              <w:jc w:val="center"/>
              <w:rPr>
                <w:b/>
                <w:color w:val="252525"/>
              </w:rPr>
            </w:pPr>
            <w:r w:rsidRPr="00302FD5">
              <w:rPr>
                <w:b/>
                <w:color w:val="252525"/>
              </w:rPr>
              <w:t>impact</w:t>
            </w:r>
          </w:p>
        </w:tc>
        <w:tc>
          <w:tcPr>
            <w:tcW w:w="1134" w:type="dxa"/>
            <w:shd w:val="clear" w:color="auto" w:fill="E7E6E6" w:themeFill="background2"/>
            <w:vAlign w:val="center"/>
          </w:tcPr>
          <w:p w14:paraId="5EC25A7D" w14:textId="05AD8F8F" w:rsidR="00F66442" w:rsidRPr="00302FD5" w:rsidRDefault="00F66442" w:rsidP="00101185">
            <w:pPr>
              <w:keepNext/>
              <w:keepLines/>
              <w:widowControl w:val="0"/>
              <w:spacing w:after="0" w:line="240" w:lineRule="auto"/>
              <w:jc w:val="center"/>
              <w:rPr>
                <w:b/>
                <w:color w:val="252525"/>
              </w:rPr>
            </w:pPr>
            <w:r w:rsidRPr="00302FD5">
              <w:rPr>
                <w:b/>
                <w:color w:val="252525"/>
              </w:rPr>
              <w:t>Change in ecological character</w:t>
            </w:r>
          </w:p>
        </w:tc>
        <w:tc>
          <w:tcPr>
            <w:tcW w:w="2552" w:type="dxa"/>
            <w:shd w:val="clear" w:color="auto" w:fill="E7E6E6" w:themeFill="background2"/>
            <w:vAlign w:val="center"/>
          </w:tcPr>
          <w:p w14:paraId="12539B76" w14:textId="1626B092" w:rsidR="00F66442" w:rsidRPr="00302FD5" w:rsidRDefault="00F66442" w:rsidP="00101185">
            <w:pPr>
              <w:keepNext/>
              <w:keepLines/>
              <w:widowControl w:val="0"/>
              <w:spacing w:after="0" w:line="240" w:lineRule="auto"/>
              <w:jc w:val="center"/>
              <w:rPr>
                <w:b/>
                <w:color w:val="252525"/>
              </w:rPr>
            </w:pPr>
            <w:r w:rsidRPr="00302FD5">
              <w:rPr>
                <w:b/>
                <w:color w:val="252525"/>
              </w:rPr>
              <w:t>Characterization of impact</w:t>
            </w:r>
          </w:p>
        </w:tc>
        <w:tc>
          <w:tcPr>
            <w:tcW w:w="3260" w:type="dxa"/>
            <w:shd w:val="clear" w:color="auto" w:fill="E7E6E6" w:themeFill="background2"/>
            <w:tcMar>
              <w:top w:w="0" w:type="dxa"/>
              <w:left w:w="100" w:type="dxa"/>
              <w:bottom w:w="0" w:type="dxa"/>
              <w:right w:w="100" w:type="dxa"/>
            </w:tcMar>
            <w:vAlign w:val="center"/>
          </w:tcPr>
          <w:p w14:paraId="611663B8" w14:textId="7B367488" w:rsidR="00F66442" w:rsidRPr="00302FD5" w:rsidRDefault="00F66442" w:rsidP="00101185">
            <w:pPr>
              <w:keepNext/>
              <w:keepLines/>
              <w:widowControl w:val="0"/>
              <w:spacing w:after="0" w:line="240" w:lineRule="auto"/>
              <w:jc w:val="center"/>
              <w:rPr>
                <w:b/>
                <w:color w:val="252525"/>
              </w:rPr>
            </w:pPr>
            <w:r w:rsidRPr="00302FD5">
              <w:rPr>
                <w:b/>
                <w:color w:val="252525"/>
              </w:rPr>
              <w:t xml:space="preserve">Example of </w:t>
            </w:r>
            <w:r w:rsidR="00135AF6">
              <w:rPr>
                <w:b/>
                <w:color w:val="252525"/>
              </w:rPr>
              <w:t>change in ecological character</w:t>
            </w:r>
          </w:p>
        </w:tc>
        <w:tc>
          <w:tcPr>
            <w:tcW w:w="1134" w:type="dxa"/>
            <w:shd w:val="clear" w:color="auto" w:fill="E7E6E6" w:themeFill="background2"/>
            <w:tcMar>
              <w:top w:w="0" w:type="dxa"/>
              <w:left w:w="100" w:type="dxa"/>
              <w:bottom w:w="0" w:type="dxa"/>
              <w:right w:w="100" w:type="dxa"/>
            </w:tcMar>
            <w:vAlign w:val="center"/>
          </w:tcPr>
          <w:p w14:paraId="32FC82C7" w14:textId="5808EBBD" w:rsidR="00F66442" w:rsidRPr="00302FD5" w:rsidRDefault="00F66442" w:rsidP="00101185">
            <w:pPr>
              <w:keepNext/>
              <w:keepLines/>
              <w:widowControl w:val="0"/>
              <w:spacing w:after="0" w:line="240" w:lineRule="auto"/>
              <w:jc w:val="center"/>
              <w:rPr>
                <w:b/>
                <w:color w:val="252525"/>
              </w:rPr>
            </w:pPr>
            <w:r w:rsidRPr="00302FD5">
              <w:rPr>
                <w:b/>
                <w:color w:val="252525"/>
              </w:rPr>
              <w:t>Number of Sites</w:t>
            </w:r>
          </w:p>
        </w:tc>
      </w:tr>
      <w:tr w:rsidR="00613948" w:rsidRPr="00302FD5" w14:paraId="7C05746F" w14:textId="77777777" w:rsidTr="00101185">
        <w:trPr>
          <w:trHeight w:val="516"/>
        </w:trPr>
        <w:tc>
          <w:tcPr>
            <w:tcW w:w="1129" w:type="dxa"/>
            <w:shd w:val="clear" w:color="auto" w:fill="FF9999"/>
            <w:tcMar>
              <w:top w:w="0" w:type="dxa"/>
              <w:left w:w="100" w:type="dxa"/>
              <w:bottom w:w="0" w:type="dxa"/>
              <w:right w:w="100" w:type="dxa"/>
            </w:tcMar>
          </w:tcPr>
          <w:p w14:paraId="424DACE7" w14:textId="01013CD7" w:rsidR="00F66442" w:rsidRPr="00302FD5" w:rsidRDefault="00F66442" w:rsidP="00101185">
            <w:pPr>
              <w:keepNext/>
              <w:keepLines/>
              <w:widowControl w:val="0"/>
              <w:spacing w:after="0" w:line="240" w:lineRule="auto"/>
            </w:pPr>
            <w:r w:rsidRPr="00302FD5">
              <w:t>direct</w:t>
            </w:r>
          </w:p>
        </w:tc>
        <w:tc>
          <w:tcPr>
            <w:tcW w:w="1134" w:type="dxa"/>
            <w:shd w:val="clear" w:color="auto" w:fill="FF9999"/>
          </w:tcPr>
          <w:p w14:paraId="38EEEA2B" w14:textId="07F64B47" w:rsidR="00F66442" w:rsidRPr="00302FD5" w:rsidRDefault="00F66442" w:rsidP="00101185">
            <w:pPr>
              <w:keepNext/>
              <w:keepLines/>
              <w:widowControl w:val="0"/>
              <w:spacing w:after="0" w:line="240" w:lineRule="auto"/>
              <w:rPr>
                <w:lang w:val="uk-UA"/>
              </w:rPr>
            </w:pPr>
            <w:r w:rsidRPr="00302FD5">
              <w:rPr>
                <w:b/>
              </w:rPr>
              <w:t>major</w:t>
            </w:r>
          </w:p>
        </w:tc>
        <w:tc>
          <w:tcPr>
            <w:tcW w:w="2552" w:type="dxa"/>
            <w:shd w:val="clear" w:color="auto" w:fill="FF9999"/>
          </w:tcPr>
          <w:p w14:paraId="78F11E0A" w14:textId="683201DD" w:rsidR="00F66442" w:rsidRPr="00302FD5" w:rsidRDefault="002B2A4B" w:rsidP="00101185">
            <w:pPr>
              <w:keepNext/>
              <w:keepLines/>
              <w:widowControl w:val="0"/>
              <w:spacing w:after="0" w:line="240" w:lineRule="auto"/>
            </w:pPr>
            <w:r w:rsidRPr="00302FD5">
              <w:t>Significant impacts on all components of the ecological character</w:t>
            </w:r>
            <w:r w:rsidR="00F235BB" w:rsidRPr="00302FD5">
              <w:t xml:space="preserve"> </w:t>
            </w:r>
            <w:r w:rsidRPr="00302FD5">
              <w:t>of the Site</w:t>
            </w:r>
          </w:p>
        </w:tc>
        <w:tc>
          <w:tcPr>
            <w:tcW w:w="3260" w:type="dxa"/>
            <w:shd w:val="clear" w:color="auto" w:fill="FF9999"/>
            <w:tcMar>
              <w:top w:w="0" w:type="dxa"/>
              <w:left w:w="100" w:type="dxa"/>
              <w:bottom w:w="0" w:type="dxa"/>
              <w:right w:w="100" w:type="dxa"/>
            </w:tcMar>
          </w:tcPr>
          <w:p w14:paraId="409A3BB4" w14:textId="77DF6BF6" w:rsidR="00F66442" w:rsidRPr="00302FD5" w:rsidRDefault="00F66442" w:rsidP="00101185">
            <w:pPr>
              <w:keepNext/>
              <w:keepLines/>
              <w:widowControl w:val="0"/>
              <w:spacing w:after="0" w:line="240" w:lineRule="auto"/>
            </w:pPr>
            <w:r w:rsidRPr="00302FD5">
              <w:t>Fundamental change in hydrology resulting in the elimination of the wetland ecosystem</w:t>
            </w:r>
            <w:r w:rsidR="00F318C3" w:rsidRPr="00302FD5">
              <w:t>, and its associated ecosystem services</w:t>
            </w:r>
          </w:p>
        </w:tc>
        <w:tc>
          <w:tcPr>
            <w:tcW w:w="1134" w:type="dxa"/>
            <w:shd w:val="clear" w:color="auto" w:fill="FF9999"/>
            <w:tcMar>
              <w:top w:w="0" w:type="dxa"/>
              <w:left w:w="100" w:type="dxa"/>
              <w:bottom w:w="0" w:type="dxa"/>
              <w:right w:w="100" w:type="dxa"/>
            </w:tcMar>
          </w:tcPr>
          <w:p w14:paraId="77F13830" w14:textId="77777777" w:rsidR="00F66442" w:rsidRPr="00302FD5" w:rsidRDefault="00F66442" w:rsidP="00101185">
            <w:pPr>
              <w:keepNext/>
              <w:keepLines/>
              <w:widowControl w:val="0"/>
              <w:spacing w:after="0" w:line="240" w:lineRule="auto"/>
              <w:jc w:val="center"/>
            </w:pPr>
            <w:r w:rsidRPr="00302FD5">
              <w:t>4</w:t>
            </w:r>
          </w:p>
        </w:tc>
      </w:tr>
      <w:tr w:rsidR="00613948" w:rsidRPr="00302FD5" w14:paraId="598F9567" w14:textId="77777777" w:rsidTr="00101185">
        <w:trPr>
          <w:trHeight w:val="516"/>
        </w:trPr>
        <w:tc>
          <w:tcPr>
            <w:tcW w:w="1129" w:type="dxa"/>
            <w:shd w:val="clear" w:color="auto" w:fill="FFCC66"/>
            <w:tcMar>
              <w:top w:w="0" w:type="dxa"/>
              <w:left w:w="100" w:type="dxa"/>
              <w:bottom w:w="0" w:type="dxa"/>
              <w:right w:w="100" w:type="dxa"/>
            </w:tcMar>
          </w:tcPr>
          <w:p w14:paraId="7850AED9" w14:textId="6D32946D" w:rsidR="00F66442" w:rsidRPr="00302FD5" w:rsidRDefault="00F66442" w:rsidP="00101185">
            <w:pPr>
              <w:keepNext/>
              <w:keepLines/>
              <w:widowControl w:val="0"/>
              <w:spacing w:after="0" w:line="240" w:lineRule="auto"/>
            </w:pPr>
            <w:r w:rsidRPr="00302FD5">
              <w:t>direct</w:t>
            </w:r>
          </w:p>
        </w:tc>
        <w:tc>
          <w:tcPr>
            <w:tcW w:w="1134" w:type="dxa"/>
            <w:shd w:val="clear" w:color="auto" w:fill="FFCC66"/>
          </w:tcPr>
          <w:p w14:paraId="4A50A3A8" w14:textId="4916839E" w:rsidR="00F66442" w:rsidRPr="00302FD5" w:rsidRDefault="00F66442" w:rsidP="00101185">
            <w:pPr>
              <w:keepNext/>
              <w:keepLines/>
              <w:widowControl w:val="0"/>
              <w:spacing w:after="0" w:line="240" w:lineRule="auto"/>
              <w:rPr>
                <w:lang w:val="uk-UA"/>
              </w:rPr>
            </w:pPr>
            <w:r w:rsidRPr="00302FD5">
              <w:rPr>
                <w:b/>
              </w:rPr>
              <w:t>moderate</w:t>
            </w:r>
            <w:r w:rsidRPr="00302FD5">
              <w:rPr>
                <w:b/>
                <w:lang w:val="uk-UA"/>
              </w:rPr>
              <w:t xml:space="preserve"> </w:t>
            </w:r>
          </w:p>
        </w:tc>
        <w:tc>
          <w:tcPr>
            <w:tcW w:w="2552" w:type="dxa"/>
            <w:shd w:val="clear" w:color="auto" w:fill="FFCC66"/>
          </w:tcPr>
          <w:p w14:paraId="1EA6725F" w14:textId="617E76FD" w:rsidR="00F66442" w:rsidRPr="00302FD5" w:rsidRDefault="00F66442" w:rsidP="00101185">
            <w:pPr>
              <w:keepNext/>
              <w:keepLines/>
              <w:widowControl w:val="0"/>
              <w:spacing w:after="0" w:line="240" w:lineRule="auto"/>
            </w:pPr>
            <w:r w:rsidRPr="00302FD5">
              <w:t xml:space="preserve">Some </w:t>
            </w:r>
            <w:r w:rsidR="00CC3D33" w:rsidRPr="00302FD5">
              <w:t xml:space="preserve">significant </w:t>
            </w:r>
            <w:r w:rsidRPr="00302FD5">
              <w:t xml:space="preserve">impacts on some components of </w:t>
            </w:r>
            <w:r w:rsidR="00252A40" w:rsidRPr="00302FD5">
              <w:t>ecological character</w:t>
            </w:r>
          </w:p>
        </w:tc>
        <w:tc>
          <w:tcPr>
            <w:tcW w:w="3260" w:type="dxa"/>
            <w:shd w:val="clear" w:color="auto" w:fill="FFCC66"/>
            <w:tcMar>
              <w:top w:w="0" w:type="dxa"/>
              <w:left w:w="100" w:type="dxa"/>
              <w:bottom w:w="0" w:type="dxa"/>
              <w:right w:w="100" w:type="dxa"/>
            </w:tcMar>
          </w:tcPr>
          <w:p w14:paraId="12A3425E" w14:textId="5CC36841" w:rsidR="00F66442" w:rsidRPr="00302FD5" w:rsidRDefault="00F66442" w:rsidP="00101185">
            <w:pPr>
              <w:keepNext/>
              <w:keepLines/>
              <w:widowControl w:val="0"/>
              <w:spacing w:after="0" w:line="240" w:lineRule="auto"/>
            </w:pPr>
            <w:r w:rsidRPr="00302FD5">
              <w:t>Occasional shelling, troop and military vehicle movements, military constructions</w:t>
            </w:r>
            <w:r w:rsidR="00FF1CCB" w:rsidRPr="00302FD5">
              <w:t>,</w:t>
            </w:r>
            <w:r w:rsidRPr="00302FD5">
              <w:t xml:space="preserve"> etc</w:t>
            </w:r>
            <w:r w:rsidR="00252A40">
              <w:t>.</w:t>
            </w:r>
          </w:p>
        </w:tc>
        <w:tc>
          <w:tcPr>
            <w:tcW w:w="1134" w:type="dxa"/>
            <w:shd w:val="clear" w:color="auto" w:fill="FFCC66"/>
            <w:tcMar>
              <w:top w:w="0" w:type="dxa"/>
              <w:left w:w="100" w:type="dxa"/>
              <w:bottom w:w="0" w:type="dxa"/>
              <w:right w:w="100" w:type="dxa"/>
            </w:tcMar>
          </w:tcPr>
          <w:p w14:paraId="1C35DDED" w14:textId="77777777" w:rsidR="00F66442" w:rsidRPr="00302FD5" w:rsidRDefault="00F66442" w:rsidP="00101185">
            <w:pPr>
              <w:keepNext/>
              <w:keepLines/>
              <w:widowControl w:val="0"/>
              <w:spacing w:after="0" w:line="240" w:lineRule="auto"/>
              <w:jc w:val="center"/>
            </w:pPr>
            <w:r w:rsidRPr="00302FD5">
              <w:t>27</w:t>
            </w:r>
          </w:p>
        </w:tc>
      </w:tr>
      <w:tr w:rsidR="00613948" w:rsidRPr="00302FD5" w14:paraId="1F8201BF" w14:textId="77777777" w:rsidTr="00101185">
        <w:trPr>
          <w:trHeight w:val="516"/>
        </w:trPr>
        <w:tc>
          <w:tcPr>
            <w:tcW w:w="1129" w:type="dxa"/>
            <w:tcBorders>
              <w:bottom w:val="single" w:sz="4" w:space="0" w:color="auto"/>
            </w:tcBorders>
            <w:shd w:val="clear" w:color="auto" w:fill="FFFF99"/>
            <w:tcMar>
              <w:top w:w="0" w:type="dxa"/>
              <w:left w:w="100" w:type="dxa"/>
              <w:bottom w:w="0" w:type="dxa"/>
              <w:right w:w="100" w:type="dxa"/>
            </w:tcMar>
          </w:tcPr>
          <w:p w14:paraId="7463751E" w14:textId="6C8E3A9E" w:rsidR="00F66442" w:rsidRPr="00302FD5" w:rsidRDefault="00F66442" w:rsidP="00101185">
            <w:pPr>
              <w:keepNext/>
              <w:keepLines/>
              <w:widowControl w:val="0"/>
              <w:spacing w:after="0" w:line="240" w:lineRule="auto"/>
            </w:pPr>
            <w:r w:rsidRPr="00302FD5">
              <w:t>indirect</w:t>
            </w:r>
          </w:p>
        </w:tc>
        <w:tc>
          <w:tcPr>
            <w:tcW w:w="1134" w:type="dxa"/>
            <w:tcBorders>
              <w:bottom w:val="single" w:sz="4" w:space="0" w:color="auto"/>
            </w:tcBorders>
            <w:shd w:val="clear" w:color="auto" w:fill="FFFF99"/>
          </w:tcPr>
          <w:p w14:paraId="269104E6" w14:textId="09360FAF" w:rsidR="00F66442" w:rsidRPr="00302FD5" w:rsidRDefault="00F66442" w:rsidP="00101185">
            <w:pPr>
              <w:keepNext/>
              <w:keepLines/>
              <w:widowControl w:val="0"/>
              <w:spacing w:after="0" w:line="240" w:lineRule="auto"/>
              <w:rPr>
                <w:b/>
                <w:lang w:val="en-US"/>
              </w:rPr>
            </w:pPr>
            <w:r w:rsidRPr="00302FD5">
              <w:rPr>
                <w:b/>
              </w:rPr>
              <w:t>minor</w:t>
            </w:r>
          </w:p>
          <w:p w14:paraId="2475AEEB" w14:textId="77777777" w:rsidR="00F66442" w:rsidRPr="00302FD5" w:rsidRDefault="00F66442" w:rsidP="00101185">
            <w:pPr>
              <w:keepNext/>
              <w:keepLines/>
              <w:widowControl w:val="0"/>
              <w:spacing w:after="0" w:line="240" w:lineRule="auto"/>
            </w:pPr>
            <w:r w:rsidRPr="00302FD5">
              <w:rPr>
                <w:b/>
              </w:rPr>
              <w:t xml:space="preserve"> </w:t>
            </w:r>
          </w:p>
        </w:tc>
        <w:tc>
          <w:tcPr>
            <w:tcW w:w="2552" w:type="dxa"/>
            <w:tcBorders>
              <w:bottom w:val="single" w:sz="4" w:space="0" w:color="auto"/>
            </w:tcBorders>
            <w:shd w:val="clear" w:color="auto" w:fill="FFFF99"/>
          </w:tcPr>
          <w:p w14:paraId="0E89214E" w14:textId="4F3FF2DB" w:rsidR="00F66442" w:rsidRPr="00302FD5" w:rsidRDefault="00FF78C1" w:rsidP="00101185">
            <w:pPr>
              <w:keepNext/>
              <w:keepLines/>
              <w:widowControl w:val="0"/>
              <w:spacing w:after="0" w:line="240" w:lineRule="auto"/>
            </w:pPr>
            <w:r w:rsidRPr="00302FD5">
              <w:t>Reduction in Site management staff capacity</w:t>
            </w:r>
            <w:r w:rsidR="000E069D" w:rsidRPr="00302FD5">
              <w:t>, funding, equipment or reduced access to some ecosystem services</w:t>
            </w:r>
          </w:p>
        </w:tc>
        <w:tc>
          <w:tcPr>
            <w:tcW w:w="3260" w:type="dxa"/>
            <w:tcBorders>
              <w:bottom w:val="single" w:sz="4" w:space="0" w:color="auto"/>
            </w:tcBorders>
            <w:shd w:val="clear" w:color="auto" w:fill="FFFF99"/>
            <w:tcMar>
              <w:top w:w="0" w:type="dxa"/>
              <w:left w:w="100" w:type="dxa"/>
              <w:bottom w:w="0" w:type="dxa"/>
              <w:right w:w="100" w:type="dxa"/>
            </w:tcMar>
          </w:tcPr>
          <w:p w14:paraId="51C42C29" w14:textId="6667E516" w:rsidR="00F66442" w:rsidRPr="00302FD5" w:rsidRDefault="00F66442" w:rsidP="00101185">
            <w:pPr>
              <w:keepNext/>
              <w:keepLines/>
              <w:widowControl w:val="0"/>
              <w:spacing w:after="0" w:line="240" w:lineRule="auto"/>
            </w:pPr>
            <w:r w:rsidRPr="00302FD5">
              <w:t xml:space="preserve">Reduction </w:t>
            </w:r>
            <w:r w:rsidR="00AF27D3" w:rsidRPr="00302FD5">
              <w:t xml:space="preserve">in </w:t>
            </w:r>
            <w:r w:rsidRPr="00302FD5">
              <w:t>access to ecological services</w:t>
            </w:r>
            <w:r w:rsidR="00686809" w:rsidRPr="00302FD5">
              <w:t>, such as local tourism</w:t>
            </w:r>
            <w:r w:rsidR="00622BAF" w:rsidRPr="00302FD5">
              <w:t xml:space="preserve"> and recreation</w:t>
            </w:r>
            <w:r w:rsidR="00FF1CCB" w:rsidRPr="00302FD5">
              <w:t>, reeds mowing or fishing</w:t>
            </w:r>
            <w:r w:rsidR="00686809" w:rsidRPr="00302FD5">
              <w:t>.</w:t>
            </w:r>
          </w:p>
        </w:tc>
        <w:tc>
          <w:tcPr>
            <w:tcW w:w="1134" w:type="dxa"/>
            <w:tcBorders>
              <w:bottom w:val="single" w:sz="4" w:space="0" w:color="auto"/>
            </w:tcBorders>
            <w:shd w:val="clear" w:color="auto" w:fill="FFFF99"/>
            <w:tcMar>
              <w:top w:w="0" w:type="dxa"/>
              <w:left w:w="100" w:type="dxa"/>
              <w:bottom w:w="0" w:type="dxa"/>
              <w:right w:w="100" w:type="dxa"/>
            </w:tcMar>
          </w:tcPr>
          <w:p w14:paraId="6DDF02F9" w14:textId="77777777" w:rsidR="00F66442" w:rsidRPr="00302FD5" w:rsidRDefault="00F66442" w:rsidP="00101185">
            <w:pPr>
              <w:keepNext/>
              <w:keepLines/>
              <w:widowControl w:val="0"/>
              <w:spacing w:after="0" w:line="240" w:lineRule="auto"/>
              <w:jc w:val="center"/>
            </w:pPr>
            <w:r w:rsidRPr="00302FD5">
              <w:t>17</w:t>
            </w:r>
          </w:p>
        </w:tc>
      </w:tr>
      <w:tr w:rsidR="00613948" w:rsidRPr="00302FD5" w14:paraId="08E8D599" w14:textId="77777777" w:rsidTr="00101185">
        <w:trPr>
          <w:trHeight w:val="300"/>
        </w:trPr>
        <w:tc>
          <w:tcPr>
            <w:tcW w:w="1129" w:type="dxa"/>
            <w:tcBorders>
              <w:bottom w:val="single" w:sz="4" w:space="0" w:color="auto"/>
            </w:tcBorders>
            <w:shd w:val="clear" w:color="auto" w:fill="66FF99"/>
            <w:tcMar>
              <w:top w:w="0" w:type="dxa"/>
              <w:left w:w="100" w:type="dxa"/>
              <w:bottom w:w="0" w:type="dxa"/>
              <w:right w:w="100" w:type="dxa"/>
            </w:tcMar>
          </w:tcPr>
          <w:p w14:paraId="5989B674" w14:textId="6637AAC2" w:rsidR="00F66442" w:rsidRPr="00302FD5" w:rsidRDefault="00F66442" w:rsidP="00101185">
            <w:pPr>
              <w:keepNext/>
              <w:keepLines/>
              <w:widowControl w:val="0"/>
              <w:spacing w:after="0" w:line="240" w:lineRule="auto"/>
            </w:pPr>
            <w:r w:rsidRPr="00302FD5">
              <w:t>none</w:t>
            </w:r>
          </w:p>
        </w:tc>
        <w:tc>
          <w:tcPr>
            <w:tcW w:w="1134" w:type="dxa"/>
            <w:tcBorders>
              <w:bottom w:val="single" w:sz="4" w:space="0" w:color="auto"/>
            </w:tcBorders>
            <w:shd w:val="clear" w:color="auto" w:fill="66FF99"/>
          </w:tcPr>
          <w:p w14:paraId="13297794" w14:textId="79E7A46D" w:rsidR="00F66442" w:rsidRPr="00302FD5" w:rsidRDefault="00F66442" w:rsidP="00101185">
            <w:pPr>
              <w:keepNext/>
              <w:keepLines/>
              <w:widowControl w:val="0"/>
              <w:spacing w:after="0" w:line="240" w:lineRule="auto"/>
            </w:pPr>
            <w:r w:rsidRPr="00302FD5">
              <w:rPr>
                <w:b/>
              </w:rPr>
              <w:t>none</w:t>
            </w:r>
          </w:p>
        </w:tc>
        <w:tc>
          <w:tcPr>
            <w:tcW w:w="2552" w:type="dxa"/>
            <w:tcBorders>
              <w:bottom w:val="single" w:sz="4" w:space="0" w:color="auto"/>
            </w:tcBorders>
            <w:shd w:val="clear" w:color="auto" w:fill="66FF99"/>
          </w:tcPr>
          <w:p w14:paraId="7D12CD14" w14:textId="55113E47" w:rsidR="00F66442" w:rsidRPr="00302FD5" w:rsidRDefault="009D221A" w:rsidP="00101185">
            <w:pPr>
              <w:keepNext/>
              <w:keepLines/>
              <w:widowControl w:val="0"/>
              <w:spacing w:after="0" w:line="240" w:lineRule="auto"/>
            </w:pPr>
            <w:r w:rsidRPr="00302FD5">
              <w:t>No change in ecological character</w:t>
            </w:r>
          </w:p>
        </w:tc>
        <w:tc>
          <w:tcPr>
            <w:tcW w:w="3260" w:type="dxa"/>
            <w:tcBorders>
              <w:bottom w:val="single" w:sz="4" w:space="0" w:color="auto"/>
            </w:tcBorders>
            <w:shd w:val="clear" w:color="auto" w:fill="66FF99"/>
            <w:tcMar>
              <w:top w:w="0" w:type="dxa"/>
              <w:left w:w="100" w:type="dxa"/>
              <w:bottom w:w="0" w:type="dxa"/>
              <w:right w:w="100" w:type="dxa"/>
            </w:tcMar>
          </w:tcPr>
          <w:p w14:paraId="38DD30C6" w14:textId="1A0CC0A4" w:rsidR="00F66442" w:rsidRPr="00302FD5" w:rsidRDefault="009D221A" w:rsidP="00101185">
            <w:pPr>
              <w:keepNext/>
              <w:keepLines/>
              <w:widowControl w:val="0"/>
              <w:spacing w:after="0" w:line="240" w:lineRule="auto"/>
            </w:pPr>
            <w:r w:rsidRPr="00302FD5">
              <w:t>--</w:t>
            </w:r>
          </w:p>
        </w:tc>
        <w:tc>
          <w:tcPr>
            <w:tcW w:w="1134" w:type="dxa"/>
            <w:tcBorders>
              <w:bottom w:val="single" w:sz="4" w:space="0" w:color="auto"/>
            </w:tcBorders>
            <w:shd w:val="clear" w:color="auto" w:fill="66FF99"/>
            <w:tcMar>
              <w:top w:w="0" w:type="dxa"/>
              <w:left w:w="100" w:type="dxa"/>
              <w:bottom w:w="0" w:type="dxa"/>
              <w:right w:w="100" w:type="dxa"/>
            </w:tcMar>
          </w:tcPr>
          <w:p w14:paraId="18A4E4C3" w14:textId="77777777" w:rsidR="00F66442" w:rsidRPr="00302FD5" w:rsidRDefault="00F66442" w:rsidP="00101185">
            <w:pPr>
              <w:keepNext/>
              <w:keepLines/>
              <w:widowControl w:val="0"/>
              <w:spacing w:after="0" w:line="240" w:lineRule="auto"/>
              <w:jc w:val="center"/>
            </w:pPr>
            <w:r w:rsidRPr="00302FD5">
              <w:t>2</w:t>
            </w:r>
          </w:p>
        </w:tc>
      </w:tr>
    </w:tbl>
    <w:p w14:paraId="5730FE1B" w14:textId="77777777" w:rsidR="00371EF5" w:rsidRDefault="00371EF5" w:rsidP="00575F2E">
      <w:pPr>
        <w:spacing w:after="0" w:line="240" w:lineRule="auto"/>
        <w:ind w:left="426" w:hanging="426"/>
      </w:pPr>
    </w:p>
    <w:p w14:paraId="05C43E31" w14:textId="77777777" w:rsidR="00101185" w:rsidRDefault="00101185" w:rsidP="00101185">
      <w:pPr>
        <w:spacing w:after="0" w:line="240" w:lineRule="auto"/>
        <w:rPr>
          <w:i/>
          <w:iCs/>
        </w:rPr>
      </w:pPr>
    </w:p>
    <w:p w14:paraId="33ECAD2E" w14:textId="505C7368" w:rsidR="0052256C" w:rsidRDefault="00CB06A0" w:rsidP="00101185">
      <w:pPr>
        <w:spacing w:after="0" w:line="240" w:lineRule="auto"/>
      </w:pPr>
      <w:r>
        <w:rPr>
          <w:i/>
          <w:iCs/>
        </w:rPr>
        <w:t>Mitigation and restoration measures</w:t>
      </w:r>
    </w:p>
    <w:p w14:paraId="3A3BE7DF" w14:textId="77777777" w:rsidR="00135AF6" w:rsidRDefault="00135AF6" w:rsidP="00575F2E">
      <w:pPr>
        <w:spacing w:after="0" w:line="240" w:lineRule="auto"/>
        <w:ind w:left="425" w:hanging="425"/>
      </w:pPr>
    </w:p>
    <w:p w14:paraId="327E2635" w14:textId="60997E21" w:rsidR="0026701F" w:rsidRDefault="00055B2B" w:rsidP="00101185">
      <w:pPr>
        <w:spacing w:after="0" w:line="240" w:lineRule="auto"/>
        <w:ind w:left="425" w:hanging="425"/>
      </w:pPr>
      <w:r>
        <w:t>19</w:t>
      </w:r>
      <w:r w:rsidR="00946C11">
        <w:t>.</w:t>
      </w:r>
      <w:r w:rsidR="0045108F">
        <w:tab/>
      </w:r>
      <w:r w:rsidR="00984737">
        <w:t>To</w:t>
      </w:r>
      <w:r w:rsidR="001A4CE3">
        <w:t xml:space="preserve"> </w:t>
      </w:r>
      <w:r w:rsidR="00970796">
        <w:t xml:space="preserve">contribute </w:t>
      </w:r>
      <w:r w:rsidR="001A4CE3">
        <w:t xml:space="preserve">to </w:t>
      </w:r>
      <w:r w:rsidR="00252A40">
        <w:t xml:space="preserve">mitigation of </w:t>
      </w:r>
      <w:r w:rsidR="00215AE7">
        <w:t xml:space="preserve">environmental </w:t>
      </w:r>
      <w:r w:rsidR="0053136F">
        <w:t xml:space="preserve">impacts and </w:t>
      </w:r>
      <w:r w:rsidR="00984737">
        <w:t xml:space="preserve">to </w:t>
      </w:r>
      <w:r w:rsidR="0053136F">
        <w:t>reduce future</w:t>
      </w:r>
      <w:r w:rsidR="001A4CE3">
        <w:t xml:space="preserve"> impacts upon Ukrainian </w:t>
      </w:r>
      <w:r w:rsidR="00414780">
        <w:t>Wetlands of International Importance</w:t>
      </w:r>
      <w:r w:rsidR="001A4CE3">
        <w:t xml:space="preserve">, </w:t>
      </w:r>
      <w:r w:rsidR="0053136F">
        <w:t>mitigation and restoration</w:t>
      </w:r>
      <w:r w:rsidR="001A4CE3">
        <w:t xml:space="preserve"> measures </w:t>
      </w:r>
      <w:r w:rsidR="008E27B4">
        <w:t xml:space="preserve">have been identified, including immediate actions that can </w:t>
      </w:r>
      <w:r w:rsidR="008E27B4" w:rsidRPr="002C4026">
        <w:t>be implemented even before the end of the war.</w:t>
      </w:r>
      <w:r w:rsidR="002E0308" w:rsidRPr="002C4026">
        <w:t xml:space="preserve"> </w:t>
      </w:r>
      <w:r w:rsidR="006719ED" w:rsidRPr="002C4026">
        <w:t>Figure 27 in Section 5.3</w:t>
      </w:r>
      <w:r w:rsidR="006719ED" w:rsidRPr="002C4026">
        <w:rPr>
          <w:i/>
          <w:iCs/>
        </w:rPr>
        <w:t xml:space="preserve"> </w:t>
      </w:r>
      <w:r w:rsidR="00252A40" w:rsidRPr="002C4026">
        <w:t>of the assessment rep</w:t>
      </w:r>
      <w:r w:rsidR="00252A40" w:rsidRPr="00A76B84">
        <w:t>ort</w:t>
      </w:r>
      <w:r w:rsidR="006719ED">
        <w:t xml:space="preserve"> </w:t>
      </w:r>
      <w:r w:rsidR="00252A40">
        <w:t xml:space="preserve">summarizes </w:t>
      </w:r>
      <w:r w:rsidR="006719ED">
        <w:t>the sequencing and details of the immediate, short</w:t>
      </w:r>
      <w:r w:rsidR="00252A40">
        <w:t>-</w:t>
      </w:r>
      <w:r w:rsidR="006719ED">
        <w:t>, medium</w:t>
      </w:r>
      <w:r w:rsidR="00252A40">
        <w:t>-</w:t>
      </w:r>
      <w:r w:rsidR="006719ED">
        <w:t xml:space="preserve"> and long-term remediation activities.</w:t>
      </w:r>
    </w:p>
    <w:p w14:paraId="629588E9" w14:textId="77777777" w:rsidR="00135AF6" w:rsidRDefault="00135AF6" w:rsidP="00575F2E">
      <w:pPr>
        <w:spacing w:after="0" w:line="240" w:lineRule="auto"/>
        <w:ind w:left="850" w:hanging="425"/>
      </w:pPr>
    </w:p>
    <w:p w14:paraId="1DDD5E6B" w14:textId="4409C443" w:rsidR="00946C11" w:rsidRDefault="002E0308" w:rsidP="00101185">
      <w:pPr>
        <w:spacing w:after="0" w:line="240" w:lineRule="auto"/>
        <w:ind w:left="850" w:hanging="425"/>
      </w:pPr>
      <w:r>
        <w:t>Th</w:t>
      </w:r>
      <w:r w:rsidR="0026701F">
        <w:t>e</w:t>
      </w:r>
      <w:r>
        <w:t xml:space="preserve"> immediate actions</w:t>
      </w:r>
      <w:r w:rsidR="00FB3EE0">
        <w:t xml:space="preserve"> that could be implemented in </w:t>
      </w:r>
      <w:r w:rsidR="00135AF6">
        <w:t xml:space="preserve">the </w:t>
      </w:r>
      <w:r w:rsidR="00FB3EE0">
        <w:t>short</w:t>
      </w:r>
      <w:r w:rsidR="00135AF6">
        <w:t xml:space="preserve"> </w:t>
      </w:r>
      <w:r w:rsidR="00FB3EE0">
        <w:t>term</w:t>
      </w:r>
      <w:r>
        <w:t xml:space="preserve"> include: </w:t>
      </w:r>
    </w:p>
    <w:p w14:paraId="51F53F6F" w14:textId="77777777" w:rsidR="00135AF6" w:rsidRDefault="00135AF6" w:rsidP="00101185">
      <w:pPr>
        <w:pStyle w:val="ListParagraph"/>
        <w:ind w:left="850" w:firstLine="0"/>
        <w:contextualSpacing w:val="0"/>
      </w:pPr>
    </w:p>
    <w:p w14:paraId="4F6B714F" w14:textId="50863C5D" w:rsidR="004222CD" w:rsidRDefault="002E0308" w:rsidP="004222CD">
      <w:pPr>
        <w:pStyle w:val="ListParagraph"/>
        <w:numPr>
          <w:ilvl w:val="0"/>
          <w:numId w:val="4"/>
        </w:numPr>
        <w:ind w:left="850" w:hanging="425"/>
        <w:contextualSpacing w:val="0"/>
      </w:pPr>
      <w:r>
        <w:t>The use of Earth observation tools and data</w:t>
      </w:r>
      <w:r w:rsidR="002811BA">
        <w:t xml:space="preserve"> </w:t>
      </w:r>
      <w:r>
        <w:t xml:space="preserve">to monitor damage and changes in wetland ecosystems over </w:t>
      </w:r>
      <w:r w:rsidR="002811BA">
        <w:t>time.</w:t>
      </w:r>
    </w:p>
    <w:p w14:paraId="4FFAACFC" w14:textId="77777777" w:rsidR="004222CD" w:rsidRDefault="004222CD" w:rsidP="004222CD">
      <w:pPr>
        <w:spacing w:after="0" w:line="240" w:lineRule="auto"/>
      </w:pPr>
    </w:p>
    <w:p w14:paraId="1D127664" w14:textId="45BB13D5" w:rsidR="00B82230" w:rsidRDefault="0008562F" w:rsidP="00101185">
      <w:pPr>
        <w:pStyle w:val="ListParagraph"/>
        <w:numPr>
          <w:ilvl w:val="0"/>
          <w:numId w:val="4"/>
        </w:numPr>
        <w:ind w:left="850" w:hanging="425"/>
        <w:contextualSpacing w:val="0"/>
      </w:pPr>
      <w:r>
        <w:t xml:space="preserve">Provision of </w:t>
      </w:r>
      <w:r w:rsidR="002811BA">
        <w:t xml:space="preserve">support to remaining </w:t>
      </w:r>
      <w:r w:rsidR="00135AF6">
        <w:t>management staff of protected areas</w:t>
      </w:r>
      <w:r w:rsidR="002811BA">
        <w:t xml:space="preserve"> to continue monitoring </w:t>
      </w:r>
      <w:r w:rsidR="00B82230">
        <w:t>and documenting local impacts.</w:t>
      </w:r>
    </w:p>
    <w:p w14:paraId="4059E0C0" w14:textId="77777777" w:rsidR="004222CD" w:rsidRDefault="004222CD" w:rsidP="004222CD">
      <w:pPr>
        <w:pStyle w:val="ListParagraph"/>
      </w:pPr>
    </w:p>
    <w:p w14:paraId="5F22E150" w14:textId="42322DA4" w:rsidR="00C947EF" w:rsidRDefault="004222CD" w:rsidP="00101185">
      <w:pPr>
        <w:pStyle w:val="ListParagraph"/>
        <w:numPr>
          <w:ilvl w:val="0"/>
          <w:numId w:val="4"/>
        </w:numPr>
        <w:ind w:left="850" w:hanging="425"/>
        <w:contextualSpacing w:val="0"/>
      </w:pPr>
      <w:r>
        <w:t>P</w:t>
      </w:r>
      <w:r w:rsidR="00D9501E">
        <w:t>rovision of equipment and training to local community groups to form rapid-response teams to address immediate pollution risks (</w:t>
      </w:r>
      <w:r>
        <w:t xml:space="preserve">for example, </w:t>
      </w:r>
      <w:r w:rsidR="00D9501E">
        <w:t>use of containment barriers)</w:t>
      </w:r>
      <w:r w:rsidR="00CD348F">
        <w:t>, to undertake water and soil testing</w:t>
      </w:r>
      <w:r>
        <w:t xml:space="preserve"> and</w:t>
      </w:r>
      <w:r w:rsidR="00CD348F">
        <w:t xml:space="preserve"> wildlife assessments, and to </w:t>
      </w:r>
      <w:r w:rsidR="002C1AE2">
        <w:t>provide support</w:t>
      </w:r>
      <w:r>
        <w:t xml:space="preserve"> or </w:t>
      </w:r>
      <w:r w:rsidR="00DD034F">
        <w:t>alternative</w:t>
      </w:r>
      <w:r w:rsidR="002C1AE2">
        <w:t xml:space="preserve"> measures</w:t>
      </w:r>
      <w:r w:rsidR="0024083A">
        <w:t xml:space="preserve"> </w:t>
      </w:r>
      <w:r>
        <w:t>following</w:t>
      </w:r>
      <w:r w:rsidR="002C1AE2">
        <w:t xml:space="preserve"> hydrological regime changes</w:t>
      </w:r>
      <w:r w:rsidR="00DD034F">
        <w:t>.</w:t>
      </w:r>
      <w:r w:rsidR="00D9501E">
        <w:t xml:space="preserve"> </w:t>
      </w:r>
    </w:p>
    <w:p w14:paraId="7F22FA0B" w14:textId="77777777" w:rsidR="00C947EF" w:rsidRDefault="00C947EF" w:rsidP="00575F2E">
      <w:pPr>
        <w:spacing w:after="0" w:line="240" w:lineRule="auto"/>
        <w:ind w:left="426" w:hanging="426"/>
      </w:pPr>
    </w:p>
    <w:p w14:paraId="618C25AA" w14:textId="57327147" w:rsidR="00876F49" w:rsidRDefault="00055B2B" w:rsidP="00101185">
      <w:pPr>
        <w:spacing w:after="0" w:line="240" w:lineRule="auto"/>
        <w:ind w:left="425" w:hanging="425"/>
      </w:pPr>
      <w:r>
        <w:t>20</w:t>
      </w:r>
      <w:r w:rsidR="00614F6C">
        <w:t>.</w:t>
      </w:r>
      <w:r w:rsidR="00614F6C">
        <w:tab/>
        <w:t xml:space="preserve">The development of </w:t>
      </w:r>
      <w:r w:rsidR="00135AF6">
        <w:t xml:space="preserve">a </w:t>
      </w:r>
      <w:r w:rsidR="00190CBF">
        <w:t xml:space="preserve">wetlands restoration plan </w:t>
      </w:r>
      <w:r w:rsidR="005B0B1F">
        <w:t xml:space="preserve">in </w:t>
      </w:r>
      <w:r w:rsidR="00135AF6">
        <w:t xml:space="preserve">the </w:t>
      </w:r>
      <w:r w:rsidR="005B0B1F">
        <w:t xml:space="preserve">short and medium term </w:t>
      </w:r>
      <w:r w:rsidR="00163660">
        <w:t xml:space="preserve">will be a critical tool </w:t>
      </w:r>
      <w:r w:rsidR="00B85044">
        <w:t xml:space="preserve">and </w:t>
      </w:r>
      <w:r w:rsidR="00163660">
        <w:t xml:space="preserve">prioritize </w:t>
      </w:r>
      <w:r w:rsidR="00614F6C">
        <w:t>medium</w:t>
      </w:r>
      <w:r w:rsidR="00190CBF">
        <w:t>-</w:t>
      </w:r>
      <w:r w:rsidR="00614F6C">
        <w:t xml:space="preserve"> and long-term activities for the</w:t>
      </w:r>
      <w:r w:rsidR="00AE475B">
        <w:t xml:space="preserve"> </w:t>
      </w:r>
      <w:r w:rsidR="00614F6C">
        <w:t>affected Sites.</w:t>
      </w:r>
      <w:r w:rsidR="00AE475B">
        <w:t xml:space="preserve"> </w:t>
      </w:r>
      <w:r w:rsidR="00AA0322">
        <w:t xml:space="preserve">Optimal sequencing of restoration activities </w:t>
      </w:r>
      <w:r w:rsidR="00122099">
        <w:t>is</w:t>
      </w:r>
      <w:r w:rsidR="00AA0322">
        <w:t xml:space="preserve"> required</w:t>
      </w:r>
      <w:r w:rsidR="00122099">
        <w:t xml:space="preserve">, in consultation with local experts to </w:t>
      </w:r>
      <w:r w:rsidR="00190CBF">
        <w:t xml:space="preserve">minimize </w:t>
      </w:r>
      <w:r w:rsidR="00122099">
        <w:t>unnecessary damage to biodiversity.</w:t>
      </w:r>
      <w:r w:rsidR="00836892">
        <w:t xml:space="preserve"> Priority should be given to </w:t>
      </w:r>
      <w:r w:rsidR="00714540">
        <w:t xml:space="preserve">the removal of explosives, but also waste and debris, as well as to restore the hydrology of the wetlands, especially </w:t>
      </w:r>
      <w:r w:rsidR="008A78B5">
        <w:t xml:space="preserve">where </w:t>
      </w:r>
      <w:r w:rsidR="00714540">
        <w:t>ditches and channels have been constructed for military purposes.</w:t>
      </w:r>
      <w:r w:rsidR="00280194">
        <w:t xml:space="preserve"> </w:t>
      </w:r>
    </w:p>
    <w:p w14:paraId="04D0AAEB" w14:textId="77777777" w:rsidR="00876F49" w:rsidRDefault="00876F49" w:rsidP="00101185">
      <w:pPr>
        <w:spacing w:after="0" w:line="240" w:lineRule="auto"/>
        <w:ind w:left="425" w:hanging="425"/>
      </w:pPr>
    </w:p>
    <w:p w14:paraId="6BDA39F9" w14:textId="25E3998F" w:rsidR="00AF7F1C" w:rsidRPr="00613948" w:rsidRDefault="00055B2B" w:rsidP="00101185">
      <w:pPr>
        <w:spacing w:after="0" w:line="240" w:lineRule="auto"/>
        <w:ind w:left="425" w:hanging="425"/>
        <w:rPr>
          <w:lang w:val="en-US"/>
        </w:rPr>
      </w:pPr>
      <w:r>
        <w:t>21</w:t>
      </w:r>
      <w:r w:rsidR="00876F49">
        <w:t>.</w:t>
      </w:r>
      <w:r w:rsidR="00876F49">
        <w:tab/>
      </w:r>
      <w:r w:rsidR="00280194">
        <w:t xml:space="preserve">Several </w:t>
      </w:r>
      <w:r w:rsidR="006440D4">
        <w:t>medium</w:t>
      </w:r>
      <w:r w:rsidR="00190CBF">
        <w:t>-</w:t>
      </w:r>
      <w:r w:rsidR="006440D4">
        <w:t xml:space="preserve"> and longer</w:t>
      </w:r>
      <w:r w:rsidR="00190CBF">
        <w:t>-</w:t>
      </w:r>
      <w:r w:rsidR="006440D4">
        <w:t>term</w:t>
      </w:r>
      <w:r w:rsidR="0016008F">
        <w:t xml:space="preserve"> restoration</w:t>
      </w:r>
      <w:r w:rsidR="00280194">
        <w:t xml:space="preserve"> measures</w:t>
      </w:r>
      <w:r w:rsidR="009E5B24">
        <w:t xml:space="preserve">, with contrasting ranges and scopes, </w:t>
      </w:r>
      <w:r w:rsidR="00EE3C53">
        <w:t>sh</w:t>
      </w:r>
      <w:r w:rsidR="000E1747">
        <w:t>ould be implemented</w:t>
      </w:r>
      <w:r w:rsidR="00EB1DDD">
        <w:t xml:space="preserve"> such as </w:t>
      </w:r>
      <w:r w:rsidR="00FC6504">
        <w:t>decontaminat</w:t>
      </w:r>
      <w:r w:rsidR="00C87CC3">
        <w:t>ing</w:t>
      </w:r>
      <w:r w:rsidR="00FC6504">
        <w:t xml:space="preserve"> polluted sites, </w:t>
      </w:r>
      <w:r w:rsidR="00AF7F1C">
        <w:t>introducing new buffer zones, re-introduc</w:t>
      </w:r>
      <w:r w:rsidR="00C87CC3">
        <w:t>ing</w:t>
      </w:r>
      <w:r w:rsidR="00AF7F1C">
        <w:t xml:space="preserve"> </w:t>
      </w:r>
      <w:r w:rsidR="00C87CC3">
        <w:t>some endangered</w:t>
      </w:r>
      <w:r w:rsidR="00AF7F1C">
        <w:t xml:space="preserve"> species, </w:t>
      </w:r>
      <w:r w:rsidR="008717DC">
        <w:t xml:space="preserve">and </w:t>
      </w:r>
      <w:r w:rsidR="005D2876">
        <w:t>enhancing vegetation management</w:t>
      </w:r>
      <w:r w:rsidR="00B63074">
        <w:t>. The assessment recommends</w:t>
      </w:r>
      <w:r w:rsidR="000E32F3">
        <w:t xml:space="preserve"> a </w:t>
      </w:r>
      <w:r w:rsidR="00190CBF">
        <w:t>“</w:t>
      </w:r>
      <w:r w:rsidR="000E32F3">
        <w:t>build</w:t>
      </w:r>
      <w:r w:rsidR="00190CBF">
        <w:t xml:space="preserve"> </w:t>
      </w:r>
      <w:r w:rsidR="000E32F3">
        <w:t>back</w:t>
      </w:r>
      <w:r w:rsidR="00190CBF">
        <w:t xml:space="preserve"> better” </w:t>
      </w:r>
      <w:r w:rsidR="000E32F3">
        <w:t>approach (see</w:t>
      </w:r>
      <w:r w:rsidR="00A41391">
        <w:t xml:space="preserve"> experiences consolidated in</w:t>
      </w:r>
      <w:r w:rsidR="00474185">
        <w:t xml:space="preserve"> the</w:t>
      </w:r>
      <w:r w:rsidR="000E32F3">
        <w:t xml:space="preserve"> </w:t>
      </w:r>
      <w:r w:rsidR="00A41391">
        <w:t>Global Platform on Disaster Risk Reduction</w:t>
      </w:r>
      <w:r w:rsidR="0026701F">
        <w:rPr>
          <w:rStyle w:val="FootnoteReference"/>
        </w:rPr>
        <w:footnoteReference w:id="7"/>
      </w:r>
      <w:r w:rsidR="00A41391">
        <w:t>)</w:t>
      </w:r>
      <w:r w:rsidR="00876F49">
        <w:t>.</w:t>
      </w:r>
      <w:r w:rsidR="00E767CB">
        <w:t xml:space="preserve"> However, these actions will have to </w:t>
      </w:r>
      <w:r w:rsidR="006440D4">
        <w:t>consider</w:t>
      </w:r>
      <w:r w:rsidR="00E767CB">
        <w:t xml:space="preserve"> the </w:t>
      </w:r>
      <w:r w:rsidR="008A3C5E">
        <w:t xml:space="preserve">severe </w:t>
      </w:r>
      <w:r w:rsidR="00E767CB">
        <w:t xml:space="preserve">risks from remaining pollution and explosives. </w:t>
      </w:r>
    </w:p>
    <w:p w14:paraId="65F4A7E3" w14:textId="1721295D" w:rsidR="00B048D9" w:rsidRDefault="00B048D9" w:rsidP="00101185">
      <w:pPr>
        <w:spacing w:after="0" w:line="240" w:lineRule="auto"/>
        <w:ind w:left="425" w:hanging="425"/>
      </w:pPr>
    </w:p>
    <w:p w14:paraId="5C420D17" w14:textId="69090EB2" w:rsidR="0000376D" w:rsidRDefault="00055B2B" w:rsidP="00101185">
      <w:pPr>
        <w:spacing w:after="0" w:line="240" w:lineRule="auto"/>
        <w:ind w:left="425" w:hanging="425"/>
      </w:pPr>
      <w:r>
        <w:t>22</w:t>
      </w:r>
      <w:r w:rsidR="00B048D9">
        <w:t xml:space="preserve">. </w:t>
      </w:r>
      <w:r w:rsidR="00B048D9">
        <w:tab/>
      </w:r>
      <w:r w:rsidR="006837BA">
        <w:t>S</w:t>
      </w:r>
      <w:r w:rsidR="00020C64">
        <w:t xml:space="preserve">ite-specific recommendations </w:t>
      </w:r>
      <w:r w:rsidR="00611307">
        <w:t xml:space="preserve">to restore ecosystems </w:t>
      </w:r>
      <w:r w:rsidR="00020C64">
        <w:t>that</w:t>
      </w:r>
      <w:r w:rsidR="004D31FE">
        <w:t xml:space="preserve"> respectively</w:t>
      </w:r>
      <w:r w:rsidR="00020C64">
        <w:t xml:space="preserve"> target coastal wetlands, deltaic and floodplain wetlands, </w:t>
      </w:r>
      <w:r w:rsidR="007B51D2">
        <w:t xml:space="preserve">inland wetlands, </w:t>
      </w:r>
      <w:r w:rsidR="00F51FD9">
        <w:t>and wetlands on the border with Belarus</w:t>
      </w:r>
      <w:r w:rsidR="00190CBF">
        <w:t>,</w:t>
      </w:r>
      <w:r w:rsidR="00F93968">
        <w:t xml:space="preserve"> </w:t>
      </w:r>
      <w:r w:rsidR="00ED2CF6">
        <w:t>where</w:t>
      </w:r>
      <w:r w:rsidR="00D14544">
        <w:t xml:space="preserve"> </w:t>
      </w:r>
      <w:r w:rsidR="001B2435">
        <w:t xml:space="preserve">peatlands’ </w:t>
      </w:r>
      <w:r w:rsidR="00D14544">
        <w:t>hydrological regime and</w:t>
      </w:r>
      <w:r w:rsidR="00ED2CF6">
        <w:t xml:space="preserve"> </w:t>
      </w:r>
      <w:r w:rsidR="0025028A">
        <w:t xml:space="preserve">wildlife migration </w:t>
      </w:r>
      <w:r w:rsidR="00AB6349">
        <w:t>ha</w:t>
      </w:r>
      <w:r w:rsidR="00D14544">
        <w:t>ve</w:t>
      </w:r>
      <w:r w:rsidR="00AB6349">
        <w:t xml:space="preserve"> been impacted</w:t>
      </w:r>
      <w:r w:rsidR="00072456">
        <w:t>, for instance</w:t>
      </w:r>
      <w:r w:rsidR="00AB6349">
        <w:t xml:space="preserve">, by </w:t>
      </w:r>
      <w:r w:rsidR="00F93968">
        <w:t>the construction of defen</w:t>
      </w:r>
      <w:r w:rsidR="00BB2D59">
        <w:t>ce</w:t>
      </w:r>
      <w:r w:rsidR="00F93968">
        <w:t xml:space="preserve"> structures on both sides</w:t>
      </w:r>
      <w:r w:rsidR="00072456">
        <w:t xml:space="preserve">, </w:t>
      </w:r>
      <w:r w:rsidR="007E7AA7">
        <w:t>are also provided</w:t>
      </w:r>
      <w:r w:rsidR="00611307">
        <w:t xml:space="preserve"> </w:t>
      </w:r>
      <w:r w:rsidR="00190CBF">
        <w:t>in</w:t>
      </w:r>
      <w:r w:rsidR="00611307">
        <w:t xml:space="preserve"> </w:t>
      </w:r>
      <w:r w:rsidR="00611307" w:rsidRPr="00A76B84">
        <w:t xml:space="preserve">Section </w:t>
      </w:r>
      <w:r w:rsidR="00D56220" w:rsidRPr="00A76B84">
        <w:t>5.2</w:t>
      </w:r>
      <w:r w:rsidR="006069F1">
        <w:rPr>
          <w:i/>
          <w:iCs/>
        </w:rPr>
        <w:t xml:space="preserve"> </w:t>
      </w:r>
      <w:r w:rsidR="00D56220">
        <w:t>of the full assessment report</w:t>
      </w:r>
      <w:r w:rsidR="007E7AA7">
        <w:t>.</w:t>
      </w:r>
    </w:p>
    <w:p w14:paraId="4189632A" w14:textId="77777777" w:rsidR="0000376D" w:rsidRDefault="0000376D" w:rsidP="00101185">
      <w:pPr>
        <w:spacing w:after="0" w:line="240" w:lineRule="auto"/>
        <w:ind w:left="425" w:hanging="425"/>
      </w:pPr>
    </w:p>
    <w:p w14:paraId="7C46FBED" w14:textId="1DA6C14A" w:rsidR="004E55E5" w:rsidRDefault="00055B2B" w:rsidP="00101185">
      <w:pPr>
        <w:spacing w:after="0" w:line="240" w:lineRule="auto"/>
        <w:ind w:left="425" w:hanging="425"/>
      </w:pPr>
      <w:r>
        <w:t>23</w:t>
      </w:r>
      <w:r w:rsidR="0000376D">
        <w:t>.</w:t>
      </w:r>
      <w:r w:rsidR="0000376D">
        <w:tab/>
      </w:r>
      <w:r w:rsidR="00B75190">
        <w:t>Finally,</w:t>
      </w:r>
      <w:r w:rsidR="00510BE9">
        <w:t xml:space="preserve"> remediation</w:t>
      </w:r>
      <w:r w:rsidR="005129C0">
        <w:t xml:space="preserve"> measures </w:t>
      </w:r>
      <w:r w:rsidR="006837BA">
        <w:t xml:space="preserve">should </w:t>
      </w:r>
      <w:r w:rsidR="005129C0">
        <w:t>also aim to restore ecosystem services</w:t>
      </w:r>
      <w:r w:rsidR="00510BE9">
        <w:t xml:space="preserve"> to allow communities to recover</w:t>
      </w:r>
      <w:r w:rsidR="005B7996">
        <w:t xml:space="preserve"> soci</w:t>
      </w:r>
      <w:r w:rsidR="00835A11">
        <w:t xml:space="preserve">ally, </w:t>
      </w:r>
      <w:r w:rsidR="005B7996">
        <w:t>economically</w:t>
      </w:r>
      <w:r w:rsidR="00BE4EFB">
        <w:t xml:space="preserve">, </w:t>
      </w:r>
      <w:r w:rsidR="008717DC">
        <w:t>and</w:t>
      </w:r>
      <w:r w:rsidR="0028444B">
        <w:t xml:space="preserve"> </w:t>
      </w:r>
      <w:r w:rsidR="00E74994">
        <w:t>also</w:t>
      </w:r>
      <w:r w:rsidR="0008204D">
        <w:t xml:space="preserve"> for</w:t>
      </w:r>
      <w:r w:rsidR="00C135BB">
        <w:t xml:space="preserve"> their</w:t>
      </w:r>
      <w:r w:rsidR="005B7996">
        <w:t xml:space="preserve"> health and wellbeing</w:t>
      </w:r>
      <w:r w:rsidR="0008204D">
        <w:t>.</w:t>
      </w:r>
      <w:r w:rsidR="001D10E5">
        <w:t xml:space="preserve"> Food provision and water purification are essential </w:t>
      </w:r>
      <w:r w:rsidR="00520AF9">
        <w:t>wetland ecosystem services to be brought back to local populations.</w:t>
      </w:r>
      <w:r w:rsidR="0008204D">
        <w:t xml:space="preserve"> L</w:t>
      </w:r>
      <w:r w:rsidR="00510BE9">
        <w:t>ivelihood opportunities</w:t>
      </w:r>
      <w:r w:rsidR="0008204D">
        <w:t xml:space="preserve"> are also</w:t>
      </w:r>
      <w:r w:rsidR="00510BE9">
        <w:t xml:space="preserve"> to be recreated</w:t>
      </w:r>
      <w:r w:rsidR="0008204D">
        <w:t xml:space="preserve"> for more resilient communities</w:t>
      </w:r>
      <w:r w:rsidR="00300806">
        <w:t xml:space="preserve"> around wetlands</w:t>
      </w:r>
      <w:r w:rsidR="00125F92">
        <w:t xml:space="preserve">. </w:t>
      </w:r>
      <w:r w:rsidR="00CB5358">
        <w:t xml:space="preserve">The return of domestic tourism will be crucial to ensure communities’ wellbeing, but new </w:t>
      </w:r>
      <w:r w:rsidR="00FC4E23">
        <w:t xml:space="preserve">tourism </w:t>
      </w:r>
      <w:r w:rsidR="00CB5358">
        <w:t xml:space="preserve">regulation rules </w:t>
      </w:r>
      <w:r w:rsidR="00190CBF">
        <w:t xml:space="preserve">may </w:t>
      </w:r>
      <w:r w:rsidR="00CB5358">
        <w:t xml:space="preserve">be necessary both for security reasons and </w:t>
      </w:r>
      <w:r w:rsidR="00FC4E23">
        <w:t xml:space="preserve">for </w:t>
      </w:r>
      <w:r w:rsidR="001505D1">
        <w:t xml:space="preserve">ensuring the ecological recovery </w:t>
      </w:r>
      <w:r w:rsidR="006719ED">
        <w:t xml:space="preserve">of the Sites. </w:t>
      </w:r>
    </w:p>
    <w:p w14:paraId="3F188D2B" w14:textId="77777777" w:rsidR="004E55E5" w:rsidRDefault="004E55E5" w:rsidP="00101185">
      <w:pPr>
        <w:spacing w:after="0" w:line="240" w:lineRule="auto"/>
        <w:ind w:left="425" w:hanging="425"/>
      </w:pPr>
    </w:p>
    <w:p w14:paraId="7D09F7D9" w14:textId="73DE3D1A" w:rsidR="005648F4" w:rsidRPr="002F0AFB" w:rsidRDefault="00055B2B" w:rsidP="00101185">
      <w:pPr>
        <w:spacing w:after="0" w:line="240" w:lineRule="auto"/>
        <w:ind w:left="425" w:hanging="425"/>
      </w:pPr>
      <w:r>
        <w:t>24</w:t>
      </w:r>
      <w:r w:rsidR="004E55E5">
        <w:t xml:space="preserve">. </w:t>
      </w:r>
      <w:r w:rsidR="004E55E5">
        <w:tab/>
      </w:r>
      <w:r w:rsidR="005F461B">
        <w:t>Th</w:t>
      </w:r>
      <w:r w:rsidR="00595CE3">
        <w:t xml:space="preserve">e </w:t>
      </w:r>
      <w:r w:rsidR="004E55E5">
        <w:t>assessment</w:t>
      </w:r>
      <w:r w:rsidR="00595CE3">
        <w:t xml:space="preserve"> </w:t>
      </w:r>
      <w:r w:rsidR="003022C8">
        <w:t>underlines</w:t>
      </w:r>
      <w:r w:rsidR="00595CE3">
        <w:t xml:space="preserve"> the need for a </w:t>
      </w:r>
      <w:r w:rsidR="00FD7181">
        <w:t xml:space="preserve">long-term, </w:t>
      </w:r>
      <w:r w:rsidR="00595CE3" w:rsidRPr="002C4026">
        <w:t>comprehensive environmental monitoring programme to accurately determine the full</w:t>
      </w:r>
      <w:r w:rsidR="00F32312" w:rsidRPr="002C4026">
        <w:t xml:space="preserve"> </w:t>
      </w:r>
      <w:r w:rsidR="00595CE3" w:rsidRPr="002C4026">
        <w:t>range and degree of damage inflicted upon Ukraine’s Wetlands of International Importance from the Russian invasion.</w:t>
      </w:r>
      <w:r w:rsidR="004E55E5" w:rsidRPr="002C4026">
        <w:t xml:space="preserve"> </w:t>
      </w:r>
      <w:r w:rsidR="007D3922" w:rsidRPr="002C4026">
        <w:t>T</w:t>
      </w:r>
      <w:r w:rsidR="004E55E5" w:rsidRPr="002C4026">
        <w:t xml:space="preserve">he </w:t>
      </w:r>
      <w:r w:rsidR="00252A40" w:rsidRPr="002C4026">
        <w:t xml:space="preserve">full </w:t>
      </w:r>
      <w:r w:rsidR="004E55E5" w:rsidRPr="002C4026">
        <w:t>assessment report presents the status</w:t>
      </w:r>
      <w:r w:rsidR="00F4312A" w:rsidRPr="002C4026">
        <w:t xml:space="preserve"> as of </w:t>
      </w:r>
      <w:r w:rsidR="00121FD9" w:rsidRPr="002C4026">
        <w:t>Janu</w:t>
      </w:r>
      <w:r w:rsidR="00F4312A" w:rsidRPr="002C4026">
        <w:t>ary 2025</w:t>
      </w:r>
      <w:r w:rsidR="007D3922" w:rsidRPr="002C4026">
        <w:t>. As the war is still ongoing</w:t>
      </w:r>
      <w:r w:rsidR="004E55E5" w:rsidRPr="002C4026">
        <w:t xml:space="preserve">, </w:t>
      </w:r>
      <w:r w:rsidR="00121FD9" w:rsidRPr="002C4026">
        <w:t xml:space="preserve">further </w:t>
      </w:r>
      <w:r w:rsidR="004E55E5" w:rsidRPr="002C4026">
        <w:t>changes</w:t>
      </w:r>
      <w:r w:rsidR="00121FD9" w:rsidRPr="002C4026">
        <w:t xml:space="preserve"> in </w:t>
      </w:r>
      <w:r w:rsidR="0050163E" w:rsidRPr="002C4026">
        <w:t xml:space="preserve">the </w:t>
      </w:r>
      <w:r w:rsidR="00121FD9" w:rsidRPr="002C4026">
        <w:t>ecological character</w:t>
      </w:r>
      <w:r w:rsidR="004E55E5" w:rsidRPr="002C4026">
        <w:t xml:space="preserve"> </w:t>
      </w:r>
      <w:r w:rsidR="0050163E" w:rsidRPr="002C4026">
        <w:t xml:space="preserve">of Wetlands of International Importance </w:t>
      </w:r>
      <w:r w:rsidR="004E55E5" w:rsidRPr="002C4026">
        <w:t>may be occurring and the extent of impacts may change</w:t>
      </w:r>
      <w:r w:rsidR="003A5A14" w:rsidRPr="002C4026">
        <w:t xml:space="preserve">. </w:t>
      </w:r>
      <w:r w:rsidR="0050163E" w:rsidRPr="002C4026">
        <w:t xml:space="preserve">While </w:t>
      </w:r>
      <w:r w:rsidR="004E55E5" w:rsidRPr="002C4026">
        <w:t>most of the recommendations for responses</w:t>
      </w:r>
      <w:r w:rsidR="004E55E5" w:rsidRPr="004E55E5">
        <w:t xml:space="preserve"> </w:t>
      </w:r>
      <w:r w:rsidR="00EA122F">
        <w:t xml:space="preserve">made in </w:t>
      </w:r>
      <w:r w:rsidR="00252A40">
        <w:t>the full assessment report</w:t>
      </w:r>
      <w:r w:rsidR="00EA122F">
        <w:t xml:space="preserve"> </w:t>
      </w:r>
      <w:r w:rsidR="004E55E5" w:rsidRPr="004E55E5">
        <w:t>are expected to remain valid,</w:t>
      </w:r>
      <w:r w:rsidR="000E1E77">
        <w:t xml:space="preserve"> </w:t>
      </w:r>
      <w:r w:rsidR="004E55E5" w:rsidRPr="004E55E5">
        <w:t>more specific planning of remedial measures may require further assessment and analysis</w:t>
      </w:r>
      <w:r w:rsidR="000E1E77">
        <w:t>.</w:t>
      </w:r>
    </w:p>
    <w:sectPr w:rsidR="005648F4" w:rsidRPr="002F0AFB" w:rsidSect="00101185">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73C6" w14:textId="77777777" w:rsidR="00E016CB" w:rsidRDefault="00E016CB" w:rsidP="005648F4">
      <w:pPr>
        <w:spacing w:after="0" w:line="240" w:lineRule="auto"/>
      </w:pPr>
      <w:r>
        <w:separator/>
      </w:r>
    </w:p>
  </w:endnote>
  <w:endnote w:type="continuationSeparator" w:id="0">
    <w:p w14:paraId="37FC6334" w14:textId="77777777" w:rsidR="00E016CB" w:rsidRDefault="00E016CB" w:rsidP="0056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1AD2" w14:textId="45B14353" w:rsidR="005648F4" w:rsidRDefault="00275AA5" w:rsidP="00BA35CD">
    <w:pPr>
      <w:pStyle w:val="Header"/>
      <w:tabs>
        <w:tab w:val="clear" w:pos="4513"/>
        <w:tab w:val="clear" w:pos="9026"/>
        <w:tab w:val="right" w:pos="14040"/>
      </w:tabs>
      <w:rPr>
        <w:noProof/>
      </w:rPr>
    </w:pPr>
    <w:r>
      <w:rPr>
        <w:sz w:val="20"/>
        <w:szCs w:val="20"/>
      </w:rPr>
      <w:t>COP15</w:t>
    </w:r>
    <w:r w:rsidR="005648F4">
      <w:rPr>
        <w:sz w:val="20"/>
        <w:szCs w:val="20"/>
      </w:rPr>
      <w:t xml:space="preserve"> Doc.</w:t>
    </w:r>
    <w:r w:rsidR="000231F7">
      <w:rPr>
        <w:sz w:val="20"/>
        <w:szCs w:val="20"/>
      </w:rPr>
      <w:t>16</w:t>
    </w:r>
    <w:sdt>
      <w:sdtPr>
        <w:id w:val="134461106"/>
        <w:docPartObj>
          <w:docPartGallery w:val="Page Numbers (Top of Page)"/>
          <w:docPartUnique/>
        </w:docPartObj>
      </w:sdtPr>
      <w:sdtEndPr>
        <w:rPr>
          <w:noProof/>
        </w:rPr>
      </w:sdtEndPr>
      <w:sdtContent>
        <w:r w:rsidR="005648F4">
          <w:rPr>
            <w:sz w:val="20"/>
            <w:szCs w:val="20"/>
          </w:rPr>
          <w:tab/>
        </w:r>
        <w:r w:rsidR="005648F4" w:rsidRPr="00406F37">
          <w:rPr>
            <w:sz w:val="20"/>
            <w:szCs w:val="20"/>
          </w:rPr>
          <w:fldChar w:fldCharType="begin"/>
        </w:r>
        <w:r w:rsidR="005648F4" w:rsidRPr="00406F37">
          <w:rPr>
            <w:sz w:val="20"/>
            <w:szCs w:val="20"/>
          </w:rPr>
          <w:instrText xml:space="preserve"> PAGE   \* MERGEFORMAT </w:instrText>
        </w:r>
        <w:r w:rsidR="005648F4" w:rsidRPr="00406F37">
          <w:rPr>
            <w:sz w:val="20"/>
            <w:szCs w:val="20"/>
          </w:rPr>
          <w:fldChar w:fldCharType="separate"/>
        </w:r>
        <w:r w:rsidR="005648F4">
          <w:rPr>
            <w:noProof/>
            <w:sz w:val="20"/>
            <w:szCs w:val="20"/>
          </w:rPr>
          <w:t>4</w:t>
        </w:r>
        <w:r w:rsidR="005648F4" w:rsidRPr="00406F37">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F9C24" w14:textId="77777777" w:rsidR="00E016CB" w:rsidRDefault="00E016CB" w:rsidP="005648F4">
      <w:pPr>
        <w:spacing w:after="0" w:line="240" w:lineRule="auto"/>
      </w:pPr>
      <w:r>
        <w:separator/>
      </w:r>
    </w:p>
  </w:footnote>
  <w:footnote w:type="continuationSeparator" w:id="0">
    <w:p w14:paraId="4FB35692" w14:textId="77777777" w:rsidR="00E016CB" w:rsidRDefault="00E016CB" w:rsidP="005648F4">
      <w:pPr>
        <w:spacing w:after="0" w:line="240" w:lineRule="auto"/>
      </w:pPr>
      <w:r>
        <w:continuationSeparator/>
      </w:r>
    </w:p>
  </w:footnote>
  <w:footnote w:id="1">
    <w:p w14:paraId="34B5F2A5" w14:textId="54D86518" w:rsidR="00136D20" w:rsidRDefault="00136D20" w:rsidP="00CF5EF1">
      <w:pPr>
        <w:pStyle w:val="FootnoteText"/>
        <w:ind w:left="0" w:firstLine="0"/>
      </w:pPr>
      <w:r w:rsidRPr="00CF5EF1">
        <w:rPr>
          <w:rStyle w:val="FootnoteReference"/>
        </w:rPr>
        <w:footnoteRef/>
      </w:r>
      <w:r w:rsidRPr="00CF5EF1">
        <w:t xml:space="preserve"> </w:t>
      </w:r>
      <w:r w:rsidR="00CF5EF1" w:rsidRPr="00CF5EF1">
        <w:t xml:space="preserve">See </w:t>
      </w:r>
      <w:hyperlink r:id="rId1" w:history="1">
        <w:r w:rsidR="00CF5EF1" w:rsidRPr="00CF5EF1">
          <w:rPr>
            <w:rStyle w:val="Hyperlink"/>
          </w:rPr>
          <w:t>https://www.ramsar.org/document/cop15-inf2-implementation-resolution-xiv20-final-assessment-report-environmental-damage</w:t>
        </w:r>
      </w:hyperlink>
      <w:r w:rsidR="00CF5EF1" w:rsidRPr="00CF5EF1">
        <w:t>.</w:t>
      </w:r>
      <w:r w:rsidR="00CF5EF1">
        <w:t xml:space="preserve"> </w:t>
      </w:r>
    </w:p>
  </w:footnote>
  <w:footnote w:id="2">
    <w:p w14:paraId="50AF7364" w14:textId="5FABD3A8" w:rsidR="00813603" w:rsidRDefault="00813603" w:rsidP="00813603">
      <w:pPr>
        <w:pStyle w:val="FootnoteText"/>
      </w:pPr>
      <w:r>
        <w:rPr>
          <w:rStyle w:val="FootnoteReference"/>
        </w:rPr>
        <w:footnoteRef/>
      </w:r>
      <w:r>
        <w:t xml:space="preserve"> </w:t>
      </w:r>
      <w:hyperlink r:id="rId2" w:history="1">
        <w:r w:rsidRPr="008717DC">
          <w:rPr>
            <w:rStyle w:val="Hyperlink"/>
          </w:rPr>
          <w:t>https://www.ramsar.org/document/sc62-doc24-rev1-update-secretariat-implementation-resolution-xiv20</w:t>
        </w:r>
      </w:hyperlink>
    </w:p>
  </w:footnote>
  <w:footnote w:id="3">
    <w:p w14:paraId="3DC04F71" w14:textId="51FA1F7B" w:rsidR="00813603" w:rsidRDefault="00813603">
      <w:pPr>
        <w:pStyle w:val="FootnoteText"/>
      </w:pPr>
      <w:r>
        <w:rPr>
          <w:rStyle w:val="FootnoteReference"/>
        </w:rPr>
        <w:footnoteRef/>
      </w:r>
      <w:r>
        <w:t xml:space="preserve"> </w:t>
      </w:r>
      <w:hyperlink r:id="rId3" w:history="1">
        <w:r w:rsidRPr="008717DC">
          <w:rPr>
            <w:rStyle w:val="Hyperlink"/>
          </w:rPr>
          <w:t>https://www.ramsar.org/document/sc63-doc24-update-secretariat-implementation-resolution-xiv20</w:t>
        </w:r>
      </w:hyperlink>
    </w:p>
  </w:footnote>
  <w:footnote w:id="4">
    <w:p w14:paraId="259C2047" w14:textId="14784917" w:rsidR="00813603" w:rsidRDefault="00813603">
      <w:pPr>
        <w:pStyle w:val="FootnoteText"/>
      </w:pPr>
      <w:r>
        <w:rPr>
          <w:rStyle w:val="FootnoteReference"/>
        </w:rPr>
        <w:footnoteRef/>
      </w:r>
      <w:r>
        <w:t xml:space="preserve"> </w:t>
      </w:r>
      <w:hyperlink r:id="rId4" w:history="1">
        <w:r w:rsidR="008717DC">
          <w:rPr>
            <w:rStyle w:val="Hyperlink"/>
          </w:rPr>
          <w:t>https://www.ramsar.org/document/sc64-doc28-update-secretariat-implementation-resolution-xiv20</w:t>
        </w:r>
      </w:hyperlink>
    </w:p>
  </w:footnote>
  <w:footnote w:id="5">
    <w:p w14:paraId="035AE72A" w14:textId="61F65B1B" w:rsidR="00B815C5" w:rsidRDefault="00B815C5">
      <w:pPr>
        <w:pStyle w:val="FootnoteText"/>
      </w:pPr>
      <w:r>
        <w:rPr>
          <w:rStyle w:val="FootnoteReference"/>
        </w:rPr>
        <w:footnoteRef/>
      </w:r>
      <w:r>
        <w:t xml:space="preserve"> </w:t>
      </w:r>
      <w:hyperlink r:id="rId5" w:history="1">
        <w:r w:rsidRPr="008717DC">
          <w:rPr>
            <w:rStyle w:val="Hyperlink"/>
          </w:rPr>
          <w:t>https://rsis.ramsar.org/</w:t>
        </w:r>
      </w:hyperlink>
    </w:p>
  </w:footnote>
  <w:footnote w:id="6">
    <w:p w14:paraId="0326B43C" w14:textId="6CA2F117" w:rsidR="003B2A00" w:rsidRDefault="003B2A00" w:rsidP="00A76B84">
      <w:pPr>
        <w:pStyle w:val="FootnoteText"/>
        <w:ind w:left="0" w:firstLine="0"/>
      </w:pPr>
      <w:r>
        <w:rPr>
          <w:rStyle w:val="FootnoteReference"/>
        </w:rPr>
        <w:footnoteRef/>
      </w:r>
      <w:r>
        <w:t xml:space="preserve"> Fo</w:t>
      </w:r>
      <w:r w:rsidR="00131824">
        <w:t>r</w:t>
      </w:r>
      <w:r>
        <w:t xml:space="preserve"> details</w:t>
      </w:r>
      <w:r w:rsidR="00131824">
        <w:t xml:space="preserve"> and references</w:t>
      </w:r>
      <w:r>
        <w:t xml:space="preserve">, please </w:t>
      </w:r>
      <w:r w:rsidR="00131824">
        <w:t xml:space="preserve">refer to </w:t>
      </w:r>
      <w:r w:rsidR="00131824" w:rsidRPr="00445ADE">
        <w:rPr>
          <w:i/>
          <w:iCs/>
        </w:rPr>
        <w:t xml:space="preserve">Section 4.1 Literature </w:t>
      </w:r>
      <w:r w:rsidR="00131824" w:rsidRPr="00250E08">
        <w:rPr>
          <w:i/>
          <w:iCs/>
        </w:rPr>
        <w:t>Review</w:t>
      </w:r>
      <w:r w:rsidR="00131824" w:rsidRPr="00250E08">
        <w:t xml:space="preserve"> in </w:t>
      </w:r>
      <w:r w:rsidR="00252A40">
        <w:t xml:space="preserve">information document </w:t>
      </w:r>
      <w:r w:rsidR="00252A40">
        <w:br/>
      </w:r>
      <w:r w:rsidR="00131824" w:rsidRPr="00250E08">
        <w:t>COP15 Inf</w:t>
      </w:r>
      <w:r w:rsidR="007D336D" w:rsidRPr="00250E08">
        <w:t>.2</w:t>
      </w:r>
      <w:r w:rsidR="00131824" w:rsidRPr="00250E08">
        <w:t>.</w:t>
      </w:r>
    </w:p>
  </w:footnote>
  <w:footnote w:id="7">
    <w:p w14:paraId="6F081C50" w14:textId="0D0B5E76" w:rsidR="0026701F" w:rsidRDefault="0026701F">
      <w:pPr>
        <w:pStyle w:val="FootnoteText"/>
      </w:pPr>
      <w:r>
        <w:rPr>
          <w:rStyle w:val="FootnoteReference"/>
        </w:rPr>
        <w:footnoteRef/>
      </w:r>
      <w:r>
        <w:t xml:space="preserve"> </w:t>
      </w:r>
      <w:hyperlink r:id="rId6" w:history="1">
        <w:r w:rsidR="008717DC" w:rsidRPr="008717DC">
          <w:rPr>
            <w:rStyle w:val="Hyperlink"/>
          </w:rPr>
          <w:t>https://globalplatform.undrr.org/2025/about-gp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82AE9"/>
    <w:multiLevelType w:val="multilevel"/>
    <w:tmpl w:val="B35EC348"/>
    <w:lvl w:ilvl="0">
      <w:start w:val="4"/>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C654CB"/>
    <w:multiLevelType w:val="hybridMultilevel"/>
    <w:tmpl w:val="70A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B3CEA"/>
    <w:multiLevelType w:val="hybridMultilevel"/>
    <w:tmpl w:val="3AB6A4D8"/>
    <w:lvl w:ilvl="0" w:tplc="81086F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D7EE4"/>
    <w:multiLevelType w:val="hybridMultilevel"/>
    <w:tmpl w:val="116A66C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25455D"/>
    <w:multiLevelType w:val="hybridMultilevel"/>
    <w:tmpl w:val="5EE2971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72775B"/>
    <w:multiLevelType w:val="multilevel"/>
    <w:tmpl w:val="90941AD0"/>
    <w:lvl w:ilvl="0">
      <w:start w:val="1"/>
      <w:numFmt w:val="decimal"/>
      <w:pStyle w:val="Heading1"/>
      <w:lvlText w:val="%1."/>
      <w:lvlJc w:val="right"/>
      <w:pPr>
        <w:ind w:left="360" w:hanging="360"/>
      </w:pPr>
    </w:lvl>
    <w:lvl w:ilvl="1">
      <w:start w:val="1"/>
      <w:numFmt w:val="decimal"/>
      <w:pStyle w:val="Heading2"/>
      <w:lvlText w:val="%1.%2."/>
      <w:lvlJc w:val="right"/>
      <w:pPr>
        <w:ind w:left="1080" w:hanging="360"/>
      </w:pPr>
    </w:lvl>
    <w:lvl w:ilvl="2">
      <w:start w:val="1"/>
      <w:numFmt w:val="decimal"/>
      <w:pStyle w:val="Heading3"/>
      <w:lvlText w:val="%1.%2.%3."/>
      <w:lvlJc w:val="right"/>
      <w:pPr>
        <w:ind w:left="179" w:hanging="179"/>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16cid:durableId="1759136677">
    <w:abstractNumId w:val="2"/>
  </w:num>
  <w:num w:numId="2" w16cid:durableId="1626498374">
    <w:abstractNumId w:val="3"/>
  </w:num>
  <w:num w:numId="3" w16cid:durableId="1615405949">
    <w:abstractNumId w:val="4"/>
  </w:num>
  <w:num w:numId="4" w16cid:durableId="619068046">
    <w:abstractNumId w:val="1"/>
  </w:num>
  <w:num w:numId="5" w16cid:durableId="527452437">
    <w:abstractNumId w:val="5"/>
  </w:num>
  <w:num w:numId="6" w16cid:durableId="30770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61"/>
    <w:rsid w:val="0000376D"/>
    <w:rsid w:val="000121F8"/>
    <w:rsid w:val="00020C64"/>
    <w:rsid w:val="000224D9"/>
    <w:rsid w:val="000230B8"/>
    <w:rsid w:val="000231F7"/>
    <w:rsid w:val="00027798"/>
    <w:rsid w:val="00033245"/>
    <w:rsid w:val="00042E32"/>
    <w:rsid w:val="00047CA0"/>
    <w:rsid w:val="00055B2B"/>
    <w:rsid w:val="00061CD5"/>
    <w:rsid w:val="00061F69"/>
    <w:rsid w:val="0006335D"/>
    <w:rsid w:val="00072456"/>
    <w:rsid w:val="00075CB0"/>
    <w:rsid w:val="000776FC"/>
    <w:rsid w:val="0008204D"/>
    <w:rsid w:val="00084FF2"/>
    <w:rsid w:val="0008562F"/>
    <w:rsid w:val="000925B2"/>
    <w:rsid w:val="00092C59"/>
    <w:rsid w:val="00094371"/>
    <w:rsid w:val="000A0613"/>
    <w:rsid w:val="000A4623"/>
    <w:rsid w:val="000B1797"/>
    <w:rsid w:val="000B223A"/>
    <w:rsid w:val="000B534B"/>
    <w:rsid w:val="000C089E"/>
    <w:rsid w:val="000D510F"/>
    <w:rsid w:val="000D7194"/>
    <w:rsid w:val="000E04CA"/>
    <w:rsid w:val="000E069D"/>
    <w:rsid w:val="000E119C"/>
    <w:rsid w:val="000E13E9"/>
    <w:rsid w:val="000E1747"/>
    <w:rsid w:val="000E1E77"/>
    <w:rsid w:val="000E32F3"/>
    <w:rsid w:val="000E37D0"/>
    <w:rsid w:val="000E4D0B"/>
    <w:rsid w:val="000F2531"/>
    <w:rsid w:val="000F3BFA"/>
    <w:rsid w:val="000F6EDB"/>
    <w:rsid w:val="00101185"/>
    <w:rsid w:val="0010395F"/>
    <w:rsid w:val="00115B2A"/>
    <w:rsid w:val="00121C53"/>
    <w:rsid w:val="00121FD9"/>
    <w:rsid w:val="00122099"/>
    <w:rsid w:val="00125105"/>
    <w:rsid w:val="00125F92"/>
    <w:rsid w:val="001260FC"/>
    <w:rsid w:val="00130433"/>
    <w:rsid w:val="00131824"/>
    <w:rsid w:val="00133FDC"/>
    <w:rsid w:val="001355C6"/>
    <w:rsid w:val="00135AF6"/>
    <w:rsid w:val="00136D20"/>
    <w:rsid w:val="0014022D"/>
    <w:rsid w:val="001402FC"/>
    <w:rsid w:val="00142548"/>
    <w:rsid w:val="001461ED"/>
    <w:rsid w:val="001465E1"/>
    <w:rsid w:val="00146B6C"/>
    <w:rsid w:val="00150373"/>
    <w:rsid w:val="001505D1"/>
    <w:rsid w:val="001507F2"/>
    <w:rsid w:val="00155A5C"/>
    <w:rsid w:val="0016008F"/>
    <w:rsid w:val="00161FAF"/>
    <w:rsid w:val="0016235A"/>
    <w:rsid w:val="00162CC0"/>
    <w:rsid w:val="00163660"/>
    <w:rsid w:val="00167176"/>
    <w:rsid w:val="00170095"/>
    <w:rsid w:val="0017397E"/>
    <w:rsid w:val="001820C2"/>
    <w:rsid w:val="00190CBF"/>
    <w:rsid w:val="0019224A"/>
    <w:rsid w:val="001949C8"/>
    <w:rsid w:val="001973ED"/>
    <w:rsid w:val="001A2C70"/>
    <w:rsid w:val="001A4909"/>
    <w:rsid w:val="001A4CE3"/>
    <w:rsid w:val="001A5AF3"/>
    <w:rsid w:val="001B090E"/>
    <w:rsid w:val="001B2435"/>
    <w:rsid w:val="001B24DB"/>
    <w:rsid w:val="001B4251"/>
    <w:rsid w:val="001B44DD"/>
    <w:rsid w:val="001D10E5"/>
    <w:rsid w:val="001E07F1"/>
    <w:rsid w:val="001E3E5D"/>
    <w:rsid w:val="001E68C6"/>
    <w:rsid w:val="001F21F6"/>
    <w:rsid w:val="001F2993"/>
    <w:rsid w:val="001F6CAC"/>
    <w:rsid w:val="00203AB5"/>
    <w:rsid w:val="00204902"/>
    <w:rsid w:val="00205E3B"/>
    <w:rsid w:val="00207643"/>
    <w:rsid w:val="00207EC7"/>
    <w:rsid w:val="00213BE2"/>
    <w:rsid w:val="00215AE7"/>
    <w:rsid w:val="002179D5"/>
    <w:rsid w:val="00221997"/>
    <w:rsid w:val="00223495"/>
    <w:rsid w:val="0022760C"/>
    <w:rsid w:val="00232D49"/>
    <w:rsid w:val="00233CA7"/>
    <w:rsid w:val="0023673E"/>
    <w:rsid w:val="0024083A"/>
    <w:rsid w:val="00240A3B"/>
    <w:rsid w:val="00241C6E"/>
    <w:rsid w:val="00244189"/>
    <w:rsid w:val="00246651"/>
    <w:rsid w:val="0025028A"/>
    <w:rsid w:val="00250E08"/>
    <w:rsid w:val="00252A40"/>
    <w:rsid w:val="0025581D"/>
    <w:rsid w:val="00264D13"/>
    <w:rsid w:val="0026701F"/>
    <w:rsid w:val="0026714D"/>
    <w:rsid w:val="00267D54"/>
    <w:rsid w:val="002748C1"/>
    <w:rsid w:val="00275AA5"/>
    <w:rsid w:val="00280194"/>
    <w:rsid w:val="002811BA"/>
    <w:rsid w:val="0028444B"/>
    <w:rsid w:val="0028772C"/>
    <w:rsid w:val="00287AA8"/>
    <w:rsid w:val="002B12FE"/>
    <w:rsid w:val="002B2A4B"/>
    <w:rsid w:val="002B7D5C"/>
    <w:rsid w:val="002C1AE2"/>
    <w:rsid w:val="002C3E05"/>
    <w:rsid w:val="002C4026"/>
    <w:rsid w:val="002C7B29"/>
    <w:rsid w:val="002D17A1"/>
    <w:rsid w:val="002E0308"/>
    <w:rsid w:val="002E041B"/>
    <w:rsid w:val="002F0AFB"/>
    <w:rsid w:val="002F163A"/>
    <w:rsid w:val="002F3AEC"/>
    <w:rsid w:val="002F5FA0"/>
    <w:rsid w:val="002F7479"/>
    <w:rsid w:val="00300806"/>
    <w:rsid w:val="003022C8"/>
    <w:rsid w:val="00302FD5"/>
    <w:rsid w:val="00306B6B"/>
    <w:rsid w:val="003111DB"/>
    <w:rsid w:val="003120DC"/>
    <w:rsid w:val="00315589"/>
    <w:rsid w:val="00317F4F"/>
    <w:rsid w:val="00322BE6"/>
    <w:rsid w:val="00323981"/>
    <w:rsid w:val="00333EEA"/>
    <w:rsid w:val="003345BB"/>
    <w:rsid w:val="00335755"/>
    <w:rsid w:val="00337108"/>
    <w:rsid w:val="0035044E"/>
    <w:rsid w:val="003515EA"/>
    <w:rsid w:val="00361F19"/>
    <w:rsid w:val="00371EF5"/>
    <w:rsid w:val="0038313A"/>
    <w:rsid w:val="00386F37"/>
    <w:rsid w:val="00393FB8"/>
    <w:rsid w:val="003A4BEA"/>
    <w:rsid w:val="003A5A14"/>
    <w:rsid w:val="003B2A00"/>
    <w:rsid w:val="003B4435"/>
    <w:rsid w:val="003B5BD2"/>
    <w:rsid w:val="003C2B10"/>
    <w:rsid w:val="003D31C4"/>
    <w:rsid w:val="003E1D0C"/>
    <w:rsid w:val="003E6BB1"/>
    <w:rsid w:val="00401B85"/>
    <w:rsid w:val="0041198F"/>
    <w:rsid w:val="00412155"/>
    <w:rsid w:val="00414780"/>
    <w:rsid w:val="00421EEA"/>
    <w:rsid w:val="004222CD"/>
    <w:rsid w:val="00441A50"/>
    <w:rsid w:val="0044583E"/>
    <w:rsid w:val="00445ADE"/>
    <w:rsid w:val="00446BCB"/>
    <w:rsid w:val="00450875"/>
    <w:rsid w:val="0045108F"/>
    <w:rsid w:val="00454B92"/>
    <w:rsid w:val="00474185"/>
    <w:rsid w:val="00476587"/>
    <w:rsid w:val="00476D81"/>
    <w:rsid w:val="00482B15"/>
    <w:rsid w:val="00494247"/>
    <w:rsid w:val="00494980"/>
    <w:rsid w:val="00497D8D"/>
    <w:rsid w:val="004A058A"/>
    <w:rsid w:val="004A0762"/>
    <w:rsid w:val="004A42DB"/>
    <w:rsid w:val="004A447B"/>
    <w:rsid w:val="004B5BB4"/>
    <w:rsid w:val="004C2F6F"/>
    <w:rsid w:val="004C71F0"/>
    <w:rsid w:val="004D1ECD"/>
    <w:rsid w:val="004D31FE"/>
    <w:rsid w:val="004D412F"/>
    <w:rsid w:val="004D7D21"/>
    <w:rsid w:val="004E26C5"/>
    <w:rsid w:val="004E3B4D"/>
    <w:rsid w:val="004E463C"/>
    <w:rsid w:val="004E55E5"/>
    <w:rsid w:val="0050163E"/>
    <w:rsid w:val="00505124"/>
    <w:rsid w:val="005055C0"/>
    <w:rsid w:val="00506604"/>
    <w:rsid w:val="00507062"/>
    <w:rsid w:val="00510BE9"/>
    <w:rsid w:val="0051220D"/>
    <w:rsid w:val="005129C0"/>
    <w:rsid w:val="00514B63"/>
    <w:rsid w:val="00520354"/>
    <w:rsid w:val="005208C1"/>
    <w:rsid w:val="00520AF9"/>
    <w:rsid w:val="0052103B"/>
    <w:rsid w:val="0052256C"/>
    <w:rsid w:val="005236CB"/>
    <w:rsid w:val="0052736A"/>
    <w:rsid w:val="0053136F"/>
    <w:rsid w:val="0053426A"/>
    <w:rsid w:val="005368A9"/>
    <w:rsid w:val="005425F9"/>
    <w:rsid w:val="00544F74"/>
    <w:rsid w:val="005451AE"/>
    <w:rsid w:val="00546935"/>
    <w:rsid w:val="00551108"/>
    <w:rsid w:val="005562CA"/>
    <w:rsid w:val="005566F8"/>
    <w:rsid w:val="005612A7"/>
    <w:rsid w:val="005648F4"/>
    <w:rsid w:val="00565681"/>
    <w:rsid w:val="00567E28"/>
    <w:rsid w:val="005736D6"/>
    <w:rsid w:val="00575F2E"/>
    <w:rsid w:val="005765F0"/>
    <w:rsid w:val="00576B90"/>
    <w:rsid w:val="00582F9D"/>
    <w:rsid w:val="00584971"/>
    <w:rsid w:val="00592729"/>
    <w:rsid w:val="00592ADB"/>
    <w:rsid w:val="00594624"/>
    <w:rsid w:val="00595CE3"/>
    <w:rsid w:val="005A46A5"/>
    <w:rsid w:val="005B0B1F"/>
    <w:rsid w:val="005B7996"/>
    <w:rsid w:val="005D2876"/>
    <w:rsid w:val="005D45E4"/>
    <w:rsid w:val="005E0467"/>
    <w:rsid w:val="005E1A87"/>
    <w:rsid w:val="005E55CC"/>
    <w:rsid w:val="005E741F"/>
    <w:rsid w:val="005F461B"/>
    <w:rsid w:val="005F54DC"/>
    <w:rsid w:val="00600E2B"/>
    <w:rsid w:val="0060204C"/>
    <w:rsid w:val="006069F1"/>
    <w:rsid w:val="00606F64"/>
    <w:rsid w:val="00607B87"/>
    <w:rsid w:val="00611307"/>
    <w:rsid w:val="006126EB"/>
    <w:rsid w:val="00613948"/>
    <w:rsid w:val="00614F6C"/>
    <w:rsid w:val="00616C9A"/>
    <w:rsid w:val="006173A0"/>
    <w:rsid w:val="00622BAF"/>
    <w:rsid w:val="006235B6"/>
    <w:rsid w:val="00623FC8"/>
    <w:rsid w:val="0063241A"/>
    <w:rsid w:val="006350C1"/>
    <w:rsid w:val="0063555C"/>
    <w:rsid w:val="00635A4A"/>
    <w:rsid w:val="00637654"/>
    <w:rsid w:val="00641276"/>
    <w:rsid w:val="006440D4"/>
    <w:rsid w:val="00644C93"/>
    <w:rsid w:val="0064776F"/>
    <w:rsid w:val="006509BC"/>
    <w:rsid w:val="00656575"/>
    <w:rsid w:val="00660138"/>
    <w:rsid w:val="006719ED"/>
    <w:rsid w:val="006720F7"/>
    <w:rsid w:val="006760D7"/>
    <w:rsid w:val="0068347C"/>
    <w:rsid w:val="006837BA"/>
    <w:rsid w:val="006865B5"/>
    <w:rsid w:val="00686809"/>
    <w:rsid w:val="00686880"/>
    <w:rsid w:val="00690134"/>
    <w:rsid w:val="00690915"/>
    <w:rsid w:val="00690A66"/>
    <w:rsid w:val="006A3FDC"/>
    <w:rsid w:val="006A727D"/>
    <w:rsid w:val="006B0D66"/>
    <w:rsid w:val="006B11EC"/>
    <w:rsid w:val="006B12B5"/>
    <w:rsid w:val="006B2284"/>
    <w:rsid w:val="006B2539"/>
    <w:rsid w:val="006B403E"/>
    <w:rsid w:val="006C06B8"/>
    <w:rsid w:val="006C14B2"/>
    <w:rsid w:val="006C672C"/>
    <w:rsid w:val="006D3D4A"/>
    <w:rsid w:val="006D63CB"/>
    <w:rsid w:val="006E1813"/>
    <w:rsid w:val="006E69A5"/>
    <w:rsid w:val="006F6E60"/>
    <w:rsid w:val="006F6F2B"/>
    <w:rsid w:val="00710C59"/>
    <w:rsid w:val="0071273B"/>
    <w:rsid w:val="00714540"/>
    <w:rsid w:val="00720F93"/>
    <w:rsid w:val="007251E7"/>
    <w:rsid w:val="00725AEF"/>
    <w:rsid w:val="0072779B"/>
    <w:rsid w:val="00733695"/>
    <w:rsid w:val="00736852"/>
    <w:rsid w:val="00740B3C"/>
    <w:rsid w:val="00755598"/>
    <w:rsid w:val="00760DDF"/>
    <w:rsid w:val="00762396"/>
    <w:rsid w:val="0076415D"/>
    <w:rsid w:val="00776C53"/>
    <w:rsid w:val="0078117A"/>
    <w:rsid w:val="007818A8"/>
    <w:rsid w:val="00782ABA"/>
    <w:rsid w:val="00784C00"/>
    <w:rsid w:val="00784D47"/>
    <w:rsid w:val="00787401"/>
    <w:rsid w:val="007925B6"/>
    <w:rsid w:val="00794227"/>
    <w:rsid w:val="007944F6"/>
    <w:rsid w:val="007A1A17"/>
    <w:rsid w:val="007B347E"/>
    <w:rsid w:val="007B51D2"/>
    <w:rsid w:val="007C02C4"/>
    <w:rsid w:val="007C089D"/>
    <w:rsid w:val="007C560B"/>
    <w:rsid w:val="007C5F7C"/>
    <w:rsid w:val="007D2744"/>
    <w:rsid w:val="007D336D"/>
    <w:rsid w:val="007D3922"/>
    <w:rsid w:val="007D4491"/>
    <w:rsid w:val="007D53A1"/>
    <w:rsid w:val="007E09E6"/>
    <w:rsid w:val="007E7AA7"/>
    <w:rsid w:val="007F076A"/>
    <w:rsid w:val="007F0D5E"/>
    <w:rsid w:val="007F147C"/>
    <w:rsid w:val="007F24FC"/>
    <w:rsid w:val="007F2582"/>
    <w:rsid w:val="007F3B43"/>
    <w:rsid w:val="007F4167"/>
    <w:rsid w:val="007F5AE4"/>
    <w:rsid w:val="008053D8"/>
    <w:rsid w:val="00805908"/>
    <w:rsid w:val="00806F68"/>
    <w:rsid w:val="00807E6C"/>
    <w:rsid w:val="00813603"/>
    <w:rsid w:val="00814355"/>
    <w:rsid w:val="00822166"/>
    <w:rsid w:val="00824E9F"/>
    <w:rsid w:val="00827728"/>
    <w:rsid w:val="00835A11"/>
    <w:rsid w:val="00835E94"/>
    <w:rsid w:val="00836892"/>
    <w:rsid w:val="008416D9"/>
    <w:rsid w:val="008507C9"/>
    <w:rsid w:val="008523BD"/>
    <w:rsid w:val="0085402C"/>
    <w:rsid w:val="00863136"/>
    <w:rsid w:val="00866983"/>
    <w:rsid w:val="008717DC"/>
    <w:rsid w:val="00871947"/>
    <w:rsid w:val="00876F49"/>
    <w:rsid w:val="00877B9F"/>
    <w:rsid w:val="00881E15"/>
    <w:rsid w:val="008863A6"/>
    <w:rsid w:val="0089169F"/>
    <w:rsid w:val="00891AD7"/>
    <w:rsid w:val="00892370"/>
    <w:rsid w:val="0089565B"/>
    <w:rsid w:val="008A2F90"/>
    <w:rsid w:val="008A3C5E"/>
    <w:rsid w:val="008A5FB7"/>
    <w:rsid w:val="008A78B5"/>
    <w:rsid w:val="008B26CE"/>
    <w:rsid w:val="008B525F"/>
    <w:rsid w:val="008B662A"/>
    <w:rsid w:val="008C4EDB"/>
    <w:rsid w:val="008C4F4F"/>
    <w:rsid w:val="008C6D42"/>
    <w:rsid w:val="008D011C"/>
    <w:rsid w:val="008D1012"/>
    <w:rsid w:val="008D5ADF"/>
    <w:rsid w:val="008E27B4"/>
    <w:rsid w:val="008E2C64"/>
    <w:rsid w:val="008E4290"/>
    <w:rsid w:val="008E67DF"/>
    <w:rsid w:val="008F4914"/>
    <w:rsid w:val="00900DD9"/>
    <w:rsid w:val="009027CE"/>
    <w:rsid w:val="00904834"/>
    <w:rsid w:val="00906713"/>
    <w:rsid w:val="00907BE8"/>
    <w:rsid w:val="00912703"/>
    <w:rsid w:val="00914035"/>
    <w:rsid w:val="0091500E"/>
    <w:rsid w:val="009167A8"/>
    <w:rsid w:val="009174FD"/>
    <w:rsid w:val="009207AC"/>
    <w:rsid w:val="00924101"/>
    <w:rsid w:val="00924CC1"/>
    <w:rsid w:val="009406D5"/>
    <w:rsid w:val="00942E8C"/>
    <w:rsid w:val="00946C11"/>
    <w:rsid w:val="009478A4"/>
    <w:rsid w:val="00961118"/>
    <w:rsid w:val="00962D52"/>
    <w:rsid w:val="009653F6"/>
    <w:rsid w:val="00970796"/>
    <w:rsid w:val="00971C1B"/>
    <w:rsid w:val="00981263"/>
    <w:rsid w:val="00983466"/>
    <w:rsid w:val="00984737"/>
    <w:rsid w:val="00985805"/>
    <w:rsid w:val="009919D7"/>
    <w:rsid w:val="009975FA"/>
    <w:rsid w:val="00997EC5"/>
    <w:rsid w:val="009A3E77"/>
    <w:rsid w:val="009A5132"/>
    <w:rsid w:val="009A6253"/>
    <w:rsid w:val="009B17A9"/>
    <w:rsid w:val="009C1F16"/>
    <w:rsid w:val="009C4900"/>
    <w:rsid w:val="009D221A"/>
    <w:rsid w:val="009D382B"/>
    <w:rsid w:val="009E0CAD"/>
    <w:rsid w:val="009E5B24"/>
    <w:rsid w:val="00A04559"/>
    <w:rsid w:val="00A0544C"/>
    <w:rsid w:val="00A07E08"/>
    <w:rsid w:val="00A2010D"/>
    <w:rsid w:val="00A23B81"/>
    <w:rsid w:val="00A40163"/>
    <w:rsid w:val="00A408F6"/>
    <w:rsid w:val="00A41391"/>
    <w:rsid w:val="00A57873"/>
    <w:rsid w:val="00A63791"/>
    <w:rsid w:val="00A66E35"/>
    <w:rsid w:val="00A706FB"/>
    <w:rsid w:val="00A74B4F"/>
    <w:rsid w:val="00A76B84"/>
    <w:rsid w:val="00A80809"/>
    <w:rsid w:val="00A851D7"/>
    <w:rsid w:val="00AA0322"/>
    <w:rsid w:val="00AA3EFA"/>
    <w:rsid w:val="00AA44DF"/>
    <w:rsid w:val="00AB1529"/>
    <w:rsid w:val="00AB1626"/>
    <w:rsid w:val="00AB6349"/>
    <w:rsid w:val="00AC63C6"/>
    <w:rsid w:val="00AC695A"/>
    <w:rsid w:val="00AD00DB"/>
    <w:rsid w:val="00AD3004"/>
    <w:rsid w:val="00AD362D"/>
    <w:rsid w:val="00AD5EF0"/>
    <w:rsid w:val="00AE0B33"/>
    <w:rsid w:val="00AE1FE4"/>
    <w:rsid w:val="00AE21DA"/>
    <w:rsid w:val="00AE29D8"/>
    <w:rsid w:val="00AE475B"/>
    <w:rsid w:val="00AF27D3"/>
    <w:rsid w:val="00AF4F47"/>
    <w:rsid w:val="00AF7F1C"/>
    <w:rsid w:val="00B048D9"/>
    <w:rsid w:val="00B04AFC"/>
    <w:rsid w:val="00B10962"/>
    <w:rsid w:val="00B10A19"/>
    <w:rsid w:val="00B11FCE"/>
    <w:rsid w:val="00B15596"/>
    <w:rsid w:val="00B17267"/>
    <w:rsid w:val="00B26F33"/>
    <w:rsid w:val="00B3048F"/>
    <w:rsid w:val="00B323F3"/>
    <w:rsid w:val="00B32FE0"/>
    <w:rsid w:val="00B36D04"/>
    <w:rsid w:val="00B40268"/>
    <w:rsid w:val="00B41D36"/>
    <w:rsid w:val="00B473BD"/>
    <w:rsid w:val="00B540E7"/>
    <w:rsid w:val="00B56AE8"/>
    <w:rsid w:val="00B63074"/>
    <w:rsid w:val="00B7171A"/>
    <w:rsid w:val="00B71A1A"/>
    <w:rsid w:val="00B740E5"/>
    <w:rsid w:val="00B75190"/>
    <w:rsid w:val="00B75425"/>
    <w:rsid w:val="00B75AF7"/>
    <w:rsid w:val="00B773E6"/>
    <w:rsid w:val="00B815C5"/>
    <w:rsid w:val="00B8199D"/>
    <w:rsid w:val="00B82230"/>
    <w:rsid w:val="00B85044"/>
    <w:rsid w:val="00B87354"/>
    <w:rsid w:val="00BA1F98"/>
    <w:rsid w:val="00BA601D"/>
    <w:rsid w:val="00BA78BD"/>
    <w:rsid w:val="00BB2D59"/>
    <w:rsid w:val="00BB3424"/>
    <w:rsid w:val="00BB5461"/>
    <w:rsid w:val="00BB55D9"/>
    <w:rsid w:val="00BC6B34"/>
    <w:rsid w:val="00BC76FA"/>
    <w:rsid w:val="00BD16BD"/>
    <w:rsid w:val="00BD3C36"/>
    <w:rsid w:val="00BD5D08"/>
    <w:rsid w:val="00BE1D95"/>
    <w:rsid w:val="00BE3861"/>
    <w:rsid w:val="00BE4EFB"/>
    <w:rsid w:val="00BE57F0"/>
    <w:rsid w:val="00BF0D01"/>
    <w:rsid w:val="00BF552C"/>
    <w:rsid w:val="00BF590F"/>
    <w:rsid w:val="00BF6F32"/>
    <w:rsid w:val="00C013F2"/>
    <w:rsid w:val="00C01BAE"/>
    <w:rsid w:val="00C03279"/>
    <w:rsid w:val="00C055ED"/>
    <w:rsid w:val="00C06777"/>
    <w:rsid w:val="00C06884"/>
    <w:rsid w:val="00C0705C"/>
    <w:rsid w:val="00C135BB"/>
    <w:rsid w:val="00C250EF"/>
    <w:rsid w:val="00C26A85"/>
    <w:rsid w:val="00C327F9"/>
    <w:rsid w:val="00C42E4F"/>
    <w:rsid w:val="00C44422"/>
    <w:rsid w:val="00C44E32"/>
    <w:rsid w:val="00C456B6"/>
    <w:rsid w:val="00C47178"/>
    <w:rsid w:val="00C52001"/>
    <w:rsid w:val="00C52D66"/>
    <w:rsid w:val="00C66817"/>
    <w:rsid w:val="00C702DE"/>
    <w:rsid w:val="00C7190A"/>
    <w:rsid w:val="00C72A77"/>
    <w:rsid w:val="00C74B5C"/>
    <w:rsid w:val="00C7537A"/>
    <w:rsid w:val="00C75A5B"/>
    <w:rsid w:val="00C81A76"/>
    <w:rsid w:val="00C83296"/>
    <w:rsid w:val="00C83AAD"/>
    <w:rsid w:val="00C87CC3"/>
    <w:rsid w:val="00C87EDB"/>
    <w:rsid w:val="00C901AB"/>
    <w:rsid w:val="00C91FC1"/>
    <w:rsid w:val="00C933A6"/>
    <w:rsid w:val="00C947EF"/>
    <w:rsid w:val="00CA5114"/>
    <w:rsid w:val="00CB06A0"/>
    <w:rsid w:val="00CB0ED2"/>
    <w:rsid w:val="00CB3EE1"/>
    <w:rsid w:val="00CB5358"/>
    <w:rsid w:val="00CB57E1"/>
    <w:rsid w:val="00CC1CCA"/>
    <w:rsid w:val="00CC34B1"/>
    <w:rsid w:val="00CC3602"/>
    <w:rsid w:val="00CC3D33"/>
    <w:rsid w:val="00CD1249"/>
    <w:rsid w:val="00CD348F"/>
    <w:rsid w:val="00CD6E89"/>
    <w:rsid w:val="00CD76F7"/>
    <w:rsid w:val="00CD7BB3"/>
    <w:rsid w:val="00CE58D4"/>
    <w:rsid w:val="00CF0485"/>
    <w:rsid w:val="00CF39F9"/>
    <w:rsid w:val="00CF4BB7"/>
    <w:rsid w:val="00CF4D75"/>
    <w:rsid w:val="00CF5EF1"/>
    <w:rsid w:val="00D015AC"/>
    <w:rsid w:val="00D0600B"/>
    <w:rsid w:val="00D06334"/>
    <w:rsid w:val="00D067F6"/>
    <w:rsid w:val="00D11409"/>
    <w:rsid w:val="00D11BB5"/>
    <w:rsid w:val="00D14544"/>
    <w:rsid w:val="00D1616B"/>
    <w:rsid w:val="00D21D89"/>
    <w:rsid w:val="00D244A1"/>
    <w:rsid w:val="00D32133"/>
    <w:rsid w:val="00D33DA7"/>
    <w:rsid w:val="00D37D8C"/>
    <w:rsid w:val="00D45A2A"/>
    <w:rsid w:val="00D50186"/>
    <w:rsid w:val="00D51F3F"/>
    <w:rsid w:val="00D56220"/>
    <w:rsid w:val="00D61BCC"/>
    <w:rsid w:val="00D62A95"/>
    <w:rsid w:val="00D656B0"/>
    <w:rsid w:val="00D71BA7"/>
    <w:rsid w:val="00D71FAF"/>
    <w:rsid w:val="00D7229F"/>
    <w:rsid w:val="00D746B0"/>
    <w:rsid w:val="00D7670F"/>
    <w:rsid w:val="00D85954"/>
    <w:rsid w:val="00D86E59"/>
    <w:rsid w:val="00D91AD8"/>
    <w:rsid w:val="00D92643"/>
    <w:rsid w:val="00D933D0"/>
    <w:rsid w:val="00D9501E"/>
    <w:rsid w:val="00D95209"/>
    <w:rsid w:val="00DA0501"/>
    <w:rsid w:val="00DA3EFD"/>
    <w:rsid w:val="00DA3F25"/>
    <w:rsid w:val="00DA70FE"/>
    <w:rsid w:val="00DB05C1"/>
    <w:rsid w:val="00DB76E9"/>
    <w:rsid w:val="00DC1237"/>
    <w:rsid w:val="00DC40CA"/>
    <w:rsid w:val="00DC7F60"/>
    <w:rsid w:val="00DD0128"/>
    <w:rsid w:val="00DD034F"/>
    <w:rsid w:val="00DE38D5"/>
    <w:rsid w:val="00DE4B2C"/>
    <w:rsid w:val="00DE6566"/>
    <w:rsid w:val="00DF1804"/>
    <w:rsid w:val="00DF3DA6"/>
    <w:rsid w:val="00DF4192"/>
    <w:rsid w:val="00DF6DC8"/>
    <w:rsid w:val="00DF7584"/>
    <w:rsid w:val="00E016CB"/>
    <w:rsid w:val="00E04F16"/>
    <w:rsid w:val="00E13D5B"/>
    <w:rsid w:val="00E165B1"/>
    <w:rsid w:val="00E26C60"/>
    <w:rsid w:val="00E27FF2"/>
    <w:rsid w:val="00E3158D"/>
    <w:rsid w:val="00E33B6A"/>
    <w:rsid w:val="00E45432"/>
    <w:rsid w:val="00E51B60"/>
    <w:rsid w:val="00E52E31"/>
    <w:rsid w:val="00E57CB2"/>
    <w:rsid w:val="00E605E4"/>
    <w:rsid w:val="00E65E9F"/>
    <w:rsid w:val="00E71089"/>
    <w:rsid w:val="00E713E2"/>
    <w:rsid w:val="00E74994"/>
    <w:rsid w:val="00E74F7E"/>
    <w:rsid w:val="00E767CB"/>
    <w:rsid w:val="00E76F9A"/>
    <w:rsid w:val="00E82364"/>
    <w:rsid w:val="00E82726"/>
    <w:rsid w:val="00E84B71"/>
    <w:rsid w:val="00E87F41"/>
    <w:rsid w:val="00E9092C"/>
    <w:rsid w:val="00E942E2"/>
    <w:rsid w:val="00E9745C"/>
    <w:rsid w:val="00EA122F"/>
    <w:rsid w:val="00EA7CEF"/>
    <w:rsid w:val="00EB1DDD"/>
    <w:rsid w:val="00EB313D"/>
    <w:rsid w:val="00EB3D15"/>
    <w:rsid w:val="00EC010D"/>
    <w:rsid w:val="00EC1310"/>
    <w:rsid w:val="00EC1EEC"/>
    <w:rsid w:val="00EC5B86"/>
    <w:rsid w:val="00ED21ED"/>
    <w:rsid w:val="00ED2829"/>
    <w:rsid w:val="00ED2CF6"/>
    <w:rsid w:val="00ED6925"/>
    <w:rsid w:val="00ED6ADD"/>
    <w:rsid w:val="00ED708C"/>
    <w:rsid w:val="00EE082A"/>
    <w:rsid w:val="00EE3C53"/>
    <w:rsid w:val="00EF0505"/>
    <w:rsid w:val="00EF240E"/>
    <w:rsid w:val="00EF29D9"/>
    <w:rsid w:val="00EF3346"/>
    <w:rsid w:val="00EF3B2D"/>
    <w:rsid w:val="00EF4D12"/>
    <w:rsid w:val="00F043D8"/>
    <w:rsid w:val="00F05F48"/>
    <w:rsid w:val="00F07E1E"/>
    <w:rsid w:val="00F17419"/>
    <w:rsid w:val="00F235BB"/>
    <w:rsid w:val="00F318C3"/>
    <w:rsid w:val="00F32312"/>
    <w:rsid w:val="00F36DE9"/>
    <w:rsid w:val="00F4312A"/>
    <w:rsid w:val="00F4485B"/>
    <w:rsid w:val="00F476FD"/>
    <w:rsid w:val="00F51FD9"/>
    <w:rsid w:val="00F52A37"/>
    <w:rsid w:val="00F57873"/>
    <w:rsid w:val="00F57AA5"/>
    <w:rsid w:val="00F60748"/>
    <w:rsid w:val="00F612FC"/>
    <w:rsid w:val="00F63974"/>
    <w:rsid w:val="00F651A3"/>
    <w:rsid w:val="00F66442"/>
    <w:rsid w:val="00F74D39"/>
    <w:rsid w:val="00F76A54"/>
    <w:rsid w:val="00F76B6F"/>
    <w:rsid w:val="00F77805"/>
    <w:rsid w:val="00F83B94"/>
    <w:rsid w:val="00F86AC4"/>
    <w:rsid w:val="00F87739"/>
    <w:rsid w:val="00F918E0"/>
    <w:rsid w:val="00F93773"/>
    <w:rsid w:val="00F93968"/>
    <w:rsid w:val="00FB176E"/>
    <w:rsid w:val="00FB3EE0"/>
    <w:rsid w:val="00FB4D96"/>
    <w:rsid w:val="00FB5E02"/>
    <w:rsid w:val="00FB6577"/>
    <w:rsid w:val="00FB7FB7"/>
    <w:rsid w:val="00FC3CFC"/>
    <w:rsid w:val="00FC4E23"/>
    <w:rsid w:val="00FC5A15"/>
    <w:rsid w:val="00FC6504"/>
    <w:rsid w:val="00FC6EBC"/>
    <w:rsid w:val="00FC7FD6"/>
    <w:rsid w:val="00FD10A9"/>
    <w:rsid w:val="00FD30C6"/>
    <w:rsid w:val="00FD3B2B"/>
    <w:rsid w:val="00FD4320"/>
    <w:rsid w:val="00FD7181"/>
    <w:rsid w:val="00FE0C11"/>
    <w:rsid w:val="00FF0A4F"/>
    <w:rsid w:val="00FF13EA"/>
    <w:rsid w:val="00FF1CCB"/>
    <w:rsid w:val="00FF2CB4"/>
    <w:rsid w:val="00FF6405"/>
    <w:rsid w:val="00FF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83B3"/>
  <w15:chartTrackingRefBased/>
  <w15:docId w15:val="{4A90C407-D7CF-459B-AD37-6C8DE776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61"/>
  </w:style>
  <w:style w:type="paragraph" w:styleId="Heading1">
    <w:name w:val="heading 1"/>
    <w:basedOn w:val="Normal"/>
    <w:next w:val="Normal"/>
    <w:link w:val="Heading1Char"/>
    <w:uiPriority w:val="9"/>
    <w:qFormat/>
    <w:rsid w:val="007C089D"/>
    <w:pPr>
      <w:keepNext/>
      <w:keepLines/>
      <w:numPr>
        <w:numId w:val="5"/>
      </w:numPr>
      <w:spacing w:before="240" w:after="240" w:line="240" w:lineRule="auto"/>
      <w:ind w:left="357" w:hanging="357"/>
      <w:outlineLvl w:val="0"/>
    </w:pPr>
    <w:rPr>
      <w:rFonts w:asciiTheme="majorHAnsi" w:eastAsiaTheme="majorEastAsia" w:hAnsiTheme="majorHAnsi" w:cstheme="majorBidi"/>
      <w:b/>
      <w:bCs/>
      <w:color w:val="2E74B5" w:themeColor="accent1" w:themeShade="BF"/>
      <w:sz w:val="32"/>
      <w:szCs w:val="32"/>
      <w:lang w:eastAsia="en-GB"/>
    </w:rPr>
  </w:style>
  <w:style w:type="paragraph" w:styleId="Heading2">
    <w:name w:val="heading 2"/>
    <w:basedOn w:val="Heading1"/>
    <w:next w:val="Normal"/>
    <w:link w:val="Heading2Char"/>
    <w:uiPriority w:val="9"/>
    <w:unhideWhenUsed/>
    <w:qFormat/>
    <w:rsid w:val="007C089D"/>
    <w:pPr>
      <w:numPr>
        <w:ilvl w:val="1"/>
      </w:numPr>
      <w:spacing w:before="360"/>
      <w:ind w:left="1077" w:hanging="357"/>
      <w:outlineLvl w:val="1"/>
    </w:pPr>
    <w:rPr>
      <w:sz w:val="24"/>
      <w:szCs w:val="24"/>
    </w:rPr>
  </w:style>
  <w:style w:type="paragraph" w:styleId="Heading3">
    <w:name w:val="heading 3"/>
    <w:basedOn w:val="Heading2"/>
    <w:next w:val="Normal"/>
    <w:link w:val="Heading3Char"/>
    <w:uiPriority w:val="9"/>
    <w:unhideWhenUsed/>
    <w:qFormat/>
    <w:rsid w:val="007C089D"/>
    <w:pPr>
      <w:numPr>
        <w:ilvl w:val="2"/>
      </w:numPr>
      <w:ind w:left="1276" w:hanging="142"/>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861"/>
    <w:pPr>
      <w:spacing w:after="0" w:line="240" w:lineRule="auto"/>
      <w:ind w:left="425" w:hanging="425"/>
    </w:pPr>
    <w:rPr>
      <w:rFonts w:ascii="Calibri" w:eastAsia="Calibri" w:hAnsi="Calibri" w:cs="Calibri"/>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48F4"/>
    <w:pPr>
      <w:spacing w:after="0" w:line="240" w:lineRule="auto"/>
      <w:ind w:left="425" w:hanging="425"/>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648F4"/>
    <w:rPr>
      <w:rFonts w:ascii="Calibri" w:eastAsia="Calibri" w:hAnsi="Calibri" w:cs="Times New Roman"/>
      <w:sz w:val="20"/>
      <w:szCs w:val="20"/>
    </w:rPr>
  </w:style>
  <w:style w:type="paragraph" w:styleId="ListParagraph">
    <w:name w:val="List Paragraph"/>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FootnoteReference">
    <w:name w:val="footnote reference"/>
    <w:basedOn w:val="DefaultParagraphFont"/>
    <w:uiPriority w:val="99"/>
    <w:semiHidden/>
    <w:unhideWhenUsed/>
    <w:rsid w:val="005648F4"/>
    <w:rPr>
      <w:vertAlign w:val="superscript"/>
    </w:rPr>
  </w:style>
  <w:style w:type="paragraph" w:customStyle="1" w:styleId="ColorfulList-Accent11">
    <w:name w:val="Colorful List - Accent 11"/>
    <w:basedOn w:val="Normal"/>
    <w:uiPriority w:val="34"/>
    <w:qFormat/>
    <w:rsid w:val="005648F4"/>
    <w:pPr>
      <w:spacing w:after="0" w:line="240" w:lineRule="auto"/>
      <w:ind w:left="720" w:hanging="425"/>
      <w:contextualSpacing/>
    </w:pPr>
    <w:rPr>
      <w:rFonts w:ascii="Calibri" w:eastAsia="Calibri" w:hAnsi="Calibri" w:cs="Times New Roman"/>
    </w:rPr>
  </w:style>
  <w:style w:type="character" w:styleId="Hyperlink">
    <w:name w:val="Hyperlink"/>
    <w:basedOn w:val="DefaultParagraphFont"/>
    <w:uiPriority w:val="99"/>
    <w:unhideWhenUsed/>
    <w:rsid w:val="00CA5114"/>
    <w:rPr>
      <w:color w:val="0000FF"/>
      <w:u w:val="single"/>
    </w:rPr>
  </w:style>
  <w:style w:type="paragraph" w:styleId="Header">
    <w:name w:val="header"/>
    <w:basedOn w:val="Normal"/>
    <w:link w:val="HeaderChar"/>
    <w:uiPriority w:val="99"/>
    <w:unhideWhenUsed/>
    <w:rsid w:val="00564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8F4"/>
  </w:style>
  <w:style w:type="character" w:styleId="UnresolvedMention">
    <w:name w:val="Unresolved Mention"/>
    <w:basedOn w:val="DefaultParagraphFont"/>
    <w:uiPriority w:val="99"/>
    <w:semiHidden/>
    <w:unhideWhenUsed/>
    <w:rsid w:val="00E74F7E"/>
    <w:rPr>
      <w:color w:val="605E5C"/>
      <w:shd w:val="clear" w:color="auto" w:fill="E1DFDD"/>
    </w:rPr>
  </w:style>
  <w:style w:type="paragraph" w:styleId="Footer">
    <w:name w:val="footer"/>
    <w:basedOn w:val="Normal"/>
    <w:link w:val="FooterChar"/>
    <w:uiPriority w:val="99"/>
    <w:unhideWhenUsed/>
    <w:rsid w:val="0027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AA5"/>
  </w:style>
  <w:style w:type="character" w:styleId="CommentReference">
    <w:name w:val="annotation reference"/>
    <w:basedOn w:val="DefaultParagraphFont"/>
    <w:uiPriority w:val="99"/>
    <w:semiHidden/>
    <w:unhideWhenUsed/>
    <w:rsid w:val="008863A6"/>
    <w:rPr>
      <w:sz w:val="16"/>
      <w:szCs w:val="16"/>
    </w:rPr>
  </w:style>
  <w:style w:type="paragraph" w:styleId="CommentText">
    <w:name w:val="annotation text"/>
    <w:basedOn w:val="Normal"/>
    <w:link w:val="CommentTextChar"/>
    <w:uiPriority w:val="99"/>
    <w:unhideWhenUsed/>
    <w:rsid w:val="008863A6"/>
    <w:pPr>
      <w:spacing w:line="240" w:lineRule="auto"/>
    </w:pPr>
    <w:rPr>
      <w:sz w:val="20"/>
      <w:szCs w:val="20"/>
    </w:rPr>
  </w:style>
  <w:style w:type="character" w:customStyle="1" w:styleId="CommentTextChar">
    <w:name w:val="Comment Text Char"/>
    <w:basedOn w:val="DefaultParagraphFont"/>
    <w:link w:val="CommentText"/>
    <w:uiPriority w:val="99"/>
    <w:rsid w:val="008863A6"/>
    <w:rPr>
      <w:sz w:val="20"/>
      <w:szCs w:val="20"/>
    </w:rPr>
  </w:style>
  <w:style w:type="paragraph" w:styleId="CommentSubject">
    <w:name w:val="annotation subject"/>
    <w:basedOn w:val="CommentText"/>
    <w:next w:val="CommentText"/>
    <w:link w:val="CommentSubjectChar"/>
    <w:uiPriority w:val="99"/>
    <w:semiHidden/>
    <w:unhideWhenUsed/>
    <w:rsid w:val="008863A6"/>
    <w:rPr>
      <w:b/>
      <w:bCs/>
    </w:rPr>
  </w:style>
  <w:style w:type="character" w:customStyle="1" w:styleId="CommentSubjectChar">
    <w:name w:val="Comment Subject Char"/>
    <w:basedOn w:val="CommentTextChar"/>
    <w:link w:val="CommentSubject"/>
    <w:uiPriority w:val="99"/>
    <w:semiHidden/>
    <w:rsid w:val="008863A6"/>
    <w:rPr>
      <w:b/>
      <w:bCs/>
      <w:sz w:val="20"/>
      <w:szCs w:val="20"/>
    </w:rPr>
  </w:style>
  <w:style w:type="paragraph" w:styleId="Revision">
    <w:name w:val="Revision"/>
    <w:hidden/>
    <w:uiPriority w:val="99"/>
    <w:semiHidden/>
    <w:rsid w:val="00D91AD8"/>
    <w:pPr>
      <w:spacing w:after="0" w:line="240" w:lineRule="auto"/>
    </w:pPr>
  </w:style>
  <w:style w:type="paragraph" w:styleId="Caption">
    <w:name w:val="caption"/>
    <w:basedOn w:val="Normal"/>
    <w:next w:val="Normal"/>
    <w:uiPriority w:val="35"/>
    <w:unhideWhenUsed/>
    <w:qFormat/>
    <w:rsid w:val="00125105"/>
    <w:pPr>
      <w:spacing w:after="200" w:line="240" w:lineRule="auto"/>
      <w:jc w:val="center"/>
    </w:pPr>
    <w:rPr>
      <w:rFonts w:ascii="Calibri" w:eastAsia="Calibri" w:hAnsi="Calibri" w:cs="Calibri"/>
      <w:i/>
      <w:iCs/>
      <w:color w:val="2F5496" w:themeColor="accent5" w:themeShade="BF"/>
      <w:sz w:val="20"/>
      <w:szCs w:val="18"/>
      <w:lang w:eastAsia="en-GB"/>
    </w:rPr>
  </w:style>
  <w:style w:type="character" w:customStyle="1" w:styleId="Heading1Char">
    <w:name w:val="Heading 1 Char"/>
    <w:basedOn w:val="DefaultParagraphFont"/>
    <w:link w:val="Heading1"/>
    <w:uiPriority w:val="9"/>
    <w:rsid w:val="007C089D"/>
    <w:rPr>
      <w:rFonts w:asciiTheme="majorHAnsi" w:eastAsiaTheme="majorEastAsia" w:hAnsiTheme="majorHAnsi" w:cstheme="majorBidi"/>
      <w:b/>
      <w:bCs/>
      <w:color w:val="2E74B5" w:themeColor="accent1" w:themeShade="BF"/>
      <w:sz w:val="32"/>
      <w:szCs w:val="32"/>
      <w:lang w:eastAsia="en-GB"/>
    </w:rPr>
  </w:style>
  <w:style w:type="character" w:customStyle="1" w:styleId="Heading2Char">
    <w:name w:val="Heading 2 Char"/>
    <w:basedOn w:val="DefaultParagraphFont"/>
    <w:link w:val="Heading2"/>
    <w:uiPriority w:val="9"/>
    <w:rsid w:val="007C089D"/>
    <w:rPr>
      <w:rFonts w:asciiTheme="majorHAnsi" w:eastAsiaTheme="majorEastAsia" w:hAnsiTheme="majorHAnsi" w:cstheme="majorBidi"/>
      <w:b/>
      <w:bCs/>
      <w:color w:val="2E74B5" w:themeColor="accent1" w:themeShade="BF"/>
      <w:sz w:val="24"/>
      <w:szCs w:val="24"/>
      <w:lang w:eastAsia="en-GB"/>
    </w:rPr>
  </w:style>
  <w:style w:type="character" w:customStyle="1" w:styleId="Heading3Char">
    <w:name w:val="Heading 3 Char"/>
    <w:basedOn w:val="DefaultParagraphFont"/>
    <w:link w:val="Heading3"/>
    <w:uiPriority w:val="9"/>
    <w:rsid w:val="007C089D"/>
    <w:rPr>
      <w:rFonts w:asciiTheme="majorHAnsi" w:eastAsiaTheme="majorEastAsia" w:hAnsiTheme="majorHAnsi" w:cstheme="majorBidi"/>
      <w:b/>
      <w:bCs/>
      <w:i/>
      <w:iCs/>
      <w:color w:val="2E74B5" w:themeColor="accent1" w:themeShade="BF"/>
      <w:sz w:val="24"/>
      <w:szCs w:val="24"/>
      <w:lang w:eastAsia="en-GB"/>
    </w:rPr>
  </w:style>
  <w:style w:type="paragraph" w:styleId="TOC3">
    <w:name w:val="toc 3"/>
    <w:basedOn w:val="Normal"/>
    <w:next w:val="Normal"/>
    <w:autoRedefine/>
    <w:uiPriority w:val="39"/>
    <w:unhideWhenUsed/>
    <w:rsid w:val="00AF7F1C"/>
    <w:pPr>
      <w:spacing w:after="100"/>
      <w:ind w:left="440"/>
    </w:pPr>
    <w:rPr>
      <w:rFonts w:ascii="Calibri" w:eastAsia="Calibri" w:hAnsi="Calibri" w:cs="Calibri"/>
      <w:lang w:eastAsia="en-GB"/>
    </w:rPr>
  </w:style>
  <w:style w:type="character" w:styleId="FollowedHyperlink">
    <w:name w:val="FollowedHyperlink"/>
    <w:basedOn w:val="DefaultParagraphFont"/>
    <w:uiPriority w:val="99"/>
    <w:semiHidden/>
    <w:unhideWhenUsed/>
    <w:rsid w:val="00871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7965">
      <w:bodyDiv w:val="1"/>
      <w:marLeft w:val="0"/>
      <w:marRight w:val="0"/>
      <w:marTop w:val="0"/>
      <w:marBottom w:val="0"/>
      <w:divBdr>
        <w:top w:val="none" w:sz="0" w:space="0" w:color="auto"/>
        <w:left w:val="none" w:sz="0" w:space="0" w:color="auto"/>
        <w:bottom w:val="none" w:sz="0" w:space="0" w:color="auto"/>
        <w:right w:val="none" w:sz="0" w:space="0" w:color="auto"/>
      </w:divBdr>
    </w:div>
    <w:div w:id="152569846">
      <w:bodyDiv w:val="1"/>
      <w:marLeft w:val="0"/>
      <w:marRight w:val="0"/>
      <w:marTop w:val="0"/>
      <w:marBottom w:val="0"/>
      <w:divBdr>
        <w:top w:val="none" w:sz="0" w:space="0" w:color="auto"/>
        <w:left w:val="none" w:sz="0" w:space="0" w:color="auto"/>
        <w:bottom w:val="none" w:sz="0" w:space="0" w:color="auto"/>
        <w:right w:val="none" w:sz="0" w:space="0" w:color="auto"/>
      </w:divBdr>
    </w:div>
    <w:div w:id="315232946">
      <w:bodyDiv w:val="1"/>
      <w:marLeft w:val="0"/>
      <w:marRight w:val="0"/>
      <w:marTop w:val="0"/>
      <w:marBottom w:val="0"/>
      <w:divBdr>
        <w:top w:val="none" w:sz="0" w:space="0" w:color="auto"/>
        <w:left w:val="none" w:sz="0" w:space="0" w:color="auto"/>
        <w:bottom w:val="none" w:sz="0" w:space="0" w:color="auto"/>
        <w:right w:val="none" w:sz="0" w:space="0" w:color="auto"/>
      </w:divBdr>
    </w:div>
    <w:div w:id="411049302">
      <w:bodyDiv w:val="1"/>
      <w:marLeft w:val="0"/>
      <w:marRight w:val="0"/>
      <w:marTop w:val="0"/>
      <w:marBottom w:val="0"/>
      <w:divBdr>
        <w:top w:val="none" w:sz="0" w:space="0" w:color="auto"/>
        <w:left w:val="none" w:sz="0" w:space="0" w:color="auto"/>
        <w:bottom w:val="none" w:sz="0" w:space="0" w:color="auto"/>
        <w:right w:val="none" w:sz="0" w:space="0" w:color="auto"/>
      </w:divBdr>
    </w:div>
    <w:div w:id="664674154">
      <w:bodyDiv w:val="1"/>
      <w:marLeft w:val="0"/>
      <w:marRight w:val="0"/>
      <w:marTop w:val="0"/>
      <w:marBottom w:val="0"/>
      <w:divBdr>
        <w:top w:val="none" w:sz="0" w:space="0" w:color="auto"/>
        <w:left w:val="none" w:sz="0" w:space="0" w:color="auto"/>
        <w:bottom w:val="none" w:sz="0" w:space="0" w:color="auto"/>
        <w:right w:val="none" w:sz="0" w:space="0" w:color="auto"/>
      </w:divBdr>
    </w:div>
    <w:div w:id="685984102">
      <w:bodyDiv w:val="1"/>
      <w:marLeft w:val="0"/>
      <w:marRight w:val="0"/>
      <w:marTop w:val="0"/>
      <w:marBottom w:val="0"/>
      <w:divBdr>
        <w:top w:val="none" w:sz="0" w:space="0" w:color="auto"/>
        <w:left w:val="none" w:sz="0" w:space="0" w:color="auto"/>
        <w:bottom w:val="none" w:sz="0" w:space="0" w:color="auto"/>
        <w:right w:val="none" w:sz="0" w:space="0" w:color="auto"/>
      </w:divBdr>
    </w:div>
    <w:div w:id="728922669">
      <w:bodyDiv w:val="1"/>
      <w:marLeft w:val="0"/>
      <w:marRight w:val="0"/>
      <w:marTop w:val="0"/>
      <w:marBottom w:val="0"/>
      <w:divBdr>
        <w:top w:val="none" w:sz="0" w:space="0" w:color="auto"/>
        <w:left w:val="none" w:sz="0" w:space="0" w:color="auto"/>
        <w:bottom w:val="none" w:sz="0" w:space="0" w:color="auto"/>
        <w:right w:val="none" w:sz="0" w:space="0" w:color="auto"/>
      </w:divBdr>
    </w:div>
    <w:div w:id="770322626">
      <w:bodyDiv w:val="1"/>
      <w:marLeft w:val="0"/>
      <w:marRight w:val="0"/>
      <w:marTop w:val="0"/>
      <w:marBottom w:val="0"/>
      <w:divBdr>
        <w:top w:val="none" w:sz="0" w:space="0" w:color="auto"/>
        <w:left w:val="none" w:sz="0" w:space="0" w:color="auto"/>
        <w:bottom w:val="none" w:sz="0" w:space="0" w:color="auto"/>
        <w:right w:val="none" w:sz="0" w:space="0" w:color="auto"/>
      </w:divBdr>
    </w:div>
    <w:div w:id="773671659">
      <w:bodyDiv w:val="1"/>
      <w:marLeft w:val="0"/>
      <w:marRight w:val="0"/>
      <w:marTop w:val="0"/>
      <w:marBottom w:val="0"/>
      <w:divBdr>
        <w:top w:val="none" w:sz="0" w:space="0" w:color="auto"/>
        <w:left w:val="none" w:sz="0" w:space="0" w:color="auto"/>
        <w:bottom w:val="none" w:sz="0" w:space="0" w:color="auto"/>
        <w:right w:val="none" w:sz="0" w:space="0" w:color="auto"/>
      </w:divBdr>
    </w:div>
    <w:div w:id="830214386">
      <w:bodyDiv w:val="1"/>
      <w:marLeft w:val="0"/>
      <w:marRight w:val="0"/>
      <w:marTop w:val="0"/>
      <w:marBottom w:val="0"/>
      <w:divBdr>
        <w:top w:val="none" w:sz="0" w:space="0" w:color="auto"/>
        <w:left w:val="none" w:sz="0" w:space="0" w:color="auto"/>
        <w:bottom w:val="none" w:sz="0" w:space="0" w:color="auto"/>
        <w:right w:val="none" w:sz="0" w:space="0" w:color="auto"/>
      </w:divBdr>
    </w:div>
    <w:div w:id="901335179">
      <w:bodyDiv w:val="1"/>
      <w:marLeft w:val="0"/>
      <w:marRight w:val="0"/>
      <w:marTop w:val="0"/>
      <w:marBottom w:val="0"/>
      <w:divBdr>
        <w:top w:val="none" w:sz="0" w:space="0" w:color="auto"/>
        <w:left w:val="none" w:sz="0" w:space="0" w:color="auto"/>
        <w:bottom w:val="none" w:sz="0" w:space="0" w:color="auto"/>
        <w:right w:val="none" w:sz="0" w:space="0" w:color="auto"/>
      </w:divBdr>
    </w:div>
    <w:div w:id="1087117332">
      <w:bodyDiv w:val="1"/>
      <w:marLeft w:val="0"/>
      <w:marRight w:val="0"/>
      <w:marTop w:val="0"/>
      <w:marBottom w:val="0"/>
      <w:divBdr>
        <w:top w:val="none" w:sz="0" w:space="0" w:color="auto"/>
        <w:left w:val="none" w:sz="0" w:space="0" w:color="auto"/>
        <w:bottom w:val="none" w:sz="0" w:space="0" w:color="auto"/>
        <w:right w:val="none" w:sz="0" w:space="0" w:color="auto"/>
      </w:divBdr>
    </w:div>
    <w:div w:id="1329214230">
      <w:bodyDiv w:val="1"/>
      <w:marLeft w:val="0"/>
      <w:marRight w:val="0"/>
      <w:marTop w:val="0"/>
      <w:marBottom w:val="0"/>
      <w:divBdr>
        <w:top w:val="none" w:sz="0" w:space="0" w:color="auto"/>
        <w:left w:val="none" w:sz="0" w:space="0" w:color="auto"/>
        <w:bottom w:val="none" w:sz="0" w:space="0" w:color="auto"/>
        <w:right w:val="none" w:sz="0" w:space="0" w:color="auto"/>
      </w:divBdr>
    </w:div>
    <w:div w:id="1377001500">
      <w:bodyDiv w:val="1"/>
      <w:marLeft w:val="0"/>
      <w:marRight w:val="0"/>
      <w:marTop w:val="0"/>
      <w:marBottom w:val="0"/>
      <w:divBdr>
        <w:top w:val="none" w:sz="0" w:space="0" w:color="auto"/>
        <w:left w:val="none" w:sz="0" w:space="0" w:color="auto"/>
        <w:bottom w:val="none" w:sz="0" w:space="0" w:color="auto"/>
        <w:right w:val="none" w:sz="0" w:space="0" w:color="auto"/>
      </w:divBdr>
    </w:div>
    <w:div w:id="1582788958">
      <w:bodyDiv w:val="1"/>
      <w:marLeft w:val="0"/>
      <w:marRight w:val="0"/>
      <w:marTop w:val="0"/>
      <w:marBottom w:val="0"/>
      <w:divBdr>
        <w:top w:val="none" w:sz="0" w:space="0" w:color="auto"/>
        <w:left w:val="none" w:sz="0" w:space="0" w:color="auto"/>
        <w:bottom w:val="none" w:sz="0" w:space="0" w:color="auto"/>
        <w:right w:val="none" w:sz="0" w:space="0" w:color="auto"/>
      </w:divBdr>
    </w:div>
    <w:div w:id="1934850735">
      <w:bodyDiv w:val="1"/>
      <w:marLeft w:val="0"/>
      <w:marRight w:val="0"/>
      <w:marTop w:val="0"/>
      <w:marBottom w:val="0"/>
      <w:divBdr>
        <w:top w:val="none" w:sz="0" w:space="0" w:color="auto"/>
        <w:left w:val="none" w:sz="0" w:space="0" w:color="auto"/>
        <w:bottom w:val="none" w:sz="0" w:space="0" w:color="auto"/>
        <w:right w:val="none" w:sz="0" w:space="0" w:color="auto"/>
      </w:divBdr>
    </w:div>
    <w:div w:id="2076078126">
      <w:bodyDiv w:val="1"/>
      <w:marLeft w:val="0"/>
      <w:marRight w:val="0"/>
      <w:marTop w:val="0"/>
      <w:marBottom w:val="0"/>
      <w:divBdr>
        <w:top w:val="none" w:sz="0" w:space="0" w:color="auto"/>
        <w:left w:val="none" w:sz="0" w:space="0" w:color="auto"/>
        <w:bottom w:val="none" w:sz="0" w:space="0" w:color="auto"/>
        <w:right w:val="none" w:sz="0" w:space="0" w:color="auto"/>
      </w:divBdr>
    </w:div>
    <w:div w:id="21142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63-doc24-update-secretariat-implementation-resolution-xiv20" TargetMode="External"/><Relationship Id="rId2" Type="http://schemas.openxmlformats.org/officeDocument/2006/relationships/hyperlink" Target="https://www.ramsar.org/document/sc62-doc24-rev1-update-secretariat-implementation-resolution-xiv20" TargetMode="External"/><Relationship Id="rId1" Type="http://schemas.openxmlformats.org/officeDocument/2006/relationships/hyperlink" Target="https://www.ramsar.org/document/cop15-inf2-implementation-resolution-xiv20-final-assessment-report-environmental-damage" TargetMode="External"/><Relationship Id="rId6" Type="http://schemas.openxmlformats.org/officeDocument/2006/relationships/hyperlink" Target="https://globalplatform.undrr.org/2025/about-gp" TargetMode="External"/><Relationship Id="rId5" Type="http://schemas.openxmlformats.org/officeDocument/2006/relationships/hyperlink" Target="https://rsis.ramsar.org/" TargetMode="External"/><Relationship Id="rId4" Type="http://schemas.openxmlformats.org/officeDocument/2006/relationships/hyperlink" Target="https://www.ramsar.org/document/sc64-doc28-update-secretariat-implementation-resolution-xi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CAD6-635D-4B17-8828-9801B6C1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dcterms:created xsi:type="dcterms:W3CDTF">2025-04-17T15:00:00Z</dcterms:created>
  <dcterms:modified xsi:type="dcterms:W3CDTF">2025-07-02T13:50:00Z</dcterms:modified>
</cp:coreProperties>
</file>