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00FAF" w14:textId="77777777" w:rsidR="000868C9" w:rsidRPr="0031405D" w:rsidRDefault="000868C9" w:rsidP="005205FB">
      <w:pPr>
        <w:spacing w:after="0" w:line="240" w:lineRule="auto"/>
        <w:jc w:val="center"/>
        <w:outlineLvl w:val="0"/>
        <w:rPr>
          <w:rFonts w:eastAsia="Times New Roman" w:cstheme="majorHAnsi"/>
          <w:b/>
          <w:bCs/>
          <w:sz w:val="24"/>
          <w:szCs w:val="24"/>
        </w:rPr>
      </w:pPr>
      <w:r w:rsidRPr="0031405D">
        <w:rPr>
          <w:rFonts w:eastAsia="Times New Roman" w:cstheme="majorHAnsi"/>
          <w:b/>
          <w:bCs/>
          <w:noProof/>
          <w:sz w:val="24"/>
          <w:szCs w:val="24"/>
          <w:lang w:val="en-CA" w:eastAsia="en-CA"/>
        </w:rPr>
        <w:drawing>
          <wp:anchor distT="0" distB="0" distL="114300" distR="114300" simplePos="0" relativeHeight="251659264" behindDoc="0" locked="0" layoutInCell="1" allowOverlap="1" wp14:anchorId="711C8989" wp14:editId="6ED53A76">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11"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366D63" w14:textId="77777777" w:rsidR="000868C9" w:rsidRPr="000868C9" w:rsidRDefault="000868C9" w:rsidP="005205FB">
      <w:pPr>
        <w:spacing w:after="0" w:line="240" w:lineRule="auto"/>
        <w:jc w:val="center"/>
        <w:outlineLvl w:val="0"/>
        <w:rPr>
          <w:rFonts w:ascii="Calibri" w:eastAsia="Times New Roman" w:hAnsi="Calibri" w:cs="Calibri"/>
          <w:b/>
          <w:bCs/>
          <w:sz w:val="24"/>
          <w:szCs w:val="24"/>
          <w:lang w:val="fr-FR"/>
        </w:rPr>
      </w:pPr>
      <w:r w:rsidRPr="000868C9">
        <w:rPr>
          <w:rFonts w:ascii="Calibri" w:eastAsia="Times New Roman" w:hAnsi="Calibri" w:cs="Calibri"/>
          <w:b/>
          <w:bCs/>
          <w:sz w:val="24"/>
          <w:szCs w:val="24"/>
          <w:lang w:val="fr-FR"/>
        </w:rPr>
        <w:t>15</w:t>
      </w:r>
      <w:r w:rsidRPr="000868C9">
        <w:rPr>
          <w:rFonts w:ascii="Calibri" w:eastAsia="Times New Roman" w:hAnsi="Calibri" w:cs="Calibri"/>
          <w:b/>
          <w:bCs/>
          <w:sz w:val="24"/>
          <w:szCs w:val="24"/>
          <w:vertAlign w:val="superscript"/>
          <w:lang w:val="fr-FR"/>
        </w:rPr>
        <w:t>e</w:t>
      </w:r>
      <w:r w:rsidRPr="000868C9">
        <w:rPr>
          <w:rFonts w:ascii="Calibri" w:eastAsia="Times New Roman" w:hAnsi="Calibri" w:cs="Calibri"/>
          <w:b/>
          <w:bCs/>
          <w:sz w:val="24"/>
          <w:szCs w:val="24"/>
          <w:lang w:val="fr-FR"/>
        </w:rPr>
        <w:t xml:space="preserve"> session de la Conférence des Parties contractantes à la Convention sur les zones humides</w:t>
      </w:r>
    </w:p>
    <w:p w14:paraId="560F4D60" w14:textId="77777777" w:rsidR="000868C9" w:rsidRPr="000868C9" w:rsidRDefault="000868C9" w:rsidP="005205FB">
      <w:pPr>
        <w:spacing w:after="0" w:line="240" w:lineRule="auto"/>
        <w:jc w:val="center"/>
        <w:outlineLvl w:val="0"/>
        <w:rPr>
          <w:rFonts w:ascii="Calibri" w:eastAsia="Times New Roman" w:hAnsi="Calibri" w:cs="Calibri"/>
          <w:b/>
          <w:bCs/>
          <w:sz w:val="24"/>
          <w:szCs w:val="24"/>
          <w:lang w:val="fr-FR"/>
        </w:rPr>
      </w:pPr>
    </w:p>
    <w:p w14:paraId="2418309F" w14:textId="77777777" w:rsidR="000868C9" w:rsidRPr="000868C9" w:rsidRDefault="000868C9" w:rsidP="005205FB">
      <w:pPr>
        <w:spacing w:after="0" w:line="240" w:lineRule="auto"/>
        <w:jc w:val="center"/>
        <w:outlineLvl w:val="0"/>
        <w:rPr>
          <w:rFonts w:ascii="Calibri" w:eastAsia="Times New Roman" w:hAnsi="Calibri" w:cs="Calibri"/>
          <w:b/>
          <w:bCs/>
          <w:sz w:val="24"/>
          <w:szCs w:val="24"/>
          <w:lang w:val="fr-FR"/>
        </w:rPr>
      </w:pPr>
      <w:r w:rsidRPr="000868C9">
        <w:rPr>
          <w:rFonts w:ascii="Calibri" w:eastAsia="Times New Roman" w:hAnsi="Calibri" w:cs="Calibri"/>
          <w:b/>
          <w:bCs/>
          <w:sz w:val="24"/>
          <w:szCs w:val="24"/>
          <w:lang w:val="fr-FR"/>
        </w:rPr>
        <w:t xml:space="preserve">« Protéger les zones humides pour notre avenir commun » </w:t>
      </w:r>
    </w:p>
    <w:p w14:paraId="4F0E07F2" w14:textId="77777777" w:rsidR="000868C9" w:rsidRPr="00952121" w:rsidRDefault="000868C9" w:rsidP="005205FB">
      <w:pPr>
        <w:spacing w:after="0" w:line="240" w:lineRule="auto"/>
        <w:jc w:val="center"/>
        <w:outlineLvl w:val="0"/>
        <w:rPr>
          <w:rFonts w:eastAsia="Times New Roman" w:cstheme="majorHAnsi"/>
          <w:b/>
          <w:bCs/>
          <w:sz w:val="24"/>
          <w:szCs w:val="24"/>
          <w:lang w:val="fr-FR"/>
        </w:rPr>
      </w:pPr>
      <w:r w:rsidRPr="00952121">
        <w:rPr>
          <w:rFonts w:ascii="Calibri" w:eastAsia="Times New Roman" w:hAnsi="Calibri" w:cs="Calibri"/>
          <w:b/>
          <w:bCs/>
          <w:sz w:val="24"/>
          <w:szCs w:val="24"/>
          <w:lang w:val="fr-FR"/>
        </w:rPr>
        <w:t>Victoria Falls, Zimbabwe, 23-31 </w:t>
      </w:r>
      <w:r w:rsidRPr="006013F8">
        <w:rPr>
          <w:rFonts w:ascii="Calibri" w:eastAsia="Times New Roman" w:hAnsi="Calibri" w:cs="Calibri"/>
          <w:b/>
          <w:bCs/>
          <w:sz w:val="24"/>
          <w:szCs w:val="24"/>
          <w:lang w:val="fr-FR"/>
        </w:rPr>
        <w:t>juillet</w:t>
      </w:r>
      <w:r w:rsidRPr="00952121">
        <w:rPr>
          <w:rFonts w:ascii="Calibri" w:eastAsia="Times New Roman" w:hAnsi="Calibri" w:cs="Calibri"/>
          <w:b/>
          <w:bCs/>
          <w:sz w:val="24"/>
          <w:szCs w:val="24"/>
          <w:lang w:val="fr-FR"/>
        </w:rPr>
        <w:t> 2025</w:t>
      </w:r>
    </w:p>
    <w:p w14:paraId="6853B3FD" w14:textId="77777777" w:rsidR="000868C9" w:rsidRPr="00952121" w:rsidRDefault="000868C9" w:rsidP="005205FB">
      <w:pPr>
        <w:spacing w:after="0" w:line="240" w:lineRule="auto"/>
        <w:jc w:val="center"/>
        <w:outlineLvl w:val="0"/>
        <w:rPr>
          <w:rFonts w:ascii="Calibri" w:eastAsia="Times New Roman" w:hAnsi="Calibri" w:cs="Calibri"/>
          <w:b/>
          <w:bCs/>
          <w:sz w:val="24"/>
          <w:szCs w:val="24"/>
          <w:lang w:val="fr-FR"/>
        </w:rPr>
      </w:pPr>
    </w:p>
    <w:p w14:paraId="6E2CF262" w14:textId="77777777" w:rsidR="000868C9" w:rsidRPr="00952121" w:rsidRDefault="000868C9" w:rsidP="005205FB">
      <w:pPr>
        <w:spacing w:after="0" w:line="240" w:lineRule="auto"/>
        <w:jc w:val="center"/>
        <w:outlineLvl w:val="0"/>
        <w:rPr>
          <w:rFonts w:ascii="Calibri" w:eastAsia="Times New Roman" w:hAnsi="Calibri" w:cs="Calibri"/>
          <w:b/>
          <w:bCs/>
          <w:sz w:val="24"/>
          <w:szCs w:val="24"/>
          <w:lang w:val="fr-FR"/>
        </w:rPr>
      </w:pPr>
    </w:p>
    <w:p w14:paraId="4D5B9502" w14:textId="77777777" w:rsidR="000868C9" w:rsidRPr="00952121" w:rsidRDefault="000868C9" w:rsidP="000868C9">
      <w:pPr>
        <w:spacing w:after="0" w:line="240" w:lineRule="auto"/>
        <w:jc w:val="center"/>
        <w:outlineLvl w:val="0"/>
        <w:rPr>
          <w:rFonts w:ascii="Calibri" w:eastAsia="Times New Roman" w:hAnsi="Calibri" w:cs="Calibri"/>
          <w:b/>
          <w:bCs/>
          <w:sz w:val="24"/>
          <w:szCs w:val="24"/>
          <w:lang w:val="fr-FR"/>
        </w:rPr>
      </w:pPr>
    </w:p>
    <w:p w14:paraId="4D704DDC" w14:textId="77777777" w:rsidR="000868C9" w:rsidRPr="00952121" w:rsidRDefault="000868C9" w:rsidP="000868C9">
      <w:pPr>
        <w:spacing w:after="0" w:line="240" w:lineRule="auto"/>
        <w:jc w:val="right"/>
        <w:rPr>
          <w:rFonts w:ascii="Calibri" w:hAnsi="Calibri" w:cs="Calibri"/>
          <w:lang w:val="fr-FR"/>
        </w:rPr>
      </w:pPr>
    </w:p>
    <w:p w14:paraId="16B56B30" w14:textId="13B0B7CC" w:rsidR="003614B1" w:rsidRPr="00952121" w:rsidRDefault="000868C9" w:rsidP="000868C9">
      <w:pPr>
        <w:widowControl w:val="0"/>
        <w:spacing w:after="0" w:line="240" w:lineRule="auto"/>
        <w:jc w:val="right"/>
        <w:rPr>
          <w:rFonts w:ascii="Calibri" w:eastAsia="Times New Roman" w:hAnsi="Calibri" w:cs="Calibri"/>
          <w:sz w:val="28"/>
          <w:szCs w:val="28"/>
          <w:lang w:val="fr-FR"/>
        </w:rPr>
      </w:pPr>
      <w:r w:rsidRPr="00952121">
        <w:rPr>
          <w:rFonts w:ascii="Calibri" w:hAnsi="Calibri" w:cs="Calibri"/>
          <w:b/>
          <w:sz w:val="28"/>
          <w:szCs w:val="28"/>
          <w:lang w:val="fr-FR"/>
        </w:rPr>
        <w:t>COP15 Doc.</w:t>
      </w:r>
      <w:r w:rsidR="003614B1" w:rsidRPr="00952121">
        <w:rPr>
          <w:rFonts w:ascii="Calibri" w:eastAsia="Times New Roman" w:hAnsi="Calibri" w:cs="Calibri"/>
          <w:b/>
          <w:sz w:val="28"/>
          <w:szCs w:val="28"/>
          <w:lang w:val="fr-FR"/>
        </w:rPr>
        <w:t>15</w:t>
      </w:r>
    </w:p>
    <w:p w14:paraId="48DDDF56" w14:textId="77777777" w:rsidR="003614B1" w:rsidRPr="00952121" w:rsidRDefault="003614B1" w:rsidP="003614B1">
      <w:pPr>
        <w:tabs>
          <w:tab w:val="left" w:pos="10650"/>
          <w:tab w:val="right" w:pos="13958"/>
        </w:tabs>
        <w:autoSpaceDE w:val="0"/>
        <w:autoSpaceDN w:val="0"/>
        <w:spacing w:after="0" w:line="240" w:lineRule="auto"/>
        <w:jc w:val="right"/>
        <w:rPr>
          <w:rFonts w:ascii="Calibri" w:eastAsia="Times New Roman" w:hAnsi="Calibri" w:cs="Calibri"/>
          <w:b/>
          <w:bCs/>
          <w:sz w:val="28"/>
          <w:szCs w:val="28"/>
          <w:lang w:val="fr-FR"/>
        </w:rPr>
      </w:pPr>
    </w:p>
    <w:p w14:paraId="18DD3AF4" w14:textId="4CD50AF7" w:rsidR="003614B1" w:rsidRPr="005205FB" w:rsidRDefault="003614B1" w:rsidP="005205FB">
      <w:pPr>
        <w:suppressLineNumbers/>
        <w:suppressAutoHyphens/>
        <w:spacing w:after="0" w:line="240" w:lineRule="auto"/>
        <w:ind w:right="16"/>
        <w:jc w:val="right"/>
        <w:rPr>
          <w:rFonts w:ascii="Calibri" w:hAnsi="Calibri" w:cs="Calibri"/>
          <w:sz w:val="28"/>
          <w:szCs w:val="28"/>
          <w:lang w:val="fr-FR"/>
        </w:rPr>
      </w:pPr>
    </w:p>
    <w:p w14:paraId="1F45EF18" w14:textId="6A24BE09" w:rsidR="00E65FBD" w:rsidRPr="005205FB" w:rsidRDefault="00E65FBD" w:rsidP="003614B1">
      <w:pPr>
        <w:spacing w:after="0" w:line="240" w:lineRule="auto"/>
        <w:jc w:val="center"/>
        <w:rPr>
          <w:rFonts w:ascii="Calibri" w:eastAsia="Calibri" w:hAnsi="Calibri" w:cs="Calibri"/>
          <w:b/>
          <w:bCs/>
          <w:sz w:val="28"/>
          <w:lang w:val="fr-FR"/>
        </w:rPr>
      </w:pPr>
      <w:r w:rsidRPr="000868C9">
        <w:rPr>
          <w:rFonts w:ascii="Calibri" w:eastAsia="Calibri" w:hAnsi="Calibri" w:cs="Calibri"/>
          <w:b/>
          <w:bCs/>
          <w:sz w:val="28"/>
          <w:lang w:val="fr-FR"/>
        </w:rPr>
        <w:t>R</w:t>
      </w:r>
      <w:r w:rsidR="000868C9" w:rsidRPr="000868C9">
        <w:rPr>
          <w:rFonts w:ascii="Calibri" w:eastAsia="Calibri" w:hAnsi="Calibri" w:cs="Calibri"/>
          <w:b/>
          <w:bCs/>
          <w:sz w:val="28"/>
          <w:lang w:val="fr-FR"/>
        </w:rPr>
        <w:t>ap</w:t>
      </w:r>
      <w:r w:rsidRPr="000868C9">
        <w:rPr>
          <w:rFonts w:ascii="Calibri" w:eastAsia="Calibri" w:hAnsi="Calibri" w:cs="Calibri"/>
          <w:b/>
          <w:bCs/>
          <w:sz w:val="28"/>
          <w:lang w:val="fr-FR"/>
        </w:rPr>
        <w:t xml:space="preserve">port </w:t>
      </w:r>
      <w:r w:rsidR="000868C9" w:rsidRPr="000868C9">
        <w:rPr>
          <w:rFonts w:ascii="Calibri" w:eastAsia="Calibri" w:hAnsi="Calibri" w:cs="Calibri"/>
          <w:b/>
          <w:bCs/>
          <w:sz w:val="28"/>
          <w:lang w:val="fr-FR"/>
        </w:rPr>
        <w:t>du</w:t>
      </w:r>
      <w:r w:rsidRPr="000868C9">
        <w:rPr>
          <w:rFonts w:ascii="Calibri" w:eastAsia="Calibri" w:hAnsi="Calibri" w:cs="Calibri"/>
          <w:b/>
          <w:bCs/>
          <w:sz w:val="28"/>
          <w:lang w:val="fr-FR"/>
        </w:rPr>
        <w:t xml:space="preserve"> Secr</w:t>
      </w:r>
      <w:r w:rsidR="000868C9" w:rsidRPr="000868C9">
        <w:rPr>
          <w:rFonts w:ascii="Calibri" w:eastAsia="Calibri" w:hAnsi="Calibri" w:cs="Calibri"/>
          <w:b/>
          <w:bCs/>
          <w:sz w:val="28"/>
          <w:lang w:val="fr-FR"/>
        </w:rPr>
        <w:t>é</w:t>
      </w:r>
      <w:r w:rsidRPr="000868C9">
        <w:rPr>
          <w:rFonts w:ascii="Calibri" w:eastAsia="Calibri" w:hAnsi="Calibri" w:cs="Calibri"/>
          <w:b/>
          <w:bCs/>
          <w:sz w:val="28"/>
          <w:lang w:val="fr-FR"/>
        </w:rPr>
        <w:t xml:space="preserve">tariat </w:t>
      </w:r>
      <w:r w:rsidR="005205FB" w:rsidRPr="005205FB">
        <w:rPr>
          <w:rFonts w:ascii="Calibri" w:eastAsia="Calibri" w:hAnsi="Calibri" w:cs="Calibri"/>
          <w:b/>
          <w:bCs/>
          <w:sz w:val="28"/>
          <w:lang w:val="fr-FR"/>
        </w:rPr>
        <w:t>sur les possibilités pour la Convention de renforcer encore sa contribution au Programme de développement durable à l’horizon 2030 et aux Objectifs de développement durable</w:t>
      </w:r>
    </w:p>
    <w:p w14:paraId="30AAEB53" w14:textId="77777777" w:rsidR="00D73C16" w:rsidRPr="000868C9" w:rsidRDefault="00D73C16" w:rsidP="003614B1">
      <w:pPr>
        <w:spacing w:after="0" w:line="240" w:lineRule="auto"/>
        <w:rPr>
          <w:rFonts w:ascii="Calibri" w:hAnsi="Calibri" w:cs="Calibri"/>
          <w:lang w:val="fr-FR"/>
        </w:rPr>
      </w:pPr>
    </w:p>
    <w:p w14:paraId="761C258B" w14:textId="77777777" w:rsidR="003614B1" w:rsidRPr="000868C9" w:rsidRDefault="003614B1" w:rsidP="003614B1">
      <w:pPr>
        <w:spacing w:after="0" w:line="240" w:lineRule="auto"/>
        <w:rPr>
          <w:rFonts w:ascii="Calibri" w:hAnsi="Calibri" w:cs="Calibri"/>
          <w:b/>
          <w:bCs/>
          <w:lang w:val="fr-FR"/>
        </w:rPr>
      </w:pPr>
    </w:p>
    <w:p w14:paraId="29EA9357" w14:textId="7F26F469" w:rsidR="00AA7250" w:rsidRPr="005205FB" w:rsidRDefault="000868C9" w:rsidP="003614B1">
      <w:pPr>
        <w:keepNext/>
        <w:spacing w:after="0" w:line="240" w:lineRule="auto"/>
        <w:rPr>
          <w:rFonts w:ascii="Calibri" w:hAnsi="Calibri" w:cs="Calibri"/>
          <w:b/>
          <w:lang w:val="fr-FR"/>
        </w:rPr>
      </w:pPr>
      <w:r w:rsidRPr="005205FB">
        <w:rPr>
          <w:rFonts w:ascii="Calibri" w:hAnsi="Calibri" w:cs="Calibri"/>
          <w:b/>
          <w:bCs/>
          <w:lang w:val="fr-FR"/>
        </w:rPr>
        <w:t>Contexte</w:t>
      </w:r>
      <w:r w:rsidR="00E65FBD" w:rsidRPr="005205FB">
        <w:rPr>
          <w:rFonts w:ascii="Calibri" w:hAnsi="Calibri" w:cs="Calibri"/>
          <w:b/>
          <w:bCs/>
          <w:lang w:val="fr-FR"/>
        </w:rPr>
        <w:t xml:space="preserve"> </w:t>
      </w:r>
    </w:p>
    <w:p w14:paraId="1E1D707F" w14:textId="77777777" w:rsidR="00AD3799" w:rsidRPr="00952121" w:rsidRDefault="00AD3799" w:rsidP="003614B1">
      <w:pPr>
        <w:keepNext/>
        <w:spacing w:after="0" w:line="240" w:lineRule="auto"/>
        <w:rPr>
          <w:rFonts w:ascii="Calibri" w:hAnsi="Calibri" w:cs="Calibri"/>
          <w:sz w:val="24"/>
          <w:szCs w:val="24"/>
          <w:lang w:val="fr-FR"/>
        </w:rPr>
      </w:pPr>
    </w:p>
    <w:p w14:paraId="6F2A000E" w14:textId="6348FB24" w:rsidR="0024203F"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1.</w:t>
      </w:r>
      <w:r w:rsidRPr="005205FB">
        <w:rPr>
          <w:rFonts w:ascii="Calibri" w:hAnsi="Calibri" w:cs="Calibri"/>
          <w:lang w:val="fr-FR"/>
        </w:rPr>
        <w:tab/>
      </w:r>
      <w:r w:rsidR="004A027C" w:rsidRPr="005205FB">
        <w:rPr>
          <w:rFonts w:ascii="Calibri" w:hAnsi="Calibri" w:cs="Calibri"/>
          <w:lang w:val="fr-FR"/>
        </w:rPr>
        <w:t>Le présent rapport est présenté conformément à la Ré</w:t>
      </w:r>
      <w:r w:rsidR="00E65FBD" w:rsidRPr="005205FB">
        <w:rPr>
          <w:rFonts w:ascii="Calibri" w:hAnsi="Calibri" w:cs="Calibri"/>
          <w:lang w:val="fr-FR"/>
        </w:rPr>
        <w:t>solution XIV.6</w:t>
      </w:r>
      <w:r w:rsidR="00735C33" w:rsidRPr="005205FB">
        <w:rPr>
          <w:rFonts w:ascii="Calibri" w:hAnsi="Calibri" w:cs="Calibri"/>
          <w:lang w:val="fr-FR"/>
        </w:rPr>
        <w:t>,</w:t>
      </w:r>
      <w:r w:rsidR="003E42E4" w:rsidRPr="005205FB">
        <w:rPr>
          <w:rFonts w:ascii="Calibri" w:hAnsi="Calibri" w:cs="Calibri"/>
          <w:lang w:val="fr-FR"/>
        </w:rPr>
        <w:t xml:space="preserve"> </w:t>
      </w:r>
      <w:r w:rsidR="00735C33" w:rsidRPr="005205FB">
        <w:rPr>
          <w:rFonts w:ascii="Calibri" w:hAnsi="Calibri" w:cs="Calibri"/>
          <w:i/>
          <w:iCs/>
          <w:lang w:val="fr-FR"/>
        </w:rPr>
        <w:t xml:space="preserve">Renforcer la visibilité de la Convention et les synergies avec d’autres accords multilatéraux sur l’environnement et institutions internationales </w:t>
      </w:r>
      <w:r w:rsidR="00735C33" w:rsidRPr="005205FB">
        <w:rPr>
          <w:rFonts w:ascii="Calibri" w:hAnsi="Calibri" w:cs="Calibri"/>
          <w:lang w:val="fr-FR"/>
        </w:rPr>
        <w:t>qui</w:t>
      </w:r>
      <w:r w:rsidR="004E6D35" w:rsidRPr="005205FB">
        <w:rPr>
          <w:rFonts w:ascii="Calibri" w:hAnsi="Calibri" w:cs="Calibri"/>
          <w:lang w:val="fr-FR"/>
        </w:rPr>
        <w:t xml:space="preserve">, </w:t>
      </w:r>
      <w:r w:rsidR="00735C33" w:rsidRPr="005205FB">
        <w:rPr>
          <w:rFonts w:ascii="Calibri" w:hAnsi="Calibri" w:cs="Calibri"/>
          <w:lang w:val="fr-FR"/>
        </w:rPr>
        <w:t xml:space="preserve">dans son </w:t>
      </w:r>
      <w:r w:rsidR="00E65FBD" w:rsidRPr="005205FB">
        <w:rPr>
          <w:rFonts w:ascii="Calibri" w:hAnsi="Calibri" w:cs="Calibri"/>
          <w:lang w:val="fr-FR"/>
        </w:rPr>
        <w:t>para</w:t>
      </w:r>
      <w:r w:rsidR="003E42E4" w:rsidRPr="005205FB">
        <w:rPr>
          <w:rFonts w:ascii="Calibri" w:hAnsi="Calibri" w:cs="Calibri"/>
          <w:lang w:val="fr-FR"/>
        </w:rPr>
        <w:t>graph</w:t>
      </w:r>
      <w:r w:rsidR="00735C33" w:rsidRPr="005205FB">
        <w:rPr>
          <w:rFonts w:ascii="Calibri" w:hAnsi="Calibri" w:cs="Calibri"/>
          <w:lang w:val="fr-FR"/>
        </w:rPr>
        <w:t>e</w:t>
      </w:r>
      <w:r w:rsidR="00E65FBD" w:rsidRPr="005205FB">
        <w:rPr>
          <w:rFonts w:ascii="Calibri" w:hAnsi="Calibri" w:cs="Calibri"/>
          <w:lang w:val="fr-FR"/>
        </w:rPr>
        <w:t xml:space="preserve"> 24</w:t>
      </w:r>
      <w:r w:rsidR="004E6D35" w:rsidRPr="005205FB">
        <w:rPr>
          <w:rFonts w:ascii="Calibri" w:hAnsi="Calibri" w:cs="Calibri"/>
          <w:lang w:val="fr-FR"/>
        </w:rPr>
        <w:t xml:space="preserve">, </w:t>
      </w:r>
      <w:r w:rsidR="00735C33" w:rsidRPr="005205FB">
        <w:rPr>
          <w:rFonts w:ascii="Calibri" w:hAnsi="Calibri" w:cs="Calibri"/>
          <w:lang w:val="fr-FR"/>
        </w:rPr>
        <w:t>« CHARGE le Secrétariat, en collaboration avec le Groupe d’évaluation scientifique et technique (GEST), de présenter à la 15</w:t>
      </w:r>
      <w:r w:rsidR="00735C33" w:rsidRPr="005205FB">
        <w:rPr>
          <w:rFonts w:ascii="Calibri" w:hAnsi="Calibri" w:cs="Calibri"/>
          <w:vertAlign w:val="superscript"/>
          <w:lang w:val="fr-FR"/>
        </w:rPr>
        <w:t>e</w:t>
      </w:r>
      <w:r w:rsidR="00735C33" w:rsidRPr="005205FB">
        <w:rPr>
          <w:rFonts w:ascii="Calibri" w:hAnsi="Calibri" w:cs="Calibri"/>
          <w:lang w:val="fr-FR"/>
        </w:rPr>
        <w:t xml:space="preserve"> Session de la Conférence des Parties contractantes (COP15) un rapport sur les possibilités pour la Convention de renforcer encore sa contribution au Programme de développement durable à l’horizon 2030 et aux Objectifs de développement durable (ODD) pour ce qui concerne les zones humides</w:t>
      </w:r>
      <w:r w:rsidR="004A027C" w:rsidRPr="005205FB">
        <w:rPr>
          <w:rFonts w:ascii="Calibri" w:hAnsi="Calibri" w:cs="Calibri"/>
          <w:lang w:val="fr-FR"/>
        </w:rPr>
        <w:t> »</w:t>
      </w:r>
      <w:r w:rsidR="00E65FBD" w:rsidRPr="005205FB">
        <w:rPr>
          <w:rFonts w:ascii="Calibri" w:hAnsi="Calibri" w:cs="Calibri"/>
          <w:lang w:val="fr-FR"/>
        </w:rPr>
        <w:t>.</w:t>
      </w:r>
    </w:p>
    <w:p w14:paraId="74B77AE9" w14:textId="77777777" w:rsidR="0024203F" w:rsidRPr="005205FB" w:rsidRDefault="0024203F" w:rsidP="00A478A5">
      <w:pPr>
        <w:spacing w:after="0" w:line="240" w:lineRule="auto"/>
        <w:ind w:left="425" w:hanging="425"/>
        <w:rPr>
          <w:rFonts w:ascii="Calibri" w:hAnsi="Calibri" w:cs="Calibri"/>
          <w:lang w:val="fr-FR"/>
        </w:rPr>
      </w:pPr>
    </w:p>
    <w:p w14:paraId="56108970" w14:textId="5FBED0E2" w:rsidR="0024203F"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2.</w:t>
      </w:r>
      <w:r w:rsidRPr="005205FB">
        <w:rPr>
          <w:rFonts w:ascii="Calibri" w:hAnsi="Calibri" w:cs="Calibri"/>
          <w:lang w:val="fr-FR"/>
        </w:rPr>
        <w:tab/>
      </w:r>
      <w:r w:rsidR="0080300D" w:rsidRPr="005205FB">
        <w:rPr>
          <w:rFonts w:ascii="Calibri" w:hAnsi="Calibri" w:cs="Calibri"/>
          <w:lang w:val="fr-FR"/>
        </w:rPr>
        <w:t xml:space="preserve">La résolution </w:t>
      </w:r>
      <w:r w:rsidR="008519F3" w:rsidRPr="005205FB">
        <w:rPr>
          <w:rFonts w:ascii="Calibri" w:hAnsi="Calibri" w:cs="Calibri"/>
          <w:lang w:val="fr-FR"/>
        </w:rPr>
        <w:t>70/1</w:t>
      </w:r>
      <w:r w:rsidR="003E42E4" w:rsidRPr="005205FB">
        <w:rPr>
          <w:rFonts w:ascii="Calibri" w:hAnsi="Calibri" w:cs="Calibri"/>
          <w:lang w:val="fr-FR"/>
        </w:rPr>
        <w:t xml:space="preserve"> </w:t>
      </w:r>
      <w:r w:rsidR="003E42E4" w:rsidRPr="005205FB">
        <w:rPr>
          <w:rFonts w:ascii="Calibri" w:hAnsi="Calibri" w:cs="Calibri"/>
          <w:i/>
          <w:iCs/>
          <w:lang w:val="fr-FR"/>
        </w:rPr>
        <w:t>Transfor</w:t>
      </w:r>
      <w:r w:rsidR="0080300D" w:rsidRPr="005205FB">
        <w:rPr>
          <w:rFonts w:ascii="Calibri" w:hAnsi="Calibri" w:cs="Calibri"/>
          <w:i/>
          <w:iCs/>
          <w:lang w:val="fr-FR"/>
        </w:rPr>
        <w:t>mer notre monde</w:t>
      </w:r>
      <w:r w:rsidR="006013F8" w:rsidRPr="005205FB">
        <w:rPr>
          <w:rFonts w:ascii="Calibri" w:hAnsi="Calibri" w:cs="Calibri"/>
          <w:i/>
          <w:iCs/>
          <w:lang w:val="fr-FR"/>
        </w:rPr>
        <w:t> </w:t>
      </w:r>
      <w:r w:rsidR="0080300D" w:rsidRPr="005205FB">
        <w:rPr>
          <w:rFonts w:ascii="Calibri" w:hAnsi="Calibri" w:cs="Calibri"/>
          <w:i/>
          <w:iCs/>
          <w:lang w:val="fr-FR"/>
        </w:rPr>
        <w:t xml:space="preserve">: le Programme de développement durable à l’horizon 2030 </w:t>
      </w:r>
      <w:r w:rsidR="0080300D" w:rsidRPr="005205FB">
        <w:rPr>
          <w:rFonts w:ascii="Calibri" w:hAnsi="Calibri" w:cs="Calibri"/>
          <w:lang w:val="fr-FR"/>
        </w:rPr>
        <w:t>de l’Assemblée générale des Nations Unies reconnaît que</w:t>
      </w:r>
      <w:r w:rsidR="008519F3" w:rsidRPr="005205FB">
        <w:rPr>
          <w:rFonts w:ascii="Calibri" w:hAnsi="Calibri" w:cs="Calibri"/>
          <w:lang w:val="fr-FR"/>
        </w:rPr>
        <w:t xml:space="preserve"> </w:t>
      </w:r>
      <w:r w:rsidR="0080300D" w:rsidRPr="005205FB">
        <w:rPr>
          <w:rFonts w:ascii="Calibri" w:hAnsi="Calibri" w:cs="Calibri"/>
          <w:lang w:val="fr-FR"/>
        </w:rPr>
        <w:t>l’épuisement des ressources naturelles, les effets néfastes de la dégradation de l’environnement et</w:t>
      </w:r>
      <w:r w:rsidR="008519F3" w:rsidRPr="005205FB">
        <w:rPr>
          <w:rFonts w:ascii="Calibri" w:hAnsi="Calibri" w:cs="Calibri"/>
          <w:lang w:val="fr-FR"/>
        </w:rPr>
        <w:t xml:space="preserve"> </w:t>
      </w:r>
      <w:r w:rsidR="0080300D" w:rsidRPr="005205FB">
        <w:rPr>
          <w:rFonts w:ascii="Calibri" w:hAnsi="Calibri" w:cs="Calibri"/>
          <w:lang w:val="fr-FR"/>
        </w:rPr>
        <w:t>l’appauvrissement de la biodiversité viennent s’ajouter à la liste des difficultés avec lesquelles l’humanité est aux prises</w:t>
      </w:r>
      <w:r w:rsidR="003E42E4" w:rsidRPr="005205FB">
        <w:rPr>
          <w:rFonts w:ascii="Calibri" w:hAnsi="Calibri" w:cs="Calibri"/>
          <w:lang w:val="fr-FR"/>
        </w:rPr>
        <w:t xml:space="preserve">, </w:t>
      </w:r>
      <w:r w:rsidR="0080300D" w:rsidRPr="005205FB">
        <w:rPr>
          <w:rFonts w:ascii="Calibri" w:hAnsi="Calibri" w:cs="Calibri"/>
          <w:lang w:val="fr-FR"/>
        </w:rPr>
        <w:t>et</w:t>
      </w:r>
      <w:r w:rsidR="003E42E4" w:rsidRPr="005205FB">
        <w:rPr>
          <w:rFonts w:ascii="Calibri" w:hAnsi="Calibri" w:cs="Calibri"/>
          <w:lang w:val="fr-FR"/>
        </w:rPr>
        <w:t xml:space="preserve"> </w:t>
      </w:r>
      <w:r w:rsidR="0080300D" w:rsidRPr="005205FB">
        <w:rPr>
          <w:rFonts w:ascii="Calibri" w:hAnsi="Calibri" w:cs="Calibri"/>
          <w:lang w:val="fr-FR"/>
        </w:rPr>
        <w:t>que le développement économique et social dépend d’une gestion durable des ressources naturelles de notre planète</w:t>
      </w:r>
      <w:r w:rsidR="00450960" w:rsidRPr="005205FB">
        <w:rPr>
          <w:rFonts w:ascii="Calibri" w:hAnsi="Calibri" w:cs="Calibri"/>
          <w:lang w:val="fr-FR"/>
        </w:rPr>
        <w:t>;</w:t>
      </w:r>
      <w:r w:rsidR="002E0657" w:rsidRPr="005205FB">
        <w:rPr>
          <w:rFonts w:ascii="Calibri" w:hAnsi="Calibri" w:cs="Calibri"/>
          <w:lang w:val="fr-FR"/>
        </w:rPr>
        <w:t xml:space="preserve"> </w:t>
      </w:r>
      <w:r w:rsidR="00C155C1" w:rsidRPr="005205FB">
        <w:rPr>
          <w:rFonts w:ascii="Calibri" w:hAnsi="Calibri" w:cs="Calibri"/>
          <w:lang w:val="fr-FR"/>
        </w:rPr>
        <w:t>e</w:t>
      </w:r>
      <w:r w:rsidR="00952121" w:rsidRPr="005205FB">
        <w:rPr>
          <w:rFonts w:ascii="Calibri" w:hAnsi="Calibri" w:cs="Calibri"/>
          <w:lang w:val="fr-FR"/>
        </w:rPr>
        <w:t>lle</w:t>
      </w:r>
      <w:r w:rsidR="00C155C1" w:rsidRPr="005205FB">
        <w:rPr>
          <w:rFonts w:ascii="Calibri" w:hAnsi="Calibri" w:cs="Calibri"/>
          <w:lang w:val="fr-FR"/>
        </w:rPr>
        <w:t xml:space="preserve"> exprime </w:t>
      </w:r>
      <w:r w:rsidR="00952121" w:rsidRPr="005205FB">
        <w:rPr>
          <w:rFonts w:ascii="Calibri" w:hAnsi="Calibri" w:cs="Calibri"/>
          <w:lang w:val="fr-FR"/>
        </w:rPr>
        <w:t>l</w:t>
      </w:r>
      <w:r w:rsidR="00C155C1" w:rsidRPr="005205FB">
        <w:rPr>
          <w:rFonts w:ascii="Calibri" w:hAnsi="Calibri" w:cs="Calibri"/>
          <w:lang w:val="fr-FR"/>
        </w:rPr>
        <w:t xml:space="preserve">a </w:t>
      </w:r>
      <w:r w:rsidR="00952121" w:rsidRPr="005205FB">
        <w:rPr>
          <w:rFonts w:ascii="Calibri" w:hAnsi="Calibri" w:cs="Calibri"/>
          <w:lang w:val="fr-FR"/>
        </w:rPr>
        <w:t>volonté</w:t>
      </w:r>
      <w:r w:rsidR="00C155C1" w:rsidRPr="005205FB">
        <w:rPr>
          <w:rFonts w:ascii="Calibri" w:hAnsi="Calibri" w:cs="Calibri"/>
          <w:lang w:val="fr-FR"/>
        </w:rPr>
        <w:t xml:space="preserve"> </w:t>
      </w:r>
      <w:r w:rsidR="00952121" w:rsidRPr="005205FB">
        <w:rPr>
          <w:rFonts w:ascii="Calibri" w:hAnsi="Calibri" w:cs="Calibri"/>
          <w:lang w:val="fr-FR"/>
        </w:rPr>
        <w:t>de parvenir à</w:t>
      </w:r>
      <w:r w:rsidR="00C155C1" w:rsidRPr="005205FB">
        <w:rPr>
          <w:rFonts w:ascii="Calibri" w:hAnsi="Calibri" w:cs="Calibri"/>
          <w:lang w:val="fr-FR"/>
        </w:rPr>
        <w:t xml:space="preserve"> la conservation et </w:t>
      </w:r>
      <w:r w:rsidR="00952121" w:rsidRPr="005205FB">
        <w:rPr>
          <w:rFonts w:ascii="Calibri" w:hAnsi="Calibri" w:cs="Calibri"/>
          <w:lang w:val="fr-FR"/>
        </w:rPr>
        <w:t xml:space="preserve">à </w:t>
      </w:r>
      <w:r w:rsidR="00C155C1" w:rsidRPr="005205FB">
        <w:rPr>
          <w:rFonts w:ascii="Calibri" w:hAnsi="Calibri" w:cs="Calibri"/>
          <w:lang w:val="fr-FR"/>
        </w:rPr>
        <w:t>un usage raisonnable des mers et des océans</w:t>
      </w:r>
      <w:r w:rsidR="008519F3" w:rsidRPr="005205FB">
        <w:rPr>
          <w:rFonts w:ascii="Calibri" w:hAnsi="Calibri" w:cs="Calibri"/>
          <w:lang w:val="fr-FR"/>
        </w:rPr>
        <w:t xml:space="preserve">, </w:t>
      </w:r>
      <w:r w:rsidR="00C155C1" w:rsidRPr="005205FB">
        <w:rPr>
          <w:rFonts w:ascii="Calibri" w:hAnsi="Calibri" w:cs="Calibri"/>
          <w:lang w:val="fr-FR"/>
        </w:rPr>
        <w:t xml:space="preserve">des ressources en eau douce, des forêts, des montagnes et des terres arides, et à protéger la diversité biologique, les écosystèmes et la flore et la faune sauvages. </w:t>
      </w:r>
    </w:p>
    <w:p w14:paraId="5375680D" w14:textId="77777777" w:rsidR="0024203F" w:rsidRPr="005205FB" w:rsidRDefault="0024203F" w:rsidP="00A478A5">
      <w:pPr>
        <w:spacing w:after="0" w:line="240" w:lineRule="auto"/>
        <w:ind w:left="425" w:hanging="425"/>
        <w:rPr>
          <w:rFonts w:ascii="Calibri" w:hAnsi="Calibri" w:cs="Calibri"/>
          <w:lang w:val="fr-FR"/>
        </w:rPr>
      </w:pPr>
    </w:p>
    <w:p w14:paraId="37319F2A" w14:textId="7D67492A" w:rsidR="0024203F"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3.</w:t>
      </w:r>
      <w:r w:rsidRPr="005205FB">
        <w:rPr>
          <w:rFonts w:ascii="Calibri" w:hAnsi="Calibri" w:cs="Calibri"/>
          <w:lang w:val="fr-FR"/>
        </w:rPr>
        <w:tab/>
      </w:r>
      <w:r w:rsidR="004A1C49" w:rsidRPr="005205FB">
        <w:rPr>
          <w:rFonts w:ascii="Calibri" w:hAnsi="Calibri" w:cs="Calibri"/>
          <w:lang w:val="fr-FR"/>
        </w:rPr>
        <w:t xml:space="preserve">Les zones humides apportent de nombreux avantages et services essentiels à la société et </w:t>
      </w:r>
      <w:r w:rsidR="005A2570" w:rsidRPr="005205FB">
        <w:rPr>
          <w:rFonts w:ascii="Calibri" w:hAnsi="Calibri" w:cs="Calibri"/>
          <w:lang w:val="fr-FR"/>
        </w:rPr>
        <w:t>à</w:t>
      </w:r>
      <w:r w:rsidR="004A1C49" w:rsidRPr="005205FB">
        <w:rPr>
          <w:rFonts w:ascii="Calibri" w:hAnsi="Calibri" w:cs="Calibri"/>
          <w:lang w:val="fr-FR"/>
        </w:rPr>
        <w:t xml:space="preserve"> la réalisation du Programme de développement durable à l’horizon 2030 et des ODD, comme résumé, entre autres, </w:t>
      </w:r>
      <w:r w:rsidR="00433963" w:rsidRPr="005205FB">
        <w:rPr>
          <w:rFonts w:ascii="Calibri" w:hAnsi="Calibri" w:cs="Calibri"/>
          <w:lang w:val="fr-FR"/>
        </w:rPr>
        <w:t>dans le rapport de la</w:t>
      </w:r>
      <w:r w:rsidR="1B317035" w:rsidRPr="005205FB">
        <w:rPr>
          <w:rFonts w:ascii="Calibri" w:hAnsi="Calibri" w:cs="Calibri"/>
          <w:lang w:val="fr-FR"/>
        </w:rPr>
        <w:t xml:space="preserve"> Convention</w:t>
      </w:r>
      <w:r w:rsidR="00433963" w:rsidRPr="005205FB">
        <w:rPr>
          <w:rFonts w:ascii="Calibri" w:hAnsi="Calibri" w:cs="Calibri"/>
          <w:lang w:val="fr-FR"/>
        </w:rPr>
        <w:t>,</w:t>
      </w:r>
      <w:r w:rsidR="3FAD73E4" w:rsidRPr="005205FB">
        <w:rPr>
          <w:rFonts w:ascii="Calibri" w:hAnsi="Calibri" w:cs="Calibri"/>
          <w:lang w:val="fr-FR"/>
        </w:rPr>
        <w:t xml:space="preserve"> </w:t>
      </w:r>
      <w:r w:rsidR="00433963" w:rsidRPr="005205FB">
        <w:rPr>
          <w:rFonts w:ascii="Calibri" w:hAnsi="Calibri" w:cs="Calibri"/>
          <w:i/>
          <w:iCs/>
          <w:lang w:val="fr-FR"/>
        </w:rPr>
        <w:t>Les zones humides et les ODD </w:t>
      </w:r>
      <w:r w:rsidR="00315687" w:rsidRPr="005205FB">
        <w:rPr>
          <w:rFonts w:ascii="Calibri" w:hAnsi="Calibri" w:cs="Calibri"/>
          <w:i/>
          <w:iCs/>
          <w:lang w:val="fr-FR"/>
        </w:rPr>
        <w:t>:</w:t>
      </w:r>
      <w:r w:rsidR="00315687" w:rsidRPr="005205FB">
        <w:rPr>
          <w:rFonts w:ascii="Calibri" w:hAnsi="Calibri" w:cs="Calibri"/>
          <w:lang w:val="fr-FR"/>
        </w:rPr>
        <w:t xml:space="preserve"> </w:t>
      </w:r>
      <w:r w:rsidR="00433963" w:rsidRPr="005205FB">
        <w:rPr>
          <w:rFonts w:ascii="Calibri" w:hAnsi="Calibri" w:cs="Calibri"/>
          <w:i/>
          <w:iCs/>
          <w:lang w:val="fr-FR"/>
        </w:rPr>
        <w:t>Renforcer la conservation, l’utilisation rationnelle et la restauration des zones humides pour atteindre les Objectifs de développement durable</w:t>
      </w:r>
      <w:r w:rsidR="00433963" w:rsidRPr="005205FB">
        <w:rPr>
          <w:rFonts w:ascii="Calibri" w:hAnsi="Calibri" w:cs="Calibri"/>
          <w:i/>
          <w:iCs/>
          <w:vertAlign w:val="superscript"/>
          <w:lang w:val="fr-FR"/>
        </w:rPr>
        <w:t xml:space="preserve"> </w:t>
      </w:r>
      <w:r w:rsidR="00315687" w:rsidRPr="005205FB">
        <w:rPr>
          <w:rStyle w:val="FootnoteReference"/>
          <w:rFonts w:ascii="Calibri" w:hAnsi="Calibri" w:cs="Calibri"/>
          <w:i/>
          <w:iCs/>
        </w:rPr>
        <w:footnoteReference w:id="2"/>
      </w:r>
      <w:r w:rsidR="3FAD73E4" w:rsidRPr="005205FB">
        <w:rPr>
          <w:rFonts w:ascii="Calibri" w:hAnsi="Calibri" w:cs="Calibri"/>
          <w:lang w:val="fr-FR"/>
        </w:rPr>
        <w:t xml:space="preserve"> publi</w:t>
      </w:r>
      <w:r w:rsidR="00433963" w:rsidRPr="005205FB">
        <w:rPr>
          <w:rFonts w:ascii="Calibri" w:hAnsi="Calibri" w:cs="Calibri"/>
          <w:lang w:val="fr-FR"/>
        </w:rPr>
        <w:t>é e</w:t>
      </w:r>
      <w:r w:rsidR="3FAD73E4" w:rsidRPr="005205FB">
        <w:rPr>
          <w:rFonts w:ascii="Calibri" w:hAnsi="Calibri" w:cs="Calibri"/>
          <w:lang w:val="fr-FR"/>
        </w:rPr>
        <w:t xml:space="preserve">n 2018. </w:t>
      </w:r>
      <w:r w:rsidR="00B35E71" w:rsidRPr="005205FB">
        <w:rPr>
          <w:rFonts w:ascii="Calibri" w:hAnsi="Calibri" w:cs="Calibri"/>
          <w:lang w:val="fr-FR"/>
        </w:rPr>
        <w:t>La</w:t>
      </w:r>
      <w:r w:rsidR="238823FB" w:rsidRPr="005205FB">
        <w:rPr>
          <w:rFonts w:ascii="Calibri" w:hAnsi="Calibri" w:cs="Calibri"/>
          <w:lang w:val="fr-FR"/>
        </w:rPr>
        <w:t xml:space="preserve"> Convention</w:t>
      </w:r>
      <w:r w:rsidR="00B35E71" w:rsidRPr="005205FB">
        <w:rPr>
          <w:rFonts w:ascii="Calibri" w:hAnsi="Calibri" w:cs="Calibri"/>
          <w:lang w:val="fr-FR"/>
        </w:rPr>
        <w:t xml:space="preserve"> a pour</w:t>
      </w:r>
      <w:r w:rsidR="238823FB" w:rsidRPr="005205FB">
        <w:rPr>
          <w:rFonts w:ascii="Calibri" w:hAnsi="Calibri" w:cs="Calibri"/>
          <w:lang w:val="fr-FR"/>
        </w:rPr>
        <w:t xml:space="preserve"> mission </w:t>
      </w:r>
      <w:r w:rsidR="006D5992" w:rsidRPr="005205FB">
        <w:rPr>
          <w:rFonts w:ascii="Calibri" w:hAnsi="Calibri" w:cs="Calibri"/>
          <w:lang w:val="fr-FR"/>
        </w:rPr>
        <w:t>« La conservation et l’utilisation rationnelle des zones humides par des actions locales, régionales et nationales et par la coopération internationale, en tant que contribution à la réalisation du développement durable dans le monde entier ».</w:t>
      </w:r>
    </w:p>
    <w:p w14:paraId="05B3CC61" w14:textId="77777777" w:rsidR="0024203F" w:rsidRPr="005205FB" w:rsidRDefault="0024203F" w:rsidP="00A478A5">
      <w:pPr>
        <w:spacing w:after="0" w:line="240" w:lineRule="auto"/>
        <w:ind w:left="425" w:hanging="425"/>
        <w:rPr>
          <w:rFonts w:ascii="Calibri" w:hAnsi="Calibri" w:cs="Calibri"/>
          <w:lang w:val="fr-FR"/>
        </w:rPr>
      </w:pPr>
    </w:p>
    <w:p w14:paraId="341A7E7A" w14:textId="06439342" w:rsidR="0024203F"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4.</w:t>
      </w:r>
      <w:r w:rsidRPr="005205FB">
        <w:rPr>
          <w:rFonts w:ascii="Calibri" w:hAnsi="Calibri" w:cs="Calibri"/>
          <w:lang w:val="fr-FR"/>
        </w:rPr>
        <w:tab/>
      </w:r>
      <w:r w:rsidR="000A0890" w:rsidRPr="005205FB">
        <w:rPr>
          <w:rFonts w:ascii="Calibri" w:hAnsi="Calibri" w:cs="Calibri"/>
          <w:lang w:val="fr-FR"/>
        </w:rPr>
        <w:t xml:space="preserve">Comme indiqué dans le Programme de développement durable à l’horizon 2030 et </w:t>
      </w:r>
      <w:r w:rsidR="00206469" w:rsidRPr="005205FB">
        <w:rPr>
          <w:rFonts w:ascii="Calibri" w:hAnsi="Calibri" w:cs="Calibri"/>
          <w:lang w:val="fr-FR"/>
        </w:rPr>
        <w:t>l</w:t>
      </w:r>
      <w:r w:rsidR="000A0890" w:rsidRPr="005205FB">
        <w:rPr>
          <w:rFonts w:ascii="Calibri" w:hAnsi="Calibri" w:cs="Calibri"/>
          <w:lang w:val="fr-FR"/>
        </w:rPr>
        <w:t xml:space="preserve">es ODD, c’est aux gouvernements qu’incombent la mise en œuvre, le suivi et </w:t>
      </w:r>
      <w:r w:rsidR="00D84201" w:rsidRPr="005205FB">
        <w:rPr>
          <w:rFonts w:ascii="Calibri" w:hAnsi="Calibri" w:cs="Calibri"/>
          <w:lang w:val="fr-FR"/>
        </w:rPr>
        <w:t>la révision</w:t>
      </w:r>
      <w:r w:rsidR="000A0890" w:rsidRPr="005205FB">
        <w:rPr>
          <w:rFonts w:ascii="Calibri" w:hAnsi="Calibri" w:cs="Calibri"/>
          <w:lang w:val="fr-FR"/>
        </w:rPr>
        <w:t xml:space="preserve"> du Programme</w:t>
      </w:r>
      <w:r w:rsidR="004D2ABB" w:rsidRPr="005205FB">
        <w:rPr>
          <w:rFonts w:ascii="Calibri" w:hAnsi="Calibri" w:cs="Calibri"/>
          <w:lang w:val="fr-FR"/>
        </w:rPr>
        <w:t xml:space="preserve"> qui doit s’appuyer sur les plateformes et processus existants et bénéficier </w:t>
      </w:r>
      <w:r w:rsidR="00D84201" w:rsidRPr="005205FB">
        <w:rPr>
          <w:rFonts w:ascii="Calibri" w:hAnsi="Calibri" w:cs="Calibri"/>
          <w:lang w:val="fr-FR"/>
        </w:rPr>
        <w:t>du soutien</w:t>
      </w:r>
      <w:r w:rsidR="004D2ABB" w:rsidRPr="005205FB">
        <w:rPr>
          <w:rFonts w:ascii="Calibri" w:hAnsi="Calibri" w:cs="Calibri"/>
          <w:lang w:val="fr-FR"/>
        </w:rPr>
        <w:t xml:space="preserve"> actif des institutions multilatérales. L’engagement </w:t>
      </w:r>
      <w:r w:rsidR="00D84201" w:rsidRPr="005205FB">
        <w:rPr>
          <w:rFonts w:ascii="Calibri" w:hAnsi="Calibri" w:cs="Calibri"/>
          <w:lang w:val="fr-FR"/>
        </w:rPr>
        <w:t>pris par l</w:t>
      </w:r>
      <w:r w:rsidR="004D2ABB" w:rsidRPr="005205FB">
        <w:rPr>
          <w:rFonts w:ascii="Calibri" w:hAnsi="Calibri" w:cs="Calibri"/>
          <w:lang w:val="fr-FR"/>
        </w:rPr>
        <w:t xml:space="preserve">es Parties contractantes à la Convention sur les zones humides </w:t>
      </w:r>
      <w:r w:rsidR="00D84201" w:rsidRPr="005205FB">
        <w:rPr>
          <w:rFonts w:ascii="Calibri" w:hAnsi="Calibri" w:cs="Calibri"/>
          <w:lang w:val="fr-FR"/>
        </w:rPr>
        <w:t>en vue de</w:t>
      </w:r>
      <w:r w:rsidR="004D2ABB" w:rsidRPr="005205FB">
        <w:rPr>
          <w:rFonts w:ascii="Calibri" w:hAnsi="Calibri" w:cs="Calibri"/>
          <w:lang w:val="fr-FR"/>
        </w:rPr>
        <w:t xml:space="preserve"> désigner des zones humides d’importance internationale et de conserver et utiliser toutes leurs zones humides </w:t>
      </w:r>
      <w:r w:rsidR="00D84201" w:rsidRPr="005205FB">
        <w:rPr>
          <w:rFonts w:ascii="Calibri" w:hAnsi="Calibri" w:cs="Calibri"/>
          <w:lang w:val="fr-FR"/>
        </w:rPr>
        <w:t xml:space="preserve">de manière rationnelle </w:t>
      </w:r>
      <w:r w:rsidR="004D2ABB" w:rsidRPr="005205FB">
        <w:rPr>
          <w:rFonts w:ascii="Calibri" w:hAnsi="Calibri" w:cs="Calibri"/>
          <w:lang w:val="fr-FR"/>
        </w:rPr>
        <w:t>est donc une contribution fondamentale à la réalisation des ODD</w:t>
      </w:r>
      <w:r w:rsidR="00D84201" w:rsidRPr="005205FB">
        <w:rPr>
          <w:rFonts w:ascii="Calibri" w:hAnsi="Calibri" w:cs="Calibri"/>
          <w:lang w:val="fr-FR"/>
        </w:rPr>
        <w:t>. La</w:t>
      </w:r>
      <w:r w:rsidR="004D2ABB" w:rsidRPr="005205FB">
        <w:rPr>
          <w:rFonts w:ascii="Calibri" w:hAnsi="Calibri" w:cs="Calibri"/>
          <w:lang w:val="fr-FR"/>
        </w:rPr>
        <w:t xml:space="preserve"> Convention fournit une plateforme idéale pour soutenir la mise en œuvre des ODD, comme illustré </w:t>
      </w:r>
      <w:r w:rsidR="000D16DB" w:rsidRPr="005205FB">
        <w:rPr>
          <w:rFonts w:ascii="Calibri" w:hAnsi="Calibri" w:cs="Calibri"/>
          <w:lang w:val="fr-FR"/>
        </w:rPr>
        <w:t>dans</w:t>
      </w:r>
      <w:r w:rsidR="004D2ABB" w:rsidRPr="005205FB">
        <w:rPr>
          <w:rFonts w:ascii="Calibri" w:hAnsi="Calibri" w:cs="Calibri"/>
          <w:lang w:val="fr-FR"/>
        </w:rPr>
        <w:t xml:space="preserve"> l’</w:t>
      </w:r>
      <w:r w:rsidR="00D84201" w:rsidRPr="005205FB">
        <w:rPr>
          <w:rFonts w:ascii="Calibri" w:hAnsi="Calibri" w:cs="Calibri"/>
          <w:lang w:val="fr-FR"/>
        </w:rPr>
        <w:t>a</w:t>
      </w:r>
      <w:r w:rsidR="004D2ABB" w:rsidRPr="005205FB">
        <w:rPr>
          <w:rFonts w:ascii="Calibri" w:hAnsi="Calibri" w:cs="Calibri"/>
          <w:lang w:val="fr-FR"/>
        </w:rPr>
        <w:t xml:space="preserve">nnexe 3 du quatrième Plan stratégique de la Convention pour </w:t>
      </w:r>
      <w:r w:rsidR="07BD6E8F" w:rsidRPr="005205FB">
        <w:rPr>
          <w:rFonts w:ascii="Calibri" w:hAnsi="Calibri" w:cs="Calibri"/>
          <w:lang w:val="fr-FR"/>
        </w:rPr>
        <w:t>2016</w:t>
      </w:r>
      <w:r w:rsidR="00315687" w:rsidRPr="005205FB">
        <w:rPr>
          <w:rFonts w:ascii="Calibri" w:hAnsi="Calibri" w:cs="Calibri"/>
          <w:lang w:val="fr-FR"/>
        </w:rPr>
        <w:t>-</w:t>
      </w:r>
      <w:r w:rsidR="07BD6E8F" w:rsidRPr="005205FB">
        <w:rPr>
          <w:rFonts w:ascii="Calibri" w:hAnsi="Calibri" w:cs="Calibri"/>
          <w:lang w:val="fr-FR"/>
        </w:rPr>
        <w:t xml:space="preserve">2024 </w:t>
      </w:r>
      <w:r w:rsidR="004D2ABB" w:rsidRPr="005205FB">
        <w:rPr>
          <w:rFonts w:ascii="Calibri" w:hAnsi="Calibri" w:cs="Calibri"/>
          <w:lang w:val="fr-FR"/>
        </w:rPr>
        <w:t>(mis à jour</w:t>
      </w:r>
      <w:r w:rsidR="00D84201" w:rsidRPr="005205FB">
        <w:rPr>
          <w:rFonts w:ascii="Calibri" w:hAnsi="Calibri" w:cs="Calibri"/>
          <w:lang w:val="fr-FR"/>
        </w:rPr>
        <w:t xml:space="preserve"> en</w:t>
      </w:r>
      <w:r w:rsidR="004D2ABB" w:rsidRPr="005205FB">
        <w:rPr>
          <w:rFonts w:ascii="Calibri" w:hAnsi="Calibri" w:cs="Calibri"/>
          <w:lang w:val="fr-FR"/>
        </w:rPr>
        <w:t> 2022</w:t>
      </w:r>
      <w:r w:rsidR="07BD6E8F" w:rsidRPr="005205FB">
        <w:rPr>
          <w:rFonts w:ascii="Calibri" w:hAnsi="Calibri" w:cs="Calibri"/>
          <w:lang w:val="fr-FR"/>
        </w:rPr>
        <w:t>)</w:t>
      </w:r>
      <w:r w:rsidR="00315687" w:rsidRPr="005205FB">
        <w:rPr>
          <w:rStyle w:val="FootnoteReference"/>
          <w:rFonts w:ascii="Calibri" w:hAnsi="Calibri" w:cs="Calibri"/>
          <w:lang w:val="fr-FR"/>
        </w:rPr>
        <w:footnoteReference w:id="3"/>
      </w:r>
      <w:r w:rsidR="07BD6E8F" w:rsidRPr="005205FB">
        <w:rPr>
          <w:rFonts w:ascii="Calibri" w:hAnsi="Calibri" w:cs="Calibri"/>
          <w:lang w:val="fr-FR"/>
        </w:rPr>
        <w:t xml:space="preserve"> </w:t>
      </w:r>
      <w:r w:rsidR="004D2ABB" w:rsidRPr="005205FB">
        <w:rPr>
          <w:rFonts w:ascii="Calibri" w:hAnsi="Calibri" w:cs="Calibri"/>
          <w:lang w:val="fr-FR"/>
        </w:rPr>
        <w:t>qui dé</w:t>
      </w:r>
      <w:r w:rsidR="000D16DB" w:rsidRPr="005205FB">
        <w:rPr>
          <w:rFonts w:ascii="Calibri" w:hAnsi="Calibri" w:cs="Calibri"/>
          <w:lang w:val="fr-FR"/>
        </w:rPr>
        <w:t>crit</w:t>
      </w:r>
      <w:r w:rsidR="004D2ABB" w:rsidRPr="005205FB">
        <w:rPr>
          <w:rFonts w:ascii="Calibri" w:hAnsi="Calibri" w:cs="Calibri"/>
          <w:lang w:val="fr-FR"/>
        </w:rPr>
        <w:t xml:space="preserve"> comment la mise en œuvre des actions et la réalisation des buts et objectifs du Plan stratégique contribuent à certains ODD et à leurs </w:t>
      </w:r>
      <w:r w:rsidR="000D16DB" w:rsidRPr="005205FB">
        <w:rPr>
          <w:rFonts w:ascii="Calibri" w:hAnsi="Calibri" w:cs="Calibri"/>
          <w:lang w:val="fr-FR"/>
        </w:rPr>
        <w:t>c</w:t>
      </w:r>
      <w:r w:rsidR="004D2ABB" w:rsidRPr="005205FB">
        <w:rPr>
          <w:rFonts w:ascii="Calibri" w:hAnsi="Calibri" w:cs="Calibri"/>
          <w:lang w:val="fr-FR"/>
        </w:rPr>
        <w:t>ibles.</w:t>
      </w:r>
    </w:p>
    <w:p w14:paraId="7772CDA2" w14:textId="77777777" w:rsidR="0024203F" w:rsidRPr="005205FB" w:rsidRDefault="0024203F" w:rsidP="00A478A5">
      <w:pPr>
        <w:spacing w:after="0" w:line="240" w:lineRule="auto"/>
        <w:ind w:left="425" w:hanging="425"/>
        <w:rPr>
          <w:rFonts w:ascii="Calibri" w:hAnsi="Calibri" w:cs="Calibri"/>
          <w:lang w:val="fr-FR"/>
        </w:rPr>
      </w:pPr>
    </w:p>
    <w:p w14:paraId="06D6F852" w14:textId="65783CAB" w:rsidR="00940F71"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5.</w:t>
      </w:r>
      <w:r w:rsidRPr="005205FB">
        <w:rPr>
          <w:rFonts w:ascii="Calibri" w:hAnsi="Calibri" w:cs="Calibri"/>
          <w:lang w:val="fr-FR"/>
        </w:rPr>
        <w:tab/>
      </w:r>
      <w:r w:rsidR="00BC0797" w:rsidRPr="005205FB">
        <w:rPr>
          <w:rFonts w:ascii="Calibri" w:hAnsi="Calibri" w:cs="Calibri"/>
          <w:lang w:val="fr-FR"/>
        </w:rPr>
        <w:t xml:space="preserve">Le présent rapport offre une brève vue d’ensemble </w:t>
      </w:r>
      <w:r w:rsidR="00DB571D" w:rsidRPr="005205FB">
        <w:rPr>
          <w:rFonts w:ascii="Calibri" w:hAnsi="Calibri" w:cs="Calibri"/>
          <w:lang w:val="fr-FR"/>
        </w:rPr>
        <w:t xml:space="preserve">de la contribution </w:t>
      </w:r>
      <w:r w:rsidR="00BC0797" w:rsidRPr="005205FB">
        <w:rPr>
          <w:rFonts w:ascii="Calibri" w:hAnsi="Calibri" w:cs="Calibri"/>
          <w:lang w:val="fr-FR"/>
        </w:rPr>
        <w:t xml:space="preserve">du mandat de la Convention au Programme de développement durable à l’horizon 2030 et </w:t>
      </w:r>
      <w:r w:rsidR="00DB571D" w:rsidRPr="005205FB">
        <w:rPr>
          <w:rFonts w:ascii="Calibri" w:hAnsi="Calibri" w:cs="Calibri"/>
          <w:lang w:val="fr-FR"/>
        </w:rPr>
        <w:t>aux</w:t>
      </w:r>
      <w:r w:rsidR="00BC0797" w:rsidRPr="005205FB">
        <w:rPr>
          <w:rFonts w:ascii="Calibri" w:hAnsi="Calibri" w:cs="Calibri"/>
          <w:lang w:val="fr-FR"/>
        </w:rPr>
        <w:t xml:space="preserve"> ODD, </w:t>
      </w:r>
      <w:r w:rsidR="00DB571D" w:rsidRPr="005205FB">
        <w:rPr>
          <w:rFonts w:ascii="Calibri" w:hAnsi="Calibri" w:cs="Calibri"/>
          <w:lang w:val="fr-FR"/>
        </w:rPr>
        <w:t>à travers</w:t>
      </w:r>
      <w:r w:rsidR="00BC0797" w:rsidRPr="005205FB">
        <w:rPr>
          <w:rFonts w:ascii="Calibri" w:hAnsi="Calibri" w:cs="Calibri"/>
          <w:lang w:val="fr-FR"/>
        </w:rPr>
        <w:t xml:space="preserve"> les Résolutions de la COP et les </w:t>
      </w:r>
      <w:r w:rsidR="00DB571D" w:rsidRPr="005205FB">
        <w:rPr>
          <w:rFonts w:ascii="Calibri" w:hAnsi="Calibri" w:cs="Calibri"/>
          <w:lang w:val="fr-FR"/>
        </w:rPr>
        <w:t>D</w:t>
      </w:r>
      <w:r w:rsidR="00BC0797" w:rsidRPr="005205FB">
        <w:rPr>
          <w:rFonts w:ascii="Calibri" w:hAnsi="Calibri" w:cs="Calibri"/>
          <w:lang w:val="fr-FR"/>
        </w:rPr>
        <w:t xml:space="preserve">écisions du Comité permanent, ainsi que des actions entreprises et des progrès réalisés, comme on peut le voir dans les rapports à la COP ou au Comité permanent, préparés par les organes subsidiaires et le Secrétariat </w:t>
      </w:r>
      <w:r w:rsidR="00DB571D" w:rsidRPr="005205FB">
        <w:rPr>
          <w:rFonts w:ascii="Calibri" w:hAnsi="Calibri" w:cs="Calibri"/>
          <w:lang w:val="fr-FR"/>
        </w:rPr>
        <w:t>sur la base des</w:t>
      </w:r>
      <w:r w:rsidR="00BC0797" w:rsidRPr="005205FB">
        <w:rPr>
          <w:rFonts w:ascii="Calibri" w:hAnsi="Calibri" w:cs="Calibri"/>
          <w:lang w:val="fr-FR"/>
        </w:rPr>
        <w:t xml:space="preserve"> Rapports nationaux soumis par les Parties contractantes. </w:t>
      </w:r>
      <w:r w:rsidR="009C7A42" w:rsidRPr="005205FB">
        <w:rPr>
          <w:rFonts w:ascii="Calibri" w:hAnsi="Calibri" w:cs="Calibri"/>
          <w:lang w:val="fr-FR"/>
        </w:rPr>
        <w:t>L</w:t>
      </w:r>
      <w:r w:rsidR="00FC0E24" w:rsidRPr="005205FB">
        <w:rPr>
          <w:rFonts w:ascii="Calibri" w:hAnsi="Calibri" w:cs="Calibri"/>
          <w:lang w:val="fr-FR"/>
        </w:rPr>
        <w:t xml:space="preserve">es possibilités de la Convention de renforcer encore sa contribution au Programme de développement durable à l’horizon 2030 et </w:t>
      </w:r>
      <w:r w:rsidR="009C7A42" w:rsidRPr="005205FB">
        <w:rPr>
          <w:rFonts w:ascii="Calibri" w:hAnsi="Calibri" w:cs="Calibri"/>
          <w:lang w:val="fr-FR"/>
        </w:rPr>
        <w:t>aux</w:t>
      </w:r>
      <w:r w:rsidR="00FC0E24" w:rsidRPr="005205FB">
        <w:rPr>
          <w:rFonts w:ascii="Calibri" w:hAnsi="Calibri" w:cs="Calibri"/>
          <w:lang w:val="fr-FR"/>
        </w:rPr>
        <w:t xml:space="preserve"> ODD sont définies</w:t>
      </w:r>
      <w:r w:rsidR="009C7A42" w:rsidRPr="005205FB">
        <w:rPr>
          <w:rFonts w:ascii="Calibri" w:hAnsi="Calibri" w:cs="Calibri"/>
          <w:lang w:val="fr-FR"/>
        </w:rPr>
        <w:t xml:space="preserve"> sur cette base</w:t>
      </w:r>
      <w:r w:rsidR="00BF4C41" w:rsidRPr="005205FB">
        <w:rPr>
          <w:rFonts w:ascii="Calibri" w:hAnsi="Calibri" w:cs="Calibri"/>
          <w:lang w:val="fr-FR"/>
        </w:rPr>
        <w:t xml:space="preserve">, l’accent étant mis sur un nombre limité de domaines </w:t>
      </w:r>
      <w:r w:rsidR="009C7A42" w:rsidRPr="005205FB">
        <w:rPr>
          <w:rFonts w:ascii="Calibri" w:hAnsi="Calibri" w:cs="Calibri"/>
          <w:lang w:val="fr-FR"/>
        </w:rPr>
        <w:t>où</w:t>
      </w:r>
      <w:r w:rsidR="00BF4C41" w:rsidRPr="005205FB">
        <w:rPr>
          <w:rFonts w:ascii="Calibri" w:hAnsi="Calibri" w:cs="Calibri"/>
          <w:lang w:val="fr-FR"/>
        </w:rPr>
        <w:t xml:space="preserve"> des actions concrètes </w:t>
      </w:r>
      <w:r w:rsidR="001A7866" w:rsidRPr="005205FB">
        <w:rPr>
          <w:rFonts w:ascii="Calibri" w:hAnsi="Calibri" w:cs="Calibri"/>
          <w:lang w:val="fr-FR"/>
        </w:rPr>
        <w:t xml:space="preserve">peuvent </w:t>
      </w:r>
      <w:r w:rsidR="009C7A42" w:rsidRPr="005205FB">
        <w:rPr>
          <w:rFonts w:ascii="Calibri" w:hAnsi="Calibri" w:cs="Calibri"/>
          <w:lang w:val="fr-FR"/>
        </w:rPr>
        <w:t>apporter</w:t>
      </w:r>
      <w:r w:rsidR="001A7866" w:rsidRPr="005205FB">
        <w:rPr>
          <w:rFonts w:ascii="Calibri" w:hAnsi="Calibri" w:cs="Calibri"/>
          <w:lang w:val="fr-FR"/>
        </w:rPr>
        <w:t xml:space="preserve"> une contribution directe.</w:t>
      </w:r>
    </w:p>
    <w:p w14:paraId="5DB7381A" w14:textId="77777777" w:rsidR="0024203F" w:rsidRPr="004A1C49" w:rsidRDefault="0024203F" w:rsidP="003614B1">
      <w:pPr>
        <w:spacing w:after="0" w:line="240" w:lineRule="auto"/>
        <w:rPr>
          <w:rFonts w:ascii="Calibri" w:hAnsi="Calibri" w:cs="Calibri"/>
          <w:b/>
          <w:bCs/>
          <w:sz w:val="24"/>
          <w:szCs w:val="24"/>
          <w:lang w:val="fr-FR"/>
        </w:rPr>
      </w:pPr>
    </w:p>
    <w:p w14:paraId="1D38B5DA" w14:textId="2D168357" w:rsidR="00590AB1" w:rsidRPr="005205FB" w:rsidRDefault="00F80062" w:rsidP="003614B1">
      <w:pPr>
        <w:keepNext/>
        <w:spacing w:after="0" w:line="240" w:lineRule="auto"/>
        <w:rPr>
          <w:rFonts w:ascii="Calibri" w:hAnsi="Calibri" w:cs="Calibri"/>
          <w:b/>
          <w:bCs/>
          <w:lang w:val="fr-FR"/>
        </w:rPr>
      </w:pPr>
      <w:r w:rsidRPr="005205FB">
        <w:rPr>
          <w:rFonts w:ascii="Calibri" w:hAnsi="Calibri" w:cs="Calibri"/>
          <w:b/>
          <w:bCs/>
          <w:lang w:val="fr-FR"/>
        </w:rPr>
        <w:t xml:space="preserve">Contributions </w:t>
      </w:r>
      <w:r w:rsidR="001A7866" w:rsidRPr="005205FB">
        <w:rPr>
          <w:rFonts w:ascii="Calibri" w:hAnsi="Calibri" w:cs="Calibri"/>
          <w:b/>
          <w:bCs/>
          <w:lang w:val="fr-FR"/>
        </w:rPr>
        <w:t xml:space="preserve">de la Convention au Programme de développement durable à l’horizon 2030 et aux Objectifs de développement durable </w:t>
      </w:r>
    </w:p>
    <w:p w14:paraId="11A2D0D0" w14:textId="77777777" w:rsidR="00590AB1" w:rsidRPr="005205FB" w:rsidRDefault="00590AB1" w:rsidP="003614B1">
      <w:pPr>
        <w:keepNext/>
        <w:spacing w:after="0" w:line="240" w:lineRule="auto"/>
        <w:rPr>
          <w:rFonts w:ascii="Calibri" w:hAnsi="Calibri" w:cs="Calibri"/>
          <w:b/>
          <w:bCs/>
          <w:lang w:val="fr-FR"/>
        </w:rPr>
      </w:pPr>
    </w:p>
    <w:p w14:paraId="7B0CD650" w14:textId="60A40E90" w:rsidR="00A10449" w:rsidRPr="005205FB" w:rsidRDefault="00A478A5" w:rsidP="002E66E1">
      <w:pPr>
        <w:spacing w:after="0" w:line="240" w:lineRule="auto"/>
        <w:ind w:left="425" w:hanging="425"/>
        <w:rPr>
          <w:rFonts w:ascii="Calibri" w:hAnsi="Calibri" w:cs="Calibri"/>
          <w:lang w:val="fr-FR"/>
        </w:rPr>
      </w:pPr>
      <w:r w:rsidRPr="005205FB">
        <w:rPr>
          <w:rFonts w:ascii="Calibri" w:hAnsi="Calibri" w:cs="Calibri"/>
          <w:lang w:val="fr-FR"/>
        </w:rPr>
        <w:t>6.</w:t>
      </w:r>
      <w:r w:rsidRPr="005205FB">
        <w:rPr>
          <w:rFonts w:ascii="Calibri" w:hAnsi="Calibri" w:cs="Calibri"/>
          <w:lang w:val="fr-FR"/>
        </w:rPr>
        <w:tab/>
      </w:r>
      <w:r w:rsidR="001F2B84" w:rsidRPr="005205FB">
        <w:rPr>
          <w:rFonts w:ascii="Calibri" w:hAnsi="Calibri" w:cs="Calibri"/>
          <w:lang w:val="fr-FR"/>
        </w:rPr>
        <w:t>L</w:t>
      </w:r>
      <w:r w:rsidR="004D688F" w:rsidRPr="005205FB">
        <w:rPr>
          <w:rFonts w:ascii="Calibri" w:hAnsi="Calibri" w:cs="Calibri"/>
          <w:lang w:val="fr-FR"/>
        </w:rPr>
        <w:t xml:space="preserve">es efforts </w:t>
      </w:r>
      <w:r w:rsidR="001F2B84" w:rsidRPr="005205FB">
        <w:rPr>
          <w:rFonts w:ascii="Calibri" w:hAnsi="Calibri" w:cs="Calibri"/>
          <w:lang w:val="fr-FR"/>
        </w:rPr>
        <w:t xml:space="preserve">déployés par </w:t>
      </w:r>
      <w:r w:rsidR="004D688F" w:rsidRPr="005205FB">
        <w:rPr>
          <w:rFonts w:ascii="Calibri" w:hAnsi="Calibri" w:cs="Calibri"/>
          <w:lang w:val="fr-FR"/>
        </w:rPr>
        <w:t>la Convention en appui à la réalisation du Programme de développement durable à l’horizon 2030 et des ODD</w:t>
      </w:r>
      <w:r w:rsidR="001F2B84" w:rsidRPr="005205FB">
        <w:rPr>
          <w:rFonts w:ascii="Calibri" w:hAnsi="Calibri" w:cs="Calibri"/>
          <w:lang w:val="fr-FR"/>
        </w:rPr>
        <w:t xml:space="preserve"> ont été encadrés par le quatrième Plan stratégique 2016-2024</w:t>
      </w:r>
      <w:r w:rsidR="004D688F" w:rsidRPr="005205FB">
        <w:rPr>
          <w:rFonts w:ascii="Calibri" w:hAnsi="Calibri" w:cs="Calibri"/>
          <w:lang w:val="fr-FR"/>
        </w:rPr>
        <w:t>. Dans la Résolution</w:t>
      </w:r>
      <w:r w:rsidR="00A10449" w:rsidRPr="005205FB">
        <w:rPr>
          <w:rFonts w:ascii="Calibri" w:hAnsi="Calibri" w:cs="Calibri"/>
          <w:lang w:val="fr-FR"/>
        </w:rPr>
        <w:t xml:space="preserve"> XIV.4</w:t>
      </w:r>
      <w:r w:rsidR="001F2B84" w:rsidRPr="005205FB">
        <w:rPr>
          <w:rFonts w:ascii="Calibri" w:hAnsi="Calibri" w:cs="Calibri"/>
          <w:lang w:val="fr-FR"/>
        </w:rPr>
        <w:t>,</w:t>
      </w:r>
      <w:r w:rsidR="002E66E1" w:rsidRPr="005205FB">
        <w:rPr>
          <w:rFonts w:ascii="Calibri" w:hAnsi="Calibri" w:cs="Calibri"/>
          <w:lang w:val="fr-FR"/>
        </w:rPr>
        <w:t xml:space="preserve"> </w:t>
      </w:r>
      <w:r w:rsidR="001F2B84" w:rsidRPr="005205FB">
        <w:rPr>
          <w:rFonts w:ascii="Calibri" w:hAnsi="Calibri" w:cs="Calibri"/>
          <w:lang w:val="fr-FR"/>
        </w:rPr>
        <w:t>consacrée à</w:t>
      </w:r>
      <w:r w:rsidR="004D688F" w:rsidRPr="005205FB">
        <w:rPr>
          <w:rFonts w:ascii="Calibri" w:hAnsi="Calibri" w:cs="Calibri"/>
          <w:lang w:val="fr-FR"/>
        </w:rPr>
        <w:t xml:space="preserve"> </w:t>
      </w:r>
      <w:r w:rsidR="001F2B84" w:rsidRPr="005205FB">
        <w:rPr>
          <w:rFonts w:ascii="Calibri" w:hAnsi="Calibri" w:cs="Calibri"/>
          <w:lang w:val="fr-FR"/>
        </w:rPr>
        <w:t>la révision</w:t>
      </w:r>
      <w:r w:rsidR="004D688F" w:rsidRPr="005205FB">
        <w:rPr>
          <w:rFonts w:ascii="Calibri" w:hAnsi="Calibri" w:cs="Calibri"/>
          <w:lang w:val="fr-FR"/>
        </w:rPr>
        <w:t xml:space="preserve"> du Plan et </w:t>
      </w:r>
      <w:r w:rsidR="001F2B84" w:rsidRPr="005205FB">
        <w:rPr>
          <w:rFonts w:ascii="Calibri" w:hAnsi="Calibri" w:cs="Calibri"/>
          <w:lang w:val="fr-FR"/>
        </w:rPr>
        <w:t>au</w:t>
      </w:r>
      <w:r w:rsidR="004D688F" w:rsidRPr="005205FB">
        <w:rPr>
          <w:rFonts w:ascii="Calibri" w:hAnsi="Calibri" w:cs="Calibri"/>
          <w:lang w:val="fr-FR"/>
        </w:rPr>
        <w:t xml:space="preserve"> cadre de son successeur, les Parties contractantes ont décidé que le cinquième Plan stratégique de la Convention s’appuierait, entre autres, sur les ODD et ont encouragé le Groupe de travail sur le Plan stratégique à utiliser les Annexes thématiques du quatrième Plan stratégique </w:t>
      </w:r>
      <w:r w:rsidR="00E75AC4" w:rsidRPr="005205FB">
        <w:rPr>
          <w:rFonts w:ascii="Calibri" w:hAnsi="Calibri" w:cs="Calibri"/>
          <w:lang w:val="fr-FR"/>
        </w:rPr>
        <w:t>pour</w:t>
      </w:r>
      <w:r w:rsidR="004D688F" w:rsidRPr="005205FB">
        <w:rPr>
          <w:rFonts w:ascii="Calibri" w:hAnsi="Calibri" w:cs="Calibri"/>
          <w:lang w:val="fr-FR"/>
        </w:rPr>
        <w:t xml:space="preserve"> </w:t>
      </w:r>
      <w:r w:rsidR="006A2A36" w:rsidRPr="005205FB">
        <w:rPr>
          <w:rFonts w:ascii="Calibri" w:hAnsi="Calibri" w:cs="Calibri"/>
          <w:lang w:val="fr-FR"/>
        </w:rPr>
        <w:t>définir</w:t>
      </w:r>
      <w:r w:rsidR="004D688F" w:rsidRPr="005205FB">
        <w:rPr>
          <w:rFonts w:ascii="Calibri" w:hAnsi="Calibri" w:cs="Calibri"/>
          <w:lang w:val="fr-FR"/>
        </w:rPr>
        <w:t xml:space="preserve"> et </w:t>
      </w:r>
      <w:r w:rsidR="006A2A36" w:rsidRPr="005205FB">
        <w:rPr>
          <w:rFonts w:ascii="Calibri" w:hAnsi="Calibri" w:cs="Calibri"/>
          <w:lang w:val="fr-FR"/>
        </w:rPr>
        <w:t>formuler</w:t>
      </w:r>
      <w:r w:rsidR="004D688F" w:rsidRPr="005205FB">
        <w:rPr>
          <w:rFonts w:ascii="Calibri" w:hAnsi="Calibri" w:cs="Calibri"/>
          <w:lang w:val="fr-FR"/>
        </w:rPr>
        <w:t xml:space="preserve"> le projet de cinquième Plan stratégique.</w:t>
      </w:r>
    </w:p>
    <w:p w14:paraId="0AE144E5" w14:textId="77777777" w:rsidR="008439D4" w:rsidRPr="005205FB" w:rsidRDefault="008439D4" w:rsidP="00A478A5">
      <w:pPr>
        <w:spacing w:after="0" w:line="240" w:lineRule="auto"/>
        <w:ind w:left="425" w:hanging="425"/>
        <w:rPr>
          <w:rFonts w:ascii="Calibri" w:hAnsi="Calibri" w:cs="Calibri"/>
          <w:lang w:val="fr-FR"/>
        </w:rPr>
      </w:pPr>
    </w:p>
    <w:p w14:paraId="1E965188" w14:textId="0FA0648D" w:rsidR="00E238F0"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7.</w:t>
      </w:r>
      <w:r w:rsidRPr="005205FB">
        <w:rPr>
          <w:rFonts w:ascii="Calibri" w:hAnsi="Calibri" w:cs="Calibri"/>
          <w:lang w:val="fr-FR"/>
        </w:rPr>
        <w:tab/>
      </w:r>
      <w:r w:rsidR="004D688F" w:rsidRPr="005205FB">
        <w:rPr>
          <w:rFonts w:ascii="Calibri" w:hAnsi="Calibri" w:cs="Calibri"/>
          <w:lang w:val="fr-FR"/>
        </w:rPr>
        <w:t>La Résolution</w:t>
      </w:r>
      <w:r w:rsidR="00000BE5" w:rsidRPr="005205FB">
        <w:rPr>
          <w:rFonts w:ascii="Calibri" w:hAnsi="Calibri" w:cs="Calibri"/>
          <w:lang w:val="fr-FR"/>
        </w:rPr>
        <w:t xml:space="preserve"> XIV.6</w:t>
      </w:r>
      <w:r w:rsidR="007C4346" w:rsidRPr="005205FB">
        <w:rPr>
          <w:rFonts w:ascii="Calibri" w:hAnsi="Calibri" w:cs="Calibri"/>
          <w:lang w:val="fr-FR"/>
        </w:rPr>
        <w:t xml:space="preserve">, </w:t>
      </w:r>
      <w:r w:rsidR="008B093B" w:rsidRPr="005205FB">
        <w:rPr>
          <w:rFonts w:ascii="Calibri" w:hAnsi="Calibri" w:cs="Calibri"/>
          <w:lang w:val="fr-FR"/>
        </w:rPr>
        <w:t>dans ses paragraphes </w:t>
      </w:r>
      <w:r w:rsidR="007C4346" w:rsidRPr="005205FB">
        <w:rPr>
          <w:rFonts w:ascii="Calibri" w:hAnsi="Calibri" w:cs="Calibri"/>
          <w:lang w:val="fr-FR"/>
        </w:rPr>
        <w:t xml:space="preserve">48 </w:t>
      </w:r>
      <w:r w:rsidR="008B093B" w:rsidRPr="005205FB">
        <w:rPr>
          <w:rFonts w:ascii="Calibri" w:hAnsi="Calibri" w:cs="Calibri"/>
          <w:lang w:val="fr-FR"/>
        </w:rPr>
        <w:t>à </w:t>
      </w:r>
      <w:r w:rsidR="007C4346" w:rsidRPr="005205FB">
        <w:rPr>
          <w:rFonts w:ascii="Calibri" w:hAnsi="Calibri" w:cs="Calibri"/>
          <w:lang w:val="fr-FR"/>
        </w:rPr>
        <w:t xml:space="preserve">55, </w:t>
      </w:r>
      <w:r w:rsidR="008B093B" w:rsidRPr="005205FB">
        <w:rPr>
          <w:rFonts w:ascii="Calibri" w:hAnsi="Calibri" w:cs="Calibri"/>
          <w:lang w:val="fr-FR"/>
        </w:rPr>
        <w:t xml:space="preserve">énonce des priorités </w:t>
      </w:r>
      <w:r w:rsidR="006A2A36" w:rsidRPr="005205FB">
        <w:rPr>
          <w:rFonts w:ascii="Calibri" w:hAnsi="Calibri" w:cs="Calibri"/>
          <w:lang w:val="fr-FR"/>
        </w:rPr>
        <w:t xml:space="preserve">et des instructions </w:t>
      </w:r>
      <w:r w:rsidR="008B093B" w:rsidRPr="005205FB">
        <w:rPr>
          <w:rFonts w:ascii="Calibri" w:hAnsi="Calibri" w:cs="Calibri"/>
          <w:lang w:val="fr-FR"/>
        </w:rPr>
        <w:t>plus précises. La Résolution appelle, entre autres, les Parties contractantes à re</w:t>
      </w:r>
      <w:r w:rsidR="006A2A36" w:rsidRPr="005205FB">
        <w:rPr>
          <w:rFonts w:ascii="Calibri" w:hAnsi="Calibri" w:cs="Calibri"/>
          <w:lang w:val="fr-FR"/>
        </w:rPr>
        <w:t>doubler d’</w:t>
      </w:r>
      <w:r w:rsidR="008B093B" w:rsidRPr="005205FB">
        <w:rPr>
          <w:rFonts w:ascii="Calibri" w:hAnsi="Calibri" w:cs="Calibri"/>
          <w:lang w:val="fr-FR"/>
        </w:rPr>
        <w:t xml:space="preserve">efforts </w:t>
      </w:r>
      <w:r w:rsidR="006A2A36" w:rsidRPr="005205FB">
        <w:rPr>
          <w:rFonts w:ascii="Calibri" w:hAnsi="Calibri" w:cs="Calibri"/>
          <w:lang w:val="fr-FR"/>
        </w:rPr>
        <w:t>pour</w:t>
      </w:r>
      <w:r w:rsidR="008B093B" w:rsidRPr="005205FB">
        <w:rPr>
          <w:rFonts w:ascii="Calibri" w:hAnsi="Calibri" w:cs="Calibri"/>
          <w:lang w:val="fr-FR"/>
        </w:rPr>
        <w:t xml:space="preserve"> terminer leurs inventaires nationaux des zones humides et faire rapport sur l’étendue des zones humides dans le cadre de l’indicateur </w:t>
      </w:r>
      <w:r w:rsidR="00747D4E" w:rsidRPr="005205FB">
        <w:rPr>
          <w:rFonts w:ascii="Calibri" w:hAnsi="Calibri" w:cs="Calibri"/>
          <w:lang w:val="fr-FR"/>
        </w:rPr>
        <w:t>6.6.1</w:t>
      </w:r>
      <w:r w:rsidR="008B093B" w:rsidRPr="005205FB">
        <w:rPr>
          <w:rFonts w:ascii="Calibri" w:hAnsi="Calibri" w:cs="Calibri"/>
          <w:lang w:val="fr-FR"/>
        </w:rPr>
        <w:t xml:space="preserve"> des ODD ; </w:t>
      </w:r>
      <w:r w:rsidR="00CF6875" w:rsidRPr="005205FB">
        <w:rPr>
          <w:rFonts w:ascii="Calibri" w:hAnsi="Calibri" w:cs="Calibri"/>
          <w:lang w:val="fr-FR"/>
        </w:rPr>
        <w:t xml:space="preserve">et </w:t>
      </w:r>
      <w:r w:rsidR="008B093B" w:rsidRPr="005205FB">
        <w:rPr>
          <w:rFonts w:ascii="Calibri" w:hAnsi="Calibri" w:cs="Calibri"/>
          <w:lang w:val="fr-FR"/>
        </w:rPr>
        <w:t xml:space="preserve">à renforcer les mécanismes visant à </w:t>
      </w:r>
      <w:r w:rsidR="00E02CDD" w:rsidRPr="005205FB">
        <w:rPr>
          <w:rFonts w:ascii="Calibri" w:hAnsi="Calibri" w:cs="Calibri"/>
          <w:lang w:val="fr-FR"/>
        </w:rPr>
        <w:t>assurer une</w:t>
      </w:r>
      <w:r w:rsidR="008B093B" w:rsidRPr="005205FB">
        <w:rPr>
          <w:rFonts w:ascii="Calibri" w:hAnsi="Calibri" w:cs="Calibri"/>
          <w:lang w:val="fr-FR"/>
        </w:rPr>
        <w:t xml:space="preserve"> coordination </w:t>
      </w:r>
      <w:r w:rsidR="00E02CDD" w:rsidRPr="005205FB">
        <w:rPr>
          <w:rFonts w:ascii="Calibri" w:hAnsi="Calibri" w:cs="Calibri"/>
          <w:lang w:val="fr-FR"/>
        </w:rPr>
        <w:t xml:space="preserve">efficace </w:t>
      </w:r>
      <w:r w:rsidR="008B093B" w:rsidRPr="005205FB">
        <w:rPr>
          <w:rFonts w:ascii="Calibri" w:hAnsi="Calibri" w:cs="Calibri"/>
          <w:lang w:val="fr-FR"/>
        </w:rPr>
        <w:t xml:space="preserve">entre les autorités nationales et sous-nationales </w:t>
      </w:r>
      <w:r w:rsidR="00E02CDD" w:rsidRPr="005205FB">
        <w:rPr>
          <w:rFonts w:ascii="Calibri" w:hAnsi="Calibri" w:cs="Calibri"/>
          <w:lang w:val="fr-FR"/>
        </w:rPr>
        <w:t xml:space="preserve">responsables </w:t>
      </w:r>
      <w:r w:rsidR="008B093B" w:rsidRPr="005205FB">
        <w:rPr>
          <w:rFonts w:ascii="Calibri" w:hAnsi="Calibri" w:cs="Calibri"/>
          <w:lang w:val="fr-FR"/>
        </w:rPr>
        <w:t xml:space="preserve">des statistiques et </w:t>
      </w:r>
      <w:r w:rsidR="00E02CDD" w:rsidRPr="005205FB">
        <w:rPr>
          <w:rFonts w:ascii="Calibri" w:hAnsi="Calibri" w:cs="Calibri"/>
          <w:lang w:val="fr-FR"/>
        </w:rPr>
        <w:t>chargées</w:t>
      </w:r>
      <w:r w:rsidR="008B093B" w:rsidRPr="005205FB">
        <w:rPr>
          <w:rFonts w:ascii="Calibri" w:hAnsi="Calibri" w:cs="Calibri"/>
          <w:lang w:val="fr-FR"/>
        </w:rPr>
        <w:t xml:space="preserve"> de faire rapport sur les ODD</w:t>
      </w:r>
      <w:r w:rsidR="00E02CDD" w:rsidRPr="005205FB">
        <w:rPr>
          <w:rFonts w:ascii="Calibri" w:hAnsi="Calibri" w:cs="Calibri"/>
          <w:lang w:val="fr-FR"/>
        </w:rPr>
        <w:t>,</w:t>
      </w:r>
      <w:r w:rsidR="008B093B" w:rsidRPr="005205FB">
        <w:rPr>
          <w:rFonts w:ascii="Calibri" w:hAnsi="Calibri" w:cs="Calibri"/>
          <w:lang w:val="fr-FR"/>
        </w:rPr>
        <w:t xml:space="preserve"> en particulier</w:t>
      </w:r>
      <w:r w:rsidR="006A2A36" w:rsidRPr="005205FB">
        <w:rPr>
          <w:rFonts w:ascii="Calibri" w:hAnsi="Calibri" w:cs="Calibri"/>
          <w:lang w:val="fr-FR"/>
        </w:rPr>
        <w:t>,</w:t>
      </w:r>
      <w:r w:rsidR="008B093B" w:rsidRPr="005205FB">
        <w:rPr>
          <w:rFonts w:ascii="Calibri" w:hAnsi="Calibri" w:cs="Calibri"/>
          <w:lang w:val="fr-FR"/>
        </w:rPr>
        <w:t xml:space="preserve"> l’indicateur </w:t>
      </w:r>
      <w:r w:rsidR="00747D4E" w:rsidRPr="005205FB">
        <w:rPr>
          <w:rFonts w:ascii="Calibri" w:hAnsi="Calibri" w:cs="Calibri"/>
          <w:lang w:val="fr-FR"/>
        </w:rPr>
        <w:t>6.6.1</w:t>
      </w:r>
      <w:r w:rsidR="00CF6875" w:rsidRPr="005205FB">
        <w:rPr>
          <w:rFonts w:ascii="Calibri" w:hAnsi="Calibri" w:cs="Calibri"/>
          <w:lang w:val="fr-FR"/>
        </w:rPr>
        <w:t xml:space="preserve">. Elle </w:t>
      </w:r>
      <w:r w:rsidR="008B093B" w:rsidRPr="005205FB">
        <w:rPr>
          <w:rFonts w:ascii="Calibri" w:hAnsi="Calibri" w:cs="Calibri"/>
          <w:lang w:val="fr-FR"/>
        </w:rPr>
        <w:t>donne instruction au Secrétariat de</w:t>
      </w:r>
      <w:r w:rsidR="00E02CDD" w:rsidRPr="005205FB">
        <w:rPr>
          <w:rFonts w:ascii="Calibri" w:hAnsi="Calibri" w:cs="Calibri"/>
          <w:lang w:val="fr-FR"/>
        </w:rPr>
        <w:t xml:space="preserve"> poursuivre activement ses travaux avec le Groupe interinstitutions et d’experts sur les indicateurs des Objectifs de développement durable (IAEG-ODD)</w:t>
      </w:r>
      <w:r w:rsidR="00CF6875" w:rsidRPr="005205FB">
        <w:rPr>
          <w:rFonts w:ascii="Calibri" w:hAnsi="Calibri" w:cs="Calibri"/>
          <w:lang w:val="fr-FR"/>
        </w:rPr>
        <w:t>,</w:t>
      </w:r>
      <w:r w:rsidR="00D83697" w:rsidRPr="005205FB">
        <w:rPr>
          <w:rFonts w:ascii="Calibri" w:hAnsi="Calibri" w:cs="Calibri"/>
          <w:lang w:val="fr-FR"/>
        </w:rPr>
        <w:t xml:space="preserve"> de collaborer avec le PNUE en sa qualité de coresponsable de l’indicateur </w:t>
      </w:r>
      <w:r w:rsidR="00C56E0F" w:rsidRPr="005205FB">
        <w:rPr>
          <w:rFonts w:ascii="Calibri" w:hAnsi="Calibri" w:cs="Calibri"/>
          <w:lang w:val="fr-FR"/>
        </w:rPr>
        <w:t xml:space="preserve">6.6.1, </w:t>
      </w:r>
      <w:r w:rsidR="00D83697" w:rsidRPr="005205FB">
        <w:rPr>
          <w:rFonts w:ascii="Calibri" w:hAnsi="Calibri" w:cs="Calibri"/>
          <w:lang w:val="fr-FR"/>
        </w:rPr>
        <w:t>ainsi qu’avec d’autres organismes des Nations Unies sur les indicateurs relatifs à l’eau et de soutenir les Parties contractantes dans le contexte de l’inventaire national des zones humides.</w:t>
      </w:r>
    </w:p>
    <w:p w14:paraId="07C28DCD" w14:textId="77777777" w:rsidR="00E238F0" w:rsidRPr="005205FB" w:rsidRDefault="00E238F0" w:rsidP="00A478A5">
      <w:pPr>
        <w:spacing w:after="0" w:line="240" w:lineRule="auto"/>
        <w:ind w:left="425" w:hanging="425"/>
        <w:rPr>
          <w:rFonts w:ascii="Calibri" w:hAnsi="Calibri" w:cs="Calibri"/>
          <w:lang w:val="fr-FR"/>
        </w:rPr>
      </w:pPr>
    </w:p>
    <w:p w14:paraId="6521EB22" w14:textId="1E31ADC2" w:rsidR="00B30EC1"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8.</w:t>
      </w:r>
      <w:r w:rsidRPr="005205FB">
        <w:rPr>
          <w:rFonts w:ascii="Calibri" w:hAnsi="Calibri" w:cs="Calibri"/>
          <w:lang w:val="fr-FR"/>
        </w:rPr>
        <w:tab/>
      </w:r>
      <w:r w:rsidR="001170DA" w:rsidRPr="005205FB">
        <w:rPr>
          <w:rFonts w:ascii="Calibri" w:hAnsi="Calibri" w:cs="Calibri"/>
          <w:lang w:val="fr-FR"/>
        </w:rPr>
        <w:t>La Résolution </w:t>
      </w:r>
      <w:r w:rsidR="00B41D85" w:rsidRPr="005205FB">
        <w:rPr>
          <w:rFonts w:ascii="Calibri" w:hAnsi="Calibri" w:cs="Calibri"/>
          <w:lang w:val="fr-FR"/>
        </w:rPr>
        <w:t xml:space="preserve">XIV.6 </w:t>
      </w:r>
      <w:r w:rsidR="00DE4527" w:rsidRPr="005205FB">
        <w:rPr>
          <w:rFonts w:ascii="Calibri" w:hAnsi="Calibri" w:cs="Calibri"/>
          <w:lang w:val="fr-FR"/>
        </w:rPr>
        <w:t xml:space="preserve">encourage aussi les Parties contractantes à </w:t>
      </w:r>
      <w:r w:rsidR="002D469C" w:rsidRPr="005205FB">
        <w:rPr>
          <w:rFonts w:ascii="Calibri" w:hAnsi="Calibri" w:cs="Calibri"/>
          <w:lang w:val="fr-FR"/>
        </w:rPr>
        <w:t xml:space="preserve">renforcer l’intégration, aux niveaux national et sous-national, et à promouvoir les synergies nationales entre les accords multilatéraux sur l’environnement (AME) ainsi qu’à améliorer </w:t>
      </w:r>
      <w:r w:rsidR="00EE5AC3" w:rsidRPr="005205FB">
        <w:rPr>
          <w:rFonts w:ascii="Calibri" w:hAnsi="Calibri" w:cs="Calibri"/>
          <w:lang w:val="fr-FR"/>
        </w:rPr>
        <w:t xml:space="preserve">la mise en œuvre cohérente au </w:t>
      </w:r>
      <w:r w:rsidR="00EE5AC3" w:rsidRPr="005205FB">
        <w:rPr>
          <w:rFonts w:ascii="Calibri" w:hAnsi="Calibri" w:cs="Calibri"/>
          <w:lang w:val="fr-FR"/>
        </w:rPr>
        <w:lastRenderedPageBreak/>
        <w:t>niveau national en vue de soutenir la réalisation des buts et cibles du Programme à l’horizon 2030, relatifs aux zones humides.</w:t>
      </w:r>
      <w:r w:rsidR="00747D4E" w:rsidRPr="005205FB">
        <w:rPr>
          <w:rFonts w:ascii="Calibri" w:hAnsi="Calibri" w:cs="Calibri"/>
          <w:lang w:val="fr-FR"/>
        </w:rPr>
        <w:t xml:space="preserve"> </w:t>
      </w:r>
      <w:r w:rsidR="00B6238A" w:rsidRPr="005205FB">
        <w:rPr>
          <w:rFonts w:ascii="Calibri" w:hAnsi="Calibri" w:cs="Calibri"/>
          <w:lang w:val="fr-FR"/>
        </w:rPr>
        <w:t>La Résolution </w:t>
      </w:r>
      <w:r w:rsidR="00B30EC1" w:rsidRPr="005205FB">
        <w:rPr>
          <w:rFonts w:ascii="Calibri" w:hAnsi="Calibri" w:cs="Calibri"/>
          <w:lang w:val="fr-FR"/>
        </w:rPr>
        <w:t xml:space="preserve">XIV.16 </w:t>
      </w:r>
      <w:r w:rsidR="00B6238A" w:rsidRPr="005205FB">
        <w:rPr>
          <w:rFonts w:ascii="Calibri" w:hAnsi="Calibri" w:cs="Calibri"/>
          <w:lang w:val="fr-FR"/>
        </w:rPr>
        <w:t>traite</w:t>
      </w:r>
      <w:r w:rsidR="00A729F2" w:rsidRPr="005205FB">
        <w:rPr>
          <w:rFonts w:ascii="Calibri" w:hAnsi="Calibri" w:cs="Calibri"/>
          <w:lang w:val="fr-FR"/>
        </w:rPr>
        <w:t xml:space="preserve"> </w:t>
      </w:r>
      <w:r w:rsidR="00B6238A" w:rsidRPr="005205FB">
        <w:rPr>
          <w:rFonts w:ascii="Calibri" w:hAnsi="Calibri" w:cs="Calibri"/>
          <w:lang w:val="fr-FR"/>
        </w:rPr>
        <w:t>spécifiquement de l’intégration de la protection, la conservation, la restauration, l’utilisation durable et la gestion des zones humides dans les stratégies nationales de développement durable.</w:t>
      </w:r>
    </w:p>
    <w:p w14:paraId="747CC5FA" w14:textId="33196DCC" w:rsidR="00E85037" w:rsidRPr="005205FB" w:rsidRDefault="00E85037" w:rsidP="00A478A5">
      <w:pPr>
        <w:spacing w:after="0" w:line="240" w:lineRule="auto"/>
        <w:ind w:left="425" w:hanging="425"/>
        <w:rPr>
          <w:rFonts w:ascii="Calibri" w:hAnsi="Calibri" w:cs="Calibri"/>
          <w:lang w:val="fr-FR"/>
        </w:rPr>
      </w:pPr>
    </w:p>
    <w:p w14:paraId="5ED4712C" w14:textId="6CD602B9" w:rsidR="00016F60"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9.</w:t>
      </w:r>
      <w:r w:rsidRPr="005205FB">
        <w:rPr>
          <w:rFonts w:ascii="Calibri" w:hAnsi="Calibri" w:cs="Calibri"/>
          <w:lang w:val="fr-FR"/>
        </w:rPr>
        <w:tab/>
      </w:r>
      <w:r w:rsidR="00162413" w:rsidRPr="005205FB">
        <w:rPr>
          <w:rFonts w:ascii="Calibri" w:hAnsi="Calibri" w:cs="Calibri"/>
          <w:lang w:val="fr-FR"/>
        </w:rPr>
        <w:t>Plusieurs Résolutions, notamment</w:t>
      </w:r>
      <w:r w:rsidR="00310012" w:rsidRPr="005205FB">
        <w:rPr>
          <w:rFonts w:ascii="Calibri" w:hAnsi="Calibri" w:cs="Calibri"/>
          <w:lang w:val="fr-FR"/>
        </w:rPr>
        <w:t xml:space="preserve"> XIV.6 </w:t>
      </w:r>
      <w:r w:rsidR="00162413" w:rsidRPr="005205FB">
        <w:rPr>
          <w:rFonts w:ascii="Calibri" w:hAnsi="Calibri" w:cs="Calibri"/>
          <w:lang w:val="fr-FR"/>
        </w:rPr>
        <w:t>et</w:t>
      </w:r>
      <w:r w:rsidR="00310012" w:rsidRPr="005205FB">
        <w:rPr>
          <w:rFonts w:ascii="Calibri" w:hAnsi="Calibri" w:cs="Calibri"/>
          <w:lang w:val="fr-FR"/>
        </w:rPr>
        <w:t xml:space="preserve"> XIV.16</w:t>
      </w:r>
      <w:r w:rsidR="0041426B" w:rsidRPr="005205FB">
        <w:rPr>
          <w:rFonts w:ascii="Calibri" w:hAnsi="Calibri" w:cs="Calibri"/>
          <w:lang w:val="fr-FR"/>
        </w:rPr>
        <w:t>,</w:t>
      </w:r>
      <w:r w:rsidR="00310012" w:rsidRPr="005205FB">
        <w:rPr>
          <w:rFonts w:ascii="Calibri" w:hAnsi="Calibri" w:cs="Calibri"/>
          <w:lang w:val="fr-FR"/>
        </w:rPr>
        <w:t xml:space="preserve"> </w:t>
      </w:r>
      <w:r w:rsidR="00162413" w:rsidRPr="005205FB">
        <w:rPr>
          <w:rFonts w:ascii="Calibri" w:hAnsi="Calibri" w:cs="Calibri"/>
          <w:lang w:val="fr-FR"/>
        </w:rPr>
        <w:t>appellent les Parties contractantes</w:t>
      </w:r>
      <w:r w:rsidR="00835C4E" w:rsidRPr="005205FB">
        <w:rPr>
          <w:rFonts w:ascii="Calibri" w:hAnsi="Calibri" w:cs="Calibri"/>
          <w:lang w:val="fr-FR"/>
        </w:rPr>
        <w:t>, le Groupe de surveillance des activités de CESP et le Secrétariat</w:t>
      </w:r>
      <w:r w:rsidR="00162413" w:rsidRPr="005205FB">
        <w:rPr>
          <w:rFonts w:ascii="Calibri" w:hAnsi="Calibri" w:cs="Calibri"/>
          <w:lang w:val="fr-FR"/>
        </w:rPr>
        <w:t xml:space="preserve"> à </w:t>
      </w:r>
      <w:r w:rsidR="00835C4E" w:rsidRPr="005205FB">
        <w:rPr>
          <w:rFonts w:ascii="Calibri" w:hAnsi="Calibri" w:cs="Calibri"/>
          <w:lang w:val="fr-FR"/>
        </w:rPr>
        <w:t>contribuer activement à la réalisation du</w:t>
      </w:r>
      <w:r w:rsidR="00162413" w:rsidRPr="005205FB">
        <w:rPr>
          <w:rFonts w:ascii="Calibri" w:hAnsi="Calibri" w:cs="Calibri"/>
          <w:lang w:val="fr-FR"/>
        </w:rPr>
        <w:t xml:space="preserve"> Programme à l’horizon 2030 et </w:t>
      </w:r>
      <w:r w:rsidR="00835C4E" w:rsidRPr="005205FB">
        <w:rPr>
          <w:rFonts w:ascii="Calibri" w:hAnsi="Calibri" w:cs="Calibri"/>
          <w:lang w:val="fr-FR"/>
        </w:rPr>
        <w:t>d</w:t>
      </w:r>
      <w:r w:rsidR="00162413" w:rsidRPr="005205FB">
        <w:rPr>
          <w:rFonts w:ascii="Calibri" w:hAnsi="Calibri" w:cs="Calibri"/>
          <w:lang w:val="fr-FR"/>
        </w:rPr>
        <w:t xml:space="preserve">es ODD dans le cadre des activités de CESP. </w:t>
      </w:r>
      <w:r w:rsidR="001D2A9C" w:rsidRPr="005205FB">
        <w:rPr>
          <w:rFonts w:ascii="Calibri" w:hAnsi="Calibri" w:cs="Calibri"/>
          <w:lang w:val="fr-FR"/>
        </w:rPr>
        <w:t>L’utilisation de la CESP</w:t>
      </w:r>
      <w:r w:rsidR="00162413" w:rsidRPr="005205FB">
        <w:rPr>
          <w:rFonts w:ascii="Calibri" w:hAnsi="Calibri" w:cs="Calibri"/>
          <w:lang w:val="fr-FR"/>
        </w:rPr>
        <w:t xml:space="preserve"> </w:t>
      </w:r>
      <w:r w:rsidR="001D2A9C" w:rsidRPr="005205FB">
        <w:rPr>
          <w:rFonts w:ascii="Calibri" w:hAnsi="Calibri" w:cs="Calibri"/>
          <w:lang w:val="fr-FR"/>
        </w:rPr>
        <w:t xml:space="preserve">pour améliorer le profil des zones humides et sensibiliser à l’importance de leur conservation, restauration et utilisation rationnelle pour réaliser le Programme de développement durable à l’horizon 2030 et les ODD ainsi que pour </w:t>
      </w:r>
      <w:r w:rsidR="00EF3560" w:rsidRPr="005205FB">
        <w:rPr>
          <w:rFonts w:ascii="Calibri" w:hAnsi="Calibri" w:cs="Calibri"/>
          <w:lang w:val="fr-FR"/>
        </w:rPr>
        <w:t>consolider</w:t>
      </w:r>
      <w:r w:rsidR="001D2A9C" w:rsidRPr="005205FB">
        <w:rPr>
          <w:rFonts w:ascii="Calibri" w:hAnsi="Calibri" w:cs="Calibri"/>
          <w:lang w:val="fr-FR"/>
        </w:rPr>
        <w:t xml:space="preserve"> les efforts </w:t>
      </w:r>
      <w:r w:rsidR="00EF3560" w:rsidRPr="005205FB">
        <w:rPr>
          <w:rFonts w:ascii="Calibri" w:hAnsi="Calibri" w:cs="Calibri"/>
          <w:lang w:val="fr-FR"/>
        </w:rPr>
        <w:t xml:space="preserve">d’intégration aux niveaux national et </w:t>
      </w:r>
      <w:r w:rsidR="00191BEC" w:rsidRPr="005205FB">
        <w:rPr>
          <w:rFonts w:ascii="Calibri" w:hAnsi="Calibri" w:cs="Calibri"/>
          <w:lang w:val="fr-FR"/>
        </w:rPr>
        <w:t>infra</w:t>
      </w:r>
      <w:r w:rsidR="00EF3560" w:rsidRPr="005205FB">
        <w:rPr>
          <w:rFonts w:ascii="Calibri" w:hAnsi="Calibri" w:cs="Calibri"/>
          <w:lang w:val="fr-FR"/>
        </w:rPr>
        <w:t xml:space="preserve">national </w:t>
      </w:r>
      <w:r w:rsidR="001D2A9C" w:rsidRPr="005205FB">
        <w:rPr>
          <w:rFonts w:ascii="Calibri" w:hAnsi="Calibri" w:cs="Calibri"/>
          <w:lang w:val="fr-FR"/>
        </w:rPr>
        <w:t xml:space="preserve">est le </w:t>
      </w:r>
      <w:r w:rsidR="00162413" w:rsidRPr="005205FB">
        <w:rPr>
          <w:rFonts w:ascii="Calibri" w:hAnsi="Calibri" w:cs="Calibri"/>
          <w:lang w:val="fr-FR"/>
        </w:rPr>
        <w:t xml:space="preserve">fil conducteur </w:t>
      </w:r>
      <w:r w:rsidR="001D2A9C" w:rsidRPr="005205FB">
        <w:rPr>
          <w:rFonts w:ascii="Calibri" w:hAnsi="Calibri" w:cs="Calibri"/>
          <w:lang w:val="fr-FR"/>
        </w:rPr>
        <w:t>de</w:t>
      </w:r>
      <w:r w:rsidR="00162413" w:rsidRPr="005205FB">
        <w:rPr>
          <w:rFonts w:ascii="Calibri" w:hAnsi="Calibri" w:cs="Calibri"/>
          <w:lang w:val="fr-FR"/>
        </w:rPr>
        <w:t xml:space="preserve"> ces résolutions</w:t>
      </w:r>
      <w:r w:rsidR="00A729F2" w:rsidRPr="005205FB">
        <w:rPr>
          <w:rFonts w:ascii="Calibri" w:hAnsi="Calibri" w:cs="Calibri"/>
          <w:lang w:val="fr-FR"/>
        </w:rPr>
        <w:t xml:space="preserve">. </w:t>
      </w:r>
      <w:r w:rsidR="005506CB" w:rsidRPr="005205FB">
        <w:rPr>
          <w:rFonts w:ascii="Calibri" w:hAnsi="Calibri" w:cs="Calibri"/>
          <w:lang w:val="fr-FR"/>
        </w:rPr>
        <w:t>L</w:t>
      </w:r>
      <w:r w:rsidR="00191BEC" w:rsidRPr="005205FB">
        <w:rPr>
          <w:rFonts w:ascii="Calibri" w:hAnsi="Calibri" w:cs="Calibri"/>
          <w:lang w:val="fr-FR"/>
        </w:rPr>
        <w:t xml:space="preserve">’annexe 4 de la </w:t>
      </w:r>
      <w:r w:rsidR="005506CB" w:rsidRPr="005205FB">
        <w:rPr>
          <w:rFonts w:ascii="Calibri" w:hAnsi="Calibri" w:cs="Calibri"/>
          <w:lang w:val="fr-FR"/>
        </w:rPr>
        <w:t>Résolution</w:t>
      </w:r>
      <w:r w:rsidR="009E4057" w:rsidRPr="005205FB">
        <w:rPr>
          <w:rFonts w:ascii="Calibri" w:hAnsi="Calibri" w:cs="Calibri"/>
          <w:lang w:val="fr-FR"/>
        </w:rPr>
        <w:t xml:space="preserve"> </w:t>
      </w:r>
      <w:r w:rsidR="60450471" w:rsidRPr="005205FB">
        <w:rPr>
          <w:rFonts w:ascii="Calibri" w:hAnsi="Calibri" w:cs="Calibri"/>
          <w:lang w:val="fr-FR"/>
        </w:rPr>
        <w:t xml:space="preserve">XIV.4 </w:t>
      </w:r>
      <w:r w:rsidR="005506CB" w:rsidRPr="005205FB">
        <w:rPr>
          <w:rFonts w:ascii="Calibri" w:hAnsi="Calibri" w:cs="Calibri"/>
          <w:lang w:val="fr-FR"/>
        </w:rPr>
        <w:t xml:space="preserve">définit des considérations particulières </w:t>
      </w:r>
      <w:r w:rsidR="00191BEC" w:rsidRPr="005205FB">
        <w:rPr>
          <w:rFonts w:ascii="Calibri" w:hAnsi="Calibri" w:cs="Calibri"/>
          <w:lang w:val="fr-FR"/>
        </w:rPr>
        <w:t>visant à</w:t>
      </w:r>
      <w:r w:rsidR="005506CB" w:rsidRPr="005205FB">
        <w:rPr>
          <w:rFonts w:ascii="Calibri" w:hAnsi="Calibri" w:cs="Calibri"/>
          <w:lang w:val="fr-FR"/>
        </w:rPr>
        <w:t xml:space="preserve"> aider les Parties contractantes à appliquer la nouvelle approche de </w:t>
      </w:r>
      <w:r w:rsidR="00191BEC" w:rsidRPr="005205FB">
        <w:rPr>
          <w:rFonts w:ascii="Calibri" w:hAnsi="Calibri" w:cs="Calibri"/>
          <w:lang w:val="fr-FR"/>
        </w:rPr>
        <w:t xml:space="preserve">la </w:t>
      </w:r>
      <w:r w:rsidR="005506CB" w:rsidRPr="005205FB">
        <w:rPr>
          <w:rFonts w:ascii="Calibri" w:hAnsi="Calibri" w:cs="Calibri"/>
          <w:lang w:val="fr-FR"/>
        </w:rPr>
        <w:t xml:space="preserve">CESP et comprend ce qui suit </w:t>
      </w:r>
      <w:r w:rsidR="00191BEC" w:rsidRPr="005205FB">
        <w:rPr>
          <w:rFonts w:ascii="Calibri" w:hAnsi="Calibri" w:cs="Calibri"/>
          <w:lang w:val="fr-FR"/>
        </w:rPr>
        <w:t>concernant le</w:t>
      </w:r>
      <w:r w:rsidR="005506CB" w:rsidRPr="005205FB">
        <w:rPr>
          <w:rFonts w:ascii="Calibri" w:hAnsi="Calibri" w:cs="Calibri"/>
          <w:lang w:val="fr-FR"/>
        </w:rPr>
        <w:t xml:space="preserve"> But 1 du quatrième Plan stratégique de la Convention : « </w:t>
      </w:r>
      <w:r w:rsidR="60450471" w:rsidRPr="005205FB">
        <w:rPr>
          <w:rFonts w:ascii="Calibri" w:hAnsi="Calibri" w:cs="Calibri"/>
          <w:lang w:val="fr-FR"/>
        </w:rPr>
        <w:t xml:space="preserve">1. </w:t>
      </w:r>
      <w:r w:rsidR="00B3212B" w:rsidRPr="005205FB">
        <w:rPr>
          <w:rFonts w:ascii="Calibri" w:hAnsi="Calibri" w:cs="Calibri"/>
          <w:lang w:val="fr-FR"/>
        </w:rPr>
        <w:t xml:space="preserve">Les avantages des zones humides figurent dans les politiques / stratégies et plans relatifs à des secteurs clés </w:t>
      </w:r>
      <w:r w:rsidR="60450471" w:rsidRPr="005205FB">
        <w:rPr>
          <w:rFonts w:ascii="Calibri" w:hAnsi="Calibri" w:cs="Calibri"/>
          <w:lang w:val="fr-FR"/>
        </w:rPr>
        <w:t xml:space="preserve">… </w:t>
      </w:r>
      <w:r w:rsidR="00B3212B" w:rsidRPr="005205FB">
        <w:rPr>
          <w:rFonts w:ascii="Calibri" w:hAnsi="Calibri" w:cs="Calibri"/>
          <w:lang w:val="fr-FR"/>
        </w:rPr>
        <w:t>Les Parties contractantes continuent de porter la question des zones humides dans le débat politique mondial, y</w:t>
      </w:r>
      <w:r w:rsidR="005506CB" w:rsidRPr="005205FB">
        <w:rPr>
          <w:rFonts w:ascii="Calibri" w:hAnsi="Calibri" w:cs="Calibri"/>
          <w:lang w:val="fr-FR"/>
        </w:rPr>
        <w:t> </w:t>
      </w:r>
      <w:r w:rsidR="00B3212B" w:rsidRPr="005205FB">
        <w:rPr>
          <w:rFonts w:ascii="Calibri" w:hAnsi="Calibri" w:cs="Calibri"/>
          <w:lang w:val="fr-FR"/>
        </w:rPr>
        <w:t xml:space="preserve">compris les Objectifs de développement durable, </w:t>
      </w:r>
      <w:r w:rsidR="60450471" w:rsidRPr="005205FB">
        <w:rPr>
          <w:rFonts w:ascii="Calibri" w:hAnsi="Calibri" w:cs="Calibri"/>
          <w:lang w:val="fr-FR"/>
        </w:rPr>
        <w:t>…</w:t>
      </w:r>
      <w:r w:rsidR="005506CB" w:rsidRPr="005205FB">
        <w:rPr>
          <w:rFonts w:ascii="Calibri" w:hAnsi="Calibri" w:cs="Calibri"/>
          <w:lang w:val="fr-FR"/>
        </w:rPr>
        <w:t> »</w:t>
      </w:r>
      <w:r w:rsidR="00E011EE" w:rsidRPr="005205FB">
        <w:rPr>
          <w:rFonts w:ascii="Calibri" w:hAnsi="Calibri" w:cs="Calibri"/>
          <w:lang w:val="fr-FR"/>
        </w:rPr>
        <w:t>.</w:t>
      </w:r>
    </w:p>
    <w:p w14:paraId="588299B1" w14:textId="77777777" w:rsidR="001212D7" w:rsidRPr="005205FB" w:rsidRDefault="001212D7" w:rsidP="003614B1">
      <w:pPr>
        <w:spacing w:after="0" w:line="240" w:lineRule="auto"/>
        <w:rPr>
          <w:rFonts w:ascii="Calibri" w:hAnsi="Calibri" w:cs="Calibri"/>
          <w:highlight w:val="yellow"/>
          <w:lang w:val="fr-FR"/>
        </w:rPr>
      </w:pPr>
    </w:p>
    <w:p w14:paraId="1F260D7D" w14:textId="58B801BC" w:rsidR="02330E54" w:rsidRPr="005205FB" w:rsidRDefault="005506CB" w:rsidP="003614B1">
      <w:pPr>
        <w:keepNext/>
        <w:spacing w:after="0" w:line="240" w:lineRule="auto"/>
        <w:rPr>
          <w:rFonts w:ascii="Calibri" w:hAnsi="Calibri" w:cs="Calibri"/>
          <w:i/>
          <w:iCs/>
          <w:lang w:val="fr-FR"/>
        </w:rPr>
      </w:pPr>
      <w:r w:rsidRPr="005205FB">
        <w:rPr>
          <w:rFonts w:ascii="Calibri" w:hAnsi="Calibri" w:cs="Calibri"/>
          <w:i/>
          <w:iCs/>
          <w:lang w:val="fr-FR"/>
        </w:rPr>
        <w:t>Données, suivi et rapport sur les zones humides</w:t>
      </w:r>
      <w:r w:rsidR="00332570" w:rsidRPr="005205FB">
        <w:rPr>
          <w:rFonts w:ascii="Calibri" w:hAnsi="Calibri" w:cs="Calibri"/>
          <w:i/>
          <w:iCs/>
          <w:lang w:val="fr-FR"/>
        </w:rPr>
        <w:t xml:space="preserve"> </w:t>
      </w:r>
    </w:p>
    <w:p w14:paraId="0BA8EC99" w14:textId="77777777" w:rsidR="0024203F" w:rsidRPr="005205FB" w:rsidRDefault="0024203F" w:rsidP="003614B1">
      <w:pPr>
        <w:keepNext/>
        <w:spacing w:after="0" w:line="240" w:lineRule="auto"/>
        <w:rPr>
          <w:rFonts w:ascii="Calibri" w:hAnsi="Calibri" w:cs="Calibri"/>
          <w:highlight w:val="yellow"/>
          <w:lang w:val="fr-FR"/>
        </w:rPr>
      </w:pPr>
    </w:p>
    <w:p w14:paraId="1732C506" w14:textId="355CF67C" w:rsidR="07982D2F" w:rsidRPr="005205FB" w:rsidRDefault="00A478A5" w:rsidP="00A478A5">
      <w:pPr>
        <w:spacing w:after="0" w:line="240" w:lineRule="auto"/>
        <w:ind w:left="425" w:hanging="425"/>
        <w:rPr>
          <w:rFonts w:ascii="Calibri" w:eastAsiaTheme="minorEastAsia" w:hAnsi="Calibri" w:cs="Calibri"/>
          <w:lang w:val="fr-FR"/>
        </w:rPr>
      </w:pPr>
      <w:r w:rsidRPr="005205FB">
        <w:rPr>
          <w:rFonts w:ascii="Calibri" w:eastAsiaTheme="minorEastAsia" w:hAnsi="Calibri" w:cs="Calibri"/>
          <w:lang w:val="fr-FR"/>
        </w:rPr>
        <w:t>10.</w:t>
      </w:r>
      <w:r w:rsidRPr="005205FB">
        <w:rPr>
          <w:rFonts w:ascii="Calibri" w:eastAsiaTheme="minorEastAsia" w:hAnsi="Calibri" w:cs="Calibri"/>
          <w:lang w:val="fr-FR"/>
        </w:rPr>
        <w:tab/>
      </w:r>
      <w:r w:rsidR="00D5605F" w:rsidRPr="005205FB">
        <w:rPr>
          <w:rFonts w:ascii="Calibri" w:eastAsiaTheme="minorEastAsia" w:hAnsi="Calibri" w:cs="Calibri"/>
          <w:lang w:val="fr-FR"/>
        </w:rPr>
        <w:t>En </w:t>
      </w:r>
      <w:r w:rsidR="0012244F" w:rsidRPr="005205FB">
        <w:rPr>
          <w:rFonts w:ascii="Calibri" w:eastAsiaTheme="minorEastAsia" w:hAnsi="Calibri" w:cs="Calibri"/>
          <w:lang w:val="fr-FR"/>
        </w:rPr>
        <w:t>2017</w:t>
      </w:r>
      <w:r w:rsidR="00D5605F" w:rsidRPr="005205FB">
        <w:rPr>
          <w:rFonts w:ascii="Calibri" w:eastAsiaTheme="minorEastAsia" w:hAnsi="Calibri" w:cs="Calibri"/>
          <w:lang w:val="fr-FR"/>
        </w:rPr>
        <w:t>, l’</w:t>
      </w:r>
      <w:r w:rsidR="002E66E1" w:rsidRPr="005205FB">
        <w:rPr>
          <w:rFonts w:ascii="Calibri" w:hAnsi="Calibri" w:cs="Calibri"/>
          <w:lang w:val="fr-FR"/>
        </w:rPr>
        <w:t>IAEG-</w:t>
      </w:r>
      <w:r w:rsidR="00D5605F" w:rsidRPr="005205FB">
        <w:rPr>
          <w:rFonts w:ascii="Calibri" w:hAnsi="Calibri" w:cs="Calibri"/>
          <w:lang w:val="fr-FR"/>
        </w:rPr>
        <w:t>ODD</w:t>
      </w:r>
      <w:r w:rsidR="002E66E1" w:rsidRPr="005205FB" w:rsidDel="002E66E1">
        <w:rPr>
          <w:rFonts w:ascii="Calibri" w:eastAsiaTheme="minorEastAsia" w:hAnsi="Calibri" w:cs="Calibri"/>
          <w:lang w:val="fr-FR"/>
        </w:rPr>
        <w:t xml:space="preserve"> </w:t>
      </w:r>
      <w:r w:rsidR="00D60F3F" w:rsidRPr="005205FB">
        <w:rPr>
          <w:rFonts w:ascii="Calibri" w:eastAsiaTheme="minorEastAsia" w:hAnsi="Calibri" w:cs="Calibri"/>
          <w:lang w:val="fr-FR"/>
        </w:rPr>
        <w:t>a fait de la Convention un coresponsable de l’indicateur </w:t>
      </w:r>
      <w:r w:rsidR="3496F831" w:rsidRPr="005205FB">
        <w:rPr>
          <w:rFonts w:ascii="Calibri" w:eastAsiaTheme="minorEastAsia" w:hAnsi="Calibri" w:cs="Calibri"/>
          <w:lang w:val="fr-FR"/>
        </w:rPr>
        <w:t xml:space="preserve">6.6.1 </w:t>
      </w:r>
      <w:r w:rsidR="00B3212B" w:rsidRPr="005205FB">
        <w:rPr>
          <w:rFonts w:ascii="Calibri" w:eastAsiaTheme="minorEastAsia" w:hAnsi="Calibri" w:cs="Calibri"/>
          <w:lang w:val="fr-FR"/>
        </w:rPr>
        <w:t>«</w:t>
      </w:r>
      <w:r w:rsidR="00D60F3F" w:rsidRPr="005205FB">
        <w:rPr>
          <w:rFonts w:ascii="Calibri" w:eastAsiaTheme="minorEastAsia" w:hAnsi="Calibri" w:cs="Calibri"/>
          <w:lang w:val="fr-FR"/>
        </w:rPr>
        <w:t> </w:t>
      </w:r>
      <w:r w:rsidR="00B3212B" w:rsidRPr="005205FB">
        <w:rPr>
          <w:rFonts w:ascii="Calibri" w:eastAsiaTheme="minorEastAsia" w:hAnsi="Calibri" w:cs="Calibri"/>
          <w:lang w:val="fr-FR"/>
        </w:rPr>
        <w:t>Changement dans l’étendue des écosystèmes liés à l’eau, au fil du temps</w:t>
      </w:r>
      <w:r w:rsidR="00D60F3F" w:rsidRPr="005205FB">
        <w:rPr>
          <w:rFonts w:ascii="Calibri" w:eastAsiaTheme="minorEastAsia" w:hAnsi="Calibri" w:cs="Calibri"/>
          <w:lang w:val="fr-FR"/>
        </w:rPr>
        <w:t> </w:t>
      </w:r>
      <w:r w:rsidR="00B3212B" w:rsidRPr="005205FB">
        <w:rPr>
          <w:rFonts w:ascii="Calibri" w:eastAsiaTheme="minorEastAsia" w:hAnsi="Calibri" w:cs="Calibri"/>
          <w:lang w:val="fr-FR"/>
        </w:rPr>
        <w:t xml:space="preserve">», </w:t>
      </w:r>
      <w:r w:rsidR="00441676" w:rsidRPr="005205FB">
        <w:rPr>
          <w:rFonts w:ascii="Calibri" w:eastAsiaTheme="minorEastAsia" w:hAnsi="Calibri" w:cs="Calibri"/>
          <w:lang w:val="fr-FR"/>
        </w:rPr>
        <w:t>prié d’utiliser</w:t>
      </w:r>
      <w:r w:rsidR="00D60F3F" w:rsidRPr="005205FB">
        <w:rPr>
          <w:rFonts w:ascii="Calibri" w:eastAsiaTheme="minorEastAsia" w:hAnsi="Calibri" w:cs="Calibri"/>
          <w:lang w:val="fr-FR"/>
        </w:rPr>
        <w:t xml:space="preserve"> les données des Rapports nationaux à la Convention. Par ce mécanisme, les données validées au niveau national, </w:t>
      </w:r>
      <w:r w:rsidR="00441676" w:rsidRPr="005205FB">
        <w:rPr>
          <w:rFonts w:ascii="Calibri" w:eastAsiaTheme="minorEastAsia" w:hAnsi="Calibri" w:cs="Calibri"/>
          <w:lang w:val="fr-FR"/>
        </w:rPr>
        <w:t>adoptant</w:t>
      </w:r>
      <w:r w:rsidR="00D60F3F" w:rsidRPr="005205FB">
        <w:rPr>
          <w:rFonts w:ascii="Calibri" w:eastAsiaTheme="minorEastAsia" w:hAnsi="Calibri" w:cs="Calibri"/>
          <w:lang w:val="fr-FR"/>
        </w:rPr>
        <w:t xml:space="preserve"> des définitions internationales acceptées des zones humides, </w:t>
      </w:r>
      <w:r w:rsidR="00441676" w:rsidRPr="005205FB">
        <w:rPr>
          <w:rFonts w:ascii="Calibri" w:eastAsiaTheme="minorEastAsia" w:hAnsi="Calibri" w:cs="Calibri"/>
          <w:lang w:val="fr-FR"/>
        </w:rPr>
        <w:t>permettent de</w:t>
      </w:r>
      <w:r w:rsidR="00D60F3F" w:rsidRPr="005205FB">
        <w:rPr>
          <w:rFonts w:ascii="Calibri" w:eastAsiaTheme="minorEastAsia" w:hAnsi="Calibri" w:cs="Calibri"/>
          <w:lang w:val="fr-FR"/>
        </w:rPr>
        <w:t xml:space="preserve"> mesurer </w:t>
      </w:r>
      <w:r w:rsidR="00C43944" w:rsidRPr="005205FB">
        <w:rPr>
          <w:rFonts w:ascii="Calibri" w:eastAsiaTheme="minorEastAsia" w:hAnsi="Calibri" w:cs="Calibri"/>
          <w:lang w:val="fr-FR"/>
        </w:rPr>
        <w:t>l’étendue des écosystèmes relatifs à l’eau dans le cadre de l’ODD 6.</w:t>
      </w:r>
    </w:p>
    <w:p w14:paraId="46612E46" w14:textId="064F6056" w:rsidR="07982D2F" w:rsidRPr="005205FB" w:rsidRDefault="07982D2F" w:rsidP="00A478A5">
      <w:pPr>
        <w:spacing w:after="0" w:line="240" w:lineRule="auto"/>
        <w:ind w:left="425" w:hanging="425"/>
        <w:rPr>
          <w:rFonts w:ascii="Calibri" w:eastAsiaTheme="minorEastAsia" w:hAnsi="Calibri" w:cs="Calibri"/>
          <w:lang w:val="fr-FR"/>
        </w:rPr>
      </w:pPr>
    </w:p>
    <w:p w14:paraId="2144C573" w14:textId="173E2089" w:rsidR="00362F7C" w:rsidRPr="005205FB" w:rsidRDefault="00A478A5" w:rsidP="00A478A5">
      <w:pPr>
        <w:spacing w:after="0" w:line="240" w:lineRule="auto"/>
        <w:ind w:left="425" w:hanging="425"/>
        <w:rPr>
          <w:rFonts w:ascii="Calibri" w:eastAsiaTheme="minorEastAsia" w:hAnsi="Calibri" w:cs="Calibri"/>
          <w:lang w:val="fr-FR"/>
        </w:rPr>
      </w:pPr>
      <w:r w:rsidRPr="005205FB">
        <w:rPr>
          <w:rFonts w:ascii="Calibri" w:eastAsiaTheme="minorEastAsia" w:hAnsi="Calibri" w:cs="Calibri"/>
          <w:lang w:val="fr-FR"/>
        </w:rPr>
        <w:t>11.</w:t>
      </w:r>
      <w:r w:rsidRPr="005205FB">
        <w:rPr>
          <w:rFonts w:ascii="Calibri" w:eastAsiaTheme="minorEastAsia" w:hAnsi="Calibri" w:cs="Calibri"/>
          <w:lang w:val="fr-FR"/>
        </w:rPr>
        <w:tab/>
      </w:r>
      <w:r w:rsidR="00C37A60" w:rsidRPr="005205FB">
        <w:rPr>
          <w:rFonts w:ascii="Calibri" w:eastAsiaTheme="minorEastAsia" w:hAnsi="Calibri" w:cs="Calibri"/>
          <w:lang w:val="fr-FR"/>
        </w:rPr>
        <w:t xml:space="preserve">Les inventaires nationaux des zones humides (INZH) </w:t>
      </w:r>
      <w:r w:rsidR="00E369F4" w:rsidRPr="005205FB">
        <w:rPr>
          <w:rFonts w:ascii="Calibri" w:eastAsiaTheme="minorEastAsia" w:hAnsi="Calibri" w:cs="Calibri"/>
          <w:lang w:val="fr-FR"/>
        </w:rPr>
        <w:t>sont</w:t>
      </w:r>
      <w:r w:rsidR="00C37A60" w:rsidRPr="005205FB">
        <w:rPr>
          <w:rFonts w:ascii="Calibri" w:eastAsiaTheme="minorEastAsia" w:hAnsi="Calibri" w:cs="Calibri"/>
          <w:lang w:val="fr-FR"/>
        </w:rPr>
        <w:t xml:space="preserve"> le moyen recommandé </w:t>
      </w:r>
      <w:r w:rsidR="00D27E76" w:rsidRPr="005205FB">
        <w:rPr>
          <w:rFonts w:ascii="Calibri" w:eastAsiaTheme="minorEastAsia" w:hAnsi="Calibri" w:cs="Calibri"/>
          <w:lang w:val="fr-FR"/>
        </w:rPr>
        <w:t>de</w:t>
      </w:r>
      <w:r w:rsidR="00C37A60" w:rsidRPr="005205FB">
        <w:rPr>
          <w:rFonts w:ascii="Calibri" w:eastAsiaTheme="minorEastAsia" w:hAnsi="Calibri" w:cs="Calibri"/>
          <w:lang w:val="fr-FR"/>
        </w:rPr>
        <w:t xml:space="preserve"> rassembler</w:t>
      </w:r>
      <w:r w:rsidR="00D27E76" w:rsidRPr="005205FB">
        <w:rPr>
          <w:rFonts w:ascii="Calibri" w:eastAsiaTheme="minorEastAsia" w:hAnsi="Calibri" w:cs="Calibri"/>
          <w:lang w:val="fr-FR"/>
        </w:rPr>
        <w:t>, au niveau national,</w:t>
      </w:r>
      <w:r w:rsidR="00C37A60" w:rsidRPr="005205FB">
        <w:rPr>
          <w:rFonts w:ascii="Calibri" w:eastAsiaTheme="minorEastAsia" w:hAnsi="Calibri" w:cs="Calibri"/>
          <w:lang w:val="fr-FR"/>
        </w:rPr>
        <w:t xml:space="preserve"> des données </w:t>
      </w:r>
      <w:r w:rsidR="00D27E76" w:rsidRPr="005205FB">
        <w:rPr>
          <w:rFonts w:ascii="Calibri" w:eastAsiaTheme="minorEastAsia" w:hAnsi="Calibri" w:cs="Calibri"/>
          <w:lang w:val="fr-FR"/>
        </w:rPr>
        <w:t xml:space="preserve">rigoureuses </w:t>
      </w:r>
      <w:r w:rsidR="00C37A60" w:rsidRPr="005205FB">
        <w:rPr>
          <w:rFonts w:ascii="Calibri" w:eastAsiaTheme="minorEastAsia" w:hAnsi="Calibri" w:cs="Calibri"/>
          <w:lang w:val="fr-FR"/>
        </w:rPr>
        <w:t>sur les zones humides continentales, artificielles et marines/côtières. Conformément à la Résolution</w:t>
      </w:r>
      <w:r w:rsidR="26DDA368" w:rsidRPr="005205FB">
        <w:rPr>
          <w:rFonts w:ascii="Calibri" w:eastAsiaTheme="minorEastAsia" w:hAnsi="Calibri" w:cs="Calibri"/>
          <w:lang w:val="fr-FR"/>
        </w:rPr>
        <w:t xml:space="preserve"> XIV.6</w:t>
      </w:r>
      <w:r w:rsidR="7B996FF3" w:rsidRPr="005205FB">
        <w:rPr>
          <w:rFonts w:ascii="Calibri" w:eastAsiaTheme="minorEastAsia" w:hAnsi="Calibri" w:cs="Calibri"/>
          <w:lang w:val="fr-FR"/>
        </w:rPr>
        <w:t xml:space="preserve">, </w:t>
      </w:r>
      <w:r w:rsidR="00116931" w:rsidRPr="005205FB">
        <w:rPr>
          <w:rFonts w:ascii="Calibri" w:eastAsiaTheme="minorEastAsia" w:hAnsi="Calibri" w:cs="Calibri"/>
          <w:lang w:val="fr-FR"/>
        </w:rPr>
        <w:t xml:space="preserve">le Secrétariat </w:t>
      </w:r>
      <w:r w:rsidR="00D27E76" w:rsidRPr="005205FB">
        <w:rPr>
          <w:rFonts w:ascii="Calibri" w:eastAsiaTheme="minorEastAsia" w:hAnsi="Calibri" w:cs="Calibri"/>
          <w:lang w:val="fr-FR"/>
        </w:rPr>
        <w:t>aide activement</w:t>
      </w:r>
      <w:r w:rsidR="00116931" w:rsidRPr="005205FB">
        <w:rPr>
          <w:rFonts w:ascii="Calibri" w:eastAsiaTheme="minorEastAsia" w:hAnsi="Calibri" w:cs="Calibri"/>
          <w:lang w:val="fr-FR"/>
        </w:rPr>
        <w:t xml:space="preserve"> les Parties contractantes </w:t>
      </w:r>
      <w:r w:rsidR="00D27E76" w:rsidRPr="005205FB">
        <w:rPr>
          <w:rFonts w:ascii="Calibri" w:eastAsiaTheme="minorEastAsia" w:hAnsi="Calibri" w:cs="Calibri"/>
          <w:lang w:val="fr-FR"/>
        </w:rPr>
        <w:t>à</w:t>
      </w:r>
      <w:r w:rsidR="00116931" w:rsidRPr="005205FB">
        <w:rPr>
          <w:rFonts w:ascii="Calibri" w:eastAsiaTheme="minorEastAsia" w:hAnsi="Calibri" w:cs="Calibri"/>
          <w:lang w:val="fr-FR"/>
        </w:rPr>
        <w:t xml:space="preserve"> achever leurs INZH et </w:t>
      </w:r>
      <w:r w:rsidR="00D27E76" w:rsidRPr="005205FB">
        <w:rPr>
          <w:rFonts w:ascii="Calibri" w:eastAsiaTheme="minorEastAsia" w:hAnsi="Calibri" w:cs="Calibri"/>
          <w:lang w:val="fr-FR"/>
        </w:rPr>
        <w:t xml:space="preserve">à </w:t>
      </w:r>
      <w:r w:rsidR="00116931" w:rsidRPr="005205FB">
        <w:rPr>
          <w:rFonts w:ascii="Calibri" w:eastAsiaTheme="minorEastAsia" w:hAnsi="Calibri" w:cs="Calibri"/>
          <w:lang w:val="fr-FR"/>
        </w:rPr>
        <w:t xml:space="preserve">faire rapport sur l’étendue des zones humides </w:t>
      </w:r>
      <w:r w:rsidR="00D27E76" w:rsidRPr="005205FB">
        <w:rPr>
          <w:rFonts w:ascii="Calibri" w:eastAsiaTheme="minorEastAsia" w:hAnsi="Calibri" w:cs="Calibri"/>
          <w:lang w:val="fr-FR"/>
        </w:rPr>
        <w:t>pour contribuer</w:t>
      </w:r>
      <w:r w:rsidR="00116931" w:rsidRPr="005205FB">
        <w:rPr>
          <w:rFonts w:ascii="Calibri" w:eastAsiaTheme="minorEastAsia" w:hAnsi="Calibri" w:cs="Calibri"/>
          <w:lang w:val="fr-FR"/>
        </w:rPr>
        <w:t xml:space="preserve"> à l’indicateur 6.6.1 </w:t>
      </w:r>
      <w:r w:rsidR="001B3768" w:rsidRPr="005205FB">
        <w:rPr>
          <w:rFonts w:ascii="Calibri" w:eastAsiaTheme="minorEastAsia" w:hAnsi="Calibri" w:cs="Calibri"/>
          <w:lang w:val="fr-FR"/>
        </w:rPr>
        <w:t>des ODD. Un mécanisme de soutien des INZH fondé sur l’identification des besoins</w:t>
      </w:r>
      <w:r w:rsidR="00510A43" w:rsidRPr="005205FB">
        <w:rPr>
          <w:rStyle w:val="FootnoteReference"/>
          <w:rFonts w:ascii="Calibri" w:eastAsiaTheme="minorEastAsia" w:hAnsi="Calibri" w:cs="Calibri"/>
          <w:lang w:val="fr-FR"/>
        </w:rPr>
        <w:footnoteReference w:id="4"/>
      </w:r>
      <w:r w:rsidR="003A7EE5" w:rsidRPr="005205FB">
        <w:rPr>
          <w:rFonts w:ascii="Calibri" w:eastAsiaTheme="minorEastAsia" w:hAnsi="Calibri" w:cs="Calibri"/>
          <w:lang w:val="fr-FR"/>
        </w:rPr>
        <w:t xml:space="preserve"> </w:t>
      </w:r>
      <w:r w:rsidR="000B64FD" w:rsidRPr="005205FB">
        <w:rPr>
          <w:rFonts w:ascii="Calibri" w:eastAsiaTheme="minorEastAsia" w:hAnsi="Calibri" w:cs="Calibri"/>
          <w:lang w:val="fr-FR"/>
        </w:rPr>
        <w:t>a été élaboré et les</w:t>
      </w:r>
      <w:r w:rsidR="001B3768" w:rsidRPr="005205FB">
        <w:rPr>
          <w:rFonts w:ascii="Calibri" w:eastAsiaTheme="minorEastAsia" w:hAnsi="Calibri" w:cs="Calibri"/>
          <w:lang w:val="fr-FR"/>
        </w:rPr>
        <w:t xml:space="preserve"> progrès sont décrits dans les documents </w:t>
      </w:r>
      <w:r w:rsidR="00510A43" w:rsidRPr="005205FB">
        <w:rPr>
          <w:rFonts w:ascii="Calibri" w:eastAsiaTheme="minorEastAsia" w:hAnsi="Calibri" w:cs="Calibri"/>
          <w:lang w:val="fr-FR"/>
        </w:rPr>
        <w:t>SC63 Doc.10</w:t>
      </w:r>
      <w:r w:rsidR="003A7EE5" w:rsidRPr="005205FB">
        <w:rPr>
          <w:rFonts w:ascii="Calibri" w:hAnsi="Calibri" w:cs="Calibri"/>
          <w:lang w:val="fr-FR"/>
        </w:rPr>
        <w:t xml:space="preserve"> </w:t>
      </w:r>
      <w:r w:rsidR="001B3768" w:rsidRPr="005205FB">
        <w:rPr>
          <w:rFonts w:ascii="Calibri" w:hAnsi="Calibri" w:cs="Calibri"/>
          <w:lang w:val="fr-FR"/>
        </w:rPr>
        <w:t>et</w:t>
      </w:r>
      <w:r w:rsidR="003A7EE5" w:rsidRPr="005205FB">
        <w:rPr>
          <w:rFonts w:ascii="Calibri" w:hAnsi="Calibri" w:cs="Calibri"/>
          <w:lang w:val="fr-FR"/>
        </w:rPr>
        <w:t xml:space="preserve"> </w:t>
      </w:r>
      <w:r w:rsidR="00510A43" w:rsidRPr="005205FB">
        <w:rPr>
          <w:rFonts w:ascii="Calibri" w:eastAsiaTheme="minorEastAsia" w:hAnsi="Calibri" w:cs="Calibri"/>
          <w:lang w:val="fr-FR"/>
        </w:rPr>
        <w:t>SC64 Doc.10</w:t>
      </w:r>
      <w:r w:rsidR="00510A43" w:rsidRPr="005205FB">
        <w:rPr>
          <w:rStyle w:val="FootnoteReference"/>
          <w:rFonts w:ascii="Calibri" w:hAnsi="Calibri" w:cs="Calibri"/>
          <w:lang w:val="fr-FR"/>
        </w:rPr>
        <w:footnoteReference w:id="5"/>
      </w:r>
      <w:r w:rsidR="003A7EE5" w:rsidRPr="005205FB">
        <w:rPr>
          <w:rFonts w:ascii="Calibri" w:hAnsi="Calibri" w:cs="Calibri"/>
          <w:lang w:val="fr-FR"/>
        </w:rPr>
        <w:t xml:space="preserve">. </w:t>
      </w:r>
      <w:r w:rsidR="000B64FD" w:rsidRPr="005205FB">
        <w:rPr>
          <w:rFonts w:ascii="Calibri" w:hAnsi="Calibri" w:cs="Calibri"/>
          <w:lang w:val="fr-FR"/>
        </w:rPr>
        <w:t>Il s’agit d’aider</w:t>
      </w:r>
      <w:r w:rsidR="000D0920" w:rsidRPr="005205FB">
        <w:rPr>
          <w:rFonts w:ascii="Calibri" w:hAnsi="Calibri" w:cs="Calibri"/>
          <w:lang w:val="fr-FR"/>
        </w:rPr>
        <w:t xml:space="preserve"> les Parties contractantes à élaborer des INZH solides sur le plan </w:t>
      </w:r>
      <w:r w:rsidR="000B64FD" w:rsidRPr="005205FB">
        <w:rPr>
          <w:rFonts w:ascii="Calibri" w:hAnsi="Calibri" w:cs="Calibri"/>
          <w:lang w:val="fr-FR"/>
        </w:rPr>
        <w:t xml:space="preserve">aussi bien </w:t>
      </w:r>
      <w:r w:rsidR="000D0920" w:rsidRPr="005205FB">
        <w:rPr>
          <w:rFonts w:ascii="Calibri" w:hAnsi="Calibri" w:cs="Calibri"/>
          <w:lang w:val="fr-FR"/>
        </w:rPr>
        <w:t xml:space="preserve">institutionnel </w:t>
      </w:r>
      <w:r w:rsidR="000B64FD" w:rsidRPr="005205FB">
        <w:rPr>
          <w:rFonts w:ascii="Calibri" w:hAnsi="Calibri" w:cs="Calibri"/>
          <w:lang w:val="fr-FR"/>
        </w:rPr>
        <w:t xml:space="preserve">que </w:t>
      </w:r>
      <w:r w:rsidR="000D0920" w:rsidRPr="005205FB">
        <w:rPr>
          <w:rFonts w:ascii="Calibri" w:hAnsi="Calibri" w:cs="Calibri"/>
          <w:lang w:val="fr-FR"/>
        </w:rPr>
        <w:t xml:space="preserve">scientifique, applicables dans le contexte de la Convention et immédiatement pertinents pour d’autres cadres politiques, et </w:t>
      </w:r>
      <w:r w:rsidR="000B64FD" w:rsidRPr="005205FB">
        <w:rPr>
          <w:rFonts w:ascii="Calibri" w:hAnsi="Calibri" w:cs="Calibri"/>
          <w:lang w:val="fr-FR"/>
        </w:rPr>
        <w:t>tenant compte du</w:t>
      </w:r>
      <w:r w:rsidR="000D0920" w:rsidRPr="005205FB">
        <w:rPr>
          <w:rFonts w:ascii="Calibri" w:hAnsi="Calibri" w:cs="Calibri"/>
          <w:lang w:val="fr-FR"/>
        </w:rPr>
        <w:t xml:space="preserve"> contexte financier et </w:t>
      </w:r>
      <w:r w:rsidR="000B64FD" w:rsidRPr="005205FB">
        <w:rPr>
          <w:rFonts w:ascii="Calibri" w:hAnsi="Calibri" w:cs="Calibri"/>
          <w:lang w:val="fr-FR"/>
        </w:rPr>
        <w:t>d</w:t>
      </w:r>
      <w:r w:rsidR="000D0920" w:rsidRPr="005205FB">
        <w:rPr>
          <w:rFonts w:ascii="Calibri" w:hAnsi="Calibri" w:cs="Calibri"/>
          <w:lang w:val="fr-FR"/>
        </w:rPr>
        <w:t xml:space="preserve">es capacités techniques de chaque pays. Durant la période triennale </w:t>
      </w:r>
      <w:r w:rsidR="00510A43" w:rsidRPr="005205FB">
        <w:rPr>
          <w:rFonts w:ascii="Calibri" w:eastAsiaTheme="minorEastAsia" w:hAnsi="Calibri" w:cs="Calibri"/>
          <w:lang w:val="fr-FR"/>
        </w:rPr>
        <w:t>2022-2025</w:t>
      </w:r>
      <w:r w:rsidR="54850B64" w:rsidRPr="005205FB">
        <w:rPr>
          <w:rFonts w:ascii="Calibri" w:eastAsiaTheme="minorEastAsia" w:hAnsi="Calibri" w:cs="Calibri"/>
          <w:lang w:val="fr-FR"/>
        </w:rPr>
        <w:t xml:space="preserve">, </w:t>
      </w:r>
      <w:r w:rsidR="00510A43" w:rsidRPr="005205FB">
        <w:rPr>
          <w:rFonts w:ascii="Calibri" w:eastAsiaTheme="minorEastAsia" w:hAnsi="Calibri" w:cs="Calibri"/>
          <w:lang w:val="fr-FR"/>
        </w:rPr>
        <w:t>30</w:t>
      </w:r>
      <w:r w:rsidR="000D0920" w:rsidRPr="005205FB">
        <w:rPr>
          <w:rFonts w:ascii="Calibri" w:eastAsiaTheme="minorEastAsia" w:hAnsi="Calibri" w:cs="Calibri"/>
          <w:lang w:val="fr-FR"/>
        </w:rPr>
        <w:t xml:space="preserve"> Parties contractantes ont été sélectionnées et invitées à rejoindre </w:t>
      </w:r>
      <w:r w:rsidR="005C62BB" w:rsidRPr="005205FB">
        <w:rPr>
          <w:rFonts w:ascii="Calibri" w:eastAsiaTheme="minorEastAsia" w:hAnsi="Calibri" w:cs="Calibri"/>
          <w:lang w:val="fr-FR"/>
        </w:rPr>
        <w:t xml:space="preserve">un programme de formation en présentiel d’une durée de trois ans, réalisé dans les langues officielles de la Convention, sous l’égide du Secrétariat et avec l’appui du Bureau des Nations Unies pour le développement durable et de plusieurs autres </w:t>
      </w:r>
      <w:r w:rsidR="00AC0455" w:rsidRPr="005205FB">
        <w:rPr>
          <w:rFonts w:ascii="Calibri" w:eastAsiaTheme="minorEastAsia" w:hAnsi="Calibri" w:cs="Calibri"/>
          <w:lang w:val="fr-FR"/>
        </w:rPr>
        <w:t xml:space="preserve">organisations partenaires (voir document </w:t>
      </w:r>
      <w:r w:rsidR="00510A43" w:rsidRPr="005205FB">
        <w:rPr>
          <w:rFonts w:ascii="Calibri" w:eastAsiaTheme="minorEastAsia" w:hAnsi="Calibri" w:cs="Calibri"/>
          <w:lang w:val="fr-FR"/>
        </w:rPr>
        <w:t>SC64 Doc.10</w:t>
      </w:r>
      <w:r w:rsidR="11519434" w:rsidRPr="005205FB">
        <w:rPr>
          <w:rFonts w:ascii="Calibri" w:eastAsiaTheme="minorEastAsia" w:hAnsi="Calibri" w:cs="Calibri"/>
          <w:lang w:val="fr-FR"/>
        </w:rPr>
        <w:t xml:space="preserve"> </w:t>
      </w:r>
      <w:r w:rsidR="00AC0455" w:rsidRPr="005205FB">
        <w:rPr>
          <w:rFonts w:ascii="Calibri" w:eastAsiaTheme="minorEastAsia" w:hAnsi="Calibri" w:cs="Calibri"/>
          <w:lang w:val="fr-FR"/>
        </w:rPr>
        <w:t>et document d’</w:t>
      </w:r>
      <w:r w:rsidR="00510A43" w:rsidRPr="005205FB">
        <w:rPr>
          <w:rFonts w:ascii="Calibri" w:eastAsiaTheme="minorEastAsia" w:hAnsi="Calibri" w:cs="Calibri"/>
          <w:lang w:val="fr-FR"/>
        </w:rPr>
        <w:t>information SC64 Inf.2</w:t>
      </w:r>
      <w:r w:rsidR="6C565FB4" w:rsidRPr="005205FB">
        <w:rPr>
          <w:rFonts w:ascii="Calibri" w:eastAsiaTheme="minorEastAsia" w:hAnsi="Calibri" w:cs="Calibri"/>
          <w:lang w:val="fr-FR"/>
        </w:rPr>
        <w:t>)</w:t>
      </w:r>
      <w:r w:rsidR="20FC2438" w:rsidRPr="005205FB">
        <w:rPr>
          <w:rFonts w:ascii="Calibri" w:eastAsiaTheme="minorEastAsia" w:hAnsi="Calibri" w:cs="Calibri"/>
          <w:lang w:val="fr-FR"/>
        </w:rPr>
        <w:t>.</w:t>
      </w:r>
      <w:r w:rsidR="0EE221E1" w:rsidRPr="005205FB">
        <w:rPr>
          <w:rFonts w:ascii="Calibri" w:eastAsiaTheme="minorEastAsia" w:hAnsi="Calibri" w:cs="Calibri"/>
          <w:lang w:val="fr-FR"/>
        </w:rPr>
        <w:t xml:space="preserve"> </w:t>
      </w:r>
      <w:r w:rsidR="004E0716" w:rsidRPr="005205FB">
        <w:rPr>
          <w:rFonts w:ascii="Calibri" w:eastAsiaTheme="minorEastAsia" w:hAnsi="Calibri" w:cs="Calibri"/>
          <w:lang w:val="fr-FR"/>
        </w:rPr>
        <w:t xml:space="preserve">D’autres orientations et cours de formation en ligne sont en train d’être conçus </w:t>
      </w:r>
      <w:r w:rsidR="000B64FD" w:rsidRPr="005205FB">
        <w:rPr>
          <w:rFonts w:ascii="Calibri" w:eastAsiaTheme="minorEastAsia" w:hAnsi="Calibri" w:cs="Calibri"/>
          <w:lang w:val="fr-FR"/>
        </w:rPr>
        <w:t>qui seront</w:t>
      </w:r>
      <w:r w:rsidR="004E0716" w:rsidRPr="005205FB">
        <w:rPr>
          <w:rFonts w:ascii="Calibri" w:eastAsiaTheme="minorEastAsia" w:hAnsi="Calibri" w:cs="Calibri"/>
          <w:lang w:val="fr-FR"/>
        </w:rPr>
        <w:t xml:space="preserve"> mis à la disposition de toutes les Parties contractantes.</w:t>
      </w:r>
    </w:p>
    <w:p w14:paraId="4B12F368" w14:textId="77777777" w:rsidR="00362F7C" w:rsidRPr="005205FB" w:rsidRDefault="00362F7C" w:rsidP="00A478A5">
      <w:pPr>
        <w:spacing w:after="0" w:line="240" w:lineRule="auto"/>
        <w:ind w:left="425" w:hanging="425"/>
        <w:rPr>
          <w:rFonts w:ascii="Calibri" w:eastAsiaTheme="minorEastAsia" w:hAnsi="Calibri" w:cs="Calibri"/>
          <w:lang w:val="fr-FR"/>
        </w:rPr>
      </w:pPr>
    </w:p>
    <w:p w14:paraId="440EE1D5" w14:textId="7F6C3778" w:rsidR="00362F7C" w:rsidRPr="005205FB" w:rsidRDefault="00A478A5" w:rsidP="00A478A5">
      <w:pPr>
        <w:spacing w:after="0" w:line="240" w:lineRule="auto"/>
        <w:ind w:left="425" w:hanging="425"/>
        <w:rPr>
          <w:rFonts w:ascii="Calibri" w:eastAsiaTheme="minorEastAsia" w:hAnsi="Calibri" w:cs="Calibri"/>
          <w:lang w:val="fr-FR"/>
        </w:rPr>
      </w:pPr>
      <w:r w:rsidRPr="005205FB">
        <w:rPr>
          <w:rFonts w:ascii="Calibri" w:hAnsi="Calibri" w:cs="Calibri"/>
          <w:lang w:val="fr-FR"/>
        </w:rPr>
        <w:lastRenderedPageBreak/>
        <w:t>12.</w:t>
      </w:r>
      <w:r w:rsidRPr="005205FB">
        <w:rPr>
          <w:rFonts w:ascii="Calibri" w:hAnsi="Calibri" w:cs="Calibri"/>
          <w:lang w:val="fr-FR"/>
        </w:rPr>
        <w:tab/>
      </w:r>
      <w:r w:rsidR="00795983" w:rsidRPr="005205FB">
        <w:rPr>
          <w:rFonts w:ascii="Calibri" w:hAnsi="Calibri" w:cs="Calibri"/>
          <w:lang w:val="fr-FR"/>
        </w:rPr>
        <w:t>Dans le</w:t>
      </w:r>
      <w:r w:rsidR="00DA2346" w:rsidRPr="005205FB">
        <w:rPr>
          <w:rFonts w:ascii="Calibri" w:hAnsi="Calibri" w:cs="Calibri"/>
          <w:lang w:val="fr-FR"/>
        </w:rPr>
        <w:t>ur</w:t>
      </w:r>
      <w:r w:rsidR="00795983" w:rsidRPr="005205FB">
        <w:rPr>
          <w:rFonts w:ascii="Calibri" w:hAnsi="Calibri" w:cs="Calibri"/>
          <w:lang w:val="fr-FR"/>
        </w:rPr>
        <w:t xml:space="preserve">s Rapports nationaux soumis à la </w:t>
      </w:r>
      <w:r w:rsidR="00D441F0" w:rsidRPr="005205FB">
        <w:rPr>
          <w:rFonts w:ascii="Calibri" w:hAnsi="Calibri" w:cs="Calibri"/>
          <w:lang w:val="fr-FR"/>
        </w:rPr>
        <w:t xml:space="preserve">COP15, </w:t>
      </w:r>
      <w:r w:rsidR="00A04D43" w:rsidRPr="005205FB">
        <w:rPr>
          <w:rFonts w:ascii="Calibri" w:hAnsi="Calibri" w:cs="Calibri"/>
          <w:lang w:val="fr-FR"/>
        </w:rPr>
        <w:t>56</w:t>
      </w:r>
      <w:r w:rsidR="00795983" w:rsidRPr="005205FB">
        <w:rPr>
          <w:rFonts w:ascii="Calibri" w:hAnsi="Calibri" w:cs="Calibri"/>
          <w:lang w:val="fr-FR"/>
        </w:rPr>
        <w:t> </w:t>
      </w:r>
      <w:r w:rsidR="00A04D43" w:rsidRPr="005205FB">
        <w:rPr>
          <w:rFonts w:ascii="Calibri" w:hAnsi="Calibri" w:cs="Calibri"/>
          <w:lang w:val="fr-FR"/>
        </w:rPr>
        <w:t xml:space="preserve">% </w:t>
      </w:r>
      <w:r w:rsidR="00795983" w:rsidRPr="005205FB">
        <w:rPr>
          <w:rFonts w:ascii="Calibri" w:hAnsi="Calibri" w:cs="Calibri"/>
          <w:lang w:val="fr-FR"/>
        </w:rPr>
        <w:t xml:space="preserve">des Parties contractantes ont fourni des données pouvant </w:t>
      </w:r>
      <w:r w:rsidR="00DA2346" w:rsidRPr="005205FB">
        <w:rPr>
          <w:rFonts w:ascii="Calibri" w:hAnsi="Calibri" w:cs="Calibri"/>
          <w:lang w:val="fr-FR"/>
        </w:rPr>
        <w:t xml:space="preserve">alimenter </w:t>
      </w:r>
      <w:r w:rsidR="008C0975" w:rsidRPr="005205FB">
        <w:rPr>
          <w:rFonts w:ascii="Calibri" w:hAnsi="Calibri" w:cs="Calibri"/>
          <w:lang w:val="fr-FR"/>
        </w:rPr>
        <w:t xml:space="preserve">un rapport sur l’indicateur 6.6.1 des ODD. C’est une augmentation légère par rapport aux 52 % ayant fait rapport à la COP14. Toutefois, 9 % des Parties contractantes ayant soumis </w:t>
      </w:r>
      <w:r w:rsidR="00E83350" w:rsidRPr="005205FB">
        <w:rPr>
          <w:rFonts w:ascii="Calibri" w:hAnsi="Calibri" w:cs="Calibri"/>
          <w:lang w:val="fr-FR"/>
        </w:rPr>
        <w:t>un Rapport national</w:t>
      </w:r>
      <w:r w:rsidR="008C0975" w:rsidRPr="005205FB">
        <w:rPr>
          <w:rFonts w:ascii="Calibri" w:hAnsi="Calibri" w:cs="Calibri"/>
          <w:lang w:val="fr-FR"/>
        </w:rPr>
        <w:t xml:space="preserve"> à la COP15 ne </w:t>
      </w:r>
      <w:r w:rsidR="00E83350" w:rsidRPr="005205FB">
        <w:rPr>
          <w:rFonts w:ascii="Calibri" w:hAnsi="Calibri" w:cs="Calibri"/>
          <w:lang w:val="fr-FR"/>
        </w:rPr>
        <w:t>donnent</w:t>
      </w:r>
      <w:r w:rsidR="008C0975" w:rsidRPr="005205FB">
        <w:rPr>
          <w:rFonts w:ascii="Calibri" w:hAnsi="Calibri" w:cs="Calibri"/>
          <w:lang w:val="fr-FR"/>
        </w:rPr>
        <w:t xml:space="preserve"> aucune donnée sur l’étendue de </w:t>
      </w:r>
      <w:r w:rsidR="00E83350" w:rsidRPr="005205FB">
        <w:rPr>
          <w:rFonts w:ascii="Calibri" w:hAnsi="Calibri" w:cs="Calibri"/>
          <w:lang w:val="fr-FR"/>
        </w:rPr>
        <w:t xml:space="preserve">toutes </w:t>
      </w:r>
      <w:r w:rsidR="008C0975" w:rsidRPr="005205FB">
        <w:rPr>
          <w:rFonts w:ascii="Calibri" w:hAnsi="Calibri" w:cs="Calibri"/>
          <w:lang w:val="fr-FR"/>
        </w:rPr>
        <w:t xml:space="preserve">leurs zones humides </w:t>
      </w:r>
      <w:r w:rsidR="00E83350" w:rsidRPr="005205FB">
        <w:rPr>
          <w:rFonts w:ascii="Calibri" w:hAnsi="Calibri" w:cs="Calibri"/>
          <w:lang w:val="fr-FR"/>
        </w:rPr>
        <w:t>et ne</w:t>
      </w:r>
      <w:r w:rsidR="008C0975" w:rsidRPr="005205FB">
        <w:rPr>
          <w:rFonts w:ascii="Calibri" w:hAnsi="Calibri" w:cs="Calibri"/>
          <w:lang w:val="fr-FR"/>
        </w:rPr>
        <w:t xml:space="preserve"> font rapport </w:t>
      </w:r>
      <w:r w:rsidR="00E83350" w:rsidRPr="005205FB">
        <w:rPr>
          <w:rFonts w:ascii="Calibri" w:hAnsi="Calibri" w:cs="Calibri"/>
          <w:lang w:val="fr-FR"/>
        </w:rPr>
        <w:t xml:space="preserve">que </w:t>
      </w:r>
      <w:r w:rsidR="008C0975" w:rsidRPr="005205FB">
        <w:rPr>
          <w:rFonts w:ascii="Calibri" w:hAnsi="Calibri" w:cs="Calibri"/>
          <w:lang w:val="fr-FR"/>
        </w:rPr>
        <w:t xml:space="preserve">sur l’étendue des zones humides d’importance internationale (Sites Ramsar) en tant qu’indicateur. En conséquence, les chiffres recueillis dans les Rapports nationaux ne permettent pas de faire un rapport </w:t>
      </w:r>
      <w:r w:rsidR="00CF6875" w:rsidRPr="005205FB">
        <w:rPr>
          <w:rFonts w:ascii="Calibri" w:hAnsi="Calibri" w:cs="Calibri"/>
          <w:lang w:val="fr-FR"/>
        </w:rPr>
        <w:t>solide</w:t>
      </w:r>
      <w:r w:rsidR="008C0975" w:rsidRPr="005205FB">
        <w:rPr>
          <w:rFonts w:ascii="Calibri" w:hAnsi="Calibri" w:cs="Calibri"/>
          <w:lang w:val="fr-FR"/>
        </w:rPr>
        <w:t xml:space="preserve"> sur les données nationales pour l’indicateur 6.6.1 pour l’année 2025 dans la base de données mondiale sur les ODD.</w:t>
      </w:r>
    </w:p>
    <w:p w14:paraId="78BC6C28" w14:textId="77777777" w:rsidR="00935224" w:rsidRPr="005205FB" w:rsidRDefault="00935224" w:rsidP="003614B1">
      <w:pPr>
        <w:spacing w:after="0" w:line="240" w:lineRule="auto"/>
        <w:rPr>
          <w:rFonts w:ascii="Calibri" w:hAnsi="Calibri" w:cs="Calibri"/>
          <w:highlight w:val="yellow"/>
          <w:lang w:val="fr-FR"/>
        </w:rPr>
      </w:pPr>
    </w:p>
    <w:p w14:paraId="52C8040E" w14:textId="2D103DAC" w:rsidR="00AC4639" w:rsidRPr="005205FB" w:rsidRDefault="008C0975" w:rsidP="003614B1">
      <w:pPr>
        <w:spacing w:after="0" w:line="240" w:lineRule="auto"/>
        <w:rPr>
          <w:rFonts w:ascii="Calibri" w:hAnsi="Calibri" w:cs="Calibri"/>
          <w:i/>
          <w:iCs/>
          <w:highlight w:val="yellow"/>
          <w:lang w:val="fr-FR"/>
        </w:rPr>
      </w:pPr>
      <w:r w:rsidRPr="005205FB">
        <w:rPr>
          <w:rFonts w:ascii="Calibri" w:hAnsi="Calibri" w:cs="Calibri"/>
          <w:i/>
          <w:iCs/>
          <w:lang w:val="fr-FR"/>
        </w:rPr>
        <w:t>Appui scientifique et technique</w:t>
      </w:r>
      <w:r w:rsidR="004714D4" w:rsidRPr="005205FB">
        <w:rPr>
          <w:rFonts w:ascii="Calibri" w:hAnsi="Calibri" w:cs="Calibri"/>
          <w:i/>
          <w:iCs/>
          <w:lang w:val="fr-FR"/>
        </w:rPr>
        <w:t xml:space="preserve"> </w:t>
      </w:r>
    </w:p>
    <w:p w14:paraId="35D8B6AC" w14:textId="77777777" w:rsidR="004714D4" w:rsidRPr="005205FB" w:rsidRDefault="004714D4" w:rsidP="003614B1">
      <w:pPr>
        <w:spacing w:after="0" w:line="240" w:lineRule="auto"/>
        <w:rPr>
          <w:rFonts w:ascii="Calibri" w:hAnsi="Calibri" w:cs="Calibri"/>
          <w:lang w:val="fr-FR"/>
        </w:rPr>
      </w:pPr>
    </w:p>
    <w:p w14:paraId="1E1BEB84" w14:textId="4389965E" w:rsidR="00152967" w:rsidRPr="005205FB" w:rsidRDefault="00A478A5" w:rsidP="00A478A5">
      <w:pPr>
        <w:spacing w:after="0" w:line="240" w:lineRule="auto"/>
        <w:ind w:left="425" w:hanging="425"/>
        <w:rPr>
          <w:rFonts w:ascii="Calibri" w:hAnsi="Calibri" w:cs="Calibri"/>
          <w:iCs/>
          <w:lang w:val="fr-FR"/>
        </w:rPr>
      </w:pPr>
      <w:r w:rsidRPr="005205FB">
        <w:rPr>
          <w:rFonts w:ascii="Calibri" w:hAnsi="Calibri" w:cs="Calibri"/>
          <w:iCs/>
          <w:lang w:val="fr-FR"/>
        </w:rPr>
        <w:t>13.</w:t>
      </w:r>
      <w:r w:rsidRPr="005205FB">
        <w:rPr>
          <w:rFonts w:ascii="Calibri" w:hAnsi="Calibri" w:cs="Calibri"/>
          <w:iCs/>
          <w:lang w:val="fr-FR"/>
        </w:rPr>
        <w:tab/>
      </w:r>
      <w:r w:rsidR="008C0975" w:rsidRPr="005205FB">
        <w:rPr>
          <w:rFonts w:ascii="Calibri" w:hAnsi="Calibri" w:cs="Calibri"/>
          <w:iCs/>
          <w:lang w:val="fr-FR"/>
        </w:rPr>
        <w:t xml:space="preserve">Le Groupe d’évaluation scientifique et technique (GEST) a produit un ensemble d’analyses scientifiques et techniques ainsi que des avis en matière de gestion et de politique qui soutiennent </w:t>
      </w:r>
      <w:r w:rsidR="00A17C38" w:rsidRPr="005205FB">
        <w:rPr>
          <w:rFonts w:ascii="Calibri" w:hAnsi="Calibri" w:cs="Calibri"/>
          <w:iCs/>
          <w:lang w:val="fr-FR"/>
        </w:rPr>
        <w:t>les Parties contractantes dans leur mise en œuvre du Programme de développement durable à l’horizon 2030 et la réalisation des ODD. Ces analyses portent, entre autres, sur la résilience et l’atténuation des changements climatiques, la réduction des risques de catastrophe, l’agriculture durable, les zones humides en tant qu’autres mesures de conservation efficaces par zone et l’intégration de multiples valeurs des zones humides dans la prise de décisions et comprennent aussi plusieurs produits traitant de types de zones humides spécifiques</w:t>
      </w:r>
      <w:r w:rsidR="00734784" w:rsidRPr="005205FB">
        <w:rPr>
          <w:rFonts w:ascii="Calibri" w:hAnsi="Calibri" w:cs="Calibri"/>
          <w:iCs/>
          <w:lang w:val="fr-FR"/>
        </w:rPr>
        <w:t>, par exemple</w:t>
      </w:r>
      <w:r w:rsidR="00A17C38" w:rsidRPr="005205FB">
        <w:rPr>
          <w:rFonts w:ascii="Calibri" w:hAnsi="Calibri" w:cs="Calibri"/>
          <w:iCs/>
          <w:lang w:val="fr-FR"/>
        </w:rPr>
        <w:t xml:space="preserve"> les tourbières et les écosystèmes de carbone bleu. Les Perspectives mondiales des zones humides fournissent une vue d’ensemble mondiale sur l’état, les tendances des zones humides et leurs conséquences.</w:t>
      </w:r>
    </w:p>
    <w:p w14:paraId="264C1669" w14:textId="77777777" w:rsidR="00C93209" w:rsidRPr="005205FB" w:rsidRDefault="00C93209" w:rsidP="00A478A5">
      <w:pPr>
        <w:spacing w:after="0" w:line="240" w:lineRule="auto"/>
        <w:ind w:left="425" w:hanging="425"/>
        <w:rPr>
          <w:rFonts w:ascii="Calibri" w:hAnsi="Calibri" w:cs="Calibri"/>
          <w:iCs/>
          <w:lang w:val="fr-FR"/>
        </w:rPr>
      </w:pPr>
    </w:p>
    <w:p w14:paraId="78A409EC" w14:textId="4D059A68" w:rsidR="00FA1CB0" w:rsidRPr="005205FB" w:rsidRDefault="00A478A5" w:rsidP="00A478A5">
      <w:pPr>
        <w:spacing w:after="0" w:line="240" w:lineRule="auto"/>
        <w:ind w:left="425" w:hanging="425"/>
        <w:rPr>
          <w:rFonts w:ascii="Calibri" w:hAnsi="Calibri" w:cs="Calibri"/>
          <w:iCs/>
          <w:lang w:val="fr-FR"/>
        </w:rPr>
      </w:pPr>
      <w:r w:rsidRPr="005205FB">
        <w:rPr>
          <w:rFonts w:ascii="Calibri" w:hAnsi="Calibri" w:cs="Calibri"/>
          <w:iCs/>
          <w:lang w:val="fr-FR"/>
        </w:rPr>
        <w:t>14.</w:t>
      </w:r>
      <w:r w:rsidRPr="005205FB">
        <w:rPr>
          <w:rFonts w:ascii="Calibri" w:hAnsi="Calibri" w:cs="Calibri"/>
          <w:iCs/>
          <w:lang w:val="fr-FR"/>
        </w:rPr>
        <w:tab/>
      </w:r>
      <w:r w:rsidR="00A17C38" w:rsidRPr="005205FB">
        <w:rPr>
          <w:rFonts w:ascii="Calibri" w:hAnsi="Calibri" w:cs="Calibri"/>
          <w:iCs/>
          <w:lang w:val="fr-FR"/>
        </w:rPr>
        <w:t xml:space="preserve">Le GEST </w:t>
      </w:r>
      <w:r w:rsidR="009966E8" w:rsidRPr="005205FB">
        <w:rPr>
          <w:rFonts w:ascii="Calibri" w:hAnsi="Calibri" w:cs="Calibri"/>
          <w:iCs/>
          <w:lang w:val="fr-FR"/>
        </w:rPr>
        <w:t xml:space="preserve">a aussi </w:t>
      </w:r>
      <w:r w:rsidR="00CF6875" w:rsidRPr="005205FB">
        <w:rPr>
          <w:rFonts w:ascii="Calibri" w:hAnsi="Calibri" w:cs="Calibri"/>
          <w:iCs/>
          <w:lang w:val="fr-FR"/>
        </w:rPr>
        <w:t>fourni</w:t>
      </w:r>
      <w:r w:rsidR="009966E8" w:rsidRPr="005205FB">
        <w:rPr>
          <w:rFonts w:ascii="Calibri" w:hAnsi="Calibri" w:cs="Calibri"/>
          <w:iCs/>
          <w:lang w:val="fr-FR"/>
        </w:rPr>
        <w:t xml:space="preserve"> des avis scientifiques et techniques concernant les inventaires nationaux des zones humides, y compris dans le cadre du mécanisme d’appui INZH du Secrétariat et au moyen de produits et outils particuliers tels que le Rapport technique 10,</w:t>
      </w:r>
      <w:r w:rsidR="00FA1CB0" w:rsidRPr="005205FB">
        <w:rPr>
          <w:rFonts w:ascii="Calibri" w:hAnsi="Calibri" w:cs="Calibri"/>
          <w:iCs/>
          <w:lang w:val="fr-FR"/>
        </w:rPr>
        <w:t xml:space="preserve"> </w:t>
      </w:r>
      <w:r w:rsidR="00B3212B" w:rsidRPr="005205FB">
        <w:rPr>
          <w:rFonts w:ascii="Calibri" w:hAnsi="Calibri" w:cs="Calibri"/>
          <w:i/>
          <w:lang w:val="fr-FR"/>
        </w:rPr>
        <w:t>L’observation de la Terre au service de l’inventaire, de l’évaluation et du suivi des zones humides</w:t>
      </w:r>
      <w:r w:rsidR="000D18E0" w:rsidRPr="005205FB">
        <w:rPr>
          <w:rStyle w:val="FootnoteReference"/>
          <w:rFonts w:ascii="Calibri" w:hAnsi="Calibri" w:cs="Calibri"/>
          <w:iCs/>
          <w:lang w:val="fr-FR"/>
        </w:rPr>
        <w:footnoteReference w:id="6"/>
      </w:r>
      <w:r w:rsidR="00FA1CB0" w:rsidRPr="005205FB">
        <w:rPr>
          <w:rFonts w:ascii="Calibri" w:hAnsi="Calibri" w:cs="Calibri"/>
          <w:iCs/>
          <w:lang w:val="fr-FR"/>
        </w:rPr>
        <w:t>.</w:t>
      </w:r>
      <w:r w:rsidR="00575EC4" w:rsidRPr="005205FB">
        <w:rPr>
          <w:rFonts w:ascii="Calibri" w:hAnsi="Calibri" w:cs="Calibri"/>
          <w:iCs/>
          <w:lang w:val="fr-FR"/>
        </w:rPr>
        <w:t xml:space="preserve"> </w:t>
      </w:r>
      <w:r w:rsidR="009966E8" w:rsidRPr="005205FB">
        <w:rPr>
          <w:rFonts w:ascii="Calibri" w:hAnsi="Calibri" w:cs="Calibri"/>
          <w:iCs/>
          <w:lang w:val="fr-FR"/>
        </w:rPr>
        <w:t xml:space="preserve">Le GEST </w:t>
      </w:r>
      <w:r w:rsidR="00EC2292" w:rsidRPr="005205FB">
        <w:rPr>
          <w:rFonts w:ascii="Calibri" w:hAnsi="Calibri" w:cs="Calibri"/>
          <w:iCs/>
          <w:lang w:val="fr-FR"/>
        </w:rPr>
        <w:t xml:space="preserve">soutient en outre l’élaboration d’un cadre d’indicateurs pour le cinquième Plan stratégique de la Convention, notamment pour promouvoir sa pertinence dans le cas du suivi et des rapports relevant d’autres cadres mondiaux, y compris les ODD et le Cadre mondial de la biodiversité de </w:t>
      </w:r>
      <w:r w:rsidR="00C607E7" w:rsidRPr="005205FB">
        <w:rPr>
          <w:rFonts w:ascii="Calibri" w:hAnsi="Calibri" w:cs="Calibri"/>
          <w:iCs/>
          <w:lang w:val="fr-FR"/>
        </w:rPr>
        <w:t>Kunming-Montr</w:t>
      </w:r>
      <w:r w:rsidR="00EC2292" w:rsidRPr="005205FB">
        <w:rPr>
          <w:rFonts w:ascii="Calibri" w:hAnsi="Calibri" w:cs="Calibri"/>
          <w:iCs/>
          <w:lang w:val="fr-FR"/>
        </w:rPr>
        <w:t>é</w:t>
      </w:r>
      <w:r w:rsidR="00C607E7" w:rsidRPr="005205FB">
        <w:rPr>
          <w:rFonts w:ascii="Calibri" w:hAnsi="Calibri" w:cs="Calibri"/>
          <w:iCs/>
          <w:lang w:val="fr-FR"/>
        </w:rPr>
        <w:t>al.</w:t>
      </w:r>
    </w:p>
    <w:p w14:paraId="0ADB8C63" w14:textId="77777777" w:rsidR="0090316A" w:rsidRPr="005205FB" w:rsidRDefault="0090316A" w:rsidP="003614B1">
      <w:pPr>
        <w:spacing w:after="0" w:line="240" w:lineRule="auto"/>
        <w:rPr>
          <w:rFonts w:ascii="Calibri" w:hAnsi="Calibri" w:cs="Calibri"/>
          <w:iCs/>
          <w:highlight w:val="yellow"/>
          <w:lang w:val="fr-FR"/>
        </w:rPr>
      </w:pPr>
    </w:p>
    <w:p w14:paraId="1D77889D" w14:textId="1CF1B1D5" w:rsidR="000D18E0" w:rsidRPr="005205FB" w:rsidRDefault="000D18E0" w:rsidP="003614B1">
      <w:pPr>
        <w:keepNext/>
        <w:spacing w:after="0" w:line="240" w:lineRule="auto"/>
        <w:rPr>
          <w:rFonts w:ascii="Calibri" w:hAnsi="Calibri" w:cs="Calibri"/>
          <w:i/>
          <w:lang w:val="fr-FR"/>
        </w:rPr>
      </w:pPr>
      <w:r w:rsidRPr="005205FB">
        <w:rPr>
          <w:rFonts w:ascii="Calibri" w:hAnsi="Calibri" w:cs="Calibri"/>
          <w:i/>
          <w:lang w:val="fr-FR"/>
        </w:rPr>
        <w:t xml:space="preserve">Communication, </w:t>
      </w:r>
      <w:r w:rsidR="00731130" w:rsidRPr="005205FB">
        <w:rPr>
          <w:rFonts w:ascii="Calibri" w:hAnsi="Calibri" w:cs="Calibri"/>
          <w:i/>
          <w:lang w:val="fr-FR"/>
        </w:rPr>
        <w:t>renforcement des capacités, éducation, sensibilisation et participation</w:t>
      </w:r>
    </w:p>
    <w:p w14:paraId="0E1FDC05" w14:textId="77777777" w:rsidR="0090316A" w:rsidRPr="005205FB" w:rsidRDefault="0090316A" w:rsidP="003614B1">
      <w:pPr>
        <w:keepNext/>
        <w:spacing w:after="0" w:line="240" w:lineRule="auto"/>
        <w:rPr>
          <w:rFonts w:ascii="Calibri" w:hAnsi="Calibri" w:cs="Calibri"/>
          <w:iCs/>
          <w:lang w:val="fr-FR"/>
        </w:rPr>
      </w:pPr>
    </w:p>
    <w:p w14:paraId="5458B32F" w14:textId="0806A9DC" w:rsidR="00F2072B"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15.</w:t>
      </w:r>
      <w:r w:rsidRPr="005205FB">
        <w:rPr>
          <w:rFonts w:ascii="Calibri" w:hAnsi="Calibri" w:cs="Calibri"/>
          <w:lang w:val="fr-FR"/>
        </w:rPr>
        <w:tab/>
      </w:r>
      <w:r w:rsidR="00736F9D" w:rsidRPr="005205FB">
        <w:rPr>
          <w:rFonts w:ascii="Calibri" w:hAnsi="Calibri" w:cs="Calibri"/>
          <w:lang w:val="fr-FR"/>
        </w:rPr>
        <w:t xml:space="preserve">La Convention </w:t>
      </w:r>
      <w:r w:rsidR="00485AEB" w:rsidRPr="005205FB">
        <w:rPr>
          <w:rFonts w:ascii="Calibri" w:hAnsi="Calibri" w:cs="Calibri"/>
          <w:lang w:val="fr-FR"/>
        </w:rPr>
        <w:t>contribue de diverses manières</w:t>
      </w:r>
      <w:r w:rsidR="00736F9D" w:rsidRPr="005205FB">
        <w:rPr>
          <w:rFonts w:ascii="Calibri" w:hAnsi="Calibri" w:cs="Calibri"/>
          <w:lang w:val="fr-FR"/>
        </w:rPr>
        <w:t xml:space="preserve"> au Programme à l’horizon 2030 et aux ODD </w:t>
      </w:r>
      <w:r w:rsidR="00485AEB" w:rsidRPr="005205FB">
        <w:rPr>
          <w:rFonts w:ascii="Calibri" w:hAnsi="Calibri" w:cs="Calibri"/>
          <w:lang w:val="fr-FR"/>
        </w:rPr>
        <w:t>par l’intermédiaire</w:t>
      </w:r>
      <w:r w:rsidR="00736F9D" w:rsidRPr="005205FB">
        <w:rPr>
          <w:rFonts w:ascii="Calibri" w:hAnsi="Calibri" w:cs="Calibri"/>
          <w:lang w:val="fr-FR"/>
        </w:rPr>
        <w:t xml:space="preserve"> de son Programme de CESP (communication, renforcement des capacités, éducation, sensibilisation et participation). La Journée mondiale des zones humides reste </w:t>
      </w:r>
      <w:r w:rsidR="008A0588" w:rsidRPr="005205FB">
        <w:rPr>
          <w:rFonts w:ascii="Calibri" w:hAnsi="Calibri" w:cs="Calibri"/>
          <w:lang w:val="fr-FR"/>
        </w:rPr>
        <w:t xml:space="preserve">l’activité de CESP la plus importante de la Convention. Cette campagne annuelle attire l’attention sur les valeurs et avantages de zones humides en bonne santé et invite </w:t>
      </w:r>
      <w:r w:rsidR="00485AEB" w:rsidRPr="005205FB">
        <w:rPr>
          <w:rFonts w:ascii="Calibri" w:hAnsi="Calibri" w:cs="Calibri"/>
          <w:lang w:val="fr-FR"/>
        </w:rPr>
        <w:t>les citoyens</w:t>
      </w:r>
      <w:r w:rsidR="008A0588" w:rsidRPr="005205FB">
        <w:rPr>
          <w:rFonts w:ascii="Calibri" w:hAnsi="Calibri" w:cs="Calibri"/>
          <w:lang w:val="fr-FR"/>
        </w:rPr>
        <w:t xml:space="preserve"> à agir</w:t>
      </w:r>
      <w:r w:rsidR="00485AEB" w:rsidRPr="005205FB">
        <w:rPr>
          <w:rFonts w:ascii="Calibri" w:hAnsi="Calibri" w:cs="Calibri"/>
          <w:lang w:val="fr-FR"/>
        </w:rPr>
        <w:t>, par exemple en</w:t>
      </w:r>
      <w:r w:rsidR="008A0588" w:rsidRPr="005205FB">
        <w:rPr>
          <w:rFonts w:ascii="Calibri" w:hAnsi="Calibri" w:cs="Calibri"/>
          <w:lang w:val="fr-FR"/>
        </w:rPr>
        <w:t xml:space="preserve"> s’exprimant en faveur des zones humides et en </w:t>
      </w:r>
      <w:r w:rsidR="00485AEB" w:rsidRPr="005205FB">
        <w:rPr>
          <w:rFonts w:ascii="Calibri" w:hAnsi="Calibri" w:cs="Calibri"/>
          <w:lang w:val="fr-FR"/>
        </w:rPr>
        <w:t>faisant du bénévolat</w:t>
      </w:r>
      <w:r w:rsidR="008A0588" w:rsidRPr="005205FB">
        <w:rPr>
          <w:rFonts w:ascii="Calibri" w:hAnsi="Calibri" w:cs="Calibri"/>
          <w:lang w:val="fr-FR"/>
        </w:rPr>
        <w:t xml:space="preserve">. La campagne de la Journée mondiale des zones humides </w:t>
      </w:r>
      <w:r w:rsidR="00485AEB" w:rsidRPr="005205FB">
        <w:rPr>
          <w:rFonts w:ascii="Calibri" w:hAnsi="Calibri" w:cs="Calibri"/>
          <w:lang w:val="fr-FR"/>
        </w:rPr>
        <w:t>offre</w:t>
      </w:r>
      <w:r w:rsidR="008A0588" w:rsidRPr="005205FB">
        <w:rPr>
          <w:rFonts w:ascii="Calibri" w:hAnsi="Calibri" w:cs="Calibri"/>
          <w:lang w:val="fr-FR"/>
        </w:rPr>
        <w:t xml:space="preserve"> donc une excellente plateforme </w:t>
      </w:r>
      <w:r w:rsidR="00485AEB" w:rsidRPr="005205FB">
        <w:rPr>
          <w:rFonts w:ascii="Calibri" w:hAnsi="Calibri" w:cs="Calibri"/>
          <w:lang w:val="fr-FR"/>
        </w:rPr>
        <w:t>permettant d’</w:t>
      </w:r>
      <w:r w:rsidR="008A0588" w:rsidRPr="005205FB">
        <w:rPr>
          <w:rFonts w:ascii="Calibri" w:hAnsi="Calibri" w:cs="Calibri"/>
          <w:lang w:val="fr-FR"/>
        </w:rPr>
        <w:t xml:space="preserve">illustrer </w:t>
      </w:r>
      <w:r w:rsidR="00485AEB" w:rsidRPr="005205FB">
        <w:rPr>
          <w:rFonts w:ascii="Calibri" w:hAnsi="Calibri" w:cs="Calibri"/>
          <w:lang w:val="fr-FR"/>
        </w:rPr>
        <w:t>comment</w:t>
      </w:r>
      <w:r w:rsidR="008A0588" w:rsidRPr="005205FB">
        <w:rPr>
          <w:rFonts w:ascii="Calibri" w:hAnsi="Calibri" w:cs="Calibri"/>
          <w:lang w:val="fr-FR"/>
        </w:rPr>
        <w:t xml:space="preserve"> les zones humides soutiennent la réalisation d’un certain nombre d’ODD. À chaque Journée mondiale des zones humides, le Secrétariat met au point une campagne </w:t>
      </w:r>
      <w:r w:rsidR="00485AEB" w:rsidRPr="005205FB">
        <w:rPr>
          <w:rFonts w:ascii="Calibri" w:hAnsi="Calibri" w:cs="Calibri"/>
          <w:lang w:val="fr-FR"/>
        </w:rPr>
        <w:t>sur</w:t>
      </w:r>
      <w:r w:rsidR="008A0588" w:rsidRPr="005205FB">
        <w:rPr>
          <w:rFonts w:ascii="Calibri" w:hAnsi="Calibri" w:cs="Calibri"/>
          <w:lang w:val="fr-FR"/>
        </w:rPr>
        <w:t xml:space="preserve"> </w:t>
      </w:r>
      <w:r w:rsidR="00485AEB" w:rsidRPr="005205FB">
        <w:rPr>
          <w:rFonts w:ascii="Calibri" w:hAnsi="Calibri" w:cs="Calibri"/>
          <w:lang w:val="fr-FR"/>
        </w:rPr>
        <w:t>un thème lié</w:t>
      </w:r>
      <w:r w:rsidR="008A0588" w:rsidRPr="005205FB">
        <w:rPr>
          <w:rFonts w:ascii="Calibri" w:hAnsi="Calibri" w:cs="Calibri"/>
          <w:lang w:val="fr-FR"/>
        </w:rPr>
        <w:t xml:space="preserve"> aux ODD et diffuse du matériel de campagne auprès des Parties contractantes, des ONG internationales et nationales et des organisations communautaires. Ces dernières années, les thèmes de campagne ont été les suivants : « </w:t>
      </w:r>
      <w:r w:rsidR="00B3212B" w:rsidRPr="005205FB">
        <w:rPr>
          <w:rFonts w:ascii="Calibri" w:hAnsi="Calibri" w:cs="Calibri"/>
          <w:lang w:val="fr-FR"/>
        </w:rPr>
        <w:t>Protéger les zones humides pour notre avenir commun</w:t>
      </w:r>
      <w:r w:rsidR="008A0588" w:rsidRPr="005205FB">
        <w:rPr>
          <w:rFonts w:ascii="Calibri" w:hAnsi="Calibri" w:cs="Calibri"/>
          <w:lang w:val="fr-FR"/>
        </w:rPr>
        <w:t> » </w:t>
      </w:r>
      <w:r w:rsidR="000D18E0" w:rsidRPr="005205FB">
        <w:rPr>
          <w:rFonts w:ascii="Calibri" w:hAnsi="Calibri" w:cs="Calibri"/>
          <w:lang w:val="fr-FR"/>
        </w:rPr>
        <w:t>;</w:t>
      </w:r>
      <w:r w:rsidR="00F2072B" w:rsidRPr="005205FB">
        <w:rPr>
          <w:rFonts w:ascii="Calibri" w:hAnsi="Calibri" w:cs="Calibri"/>
          <w:lang w:val="fr-FR"/>
        </w:rPr>
        <w:t xml:space="preserve"> </w:t>
      </w:r>
      <w:r w:rsidR="008A0588" w:rsidRPr="005205FB">
        <w:rPr>
          <w:rFonts w:ascii="Calibri" w:hAnsi="Calibri" w:cs="Calibri"/>
          <w:lang w:val="fr-FR"/>
        </w:rPr>
        <w:t>« </w:t>
      </w:r>
      <w:r w:rsidR="00B3212B" w:rsidRPr="005205FB">
        <w:rPr>
          <w:rFonts w:ascii="Calibri" w:hAnsi="Calibri" w:cs="Calibri"/>
          <w:lang w:val="fr-FR"/>
        </w:rPr>
        <w:t xml:space="preserve">Les zones humides et </w:t>
      </w:r>
      <w:r w:rsidR="00450B26" w:rsidRPr="005205FB">
        <w:rPr>
          <w:rFonts w:ascii="Calibri" w:hAnsi="Calibri" w:cs="Calibri"/>
          <w:lang w:val="fr-FR"/>
        </w:rPr>
        <w:t>le bien-être humain</w:t>
      </w:r>
      <w:r w:rsidR="008A0588" w:rsidRPr="005205FB">
        <w:rPr>
          <w:rFonts w:ascii="Calibri" w:hAnsi="Calibri" w:cs="Calibri"/>
          <w:lang w:val="fr-FR"/>
        </w:rPr>
        <w:t> » </w:t>
      </w:r>
      <w:r w:rsidR="000D18E0" w:rsidRPr="005205FB">
        <w:rPr>
          <w:rFonts w:ascii="Calibri" w:hAnsi="Calibri" w:cs="Calibri"/>
          <w:lang w:val="fr-FR"/>
        </w:rPr>
        <w:t>;</w:t>
      </w:r>
      <w:r w:rsidR="00F2072B" w:rsidRPr="005205FB">
        <w:rPr>
          <w:rFonts w:ascii="Calibri" w:hAnsi="Calibri" w:cs="Calibri"/>
          <w:lang w:val="fr-FR"/>
        </w:rPr>
        <w:t xml:space="preserve"> </w:t>
      </w:r>
      <w:r w:rsidR="00450B26" w:rsidRPr="005205FB">
        <w:rPr>
          <w:rFonts w:ascii="Calibri" w:hAnsi="Calibri" w:cs="Calibri"/>
          <w:lang w:val="fr-FR"/>
        </w:rPr>
        <w:t>et</w:t>
      </w:r>
      <w:r w:rsidR="000D18E0" w:rsidRPr="005205FB">
        <w:rPr>
          <w:rFonts w:ascii="Calibri" w:hAnsi="Calibri" w:cs="Calibri"/>
          <w:lang w:val="fr-FR"/>
        </w:rPr>
        <w:t xml:space="preserve"> </w:t>
      </w:r>
      <w:r w:rsidR="008A0588" w:rsidRPr="005205FB">
        <w:rPr>
          <w:rFonts w:ascii="Calibri" w:hAnsi="Calibri" w:cs="Calibri"/>
          <w:lang w:val="fr-FR"/>
        </w:rPr>
        <w:t>« </w:t>
      </w:r>
      <w:r w:rsidR="00450B26" w:rsidRPr="005205FB">
        <w:rPr>
          <w:rFonts w:ascii="Calibri" w:hAnsi="Calibri" w:cs="Calibri"/>
          <w:lang w:val="fr-FR"/>
        </w:rPr>
        <w:t>Agir pour les zones humides, c'est agir pour l'humanité et la nature</w:t>
      </w:r>
      <w:r w:rsidR="008A0588" w:rsidRPr="005205FB">
        <w:rPr>
          <w:rFonts w:ascii="Calibri" w:hAnsi="Calibri" w:cs="Calibri"/>
          <w:lang w:val="fr-FR"/>
        </w:rPr>
        <w:t> ».</w:t>
      </w:r>
      <w:r w:rsidR="00F2072B" w:rsidRPr="005205FB">
        <w:rPr>
          <w:rFonts w:ascii="Calibri" w:hAnsi="Calibri" w:cs="Calibri"/>
          <w:lang w:val="fr-FR"/>
        </w:rPr>
        <w:t xml:space="preserve"> </w:t>
      </w:r>
      <w:r w:rsidR="008A0588" w:rsidRPr="005205FB">
        <w:rPr>
          <w:rFonts w:ascii="Calibri" w:hAnsi="Calibri" w:cs="Calibri"/>
          <w:lang w:val="fr-FR"/>
        </w:rPr>
        <w:t>E</w:t>
      </w:r>
      <w:r w:rsidR="00101153" w:rsidRPr="005205FB">
        <w:rPr>
          <w:rFonts w:ascii="Calibri" w:hAnsi="Calibri" w:cs="Calibri"/>
          <w:lang w:val="fr-FR"/>
        </w:rPr>
        <w:t>n</w:t>
      </w:r>
      <w:r w:rsidR="008A0588" w:rsidRPr="005205FB">
        <w:rPr>
          <w:rFonts w:ascii="Calibri" w:hAnsi="Calibri" w:cs="Calibri"/>
          <w:lang w:val="fr-FR"/>
        </w:rPr>
        <w:t> </w:t>
      </w:r>
      <w:r w:rsidR="00101153" w:rsidRPr="005205FB">
        <w:rPr>
          <w:rFonts w:ascii="Calibri" w:hAnsi="Calibri" w:cs="Calibri"/>
          <w:lang w:val="fr-FR"/>
        </w:rPr>
        <w:t>2025, 1948</w:t>
      </w:r>
      <w:r w:rsidR="008A0588" w:rsidRPr="005205FB">
        <w:rPr>
          <w:rFonts w:ascii="Calibri" w:hAnsi="Calibri" w:cs="Calibri"/>
          <w:lang w:val="fr-FR"/>
        </w:rPr>
        <w:t> </w:t>
      </w:r>
      <w:r w:rsidR="00D25801" w:rsidRPr="005205FB">
        <w:rPr>
          <w:rFonts w:ascii="Calibri" w:hAnsi="Calibri" w:cs="Calibri"/>
          <w:lang w:val="fr-FR"/>
        </w:rPr>
        <w:t xml:space="preserve">activités ont eu lieu </w:t>
      </w:r>
      <w:r w:rsidR="00485AEB" w:rsidRPr="005205FB">
        <w:rPr>
          <w:rFonts w:ascii="Calibri" w:hAnsi="Calibri" w:cs="Calibri"/>
          <w:lang w:val="fr-FR"/>
        </w:rPr>
        <w:t>à travers</w:t>
      </w:r>
      <w:r w:rsidR="00D25801" w:rsidRPr="005205FB">
        <w:rPr>
          <w:rFonts w:ascii="Calibri" w:hAnsi="Calibri" w:cs="Calibri"/>
          <w:lang w:val="fr-FR"/>
        </w:rPr>
        <w:t xml:space="preserve"> le monde </w:t>
      </w:r>
      <w:r w:rsidR="00D25801" w:rsidRPr="005205FB">
        <w:rPr>
          <w:rFonts w:ascii="Calibri" w:hAnsi="Calibri" w:cs="Calibri"/>
          <w:lang w:val="fr-FR"/>
        </w:rPr>
        <w:lastRenderedPageBreak/>
        <w:t xml:space="preserve">sous forme de symposiums et initiatives de nettoyage, tandis que les efforts de communication ont permis </w:t>
      </w:r>
      <w:r w:rsidR="00485AEB" w:rsidRPr="005205FB">
        <w:rPr>
          <w:rFonts w:ascii="Calibri" w:hAnsi="Calibri" w:cs="Calibri"/>
          <w:lang w:val="fr-FR"/>
        </w:rPr>
        <w:t>d’entrer en contact avec</w:t>
      </w:r>
      <w:r w:rsidR="00D25801" w:rsidRPr="005205FB">
        <w:rPr>
          <w:rFonts w:ascii="Calibri" w:hAnsi="Calibri" w:cs="Calibri"/>
          <w:lang w:val="fr-FR"/>
        </w:rPr>
        <w:t xml:space="preserve"> 6,72 milliards d’utilisateurs potentiels. </w:t>
      </w:r>
      <w:r w:rsidR="00485AEB" w:rsidRPr="005205FB">
        <w:rPr>
          <w:rFonts w:ascii="Calibri" w:hAnsi="Calibri" w:cs="Calibri"/>
          <w:lang w:val="fr-FR"/>
        </w:rPr>
        <w:t>Le</w:t>
      </w:r>
      <w:r w:rsidR="00D25801" w:rsidRPr="005205FB">
        <w:rPr>
          <w:rFonts w:ascii="Calibri" w:hAnsi="Calibri" w:cs="Calibri"/>
          <w:lang w:val="fr-FR"/>
        </w:rPr>
        <w:t xml:space="preserve"> Rapport de la Secrétaire générale sur la mise en œuvre de la Convention</w:t>
      </w:r>
      <w:r w:rsidR="00485AEB" w:rsidRPr="005205FB">
        <w:rPr>
          <w:rFonts w:ascii="Calibri" w:hAnsi="Calibri" w:cs="Calibri"/>
          <w:lang w:val="fr-FR"/>
        </w:rPr>
        <w:t xml:space="preserve"> (document COP15 Doc.8.2) </w:t>
      </w:r>
      <w:r w:rsidR="00D25801" w:rsidRPr="005205FB">
        <w:rPr>
          <w:rFonts w:ascii="Calibri" w:hAnsi="Calibri" w:cs="Calibri"/>
          <w:lang w:val="fr-FR"/>
        </w:rPr>
        <w:t xml:space="preserve">contient d’autres informations sur les activités déployées </w:t>
      </w:r>
      <w:r w:rsidR="00485AEB" w:rsidRPr="005205FB">
        <w:rPr>
          <w:rFonts w:ascii="Calibri" w:hAnsi="Calibri" w:cs="Calibri"/>
          <w:lang w:val="fr-FR"/>
        </w:rPr>
        <w:t>pour</w:t>
      </w:r>
      <w:r w:rsidR="00D25801" w:rsidRPr="005205FB">
        <w:rPr>
          <w:rFonts w:ascii="Calibri" w:hAnsi="Calibri" w:cs="Calibri"/>
          <w:lang w:val="fr-FR"/>
        </w:rPr>
        <w:t xml:space="preserve"> renforcer la visibilité de la Convention.</w:t>
      </w:r>
    </w:p>
    <w:p w14:paraId="40AA899E" w14:textId="77777777" w:rsidR="0024203F" w:rsidRPr="005205FB" w:rsidRDefault="0024203F" w:rsidP="00A478A5">
      <w:pPr>
        <w:spacing w:after="0" w:line="240" w:lineRule="auto"/>
        <w:ind w:left="425" w:hanging="425"/>
        <w:rPr>
          <w:rFonts w:ascii="Calibri" w:hAnsi="Calibri" w:cs="Calibri"/>
          <w:lang w:val="fr-FR"/>
        </w:rPr>
      </w:pPr>
    </w:p>
    <w:p w14:paraId="445C2175" w14:textId="62267D3E" w:rsidR="0024203F"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16.</w:t>
      </w:r>
      <w:r w:rsidRPr="005205FB">
        <w:rPr>
          <w:rFonts w:ascii="Calibri" w:hAnsi="Calibri" w:cs="Calibri"/>
          <w:lang w:val="fr-FR"/>
        </w:rPr>
        <w:tab/>
      </w:r>
      <w:r w:rsidR="003E69C1" w:rsidRPr="005205FB">
        <w:rPr>
          <w:rFonts w:ascii="Calibri" w:hAnsi="Calibri" w:cs="Calibri"/>
          <w:lang w:val="fr-FR"/>
        </w:rPr>
        <w:t xml:space="preserve">Cent quarante-neuf Parties contractantes ont </w:t>
      </w:r>
      <w:r w:rsidR="00F23171" w:rsidRPr="005205FB">
        <w:rPr>
          <w:rFonts w:ascii="Calibri" w:hAnsi="Calibri" w:cs="Calibri"/>
          <w:lang w:val="fr-FR"/>
        </w:rPr>
        <w:t>nommé</w:t>
      </w:r>
      <w:r w:rsidR="003E69C1" w:rsidRPr="005205FB">
        <w:rPr>
          <w:rFonts w:ascii="Calibri" w:hAnsi="Calibri" w:cs="Calibri"/>
          <w:lang w:val="fr-FR"/>
        </w:rPr>
        <w:t xml:space="preserve"> des Correspondants CESP </w:t>
      </w:r>
      <w:r w:rsidR="00F23171" w:rsidRPr="005205FB">
        <w:rPr>
          <w:rFonts w:ascii="Calibri" w:hAnsi="Calibri" w:cs="Calibri"/>
          <w:lang w:val="fr-FR"/>
        </w:rPr>
        <w:t>chargés</w:t>
      </w:r>
      <w:r w:rsidR="003E69C1" w:rsidRPr="005205FB">
        <w:rPr>
          <w:rFonts w:ascii="Calibri" w:hAnsi="Calibri" w:cs="Calibri"/>
          <w:lang w:val="fr-FR"/>
        </w:rPr>
        <w:t xml:space="preserve"> de veiller à la visibilité de la Convention et de ses objectifs de conservation et d’utilisation rationnelle</w:t>
      </w:r>
      <w:r w:rsidR="0010131A" w:rsidRPr="005205FB">
        <w:rPr>
          <w:rFonts w:ascii="Calibri" w:hAnsi="Calibri" w:cs="Calibri"/>
          <w:lang w:val="fr-FR"/>
        </w:rPr>
        <w:t xml:space="preserve">, </w:t>
      </w:r>
      <w:r w:rsidR="00F23171" w:rsidRPr="005205FB">
        <w:rPr>
          <w:rFonts w:ascii="Calibri" w:hAnsi="Calibri" w:cs="Calibri"/>
          <w:lang w:val="fr-FR"/>
        </w:rPr>
        <w:t>de</w:t>
      </w:r>
      <w:r w:rsidR="0010131A" w:rsidRPr="005205FB">
        <w:rPr>
          <w:rFonts w:ascii="Calibri" w:hAnsi="Calibri" w:cs="Calibri"/>
          <w:lang w:val="fr-FR"/>
        </w:rPr>
        <w:t xml:space="preserve"> soutenir la réalisation des objectifs mondiaux par l’établissement et le maintien de contacts, de réseaux et de mécanismes et </w:t>
      </w:r>
      <w:r w:rsidR="00F23171" w:rsidRPr="005205FB">
        <w:rPr>
          <w:rFonts w:ascii="Calibri" w:hAnsi="Calibri" w:cs="Calibri"/>
          <w:lang w:val="fr-FR"/>
        </w:rPr>
        <w:t>d’être des</w:t>
      </w:r>
      <w:r w:rsidR="0010131A" w:rsidRPr="005205FB">
        <w:rPr>
          <w:rFonts w:ascii="Calibri" w:hAnsi="Calibri" w:cs="Calibri"/>
          <w:lang w:val="fr-FR"/>
        </w:rPr>
        <w:t xml:space="preserve"> porte-parole actifs </w:t>
      </w:r>
      <w:r w:rsidR="00F23171" w:rsidRPr="005205FB">
        <w:rPr>
          <w:rFonts w:ascii="Calibri" w:hAnsi="Calibri" w:cs="Calibri"/>
          <w:lang w:val="fr-FR"/>
        </w:rPr>
        <w:t>de</w:t>
      </w:r>
      <w:r w:rsidR="0010131A" w:rsidRPr="005205FB">
        <w:rPr>
          <w:rFonts w:ascii="Calibri" w:hAnsi="Calibri" w:cs="Calibri"/>
          <w:lang w:val="fr-FR"/>
        </w:rPr>
        <w:t xml:space="preserve"> la Convention sur les zones humides. </w:t>
      </w:r>
      <w:r w:rsidR="007C7C4F" w:rsidRPr="005205FB">
        <w:rPr>
          <w:rFonts w:ascii="Calibri" w:hAnsi="Calibri" w:cs="Calibri"/>
          <w:lang w:val="fr-FR"/>
        </w:rPr>
        <w:t xml:space="preserve">Une des </w:t>
      </w:r>
      <w:r w:rsidR="00F23171" w:rsidRPr="005205FB">
        <w:rPr>
          <w:rFonts w:ascii="Calibri" w:hAnsi="Calibri" w:cs="Calibri"/>
          <w:lang w:val="fr-FR"/>
        </w:rPr>
        <w:t xml:space="preserve">principales </w:t>
      </w:r>
      <w:r w:rsidR="007C7C4F" w:rsidRPr="005205FB">
        <w:rPr>
          <w:rFonts w:ascii="Calibri" w:hAnsi="Calibri" w:cs="Calibri"/>
          <w:lang w:val="fr-FR"/>
        </w:rPr>
        <w:t xml:space="preserve">responsabilités des Correspondants CESP </w:t>
      </w:r>
      <w:r w:rsidR="00F23171" w:rsidRPr="005205FB">
        <w:rPr>
          <w:rFonts w:ascii="Calibri" w:hAnsi="Calibri" w:cs="Calibri"/>
          <w:lang w:val="fr-FR"/>
        </w:rPr>
        <w:t>consiste à</w:t>
      </w:r>
      <w:r w:rsidR="007C7C4F" w:rsidRPr="005205FB">
        <w:rPr>
          <w:rFonts w:ascii="Calibri" w:hAnsi="Calibri" w:cs="Calibri"/>
          <w:lang w:val="fr-FR"/>
        </w:rPr>
        <w:t xml:space="preserve"> </w:t>
      </w:r>
      <w:r w:rsidR="00F23171" w:rsidRPr="005205FB">
        <w:rPr>
          <w:rFonts w:ascii="Calibri" w:hAnsi="Calibri" w:cs="Calibri"/>
          <w:lang w:val="fr-FR"/>
        </w:rPr>
        <w:t>œuvrer à l’instauration de</w:t>
      </w:r>
      <w:r w:rsidR="007C7C4F" w:rsidRPr="005205FB">
        <w:rPr>
          <w:rFonts w:ascii="Calibri" w:hAnsi="Calibri" w:cs="Calibri"/>
          <w:lang w:val="fr-FR"/>
        </w:rPr>
        <w:t xml:space="preserve"> synergies</w:t>
      </w:r>
      <w:r w:rsidR="00F23171" w:rsidRPr="005205FB">
        <w:rPr>
          <w:rFonts w:ascii="Calibri" w:hAnsi="Calibri" w:cs="Calibri"/>
          <w:lang w:val="fr-FR"/>
        </w:rPr>
        <w:t xml:space="preserve"> entre les ministères,</w:t>
      </w:r>
      <w:r w:rsidR="007C7C4F" w:rsidRPr="005205FB">
        <w:rPr>
          <w:rFonts w:ascii="Calibri" w:hAnsi="Calibri" w:cs="Calibri"/>
          <w:lang w:val="fr-FR"/>
        </w:rPr>
        <w:t xml:space="preserve"> en matière de conservation et d’utilisation rationnelle des zones humides</w:t>
      </w:r>
      <w:r w:rsidR="00F23171" w:rsidRPr="005205FB">
        <w:rPr>
          <w:rFonts w:ascii="Calibri" w:hAnsi="Calibri" w:cs="Calibri"/>
          <w:lang w:val="fr-FR"/>
        </w:rPr>
        <w:t>,</w:t>
      </w:r>
      <w:r w:rsidR="007C7C4F" w:rsidRPr="005205FB">
        <w:rPr>
          <w:rFonts w:ascii="Calibri" w:hAnsi="Calibri" w:cs="Calibri"/>
          <w:lang w:val="fr-FR"/>
        </w:rPr>
        <w:t xml:space="preserve"> </w:t>
      </w:r>
      <w:r w:rsidR="00F23171" w:rsidRPr="005205FB">
        <w:rPr>
          <w:rFonts w:ascii="Calibri" w:hAnsi="Calibri" w:cs="Calibri"/>
          <w:lang w:val="fr-FR"/>
        </w:rPr>
        <w:t>pour</w:t>
      </w:r>
      <w:r w:rsidR="007C7C4F" w:rsidRPr="005205FB">
        <w:rPr>
          <w:rFonts w:ascii="Calibri" w:hAnsi="Calibri" w:cs="Calibri"/>
          <w:lang w:val="fr-FR"/>
        </w:rPr>
        <w:t xml:space="preserve"> </w:t>
      </w:r>
      <w:r w:rsidR="00F23171" w:rsidRPr="005205FB">
        <w:rPr>
          <w:rFonts w:ascii="Calibri" w:hAnsi="Calibri" w:cs="Calibri"/>
          <w:lang w:val="fr-FR"/>
        </w:rPr>
        <w:t>contribuer à</w:t>
      </w:r>
      <w:r w:rsidR="007C7C4F" w:rsidRPr="005205FB">
        <w:rPr>
          <w:rFonts w:ascii="Calibri" w:hAnsi="Calibri" w:cs="Calibri"/>
          <w:lang w:val="fr-FR"/>
        </w:rPr>
        <w:t xml:space="preserve"> différents ODD. Le Groupe de surveillance des activités de CESP fournit des orientations aux Parties contractantes sur les moyens de communiquer de manière plus efficace la valeur et l’importance des zones humides dans leurs contributions aux objectifs mondiaux. </w:t>
      </w:r>
      <w:r w:rsidR="00046319" w:rsidRPr="005205FB">
        <w:rPr>
          <w:rFonts w:ascii="Calibri" w:hAnsi="Calibri" w:cs="Calibri"/>
          <w:lang w:val="fr-FR"/>
        </w:rPr>
        <w:t>A</w:t>
      </w:r>
      <w:r w:rsidR="007C7C4F" w:rsidRPr="005205FB">
        <w:rPr>
          <w:rFonts w:ascii="Calibri" w:hAnsi="Calibri" w:cs="Calibri"/>
          <w:lang w:val="fr-FR"/>
        </w:rPr>
        <w:t xml:space="preserve">ssurer la liaison avec d’autres AME afin d’améliorer les synergies </w:t>
      </w:r>
      <w:r w:rsidR="00F23171" w:rsidRPr="005205FB">
        <w:rPr>
          <w:rFonts w:ascii="Calibri" w:hAnsi="Calibri" w:cs="Calibri"/>
          <w:lang w:val="fr-FR"/>
        </w:rPr>
        <w:t>entre l</w:t>
      </w:r>
      <w:r w:rsidR="007C7C4F" w:rsidRPr="005205FB">
        <w:rPr>
          <w:rFonts w:ascii="Calibri" w:hAnsi="Calibri" w:cs="Calibri"/>
          <w:lang w:val="fr-FR"/>
        </w:rPr>
        <w:t>es Conventions</w:t>
      </w:r>
      <w:r w:rsidR="00F23171" w:rsidRPr="005205FB">
        <w:rPr>
          <w:rFonts w:ascii="Calibri" w:hAnsi="Calibri" w:cs="Calibri"/>
          <w:lang w:val="fr-FR"/>
        </w:rPr>
        <w:t xml:space="preserve"> en matière de CESP</w:t>
      </w:r>
      <w:r w:rsidR="00046319" w:rsidRPr="005205FB">
        <w:rPr>
          <w:rFonts w:ascii="Calibri" w:hAnsi="Calibri" w:cs="Calibri"/>
          <w:lang w:val="fr-FR"/>
        </w:rPr>
        <w:t xml:space="preserve"> est un des rôles importants du Groupe</w:t>
      </w:r>
      <w:r w:rsidR="007C7C4F" w:rsidRPr="005205FB">
        <w:rPr>
          <w:rFonts w:ascii="Calibri" w:hAnsi="Calibri" w:cs="Calibri"/>
          <w:lang w:val="fr-FR"/>
        </w:rPr>
        <w:t>.</w:t>
      </w:r>
    </w:p>
    <w:p w14:paraId="3DF5C328" w14:textId="20F24802" w:rsidR="00867B4B" w:rsidRPr="005205FB" w:rsidRDefault="00867B4B" w:rsidP="00A478A5">
      <w:pPr>
        <w:spacing w:after="0" w:line="240" w:lineRule="auto"/>
        <w:ind w:left="425" w:hanging="425"/>
        <w:rPr>
          <w:rFonts w:ascii="Calibri" w:hAnsi="Calibri" w:cs="Calibri"/>
          <w:lang w:val="fr-FR"/>
        </w:rPr>
      </w:pPr>
    </w:p>
    <w:p w14:paraId="1B84E7B4" w14:textId="0CB55DC3" w:rsidR="002E237F"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17.</w:t>
      </w:r>
      <w:r w:rsidRPr="005205FB">
        <w:rPr>
          <w:rFonts w:ascii="Calibri" w:hAnsi="Calibri" w:cs="Calibri"/>
          <w:lang w:val="fr-FR"/>
        </w:rPr>
        <w:tab/>
      </w:r>
      <w:r w:rsidR="00FB280B" w:rsidRPr="005205FB">
        <w:rPr>
          <w:rFonts w:ascii="Calibri" w:hAnsi="Calibri" w:cs="Calibri"/>
          <w:lang w:val="fr-FR"/>
        </w:rPr>
        <w:t>Le Secrétariat a également préparé un</w:t>
      </w:r>
      <w:r w:rsidR="009340CD" w:rsidRPr="005205FB">
        <w:rPr>
          <w:rFonts w:ascii="Calibri" w:hAnsi="Calibri" w:cs="Calibri"/>
          <w:lang w:val="fr-FR"/>
        </w:rPr>
        <w:t xml:space="preserve">e </w:t>
      </w:r>
      <w:r w:rsidR="00FB280B" w:rsidRPr="005205FB">
        <w:rPr>
          <w:rFonts w:ascii="Calibri" w:hAnsi="Calibri" w:cs="Calibri"/>
          <w:lang w:val="fr-FR"/>
        </w:rPr>
        <w:t>nouvel</w:t>
      </w:r>
      <w:r w:rsidR="009340CD" w:rsidRPr="005205FB">
        <w:rPr>
          <w:rFonts w:ascii="Calibri" w:hAnsi="Calibri" w:cs="Calibri"/>
          <w:lang w:val="fr-FR"/>
        </w:rPr>
        <w:t>le série</w:t>
      </w:r>
      <w:r w:rsidR="00FB280B" w:rsidRPr="005205FB">
        <w:rPr>
          <w:rFonts w:ascii="Calibri" w:hAnsi="Calibri" w:cs="Calibri"/>
          <w:lang w:val="fr-FR"/>
        </w:rPr>
        <w:t xml:space="preserve"> de ressources</w:t>
      </w:r>
      <w:r w:rsidR="0099027F" w:rsidRPr="005205FB">
        <w:rPr>
          <w:rFonts w:ascii="Calibri" w:hAnsi="Calibri" w:cs="Calibri"/>
          <w:lang w:val="fr-FR"/>
        </w:rPr>
        <w:t xml:space="preserve"> </w:t>
      </w:r>
      <w:r w:rsidR="00FB280B" w:rsidRPr="005205FB">
        <w:rPr>
          <w:rFonts w:ascii="Calibri" w:hAnsi="Calibri" w:cs="Calibri"/>
          <w:lang w:val="fr-FR"/>
        </w:rPr>
        <w:t>numériques</w:t>
      </w:r>
      <w:r w:rsidR="0099027F" w:rsidRPr="005205FB">
        <w:rPr>
          <w:rStyle w:val="FootnoteReference"/>
          <w:rFonts w:ascii="Calibri" w:hAnsi="Calibri" w:cs="Calibri"/>
          <w:lang w:val="fr-FR"/>
        </w:rPr>
        <w:footnoteReference w:id="7"/>
      </w:r>
      <w:r w:rsidR="0099027F" w:rsidRPr="005205FB">
        <w:rPr>
          <w:rFonts w:ascii="Calibri" w:hAnsi="Calibri" w:cs="Calibri"/>
          <w:lang w:val="fr-FR"/>
        </w:rPr>
        <w:t xml:space="preserve"> </w:t>
      </w:r>
      <w:r w:rsidR="009340CD" w:rsidRPr="005205FB">
        <w:rPr>
          <w:rFonts w:ascii="Calibri" w:hAnsi="Calibri" w:cs="Calibri"/>
          <w:lang w:val="fr-FR"/>
        </w:rPr>
        <w:t>sur la</w:t>
      </w:r>
      <w:r w:rsidR="00FB280B" w:rsidRPr="005205FB">
        <w:rPr>
          <w:rFonts w:ascii="Calibri" w:hAnsi="Calibri" w:cs="Calibri"/>
          <w:lang w:val="fr-FR"/>
        </w:rPr>
        <w:t xml:space="preserve"> CESP que les Parties contractantes et la société civile peuvent utiliser pour renforcer la sensibilisation au rôle des zones humides dans l’accomplissement d’objectifs mondiaux en matière de biodiversité, climat, eau et bien-être humain. Ces </w:t>
      </w:r>
      <w:r w:rsidR="009340CD" w:rsidRPr="005205FB">
        <w:rPr>
          <w:rFonts w:ascii="Calibri" w:hAnsi="Calibri" w:cs="Calibri"/>
          <w:lang w:val="fr-FR"/>
        </w:rPr>
        <w:t>ressources</w:t>
      </w:r>
      <w:r w:rsidR="00FB280B" w:rsidRPr="005205FB">
        <w:rPr>
          <w:rFonts w:ascii="Calibri" w:hAnsi="Calibri" w:cs="Calibri"/>
          <w:lang w:val="fr-FR"/>
        </w:rPr>
        <w:t xml:space="preserve"> sont soutenu</w:t>
      </w:r>
      <w:r w:rsidR="009340CD" w:rsidRPr="005205FB">
        <w:rPr>
          <w:rFonts w:ascii="Calibri" w:hAnsi="Calibri" w:cs="Calibri"/>
          <w:lang w:val="fr-FR"/>
        </w:rPr>
        <w:t>e</w:t>
      </w:r>
      <w:r w:rsidR="00FB280B" w:rsidRPr="005205FB">
        <w:rPr>
          <w:rFonts w:ascii="Calibri" w:hAnsi="Calibri" w:cs="Calibri"/>
          <w:lang w:val="fr-FR"/>
        </w:rPr>
        <w:t>s par un Manuel de CESP actualisé</w:t>
      </w:r>
      <w:r w:rsidR="0099027F" w:rsidRPr="005205FB">
        <w:rPr>
          <w:rStyle w:val="FootnoteReference"/>
          <w:rFonts w:ascii="Calibri" w:hAnsi="Calibri" w:cs="Calibri"/>
          <w:lang w:val="fr-FR"/>
        </w:rPr>
        <w:footnoteReference w:id="8"/>
      </w:r>
      <w:r w:rsidR="00FB280B" w:rsidRPr="005205FB">
        <w:rPr>
          <w:rFonts w:ascii="Calibri" w:hAnsi="Calibri" w:cs="Calibri"/>
          <w:lang w:val="fr-FR"/>
        </w:rPr>
        <w:t xml:space="preserve"> </w:t>
      </w:r>
      <w:r w:rsidR="009340CD" w:rsidRPr="005205FB">
        <w:rPr>
          <w:rFonts w:ascii="Calibri" w:hAnsi="Calibri" w:cs="Calibri"/>
          <w:lang w:val="fr-FR"/>
        </w:rPr>
        <w:t xml:space="preserve">contenant </w:t>
      </w:r>
      <w:r w:rsidR="0099027F" w:rsidRPr="005205FB">
        <w:rPr>
          <w:rFonts w:ascii="Calibri" w:hAnsi="Calibri" w:cs="Calibri"/>
          <w:lang w:val="fr-FR"/>
        </w:rPr>
        <w:t xml:space="preserve">des orientations aux praticiens de la CESP sur </w:t>
      </w:r>
      <w:r w:rsidR="009340CD" w:rsidRPr="005205FB">
        <w:rPr>
          <w:rFonts w:ascii="Calibri" w:hAnsi="Calibri" w:cs="Calibri"/>
          <w:lang w:val="fr-FR"/>
        </w:rPr>
        <w:t>le soutien apporté par le</w:t>
      </w:r>
      <w:r w:rsidR="0099027F" w:rsidRPr="005205FB">
        <w:rPr>
          <w:rFonts w:ascii="Calibri" w:hAnsi="Calibri" w:cs="Calibri"/>
          <w:lang w:val="fr-FR"/>
        </w:rPr>
        <w:t xml:space="preserve"> Programme de CESP de la Convention </w:t>
      </w:r>
      <w:r w:rsidR="009340CD" w:rsidRPr="005205FB">
        <w:rPr>
          <w:rFonts w:ascii="Calibri" w:hAnsi="Calibri" w:cs="Calibri"/>
          <w:lang w:val="fr-FR"/>
        </w:rPr>
        <w:t>à</w:t>
      </w:r>
      <w:r w:rsidR="0099027F" w:rsidRPr="005205FB">
        <w:rPr>
          <w:rFonts w:ascii="Calibri" w:hAnsi="Calibri" w:cs="Calibri"/>
          <w:lang w:val="fr-FR"/>
        </w:rPr>
        <w:t xml:space="preserve"> la mise en œuvre du Plan stratégique et </w:t>
      </w:r>
      <w:r w:rsidR="009340CD" w:rsidRPr="005205FB">
        <w:rPr>
          <w:rFonts w:ascii="Calibri" w:hAnsi="Calibri" w:cs="Calibri"/>
          <w:lang w:val="fr-FR"/>
        </w:rPr>
        <w:t>aux</w:t>
      </w:r>
      <w:r w:rsidR="0099027F" w:rsidRPr="005205FB">
        <w:rPr>
          <w:rFonts w:ascii="Calibri" w:hAnsi="Calibri" w:cs="Calibri"/>
          <w:lang w:val="fr-FR"/>
        </w:rPr>
        <w:t xml:space="preserve"> différents ODD liés à des écosystèmes de zones humides en bonne santé. </w:t>
      </w:r>
      <w:r w:rsidR="00D82F33" w:rsidRPr="005205FB">
        <w:rPr>
          <w:rFonts w:ascii="Calibri" w:hAnsi="Calibri" w:cs="Calibri"/>
          <w:lang w:val="fr-FR"/>
        </w:rPr>
        <w:t>D</w:t>
      </w:r>
      <w:r w:rsidR="00FA7235" w:rsidRPr="005205FB">
        <w:rPr>
          <w:rFonts w:ascii="Calibri" w:hAnsi="Calibri" w:cs="Calibri"/>
          <w:lang w:val="fr-FR"/>
        </w:rPr>
        <w:t>ans le cadre du programme de renforcement des capacités du Secrétariat destiné aux Parties contractantes</w:t>
      </w:r>
      <w:r w:rsidR="009340CD" w:rsidRPr="005205FB">
        <w:rPr>
          <w:rFonts w:ascii="Calibri" w:hAnsi="Calibri" w:cs="Calibri"/>
          <w:lang w:val="fr-FR"/>
        </w:rPr>
        <w:t>,</w:t>
      </w:r>
      <w:r w:rsidR="00FA7235" w:rsidRPr="005205FB">
        <w:rPr>
          <w:rFonts w:ascii="Calibri" w:hAnsi="Calibri" w:cs="Calibri"/>
          <w:lang w:val="fr-FR"/>
        </w:rPr>
        <w:t xml:space="preserve"> </w:t>
      </w:r>
      <w:r w:rsidR="00D82F33" w:rsidRPr="005205FB">
        <w:rPr>
          <w:rFonts w:ascii="Calibri" w:hAnsi="Calibri" w:cs="Calibri"/>
          <w:lang w:val="fr-FR"/>
        </w:rPr>
        <w:t>des cours de formation et des webinaires sont organisés</w:t>
      </w:r>
      <w:r w:rsidR="00CF6875" w:rsidRPr="005205FB">
        <w:rPr>
          <w:rFonts w:ascii="Calibri" w:hAnsi="Calibri" w:cs="Calibri"/>
          <w:lang w:val="fr-FR"/>
        </w:rPr>
        <w:t xml:space="preserve"> en collaboration avec le GEST</w:t>
      </w:r>
      <w:r w:rsidR="00D82F33" w:rsidRPr="005205FB">
        <w:rPr>
          <w:rFonts w:ascii="Calibri" w:hAnsi="Calibri" w:cs="Calibri"/>
          <w:lang w:val="fr-FR"/>
        </w:rPr>
        <w:t xml:space="preserve">. Ils </w:t>
      </w:r>
      <w:r w:rsidR="009340CD" w:rsidRPr="005205FB">
        <w:rPr>
          <w:rFonts w:ascii="Calibri" w:hAnsi="Calibri" w:cs="Calibri"/>
          <w:lang w:val="fr-FR"/>
        </w:rPr>
        <w:t>offrent</w:t>
      </w:r>
      <w:r w:rsidR="00FA7235" w:rsidRPr="005205FB">
        <w:rPr>
          <w:rFonts w:ascii="Calibri" w:hAnsi="Calibri" w:cs="Calibri"/>
          <w:lang w:val="fr-FR"/>
        </w:rPr>
        <w:t xml:space="preserve"> des possibilités d’apprentissage et des orientations sur la manière dont la conservation et l’utilisation rationnelle des zones humides </w:t>
      </w:r>
      <w:r w:rsidR="00D82F33" w:rsidRPr="005205FB">
        <w:rPr>
          <w:rFonts w:ascii="Calibri" w:hAnsi="Calibri" w:cs="Calibri"/>
          <w:lang w:val="fr-FR"/>
        </w:rPr>
        <w:t>sont en mesure d’</w:t>
      </w:r>
      <w:r w:rsidR="00FA7235" w:rsidRPr="005205FB">
        <w:rPr>
          <w:rFonts w:ascii="Calibri" w:hAnsi="Calibri" w:cs="Calibri"/>
          <w:lang w:val="fr-FR"/>
        </w:rPr>
        <w:t xml:space="preserve">apporter des avantages et </w:t>
      </w:r>
      <w:r w:rsidR="00D82F33" w:rsidRPr="005205FB">
        <w:rPr>
          <w:rFonts w:ascii="Calibri" w:hAnsi="Calibri" w:cs="Calibri"/>
          <w:lang w:val="fr-FR"/>
        </w:rPr>
        <w:t>d’</w:t>
      </w:r>
      <w:r w:rsidR="00FA7235" w:rsidRPr="005205FB">
        <w:rPr>
          <w:rFonts w:ascii="Calibri" w:hAnsi="Calibri" w:cs="Calibri"/>
          <w:lang w:val="fr-FR"/>
        </w:rPr>
        <w:t xml:space="preserve">avoir des </w:t>
      </w:r>
      <w:r w:rsidR="00D82F33" w:rsidRPr="005205FB">
        <w:rPr>
          <w:rFonts w:ascii="Calibri" w:hAnsi="Calibri" w:cs="Calibri"/>
          <w:lang w:val="fr-FR"/>
        </w:rPr>
        <w:t>retombées</w:t>
      </w:r>
      <w:r w:rsidR="00FA7235" w:rsidRPr="005205FB">
        <w:rPr>
          <w:rFonts w:ascii="Calibri" w:hAnsi="Calibri" w:cs="Calibri"/>
          <w:lang w:val="fr-FR"/>
        </w:rPr>
        <w:t xml:space="preserve"> positi</w:t>
      </w:r>
      <w:r w:rsidR="00D82F33" w:rsidRPr="005205FB">
        <w:rPr>
          <w:rFonts w:ascii="Calibri" w:hAnsi="Calibri" w:cs="Calibri"/>
          <w:lang w:val="fr-FR"/>
        </w:rPr>
        <w:t>ve</w:t>
      </w:r>
      <w:r w:rsidR="00FA7235" w:rsidRPr="005205FB">
        <w:rPr>
          <w:rFonts w:ascii="Calibri" w:hAnsi="Calibri" w:cs="Calibri"/>
          <w:lang w:val="fr-FR"/>
        </w:rPr>
        <w:t xml:space="preserve">s </w:t>
      </w:r>
      <w:r w:rsidR="00D82F33" w:rsidRPr="005205FB">
        <w:rPr>
          <w:rFonts w:ascii="Calibri" w:hAnsi="Calibri" w:cs="Calibri"/>
          <w:lang w:val="fr-FR"/>
        </w:rPr>
        <w:t>pour les</w:t>
      </w:r>
      <w:r w:rsidR="00FA7235" w:rsidRPr="005205FB">
        <w:rPr>
          <w:rFonts w:ascii="Calibri" w:hAnsi="Calibri" w:cs="Calibri"/>
          <w:lang w:val="fr-FR"/>
        </w:rPr>
        <w:t xml:space="preserve"> populations et la planète, </w:t>
      </w:r>
      <w:r w:rsidR="00D82F33" w:rsidRPr="005205FB">
        <w:rPr>
          <w:rFonts w:ascii="Calibri" w:hAnsi="Calibri" w:cs="Calibri"/>
          <w:lang w:val="fr-FR"/>
        </w:rPr>
        <w:t>et contribuer</w:t>
      </w:r>
      <w:r w:rsidR="00FA7235" w:rsidRPr="005205FB">
        <w:rPr>
          <w:rFonts w:ascii="Calibri" w:hAnsi="Calibri" w:cs="Calibri"/>
          <w:lang w:val="fr-FR"/>
        </w:rPr>
        <w:t xml:space="preserve"> à la réalisation des ODD. </w:t>
      </w:r>
      <w:r w:rsidR="0015023C" w:rsidRPr="005205FB">
        <w:rPr>
          <w:rFonts w:ascii="Calibri" w:hAnsi="Calibri" w:cs="Calibri"/>
          <w:lang w:val="fr-FR"/>
        </w:rPr>
        <w:t>L</w:t>
      </w:r>
      <w:r w:rsidR="00FA7235" w:rsidRPr="005205FB">
        <w:rPr>
          <w:rFonts w:ascii="Calibri" w:hAnsi="Calibri" w:cs="Calibri"/>
          <w:lang w:val="fr-FR"/>
        </w:rPr>
        <w:t>’initiative qui célèbre</w:t>
      </w:r>
      <w:r w:rsidR="0015023C" w:rsidRPr="005205FB">
        <w:rPr>
          <w:rFonts w:ascii="Calibri" w:hAnsi="Calibri" w:cs="Calibri"/>
          <w:lang w:val="fr-FR"/>
        </w:rPr>
        <w:t xml:space="preserve"> les</w:t>
      </w:r>
      <w:r w:rsidR="00FA7235" w:rsidRPr="005205FB">
        <w:rPr>
          <w:rFonts w:ascii="Calibri" w:hAnsi="Calibri" w:cs="Calibri"/>
          <w:lang w:val="fr-FR"/>
        </w:rPr>
        <w:t xml:space="preserve"> </w:t>
      </w:r>
      <w:r w:rsidR="00450B26" w:rsidRPr="005205FB">
        <w:rPr>
          <w:rFonts w:ascii="Calibri" w:eastAsia="Aptos" w:hAnsi="Calibri" w:cs="Calibri"/>
          <w:lang w:val="fr-FR"/>
        </w:rPr>
        <w:t>«</w:t>
      </w:r>
      <w:r w:rsidR="00FA7235" w:rsidRPr="005205FB">
        <w:rPr>
          <w:rFonts w:ascii="Calibri" w:eastAsia="Aptos" w:hAnsi="Calibri" w:cs="Calibri"/>
          <w:lang w:val="fr-FR"/>
        </w:rPr>
        <w:t> </w:t>
      </w:r>
      <w:r w:rsidR="00450B26" w:rsidRPr="005205FB">
        <w:rPr>
          <w:rFonts w:ascii="Calibri" w:eastAsia="Aptos" w:hAnsi="Calibri" w:cs="Calibri"/>
          <w:lang w:val="fr-FR"/>
        </w:rPr>
        <w:t>Actrices du changement dans le monde des zones humides</w:t>
      </w:r>
      <w:r w:rsidR="00FA7235" w:rsidRPr="005205FB">
        <w:rPr>
          <w:rFonts w:ascii="Calibri" w:eastAsia="Aptos" w:hAnsi="Calibri" w:cs="Calibri"/>
          <w:lang w:val="fr-FR"/>
        </w:rPr>
        <w:t> </w:t>
      </w:r>
      <w:r w:rsidR="00450B26" w:rsidRPr="005205FB">
        <w:rPr>
          <w:rFonts w:ascii="Calibri" w:eastAsia="Aptos" w:hAnsi="Calibri" w:cs="Calibri"/>
          <w:lang w:val="fr-FR"/>
        </w:rPr>
        <w:t>»</w:t>
      </w:r>
      <w:r w:rsidR="00096471" w:rsidRPr="005205FB">
        <w:rPr>
          <w:rStyle w:val="FootnoteReference"/>
          <w:rFonts w:ascii="Calibri" w:eastAsia="Aptos" w:hAnsi="Calibri" w:cs="Calibri"/>
          <w:lang w:val="fr-FR"/>
        </w:rPr>
        <w:footnoteReference w:id="9"/>
      </w:r>
      <w:r w:rsidR="00B8514D" w:rsidRPr="005205FB">
        <w:rPr>
          <w:rFonts w:ascii="Calibri" w:eastAsia="Aptos" w:hAnsi="Calibri" w:cs="Calibri"/>
          <w:lang w:val="fr-FR"/>
        </w:rPr>
        <w:t xml:space="preserve">, </w:t>
      </w:r>
      <w:r w:rsidR="00FA7235" w:rsidRPr="005205FB">
        <w:rPr>
          <w:rFonts w:ascii="Calibri" w:eastAsia="Aptos" w:hAnsi="Calibri" w:cs="Calibri"/>
          <w:lang w:val="fr-FR"/>
        </w:rPr>
        <w:t xml:space="preserve">mise en œuvre en 2024 </w:t>
      </w:r>
      <w:r w:rsidR="0015023C" w:rsidRPr="005205FB">
        <w:rPr>
          <w:rFonts w:ascii="Calibri" w:eastAsia="Aptos" w:hAnsi="Calibri" w:cs="Calibri"/>
          <w:lang w:val="fr-FR"/>
        </w:rPr>
        <w:t>et</w:t>
      </w:r>
      <w:r w:rsidR="00FA7235" w:rsidRPr="005205FB">
        <w:rPr>
          <w:rFonts w:ascii="Calibri" w:eastAsia="Aptos" w:hAnsi="Calibri" w:cs="Calibri"/>
          <w:lang w:val="fr-FR"/>
        </w:rPr>
        <w:t xml:space="preserve"> en 2025</w:t>
      </w:r>
      <w:r w:rsidR="0015023C" w:rsidRPr="005205FB">
        <w:rPr>
          <w:rFonts w:ascii="Calibri" w:eastAsia="Aptos" w:hAnsi="Calibri" w:cs="Calibri"/>
          <w:lang w:val="fr-FR"/>
        </w:rPr>
        <w:t xml:space="preserve"> contribue également à la réalisation des ODD, tout comme</w:t>
      </w:r>
      <w:r w:rsidR="00FA7235" w:rsidRPr="005205FB">
        <w:rPr>
          <w:rFonts w:ascii="Calibri" w:eastAsia="Aptos" w:hAnsi="Calibri" w:cs="Calibri"/>
          <w:lang w:val="fr-FR"/>
        </w:rPr>
        <w:t xml:space="preserve"> les travaux du Groupe de travail sur la jeunesse créé conformément à la Résolution </w:t>
      </w:r>
      <w:r w:rsidR="00096471" w:rsidRPr="005205FB">
        <w:rPr>
          <w:rFonts w:ascii="Calibri" w:eastAsiaTheme="minorEastAsia" w:hAnsi="Calibri" w:cs="Calibri"/>
          <w:lang w:val="fr-FR"/>
        </w:rPr>
        <w:t>XIV.12</w:t>
      </w:r>
      <w:r w:rsidR="00450B26" w:rsidRPr="005205FB">
        <w:rPr>
          <w:rFonts w:ascii="Calibri" w:eastAsiaTheme="minorEastAsia" w:hAnsi="Calibri" w:cs="Calibri"/>
          <w:lang w:val="fr-FR"/>
        </w:rPr>
        <w:t>,</w:t>
      </w:r>
      <w:r w:rsidR="00096471" w:rsidRPr="005205FB">
        <w:rPr>
          <w:rFonts w:ascii="Calibri" w:eastAsiaTheme="minorEastAsia" w:hAnsi="Calibri" w:cs="Calibri"/>
          <w:lang w:val="fr-FR"/>
        </w:rPr>
        <w:t xml:space="preserve"> </w:t>
      </w:r>
      <w:r w:rsidR="00450B26" w:rsidRPr="005205FB">
        <w:rPr>
          <w:rFonts w:ascii="Calibri" w:eastAsiaTheme="minorEastAsia" w:hAnsi="Calibri" w:cs="Calibri"/>
          <w:i/>
          <w:iCs/>
          <w:lang w:val="fr-FR"/>
        </w:rPr>
        <w:t>Renforcement des liens Ramsar avec la jeunesse</w:t>
      </w:r>
      <w:r w:rsidR="00B8514D" w:rsidRPr="005205FB">
        <w:rPr>
          <w:rFonts w:ascii="Calibri" w:hAnsi="Calibri" w:cs="Calibri"/>
          <w:lang w:val="fr-FR"/>
        </w:rPr>
        <w:t>.</w:t>
      </w:r>
    </w:p>
    <w:p w14:paraId="0045834B" w14:textId="77777777" w:rsidR="0024203F" w:rsidRPr="005205FB" w:rsidRDefault="0024203F" w:rsidP="00A478A5">
      <w:pPr>
        <w:spacing w:after="0" w:line="240" w:lineRule="auto"/>
        <w:ind w:left="425" w:hanging="425"/>
        <w:rPr>
          <w:rFonts w:ascii="Calibri" w:hAnsi="Calibri" w:cs="Calibri"/>
          <w:lang w:val="fr-FR"/>
        </w:rPr>
      </w:pPr>
    </w:p>
    <w:p w14:paraId="3D525FA2" w14:textId="0D54BF85" w:rsidR="00A000EF"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18.</w:t>
      </w:r>
      <w:r w:rsidRPr="005205FB">
        <w:rPr>
          <w:rFonts w:ascii="Calibri" w:hAnsi="Calibri" w:cs="Calibri"/>
          <w:lang w:val="fr-FR"/>
        </w:rPr>
        <w:tab/>
      </w:r>
      <w:r w:rsidR="00336A9C" w:rsidRPr="005205FB">
        <w:rPr>
          <w:rFonts w:ascii="Calibri" w:hAnsi="Calibri" w:cs="Calibri"/>
          <w:lang w:val="fr-FR"/>
        </w:rPr>
        <w:t>Le</w:t>
      </w:r>
      <w:r w:rsidR="005046B7" w:rsidRPr="005205FB">
        <w:rPr>
          <w:rFonts w:ascii="Calibri" w:hAnsi="Calibri" w:cs="Calibri"/>
          <w:lang w:val="fr-FR"/>
        </w:rPr>
        <w:t xml:space="preserve"> programme du label Ville des Zones Humides, </w:t>
      </w:r>
      <w:r w:rsidR="00336A9C" w:rsidRPr="005205FB">
        <w:rPr>
          <w:rFonts w:ascii="Calibri" w:hAnsi="Calibri" w:cs="Calibri"/>
          <w:lang w:val="fr-FR"/>
        </w:rPr>
        <w:t xml:space="preserve">encourage </w:t>
      </w:r>
      <w:r w:rsidR="005046B7" w:rsidRPr="005205FB">
        <w:rPr>
          <w:rFonts w:ascii="Calibri" w:hAnsi="Calibri" w:cs="Calibri"/>
          <w:lang w:val="fr-FR"/>
        </w:rPr>
        <w:t xml:space="preserve">les villes à mettre en œuvre des plans de conservation et d’utilisation rationnelle des zones humides urbaines pour contribuer à plusieurs </w:t>
      </w:r>
      <w:r w:rsidR="00CF6875" w:rsidRPr="005205FB">
        <w:rPr>
          <w:rFonts w:ascii="Calibri" w:hAnsi="Calibri" w:cs="Calibri"/>
          <w:lang w:val="fr-FR"/>
        </w:rPr>
        <w:t>cibles</w:t>
      </w:r>
      <w:r w:rsidR="005046B7" w:rsidRPr="005205FB">
        <w:rPr>
          <w:rFonts w:ascii="Calibri" w:hAnsi="Calibri" w:cs="Calibri"/>
          <w:lang w:val="fr-FR"/>
        </w:rPr>
        <w:t xml:space="preserve"> des ODD aux niveaux national et régional. </w:t>
      </w:r>
      <w:r w:rsidR="00336A9C" w:rsidRPr="005205FB">
        <w:rPr>
          <w:rFonts w:ascii="Calibri" w:hAnsi="Calibri" w:cs="Calibri"/>
          <w:lang w:val="fr-FR"/>
        </w:rPr>
        <w:t>A</w:t>
      </w:r>
      <w:r w:rsidR="005046B7" w:rsidRPr="005205FB">
        <w:rPr>
          <w:rFonts w:ascii="Calibri" w:hAnsi="Calibri" w:cs="Calibri"/>
          <w:lang w:val="fr-FR"/>
        </w:rPr>
        <w:t>ctuellement</w:t>
      </w:r>
      <w:r w:rsidR="00336A9C" w:rsidRPr="005205FB">
        <w:rPr>
          <w:rFonts w:ascii="Calibri" w:hAnsi="Calibri" w:cs="Calibri"/>
          <w:lang w:val="fr-FR"/>
        </w:rPr>
        <w:t>,</w:t>
      </w:r>
      <w:r w:rsidR="005046B7" w:rsidRPr="005205FB">
        <w:rPr>
          <w:rFonts w:ascii="Calibri" w:hAnsi="Calibri" w:cs="Calibri"/>
          <w:lang w:val="fr-FR"/>
        </w:rPr>
        <w:t xml:space="preserve"> 74 Villes des Zones Humides ont mis en œuvre des plans de gestion des zones humides</w:t>
      </w:r>
      <w:r w:rsidR="00CF6875" w:rsidRPr="005205FB">
        <w:rPr>
          <w:rFonts w:ascii="Calibri" w:hAnsi="Calibri" w:cs="Calibri"/>
          <w:lang w:val="fr-FR"/>
        </w:rPr>
        <w:t>,</w:t>
      </w:r>
      <w:r w:rsidR="005046B7" w:rsidRPr="005205FB">
        <w:rPr>
          <w:rFonts w:ascii="Calibri" w:hAnsi="Calibri" w:cs="Calibri"/>
          <w:lang w:val="fr-FR"/>
        </w:rPr>
        <w:t xml:space="preserve"> </w:t>
      </w:r>
      <w:r w:rsidR="00CF6875" w:rsidRPr="005205FB">
        <w:rPr>
          <w:rFonts w:ascii="Calibri" w:hAnsi="Calibri" w:cs="Calibri"/>
          <w:lang w:val="fr-FR"/>
        </w:rPr>
        <w:t>cherchant</w:t>
      </w:r>
      <w:r w:rsidR="005046B7" w:rsidRPr="005205FB">
        <w:rPr>
          <w:rFonts w:ascii="Calibri" w:hAnsi="Calibri" w:cs="Calibri"/>
          <w:lang w:val="fr-FR"/>
        </w:rPr>
        <w:t xml:space="preserve"> spécifiquement à mieux sensibiliser </w:t>
      </w:r>
      <w:r w:rsidR="00336A9C" w:rsidRPr="005205FB">
        <w:rPr>
          <w:rFonts w:ascii="Calibri" w:hAnsi="Calibri" w:cs="Calibri"/>
          <w:lang w:val="fr-FR"/>
        </w:rPr>
        <w:t>les citoyens</w:t>
      </w:r>
      <w:r w:rsidR="005046B7" w:rsidRPr="005205FB">
        <w:rPr>
          <w:rFonts w:ascii="Calibri" w:hAnsi="Calibri" w:cs="Calibri"/>
          <w:lang w:val="fr-FR"/>
        </w:rPr>
        <w:t xml:space="preserve"> </w:t>
      </w:r>
      <w:r w:rsidR="007271D2" w:rsidRPr="005205FB">
        <w:rPr>
          <w:rFonts w:ascii="Calibri" w:hAnsi="Calibri" w:cs="Calibri"/>
          <w:lang w:val="fr-FR"/>
        </w:rPr>
        <w:t xml:space="preserve">aux zones humides et </w:t>
      </w:r>
      <w:r w:rsidR="00336A9C" w:rsidRPr="005205FB">
        <w:rPr>
          <w:rFonts w:ascii="Calibri" w:hAnsi="Calibri" w:cs="Calibri"/>
          <w:lang w:val="fr-FR"/>
        </w:rPr>
        <w:t>à les faire participer à</w:t>
      </w:r>
      <w:r w:rsidR="007271D2" w:rsidRPr="005205FB">
        <w:rPr>
          <w:rFonts w:ascii="Calibri" w:hAnsi="Calibri" w:cs="Calibri"/>
          <w:lang w:val="fr-FR"/>
        </w:rPr>
        <w:t xml:space="preserve"> la planification et </w:t>
      </w:r>
      <w:r w:rsidR="00336A9C" w:rsidRPr="005205FB">
        <w:rPr>
          <w:rFonts w:ascii="Calibri" w:hAnsi="Calibri" w:cs="Calibri"/>
          <w:lang w:val="fr-FR"/>
        </w:rPr>
        <w:t xml:space="preserve">à </w:t>
      </w:r>
      <w:r w:rsidR="007271D2" w:rsidRPr="005205FB">
        <w:rPr>
          <w:rFonts w:ascii="Calibri" w:hAnsi="Calibri" w:cs="Calibri"/>
          <w:lang w:val="fr-FR"/>
        </w:rPr>
        <w:t>la prise de décisions au niveau municipal.</w:t>
      </w:r>
      <w:r w:rsidR="00A000EF" w:rsidRPr="005205FB">
        <w:rPr>
          <w:rFonts w:ascii="Calibri" w:hAnsi="Calibri" w:cs="Calibri"/>
          <w:lang w:val="fr-FR"/>
        </w:rPr>
        <w:t xml:space="preserve"> </w:t>
      </w:r>
    </w:p>
    <w:p w14:paraId="0BCC5852" w14:textId="77777777" w:rsidR="00C22DD1" w:rsidRPr="005205FB" w:rsidRDefault="00C22DD1" w:rsidP="003614B1">
      <w:pPr>
        <w:spacing w:after="0" w:line="240" w:lineRule="auto"/>
        <w:rPr>
          <w:rFonts w:ascii="Calibri" w:hAnsi="Calibri" w:cs="Calibri"/>
          <w:highlight w:val="yellow"/>
          <w:lang w:val="fr-FR"/>
        </w:rPr>
      </w:pPr>
    </w:p>
    <w:p w14:paraId="512F370B" w14:textId="5DF0A4BD" w:rsidR="00E65FBD" w:rsidRPr="005205FB" w:rsidRDefault="007271D2" w:rsidP="003614B1">
      <w:pPr>
        <w:keepNext/>
        <w:spacing w:after="0" w:line="240" w:lineRule="auto"/>
        <w:rPr>
          <w:rFonts w:ascii="Calibri" w:hAnsi="Calibri" w:cs="Calibri"/>
          <w:i/>
          <w:iCs/>
          <w:lang w:val="fr-FR"/>
        </w:rPr>
      </w:pPr>
      <w:r w:rsidRPr="005205FB">
        <w:rPr>
          <w:rFonts w:ascii="Calibri" w:hAnsi="Calibri" w:cs="Calibri"/>
          <w:i/>
          <w:iCs/>
          <w:lang w:val="fr-FR"/>
        </w:rPr>
        <w:t>Planification et mise en œuvre au niveau national</w:t>
      </w:r>
      <w:r w:rsidR="00CE561F" w:rsidRPr="005205FB">
        <w:rPr>
          <w:rFonts w:ascii="Calibri" w:hAnsi="Calibri" w:cs="Calibri"/>
          <w:i/>
          <w:iCs/>
          <w:lang w:val="fr-FR"/>
        </w:rPr>
        <w:t xml:space="preserve"> </w:t>
      </w:r>
    </w:p>
    <w:p w14:paraId="3FFCBDE3" w14:textId="77777777" w:rsidR="0024203F" w:rsidRPr="005205FB" w:rsidRDefault="0024203F" w:rsidP="003614B1">
      <w:pPr>
        <w:keepNext/>
        <w:spacing w:after="0" w:line="240" w:lineRule="auto"/>
        <w:rPr>
          <w:rFonts w:ascii="Calibri" w:hAnsi="Calibri" w:cs="Calibri"/>
          <w:highlight w:val="yellow"/>
          <w:lang w:val="fr-FR"/>
        </w:rPr>
      </w:pPr>
    </w:p>
    <w:p w14:paraId="44A1814B" w14:textId="3C9722BA" w:rsidR="00A40272" w:rsidRPr="005205FB" w:rsidRDefault="00A478A5" w:rsidP="00A478A5">
      <w:pPr>
        <w:spacing w:after="0" w:line="240" w:lineRule="auto"/>
        <w:ind w:left="425" w:hanging="425"/>
        <w:rPr>
          <w:rFonts w:ascii="Calibri" w:hAnsi="Calibri" w:cs="Calibri"/>
          <w:lang w:val="fr-FR"/>
        </w:rPr>
      </w:pPr>
      <w:r w:rsidRPr="005205FB">
        <w:rPr>
          <w:rFonts w:ascii="Calibri" w:hAnsi="Calibri" w:cs="Calibri"/>
          <w:lang w:val="fr-FR"/>
        </w:rPr>
        <w:t>19.</w:t>
      </w:r>
      <w:r w:rsidRPr="005205FB">
        <w:rPr>
          <w:rFonts w:ascii="Calibri" w:hAnsi="Calibri" w:cs="Calibri"/>
          <w:lang w:val="fr-FR"/>
        </w:rPr>
        <w:tab/>
      </w:r>
      <w:r w:rsidR="00A642A8" w:rsidRPr="005205FB">
        <w:rPr>
          <w:rFonts w:ascii="Calibri" w:hAnsi="Calibri" w:cs="Calibri"/>
          <w:lang w:val="fr-FR"/>
        </w:rPr>
        <w:t>On peut déduire d</w:t>
      </w:r>
      <w:r w:rsidR="007500C7" w:rsidRPr="005205FB">
        <w:rPr>
          <w:rFonts w:ascii="Calibri" w:hAnsi="Calibri" w:cs="Calibri"/>
          <w:lang w:val="fr-FR"/>
        </w:rPr>
        <w:t xml:space="preserve">es Rapports nationaux soumis à la </w:t>
      </w:r>
      <w:r w:rsidR="00FB28E8" w:rsidRPr="005205FB">
        <w:rPr>
          <w:rFonts w:ascii="Calibri" w:hAnsi="Calibri" w:cs="Calibri"/>
          <w:lang w:val="fr-FR"/>
        </w:rPr>
        <w:t xml:space="preserve">COP13, </w:t>
      </w:r>
      <w:r w:rsidR="00287A3A" w:rsidRPr="005205FB">
        <w:rPr>
          <w:rFonts w:ascii="Calibri" w:hAnsi="Calibri" w:cs="Calibri"/>
          <w:lang w:val="fr-FR"/>
        </w:rPr>
        <w:t xml:space="preserve">à </w:t>
      </w:r>
      <w:r w:rsidR="007500C7" w:rsidRPr="005205FB">
        <w:rPr>
          <w:rFonts w:ascii="Calibri" w:hAnsi="Calibri" w:cs="Calibri"/>
          <w:lang w:val="fr-FR"/>
        </w:rPr>
        <w:t xml:space="preserve">la </w:t>
      </w:r>
      <w:r w:rsidR="001D6A7E" w:rsidRPr="005205FB">
        <w:rPr>
          <w:rFonts w:ascii="Calibri" w:hAnsi="Calibri" w:cs="Calibri"/>
          <w:lang w:val="fr-FR"/>
        </w:rPr>
        <w:t>COP</w:t>
      </w:r>
      <w:r w:rsidR="00FB28E8" w:rsidRPr="005205FB">
        <w:rPr>
          <w:rFonts w:ascii="Calibri" w:hAnsi="Calibri" w:cs="Calibri"/>
          <w:lang w:val="fr-FR"/>
        </w:rPr>
        <w:t xml:space="preserve">14 </w:t>
      </w:r>
      <w:r w:rsidR="007500C7" w:rsidRPr="005205FB">
        <w:rPr>
          <w:rFonts w:ascii="Calibri" w:hAnsi="Calibri" w:cs="Calibri"/>
          <w:lang w:val="fr-FR"/>
        </w:rPr>
        <w:t>et</w:t>
      </w:r>
      <w:r w:rsidR="00FB28E8" w:rsidRPr="005205FB">
        <w:rPr>
          <w:rFonts w:ascii="Calibri" w:hAnsi="Calibri" w:cs="Calibri"/>
          <w:lang w:val="fr-FR"/>
        </w:rPr>
        <w:t xml:space="preserve"> </w:t>
      </w:r>
      <w:r w:rsidR="00287A3A" w:rsidRPr="005205FB">
        <w:rPr>
          <w:rFonts w:ascii="Calibri" w:hAnsi="Calibri" w:cs="Calibri"/>
          <w:lang w:val="fr-FR"/>
        </w:rPr>
        <w:t xml:space="preserve">à </w:t>
      </w:r>
      <w:r w:rsidR="007500C7" w:rsidRPr="005205FB">
        <w:rPr>
          <w:rFonts w:ascii="Calibri" w:hAnsi="Calibri" w:cs="Calibri"/>
          <w:lang w:val="fr-FR"/>
        </w:rPr>
        <w:t xml:space="preserve">la </w:t>
      </w:r>
      <w:r w:rsidR="001D6A7E" w:rsidRPr="005205FB">
        <w:rPr>
          <w:rFonts w:ascii="Calibri" w:hAnsi="Calibri" w:cs="Calibri"/>
          <w:lang w:val="fr-FR"/>
        </w:rPr>
        <w:t>COP</w:t>
      </w:r>
      <w:r w:rsidR="00FB28E8" w:rsidRPr="005205FB">
        <w:rPr>
          <w:rFonts w:ascii="Calibri" w:hAnsi="Calibri" w:cs="Calibri"/>
          <w:lang w:val="fr-FR"/>
        </w:rPr>
        <w:t xml:space="preserve">15 </w:t>
      </w:r>
      <w:r w:rsidR="007500C7" w:rsidRPr="005205FB">
        <w:rPr>
          <w:rFonts w:ascii="Calibri" w:hAnsi="Calibri" w:cs="Calibri"/>
          <w:lang w:val="fr-FR"/>
        </w:rPr>
        <w:t xml:space="preserve">que presque toutes les Parties contractantes ont pris des mesures pour intégrer la conservation, </w:t>
      </w:r>
      <w:r w:rsidR="007500C7" w:rsidRPr="005205FB">
        <w:rPr>
          <w:rFonts w:ascii="Calibri" w:hAnsi="Calibri" w:cs="Calibri"/>
          <w:lang w:val="fr-FR"/>
        </w:rPr>
        <w:lastRenderedPageBreak/>
        <w:t xml:space="preserve">l’utilisation rationnelle ou la restauration des zones humides dans leurs stratégies de gestion de l’eau, plans d’action pour la biodiversité et stratégies et plans relatifs aux changements climatiques, contribuant ainsi à plusieurs ODD. Près de la moitié des Parties contractantes ont signalé des contributions à </w:t>
      </w:r>
      <w:r w:rsidR="00A642A8" w:rsidRPr="005205FB">
        <w:rPr>
          <w:rFonts w:ascii="Calibri" w:hAnsi="Calibri" w:cs="Calibri"/>
          <w:lang w:val="fr-FR"/>
        </w:rPr>
        <w:t>des</w:t>
      </w:r>
      <w:r w:rsidR="007500C7" w:rsidRPr="005205FB">
        <w:rPr>
          <w:rFonts w:ascii="Calibri" w:hAnsi="Calibri" w:cs="Calibri"/>
          <w:lang w:val="fr-FR"/>
        </w:rPr>
        <w:t xml:space="preserve"> ODD et </w:t>
      </w:r>
      <w:r w:rsidR="00A642A8" w:rsidRPr="005205FB">
        <w:rPr>
          <w:rFonts w:ascii="Calibri" w:hAnsi="Calibri" w:cs="Calibri"/>
          <w:lang w:val="fr-FR"/>
        </w:rPr>
        <w:t>des</w:t>
      </w:r>
      <w:r w:rsidR="007500C7" w:rsidRPr="005205FB">
        <w:rPr>
          <w:rFonts w:ascii="Calibri" w:hAnsi="Calibri" w:cs="Calibri"/>
          <w:lang w:val="fr-FR"/>
        </w:rPr>
        <w:t xml:space="preserve"> cibles spécifiques, notamment :</w:t>
      </w:r>
    </w:p>
    <w:p w14:paraId="63A4C8E8" w14:textId="17705932" w:rsidR="00A40272" w:rsidRPr="005205FB" w:rsidRDefault="007500C7" w:rsidP="00A478A5">
      <w:pPr>
        <w:pStyle w:val="ListParagraph"/>
        <w:numPr>
          <w:ilvl w:val="0"/>
          <w:numId w:val="7"/>
        </w:numPr>
        <w:spacing w:after="0" w:line="240" w:lineRule="auto"/>
        <w:ind w:left="850" w:hanging="425"/>
        <w:rPr>
          <w:rFonts w:ascii="Calibri" w:hAnsi="Calibri" w:cs="Calibri"/>
          <w:lang w:val="fr-FR"/>
        </w:rPr>
      </w:pPr>
      <w:r w:rsidRPr="005205FB">
        <w:rPr>
          <w:rFonts w:ascii="Calibri" w:hAnsi="Calibri" w:cs="Calibri"/>
          <w:lang w:val="fr-FR"/>
        </w:rPr>
        <w:t>ODD </w:t>
      </w:r>
      <w:r w:rsidR="00A40272" w:rsidRPr="005205FB">
        <w:rPr>
          <w:rFonts w:ascii="Calibri" w:hAnsi="Calibri" w:cs="Calibri"/>
          <w:lang w:val="fr-FR"/>
        </w:rPr>
        <w:t>6 (</w:t>
      </w:r>
      <w:r w:rsidRPr="005205FB">
        <w:rPr>
          <w:rFonts w:ascii="Calibri" w:hAnsi="Calibri" w:cs="Calibri"/>
          <w:lang w:val="fr-FR"/>
        </w:rPr>
        <w:t>Eau propre et assainissement</w:t>
      </w:r>
      <w:r w:rsidR="00A40272" w:rsidRPr="005205FB">
        <w:rPr>
          <w:rFonts w:ascii="Calibri" w:hAnsi="Calibri" w:cs="Calibri"/>
          <w:lang w:val="fr-FR"/>
        </w:rPr>
        <w:t>)</w:t>
      </w:r>
      <w:r w:rsidRPr="005205FB">
        <w:rPr>
          <w:rFonts w:ascii="Calibri" w:hAnsi="Calibri" w:cs="Calibri"/>
          <w:lang w:val="fr-FR"/>
        </w:rPr>
        <w:t> </w:t>
      </w:r>
      <w:r w:rsidR="00A40272" w:rsidRPr="005205FB">
        <w:rPr>
          <w:rFonts w:ascii="Calibri" w:hAnsi="Calibri" w:cs="Calibri"/>
          <w:lang w:val="fr-FR"/>
        </w:rPr>
        <w:t xml:space="preserve">: </w:t>
      </w:r>
      <w:r w:rsidR="00A642A8" w:rsidRPr="005205FB">
        <w:rPr>
          <w:rFonts w:ascii="Calibri" w:hAnsi="Calibri" w:cs="Calibri"/>
          <w:lang w:val="fr-FR"/>
        </w:rPr>
        <w:t xml:space="preserve">Il est </w:t>
      </w:r>
      <w:r w:rsidRPr="005205FB">
        <w:rPr>
          <w:rFonts w:ascii="Calibri" w:hAnsi="Calibri" w:cs="Calibri"/>
          <w:lang w:val="fr-FR"/>
        </w:rPr>
        <w:t xml:space="preserve">généralement reconnu </w:t>
      </w:r>
      <w:r w:rsidR="00A642A8" w:rsidRPr="005205FB">
        <w:rPr>
          <w:rFonts w:ascii="Calibri" w:hAnsi="Calibri" w:cs="Calibri"/>
          <w:lang w:val="fr-FR"/>
        </w:rPr>
        <w:t xml:space="preserve">que les zones humides jouent un rôle </w:t>
      </w:r>
      <w:r w:rsidRPr="005205FB">
        <w:rPr>
          <w:rFonts w:ascii="Calibri" w:hAnsi="Calibri" w:cs="Calibri"/>
          <w:lang w:val="fr-FR"/>
        </w:rPr>
        <w:t xml:space="preserve">d’importance critique pour </w:t>
      </w:r>
      <w:r w:rsidR="00286A79" w:rsidRPr="005205FB">
        <w:rPr>
          <w:rFonts w:ascii="Calibri" w:hAnsi="Calibri" w:cs="Calibri"/>
          <w:lang w:val="fr-FR"/>
        </w:rPr>
        <w:t>la rétention et l’épuration de l’eau ainsi que pour la gestion de l’approvisionnement en eau</w:t>
      </w:r>
      <w:r w:rsidRPr="005205FB">
        <w:rPr>
          <w:rFonts w:ascii="Calibri" w:hAnsi="Calibri" w:cs="Calibri"/>
          <w:lang w:val="fr-FR"/>
        </w:rPr>
        <w:t xml:space="preserve">. Les stratégies nationales </w:t>
      </w:r>
      <w:r w:rsidR="00286A79" w:rsidRPr="005205FB">
        <w:rPr>
          <w:rFonts w:ascii="Calibri" w:hAnsi="Calibri" w:cs="Calibri"/>
          <w:lang w:val="fr-FR"/>
        </w:rPr>
        <w:t>mentionnent souvent les</w:t>
      </w:r>
      <w:r w:rsidRPr="005205FB">
        <w:rPr>
          <w:rFonts w:ascii="Calibri" w:hAnsi="Calibri" w:cs="Calibri"/>
          <w:lang w:val="fr-FR"/>
        </w:rPr>
        <w:t xml:space="preserve"> zones humides comme des éléments clés de la gestion intégrée des ressources en eau.</w:t>
      </w:r>
    </w:p>
    <w:p w14:paraId="43BC4646" w14:textId="53988A4E" w:rsidR="00A40272" w:rsidRPr="005205FB" w:rsidRDefault="007500C7" w:rsidP="00A478A5">
      <w:pPr>
        <w:pStyle w:val="ListParagraph"/>
        <w:numPr>
          <w:ilvl w:val="0"/>
          <w:numId w:val="7"/>
        </w:numPr>
        <w:spacing w:after="0" w:line="240" w:lineRule="auto"/>
        <w:ind w:left="850" w:hanging="425"/>
        <w:rPr>
          <w:rFonts w:ascii="Calibri" w:hAnsi="Calibri" w:cs="Calibri"/>
          <w:lang w:val="fr-FR"/>
        </w:rPr>
      </w:pPr>
      <w:r w:rsidRPr="005205FB">
        <w:rPr>
          <w:rFonts w:ascii="Calibri" w:hAnsi="Calibri" w:cs="Calibri"/>
          <w:lang w:val="fr-FR"/>
        </w:rPr>
        <w:t>ODD</w:t>
      </w:r>
      <w:r w:rsidR="00A40272" w:rsidRPr="005205FB">
        <w:rPr>
          <w:rFonts w:ascii="Calibri" w:hAnsi="Calibri" w:cs="Calibri"/>
          <w:lang w:val="fr-FR"/>
        </w:rPr>
        <w:t xml:space="preserve"> 13 (</w:t>
      </w:r>
      <w:r w:rsidR="00972B90" w:rsidRPr="005205FB">
        <w:rPr>
          <w:rFonts w:ascii="Calibri" w:hAnsi="Calibri" w:cs="Calibri"/>
          <w:lang w:val="fr-FR"/>
        </w:rPr>
        <w:t>Action pour le climat</w:t>
      </w:r>
      <w:r w:rsidR="00A40272" w:rsidRPr="005205FB">
        <w:rPr>
          <w:rFonts w:ascii="Calibri" w:hAnsi="Calibri" w:cs="Calibri"/>
          <w:lang w:val="fr-FR"/>
        </w:rPr>
        <w:t>)</w:t>
      </w:r>
      <w:r w:rsidR="00972B90" w:rsidRPr="005205FB">
        <w:rPr>
          <w:rFonts w:ascii="Calibri" w:hAnsi="Calibri" w:cs="Calibri"/>
          <w:lang w:val="fr-FR"/>
        </w:rPr>
        <w:t> </w:t>
      </w:r>
      <w:r w:rsidR="00A40272" w:rsidRPr="005205FB">
        <w:rPr>
          <w:rFonts w:ascii="Calibri" w:hAnsi="Calibri" w:cs="Calibri"/>
          <w:lang w:val="fr-FR"/>
        </w:rPr>
        <w:t xml:space="preserve">: </w:t>
      </w:r>
      <w:r w:rsidR="008D2DB4" w:rsidRPr="005205FB">
        <w:rPr>
          <w:rFonts w:ascii="Calibri" w:hAnsi="Calibri" w:cs="Calibri"/>
          <w:lang w:val="fr-FR"/>
        </w:rPr>
        <w:t>De plus en plus, on inclut l</w:t>
      </w:r>
      <w:r w:rsidR="00972B90" w:rsidRPr="005205FB">
        <w:rPr>
          <w:rFonts w:ascii="Calibri" w:hAnsi="Calibri" w:cs="Calibri"/>
          <w:lang w:val="fr-FR"/>
        </w:rPr>
        <w:t>es écosystèmes de zones humides dans les stratégies nationales d’adaptation et d’atténuation des changements climatiques. Plusieurs Parties ont signalé des initiatives visant à utiliser les zones humides pour la séquestration du carbone et l’atténuation des crues.</w:t>
      </w:r>
    </w:p>
    <w:p w14:paraId="358D737D" w14:textId="572616B5" w:rsidR="00AF4073" w:rsidRPr="005205FB" w:rsidRDefault="007500C7" w:rsidP="00A478A5">
      <w:pPr>
        <w:pStyle w:val="ListParagraph"/>
        <w:numPr>
          <w:ilvl w:val="0"/>
          <w:numId w:val="7"/>
        </w:numPr>
        <w:spacing w:after="0" w:line="240" w:lineRule="auto"/>
        <w:ind w:left="850" w:hanging="425"/>
        <w:rPr>
          <w:rFonts w:ascii="Calibri" w:hAnsi="Calibri" w:cs="Calibri"/>
          <w:lang w:val="fr-FR"/>
        </w:rPr>
      </w:pPr>
      <w:r w:rsidRPr="005205FB">
        <w:rPr>
          <w:rFonts w:ascii="Calibri" w:hAnsi="Calibri" w:cs="Calibri"/>
          <w:lang w:val="fr-FR"/>
        </w:rPr>
        <w:t>ODD</w:t>
      </w:r>
      <w:r w:rsidR="00EF699C" w:rsidRPr="005205FB">
        <w:rPr>
          <w:rFonts w:ascii="Calibri" w:hAnsi="Calibri" w:cs="Calibri"/>
          <w:lang w:val="fr-FR"/>
        </w:rPr>
        <w:t xml:space="preserve"> 14 (</w:t>
      </w:r>
      <w:r w:rsidR="00972B90" w:rsidRPr="005205FB">
        <w:rPr>
          <w:rFonts w:ascii="Calibri" w:hAnsi="Calibri" w:cs="Calibri"/>
          <w:lang w:val="fr-FR"/>
        </w:rPr>
        <w:t>La vie aquatique</w:t>
      </w:r>
      <w:r w:rsidR="00EF699C" w:rsidRPr="005205FB">
        <w:rPr>
          <w:rFonts w:ascii="Calibri" w:hAnsi="Calibri" w:cs="Calibri"/>
          <w:lang w:val="fr-FR"/>
        </w:rPr>
        <w:t>)</w:t>
      </w:r>
      <w:r w:rsidR="00972B90" w:rsidRPr="005205FB">
        <w:rPr>
          <w:rFonts w:ascii="Calibri" w:hAnsi="Calibri" w:cs="Calibri"/>
          <w:lang w:val="fr-FR"/>
        </w:rPr>
        <w:t> </w:t>
      </w:r>
      <w:r w:rsidR="00EF699C" w:rsidRPr="005205FB">
        <w:rPr>
          <w:rFonts w:ascii="Calibri" w:hAnsi="Calibri" w:cs="Calibri"/>
          <w:lang w:val="fr-FR"/>
        </w:rPr>
        <w:t xml:space="preserve">: </w:t>
      </w:r>
      <w:r w:rsidR="00972B90" w:rsidRPr="005205FB">
        <w:rPr>
          <w:rFonts w:ascii="Calibri" w:hAnsi="Calibri" w:cs="Calibri"/>
          <w:lang w:val="fr-FR"/>
        </w:rPr>
        <w:t xml:space="preserve">Plusieurs rapports soulignent la restauration de zones humides côtières, y compris de mangroves, et l’élaboration de plans de gestion intégrée des zones côtières, afin de réduire les impacts de l’érosion et des </w:t>
      </w:r>
      <w:r w:rsidR="008D5DB4" w:rsidRPr="005205FB">
        <w:rPr>
          <w:rFonts w:ascii="Calibri" w:hAnsi="Calibri" w:cs="Calibri"/>
          <w:lang w:val="fr-FR"/>
        </w:rPr>
        <w:t>ondes</w:t>
      </w:r>
      <w:r w:rsidR="00972B90" w:rsidRPr="005205FB">
        <w:rPr>
          <w:rFonts w:ascii="Calibri" w:hAnsi="Calibri" w:cs="Calibri"/>
          <w:lang w:val="fr-FR"/>
        </w:rPr>
        <w:t xml:space="preserve"> de tempête</w:t>
      </w:r>
      <w:r w:rsidR="00B216BA" w:rsidRPr="005205FB">
        <w:rPr>
          <w:rFonts w:ascii="Calibri" w:hAnsi="Calibri" w:cs="Calibri"/>
          <w:lang w:val="fr-FR"/>
        </w:rPr>
        <w:t xml:space="preserve"> et de promouvoir des pêcheries durables. </w:t>
      </w:r>
    </w:p>
    <w:p w14:paraId="28E0BBAE" w14:textId="75616884" w:rsidR="00A40272" w:rsidRPr="005205FB" w:rsidRDefault="007500C7" w:rsidP="00A478A5">
      <w:pPr>
        <w:pStyle w:val="ListParagraph"/>
        <w:numPr>
          <w:ilvl w:val="0"/>
          <w:numId w:val="7"/>
        </w:numPr>
        <w:spacing w:after="0" w:line="240" w:lineRule="auto"/>
        <w:ind w:left="850" w:hanging="425"/>
        <w:rPr>
          <w:rFonts w:ascii="Calibri" w:hAnsi="Calibri" w:cs="Calibri"/>
          <w:lang w:val="fr-FR"/>
        </w:rPr>
      </w:pPr>
      <w:r w:rsidRPr="005205FB">
        <w:rPr>
          <w:rFonts w:ascii="Calibri" w:hAnsi="Calibri" w:cs="Calibri"/>
          <w:lang w:val="fr-FR"/>
        </w:rPr>
        <w:t>ODD</w:t>
      </w:r>
      <w:r w:rsidR="00A40272" w:rsidRPr="005205FB">
        <w:rPr>
          <w:rFonts w:ascii="Calibri" w:hAnsi="Calibri" w:cs="Calibri"/>
          <w:lang w:val="fr-FR"/>
        </w:rPr>
        <w:t xml:space="preserve"> 15 (</w:t>
      </w:r>
      <w:r w:rsidR="00D91264" w:rsidRPr="005205FB">
        <w:rPr>
          <w:rFonts w:ascii="Calibri" w:hAnsi="Calibri" w:cs="Calibri"/>
          <w:lang w:val="fr-FR"/>
        </w:rPr>
        <w:t>Vie terrestre</w:t>
      </w:r>
      <w:r w:rsidR="00A40272" w:rsidRPr="005205FB">
        <w:rPr>
          <w:rFonts w:ascii="Calibri" w:hAnsi="Calibri" w:cs="Calibri"/>
          <w:lang w:val="fr-FR"/>
        </w:rPr>
        <w:t>)</w:t>
      </w:r>
      <w:r w:rsidR="00D91264" w:rsidRPr="005205FB">
        <w:rPr>
          <w:rFonts w:ascii="Calibri" w:hAnsi="Calibri" w:cs="Calibri"/>
          <w:lang w:val="fr-FR"/>
        </w:rPr>
        <w:t> </w:t>
      </w:r>
      <w:r w:rsidR="00A40272" w:rsidRPr="005205FB">
        <w:rPr>
          <w:rFonts w:ascii="Calibri" w:hAnsi="Calibri" w:cs="Calibri"/>
          <w:lang w:val="fr-FR"/>
        </w:rPr>
        <w:t xml:space="preserve">: </w:t>
      </w:r>
      <w:r w:rsidR="00D91264" w:rsidRPr="005205FB">
        <w:rPr>
          <w:rFonts w:ascii="Calibri" w:hAnsi="Calibri" w:cs="Calibri"/>
          <w:lang w:val="fr-FR"/>
        </w:rPr>
        <w:t>De nombreuses Parties contractantes signalent des efforts concernant les zones humides qui contribuent directement à la conservation de la biodiversité, à la restauration des écosystèmes et à la gestion durable des terres.</w:t>
      </w:r>
    </w:p>
    <w:p w14:paraId="188DB487" w14:textId="69E63210" w:rsidR="00A04327" w:rsidRPr="005205FB" w:rsidRDefault="00D91264" w:rsidP="00A478A5">
      <w:pPr>
        <w:pStyle w:val="ListParagraph"/>
        <w:numPr>
          <w:ilvl w:val="0"/>
          <w:numId w:val="7"/>
        </w:numPr>
        <w:spacing w:after="0" w:line="240" w:lineRule="auto"/>
        <w:ind w:left="850" w:hanging="425"/>
        <w:rPr>
          <w:rFonts w:ascii="Calibri" w:hAnsi="Calibri" w:cs="Calibri"/>
          <w:lang w:val="fr-FR"/>
        </w:rPr>
      </w:pPr>
      <w:r w:rsidRPr="005205FB">
        <w:rPr>
          <w:rFonts w:ascii="Calibri" w:hAnsi="Calibri" w:cs="Calibri"/>
          <w:lang w:val="fr-FR"/>
        </w:rPr>
        <w:t xml:space="preserve">Plusieurs Rapports nationaux soulignent aussi le rôle des zones humides en </w:t>
      </w:r>
      <w:r w:rsidR="00A43AEF" w:rsidRPr="005205FB">
        <w:rPr>
          <w:rFonts w:ascii="Calibri" w:hAnsi="Calibri" w:cs="Calibri"/>
          <w:lang w:val="fr-FR"/>
        </w:rPr>
        <w:t>faveur des</w:t>
      </w:r>
      <w:r w:rsidRPr="005205FB">
        <w:rPr>
          <w:rFonts w:ascii="Calibri" w:hAnsi="Calibri" w:cs="Calibri"/>
          <w:lang w:val="fr-FR"/>
        </w:rPr>
        <w:t xml:space="preserve"> moyens d’existence locaux, notamment la pêche</w:t>
      </w:r>
      <w:r w:rsidR="00554D25" w:rsidRPr="005205FB">
        <w:rPr>
          <w:rFonts w:ascii="Calibri" w:hAnsi="Calibri" w:cs="Calibri"/>
          <w:lang w:val="fr-FR"/>
        </w:rPr>
        <w:t xml:space="preserve"> et</w:t>
      </w:r>
      <w:r w:rsidRPr="005205FB">
        <w:rPr>
          <w:rFonts w:ascii="Calibri" w:hAnsi="Calibri" w:cs="Calibri"/>
          <w:lang w:val="fr-FR"/>
        </w:rPr>
        <w:t xml:space="preserve"> l’agriculture </w:t>
      </w:r>
      <w:r w:rsidR="00554D25" w:rsidRPr="005205FB">
        <w:rPr>
          <w:rFonts w:ascii="Calibri" w:hAnsi="Calibri" w:cs="Calibri"/>
          <w:lang w:val="fr-FR"/>
        </w:rPr>
        <w:t xml:space="preserve">durables </w:t>
      </w:r>
      <w:r w:rsidRPr="005205FB">
        <w:rPr>
          <w:rFonts w:ascii="Calibri" w:hAnsi="Calibri" w:cs="Calibri"/>
          <w:lang w:val="fr-FR"/>
        </w:rPr>
        <w:t xml:space="preserve">et l’écotourisme. </w:t>
      </w:r>
    </w:p>
    <w:p w14:paraId="472C5718" w14:textId="77777777" w:rsidR="0024203F" w:rsidRPr="005205FB" w:rsidRDefault="0024203F" w:rsidP="003614B1">
      <w:pPr>
        <w:spacing w:after="0" w:line="240" w:lineRule="auto"/>
        <w:rPr>
          <w:rFonts w:ascii="Calibri" w:hAnsi="Calibri" w:cs="Calibri"/>
          <w:lang w:val="fr-FR"/>
        </w:rPr>
      </w:pPr>
    </w:p>
    <w:p w14:paraId="12DD0291" w14:textId="6BA25398" w:rsidR="0093408B" w:rsidRPr="005205FB" w:rsidRDefault="00A478A5" w:rsidP="00A478A5">
      <w:pPr>
        <w:spacing w:after="0" w:line="240" w:lineRule="auto"/>
        <w:ind w:left="425" w:hanging="425"/>
        <w:rPr>
          <w:rFonts w:ascii="Calibri" w:hAnsi="Calibri" w:cs="Calibri"/>
          <w:b/>
          <w:bCs/>
          <w:lang w:val="fr-FR"/>
        </w:rPr>
      </w:pPr>
      <w:r w:rsidRPr="005205FB">
        <w:rPr>
          <w:rFonts w:ascii="Calibri" w:hAnsi="Calibri" w:cs="Calibri"/>
          <w:lang w:val="fr-FR"/>
        </w:rPr>
        <w:t>20.</w:t>
      </w:r>
      <w:r w:rsidRPr="005205FB">
        <w:rPr>
          <w:rFonts w:ascii="Calibri" w:hAnsi="Calibri" w:cs="Calibri"/>
          <w:lang w:val="fr-FR"/>
        </w:rPr>
        <w:tab/>
      </w:r>
      <w:r w:rsidR="00287A3A" w:rsidRPr="005205FB">
        <w:rPr>
          <w:rFonts w:ascii="Calibri" w:hAnsi="Calibri" w:cs="Calibri"/>
          <w:lang w:val="fr-FR"/>
        </w:rPr>
        <w:t xml:space="preserve">Si l’on compare les Rapports nationaux à la </w:t>
      </w:r>
      <w:r w:rsidR="005C5C8A" w:rsidRPr="005205FB">
        <w:rPr>
          <w:rFonts w:ascii="Calibri" w:hAnsi="Calibri" w:cs="Calibri"/>
          <w:lang w:val="fr-FR"/>
        </w:rPr>
        <w:t xml:space="preserve">COP13, </w:t>
      </w:r>
      <w:r w:rsidR="00287A3A" w:rsidRPr="005205FB">
        <w:rPr>
          <w:rFonts w:ascii="Calibri" w:hAnsi="Calibri" w:cs="Calibri"/>
          <w:lang w:val="fr-FR"/>
        </w:rPr>
        <w:t xml:space="preserve">à la </w:t>
      </w:r>
      <w:r w:rsidR="005C5C8A" w:rsidRPr="005205FB">
        <w:rPr>
          <w:rFonts w:ascii="Calibri" w:hAnsi="Calibri" w:cs="Calibri"/>
          <w:lang w:val="fr-FR"/>
        </w:rPr>
        <w:t xml:space="preserve">COP14 </w:t>
      </w:r>
      <w:r w:rsidR="00287A3A" w:rsidRPr="005205FB">
        <w:rPr>
          <w:rFonts w:ascii="Calibri" w:hAnsi="Calibri" w:cs="Calibri"/>
          <w:lang w:val="fr-FR"/>
        </w:rPr>
        <w:t xml:space="preserve">et à la </w:t>
      </w:r>
      <w:r w:rsidR="005C5C8A" w:rsidRPr="005205FB">
        <w:rPr>
          <w:rFonts w:ascii="Calibri" w:hAnsi="Calibri" w:cs="Calibri"/>
          <w:lang w:val="fr-FR"/>
        </w:rPr>
        <w:t>COP1</w:t>
      </w:r>
      <w:r w:rsidR="00287A3A" w:rsidRPr="005205FB">
        <w:rPr>
          <w:rFonts w:ascii="Calibri" w:hAnsi="Calibri" w:cs="Calibri"/>
          <w:lang w:val="fr-FR"/>
        </w:rPr>
        <w:t xml:space="preserve">5, on </w:t>
      </w:r>
      <w:r w:rsidR="00BB1964" w:rsidRPr="005205FB">
        <w:rPr>
          <w:rFonts w:ascii="Calibri" w:hAnsi="Calibri" w:cs="Calibri"/>
          <w:lang w:val="fr-FR"/>
        </w:rPr>
        <w:t xml:space="preserve">constate </w:t>
      </w:r>
      <w:r w:rsidR="00287A3A" w:rsidRPr="005205FB">
        <w:rPr>
          <w:rFonts w:ascii="Calibri" w:hAnsi="Calibri" w:cs="Calibri"/>
          <w:lang w:val="fr-FR"/>
        </w:rPr>
        <w:t xml:space="preserve">une </w:t>
      </w:r>
      <w:r w:rsidR="00BB1964" w:rsidRPr="005205FB">
        <w:rPr>
          <w:rFonts w:ascii="Calibri" w:hAnsi="Calibri" w:cs="Calibri"/>
          <w:lang w:val="fr-FR"/>
        </w:rPr>
        <w:t>précision</w:t>
      </w:r>
      <w:r w:rsidR="00287A3A" w:rsidRPr="005205FB">
        <w:rPr>
          <w:rFonts w:ascii="Calibri" w:hAnsi="Calibri" w:cs="Calibri"/>
          <w:lang w:val="fr-FR"/>
        </w:rPr>
        <w:t xml:space="preserve"> accrue </w:t>
      </w:r>
      <w:r w:rsidR="00A43AEF" w:rsidRPr="005205FB">
        <w:rPr>
          <w:rFonts w:ascii="Calibri" w:hAnsi="Calibri" w:cs="Calibri"/>
          <w:lang w:val="fr-FR"/>
        </w:rPr>
        <w:t>concernant</w:t>
      </w:r>
      <w:r w:rsidR="000805A3" w:rsidRPr="005205FB">
        <w:rPr>
          <w:rFonts w:ascii="Calibri" w:hAnsi="Calibri" w:cs="Calibri"/>
          <w:lang w:val="fr-FR"/>
        </w:rPr>
        <w:t xml:space="preserve"> les contributions </w:t>
      </w:r>
      <w:r w:rsidR="00BB1964" w:rsidRPr="005205FB">
        <w:rPr>
          <w:rFonts w:ascii="Calibri" w:hAnsi="Calibri" w:cs="Calibri"/>
          <w:lang w:val="fr-FR"/>
        </w:rPr>
        <w:t>à</w:t>
      </w:r>
      <w:r w:rsidR="000805A3" w:rsidRPr="005205FB">
        <w:rPr>
          <w:rFonts w:ascii="Calibri" w:hAnsi="Calibri" w:cs="Calibri"/>
          <w:lang w:val="fr-FR"/>
        </w:rPr>
        <w:t xml:space="preserve"> la réalisation du Programme de développement durable à l’horizon 2030 et des ODD</w:t>
      </w:r>
      <w:r w:rsidR="00A43AEF" w:rsidRPr="005205FB">
        <w:rPr>
          <w:rFonts w:ascii="Calibri" w:hAnsi="Calibri" w:cs="Calibri"/>
          <w:lang w:val="fr-FR"/>
        </w:rPr>
        <w:t xml:space="preserve"> et l’o</w:t>
      </w:r>
      <w:r w:rsidR="00BB1964" w:rsidRPr="005205FB">
        <w:rPr>
          <w:rFonts w:ascii="Calibri" w:hAnsi="Calibri" w:cs="Calibri"/>
          <w:lang w:val="fr-FR"/>
        </w:rPr>
        <w:t>n peut en déduire</w:t>
      </w:r>
      <w:r w:rsidR="000805A3" w:rsidRPr="005205FB">
        <w:rPr>
          <w:rFonts w:ascii="Calibri" w:hAnsi="Calibri" w:cs="Calibri"/>
          <w:lang w:val="fr-FR"/>
        </w:rPr>
        <w:t xml:space="preserve"> </w:t>
      </w:r>
      <w:r w:rsidR="00BB1964" w:rsidRPr="005205FB">
        <w:rPr>
          <w:rFonts w:ascii="Calibri" w:hAnsi="Calibri" w:cs="Calibri"/>
          <w:lang w:val="fr-FR"/>
        </w:rPr>
        <w:t xml:space="preserve">qu’il y a </w:t>
      </w:r>
      <w:r w:rsidR="000805A3" w:rsidRPr="005205FB">
        <w:rPr>
          <w:rFonts w:ascii="Calibri" w:hAnsi="Calibri" w:cs="Calibri"/>
          <w:lang w:val="fr-FR"/>
        </w:rPr>
        <w:t xml:space="preserve">un </w:t>
      </w:r>
      <w:r w:rsidR="00BB1964" w:rsidRPr="005205FB">
        <w:rPr>
          <w:rFonts w:ascii="Calibri" w:hAnsi="Calibri" w:cs="Calibri"/>
          <w:lang w:val="fr-FR"/>
        </w:rPr>
        <w:t>passage de</w:t>
      </w:r>
      <w:r w:rsidR="000805A3" w:rsidRPr="005205FB">
        <w:rPr>
          <w:rFonts w:ascii="Calibri" w:hAnsi="Calibri" w:cs="Calibri"/>
          <w:lang w:val="fr-FR"/>
        </w:rPr>
        <w:t xml:space="preserve"> l’intention politique </w:t>
      </w:r>
      <w:r w:rsidR="00BB1964" w:rsidRPr="005205FB">
        <w:rPr>
          <w:rFonts w:ascii="Calibri" w:hAnsi="Calibri" w:cs="Calibri"/>
          <w:lang w:val="fr-FR"/>
        </w:rPr>
        <w:t>à</w:t>
      </w:r>
      <w:r w:rsidR="000805A3" w:rsidRPr="005205FB">
        <w:rPr>
          <w:rFonts w:ascii="Calibri" w:hAnsi="Calibri" w:cs="Calibri"/>
          <w:lang w:val="fr-FR"/>
        </w:rPr>
        <w:t xml:space="preserve"> la mise en œuvre</w:t>
      </w:r>
      <w:r w:rsidR="00BB1964" w:rsidRPr="005205FB">
        <w:rPr>
          <w:rFonts w:ascii="Calibri" w:hAnsi="Calibri" w:cs="Calibri"/>
          <w:lang w:val="fr-FR"/>
        </w:rPr>
        <w:t xml:space="preserve">. En effet, </w:t>
      </w:r>
      <w:r w:rsidR="000805A3" w:rsidRPr="005205FB">
        <w:rPr>
          <w:rFonts w:ascii="Calibri" w:hAnsi="Calibri" w:cs="Calibri"/>
          <w:lang w:val="fr-FR"/>
        </w:rPr>
        <w:t xml:space="preserve">les Rapports précédents reconnaissaient principalement la conservation des zones humides comme un objectif important </w:t>
      </w:r>
      <w:r w:rsidR="00BB1964" w:rsidRPr="005205FB">
        <w:rPr>
          <w:rFonts w:ascii="Calibri" w:hAnsi="Calibri" w:cs="Calibri"/>
          <w:lang w:val="fr-FR"/>
        </w:rPr>
        <w:t>alors que</w:t>
      </w:r>
      <w:r w:rsidR="000805A3" w:rsidRPr="005205FB">
        <w:rPr>
          <w:rFonts w:ascii="Calibri" w:hAnsi="Calibri" w:cs="Calibri"/>
          <w:lang w:val="fr-FR"/>
        </w:rPr>
        <w:t xml:space="preserve"> les Rapports plus récents </w:t>
      </w:r>
      <w:r w:rsidR="00A43AEF" w:rsidRPr="005205FB">
        <w:rPr>
          <w:rFonts w:ascii="Calibri" w:hAnsi="Calibri" w:cs="Calibri"/>
          <w:lang w:val="fr-FR"/>
        </w:rPr>
        <w:t>contiennent</w:t>
      </w:r>
      <w:r w:rsidR="000805A3" w:rsidRPr="005205FB">
        <w:rPr>
          <w:rFonts w:ascii="Calibri" w:hAnsi="Calibri" w:cs="Calibri"/>
          <w:lang w:val="fr-FR"/>
        </w:rPr>
        <w:t xml:space="preserve"> des comptes rendus plus détaillés sur l’application des politiques et </w:t>
      </w:r>
      <w:r w:rsidR="00A43AEF" w:rsidRPr="005205FB">
        <w:rPr>
          <w:rFonts w:ascii="Calibri" w:hAnsi="Calibri" w:cs="Calibri"/>
          <w:lang w:val="fr-FR"/>
        </w:rPr>
        <w:t>sont</w:t>
      </w:r>
      <w:r w:rsidR="000805A3" w:rsidRPr="005205FB">
        <w:rPr>
          <w:rFonts w:ascii="Calibri" w:hAnsi="Calibri" w:cs="Calibri"/>
          <w:lang w:val="fr-FR"/>
        </w:rPr>
        <w:t xml:space="preserve"> plus explicite</w:t>
      </w:r>
      <w:r w:rsidR="00A43AEF" w:rsidRPr="005205FB">
        <w:rPr>
          <w:rFonts w:ascii="Calibri" w:hAnsi="Calibri" w:cs="Calibri"/>
          <w:lang w:val="fr-FR"/>
        </w:rPr>
        <w:t>s</w:t>
      </w:r>
      <w:r w:rsidR="000805A3" w:rsidRPr="005205FB">
        <w:rPr>
          <w:rFonts w:ascii="Calibri" w:hAnsi="Calibri" w:cs="Calibri"/>
          <w:lang w:val="fr-FR"/>
        </w:rPr>
        <w:t xml:space="preserve"> </w:t>
      </w:r>
      <w:r w:rsidR="00A43AEF" w:rsidRPr="005205FB">
        <w:rPr>
          <w:rFonts w:ascii="Calibri" w:hAnsi="Calibri" w:cs="Calibri"/>
          <w:lang w:val="fr-FR"/>
        </w:rPr>
        <w:t>quant à</w:t>
      </w:r>
      <w:r w:rsidR="000805A3" w:rsidRPr="005205FB">
        <w:rPr>
          <w:rFonts w:ascii="Calibri" w:hAnsi="Calibri" w:cs="Calibri"/>
          <w:lang w:val="fr-FR"/>
        </w:rPr>
        <w:t xml:space="preserve"> la pertinence par rapport à telle ou telle cible des ODD. Des exemples figurent dans le Tableau 1 </w:t>
      </w:r>
      <w:r w:rsidR="00A43AEF" w:rsidRPr="005205FB">
        <w:rPr>
          <w:rFonts w:ascii="Calibri" w:hAnsi="Calibri" w:cs="Calibri"/>
          <w:lang w:val="fr-FR"/>
        </w:rPr>
        <w:t>ci-dessous</w:t>
      </w:r>
      <w:r w:rsidR="000805A3" w:rsidRPr="005205FB">
        <w:rPr>
          <w:rFonts w:ascii="Calibri" w:hAnsi="Calibri" w:cs="Calibri"/>
          <w:lang w:val="fr-FR"/>
        </w:rPr>
        <w:t xml:space="preserve">. </w:t>
      </w:r>
      <w:r w:rsidR="005C5C8A" w:rsidRPr="005205FB">
        <w:rPr>
          <w:rFonts w:ascii="Calibri" w:hAnsi="Calibri" w:cs="Calibri"/>
          <w:lang w:val="fr-FR"/>
        </w:rPr>
        <w:t xml:space="preserve"> </w:t>
      </w:r>
    </w:p>
    <w:p w14:paraId="07D359EF" w14:textId="77777777" w:rsidR="0093408B" w:rsidRPr="005205FB" w:rsidRDefault="0093408B" w:rsidP="00A478A5">
      <w:pPr>
        <w:pStyle w:val="ListParagraph"/>
        <w:spacing w:after="0" w:line="240" w:lineRule="auto"/>
        <w:ind w:left="425" w:hanging="425"/>
        <w:rPr>
          <w:rFonts w:ascii="Calibri" w:hAnsi="Calibri" w:cs="Calibri"/>
          <w:b/>
          <w:bCs/>
          <w:lang w:val="fr-FR"/>
        </w:rPr>
      </w:pPr>
    </w:p>
    <w:p w14:paraId="2349E338" w14:textId="04AF664D" w:rsidR="00921470" w:rsidRPr="005205FB" w:rsidRDefault="00A478A5" w:rsidP="00A478A5">
      <w:pPr>
        <w:spacing w:after="0" w:line="240" w:lineRule="auto"/>
        <w:ind w:left="425" w:hanging="425"/>
        <w:rPr>
          <w:rFonts w:ascii="Calibri" w:hAnsi="Calibri" w:cs="Calibri"/>
          <w:b/>
          <w:bCs/>
          <w:lang w:val="fr-FR"/>
        </w:rPr>
      </w:pPr>
      <w:r w:rsidRPr="005205FB">
        <w:rPr>
          <w:rFonts w:ascii="Calibri" w:hAnsi="Calibri" w:cs="Calibri"/>
          <w:lang w:val="fr-FR"/>
        </w:rPr>
        <w:t>21.</w:t>
      </w:r>
      <w:r w:rsidRPr="005205FB">
        <w:rPr>
          <w:rFonts w:ascii="Calibri" w:hAnsi="Calibri" w:cs="Calibri"/>
          <w:lang w:val="fr-FR"/>
        </w:rPr>
        <w:tab/>
      </w:r>
      <w:r w:rsidR="00C17E59" w:rsidRPr="005205FB">
        <w:rPr>
          <w:rFonts w:ascii="Calibri" w:hAnsi="Calibri" w:cs="Calibri"/>
          <w:lang w:val="fr-FR"/>
        </w:rPr>
        <w:t xml:space="preserve">Les Parties contractantes ont fait des progrès en matière d’intégration de la conservation et de la gestion des zones humides dans les plans et cadres de développement durable ou </w:t>
      </w:r>
      <w:r w:rsidR="000F2387" w:rsidRPr="005205FB">
        <w:rPr>
          <w:rFonts w:ascii="Calibri" w:hAnsi="Calibri" w:cs="Calibri"/>
          <w:lang w:val="fr-FR"/>
        </w:rPr>
        <w:t xml:space="preserve">dans les </w:t>
      </w:r>
      <w:r w:rsidR="00C17E59" w:rsidRPr="005205FB">
        <w:rPr>
          <w:rFonts w:ascii="Calibri" w:hAnsi="Calibri" w:cs="Calibri"/>
          <w:lang w:val="fr-FR"/>
        </w:rPr>
        <w:t xml:space="preserve">plans sectoriels au niveau national ou sous-national. Globalement, </w:t>
      </w:r>
      <w:r w:rsidR="000F2387" w:rsidRPr="005205FB">
        <w:rPr>
          <w:rFonts w:ascii="Calibri" w:hAnsi="Calibri" w:cs="Calibri"/>
          <w:lang w:val="fr-FR"/>
        </w:rPr>
        <w:t xml:space="preserve">dans les Rapports nationaux, </w:t>
      </w:r>
      <w:r w:rsidR="00C17E59" w:rsidRPr="005205FB">
        <w:rPr>
          <w:rFonts w:ascii="Calibri" w:hAnsi="Calibri" w:cs="Calibri"/>
          <w:lang w:val="fr-FR"/>
        </w:rPr>
        <w:t xml:space="preserve">environ un tiers des Parties </w:t>
      </w:r>
      <w:r w:rsidR="000F2387" w:rsidRPr="005205FB">
        <w:rPr>
          <w:rFonts w:ascii="Calibri" w:hAnsi="Calibri" w:cs="Calibri"/>
          <w:lang w:val="fr-FR"/>
        </w:rPr>
        <w:t xml:space="preserve">signalent, comme exemples de mécanismes de suivi et de planification intersectoriels ou intégrés, </w:t>
      </w:r>
      <w:r w:rsidR="00C17E59" w:rsidRPr="005205FB">
        <w:rPr>
          <w:rFonts w:ascii="Calibri" w:hAnsi="Calibri" w:cs="Calibri"/>
          <w:lang w:val="fr-FR"/>
        </w:rPr>
        <w:t xml:space="preserve">des politiques </w:t>
      </w:r>
      <w:r w:rsidR="000F2387" w:rsidRPr="005205FB">
        <w:rPr>
          <w:rFonts w:ascii="Calibri" w:hAnsi="Calibri" w:cs="Calibri"/>
          <w:lang w:val="fr-FR"/>
        </w:rPr>
        <w:t xml:space="preserve">nationales </w:t>
      </w:r>
      <w:r w:rsidR="00C17E59" w:rsidRPr="005205FB">
        <w:rPr>
          <w:rFonts w:ascii="Calibri" w:hAnsi="Calibri" w:cs="Calibri"/>
          <w:lang w:val="fr-FR"/>
        </w:rPr>
        <w:t xml:space="preserve">de développement durable ou sectorielles qui comprennent explicitement </w:t>
      </w:r>
      <w:r w:rsidR="00F775C1" w:rsidRPr="005205FB">
        <w:rPr>
          <w:rFonts w:ascii="Calibri" w:hAnsi="Calibri" w:cs="Calibri"/>
          <w:lang w:val="fr-FR"/>
        </w:rPr>
        <w:t>des considérations de gestion et de conservation des zones humides.</w:t>
      </w:r>
    </w:p>
    <w:p w14:paraId="649EB2B5" w14:textId="77777777" w:rsidR="00921470" w:rsidRPr="005205FB" w:rsidRDefault="00921470" w:rsidP="00A478A5">
      <w:pPr>
        <w:pStyle w:val="ListParagraph"/>
        <w:spacing w:after="0" w:line="240" w:lineRule="auto"/>
        <w:ind w:left="425" w:hanging="425"/>
        <w:rPr>
          <w:rFonts w:ascii="Calibri" w:hAnsi="Calibri" w:cs="Calibri"/>
          <w:lang w:val="fr-FR"/>
        </w:rPr>
      </w:pPr>
    </w:p>
    <w:p w14:paraId="6A19B568" w14:textId="6E8F90AE" w:rsidR="00A8519D" w:rsidRPr="005205FB" w:rsidRDefault="00A478A5" w:rsidP="00A478A5">
      <w:pPr>
        <w:spacing w:after="0" w:line="240" w:lineRule="auto"/>
        <w:ind w:left="425" w:hanging="425"/>
        <w:rPr>
          <w:rFonts w:ascii="Calibri" w:hAnsi="Calibri" w:cs="Calibri"/>
          <w:b/>
          <w:bCs/>
          <w:lang w:val="fr-FR"/>
        </w:rPr>
      </w:pPr>
      <w:r w:rsidRPr="005205FB">
        <w:rPr>
          <w:rFonts w:ascii="Calibri" w:hAnsi="Calibri" w:cs="Calibri"/>
          <w:lang w:val="fr-FR"/>
        </w:rPr>
        <w:t>22.</w:t>
      </w:r>
      <w:r w:rsidRPr="005205FB">
        <w:rPr>
          <w:rFonts w:ascii="Calibri" w:hAnsi="Calibri" w:cs="Calibri"/>
          <w:lang w:val="fr-FR"/>
        </w:rPr>
        <w:tab/>
      </w:r>
      <w:r w:rsidR="005C0222" w:rsidRPr="005205FB">
        <w:rPr>
          <w:rFonts w:ascii="Calibri" w:hAnsi="Calibri" w:cs="Calibri"/>
          <w:lang w:val="fr-FR"/>
        </w:rPr>
        <w:t xml:space="preserve">Les Rapports nationaux </w:t>
      </w:r>
      <w:r w:rsidR="00AB12A2" w:rsidRPr="005205FB">
        <w:rPr>
          <w:rFonts w:ascii="Calibri" w:hAnsi="Calibri" w:cs="Calibri"/>
          <w:lang w:val="fr-FR"/>
        </w:rPr>
        <w:t>reflètent</w:t>
      </w:r>
      <w:r w:rsidR="005C0222" w:rsidRPr="005205FB">
        <w:rPr>
          <w:rFonts w:ascii="Calibri" w:hAnsi="Calibri" w:cs="Calibri"/>
          <w:lang w:val="fr-FR"/>
        </w:rPr>
        <w:t xml:space="preserve"> aussi un intérêt accru pour la valeur économique des zones humides </w:t>
      </w:r>
      <w:r w:rsidR="00AB12A2" w:rsidRPr="005205FB">
        <w:rPr>
          <w:rFonts w:ascii="Calibri" w:hAnsi="Calibri" w:cs="Calibri"/>
          <w:lang w:val="fr-FR"/>
        </w:rPr>
        <w:t>pour</w:t>
      </w:r>
      <w:r w:rsidR="005C0222" w:rsidRPr="005205FB">
        <w:rPr>
          <w:rFonts w:ascii="Calibri" w:hAnsi="Calibri" w:cs="Calibri"/>
          <w:lang w:val="fr-FR"/>
        </w:rPr>
        <w:t xml:space="preserve"> faire progresser le développement durable et la gestion des zones humides, et certaines Parties contractantes étudient les moyens d’intégrer </w:t>
      </w:r>
      <w:r w:rsidR="00AB12A2" w:rsidRPr="005205FB">
        <w:rPr>
          <w:rFonts w:ascii="Calibri" w:hAnsi="Calibri" w:cs="Calibri"/>
          <w:lang w:val="fr-FR"/>
        </w:rPr>
        <w:t>la</w:t>
      </w:r>
      <w:r w:rsidR="005C0222" w:rsidRPr="005205FB">
        <w:rPr>
          <w:rFonts w:ascii="Calibri" w:hAnsi="Calibri" w:cs="Calibri"/>
          <w:lang w:val="fr-FR"/>
        </w:rPr>
        <w:t xml:space="preserve"> valeur économique des zones humides dans les processus </w:t>
      </w:r>
      <w:r w:rsidR="00AB12A2" w:rsidRPr="005205FB">
        <w:rPr>
          <w:rFonts w:ascii="Calibri" w:hAnsi="Calibri" w:cs="Calibri"/>
          <w:lang w:val="fr-FR"/>
        </w:rPr>
        <w:t xml:space="preserve">nationaux </w:t>
      </w:r>
      <w:r w:rsidR="005C0222" w:rsidRPr="005205FB">
        <w:rPr>
          <w:rFonts w:ascii="Calibri" w:hAnsi="Calibri" w:cs="Calibri"/>
          <w:lang w:val="fr-FR"/>
        </w:rPr>
        <w:t>de planification et de prise de décisions. Toutefois, il reste des difficultés, notamment du point de vue de la coordination et du partage des informations entre les ministères et les secteurs.</w:t>
      </w:r>
    </w:p>
    <w:p w14:paraId="5611D5ED" w14:textId="73C2DCE4" w:rsidR="00A8519D" w:rsidRPr="007271D2" w:rsidRDefault="00A8519D" w:rsidP="003614B1">
      <w:pPr>
        <w:spacing w:after="0" w:line="240" w:lineRule="auto"/>
        <w:rPr>
          <w:rFonts w:ascii="Calibri" w:hAnsi="Calibri" w:cs="Calibri"/>
          <w:b/>
          <w:bCs/>
          <w:sz w:val="24"/>
          <w:szCs w:val="24"/>
          <w:lang w:val="fr-FR"/>
        </w:rPr>
      </w:pPr>
    </w:p>
    <w:p w14:paraId="7D45E19B" w14:textId="3306D215" w:rsidR="00B9158E" w:rsidRPr="001A0065" w:rsidRDefault="009E2450" w:rsidP="005C0222">
      <w:pPr>
        <w:keepNext/>
        <w:keepLines/>
        <w:spacing w:after="0" w:line="240" w:lineRule="auto"/>
        <w:rPr>
          <w:rFonts w:ascii="Calibri" w:eastAsiaTheme="minorEastAsia" w:hAnsi="Calibri" w:cs="Calibri"/>
          <w:i/>
          <w:iCs/>
          <w:spacing w:val="-4"/>
          <w:lang w:val="fr-FR"/>
        </w:rPr>
      </w:pPr>
      <w:r w:rsidRPr="001A0065">
        <w:rPr>
          <w:rFonts w:ascii="Calibri" w:eastAsiaTheme="minorEastAsia" w:hAnsi="Calibri" w:cs="Calibri"/>
          <w:i/>
          <w:iCs/>
          <w:spacing w:val="-4"/>
          <w:lang w:val="fr-FR"/>
        </w:rPr>
        <w:lastRenderedPageBreak/>
        <w:t>Table</w:t>
      </w:r>
      <w:r w:rsidR="00F023DC" w:rsidRPr="001A0065">
        <w:rPr>
          <w:rFonts w:ascii="Calibri" w:eastAsiaTheme="minorEastAsia" w:hAnsi="Calibri" w:cs="Calibri"/>
          <w:i/>
          <w:iCs/>
          <w:spacing w:val="-4"/>
          <w:lang w:val="fr-FR"/>
        </w:rPr>
        <w:t>au</w:t>
      </w:r>
      <w:r w:rsidRPr="001A0065">
        <w:rPr>
          <w:rFonts w:ascii="Calibri" w:eastAsiaTheme="minorEastAsia" w:hAnsi="Calibri" w:cs="Calibri"/>
          <w:i/>
          <w:iCs/>
          <w:spacing w:val="-4"/>
          <w:lang w:val="fr-FR"/>
        </w:rPr>
        <w:t xml:space="preserve"> 1. Ex</w:t>
      </w:r>
      <w:r w:rsidR="00F023DC" w:rsidRPr="001A0065">
        <w:rPr>
          <w:rFonts w:ascii="Calibri" w:eastAsiaTheme="minorEastAsia" w:hAnsi="Calibri" w:cs="Calibri"/>
          <w:i/>
          <w:iCs/>
          <w:spacing w:val="-4"/>
          <w:lang w:val="fr-FR"/>
        </w:rPr>
        <w:t>e</w:t>
      </w:r>
      <w:r w:rsidRPr="001A0065">
        <w:rPr>
          <w:rFonts w:ascii="Calibri" w:eastAsiaTheme="minorEastAsia" w:hAnsi="Calibri" w:cs="Calibri"/>
          <w:i/>
          <w:iCs/>
          <w:spacing w:val="-4"/>
          <w:lang w:val="fr-FR"/>
        </w:rPr>
        <w:t xml:space="preserve">mples </w:t>
      </w:r>
      <w:r w:rsidR="00F023DC" w:rsidRPr="001A0065">
        <w:rPr>
          <w:rFonts w:ascii="Calibri" w:eastAsiaTheme="minorEastAsia" w:hAnsi="Calibri" w:cs="Calibri"/>
          <w:i/>
          <w:iCs/>
          <w:spacing w:val="-4"/>
          <w:lang w:val="fr-FR"/>
        </w:rPr>
        <w:t xml:space="preserve">de mesures relatives aux zones humides contribuant à la réalisation des ODD, signalés par les Parties contractantes dans leurs Rapports nationaux à la COP13, à la COP14 et à la COP15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809"/>
        <w:gridCol w:w="4463"/>
        <w:gridCol w:w="1582"/>
      </w:tblGrid>
      <w:tr w:rsidR="00D819F3" w:rsidRPr="00F023DC" w14:paraId="0D69C828" w14:textId="77777777" w:rsidTr="003A159F">
        <w:trPr>
          <w:cantSplit/>
          <w:trHeight w:val="288"/>
          <w:tblHeader/>
        </w:trPr>
        <w:tc>
          <w:tcPr>
            <w:tcW w:w="1497" w:type="dxa"/>
            <w:shd w:val="clear" w:color="auto" w:fill="DAE9F7" w:themeFill="text2" w:themeFillTint="1A"/>
            <w:noWrap/>
            <w:vAlign w:val="center"/>
            <w:hideMark/>
          </w:tcPr>
          <w:p w14:paraId="1AF13B50" w14:textId="37D7837B" w:rsidR="00BD4635" w:rsidRPr="005205FB" w:rsidRDefault="00F023DC" w:rsidP="005C0222">
            <w:pPr>
              <w:keepNext/>
              <w:keepLines/>
              <w:spacing w:after="0" w:line="240" w:lineRule="auto"/>
              <w:jc w:val="center"/>
              <w:rPr>
                <w:rFonts w:ascii="Calibri" w:eastAsia="Times New Roman" w:hAnsi="Calibri" w:cs="Calibri"/>
                <w:b/>
                <w:bCs/>
                <w:color w:val="000000"/>
                <w:kern w:val="0"/>
                <w:sz w:val="20"/>
                <w:szCs w:val="20"/>
                <w:lang w:val="fr-FR"/>
                <w14:ligatures w14:val="none"/>
              </w:rPr>
            </w:pPr>
            <w:r w:rsidRPr="005205FB">
              <w:rPr>
                <w:rFonts w:ascii="Calibri" w:eastAsia="Times New Roman" w:hAnsi="Calibri" w:cs="Calibri"/>
                <w:b/>
                <w:bCs/>
                <w:color w:val="000000"/>
                <w:kern w:val="0"/>
                <w:sz w:val="20"/>
                <w:szCs w:val="20"/>
                <w:lang w:val="fr-FR"/>
                <w14:ligatures w14:val="none"/>
              </w:rPr>
              <w:t>Partie contractante</w:t>
            </w:r>
          </w:p>
        </w:tc>
        <w:tc>
          <w:tcPr>
            <w:tcW w:w="1809" w:type="dxa"/>
            <w:shd w:val="clear" w:color="auto" w:fill="DAE9F7" w:themeFill="text2" w:themeFillTint="1A"/>
            <w:noWrap/>
            <w:vAlign w:val="center"/>
            <w:hideMark/>
          </w:tcPr>
          <w:p w14:paraId="337D36C4" w14:textId="47813CCB" w:rsidR="00BD4635" w:rsidRPr="005205FB" w:rsidRDefault="00F023DC" w:rsidP="005C0222">
            <w:pPr>
              <w:keepNext/>
              <w:keepLines/>
              <w:spacing w:after="0" w:line="240" w:lineRule="auto"/>
              <w:jc w:val="center"/>
              <w:rPr>
                <w:rFonts w:ascii="Calibri" w:eastAsia="Times New Roman" w:hAnsi="Calibri" w:cs="Calibri"/>
                <w:b/>
                <w:bCs/>
                <w:color w:val="000000"/>
                <w:kern w:val="0"/>
                <w:sz w:val="20"/>
                <w:szCs w:val="20"/>
                <w:lang w:val="fr-FR"/>
                <w14:ligatures w14:val="none"/>
              </w:rPr>
            </w:pPr>
            <w:r w:rsidRPr="005205FB">
              <w:rPr>
                <w:rFonts w:ascii="Calibri" w:eastAsia="Times New Roman" w:hAnsi="Calibri" w:cs="Calibri"/>
                <w:b/>
                <w:bCs/>
                <w:color w:val="000000"/>
                <w:kern w:val="0"/>
                <w:sz w:val="20"/>
                <w:szCs w:val="20"/>
                <w:lang w:val="fr-FR"/>
                <w14:ligatures w14:val="none"/>
              </w:rPr>
              <w:t xml:space="preserve">Principales initiatives </w:t>
            </w:r>
          </w:p>
        </w:tc>
        <w:tc>
          <w:tcPr>
            <w:tcW w:w="4463" w:type="dxa"/>
            <w:shd w:val="clear" w:color="auto" w:fill="DAE9F7" w:themeFill="text2" w:themeFillTint="1A"/>
            <w:vAlign w:val="center"/>
          </w:tcPr>
          <w:p w14:paraId="65AADAB6" w14:textId="15007DDF" w:rsidR="00BD4635" w:rsidRPr="005205FB" w:rsidRDefault="00842CEE" w:rsidP="005C0222">
            <w:pPr>
              <w:keepNext/>
              <w:keepLines/>
              <w:spacing w:after="0" w:line="240" w:lineRule="auto"/>
              <w:jc w:val="center"/>
              <w:rPr>
                <w:rFonts w:ascii="Calibri" w:hAnsi="Calibri" w:cs="Calibri"/>
                <w:b/>
                <w:bCs/>
                <w:sz w:val="20"/>
                <w:szCs w:val="20"/>
                <w:lang w:val="fr-FR"/>
              </w:rPr>
            </w:pPr>
            <w:r w:rsidRPr="005205FB">
              <w:rPr>
                <w:rFonts w:ascii="Calibri" w:hAnsi="Calibri" w:cs="Calibri"/>
                <w:b/>
                <w:bCs/>
                <w:sz w:val="20"/>
                <w:szCs w:val="20"/>
                <w:lang w:val="fr-FR"/>
              </w:rPr>
              <w:t>Résultats</w:t>
            </w:r>
          </w:p>
        </w:tc>
        <w:tc>
          <w:tcPr>
            <w:tcW w:w="1582" w:type="dxa"/>
            <w:shd w:val="clear" w:color="auto" w:fill="DAE9F7" w:themeFill="text2" w:themeFillTint="1A"/>
            <w:vAlign w:val="center"/>
          </w:tcPr>
          <w:p w14:paraId="66956C54" w14:textId="27B6FEAB" w:rsidR="00BD4635" w:rsidRPr="005205FB" w:rsidRDefault="00F023DC" w:rsidP="005C0222">
            <w:pPr>
              <w:keepNext/>
              <w:keepLines/>
              <w:spacing w:after="0" w:line="240" w:lineRule="auto"/>
              <w:jc w:val="center"/>
              <w:rPr>
                <w:rFonts w:ascii="Calibri" w:eastAsia="Times New Roman" w:hAnsi="Calibri" w:cs="Calibri"/>
                <w:b/>
                <w:bCs/>
                <w:color w:val="000000"/>
                <w:kern w:val="0"/>
                <w:sz w:val="20"/>
                <w:szCs w:val="20"/>
                <w:lang w:val="fr-FR"/>
                <w14:ligatures w14:val="none"/>
              </w:rPr>
            </w:pPr>
            <w:r w:rsidRPr="005205FB">
              <w:rPr>
                <w:rFonts w:ascii="Calibri" w:eastAsia="Times New Roman" w:hAnsi="Calibri" w:cs="Calibri"/>
                <w:b/>
                <w:bCs/>
                <w:color w:val="000000"/>
                <w:kern w:val="0"/>
                <w:sz w:val="20"/>
                <w:szCs w:val="20"/>
                <w:lang w:val="fr-FR"/>
                <w14:ligatures w14:val="none"/>
              </w:rPr>
              <w:t>C</w:t>
            </w:r>
            <w:r w:rsidR="00BD4635" w:rsidRPr="005205FB">
              <w:rPr>
                <w:rFonts w:ascii="Calibri" w:eastAsia="Times New Roman" w:hAnsi="Calibri" w:cs="Calibri"/>
                <w:b/>
                <w:bCs/>
                <w:color w:val="000000"/>
                <w:kern w:val="0"/>
                <w:sz w:val="20"/>
                <w:szCs w:val="20"/>
                <w:lang w:val="fr-FR"/>
                <w14:ligatures w14:val="none"/>
              </w:rPr>
              <w:t>ontributions</w:t>
            </w:r>
            <w:r w:rsidRPr="005205FB">
              <w:rPr>
                <w:rFonts w:ascii="Calibri" w:eastAsia="Times New Roman" w:hAnsi="Calibri" w:cs="Calibri"/>
                <w:b/>
                <w:bCs/>
                <w:color w:val="000000"/>
                <w:kern w:val="0"/>
                <w:sz w:val="20"/>
                <w:szCs w:val="20"/>
                <w:lang w:val="fr-FR"/>
                <w14:ligatures w14:val="none"/>
              </w:rPr>
              <w:t xml:space="preserve"> aux ODD</w:t>
            </w:r>
          </w:p>
        </w:tc>
      </w:tr>
      <w:tr w:rsidR="00172362" w:rsidRPr="00F023DC" w14:paraId="6876009D" w14:textId="77777777" w:rsidTr="009F71B2">
        <w:trPr>
          <w:cantSplit/>
          <w:trHeight w:val="288"/>
        </w:trPr>
        <w:tc>
          <w:tcPr>
            <w:tcW w:w="1497" w:type="dxa"/>
            <w:shd w:val="clear" w:color="auto" w:fill="auto"/>
            <w:noWrap/>
            <w:hideMark/>
          </w:tcPr>
          <w:p w14:paraId="661B6AB6" w14:textId="77777777" w:rsidR="00172362" w:rsidRPr="005205FB" w:rsidRDefault="00172362"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Afrique du Sud</w:t>
            </w:r>
          </w:p>
        </w:tc>
        <w:tc>
          <w:tcPr>
            <w:tcW w:w="1809" w:type="dxa"/>
            <w:shd w:val="clear" w:color="auto" w:fill="auto"/>
            <w:noWrap/>
            <w:hideMark/>
          </w:tcPr>
          <w:p w14:paraId="44D9AEEB" w14:textId="288FBEFE" w:rsidR="00172362" w:rsidRPr="005205FB" w:rsidRDefault="00172362"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Programme </w:t>
            </w:r>
            <w:r w:rsidR="007D105C" w:rsidRPr="005205FB">
              <w:rPr>
                <w:rFonts w:ascii="Calibri" w:eastAsia="Times New Roman" w:hAnsi="Calibri" w:cs="Calibri"/>
                <w:color w:val="000000"/>
                <w:kern w:val="0"/>
                <w:sz w:val="20"/>
                <w:szCs w:val="20"/>
                <w:lang w:val="fr-FR"/>
                <w14:ligatures w14:val="none"/>
              </w:rPr>
              <w:t>Agir</w:t>
            </w:r>
            <w:r w:rsidRPr="005205FB">
              <w:rPr>
                <w:rFonts w:ascii="Calibri" w:eastAsia="Times New Roman" w:hAnsi="Calibri" w:cs="Calibri"/>
                <w:color w:val="000000"/>
                <w:kern w:val="0"/>
                <w:sz w:val="20"/>
                <w:szCs w:val="20"/>
                <w:lang w:val="fr-FR"/>
                <w14:ligatures w14:val="none"/>
              </w:rPr>
              <w:t xml:space="preserve"> pour les zones humides </w:t>
            </w:r>
          </w:p>
        </w:tc>
        <w:tc>
          <w:tcPr>
            <w:tcW w:w="4463" w:type="dxa"/>
          </w:tcPr>
          <w:p w14:paraId="6E184F4D" w14:textId="1453331E" w:rsidR="00172362" w:rsidRPr="005205FB" w:rsidRDefault="00172362"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1200 zones humides</w:t>
            </w:r>
            <w:r w:rsidR="00842CEE" w:rsidRPr="005205FB">
              <w:rPr>
                <w:rFonts w:ascii="Calibri" w:hAnsi="Calibri" w:cs="Calibri"/>
                <w:sz w:val="20"/>
                <w:szCs w:val="20"/>
                <w:lang w:val="fr-FR"/>
              </w:rPr>
              <w:t xml:space="preserve"> restaurées ;</w:t>
            </w:r>
            <w:r w:rsidRPr="005205FB">
              <w:rPr>
                <w:rFonts w:ascii="Calibri" w:hAnsi="Calibri" w:cs="Calibri"/>
                <w:sz w:val="20"/>
                <w:szCs w:val="20"/>
                <w:lang w:val="fr-FR"/>
              </w:rPr>
              <w:t xml:space="preserve"> </w:t>
            </w:r>
            <w:r w:rsidR="00842CEE" w:rsidRPr="005205FB">
              <w:rPr>
                <w:rFonts w:ascii="Calibri" w:hAnsi="Calibri" w:cs="Calibri"/>
                <w:sz w:val="20"/>
                <w:szCs w:val="20"/>
                <w:lang w:val="fr-FR"/>
              </w:rPr>
              <w:t xml:space="preserve">dépôts de </w:t>
            </w:r>
            <w:r w:rsidRPr="005205FB">
              <w:rPr>
                <w:rFonts w:ascii="Calibri" w:hAnsi="Calibri" w:cs="Calibri"/>
                <w:sz w:val="20"/>
                <w:szCs w:val="20"/>
                <w:lang w:val="fr-FR"/>
              </w:rPr>
              <w:t xml:space="preserve">sédiments </w:t>
            </w:r>
            <w:r w:rsidR="00842CEE" w:rsidRPr="005205FB">
              <w:rPr>
                <w:rFonts w:ascii="Calibri" w:hAnsi="Calibri" w:cs="Calibri"/>
                <w:sz w:val="20"/>
                <w:szCs w:val="20"/>
                <w:lang w:val="fr-FR"/>
              </w:rPr>
              <w:t xml:space="preserve">réduits </w:t>
            </w:r>
            <w:r w:rsidRPr="005205FB">
              <w:rPr>
                <w:rFonts w:ascii="Calibri" w:hAnsi="Calibri" w:cs="Calibri"/>
                <w:sz w:val="20"/>
                <w:szCs w:val="20"/>
                <w:lang w:val="fr-FR"/>
              </w:rPr>
              <w:t>de 30 à 40 </w:t>
            </w:r>
            <w:r w:rsidR="00842CEE" w:rsidRPr="005205FB">
              <w:rPr>
                <w:rFonts w:ascii="Calibri" w:hAnsi="Calibri" w:cs="Calibri"/>
                <w:sz w:val="20"/>
                <w:szCs w:val="20"/>
                <w:lang w:val="fr-FR"/>
              </w:rPr>
              <w:t>%,</w:t>
            </w:r>
            <w:r w:rsidRPr="005205FB">
              <w:rPr>
                <w:rFonts w:ascii="Calibri" w:hAnsi="Calibri" w:cs="Calibri"/>
                <w:sz w:val="20"/>
                <w:szCs w:val="20"/>
                <w:lang w:val="fr-FR"/>
              </w:rPr>
              <w:t xml:space="preserve"> flux d’eau</w:t>
            </w:r>
            <w:r w:rsidR="00842CEE" w:rsidRPr="005205FB">
              <w:rPr>
                <w:rFonts w:ascii="Calibri" w:hAnsi="Calibri" w:cs="Calibri"/>
                <w:sz w:val="20"/>
                <w:szCs w:val="20"/>
                <w:lang w:val="fr-FR"/>
              </w:rPr>
              <w:t xml:space="preserve"> améliorés</w:t>
            </w:r>
            <w:r w:rsidRPr="005205FB">
              <w:rPr>
                <w:rFonts w:ascii="Calibri" w:hAnsi="Calibri" w:cs="Calibri"/>
                <w:sz w:val="20"/>
                <w:szCs w:val="20"/>
                <w:lang w:val="fr-FR"/>
              </w:rPr>
              <w:t xml:space="preserve"> en saison sèche</w:t>
            </w:r>
            <w:r w:rsidR="00842CEE" w:rsidRPr="005205FB">
              <w:rPr>
                <w:rFonts w:ascii="Calibri" w:hAnsi="Calibri" w:cs="Calibri"/>
                <w:sz w:val="20"/>
                <w:szCs w:val="20"/>
                <w:lang w:val="fr-FR"/>
              </w:rPr>
              <w:t xml:space="preserve"> et création de</w:t>
            </w:r>
            <w:r w:rsidRPr="005205FB">
              <w:rPr>
                <w:rFonts w:ascii="Calibri" w:hAnsi="Calibri" w:cs="Calibri"/>
                <w:sz w:val="20"/>
                <w:szCs w:val="20"/>
                <w:lang w:val="fr-FR"/>
              </w:rPr>
              <w:t xml:space="preserve"> 25 000 emplois</w:t>
            </w:r>
            <w:r w:rsidR="00842CEE" w:rsidRPr="005205FB">
              <w:rPr>
                <w:rFonts w:ascii="Calibri" w:hAnsi="Calibri" w:cs="Calibri"/>
                <w:sz w:val="20"/>
                <w:szCs w:val="20"/>
                <w:lang w:val="fr-FR"/>
              </w:rPr>
              <w:t xml:space="preserve"> ; </w:t>
            </w:r>
            <w:r w:rsidRPr="005205FB">
              <w:rPr>
                <w:rFonts w:ascii="Calibri" w:hAnsi="Calibri" w:cs="Calibri"/>
                <w:sz w:val="20"/>
                <w:szCs w:val="20"/>
                <w:lang w:val="fr-FR"/>
              </w:rPr>
              <w:t xml:space="preserve">restauration écologique </w:t>
            </w:r>
            <w:r w:rsidR="00842CEE" w:rsidRPr="005205FB">
              <w:rPr>
                <w:rFonts w:ascii="Calibri" w:hAnsi="Calibri" w:cs="Calibri"/>
                <w:sz w:val="20"/>
                <w:szCs w:val="20"/>
                <w:lang w:val="fr-FR"/>
              </w:rPr>
              <w:t xml:space="preserve">liée </w:t>
            </w:r>
            <w:r w:rsidRPr="005205FB">
              <w:rPr>
                <w:rFonts w:ascii="Calibri" w:hAnsi="Calibri" w:cs="Calibri"/>
                <w:sz w:val="20"/>
                <w:szCs w:val="20"/>
                <w:lang w:val="fr-FR"/>
              </w:rPr>
              <w:t>à l’allègement de la pauvreté et aux moyens d’existence durables.</w:t>
            </w:r>
          </w:p>
        </w:tc>
        <w:tc>
          <w:tcPr>
            <w:tcW w:w="1582" w:type="dxa"/>
          </w:tcPr>
          <w:p w14:paraId="35A72653" w14:textId="77777777" w:rsidR="00172362" w:rsidRPr="005205FB" w:rsidRDefault="00172362"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6, 8, 15</w:t>
            </w:r>
          </w:p>
        </w:tc>
      </w:tr>
      <w:tr w:rsidR="003A159F" w:rsidRPr="00F023DC" w14:paraId="21695562" w14:textId="77777777" w:rsidTr="009F71B2">
        <w:trPr>
          <w:cantSplit/>
          <w:trHeight w:val="288"/>
        </w:trPr>
        <w:tc>
          <w:tcPr>
            <w:tcW w:w="1497" w:type="dxa"/>
            <w:shd w:val="clear" w:color="auto" w:fill="auto"/>
            <w:noWrap/>
            <w:hideMark/>
          </w:tcPr>
          <w:p w14:paraId="2213DD9E" w14:textId="77777777" w:rsidR="003A159F" w:rsidRPr="005205FB" w:rsidRDefault="003A159F" w:rsidP="009F71B2">
            <w:pPr>
              <w:keepNext/>
              <w:keepLines/>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Australie</w:t>
            </w:r>
          </w:p>
        </w:tc>
        <w:tc>
          <w:tcPr>
            <w:tcW w:w="1809" w:type="dxa"/>
            <w:shd w:val="clear" w:color="auto" w:fill="auto"/>
            <w:noWrap/>
            <w:hideMark/>
          </w:tcPr>
          <w:p w14:paraId="6F29B2F0" w14:textId="64C4AE2B" w:rsidR="003A159F" w:rsidRPr="005205FB" w:rsidRDefault="003A159F" w:rsidP="009F71B2">
            <w:pPr>
              <w:keepNext/>
              <w:keepLines/>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Plan </w:t>
            </w:r>
            <w:r w:rsidR="00842CEE" w:rsidRPr="005205FB">
              <w:rPr>
                <w:rFonts w:ascii="Calibri" w:eastAsia="Times New Roman" w:hAnsi="Calibri" w:cs="Calibri"/>
                <w:color w:val="000000"/>
                <w:kern w:val="0"/>
                <w:sz w:val="20"/>
                <w:szCs w:val="20"/>
                <w:lang w:val="fr-FR"/>
                <w14:ligatures w14:val="none"/>
              </w:rPr>
              <w:t>pour le</w:t>
            </w:r>
            <w:r w:rsidRPr="005205FB">
              <w:rPr>
                <w:rFonts w:ascii="Calibri" w:eastAsia="Times New Roman" w:hAnsi="Calibri" w:cs="Calibri"/>
                <w:color w:val="000000"/>
                <w:kern w:val="0"/>
                <w:sz w:val="20"/>
                <w:szCs w:val="20"/>
                <w:lang w:val="fr-FR"/>
                <w14:ligatures w14:val="none"/>
              </w:rPr>
              <w:t xml:space="preserve"> </w:t>
            </w:r>
            <w:r w:rsidR="00842CEE" w:rsidRPr="005205FB">
              <w:rPr>
                <w:rFonts w:ascii="Calibri" w:eastAsia="Times New Roman" w:hAnsi="Calibri" w:cs="Calibri"/>
                <w:color w:val="000000"/>
                <w:kern w:val="0"/>
                <w:sz w:val="20"/>
                <w:szCs w:val="20"/>
                <w:lang w:val="fr-FR"/>
                <w14:ligatures w14:val="none"/>
              </w:rPr>
              <w:t>b</w:t>
            </w:r>
            <w:r w:rsidRPr="005205FB">
              <w:rPr>
                <w:rFonts w:ascii="Calibri" w:eastAsia="Times New Roman" w:hAnsi="Calibri" w:cs="Calibri"/>
                <w:color w:val="000000"/>
                <w:kern w:val="0"/>
                <w:sz w:val="20"/>
                <w:szCs w:val="20"/>
                <w:lang w:val="fr-FR"/>
                <w14:ligatures w14:val="none"/>
              </w:rPr>
              <w:t xml:space="preserve">assin Murray-Darling </w:t>
            </w:r>
          </w:p>
        </w:tc>
        <w:tc>
          <w:tcPr>
            <w:tcW w:w="4463" w:type="dxa"/>
          </w:tcPr>
          <w:p w14:paraId="2DC29866" w14:textId="5180D20E" w:rsidR="003A159F" w:rsidRPr="005205FB" w:rsidRDefault="009A1275" w:rsidP="009F71B2">
            <w:pPr>
              <w:keepNext/>
              <w:keepLines/>
              <w:spacing w:after="0" w:line="240" w:lineRule="auto"/>
              <w:rPr>
                <w:rFonts w:ascii="Calibri" w:hAnsi="Calibri" w:cs="Calibri"/>
                <w:sz w:val="20"/>
                <w:szCs w:val="20"/>
                <w:lang w:val="fr-FR"/>
              </w:rPr>
            </w:pPr>
            <w:r w:rsidRPr="005205FB">
              <w:rPr>
                <w:rFonts w:ascii="Calibri" w:hAnsi="Calibri" w:cs="Calibri"/>
                <w:sz w:val="20"/>
                <w:szCs w:val="20"/>
                <w:lang w:val="fr-FR"/>
              </w:rPr>
              <w:t>L’attribution de f</w:t>
            </w:r>
            <w:r w:rsidR="003A159F" w:rsidRPr="005205FB">
              <w:rPr>
                <w:rFonts w:ascii="Calibri" w:hAnsi="Calibri" w:cs="Calibri"/>
                <w:sz w:val="20"/>
                <w:szCs w:val="20"/>
                <w:lang w:val="fr-FR"/>
              </w:rPr>
              <w:t xml:space="preserve">lux d’eau </w:t>
            </w:r>
            <w:r w:rsidRPr="005205FB">
              <w:rPr>
                <w:rFonts w:ascii="Calibri" w:hAnsi="Calibri" w:cs="Calibri"/>
                <w:sz w:val="20"/>
                <w:szCs w:val="20"/>
                <w:lang w:val="fr-FR"/>
              </w:rPr>
              <w:t>à l’</w:t>
            </w:r>
            <w:r w:rsidR="003A159F" w:rsidRPr="005205FB">
              <w:rPr>
                <w:rFonts w:ascii="Calibri" w:hAnsi="Calibri" w:cs="Calibri"/>
                <w:sz w:val="20"/>
                <w:szCs w:val="20"/>
                <w:lang w:val="fr-FR"/>
              </w:rPr>
              <w:t xml:space="preserve">environnement </w:t>
            </w:r>
            <w:r w:rsidRPr="005205FB">
              <w:rPr>
                <w:rFonts w:ascii="Calibri" w:hAnsi="Calibri" w:cs="Calibri"/>
                <w:sz w:val="20"/>
                <w:szCs w:val="20"/>
                <w:lang w:val="fr-FR"/>
              </w:rPr>
              <w:t>pour</w:t>
            </w:r>
            <w:r w:rsidR="003A159F" w:rsidRPr="005205FB">
              <w:rPr>
                <w:rFonts w:ascii="Calibri" w:hAnsi="Calibri" w:cs="Calibri"/>
                <w:sz w:val="20"/>
                <w:szCs w:val="20"/>
                <w:lang w:val="fr-FR"/>
              </w:rPr>
              <w:t xml:space="preserve"> restaur</w:t>
            </w:r>
            <w:r w:rsidRPr="005205FB">
              <w:rPr>
                <w:rFonts w:ascii="Calibri" w:hAnsi="Calibri" w:cs="Calibri"/>
                <w:sz w:val="20"/>
                <w:szCs w:val="20"/>
                <w:lang w:val="fr-FR"/>
              </w:rPr>
              <w:t>er</w:t>
            </w:r>
            <w:r w:rsidR="003A159F" w:rsidRPr="005205FB">
              <w:rPr>
                <w:rFonts w:ascii="Calibri" w:hAnsi="Calibri" w:cs="Calibri"/>
                <w:sz w:val="20"/>
                <w:szCs w:val="20"/>
                <w:lang w:val="fr-FR"/>
              </w:rPr>
              <w:t xml:space="preserve"> 20 000 hectares de zones humides </w:t>
            </w:r>
            <w:r w:rsidRPr="005205FB">
              <w:rPr>
                <w:rFonts w:ascii="Calibri" w:hAnsi="Calibri" w:cs="Calibri"/>
                <w:sz w:val="20"/>
                <w:szCs w:val="20"/>
                <w:lang w:val="fr-FR"/>
              </w:rPr>
              <w:t>a entraîné</w:t>
            </w:r>
            <w:r w:rsidR="003A159F" w:rsidRPr="005205FB">
              <w:rPr>
                <w:rFonts w:ascii="Calibri" w:hAnsi="Calibri" w:cs="Calibri"/>
                <w:sz w:val="20"/>
                <w:szCs w:val="20"/>
                <w:lang w:val="fr-FR"/>
              </w:rPr>
              <w:t xml:space="preserve"> une augmentation de 40 à 60 % des populations </w:t>
            </w:r>
            <w:r w:rsidRPr="005205FB">
              <w:rPr>
                <w:rFonts w:ascii="Calibri" w:hAnsi="Calibri" w:cs="Calibri"/>
                <w:sz w:val="20"/>
                <w:szCs w:val="20"/>
                <w:lang w:val="fr-FR"/>
              </w:rPr>
              <w:t xml:space="preserve">clés </w:t>
            </w:r>
            <w:r w:rsidR="003A159F" w:rsidRPr="005205FB">
              <w:rPr>
                <w:rFonts w:ascii="Calibri" w:hAnsi="Calibri" w:cs="Calibri"/>
                <w:sz w:val="20"/>
                <w:szCs w:val="20"/>
                <w:lang w:val="fr-FR"/>
              </w:rPr>
              <w:t xml:space="preserve">d’oiseaux d’eau et d’espèces de poissons, </w:t>
            </w:r>
            <w:r w:rsidRPr="005205FB">
              <w:rPr>
                <w:rFonts w:ascii="Calibri" w:hAnsi="Calibri" w:cs="Calibri"/>
                <w:sz w:val="20"/>
                <w:szCs w:val="20"/>
                <w:lang w:val="fr-FR"/>
              </w:rPr>
              <w:t>illustrant</w:t>
            </w:r>
            <w:r w:rsidR="003A159F" w:rsidRPr="005205FB">
              <w:rPr>
                <w:rFonts w:ascii="Calibri" w:hAnsi="Calibri" w:cs="Calibri"/>
                <w:sz w:val="20"/>
                <w:szCs w:val="20"/>
                <w:lang w:val="fr-FR"/>
              </w:rPr>
              <w:t xml:space="preserve"> la restauration des écosystèmes scientifiquement fondée.</w:t>
            </w:r>
          </w:p>
        </w:tc>
        <w:tc>
          <w:tcPr>
            <w:tcW w:w="1582" w:type="dxa"/>
          </w:tcPr>
          <w:p w14:paraId="1D5D5A99" w14:textId="77777777" w:rsidR="003A159F" w:rsidRPr="005205FB" w:rsidRDefault="003A159F" w:rsidP="009F71B2">
            <w:pPr>
              <w:keepNext/>
              <w:keepLines/>
              <w:spacing w:after="0" w:line="240" w:lineRule="auto"/>
              <w:rPr>
                <w:rFonts w:ascii="Calibri" w:hAnsi="Calibri" w:cs="Calibri"/>
                <w:sz w:val="20"/>
                <w:szCs w:val="20"/>
                <w:lang w:val="fr-FR"/>
              </w:rPr>
            </w:pPr>
            <w:r w:rsidRPr="005205FB">
              <w:rPr>
                <w:rFonts w:ascii="Calibri" w:hAnsi="Calibri" w:cs="Calibri"/>
                <w:sz w:val="20"/>
                <w:szCs w:val="20"/>
                <w:lang w:val="fr-FR"/>
              </w:rPr>
              <w:t>2, 3, 6, 14, 15</w:t>
            </w:r>
          </w:p>
        </w:tc>
      </w:tr>
      <w:tr w:rsidR="003A159F" w:rsidRPr="00F023DC" w14:paraId="4EE2207C" w14:textId="77777777" w:rsidTr="009F71B2">
        <w:trPr>
          <w:cantSplit/>
          <w:trHeight w:val="288"/>
        </w:trPr>
        <w:tc>
          <w:tcPr>
            <w:tcW w:w="1497" w:type="dxa"/>
            <w:shd w:val="clear" w:color="auto" w:fill="auto"/>
            <w:noWrap/>
            <w:hideMark/>
          </w:tcPr>
          <w:p w14:paraId="732D0363"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Bangladesh</w:t>
            </w:r>
          </w:p>
        </w:tc>
        <w:tc>
          <w:tcPr>
            <w:tcW w:w="1809" w:type="dxa"/>
            <w:shd w:val="clear" w:color="auto" w:fill="auto"/>
            <w:noWrap/>
            <w:hideMark/>
          </w:tcPr>
          <w:p w14:paraId="20E7DF75" w14:textId="3F2A9D50"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Initiative de gestion de l’</w:t>
            </w:r>
            <w:r w:rsidR="00796422" w:rsidRPr="005205FB">
              <w:rPr>
                <w:rFonts w:ascii="Calibri" w:hAnsi="Calibri" w:cs="Calibri"/>
                <w:sz w:val="20"/>
                <w:szCs w:val="20"/>
                <w:lang w:val="fr-FR"/>
              </w:rPr>
              <w:t>é</w:t>
            </w:r>
            <w:r w:rsidRPr="005205FB">
              <w:rPr>
                <w:rFonts w:ascii="Calibri" w:hAnsi="Calibri" w:cs="Calibri"/>
                <w:sz w:val="20"/>
                <w:szCs w:val="20"/>
                <w:lang w:val="fr-FR"/>
              </w:rPr>
              <w:t xml:space="preserve">cosystème </w:t>
            </w:r>
            <w:r w:rsidR="009750EC" w:rsidRPr="005205FB">
              <w:rPr>
                <w:rFonts w:ascii="Calibri" w:hAnsi="Calibri" w:cs="Calibri"/>
                <w:sz w:val="20"/>
                <w:szCs w:val="20"/>
                <w:lang w:val="fr-FR"/>
              </w:rPr>
              <w:t>h</w:t>
            </w:r>
            <w:r w:rsidRPr="005205FB">
              <w:rPr>
                <w:rFonts w:ascii="Calibri" w:hAnsi="Calibri" w:cs="Calibri"/>
                <w:sz w:val="20"/>
                <w:szCs w:val="20"/>
                <w:lang w:val="fr-FR"/>
              </w:rPr>
              <w:t xml:space="preserve">aor </w:t>
            </w:r>
          </w:p>
        </w:tc>
        <w:tc>
          <w:tcPr>
            <w:tcW w:w="4463" w:type="dxa"/>
          </w:tcPr>
          <w:p w14:paraId="7A7453F5"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Gestion améliorée et durable des pêcheries sur 80 000 ha de zones humides saisonnières ayant accru le revenu des ménages de 30 à 45 % tout en maintenant l’intégrité écosystémique.</w:t>
            </w:r>
          </w:p>
        </w:tc>
        <w:tc>
          <w:tcPr>
            <w:tcW w:w="1582" w:type="dxa"/>
          </w:tcPr>
          <w:p w14:paraId="5BC5D0A5"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1, 2</w:t>
            </w:r>
          </w:p>
        </w:tc>
      </w:tr>
      <w:tr w:rsidR="003A159F" w:rsidRPr="00F023DC" w14:paraId="1F5A7548" w14:textId="77777777" w:rsidTr="009F71B2">
        <w:trPr>
          <w:cantSplit/>
          <w:trHeight w:val="288"/>
        </w:trPr>
        <w:tc>
          <w:tcPr>
            <w:tcW w:w="1497" w:type="dxa"/>
            <w:shd w:val="clear" w:color="auto" w:fill="auto"/>
            <w:noWrap/>
            <w:hideMark/>
          </w:tcPr>
          <w:p w14:paraId="54050704"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Chine</w:t>
            </w:r>
          </w:p>
        </w:tc>
        <w:tc>
          <w:tcPr>
            <w:tcW w:w="1809" w:type="dxa"/>
            <w:shd w:val="clear" w:color="auto" w:fill="auto"/>
            <w:noWrap/>
            <w:hideMark/>
          </w:tcPr>
          <w:p w14:paraId="5FEB19B7" w14:textId="32AE111F"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Initiative </w:t>
            </w:r>
            <w:r w:rsidR="0077738B" w:rsidRPr="005205FB">
              <w:rPr>
                <w:rFonts w:ascii="Calibri" w:eastAsia="Times New Roman" w:hAnsi="Calibri" w:cs="Calibri"/>
                <w:color w:val="000000"/>
                <w:kern w:val="0"/>
                <w:sz w:val="20"/>
                <w:szCs w:val="20"/>
                <w:lang w:val="fr-FR"/>
                <w14:ligatures w14:val="none"/>
              </w:rPr>
              <w:t>Ville éponge</w:t>
            </w:r>
            <w:r w:rsidRPr="005205FB">
              <w:rPr>
                <w:rFonts w:ascii="Calibri" w:eastAsia="Times New Roman" w:hAnsi="Calibri" w:cs="Calibri"/>
                <w:color w:val="000000"/>
                <w:kern w:val="0"/>
                <w:sz w:val="20"/>
                <w:szCs w:val="20"/>
                <w:lang w:val="fr-FR"/>
                <w14:ligatures w14:val="none"/>
              </w:rPr>
              <w:t xml:space="preserve"> </w:t>
            </w:r>
          </w:p>
        </w:tc>
        <w:tc>
          <w:tcPr>
            <w:tcW w:w="4463" w:type="dxa"/>
          </w:tcPr>
          <w:p w14:paraId="59466595" w14:textId="58D71A7E"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Conservation intégrée des zones humides dans la planification urbaine de 30 villes pour réduire le pic des crues de 45 % </w:t>
            </w:r>
            <w:r w:rsidR="00571960" w:rsidRPr="005205FB">
              <w:rPr>
                <w:rFonts w:ascii="Calibri" w:hAnsi="Calibri" w:cs="Calibri"/>
                <w:sz w:val="20"/>
                <w:szCs w:val="20"/>
                <w:lang w:val="fr-FR"/>
              </w:rPr>
              <w:t xml:space="preserve">à Wuhan </w:t>
            </w:r>
            <w:r w:rsidRPr="005205FB">
              <w:rPr>
                <w:rFonts w:ascii="Calibri" w:hAnsi="Calibri" w:cs="Calibri"/>
                <w:sz w:val="20"/>
                <w:szCs w:val="20"/>
                <w:lang w:val="fr-FR"/>
              </w:rPr>
              <w:t xml:space="preserve">et créer des espaces verts </w:t>
            </w:r>
            <w:r w:rsidR="00571960" w:rsidRPr="005205FB">
              <w:rPr>
                <w:rFonts w:ascii="Calibri" w:hAnsi="Calibri" w:cs="Calibri"/>
                <w:sz w:val="20"/>
                <w:szCs w:val="20"/>
                <w:lang w:val="fr-FR"/>
              </w:rPr>
              <w:t xml:space="preserve">urbains </w:t>
            </w:r>
            <w:r w:rsidRPr="005205FB">
              <w:rPr>
                <w:rFonts w:ascii="Calibri" w:hAnsi="Calibri" w:cs="Calibri"/>
                <w:sz w:val="20"/>
                <w:szCs w:val="20"/>
                <w:lang w:val="fr-FR"/>
              </w:rPr>
              <w:t xml:space="preserve">pour 2 millions de résidents, </w:t>
            </w:r>
            <w:r w:rsidR="00571960" w:rsidRPr="005205FB">
              <w:rPr>
                <w:rFonts w:ascii="Calibri" w:hAnsi="Calibri" w:cs="Calibri"/>
                <w:sz w:val="20"/>
                <w:szCs w:val="20"/>
                <w:lang w:val="fr-FR"/>
              </w:rPr>
              <w:t>comme démonstration</w:t>
            </w:r>
            <w:r w:rsidRPr="005205FB">
              <w:rPr>
                <w:rFonts w:ascii="Calibri" w:hAnsi="Calibri" w:cs="Calibri"/>
                <w:sz w:val="20"/>
                <w:szCs w:val="20"/>
                <w:lang w:val="fr-FR"/>
              </w:rPr>
              <w:t xml:space="preserve"> de solutions fondées sur la nature pour la résilience urbaine.</w:t>
            </w:r>
          </w:p>
        </w:tc>
        <w:tc>
          <w:tcPr>
            <w:tcW w:w="1582" w:type="dxa"/>
          </w:tcPr>
          <w:p w14:paraId="7CB3F8BD"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6, 11, 13</w:t>
            </w:r>
          </w:p>
        </w:tc>
      </w:tr>
      <w:tr w:rsidR="003A159F" w:rsidRPr="00F023DC" w14:paraId="4316061E" w14:textId="77777777" w:rsidTr="009F71B2">
        <w:trPr>
          <w:cantSplit/>
          <w:trHeight w:val="288"/>
        </w:trPr>
        <w:tc>
          <w:tcPr>
            <w:tcW w:w="1497" w:type="dxa"/>
            <w:shd w:val="clear" w:color="auto" w:fill="auto"/>
            <w:noWrap/>
          </w:tcPr>
          <w:p w14:paraId="6C520021"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Colombie</w:t>
            </w:r>
          </w:p>
        </w:tc>
        <w:tc>
          <w:tcPr>
            <w:tcW w:w="1809" w:type="dxa"/>
            <w:shd w:val="clear" w:color="auto" w:fill="auto"/>
            <w:noWrap/>
          </w:tcPr>
          <w:p w14:paraId="20DBDBF0"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Politique nationale pour les zones humides intérieures</w:t>
            </w:r>
          </w:p>
        </w:tc>
        <w:tc>
          <w:tcPr>
            <w:tcW w:w="4463" w:type="dxa"/>
          </w:tcPr>
          <w:p w14:paraId="2D915A09" w14:textId="30E49695"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Intégration de la gestion des zones humides dans 18 plans de développement régionaux avec des cibles quantifiables </w:t>
            </w:r>
            <w:r w:rsidR="00571960" w:rsidRPr="005205FB">
              <w:rPr>
                <w:rFonts w:ascii="Calibri" w:hAnsi="Calibri" w:cs="Calibri"/>
                <w:sz w:val="20"/>
                <w:szCs w:val="20"/>
                <w:lang w:val="fr-FR"/>
              </w:rPr>
              <w:t>en matière de</w:t>
            </w:r>
            <w:r w:rsidRPr="005205FB">
              <w:rPr>
                <w:rFonts w:ascii="Calibri" w:hAnsi="Calibri" w:cs="Calibri"/>
                <w:sz w:val="20"/>
                <w:szCs w:val="20"/>
                <w:lang w:val="fr-FR"/>
              </w:rPr>
              <w:t xml:space="preserve"> restauration et d’utilisation durable. </w:t>
            </w:r>
          </w:p>
        </w:tc>
        <w:tc>
          <w:tcPr>
            <w:tcW w:w="1582" w:type="dxa"/>
          </w:tcPr>
          <w:p w14:paraId="3C37C890"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6, 15, 11</w:t>
            </w:r>
          </w:p>
        </w:tc>
      </w:tr>
      <w:tr w:rsidR="003A159F" w:rsidRPr="00F023DC" w14:paraId="45941A77" w14:textId="77777777" w:rsidTr="009F71B2">
        <w:trPr>
          <w:cantSplit/>
          <w:trHeight w:val="288"/>
        </w:trPr>
        <w:tc>
          <w:tcPr>
            <w:tcW w:w="1497" w:type="dxa"/>
            <w:shd w:val="clear" w:color="auto" w:fill="auto"/>
            <w:noWrap/>
            <w:hideMark/>
          </w:tcPr>
          <w:p w14:paraId="3EF58384"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Costa Rica</w:t>
            </w:r>
          </w:p>
        </w:tc>
        <w:tc>
          <w:tcPr>
            <w:tcW w:w="1809" w:type="dxa"/>
            <w:shd w:val="clear" w:color="auto" w:fill="auto"/>
            <w:noWrap/>
            <w:hideMark/>
          </w:tcPr>
          <w:p w14:paraId="6BC337E4"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Politique nationale pour les zones humides et Fonds national pour les zones humides </w:t>
            </w:r>
          </w:p>
          <w:p w14:paraId="3B4416F8"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p>
        </w:tc>
        <w:tc>
          <w:tcPr>
            <w:tcW w:w="4463" w:type="dxa"/>
          </w:tcPr>
          <w:p w14:paraId="3E320CB9"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Mangroves côtières restaurées qui séquestrent actuellement 5,1 millions de tonnes de carbone par an et réduisent l’impact des ondes de tempête de 60 %, contribuant à l’atténuation et à l’adaptation aux changements climatiques.</w:t>
            </w:r>
          </w:p>
          <w:p w14:paraId="211EECE0"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Mobilisation de 12 millions USD en cinq ans pour financer 45 projets de gestion des zones humides communautaires.</w:t>
            </w:r>
          </w:p>
        </w:tc>
        <w:tc>
          <w:tcPr>
            <w:tcW w:w="1582" w:type="dxa"/>
          </w:tcPr>
          <w:p w14:paraId="3A7214C8"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13, 14, 17 </w:t>
            </w:r>
          </w:p>
        </w:tc>
      </w:tr>
      <w:tr w:rsidR="003A159F" w:rsidRPr="00F023DC" w14:paraId="0E77E6A0" w14:textId="77777777" w:rsidTr="009F71B2">
        <w:trPr>
          <w:cantSplit/>
          <w:trHeight w:val="288"/>
        </w:trPr>
        <w:tc>
          <w:tcPr>
            <w:tcW w:w="1497" w:type="dxa"/>
            <w:shd w:val="clear" w:color="auto" w:fill="auto"/>
            <w:noWrap/>
          </w:tcPr>
          <w:p w14:paraId="5DC830F4"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Fidji</w:t>
            </w:r>
          </w:p>
        </w:tc>
        <w:tc>
          <w:tcPr>
            <w:tcW w:w="1809" w:type="dxa"/>
            <w:shd w:val="clear" w:color="auto" w:fill="auto"/>
            <w:noWrap/>
          </w:tcPr>
          <w:p w14:paraId="640AE5CB"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 xml:space="preserve">Cadre intégré de gestion côtière </w:t>
            </w:r>
          </w:p>
        </w:tc>
        <w:tc>
          <w:tcPr>
            <w:tcW w:w="4463" w:type="dxa"/>
          </w:tcPr>
          <w:p w14:paraId="111E7ED5"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Renforcement de la protection du littoral et soutien aux initiatives d’écotourisme générant 3 millions USD par an. </w:t>
            </w:r>
          </w:p>
        </w:tc>
        <w:tc>
          <w:tcPr>
            <w:tcW w:w="1582" w:type="dxa"/>
          </w:tcPr>
          <w:p w14:paraId="59F45BF0"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8, 14</w:t>
            </w:r>
          </w:p>
        </w:tc>
      </w:tr>
      <w:tr w:rsidR="003A159F" w:rsidRPr="00F023DC" w14:paraId="39C47F41" w14:textId="77777777" w:rsidTr="009F71B2">
        <w:trPr>
          <w:cantSplit/>
          <w:trHeight w:val="288"/>
        </w:trPr>
        <w:tc>
          <w:tcPr>
            <w:tcW w:w="1497" w:type="dxa"/>
            <w:shd w:val="clear" w:color="auto" w:fill="auto"/>
            <w:noWrap/>
            <w:hideMark/>
          </w:tcPr>
          <w:p w14:paraId="28D732D6"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Finlande</w:t>
            </w:r>
          </w:p>
        </w:tc>
        <w:tc>
          <w:tcPr>
            <w:tcW w:w="1809" w:type="dxa"/>
            <w:shd w:val="clear" w:color="auto" w:fill="auto"/>
            <w:noWrap/>
            <w:hideMark/>
          </w:tcPr>
          <w:p w14:paraId="62C603BF"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Programme national pour les parcs et la santé </w:t>
            </w:r>
          </w:p>
        </w:tc>
        <w:tc>
          <w:tcPr>
            <w:tcW w:w="4463" w:type="dxa"/>
          </w:tcPr>
          <w:p w14:paraId="618AA594"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Conservation intégrée des zones humides avec des objectifs de santé publique ayant abouti à une réduction de 25 % des niveaux de stress et à un bien-être mental amélioré pour les visiteurs du parc national, illustrant le rôle de la nature pour la santé humaine. </w:t>
            </w:r>
          </w:p>
        </w:tc>
        <w:tc>
          <w:tcPr>
            <w:tcW w:w="1582" w:type="dxa"/>
          </w:tcPr>
          <w:p w14:paraId="1EFF0DE3"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3, 6, 15</w:t>
            </w:r>
          </w:p>
        </w:tc>
      </w:tr>
      <w:tr w:rsidR="003A159F" w:rsidRPr="00F023DC" w14:paraId="14464B1F" w14:textId="77777777" w:rsidTr="009F71B2">
        <w:trPr>
          <w:cantSplit/>
          <w:trHeight w:val="288"/>
        </w:trPr>
        <w:tc>
          <w:tcPr>
            <w:tcW w:w="1497" w:type="dxa"/>
            <w:shd w:val="clear" w:color="auto" w:fill="auto"/>
            <w:noWrap/>
          </w:tcPr>
          <w:p w14:paraId="4252A686"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Inde</w:t>
            </w:r>
          </w:p>
        </w:tc>
        <w:tc>
          <w:tcPr>
            <w:tcW w:w="1809" w:type="dxa"/>
            <w:shd w:val="clear" w:color="auto" w:fill="auto"/>
            <w:noWrap/>
          </w:tcPr>
          <w:p w14:paraId="77CB2836" w14:textId="24087FED"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 xml:space="preserve">Système bancaire </w:t>
            </w:r>
            <w:r w:rsidR="000756D3" w:rsidRPr="005205FB">
              <w:rPr>
                <w:rFonts w:ascii="Calibri" w:hAnsi="Calibri" w:cs="Calibri"/>
                <w:sz w:val="20"/>
                <w:szCs w:val="20"/>
                <w:lang w:val="fr-FR"/>
              </w:rPr>
              <w:t>relatif à l</w:t>
            </w:r>
            <w:r w:rsidRPr="005205FB">
              <w:rPr>
                <w:rFonts w:ascii="Calibri" w:hAnsi="Calibri" w:cs="Calibri"/>
                <w:sz w:val="20"/>
                <w:szCs w:val="20"/>
                <w:lang w:val="fr-FR"/>
              </w:rPr>
              <w:t>’atténuation pour les zones humides</w:t>
            </w:r>
          </w:p>
        </w:tc>
        <w:tc>
          <w:tcPr>
            <w:tcW w:w="4463" w:type="dxa"/>
          </w:tcPr>
          <w:p w14:paraId="47D28F09" w14:textId="4749CB55"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30 millions USD </w:t>
            </w:r>
            <w:r w:rsidR="00261C1B" w:rsidRPr="005205FB">
              <w:rPr>
                <w:rFonts w:ascii="Calibri" w:hAnsi="Calibri" w:cs="Calibri"/>
                <w:sz w:val="20"/>
                <w:szCs w:val="20"/>
                <w:lang w:val="fr-FR"/>
              </w:rPr>
              <w:t xml:space="preserve">ont été générés </w:t>
            </w:r>
            <w:r w:rsidRPr="005205FB">
              <w:rPr>
                <w:rFonts w:ascii="Calibri" w:hAnsi="Calibri" w:cs="Calibri"/>
                <w:sz w:val="20"/>
                <w:szCs w:val="20"/>
                <w:lang w:val="fr-FR"/>
              </w:rPr>
              <w:t>pour la restauration des zones humides tout en garantissant que le développement de l’infrastructure accorde la priorité à la conservation des zones humides.</w:t>
            </w:r>
          </w:p>
        </w:tc>
        <w:tc>
          <w:tcPr>
            <w:tcW w:w="1582" w:type="dxa"/>
          </w:tcPr>
          <w:p w14:paraId="73C62A01"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9, 15, 17</w:t>
            </w:r>
          </w:p>
        </w:tc>
      </w:tr>
      <w:tr w:rsidR="003A159F" w:rsidRPr="00F023DC" w14:paraId="232837C0" w14:textId="77777777" w:rsidTr="009F71B2">
        <w:trPr>
          <w:cantSplit/>
          <w:trHeight w:val="288"/>
        </w:trPr>
        <w:tc>
          <w:tcPr>
            <w:tcW w:w="1497" w:type="dxa"/>
            <w:shd w:val="clear" w:color="auto" w:fill="auto"/>
            <w:noWrap/>
          </w:tcPr>
          <w:p w14:paraId="67BCA752"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Irlande</w:t>
            </w:r>
          </w:p>
        </w:tc>
        <w:tc>
          <w:tcPr>
            <w:tcW w:w="1809" w:type="dxa"/>
            <w:shd w:val="clear" w:color="auto" w:fill="auto"/>
            <w:noWrap/>
          </w:tcPr>
          <w:p w14:paraId="4B6BE46F" w14:textId="7E85159C"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 xml:space="preserve">Comptabilité </w:t>
            </w:r>
            <w:r w:rsidR="000756D3" w:rsidRPr="005205FB">
              <w:rPr>
                <w:rFonts w:ascii="Calibri" w:hAnsi="Calibri" w:cs="Calibri"/>
                <w:sz w:val="20"/>
                <w:szCs w:val="20"/>
                <w:lang w:val="fr-FR"/>
              </w:rPr>
              <w:t>du</w:t>
            </w:r>
            <w:r w:rsidRPr="005205FB">
              <w:rPr>
                <w:rFonts w:ascii="Calibri" w:hAnsi="Calibri" w:cs="Calibri"/>
                <w:sz w:val="20"/>
                <w:szCs w:val="20"/>
                <w:lang w:val="fr-FR"/>
              </w:rPr>
              <w:t xml:space="preserve"> capital naturel pour des environnements durables </w:t>
            </w:r>
          </w:p>
        </w:tc>
        <w:tc>
          <w:tcPr>
            <w:tcW w:w="4463" w:type="dxa"/>
          </w:tcPr>
          <w:p w14:paraId="05274288" w14:textId="16666FA1"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Le but est d’inscrire l’</w:t>
            </w:r>
            <w:r w:rsidR="000756D3" w:rsidRPr="005205FB">
              <w:rPr>
                <w:rFonts w:ascii="Calibri" w:hAnsi="Calibri" w:cs="Calibri"/>
                <w:sz w:val="20"/>
                <w:szCs w:val="20"/>
                <w:lang w:val="fr-FR"/>
              </w:rPr>
              <w:t>a</w:t>
            </w:r>
            <w:r w:rsidRPr="005205FB">
              <w:rPr>
                <w:rFonts w:ascii="Calibri" w:hAnsi="Calibri" w:cs="Calibri"/>
                <w:sz w:val="20"/>
                <w:szCs w:val="20"/>
                <w:lang w:val="fr-FR"/>
              </w:rPr>
              <w:t xml:space="preserve">pproche </w:t>
            </w:r>
            <w:r w:rsidR="000756D3" w:rsidRPr="005205FB">
              <w:rPr>
                <w:rFonts w:ascii="Calibri" w:hAnsi="Calibri" w:cs="Calibri"/>
                <w:sz w:val="20"/>
                <w:szCs w:val="20"/>
                <w:lang w:val="fr-FR"/>
              </w:rPr>
              <w:t>fondée sur le</w:t>
            </w:r>
            <w:r w:rsidRPr="005205FB">
              <w:rPr>
                <w:rFonts w:ascii="Calibri" w:hAnsi="Calibri" w:cs="Calibri"/>
                <w:sz w:val="20"/>
                <w:szCs w:val="20"/>
                <w:lang w:val="fr-FR"/>
              </w:rPr>
              <w:t xml:space="preserve"> capital naturel et la </w:t>
            </w:r>
            <w:r w:rsidR="000756D3" w:rsidRPr="005205FB">
              <w:rPr>
                <w:rFonts w:ascii="Calibri" w:hAnsi="Calibri" w:cs="Calibri"/>
                <w:sz w:val="20"/>
                <w:szCs w:val="20"/>
                <w:lang w:val="fr-FR"/>
              </w:rPr>
              <w:t>c</w:t>
            </w:r>
            <w:r w:rsidRPr="005205FB">
              <w:rPr>
                <w:rFonts w:ascii="Calibri" w:hAnsi="Calibri" w:cs="Calibri"/>
                <w:sz w:val="20"/>
                <w:szCs w:val="20"/>
                <w:lang w:val="fr-FR"/>
              </w:rPr>
              <w:t xml:space="preserve">omptabilité du capital naturel dans la </w:t>
            </w:r>
            <w:r w:rsidR="000756D3" w:rsidRPr="005205FB">
              <w:rPr>
                <w:rFonts w:ascii="Calibri" w:hAnsi="Calibri" w:cs="Calibri"/>
                <w:sz w:val="20"/>
                <w:szCs w:val="20"/>
                <w:lang w:val="fr-FR"/>
              </w:rPr>
              <w:t>p</w:t>
            </w:r>
            <w:r w:rsidRPr="005205FB">
              <w:rPr>
                <w:rFonts w:ascii="Calibri" w:hAnsi="Calibri" w:cs="Calibri"/>
                <w:sz w:val="20"/>
                <w:szCs w:val="20"/>
                <w:lang w:val="fr-FR"/>
              </w:rPr>
              <w:t xml:space="preserve">olitique irlandaise </w:t>
            </w:r>
            <w:r w:rsidR="000756D3" w:rsidRPr="005205FB">
              <w:rPr>
                <w:rFonts w:ascii="Calibri" w:hAnsi="Calibri" w:cs="Calibri"/>
                <w:sz w:val="20"/>
                <w:szCs w:val="20"/>
                <w:lang w:val="fr-FR"/>
              </w:rPr>
              <w:t>pour les</w:t>
            </w:r>
            <w:r w:rsidRPr="005205FB">
              <w:rPr>
                <w:rFonts w:ascii="Calibri" w:hAnsi="Calibri" w:cs="Calibri"/>
                <w:sz w:val="20"/>
                <w:szCs w:val="20"/>
                <w:lang w:val="fr-FR"/>
              </w:rPr>
              <w:t xml:space="preserve"> populations et la planète.</w:t>
            </w:r>
          </w:p>
        </w:tc>
        <w:tc>
          <w:tcPr>
            <w:tcW w:w="1582" w:type="dxa"/>
          </w:tcPr>
          <w:p w14:paraId="4E300477"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15, 17</w:t>
            </w:r>
          </w:p>
        </w:tc>
      </w:tr>
      <w:tr w:rsidR="003A159F" w:rsidRPr="00F023DC" w14:paraId="59C1C6D8" w14:textId="77777777" w:rsidTr="009F71B2">
        <w:trPr>
          <w:cantSplit/>
          <w:trHeight w:val="288"/>
        </w:trPr>
        <w:tc>
          <w:tcPr>
            <w:tcW w:w="1497" w:type="dxa"/>
            <w:shd w:val="clear" w:color="auto" w:fill="auto"/>
            <w:noWrap/>
            <w:hideMark/>
          </w:tcPr>
          <w:p w14:paraId="58EF9784"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lastRenderedPageBreak/>
              <w:t>Japon</w:t>
            </w:r>
          </w:p>
        </w:tc>
        <w:tc>
          <w:tcPr>
            <w:tcW w:w="1809" w:type="dxa"/>
            <w:shd w:val="clear" w:color="auto" w:fill="auto"/>
            <w:noWrap/>
            <w:hideMark/>
          </w:tcPr>
          <w:p w14:paraId="7A9489D4"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Restauration des zones humides pour la réduction des risques de catastrophe </w:t>
            </w:r>
          </w:p>
        </w:tc>
        <w:tc>
          <w:tcPr>
            <w:tcW w:w="4463" w:type="dxa"/>
          </w:tcPr>
          <w:p w14:paraId="2F7872EB"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Les zones humides côtières restaurées qui protègent maintenant 15 communautés côtières contre les tsunamis et les ondes de tempête réduisant les dommages à la propriété de 40 % lors de la saison des typhons de 2018 ont contribué à la résilience aux catastrophes naturelles.</w:t>
            </w:r>
          </w:p>
        </w:tc>
        <w:tc>
          <w:tcPr>
            <w:tcW w:w="1582" w:type="dxa"/>
          </w:tcPr>
          <w:p w14:paraId="3ADD603D"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3, 13</w:t>
            </w:r>
          </w:p>
        </w:tc>
      </w:tr>
      <w:tr w:rsidR="003A159F" w:rsidRPr="00F023DC" w14:paraId="557298C9" w14:textId="77777777" w:rsidTr="009F71B2">
        <w:trPr>
          <w:cantSplit/>
          <w:trHeight w:val="288"/>
        </w:trPr>
        <w:tc>
          <w:tcPr>
            <w:tcW w:w="1497" w:type="dxa"/>
            <w:shd w:val="clear" w:color="auto" w:fill="auto"/>
            <w:noWrap/>
          </w:tcPr>
          <w:p w14:paraId="79F63FA1"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Mexique</w:t>
            </w:r>
          </w:p>
        </w:tc>
        <w:tc>
          <w:tcPr>
            <w:tcW w:w="1809" w:type="dxa"/>
            <w:shd w:val="clear" w:color="auto" w:fill="auto"/>
            <w:noWrap/>
          </w:tcPr>
          <w:p w14:paraId="76F40AA8"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Programme de paiement pour les services écosystémiques </w:t>
            </w:r>
          </w:p>
        </w:tc>
        <w:tc>
          <w:tcPr>
            <w:tcW w:w="4463" w:type="dxa"/>
          </w:tcPr>
          <w:p w14:paraId="0B49C2F3"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180 000 ha de zones humides ont été protégés et le programme a fourni un revenu durable à 24 000 membres d’une communauté locale.  </w:t>
            </w:r>
          </w:p>
        </w:tc>
        <w:tc>
          <w:tcPr>
            <w:tcW w:w="1582" w:type="dxa"/>
          </w:tcPr>
          <w:p w14:paraId="27C897C1"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1, 15, 17</w:t>
            </w:r>
          </w:p>
        </w:tc>
      </w:tr>
      <w:tr w:rsidR="003A159F" w:rsidRPr="00F023DC" w14:paraId="0AD6DD49" w14:textId="77777777" w:rsidTr="009F71B2">
        <w:trPr>
          <w:cantSplit/>
          <w:trHeight w:val="288"/>
        </w:trPr>
        <w:tc>
          <w:tcPr>
            <w:tcW w:w="1497" w:type="dxa"/>
            <w:shd w:val="clear" w:color="auto" w:fill="auto"/>
            <w:noWrap/>
            <w:hideMark/>
          </w:tcPr>
          <w:p w14:paraId="285C3069"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Ouganda</w:t>
            </w:r>
          </w:p>
        </w:tc>
        <w:tc>
          <w:tcPr>
            <w:tcW w:w="1809" w:type="dxa"/>
            <w:shd w:val="clear" w:color="auto" w:fill="auto"/>
            <w:noWrap/>
            <w:hideMark/>
          </w:tcPr>
          <w:p w14:paraId="73B9FA5E"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Plan stratégique pour le secteur des zones humides et </w:t>
            </w:r>
          </w:p>
          <w:p w14:paraId="40C6DA44"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hAnsi="Calibri" w:cs="Calibri"/>
                <w:sz w:val="20"/>
                <w:szCs w:val="20"/>
                <w:lang w:val="fr-FR"/>
              </w:rPr>
              <w:t xml:space="preserve">Gestion communautaire des zones humides </w:t>
            </w:r>
          </w:p>
          <w:p w14:paraId="27B02EC2"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p>
        </w:tc>
        <w:tc>
          <w:tcPr>
            <w:tcW w:w="4463" w:type="dxa"/>
          </w:tcPr>
          <w:p w14:paraId="2CFE89F7" w14:textId="25807864"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70 000 ha de zones humides </w:t>
            </w:r>
            <w:r w:rsidR="002D6D14" w:rsidRPr="005205FB">
              <w:rPr>
                <w:rFonts w:ascii="Calibri" w:hAnsi="Calibri" w:cs="Calibri"/>
                <w:sz w:val="20"/>
                <w:szCs w:val="20"/>
                <w:lang w:val="fr-FR"/>
              </w:rPr>
              <w:t>du</w:t>
            </w:r>
            <w:r w:rsidRPr="005205FB">
              <w:rPr>
                <w:rFonts w:ascii="Calibri" w:hAnsi="Calibri" w:cs="Calibri"/>
                <w:sz w:val="20"/>
                <w:szCs w:val="20"/>
                <w:lang w:val="fr-FR"/>
              </w:rPr>
              <w:t xml:space="preserve"> bassin du lac Victoria</w:t>
            </w:r>
            <w:r w:rsidR="002D6D14" w:rsidRPr="005205FB">
              <w:rPr>
                <w:rFonts w:ascii="Calibri" w:hAnsi="Calibri" w:cs="Calibri"/>
                <w:sz w:val="20"/>
                <w:szCs w:val="20"/>
                <w:lang w:val="fr-FR"/>
              </w:rPr>
              <w:t xml:space="preserve"> ont été restaurés</w:t>
            </w:r>
            <w:r w:rsidRPr="005205FB">
              <w:rPr>
                <w:rFonts w:ascii="Calibri" w:hAnsi="Calibri" w:cs="Calibri"/>
                <w:sz w:val="20"/>
                <w:szCs w:val="20"/>
                <w:lang w:val="fr-FR"/>
              </w:rPr>
              <w:t>, c</w:t>
            </w:r>
            <w:r w:rsidR="002D6D14" w:rsidRPr="005205FB">
              <w:rPr>
                <w:rFonts w:ascii="Calibri" w:hAnsi="Calibri" w:cs="Calibri"/>
                <w:sz w:val="20"/>
                <w:szCs w:val="20"/>
                <w:lang w:val="fr-FR"/>
              </w:rPr>
              <w:t>e qui a entraîné</w:t>
            </w:r>
            <w:r w:rsidRPr="005205FB">
              <w:rPr>
                <w:rFonts w:ascii="Calibri" w:hAnsi="Calibri" w:cs="Calibri"/>
                <w:sz w:val="20"/>
                <w:szCs w:val="20"/>
                <w:lang w:val="fr-FR"/>
              </w:rPr>
              <w:t xml:space="preserve"> une augmentation de 35 % des stocks de poissons, </w:t>
            </w:r>
            <w:r w:rsidR="002D6D14" w:rsidRPr="005205FB">
              <w:rPr>
                <w:rFonts w:ascii="Calibri" w:hAnsi="Calibri" w:cs="Calibri"/>
                <w:sz w:val="20"/>
                <w:szCs w:val="20"/>
                <w:lang w:val="fr-FR"/>
              </w:rPr>
              <w:t>le</w:t>
            </w:r>
            <w:r w:rsidRPr="005205FB">
              <w:rPr>
                <w:rFonts w:ascii="Calibri" w:hAnsi="Calibri" w:cs="Calibri"/>
                <w:sz w:val="20"/>
                <w:szCs w:val="20"/>
                <w:lang w:val="fr-FR"/>
              </w:rPr>
              <w:t xml:space="preserve"> retour de 12 espèces d’oiseaux localement éteintes, et </w:t>
            </w:r>
            <w:r w:rsidR="002D6D14" w:rsidRPr="005205FB">
              <w:rPr>
                <w:rFonts w:ascii="Calibri" w:hAnsi="Calibri" w:cs="Calibri"/>
                <w:sz w:val="20"/>
                <w:szCs w:val="20"/>
                <w:lang w:val="fr-FR"/>
              </w:rPr>
              <w:t>a bénéficié</w:t>
            </w:r>
            <w:r w:rsidRPr="005205FB">
              <w:rPr>
                <w:rFonts w:ascii="Calibri" w:hAnsi="Calibri" w:cs="Calibri"/>
                <w:sz w:val="20"/>
                <w:szCs w:val="20"/>
                <w:lang w:val="fr-FR"/>
              </w:rPr>
              <w:t xml:space="preserve"> à 45 000 ménages, en liant la conservation des zones humides </w:t>
            </w:r>
            <w:r w:rsidR="002D6D14" w:rsidRPr="005205FB">
              <w:rPr>
                <w:rFonts w:ascii="Calibri" w:hAnsi="Calibri" w:cs="Calibri"/>
                <w:sz w:val="20"/>
                <w:szCs w:val="20"/>
                <w:lang w:val="fr-FR"/>
              </w:rPr>
              <w:t>et</w:t>
            </w:r>
            <w:r w:rsidRPr="005205FB">
              <w:rPr>
                <w:rFonts w:ascii="Calibri" w:hAnsi="Calibri" w:cs="Calibri"/>
                <w:sz w:val="20"/>
                <w:szCs w:val="20"/>
                <w:lang w:val="fr-FR"/>
              </w:rPr>
              <w:t xml:space="preserve"> l’appui aux moyens d’existence.  </w:t>
            </w:r>
          </w:p>
          <w:p w14:paraId="3BFF9921"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La restauration des zones humides dans le bassin de la Rwizi a amélioré la sécurité de l’eau pour plus de 300 000 personnes et augmenté les revenus des ménages de 35 %.</w:t>
            </w:r>
          </w:p>
        </w:tc>
        <w:tc>
          <w:tcPr>
            <w:tcW w:w="1582" w:type="dxa"/>
          </w:tcPr>
          <w:p w14:paraId="57A25D01"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1, 2, 6, 15</w:t>
            </w:r>
          </w:p>
        </w:tc>
      </w:tr>
      <w:tr w:rsidR="003A159F" w:rsidRPr="00F023DC" w14:paraId="50A5BED5" w14:textId="77777777" w:rsidTr="009F71B2">
        <w:trPr>
          <w:cantSplit/>
          <w:trHeight w:val="288"/>
        </w:trPr>
        <w:tc>
          <w:tcPr>
            <w:tcW w:w="1497" w:type="dxa"/>
            <w:shd w:val="clear" w:color="auto" w:fill="auto"/>
            <w:noWrap/>
            <w:hideMark/>
          </w:tcPr>
          <w:p w14:paraId="6FF3FEE7"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Pays-Bas</w:t>
            </w:r>
          </w:p>
        </w:tc>
        <w:tc>
          <w:tcPr>
            <w:tcW w:w="1809" w:type="dxa"/>
            <w:shd w:val="clear" w:color="auto" w:fill="auto"/>
            <w:noWrap/>
            <w:hideMark/>
          </w:tcPr>
          <w:p w14:paraId="7E86C565" w14:textId="7242BAE5"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Programme </w:t>
            </w:r>
            <w:r w:rsidR="00AB6F9E" w:rsidRPr="005205FB">
              <w:rPr>
                <w:rFonts w:ascii="Calibri" w:eastAsia="Times New Roman" w:hAnsi="Calibri" w:cs="Calibri"/>
                <w:color w:val="000000"/>
                <w:kern w:val="0"/>
                <w:sz w:val="20"/>
                <w:szCs w:val="20"/>
                <w:lang w:val="fr-FR"/>
                <w14:ligatures w14:val="none"/>
              </w:rPr>
              <w:t>« </w:t>
            </w:r>
            <w:r w:rsidRPr="005205FB">
              <w:rPr>
                <w:rFonts w:ascii="Calibri" w:eastAsia="Times New Roman" w:hAnsi="Calibri" w:cs="Calibri"/>
                <w:color w:val="000000"/>
                <w:kern w:val="0"/>
                <w:sz w:val="20"/>
                <w:szCs w:val="20"/>
                <w:lang w:val="fr-FR"/>
                <w14:ligatures w14:val="none"/>
              </w:rPr>
              <w:t>Faire de la place pour les rivières</w:t>
            </w:r>
            <w:r w:rsidR="00AB6F9E" w:rsidRPr="005205FB">
              <w:rPr>
                <w:rFonts w:ascii="Calibri" w:eastAsia="Times New Roman" w:hAnsi="Calibri" w:cs="Calibri"/>
                <w:color w:val="000000"/>
                <w:kern w:val="0"/>
                <w:sz w:val="20"/>
                <w:szCs w:val="20"/>
                <w:lang w:val="fr-FR"/>
                <w14:ligatures w14:val="none"/>
              </w:rPr>
              <w:t> »</w:t>
            </w:r>
            <w:r w:rsidRPr="005205FB">
              <w:rPr>
                <w:rFonts w:ascii="Calibri" w:eastAsia="Times New Roman" w:hAnsi="Calibri" w:cs="Calibri"/>
                <w:color w:val="000000"/>
                <w:kern w:val="0"/>
                <w:sz w:val="20"/>
                <w:szCs w:val="20"/>
                <w:lang w:val="fr-FR"/>
                <w14:ligatures w14:val="none"/>
              </w:rPr>
              <w:t xml:space="preserve"> </w:t>
            </w:r>
          </w:p>
        </w:tc>
        <w:tc>
          <w:tcPr>
            <w:tcW w:w="4463" w:type="dxa"/>
          </w:tcPr>
          <w:p w14:paraId="134FC009" w14:textId="782001D3"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Des rivières ont été reconnectées à leurs plaines d’inondation pour créer 4000 ha de zones humides</w:t>
            </w:r>
            <w:r w:rsidR="00AB6F9E" w:rsidRPr="005205FB">
              <w:rPr>
                <w:rFonts w:ascii="Calibri" w:hAnsi="Calibri" w:cs="Calibri"/>
                <w:sz w:val="20"/>
                <w:szCs w:val="20"/>
                <w:lang w:val="fr-FR"/>
              </w:rPr>
              <w:t>,</w:t>
            </w:r>
            <w:r w:rsidRPr="005205FB">
              <w:rPr>
                <w:rFonts w:ascii="Calibri" w:hAnsi="Calibri" w:cs="Calibri"/>
                <w:sz w:val="20"/>
                <w:szCs w:val="20"/>
                <w:lang w:val="fr-FR"/>
              </w:rPr>
              <w:t xml:space="preserve"> réduire les risques </w:t>
            </w:r>
            <w:r w:rsidR="00CF6875" w:rsidRPr="005205FB">
              <w:rPr>
                <w:rFonts w:ascii="Calibri" w:hAnsi="Calibri" w:cs="Calibri"/>
                <w:sz w:val="20"/>
                <w:szCs w:val="20"/>
                <w:lang w:val="fr-FR"/>
              </w:rPr>
              <w:t>d’inondation</w:t>
            </w:r>
            <w:r w:rsidRPr="005205FB">
              <w:rPr>
                <w:rFonts w:ascii="Calibri" w:hAnsi="Calibri" w:cs="Calibri"/>
                <w:sz w:val="20"/>
                <w:szCs w:val="20"/>
                <w:lang w:val="fr-FR"/>
              </w:rPr>
              <w:t xml:space="preserve"> pour 4 millions de personnes et augmenter la biodiversité, démontrant une gestion intégrée de l’eau </w:t>
            </w:r>
            <w:r w:rsidR="00AB6F9E" w:rsidRPr="005205FB">
              <w:rPr>
                <w:rFonts w:ascii="Calibri" w:hAnsi="Calibri" w:cs="Calibri"/>
                <w:sz w:val="20"/>
                <w:szCs w:val="20"/>
                <w:lang w:val="fr-FR"/>
              </w:rPr>
              <w:t>en faveur de</w:t>
            </w:r>
            <w:r w:rsidRPr="005205FB">
              <w:rPr>
                <w:rFonts w:ascii="Calibri" w:hAnsi="Calibri" w:cs="Calibri"/>
                <w:sz w:val="20"/>
                <w:szCs w:val="20"/>
                <w:lang w:val="fr-FR"/>
              </w:rPr>
              <w:t xml:space="preserve"> la résilience climatique.</w:t>
            </w:r>
          </w:p>
        </w:tc>
        <w:tc>
          <w:tcPr>
            <w:tcW w:w="1582" w:type="dxa"/>
          </w:tcPr>
          <w:p w14:paraId="7586D4FC"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11, 13, 15</w:t>
            </w:r>
          </w:p>
        </w:tc>
      </w:tr>
      <w:tr w:rsidR="003A159F" w:rsidRPr="00F023DC" w14:paraId="2437040A" w14:textId="77777777" w:rsidTr="009F71B2">
        <w:trPr>
          <w:cantSplit/>
          <w:trHeight w:val="288"/>
        </w:trPr>
        <w:tc>
          <w:tcPr>
            <w:tcW w:w="1497" w:type="dxa"/>
            <w:shd w:val="clear" w:color="auto" w:fill="auto"/>
            <w:noWrap/>
            <w:hideMark/>
          </w:tcPr>
          <w:p w14:paraId="0196D1D1"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Pérou</w:t>
            </w:r>
          </w:p>
        </w:tc>
        <w:tc>
          <w:tcPr>
            <w:tcW w:w="1809" w:type="dxa"/>
            <w:shd w:val="clear" w:color="auto" w:fill="auto"/>
            <w:noWrap/>
            <w:hideMark/>
          </w:tcPr>
          <w:p w14:paraId="11FBE9A3" w14:textId="147AC6F9"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Programme de conservation des zones humides des </w:t>
            </w:r>
            <w:r w:rsidR="00AB6F9E" w:rsidRPr="005205FB">
              <w:rPr>
                <w:rFonts w:ascii="Calibri" w:eastAsia="Times New Roman" w:hAnsi="Calibri" w:cs="Calibri"/>
                <w:color w:val="000000"/>
                <w:kern w:val="0"/>
                <w:sz w:val="20"/>
                <w:szCs w:val="20"/>
                <w:lang w:val="fr-FR"/>
                <w14:ligatures w14:val="none"/>
              </w:rPr>
              <w:t>h</w:t>
            </w:r>
            <w:r w:rsidRPr="005205FB">
              <w:rPr>
                <w:rFonts w:ascii="Calibri" w:eastAsia="Times New Roman" w:hAnsi="Calibri" w:cs="Calibri"/>
                <w:color w:val="000000"/>
                <w:kern w:val="0"/>
                <w:sz w:val="20"/>
                <w:szCs w:val="20"/>
                <w:lang w:val="fr-FR"/>
                <w14:ligatures w14:val="none"/>
              </w:rPr>
              <w:t xml:space="preserve">autes Andes </w:t>
            </w:r>
          </w:p>
        </w:tc>
        <w:tc>
          <w:tcPr>
            <w:tcW w:w="4463" w:type="dxa"/>
          </w:tcPr>
          <w:p w14:paraId="083EDA3A" w14:textId="0DB10272" w:rsidR="003A159F" w:rsidRPr="005205FB" w:rsidRDefault="00F2204E"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 xml:space="preserve">250 000 personnes ont bénéficié de la restauration de </w:t>
            </w:r>
            <w:r w:rsidR="003A159F" w:rsidRPr="005205FB">
              <w:rPr>
                <w:rFonts w:ascii="Calibri" w:hAnsi="Calibri" w:cs="Calibri"/>
                <w:sz w:val="20"/>
                <w:szCs w:val="20"/>
                <w:lang w:val="fr-FR"/>
              </w:rPr>
              <w:t>50 000 ha de tourbières</w:t>
            </w:r>
            <w:r w:rsidRPr="005205FB">
              <w:rPr>
                <w:rFonts w:ascii="Calibri" w:hAnsi="Calibri" w:cs="Calibri"/>
                <w:sz w:val="20"/>
                <w:szCs w:val="20"/>
                <w:lang w:val="fr-FR"/>
              </w:rPr>
              <w:t xml:space="preserve"> : </w:t>
            </w:r>
            <w:r w:rsidR="003A159F" w:rsidRPr="005205FB">
              <w:rPr>
                <w:rFonts w:ascii="Calibri" w:hAnsi="Calibri" w:cs="Calibri"/>
                <w:sz w:val="20"/>
                <w:szCs w:val="20"/>
                <w:lang w:val="fr-FR"/>
              </w:rPr>
              <w:t xml:space="preserve"> la régulation de l’eau a été améliorée pour l’agriculture en aval et les connaissances traditionnelles </w:t>
            </w:r>
            <w:r w:rsidRPr="005205FB">
              <w:rPr>
                <w:rFonts w:ascii="Calibri" w:hAnsi="Calibri" w:cs="Calibri"/>
                <w:sz w:val="20"/>
                <w:szCs w:val="20"/>
                <w:lang w:val="fr-FR"/>
              </w:rPr>
              <w:t xml:space="preserve">ont été intégrées </w:t>
            </w:r>
            <w:r w:rsidR="003A159F" w:rsidRPr="005205FB">
              <w:rPr>
                <w:rFonts w:ascii="Calibri" w:hAnsi="Calibri" w:cs="Calibri"/>
                <w:sz w:val="20"/>
                <w:szCs w:val="20"/>
                <w:lang w:val="fr-FR"/>
              </w:rPr>
              <w:t xml:space="preserve">dans </w:t>
            </w:r>
            <w:r w:rsidRPr="005205FB">
              <w:rPr>
                <w:rFonts w:ascii="Calibri" w:hAnsi="Calibri" w:cs="Calibri"/>
                <w:sz w:val="20"/>
                <w:szCs w:val="20"/>
                <w:lang w:val="fr-FR"/>
              </w:rPr>
              <w:t>les efforts de</w:t>
            </w:r>
            <w:r w:rsidR="003A159F" w:rsidRPr="005205FB">
              <w:rPr>
                <w:rFonts w:ascii="Calibri" w:hAnsi="Calibri" w:cs="Calibri"/>
                <w:sz w:val="20"/>
                <w:szCs w:val="20"/>
                <w:lang w:val="fr-FR"/>
              </w:rPr>
              <w:t xml:space="preserve"> conservation des zones humides.  </w:t>
            </w:r>
          </w:p>
        </w:tc>
        <w:tc>
          <w:tcPr>
            <w:tcW w:w="1582" w:type="dxa"/>
          </w:tcPr>
          <w:p w14:paraId="6E469109"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2, 6, 15</w:t>
            </w:r>
          </w:p>
        </w:tc>
      </w:tr>
      <w:tr w:rsidR="003A159F" w:rsidRPr="00F023DC" w14:paraId="7FC8F966" w14:textId="77777777" w:rsidTr="009F71B2">
        <w:trPr>
          <w:cantSplit/>
          <w:trHeight w:val="288"/>
        </w:trPr>
        <w:tc>
          <w:tcPr>
            <w:tcW w:w="1497" w:type="dxa"/>
            <w:shd w:val="clear" w:color="auto" w:fill="auto"/>
            <w:noWrap/>
          </w:tcPr>
          <w:p w14:paraId="6DA2B5F1"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Philippines</w:t>
            </w:r>
          </w:p>
        </w:tc>
        <w:tc>
          <w:tcPr>
            <w:tcW w:w="1809" w:type="dxa"/>
            <w:shd w:val="clear" w:color="auto" w:fill="auto"/>
            <w:noWrap/>
          </w:tcPr>
          <w:p w14:paraId="162AD53D" w14:textId="77777777" w:rsidR="003A159F" w:rsidRPr="005205FB" w:rsidRDefault="003A159F" w:rsidP="009F71B2">
            <w:pPr>
              <w:spacing w:after="0" w:line="240" w:lineRule="auto"/>
              <w:rPr>
                <w:rFonts w:ascii="Calibri" w:eastAsia="Times New Roman" w:hAnsi="Calibri" w:cs="Calibri"/>
                <w:color w:val="000000"/>
                <w:kern w:val="0"/>
                <w:sz w:val="20"/>
                <w:szCs w:val="20"/>
                <w:lang w:val="fr-FR"/>
                <w14:ligatures w14:val="none"/>
              </w:rPr>
            </w:pPr>
            <w:r w:rsidRPr="005205FB">
              <w:rPr>
                <w:rFonts w:ascii="Calibri" w:eastAsia="Times New Roman" w:hAnsi="Calibri" w:cs="Calibri"/>
                <w:color w:val="000000"/>
                <w:kern w:val="0"/>
                <w:sz w:val="20"/>
                <w:szCs w:val="20"/>
                <w:lang w:val="fr-FR"/>
                <w14:ligatures w14:val="none"/>
              </w:rPr>
              <w:t xml:space="preserve">Gestion intégrée des bassins fluviaux et Loi sur la comptabilité des écosystèmes et du capital naturel </w:t>
            </w:r>
          </w:p>
        </w:tc>
        <w:tc>
          <w:tcPr>
            <w:tcW w:w="4463" w:type="dxa"/>
          </w:tcPr>
          <w:p w14:paraId="04435437" w14:textId="5FA207EA" w:rsidR="003A159F" w:rsidRPr="005205FB" w:rsidRDefault="00F2204E"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La</w:t>
            </w:r>
            <w:r w:rsidR="003A159F" w:rsidRPr="005205FB">
              <w:rPr>
                <w:rFonts w:ascii="Calibri" w:hAnsi="Calibri" w:cs="Calibri"/>
                <w:sz w:val="20"/>
                <w:szCs w:val="20"/>
                <w:lang w:val="fr-FR"/>
              </w:rPr>
              <w:t xml:space="preserve"> restauration des mangroves </w:t>
            </w:r>
            <w:r w:rsidRPr="005205FB">
              <w:rPr>
                <w:rFonts w:ascii="Calibri" w:hAnsi="Calibri" w:cs="Calibri"/>
                <w:sz w:val="20"/>
                <w:szCs w:val="20"/>
                <w:lang w:val="fr-FR"/>
              </w:rPr>
              <w:t xml:space="preserve">a été intégrée </w:t>
            </w:r>
            <w:r w:rsidR="003A159F" w:rsidRPr="005205FB">
              <w:rPr>
                <w:rFonts w:ascii="Calibri" w:hAnsi="Calibri" w:cs="Calibri"/>
                <w:sz w:val="20"/>
                <w:szCs w:val="20"/>
                <w:lang w:val="fr-FR"/>
              </w:rPr>
              <w:t xml:space="preserve">dans les stratégies de réduction des risques de catastrophe, réduisant </w:t>
            </w:r>
            <w:r w:rsidR="00CF6875" w:rsidRPr="005205FB">
              <w:rPr>
                <w:rFonts w:ascii="Calibri" w:hAnsi="Calibri" w:cs="Calibri"/>
                <w:sz w:val="20"/>
                <w:szCs w:val="20"/>
                <w:lang w:val="fr-FR"/>
              </w:rPr>
              <w:t>le coût d</w:t>
            </w:r>
            <w:r w:rsidR="003A159F" w:rsidRPr="005205FB">
              <w:rPr>
                <w:rFonts w:ascii="Calibri" w:hAnsi="Calibri" w:cs="Calibri"/>
                <w:sz w:val="20"/>
                <w:szCs w:val="20"/>
                <w:lang w:val="fr-FR"/>
              </w:rPr>
              <w:t xml:space="preserve">es dommages </w:t>
            </w:r>
            <w:r w:rsidR="00CF6875" w:rsidRPr="005205FB">
              <w:rPr>
                <w:rFonts w:ascii="Calibri" w:hAnsi="Calibri" w:cs="Calibri"/>
                <w:sz w:val="20"/>
                <w:szCs w:val="20"/>
                <w:lang w:val="fr-FR"/>
              </w:rPr>
              <w:t>causés par les</w:t>
            </w:r>
            <w:r w:rsidR="003A159F" w:rsidRPr="005205FB">
              <w:rPr>
                <w:rFonts w:ascii="Calibri" w:hAnsi="Calibri" w:cs="Calibri"/>
                <w:sz w:val="20"/>
                <w:szCs w:val="20"/>
                <w:lang w:val="fr-FR"/>
              </w:rPr>
              <w:t xml:space="preserve"> inondations de 25 millions USD par année.</w:t>
            </w:r>
          </w:p>
          <w:p w14:paraId="2602674C" w14:textId="226D1BF5" w:rsidR="003A159F" w:rsidRPr="005205FB" w:rsidRDefault="00BB5CAA"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L</w:t>
            </w:r>
            <w:r w:rsidR="003A159F" w:rsidRPr="005205FB">
              <w:rPr>
                <w:rFonts w:ascii="Calibri" w:hAnsi="Calibri" w:cs="Calibri"/>
                <w:sz w:val="20"/>
                <w:szCs w:val="20"/>
                <w:lang w:val="fr-FR"/>
              </w:rPr>
              <w:t xml:space="preserve">a planification gouvernementale et économique </w:t>
            </w:r>
            <w:r w:rsidRPr="005205FB">
              <w:rPr>
                <w:rFonts w:ascii="Calibri" w:hAnsi="Calibri" w:cs="Calibri"/>
                <w:sz w:val="20"/>
                <w:szCs w:val="20"/>
                <w:lang w:val="fr-FR"/>
              </w:rPr>
              <w:t>tient compte du milieu naturel - recueil de</w:t>
            </w:r>
            <w:r w:rsidR="003A159F" w:rsidRPr="005205FB">
              <w:rPr>
                <w:rFonts w:ascii="Calibri" w:hAnsi="Calibri" w:cs="Calibri"/>
                <w:sz w:val="20"/>
                <w:szCs w:val="20"/>
                <w:lang w:val="fr-FR"/>
              </w:rPr>
              <w:t xml:space="preserve"> données complètes sur la biodiversité, les services écosystémiques et l’appauvrissement des ressources</w:t>
            </w:r>
            <w:r w:rsidRPr="005205FB">
              <w:rPr>
                <w:rFonts w:ascii="Calibri" w:hAnsi="Calibri" w:cs="Calibri"/>
                <w:sz w:val="20"/>
                <w:szCs w:val="20"/>
                <w:lang w:val="fr-FR"/>
              </w:rPr>
              <w:t xml:space="preserve"> -</w:t>
            </w:r>
            <w:r w:rsidR="003A159F" w:rsidRPr="005205FB">
              <w:rPr>
                <w:rFonts w:ascii="Calibri" w:hAnsi="Calibri" w:cs="Calibri"/>
                <w:sz w:val="20"/>
                <w:szCs w:val="20"/>
                <w:lang w:val="fr-FR"/>
              </w:rPr>
              <w:t xml:space="preserve"> afin de guider des décisions politiques fondées sur des </w:t>
            </w:r>
            <w:r w:rsidR="00F2204E" w:rsidRPr="005205FB">
              <w:rPr>
                <w:rFonts w:ascii="Calibri" w:hAnsi="Calibri" w:cs="Calibri"/>
                <w:sz w:val="20"/>
                <w:szCs w:val="20"/>
                <w:lang w:val="fr-FR"/>
              </w:rPr>
              <w:t>données factuelles</w:t>
            </w:r>
            <w:r w:rsidR="003A159F" w:rsidRPr="005205FB">
              <w:rPr>
                <w:rFonts w:ascii="Calibri" w:hAnsi="Calibri" w:cs="Calibri"/>
                <w:sz w:val="20"/>
                <w:szCs w:val="20"/>
                <w:lang w:val="fr-FR"/>
              </w:rPr>
              <w:t>.</w:t>
            </w:r>
          </w:p>
        </w:tc>
        <w:tc>
          <w:tcPr>
            <w:tcW w:w="1582" w:type="dxa"/>
          </w:tcPr>
          <w:p w14:paraId="4541939E" w14:textId="77777777" w:rsidR="003A159F" w:rsidRPr="005205FB" w:rsidRDefault="003A159F" w:rsidP="009F71B2">
            <w:pPr>
              <w:spacing w:after="0" w:line="240" w:lineRule="auto"/>
              <w:rPr>
                <w:rFonts w:ascii="Calibri" w:hAnsi="Calibri" w:cs="Calibri"/>
                <w:sz w:val="20"/>
                <w:szCs w:val="20"/>
                <w:lang w:val="fr-FR"/>
              </w:rPr>
            </w:pPr>
            <w:r w:rsidRPr="005205FB">
              <w:rPr>
                <w:rFonts w:ascii="Calibri" w:hAnsi="Calibri" w:cs="Calibri"/>
                <w:sz w:val="20"/>
                <w:szCs w:val="20"/>
                <w:lang w:val="fr-FR"/>
              </w:rPr>
              <w:t>6, 13, 14, 15, 17</w:t>
            </w:r>
          </w:p>
        </w:tc>
      </w:tr>
    </w:tbl>
    <w:p w14:paraId="5C14B890" w14:textId="77777777" w:rsidR="003A159F" w:rsidRDefault="003A159F" w:rsidP="00C46BE3">
      <w:pPr>
        <w:spacing w:after="0" w:line="240" w:lineRule="auto"/>
      </w:pPr>
    </w:p>
    <w:p w14:paraId="1AFFB27C" w14:textId="77777777" w:rsidR="00C46BE3" w:rsidRDefault="00C46BE3" w:rsidP="00C46BE3">
      <w:pPr>
        <w:spacing w:after="0" w:line="240" w:lineRule="auto"/>
      </w:pPr>
    </w:p>
    <w:p w14:paraId="19FD8AB2" w14:textId="6491AF9A" w:rsidR="0025563A" w:rsidRPr="005205FB" w:rsidRDefault="009065C1" w:rsidP="003614B1">
      <w:pPr>
        <w:keepNext/>
        <w:spacing w:after="0" w:line="240" w:lineRule="auto"/>
        <w:rPr>
          <w:rFonts w:ascii="Calibri" w:hAnsi="Calibri" w:cs="Calibri"/>
          <w:b/>
          <w:bCs/>
          <w:lang w:val="fr-FR"/>
        </w:rPr>
      </w:pPr>
      <w:r w:rsidRPr="005205FB">
        <w:rPr>
          <w:rFonts w:ascii="Calibri" w:hAnsi="Calibri" w:cs="Calibri"/>
          <w:b/>
          <w:bCs/>
          <w:lang w:val="fr-FR"/>
        </w:rPr>
        <w:t xml:space="preserve">Possibilités de renforcer la contribution de la Convention </w:t>
      </w:r>
    </w:p>
    <w:p w14:paraId="06E3C9C2" w14:textId="77777777" w:rsidR="00A0764D" w:rsidRPr="005205FB" w:rsidRDefault="00A0764D" w:rsidP="003614B1">
      <w:pPr>
        <w:keepNext/>
        <w:spacing w:after="0" w:line="240" w:lineRule="auto"/>
        <w:rPr>
          <w:rFonts w:ascii="Calibri" w:hAnsi="Calibri" w:cs="Calibri"/>
          <w:highlight w:val="yellow"/>
          <w:lang w:val="fr-FR"/>
        </w:rPr>
      </w:pPr>
    </w:p>
    <w:p w14:paraId="52017AD1" w14:textId="349B22B6" w:rsidR="00C314DA" w:rsidRPr="005205FB" w:rsidRDefault="003E0E4B" w:rsidP="003E0E4B">
      <w:pPr>
        <w:spacing w:after="0" w:line="240" w:lineRule="auto"/>
        <w:ind w:left="425" w:hanging="425"/>
        <w:rPr>
          <w:rFonts w:ascii="Calibri" w:hAnsi="Calibri" w:cs="Calibri"/>
          <w:lang w:val="fr-FR"/>
        </w:rPr>
      </w:pPr>
      <w:r w:rsidRPr="005205FB">
        <w:rPr>
          <w:rFonts w:ascii="Calibri" w:hAnsi="Calibri" w:cs="Calibri"/>
          <w:lang w:val="fr-FR"/>
        </w:rPr>
        <w:t>23.</w:t>
      </w:r>
      <w:r w:rsidRPr="005205FB">
        <w:rPr>
          <w:rFonts w:ascii="Calibri" w:hAnsi="Calibri" w:cs="Calibri"/>
          <w:lang w:val="fr-FR"/>
        </w:rPr>
        <w:tab/>
      </w:r>
      <w:r w:rsidR="003B7E45" w:rsidRPr="005205FB">
        <w:rPr>
          <w:rFonts w:ascii="Calibri" w:hAnsi="Calibri" w:cs="Calibri"/>
          <w:lang w:val="fr-FR"/>
        </w:rPr>
        <w:t xml:space="preserve">Les efforts de protection, utilisation rationnelle et restauration des zones humides continueront de soutenir la mise en œuvre du Programme à l’horizon 2030 et des ODD. </w:t>
      </w:r>
      <w:r w:rsidR="005E3D96" w:rsidRPr="005205FB">
        <w:rPr>
          <w:rFonts w:ascii="Calibri" w:hAnsi="Calibri" w:cs="Calibri"/>
          <w:lang w:val="fr-FR"/>
        </w:rPr>
        <w:t>Cependant, les priorités et besoins exprimés dans le Plan stratégique de la Convention et les résolutions de la COP, les progrès accomplis et les difficultés identifiées dans les Rapports nationaux, ainsi que les activités en cours des organes subsidiaires et du Secrétariat offrent des</w:t>
      </w:r>
      <w:r w:rsidR="003B7E45" w:rsidRPr="005205FB">
        <w:rPr>
          <w:rFonts w:ascii="Calibri" w:hAnsi="Calibri" w:cs="Calibri"/>
          <w:lang w:val="fr-FR"/>
        </w:rPr>
        <w:t xml:space="preserve"> possibilités de renforcer la contribution de la Convention</w:t>
      </w:r>
      <w:r w:rsidR="005674D4" w:rsidRPr="005205FB">
        <w:rPr>
          <w:rFonts w:ascii="Calibri" w:hAnsi="Calibri" w:cs="Calibri"/>
          <w:lang w:val="fr-FR"/>
        </w:rPr>
        <w:t>.</w:t>
      </w:r>
      <w:r w:rsidR="00816004" w:rsidRPr="005205FB">
        <w:rPr>
          <w:rFonts w:ascii="Calibri" w:hAnsi="Calibri" w:cs="Calibri"/>
          <w:lang w:val="fr-FR"/>
        </w:rPr>
        <w:t xml:space="preserve"> </w:t>
      </w:r>
      <w:r w:rsidR="005674D4" w:rsidRPr="005205FB">
        <w:rPr>
          <w:rFonts w:ascii="Calibri" w:hAnsi="Calibri" w:cs="Calibri"/>
          <w:lang w:val="fr-FR"/>
        </w:rPr>
        <w:t xml:space="preserve">Trois thèmes distincts mais se renforçant mutuellement </w:t>
      </w:r>
      <w:r w:rsidR="005E3D96" w:rsidRPr="005205FB">
        <w:rPr>
          <w:rFonts w:ascii="Calibri" w:hAnsi="Calibri" w:cs="Calibri"/>
          <w:lang w:val="fr-FR"/>
        </w:rPr>
        <w:t xml:space="preserve">se </w:t>
      </w:r>
      <w:r w:rsidR="005E3D96" w:rsidRPr="005205FB">
        <w:rPr>
          <w:rFonts w:ascii="Calibri" w:hAnsi="Calibri" w:cs="Calibri"/>
          <w:lang w:val="fr-FR"/>
        </w:rPr>
        <w:lastRenderedPageBreak/>
        <w:t>dégagent tout particulièrement</w:t>
      </w:r>
      <w:r w:rsidR="005674D4" w:rsidRPr="005205FB">
        <w:rPr>
          <w:rFonts w:ascii="Calibri" w:hAnsi="Calibri" w:cs="Calibri"/>
          <w:lang w:val="fr-FR"/>
        </w:rPr>
        <w:t xml:space="preserve"> : améliorer l’inventaire des zones humides et les rapports à ce sujet ; promouvoir </w:t>
      </w:r>
      <w:r w:rsidR="001176DE" w:rsidRPr="005205FB">
        <w:rPr>
          <w:rFonts w:ascii="Calibri" w:hAnsi="Calibri" w:cs="Calibri"/>
          <w:lang w:val="fr-FR"/>
        </w:rPr>
        <w:t xml:space="preserve">la possibilité de prendre en compte les zones humides dans les plans sectoriels et de développement durable aux niveaux national et sous-national ; et les activités de CESP. Les Parties contractantes </w:t>
      </w:r>
      <w:r w:rsidR="005C16F3" w:rsidRPr="005205FB">
        <w:rPr>
          <w:rFonts w:ascii="Calibri" w:hAnsi="Calibri" w:cs="Calibri"/>
          <w:lang w:val="fr-FR"/>
        </w:rPr>
        <w:t xml:space="preserve">pourraient envisager de soutenir la mobilisation des ressources pour traiter efficacement tous ces points. </w:t>
      </w:r>
      <w:r w:rsidR="00C314DA" w:rsidRPr="005205FB">
        <w:rPr>
          <w:rFonts w:ascii="Calibri" w:hAnsi="Calibri" w:cs="Calibri"/>
          <w:lang w:val="fr-FR"/>
        </w:rPr>
        <w:t xml:space="preserve"> </w:t>
      </w:r>
    </w:p>
    <w:p w14:paraId="0209E3C2" w14:textId="77777777" w:rsidR="00FB33DE" w:rsidRPr="005205FB" w:rsidRDefault="00FB33DE" w:rsidP="003614B1">
      <w:pPr>
        <w:pStyle w:val="ListParagraph"/>
        <w:spacing w:after="0" w:line="240" w:lineRule="auto"/>
        <w:ind w:left="360"/>
        <w:rPr>
          <w:rFonts w:ascii="Calibri" w:hAnsi="Calibri" w:cs="Calibri"/>
          <w:lang w:val="fr-FR"/>
        </w:rPr>
      </w:pPr>
    </w:p>
    <w:p w14:paraId="1F8449D3" w14:textId="2CEA2EE4" w:rsidR="008D5D32" w:rsidRPr="005205FB" w:rsidRDefault="005C16F3" w:rsidP="003614B1">
      <w:pPr>
        <w:keepNext/>
        <w:spacing w:after="0" w:line="240" w:lineRule="auto"/>
        <w:rPr>
          <w:rFonts w:ascii="Calibri" w:hAnsi="Calibri" w:cs="Calibri"/>
          <w:i/>
          <w:iCs/>
          <w:lang w:val="fr-FR"/>
        </w:rPr>
      </w:pPr>
      <w:r w:rsidRPr="005205FB">
        <w:rPr>
          <w:rFonts w:ascii="Calibri" w:hAnsi="Calibri" w:cs="Calibri"/>
          <w:i/>
          <w:iCs/>
          <w:lang w:val="fr-FR"/>
        </w:rPr>
        <w:t>Inventaire des zones humides et rapport</w:t>
      </w:r>
      <w:r w:rsidR="008D5D32" w:rsidRPr="005205FB">
        <w:rPr>
          <w:rFonts w:ascii="Calibri" w:hAnsi="Calibri" w:cs="Calibri"/>
          <w:i/>
          <w:iCs/>
          <w:lang w:val="fr-FR"/>
        </w:rPr>
        <w:t xml:space="preserve"> </w:t>
      </w:r>
    </w:p>
    <w:p w14:paraId="7D29BA6B" w14:textId="77777777" w:rsidR="008D5D32" w:rsidRPr="005205FB" w:rsidRDefault="008D5D32" w:rsidP="003614B1">
      <w:pPr>
        <w:keepNext/>
        <w:spacing w:after="0" w:line="240" w:lineRule="auto"/>
        <w:rPr>
          <w:rFonts w:ascii="Calibri" w:hAnsi="Calibri" w:cs="Calibri"/>
          <w:i/>
          <w:iCs/>
          <w:lang w:val="fr-FR"/>
        </w:rPr>
      </w:pPr>
    </w:p>
    <w:p w14:paraId="424D4C3B" w14:textId="012C9E35" w:rsidR="004607F3" w:rsidRPr="005205FB" w:rsidRDefault="003E0E4B" w:rsidP="003E0E4B">
      <w:pPr>
        <w:spacing w:after="0" w:line="240" w:lineRule="auto"/>
        <w:ind w:left="425" w:hanging="425"/>
        <w:rPr>
          <w:rFonts w:ascii="Calibri" w:hAnsi="Calibri" w:cs="Calibri"/>
          <w:lang w:val="fr-FR"/>
        </w:rPr>
      </w:pPr>
      <w:r w:rsidRPr="005205FB">
        <w:rPr>
          <w:rFonts w:ascii="Calibri" w:hAnsi="Calibri" w:cs="Calibri"/>
          <w:lang w:val="fr-FR"/>
        </w:rPr>
        <w:t>24.</w:t>
      </w:r>
      <w:r w:rsidRPr="005205FB">
        <w:rPr>
          <w:rFonts w:ascii="Calibri" w:hAnsi="Calibri" w:cs="Calibri"/>
          <w:lang w:val="fr-FR"/>
        </w:rPr>
        <w:tab/>
      </w:r>
      <w:r w:rsidR="00AE0AEE" w:rsidRPr="005205FB">
        <w:rPr>
          <w:rFonts w:ascii="Calibri" w:hAnsi="Calibri" w:cs="Calibri"/>
          <w:lang w:val="fr-FR"/>
        </w:rPr>
        <w:t xml:space="preserve">Il est </w:t>
      </w:r>
      <w:r w:rsidR="000C2DF0" w:rsidRPr="005205FB">
        <w:rPr>
          <w:rFonts w:ascii="Calibri" w:hAnsi="Calibri" w:cs="Calibri"/>
          <w:lang w:val="fr-FR"/>
        </w:rPr>
        <w:t>capital</w:t>
      </w:r>
      <w:r w:rsidR="00AE0AEE" w:rsidRPr="005205FB">
        <w:rPr>
          <w:rFonts w:ascii="Calibri" w:hAnsi="Calibri" w:cs="Calibri"/>
          <w:lang w:val="fr-FR"/>
        </w:rPr>
        <w:t xml:space="preserve"> de rassembler des données sur la diversité biologique, l’étendue, l’état des zones humides et les changements qu’elles subissent dans le temps si l’on veut </w:t>
      </w:r>
      <w:r w:rsidR="00587F7B" w:rsidRPr="005205FB">
        <w:rPr>
          <w:rFonts w:ascii="Calibri" w:hAnsi="Calibri" w:cs="Calibri"/>
          <w:lang w:val="fr-FR"/>
        </w:rPr>
        <w:t xml:space="preserve">les conserver avec efficacité et les utiliser de manière </w:t>
      </w:r>
      <w:r w:rsidR="00AE0AEE" w:rsidRPr="005205FB">
        <w:rPr>
          <w:rFonts w:ascii="Calibri" w:hAnsi="Calibri" w:cs="Calibri"/>
          <w:lang w:val="fr-FR"/>
        </w:rPr>
        <w:t xml:space="preserve">rationnelle. C’est aussi </w:t>
      </w:r>
      <w:r w:rsidR="00587F7B" w:rsidRPr="005205FB">
        <w:rPr>
          <w:rFonts w:ascii="Calibri" w:hAnsi="Calibri" w:cs="Calibri"/>
          <w:lang w:val="fr-FR"/>
        </w:rPr>
        <w:t xml:space="preserve">le moyen </w:t>
      </w:r>
      <w:r w:rsidR="000C2DF0" w:rsidRPr="005205FB">
        <w:rPr>
          <w:rFonts w:ascii="Calibri" w:hAnsi="Calibri" w:cs="Calibri"/>
          <w:lang w:val="fr-FR"/>
        </w:rPr>
        <w:t>essentiel</w:t>
      </w:r>
      <w:r w:rsidR="00587F7B" w:rsidRPr="005205FB">
        <w:rPr>
          <w:rFonts w:ascii="Calibri" w:hAnsi="Calibri" w:cs="Calibri"/>
          <w:lang w:val="fr-FR"/>
        </w:rPr>
        <w:t xml:space="preserve"> de s’assurer que les zones humides soient de plus en plus prises</w:t>
      </w:r>
      <w:r w:rsidR="00AE0AEE" w:rsidRPr="005205FB">
        <w:rPr>
          <w:rFonts w:ascii="Calibri" w:hAnsi="Calibri" w:cs="Calibri"/>
          <w:lang w:val="fr-FR"/>
        </w:rPr>
        <w:t xml:space="preserve"> en compte dans la planification du développement durable</w:t>
      </w:r>
      <w:r w:rsidR="00587F7B" w:rsidRPr="005205FB">
        <w:rPr>
          <w:rFonts w:ascii="Calibri" w:hAnsi="Calibri" w:cs="Calibri"/>
          <w:lang w:val="fr-FR"/>
        </w:rPr>
        <w:t>, le moyen de mieux comprendre les</w:t>
      </w:r>
      <w:r w:rsidR="00AE0AEE" w:rsidRPr="005205FB">
        <w:rPr>
          <w:rFonts w:ascii="Calibri" w:hAnsi="Calibri" w:cs="Calibri"/>
          <w:lang w:val="fr-FR"/>
        </w:rPr>
        <w:t xml:space="preserve"> avantages multiples qu’apportent les zones humides à la société et </w:t>
      </w:r>
      <w:r w:rsidR="00587F7B" w:rsidRPr="005205FB">
        <w:rPr>
          <w:rFonts w:ascii="Calibri" w:hAnsi="Calibri" w:cs="Calibri"/>
          <w:lang w:val="fr-FR"/>
        </w:rPr>
        <w:t>de permettre</w:t>
      </w:r>
      <w:r w:rsidR="00AE0AEE" w:rsidRPr="005205FB">
        <w:rPr>
          <w:rFonts w:ascii="Calibri" w:hAnsi="Calibri" w:cs="Calibri"/>
          <w:lang w:val="fr-FR"/>
        </w:rPr>
        <w:t xml:space="preserve"> l’évaluation des services écosystémiques </w:t>
      </w:r>
      <w:r w:rsidR="00587F7B" w:rsidRPr="005205FB">
        <w:rPr>
          <w:rFonts w:ascii="Calibri" w:hAnsi="Calibri" w:cs="Calibri"/>
          <w:lang w:val="fr-FR"/>
        </w:rPr>
        <w:t>qu’elles rendent</w:t>
      </w:r>
      <w:r w:rsidR="00AE0AEE" w:rsidRPr="005205FB">
        <w:rPr>
          <w:rFonts w:ascii="Calibri" w:hAnsi="Calibri" w:cs="Calibri"/>
          <w:lang w:val="fr-FR"/>
        </w:rPr>
        <w:t>. Les Rapports nationaux indiquent qu</w:t>
      </w:r>
      <w:r w:rsidR="00587F7B" w:rsidRPr="005205FB">
        <w:rPr>
          <w:rFonts w:ascii="Calibri" w:hAnsi="Calibri" w:cs="Calibri"/>
          <w:lang w:val="fr-FR"/>
        </w:rPr>
        <w:t>e toutes les</w:t>
      </w:r>
      <w:r w:rsidR="00AE0AEE" w:rsidRPr="005205FB">
        <w:rPr>
          <w:rFonts w:ascii="Calibri" w:hAnsi="Calibri" w:cs="Calibri"/>
          <w:lang w:val="fr-FR"/>
        </w:rPr>
        <w:t xml:space="preserve"> difficultés </w:t>
      </w:r>
      <w:r w:rsidR="00587F7B" w:rsidRPr="005205FB">
        <w:rPr>
          <w:rFonts w:ascii="Calibri" w:hAnsi="Calibri" w:cs="Calibri"/>
          <w:lang w:val="fr-FR"/>
        </w:rPr>
        <w:t xml:space="preserve">ne sont pas résolues </w:t>
      </w:r>
      <w:r w:rsidR="00AE0AEE" w:rsidRPr="005205FB">
        <w:rPr>
          <w:rFonts w:ascii="Calibri" w:hAnsi="Calibri" w:cs="Calibri"/>
          <w:lang w:val="fr-FR"/>
        </w:rPr>
        <w:t xml:space="preserve">concernant l’application des données sur les zones humides </w:t>
      </w:r>
      <w:r w:rsidR="00587F7B" w:rsidRPr="005205FB">
        <w:rPr>
          <w:rFonts w:ascii="Calibri" w:hAnsi="Calibri" w:cs="Calibri"/>
          <w:lang w:val="fr-FR"/>
        </w:rPr>
        <w:t xml:space="preserve">à </w:t>
      </w:r>
      <w:r w:rsidR="00AE0AEE" w:rsidRPr="005205FB">
        <w:rPr>
          <w:rFonts w:ascii="Calibri" w:hAnsi="Calibri" w:cs="Calibri"/>
          <w:lang w:val="fr-FR"/>
        </w:rPr>
        <w:t xml:space="preserve">la planification </w:t>
      </w:r>
      <w:r w:rsidR="00587F7B" w:rsidRPr="005205FB">
        <w:rPr>
          <w:rFonts w:ascii="Calibri" w:hAnsi="Calibri" w:cs="Calibri"/>
          <w:lang w:val="fr-FR"/>
        </w:rPr>
        <w:t>et le</w:t>
      </w:r>
      <w:r w:rsidR="00AE0AEE" w:rsidRPr="005205FB">
        <w:rPr>
          <w:rFonts w:ascii="Calibri" w:hAnsi="Calibri" w:cs="Calibri"/>
          <w:lang w:val="fr-FR"/>
        </w:rPr>
        <w:t xml:space="preserve"> suivi permettant de mesurer les progrès, y compris par rapport aux indicateurs des ODD. Le renforcement de l’inventaire national des zones humides et des rapports sur l’étendue des zones humides est donc un élément </w:t>
      </w:r>
      <w:r w:rsidR="00A53051" w:rsidRPr="005205FB">
        <w:rPr>
          <w:rFonts w:ascii="Calibri" w:hAnsi="Calibri" w:cs="Calibri"/>
          <w:lang w:val="fr-FR"/>
        </w:rPr>
        <w:t>crucial</w:t>
      </w:r>
      <w:r w:rsidR="00AE0AEE" w:rsidRPr="005205FB">
        <w:rPr>
          <w:rFonts w:ascii="Calibri" w:hAnsi="Calibri" w:cs="Calibri"/>
          <w:lang w:val="fr-FR"/>
        </w:rPr>
        <w:t xml:space="preserve"> pour renforcer la contribution de la Convention à la réalisation du Programme de développement durable à l’horizon 2030 et des ODD.</w:t>
      </w:r>
    </w:p>
    <w:p w14:paraId="0FBA01CE" w14:textId="77777777" w:rsidR="00FF52BB" w:rsidRPr="005205FB" w:rsidRDefault="00FF52BB" w:rsidP="003E0E4B">
      <w:pPr>
        <w:spacing w:after="0" w:line="240" w:lineRule="auto"/>
        <w:ind w:left="425" w:hanging="425"/>
        <w:rPr>
          <w:rFonts w:ascii="Calibri" w:hAnsi="Calibri" w:cs="Calibri"/>
          <w:lang w:val="fr-FR"/>
        </w:rPr>
      </w:pPr>
    </w:p>
    <w:p w14:paraId="42DF752E" w14:textId="7579344A" w:rsidR="003050DF" w:rsidRPr="005205FB" w:rsidRDefault="003E0E4B" w:rsidP="003E0E4B">
      <w:pPr>
        <w:spacing w:after="0" w:line="240" w:lineRule="auto"/>
        <w:ind w:left="425" w:hanging="425"/>
        <w:rPr>
          <w:rFonts w:ascii="Calibri" w:eastAsiaTheme="minorEastAsia" w:hAnsi="Calibri" w:cs="Calibri"/>
          <w:lang w:val="fr-FR"/>
        </w:rPr>
      </w:pPr>
      <w:r w:rsidRPr="005205FB">
        <w:rPr>
          <w:rFonts w:ascii="Calibri" w:eastAsiaTheme="minorEastAsia" w:hAnsi="Calibri" w:cs="Calibri"/>
          <w:lang w:val="fr-FR"/>
        </w:rPr>
        <w:t>25.</w:t>
      </w:r>
      <w:r w:rsidRPr="005205FB">
        <w:rPr>
          <w:rFonts w:ascii="Calibri" w:eastAsiaTheme="minorEastAsia" w:hAnsi="Calibri" w:cs="Calibri"/>
          <w:lang w:val="fr-FR"/>
        </w:rPr>
        <w:tab/>
      </w:r>
      <w:r w:rsidR="00842B69" w:rsidRPr="005205FB">
        <w:rPr>
          <w:rFonts w:ascii="Calibri" w:eastAsiaTheme="minorEastAsia" w:hAnsi="Calibri" w:cs="Calibri"/>
          <w:lang w:val="fr-FR"/>
        </w:rPr>
        <w:t xml:space="preserve">Il est nécessaire </w:t>
      </w:r>
      <w:r w:rsidR="00206713" w:rsidRPr="005205FB">
        <w:rPr>
          <w:rFonts w:ascii="Calibri" w:eastAsiaTheme="minorEastAsia" w:hAnsi="Calibri" w:cs="Calibri"/>
          <w:lang w:val="fr-FR"/>
        </w:rPr>
        <w:t>d’améliorer les</w:t>
      </w:r>
      <w:r w:rsidR="00842B69" w:rsidRPr="005205FB">
        <w:rPr>
          <w:rFonts w:ascii="Calibri" w:eastAsiaTheme="minorEastAsia" w:hAnsi="Calibri" w:cs="Calibri"/>
          <w:lang w:val="fr-FR"/>
        </w:rPr>
        <w:t xml:space="preserve"> rapports sur l’étendue des zones humides </w:t>
      </w:r>
      <w:r w:rsidR="00206713" w:rsidRPr="005205FB">
        <w:rPr>
          <w:rFonts w:ascii="Calibri" w:eastAsiaTheme="minorEastAsia" w:hAnsi="Calibri" w:cs="Calibri"/>
          <w:lang w:val="fr-FR"/>
        </w:rPr>
        <w:t xml:space="preserve">communiqués </w:t>
      </w:r>
      <w:r w:rsidR="00842B69" w:rsidRPr="005205FB">
        <w:rPr>
          <w:rFonts w:ascii="Calibri" w:eastAsiaTheme="minorEastAsia" w:hAnsi="Calibri" w:cs="Calibri"/>
          <w:lang w:val="fr-FR"/>
        </w:rPr>
        <w:t>dans les Rapports nationaux</w:t>
      </w:r>
      <w:r w:rsidR="00206713" w:rsidRPr="005205FB">
        <w:rPr>
          <w:rFonts w:ascii="Calibri" w:eastAsiaTheme="minorEastAsia" w:hAnsi="Calibri" w:cs="Calibri"/>
          <w:lang w:val="fr-FR"/>
        </w:rPr>
        <w:t xml:space="preserve"> et pour cela de disposer </w:t>
      </w:r>
      <w:r w:rsidR="00842B69" w:rsidRPr="005205FB">
        <w:rPr>
          <w:rFonts w:ascii="Calibri" w:eastAsiaTheme="minorEastAsia" w:hAnsi="Calibri" w:cs="Calibri"/>
          <w:lang w:val="fr-FR"/>
        </w:rPr>
        <w:t xml:space="preserve">d’INZH </w:t>
      </w:r>
      <w:r w:rsidR="00206713" w:rsidRPr="005205FB">
        <w:rPr>
          <w:rFonts w:ascii="Calibri" w:eastAsiaTheme="minorEastAsia" w:hAnsi="Calibri" w:cs="Calibri"/>
          <w:lang w:val="fr-FR"/>
        </w:rPr>
        <w:t xml:space="preserve">complets, tenant compte de toutes </w:t>
      </w:r>
      <w:r w:rsidR="00842B69" w:rsidRPr="005205FB">
        <w:rPr>
          <w:rFonts w:ascii="Calibri" w:eastAsiaTheme="minorEastAsia" w:hAnsi="Calibri" w:cs="Calibri"/>
          <w:lang w:val="fr-FR"/>
        </w:rPr>
        <w:t xml:space="preserve">les zones humides. La Résolution </w:t>
      </w:r>
      <w:r w:rsidR="008B790D" w:rsidRPr="005205FB">
        <w:rPr>
          <w:rFonts w:ascii="Calibri" w:hAnsi="Calibri" w:cs="Calibri"/>
          <w:lang w:val="fr-FR"/>
        </w:rPr>
        <w:t>XIV.6 encourage</w:t>
      </w:r>
      <w:r w:rsidR="00842B69" w:rsidRPr="005205FB">
        <w:rPr>
          <w:rFonts w:ascii="Calibri" w:hAnsi="Calibri" w:cs="Calibri"/>
          <w:lang w:val="fr-FR"/>
        </w:rPr>
        <w:t xml:space="preserve"> les Parties contractantes à </w:t>
      </w:r>
      <w:r w:rsidR="003F7C41" w:rsidRPr="005205FB">
        <w:rPr>
          <w:rFonts w:ascii="Calibri" w:hAnsi="Calibri" w:cs="Calibri"/>
          <w:lang w:val="fr-FR"/>
        </w:rPr>
        <w:t>redoubler d’</w:t>
      </w:r>
      <w:r w:rsidR="00842B69" w:rsidRPr="005205FB">
        <w:rPr>
          <w:rFonts w:ascii="Calibri" w:hAnsi="Calibri" w:cs="Calibri"/>
          <w:lang w:val="fr-FR"/>
        </w:rPr>
        <w:t xml:space="preserve">efforts </w:t>
      </w:r>
      <w:r w:rsidR="003F7C41" w:rsidRPr="005205FB">
        <w:rPr>
          <w:rFonts w:ascii="Calibri" w:hAnsi="Calibri" w:cs="Calibri"/>
          <w:lang w:val="fr-FR"/>
        </w:rPr>
        <w:t>pour</w:t>
      </w:r>
      <w:r w:rsidR="00842B69" w:rsidRPr="005205FB">
        <w:rPr>
          <w:rFonts w:ascii="Calibri" w:hAnsi="Calibri" w:cs="Calibri"/>
          <w:lang w:val="fr-FR"/>
        </w:rPr>
        <w:t xml:space="preserve"> terminer leurs INZH </w:t>
      </w:r>
      <w:r w:rsidR="001B619A" w:rsidRPr="005205FB">
        <w:rPr>
          <w:rFonts w:ascii="Calibri" w:hAnsi="Calibri" w:cs="Calibri"/>
          <w:lang w:val="fr-FR"/>
        </w:rPr>
        <w:t xml:space="preserve">et à faire rapport sur l’indicateur 6.6.1 des ODD. À cet égard, les ensembles de données disponibles au plan mondial qui fournissent des informations </w:t>
      </w:r>
      <w:r w:rsidR="00C609BC" w:rsidRPr="005205FB">
        <w:rPr>
          <w:rFonts w:ascii="Calibri" w:hAnsi="Calibri" w:cs="Calibri"/>
          <w:lang w:val="fr-FR"/>
        </w:rPr>
        <w:t>générales</w:t>
      </w:r>
      <w:r w:rsidR="001B619A" w:rsidRPr="005205FB">
        <w:rPr>
          <w:rFonts w:ascii="Calibri" w:hAnsi="Calibri" w:cs="Calibri"/>
          <w:lang w:val="fr-FR"/>
        </w:rPr>
        <w:t xml:space="preserve"> sur les zones humides (tels que le </w:t>
      </w:r>
      <w:r w:rsidR="001B619A" w:rsidRPr="005205FB">
        <w:rPr>
          <w:rFonts w:ascii="Calibri" w:eastAsiaTheme="minorEastAsia" w:hAnsi="Calibri" w:cs="Calibri"/>
          <w:lang w:val="fr-FR"/>
        </w:rPr>
        <w:t xml:space="preserve">Freshwater Ecosytems Explorer du Programme des Nations Unies </w:t>
      </w:r>
      <w:r w:rsidR="002A1A4F" w:rsidRPr="005205FB">
        <w:rPr>
          <w:rFonts w:ascii="Calibri" w:eastAsiaTheme="minorEastAsia" w:hAnsi="Calibri" w:cs="Calibri"/>
          <w:lang w:val="fr-FR"/>
        </w:rPr>
        <w:t>po</w:t>
      </w:r>
      <w:r w:rsidR="001B619A" w:rsidRPr="005205FB">
        <w:rPr>
          <w:rFonts w:ascii="Calibri" w:eastAsiaTheme="minorEastAsia" w:hAnsi="Calibri" w:cs="Calibri"/>
          <w:lang w:val="fr-FR"/>
        </w:rPr>
        <w:t>ur l’environnement</w:t>
      </w:r>
      <w:r w:rsidR="001B619A" w:rsidRPr="005205FB">
        <w:rPr>
          <w:rStyle w:val="FootnoteReference"/>
          <w:rFonts w:ascii="Calibri" w:hAnsi="Calibri" w:cs="Calibri"/>
          <w:lang w:val="fr-FR"/>
        </w:rPr>
        <w:footnoteReference w:id="10"/>
      </w:r>
      <w:r w:rsidR="001B619A" w:rsidRPr="005205FB">
        <w:rPr>
          <w:rFonts w:ascii="Calibri" w:eastAsiaTheme="minorEastAsia" w:hAnsi="Calibri" w:cs="Calibri"/>
          <w:lang w:val="fr-FR"/>
        </w:rPr>
        <w:t xml:space="preserve">) sont utiles, et </w:t>
      </w:r>
      <w:r w:rsidR="00C609BC" w:rsidRPr="005205FB">
        <w:rPr>
          <w:rFonts w:ascii="Calibri" w:eastAsiaTheme="minorEastAsia" w:hAnsi="Calibri" w:cs="Calibri"/>
          <w:lang w:val="fr-FR"/>
        </w:rPr>
        <w:t>peuvent</w:t>
      </w:r>
      <w:r w:rsidR="001B619A" w:rsidRPr="005205FB">
        <w:rPr>
          <w:rFonts w:ascii="Calibri" w:eastAsiaTheme="minorEastAsia" w:hAnsi="Calibri" w:cs="Calibri"/>
          <w:lang w:val="fr-FR"/>
        </w:rPr>
        <w:t xml:space="preserve"> servir de base à l’Étape 1 des INZH </w:t>
      </w:r>
      <w:r w:rsidR="00C609BC" w:rsidRPr="005205FB">
        <w:rPr>
          <w:rFonts w:ascii="Calibri" w:eastAsiaTheme="minorEastAsia" w:hAnsi="Calibri" w:cs="Calibri"/>
          <w:lang w:val="fr-FR"/>
        </w:rPr>
        <w:t>qui est elle-même le</w:t>
      </w:r>
      <w:r w:rsidR="001B619A" w:rsidRPr="005205FB">
        <w:rPr>
          <w:rFonts w:ascii="Calibri" w:eastAsiaTheme="minorEastAsia" w:hAnsi="Calibri" w:cs="Calibri"/>
          <w:lang w:val="fr-FR"/>
        </w:rPr>
        <w:t xml:space="preserve"> point de départ </w:t>
      </w:r>
      <w:r w:rsidR="00C609BC" w:rsidRPr="005205FB">
        <w:rPr>
          <w:rFonts w:ascii="Calibri" w:eastAsiaTheme="minorEastAsia" w:hAnsi="Calibri" w:cs="Calibri"/>
          <w:lang w:val="fr-FR"/>
        </w:rPr>
        <w:t>d’</w:t>
      </w:r>
      <w:r w:rsidR="001B619A" w:rsidRPr="005205FB">
        <w:rPr>
          <w:rFonts w:ascii="Calibri" w:eastAsiaTheme="minorEastAsia" w:hAnsi="Calibri" w:cs="Calibri"/>
          <w:lang w:val="fr-FR"/>
        </w:rPr>
        <w:t xml:space="preserve">inventaires des zones humides plus affinés, détaillés et pertinents au </w:t>
      </w:r>
      <w:r w:rsidR="00C609BC" w:rsidRPr="005205FB">
        <w:rPr>
          <w:rFonts w:ascii="Calibri" w:eastAsiaTheme="minorEastAsia" w:hAnsi="Calibri" w:cs="Calibri"/>
          <w:lang w:val="fr-FR"/>
        </w:rPr>
        <w:t>niveau</w:t>
      </w:r>
      <w:r w:rsidR="001B619A" w:rsidRPr="005205FB">
        <w:rPr>
          <w:rFonts w:ascii="Calibri" w:eastAsiaTheme="minorEastAsia" w:hAnsi="Calibri" w:cs="Calibri"/>
          <w:lang w:val="fr-FR"/>
        </w:rPr>
        <w:t xml:space="preserve"> local. </w:t>
      </w:r>
      <w:r w:rsidR="006540E4" w:rsidRPr="005205FB">
        <w:rPr>
          <w:rFonts w:ascii="Calibri" w:eastAsiaTheme="minorEastAsia" w:hAnsi="Calibri" w:cs="Calibri"/>
          <w:lang w:val="fr-FR"/>
        </w:rPr>
        <w:t xml:space="preserve">L’on obtiendrait ainsi </w:t>
      </w:r>
      <w:r w:rsidR="0081278A" w:rsidRPr="005205FB">
        <w:rPr>
          <w:rFonts w:ascii="Calibri" w:eastAsiaTheme="minorEastAsia" w:hAnsi="Calibri" w:cs="Calibri"/>
          <w:lang w:val="fr-FR"/>
        </w:rPr>
        <w:t xml:space="preserve">des données </w:t>
      </w:r>
      <w:r w:rsidR="00D11159" w:rsidRPr="005205FB">
        <w:rPr>
          <w:rFonts w:ascii="Calibri" w:eastAsiaTheme="minorEastAsia" w:hAnsi="Calibri" w:cs="Calibri"/>
          <w:lang w:val="fr-FR"/>
        </w:rPr>
        <w:t xml:space="preserve">d’inventaire </w:t>
      </w:r>
      <w:r w:rsidR="006540E4" w:rsidRPr="005205FB">
        <w:rPr>
          <w:rFonts w:ascii="Calibri" w:eastAsiaTheme="minorEastAsia" w:hAnsi="Calibri" w:cs="Calibri"/>
          <w:lang w:val="fr-FR"/>
        </w:rPr>
        <w:t>sur l’</w:t>
      </w:r>
      <w:r w:rsidR="0081278A" w:rsidRPr="005205FB">
        <w:rPr>
          <w:rFonts w:ascii="Calibri" w:eastAsiaTheme="minorEastAsia" w:hAnsi="Calibri" w:cs="Calibri"/>
          <w:lang w:val="fr-FR"/>
        </w:rPr>
        <w:t>étendue</w:t>
      </w:r>
      <w:r w:rsidR="001F7DB3" w:rsidRPr="005205FB">
        <w:rPr>
          <w:rFonts w:ascii="Calibri" w:eastAsiaTheme="minorEastAsia" w:hAnsi="Calibri" w:cs="Calibri"/>
          <w:lang w:val="fr-FR"/>
        </w:rPr>
        <w:t xml:space="preserve"> des</w:t>
      </w:r>
      <w:r w:rsidR="006540E4" w:rsidRPr="005205FB">
        <w:rPr>
          <w:rFonts w:ascii="Calibri" w:eastAsiaTheme="minorEastAsia" w:hAnsi="Calibri" w:cs="Calibri"/>
          <w:lang w:val="fr-FR"/>
        </w:rPr>
        <w:t xml:space="preserve"> zones humides </w:t>
      </w:r>
      <w:r w:rsidR="0081278A" w:rsidRPr="005205FB">
        <w:rPr>
          <w:rFonts w:ascii="Calibri" w:eastAsiaTheme="minorEastAsia" w:hAnsi="Calibri" w:cs="Calibri"/>
          <w:lang w:val="fr-FR"/>
        </w:rPr>
        <w:t>continenta</w:t>
      </w:r>
      <w:r w:rsidR="006540E4" w:rsidRPr="005205FB">
        <w:rPr>
          <w:rFonts w:ascii="Calibri" w:eastAsiaTheme="minorEastAsia" w:hAnsi="Calibri" w:cs="Calibri"/>
          <w:lang w:val="fr-FR"/>
        </w:rPr>
        <w:t>les</w:t>
      </w:r>
      <w:r w:rsidR="0081278A" w:rsidRPr="005205FB">
        <w:rPr>
          <w:rFonts w:ascii="Calibri" w:eastAsiaTheme="minorEastAsia" w:hAnsi="Calibri" w:cs="Calibri"/>
          <w:lang w:val="fr-FR"/>
        </w:rPr>
        <w:t xml:space="preserve">, </w:t>
      </w:r>
      <w:r w:rsidR="006540E4" w:rsidRPr="005205FB">
        <w:rPr>
          <w:rFonts w:ascii="Calibri" w:eastAsiaTheme="minorEastAsia" w:hAnsi="Calibri" w:cs="Calibri"/>
          <w:lang w:val="fr-FR"/>
        </w:rPr>
        <w:t>artificielles</w:t>
      </w:r>
      <w:r w:rsidR="0081278A" w:rsidRPr="005205FB">
        <w:rPr>
          <w:rFonts w:ascii="Calibri" w:eastAsiaTheme="minorEastAsia" w:hAnsi="Calibri" w:cs="Calibri"/>
          <w:lang w:val="fr-FR"/>
        </w:rPr>
        <w:t xml:space="preserve"> et marin</w:t>
      </w:r>
      <w:r w:rsidR="006540E4" w:rsidRPr="005205FB">
        <w:rPr>
          <w:rFonts w:ascii="Calibri" w:eastAsiaTheme="minorEastAsia" w:hAnsi="Calibri" w:cs="Calibri"/>
          <w:lang w:val="fr-FR"/>
        </w:rPr>
        <w:t>e</w:t>
      </w:r>
      <w:r w:rsidR="0081278A" w:rsidRPr="005205FB">
        <w:rPr>
          <w:rFonts w:ascii="Calibri" w:eastAsiaTheme="minorEastAsia" w:hAnsi="Calibri" w:cs="Calibri"/>
          <w:lang w:val="fr-FR"/>
        </w:rPr>
        <w:t>s/côti</w:t>
      </w:r>
      <w:r w:rsidR="006540E4" w:rsidRPr="005205FB">
        <w:rPr>
          <w:rFonts w:ascii="Calibri" w:eastAsiaTheme="minorEastAsia" w:hAnsi="Calibri" w:cs="Calibri"/>
          <w:lang w:val="fr-FR"/>
        </w:rPr>
        <w:t>ère</w:t>
      </w:r>
      <w:r w:rsidR="0081278A" w:rsidRPr="005205FB">
        <w:rPr>
          <w:rFonts w:ascii="Calibri" w:eastAsiaTheme="minorEastAsia" w:hAnsi="Calibri" w:cs="Calibri"/>
          <w:lang w:val="fr-FR"/>
        </w:rPr>
        <w:t xml:space="preserve">s, </w:t>
      </w:r>
      <w:r w:rsidR="001F7DB3" w:rsidRPr="005205FB">
        <w:rPr>
          <w:rFonts w:ascii="Calibri" w:eastAsiaTheme="minorEastAsia" w:hAnsi="Calibri" w:cs="Calibri"/>
          <w:lang w:val="fr-FR"/>
        </w:rPr>
        <w:t xml:space="preserve">produites au plan national, </w:t>
      </w:r>
      <w:r w:rsidR="006540E4" w:rsidRPr="005205FB">
        <w:rPr>
          <w:rFonts w:ascii="Calibri" w:eastAsiaTheme="minorEastAsia" w:hAnsi="Calibri" w:cs="Calibri"/>
          <w:lang w:val="fr-FR"/>
        </w:rPr>
        <w:t xml:space="preserve">c’est-à-dire </w:t>
      </w:r>
      <w:r w:rsidR="0081278A" w:rsidRPr="005205FB">
        <w:rPr>
          <w:rFonts w:ascii="Calibri" w:eastAsiaTheme="minorEastAsia" w:hAnsi="Calibri" w:cs="Calibri"/>
          <w:lang w:val="fr-FR"/>
        </w:rPr>
        <w:t>les données attendues pour l’indicateur </w:t>
      </w:r>
      <w:r w:rsidR="7AA5BD70" w:rsidRPr="005205FB">
        <w:rPr>
          <w:rFonts w:ascii="Calibri" w:eastAsiaTheme="minorEastAsia" w:hAnsi="Calibri" w:cs="Calibri"/>
          <w:lang w:val="fr-FR"/>
        </w:rPr>
        <w:t>6.6.1</w:t>
      </w:r>
      <w:r w:rsidR="003050DF" w:rsidRPr="005205FB">
        <w:rPr>
          <w:rFonts w:ascii="Calibri" w:eastAsiaTheme="minorEastAsia" w:hAnsi="Calibri" w:cs="Calibri"/>
          <w:lang w:val="fr-FR"/>
        </w:rPr>
        <w:t xml:space="preserve"> </w:t>
      </w:r>
      <w:r w:rsidR="0081278A" w:rsidRPr="005205FB">
        <w:rPr>
          <w:rFonts w:ascii="Calibri" w:eastAsiaTheme="minorEastAsia" w:hAnsi="Calibri" w:cs="Calibri"/>
          <w:lang w:val="fr-FR"/>
        </w:rPr>
        <w:t xml:space="preserve">des ODD pour lequel la Convention est coresponsable avec le PNUE. </w:t>
      </w:r>
    </w:p>
    <w:p w14:paraId="3C41EC55" w14:textId="77777777" w:rsidR="00517F0D" w:rsidRPr="005205FB" w:rsidRDefault="00517F0D" w:rsidP="003E0E4B">
      <w:pPr>
        <w:spacing w:after="0" w:line="240" w:lineRule="auto"/>
        <w:ind w:left="425" w:hanging="425"/>
        <w:rPr>
          <w:rFonts w:ascii="Calibri" w:hAnsi="Calibri" w:cs="Calibri"/>
          <w:lang w:val="fr-FR"/>
        </w:rPr>
      </w:pPr>
    </w:p>
    <w:p w14:paraId="5E32E055" w14:textId="35ADE619" w:rsidR="00DC386A" w:rsidRPr="005205FB" w:rsidRDefault="003E0E4B" w:rsidP="003E0E4B">
      <w:pPr>
        <w:spacing w:after="0" w:line="240" w:lineRule="auto"/>
        <w:ind w:left="425" w:hanging="425"/>
        <w:rPr>
          <w:rFonts w:ascii="Calibri" w:eastAsiaTheme="minorEastAsia" w:hAnsi="Calibri" w:cs="Calibri"/>
          <w:lang w:val="fr-FR"/>
        </w:rPr>
      </w:pPr>
      <w:r w:rsidRPr="005205FB">
        <w:rPr>
          <w:rFonts w:ascii="Calibri" w:hAnsi="Calibri" w:cs="Calibri"/>
          <w:lang w:val="fr-FR"/>
        </w:rPr>
        <w:t>26.</w:t>
      </w:r>
      <w:r w:rsidRPr="005205FB">
        <w:rPr>
          <w:rFonts w:ascii="Calibri" w:hAnsi="Calibri" w:cs="Calibri"/>
          <w:lang w:val="fr-FR"/>
        </w:rPr>
        <w:tab/>
      </w:r>
      <w:r w:rsidR="0081278A" w:rsidRPr="005205FB">
        <w:rPr>
          <w:rFonts w:ascii="Calibri" w:hAnsi="Calibri" w:cs="Calibri"/>
          <w:lang w:val="fr-FR"/>
        </w:rPr>
        <w:t xml:space="preserve">Le mécanisme </w:t>
      </w:r>
      <w:r w:rsidR="0002768B" w:rsidRPr="005205FB">
        <w:rPr>
          <w:rFonts w:ascii="Calibri" w:hAnsi="Calibri" w:cs="Calibri"/>
          <w:lang w:val="fr-FR"/>
        </w:rPr>
        <w:t>de soutien</w:t>
      </w:r>
      <w:r w:rsidR="0081278A" w:rsidRPr="005205FB">
        <w:rPr>
          <w:rFonts w:ascii="Calibri" w:hAnsi="Calibri" w:cs="Calibri"/>
          <w:lang w:val="fr-FR"/>
        </w:rPr>
        <w:t xml:space="preserve"> aux inventaires nationaux des zones humides du Secrétariat</w:t>
      </w:r>
      <w:r w:rsidR="00FE4BE9" w:rsidRPr="005205FB">
        <w:rPr>
          <w:rStyle w:val="FootnoteReference"/>
          <w:rFonts w:ascii="Calibri" w:hAnsi="Calibri" w:cs="Calibri"/>
          <w:lang w:val="fr-FR"/>
        </w:rPr>
        <w:footnoteReference w:id="11"/>
      </w:r>
      <w:r w:rsidR="009D0053" w:rsidRPr="005205FB">
        <w:rPr>
          <w:rFonts w:ascii="Calibri" w:hAnsi="Calibri" w:cs="Calibri"/>
          <w:lang w:val="fr-FR"/>
        </w:rPr>
        <w:t xml:space="preserve"> </w:t>
      </w:r>
      <w:r w:rsidR="0081278A" w:rsidRPr="005205FB">
        <w:rPr>
          <w:rFonts w:ascii="Calibri" w:hAnsi="Calibri" w:cs="Calibri"/>
          <w:lang w:val="fr-FR"/>
        </w:rPr>
        <w:t xml:space="preserve">est un moyen de </w:t>
      </w:r>
      <w:r w:rsidR="0002768B" w:rsidRPr="005205FB">
        <w:rPr>
          <w:rFonts w:ascii="Calibri" w:hAnsi="Calibri" w:cs="Calibri"/>
          <w:lang w:val="fr-FR"/>
        </w:rPr>
        <w:t>contribuer à de</w:t>
      </w:r>
      <w:r w:rsidR="0081278A" w:rsidRPr="005205FB">
        <w:rPr>
          <w:rFonts w:ascii="Calibri" w:hAnsi="Calibri" w:cs="Calibri"/>
          <w:lang w:val="fr-FR"/>
        </w:rPr>
        <w:t xml:space="preserve"> tels efforts et peut, sous réserve de ressources disponibles, </w:t>
      </w:r>
      <w:r w:rsidR="0002768B" w:rsidRPr="005205FB">
        <w:rPr>
          <w:rFonts w:ascii="Calibri" w:hAnsi="Calibri" w:cs="Calibri"/>
          <w:lang w:val="fr-FR"/>
        </w:rPr>
        <w:t>aider</w:t>
      </w:r>
      <w:r w:rsidR="0081278A" w:rsidRPr="005205FB">
        <w:rPr>
          <w:rFonts w:ascii="Calibri" w:hAnsi="Calibri" w:cs="Calibri"/>
          <w:lang w:val="fr-FR"/>
        </w:rPr>
        <w:t xml:space="preserve"> les Parties contractantes en proie à des contraintes particulières </w:t>
      </w:r>
      <w:r w:rsidR="00EC36ED" w:rsidRPr="005205FB">
        <w:rPr>
          <w:rFonts w:ascii="Calibri" w:hAnsi="Calibri" w:cs="Calibri"/>
          <w:lang w:val="fr-FR"/>
        </w:rPr>
        <w:t xml:space="preserve">du point de vue des capacités et du financement, à développer au moins l’Étape 1 des INZH avant la fin de la période triennale </w:t>
      </w:r>
      <w:r w:rsidR="00674DF9" w:rsidRPr="005205FB">
        <w:rPr>
          <w:rFonts w:ascii="Calibri" w:hAnsi="Calibri" w:cs="Calibri"/>
          <w:lang w:val="fr-FR"/>
        </w:rPr>
        <w:t>2025-2027</w:t>
      </w:r>
      <w:r w:rsidR="0002768B" w:rsidRPr="005205FB">
        <w:rPr>
          <w:rFonts w:ascii="Calibri" w:hAnsi="Calibri" w:cs="Calibri"/>
          <w:lang w:val="fr-FR"/>
        </w:rPr>
        <w:t>. Il</w:t>
      </w:r>
      <w:r w:rsidR="00EC36ED" w:rsidRPr="005205FB">
        <w:rPr>
          <w:rFonts w:ascii="Calibri" w:hAnsi="Calibri" w:cs="Calibri"/>
          <w:lang w:val="fr-FR"/>
        </w:rPr>
        <w:t xml:space="preserve"> peut aussi soutenir la mise à jour et le renforcement des INZH existants si les ressources le permettent. </w:t>
      </w:r>
      <w:r w:rsidR="007679E9" w:rsidRPr="005205FB">
        <w:rPr>
          <w:rFonts w:ascii="Calibri" w:hAnsi="Calibri" w:cs="Calibri"/>
          <w:lang w:val="fr-FR"/>
        </w:rPr>
        <w:t xml:space="preserve">L’initiative en partenariat sur l’utilisation de l’observation de la Terre </w:t>
      </w:r>
      <w:r w:rsidR="0002768B" w:rsidRPr="005205FB">
        <w:rPr>
          <w:rFonts w:ascii="Calibri" w:hAnsi="Calibri" w:cs="Calibri"/>
          <w:lang w:val="fr-FR"/>
        </w:rPr>
        <w:t>pour</w:t>
      </w:r>
      <w:r w:rsidR="007679E9" w:rsidRPr="005205FB">
        <w:rPr>
          <w:rFonts w:ascii="Calibri" w:hAnsi="Calibri" w:cs="Calibri"/>
          <w:lang w:val="fr-FR"/>
        </w:rPr>
        <w:t xml:space="preserve"> les inventaires, le suivi, l’évaluation et la conservation des zones humides</w:t>
      </w:r>
      <w:r w:rsidR="0002768B" w:rsidRPr="005205FB">
        <w:rPr>
          <w:rFonts w:ascii="Calibri" w:hAnsi="Calibri" w:cs="Calibri"/>
          <w:lang w:val="fr-FR"/>
        </w:rPr>
        <w:t xml:space="preserve"> qui sera élaborée</w:t>
      </w:r>
      <w:r w:rsidR="008D3E7F" w:rsidRPr="005205FB">
        <w:rPr>
          <w:rFonts w:ascii="Calibri" w:hAnsi="Calibri" w:cs="Calibri"/>
          <w:lang w:val="fr-FR"/>
        </w:rPr>
        <w:t>, conformément aux recommandations issues de la consultation sur l’observation de la Terre entreprise en 2024</w:t>
      </w:r>
      <w:r w:rsidR="00FE4BE9" w:rsidRPr="005205FB">
        <w:rPr>
          <w:rStyle w:val="FootnoteReference"/>
          <w:rFonts w:ascii="Calibri" w:eastAsiaTheme="minorEastAsia" w:hAnsi="Calibri" w:cs="Calibri"/>
          <w:lang w:val="fr-FR"/>
        </w:rPr>
        <w:footnoteReference w:id="12"/>
      </w:r>
      <w:r w:rsidR="0002768B" w:rsidRPr="005205FB">
        <w:rPr>
          <w:rFonts w:ascii="Calibri" w:hAnsi="Calibri" w:cs="Calibri"/>
          <w:lang w:val="fr-FR"/>
        </w:rPr>
        <w:t>,</w:t>
      </w:r>
      <w:r w:rsidR="001A4E18" w:rsidRPr="005205FB">
        <w:rPr>
          <w:rFonts w:ascii="Calibri" w:eastAsiaTheme="minorEastAsia" w:hAnsi="Calibri" w:cs="Calibri"/>
          <w:lang w:val="fr-FR"/>
        </w:rPr>
        <w:t xml:space="preserve"> </w:t>
      </w:r>
      <w:r w:rsidR="00884CB8" w:rsidRPr="005205FB">
        <w:rPr>
          <w:rFonts w:ascii="Calibri" w:eastAsiaTheme="minorEastAsia" w:hAnsi="Calibri" w:cs="Calibri"/>
          <w:lang w:val="fr-FR"/>
        </w:rPr>
        <w:t>contribuera considérablement</w:t>
      </w:r>
      <w:r w:rsidR="0002768B" w:rsidRPr="005205FB">
        <w:rPr>
          <w:rFonts w:ascii="Calibri" w:eastAsiaTheme="minorEastAsia" w:hAnsi="Calibri" w:cs="Calibri"/>
          <w:lang w:val="fr-FR"/>
        </w:rPr>
        <w:t xml:space="preserve"> à</w:t>
      </w:r>
      <w:r w:rsidR="008D3E7F" w:rsidRPr="005205FB">
        <w:rPr>
          <w:rFonts w:ascii="Calibri" w:eastAsiaTheme="minorEastAsia" w:hAnsi="Calibri" w:cs="Calibri"/>
          <w:lang w:val="fr-FR"/>
        </w:rPr>
        <w:t xml:space="preserve"> ces efforts</w:t>
      </w:r>
      <w:r w:rsidR="007E6382" w:rsidRPr="005205FB">
        <w:rPr>
          <w:rFonts w:ascii="Calibri" w:eastAsiaTheme="minorEastAsia" w:hAnsi="Calibri" w:cs="Calibri"/>
          <w:lang w:val="fr-FR"/>
        </w:rPr>
        <w:t>.</w:t>
      </w:r>
    </w:p>
    <w:p w14:paraId="1BD8CA19" w14:textId="77777777" w:rsidR="007E6382" w:rsidRPr="005205FB" w:rsidRDefault="007E6382" w:rsidP="003614B1">
      <w:pPr>
        <w:spacing w:after="0" w:line="240" w:lineRule="auto"/>
        <w:rPr>
          <w:rFonts w:ascii="Calibri" w:hAnsi="Calibri" w:cs="Calibri"/>
          <w:lang w:val="fr-FR"/>
        </w:rPr>
      </w:pPr>
    </w:p>
    <w:p w14:paraId="5CAAB4BE" w14:textId="20C44083" w:rsidR="0008301C" w:rsidRPr="005205FB" w:rsidRDefault="00251BCA" w:rsidP="003614B1">
      <w:pPr>
        <w:keepNext/>
        <w:spacing w:after="0" w:line="240" w:lineRule="auto"/>
        <w:rPr>
          <w:rFonts w:ascii="Calibri" w:hAnsi="Calibri" w:cs="Calibri"/>
          <w:i/>
          <w:iCs/>
          <w:lang w:val="fr-FR"/>
        </w:rPr>
      </w:pPr>
      <w:r w:rsidRPr="005205FB">
        <w:rPr>
          <w:rFonts w:ascii="Calibri" w:hAnsi="Calibri" w:cs="Calibri"/>
          <w:i/>
          <w:iCs/>
          <w:lang w:val="fr-FR"/>
        </w:rPr>
        <w:lastRenderedPageBreak/>
        <w:t xml:space="preserve">Les zones humides dans les plans de développement durable et sectoriels </w:t>
      </w:r>
    </w:p>
    <w:p w14:paraId="31C65CC2" w14:textId="77777777" w:rsidR="0008301C" w:rsidRPr="005205FB" w:rsidRDefault="0008301C" w:rsidP="003614B1">
      <w:pPr>
        <w:keepNext/>
        <w:spacing w:after="0" w:line="240" w:lineRule="auto"/>
        <w:rPr>
          <w:rFonts w:ascii="Calibri" w:hAnsi="Calibri" w:cs="Calibri"/>
          <w:highlight w:val="yellow"/>
          <w:lang w:val="fr-FR"/>
        </w:rPr>
      </w:pPr>
    </w:p>
    <w:p w14:paraId="3042AD32" w14:textId="39D08246" w:rsidR="006E5544" w:rsidRPr="005205FB" w:rsidRDefault="003E0E4B" w:rsidP="003E0E4B">
      <w:pPr>
        <w:spacing w:after="0" w:line="240" w:lineRule="auto"/>
        <w:ind w:left="425" w:hanging="425"/>
        <w:rPr>
          <w:rFonts w:ascii="Calibri" w:hAnsi="Calibri" w:cs="Calibri"/>
          <w:lang w:val="fr-FR"/>
        </w:rPr>
      </w:pPr>
      <w:r w:rsidRPr="005205FB">
        <w:rPr>
          <w:rFonts w:ascii="Calibri" w:hAnsi="Calibri" w:cs="Calibri"/>
          <w:lang w:val="fr-FR"/>
        </w:rPr>
        <w:t>27.</w:t>
      </w:r>
      <w:r w:rsidRPr="005205FB">
        <w:rPr>
          <w:rFonts w:ascii="Calibri" w:hAnsi="Calibri" w:cs="Calibri"/>
          <w:lang w:val="fr-FR"/>
        </w:rPr>
        <w:tab/>
      </w:r>
      <w:r w:rsidR="000C2DF0" w:rsidRPr="005205FB">
        <w:rPr>
          <w:rFonts w:ascii="Calibri" w:hAnsi="Calibri" w:cs="Calibri"/>
          <w:lang w:val="fr-FR"/>
        </w:rPr>
        <w:t xml:space="preserve">Mieux intégrer </w:t>
      </w:r>
      <w:r w:rsidR="00A00447" w:rsidRPr="005205FB">
        <w:rPr>
          <w:rFonts w:ascii="Calibri" w:hAnsi="Calibri" w:cs="Calibri"/>
          <w:lang w:val="fr-FR"/>
        </w:rPr>
        <w:t xml:space="preserve">la conservation et l’utilisation rationnelle des zones humides dans les politiques nationales </w:t>
      </w:r>
      <w:r w:rsidR="000C2DF0" w:rsidRPr="005205FB">
        <w:rPr>
          <w:rFonts w:ascii="Calibri" w:hAnsi="Calibri" w:cs="Calibri"/>
          <w:lang w:val="fr-FR"/>
        </w:rPr>
        <w:t xml:space="preserve">permet de mieux soutenir </w:t>
      </w:r>
      <w:r w:rsidR="00A00447" w:rsidRPr="005205FB">
        <w:rPr>
          <w:rFonts w:ascii="Calibri" w:hAnsi="Calibri" w:cs="Calibri"/>
          <w:lang w:val="fr-FR"/>
        </w:rPr>
        <w:t xml:space="preserve">les efforts </w:t>
      </w:r>
      <w:r w:rsidR="000C2DF0" w:rsidRPr="005205FB">
        <w:rPr>
          <w:rFonts w:ascii="Calibri" w:hAnsi="Calibri" w:cs="Calibri"/>
          <w:lang w:val="fr-FR"/>
        </w:rPr>
        <w:t>déployés au plan national pour</w:t>
      </w:r>
      <w:r w:rsidR="00A00447" w:rsidRPr="005205FB">
        <w:rPr>
          <w:rFonts w:ascii="Calibri" w:hAnsi="Calibri" w:cs="Calibri"/>
          <w:lang w:val="fr-FR"/>
        </w:rPr>
        <w:t xml:space="preserve"> </w:t>
      </w:r>
      <w:r w:rsidR="000C2DF0" w:rsidRPr="005205FB">
        <w:rPr>
          <w:rFonts w:ascii="Calibri" w:hAnsi="Calibri" w:cs="Calibri"/>
          <w:lang w:val="fr-FR"/>
        </w:rPr>
        <w:t xml:space="preserve">contribuer à la </w:t>
      </w:r>
      <w:r w:rsidR="00A00447" w:rsidRPr="005205FB">
        <w:rPr>
          <w:rFonts w:ascii="Calibri" w:hAnsi="Calibri" w:cs="Calibri"/>
          <w:lang w:val="fr-FR"/>
        </w:rPr>
        <w:t xml:space="preserve">réalisation de nombreux ODD. </w:t>
      </w:r>
      <w:r w:rsidR="000C2DF0" w:rsidRPr="005205FB">
        <w:rPr>
          <w:rFonts w:ascii="Calibri" w:hAnsi="Calibri" w:cs="Calibri"/>
          <w:lang w:val="fr-FR"/>
        </w:rPr>
        <w:t>Dans le contexte de son plan de travail pour 2023-2025 (Tâche 4.3), l</w:t>
      </w:r>
      <w:r w:rsidR="00A00447" w:rsidRPr="005205FB">
        <w:rPr>
          <w:rFonts w:ascii="Calibri" w:hAnsi="Calibri" w:cs="Calibri"/>
          <w:lang w:val="fr-FR"/>
        </w:rPr>
        <w:t xml:space="preserve">e GEST prépare des orientations sur l’intégration de la conservation, </w:t>
      </w:r>
      <w:r w:rsidR="000C2DF0" w:rsidRPr="005205FB">
        <w:rPr>
          <w:rFonts w:ascii="Calibri" w:hAnsi="Calibri" w:cs="Calibri"/>
          <w:lang w:val="fr-FR"/>
        </w:rPr>
        <w:t xml:space="preserve">de la </w:t>
      </w:r>
      <w:r w:rsidR="00A00447" w:rsidRPr="005205FB">
        <w:rPr>
          <w:rFonts w:ascii="Calibri" w:hAnsi="Calibri" w:cs="Calibri"/>
          <w:lang w:val="fr-FR"/>
        </w:rPr>
        <w:t xml:space="preserve">restauration et </w:t>
      </w:r>
      <w:r w:rsidR="000C2DF0" w:rsidRPr="005205FB">
        <w:rPr>
          <w:rFonts w:ascii="Calibri" w:hAnsi="Calibri" w:cs="Calibri"/>
          <w:lang w:val="fr-FR"/>
        </w:rPr>
        <w:t>de l’</w:t>
      </w:r>
      <w:r w:rsidR="00A00447" w:rsidRPr="005205FB">
        <w:rPr>
          <w:rFonts w:ascii="Calibri" w:hAnsi="Calibri" w:cs="Calibri"/>
          <w:lang w:val="fr-FR"/>
        </w:rPr>
        <w:t>utilisation rationnelle des zones humides dans les stratégies nationales de développement durable</w:t>
      </w:r>
      <w:r w:rsidR="006E5544" w:rsidRPr="005205FB">
        <w:rPr>
          <w:rFonts w:ascii="Calibri" w:hAnsi="Calibri" w:cs="Calibri"/>
          <w:lang w:val="fr-FR"/>
        </w:rPr>
        <w:t xml:space="preserve">. </w:t>
      </w:r>
      <w:r w:rsidR="00AB6C7D" w:rsidRPr="005205FB">
        <w:rPr>
          <w:rFonts w:ascii="Calibri" w:hAnsi="Calibri" w:cs="Calibri"/>
          <w:lang w:val="fr-FR"/>
        </w:rPr>
        <w:t>Ces travaux seront présentés dans une Note d’information qui exam</w:t>
      </w:r>
      <w:r w:rsidR="000C2DF0" w:rsidRPr="005205FB">
        <w:rPr>
          <w:rFonts w:ascii="Calibri" w:hAnsi="Calibri" w:cs="Calibri"/>
          <w:lang w:val="fr-FR"/>
        </w:rPr>
        <w:t xml:space="preserve">inera la place </w:t>
      </w:r>
      <w:r w:rsidR="00AB6C7D" w:rsidRPr="005205FB">
        <w:rPr>
          <w:rFonts w:ascii="Calibri" w:hAnsi="Calibri" w:cs="Calibri"/>
          <w:lang w:val="fr-FR"/>
        </w:rPr>
        <w:t xml:space="preserve">des zones humides dans les stratégies de développement durable </w:t>
      </w:r>
      <w:r w:rsidR="000C2DF0" w:rsidRPr="005205FB">
        <w:rPr>
          <w:rFonts w:ascii="Calibri" w:hAnsi="Calibri" w:cs="Calibri"/>
          <w:lang w:val="fr-FR"/>
        </w:rPr>
        <w:t>dans</w:t>
      </w:r>
      <w:r w:rsidR="00AB6C7D" w:rsidRPr="005205FB">
        <w:rPr>
          <w:rFonts w:ascii="Calibri" w:hAnsi="Calibri" w:cs="Calibri"/>
          <w:lang w:val="fr-FR"/>
        </w:rPr>
        <w:t xml:space="preserve"> différents contextes de développement économique ; </w:t>
      </w:r>
      <w:r w:rsidR="000C2DF0" w:rsidRPr="005205FB">
        <w:rPr>
          <w:rFonts w:ascii="Calibri" w:hAnsi="Calibri" w:cs="Calibri"/>
          <w:lang w:val="fr-FR"/>
        </w:rPr>
        <w:t>identifiera les</w:t>
      </w:r>
      <w:r w:rsidR="00AB6C7D" w:rsidRPr="005205FB">
        <w:rPr>
          <w:rFonts w:ascii="Calibri" w:hAnsi="Calibri" w:cs="Calibri"/>
          <w:lang w:val="fr-FR"/>
        </w:rPr>
        <w:t xml:space="preserve"> principaux facteurs de succès et </w:t>
      </w:r>
      <w:r w:rsidR="000C2DF0" w:rsidRPr="005205FB">
        <w:rPr>
          <w:rFonts w:ascii="Calibri" w:hAnsi="Calibri" w:cs="Calibri"/>
          <w:lang w:val="fr-FR"/>
        </w:rPr>
        <w:t>l</w:t>
      </w:r>
      <w:r w:rsidR="00AB6C7D" w:rsidRPr="005205FB">
        <w:rPr>
          <w:rFonts w:ascii="Calibri" w:hAnsi="Calibri" w:cs="Calibri"/>
          <w:lang w:val="fr-FR"/>
        </w:rPr>
        <w:t xml:space="preserve">es conditions </w:t>
      </w:r>
      <w:r w:rsidR="000C2DF0" w:rsidRPr="005205FB">
        <w:rPr>
          <w:rFonts w:ascii="Calibri" w:hAnsi="Calibri" w:cs="Calibri"/>
          <w:lang w:val="fr-FR"/>
        </w:rPr>
        <w:t xml:space="preserve">positives </w:t>
      </w:r>
      <w:r w:rsidR="00AB6C7D" w:rsidRPr="005205FB">
        <w:rPr>
          <w:rFonts w:ascii="Calibri" w:hAnsi="Calibri" w:cs="Calibri"/>
          <w:lang w:val="fr-FR"/>
        </w:rPr>
        <w:t xml:space="preserve">sous-jacentes qui </w:t>
      </w:r>
      <w:r w:rsidR="000C2DF0" w:rsidRPr="005205FB">
        <w:rPr>
          <w:rFonts w:ascii="Calibri" w:hAnsi="Calibri" w:cs="Calibri"/>
          <w:lang w:val="fr-FR"/>
        </w:rPr>
        <w:t>favorisent</w:t>
      </w:r>
      <w:r w:rsidR="00AB6C7D" w:rsidRPr="005205FB">
        <w:rPr>
          <w:rFonts w:ascii="Calibri" w:hAnsi="Calibri" w:cs="Calibri"/>
          <w:lang w:val="fr-FR"/>
        </w:rPr>
        <w:t xml:space="preserve"> l’intégration des zones humides dans les stratégies de développement durable ; </w:t>
      </w:r>
      <w:r w:rsidR="000C2DF0" w:rsidRPr="005205FB">
        <w:rPr>
          <w:rFonts w:ascii="Calibri" w:hAnsi="Calibri" w:cs="Calibri"/>
          <w:lang w:val="fr-FR"/>
        </w:rPr>
        <w:t>et passera en revue</w:t>
      </w:r>
      <w:r w:rsidR="00AB6C7D" w:rsidRPr="005205FB">
        <w:rPr>
          <w:rFonts w:ascii="Calibri" w:hAnsi="Calibri" w:cs="Calibri"/>
          <w:lang w:val="fr-FR"/>
        </w:rPr>
        <w:t xml:space="preserve"> l’expérience d’autres AME. </w:t>
      </w:r>
      <w:r w:rsidR="00463F23" w:rsidRPr="005205FB">
        <w:rPr>
          <w:rFonts w:ascii="Calibri" w:hAnsi="Calibri" w:cs="Calibri"/>
          <w:lang w:val="fr-FR"/>
        </w:rPr>
        <w:t xml:space="preserve">Ces orientations </w:t>
      </w:r>
      <w:r w:rsidR="00E0389D" w:rsidRPr="005205FB">
        <w:rPr>
          <w:rFonts w:ascii="Calibri" w:hAnsi="Calibri" w:cs="Calibri"/>
          <w:lang w:val="fr-FR"/>
        </w:rPr>
        <w:t>aideront</w:t>
      </w:r>
      <w:r w:rsidR="00463F23" w:rsidRPr="005205FB">
        <w:rPr>
          <w:rFonts w:ascii="Calibri" w:hAnsi="Calibri" w:cs="Calibri"/>
          <w:lang w:val="fr-FR"/>
        </w:rPr>
        <w:t xml:space="preserve"> les</w:t>
      </w:r>
      <w:r w:rsidR="00E0389D" w:rsidRPr="005205FB">
        <w:rPr>
          <w:rFonts w:ascii="Calibri" w:hAnsi="Calibri" w:cs="Calibri"/>
          <w:lang w:val="fr-FR"/>
        </w:rPr>
        <w:t xml:space="preserve"> Parties contractantes à poursuivre leur action</w:t>
      </w:r>
      <w:r w:rsidR="00463F23" w:rsidRPr="005205FB">
        <w:rPr>
          <w:rFonts w:ascii="Calibri" w:hAnsi="Calibri" w:cs="Calibri"/>
          <w:lang w:val="fr-FR"/>
        </w:rPr>
        <w:t>.</w:t>
      </w:r>
    </w:p>
    <w:p w14:paraId="187AAB15" w14:textId="77777777" w:rsidR="006E5544" w:rsidRPr="005205FB" w:rsidRDefault="006E5544" w:rsidP="003E0E4B">
      <w:pPr>
        <w:spacing w:after="0" w:line="240" w:lineRule="auto"/>
        <w:ind w:left="425" w:hanging="425"/>
        <w:rPr>
          <w:rFonts w:ascii="Calibri" w:hAnsi="Calibri" w:cs="Calibri"/>
          <w:lang w:val="fr-FR"/>
        </w:rPr>
      </w:pPr>
    </w:p>
    <w:p w14:paraId="7A1DCDA0" w14:textId="66169803" w:rsidR="00E424EB" w:rsidRPr="005205FB" w:rsidRDefault="003E0E4B" w:rsidP="003E0E4B">
      <w:pPr>
        <w:spacing w:after="0" w:line="240" w:lineRule="auto"/>
        <w:ind w:left="425" w:hanging="425"/>
        <w:rPr>
          <w:rFonts w:ascii="Calibri" w:hAnsi="Calibri" w:cs="Calibri"/>
          <w:lang w:val="fr-FR"/>
        </w:rPr>
      </w:pPr>
      <w:r w:rsidRPr="005205FB">
        <w:rPr>
          <w:rFonts w:ascii="Calibri" w:hAnsi="Calibri" w:cs="Calibri"/>
          <w:lang w:val="fr-FR"/>
        </w:rPr>
        <w:t>28.</w:t>
      </w:r>
      <w:r w:rsidRPr="005205FB">
        <w:rPr>
          <w:rFonts w:ascii="Calibri" w:hAnsi="Calibri" w:cs="Calibri"/>
          <w:lang w:val="fr-FR"/>
        </w:rPr>
        <w:tab/>
      </w:r>
      <w:r w:rsidR="00773C29" w:rsidRPr="005205FB">
        <w:rPr>
          <w:rFonts w:ascii="Calibri" w:hAnsi="Calibri" w:cs="Calibri"/>
          <w:lang w:val="fr-FR"/>
        </w:rPr>
        <w:t>La comptabilité</w:t>
      </w:r>
      <w:r w:rsidR="005D1A8E" w:rsidRPr="005205FB">
        <w:rPr>
          <w:rFonts w:ascii="Calibri" w:hAnsi="Calibri" w:cs="Calibri"/>
          <w:lang w:val="fr-FR"/>
        </w:rPr>
        <w:t xml:space="preserve"> économique </w:t>
      </w:r>
      <w:r w:rsidR="00773C29" w:rsidRPr="005205FB">
        <w:rPr>
          <w:rFonts w:ascii="Calibri" w:hAnsi="Calibri" w:cs="Calibri"/>
          <w:lang w:val="fr-FR"/>
        </w:rPr>
        <w:t>environnementale permet de faire des zones humides</w:t>
      </w:r>
      <w:r w:rsidR="005D1A8E" w:rsidRPr="005205FB">
        <w:rPr>
          <w:rFonts w:ascii="Calibri" w:hAnsi="Calibri" w:cs="Calibri"/>
          <w:lang w:val="fr-FR"/>
        </w:rPr>
        <w:t xml:space="preserve"> </w:t>
      </w:r>
      <w:r w:rsidR="00773C29" w:rsidRPr="005205FB">
        <w:rPr>
          <w:rFonts w:ascii="Calibri" w:hAnsi="Calibri" w:cs="Calibri"/>
          <w:lang w:val="fr-FR"/>
        </w:rPr>
        <w:t>des actifs</w:t>
      </w:r>
      <w:r w:rsidR="005D1A8E" w:rsidRPr="005205FB">
        <w:rPr>
          <w:rFonts w:ascii="Calibri" w:hAnsi="Calibri" w:cs="Calibri"/>
          <w:lang w:val="fr-FR"/>
        </w:rPr>
        <w:t xml:space="preserve"> nationaux</w:t>
      </w:r>
      <w:r w:rsidR="00773C29" w:rsidRPr="005205FB">
        <w:rPr>
          <w:rFonts w:ascii="Calibri" w:hAnsi="Calibri" w:cs="Calibri"/>
          <w:lang w:val="fr-FR"/>
        </w:rPr>
        <w:t xml:space="preserve">, </w:t>
      </w:r>
      <w:r w:rsidR="005D1A8E" w:rsidRPr="005205FB">
        <w:rPr>
          <w:rFonts w:ascii="Calibri" w:hAnsi="Calibri" w:cs="Calibri"/>
          <w:lang w:val="fr-FR"/>
        </w:rPr>
        <w:t xml:space="preserve">fournissant des informations sur les </w:t>
      </w:r>
      <w:r w:rsidR="00773C29" w:rsidRPr="005205FB">
        <w:rPr>
          <w:rFonts w:ascii="Calibri" w:hAnsi="Calibri" w:cs="Calibri"/>
          <w:lang w:val="fr-FR"/>
        </w:rPr>
        <w:t>incidences</w:t>
      </w:r>
      <w:r w:rsidR="005D1A8E" w:rsidRPr="005205FB">
        <w:rPr>
          <w:rFonts w:ascii="Calibri" w:hAnsi="Calibri" w:cs="Calibri"/>
          <w:lang w:val="fr-FR"/>
        </w:rPr>
        <w:t xml:space="preserve"> de l’économie sur l’environnement et la contribution de l’environnement à l’économie. Le </w:t>
      </w:r>
      <w:r w:rsidR="00F61259" w:rsidRPr="005205FB">
        <w:rPr>
          <w:rFonts w:ascii="Calibri" w:hAnsi="Calibri" w:cs="Calibri"/>
          <w:lang w:val="fr-FR"/>
        </w:rPr>
        <w:t>Syst</w:t>
      </w:r>
      <w:r w:rsidR="005D1A8E" w:rsidRPr="005205FB">
        <w:rPr>
          <w:rFonts w:ascii="Calibri" w:hAnsi="Calibri" w:cs="Calibri"/>
          <w:lang w:val="fr-FR"/>
        </w:rPr>
        <w:t>ème de comptabili</w:t>
      </w:r>
      <w:r w:rsidR="000B2F64" w:rsidRPr="005205FB">
        <w:rPr>
          <w:rFonts w:ascii="Calibri" w:hAnsi="Calibri" w:cs="Calibri"/>
          <w:lang w:val="fr-FR"/>
        </w:rPr>
        <w:t>té</w:t>
      </w:r>
      <w:r w:rsidR="005D1A8E" w:rsidRPr="005205FB">
        <w:rPr>
          <w:rFonts w:ascii="Calibri" w:hAnsi="Calibri" w:cs="Calibri"/>
          <w:lang w:val="fr-FR"/>
        </w:rPr>
        <w:t xml:space="preserve"> </w:t>
      </w:r>
      <w:r w:rsidR="000B2F64" w:rsidRPr="005205FB">
        <w:rPr>
          <w:rFonts w:ascii="Calibri" w:hAnsi="Calibri" w:cs="Calibri"/>
          <w:lang w:val="fr-FR"/>
        </w:rPr>
        <w:t xml:space="preserve">économique et environnementale </w:t>
      </w:r>
      <w:r w:rsidR="005D1A8E" w:rsidRPr="005205FB">
        <w:rPr>
          <w:rFonts w:ascii="Calibri" w:hAnsi="Calibri" w:cs="Calibri"/>
          <w:lang w:val="fr-FR"/>
        </w:rPr>
        <w:t xml:space="preserve">(SCEE) </w:t>
      </w:r>
      <w:r w:rsidR="000B2F64" w:rsidRPr="005205FB">
        <w:rPr>
          <w:rFonts w:ascii="Calibri" w:hAnsi="Calibri" w:cs="Calibri"/>
          <w:lang w:val="fr-FR"/>
        </w:rPr>
        <w:t>fournit un cadre à cet effet</w:t>
      </w:r>
      <w:r w:rsidR="00F74233" w:rsidRPr="005205FB">
        <w:rPr>
          <w:rFonts w:ascii="Calibri" w:hAnsi="Calibri" w:cs="Calibri"/>
          <w:lang w:val="fr-FR"/>
        </w:rPr>
        <w:t>, adoptant</w:t>
      </w:r>
      <w:r w:rsidR="00EC3155" w:rsidRPr="005205FB">
        <w:rPr>
          <w:rFonts w:ascii="Calibri" w:hAnsi="Calibri" w:cs="Calibri"/>
          <w:lang w:val="fr-FR"/>
        </w:rPr>
        <w:t xml:space="preserve"> </w:t>
      </w:r>
      <w:r w:rsidR="00F74233" w:rsidRPr="005205FB">
        <w:rPr>
          <w:rFonts w:ascii="Calibri" w:hAnsi="Calibri" w:cs="Calibri"/>
          <w:lang w:val="fr-FR"/>
        </w:rPr>
        <w:t>une structure comptable semblable à celle du</w:t>
      </w:r>
      <w:r w:rsidR="00EC3155" w:rsidRPr="005205FB">
        <w:rPr>
          <w:rFonts w:ascii="Calibri" w:hAnsi="Calibri" w:cs="Calibri"/>
          <w:lang w:val="fr-FR"/>
        </w:rPr>
        <w:t xml:space="preserve"> Système de comptabilité nationale (SCN). </w:t>
      </w:r>
      <w:r w:rsidR="00237C77" w:rsidRPr="005205FB">
        <w:rPr>
          <w:rFonts w:ascii="Calibri" w:hAnsi="Calibri" w:cs="Calibri"/>
          <w:lang w:val="fr-FR"/>
        </w:rPr>
        <w:t xml:space="preserve">Lorsqu’elles élaborent </w:t>
      </w:r>
      <w:r w:rsidR="00F74233" w:rsidRPr="005205FB">
        <w:rPr>
          <w:rFonts w:ascii="Calibri" w:hAnsi="Calibri" w:cs="Calibri"/>
          <w:lang w:val="fr-FR"/>
        </w:rPr>
        <w:t>leur</w:t>
      </w:r>
      <w:r w:rsidR="00237C77" w:rsidRPr="005205FB">
        <w:rPr>
          <w:rFonts w:ascii="Calibri" w:hAnsi="Calibri" w:cs="Calibri"/>
          <w:lang w:val="fr-FR"/>
        </w:rPr>
        <w:t xml:space="preserve"> INZH, les Parties contractantes peuvent </w:t>
      </w:r>
      <w:r w:rsidR="00F74233" w:rsidRPr="005205FB">
        <w:rPr>
          <w:rFonts w:ascii="Calibri" w:hAnsi="Calibri" w:cs="Calibri"/>
          <w:lang w:val="fr-FR"/>
        </w:rPr>
        <w:t xml:space="preserve">tenir compte des conditions </w:t>
      </w:r>
      <w:r w:rsidR="00237C77" w:rsidRPr="005205FB">
        <w:rPr>
          <w:rFonts w:ascii="Calibri" w:hAnsi="Calibri" w:cs="Calibri"/>
          <w:lang w:val="fr-FR"/>
        </w:rPr>
        <w:t>d’application de</w:t>
      </w:r>
      <w:r w:rsidR="00F74233" w:rsidRPr="005205FB">
        <w:rPr>
          <w:rFonts w:ascii="Calibri" w:hAnsi="Calibri" w:cs="Calibri"/>
          <w:lang w:val="fr-FR"/>
        </w:rPr>
        <w:t>s</w:t>
      </w:r>
      <w:r w:rsidR="00237C77" w:rsidRPr="005205FB">
        <w:rPr>
          <w:rFonts w:ascii="Calibri" w:hAnsi="Calibri" w:cs="Calibri"/>
          <w:lang w:val="fr-FR"/>
        </w:rPr>
        <w:t xml:space="preserve"> données sur les zones humides dans le SCEE</w:t>
      </w:r>
      <w:r w:rsidR="00F74233" w:rsidRPr="005205FB">
        <w:rPr>
          <w:rFonts w:ascii="Calibri" w:hAnsi="Calibri" w:cs="Calibri"/>
          <w:lang w:val="fr-FR"/>
        </w:rPr>
        <w:t xml:space="preserve"> pour promouvoir</w:t>
      </w:r>
      <w:r w:rsidR="00237C77" w:rsidRPr="005205FB">
        <w:rPr>
          <w:rFonts w:ascii="Calibri" w:hAnsi="Calibri" w:cs="Calibri"/>
          <w:lang w:val="fr-FR"/>
        </w:rPr>
        <w:t xml:space="preserve"> l’intégration des zones humides dans les systèmes statistiques et l’élaboration </w:t>
      </w:r>
      <w:r w:rsidR="00F74233" w:rsidRPr="005205FB">
        <w:rPr>
          <w:rFonts w:ascii="Calibri" w:hAnsi="Calibri" w:cs="Calibri"/>
          <w:lang w:val="fr-FR"/>
        </w:rPr>
        <w:t>d’une comptabilité</w:t>
      </w:r>
      <w:r w:rsidR="00237C77" w:rsidRPr="005205FB">
        <w:rPr>
          <w:rFonts w:ascii="Calibri" w:hAnsi="Calibri" w:cs="Calibri"/>
          <w:lang w:val="fr-FR"/>
        </w:rPr>
        <w:t xml:space="preserve"> économique </w:t>
      </w:r>
      <w:r w:rsidR="002856AE" w:rsidRPr="005205FB">
        <w:rPr>
          <w:rFonts w:ascii="Calibri" w:hAnsi="Calibri" w:cs="Calibri"/>
          <w:lang w:val="fr-FR"/>
        </w:rPr>
        <w:t>environnementale</w:t>
      </w:r>
      <w:r w:rsidR="00237C77" w:rsidRPr="005205FB">
        <w:rPr>
          <w:rFonts w:ascii="Calibri" w:hAnsi="Calibri" w:cs="Calibri"/>
          <w:lang w:val="fr-FR"/>
        </w:rPr>
        <w:t xml:space="preserve"> pour les zones humides. Il importe, à cet égard, d’instaurer une coordination et une collaboration étroites avec les bureaux nationaux des statistiques.</w:t>
      </w:r>
    </w:p>
    <w:p w14:paraId="64666D2E" w14:textId="77777777" w:rsidR="00E424EB" w:rsidRPr="005205FB" w:rsidRDefault="00E424EB" w:rsidP="003E0E4B">
      <w:pPr>
        <w:spacing w:after="0" w:line="240" w:lineRule="auto"/>
        <w:ind w:left="425" w:hanging="425"/>
        <w:rPr>
          <w:rFonts w:ascii="Calibri" w:hAnsi="Calibri" w:cs="Calibri"/>
          <w:lang w:val="fr-FR"/>
        </w:rPr>
      </w:pPr>
    </w:p>
    <w:p w14:paraId="4084F913" w14:textId="0BD29C89" w:rsidR="002D42DD" w:rsidRPr="005205FB" w:rsidRDefault="003E0E4B" w:rsidP="003E0E4B">
      <w:pPr>
        <w:spacing w:after="0" w:line="240" w:lineRule="auto"/>
        <w:ind w:left="425" w:hanging="425"/>
        <w:rPr>
          <w:rFonts w:ascii="Calibri" w:hAnsi="Calibri" w:cs="Calibri"/>
          <w:lang w:val="fr-FR"/>
        </w:rPr>
      </w:pPr>
      <w:r w:rsidRPr="005205FB">
        <w:rPr>
          <w:rFonts w:ascii="Calibri" w:hAnsi="Calibri" w:cs="Calibri"/>
          <w:lang w:val="fr-FR"/>
        </w:rPr>
        <w:t>29.</w:t>
      </w:r>
      <w:r w:rsidRPr="005205FB">
        <w:rPr>
          <w:rFonts w:ascii="Calibri" w:hAnsi="Calibri" w:cs="Calibri"/>
          <w:lang w:val="fr-FR"/>
        </w:rPr>
        <w:tab/>
      </w:r>
      <w:r w:rsidR="00D77043" w:rsidRPr="005205FB">
        <w:rPr>
          <w:rFonts w:ascii="Calibri" w:hAnsi="Calibri" w:cs="Calibri"/>
          <w:lang w:val="fr-FR"/>
        </w:rPr>
        <w:t>La formation menée dans le contexte du mécanisme d’appui aux INZH du Secrétariat peut traiter la comptabilité économique de l’environnement comme application importante de l’INZH, par exemple, dans le contexte du Module 3 du programme de formation</w:t>
      </w:r>
      <w:r w:rsidR="00CF6875" w:rsidRPr="005205FB">
        <w:rPr>
          <w:rFonts w:ascii="Calibri" w:hAnsi="Calibri" w:cs="Calibri"/>
          <w:lang w:val="fr-FR"/>
        </w:rPr>
        <w:t>,</w:t>
      </w:r>
      <w:r w:rsidR="00D77043" w:rsidRPr="005205FB">
        <w:rPr>
          <w:rFonts w:ascii="Calibri" w:hAnsi="Calibri" w:cs="Calibri"/>
          <w:lang w:val="fr-FR"/>
        </w:rPr>
        <w:t xml:space="preserve"> sous réserve des ressources disponibles. Établir des liens ou une collaboration entre le Comité technique </w:t>
      </w:r>
      <w:r w:rsidR="00F74233" w:rsidRPr="005205FB">
        <w:rPr>
          <w:rFonts w:ascii="Calibri" w:hAnsi="Calibri" w:cs="Calibri"/>
          <w:lang w:val="fr-FR"/>
        </w:rPr>
        <w:t xml:space="preserve">sur la comptabilité des écosystèmes du </w:t>
      </w:r>
      <w:r w:rsidR="00D77043" w:rsidRPr="005205FB">
        <w:rPr>
          <w:rFonts w:ascii="Calibri" w:hAnsi="Calibri" w:cs="Calibri"/>
          <w:lang w:val="fr-FR"/>
        </w:rPr>
        <w:t xml:space="preserve">SCEE et le GEST, dans le contexte de son plan de travail pour </w:t>
      </w:r>
      <w:r w:rsidR="008F1DAF" w:rsidRPr="005205FB">
        <w:rPr>
          <w:rFonts w:ascii="Calibri" w:hAnsi="Calibri" w:cs="Calibri"/>
          <w:lang w:val="fr-FR"/>
        </w:rPr>
        <w:t>202</w:t>
      </w:r>
      <w:r w:rsidR="005D1982" w:rsidRPr="005205FB">
        <w:rPr>
          <w:rFonts w:ascii="Calibri" w:hAnsi="Calibri" w:cs="Calibri"/>
          <w:lang w:val="fr-FR"/>
        </w:rPr>
        <w:t>5</w:t>
      </w:r>
      <w:r w:rsidR="002D42DD" w:rsidRPr="005205FB">
        <w:rPr>
          <w:rFonts w:ascii="Calibri" w:hAnsi="Calibri" w:cs="Calibri"/>
          <w:lang w:val="fr-FR"/>
        </w:rPr>
        <w:t>-202</w:t>
      </w:r>
      <w:r w:rsidR="008F1DAF" w:rsidRPr="005205FB">
        <w:rPr>
          <w:rFonts w:ascii="Calibri" w:hAnsi="Calibri" w:cs="Calibri"/>
          <w:lang w:val="fr-FR"/>
        </w:rPr>
        <w:t>8</w:t>
      </w:r>
      <w:r w:rsidR="002D42DD" w:rsidRPr="005205FB">
        <w:rPr>
          <w:rFonts w:ascii="Calibri" w:hAnsi="Calibri" w:cs="Calibri"/>
          <w:lang w:val="fr-FR"/>
        </w:rPr>
        <w:t xml:space="preserve">, </w:t>
      </w:r>
      <w:r w:rsidR="00D77043" w:rsidRPr="005205FB">
        <w:rPr>
          <w:rFonts w:ascii="Calibri" w:hAnsi="Calibri" w:cs="Calibri"/>
          <w:lang w:val="fr-FR"/>
        </w:rPr>
        <w:t>peut aider à surmonter certains des défis uniques en matière de développement d’une comptabilité économique des zones humides.</w:t>
      </w:r>
    </w:p>
    <w:p w14:paraId="25152505" w14:textId="77777777" w:rsidR="00DD552D" w:rsidRPr="005205FB" w:rsidRDefault="00DD552D" w:rsidP="003614B1">
      <w:pPr>
        <w:spacing w:after="0" w:line="240" w:lineRule="auto"/>
        <w:rPr>
          <w:rFonts w:ascii="Calibri" w:hAnsi="Calibri" w:cs="Calibri"/>
          <w:lang w:val="fr-FR"/>
        </w:rPr>
      </w:pPr>
    </w:p>
    <w:p w14:paraId="3E52645A" w14:textId="1CDCEDAA" w:rsidR="00485A6A" w:rsidRPr="005205FB" w:rsidRDefault="00485A6A" w:rsidP="003614B1">
      <w:pPr>
        <w:keepNext/>
        <w:spacing w:after="0" w:line="240" w:lineRule="auto"/>
        <w:rPr>
          <w:rFonts w:ascii="Calibri" w:hAnsi="Calibri" w:cs="Calibri"/>
          <w:i/>
          <w:iCs/>
          <w:lang w:val="fr-FR"/>
        </w:rPr>
      </w:pPr>
      <w:r w:rsidRPr="005205FB">
        <w:rPr>
          <w:rFonts w:ascii="Calibri" w:hAnsi="Calibri" w:cs="Calibri"/>
          <w:i/>
          <w:iCs/>
          <w:lang w:val="fr-FR"/>
        </w:rPr>
        <w:t>CE</w:t>
      </w:r>
      <w:r w:rsidR="00BA0C60" w:rsidRPr="005205FB">
        <w:rPr>
          <w:rFonts w:ascii="Calibri" w:hAnsi="Calibri" w:cs="Calibri"/>
          <w:i/>
          <w:iCs/>
          <w:lang w:val="fr-FR"/>
        </w:rPr>
        <w:t>SP</w:t>
      </w:r>
      <w:r w:rsidRPr="005205FB">
        <w:rPr>
          <w:rFonts w:ascii="Calibri" w:hAnsi="Calibri" w:cs="Calibri"/>
          <w:i/>
          <w:iCs/>
          <w:lang w:val="fr-FR"/>
        </w:rPr>
        <w:t xml:space="preserve"> </w:t>
      </w:r>
    </w:p>
    <w:p w14:paraId="79E09387" w14:textId="77777777" w:rsidR="00485A6A" w:rsidRPr="005205FB" w:rsidRDefault="00485A6A" w:rsidP="003614B1">
      <w:pPr>
        <w:pStyle w:val="ListParagraph"/>
        <w:keepNext/>
        <w:spacing w:after="0" w:line="240" w:lineRule="auto"/>
        <w:ind w:left="0"/>
        <w:contextualSpacing w:val="0"/>
        <w:rPr>
          <w:rFonts w:ascii="Calibri" w:hAnsi="Calibri" w:cs="Calibri"/>
          <w:lang w:val="fr-FR"/>
        </w:rPr>
      </w:pPr>
    </w:p>
    <w:p w14:paraId="3788A325" w14:textId="770920B8" w:rsidR="00485A6A" w:rsidRPr="005205FB" w:rsidRDefault="003E0E4B" w:rsidP="003E0E4B">
      <w:pPr>
        <w:spacing w:after="0" w:line="240" w:lineRule="auto"/>
        <w:ind w:left="425" w:hanging="425"/>
        <w:rPr>
          <w:rFonts w:ascii="Calibri" w:hAnsi="Calibri" w:cs="Calibri"/>
          <w:lang w:val="fr-FR"/>
        </w:rPr>
      </w:pPr>
      <w:r w:rsidRPr="005205FB">
        <w:rPr>
          <w:rFonts w:ascii="Calibri" w:hAnsi="Calibri" w:cs="Calibri"/>
          <w:lang w:val="fr-FR"/>
        </w:rPr>
        <w:t>30.</w:t>
      </w:r>
      <w:r w:rsidRPr="005205FB">
        <w:rPr>
          <w:rFonts w:ascii="Calibri" w:hAnsi="Calibri" w:cs="Calibri"/>
          <w:lang w:val="fr-FR"/>
        </w:rPr>
        <w:tab/>
      </w:r>
      <w:r w:rsidR="00061FC8" w:rsidRPr="005205FB">
        <w:rPr>
          <w:rFonts w:ascii="Calibri" w:hAnsi="Calibri" w:cs="Calibri"/>
          <w:lang w:val="fr-FR"/>
        </w:rPr>
        <w:t>Au niveau national, l</w:t>
      </w:r>
      <w:r w:rsidR="00BA0C60" w:rsidRPr="005205FB">
        <w:rPr>
          <w:rFonts w:ascii="Calibri" w:hAnsi="Calibri" w:cs="Calibri"/>
          <w:lang w:val="fr-FR"/>
        </w:rPr>
        <w:t xml:space="preserve">a mise en œuvre de la CESP peut être renforcée par un appui </w:t>
      </w:r>
      <w:r w:rsidR="00061FC8" w:rsidRPr="005205FB">
        <w:rPr>
          <w:rFonts w:ascii="Calibri" w:hAnsi="Calibri" w:cs="Calibri"/>
          <w:lang w:val="fr-FR"/>
        </w:rPr>
        <w:t>constant</w:t>
      </w:r>
      <w:r w:rsidR="00BA0C60" w:rsidRPr="005205FB">
        <w:rPr>
          <w:rFonts w:ascii="Calibri" w:hAnsi="Calibri" w:cs="Calibri"/>
          <w:lang w:val="fr-FR"/>
        </w:rPr>
        <w:t xml:space="preserve"> aux Correspondants CESP </w:t>
      </w:r>
      <w:r w:rsidR="00061FC8" w:rsidRPr="005205FB">
        <w:rPr>
          <w:rFonts w:ascii="Calibri" w:hAnsi="Calibri" w:cs="Calibri"/>
          <w:lang w:val="fr-FR"/>
        </w:rPr>
        <w:t>à travers</w:t>
      </w:r>
      <w:r w:rsidR="00BA0C60" w:rsidRPr="005205FB">
        <w:rPr>
          <w:rFonts w:ascii="Calibri" w:hAnsi="Calibri" w:cs="Calibri"/>
          <w:lang w:val="fr-FR"/>
        </w:rPr>
        <w:t xml:space="preserve"> le partage d’informations et le développement des capacités</w:t>
      </w:r>
      <w:r w:rsidR="00CF6875" w:rsidRPr="005205FB">
        <w:rPr>
          <w:rFonts w:ascii="Calibri" w:hAnsi="Calibri" w:cs="Calibri"/>
          <w:lang w:val="fr-FR"/>
        </w:rPr>
        <w:t>, et la</w:t>
      </w:r>
      <w:r w:rsidR="00E951E3" w:rsidRPr="005205FB">
        <w:rPr>
          <w:rFonts w:ascii="Calibri" w:hAnsi="Calibri" w:cs="Calibri"/>
          <w:lang w:val="fr-FR"/>
        </w:rPr>
        <w:t xml:space="preserve"> clé d’une mise en œuvre renforcée de la CESP consiste à a</w:t>
      </w:r>
      <w:r w:rsidR="007C4808" w:rsidRPr="005205FB">
        <w:rPr>
          <w:rFonts w:ascii="Calibri" w:hAnsi="Calibri" w:cs="Calibri"/>
          <w:lang w:val="fr-FR"/>
        </w:rPr>
        <w:t xml:space="preserve">ider et encourager les Parties contractantes et les Correspondants CESP à préparer des plans d’action nationaux </w:t>
      </w:r>
      <w:r w:rsidR="00E951E3" w:rsidRPr="005205FB">
        <w:rPr>
          <w:rFonts w:ascii="Calibri" w:hAnsi="Calibri" w:cs="Calibri"/>
          <w:lang w:val="fr-FR"/>
        </w:rPr>
        <w:t>de CESP.</w:t>
      </w:r>
      <w:r w:rsidR="007C4808" w:rsidRPr="005205FB">
        <w:rPr>
          <w:rFonts w:ascii="Calibri" w:hAnsi="Calibri" w:cs="Calibri"/>
          <w:lang w:val="fr-FR"/>
        </w:rPr>
        <w:t xml:space="preserve"> </w:t>
      </w:r>
      <w:r w:rsidR="00E951E3" w:rsidRPr="005205FB">
        <w:rPr>
          <w:rFonts w:ascii="Calibri" w:hAnsi="Calibri" w:cs="Calibri"/>
          <w:lang w:val="fr-FR"/>
        </w:rPr>
        <w:t>Selon l</w:t>
      </w:r>
      <w:r w:rsidR="00BA0C60" w:rsidRPr="005205FB">
        <w:rPr>
          <w:rFonts w:ascii="Calibri" w:hAnsi="Calibri" w:cs="Calibri"/>
          <w:lang w:val="fr-FR"/>
        </w:rPr>
        <w:t xml:space="preserve">es Rapports nationaux à la </w:t>
      </w:r>
      <w:r w:rsidR="00485A6A" w:rsidRPr="005205FB">
        <w:rPr>
          <w:rFonts w:ascii="Calibri" w:hAnsi="Calibri" w:cs="Calibri"/>
          <w:lang w:val="fr-FR"/>
        </w:rPr>
        <w:t>COP15</w:t>
      </w:r>
      <w:r w:rsidR="00E951E3" w:rsidRPr="005205FB">
        <w:rPr>
          <w:rFonts w:ascii="Calibri" w:hAnsi="Calibri" w:cs="Calibri"/>
          <w:lang w:val="fr-FR"/>
        </w:rPr>
        <w:t>,</w:t>
      </w:r>
      <w:r w:rsidR="00485A6A" w:rsidRPr="005205FB">
        <w:rPr>
          <w:rFonts w:ascii="Calibri" w:hAnsi="Calibri" w:cs="Calibri"/>
          <w:lang w:val="fr-FR"/>
        </w:rPr>
        <w:t xml:space="preserve"> 32</w:t>
      </w:r>
      <w:r w:rsidR="00BA0C60" w:rsidRPr="005205FB">
        <w:rPr>
          <w:rFonts w:ascii="Calibri" w:hAnsi="Calibri" w:cs="Calibri"/>
          <w:lang w:val="fr-FR"/>
        </w:rPr>
        <w:t> </w:t>
      </w:r>
      <w:r w:rsidR="00485A6A" w:rsidRPr="005205FB">
        <w:rPr>
          <w:rFonts w:ascii="Calibri" w:hAnsi="Calibri" w:cs="Calibri"/>
          <w:lang w:val="fr-FR"/>
        </w:rPr>
        <w:t xml:space="preserve">% </w:t>
      </w:r>
      <w:r w:rsidR="00BA0C60" w:rsidRPr="005205FB">
        <w:rPr>
          <w:rFonts w:ascii="Calibri" w:hAnsi="Calibri" w:cs="Calibri"/>
          <w:lang w:val="fr-FR"/>
        </w:rPr>
        <w:t xml:space="preserve">des Parties contractantes </w:t>
      </w:r>
      <w:r w:rsidR="00E951E3" w:rsidRPr="005205FB">
        <w:rPr>
          <w:rFonts w:ascii="Calibri" w:hAnsi="Calibri" w:cs="Calibri"/>
          <w:lang w:val="fr-FR"/>
        </w:rPr>
        <w:t>se sont dotées de</w:t>
      </w:r>
      <w:r w:rsidR="00BA0C60" w:rsidRPr="005205FB">
        <w:rPr>
          <w:rFonts w:ascii="Calibri" w:hAnsi="Calibri" w:cs="Calibri"/>
          <w:lang w:val="fr-FR"/>
        </w:rPr>
        <w:t xml:space="preserve"> Plans d’action </w:t>
      </w:r>
      <w:r w:rsidR="00E951E3" w:rsidRPr="005205FB">
        <w:rPr>
          <w:rFonts w:ascii="Calibri" w:hAnsi="Calibri" w:cs="Calibri"/>
          <w:lang w:val="fr-FR"/>
        </w:rPr>
        <w:t xml:space="preserve">de </w:t>
      </w:r>
      <w:r w:rsidR="00BA0C60" w:rsidRPr="005205FB">
        <w:rPr>
          <w:rFonts w:ascii="Calibri" w:hAnsi="Calibri" w:cs="Calibri"/>
          <w:lang w:val="fr-FR"/>
        </w:rPr>
        <w:t xml:space="preserve">CESP. </w:t>
      </w:r>
      <w:r w:rsidR="00A607BD" w:rsidRPr="005205FB">
        <w:rPr>
          <w:rFonts w:ascii="Calibri" w:hAnsi="Calibri" w:cs="Calibri"/>
          <w:lang w:val="fr-FR"/>
        </w:rPr>
        <w:t>Afin de soutenir les Parties et de les aider à élaborer des Plans d’action CESP durant la prochaine période triennale, le Secrétariat préparera un document d’orientation et un cours de formation en ligne, partagera des exemples et de meilleures pratiques.</w:t>
      </w:r>
    </w:p>
    <w:p w14:paraId="0FE79B16" w14:textId="77777777" w:rsidR="00485A6A" w:rsidRPr="005205FB" w:rsidRDefault="00485A6A" w:rsidP="003E0E4B">
      <w:pPr>
        <w:spacing w:after="0" w:line="240" w:lineRule="auto"/>
        <w:ind w:left="425" w:hanging="425"/>
        <w:rPr>
          <w:rFonts w:ascii="Calibri" w:hAnsi="Calibri" w:cs="Calibri"/>
          <w:lang w:val="fr-FR"/>
        </w:rPr>
      </w:pPr>
    </w:p>
    <w:p w14:paraId="42BD4B00" w14:textId="5DFF4552" w:rsidR="006A5755" w:rsidRPr="005205FB" w:rsidRDefault="003E0E4B" w:rsidP="003E0E4B">
      <w:pPr>
        <w:spacing w:after="0" w:line="240" w:lineRule="auto"/>
        <w:ind w:left="425" w:hanging="425"/>
        <w:rPr>
          <w:rFonts w:ascii="Calibri" w:hAnsi="Calibri" w:cs="Calibri"/>
          <w:lang w:val="fr-FR"/>
        </w:rPr>
      </w:pPr>
      <w:r w:rsidRPr="005205FB">
        <w:rPr>
          <w:rFonts w:ascii="Calibri" w:hAnsi="Calibri" w:cs="Calibri"/>
          <w:lang w:val="fr-FR"/>
        </w:rPr>
        <w:t>31.</w:t>
      </w:r>
      <w:r w:rsidRPr="005205FB">
        <w:rPr>
          <w:rFonts w:ascii="Calibri" w:hAnsi="Calibri" w:cs="Calibri"/>
          <w:lang w:val="fr-FR"/>
        </w:rPr>
        <w:tab/>
      </w:r>
      <w:r w:rsidR="00585C93" w:rsidRPr="005205FB">
        <w:rPr>
          <w:rFonts w:ascii="Calibri" w:hAnsi="Calibri" w:cs="Calibri"/>
          <w:lang w:val="fr-FR"/>
        </w:rPr>
        <w:t xml:space="preserve">Poursuivre le développement de comités intersectoriels sur les zones humides peut aider à réaliser des synergies à l’échelle des programmes de travail et dans la mise en œuvre de différents AME, en identifiant et soulignant les avantages des zones humides dans les politiques et plans nationaux et locaux de secteurs clés, et dans des plans de développement durable plus </w:t>
      </w:r>
      <w:r w:rsidR="00E4028C" w:rsidRPr="005205FB">
        <w:rPr>
          <w:rFonts w:ascii="Calibri" w:hAnsi="Calibri" w:cs="Calibri"/>
          <w:lang w:val="fr-FR"/>
        </w:rPr>
        <w:t>généraux</w:t>
      </w:r>
      <w:r w:rsidR="00585C93" w:rsidRPr="005205FB">
        <w:rPr>
          <w:rFonts w:ascii="Calibri" w:hAnsi="Calibri" w:cs="Calibri"/>
          <w:lang w:val="fr-FR"/>
        </w:rPr>
        <w:t xml:space="preserve">. Actuellement, </w:t>
      </w:r>
      <w:r w:rsidR="00485A6A" w:rsidRPr="005205FB">
        <w:rPr>
          <w:rFonts w:ascii="Calibri" w:hAnsi="Calibri" w:cs="Calibri"/>
          <w:lang w:val="fr-FR"/>
        </w:rPr>
        <w:t>46</w:t>
      </w:r>
      <w:r w:rsidR="00585C93" w:rsidRPr="005205FB">
        <w:rPr>
          <w:rFonts w:ascii="Calibri" w:hAnsi="Calibri" w:cs="Calibri"/>
          <w:lang w:val="fr-FR"/>
        </w:rPr>
        <w:t> </w:t>
      </w:r>
      <w:r w:rsidR="00485A6A" w:rsidRPr="005205FB">
        <w:rPr>
          <w:rFonts w:ascii="Calibri" w:hAnsi="Calibri" w:cs="Calibri"/>
          <w:lang w:val="fr-FR"/>
        </w:rPr>
        <w:t xml:space="preserve">% </w:t>
      </w:r>
      <w:r w:rsidR="00585C93" w:rsidRPr="005205FB">
        <w:rPr>
          <w:rFonts w:ascii="Calibri" w:hAnsi="Calibri" w:cs="Calibri"/>
          <w:lang w:val="fr-FR"/>
        </w:rPr>
        <w:t xml:space="preserve">des Parties contractantes ont créé des comités nationaux pour les zones humides. Durant la période triennale qui s’ouvre, le Groupe de surveillance des activités de CESP pourrait être chargé de </w:t>
      </w:r>
      <w:r w:rsidR="00E4028C" w:rsidRPr="005205FB">
        <w:rPr>
          <w:rFonts w:ascii="Calibri" w:hAnsi="Calibri" w:cs="Calibri"/>
          <w:lang w:val="fr-FR"/>
        </w:rPr>
        <w:t>faire</w:t>
      </w:r>
      <w:r w:rsidR="00585C93" w:rsidRPr="005205FB">
        <w:rPr>
          <w:rFonts w:ascii="Calibri" w:hAnsi="Calibri" w:cs="Calibri"/>
          <w:lang w:val="fr-FR"/>
        </w:rPr>
        <w:t xml:space="preserve"> des recommandations sur la manière dont les Parties </w:t>
      </w:r>
      <w:r w:rsidR="00585C93" w:rsidRPr="005205FB">
        <w:rPr>
          <w:rFonts w:ascii="Calibri" w:hAnsi="Calibri" w:cs="Calibri"/>
          <w:lang w:val="fr-FR"/>
        </w:rPr>
        <w:lastRenderedPageBreak/>
        <w:t>contractantes peuvent encourager et soutenir l’établissement de comités fonctionnels pour les zones humides.</w:t>
      </w:r>
    </w:p>
    <w:sectPr w:rsidR="006A5755" w:rsidRPr="005205FB" w:rsidSect="003614B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1B6A3" w14:textId="77777777" w:rsidR="001379C4" w:rsidRDefault="001379C4" w:rsidP="00CA7F8B">
      <w:pPr>
        <w:spacing w:after="0" w:line="240" w:lineRule="auto"/>
      </w:pPr>
      <w:r>
        <w:separator/>
      </w:r>
    </w:p>
  </w:endnote>
  <w:endnote w:type="continuationSeparator" w:id="0">
    <w:p w14:paraId="357FB8AC" w14:textId="77777777" w:rsidR="001379C4" w:rsidRDefault="001379C4" w:rsidP="00CA7F8B">
      <w:pPr>
        <w:spacing w:after="0" w:line="240" w:lineRule="auto"/>
      </w:pPr>
      <w:r>
        <w:continuationSeparator/>
      </w:r>
    </w:p>
  </w:endnote>
  <w:endnote w:type="continuationNotice" w:id="1">
    <w:p w14:paraId="459C955F" w14:textId="77777777" w:rsidR="001379C4" w:rsidRDefault="00137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C570" w14:textId="100833FA" w:rsidR="003614B1" w:rsidRPr="003614B1" w:rsidRDefault="003614B1">
    <w:pPr>
      <w:pStyle w:val="Footer"/>
      <w:rPr>
        <w:rFonts w:ascii="Calibri" w:hAnsi="Calibri" w:cs="Calibri"/>
        <w:sz w:val="20"/>
        <w:szCs w:val="20"/>
      </w:rPr>
    </w:pPr>
    <w:r w:rsidRPr="003614B1">
      <w:rPr>
        <w:rFonts w:ascii="Calibri" w:hAnsi="Calibri" w:cs="Calibri"/>
        <w:sz w:val="20"/>
        <w:szCs w:val="20"/>
      </w:rPr>
      <w:t>COP15 Doc.15</w:t>
    </w:r>
    <w:r w:rsidRPr="003614B1">
      <w:rPr>
        <w:rFonts w:ascii="Calibri" w:hAnsi="Calibri" w:cs="Calibri"/>
        <w:sz w:val="20"/>
        <w:szCs w:val="20"/>
      </w:rPr>
      <w:tab/>
    </w:r>
    <w:r w:rsidRPr="003614B1">
      <w:rPr>
        <w:rFonts w:ascii="Calibri" w:hAnsi="Calibri" w:cs="Calibri"/>
        <w:sz w:val="20"/>
        <w:szCs w:val="20"/>
      </w:rPr>
      <w:tab/>
    </w:r>
    <w:r w:rsidRPr="003614B1">
      <w:rPr>
        <w:rFonts w:ascii="Calibri" w:hAnsi="Calibri" w:cs="Calibri"/>
        <w:sz w:val="20"/>
        <w:szCs w:val="20"/>
      </w:rPr>
      <w:fldChar w:fldCharType="begin"/>
    </w:r>
    <w:r w:rsidRPr="003614B1">
      <w:rPr>
        <w:rFonts w:ascii="Calibri" w:hAnsi="Calibri" w:cs="Calibri"/>
        <w:sz w:val="20"/>
        <w:szCs w:val="20"/>
      </w:rPr>
      <w:instrText xml:space="preserve"> PAGE   \* MERGEFORMAT </w:instrText>
    </w:r>
    <w:r w:rsidRPr="003614B1">
      <w:rPr>
        <w:rFonts w:ascii="Calibri" w:hAnsi="Calibri" w:cs="Calibri"/>
        <w:sz w:val="20"/>
        <w:szCs w:val="20"/>
      </w:rPr>
      <w:fldChar w:fldCharType="separate"/>
    </w:r>
    <w:r w:rsidR="00737F51">
      <w:rPr>
        <w:rFonts w:ascii="Calibri" w:hAnsi="Calibri" w:cs="Calibri"/>
        <w:noProof/>
        <w:sz w:val="20"/>
        <w:szCs w:val="20"/>
      </w:rPr>
      <w:t>11</w:t>
    </w:r>
    <w:r w:rsidRPr="003614B1">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7E604" w14:textId="77777777" w:rsidR="001379C4" w:rsidRDefault="001379C4" w:rsidP="00CA7F8B">
      <w:pPr>
        <w:spacing w:after="0" w:line="240" w:lineRule="auto"/>
      </w:pPr>
      <w:r>
        <w:separator/>
      </w:r>
    </w:p>
  </w:footnote>
  <w:footnote w:type="continuationSeparator" w:id="0">
    <w:p w14:paraId="69D4D9B2" w14:textId="77777777" w:rsidR="001379C4" w:rsidRDefault="001379C4" w:rsidP="00CA7F8B">
      <w:pPr>
        <w:spacing w:after="0" w:line="240" w:lineRule="auto"/>
      </w:pPr>
      <w:r>
        <w:continuationSeparator/>
      </w:r>
    </w:p>
  </w:footnote>
  <w:footnote w:type="continuationNotice" w:id="1">
    <w:p w14:paraId="7F89F248" w14:textId="77777777" w:rsidR="001379C4" w:rsidRDefault="001379C4">
      <w:pPr>
        <w:spacing w:after="0" w:line="240" w:lineRule="auto"/>
      </w:pPr>
    </w:p>
  </w:footnote>
  <w:footnote w:id="2">
    <w:p w14:paraId="7CED37DE" w14:textId="52605519" w:rsidR="00315687" w:rsidRPr="00AD6657" w:rsidRDefault="00315687">
      <w:pPr>
        <w:pStyle w:val="FootnoteText"/>
        <w:rPr>
          <w:rFonts w:ascii="Calibri" w:hAnsi="Calibri" w:cs="Calibri"/>
          <w:lang w:val="fr-FR"/>
        </w:rPr>
      </w:pPr>
      <w:r w:rsidRPr="001D5DB3">
        <w:rPr>
          <w:rStyle w:val="FootnoteReference"/>
          <w:rFonts w:ascii="Calibri" w:hAnsi="Calibri" w:cs="Calibri"/>
        </w:rPr>
        <w:footnoteRef/>
      </w:r>
      <w:r w:rsidRPr="00AD6657">
        <w:rPr>
          <w:rFonts w:ascii="Calibri" w:hAnsi="Calibri" w:cs="Calibri"/>
          <w:lang w:val="fr-FR"/>
        </w:rPr>
        <w:t xml:space="preserve"> </w:t>
      </w:r>
      <w:r w:rsidR="00AD6657" w:rsidRPr="00AD6657">
        <w:rPr>
          <w:rFonts w:ascii="Calibri" w:hAnsi="Calibri" w:cs="Calibri"/>
          <w:lang w:val="fr-FR"/>
        </w:rPr>
        <w:t>Voir</w:t>
      </w:r>
      <w:r w:rsidRPr="00AD6657">
        <w:rPr>
          <w:rFonts w:ascii="Calibri" w:hAnsi="Calibri" w:cs="Calibri"/>
          <w:lang w:val="fr-FR"/>
        </w:rPr>
        <w:t xml:space="preserve"> </w:t>
      </w:r>
      <w:hyperlink r:id="rId1" w:history="1">
        <w:r w:rsidR="0092678C">
          <w:rPr>
            <w:rStyle w:val="Hyperlink"/>
            <w:rFonts w:ascii="Calibri" w:hAnsi="Calibri" w:cs="Calibri"/>
            <w:lang w:val="fr-FR"/>
          </w:rPr>
          <w:t>https://www.ramsar.org/fr/document/les-zones-humides-et-les-odd</w:t>
        </w:r>
      </w:hyperlink>
      <w:r w:rsidRPr="00AD6657">
        <w:rPr>
          <w:rFonts w:ascii="Calibri" w:hAnsi="Calibri" w:cs="Calibri"/>
          <w:lang w:val="fr-FR"/>
        </w:rPr>
        <w:t xml:space="preserve">. </w:t>
      </w:r>
    </w:p>
  </w:footnote>
  <w:footnote w:id="3">
    <w:p w14:paraId="3EC9CC6C" w14:textId="7A96AB35" w:rsidR="00315687" w:rsidRPr="009A5EB0" w:rsidRDefault="00315687">
      <w:pPr>
        <w:pStyle w:val="FootnoteText"/>
        <w:rPr>
          <w:rFonts w:ascii="Calibri" w:hAnsi="Calibri" w:cs="Calibri"/>
          <w:lang w:val="fr-FR"/>
        </w:rPr>
      </w:pPr>
      <w:r w:rsidRPr="00FE4BE9">
        <w:rPr>
          <w:rStyle w:val="FootnoteReference"/>
          <w:rFonts w:ascii="Calibri" w:hAnsi="Calibri" w:cs="Calibri"/>
        </w:rPr>
        <w:footnoteRef/>
      </w:r>
      <w:r w:rsidRPr="009A5EB0">
        <w:rPr>
          <w:rFonts w:ascii="Calibri" w:hAnsi="Calibri" w:cs="Calibri"/>
          <w:lang w:val="fr-FR"/>
        </w:rPr>
        <w:t xml:space="preserve"> </w:t>
      </w:r>
      <w:r w:rsidR="009A5EB0" w:rsidRPr="009A5EB0">
        <w:rPr>
          <w:rFonts w:ascii="Calibri" w:hAnsi="Calibri" w:cs="Calibri"/>
          <w:lang w:val="fr-FR"/>
        </w:rPr>
        <w:t>Voir</w:t>
      </w:r>
      <w:r w:rsidRPr="009A5EB0">
        <w:rPr>
          <w:rFonts w:ascii="Calibri" w:hAnsi="Calibri" w:cs="Calibri"/>
          <w:lang w:val="fr-FR"/>
        </w:rPr>
        <w:t xml:space="preserve"> </w:t>
      </w:r>
      <w:hyperlink r:id="rId2" w:history="1">
        <w:r w:rsidR="005205FB">
          <w:rPr>
            <w:rStyle w:val="Hyperlink"/>
            <w:rFonts w:ascii="Calibri" w:hAnsi="Calibri" w:cs="Calibri"/>
            <w:lang w:val="fr-FR"/>
          </w:rPr>
          <w:t>https://www.ramsar.org/fr/document/le-4e-plan-strategique-2016-2024-mise-jour-2022</w:t>
        </w:r>
      </w:hyperlink>
      <w:r w:rsidRPr="009A5EB0">
        <w:rPr>
          <w:rFonts w:ascii="Calibri" w:hAnsi="Calibri" w:cs="Calibri"/>
          <w:lang w:val="fr-FR"/>
        </w:rPr>
        <w:t xml:space="preserve">. </w:t>
      </w:r>
    </w:p>
  </w:footnote>
  <w:footnote w:id="4">
    <w:p w14:paraId="3F5BE652" w14:textId="5399FC43" w:rsidR="00510A43" w:rsidRPr="00AD6657" w:rsidRDefault="00510A43">
      <w:pPr>
        <w:pStyle w:val="FootnoteText"/>
        <w:rPr>
          <w:rFonts w:ascii="Calibri" w:hAnsi="Calibri" w:cs="Calibri"/>
          <w:lang w:val="fr-FR"/>
        </w:rPr>
      </w:pPr>
      <w:r w:rsidRPr="00FE4BE9">
        <w:rPr>
          <w:rStyle w:val="FootnoteReference"/>
          <w:rFonts w:ascii="Calibri" w:hAnsi="Calibri" w:cs="Calibri"/>
        </w:rPr>
        <w:footnoteRef/>
      </w:r>
      <w:r w:rsidRPr="00AD6657">
        <w:rPr>
          <w:rFonts w:ascii="Calibri" w:hAnsi="Calibri" w:cs="Calibri"/>
          <w:lang w:val="fr-FR"/>
        </w:rPr>
        <w:t xml:space="preserve"> </w:t>
      </w:r>
      <w:r w:rsidR="00AD6657" w:rsidRPr="00AD6657">
        <w:rPr>
          <w:rFonts w:ascii="Calibri" w:hAnsi="Calibri" w:cs="Calibri"/>
          <w:lang w:val="fr-FR"/>
        </w:rPr>
        <w:t>Vo</w:t>
      </w:r>
      <w:r w:rsidR="00AD6657">
        <w:rPr>
          <w:rFonts w:ascii="Calibri" w:hAnsi="Calibri" w:cs="Calibri"/>
          <w:lang w:val="fr-FR"/>
        </w:rPr>
        <w:t>ir</w:t>
      </w:r>
      <w:r w:rsidRPr="00AD6657">
        <w:rPr>
          <w:rFonts w:ascii="Calibri" w:hAnsi="Calibri" w:cs="Calibri"/>
          <w:lang w:val="fr-FR"/>
        </w:rPr>
        <w:t xml:space="preserve"> document</w:t>
      </w:r>
      <w:r w:rsidR="00AD6657">
        <w:rPr>
          <w:rFonts w:ascii="Calibri" w:hAnsi="Calibri" w:cs="Calibri"/>
          <w:lang w:val="fr-FR"/>
        </w:rPr>
        <w:t xml:space="preserve"> d’</w:t>
      </w:r>
      <w:r w:rsidR="00AD6657" w:rsidRPr="00AD6657">
        <w:rPr>
          <w:rFonts w:ascii="Calibri" w:hAnsi="Calibri" w:cs="Calibri"/>
          <w:lang w:val="fr-FR"/>
        </w:rPr>
        <w:t>information</w:t>
      </w:r>
      <w:r w:rsidRPr="00AD6657">
        <w:rPr>
          <w:rFonts w:ascii="Calibri" w:hAnsi="Calibri" w:cs="Calibri"/>
          <w:lang w:val="fr-FR"/>
        </w:rPr>
        <w:t xml:space="preserve"> SC63 Inf.2 </w:t>
      </w:r>
      <w:r w:rsidR="00AD6657">
        <w:rPr>
          <w:rFonts w:ascii="Calibri" w:hAnsi="Calibri" w:cs="Calibri"/>
          <w:lang w:val="fr-FR"/>
        </w:rPr>
        <w:t>à l’adresse</w:t>
      </w:r>
      <w:r w:rsidRPr="00AD6657">
        <w:rPr>
          <w:rFonts w:ascii="Calibri" w:hAnsi="Calibri" w:cs="Calibri"/>
          <w:lang w:val="fr-FR"/>
        </w:rPr>
        <w:t xml:space="preserve"> </w:t>
      </w:r>
      <w:hyperlink r:id="rId3" w:history="1">
        <w:r w:rsidRPr="00AD6657">
          <w:rPr>
            <w:rStyle w:val="Hyperlink"/>
            <w:rFonts w:ascii="Calibri" w:hAnsi="Calibri" w:cs="Calibri"/>
            <w:lang w:val="fr-FR"/>
          </w:rPr>
          <w:t>https://www.ramsar.org/document/sc63-inf2-national-wetland-inventories-synthesis-13-depth-interviews-further</w:t>
        </w:r>
      </w:hyperlink>
      <w:r w:rsidRPr="00AD6657">
        <w:rPr>
          <w:rFonts w:ascii="Calibri" w:hAnsi="Calibri" w:cs="Calibri"/>
          <w:lang w:val="fr-FR"/>
        </w:rPr>
        <w:t xml:space="preserve">. </w:t>
      </w:r>
    </w:p>
  </w:footnote>
  <w:footnote w:id="5">
    <w:p w14:paraId="0E9063A8" w14:textId="5EE0C8E6" w:rsidR="00510A43" w:rsidRPr="00952121" w:rsidRDefault="00510A43">
      <w:pPr>
        <w:pStyle w:val="FootnoteText"/>
        <w:rPr>
          <w:rFonts w:ascii="Calibri" w:hAnsi="Calibri" w:cs="Calibri"/>
          <w:lang w:val="fr-FR"/>
        </w:rPr>
      </w:pPr>
      <w:r w:rsidRPr="00FE4BE9">
        <w:rPr>
          <w:rStyle w:val="FootnoteReference"/>
          <w:rFonts w:ascii="Calibri" w:hAnsi="Calibri" w:cs="Calibri"/>
        </w:rPr>
        <w:footnoteRef/>
      </w:r>
      <w:r w:rsidRPr="00952121">
        <w:rPr>
          <w:rFonts w:ascii="Calibri" w:hAnsi="Calibri" w:cs="Calibri"/>
          <w:lang w:val="fr-FR"/>
        </w:rPr>
        <w:t xml:space="preserve"> </w:t>
      </w:r>
      <w:r w:rsidR="00AD6657" w:rsidRPr="00A17C38">
        <w:rPr>
          <w:rFonts w:ascii="Calibri" w:hAnsi="Calibri" w:cs="Calibri"/>
          <w:lang w:val="fr-FR"/>
        </w:rPr>
        <w:t>Voir</w:t>
      </w:r>
      <w:r w:rsidRPr="00952121">
        <w:rPr>
          <w:rFonts w:ascii="Calibri" w:hAnsi="Calibri" w:cs="Calibri"/>
          <w:lang w:val="fr-FR"/>
        </w:rPr>
        <w:t xml:space="preserve"> </w:t>
      </w:r>
      <w:hyperlink r:id="rId4" w:history="1">
        <w:r w:rsidR="005205FB">
          <w:rPr>
            <w:rStyle w:val="Hyperlink"/>
            <w:rFonts w:ascii="Calibri" w:hAnsi="Calibri" w:cs="Calibri"/>
            <w:lang w:val="fr-FR"/>
          </w:rPr>
          <w:t>https://www.ramsar.org/fr/document/sc63-doc10-problemes-urgents-dutilisation-rationnelle-des-zones-humides-devant-recevoir</w:t>
        </w:r>
      </w:hyperlink>
      <w:r w:rsidRPr="00952121">
        <w:rPr>
          <w:rFonts w:ascii="Calibri" w:hAnsi="Calibri" w:cs="Calibri"/>
          <w:lang w:val="fr-FR"/>
        </w:rPr>
        <w:t xml:space="preserve"> and </w:t>
      </w:r>
      <w:hyperlink r:id="rId5" w:history="1">
        <w:r w:rsidR="005205FB">
          <w:rPr>
            <w:rStyle w:val="Hyperlink"/>
            <w:rFonts w:ascii="Calibri" w:hAnsi="Calibri" w:cs="Calibri"/>
            <w:lang w:val="fr-FR"/>
          </w:rPr>
          <w:t>https://www.ramsar.org/fr/document/sc64-doc10-problemes-urgents-relatifs-lutilisation-rationnelle-des-zones-humides</w:t>
        </w:r>
      </w:hyperlink>
      <w:r w:rsidRPr="00952121">
        <w:rPr>
          <w:rFonts w:ascii="Calibri" w:hAnsi="Calibri" w:cs="Calibri"/>
          <w:lang w:val="fr-FR"/>
        </w:rPr>
        <w:t xml:space="preserve">. </w:t>
      </w:r>
    </w:p>
  </w:footnote>
  <w:footnote w:id="6">
    <w:p w14:paraId="086C6C6D" w14:textId="76088A85" w:rsidR="000D18E0" w:rsidRPr="00AD6657" w:rsidRDefault="000D18E0">
      <w:pPr>
        <w:pStyle w:val="FootnoteText"/>
        <w:rPr>
          <w:rFonts w:ascii="Calibri" w:hAnsi="Calibri" w:cs="Calibri"/>
          <w:lang w:val="fr-FR"/>
        </w:rPr>
      </w:pPr>
      <w:r w:rsidRPr="00FE4BE9">
        <w:rPr>
          <w:rStyle w:val="FootnoteReference"/>
          <w:rFonts w:ascii="Calibri" w:hAnsi="Calibri" w:cs="Calibri"/>
        </w:rPr>
        <w:footnoteRef/>
      </w:r>
      <w:r w:rsidRPr="00AD6657">
        <w:rPr>
          <w:rFonts w:ascii="Calibri" w:hAnsi="Calibri" w:cs="Calibri"/>
          <w:lang w:val="fr-FR"/>
        </w:rPr>
        <w:t xml:space="preserve"> </w:t>
      </w:r>
      <w:r w:rsidR="00AD6657" w:rsidRPr="00AD6657">
        <w:rPr>
          <w:rFonts w:ascii="Calibri" w:hAnsi="Calibri" w:cs="Calibri"/>
          <w:lang w:val="fr-FR"/>
        </w:rPr>
        <w:t>Voir</w:t>
      </w:r>
      <w:r w:rsidRPr="00AD6657">
        <w:rPr>
          <w:rFonts w:ascii="Calibri" w:hAnsi="Calibri" w:cs="Calibri"/>
          <w:lang w:val="fr-FR"/>
        </w:rPr>
        <w:t xml:space="preserve"> </w:t>
      </w:r>
      <w:hyperlink r:id="rId6" w:history="1">
        <w:r w:rsidR="005205FB">
          <w:rPr>
            <w:rStyle w:val="Hyperlink"/>
            <w:rFonts w:ascii="Calibri" w:hAnsi="Calibri" w:cs="Calibri"/>
            <w:lang w:val="fr-FR"/>
          </w:rPr>
          <w:t>https://www.ramsar.org/fr/document/rapport-technique-ramsar-10-lobservation-de-la-terre-au-service-de-linventaire-de</w:t>
        </w:r>
      </w:hyperlink>
      <w:r w:rsidRPr="00AD6657">
        <w:rPr>
          <w:rFonts w:ascii="Calibri" w:hAnsi="Calibri" w:cs="Calibri"/>
          <w:lang w:val="fr-FR"/>
        </w:rPr>
        <w:t>.</w:t>
      </w:r>
    </w:p>
  </w:footnote>
  <w:footnote w:id="7">
    <w:p w14:paraId="44254420" w14:textId="7895ABCA" w:rsidR="0099027F" w:rsidRPr="00AD6657" w:rsidRDefault="0099027F" w:rsidP="0099027F">
      <w:pPr>
        <w:pStyle w:val="FootnoteText"/>
        <w:rPr>
          <w:rFonts w:ascii="Calibri" w:hAnsi="Calibri" w:cs="Calibri"/>
          <w:lang w:val="fr-FR"/>
        </w:rPr>
      </w:pPr>
      <w:r w:rsidRPr="00FE4BE9">
        <w:rPr>
          <w:rStyle w:val="FootnoteReference"/>
          <w:rFonts w:ascii="Calibri" w:hAnsi="Calibri" w:cs="Calibri"/>
        </w:rPr>
        <w:footnoteRef/>
      </w:r>
      <w:r w:rsidRPr="00AD6657">
        <w:rPr>
          <w:rFonts w:ascii="Calibri" w:hAnsi="Calibri" w:cs="Calibri"/>
          <w:lang w:val="fr-FR"/>
        </w:rPr>
        <w:t xml:space="preserve"> Voir </w:t>
      </w:r>
      <w:hyperlink r:id="rId7" w:history="1">
        <w:r w:rsidR="005205FB" w:rsidRPr="005205FB">
          <w:rPr>
            <w:rStyle w:val="Hyperlink"/>
            <w:rFonts w:ascii="Calibri" w:hAnsi="Calibri" w:cs="Calibri"/>
            <w:lang w:val="fr-FR"/>
          </w:rPr>
          <w:t>https://www.ramsar.org/fr/nouvelles-ressources-cesp</w:t>
        </w:r>
      </w:hyperlink>
      <w:r w:rsidR="005205FB">
        <w:rPr>
          <w:rFonts w:ascii="Calibri" w:hAnsi="Calibri" w:cs="Calibri"/>
          <w:lang w:val="fr-FR"/>
        </w:rPr>
        <w:t>.</w:t>
      </w:r>
    </w:p>
  </w:footnote>
  <w:footnote w:id="8">
    <w:p w14:paraId="304BBC2A" w14:textId="119224E5" w:rsidR="0099027F" w:rsidRPr="00AD6657" w:rsidRDefault="0099027F" w:rsidP="0099027F">
      <w:pPr>
        <w:pStyle w:val="FootnoteText"/>
        <w:rPr>
          <w:rFonts w:ascii="Calibri" w:hAnsi="Calibri" w:cs="Calibri"/>
          <w:lang w:val="fr-FR"/>
        </w:rPr>
      </w:pPr>
      <w:r w:rsidRPr="00FE4BE9">
        <w:rPr>
          <w:rStyle w:val="FootnoteReference"/>
          <w:rFonts w:ascii="Calibri" w:hAnsi="Calibri" w:cs="Calibri"/>
        </w:rPr>
        <w:footnoteRef/>
      </w:r>
      <w:r w:rsidRPr="00AD6657">
        <w:rPr>
          <w:rFonts w:ascii="Calibri" w:hAnsi="Calibri" w:cs="Calibri"/>
          <w:lang w:val="fr-FR"/>
        </w:rPr>
        <w:t xml:space="preserve"> Voir </w:t>
      </w:r>
      <w:hyperlink r:id="rId8" w:history="1">
        <w:r w:rsidR="005205FB">
          <w:rPr>
            <w:rStyle w:val="Hyperlink"/>
            <w:rFonts w:ascii="Calibri" w:hAnsi="Calibri" w:cs="Calibri"/>
            <w:lang w:val="fr-FR"/>
          </w:rPr>
          <w:t>https://www.ramsar.org/fr/document/manuel-6-lhumanite-et-les-zones-humides-programme-de-cesp-de-la-convention-sur-les-zones</w:t>
        </w:r>
      </w:hyperlink>
      <w:r w:rsidRPr="00AD6657">
        <w:rPr>
          <w:rFonts w:ascii="Calibri" w:hAnsi="Calibri" w:cs="Calibri"/>
          <w:lang w:val="fr-FR"/>
        </w:rPr>
        <w:t>.</w:t>
      </w:r>
    </w:p>
  </w:footnote>
  <w:footnote w:id="9">
    <w:p w14:paraId="09B2EE87" w14:textId="2CB510FA" w:rsidR="00096471" w:rsidRPr="00AD6657" w:rsidRDefault="00096471">
      <w:pPr>
        <w:pStyle w:val="FootnoteText"/>
        <w:rPr>
          <w:rFonts w:ascii="Calibri" w:hAnsi="Calibri" w:cs="Calibri"/>
          <w:lang w:val="fr-FR"/>
        </w:rPr>
      </w:pPr>
      <w:r w:rsidRPr="00FE4BE9">
        <w:rPr>
          <w:rStyle w:val="FootnoteReference"/>
          <w:rFonts w:ascii="Calibri" w:hAnsi="Calibri" w:cs="Calibri"/>
        </w:rPr>
        <w:footnoteRef/>
      </w:r>
      <w:r w:rsidRPr="00AD6657">
        <w:rPr>
          <w:rFonts w:ascii="Calibri" w:hAnsi="Calibri" w:cs="Calibri"/>
          <w:lang w:val="fr-FR"/>
        </w:rPr>
        <w:t xml:space="preserve"> </w:t>
      </w:r>
      <w:r w:rsidR="00AD6657" w:rsidRPr="00AD6657">
        <w:rPr>
          <w:rFonts w:ascii="Calibri" w:hAnsi="Calibri" w:cs="Calibri"/>
          <w:lang w:val="fr-FR"/>
        </w:rPr>
        <w:t>Voir</w:t>
      </w:r>
      <w:r w:rsidRPr="00AD6657">
        <w:rPr>
          <w:rFonts w:ascii="Calibri" w:hAnsi="Calibri" w:cs="Calibri"/>
          <w:lang w:val="fr-FR"/>
        </w:rPr>
        <w:t xml:space="preserve"> </w:t>
      </w:r>
      <w:hyperlink r:id="rId9" w:history="1">
        <w:r w:rsidR="005205FB">
          <w:rPr>
            <w:rStyle w:val="Hyperlink"/>
            <w:rFonts w:ascii="Calibri" w:hAnsi="Calibri" w:cs="Calibri"/>
            <w:lang w:val="fr-FR"/>
          </w:rPr>
          <w:t>https://www.ramsar.org/fr/notre-travail/activites/legalite-des-genres-et-les-zones-humides/decouvrez-le-tout-premier-groupe</w:t>
        </w:r>
      </w:hyperlink>
      <w:r w:rsidRPr="00AD6657">
        <w:rPr>
          <w:rFonts w:ascii="Calibri" w:hAnsi="Calibri" w:cs="Calibri"/>
          <w:lang w:val="fr-FR"/>
        </w:rPr>
        <w:t>.</w:t>
      </w:r>
    </w:p>
  </w:footnote>
  <w:footnote w:id="10">
    <w:p w14:paraId="7ECE1151" w14:textId="77777777" w:rsidR="001B619A" w:rsidRPr="00AD6657" w:rsidRDefault="001B619A" w:rsidP="001B619A">
      <w:pPr>
        <w:pStyle w:val="FootnoteText"/>
        <w:rPr>
          <w:rFonts w:ascii="Calibri" w:hAnsi="Calibri" w:cs="Calibri"/>
          <w:lang w:val="fr-FR"/>
        </w:rPr>
      </w:pPr>
      <w:r w:rsidRPr="00FE4BE9">
        <w:rPr>
          <w:rStyle w:val="FootnoteReference"/>
          <w:rFonts w:ascii="Calibri" w:hAnsi="Calibri" w:cs="Calibri"/>
        </w:rPr>
        <w:footnoteRef/>
      </w:r>
      <w:r w:rsidRPr="00AD6657">
        <w:rPr>
          <w:rFonts w:ascii="Calibri" w:hAnsi="Calibri" w:cs="Calibri"/>
          <w:lang w:val="fr-FR"/>
        </w:rPr>
        <w:t xml:space="preserve"> Voir </w:t>
      </w:r>
      <w:hyperlink r:id="rId10" w:history="1">
        <w:r w:rsidRPr="00AD6657">
          <w:rPr>
            <w:rStyle w:val="Hyperlink"/>
            <w:rFonts w:ascii="Calibri" w:hAnsi="Calibri" w:cs="Calibri"/>
            <w:lang w:val="fr-FR"/>
          </w:rPr>
          <w:t>https://www.sdg661.app/</w:t>
        </w:r>
      </w:hyperlink>
      <w:r w:rsidRPr="00AD6657">
        <w:rPr>
          <w:rFonts w:ascii="Calibri" w:hAnsi="Calibri" w:cs="Calibri"/>
          <w:lang w:val="fr-FR"/>
        </w:rPr>
        <w:t xml:space="preserve">. </w:t>
      </w:r>
    </w:p>
  </w:footnote>
  <w:footnote w:id="11">
    <w:p w14:paraId="5CC6453E" w14:textId="402920EC" w:rsidR="00FE4BE9" w:rsidRPr="00AD6657" w:rsidRDefault="00FE4BE9">
      <w:pPr>
        <w:pStyle w:val="FootnoteText"/>
        <w:rPr>
          <w:rFonts w:ascii="Calibri" w:hAnsi="Calibri" w:cs="Calibri"/>
          <w:lang w:val="fr-FR"/>
        </w:rPr>
      </w:pPr>
      <w:r w:rsidRPr="00FE4BE9">
        <w:rPr>
          <w:rStyle w:val="FootnoteReference"/>
          <w:rFonts w:ascii="Calibri" w:hAnsi="Calibri" w:cs="Calibri"/>
        </w:rPr>
        <w:footnoteRef/>
      </w:r>
      <w:r w:rsidRPr="00AD6657">
        <w:rPr>
          <w:rFonts w:ascii="Calibri" w:hAnsi="Calibri" w:cs="Calibri"/>
          <w:lang w:val="fr-FR"/>
        </w:rPr>
        <w:t xml:space="preserve"> </w:t>
      </w:r>
      <w:r w:rsidR="00AD6657" w:rsidRPr="00AD6657">
        <w:rPr>
          <w:rFonts w:ascii="Calibri" w:hAnsi="Calibri" w:cs="Calibri"/>
          <w:lang w:val="fr-FR"/>
        </w:rPr>
        <w:t>Voir</w:t>
      </w:r>
      <w:r w:rsidRPr="00AD6657">
        <w:rPr>
          <w:rFonts w:ascii="Calibri" w:hAnsi="Calibri" w:cs="Calibri"/>
          <w:lang w:val="fr-FR"/>
        </w:rPr>
        <w:t xml:space="preserve"> document SC63 Doc.10 </w:t>
      </w:r>
      <w:r w:rsidR="00AD6657" w:rsidRPr="00AD6657">
        <w:rPr>
          <w:rFonts w:ascii="Calibri" w:hAnsi="Calibri" w:cs="Calibri"/>
          <w:lang w:val="fr-FR"/>
        </w:rPr>
        <w:t>pour d’autres in</w:t>
      </w:r>
      <w:r w:rsidR="00AD6657">
        <w:rPr>
          <w:rFonts w:ascii="Calibri" w:hAnsi="Calibri" w:cs="Calibri"/>
          <w:lang w:val="fr-FR"/>
        </w:rPr>
        <w:t>formations</w:t>
      </w:r>
      <w:r w:rsidRPr="00AD6657">
        <w:rPr>
          <w:rFonts w:ascii="Calibri" w:hAnsi="Calibri" w:cs="Calibri"/>
          <w:lang w:val="fr-FR"/>
        </w:rPr>
        <w:t>.</w:t>
      </w:r>
    </w:p>
  </w:footnote>
  <w:footnote w:id="12">
    <w:p w14:paraId="390CAB48" w14:textId="128A02FF" w:rsidR="00FE4BE9" w:rsidRPr="00AD6657" w:rsidRDefault="00FE4BE9">
      <w:pPr>
        <w:pStyle w:val="FootnoteText"/>
        <w:rPr>
          <w:rFonts w:ascii="Calibri" w:hAnsi="Calibri" w:cs="Calibri"/>
          <w:lang w:val="fr-FR"/>
        </w:rPr>
      </w:pPr>
      <w:r w:rsidRPr="00FE4BE9">
        <w:rPr>
          <w:rStyle w:val="FootnoteReference"/>
          <w:rFonts w:ascii="Calibri" w:hAnsi="Calibri" w:cs="Calibri"/>
        </w:rPr>
        <w:footnoteRef/>
      </w:r>
      <w:r w:rsidRPr="00AD6657">
        <w:rPr>
          <w:rFonts w:ascii="Calibri" w:hAnsi="Calibri" w:cs="Calibri"/>
          <w:lang w:val="fr-FR"/>
        </w:rPr>
        <w:t xml:space="preserve"> </w:t>
      </w:r>
      <w:r w:rsidR="00AD6657">
        <w:rPr>
          <w:rFonts w:ascii="Calibri" w:hAnsi="Calibri" w:cs="Calibri"/>
          <w:lang w:val="fr-FR"/>
        </w:rPr>
        <w:t>Voir</w:t>
      </w:r>
      <w:r w:rsidRPr="00AD6657">
        <w:rPr>
          <w:rFonts w:ascii="Calibri" w:hAnsi="Calibri" w:cs="Calibri"/>
          <w:lang w:val="fr-FR"/>
        </w:rPr>
        <w:t xml:space="preserve"> document </w:t>
      </w:r>
      <w:r w:rsidRPr="00AD6657">
        <w:rPr>
          <w:rFonts w:ascii="Calibri" w:eastAsiaTheme="minorEastAsia" w:hAnsi="Calibri" w:cs="Calibri"/>
          <w:lang w:val="fr-FR"/>
        </w:rPr>
        <w:t xml:space="preserve">COP15 Doc.11 </w:t>
      </w:r>
      <w:r w:rsidR="00AD6657" w:rsidRPr="00AD6657">
        <w:rPr>
          <w:rFonts w:ascii="Calibri" w:eastAsiaTheme="minorEastAsia" w:hAnsi="Calibri" w:cs="Calibri"/>
          <w:bCs/>
          <w:i/>
          <w:iCs/>
          <w:lang w:val="fr-CH"/>
        </w:rPr>
        <w:t>Rapport du Président du Groupe d’évaluation scientifique et technique (GEST)</w:t>
      </w:r>
      <w:r w:rsidRPr="00AD6657">
        <w:rPr>
          <w:rFonts w:ascii="Calibri" w:eastAsiaTheme="minorEastAsia" w:hAnsi="Calibri" w:cs="Calibri"/>
          <w:i/>
          <w:iCs/>
          <w:lang w:val="fr-FR"/>
        </w:rPr>
        <w:t>,</w:t>
      </w:r>
      <w:r w:rsidRPr="00AD6657">
        <w:rPr>
          <w:rFonts w:ascii="Calibri" w:eastAsiaTheme="minorEastAsia" w:hAnsi="Calibri" w:cs="Calibri"/>
          <w:lang w:val="fr-FR"/>
        </w:rPr>
        <w:t xml:space="preserve"> Annex</w:t>
      </w:r>
      <w:r w:rsidR="00AD6657">
        <w:rPr>
          <w:rFonts w:ascii="Calibri" w:eastAsiaTheme="minorEastAsia" w:hAnsi="Calibri" w:cs="Calibri"/>
          <w:lang w:val="fr-FR"/>
        </w:rPr>
        <w:t>e</w:t>
      </w:r>
      <w:r w:rsidRPr="00AD6657">
        <w:rPr>
          <w:rFonts w:ascii="Calibri" w:eastAsiaTheme="minorEastAsia" w:hAnsi="Calibri" w:cs="Calibri"/>
          <w:lang w:val="fr-FR"/>
        </w:rPr>
        <w:t>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602"/>
    <w:multiLevelType w:val="hybridMultilevel"/>
    <w:tmpl w:val="C5F60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14893"/>
    <w:multiLevelType w:val="hybridMultilevel"/>
    <w:tmpl w:val="06F8A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39A7"/>
    <w:multiLevelType w:val="hybridMultilevel"/>
    <w:tmpl w:val="579A2766"/>
    <w:lvl w:ilvl="0" w:tplc="E6BA0FE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7C5A8F"/>
    <w:multiLevelType w:val="hybridMultilevel"/>
    <w:tmpl w:val="E32C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05F7B"/>
    <w:multiLevelType w:val="hybridMultilevel"/>
    <w:tmpl w:val="7144A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A3903"/>
    <w:multiLevelType w:val="hybridMultilevel"/>
    <w:tmpl w:val="7D02434A"/>
    <w:lvl w:ilvl="0" w:tplc="25CC5B1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D20F6"/>
    <w:multiLevelType w:val="multilevel"/>
    <w:tmpl w:val="6FA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2F571D"/>
    <w:multiLevelType w:val="hybridMultilevel"/>
    <w:tmpl w:val="6EE4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B42D5"/>
    <w:multiLevelType w:val="hybridMultilevel"/>
    <w:tmpl w:val="3A1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92BD6"/>
    <w:multiLevelType w:val="multilevel"/>
    <w:tmpl w:val="E814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AE3F0D"/>
    <w:multiLevelType w:val="multilevel"/>
    <w:tmpl w:val="3696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904335"/>
    <w:multiLevelType w:val="hybridMultilevel"/>
    <w:tmpl w:val="F2020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63DCC"/>
    <w:multiLevelType w:val="hybridMultilevel"/>
    <w:tmpl w:val="848C68B0"/>
    <w:lvl w:ilvl="0" w:tplc="F48426C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C4C83"/>
    <w:multiLevelType w:val="hybridMultilevel"/>
    <w:tmpl w:val="149E7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F2914"/>
    <w:multiLevelType w:val="multilevel"/>
    <w:tmpl w:val="2D36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793706"/>
    <w:multiLevelType w:val="hybridMultilevel"/>
    <w:tmpl w:val="0908D974"/>
    <w:lvl w:ilvl="0" w:tplc="6F44236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D2B69"/>
    <w:multiLevelType w:val="hybridMultilevel"/>
    <w:tmpl w:val="3F9A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3136C"/>
    <w:multiLevelType w:val="hybridMultilevel"/>
    <w:tmpl w:val="9606D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EA487A"/>
    <w:multiLevelType w:val="hybridMultilevel"/>
    <w:tmpl w:val="5AF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51B0E"/>
    <w:multiLevelType w:val="hybridMultilevel"/>
    <w:tmpl w:val="DB12E286"/>
    <w:lvl w:ilvl="0" w:tplc="0AC2122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950CC"/>
    <w:multiLevelType w:val="hybridMultilevel"/>
    <w:tmpl w:val="B28E8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FB66C5"/>
    <w:multiLevelType w:val="hybridMultilevel"/>
    <w:tmpl w:val="A1AA8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7155A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7E24BE"/>
    <w:multiLevelType w:val="hybridMultilevel"/>
    <w:tmpl w:val="93220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05EB0"/>
    <w:multiLevelType w:val="hybridMultilevel"/>
    <w:tmpl w:val="8370F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0141039">
    <w:abstractNumId w:val="19"/>
  </w:num>
  <w:num w:numId="2" w16cid:durableId="1692337862">
    <w:abstractNumId w:val="12"/>
  </w:num>
  <w:num w:numId="3" w16cid:durableId="133916550">
    <w:abstractNumId w:val="14"/>
  </w:num>
  <w:num w:numId="4" w16cid:durableId="1495292865">
    <w:abstractNumId w:val="10"/>
  </w:num>
  <w:num w:numId="5" w16cid:durableId="1041786626">
    <w:abstractNumId w:val="6"/>
  </w:num>
  <w:num w:numId="6" w16cid:durableId="10114029">
    <w:abstractNumId w:val="9"/>
  </w:num>
  <w:num w:numId="7" w16cid:durableId="1005131391">
    <w:abstractNumId w:val="7"/>
  </w:num>
  <w:num w:numId="8" w16cid:durableId="2030329624">
    <w:abstractNumId w:val="3"/>
  </w:num>
  <w:num w:numId="9" w16cid:durableId="64299446">
    <w:abstractNumId w:val="16"/>
  </w:num>
  <w:num w:numId="10" w16cid:durableId="734356522">
    <w:abstractNumId w:val="18"/>
  </w:num>
  <w:num w:numId="11" w16cid:durableId="259873340">
    <w:abstractNumId w:val="8"/>
  </w:num>
  <w:num w:numId="12" w16cid:durableId="547453649">
    <w:abstractNumId w:val="5"/>
  </w:num>
  <w:num w:numId="13" w16cid:durableId="1796947325">
    <w:abstractNumId w:val="15"/>
  </w:num>
  <w:num w:numId="14" w16cid:durableId="284895423">
    <w:abstractNumId w:val="2"/>
  </w:num>
  <w:num w:numId="15" w16cid:durableId="207885463">
    <w:abstractNumId w:val="13"/>
  </w:num>
  <w:num w:numId="16" w16cid:durableId="1211577839">
    <w:abstractNumId w:val="17"/>
  </w:num>
  <w:num w:numId="17" w16cid:durableId="1664773086">
    <w:abstractNumId w:val="11"/>
  </w:num>
  <w:num w:numId="18" w16cid:durableId="577911140">
    <w:abstractNumId w:val="21"/>
  </w:num>
  <w:num w:numId="19" w16cid:durableId="1576549195">
    <w:abstractNumId w:val="24"/>
  </w:num>
  <w:num w:numId="20" w16cid:durableId="74595912">
    <w:abstractNumId w:val="20"/>
  </w:num>
  <w:num w:numId="21" w16cid:durableId="1162281759">
    <w:abstractNumId w:val="4"/>
  </w:num>
  <w:num w:numId="22" w16cid:durableId="270086856">
    <w:abstractNumId w:val="0"/>
  </w:num>
  <w:num w:numId="23" w16cid:durableId="1731920719">
    <w:abstractNumId w:val="1"/>
  </w:num>
  <w:num w:numId="24" w16cid:durableId="1183862404">
    <w:abstractNumId w:val="22"/>
  </w:num>
  <w:num w:numId="25" w16cid:durableId="3393531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BD"/>
    <w:rsid w:val="00000BE5"/>
    <w:rsid w:val="000021E4"/>
    <w:rsid w:val="00002521"/>
    <w:rsid w:val="00002C5C"/>
    <w:rsid w:val="000044E2"/>
    <w:rsid w:val="000063DA"/>
    <w:rsid w:val="00006EBB"/>
    <w:rsid w:val="0001050A"/>
    <w:rsid w:val="000115AA"/>
    <w:rsid w:val="00011865"/>
    <w:rsid w:val="000139EF"/>
    <w:rsid w:val="0001414C"/>
    <w:rsid w:val="0001685D"/>
    <w:rsid w:val="00016C24"/>
    <w:rsid w:val="00016F60"/>
    <w:rsid w:val="0002038F"/>
    <w:rsid w:val="00021567"/>
    <w:rsid w:val="00021584"/>
    <w:rsid w:val="0002226B"/>
    <w:rsid w:val="000225A3"/>
    <w:rsid w:val="00022660"/>
    <w:rsid w:val="00022B30"/>
    <w:rsid w:val="0002768B"/>
    <w:rsid w:val="00030E24"/>
    <w:rsid w:val="00031F8D"/>
    <w:rsid w:val="000321E7"/>
    <w:rsid w:val="000328CE"/>
    <w:rsid w:val="00033719"/>
    <w:rsid w:val="00036013"/>
    <w:rsid w:val="00036990"/>
    <w:rsid w:val="00040D88"/>
    <w:rsid w:val="000417FF"/>
    <w:rsid w:val="00045440"/>
    <w:rsid w:val="00045FBF"/>
    <w:rsid w:val="00046319"/>
    <w:rsid w:val="00046536"/>
    <w:rsid w:val="00046BE7"/>
    <w:rsid w:val="00046E11"/>
    <w:rsid w:val="00051A15"/>
    <w:rsid w:val="00053B4E"/>
    <w:rsid w:val="000568FA"/>
    <w:rsid w:val="00061FC8"/>
    <w:rsid w:val="00063B70"/>
    <w:rsid w:val="000655A1"/>
    <w:rsid w:val="00065C40"/>
    <w:rsid w:val="00065D40"/>
    <w:rsid w:val="00066DFB"/>
    <w:rsid w:val="00067A57"/>
    <w:rsid w:val="00067E30"/>
    <w:rsid w:val="00070293"/>
    <w:rsid w:val="00072EF7"/>
    <w:rsid w:val="0007484C"/>
    <w:rsid w:val="000755C8"/>
    <w:rsid w:val="000756D3"/>
    <w:rsid w:val="000805A3"/>
    <w:rsid w:val="00081930"/>
    <w:rsid w:val="0008301C"/>
    <w:rsid w:val="00083332"/>
    <w:rsid w:val="00084F04"/>
    <w:rsid w:val="000868C9"/>
    <w:rsid w:val="0008697F"/>
    <w:rsid w:val="00086F39"/>
    <w:rsid w:val="000876C3"/>
    <w:rsid w:val="000926FE"/>
    <w:rsid w:val="00095636"/>
    <w:rsid w:val="00096471"/>
    <w:rsid w:val="00096B7D"/>
    <w:rsid w:val="000A07F2"/>
    <w:rsid w:val="000A0890"/>
    <w:rsid w:val="000A1C95"/>
    <w:rsid w:val="000A2743"/>
    <w:rsid w:val="000A493E"/>
    <w:rsid w:val="000A4A4A"/>
    <w:rsid w:val="000A5669"/>
    <w:rsid w:val="000B020B"/>
    <w:rsid w:val="000B17DE"/>
    <w:rsid w:val="000B21A7"/>
    <w:rsid w:val="000B2F64"/>
    <w:rsid w:val="000B4840"/>
    <w:rsid w:val="000B4885"/>
    <w:rsid w:val="000B64FD"/>
    <w:rsid w:val="000B6749"/>
    <w:rsid w:val="000B67A7"/>
    <w:rsid w:val="000B6864"/>
    <w:rsid w:val="000B6F11"/>
    <w:rsid w:val="000B772F"/>
    <w:rsid w:val="000B7950"/>
    <w:rsid w:val="000B7DD7"/>
    <w:rsid w:val="000C18F6"/>
    <w:rsid w:val="000C26AA"/>
    <w:rsid w:val="000C2DF0"/>
    <w:rsid w:val="000C3969"/>
    <w:rsid w:val="000C470C"/>
    <w:rsid w:val="000C731E"/>
    <w:rsid w:val="000C757B"/>
    <w:rsid w:val="000C7ECB"/>
    <w:rsid w:val="000D0920"/>
    <w:rsid w:val="000D16DB"/>
    <w:rsid w:val="000D18E0"/>
    <w:rsid w:val="000D4F4F"/>
    <w:rsid w:val="000D60B7"/>
    <w:rsid w:val="000D6569"/>
    <w:rsid w:val="000E2EE5"/>
    <w:rsid w:val="000E430C"/>
    <w:rsid w:val="000E6C2E"/>
    <w:rsid w:val="000E71D2"/>
    <w:rsid w:val="000F09CB"/>
    <w:rsid w:val="000F2387"/>
    <w:rsid w:val="000F2501"/>
    <w:rsid w:val="000F403F"/>
    <w:rsid w:val="000F6171"/>
    <w:rsid w:val="000F7A58"/>
    <w:rsid w:val="0010090B"/>
    <w:rsid w:val="001009F9"/>
    <w:rsid w:val="00100EC2"/>
    <w:rsid w:val="00101153"/>
    <w:rsid w:val="0010131A"/>
    <w:rsid w:val="00102418"/>
    <w:rsid w:val="00102612"/>
    <w:rsid w:val="001052FB"/>
    <w:rsid w:val="0011012D"/>
    <w:rsid w:val="00110E85"/>
    <w:rsid w:val="0011253E"/>
    <w:rsid w:val="00112992"/>
    <w:rsid w:val="00113313"/>
    <w:rsid w:val="0011340C"/>
    <w:rsid w:val="00115084"/>
    <w:rsid w:val="00116931"/>
    <w:rsid w:val="001170DA"/>
    <w:rsid w:val="001174AE"/>
    <w:rsid w:val="001176DE"/>
    <w:rsid w:val="001203C6"/>
    <w:rsid w:val="001212D7"/>
    <w:rsid w:val="00121F0F"/>
    <w:rsid w:val="0012244F"/>
    <w:rsid w:val="00130721"/>
    <w:rsid w:val="00131CC5"/>
    <w:rsid w:val="001326B9"/>
    <w:rsid w:val="0013338B"/>
    <w:rsid w:val="001376FC"/>
    <w:rsid w:val="001379C4"/>
    <w:rsid w:val="001433B5"/>
    <w:rsid w:val="00144B56"/>
    <w:rsid w:val="00144FFF"/>
    <w:rsid w:val="00145A21"/>
    <w:rsid w:val="00145A70"/>
    <w:rsid w:val="001472AE"/>
    <w:rsid w:val="00147DA6"/>
    <w:rsid w:val="00147E37"/>
    <w:rsid w:val="0015023C"/>
    <w:rsid w:val="00150484"/>
    <w:rsid w:val="00150B36"/>
    <w:rsid w:val="00152290"/>
    <w:rsid w:val="00152967"/>
    <w:rsid w:val="00152A12"/>
    <w:rsid w:val="00153DDC"/>
    <w:rsid w:val="00155DBB"/>
    <w:rsid w:val="001615EA"/>
    <w:rsid w:val="0016194E"/>
    <w:rsid w:val="00162413"/>
    <w:rsid w:val="00162D7E"/>
    <w:rsid w:val="0016446E"/>
    <w:rsid w:val="001675A3"/>
    <w:rsid w:val="00170766"/>
    <w:rsid w:val="00171956"/>
    <w:rsid w:val="00172362"/>
    <w:rsid w:val="00172BEE"/>
    <w:rsid w:val="0017307A"/>
    <w:rsid w:val="001736F1"/>
    <w:rsid w:val="00174F05"/>
    <w:rsid w:val="00177974"/>
    <w:rsid w:val="00177D6D"/>
    <w:rsid w:val="00180597"/>
    <w:rsid w:val="00180F56"/>
    <w:rsid w:val="001816ED"/>
    <w:rsid w:val="001827BC"/>
    <w:rsid w:val="00184303"/>
    <w:rsid w:val="00185E1C"/>
    <w:rsid w:val="00191A1B"/>
    <w:rsid w:val="00191BEC"/>
    <w:rsid w:val="0019652C"/>
    <w:rsid w:val="00197FDF"/>
    <w:rsid w:val="001A0065"/>
    <w:rsid w:val="001A3729"/>
    <w:rsid w:val="001A3C04"/>
    <w:rsid w:val="001A4082"/>
    <w:rsid w:val="001A4E18"/>
    <w:rsid w:val="001A4E3D"/>
    <w:rsid w:val="001A7866"/>
    <w:rsid w:val="001A7E77"/>
    <w:rsid w:val="001B05F4"/>
    <w:rsid w:val="001B1AC3"/>
    <w:rsid w:val="001B1B8E"/>
    <w:rsid w:val="001B3768"/>
    <w:rsid w:val="001B37BF"/>
    <w:rsid w:val="001B410A"/>
    <w:rsid w:val="001B53CA"/>
    <w:rsid w:val="001B54B7"/>
    <w:rsid w:val="001B5AD3"/>
    <w:rsid w:val="001B619A"/>
    <w:rsid w:val="001B7BA9"/>
    <w:rsid w:val="001C0C44"/>
    <w:rsid w:val="001C2907"/>
    <w:rsid w:val="001C5933"/>
    <w:rsid w:val="001C6DEF"/>
    <w:rsid w:val="001C72EC"/>
    <w:rsid w:val="001C7786"/>
    <w:rsid w:val="001C7D6F"/>
    <w:rsid w:val="001D0940"/>
    <w:rsid w:val="001D193D"/>
    <w:rsid w:val="001D1E07"/>
    <w:rsid w:val="001D2A9C"/>
    <w:rsid w:val="001D5DB3"/>
    <w:rsid w:val="001D683C"/>
    <w:rsid w:val="001D6A7E"/>
    <w:rsid w:val="001E054A"/>
    <w:rsid w:val="001E05A1"/>
    <w:rsid w:val="001E05F0"/>
    <w:rsid w:val="001E2260"/>
    <w:rsid w:val="001E3AB0"/>
    <w:rsid w:val="001E4B95"/>
    <w:rsid w:val="001E4F03"/>
    <w:rsid w:val="001E525B"/>
    <w:rsid w:val="001E672D"/>
    <w:rsid w:val="001E7B87"/>
    <w:rsid w:val="001F2B84"/>
    <w:rsid w:val="001F58F8"/>
    <w:rsid w:val="001F6209"/>
    <w:rsid w:val="001F6560"/>
    <w:rsid w:val="001F6B86"/>
    <w:rsid w:val="001F6EB2"/>
    <w:rsid w:val="001F77C5"/>
    <w:rsid w:val="001F7954"/>
    <w:rsid w:val="001F7BA1"/>
    <w:rsid w:val="001F7DB3"/>
    <w:rsid w:val="00204130"/>
    <w:rsid w:val="00206469"/>
    <w:rsid w:val="00206713"/>
    <w:rsid w:val="002116E9"/>
    <w:rsid w:val="00212F5F"/>
    <w:rsid w:val="002137DD"/>
    <w:rsid w:val="00214C7D"/>
    <w:rsid w:val="0021556B"/>
    <w:rsid w:val="00217DD1"/>
    <w:rsid w:val="00220434"/>
    <w:rsid w:val="002229B7"/>
    <w:rsid w:val="00224135"/>
    <w:rsid w:val="002243E2"/>
    <w:rsid w:val="00224D2F"/>
    <w:rsid w:val="002278E9"/>
    <w:rsid w:val="002318CF"/>
    <w:rsid w:val="00231C75"/>
    <w:rsid w:val="00231DB7"/>
    <w:rsid w:val="00233303"/>
    <w:rsid w:val="002362D9"/>
    <w:rsid w:val="00236323"/>
    <w:rsid w:val="0023659E"/>
    <w:rsid w:val="00237AE1"/>
    <w:rsid w:val="00237C77"/>
    <w:rsid w:val="00240BF6"/>
    <w:rsid w:val="0024203F"/>
    <w:rsid w:val="002435FF"/>
    <w:rsid w:val="00243FB8"/>
    <w:rsid w:val="002452DD"/>
    <w:rsid w:val="00245709"/>
    <w:rsid w:val="002462DD"/>
    <w:rsid w:val="002467CA"/>
    <w:rsid w:val="002473D5"/>
    <w:rsid w:val="0025180A"/>
    <w:rsid w:val="00251BCA"/>
    <w:rsid w:val="002534AB"/>
    <w:rsid w:val="00253A70"/>
    <w:rsid w:val="0025563A"/>
    <w:rsid w:val="002557B8"/>
    <w:rsid w:val="00255F7E"/>
    <w:rsid w:val="00261B8E"/>
    <w:rsid w:val="00261C1B"/>
    <w:rsid w:val="00262B15"/>
    <w:rsid w:val="00262B21"/>
    <w:rsid w:val="00263EE7"/>
    <w:rsid w:val="00265D9C"/>
    <w:rsid w:val="00266713"/>
    <w:rsid w:val="002674E1"/>
    <w:rsid w:val="00270D5A"/>
    <w:rsid w:val="00270DB1"/>
    <w:rsid w:val="00271196"/>
    <w:rsid w:val="0027125D"/>
    <w:rsid w:val="00272BA9"/>
    <w:rsid w:val="00274AB6"/>
    <w:rsid w:val="0027578F"/>
    <w:rsid w:val="00275AF4"/>
    <w:rsid w:val="002809E0"/>
    <w:rsid w:val="00280DFC"/>
    <w:rsid w:val="002856AE"/>
    <w:rsid w:val="00286A79"/>
    <w:rsid w:val="00287A3A"/>
    <w:rsid w:val="00287B0B"/>
    <w:rsid w:val="002919D4"/>
    <w:rsid w:val="00293D35"/>
    <w:rsid w:val="002A0EC0"/>
    <w:rsid w:val="002A1A4F"/>
    <w:rsid w:val="002A1D78"/>
    <w:rsid w:val="002A22D3"/>
    <w:rsid w:val="002A2668"/>
    <w:rsid w:val="002A298A"/>
    <w:rsid w:val="002A4929"/>
    <w:rsid w:val="002A68BC"/>
    <w:rsid w:val="002A7981"/>
    <w:rsid w:val="002B02E8"/>
    <w:rsid w:val="002B15F0"/>
    <w:rsid w:val="002B2A6F"/>
    <w:rsid w:val="002B2E7D"/>
    <w:rsid w:val="002B4389"/>
    <w:rsid w:val="002B73E0"/>
    <w:rsid w:val="002B7E26"/>
    <w:rsid w:val="002C0E0C"/>
    <w:rsid w:val="002C1534"/>
    <w:rsid w:val="002C1D71"/>
    <w:rsid w:val="002C253F"/>
    <w:rsid w:val="002C3532"/>
    <w:rsid w:val="002C37B8"/>
    <w:rsid w:val="002C6702"/>
    <w:rsid w:val="002D05BF"/>
    <w:rsid w:val="002D1972"/>
    <w:rsid w:val="002D1BEC"/>
    <w:rsid w:val="002D2B5C"/>
    <w:rsid w:val="002D351B"/>
    <w:rsid w:val="002D3BE2"/>
    <w:rsid w:val="002D42DD"/>
    <w:rsid w:val="002D469C"/>
    <w:rsid w:val="002D4B32"/>
    <w:rsid w:val="002D6D14"/>
    <w:rsid w:val="002D7558"/>
    <w:rsid w:val="002E0657"/>
    <w:rsid w:val="002E1301"/>
    <w:rsid w:val="002E237F"/>
    <w:rsid w:val="002E2A96"/>
    <w:rsid w:val="002E2C3E"/>
    <w:rsid w:val="002E48D0"/>
    <w:rsid w:val="002E5733"/>
    <w:rsid w:val="002E6006"/>
    <w:rsid w:val="002E6178"/>
    <w:rsid w:val="002E66E1"/>
    <w:rsid w:val="002E688C"/>
    <w:rsid w:val="002E7241"/>
    <w:rsid w:val="002F05AA"/>
    <w:rsid w:val="002F34B1"/>
    <w:rsid w:val="002F43F5"/>
    <w:rsid w:val="002F583E"/>
    <w:rsid w:val="002F5C91"/>
    <w:rsid w:val="002F673A"/>
    <w:rsid w:val="002F7842"/>
    <w:rsid w:val="00300320"/>
    <w:rsid w:val="00302127"/>
    <w:rsid w:val="0030262E"/>
    <w:rsid w:val="00302D06"/>
    <w:rsid w:val="003048EA"/>
    <w:rsid w:val="003050DF"/>
    <w:rsid w:val="003070FC"/>
    <w:rsid w:val="00307DF6"/>
    <w:rsid w:val="00310012"/>
    <w:rsid w:val="00311876"/>
    <w:rsid w:val="0031490E"/>
    <w:rsid w:val="00315687"/>
    <w:rsid w:val="00320C91"/>
    <w:rsid w:val="00326335"/>
    <w:rsid w:val="003276F9"/>
    <w:rsid w:val="00332570"/>
    <w:rsid w:val="003331A3"/>
    <w:rsid w:val="00333A37"/>
    <w:rsid w:val="003347E5"/>
    <w:rsid w:val="00336827"/>
    <w:rsid w:val="00336A9C"/>
    <w:rsid w:val="00336DF9"/>
    <w:rsid w:val="00337788"/>
    <w:rsid w:val="00340386"/>
    <w:rsid w:val="00340A36"/>
    <w:rsid w:val="00343DFC"/>
    <w:rsid w:val="00344C33"/>
    <w:rsid w:val="003451F2"/>
    <w:rsid w:val="003457F4"/>
    <w:rsid w:val="003514C5"/>
    <w:rsid w:val="003521B7"/>
    <w:rsid w:val="003525F4"/>
    <w:rsid w:val="00352EAD"/>
    <w:rsid w:val="00354161"/>
    <w:rsid w:val="003547A7"/>
    <w:rsid w:val="003553A6"/>
    <w:rsid w:val="00356AA7"/>
    <w:rsid w:val="0035772C"/>
    <w:rsid w:val="003577A2"/>
    <w:rsid w:val="003614B1"/>
    <w:rsid w:val="00362F7C"/>
    <w:rsid w:val="00363194"/>
    <w:rsid w:val="003636E0"/>
    <w:rsid w:val="00363E3B"/>
    <w:rsid w:val="0036649F"/>
    <w:rsid w:val="0036686D"/>
    <w:rsid w:val="00366A65"/>
    <w:rsid w:val="00370AC6"/>
    <w:rsid w:val="00370E08"/>
    <w:rsid w:val="003714E0"/>
    <w:rsid w:val="00371CA4"/>
    <w:rsid w:val="003723AB"/>
    <w:rsid w:val="003723BA"/>
    <w:rsid w:val="00372A1E"/>
    <w:rsid w:val="00374048"/>
    <w:rsid w:val="00375D48"/>
    <w:rsid w:val="0038114B"/>
    <w:rsid w:val="003831D8"/>
    <w:rsid w:val="00387729"/>
    <w:rsid w:val="003911BA"/>
    <w:rsid w:val="003915EC"/>
    <w:rsid w:val="00394E34"/>
    <w:rsid w:val="00397EC9"/>
    <w:rsid w:val="003A10CC"/>
    <w:rsid w:val="003A1280"/>
    <w:rsid w:val="003A128D"/>
    <w:rsid w:val="003A159F"/>
    <w:rsid w:val="003A2BC1"/>
    <w:rsid w:val="003A61D8"/>
    <w:rsid w:val="003A6BFF"/>
    <w:rsid w:val="003A7EE5"/>
    <w:rsid w:val="003B14B6"/>
    <w:rsid w:val="003B333A"/>
    <w:rsid w:val="003B5D0A"/>
    <w:rsid w:val="003B664C"/>
    <w:rsid w:val="003B66B9"/>
    <w:rsid w:val="003B74C1"/>
    <w:rsid w:val="003B7E45"/>
    <w:rsid w:val="003B7FCC"/>
    <w:rsid w:val="003C2279"/>
    <w:rsid w:val="003C2C78"/>
    <w:rsid w:val="003C4F4A"/>
    <w:rsid w:val="003C70BA"/>
    <w:rsid w:val="003C7F26"/>
    <w:rsid w:val="003D19DA"/>
    <w:rsid w:val="003D2096"/>
    <w:rsid w:val="003D3175"/>
    <w:rsid w:val="003D35B1"/>
    <w:rsid w:val="003D377E"/>
    <w:rsid w:val="003D44B7"/>
    <w:rsid w:val="003E0544"/>
    <w:rsid w:val="003E0E4B"/>
    <w:rsid w:val="003E1DAB"/>
    <w:rsid w:val="003E42E4"/>
    <w:rsid w:val="003E69C1"/>
    <w:rsid w:val="003E6A2B"/>
    <w:rsid w:val="003E7B81"/>
    <w:rsid w:val="003F24F7"/>
    <w:rsid w:val="003F345D"/>
    <w:rsid w:val="003F7732"/>
    <w:rsid w:val="003F7C41"/>
    <w:rsid w:val="003F7FF1"/>
    <w:rsid w:val="00400DCC"/>
    <w:rsid w:val="0040104E"/>
    <w:rsid w:val="0040180E"/>
    <w:rsid w:val="00402C3E"/>
    <w:rsid w:val="0040310B"/>
    <w:rsid w:val="004052A4"/>
    <w:rsid w:val="004066D8"/>
    <w:rsid w:val="00406EC7"/>
    <w:rsid w:val="004108F0"/>
    <w:rsid w:val="004115C1"/>
    <w:rsid w:val="0041426B"/>
    <w:rsid w:val="00417949"/>
    <w:rsid w:val="00421E0E"/>
    <w:rsid w:val="00422207"/>
    <w:rsid w:val="0042388F"/>
    <w:rsid w:val="004248B4"/>
    <w:rsid w:val="00426019"/>
    <w:rsid w:val="004268CB"/>
    <w:rsid w:val="00427AE6"/>
    <w:rsid w:val="00427B81"/>
    <w:rsid w:val="00430E0C"/>
    <w:rsid w:val="004312E2"/>
    <w:rsid w:val="00432385"/>
    <w:rsid w:val="00433963"/>
    <w:rsid w:val="0043754E"/>
    <w:rsid w:val="004411F6"/>
    <w:rsid w:val="00441676"/>
    <w:rsid w:val="004435CA"/>
    <w:rsid w:val="0044423C"/>
    <w:rsid w:val="00447042"/>
    <w:rsid w:val="00450960"/>
    <w:rsid w:val="00450B26"/>
    <w:rsid w:val="00452AF1"/>
    <w:rsid w:val="00453B5D"/>
    <w:rsid w:val="00453BAC"/>
    <w:rsid w:val="00454727"/>
    <w:rsid w:val="00456781"/>
    <w:rsid w:val="004569F1"/>
    <w:rsid w:val="00456A27"/>
    <w:rsid w:val="00460583"/>
    <w:rsid w:val="004607F3"/>
    <w:rsid w:val="00460B53"/>
    <w:rsid w:val="00461685"/>
    <w:rsid w:val="00461B8E"/>
    <w:rsid w:val="00462E5B"/>
    <w:rsid w:val="0046320B"/>
    <w:rsid w:val="00463EB7"/>
    <w:rsid w:val="00463F23"/>
    <w:rsid w:val="0046459E"/>
    <w:rsid w:val="00465740"/>
    <w:rsid w:val="00470737"/>
    <w:rsid w:val="004710A2"/>
    <w:rsid w:val="004714D4"/>
    <w:rsid w:val="00473B0F"/>
    <w:rsid w:val="004747C6"/>
    <w:rsid w:val="004749DC"/>
    <w:rsid w:val="00481D91"/>
    <w:rsid w:val="00482FF8"/>
    <w:rsid w:val="004839B7"/>
    <w:rsid w:val="00484828"/>
    <w:rsid w:val="00485A6A"/>
    <w:rsid w:val="00485AEB"/>
    <w:rsid w:val="00487E9B"/>
    <w:rsid w:val="00491305"/>
    <w:rsid w:val="00491BAE"/>
    <w:rsid w:val="00494A30"/>
    <w:rsid w:val="00495CD6"/>
    <w:rsid w:val="00495CE0"/>
    <w:rsid w:val="004A027C"/>
    <w:rsid w:val="004A03BE"/>
    <w:rsid w:val="004A11AC"/>
    <w:rsid w:val="004A1C49"/>
    <w:rsid w:val="004A3C63"/>
    <w:rsid w:val="004A4367"/>
    <w:rsid w:val="004A4E15"/>
    <w:rsid w:val="004A4E5B"/>
    <w:rsid w:val="004A70D8"/>
    <w:rsid w:val="004B0445"/>
    <w:rsid w:val="004B0835"/>
    <w:rsid w:val="004B38F6"/>
    <w:rsid w:val="004B5998"/>
    <w:rsid w:val="004B8C71"/>
    <w:rsid w:val="004C3D17"/>
    <w:rsid w:val="004C4337"/>
    <w:rsid w:val="004C5280"/>
    <w:rsid w:val="004C5347"/>
    <w:rsid w:val="004C53D8"/>
    <w:rsid w:val="004D1054"/>
    <w:rsid w:val="004D12DE"/>
    <w:rsid w:val="004D2ABB"/>
    <w:rsid w:val="004D36FD"/>
    <w:rsid w:val="004D559B"/>
    <w:rsid w:val="004D688F"/>
    <w:rsid w:val="004D73B9"/>
    <w:rsid w:val="004E0716"/>
    <w:rsid w:val="004E3A97"/>
    <w:rsid w:val="004E51D0"/>
    <w:rsid w:val="004E6A41"/>
    <w:rsid w:val="004E6AAA"/>
    <w:rsid w:val="004E6D35"/>
    <w:rsid w:val="004F031E"/>
    <w:rsid w:val="004F0DE8"/>
    <w:rsid w:val="004F1F85"/>
    <w:rsid w:val="004F486B"/>
    <w:rsid w:val="004F67CD"/>
    <w:rsid w:val="00501E0B"/>
    <w:rsid w:val="005046B7"/>
    <w:rsid w:val="0050470B"/>
    <w:rsid w:val="005056FC"/>
    <w:rsid w:val="00505B80"/>
    <w:rsid w:val="00506033"/>
    <w:rsid w:val="00510796"/>
    <w:rsid w:val="00510A43"/>
    <w:rsid w:val="00511B45"/>
    <w:rsid w:val="005136AF"/>
    <w:rsid w:val="00515BBB"/>
    <w:rsid w:val="00515BC3"/>
    <w:rsid w:val="00517BFB"/>
    <w:rsid w:val="00517F0D"/>
    <w:rsid w:val="005205FB"/>
    <w:rsid w:val="00520628"/>
    <w:rsid w:val="00522C2E"/>
    <w:rsid w:val="005269DB"/>
    <w:rsid w:val="00526C89"/>
    <w:rsid w:val="005319CE"/>
    <w:rsid w:val="0053245D"/>
    <w:rsid w:val="005335E3"/>
    <w:rsid w:val="005348CF"/>
    <w:rsid w:val="005351C9"/>
    <w:rsid w:val="005402A6"/>
    <w:rsid w:val="005429D0"/>
    <w:rsid w:val="00544F48"/>
    <w:rsid w:val="00546658"/>
    <w:rsid w:val="00547EED"/>
    <w:rsid w:val="005506CB"/>
    <w:rsid w:val="00550BF0"/>
    <w:rsid w:val="00550DEA"/>
    <w:rsid w:val="005531D6"/>
    <w:rsid w:val="00553D0D"/>
    <w:rsid w:val="00553F2F"/>
    <w:rsid w:val="00554D25"/>
    <w:rsid w:val="00556539"/>
    <w:rsid w:val="00563070"/>
    <w:rsid w:val="00563AF8"/>
    <w:rsid w:val="005674D4"/>
    <w:rsid w:val="0056796A"/>
    <w:rsid w:val="00570036"/>
    <w:rsid w:val="00571960"/>
    <w:rsid w:val="00573BBE"/>
    <w:rsid w:val="0057451D"/>
    <w:rsid w:val="00574545"/>
    <w:rsid w:val="0057477A"/>
    <w:rsid w:val="00575086"/>
    <w:rsid w:val="00575424"/>
    <w:rsid w:val="00575EC4"/>
    <w:rsid w:val="00577A5D"/>
    <w:rsid w:val="00580B85"/>
    <w:rsid w:val="00581253"/>
    <w:rsid w:val="005838A6"/>
    <w:rsid w:val="00584496"/>
    <w:rsid w:val="0058463A"/>
    <w:rsid w:val="0058580E"/>
    <w:rsid w:val="00585C93"/>
    <w:rsid w:val="00586C14"/>
    <w:rsid w:val="00587CBD"/>
    <w:rsid w:val="00587F7B"/>
    <w:rsid w:val="00590AB1"/>
    <w:rsid w:val="00590BB1"/>
    <w:rsid w:val="005913D0"/>
    <w:rsid w:val="0059208B"/>
    <w:rsid w:val="005929F8"/>
    <w:rsid w:val="0059486E"/>
    <w:rsid w:val="005959D6"/>
    <w:rsid w:val="00597774"/>
    <w:rsid w:val="005A2570"/>
    <w:rsid w:val="005A41C1"/>
    <w:rsid w:val="005A4582"/>
    <w:rsid w:val="005A5734"/>
    <w:rsid w:val="005A5E95"/>
    <w:rsid w:val="005A696B"/>
    <w:rsid w:val="005A7888"/>
    <w:rsid w:val="005A7AAA"/>
    <w:rsid w:val="005B05D1"/>
    <w:rsid w:val="005B0CA6"/>
    <w:rsid w:val="005B5A30"/>
    <w:rsid w:val="005B67E7"/>
    <w:rsid w:val="005B691B"/>
    <w:rsid w:val="005C0222"/>
    <w:rsid w:val="005C16F3"/>
    <w:rsid w:val="005C24C5"/>
    <w:rsid w:val="005C2A63"/>
    <w:rsid w:val="005C3952"/>
    <w:rsid w:val="005C3DAD"/>
    <w:rsid w:val="005C45FF"/>
    <w:rsid w:val="005C4E4D"/>
    <w:rsid w:val="005C5C8A"/>
    <w:rsid w:val="005C5D84"/>
    <w:rsid w:val="005C62AD"/>
    <w:rsid w:val="005C62BB"/>
    <w:rsid w:val="005C6CFF"/>
    <w:rsid w:val="005D0494"/>
    <w:rsid w:val="005D1320"/>
    <w:rsid w:val="005D13CB"/>
    <w:rsid w:val="005D1982"/>
    <w:rsid w:val="005D1A8E"/>
    <w:rsid w:val="005D353C"/>
    <w:rsid w:val="005D4367"/>
    <w:rsid w:val="005D48EA"/>
    <w:rsid w:val="005D706C"/>
    <w:rsid w:val="005D709E"/>
    <w:rsid w:val="005D791E"/>
    <w:rsid w:val="005E109F"/>
    <w:rsid w:val="005E252E"/>
    <w:rsid w:val="005E3D96"/>
    <w:rsid w:val="005E5556"/>
    <w:rsid w:val="005E5D39"/>
    <w:rsid w:val="005E73FC"/>
    <w:rsid w:val="005E7C12"/>
    <w:rsid w:val="005F0937"/>
    <w:rsid w:val="005F15C4"/>
    <w:rsid w:val="005F1B92"/>
    <w:rsid w:val="005F1DA2"/>
    <w:rsid w:val="005F2DDC"/>
    <w:rsid w:val="005F3367"/>
    <w:rsid w:val="005F384A"/>
    <w:rsid w:val="005F44C7"/>
    <w:rsid w:val="005F47A1"/>
    <w:rsid w:val="005F5B61"/>
    <w:rsid w:val="005F653E"/>
    <w:rsid w:val="005F7B2E"/>
    <w:rsid w:val="00600E25"/>
    <w:rsid w:val="006013F8"/>
    <w:rsid w:val="00601AE0"/>
    <w:rsid w:val="0060257B"/>
    <w:rsid w:val="0060340F"/>
    <w:rsid w:val="00603CE2"/>
    <w:rsid w:val="00604819"/>
    <w:rsid w:val="00606456"/>
    <w:rsid w:val="0060651C"/>
    <w:rsid w:val="0060762D"/>
    <w:rsid w:val="0061278D"/>
    <w:rsid w:val="00613575"/>
    <w:rsid w:val="0061480F"/>
    <w:rsid w:val="00614F76"/>
    <w:rsid w:val="00616CCD"/>
    <w:rsid w:val="00617142"/>
    <w:rsid w:val="006200F1"/>
    <w:rsid w:val="006206FD"/>
    <w:rsid w:val="00620E6D"/>
    <w:rsid w:val="00621AB2"/>
    <w:rsid w:val="006225FB"/>
    <w:rsid w:val="00626ED4"/>
    <w:rsid w:val="00630F84"/>
    <w:rsid w:val="00631B33"/>
    <w:rsid w:val="00632EF7"/>
    <w:rsid w:val="0063360A"/>
    <w:rsid w:val="0063605B"/>
    <w:rsid w:val="0063644D"/>
    <w:rsid w:val="00640BDF"/>
    <w:rsid w:val="0064127B"/>
    <w:rsid w:val="006423FE"/>
    <w:rsid w:val="00643049"/>
    <w:rsid w:val="00644D15"/>
    <w:rsid w:val="00645061"/>
    <w:rsid w:val="006475F1"/>
    <w:rsid w:val="00650142"/>
    <w:rsid w:val="006540E4"/>
    <w:rsid w:val="00654B02"/>
    <w:rsid w:val="006568DD"/>
    <w:rsid w:val="00657581"/>
    <w:rsid w:val="00662238"/>
    <w:rsid w:val="00664073"/>
    <w:rsid w:val="00665D9C"/>
    <w:rsid w:val="00666AC1"/>
    <w:rsid w:val="00666EC9"/>
    <w:rsid w:val="00670824"/>
    <w:rsid w:val="00671717"/>
    <w:rsid w:val="00673930"/>
    <w:rsid w:val="00673C3C"/>
    <w:rsid w:val="006741BA"/>
    <w:rsid w:val="00674DDD"/>
    <w:rsid w:val="00674DF9"/>
    <w:rsid w:val="0067583C"/>
    <w:rsid w:val="00675F37"/>
    <w:rsid w:val="00676E2F"/>
    <w:rsid w:val="00685D3B"/>
    <w:rsid w:val="006868ED"/>
    <w:rsid w:val="00687711"/>
    <w:rsid w:val="00692045"/>
    <w:rsid w:val="00693C28"/>
    <w:rsid w:val="006960C9"/>
    <w:rsid w:val="006A2A36"/>
    <w:rsid w:val="006A3867"/>
    <w:rsid w:val="006A472B"/>
    <w:rsid w:val="006A5238"/>
    <w:rsid w:val="006A5755"/>
    <w:rsid w:val="006A59FB"/>
    <w:rsid w:val="006A5EB2"/>
    <w:rsid w:val="006A6B67"/>
    <w:rsid w:val="006A6E38"/>
    <w:rsid w:val="006B036A"/>
    <w:rsid w:val="006B0F05"/>
    <w:rsid w:val="006B1315"/>
    <w:rsid w:val="006B34B9"/>
    <w:rsid w:val="006B3689"/>
    <w:rsid w:val="006B5CC9"/>
    <w:rsid w:val="006B6C72"/>
    <w:rsid w:val="006B75FA"/>
    <w:rsid w:val="006C16D6"/>
    <w:rsid w:val="006C17C2"/>
    <w:rsid w:val="006C199F"/>
    <w:rsid w:val="006C4C09"/>
    <w:rsid w:val="006C5F11"/>
    <w:rsid w:val="006C6281"/>
    <w:rsid w:val="006C6570"/>
    <w:rsid w:val="006C7C88"/>
    <w:rsid w:val="006C7FC4"/>
    <w:rsid w:val="006D452A"/>
    <w:rsid w:val="006D5992"/>
    <w:rsid w:val="006D7860"/>
    <w:rsid w:val="006D7D19"/>
    <w:rsid w:val="006E09F9"/>
    <w:rsid w:val="006E0DE7"/>
    <w:rsid w:val="006E1216"/>
    <w:rsid w:val="006E311F"/>
    <w:rsid w:val="006E5544"/>
    <w:rsid w:val="006F0CF6"/>
    <w:rsid w:val="006F19DE"/>
    <w:rsid w:val="006F4D6E"/>
    <w:rsid w:val="006F6409"/>
    <w:rsid w:val="006F707F"/>
    <w:rsid w:val="00701D4B"/>
    <w:rsid w:val="007062A0"/>
    <w:rsid w:val="0071055A"/>
    <w:rsid w:val="00711614"/>
    <w:rsid w:val="00713811"/>
    <w:rsid w:val="00713918"/>
    <w:rsid w:val="00713C98"/>
    <w:rsid w:val="00716CAC"/>
    <w:rsid w:val="0071711E"/>
    <w:rsid w:val="007175AB"/>
    <w:rsid w:val="0072137E"/>
    <w:rsid w:val="00721BAA"/>
    <w:rsid w:val="00721D3C"/>
    <w:rsid w:val="00721FC0"/>
    <w:rsid w:val="0072335F"/>
    <w:rsid w:val="00723FB5"/>
    <w:rsid w:val="0072503F"/>
    <w:rsid w:val="00725A1C"/>
    <w:rsid w:val="00726BA8"/>
    <w:rsid w:val="007271D2"/>
    <w:rsid w:val="00727897"/>
    <w:rsid w:val="00731130"/>
    <w:rsid w:val="00731D99"/>
    <w:rsid w:val="00732A30"/>
    <w:rsid w:val="00733A01"/>
    <w:rsid w:val="00734784"/>
    <w:rsid w:val="00735C33"/>
    <w:rsid w:val="0073689B"/>
    <w:rsid w:val="0073697B"/>
    <w:rsid w:val="00736F9D"/>
    <w:rsid w:val="00737F51"/>
    <w:rsid w:val="00740014"/>
    <w:rsid w:val="00743B5D"/>
    <w:rsid w:val="007442AD"/>
    <w:rsid w:val="00744AB7"/>
    <w:rsid w:val="00746146"/>
    <w:rsid w:val="00747D4E"/>
    <w:rsid w:val="007500C7"/>
    <w:rsid w:val="00752BA4"/>
    <w:rsid w:val="0075386D"/>
    <w:rsid w:val="0075412F"/>
    <w:rsid w:val="007559E2"/>
    <w:rsid w:val="00756A49"/>
    <w:rsid w:val="00756ADD"/>
    <w:rsid w:val="007604A4"/>
    <w:rsid w:val="00761A56"/>
    <w:rsid w:val="00761C49"/>
    <w:rsid w:val="00762953"/>
    <w:rsid w:val="00763C46"/>
    <w:rsid w:val="007660D4"/>
    <w:rsid w:val="007679E9"/>
    <w:rsid w:val="0077065B"/>
    <w:rsid w:val="0077159D"/>
    <w:rsid w:val="00771F3C"/>
    <w:rsid w:val="00772C90"/>
    <w:rsid w:val="00773939"/>
    <w:rsid w:val="00773C29"/>
    <w:rsid w:val="00775116"/>
    <w:rsid w:val="00776B57"/>
    <w:rsid w:val="0077709B"/>
    <w:rsid w:val="0077738B"/>
    <w:rsid w:val="00777C90"/>
    <w:rsid w:val="007801C6"/>
    <w:rsid w:val="00782B5E"/>
    <w:rsid w:val="007830C9"/>
    <w:rsid w:val="007851F4"/>
    <w:rsid w:val="00785219"/>
    <w:rsid w:val="00785C1D"/>
    <w:rsid w:val="00785F33"/>
    <w:rsid w:val="00787E3E"/>
    <w:rsid w:val="00791A26"/>
    <w:rsid w:val="007936D0"/>
    <w:rsid w:val="00793820"/>
    <w:rsid w:val="00795983"/>
    <w:rsid w:val="00795D83"/>
    <w:rsid w:val="00795EF5"/>
    <w:rsid w:val="00796422"/>
    <w:rsid w:val="007A0160"/>
    <w:rsid w:val="007A0B20"/>
    <w:rsid w:val="007A2F18"/>
    <w:rsid w:val="007A4F25"/>
    <w:rsid w:val="007A5614"/>
    <w:rsid w:val="007A6D42"/>
    <w:rsid w:val="007B0E0A"/>
    <w:rsid w:val="007B189A"/>
    <w:rsid w:val="007B3148"/>
    <w:rsid w:val="007B5A55"/>
    <w:rsid w:val="007B5AF8"/>
    <w:rsid w:val="007C031B"/>
    <w:rsid w:val="007C4346"/>
    <w:rsid w:val="007C4808"/>
    <w:rsid w:val="007C4A82"/>
    <w:rsid w:val="007C4BEE"/>
    <w:rsid w:val="007C5286"/>
    <w:rsid w:val="007C67E6"/>
    <w:rsid w:val="007C6890"/>
    <w:rsid w:val="007C7C4F"/>
    <w:rsid w:val="007C7DDE"/>
    <w:rsid w:val="007D105C"/>
    <w:rsid w:val="007D4D8C"/>
    <w:rsid w:val="007D5922"/>
    <w:rsid w:val="007D6C13"/>
    <w:rsid w:val="007E0656"/>
    <w:rsid w:val="007E07C9"/>
    <w:rsid w:val="007E0D46"/>
    <w:rsid w:val="007E12C0"/>
    <w:rsid w:val="007E1441"/>
    <w:rsid w:val="007E3585"/>
    <w:rsid w:val="007E388F"/>
    <w:rsid w:val="007E3C4F"/>
    <w:rsid w:val="007E483F"/>
    <w:rsid w:val="007E5024"/>
    <w:rsid w:val="007E5920"/>
    <w:rsid w:val="007E5A76"/>
    <w:rsid w:val="007E6382"/>
    <w:rsid w:val="007E78CD"/>
    <w:rsid w:val="007E7F1D"/>
    <w:rsid w:val="007F1757"/>
    <w:rsid w:val="007F325A"/>
    <w:rsid w:val="007F492C"/>
    <w:rsid w:val="007F4F4F"/>
    <w:rsid w:val="007F5F36"/>
    <w:rsid w:val="008000A8"/>
    <w:rsid w:val="008009F2"/>
    <w:rsid w:val="0080285B"/>
    <w:rsid w:val="00802945"/>
    <w:rsid w:val="0080300D"/>
    <w:rsid w:val="008044F5"/>
    <w:rsid w:val="008045BA"/>
    <w:rsid w:val="00804816"/>
    <w:rsid w:val="008053DF"/>
    <w:rsid w:val="00811A39"/>
    <w:rsid w:val="00811D8D"/>
    <w:rsid w:val="0081236F"/>
    <w:rsid w:val="0081278A"/>
    <w:rsid w:val="00813440"/>
    <w:rsid w:val="008139B0"/>
    <w:rsid w:val="00816004"/>
    <w:rsid w:val="00816629"/>
    <w:rsid w:val="00821050"/>
    <w:rsid w:val="00821616"/>
    <w:rsid w:val="0082175B"/>
    <w:rsid w:val="008227B0"/>
    <w:rsid w:val="00822BBE"/>
    <w:rsid w:val="00822D58"/>
    <w:rsid w:val="00824FCB"/>
    <w:rsid w:val="00825866"/>
    <w:rsid w:val="00830E0F"/>
    <w:rsid w:val="0083204A"/>
    <w:rsid w:val="0083516D"/>
    <w:rsid w:val="0083523A"/>
    <w:rsid w:val="00835C4E"/>
    <w:rsid w:val="00836AE8"/>
    <w:rsid w:val="0084163E"/>
    <w:rsid w:val="00842810"/>
    <w:rsid w:val="00842B69"/>
    <w:rsid w:val="00842CEE"/>
    <w:rsid w:val="008439D4"/>
    <w:rsid w:val="00843CB5"/>
    <w:rsid w:val="00843F7F"/>
    <w:rsid w:val="0084642E"/>
    <w:rsid w:val="00847984"/>
    <w:rsid w:val="00850DB8"/>
    <w:rsid w:val="008519F3"/>
    <w:rsid w:val="00855CD3"/>
    <w:rsid w:val="00857F7D"/>
    <w:rsid w:val="0086374F"/>
    <w:rsid w:val="00864313"/>
    <w:rsid w:val="00867B4B"/>
    <w:rsid w:val="00867D63"/>
    <w:rsid w:val="00870DBD"/>
    <w:rsid w:val="00871767"/>
    <w:rsid w:val="008736D5"/>
    <w:rsid w:val="008742F6"/>
    <w:rsid w:val="00884BF7"/>
    <w:rsid w:val="00884CB8"/>
    <w:rsid w:val="00885436"/>
    <w:rsid w:val="00886E7E"/>
    <w:rsid w:val="0088769D"/>
    <w:rsid w:val="008903C2"/>
    <w:rsid w:val="00890CDF"/>
    <w:rsid w:val="00891339"/>
    <w:rsid w:val="00893D62"/>
    <w:rsid w:val="008966A8"/>
    <w:rsid w:val="008969DD"/>
    <w:rsid w:val="008A0588"/>
    <w:rsid w:val="008A29F9"/>
    <w:rsid w:val="008A3B5F"/>
    <w:rsid w:val="008A45C9"/>
    <w:rsid w:val="008A6340"/>
    <w:rsid w:val="008B093B"/>
    <w:rsid w:val="008B1847"/>
    <w:rsid w:val="008B1C81"/>
    <w:rsid w:val="008B4F1D"/>
    <w:rsid w:val="008B790D"/>
    <w:rsid w:val="008B7EFD"/>
    <w:rsid w:val="008C0975"/>
    <w:rsid w:val="008C26FD"/>
    <w:rsid w:val="008C2AE8"/>
    <w:rsid w:val="008C3AB7"/>
    <w:rsid w:val="008C6B1B"/>
    <w:rsid w:val="008D1266"/>
    <w:rsid w:val="008D2DB4"/>
    <w:rsid w:val="008D371D"/>
    <w:rsid w:val="008D3E7F"/>
    <w:rsid w:val="008D4724"/>
    <w:rsid w:val="008D529A"/>
    <w:rsid w:val="008D5D32"/>
    <w:rsid w:val="008D5DB4"/>
    <w:rsid w:val="008D5FB3"/>
    <w:rsid w:val="008D7ECD"/>
    <w:rsid w:val="008E0F5D"/>
    <w:rsid w:val="008E2C31"/>
    <w:rsid w:val="008E316F"/>
    <w:rsid w:val="008E4320"/>
    <w:rsid w:val="008E50B2"/>
    <w:rsid w:val="008E5A26"/>
    <w:rsid w:val="008E5AD7"/>
    <w:rsid w:val="008E5EF7"/>
    <w:rsid w:val="008E729A"/>
    <w:rsid w:val="008E7D0E"/>
    <w:rsid w:val="008F1DAF"/>
    <w:rsid w:val="008F2959"/>
    <w:rsid w:val="008F4F36"/>
    <w:rsid w:val="008F6DB0"/>
    <w:rsid w:val="00900A8B"/>
    <w:rsid w:val="00900F28"/>
    <w:rsid w:val="00901074"/>
    <w:rsid w:val="00901199"/>
    <w:rsid w:val="00901D3E"/>
    <w:rsid w:val="00902C68"/>
    <w:rsid w:val="0090316A"/>
    <w:rsid w:val="00903ADB"/>
    <w:rsid w:val="009040A7"/>
    <w:rsid w:val="009041AB"/>
    <w:rsid w:val="009057B0"/>
    <w:rsid w:val="009065C1"/>
    <w:rsid w:val="00906974"/>
    <w:rsid w:val="009073D8"/>
    <w:rsid w:val="00911825"/>
    <w:rsid w:val="00912C94"/>
    <w:rsid w:val="00913B9C"/>
    <w:rsid w:val="00916B2A"/>
    <w:rsid w:val="009171FB"/>
    <w:rsid w:val="00921470"/>
    <w:rsid w:val="00922ADA"/>
    <w:rsid w:val="00925C85"/>
    <w:rsid w:val="0092678C"/>
    <w:rsid w:val="00930E54"/>
    <w:rsid w:val="0093408B"/>
    <w:rsid w:val="009340CD"/>
    <w:rsid w:val="00934BC7"/>
    <w:rsid w:val="00935224"/>
    <w:rsid w:val="0094096D"/>
    <w:rsid w:val="00940F71"/>
    <w:rsid w:val="0094151D"/>
    <w:rsid w:val="009430AE"/>
    <w:rsid w:val="00943955"/>
    <w:rsid w:val="009446E4"/>
    <w:rsid w:val="00945F38"/>
    <w:rsid w:val="00946F0A"/>
    <w:rsid w:val="00950D4D"/>
    <w:rsid w:val="009510FE"/>
    <w:rsid w:val="00952121"/>
    <w:rsid w:val="00952629"/>
    <w:rsid w:val="00957223"/>
    <w:rsid w:val="00960C9C"/>
    <w:rsid w:val="00963438"/>
    <w:rsid w:val="00965166"/>
    <w:rsid w:val="00965632"/>
    <w:rsid w:val="00970523"/>
    <w:rsid w:val="00971523"/>
    <w:rsid w:val="00972251"/>
    <w:rsid w:val="0097242D"/>
    <w:rsid w:val="00972B90"/>
    <w:rsid w:val="009730AD"/>
    <w:rsid w:val="009750EC"/>
    <w:rsid w:val="00976D20"/>
    <w:rsid w:val="00981CB1"/>
    <w:rsid w:val="0098202A"/>
    <w:rsid w:val="0098489E"/>
    <w:rsid w:val="0098537C"/>
    <w:rsid w:val="00985CD4"/>
    <w:rsid w:val="0098691D"/>
    <w:rsid w:val="0098737C"/>
    <w:rsid w:val="009874D7"/>
    <w:rsid w:val="0099027F"/>
    <w:rsid w:val="00990296"/>
    <w:rsid w:val="00993384"/>
    <w:rsid w:val="009938FC"/>
    <w:rsid w:val="009966E8"/>
    <w:rsid w:val="00997352"/>
    <w:rsid w:val="009A0757"/>
    <w:rsid w:val="009A1275"/>
    <w:rsid w:val="009A18FD"/>
    <w:rsid w:val="009A58A9"/>
    <w:rsid w:val="009A59CC"/>
    <w:rsid w:val="009A5A9E"/>
    <w:rsid w:val="009A5EB0"/>
    <w:rsid w:val="009A73E4"/>
    <w:rsid w:val="009B034F"/>
    <w:rsid w:val="009B1027"/>
    <w:rsid w:val="009B16DD"/>
    <w:rsid w:val="009B17FB"/>
    <w:rsid w:val="009B265C"/>
    <w:rsid w:val="009B2DD2"/>
    <w:rsid w:val="009B3A10"/>
    <w:rsid w:val="009B4363"/>
    <w:rsid w:val="009B6A9E"/>
    <w:rsid w:val="009B7563"/>
    <w:rsid w:val="009C387D"/>
    <w:rsid w:val="009C4AC1"/>
    <w:rsid w:val="009C51D7"/>
    <w:rsid w:val="009C5A1E"/>
    <w:rsid w:val="009C7A42"/>
    <w:rsid w:val="009D0053"/>
    <w:rsid w:val="009D06DC"/>
    <w:rsid w:val="009D07D5"/>
    <w:rsid w:val="009D3881"/>
    <w:rsid w:val="009D49BB"/>
    <w:rsid w:val="009D5FE9"/>
    <w:rsid w:val="009D6357"/>
    <w:rsid w:val="009E1215"/>
    <w:rsid w:val="009E16EB"/>
    <w:rsid w:val="009E2450"/>
    <w:rsid w:val="009E2AA0"/>
    <w:rsid w:val="009E4057"/>
    <w:rsid w:val="009E5E44"/>
    <w:rsid w:val="009E7251"/>
    <w:rsid w:val="009E753E"/>
    <w:rsid w:val="009F01D1"/>
    <w:rsid w:val="009F0692"/>
    <w:rsid w:val="009F1BCA"/>
    <w:rsid w:val="009F36AA"/>
    <w:rsid w:val="009F5131"/>
    <w:rsid w:val="00A000EF"/>
    <w:rsid w:val="00A00447"/>
    <w:rsid w:val="00A01230"/>
    <w:rsid w:val="00A0187C"/>
    <w:rsid w:val="00A02FA8"/>
    <w:rsid w:val="00A03630"/>
    <w:rsid w:val="00A04327"/>
    <w:rsid w:val="00A04580"/>
    <w:rsid w:val="00A04A32"/>
    <w:rsid w:val="00A04D43"/>
    <w:rsid w:val="00A054AF"/>
    <w:rsid w:val="00A05795"/>
    <w:rsid w:val="00A0764D"/>
    <w:rsid w:val="00A07ABA"/>
    <w:rsid w:val="00A10449"/>
    <w:rsid w:val="00A13EC2"/>
    <w:rsid w:val="00A140EF"/>
    <w:rsid w:val="00A14325"/>
    <w:rsid w:val="00A1504A"/>
    <w:rsid w:val="00A17C38"/>
    <w:rsid w:val="00A21173"/>
    <w:rsid w:val="00A26166"/>
    <w:rsid w:val="00A279AF"/>
    <w:rsid w:val="00A320AB"/>
    <w:rsid w:val="00A34654"/>
    <w:rsid w:val="00A352C1"/>
    <w:rsid w:val="00A3549D"/>
    <w:rsid w:val="00A35BE0"/>
    <w:rsid w:val="00A40272"/>
    <w:rsid w:val="00A43AEF"/>
    <w:rsid w:val="00A45B0B"/>
    <w:rsid w:val="00A478A5"/>
    <w:rsid w:val="00A501CC"/>
    <w:rsid w:val="00A504C2"/>
    <w:rsid w:val="00A50F0B"/>
    <w:rsid w:val="00A52F26"/>
    <w:rsid w:val="00A53051"/>
    <w:rsid w:val="00A53BAA"/>
    <w:rsid w:val="00A53F5A"/>
    <w:rsid w:val="00A54937"/>
    <w:rsid w:val="00A5511F"/>
    <w:rsid w:val="00A55F13"/>
    <w:rsid w:val="00A57BD1"/>
    <w:rsid w:val="00A607BD"/>
    <w:rsid w:val="00A60BEE"/>
    <w:rsid w:val="00A63E24"/>
    <w:rsid w:val="00A642A8"/>
    <w:rsid w:val="00A65AD3"/>
    <w:rsid w:val="00A6759D"/>
    <w:rsid w:val="00A71DDF"/>
    <w:rsid w:val="00A71EDA"/>
    <w:rsid w:val="00A728CC"/>
    <w:rsid w:val="00A729F2"/>
    <w:rsid w:val="00A73B5A"/>
    <w:rsid w:val="00A73E04"/>
    <w:rsid w:val="00A75483"/>
    <w:rsid w:val="00A757F9"/>
    <w:rsid w:val="00A77071"/>
    <w:rsid w:val="00A778F9"/>
    <w:rsid w:val="00A84100"/>
    <w:rsid w:val="00A84EFA"/>
    <w:rsid w:val="00A8519D"/>
    <w:rsid w:val="00A85A04"/>
    <w:rsid w:val="00A87DDA"/>
    <w:rsid w:val="00A91684"/>
    <w:rsid w:val="00A91B12"/>
    <w:rsid w:val="00A91F90"/>
    <w:rsid w:val="00A92C97"/>
    <w:rsid w:val="00A97698"/>
    <w:rsid w:val="00A97ADC"/>
    <w:rsid w:val="00AA00DE"/>
    <w:rsid w:val="00AA047D"/>
    <w:rsid w:val="00AA0C44"/>
    <w:rsid w:val="00AA14DD"/>
    <w:rsid w:val="00AA1E45"/>
    <w:rsid w:val="00AA2A33"/>
    <w:rsid w:val="00AA2F93"/>
    <w:rsid w:val="00AA35CF"/>
    <w:rsid w:val="00AA7250"/>
    <w:rsid w:val="00AB0249"/>
    <w:rsid w:val="00AB12A2"/>
    <w:rsid w:val="00AB1452"/>
    <w:rsid w:val="00AB3CEC"/>
    <w:rsid w:val="00AB6C7D"/>
    <w:rsid w:val="00AB6F9E"/>
    <w:rsid w:val="00AB7EFF"/>
    <w:rsid w:val="00AC0126"/>
    <w:rsid w:val="00AC0455"/>
    <w:rsid w:val="00AC0D9F"/>
    <w:rsid w:val="00AC391A"/>
    <w:rsid w:val="00AC4639"/>
    <w:rsid w:val="00AC5D8D"/>
    <w:rsid w:val="00AC6A20"/>
    <w:rsid w:val="00AC6ABB"/>
    <w:rsid w:val="00AC7F41"/>
    <w:rsid w:val="00AD21C3"/>
    <w:rsid w:val="00AD3799"/>
    <w:rsid w:val="00AD4A75"/>
    <w:rsid w:val="00AD4B04"/>
    <w:rsid w:val="00AD6657"/>
    <w:rsid w:val="00AE0AEE"/>
    <w:rsid w:val="00AE270B"/>
    <w:rsid w:val="00AE39D8"/>
    <w:rsid w:val="00AE4DEF"/>
    <w:rsid w:val="00AE4DF7"/>
    <w:rsid w:val="00AE63A0"/>
    <w:rsid w:val="00AF1D29"/>
    <w:rsid w:val="00AF3B38"/>
    <w:rsid w:val="00AF4073"/>
    <w:rsid w:val="00AF48D0"/>
    <w:rsid w:val="00AF7321"/>
    <w:rsid w:val="00B01733"/>
    <w:rsid w:val="00B04595"/>
    <w:rsid w:val="00B05619"/>
    <w:rsid w:val="00B05B93"/>
    <w:rsid w:val="00B07455"/>
    <w:rsid w:val="00B07F75"/>
    <w:rsid w:val="00B11031"/>
    <w:rsid w:val="00B11694"/>
    <w:rsid w:val="00B124BE"/>
    <w:rsid w:val="00B14C3A"/>
    <w:rsid w:val="00B153AA"/>
    <w:rsid w:val="00B158A7"/>
    <w:rsid w:val="00B16C90"/>
    <w:rsid w:val="00B16F43"/>
    <w:rsid w:val="00B216BA"/>
    <w:rsid w:val="00B2188F"/>
    <w:rsid w:val="00B22100"/>
    <w:rsid w:val="00B30BCB"/>
    <w:rsid w:val="00B30C97"/>
    <w:rsid w:val="00B30E5D"/>
    <w:rsid w:val="00B30EC1"/>
    <w:rsid w:val="00B3212B"/>
    <w:rsid w:val="00B322CA"/>
    <w:rsid w:val="00B328EF"/>
    <w:rsid w:val="00B32AD0"/>
    <w:rsid w:val="00B330FC"/>
    <w:rsid w:val="00B33577"/>
    <w:rsid w:val="00B345D4"/>
    <w:rsid w:val="00B35A6E"/>
    <w:rsid w:val="00B35E71"/>
    <w:rsid w:val="00B37565"/>
    <w:rsid w:val="00B40C0A"/>
    <w:rsid w:val="00B41AF8"/>
    <w:rsid w:val="00B41BCA"/>
    <w:rsid w:val="00B41D85"/>
    <w:rsid w:val="00B43036"/>
    <w:rsid w:val="00B44876"/>
    <w:rsid w:val="00B45132"/>
    <w:rsid w:val="00B4679C"/>
    <w:rsid w:val="00B47C55"/>
    <w:rsid w:val="00B500B6"/>
    <w:rsid w:val="00B5154D"/>
    <w:rsid w:val="00B52368"/>
    <w:rsid w:val="00B5523D"/>
    <w:rsid w:val="00B55C0E"/>
    <w:rsid w:val="00B56B57"/>
    <w:rsid w:val="00B606D9"/>
    <w:rsid w:val="00B61129"/>
    <w:rsid w:val="00B6238A"/>
    <w:rsid w:val="00B62666"/>
    <w:rsid w:val="00B6467E"/>
    <w:rsid w:val="00B66EA1"/>
    <w:rsid w:val="00B70DC5"/>
    <w:rsid w:val="00B72880"/>
    <w:rsid w:val="00B72C60"/>
    <w:rsid w:val="00B74C7C"/>
    <w:rsid w:val="00B77E68"/>
    <w:rsid w:val="00B77ECB"/>
    <w:rsid w:val="00B82FA7"/>
    <w:rsid w:val="00B83E26"/>
    <w:rsid w:val="00B8514D"/>
    <w:rsid w:val="00B9039D"/>
    <w:rsid w:val="00B91209"/>
    <w:rsid w:val="00B9158E"/>
    <w:rsid w:val="00B91A8F"/>
    <w:rsid w:val="00B92AF8"/>
    <w:rsid w:val="00B92D5A"/>
    <w:rsid w:val="00B93986"/>
    <w:rsid w:val="00B94991"/>
    <w:rsid w:val="00B95372"/>
    <w:rsid w:val="00B95885"/>
    <w:rsid w:val="00B95FCC"/>
    <w:rsid w:val="00B964F0"/>
    <w:rsid w:val="00BA0C60"/>
    <w:rsid w:val="00BA1F7C"/>
    <w:rsid w:val="00BA3EE7"/>
    <w:rsid w:val="00BA4835"/>
    <w:rsid w:val="00BA5B73"/>
    <w:rsid w:val="00BB00C6"/>
    <w:rsid w:val="00BB09D6"/>
    <w:rsid w:val="00BB12C9"/>
    <w:rsid w:val="00BB1411"/>
    <w:rsid w:val="00BB1964"/>
    <w:rsid w:val="00BB1AB0"/>
    <w:rsid w:val="00BB377C"/>
    <w:rsid w:val="00BB3A76"/>
    <w:rsid w:val="00BB5823"/>
    <w:rsid w:val="00BB5CAA"/>
    <w:rsid w:val="00BB6B64"/>
    <w:rsid w:val="00BB709B"/>
    <w:rsid w:val="00BB71C9"/>
    <w:rsid w:val="00BB76F5"/>
    <w:rsid w:val="00BB778A"/>
    <w:rsid w:val="00BC0797"/>
    <w:rsid w:val="00BC2EA3"/>
    <w:rsid w:val="00BC639B"/>
    <w:rsid w:val="00BC6A51"/>
    <w:rsid w:val="00BD4635"/>
    <w:rsid w:val="00BD5F27"/>
    <w:rsid w:val="00BD5FBE"/>
    <w:rsid w:val="00BD6130"/>
    <w:rsid w:val="00BD7A37"/>
    <w:rsid w:val="00BD7AAC"/>
    <w:rsid w:val="00BE2BEA"/>
    <w:rsid w:val="00BE4D7F"/>
    <w:rsid w:val="00BE534F"/>
    <w:rsid w:val="00BF114F"/>
    <w:rsid w:val="00BF1BF8"/>
    <w:rsid w:val="00BF282A"/>
    <w:rsid w:val="00BF4C41"/>
    <w:rsid w:val="00BF712B"/>
    <w:rsid w:val="00BF71E2"/>
    <w:rsid w:val="00C003AB"/>
    <w:rsid w:val="00C041E7"/>
    <w:rsid w:val="00C051A3"/>
    <w:rsid w:val="00C05949"/>
    <w:rsid w:val="00C05AE2"/>
    <w:rsid w:val="00C05CB9"/>
    <w:rsid w:val="00C05F28"/>
    <w:rsid w:val="00C06BB4"/>
    <w:rsid w:val="00C070CB"/>
    <w:rsid w:val="00C078C0"/>
    <w:rsid w:val="00C111C7"/>
    <w:rsid w:val="00C12235"/>
    <w:rsid w:val="00C12310"/>
    <w:rsid w:val="00C155C1"/>
    <w:rsid w:val="00C16377"/>
    <w:rsid w:val="00C1739B"/>
    <w:rsid w:val="00C17E59"/>
    <w:rsid w:val="00C20E61"/>
    <w:rsid w:val="00C224D1"/>
    <w:rsid w:val="00C22DD1"/>
    <w:rsid w:val="00C230BD"/>
    <w:rsid w:val="00C23747"/>
    <w:rsid w:val="00C25362"/>
    <w:rsid w:val="00C2620D"/>
    <w:rsid w:val="00C312AE"/>
    <w:rsid w:val="00C314DA"/>
    <w:rsid w:val="00C37A60"/>
    <w:rsid w:val="00C411F3"/>
    <w:rsid w:val="00C42398"/>
    <w:rsid w:val="00C43925"/>
    <w:rsid w:val="00C43944"/>
    <w:rsid w:val="00C43C77"/>
    <w:rsid w:val="00C455F9"/>
    <w:rsid w:val="00C45B30"/>
    <w:rsid w:val="00C4619A"/>
    <w:rsid w:val="00C46BE3"/>
    <w:rsid w:val="00C47560"/>
    <w:rsid w:val="00C479F0"/>
    <w:rsid w:val="00C505D3"/>
    <w:rsid w:val="00C50954"/>
    <w:rsid w:val="00C50C22"/>
    <w:rsid w:val="00C51459"/>
    <w:rsid w:val="00C52717"/>
    <w:rsid w:val="00C54559"/>
    <w:rsid w:val="00C5463A"/>
    <w:rsid w:val="00C54857"/>
    <w:rsid w:val="00C56E0F"/>
    <w:rsid w:val="00C600B9"/>
    <w:rsid w:val="00C6056B"/>
    <w:rsid w:val="00C606BC"/>
    <w:rsid w:val="00C607E7"/>
    <w:rsid w:val="00C609BC"/>
    <w:rsid w:val="00C62670"/>
    <w:rsid w:val="00C6306C"/>
    <w:rsid w:val="00C659F2"/>
    <w:rsid w:val="00C65A1E"/>
    <w:rsid w:val="00C66503"/>
    <w:rsid w:val="00C66BAE"/>
    <w:rsid w:val="00C6777D"/>
    <w:rsid w:val="00C70FB2"/>
    <w:rsid w:val="00C72B39"/>
    <w:rsid w:val="00C74D4B"/>
    <w:rsid w:val="00C80455"/>
    <w:rsid w:val="00C81706"/>
    <w:rsid w:val="00C81C01"/>
    <w:rsid w:val="00C84177"/>
    <w:rsid w:val="00C84221"/>
    <w:rsid w:val="00C85367"/>
    <w:rsid w:val="00C86609"/>
    <w:rsid w:val="00C8729C"/>
    <w:rsid w:val="00C87B8A"/>
    <w:rsid w:val="00C87BE8"/>
    <w:rsid w:val="00C87FD7"/>
    <w:rsid w:val="00C91F46"/>
    <w:rsid w:val="00C92579"/>
    <w:rsid w:val="00C93209"/>
    <w:rsid w:val="00C96373"/>
    <w:rsid w:val="00C963EC"/>
    <w:rsid w:val="00C967C8"/>
    <w:rsid w:val="00CA1E29"/>
    <w:rsid w:val="00CA5B23"/>
    <w:rsid w:val="00CA5C37"/>
    <w:rsid w:val="00CA7F8B"/>
    <w:rsid w:val="00CB0A9B"/>
    <w:rsid w:val="00CB10D5"/>
    <w:rsid w:val="00CB1541"/>
    <w:rsid w:val="00CB1A4D"/>
    <w:rsid w:val="00CB2A4C"/>
    <w:rsid w:val="00CB3216"/>
    <w:rsid w:val="00CB433F"/>
    <w:rsid w:val="00CB6CC0"/>
    <w:rsid w:val="00CC2461"/>
    <w:rsid w:val="00CC2927"/>
    <w:rsid w:val="00CC296C"/>
    <w:rsid w:val="00CC400D"/>
    <w:rsid w:val="00CC4C7B"/>
    <w:rsid w:val="00CC7DC9"/>
    <w:rsid w:val="00CD0D9E"/>
    <w:rsid w:val="00CD10F0"/>
    <w:rsid w:val="00CD359E"/>
    <w:rsid w:val="00CD3DA5"/>
    <w:rsid w:val="00CD4566"/>
    <w:rsid w:val="00CE0990"/>
    <w:rsid w:val="00CE0BF8"/>
    <w:rsid w:val="00CE0D59"/>
    <w:rsid w:val="00CE18B1"/>
    <w:rsid w:val="00CE2E6B"/>
    <w:rsid w:val="00CE4C6B"/>
    <w:rsid w:val="00CE561F"/>
    <w:rsid w:val="00CE6B07"/>
    <w:rsid w:val="00CE6EF8"/>
    <w:rsid w:val="00CF10AE"/>
    <w:rsid w:val="00CF18A7"/>
    <w:rsid w:val="00CF4B5D"/>
    <w:rsid w:val="00CF5EC2"/>
    <w:rsid w:val="00CF6875"/>
    <w:rsid w:val="00D02221"/>
    <w:rsid w:val="00D02D2A"/>
    <w:rsid w:val="00D03C64"/>
    <w:rsid w:val="00D041B6"/>
    <w:rsid w:val="00D06031"/>
    <w:rsid w:val="00D103F5"/>
    <w:rsid w:val="00D11159"/>
    <w:rsid w:val="00D11D3F"/>
    <w:rsid w:val="00D12A05"/>
    <w:rsid w:val="00D13737"/>
    <w:rsid w:val="00D156D7"/>
    <w:rsid w:val="00D17BC7"/>
    <w:rsid w:val="00D17FAA"/>
    <w:rsid w:val="00D22223"/>
    <w:rsid w:val="00D23F54"/>
    <w:rsid w:val="00D25801"/>
    <w:rsid w:val="00D26306"/>
    <w:rsid w:val="00D265F0"/>
    <w:rsid w:val="00D26A19"/>
    <w:rsid w:val="00D27B50"/>
    <w:rsid w:val="00D27E76"/>
    <w:rsid w:val="00D30AB3"/>
    <w:rsid w:val="00D31D7B"/>
    <w:rsid w:val="00D32B53"/>
    <w:rsid w:val="00D32FAD"/>
    <w:rsid w:val="00D35101"/>
    <w:rsid w:val="00D35FCC"/>
    <w:rsid w:val="00D40AA1"/>
    <w:rsid w:val="00D441F0"/>
    <w:rsid w:val="00D44915"/>
    <w:rsid w:val="00D46219"/>
    <w:rsid w:val="00D50BEC"/>
    <w:rsid w:val="00D52DC0"/>
    <w:rsid w:val="00D54227"/>
    <w:rsid w:val="00D5564C"/>
    <w:rsid w:val="00D55F1D"/>
    <w:rsid w:val="00D5605F"/>
    <w:rsid w:val="00D60F3F"/>
    <w:rsid w:val="00D61018"/>
    <w:rsid w:val="00D64BA0"/>
    <w:rsid w:val="00D6578D"/>
    <w:rsid w:val="00D70239"/>
    <w:rsid w:val="00D707D5"/>
    <w:rsid w:val="00D719BF"/>
    <w:rsid w:val="00D72E0B"/>
    <w:rsid w:val="00D733C6"/>
    <w:rsid w:val="00D73C16"/>
    <w:rsid w:val="00D75306"/>
    <w:rsid w:val="00D75BF4"/>
    <w:rsid w:val="00D77043"/>
    <w:rsid w:val="00D775A7"/>
    <w:rsid w:val="00D806D7"/>
    <w:rsid w:val="00D80933"/>
    <w:rsid w:val="00D80E5B"/>
    <w:rsid w:val="00D80FCB"/>
    <w:rsid w:val="00D819F3"/>
    <w:rsid w:val="00D82F33"/>
    <w:rsid w:val="00D83697"/>
    <w:rsid w:val="00D84201"/>
    <w:rsid w:val="00D84212"/>
    <w:rsid w:val="00D84831"/>
    <w:rsid w:val="00D875B3"/>
    <w:rsid w:val="00D9031D"/>
    <w:rsid w:val="00D91264"/>
    <w:rsid w:val="00D913FD"/>
    <w:rsid w:val="00D94324"/>
    <w:rsid w:val="00D96C60"/>
    <w:rsid w:val="00DA0842"/>
    <w:rsid w:val="00DA1941"/>
    <w:rsid w:val="00DA2346"/>
    <w:rsid w:val="00DA44A6"/>
    <w:rsid w:val="00DA573E"/>
    <w:rsid w:val="00DA618F"/>
    <w:rsid w:val="00DA6E3D"/>
    <w:rsid w:val="00DA73FF"/>
    <w:rsid w:val="00DB0CAA"/>
    <w:rsid w:val="00DB1C8D"/>
    <w:rsid w:val="00DB4A9B"/>
    <w:rsid w:val="00DB571D"/>
    <w:rsid w:val="00DB6164"/>
    <w:rsid w:val="00DB754B"/>
    <w:rsid w:val="00DC085C"/>
    <w:rsid w:val="00DC0993"/>
    <w:rsid w:val="00DC309F"/>
    <w:rsid w:val="00DC386A"/>
    <w:rsid w:val="00DC3968"/>
    <w:rsid w:val="00DC4C59"/>
    <w:rsid w:val="00DC5C74"/>
    <w:rsid w:val="00DD1B8F"/>
    <w:rsid w:val="00DD305C"/>
    <w:rsid w:val="00DD552D"/>
    <w:rsid w:val="00DE0184"/>
    <w:rsid w:val="00DE053E"/>
    <w:rsid w:val="00DE1D8E"/>
    <w:rsid w:val="00DE3069"/>
    <w:rsid w:val="00DE4522"/>
    <w:rsid w:val="00DE4527"/>
    <w:rsid w:val="00DE57BC"/>
    <w:rsid w:val="00DE7587"/>
    <w:rsid w:val="00DE7D36"/>
    <w:rsid w:val="00DF02CB"/>
    <w:rsid w:val="00DF5D68"/>
    <w:rsid w:val="00E00169"/>
    <w:rsid w:val="00E011EE"/>
    <w:rsid w:val="00E01AC0"/>
    <w:rsid w:val="00E0219C"/>
    <w:rsid w:val="00E02CDD"/>
    <w:rsid w:val="00E0389D"/>
    <w:rsid w:val="00E03F2D"/>
    <w:rsid w:val="00E060F6"/>
    <w:rsid w:val="00E06269"/>
    <w:rsid w:val="00E06F11"/>
    <w:rsid w:val="00E106AB"/>
    <w:rsid w:val="00E11253"/>
    <w:rsid w:val="00E113F1"/>
    <w:rsid w:val="00E12D3D"/>
    <w:rsid w:val="00E14089"/>
    <w:rsid w:val="00E147F6"/>
    <w:rsid w:val="00E15E45"/>
    <w:rsid w:val="00E17BA5"/>
    <w:rsid w:val="00E210CF"/>
    <w:rsid w:val="00E23483"/>
    <w:rsid w:val="00E238F0"/>
    <w:rsid w:val="00E26CFE"/>
    <w:rsid w:val="00E30CEE"/>
    <w:rsid w:val="00E315A3"/>
    <w:rsid w:val="00E323E9"/>
    <w:rsid w:val="00E328A4"/>
    <w:rsid w:val="00E35795"/>
    <w:rsid w:val="00E36275"/>
    <w:rsid w:val="00E369F4"/>
    <w:rsid w:val="00E4028C"/>
    <w:rsid w:val="00E424EB"/>
    <w:rsid w:val="00E43B3E"/>
    <w:rsid w:val="00E43DB5"/>
    <w:rsid w:val="00E44097"/>
    <w:rsid w:val="00E45432"/>
    <w:rsid w:val="00E505D6"/>
    <w:rsid w:val="00E52A55"/>
    <w:rsid w:val="00E537FE"/>
    <w:rsid w:val="00E53865"/>
    <w:rsid w:val="00E55AD0"/>
    <w:rsid w:val="00E5692A"/>
    <w:rsid w:val="00E57926"/>
    <w:rsid w:val="00E62921"/>
    <w:rsid w:val="00E65FBD"/>
    <w:rsid w:val="00E663E7"/>
    <w:rsid w:val="00E66D4A"/>
    <w:rsid w:val="00E735A2"/>
    <w:rsid w:val="00E73ED8"/>
    <w:rsid w:val="00E74047"/>
    <w:rsid w:val="00E74342"/>
    <w:rsid w:val="00E74848"/>
    <w:rsid w:val="00E75760"/>
    <w:rsid w:val="00E75AC4"/>
    <w:rsid w:val="00E77044"/>
    <w:rsid w:val="00E77ABF"/>
    <w:rsid w:val="00E80A38"/>
    <w:rsid w:val="00E81C2C"/>
    <w:rsid w:val="00E821AA"/>
    <w:rsid w:val="00E83350"/>
    <w:rsid w:val="00E84B2E"/>
    <w:rsid w:val="00E85037"/>
    <w:rsid w:val="00E8610D"/>
    <w:rsid w:val="00E8612A"/>
    <w:rsid w:val="00E865A8"/>
    <w:rsid w:val="00E866AC"/>
    <w:rsid w:val="00E87050"/>
    <w:rsid w:val="00E876F9"/>
    <w:rsid w:val="00E9202E"/>
    <w:rsid w:val="00E945BA"/>
    <w:rsid w:val="00E951E3"/>
    <w:rsid w:val="00EA0FB5"/>
    <w:rsid w:val="00EA1731"/>
    <w:rsid w:val="00EA1AEC"/>
    <w:rsid w:val="00EA4116"/>
    <w:rsid w:val="00EA520F"/>
    <w:rsid w:val="00EA67A7"/>
    <w:rsid w:val="00EA6C32"/>
    <w:rsid w:val="00EA7369"/>
    <w:rsid w:val="00EB1869"/>
    <w:rsid w:val="00EB20AF"/>
    <w:rsid w:val="00EB37E6"/>
    <w:rsid w:val="00EB44CD"/>
    <w:rsid w:val="00EB466F"/>
    <w:rsid w:val="00EB4C68"/>
    <w:rsid w:val="00EB5E8B"/>
    <w:rsid w:val="00EB682B"/>
    <w:rsid w:val="00EB6884"/>
    <w:rsid w:val="00EB6B10"/>
    <w:rsid w:val="00EC2292"/>
    <w:rsid w:val="00EC2375"/>
    <w:rsid w:val="00EC2F8F"/>
    <w:rsid w:val="00EC3155"/>
    <w:rsid w:val="00EC36ED"/>
    <w:rsid w:val="00EC4131"/>
    <w:rsid w:val="00EC5513"/>
    <w:rsid w:val="00EC6C5D"/>
    <w:rsid w:val="00ED1A90"/>
    <w:rsid w:val="00ED21B4"/>
    <w:rsid w:val="00ED2B52"/>
    <w:rsid w:val="00ED30C5"/>
    <w:rsid w:val="00ED30FA"/>
    <w:rsid w:val="00ED5358"/>
    <w:rsid w:val="00ED56F7"/>
    <w:rsid w:val="00ED6969"/>
    <w:rsid w:val="00EE021E"/>
    <w:rsid w:val="00EE2668"/>
    <w:rsid w:val="00EE4EA0"/>
    <w:rsid w:val="00EE5AC3"/>
    <w:rsid w:val="00EE5E8E"/>
    <w:rsid w:val="00EE6AD2"/>
    <w:rsid w:val="00EE73C9"/>
    <w:rsid w:val="00EF28F5"/>
    <w:rsid w:val="00EF29D9"/>
    <w:rsid w:val="00EF3271"/>
    <w:rsid w:val="00EF3560"/>
    <w:rsid w:val="00EF35A5"/>
    <w:rsid w:val="00EF699C"/>
    <w:rsid w:val="00F023DC"/>
    <w:rsid w:val="00F030EC"/>
    <w:rsid w:val="00F039FD"/>
    <w:rsid w:val="00F0495A"/>
    <w:rsid w:val="00F05044"/>
    <w:rsid w:val="00F05E33"/>
    <w:rsid w:val="00F0608E"/>
    <w:rsid w:val="00F13ADA"/>
    <w:rsid w:val="00F14EA6"/>
    <w:rsid w:val="00F15E26"/>
    <w:rsid w:val="00F2072B"/>
    <w:rsid w:val="00F21524"/>
    <w:rsid w:val="00F2204E"/>
    <w:rsid w:val="00F2210A"/>
    <w:rsid w:val="00F22E94"/>
    <w:rsid w:val="00F23171"/>
    <w:rsid w:val="00F235AA"/>
    <w:rsid w:val="00F26189"/>
    <w:rsid w:val="00F2639E"/>
    <w:rsid w:val="00F324B6"/>
    <w:rsid w:val="00F3399A"/>
    <w:rsid w:val="00F35C7F"/>
    <w:rsid w:val="00F41102"/>
    <w:rsid w:val="00F43C49"/>
    <w:rsid w:val="00F47D14"/>
    <w:rsid w:val="00F5036C"/>
    <w:rsid w:val="00F51402"/>
    <w:rsid w:val="00F52C0F"/>
    <w:rsid w:val="00F534C0"/>
    <w:rsid w:val="00F54951"/>
    <w:rsid w:val="00F61259"/>
    <w:rsid w:val="00F62782"/>
    <w:rsid w:val="00F63D63"/>
    <w:rsid w:val="00F66FAA"/>
    <w:rsid w:val="00F67040"/>
    <w:rsid w:val="00F7182C"/>
    <w:rsid w:val="00F727FA"/>
    <w:rsid w:val="00F74233"/>
    <w:rsid w:val="00F74FAA"/>
    <w:rsid w:val="00F76B9A"/>
    <w:rsid w:val="00F775C1"/>
    <w:rsid w:val="00F80062"/>
    <w:rsid w:val="00F81067"/>
    <w:rsid w:val="00F818A2"/>
    <w:rsid w:val="00F81A41"/>
    <w:rsid w:val="00F81E41"/>
    <w:rsid w:val="00F8218D"/>
    <w:rsid w:val="00F82939"/>
    <w:rsid w:val="00F85984"/>
    <w:rsid w:val="00F863F2"/>
    <w:rsid w:val="00F87E28"/>
    <w:rsid w:val="00F925A2"/>
    <w:rsid w:val="00F93C93"/>
    <w:rsid w:val="00F97D60"/>
    <w:rsid w:val="00FA0A58"/>
    <w:rsid w:val="00FA1CB0"/>
    <w:rsid w:val="00FA391C"/>
    <w:rsid w:val="00FA7235"/>
    <w:rsid w:val="00FA76F7"/>
    <w:rsid w:val="00FB2442"/>
    <w:rsid w:val="00FB280B"/>
    <w:rsid w:val="00FB28E8"/>
    <w:rsid w:val="00FB33DE"/>
    <w:rsid w:val="00FB4A96"/>
    <w:rsid w:val="00FB6ABD"/>
    <w:rsid w:val="00FC0E24"/>
    <w:rsid w:val="00FC1126"/>
    <w:rsid w:val="00FC1766"/>
    <w:rsid w:val="00FC1B5E"/>
    <w:rsid w:val="00FC4ADA"/>
    <w:rsid w:val="00FC5D4F"/>
    <w:rsid w:val="00FC629B"/>
    <w:rsid w:val="00FC65D7"/>
    <w:rsid w:val="00FC7B11"/>
    <w:rsid w:val="00FD1CEB"/>
    <w:rsid w:val="00FD2D54"/>
    <w:rsid w:val="00FD4052"/>
    <w:rsid w:val="00FD43E4"/>
    <w:rsid w:val="00FD4BB9"/>
    <w:rsid w:val="00FD61A6"/>
    <w:rsid w:val="00FE06B9"/>
    <w:rsid w:val="00FE4609"/>
    <w:rsid w:val="00FE4BE9"/>
    <w:rsid w:val="00FE603A"/>
    <w:rsid w:val="00FE6123"/>
    <w:rsid w:val="00FE6519"/>
    <w:rsid w:val="00FE77D6"/>
    <w:rsid w:val="00FF05B0"/>
    <w:rsid w:val="00FF0A56"/>
    <w:rsid w:val="00FF1581"/>
    <w:rsid w:val="00FF1998"/>
    <w:rsid w:val="00FF2790"/>
    <w:rsid w:val="00FF501E"/>
    <w:rsid w:val="00FF52BB"/>
    <w:rsid w:val="00FF56EF"/>
    <w:rsid w:val="00FF608E"/>
    <w:rsid w:val="0194262F"/>
    <w:rsid w:val="01A83BF7"/>
    <w:rsid w:val="01B7D0BE"/>
    <w:rsid w:val="01B93329"/>
    <w:rsid w:val="01D6AEF1"/>
    <w:rsid w:val="01E87E23"/>
    <w:rsid w:val="022E1DE9"/>
    <w:rsid w:val="02330E54"/>
    <w:rsid w:val="0243DB44"/>
    <w:rsid w:val="02531FFE"/>
    <w:rsid w:val="027589D2"/>
    <w:rsid w:val="02BC703A"/>
    <w:rsid w:val="03047533"/>
    <w:rsid w:val="032F90C5"/>
    <w:rsid w:val="0354D265"/>
    <w:rsid w:val="0397A101"/>
    <w:rsid w:val="03CC47E5"/>
    <w:rsid w:val="04DF25C0"/>
    <w:rsid w:val="04EAAF79"/>
    <w:rsid w:val="0514239D"/>
    <w:rsid w:val="0531333B"/>
    <w:rsid w:val="056056AC"/>
    <w:rsid w:val="063F271C"/>
    <w:rsid w:val="064C3D03"/>
    <w:rsid w:val="064FB250"/>
    <w:rsid w:val="065DE0C9"/>
    <w:rsid w:val="067A2621"/>
    <w:rsid w:val="068E7C5D"/>
    <w:rsid w:val="0773FF98"/>
    <w:rsid w:val="07982D2F"/>
    <w:rsid w:val="07BD6E8F"/>
    <w:rsid w:val="07C44AF4"/>
    <w:rsid w:val="07DA760F"/>
    <w:rsid w:val="080EA1E3"/>
    <w:rsid w:val="08824296"/>
    <w:rsid w:val="08970F3D"/>
    <w:rsid w:val="08AEAEA1"/>
    <w:rsid w:val="08B856D0"/>
    <w:rsid w:val="08EBD928"/>
    <w:rsid w:val="094FC9E9"/>
    <w:rsid w:val="097354B6"/>
    <w:rsid w:val="0A9770C6"/>
    <w:rsid w:val="0A9ADA65"/>
    <w:rsid w:val="0ACF7D12"/>
    <w:rsid w:val="0B077612"/>
    <w:rsid w:val="0B2EAC82"/>
    <w:rsid w:val="0B92A6AB"/>
    <w:rsid w:val="0BE6AC1E"/>
    <w:rsid w:val="0C4D049D"/>
    <w:rsid w:val="0D1336BC"/>
    <w:rsid w:val="0D17537B"/>
    <w:rsid w:val="0E02C1EE"/>
    <w:rsid w:val="0E1639F2"/>
    <w:rsid w:val="0E31F76F"/>
    <w:rsid w:val="0E761B45"/>
    <w:rsid w:val="0EE221E1"/>
    <w:rsid w:val="0EE52A8D"/>
    <w:rsid w:val="0EEC11B7"/>
    <w:rsid w:val="0F19E288"/>
    <w:rsid w:val="0F1D410D"/>
    <w:rsid w:val="0F23B147"/>
    <w:rsid w:val="0F760744"/>
    <w:rsid w:val="0F9FCB60"/>
    <w:rsid w:val="0FC68117"/>
    <w:rsid w:val="106778FC"/>
    <w:rsid w:val="1109FA53"/>
    <w:rsid w:val="11213F68"/>
    <w:rsid w:val="11519434"/>
    <w:rsid w:val="116013E9"/>
    <w:rsid w:val="1177974D"/>
    <w:rsid w:val="117E295D"/>
    <w:rsid w:val="119D40B9"/>
    <w:rsid w:val="11CDA179"/>
    <w:rsid w:val="1206E6B7"/>
    <w:rsid w:val="12DCA9F0"/>
    <w:rsid w:val="12F2EA5B"/>
    <w:rsid w:val="1330F193"/>
    <w:rsid w:val="137E2819"/>
    <w:rsid w:val="13F56D6C"/>
    <w:rsid w:val="144370F0"/>
    <w:rsid w:val="147161BE"/>
    <w:rsid w:val="15048BD7"/>
    <w:rsid w:val="1513C173"/>
    <w:rsid w:val="152F7CC0"/>
    <w:rsid w:val="15603474"/>
    <w:rsid w:val="157E60FC"/>
    <w:rsid w:val="15B90D81"/>
    <w:rsid w:val="165E17F6"/>
    <w:rsid w:val="170A8CCF"/>
    <w:rsid w:val="171643F5"/>
    <w:rsid w:val="17273247"/>
    <w:rsid w:val="173DFDB0"/>
    <w:rsid w:val="178EC2ED"/>
    <w:rsid w:val="17BB72B7"/>
    <w:rsid w:val="184F04FB"/>
    <w:rsid w:val="18A24C58"/>
    <w:rsid w:val="19005757"/>
    <w:rsid w:val="19063058"/>
    <w:rsid w:val="190F7AEB"/>
    <w:rsid w:val="1924BA6C"/>
    <w:rsid w:val="1B20F023"/>
    <w:rsid w:val="1B317035"/>
    <w:rsid w:val="1B397A3D"/>
    <w:rsid w:val="1BEF7B1E"/>
    <w:rsid w:val="1C13351D"/>
    <w:rsid w:val="1C3E3595"/>
    <w:rsid w:val="1C667B33"/>
    <w:rsid w:val="1CDCDE96"/>
    <w:rsid w:val="1CFE3C9F"/>
    <w:rsid w:val="1D12CDF6"/>
    <w:rsid w:val="1DC74AF3"/>
    <w:rsid w:val="1DF735F6"/>
    <w:rsid w:val="1E1A224D"/>
    <w:rsid w:val="1E24BA70"/>
    <w:rsid w:val="1E36249A"/>
    <w:rsid w:val="1E5F499B"/>
    <w:rsid w:val="1F0CD1FF"/>
    <w:rsid w:val="1F1919AD"/>
    <w:rsid w:val="1FB2E188"/>
    <w:rsid w:val="1FCD654A"/>
    <w:rsid w:val="2071B84F"/>
    <w:rsid w:val="20C7DCCA"/>
    <w:rsid w:val="20D41029"/>
    <w:rsid w:val="20FC2438"/>
    <w:rsid w:val="210294DD"/>
    <w:rsid w:val="213B1080"/>
    <w:rsid w:val="214E1934"/>
    <w:rsid w:val="21E0FD1D"/>
    <w:rsid w:val="2223D19C"/>
    <w:rsid w:val="2232B293"/>
    <w:rsid w:val="228BF6DB"/>
    <w:rsid w:val="22B21DD0"/>
    <w:rsid w:val="22B533B6"/>
    <w:rsid w:val="22CC8F81"/>
    <w:rsid w:val="22CDD300"/>
    <w:rsid w:val="22D907ED"/>
    <w:rsid w:val="2378450F"/>
    <w:rsid w:val="238823FB"/>
    <w:rsid w:val="238A44AC"/>
    <w:rsid w:val="23B0735E"/>
    <w:rsid w:val="23C4154C"/>
    <w:rsid w:val="23C9037B"/>
    <w:rsid w:val="23DC414D"/>
    <w:rsid w:val="23F08949"/>
    <w:rsid w:val="24730E50"/>
    <w:rsid w:val="250AD281"/>
    <w:rsid w:val="25410830"/>
    <w:rsid w:val="257B8B5B"/>
    <w:rsid w:val="25B05FDF"/>
    <w:rsid w:val="25CB07F2"/>
    <w:rsid w:val="25D8F1C1"/>
    <w:rsid w:val="26008AC2"/>
    <w:rsid w:val="264BCC17"/>
    <w:rsid w:val="2658540C"/>
    <w:rsid w:val="2674933E"/>
    <w:rsid w:val="26DDA368"/>
    <w:rsid w:val="2701560A"/>
    <w:rsid w:val="276D6651"/>
    <w:rsid w:val="27B8DBA6"/>
    <w:rsid w:val="27EEE820"/>
    <w:rsid w:val="27F08C43"/>
    <w:rsid w:val="2832CD45"/>
    <w:rsid w:val="288F4515"/>
    <w:rsid w:val="28CEC3B4"/>
    <w:rsid w:val="293FD834"/>
    <w:rsid w:val="2A270781"/>
    <w:rsid w:val="2A44C69C"/>
    <w:rsid w:val="2A8D39FA"/>
    <w:rsid w:val="2AEA2A3F"/>
    <w:rsid w:val="2AFE8349"/>
    <w:rsid w:val="2B4DE583"/>
    <w:rsid w:val="2B61D9A6"/>
    <w:rsid w:val="2B81BC1F"/>
    <w:rsid w:val="2B9B2FB6"/>
    <w:rsid w:val="2BDF76E8"/>
    <w:rsid w:val="2C7FDDC3"/>
    <w:rsid w:val="2CF1AFA5"/>
    <w:rsid w:val="2D1054DC"/>
    <w:rsid w:val="2D12EA92"/>
    <w:rsid w:val="2D7C7211"/>
    <w:rsid w:val="2DBBD946"/>
    <w:rsid w:val="2DE64254"/>
    <w:rsid w:val="2DF6D546"/>
    <w:rsid w:val="2E1DFB7A"/>
    <w:rsid w:val="2F008A3D"/>
    <w:rsid w:val="2F34833B"/>
    <w:rsid w:val="2F449C00"/>
    <w:rsid w:val="2F49917A"/>
    <w:rsid w:val="2F5E5098"/>
    <w:rsid w:val="2F990CA6"/>
    <w:rsid w:val="2FF233F6"/>
    <w:rsid w:val="30245A47"/>
    <w:rsid w:val="30488589"/>
    <w:rsid w:val="30F2B31D"/>
    <w:rsid w:val="30F3B581"/>
    <w:rsid w:val="30FA4891"/>
    <w:rsid w:val="3114C5F3"/>
    <w:rsid w:val="31194AAF"/>
    <w:rsid w:val="31FE43D1"/>
    <w:rsid w:val="3208F56B"/>
    <w:rsid w:val="32718ADA"/>
    <w:rsid w:val="332191B6"/>
    <w:rsid w:val="33510F8A"/>
    <w:rsid w:val="3355C775"/>
    <w:rsid w:val="33BAC7F9"/>
    <w:rsid w:val="33BD8ED0"/>
    <w:rsid w:val="3450E647"/>
    <w:rsid w:val="3496F831"/>
    <w:rsid w:val="34A3DEA8"/>
    <w:rsid w:val="34B47602"/>
    <w:rsid w:val="34B87A22"/>
    <w:rsid w:val="353F8B3C"/>
    <w:rsid w:val="356D1611"/>
    <w:rsid w:val="35DAEF7E"/>
    <w:rsid w:val="361ACCDA"/>
    <w:rsid w:val="369E1040"/>
    <w:rsid w:val="36CF34B6"/>
    <w:rsid w:val="36D4369F"/>
    <w:rsid w:val="37411086"/>
    <w:rsid w:val="376BC734"/>
    <w:rsid w:val="37F76CD5"/>
    <w:rsid w:val="384D3EBC"/>
    <w:rsid w:val="384D5307"/>
    <w:rsid w:val="38555A56"/>
    <w:rsid w:val="385CDBF6"/>
    <w:rsid w:val="38DCB4BF"/>
    <w:rsid w:val="38DFD31E"/>
    <w:rsid w:val="38FB54D8"/>
    <w:rsid w:val="390DC0F6"/>
    <w:rsid w:val="3914A058"/>
    <w:rsid w:val="392CDE6A"/>
    <w:rsid w:val="39310FB9"/>
    <w:rsid w:val="393D614C"/>
    <w:rsid w:val="39427A23"/>
    <w:rsid w:val="395D188B"/>
    <w:rsid w:val="3960FBB4"/>
    <w:rsid w:val="3AE23E9E"/>
    <w:rsid w:val="3B06C4B6"/>
    <w:rsid w:val="3B197D85"/>
    <w:rsid w:val="3B562742"/>
    <w:rsid w:val="3B8C7D96"/>
    <w:rsid w:val="3BC6ECF8"/>
    <w:rsid w:val="3BD6157B"/>
    <w:rsid w:val="3BF94B68"/>
    <w:rsid w:val="3C2DA53C"/>
    <w:rsid w:val="3C72B1EE"/>
    <w:rsid w:val="3CAC4079"/>
    <w:rsid w:val="3CFBDD58"/>
    <w:rsid w:val="3D2E6454"/>
    <w:rsid w:val="3D5F6C75"/>
    <w:rsid w:val="3E5926AB"/>
    <w:rsid w:val="3E988E97"/>
    <w:rsid w:val="3EECC34A"/>
    <w:rsid w:val="3F28BA64"/>
    <w:rsid w:val="3FAD73E4"/>
    <w:rsid w:val="3FF96477"/>
    <w:rsid w:val="409FD602"/>
    <w:rsid w:val="40C0260C"/>
    <w:rsid w:val="40DF07C2"/>
    <w:rsid w:val="41225131"/>
    <w:rsid w:val="4151F3EC"/>
    <w:rsid w:val="415C1354"/>
    <w:rsid w:val="4204E8FF"/>
    <w:rsid w:val="42139B83"/>
    <w:rsid w:val="4291184E"/>
    <w:rsid w:val="42A1B153"/>
    <w:rsid w:val="43109947"/>
    <w:rsid w:val="431E12C8"/>
    <w:rsid w:val="435F3BDB"/>
    <w:rsid w:val="436A1E6D"/>
    <w:rsid w:val="43DB2A8E"/>
    <w:rsid w:val="44379D54"/>
    <w:rsid w:val="449411BC"/>
    <w:rsid w:val="4494F1FC"/>
    <w:rsid w:val="450D9E30"/>
    <w:rsid w:val="452588C8"/>
    <w:rsid w:val="453D5DF4"/>
    <w:rsid w:val="45A06441"/>
    <w:rsid w:val="46147782"/>
    <w:rsid w:val="4626E672"/>
    <w:rsid w:val="46747383"/>
    <w:rsid w:val="4687D6CA"/>
    <w:rsid w:val="46A27D19"/>
    <w:rsid w:val="46E118D6"/>
    <w:rsid w:val="46FD7488"/>
    <w:rsid w:val="470C1EAA"/>
    <w:rsid w:val="473C2171"/>
    <w:rsid w:val="478A550F"/>
    <w:rsid w:val="47F46D86"/>
    <w:rsid w:val="4812BEFA"/>
    <w:rsid w:val="489B89F7"/>
    <w:rsid w:val="49055829"/>
    <w:rsid w:val="492813A8"/>
    <w:rsid w:val="4966AE5E"/>
    <w:rsid w:val="4971BDA8"/>
    <w:rsid w:val="4A2BD741"/>
    <w:rsid w:val="4A338586"/>
    <w:rsid w:val="4A38ADF1"/>
    <w:rsid w:val="4A3EF085"/>
    <w:rsid w:val="4A7CA3C0"/>
    <w:rsid w:val="4AC49A68"/>
    <w:rsid w:val="4B50A38C"/>
    <w:rsid w:val="4B6893F1"/>
    <w:rsid w:val="4B9730A2"/>
    <w:rsid w:val="4CDDDD91"/>
    <w:rsid w:val="4D0C33B0"/>
    <w:rsid w:val="4D37AE46"/>
    <w:rsid w:val="4D37AF18"/>
    <w:rsid w:val="4DC10354"/>
    <w:rsid w:val="4E5D0A76"/>
    <w:rsid w:val="4E934A41"/>
    <w:rsid w:val="4EBD8DAC"/>
    <w:rsid w:val="4EBDEDE8"/>
    <w:rsid w:val="4F02A93B"/>
    <w:rsid w:val="4F1F381E"/>
    <w:rsid w:val="4F43FF66"/>
    <w:rsid w:val="4F6DCFCE"/>
    <w:rsid w:val="4F90192F"/>
    <w:rsid w:val="4FA8A8E2"/>
    <w:rsid w:val="50016000"/>
    <w:rsid w:val="50036DD3"/>
    <w:rsid w:val="506E2E21"/>
    <w:rsid w:val="5075C091"/>
    <w:rsid w:val="50E6F6A4"/>
    <w:rsid w:val="515F1174"/>
    <w:rsid w:val="51D1E19F"/>
    <w:rsid w:val="52448451"/>
    <w:rsid w:val="5278EFFE"/>
    <w:rsid w:val="53198EE4"/>
    <w:rsid w:val="536835A8"/>
    <w:rsid w:val="53826547"/>
    <w:rsid w:val="539AE1BA"/>
    <w:rsid w:val="53A23339"/>
    <w:rsid w:val="53CF3A7D"/>
    <w:rsid w:val="53E7CEED"/>
    <w:rsid w:val="5430E34A"/>
    <w:rsid w:val="5444CE23"/>
    <w:rsid w:val="545B3939"/>
    <w:rsid w:val="547AFF38"/>
    <w:rsid w:val="54850B64"/>
    <w:rsid w:val="54B57AAB"/>
    <w:rsid w:val="550AB29E"/>
    <w:rsid w:val="551F4B2F"/>
    <w:rsid w:val="55DDE4F0"/>
    <w:rsid w:val="560862F4"/>
    <w:rsid w:val="5639AB47"/>
    <w:rsid w:val="566B4050"/>
    <w:rsid w:val="56DE7D4A"/>
    <w:rsid w:val="56F2CFDA"/>
    <w:rsid w:val="5702EFA6"/>
    <w:rsid w:val="575C2133"/>
    <w:rsid w:val="575E0DC8"/>
    <w:rsid w:val="57E9FB75"/>
    <w:rsid w:val="57EB0BE4"/>
    <w:rsid w:val="5869D80C"/>
    <w:rsid w:val="58823A5B"/>
    <w:rsid w:val="58968133"/>
    <w:rsid w:val="58A1C2DC"/>
    <w:rsid w:val="58A3BFE6"/>
    <w:rsid w:val="58C8326D"/>
    <w:rsid w:val="58DD22E1"/>
    <w:rsid w:val="58F8E3BC"/>
    <w:rsid w:val="5904270B"/>
    <w:rsid w:val="59713101"/>
    <w:rsid w:val="5A676271"/>
    <w:rsid w:val="5AFB700E"/>
    <w:rsid w:val="5B792266"/>
    <w:rsid w:val="5C14315D"/>
    <w:rsid w:val="5C33947A"/>
    <w:rsid w:val="5C38B96D"/>
    <w:rsid w:val="5C5EE424"/>
    <w:rsid w:val="5C6F289E"/>
    <w:rsid w:val="5C7C2CC0"/>
    <w:rsid w:val="5CDEF74E"/>
    <w:rsid w:val="5D0C477A"/>
    <w:rsid w:val="5D28D7C1"/>
    <w:rsid w:val="5D6E8044"/>
    <w:rsid w:val="5DA54F0F"/>
    <w:rsid w:val="5E0830AD"/>
    <w:rsid w:val="5E32EC70"/>
    <w:rsid w:val="5E72AFA5"/>
    <w:rsid w:val="5EA68975"/>
    <w:rsid w:val="5EAA1F9B"/>
    <w:rsid w:val="5ECD2D3C"/>
    <w:rsid w:val="5ED9ADB2"/>
    <w:rsid w:val="5F2A4FB9"/>
    <w:rsid w:val="5FF5539A"/>
    <w:rsid w:val="6032E8B6"/>
    <w:rsid w:val="60450471"/>
    <w:rsid w:val="60BAE270"/>
    <w:rsid w:val="60D2ACCB"/>
    <w:rsid w:val="60E651B7"/>
    <w:rsid w:val="61082FDF"/>
    <w:rsid w:val="611A4F53"/>
    <w:rsid w:val="611AFC4A"/>
    <w:rsid w:val="6248A366"/>
    <w:rsid w:val="62769787"/>
    <w:rsid w:val="62897207"/>
    <w:rsid w:val="628AC147"/>
    <w:rsid w:val="628BD172"/>
    <w:rsid w:val="62968EC1"/>
    <w:rsid w:val="62F09741"/>
    <w:rsid w:val="631EEFA8"/>
    <w:rsid w:val="63B42086"/>
    <w:rsid w:val="63D4F575"/>
    <w:rsid w:val="64463B5A"/>
    <w:rsid w:val="64E37F7B"/>
    <w:rsid w:val="656688E0"/>
    <w:rsid w:val="65827A61"/>
    <w:rsid w:val="664C6D16"/>
    <w:rsid w:val="664D440F"/>
    <w:rsid w:val="66F43508"/>
    <w:rsid w:val="67551C21"/>
    <w:rsid w:val="6765518B"/>
    <w:rsid w:val="67912CE1"/>
    <w:rsid w:val="67923A1D"/>
    <w:rsid w:val="67A7B102"/>
    <w:rsid w:val="6877A735"/>
    <w:rsid w:val="68D04997"/>
    <w:rsid w:val="68DF47CC"/>
    <w:rsid w:val="6905C055"/>
    <w:rsid w:val="69295C2F"/>
    <w:rsid w:val="694265C6"/>
    <w:rsid w:val="6975BD9E"/>
    <w:rsid w:val="6989E35B"/>
    <w:rsid w:val="69BDCDA1"/>
    <w:rsid w:val="69F29D3C"/>
    <w:rsid w:val="6A0C317A"/>
    <w:rsid w:val="6AA813CC"/>
    <w:rsid w:val="6ADD3B92"/>
    <w:rsid w:val="6AE89533"/>
    <w:rsid w:val="6AEBEC6E"/>
    <w:rsid w:val="6AFE8521"/>
    <w:rsid w:val="6B1ABB78"/>
    <w:rsid w:val="6B436F4D"/>
    <w:rsid w:val="6BD822E5"/>
    <w:rsid w:val="6C565FB4"/>
    <w:rsid w:val="6CBD4137"/>
    <w:rsid w:val="6D58EFE0"/>
    <w:rsid w:val="6D7BD669"/>
    <w:rsid w:val="6DEB3944"/>
    <w:rsid w:val="6DF0D8F5"/>
    <w:rsid w:val="6DF85C12"/>
    <w:rsid w:val="6EA4A134"/>
    <w:rsid w:val="6EF1BF48"/>
    <w:rsid w:val="6F0726FC"/>
    <w:rsid w:val="6F435185"/>
    <w:rsid w:val="6FB5B325"/>
    <w:rsid w:val="70496A11"/>
    <w:rsid w:val="70ECD2B6"/>
    <w:rsid w:val="71433149"/>
    <w:rsid w:val="719605A6"/>
    <w:rsid w:val="71FE1416"/>
    <w:rsid w:val="72352E5C"/>
    <w:rsid w:val="724F8720"/>
    <w:rsid w:val="7258BA16"/>
    <w:rsid w:val="7282FE6A"/>
    <w:rsid w:val="729070F7"/>
    <w:rsid w:val="72A6A3F7"/>
    <w:rsid w:val="72A98FD7"/>
    <w:rsid w:val="73229F33"/>
    <w:rsid w:val="733D089A"/>
    <w:rsid w:val="735404FE"/>
    <w:rsid w:val="73614E02"/>
    <w:rsid w:val="741B4DD0"/>
    <w:rsid w:val="74379343"/>
    <w:rsid w:val="7451CB44"/>
    <w:rsid w:val="7490D5CB"/>
    <w:rsid w:val="74C1C91C"/>
    <w:rsid w:val="74E36177"/>
    <w:rsid w:val="74E8C46B"/>
    <w:rsid w:val="757DF1CF"/>
    <w:rsid w:val="75E395FE"/>
    <w:rsid w:val="76459D43"/>
    <w:rsid w:val="76B3DFAF"/>
    <w:rsid w:val="76E74640"/>
    <w:rsid w:val="7732F584"/>
    <w:rsid w:val="77717939"/>
    <w:rsid w:val="777A7E4D"/>
    <w:rsid w:val="779F257B"/>
    <w:rsid w:val="77CFCDE1"/>
    <w:rsid w:val="78816728"/>
    <w:rsid w:val="79119B56"/>
    <w:rsid w:val="7923AA21"/>
    <w:rsid w:val="799E8C8C"/>
    <w:rsid w:val="79B9D286"/>
    <w:rsid w:val="79CDB0C6"/>
    <w:rsid w:val="79F08FA9"/>
    <w:rsid w:val="7A7000CA"/>
    <w:rsid w:val="7AA5BD70"/>
    <w:rsid w:val="7AAA65B0"/>
    <w:rsid w:val="7AE27A3F"/>
    <w:rsid w:val="7B064125"/>
    <w:rsid w:val="7B14BC8C"/>
    <w:rsid w:val="7B996FF3"/>
    <w:rsid w:val="7BF770F5"/>
    <w:rsid w:val="7C9E040F"/>
    <w:rsid w:val="7CD2E081"/>
    <w:rsid w:val="7CE87A99"/>
    <w:rsid w:val="7D109BCD"/>
    <w:rsid w:val="7D3DF46B"/>
    <w:rsid w:val="7D4F12B2"/>
    <w:rsid w:val="7D8664DA"/>
    <w:rsid w:val="7DBE063B"/>
    <w:rsid w:val="7E5A4932"/>
    <w:rsid w:val="7E840687"/>
    <w:rsid w:val="7E927A66"/>
    <w:rsid w:val="7EE9DFA7"/>
    <w:rsid w:val="7F1D1805"/>
    <w:rsid w:val="7F2D2E13"/>
    <w:rsid w:val="7F8DE71C"/>
    <w:rsid w:val="7FAF8735"/>
    <w:rsid w:val="7FB873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7290"/>
  <w15:chartTrackingRefBased/>
  <w15:docId w15:val="{1B94B4CB-12D9-4F51-A704-DA3E6646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5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F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F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F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F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5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FBD"/>
    <w:rPr>
      <w:rFonts w:eastAsiaTheme="majorEastAsia" w:cstheme="majorBidi"/>
      <w:color w:val="272727" w:themeColor="text1" w:themeTint="D8"/>
    </w:rPr>
  </w:style>
  <w:style w:type="paragraph" w:styleId="Title">
    <w:name w:val="Title"/>
    <w:basedOn w:val="Normal"/>
    <w:next w:val="Normal"/>
    <w:link w:val="TitleChar"/>
    <w:uiPriority w:val="10"/>
    <w:qFormat/>
    <w:rsid w:val="00E65F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FBD"/>
    <w:pPr>
      <w:spacing w:before="160"/>
      <w:jc w:val="center"/>
    </w:pPr>
    <w:rPr>
      <w:i/>
      <w:iCs/>
      <w:color w:val="404040" w:themeColor="text1" w:themeTint="BF"/>
    </w:rPr>
  </w:style>
  <w:style w:type="character" w:customStyle="1" w:styleId="QuoteChar">
    <w:name w:val="Quote Char"/>
    <w:basedOn w:val="DefaultParagraphFont"/>
    <w:link w:val="Quote"/>
    <w:uiPriority w:val="29"/>
    <w:rsid w:val="00E65FBD"/>
    <w:rPr>
      <w:i/>
      <w:iCs/>
      <w:color w:val="404040" w:themeColor="text1" w:themeTint="BF"/>
    </w:rPr>
  </w:style>
  <w:style w:type="paragraph" w:styleId="ListParagraph">
    <w:name w:val="List Paragraph"/>
    <w:basedOn w:val="Normal"/>
    <w:uiPriority w:val="34"/>
    <w:qFormat/>
    <w:rsid w:val="00E65FBD"/>
    <w:pPr>
      <w:ind w:left="720"/>
      <w:contextualSpacing/>
    </w:pPr>
  </w:style>
  <w:style w:type="character" w:styleId="IntenseEmphasis">
    <w:name w:val="Intense Emphasis"/>
    <w:basedOn w:val="DefaultParagraphFont"/>
    <w:uiPriority w:val="21"/>
    <w:qFormat/>
    <w:rsid w:val="00E65FBD"/>
    <w:rPr>
      <w:i/>
      <w:iCs/>
      <w:color w:val="0F4761" w:themeColor="accent1" w:themeShade="BF"/>
    </w:rPr>
  </w:style>
  <w:style w:type="paragraph" w:styleId="IntenseQuote">
    <w:name w:val="Intense Quote"/>
    <w:basedOn w:val="Normal"/>
    <w:next w:val="Normal"/>
    <w:link w:val="IntenseQuoteChar"/>
    <w:uiPriority w:val="30"/>
    <w:qFormat/>
    <w:rsid w:val="00E65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FBD"/>
    <w:rPr>
      <w:i/>
      <w:iCs/>
      <w:color w:val="0F4761" w:themeColor="accent1" w:themeShade="BF"/>
    </w:rPr>
  </w:style>
  <w:style w:type="character" w:styleId="IntenseReference">
    <w:name w:val="Intense Reference"/>
    <w:basedOn w:val="DefaultParagraphFont"/>
    <w:uiPriority w:val="32"/>
    <w:qFormat/>
    <w:rsid w:val="00E65FBD"/>
    <w:rPr>
      <w:b/>
      <w:bCs/>
      <w:smallCaps/>
      <w:color w:val="0F4761" w:themeColor="accent1" w:themeShade="BF"/>
      <w:spacing w:val="5"/>
    </w:rPr>
  </w:style>
  <w:style w:type="character" w:styleId="Hyperlink">
    <w:name w:val="Hyperlink"/>
    <w:basedOn w:val="DefaultParagraphFont"/>
    <w:uiPriority w:val="99"/>
    <w:unhideWhenUsed/>
    <w:rsid w:val="00315687"/>
    <w:rPr>
      <w:color w:val="0000FF"/>
      <w:u w:val="single"/>
    </w:rPr>
  </w:style>
  <w:style w:type="character" w:customStyle="1" w:styleId="Mentionnonrsolue1">
    <w:name w:val="Mention non résolue1"/>
    <w:basedOn w:val="DefaultParagraphFont"/>
    <w:uiPriority w:val="99"/>
    <w:semiHidden/>
    <w:unhideWhenUsed/>
    <w:rsid w:val="00E65FBD"/>
    <w:rPr>
      <w:color w:val="605E5C"/>
      <w:shd w:val="clear" w:color="auto" w:fill="E1DFDD"/>
    </w:rPr>
  </w:style>
  <w:style w:type="paragraph" w:customStyle="1" w:styleId="p1">
    <w:name w:val="p1"/>
    <w:basedOn w:val="Normal"/>
    <w:rsid w:val="00CB6CC0"/>
    <w:pPr>
      <w:spacing w:after="0" w:line="240" w:lineRule="auto"/>
    </w:pPr>
    <w:rPr>
      <w:rFonts w:ascii="Helvetica" w:eastAsia="Times New Roman" w:hAnsi="Helvetica" w:cs="Times New Roman"/>
      <w:color w:val="000000"/>
      <w:kern w:val="0"/>
      <w:sz w:val="17"/>
      <w:szCs w:val="17"/>
      <w:lang w:val="en-US" w:eastAsia="en-GB"/>
      <w14:ligatures w14:val="none"/>
    </w:rPr>
  </w:style>
  <w:style w:type="character" w:customStyle="1" w:styleId="apple-converted-space">
    <w:name w:val="apple-converted-space"/>
    <w:basedOn w:val="DefaultParagraphFont"/>
    <w:rsid w:val="00864313"/>
  </w:style>
  <w:style w:type="character" w:styleId="CommentReference">
    <w:name w:val="annotation reference"/>
    <w:basedOn w:val="DefaultParagraphFont"/>
    <w:uiPriority w:val="99"/>
    <w:semiHidden/>
    <w:unhideWhenUsed/>
    <w:rsid w:val="00CA1E29"/>
    <w:rPr>
      <w:sz w:val="16"/>
      <w:szCs w:val="16"/>
    </w:rPr>
  </w:style>
  <w:style w:type="paragraph" w:styleId="CommentText">
    <w:name w:val="annotation text"/>
    <w:basedOn w:val="Normal"/>
    <w:link w:val="CommentTextChar"/>
    <w:uiPriority w:val="99"/>
    <w:unhideWhenUsed/>
    <w:rsid w:val="00CA1E29"/>
    <w:pPr>
      <w:spacing w:line="240" w:lineRule="auto"/>
    </w:pPr>
    <w:rPr>
      <w:sz w:val="20"/>
      <w:szCs w:val="20"/>
    </w:rPr>
  </w:style>
  <w:style w:type="character" w:customStyle="1" w:styleId="CommentTextChar">
    <w:name w:val="Comment Text Char"/>
    <w:basedOn w:val="DefaultParagraphFont"/>
    <w:link w:val="CommentText"/>
    <w:uiPriority w:val="99"/>
    <w:rsid w:val="00CA1E29"/>
    <w:rPr>
      <w:sz w:val="20"/>
      <w:szCs w:val="20"/>
    </w:rPr>
  </w:style>
  <w:style w:type="paragraph" w:styleId="CommentSubject">
    <w:name w:val="annotation subject"/>
    <w:basedOn w:val="CommentText"/>
    <w:next w:val="CommentText"/>
    <w:link w:val="CommentSubjectChar"/>
    <w:uiPriority w:val="99"/>
    <w:semiHidden/>
    <w:unhideWhenUsed/>
    <w:rsid w:val="00CA1E29"/>
    <w:rPr>
      <w:b/>
      <w:bCs/>
    </w:rPr>
  </w:style>
  <w:style w:type="character" w:customStyle="1" w:styleId="CommentSubjectChar">
    <w:name w:val="Comment Subject Char"/>
    <w:basedOn w:val="CommentTextChar"/>
    <w:link w:val="CommentSubject"/>
    <w:uiPriority w:val="99"/>
    <w:semiHidden/>
    <w:rsid w:val="00CA1E29"/>
    <w:rPr>
      <w:b/>
      <w:bCs/>
      <w:sz w:val="20"/>
      <w:szCs w:val="20"/>
    </w:rPr>
  </w:style>
  <w:style w:type="table" w:styleId="TableGrid">
    <w:name w:val="Table Grid"/>
    <w:basedOn w:val="Table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A7F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F8B"/>
    <w:rPr>
      <w:sz w:val="20"/>
      <w:szCs w:val="20"/>
    </w:rPr>
  </w:style>
  <w:style w:type="character" w:styleId="FootnoteReference">
    <w:name w:val="footnote reference"/>
    <w:basedOn w:val="DefaultParagraphFont"/>
    <w:uiPriority w:val="99"/>
    <w:semiHidden/>
    <w:unhideWhenUsed/>
    <w:rsid w:val="00CA7F8B"/>
    <w:rPr>
      <w:vertAlign w:val="superscript"/>
    </w:rPr>
  </w:style>
  <w:style w:type="paragraph" w:customStyle="1" w:styleId="Default">
    <w:name w:val="Default"/>
    <w:rsid w:val="0083204A"/>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9041AB"/>
    <w:pPr>
      <w:spacing w:after="0" w:line="240" w:lineRule="auto"/>
    </w:pPr>
  </w:style>
  <w:style w:type="paragraph" w:styleId="Header">
    <w:name w:val="header"/>
    <w:basedOn w:val="Normal"/>
    <w:link w:val="HeaderChar"/>
    <w:uiPriority w:val="99"/>
    <w:unhideWhenUsed/>
    <w:rsid w:val="00EB6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10"/>
  </w:style>
  <w:style w:type="paragraph" w:styleId="Footer">
    <w:name w:val="footer"/>
    <w:basedOn w:val="Normal"/>
    <w:link w:val="FooterChar"/>
    <w:uiPriority w:val="99"/>
    <w:unhideWhenUsed/>
    <w:rsid w:val="00EB6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10"/>
  </w:style>
  <w:style w:type="character" w:customStyle="1" w:styleId="Mention1">
    <w:name w:val="Mention1"/>
    <w:basedOn w:val="DefaultParagraphFont"/>
    <w:uiPriority w:val="99"/>
    <w:unhideWhenUsed/>
    <w:rsid w:val="00162D7E"/>
    <w:rPr>
      <w:color w:val="2B579A"/>
      <w:shd w:val="clear" w:color="auto" w:fill="E1DFDD"/>
    </w:rPr>
  </w:style>
  <w:style w:type="table" w:customStyle="1" w:styleId="TableGrid1">
    <w:name w:val="Table Grid1"/>
    <w:basedOn w:val="TableNormal"/>
    <w:next w:val="TableGrid"/>
    <w:uiPriority w:val="59"/>
    <w:rsid w:val="003614B1"/>
    <w:pPr>
      <w:spacing w:after="0" w:line="240" w:lineRule="auto"/>
      <w:ind w:left="432" w:hanging="432"/>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5687"/>
    <w:rPr>
      <w:color w:val="96607D" w:themeColor="followedHyperlink"/>
      <w:u w:val="single"/>
    </w:rPr>
  </w:style>
  <w:style w:type="character" w:styleId="UnresolvedMention">
    <w:name w:val="Unresolved Mention"/>
    <w:basedOn w:val="DefaultParagraphFont"/>
    <w:uiPriority w:val="99"/>
    <w:semiHidden/>
    <w:unhideWhenUsed/>
    <w:rsid w:val="00B32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9254">
      <w:bodyDiv w:val="1"/>
      <w:marLeft w:val="0"/>
      <w:marRight w:val="0"/>
      <w:marTop w:val="0"/>
      <w:marBottom w:val="0"/>
      <w:divBdr>
        <w:top w:val="none" w:sz="0" w:space="0" w:color="auto"/>
        <w:left w:val="none" w:sz="0" w:space="0" w:color="auto"/>
        <w:bottom w:val="none" w:sz="0" w:space="0" w:color="auto"/>
        <w:right w:val="none" w:sz="0" w:space="0" w:color="auto"/>
      </w:divBdr>
    </w:div>
    <w:div w:id="208348440">
      <w:bodyDiv w:val="1"/>
      <w:marLeft w:val="0"/>
      <w:marRight w:val="0"/>
      <w:marTop w:val="0"/>
      <w:marBottom w:val="0"/>
      <w:divBdr>
        <w:top w:val="none" w:sz="0" w:space="0" w:color="auto"/>
        <w:left w:val="none" w:sz="0" w:space="0" w:color="auto"/>
        <w:bottom w:val="none" w:sz="0" w:space="0" w:color="auto"/>
        <w:right w:val="none" w:sz="0" w:space="0" w:color="auto"/>
      </w:divBdr>
    </w:div>
    <w:div w:id="226499211">
      <w:bodyDiv w:val="1"/>
      <w:marLeft w:val="0"/>
      <w:marRight w:val="0"/>
      <w:marTop w:val="0"/>
      <w:marBottom w:val="0"/>
      <w:divBdr>
        <w:top w:val="none" w:sz="0" w:space="0" w:color="auto"/>
        <w:left w:val="none" w:sz="0" w:space="0" w:color="auto"/>
        <w:bottom w:val="none" w:sz="0" w:space="0" w:color="auto"/>
        <w:right w:val="none" w:sz="0" w:space="0" w:color="auto"/>
      </w:divBdr>
    </w:div>
    <w:div w:id="305623111">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58705011">
      <w:bodyDiv w:val="1"/>
      <w:marLeft w:val="0"/>
      <w:marRight w:val="0"/>
      <w:marTop w:val="0"/>
      <w:marBottom w:val="0"/>
      <w:divBdr>
        <w:top w:val="none" w:sz="0" w:space="0" w:color="auto"/>
        <w:left w:val="none" w:sz="0" w:space="0" w:color="auto"/>
        <w:bottom w:val="none" w:sz="0" w:space="0" w:color="auto"/>
        <w:right w:val="none" w:sz="0" w:space="0" w:color="auto"/>
      </w:divBdr>
    </w:div>
    <w:div w:id="395200222">
      <w:bodyDiv w:val="1"/>
      <w:marLeft w:val="0"/>
      <w:marRight w:val="0"/>
      <w:marTop w:val="0"/>
      <w:marBottom w:val="0"/>
      <w:divBdr>
        <w:top w:val="none" w:sz="0" w:space="0" w:color="auto"/>
        <w:left w:val="none" w:sz="0" w:space="0" w:color="auto"/>
        <w:bottom w:val="none" w:sz="0" w:space="0" w:color="auto"/>
        <w:right w:val="none" w:sz="0" w:space="0" w:color="auto"/>
      </w:divBdr>
    </w:div>
    <w:div w:id="409619276">
      <w:bodyDiv w:val="1"/>
      <w:marLeft w:val="0"/>
      <w:marRight w:val="0"/>
      <w:marTop w:val="0"/>
      <w:marBottom w:val="0"/>
      <w:divBdr>
        <w:top w:val="none" w:sz="0" w:space="0" w:color="auto"/>
        <w:left w:val="none" w:sz="0" w:space="0" w:color="auto"/>
        <w:bottom w:val="none" w:sz="0" w:space="0" w:color="auto"/>
        <w:right w:val="none" w:sz="0" w:space="0" w:color="auto"/>
      </w:divBdr>
    </w:div>
    <w:div w:id="494998987">
      <w:bodyDiv w:val="1"/>
      <w:marLeft w:val="0"/>
      <w:marRight w:val="0"/>
      <w:marTop w:val="0"/>
      <w:marBottom w:val="0"/>
      <w:divBdr>
        <w:top w:val="none" w:sz="0" w:space="0" w:color="auto"/>
        <w:left w:val="none" w:sz="0" w:space="0" w:color="auto"/>
        <w:bottom w:val="none" w:sz="0" w:space="0" w:color="auto"/>
        <w:right w:val="none" w:sz="0" w:space="0" w:color="auto"/>
      </w:divBdr>
    </w:div>
    <w:div w:id="600914777">
      <w:bodyDiv w:val="1"/>
      <w:marLeft w:val="0"/>
      <w:marRight w:val="0"/>
      <w:marTop w:val="0"/>
      <w:marBottom w:val="0"/>
      <w:divBdr>
        <w:top w:val="none" w:sz="0" w:space="0" w:color="auto"/>
        <w:left w:val="none" w:sz="0" w:space="0" w:color="auto"/>
        <w:bottom w:val="none" w:sz="0" w:space="0" w:color="auto"/>
        <w:right w:val="none" w:sz="0" w:space="0" w:color="auto"/>
      </w:divBdr>
      <w:divsChild>
        <w:div w:id="1211498634">
          <w:marLeft w:val="0"/>
          <w:marRight w:val="0"/>
          <w:marTop w:val="0"/>
          <w:marBottom w:val="0"/>
          <w:divBdr>
            <w:top w:val="none" w:sz="0" w:space="0" w:color="auto"/>
            <w:left w:val="none" w:sz="0" w:space="0" w:color="auto"/>
            <w:bottom w:val="none" w:sz="0" w:space="0" w:color="auto"/>
            <w:right w:val="none" w:sz="0" w:space="0" w:color="auto"/>
          </w:divBdr>
          <w:divsChild>
            <w:div w:id="5330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6614">
      <w:bodyDiv w:val="1"/>
      <w:marLeft w:val="0"/>
      <w:marRight w:val="0"/>
      <w:marTop w:val="0"/>
      <w:marBottom w:val="0"/>
      <w:divBdr>
        <w:top w:val="none" w:sz="0" w:space="0" w:color="auto"/>
        <w:left w:val="none" w:sz="0" w:space="0" w:color="auto"/>
        <w:bottom w:val="none" w:sz="0" w:space="0" w:color="auto"/>
        <w:right w:val="none" w:sz="0" w:space="0" w:color="auto"/>
      </w:divBdr>
    </w:div>
    <w:div w:id="680549274">
      <w:bodyDiv w:val="1"/>
      <w:marLeft w:val="0"/>
      <w:marRight w:val="0"/>
      <w:marTop w:val="0"/>
      <w:marBottom w:val="0"/>
      <w:divBdr>
        <w:top w:val="none" w:sz="0" w:space="0" w:color="auto"/>
        <w:left w:val="none" w:sz="0" w:space="0" w:color="auto"/>
        <w:bottom w:val="none" w:sz="0" w:space="0" w:color="auto"/>
        <w:right w:val="none" w:sz="0" w:space="0" w:color="auto"/>
      </w:divBdr>
    </w:div>
    <w:div w:id="690762557">
      <w:bodyDiv w:val="1"/>
      <w:marLeft w:val="0"/>
      <w:marRight w:val="0"/>
      <w:marTop w:val="0"/>
      <w:marBottom w:val="0"/>
      <w:divBdr>
        <w:top w:val="none" w:sz="0" w:space="0" w:color="auto"/>
        <w:left w:val="none" w:sz="0" w:space="0" w:color="auto"/>
        <w:bottom w:val="none" w:sz="0" w:space="0" w:color="auto"/>
        <w:right w:val="none" w:sz="0" w:space="0" w:color="auto"/>
      </w:divBdr>
    </w:div>
    <w:div w:id="693502842">
      <w:bodyDiv w:val="1"/>
      <w:marLeft w:val="0"/>
      <w:marRight w:val="0"/>
      <w:marTop w:val="0"/>
      <w:marBottom w:val="0"/>
      <w:divBdr>
        <w:top w:val="none" w:sz="0" w:space="0" w:color="auto"/>
        <w:left w:val="none" w:sz="0" w:space="0" w:color="auto"/>
        <w:bottom w:val="none" w:sz="0" w:space="0" w:color="auto"/>
        <w:right w:val="none" w:sz="0" w:space="0" w:color="auto"/>
      </w:divBdr>
    </w:div>
    <w:div w:id="700672131">
      <w:bodyDiv w:val="1"/>
      <w:marLeft w:val="0"/>
      <w:marRight w:val="0"/>
      <w:marTop w:val="0"/>
      <w:marBottom w:val="0"/>
      <w:divBdr>
        <w:top w:val="none" w:sz="0" w:space="0" w:color="auto"/>
        <w:left w:val="none" w:sz="0" w:space="0" w:color="auto"/>
        <w:bottom w:val="none" w:sz="0" w:space="0" w:color="auto"/>
        <w:right w:val="none" w:sz="0" w:space="0" w:color="auto"/>
      </w:divBdr>
    </w:div>
    <w:div w:id="718743304">
      <w:bodyDiv w:val="1"/>
      <w:marLeft w:val="0"/>
      <w:marRight w:val="0"/>
      <w:marTop w:val="0"/>
      <w:marBottom w:val="0"/>
      <w:divBdr>
        <w:top w:val="none" w:sz="0" w:space="0" w:color="auto"/>
        <w:left w:val="none" w:sz="0" w:space="0" w:color="auto"/>
        <w:bottom w:val="none" w:sz="0" w:space="0" w:color="auto"/>
        <w:right w:val="none" w:sz="0" w:space="0" w:color="auto"/>
      </w:divBdr>
    </w:div>
    <w:div w:id="731731642">
      <w:bodyDiv w:val="1"/>
      <w:marLeft w:val="0"/>
      <w:marRight w:val="0"/>
      <w:marTop w:val="0"/>
      <w:marBottom w:val="0"/>
      <w:divBdr>
        <w:top w:val="none" w:sz="0" w:space="0" w:color="auto"/>
        <w:left w:val="none" w:sz="0" w:space="0" w:color="auto"/>
        <w:bottom w:val="none" w:sz="0" w:space="0" w:color="auto"/>
        <w:right w:val="none" w:sz="0" w:space="0" w:color="auto"/>
      </w:divBdr>
    </w:div>
    <w:div w:id="782502103">
      <w:bodyDiv w:val="1"/>
      <w:marLeft w:val="0"/>
      <w:marRight w:val="0"/>
      <w:marTop w:val="0"/>
      <w:marBottom w:val="0"/>
      <w:divBdr>
        <w:top w:val="none" w:sz="0" w:space="0" w:color="auto"/>
        <w:left w:val="none" w:sz="0" w:space="0" w:color="auto"/>
        <w:bottom w:val="none" w:sz="0" w:space="0" w:color="auto"/>
        <w:right w:val="none" w:sz="0" w:space="0" w:color="auto"/>
      </w:divBdr>
    </w:div>
    <w:div w:id="791556350">
      <w:bodyDiv w:val="1"/>
      <w:marLeft w:val="0"/>
      <w:marRight w:val="0"/>
      <w:marTop w:val="0"/>
      <w:marBottom w:val="0"/>
      <w:divBdr>
        <w:top w:val="none" w:sz="0" w:space="0" w:color="auto"/>
        <w:left w:val="none" w:sz="0" w:space="0" w:color="auto"/>
        <w:bottom w:val="none" w:sz="0" w:space="0" w:color="auto"/>
        <w:right w:val="none" w:sz="0" w:space="0" w:color="auto"/>
      </w:divBdr>
    </w:div>
    <w:div w:id="852455224">
      <w:bodyDiv w:val="1"/>
      <w:marLeft w:val="0"/>
      <w:marRight w:val="0"/>
      <w:marTop w:val="0"/>
      <w:marBottom w:val="0"/>
      <w:divBdr>
        <w:top w:val="none" w:sz="0" w:space="0" w:color="auto"/>
        <w:left w:val="none" w:sz="0" w:space="0" w:color="auto"/>
        <w:bottom w:val="none" w:sz="0" w:space="0" w:color="auto"/>
        <w:right w:val="none" w:sz="0" w:space="0" w:color="auto"/>
      </w:divBdr>
    </w:div>
    <w:div w:id="858198890">
      <w:bodyDiv w:val="1"/>
      <w:marLeft w:val="0"/>
      <w:marRight w:val="0"/>
      <w:marTop w:val="0"/>
      <w:marBottom w:val="0"/>
      <w:divBdr>
        <w:top w:val="none" w:sz="0" w:space="0" w:color="auto"/>
        <w:left w:val="none" w:sz="0" w:space="0" w:color="auto"/>
        <w:bottom w:val="none" w:sz="0" w:space="0" w:color="auto"/>
        <w:right w:val="none" w:sz="0" w:space="0" w:color="auto"/>
      </w:divBdr>
    </w:div>
    <w:div w:id="859591844">
      <w:bodyDiv w:val="1"/>
      <w:marLeft w:val="0"/>
      <w:marRight w:val="0"/>
      <w:marTop w:val="0"/>
      <w:marBottom w:val="0"/>
      <w:divBdr>
        <w:top w:val="none" w:sz="0" w:space="0" w:color="auto"/>
        <w:left w:val="none" w:sz="0" w:space="0" w:color="auto"/>
        <w:bottom w:val="none" w:sz="0" w:space="0" w:color="auto"/>
        <w:right w:val="none" w:sz="0" w:space="0" w:color="auto"/>
      </w:divBdr>
    </w:div>
    <w:div w:id="986934382">
      <w:bodyDiv w:val="1"/>
      <w:marLeft w:val="0"/>
      <w:marRight w:val="0"/>
      <w:marTop w:val="0"/>
      <w:marBottom w:val="0"/>
      <w:divBdr>
        <w:top w:val="none" w:sz="0" w:space="0" w:color="auto"/>
        <w:left w:val="none" w:sz="0" w:space="0" w:color="auto"/>
        <w:bottom w:val="none" w:sz="0" w:space="0" w:color="auto"/>
        <w:right w:val="none" w:sz="0" w:space="0" w:color="auto"/>
      </w:divBdr>
    </w:div>
    <w:div w:id="1075862472">
      <w:bodyDiv w:val="1"/>
      <w:marLeft w:val="0"/>
      <w:marRight w:val="0"/>
      <w:marTop w:val="0"/>
      <w:marBottom w:val="0"/>
      <w:divBdr>
        <w:top w:val="none" w:sz="0" w:space="0" w:color="auto"/>
        <w:left w:val="none" w:sz="0" w:space="0" w:color="auto"/>
        <w:bottom w:val="none" w:sz="0" w:space="0" w:color="auto"/>
        <w:right w:val="none" w:sz="0" w:space="0" w:color="auto"/>
      </w:divBdr>
      <w:divsChild>
        <w:div w:id="549151466">
          <w:marLeft w:val="0"/>
          <w:marRight w:val="0"/>
          <w:marTop w:val="0"/>
          <w:marBottom w:val="0"/>
          <w:divBdr>
            <w:top w:val="none" w:sz="0" w:space="0" w:color="auto"/>
            <w:left w:val="none" w:sz="0" w:space="0" w:color="auto"/>
            <w:bottom w:val="none" w:sz="0" w:space="0" w:color="auto"/>
            <w:right w:val="none" w:sz="0" w:space="0" w:color="auto"/>
          </w:divBdr>
          <w:divsChild>
            <w:div w:id="2579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18130">
      <w:bodyDiv w:val="1"/>
      <w:marLeft w:val="0"/>
      <w:marRight w:val="0"/>
      <w:marTop w:val="0"/>
      <w:marBottom w:val="0"/>
      <w:divBdr>
        <w:top w:val="none" w:sz="0" w:space="0" w:color="auto"/>
        <w:left w:val="none" w:sz="0" w:space="0" w:color="auto"/>
        <w:bottom w:val="none" w:sz="0" w:space="0" w:color="auto"/>
        <w:right w:val="none" w:sz="0" w:space="0" w:color="auto"/>
      </w:divBdr>
    </w:div>
    <w:div w:id="1105156234">
      <w:bodyDiv w:val="1"/>
      <w:marLeft w:val="0"/>
      <w:marRight w:val="0"/>
      <w:marTop w:val="0"/>
      <w:marBottom w:val="0"/>
      <w:divBdr>
        <w:top w:val="none" w:sz="0" w:space="0" w:color="auto"/>
        <w:left w:val="none" w:sz="0" w:space="0" w:color="auto"/>
        <w:bottom w:val="none" w:sz="0" w:space="0" w:color="auto"/>
        <w:right w:val="none" w:sz="0" w:space="0" w:color="auto"/>
      </w:divBdr>
    </w:div>
    <w:div w:id="1127160775">
      <w:bodyDiv w:val="1"/>
      <w:marLeft w:val="0"/>
      <w:marRight w:val="0"/>
      <w:marTop w:val="0"/>
      <w:marBottom w:val="0"/>
      <w:divBdr>
        <w:top w:val="none" w:sz="0" w:space="0" w:color="auto"/>
        <w:left w:val="none" w:sz="0" w:space="0" w:color="auto"/>
        <w:bottom w:val="none" w:sz="0" w:space="0" w:color="auto"/>
        <w:right w:val="none" w:sz="0" w:space="0" w:color="auto"/>
      </w:divBdr>
    </w:div>
    <w:div w:id="1160460777">
      <w:bodyDiv w:val="1"/>
      <w:marLeft w:val="0"/>
      <w:marRight w:val="0"/>
      <w:marTop w:val="0"/>
      <w:marBottom w:val="0"/>
      <w:divBdr>
        <w:top w:val="none" w:sz="0" w:space="0" w:color="auto"/>
        <w:left w:val="none" w:sz="0" w:space="0" w:color="auto"/>
        <w:bottom w:val="none" w:sz="0" w:space="0" w:color="auto"/>
        <w:right w:val="none" w:sz="0" w:space="0" w:color="auto"/>
      </w:divBdr>
    </w:div>
    <w:div w:id="1160851993">
      <w:bodyDiv w:val="1"/>
      <w:marLeft w:val="0"/>
      <w:marRight w:val="0"/>
      <w:marTop w:val="0"/>
      <w:marBottom w:val="0"/>
      <w:divBdr>
        <w:top w:val="none" w:sz="0" w:space="0" w:color="auto"/>
        <w:left w:val="none" w:sz="0" w:space="0" w:color="auto"/>
        <w:bottom w:val="none" w:sz="0" w:space="0" w:color="auto"/>
        <w:right w:val="none" w:sz="0" w:space="0" w:color="auto"/>
      </w:divBdr>
    </w:div>
    <w:div w:id="1250190342">
      <w:bodyDiv w:val="1"/>
      <w:marLeft w:val="0"/>
      <w:marRight w:val="0"/>
      <w:marTop w:val="0"/>
      <w:marBottom w:val="0"/>
      <w:divBdr>
        <w:top w:val="none" w:sz="0" w:space="0" w:color="auto"/>
        <w:left w:val="none" w:sz="0" w:space="0" w:color="auto"/>
        <w:bottom w:val="none" w:sz="0" w:space="0" w:color="auto"/>
        <w:right w:val="none" w:sz="0" w:space="0" w:color="auto"/>
      </w:divBdr>
      <w:divsChild>
        <w:div w:id="621493739">
          <w:marLeft w:val="0"/>
          <w:marRight w:val="0"/>
          <w:marTop w:val="150"/>
          <w:marBottom w:val="150"/>
          <w:divBdr>
            <w:top w:val="none" w:sz="0" w:space="0" w:color="auto"/>
            <w:left w:val="none" w:sz="0" w:space="0" w:color="auto"/>
            <w:bottom w:val="none" w:sz="0" w:space="0" w:color="auto"/>
            <w:right w:val="none" w:sz="0" w:space="0" w:color="auto"/>
          </w:divBdr>
          <w:divsChild>
            <w:div w:id="212892138">
              <w:marLeft w:val="0"/>
              <w:marRight w:val="0"/>
              <w:marTop w:val="0"/>
              <w:marBottom w:val="0"/>
              <w:divBdr>
                <w:top w:val="none" w:sz="0" w:space="0" w:color="auto"/>
                <w:left w:val="none" w:sz="0" w:space="0" w:color="auto"/>
                <w:bottom w:val="none" w:sz="0" w:space="0" w:color="auto"/>
                <w:right w:val="none" w:sz="0" w:space="0" w:color="auto"/>
              </w:divBdr>
            </w:div>
          </w:divsChild>
        </w:div>
        <w:div w:id="1971663827">
          <w:marLeft w:val="0"/>
          <w:marRight w:val="0"/>
          <w:marTop w:val="150"/>
          <w:marBottom w:val="150"/>
          <w:divBdr>
            <w:top w:val="none" w:sz="0" w:space="0" w:color="auto"/>
            <w:left w:val="none" w:sz="0" w:space="0" w:color="auto"/>
            <w:bottom w:val="none" w:sz="0" w:space="0" w:color="auto"/>
            <w:right w:val="none" w:sz="0" w:space="0" w:color="auto"/>
          </w:divBdr>
          <w:divsChild>
            <w:div w:id="449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1083">
      <w:bodyDiv w:val="1"/>
      <w:marLeft w:val="0"/>
      <w:marRight w:val="0"/>
      <w:marTop w:val="0"/>
      <w:marBottom w:val="0"/>
      <w:divBdr>
        <w:top w:val="none" w:sz="0" w:space="0" w:color="auto"/>
        <w:left w:val="none" w:sz="0" w:space="0" w:color="auto"/>
        <w:bottom w:val="none" w:sz="0" w:space="0" w:color="auto"/>
        <w:right w:val="none" w:sz="0" w:space="0" w:color="auto"/>
      </w:divBdr>
    </w:div>
    <w:div w:id="1330215791">
      <w:bodyDiv w:val="1"/>
      <w:marLeft w:val="0"/>
      <w:marRight w:val="0"/>
      <w:marTop w:val="0"/>
      <w:marBottom w:val="0"/>
      <w:divBdr>
        <w:top w:val="none" w:sz="0" w:space="0" w:color="auto"/>
        <w:left w:val="none" w:sz="0" w:space="0" w:color="auto"/>
        <w:bottom w:val="none" w:sz="0" w:space="0" w:color="auto"/>
        <w:right w:val="none" w:sz="0" w:space="0" w:color="auto"/>
      </w:divBdr>
      <w:divsChild>
        <w:div w:id="156577706">
          <w:marLeft w:val="0"/>
          <w:marRight w:val="0"/>
          <w:marTop w:val="150"/>
          <w:marBottom w:val="150"/>
          <w:divBdr>
            <w:top w:val="none" w:sz="0" w:space="0" w:color="auto"/>
            <w:left w:val="none" w:sz="0" w:space="0" w:color="auto"/>
            <w:bottom w:val="none" w:sz="0" w:space="0" w:color="auto"/>
            <w:right w:val="none" w:sz="0" w:space="0" w:color="auto"/>
          </w:divBdr>
          <w:divsChild>
            <w:div w:id="1712412341">
              <w:marLeft w:val="0"/>
              <w:marRight w:val="0"/>
              <w:marTop w:val="0"/>
              <w:marBottom w:val="0"/>
              <w:divBdr>
                <w:top w:val="none" w:sz="0" w:space="0" w:color="auto"/>
                <w:left w:val="none" w:sz="0" w:space="0" w:color="auto"/>
                <w:bottom w:val="none" w:sz="0" w:space="0" w:color="auto"/>
                <w:right w:val="none" w:sz="0" w:space="0" w:color="auto"/>
              </w:divBdr>
            </w:div>
          </w:divsChild>
        </w:div>
        <w:div w:id="1668249203">
          <w:marLeft w:val="0"/>
          <w:marRight w:val="0"/>
          <w:marTop w:val="150"/>
          <w:marBottom w:val="150"/>
          <w:divBdr>
            <w:top w:val="none" w:sz="0" w:space="0" w:color="auto"/>
            <w:left w:val="none" w:sz="0" w:space="0" w:color="auto"/>
            <w:bottom w:val="none" w:sz="0" w:space="0" w:color="auto"/>
            <w:right w:val="none" w:sz="0" w:space="0" w:color="auto"/>
          </w:divBdr>
          <w:divsChild>
            <w:div w:id="8826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1852">
      <w:bodyDiv w:val="1"/>
      <w:marLeft w:val="0"/>
      <w:marRight w:val="0"/>
      <w:marTop w:val="0"/>
      <w:marBottom w:val="0"/>
      <w:divBdr>
        <w:top w:val="none" w:sz="0" w:space="0" w:color="auto"/>
        <w:left w:val="none" w:sz="0" w:space="0" w:color="auto"/>
        <w:bottom w:val="none" w:sz="0" w:space="0" w:color="auto"/>
        <w:right w:val="none" w:sz="0" w:space="0" w:color="auto"/>
      </w:divBdr>
    </w:div>
    <w:div w:id="1476141844">
      <w:bodyDiv w:val="1"/>
      <w:marLeft w:val="0"/>
      <w:marRight w:val="0"/>
      <w:marTop w:val="0"/>
      <w:marBottom w:val="0"/>
      <w:divBdr>
        <w:top w:val="none" w:sz="0" w:space="0" w:color="auto"/>
        <w:left w:val="none" w:sz="0" w:space="0" w:color="auto"/>
        <w:bottom w:val="none" w:sz="0" w:space="0" w:color="auto"/>
        <w:right w:val="none" w:sz="0" w:space="0" w:color="auto"/>
      </w:divBdr>
    </w:div>
    <w:div w:id="1490291956">
      <w:bodyDiv w:val="1"/>
      <w:marLeft w:val="0"/>
      <w:marRight w:val="0"/>
      <w:marTop w:val="0"/>
      <w:marBottom w:val="0"/>
      <w:divBdr>
        <w:top w:val="none" w:sz="0" w:space="0" w:color="auto"/>
        <w:left w:val="none" w:sz="0" w:space="0" w:color="auto"/>
        <w:bottom w:val="none" w:sz="0" w:space="0" w:color="auto"/>
        <w:right w:val="none" w:sz="0" w:space="0" w:color="auto"/>
      </w:divBdr>
    </w:div>
    <w:div w:id="1572421868">
      <w:bodyDiv w:val="1"/>
      <w:marLeft w:val="0"/>
      <w:marRight w:val="0"/>
      <w:marTop w:val="0"/>
      <w:marBottom w:val="0"/>
      <w:divBdr>
        <w:top w:val="none" w:sz="0" w:space="0" w:color="auto"/>
        <w:left w:val="none" w:sz="0" w:space="0" w:color="auto"/>
        <w:bottom w:val="none" w:sz="0" w:space="0" w:color="auto"/>
        <w:right w:val="none" w:sz="0" w:space="0" w:color="auto"/>
      </w:divBdr>
    </w:div>
    <w:div w:id="1575239391">
      <w:bodyDiv w:val="1"/>
      <w:marLeft w:val="0"/>
      <w:marRight w:val="0"/>
      <w:marTop w:val="0"/>
      <w:marBottom w:val="0"/>
      <w:divBdr>
        <w:top w:val="none" w:sz="0" w:space="0" w:color="auto"/>
        <w:left w:val="none" w:sz="0" w:space="0" w:color="auto"/>
        <w:bottom w:val="none" w:sz="0" w:space="0" w:color="auto"/>
        <w:right w:val="none" w:sz="0" w:space="0" w:color="auto"/>
      </w:divBdr>
    </w:div>
    <w:div w:id="1614046472">
      <w:bodyDiv w:val="1"/>
      <w:marLeft w:val="0"/>
      <w:marRight w:val="0"/>
      <w:marTop w:val="0"/>
      <w:marBottom w:val="0"/>
      <w:divBdr>
        <w:top w:val="none" w:sz="0" w:space="0" w:color="auto"/>
        <w:left w:val="none" w:sz="0" w:space="0" w:color="auto"/>
        <w:bottom w:val="none" w:sz="0" w:space="0" w:color="auto"/>
        <w:right w:val="none" w:sz="0" w:space="0" w:color="auto"/>
      </w:divBdr>
    </w:div>
    <w:div w:id="1770202244">
      <w:bodyDiv w:val="1"/>
      <w:marLeft w:val="0"/>
      <w:marRight w:val="0"/>
      <w:marTop w:val="0"/>
      <w:marBottom w:val="0"/>
      <w:divBdr>
        <w:top w:val="none" w:sz="0" w:space="0" w:color="auto"/>
        <w:left w:val="none" w:sz="0" w:space="0" w:color="auto"/>
        <w:bottom w:val="none" w:sz="0" w:space="0" w:color="auto"/>
        <w:right w:val="none" w:sz="0" w:space="0" w:color="auto"/>
      </w:divBdr>
    </w:div>
    <w:div w:id="1823542264">
      <w:bodyDiv w:val="1"/>
      <w:marLeft w:val="0"/>
      <w:marRight w:val="0"/>
      <w:marTop w:val="0"/>
      <w:marBottom w:val="0"/>
      <w:divBdr>
        <w:top w:val="none" w:sz="0" w:space="0" w:color="auto"/>
        <w:left w:val="none" w:sz="0" w:space="0" w:color="auto"/>
        <w:bottom w:val="none" w:sz="0" w:space="0" w:color="auto"/>
        <w:right w:val="none" w:sz="0" w:space="0" w:color="auto"/>
      </w:divBdr>
    </w:div>
    <w:div w:id="1908302284">
      <w:bodyDiv w:val="1"/>
      <w:marLeft w:val="0"/>
      <w:marRight w:val="0"/>
      <w:marTop w:val="0"/>
      <w:marBottom w:val="0"/>
      <w:divBdr>
        <w:top w:val="none" w:sz="0" w:space="0" w:color="auto"/>
        <w:left w:val="none" w:sz="0" w:space="0" w:color="auto"/>
        <w:bottom w:val="none" w:sz="0" w:space="0" w:color="auto"/>
        <w:right w:val="none" w:sz="0" w:space="0" w:color="auto"/>
      </w:divBdr>
    </w:div>
    <w:div w:id="2027055346">
      <w:bodyDiv w:val="1"/>
      <w:marLeft w:val="0"/>
      <w:marRight w:val="0"/>
      <w:marTop w:val="0"/>
      <w:marBottom w:val="0"/>
      <w:divBdr>
        <w:top w:val="none" w:sz="0" w:space="0" w:color="auto"/>
        <w:left w:val="none" w:sz="0" w:space="0" w:color="auto"/>
        <w:bottom w:val="none" w:sz="0" w:space="0" w:color="auto"/>
        <w:right w:val="none" w:sz="0" w:space="0" w:color="auto"/>
      </w:divBdr>
    </w:div>
    <w:div w:id="2036299479">
      <w:bodyDiv w:val="1"/>
      <w:marLeft w:val="0"/>
      <w:marRight w:val="0"/>
      <w:marTop w:val="0"/>
      <w:marBottom w:val="0"/>
      <w:divBdr>
        <w:top w:val="none" w:sz="0" w:space="0" w:color="auto"/>
        <w:left w:val="none" w:sz="0" w:space="0" w:color="auto"/>
        <w:bottom w:val="none" w:sz="0" w:space="0" w:color="auto"/>
        <w:right w:val="none" w:sz="0" w:space="0" w:color="auto"/>
      </w:divBdr>
    </w:div>
    <w:div w:id="2092853330">
      <w:bodyDiv w:val="1"/>
      <w:marLeft w:val="0"/>
      <w:marRight w:val="0"/>
      <w:marTop w:val="0"/>
      <w:marBottom w:val="0"/>
      <w:divBdr>
        <w:top w:val="none" w:sz="0" w:space="0" w:color="auto"/>
        <w:left w:val="none" w:sz="0" w:space="0" w:color="auto"/>
        <w:bottom w:val="none" w:sz="0" w:space="0" w:color="auto"/>
        <w:right w:val="none" w:sz="0" w:space="0" w:color="auto"/>
      </w:divBdr>
    </w:div>
    <w:div w:id="2096322966">
      <w:bodyDiv w:val="1"/>
      <w:marLeft w:val="0"/>
      <w:marRight w:val="0"/>
      <w:marTop w:val="0"/>
      <w:marBottom w:val="0"/>
      <w:divBdr>
        <w:top w:val="none" w:sz="0" w:space="0" w:color="auto"/>
        <w:left w:val="none" w:sz="0" w:space="0" w:color="auto"/>
        <w:bottom w:val="none" w:sz="0" w:space="0" w:color="auto"/>
        <w:right w:val="none" w:sz="0" w:space="0" w:color="auto"/>
      </w:divBdr>
    </w:div>
    <w:div w:id="2100560969">
      <w:bodyDiv w:val="1"/>
      <w:marLeft w:val="0"/>
      <w:marRight w:val="0"/>
      <w:marTop w:val="0"/>
      <w:marBottom w:val="0"/>
      <w:divBdr>
        <w:top w:val="none" w:sz="0" w:space="0" w:color="auto"/>
        <w:left w:val="none" w:sz="0" w:space="0" w:color="auto"/>
        <w:bottom w:val="none" w:sz="0" w:space="0" w:color="auto"/>
        <w:right w:val="none" w:sz="0" w:space="0" w:color="auto"/>
      </w:divBdr>
    </w:div>
    <w:div w:id="21236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amsar.org/fr/document/manuel-6-lhumanite-et-les-zones-humides-programme-de-cesp-de-la-convention-sur-les-zones" TargetMode="External"/><Relationship Id="rId3" Type="http://schemas.openxmlformats.org/officeDocument/2006/relationships/hyperlink" Target="https://www.ramsar.org/document/sc63-inf2-national-wetland-inventories-synthesis-13-depth-interviews-further" TargetMode="External"/><Relationship Id="rId7" Type="http://schemas.openxmlformats.org/officeDocument/2006/relationships/hyperlink" Target="https://www.ramsar.org/fr/nouvelles-ressources-cesp" TargetMode="External"/><Relationship Id="rId2" Type="http://schemas.openxmlformats.org/officeDocument/2006/relationships/hyperlink" Target="https://www.ramsar.org/fr/document/le-4e-plan-strategique-2016-2024-mise-jour-2022" TargetMode="External"/><Relationship Id="rId1" Type="http://schemas.openxmlformats.org/officeDocument/2006/relationships/hyperlink" Target="https://www.ramsar.org/fr/document/les-zones-humides-et-les-odd" TargetMode="External"/><Relationship Id="rId6" Type="http://schemas.openxmlformats.org/officeDocument/2006/relationships/hyperlink" Target="https://www.ramsar.org/fr/document/rapport-technique-ramsar-10-lobservation-de-la-terre-au-service-de-linventaire-de" TargetMode="External"/><Relationship Id="rId5" Type="http://schemas.openxmlformats.org/officeDocument/2006/relationships/hyperlink" Target="https://www.ramsar.org/fr/document/sc64-doc10-problemes-urgents-relatifs-lutilisation-rationnelle-des-zones-humides" TargetMode="External"/><Relationship Id="rId10" Type="http://schemas.openxmlformats.org/officeDocument/2006/relationships/hyperlink" Target="https://www.sdg661.app/" TargetMode="External"/><Relationship Id="rId4" Type="http://schemas.openxmlformats.org/officeDocument/2006/relationships/hyperlink" Target="https://www.ramsar.org/fr/document/sc63-doc10-problemes-urgents-dutilisation-rationnelle-des-zones-humides-devant-recevoir" TargetMode="External"/><Relationship Id="rId9" Type="http://schemas.openxmlformats.org/officeDocument/2006/relationships/hyperlink" Target="https://www.ramsar.org/fr/notre-travail/activites/legalite-des-genres-et-les-zones-humides/decouvrez-le-tout-premier-grou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396998317345479F2A5DDCE8572EAF" ma:contentTypeVersion="4" ma:contentTypeDescription="Create a new document." ma:contentTypeScope="" ma:versionID="0f8077dbe368459bcba517db44209ed0">
  <xsd:schema xmlns:xsd="http://www.w3.org/2001/XMLSchema" xmlns:xs="http://www.w3.org/2001/XMLSchema" xmlns:p="http://schemas.microsoft.com/office/2006/metadata/properties" xmlns:ns2="991dc101-59e3-437f-94d7-e53e6c1f775b" targetNamespace="http://schemas.microsoft.com/office/2006/metadata/properties" ma:root="true" ma:fieldsID="6b20561146b72db0d9c9e1e408ad78c3" ns2:_="">
    <xsd:import namespace="991dc101-59e3-437f-94d7-e53e6c1f77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c101-59e3-437f-94d7-e53e6c1f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B5981F-BF3F-414C-96B8-89F1A538D995}">
  <ds:schemaRefs>
    <ds:schemaRef ds:uri="http://schemas.openxmlformats.org/officeDocument/2006/bibliography"/>
  </ds:schemaRefs>
</ds:datastoreItem>
</file>

<file path=customXml/itemProps2.xml><?xml version="1.0" encoding="utf-8"?>
<ds:datastoreItem xmlns:ds="http://schemas.openxmlformats.org/officeDocument/2006/customXml" ds:itemID="{3E1BF6EF-4D23-45E8-937F-1833D5BEB886}">
  <ds:schemaRefs>
    <ds:schemaRef ds:uri="http://schemas.microsoft.com/sharepoint/v3/contenttype/forms"/>
  </ds:schemaRefs>
</ds:datastoreItem>
</file>

<file path=customXml/itemProps3.xml><?xml version="1.0" encoding="utf-8"?>
<ds:datastoreItem xmlns:ds="http://schemas.openxmlformats.org/officeDocument/2006/customXml" ds:itemID="{41DACC31-6315-4F6A-8EBF-F836151700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ED52EC-467B-4039-9AB8-C4C9F02E8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c101-59e3-437f-94d7-e53e6c1f7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5175</Words>
  <Characters>29502</Characters>
  <Application>Microsoft Office Word</Application>
  <DocSecurity>0</DocSecurity>
  <Lines>245</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5</cp:revision>
  <cp:lastPrinted>2025-04-02T13:38:00Z</cp:lastPrinted>
  <dcterms:created xsi:type="dcterms:W3CDTF">2025-04-07T07:15:00Z</dcterms:created>
  <dcterms:modified xsi:type="dcterms:W3CDTF">2025-04-21T14:13:00Z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0x010100B4396998317345479F2A5DDCE8572EAF</vt:lpwstr>
  </property>
</Properties>
</file>