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2226B" w14:textId="71E3990C" w:rsidR="00E66B7B" w:rsidRPr="00CF1744" w:rsidRDefault="00E66B7B" w:rsidP="00E66B7B">
      <w:pPr>
        <w:spacing w:line="240" w:lineRule="auto"/>
        <w:jc w:val="center"/>
        <w:outlineLvl w:val="0"/>
        <w:rPr>
          <w:rFonts w:ascii="Calibri" w:eastAsia="Times New Roman" w:hAnsi="Calibri" w:cs="Calibri"/>
          <w:b/>
          <w:bCs/>
          <w:sz w:val="24"/>
          <w:szCs w:val="24"/>
          <w:lang w:val="es-ES_tradnl"/>
        </w:rPr>
      </w:pPr>
      <w:r w:rsidRPr="00CF1744">
        <w:rPr>
          <w:rFonts w:eastAsia="Times New Roman" w:cstheme="majorHAnsi"/>
          <w:b/>
          <w:bCs/>
          <w:noProof/>
          <w:lang w:val="es-ES_tradnl"/>
        </w:rPr>
        <w:drawing>
          <wp:anchor distT="0" distB="0" distL="114300" distR="114300" simplePos="0" relativeHeight="251659264" behindDoc="0" locked="0" layoutInCell="1" allowOverlap="1" wp14:anchorId="549BB5AB" wp14:editId="03A2D93F">
            <wp:simplePos x="0" y="0"/>
            <wp:positionH relativeFrom="margin">
              <wp:posOffset>0</wp:posOffset>
            </wp:positionH>
            <wp:positionV relativeFrom="margin">
              <wp:posOffset>-244313</wp:posOffset>
            </wp:positionV>
            <wp:extent cx="1733550" cy="1708150"/>
            <wp:effectExtent l="0" t="0" r="0" b="6350"/>
            <wp:wrapSquare wrapText="bothSides"/>
            <wp:docPr id="16527720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8" cstate="print">
                      <a:extLst>
                        <a:ext uri="{28A0092B-C50C-407E-A947-70E740481C1C}">
                          <a14:useLocalDpi xmlns:a14="http://schemas.microsoft.com/office/drawing/2010/main" val="0"/>
                        </a:ext>
                      </a:extLst>
                    </a:blip>
                    <a:srcRect t="930" b="930"/>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C1FF34" w14:textId="170D3CD6" w:rsidR="00E66B7B" w:rsidRPr="00CF1744" w:rsidRDefault="00E66B7B" w:rsidP="00E66B7B">
      <w:pPr>
        <w:spacing w:line="240" w:lineRule="auto"/>
        <w:jc w:val="center"/>
        <w:outlineLvl w:val="0"/>
        <w:rPr>
          <w:rFonts w:ascii="Calibri" w:eastAsia="Times New Roman" w:hAnsi="Calibri" w:cs="Calibri Light"/>
          <w:b/>
          <w:bCs/>
          <w:sz w:val="24"/>
          <w:szCs w:val="24"/>
          <w:lang w:val="es-ES_tradnl"/>
        </w:rPr>
      </w:pPr>
      <w:r w:rsidRPr="00CF1744">
        <w:rPr>
          <w:rFonts w:ascii="Calibri" w:eastAsia="Times New Roman" w:hAnsi="Calibri" w:cs="Calibri"/>
          <w:b/>
          <w:bCs/>
          <w:sz w:val="24"/>
          <w:szCs w:val="24"/>
          <w:lang w:val="es-ES_tradnl"/>
        </w:rPr>
        <w:t>15ª reunión de la Conferencia de las Partes Contratantes en la Convención sobre los Humedales</w:t>
      </w:r>
    </w:p>
    <w:p w14:paraId="6C6840C2" w14:textId="77777777" w:rsidR="00E66B7B" w:rsidRPr="00CF1744" w:rsidRDefault="00E66B7B" w:rsidP="00E66B7B">
      <w:pPr>
        <w:spacing w:line="240" w:lineRule="auto"/>
        <w:jc w:val="center"/>
        <w:outlineLvl w:val="0"/>
        <w:rPr>
          <w:rFonts w:ascii="Calibri" w:eastAsia="Times New Roman" w:hAnsi="Calibri" w:cs="Calibri"/>
          <w:b/>
          <w:bCs/>
          <w:sz w:val="24"/>
          <w:szCs w:val="24"/>
          <w:lang w:val="es-ES_tradnl"/>
        </w:rPr>
      </w:pPr>
    </w:p>
    <w:p w14:paraId="76894EA1" w14:textId="77777777" w:rsidR="00E66B7B" w:rsidRPr="00CF1744" w:rsidRDefault="00E66B7B" w:rsidP="00E66B7B">
      <w:pPr>
        <w:spacing w:line="240" w:lineRule="auto"/>
        <w:jc w:val="center"/>
        <w:outlineLvl w:val="0"/>
        <w:rPr>
          <w:rFonts w:ascii="Calibri" w:eastAsia="Times New Roman" w:hAnsi="Calibri" w:cs="Calibri"/>
          <w:b/>
          <w:bCs/>
          <w:sz w:val="24"/>
          <w:szCs w:val="24"/>
          <w:lang w:val="es-ES_tradnl"/>
        </w:rPr>
      </w:pPr>
      <w:r w:rsidRPr="00CF1744">
        <w:rPr>
          <w:rFonts w:ascii="Calibri" w:eastAsia="Times New Roman" w:hAnsi="Calibri" w:cs="Calibri"/>
          <w:b/>
          <w:bCs/>
          <w:sz w:val="24"/>
          <w:szCs w:val="24"/>
          <w:lang w:val="es-ES_tradnl"/>
        </w:rPr>
        <w:t xml:space="preserve">“Proteger los humedales para nuestro futuro común” </w:t>
      </w:r>
    </w:p>
    <w:p w14:paraId="0C9A75F2" w14:textId="77777777" w:rsidR="00E66B7B" w:rsidRPr="00CF1744" w:rsidRDefault="00E66B7B" w:rsidP="00E66B7B">
      <w:pPr>
        <w:spacing w:line="240" w:lineRule="auto"/>
        <w:jc w:val="center"/>
        <w:outlineLvl w:val="0"/>
        <w:rPr>
          <w:rFonts w:ascii="Calibri" w:eastAsia="Times New Roman" w:hAnsi="Calibri" w:cs="Calibri"/>
          <w:b/>
          <w:bCs/>
          <w:sz w:val="24"/>
          <w:szCs w:val="24"/>
          <w:lang w:val="es-ES_tradnl"/>
        </w:rPr>
      </w:pPr>
      <w:r w:rsidRPr="00CF1744">
        <w:rPr>
          <w:rFonts w:ascii="Calibri" w:eastAsia="Times New Roman" w:hAnsi="Calibri" w:cs="Calibri"/>
          <w:b/>
          <w:bCs/>
          <w:sz w:val="24"/>
          <w:szCs w:val="24"/>
          <w:lang w:val="es-ES_tradnl"/>
        </w:rPr>
        <w:t>Victoria Falls, Zimbabwe, 23 a 31 de julio de 2025</w:t>
      </w:r>
    </w:p>
    <w:p w14:paraId="3B49BEC1" w14:textId="1CAB7758" w:rsidR="00321BB8" w:rsidRPr="00CF1744" w:rsidRDefault="00321BB8" w:rsidP="00220E89">
      <w:pPr>
        <w:spacing w:line="240" w:lineRule="auto"/>
        <w:jc w:val="center"/>
        <w:outlineLvl w:val="0"/>
        <w:rPr>
          <w:rFonts w:ascii="Calibri" w:eastAsia="Times New Roman" w:hAnsi="Calibri" w:cs="Calibri Light"/>
          <w:b/>
          <w:bCs/>
          <w:sz w:val="24"/>
          <w:szCs w:val="24"/>
          <w:lang w:val="es-ES_tradnl"/>
        </w:rPr>
      </w:pPr>
    </w:p>
    <w:p w14:paraId="1727BBFF" w14:textId="77777777" w:rsidR="00321BB8" w:rsidRPr="00CF1744" w:rsidRDefault="00321BB8" w:rsidP="00220E89">
      <w:pPr>
        <w:spacing w:line="240" w:lineRule="auto"/>
        <w:jc w:val="center"/>
        <w:outlineLvl w:val="0"/>
        <w:rPr>
          <w:rFonts w:ascii="Calibri" w:eastAsia="Times New Roman" w:hAnsi="Calibri" w:cs="Calibri Light"/>
          <w:b/>
          <w:bCs/>
          <w:sz w:val="24"/>
          <w:szCs w:val="24"/>
          <w:lang w:val="es-ES_tradnl"/>
        </w:rPr>
      </w:pPr>
    </w:p>
    <w:p w14:paraId="6A63DCDB" w14:textId="77777777" w:rsidR="00321BB8" w:rsidRPr="00CF1744" w:rsidRDefault="00321BB8" w:rsidP="00220E89">
      <w:pPr>
        <w:spacing w:line="240" w:lineRule="auto"/>
        <w:jc w:val="center"/>
        <w:outlineLvl w:val="0"/>
        <w:rPr>
          <w:rFonts w:ascii="Calibri" w:eastAsia="Times New Roman" w:hAnsi="Calibri" w:cs="Calibri Light"/>
          <w:b/>
          <w:bCs/>
          <w:sz w:val="24"/>
          <w:szCs w:val="24"/>
          <w:lang w:val="es-ES_tradnl"/>
        </w:rPr>
      </w:pPr>
    </w:p>
    <w:p w14:paraId="2CE81C2E" w14:textId="77777777" w:rsidR="00321BB8" w:rsidRPr="00CF1744" w:rsidRDefault="00321BB8" w:rsidP="00220E89">
      <w:pPr>
        <w:spacing w:line="240" w:lineRule="auto"/>
        <w:jc w:val="right"/>
        <w:rPr>
          <w:rFonts w:ascii="Calibri" w:eastAsia="Calibri" w:hAnsi="Calibri" w:cs="Times New Roman"/>
          <w:sz w:val="22"/>
          <w:lang w:val="es-ES_tradnl"/>
        </w:rPr>
      </w:pPr>
    </w:p>
    <w:p w14:paraId="4CC78A58" w14:textId="77777777" w:rsidR="00576F72" w:rsidRPr="00CF1744" w:rsidRDefault="00576F72" w:rsidP="00576F72">
      <w:pPr>
        <w:spacing w:line="240" w:lineRule="auto"/>
        <w:jc w:val="right"/>
        <w:rPr>
          <w:rFonts w:ascii="Calibri" w:eastAsia="Times New Roman" w:hAnsi="Calibri" w:cs="Calibri"/>
          <w:b/>
          <w:bCs/>
          <w:sz w:val="28"/>
          <w:szCs w:val="28"/>
          <w:lang w:val="es-ES_tradnl"/>
        </w:rPr>
      </w:pPr>
      <w:r w:rsidRPr="00CF1744">
        <w:rPr>
          <w:rFonts w:ascii="Calibri" w:eastAsia="Times New Roman" w:hAnsi="Calibri" w:cs="Calibri"/>
          <w:b/>
          <w:bCs/>
          <w:sz w:val="28"/>
          <w:szCs w:val="28"/>
          <w:lang w:val="es-ES_tradnl"/>
        </w:rPr>
        <w:t>COP15 Doc.13</w:t>
      </w:r>
    </w:p>
    <w:p w14:paraId="1E133B9F" w14:textId="77777777" w:rsidR="00576F72" w:rsidRPr="00CF1744" w:rsidRDefault="00576F72" w:rsidP="00576F72">
      <w:pPr>
        <w:spacing w:line="240" w:lineRule="auto"/>
        <w:rPr>
          <w:rFonts w:ascii="Calibri" w:eastAsia="Times New Roman" w:hAnsi="Calibri" w:cs="Calibri"/>
          <w:b/>
          <w:bCs/>
          <w:sz w:val="28"/>
          <w:szCs w:val="28"/>
          <w:lang w:val="es-ES_tradnl"/>
        </w:rPr>
      </w:pPr>
    </w:p>
    <w:p w14:paraId="62E2FA95" w14:textId="77777777" w:rsidR="00576F72" w:rsidRPr="00CF1744" w:rsidRDefault="00576F72" w:rsidP="00576F72">
      <w:pPr>
        <w:spacing w:line="240" w:lineRule="auto"/>
        <w:rPr>
          <w:rFonts w:ascii="Calibri" w:eastAsia="Times New Roman" w:hAnsi="Calibri" w:cs="Calibri"/>
          <w:b/>
          <w:bCs/>
          <w:sz w:val="28"/>
          <w:szCs w:val="28"/>
          <w:lang w:val="es-ES_tradnl"/>
        </w:rPr>
      </w:pPr>
    </w:p>
    <w:p w14:paraId="38B40C55" w14:textId="1267A736" w:rsidR="00576F72" w:rsidRPr="00CF1744" w:rsidRDefault="00030E0E" w:rsidP="00576F72">
      <w:pPr>
        <w:spacing w:line="240" w:lineRule="auto"/>
        <w:jc w:val="center"/>
        <w:rPr>
          <w:rFonts w:ascii="Calibri" w:eastAsia="Times New Roman" w:hAnsi="Calibri" w:cs="Calibri"/>
          <w:b/>
          <w:bCs/>
          <w:sz w:val="28"/>
          <w:szCs w:val="28"/>
          <w:lang w:val="es-ES_tradnl"/>
        </w:rPr>
      </w:pPr>
      <w:r w:rsidRPr="00CF1744">
        <w:rPr>
          <w:rFonts w:ascii="Calibri" w:eastAsia="Times New Roman" w:hAnsi="Calibri" w:cs="Calibri"/>
          <w:b/>
          <w:bCs/>
          <w:sz w:val="28"/>
          <w:szCs w:val="28"/>
          <w:lang w:val="es-ES_tradnl"/>
        </w:rPr>
        <w:t>Informe de la Secretaría</w:t>
      </w:r>
      <w:r w:rsidR="003035C5">
        <w:rPr>
          <w:rFonts w:ascii="Calibri" w:eastAsia="Times New Roman" w:hAnsi="Calibri" w:cs="Calibri"/>
          <w:b/>
          <w:bCs/>
          <w:sz w:val="28"/>
          <w:szCs w:val="28"/>
          <w:lang w:val="es-ES_tradnl"/>
        </w:rPr>
        <w:br/>
      </w:r>
      <w:r w:rsidRPr="00CF1744">
        <w:rPr>
          <w:rFonts w:ascii="Calibri" w:eastAsia="Times New Roman" w:hAnsi="Calibri" w:cs="Calibri"/>
          <w:b/>
          <w:bCs/>
          <w:sz w:val="28"/>
          <w:szCs w:val="28"/>
          <w:lang w:val="es-ES_tradnl"/>
        </w:rPr>
        <w:t xml:space="preserve"> sobre la mejora de los procedimientos de toma de decisiones</w:t>
      </w:r>
      <w:r w:rsidR="003035C5">
        <w:rPr>
          <w:rFonts w:ascii="Calibri" w:eastAsia="Times New Roman" w:hAnsi="Calibri" w:cs="Calibri"/>
          <w:b/>
          <w:bCs/>
          <w:sz w:val="28"/>
          <w:szCs w:val="28"/>
          <w:lang w:val="es-ES_tradnl"/>
        </w:rPr>
        <w:br/>
      </w:r>
      <w:r w:rsidRPr="00CF1744">
        <w:rPr>
          <w:rFonts w:ascii="Calibri" w:eastAsia="Times New Roman" w:hAnsi="Calibri" w:cs="Calibri"/>
          <w:b/>
          <w:bCs/>
          <w:sz w:val="28"/>
          <w:szCs w:val="28"/>
          <w:lang w:val="es-ES_tradnl"/>
        </w:rPr>
        <w:t xml:space="preserve"> y el mantenimiento del funcionamiento eficaz de la Convención en circunstancias excepcionales </w:t>
      </w:r>
    </w:p>
    <w:p w14:paraId="6E49E96D" w14:textId="77777777" w:rsidR="00576F72" w:rsidRDefault="00576F72" w:rsidP="00576F72">
      <w:pPr>
        <w:spacing w:line="240" w:lineRule="auto"/>
        <w:rPr>
          <w:rFonts w:ascii="Calibri" w:eastAsia="Times New Roman" w:hAnsi="Calibri" w:cs="Calibri"/>
          <w:sz w:val="22"/>
          <w:lang w:val="es-ES_tradnl"/>
        </w:rPr>
      </w:pPr>
    </w:p>
    <w:p w14:paraId="19467276" w14:textId="77777777" w:rsidR="003035C5" w:rsidRPr="00CF1744" w:rsidRDefault="003035C5" w:rsidP="00576F72">
      <w:pPr>
        <w:spacing w:line="240" w:lineRule="auto"/>
        <w:rPr>
          <w:rFonts w:ascii="Calibri" w:eastAsia="Times New Roman" w:hAnsi="Calibri" w:cs="Calibri"/>
          <w:sz w:val="22"/>
          <w:lang w:val="es-ES_tradnl"/>
        </w:rPr>
      </w:pPr>
    </w:p>
    <w:p w14:paraId="248CDE8E" w14:textId="11B7C211" w:rsidR="00576F72" w:rsidRPr="00CF1744" w:rsidRDefault="0002139C" w:rsidP="00576F72">
      <w:pPr>
        <w:spacing w:line="240" w:lineRule="auto"/>
        <w:rPr>
          <w:rFonts w:ascii="Calibri" w:eastAsia="Times New Roman" w:hAnsi="Calibri" w:cs="Calibri"/>
          <w:b/>
          <w:bCs/>
          <w:sz w:val="22"/>
          <w:lang w:val="es-ES_tradnl"/>
        </w:rPr>
      </w:pPr>
      <w:r w:rsidRPr="00CF1744">
        <w:rPr>
          <w:rFonts w:ascii="Calibri" w:eastAsia="Times New Roman" w:hAnsi="Calibri" w:cs="Calibri"/>
          <w:b/>
          <w:bCs/>
          <w:sz w:val="22"/>
          <w:lang w:val="es-ES_tradnl"/>
        </w:rPr>
        <w:t>Antecedentes</w:t>
      </w:r>
    </w:p>
    <w:p w14:paraId="4B42AD0D" w14:textId="77777777" w:rsidR="00576F72" w:rsidRPr="00CF1744" w:rsidRDefault="00576F72" w:rsidP="00576F72">
      <w:pPr>
        <w:spacing w:line="240" w:lineRule="auto"/>
        <w:rPr>
          <w:rFonts w:ascii="Calibri" w:eastAsia="Times New Roman" w:hAnsi="Calibri" w:cs="Calibri"/>
          <w:sz w:val="22"/>
          <w:lang w:val="es-ES_tradnl"/>
        </w:rPr>
      </w:pPr>
    </w:p>
    <w:p w14:paraId="57F59FCB" w14:textId="6412CFB1" w:rsidR="00576F72" w:rsidRPr="00CF1744" w:rsidRDefault="008F3129" w:rsidP="008F3129">
      <w:pPr>
        <w:spacing w:line="240" w:lineRule="auto"/>
        <w:ind w:left="426" w:hanging="426"/>
        <w:rPr>
          <w:rFonts w:ascii="Calibri" w:eastAsia="Times New Roman" w:hAnsi="Calibri" w:cs="Calibri"/>
          <w:sz w:val="22"/>
          <w:lang w:val="es-ES_tradnl"/>
        </w:rPr>
      </w:pPr>
      <w:r w:rsidRPr="00CF1744">
        <w:rPr>
          <w:rFonts w:ascii="Calibri" w:eastAsia="Times New Roman" w:hAnsi="Calibri" w:cs="Calibri"/>
          <w:sz w:val="22"/>
          <w:lang w:val="es-ES_tradnl"/>
        </w:rPr>
        <w:t>1.</w:t>
      </w:r>
      <w:r w:rsidRPr="00CF1744">
        <w:rPr>
          <w:rFonts w:ascii="Calibri" w:eastAsia="Times New Roman" w:hAnsi="Calibri" w:cs="Calibri"/>
          <w:sz w:val="22"/>
          <w:lang w:val="es-ES_tradnl"/>
        </w:rPr>
        <w:tab/>
      </w:r>
      <w:r w:rsidR="0002139C" w:rsidRPr="00CF1744">
        <w:rPr>
          <w:rFonts w:ascii="Calibri" w:eastAsia="Times New Roman" w:hAnsi="Calibri" w:cs="Calibri"/>
          <w:sz w:val="22"/>
          <w:lang w:val="es-ES_tradnl"/>
        </w:rPr>
        <w:t xml:space="preserve">De 2020 a 2022, la Convención sobre los Humedales se enfrentó a dificultades para llevar a cabo sus </w:t>
      </w:r>
      <w:r w:rsidR="00A54AA0" w:rsidRPr="00CF1744">
        <w:rPr>
          <w:rFonts w:ascii="Calibri" w:eastAsia="Times New Roman" w:hAnsi="Calibri" w:cs="Calibri"/>
          <w:sz w:val="22"/>
          <w:lang w:val="es-ES_tradnl"/>
        </w:rPr>
        <w:t>actividades</w:t>
      </w:r>
      <w:r w:rsidR="0002139C" w:rsidRPr="00CF1744">
        <w:rPr>
          <w:rFonts w:ascii="Calibri" w:eastAsia="Times New Roman" w:hAnsi="Calibri" w:cs="Calibri"/>
          <w:sz w:val="22"/>
          <w:lang w:val="es-ES_tradnl"/>
        </w:rPr>
        <w:t xml:space="preserve"> debido a la pandemia de Covid-19, que restringió las reuniones presenciales. En consecuencia, las reuniones 58ª y 59ª del Comité Permanente (SC58 y SC59) se celebraron virtualmente. La 14ª Reunión de la Conferencia de las Partes Contratantes (COP14), inicialmente prevista para 2021 en Wuhan (China), se aplazó a noviembre de 2022 y finalmente se convocó en un formato híbrido en Wuhan y Ginebra (Suiza).</w:t>
      </w:r>
    </w:p>
    <w:p w14:paraId="050000F2" w14:textId="77777777" w:rsidR="00576F72" w:rsidRPr="00CF1744" w:rsidRDefault="00576F72" w:rsidP="008F3129">
      <w:pPr>
        <w:spacing w:line="240" w:lineRule="auto"/>
        <w:ind w:left="426" w:hanging="426"/>
        <w:rPr>
          <w:rFonts w:ascii="Calibri" w:eastAsia="Times New Roman" w:hAnsi="Calibri" w:cs="Calibri"/>
          <w:sz w:val="22"/>
          <w:lang w:val="es-ES_tradnl"/>
        </w:rPr>
      </w:pPr>
    </w:p>
    <w:p w14:paraId="2735C762" w14:textId="44145E97" w:rsidR="0002139C" w:rsidRPr="00CF1744" w:rsidRDefault="008F3129" w:rsidP="0002139C">
      <w:pPr>
        <w:spacing w:line="240" w:lineRule="auto"/>
        <w:ind w:left="426" w:hanging="426"/>
        <w:rPr>
          <w:rFonts w:ascii="Calibri" w:eastAsia="Times New Roman" w:hAnsi="Calibri" w:cs="Calibri"/>
          <w:sz w:val="22"/>
          <w:lang w:val="es-ES_tradnl"/>
        </w:rPr>
      </w:pPr>
      <w:r w:rsidRPr="00CF1744">
        <w:rPr>
          <w:rFonts w:ascii="Calibri" w:eastAsia="Times New Roman" w:hAnsi="Calibri" w:cs="Calibri"/>
          <w:sz w:val="22"/>
          <w:lang w:val="es-ES_tradnl"/>
        </w:rPr>
        <w:t>2.</w:t>
      </w:r>
      <w:r w:rsidRPr="00CF1744">
        <w:rPr>
          <w:rFonts w:ascii="Calibri" w:eastAsia="Times New Roman" w:hAnsi="Calibri" w:cs="Calibri"/>
          <w:sz w:val="22"/>
          <w:lang w:val="es-ES_tradnl"/>
        </w:rPr>
        <w:tab/>
      </w:r>
      <w:r w:rsidR="0002139C" w:rsidRPr="00CF1744">
        <w:rPr>
          <w:rFonts w:ascii="Calibri" w:eastAsia="Times New Roman" w:hAnsi="Calibri" w:cs="Calibri"/>
          <w:sz w:val="22"/>
          <w:lang w:val="es-ES_tradnl"/>
        </w:rPr>
        <w:t xml:space="preserve">La Resolución XIV.3 sobre </w:t>
      </w:r>
      <w:r w:rsidR="0002139C" w:rsidRPr="00CF1744">
        <w:rPr>
          <w:rFonts w:ascii="Calibri" w:eastAsia="Times New Roman" w:hAnsi="Calibri" w:cs="Calibri"/>
          <w:i/>
          <w:iCs/>
          <w:sz w:val="22"/>
          <w:lang w:val="es-ES_tradnl"/>
        </w:rPr>
        <w:t>La eficacia y eficiencia de la Convención sobre los Humedales</w:t>
      </w:r>
      <w:r w:rsidR="0002139C" w:rsidRPr="00CF1744">
        <w:rPr>
          <w:rFonts w:ascii="Calibri" w:eastAsia="Times New Roman" w:hAnsi="Calibri" w:cs="Calibri"/>
          <w:sz w:val="22"/>
          <w:lang w:val="es-ES_tradnl"/>
        </w:rPr>
        <w:t xml:space="preserve"> </w:t>
      </w:r>
      <w:r w:rsidR="00030E0E" w:rsidRPr="00CF1744">
        <w:rPr>
          <w:rFonts w:ascii="Calibri" w:eastAsia="Times New Roman" w:hAnsi="Calibri" w:cs="Calibri"/>
          <w:sz w:val="22"/>
          <w:lang w:val="es-ES_tradnl"/>
        </w:rPr>
        <w:t xml:space="preserve">destacó </w:t>
      </w:r>
      <w:r w:rsidR="0002139C" w:rsidRPr="00CF1744">
        <w:rPr>
          <w:rFonts w:ascii="Calibri" w:eastAsia="Times New Roman" w:hAnsi="Calibri" w:cs="Calibri"/>
          <w:sz w:val="22"/>
          <w:lang w:val="es-ES_tradnl"/>
        </w:rPr>
        <w:t xml:space="preserve">la necesidad de aprender de </w:t>
      </w:r>
      <w:r w:rsidR="00A54AA0" w:rsidRPr="00CF1744">
        <w:rPr>
          <w:rFonts w:ascii="Calibri" w:eastAsia="Times New Roman" w:hAnsi="Calibri" w:cs="Calibri"/>
          <w:sz w:val="22"/>
          <w:lang w:val="es-ES_tradnl"/>
        </w:rPr>
        <w:t>dichas</w:t>
      </w:r>
      <w:r w:rsidR="0002139C" w:rsidRPr="00CF1744">
        <w:rPr>
          <w:rFonts w:ascii="Calibri" w:eastAsia="Times New Roman" w:hAnsi="Calibri" w:cs="Calibri"/>
          <w:sz w:val="22"/>
          <w:lang w:val="es-ES_tradnl"/>
        </w:rPr>
        <w:t xml:space="preserve"> experiencias y </w:t>
      </w:r>
      <w:r w:rsidR="00A54AA0" w:rsidRPr="00CF1744">
        <w:rPr>
          <w:rFonts w:ascii="Calibri" w:eastAsia="Times New Roman" w:hAnsi="Calibri" w:cs="Calibri"/>
          <w:sz w:val="22"/>
          <w:lang w:val="es-ES_tradnl"/>
        </w:rPr>
        <w:t xml:space="preserve">analizar </w:t>
      </w:r>
      <w:r w:rsidR="0002139C" w:rsidRPr="00CF1744">
        <w:rPr>
          <w:rFonts w:ascii="Calibri" w:eastAsia="Times New Roman" w:hAnsi="Calibri" w:cs="Calibri"/>
          <w:sz w:val="22"/>
          <w:lang w:val="es-ES_tradnl"/>
        </w:rPr>
        <w:t xml:space="preserve">medidas para </w:t>
      </w:r>
      <w:r w:rsidR="00A54AA0" w:rsidRPr="00CF1744">
        <w:rPr>
          <w:rFonts w:ascii="Calibri" w:eastAsia="Times New Roman" w:hAnsi="Calibri" w:cs="Calibri"/>
          <w:sz w:val="22"/>
          <w:lang w:val="es-ES_tradnl"/>
        </w:rPr>
        <w:t xml:space="preserve">asegurar </w:t>
      </w:r>
      <w:r w:rsidR="0002139C" w:rsidRPr="00CF1744">
        <w:rPr>
          <w:rFonts w:ascii="Calibri" w:eastAsia="Times New Roman" w:hAnsi="Calibri" w:cs="Calibri"/>
          <w:sz w:val="22"/>
          <w:lang w:val="es-ES_tradnl"/>
        </w:rPr>
        <w:t xml:space="preserve">el funcionamiento eficaz de la Convención durante circunstancias excepcionales, </w:t>
      </w:r>
      <w:r w:rsidR="00A54AA0" w:rsidRPr="00CF1744">
        <w:rPr>
          <w:rFonts w:ascii="Calibri" w:eastAsia="Times New Roman" w:hAnsi="Calibri" w:cs="Calibri"/>
          <w:sz w:val="22"/>
          <w:lang w:val="es-ES_tradnl"/>
        </w:rPr>
        <w:t xml:space="preserve">considerando a esos efectos </w:t>
      </w:r>
      <w:r w:rsidR="0002139C" w:rsidRPr="00CF1744">
        <w:rPr>
          <w:rFonts w:ascii="Calibri" w:eastAsia="Times New Roman" w:hAnsi="Calibri" w:cs="Calibri"/>
          <w:sz w:val="22"/>
          <w:lang w:val="es-ES_tradnl"/>
        </w:rPr>
        <w:t>las mejores prácticas de otros organismos internacionales y</w:t>
      </w:r>
      <w:r w:rsidR="00030E0E" w:rsidRPr="00CF1744">
        <w:rPr>
          <w:rFonts w:ascii="Calibri" w:eastAsia="Times New Roman" w:hAnsi="Calibri" w:cs="Calibri"/>
          <w:sz w:val="22"/>
          <w:lang w:val="es-ES_tradnl"/>
        </w:rPr>
        <w:t xml:space="preserve"> determinando </w:t>
      </w:r>
      <w:r w:rsidR="0002139C" w:rsidRPr="00CF1744">
        <w:rPr>
          <w:rFonts w:ascii="Calibri" w:eastAsia="Times New Roman" w:hAnsi="Calibri" w:cs="Calibri"/>
          <w:sz w:val="22"/>
          <w:lang w:val="es-ES_tradnl"/>
        </w:rPr>
        <w:t xml:space="preserve">posibles enmiendas al Reglamento. En respuesta, la Secretaría ha preparado </w:t>
      </w:r>
      <w:r w:rsidR="009519BF" w:rsidRPr="00CF1744">
        <w:rPr>
          <w:rFonts w:ascii="Calibri" w:eastAsia="Times New Roman" w:hAnsi="Calibri" w:cs="Calibri"/>
          <w:sz w:val="22"/>
          <w:lang w:val="es-ES_tradnl"/>
        </w:rPr>
        <w:t>la presente</w:t>
      </w:r>
      <w:r w:rsidR="0002139C" w:rsidRPr="00CF1744">
        <w:rPr>
          <w:rFonts w:ascii="Calibri" w:eastAsia="Times New Roman" w:hAnsi="Calibri" w:cs="Calibri"/>
          <w:sz w:val="22"/>
          <w:lang w:val="es-ES_tradnl"/>
        </w:rPr>
        <w:t xml:space="preserve"> evaluación sobre </w:t>
      </w:r>
      <w:r w:rsidR="00030E0E" w:rsidRPr="00CF1744">
        <w:rPr>
          <w:rFonts w:ascii="Calibri" w:eastAsia="Times New Roman" w:hAnsi="Calibri" w:cs="Calibri"/>
          <w:sz w:val="22"/>
          <w:lang w:val="es-ES_tradnl"/>
        </w:rPr>
        <w:t xml:space="preserve">la mejora de la </w:t>
      </w:r>
      <w:r w:rsidR="009519BF" w:rsidRPr="00CF1744">
        <w:rPr>
          <w:rFonts w:ascii="Calibri" w:eastAsia="Times New Roman" w:hAnsi="Calibri" w:cs="Calibri"/>
          <w:sz w:val="22"/>
          <w:lang w:val="es-ES_tradnl"/>
        </w:rPr>
        <w:t xml:space="preserve">adopción de </w:t>
      </w:r>
      <w:r w:rsidR="0002139C" w:rsidRPr="00CF1744">
        <w:rPr>
          <w:rFonts w:ascii="Calibri" w:eastAsia="Times New Roman" w:hAnsi="Calibri" w:cs="Calibri"/>
          <w:sz w:val="22"/>
          <w:lang w:val="es-ES_tradnl"/>
        </w:rPr>
        <w:t xml:space="preserve">decisiones y </w:t>
      </w:r>
      <w:r w:rsidR="00030E0E" w:rsidRPr="00CF1744">
        <w:rPr>
          <w:rFonts w:ascii="Calibri" w:eastAsia="Times New Roman" w:hAnsi="Calibri" w:cs="Calibri"/>
          <w:sz w:val="22"/>
          <w:lang w:val="es-ES_tradnl"/>
        </w:rPr>
        <w:t xml:space="preserve">el mantenimiento de la </w:t>
      </w:r>
      <w:r w:rsidR="0002139C" w:rsidRPr="00CF1744">
        <w:rPr>
          <w:rFonts w:ascii="Calibri" w:eastAsia="Times New Roman" w:hAnsi="Calibri" w:cs="Calibri"/>
          <w:sz w:val="22"/>
          <w:lang w:val="es-ES_tradnl"/>
        </w:rPr>
        <w:t xml:space="preserve">participación plena y efectiva de las Partes Contratantes en circunstancias excepcionales, teniendo en cuenta las mejores prácticas de otros organismos internacionales </w:t>
      </w:r>
      <w:r w:rsidR="00030E0E" w:rsidRPr="00CF1744">
        <w:rPr>
          <w:rFonts w:ascii="Calibri" w:eastAsia="Times New Roman" w:hAnsi="Calibri" w:cs="Calibri"/>
          <w:sz w:val="22"/>
          <w:lang w:val="es-ES_tradnl"/>
        </w:rPr>
        <w:t xml:space="preserve">y determinando </w:t>
      </w:r>
      <w:r w:rsidR="0002139C" w:rsidRPr="00CF1744">
        <w:rPr>
          <w:rFonts w:ascii="Calibri" w:eastAsia="Times New Roman" w:hAnsi="Calibri" w:cs="Calibri"/>
          <w:sz w:val="22"/>
          <w:lang w:val="es-ES_tradnl"/>
        </w:rPr>
        <w:t xml:space="preserve">posibles enmiendas al Reglamento.  </w:t>
      </w:r>
    </w:p>
    <w:p w14:paraId="2F0DD7CD" w14:textId="77777777" w:rsidR="00576F72" w:rsidRPr="00CF1744" w:rsidRDefault="00576F72" w:rsidP="00576F72">
      <w:pPr>
        <w:spacing w:line="240" w:lineRule="auto"/>
        <w:rPr>
          <w:rFonts w:ascii="Calibri" w:eastAsia="Times New Roman" w:hAnsi="Calibri" w:cs="Calibri"/>
          <w:sz w:val="22"/>
          <w:lang w:val="es-ES_tradnl"/>
        </w:rPr>
      </w:pPr>
    </w:p>
    <w:p w14:paraId="411CA1EC" w14:textId="282677C2" w:rsidR="00576F72" w:rsidRPr="00CF1744" w:rsidRDefault="00576F72" w:rsidP="00576F72">
      <w:pPr>
        <w:spacing w:line="240" w:lineRule="auto"/>
        <w:rPr>
          <w:rFonts w:ascii="Calibri" w:eastAsia="Times New Roman" w:hAnsi="Calibri" w:cs="Calibri"/>
          <w:b/>
          <w:bCs/>
          <w:sz w:val="22"/>
          <w:lang w:val="es-ES_tradnl"/>
        </w:rPr>
      </w:pPr>
      <w:r w:rsidRPr="00CF1744">
        <w:rPr>
          <w:rFonts w:ascii="Calibri" w:eastAsia="Times New Roman" w:hAnsi="Calibri" w:cs="Calibri"/>
          <w:b/>
          <w:bCs/>
          <w:sz w:val="22"/>
          <w:lang w:val="es-ES_tradnl"/>
        </w:rPr>
        <w:t>Met</w:t>
      </w:r>
      <w:r w:rsidR="0002139C" w:rsidRPr="00CF1744">
        <w:rPr>
          <w:rFonts w:ascii="Calibri" w:eastAsia="Times New Roman" w:hAnsi="Calibri" w:cs="Calibri"/>
          <w:b/>
          <w:bCs/>
          <w:sz w:val="22"/>
          <w:lang w:val="es-ES_tradnl"/>
        </w:rPr>
        <w:t>odología</w:t>
      </w:r>
    </w:p>
    <w:p w14:paraId="027CBB65" w14:textId="77777777" w:rsidR="00576F72" w:rsidRPr="00CF1744" w:rsidRDefault="00576F72" w:rsidP="00576F72">
      <w:pPr>
        <w:spacing w:line="240" w:lineRule="auto"/>
        <w:rPr>
          <w:rFonts w:ascii="Calibri" w:eastAsia="Times New Roman" w:hAnsi="Calibri" w:cs="Calibri"/>
          <w:sz w:val="22"/>
          <w:lang w:val="es-ES_tradnl"/>
        </w:rPr>
      </w:pPr>
    </w:p>
    <w:p w14:paraId="038AC101" w14:textId="3DA63D46" w:rsidR="0002139C" w:rsidRPr="00CF1744" w:rsidRDefault="008F3129" w:rsidP="0002139C">
      <w:pPr>
        <w:spacing w:line="240" w:lineRule="auto"/>
        <w:ind w:left="426" w:hanging="426"/>
        <w:rPr>
          <w:rFonts w:ascii="Calibri" w:eastAsia="Times New Roman" w:hAnsi="Calibri" w:cs="Calibri"/>
          <w:sz w:val="22"/>
          <w:lang w:val="es-ES_tradnl"/>
        </w:rPr>
      </w:pPr>
      <w:r w:rsidRPr="00CF1744">
        <w:rPr>
          <w:rFonts w:ascii="Calibri" w:eastAsia="Times New Roman" w:hAnsi="Calibri" w:cs="Calibri"/>
          <w:sz w:val="22"/>
          <w:lang w:val="es-ES_tradnl"/>
        </w:rPr>
        <w:t>3.</w:t>
      </w:r>
      <w:r w:rsidRPr="00CF1744">
        <w:rPr>
          <w:rFonts w:ascii="Calibri" w:eastAsia="Times New Roman" w:hAnsi="Calibri" w:cs="Calibri"/>
          <w:sz w:val="22"/>
          <w:lang w:val="es-ES_tradnl"/>
        </w:rPr>
        <w:tab/>
      </w:r>
      <w:r w:rsidR="0002139C" w:rsidRPr="00CF1744">
        <w:rPr>
          <w:rFonts w:ascii="Calibri" w:eastAsia="Times New Roman" w:hAnsi="Calibri" w:cs="Calibri"/>
          <w:sz w:val="22"/>
          <w:lang w:val="es-ES_tradnl"/>
        </w:rPr>
        <w:t xml:space="preserve">Para cumplir el mandato de la Resolución, la Secretaría ha llevado a cabo una investigación documental sobre el funcionamiento de otros acuerdos multilaterales sobre medio ambiente (AMMA) y organizaciones internacionales durante la pandemia, y se ha puesto en contacto con 14 organizaciones internacionales para la preparación de este informe, con el fin de </w:t>
      </w:r>
      <w:r w:rsidR="00A0277B">
        <w:rPr>
          <w:rFonts w:ascii="Calibri" w:eastAsia="Times New Roman" w:hAnsi="Calibri" w:cs="Calibri"/>
          <w:sz w:val="22"/>
          <w:lang w:val="es-ES_tradnl"/>
        </w:rPr>
        <w:t xml:space="preserve">determinar </w:t>
      </w:r>
      <w:r w:rsidR="0002139C" w:rsidRPr="00CF1744">
        <w:rPr>
          <w:rFonts w:ascii="Calibri" w:eastAsia="Times New Roman" w:hAnsi="Calibri" w:cs="Calibri"/>
          <w:sz w:val="22"/>
          <w:lang w:val="es-ES_tradnl"/>
        </w:rPr>
        <w:t xml:space="preserve">formas de mejorar los procedimientos de </w:t>
      </w:r>
      <w:r w:rsidR="005F69A1" w:rsidRPr="00CF1744">
        <w:rPr>
          <w:rFonts w:ascii="Calibri" w:eastAsia="Times New Roman" w:hAnsi="Calibri" w:cs="Calibri"/>
          <w:sz w:val="22"/>
          <w:lang w:val="es-ES_tradnl"/>
        </w:rPr>
        <w:t xml:space="preserve">adopción </w:t>
      </w:r>
      <w:r w:rsidR="0002139C" w:rsidRPr="00CF1744">
        <w:rPr>
          <w:rFonts w:ascii="Calibri" w:eastAsia="Times New Roman" w:hAnsi="Calibri" w:cs="Calibri"/>
          <w:sz w:val="22"/>
          <w:lang w:val="es-ES_tradnl"/>
        </w:rPr>
        <w:t xml:space="preserve">de decisiones en circunstancias excepcionales como una pandemia mundial. La investigación documental incluye un estudio sobre reuniones virtuales realizado por la División Jurídica del Programa de las Naciones Unidas para el Medio Ambiente (PNUMA), y una recopilación de opiniones de las Partes e interesados </w:t>
      </w:r>
      <w:r w:rsidR="0002139C" w:rsidRPr="00CF1744">
        <w:rPr>
          <w:rFonts w:ascii="Calibri" w:eastAsia="Times New Roman" w:hAnsi="Calibri" w:cs="Calibri"/>
          <w:sz w:val="22"/>
          <w:lang w:val="es-ES_tradnl"/>
        </w:rPr>
        <w:lastRenderedPageBreak/>
        <w:t>sobre reuniones virtuales e híbridas, realizada por el Órgano Subsidiario sobre la Aplicación (OSA) del Convenio sobre la Diversidad Biológica (CDB).</w:t>
      </w:r>
    </w:p>
    <w:p w14:paraId="26C37F59" w14:textId="77777777" w:rsidR="00576F72" w:rsidRPr="00CF1744" w:rsidRDefault="00576F72" w:rsidP="00576F72">
      <w:pPr>
        <w:spacing w:line="240" w:lineRule="auto"/>
        <w:rPr>
          <w:rFonts w:ascii="Calibri" w:eastAsia="Times New Roman" w:hAnsi="Calibri" w:cs="Calibri"/>
          <w:sz w:val="22"/>
          <w:lang w:val="es-ES_tradnl"/>
        </w:rPr>
      </w:pPr>
    </w:p>
    <w:p w14:paraId="34F933EB" w14:textId="5D072090" w:rsidR="00576F72" w:rsidRPr="00CF1744" w:rsidRDefault="0002139C" w:rsidP="00D43A18">
      <w:pPr>
        <w:keepNext/>
        <w:spacing w:line="240" w:lineRule="auto"/>
        <w:rPr>
          <w:rFonts w:ascii="Calibri" w:eastAsia="Times New Roman" w:hAnsi="Calibri" w:cs="Calibri"/>
          <w:b/>
          <w:bCs/>
          <w:sz w:val="22"/>
          <w:lang w:val="es-ES_tradnl"/>
        </w:rPr>
      </w:pPr>
      <w:r w:rsidRPr="00CF1744">
        <w:rPr>
          <w:rFonts w:ascii="Calibri" w:eastAsia="Times New Roman" w:hAnsi="Calibri" w:cs="Calibri"/>
          <w:b/>
          <w:bCs/>
          <w:sz w:val="22"/>
          <w:lang w:val="es-ES_tradnl"/>
        </w:rPr>
        <w:t>Principales conclusiones</w:t>
      </w:r>
      <w:r w:rsidR="00576F72" w:rsidRPr="00CF1744">
        <w:rPr>
          <w:rFonts w:ascii="Calibri" w:eastAsia="Times New Roman" w:hAnsi="Calibri" w:cs="Calibri"/>
          <w:b/>
          <w:bCs/>
          <w:sz w:val="22"/>
          <w:lang w:val="es-ES_tradnl"/>
        </w:rPr>
        <w:t xml:space="preserve"> </w:t>
      </w:r>
    </w:p>
    <w:p w14:paraId="40688819" w14:textId="77777777" w:rsidR="00576F72" w:rsidRPr="00CF1744" w:rsidRDefault="00576F72" w:rsidP="00D43A18">
      <w:pPr>
        <w:keepNext/>
        <w:spacing w:line="240" w:lineRule="auto"/>
        <w:rPr>
          <w:rFonts w:ascii="Calibri" w:eastAsia="Times New Roman" w:hAnsi="Calibri" w:cs="Calibri"/>
          <w:b/>
          <w:bCs/>
          <w:sz w:val="22"/>
          <w:lang w:val="es-ES_tradnl"/>
        </w:rPr>
      </w:pPr>
    </w:p>
    <w:p w14:paraId="2170346E" w14:textId="56233EC1" w:rsidR="0002139C" w:rsidRPr="00CF1744" w:rsidRDefault="008F3129" w:rsidP="0002139C">
      <w:pPr>
        <w:spacing w:line="240" w:lineRule="auto"/>
        <w:ind w:left="426" w:hanging="426"/>
        <w:rPr>
          <w:rFonts w:ascii="Calibri" w:eastAsia="Times New Roman" w:hAnsi="Calibri" w:cs="Calibri"/>
          <w:sz w:val="22"/>
          <w:lang w:val="es-ES_tradnl"/>
        </w:rPr>
      </w:pPr>
      <w:r w:rsidRPr="00CF1744">
        <w:rPr>
          <w:rFonts w:ascii="Calibri" w:eastAsia="Times New Roman" w:hAnsi="Calibri" w:cs="Calibri"/>
          <w:sz w:val="22"/>
          <w:lang w:val="es-ES_tradnl"/>
        </w:rPr>
        <w:t>4</w:t>
      </w:r>
      <w:r w:rsidR="00576F72" w:rsidRPr="00CF1744">
        <w:rPr>
          <w:rFonts w:ascii="Calibri" w:eastAsia="Times New Roman" w:hAnsi="Calibri" w:cs="Calibri"/>
          <w:sz w:val="22"/>
          <w:lang w:val="es-ES_tradnl"/>
        </w:rPr>
        <w:t>.</w:t>
      </w:r>
      <w:r w:rsidR="00576F72" w:rsidRPr="00CF1744">
        <w:rPr>
          <w:rFonts w:ascii="Calibri" w:eastAsia="Times New Roman" w:hAnsi="Calibri" w:cs="Calibri"/>
          <w:sz w:val="22"/>
          <w:lang w:val="es-ES_tradnl"/>
        </w:rPr>
        <w:tab/>
      </w:r>
      <w:r w:rsidR="0002139C" w:rsidRPr="00CF1744">
        <w:rPr>
          <w:rFonts w:ascii="Calibri" w:eastAsia="Times New Roman" w:hAnsi="Calibri" w:cs="Calibri"/>
          <w:i/>
          <w:iCs/>
          <w:sz w:val="22"/>
          <w:lang w:val="es-ES_tradnl"/>
        </w:rPr>
        <w:t xml:space="preserve">Reuniones virtuales como solución parcial: </w:t>
      </w:r>
      <w:r w:rsidR="0002139C" w:rsidRPr="00CF1744">
        <w:rPr>
          <w:rFonts w:ascii="Calibri" w:eastAsia="Times New Roman" w:hAnsi="Calibri" w:cs="Calibri"/>
          <w:sz w:val="22"/>
          <w:lang w:val="es-ES_tradnl"/>
        </w:rPr>
        <w:t xml:space="preserve">Todas las organizaciones contactadas utilizaron reuniones virtuales para mitigar las interrupciones causadas por la pandemia. Sin embargo, </w:t>
      </w:r>
      <w:r w:rsidR="00704A79" w:rsidRPr="00CF1744">
        <w:rPr>
          <w:rFonts w:ascii="Calibri" w:eastAsia="Times New Roman" w:hAnsi="Calibri" w:cs="Calibri"/>
          <w:sz w:val="22"/>
          <w:lang w:val="es-ES_tradnl"/>
        </w:rPr>
        <w:t xml:space="preserve">surgieron dificultades </w:t>
      </w:r>
      <w:r w:rsidR="0002139C" w:rsidRPr="00CF1744">
        <w:rPr>
          <w:rFonts w:ascii="Calibri" w:eastAsia="Times New Roman" w:hAnsi="Calibri" w:cs="Calibri"/>
          <w:sz w:val="22"/>
          <w:lang w:val="es-ES_tradnl"/>
        </w:rPr>
        <w:t xml:space="preserve">a la hora de </w:t>
      </w:r>
      <w:r w:rsidR="00A725AA" w:rsidRPr="00CF1744">
        <w:rPr>
          <w:rFonts w:ascii="Calibri" w:eastAsia="Times New Roman" w:hAnsi="Calibri" w:cs="Calibri"/>
          <w:sz w:val="22"/>
          <w:lang w:val="es-ES_tradnl"/>
        </w:rPr>
        <w:t xml:space="preserve">asegurar </w:t>
      </w:r>
      <w:r w:rsidR="0002139C" w:rsidRPr="00CF1744">
        <w:rPr>
          <w:rFonts w:ascii="Calibri" w:eastAsia="Times New Roman" w:hAnsi="Calibri" w:cs="Calibri"/>
          <w:sz w:val="22"/>
          <w:lang w:val="es-ES_tradnl"/>
        </w:rPr>
        <w:t>la plena participación y llevar a cabo la</w:t>
      </w:r>
      <w:r w:rsidR="00A725AA" w:rsidRPr="00CF1744">
        <w:rPr>
          <w:rFonts w:ascii="Calibri" w:eastAsia="Times New Roman" w:hAnsi="Calibri" w:cs="Calibri"/>
          <w:sz w:val="22"/>
          <w:lang w:val="es-ES_tradnl"/>
        </w:rPr>
        <w:t xml:space="preserve"> adopci</w:t>
      </w:r>
      <w:r w:rsidR="00706831">
        <w:rPr>
          <w:rFonts w:ascii="Calibri" w:eastAsia="Times New Roman" w:hAnsi="Calibri" w:cs="Calibri"/>
          <w:sz w:val="22"/>
          <w:lang w:val="es-ES_tradnl"/>
        </w:rPr>
        <w:t xml:space="preserve">ón </w:t>
      </w:r>
      <w:r w:rsidR="0007045C" w:rsidRPr="00CF1744">
        <w:rPr>
          <w:rFonts w:ascii="Calibri" w:eastAsia="Times New Roman" w:hAnsi="Calibri" w:cs="Calibri"/>
          <w:sz w:val="22"/>
          <w:lang w:val="es-ES_tradnl"/>
        </w:rPr>
        <w:t xml:space="preserve">de </w:t>
      </w:r>
      <w:r w:rsidR="0002139C" w:rsidRPr="00CF1744">
        <w:rPr>
          <w:rFonts w:ascii="Calibri" w:eastAsia="Times New Roman" w:hAnsi="Calibri" w:cs="Calibri"/>
          <w:sz w:val="22"/>
          <w:lang w:val="es-ES_tradnl"/>
        </w:rPr>
        <w:t>decisiones</w:t>
      </w:r>
      <w:r w:rsidR="00706831">
        <w:rPr>
          <w:rFonts w:ascii="Calibri" w:eastAsia="Times New Roman" w:hAnsi="Calibri" w:cs="Calibri"/>
          <w:sz w:val="22"/>
          <w:lang w:val="es-ES_tradnl"/>
        </w:rPr>
        <w:t xml:space="preserve"> oficiales</w:t>
      </w:r>
      <w:r w:rsidR="0002139C" w:rsidRPr="00CF1744">
        <w:rPr>
          <w:rFonts w:ascii="Calibri" w:eastAsia="Times New Roman" w:hAnsi="Calibri" w:cs="Calibri"/>
          <w:sz w:val="22"/>
          <w:lang w:val="es-ES_tradnl"/>
        </w:rPr>
        <w:t xml:space="preserve">. </w:t>
      </w:r>
      <w:r w:rsidR="0007045C" w:rsidRPr="00CF1744">
        <w:rPr>
          <w:rFonts w:ascii="Calibri" w:eastAsia="Times New Roman" w:hAnsi="Calibri" w:cs="Calibri"/>
          <w:sz w:val="22"/>
          <w:lang w:val="es-ES_tradnl"/>
        </w:rPr>
        <w:t xml:space="preserve">Hubo divergencia de </w:t>
      </w:r>
      <w:r w:rsidR="0002139C" w:rsidRPr="00CF1744">
        <w:rPr>
          <w:rFonts w:ascii="Calibri" w:eastAsia="Times New Roman" w:hAnsi="Calibri" w:cs="Calibri"/>
          <w:sz w:val="22"/>
          <w:lang w:val="es-ES_tradnl"/>
        </w:rPr>
        <w:t xml:space="preserve">opiniones </w:t>
      </w:r>
      <w:r w:rsidR="0007045C" w:rsidRPr="00CF1744">
        <w:rPr>
          <w:rFonts w:ascii="Calibri" w:eastAsia="Times New Roman" w:hAnsi="Calibri" w:cs="Calibri"/>
          <w:sz w:val="22"/>
          <w:lang w:val="es-ES_tradnl"/>
        </w:rPr>
        <w:t xml:space="preserve">en cuanto a </w:t>
      </w:r>
      <w:r w:rsidR="0002139C" w:rsidRPr="00CF1744">
        <w:rPr>
          <w:rFonts w:ascii="Calibri" w:eastAsia="Times New Roman" w:hAnsi="Calibri" w:cs="Calibri"/>
          <w:sz w:val="22"/>
          <w:lang w:val="es-ES_tradnl"/>
        </w:rPr>
        <w:t xml:space="preserve">si las decisiones críticas debían </w:t>
      </w:r>
      <w:r w:rsidR="00A0277B">
        <w:rPr>
          <w:rFonts w:ascii="Calibri" w:eastAsia="Times New Roman" w:hAnsi="Calibri" w:cs="Calibri"/>
          <w:sz w:val="22"/>
          <w:lang w:val="es-ES_tradnl"/>
        </w:rPr>
        <w:t>adoptarse de forma virtual</w:t>
      </w:r>
      <w:r w:rsidR="0002139C" w:rsidRPr="00CF1744">
        <w:rPr>
          <w:rFonts w:ascii="Calibri" w:eastAsia="Times New Roman" w:hAnsi="Calibri" w:cs="Calibri"/>
          <w:sz w:val="22"/>
          <w:lang w:val="es-ES_tradnl"/>
        </w:rPr>
        <w:t xml:space="preserve">, lo que llevó a algunos organismos a limitar las decisiones </w:t>
      </w:r>
      <w:r w:rsidR="0007045C" w:rsidRPr="00CF1744">
        <w:rPr>
          <w:rFonts w:ascii="Calibri" w:eastAsia="Times New Roman" w:hAnsi="Calibri" w:cs="Calibri"/>
          <w:sz w:val="22"/>
          <w:lang w:val="es-ES_tradnl"/>
        </w:rPr>
        <w:t>oficiales</w:t>
      </w:r>
      <w:r w:rsidR="0002139C" w:rsidRPr="00CF1744">
        <w:rPr>
          <w:rFonts w:ascii="Calibri" w:eastAsia="Times New Roman" w:hAnsi="Calibri" w:cs="Calibri"/>
          <w:sz w:val="22"/>
          <w:lang w:val="es-ES_tradnl"/>
        </w:rPr>
        <w:t xml:space="preserve"> a cuestiones de procedimiento o «esenciales» durante las sesiones virtuales.</w:t>
      </w:r>
    </w:p>
    <w:p w14:paraId="235ADA28" w14:textId="77777777" w:rsidR="00576F72" w:rsidRPr="00CF1744" w:rsidRDefault="00576F72" w:rsidP="00D373DC">
      <w:pPr>
        <w:spacing w:line="240" w:lineRule="auto"/>
        <w:ind w:left="426" w:hanging="426"/>
        <w:rPr>
          <w:rFonts w:ascii="Calibri" w:eastAsia="Times New Roman" w:hAnsi="Calibri" w:cs="Calibri"/>
          <w:sz w:val="22"/>
          <w:lang w:val="es-ES_tradnl"/>
        </w:rPr>
      </w:pPr>
    </w:p>
    <w:p w14:paraId="3581D042" w14:textId="4CF327F0" w:rsidR="00576F72" w:rsidRPr="00CF1744" w:rsidRDefault="008F3129" w:rsidP="00D373DC">
      <w:pPr>
        <w:spacing w:line="240" w:lineRule="auto"/>
        <w:ind w:left="426" w:hanging="426"/>
        <w:rPr>
          <w:rFonts w:ascii="Calibri" w:eastAsia="Times New Roman" w:hAnsi="Calibri" w:cs="Calibri"/>
          <w:sz w:val="22"/>
          <w:lang w:val="es-ES_tradnl"/>
        </w:rPr>
      </w:pPr>
      <w:r w:rsidRPr="00CF1744">
        <w:rPr>
          <w:rFonts w:ascii="Calibri" w:eastAsia="Times New Roman" w:hAnsi="Calibri" w:cs="Calibri"/>
          <w:sz w:val="22"/>
          <w:lang w:val="es-ES_tradnl"/>
        </w:rPr>
        <w:t>5</w:t>
      </w:r>
      <w:r w:rsidR="00576F72" w:rsidRPr="00CF1744">
        <w:rPr>
          <w:rFonts w:ascii="Calibri" w:eastAsia="Times New Roman" w:hAnsi="Calibri" w:cs="Calibri"/>
          <w:sz w:val="22"/>
          <w:lang w:val="es-ES_tradnl"/>
        </w:rPr>
        <w:t>.</w:t>
      </w:r>
      <w:r w:rsidR="00576F72" w:rsidRPr="00CF1744">
        <w:rPr>
          <w:rFonts w:ascii="Calibri" w:eastAsia="Times New Roman" w:hAnsi="Calibri" w:cs="Calibri"/>
          <w:sz w:val="22"/>
          <w:lang w:val="es-ES_tradnl"/>
        </w:rPr>
        <w:tab/>
      </w:r>
      <w:r w:rsidR="0002139C" w:rsidRPr="00CF1744">
        <w:rPr>
          <w:rFonts w:ascii="Calibri" w:eastAsia="Times New Roman" w:hAnsi="Calibri" w:cs="Calibri"/>
          <w:i/>
          <w:iCs/>
          <w:sz w:val="22"/>
          <w:lang w:val="es-ES_tradnl"/>
        </w:rPr>
        <w:t>Preparación y participación:</w:t>
      </w:r>
      <w:r w:rsidR="0002139C" w:rsidRPr="00CF1744">
        <w:rPr>
          <w:rFonts w:ascii="Calibri" w:eastAsia="Times New Roman" w:hAnsi="Calibri" w:cs="Calibri"/>
          <w:sz w:val="22"/>
          <w:lang w:val="es-ES_tradnl"/>
        </w:rPr>
        <w:t xml:space="preserve"> Las organizaciones </w:t>
      </w:r>
      <w:r w:rsidR="00704A79" w:rsidRPr="00CF1744">
        <w:rPr>
          <w:rFonts w:ascii="Calibri" w:eastAsia="Times New Roman" w:hAnsi="Calibri" w:cs="Calibri"/>
          <w:sz w:val="22"/>
          <w:lang w:val="es-ES_tradnl"/>
        </w:rPr>
        <w:t>dedicaron considerables esfuerzos a</w:t>
      </w:r>
      <w:r w:rsidR="0002139C" w:rsidRPr="00CF1744">
        <w:rPr>
          <w:rFonts w:ascii="Calibri" w:eastAsia="Times New Roman" w:hAnsi="Calibri" w:cs="Calibri"/>
          <w:sz w:val="22"/>
          <w:lang w:val="es-ES_tradnl"/>
        </w:rPr>
        <w:t xml:space="preserve"> preparar las reuniones virtuales, abordando obstáculos logísticos como l</w:t>
      </w:r>
      <w:r w:rsidR="00704A79" w:rsidRPr="00CF1744">
        <w:rPr>
          <w:rFonts w:ascii="Calibri" w:eastAsia="Times New Roman" w:hAnsi="Calibri" w:cs="Calibri"/>
          <w:sz w:val="22"/>
          <w:lang w:val="es-ES_tradnl"/>
        </w:rPr>
        <w:t>os husos horarios</w:t>
      </w:r>
      <w:r w:rsidR="0002139C" w:rsidRPr="00CF1744">
        <w:rPr>
          <w:rFonts w:ascii="Calibri" w:eastAsia="Times New Roman" w:hAnsi="Calibri" w:cs="Calibri"/>
          <w:sz w:val="22"/>
          <w:lang w:val="es-ES_tradnl"/>
        </w:rPr>
        <w:t>, la interpretación y la fiabilidad técnica. Por ejemplo, los Convenios de Basilea, Rotterdam y Estocolmo (BR</w:t>
      </w:r>
      <w:r w:rsidR="00A5736D" w:rsidRPr="00CF1744">
        <w:rPr>
          <w:rFonts w:ascii="Calibri" w:eastAsia="Times New Roman" w:hAnsi="Calibri" w:cs="Calibri"/>
          <w:sz w:val="22"/>
          <w:lang w:val="es-ES_tradnl"/>
        </w:rPr>
        <w:t>E</w:t>
      </w:r>
      <w:r w:rsidR="0002139C" w:rsidRPr="00CF1744">
        <w:rPr>
          <w:rFonts w:ascii="Calibri" w:eastAsia="Times New Roman" w:hAnsi="Calibri" w:cs="Calibri"/>
          <w:sz w:val="22"/>
          <w:lang w:val="es-ES_tradnl"/>
        </w:rPr>
        <w:t>) proporcionaron un</w:t>
      </w:r>
      <w:r w:rsidR="00966E31" w:rsidRPr="00CF1744">
        <w:rPr>
          <w:rFonts w:ascii="Calibri" w:eastAsia="Times New Roman" w:hAnsi="Calibri" w:cs="Calibri"/>
          <w:sz w:val="22"/>
          <w:lang w:val="es-ES_tradnl"/>
        </w:rPr>
        <w:t>a</w:t>
      </w:r>
      <w:r w:rsidR="0002139C" w:rsidRPr="00CF1744">
        <w:rPr>
          <w:rFonts w:ascii="Calibri" w:eastAsia="Times New Roman" w:hAnsi="Calibri" w:cs="Calibri"/>
          <w:sz w:val="22"/>
          <w:lang w:val="es-ES_tradnl"/>
        </w:rPr>
        <w:t xml:space="preserve"> «</w:t>
      </w:r>
      <w:r w:rsidR="00966E31" w:rsidRPr="00CF1744">
        <w:rPr>
          <w:rFonts w:ascii="Calibri" w:eastAsia="Times New Roman" w:hAnsi="Calibri" w:cs="Calibri"/>
          <w:sz w:val="22"/>
          <w:lang w:val="es-ES_tradnl"/>
        </w:rPr>
        <w:t>asistencia financiera para los costos de comunicación</w:t>
      </w:r>
      <w:r w:rsidR="0002139C" w:rsidRPr="00CF1744">
        <w:rPr>
          <w:rFonts w:ascii="Calibri" w:eastAsia="Times New Roman" w:hAnsi="Calibri" w:cs="Calibri"/>
          <w:sz w:val="22"/>
          <w:lang w:val="es-ES_tradnl"/>
        </w:rPr>
        <w:t>» para apoyar a los países en desarrollo, mientras que el Convenio de Minamata sobre el Mercurio estableció un «ecosistema digital int</w:t>
      </w:r>
      <w:r w:rsidR="0049112F" w:rsidRPr="00CF1744">
        <w:rPr>
          <w:rFonts w:ascii="Calibri" w:eastAsia="Times New Roman" w:hAnsi="Calibri" w:cs="Calibri"/>
          <w:sz w:val="22"/>
          <w:lang w:val="es-ES_tradnl"/>
        </w:rPr>
        <w:t>erconectado</w:t>
      </w:r>
      <w:r w:rsidR="0002139C" w:rsidRPr="00CF1744">
        <w:rPr>
          <w:rFonts w:ascii="Calibri" w:eastAsia="Times New Roman" w:hAnsi="Calibri" w:cs="Calibri"/>
          <w:sz w:val="22"/>
          <w:lang w:val="es-ES_tradnl"/>
        </w:rPr>
        <w:t>» para mejorar la participación.</w:t>
      </w:r>
    </w:p>
    <w:p w14:paraId="501F3FBA" w14:textId="77777777" w:rsidR="00576F72" w:rsidRPr="00CF1744" w:rsidRDefault="00576F72" w:rsidP="00D373DC">
      <w:pPr>
        <w:spacing w:line="240" w:lineRule="auto"/>
        <w:ind w:left="426" w:hanging="426"/>
        <w:rPr>
          <w:rFonts w:ascii="Calibri" w:eastAsia="Times New Roman" w:hAnsi="Calibri" w:cs="Calibri"/>
          <w:sz w:val="22"/>
          <w:lang w:val="es-ES_tradnl"/>
        </w:rPr>
      </w:pPr>
    </w:p>
    <w:p w14:paraId="57EC9323" w14:textId="6A9350CC" w:rsidR="0002139C" w:rsidRPr="00CF1744" w:rsidRDefault="008F3129" w:rsidP="0002139C">
      <w:pPr>
        <w:spacing w:line="240" w:lineRule="auto"/>
        <w:ind w:left="426" w:hanging="426"/>
        <w:rPr>
          <w:rFonts w:ascii="Calibri" w:eastAsia="Times New Roman" w:hAnsi="Calibri" w:cs="Calibri"/>
          <w:sz w:val="22"/>
          <w:lang w:val="es-ES_tradnl"/>
        </w:rPr>
      </w:pPr>
      <w:r w:rsidRPr="00CF1744">
        <w:rPr>
          <w:rFonts w:ascii="Calibri" w:eastAsia="Times New Roman" w:hAnsi="Calibri" w:cs="Calibri"/>
          <w:sz w:val="22"/>
          <w:lang w:val="es-ES_tradnl"/>
        </w:rPr>
        <w:t>6</w:t>
      </w:r>
      <w:r w:rsidR="00576F72" w:rsidRPr="00CF1744">
        <w:rPr>
          <w:rFonts w:ascii="Calibri" w:eastAsia="Times New Roman" w:hAnsi="Calibri" w:cs="Calibri"/>
          <w:sz w:val="22"/>
          <w:lang w:val="es-ES_tradnl"/>
        </w:rPr>
        <w:t>.</w:t>
      </w:r>
      <w:r w:rsidR="00576F72" w:rsidRPr="00CF1744">
        <w:rPr>
          <w:rFonts w:ascii="Calibri" w:eastAsia="Times New Roman" w:hAnsi="Calibri" w:cs="Calibri"/>
          <w:sz w:val="22"/>
          <w:lang w:val="es-ES_tradnl"/>
        </w:rPr>
        <w:tab/>
      </w:r>
      <w:r w:rsidR="0002139C" w:rsidRPr="00CF1744">
        <w:rPr>
          <w:rFonts w:ascii="Calibri" w:eastAsia="Times New Roman" w:hAnsi="Calibri" w:cs="Calibri"/>
          <w:i/>
          <w:iCs/>
          <w:sz w:val="22"/>
          <w:lang w:val="es-ES_tradnl"/>
        </w:rPr>
        <w:t>Reglamento interno:</w:t>
      </w:r>
      <w:r w:rsidR="0002139C" w:rsidRPr="00CF1744">
        <w:rPr>
          <w:rFonts w:ascii="Calibri" w:eastAsia="Times New Roman" w:hAnsi="Calibri" w:cs="Calibri"/>
          <w:sz w:val="22"/>
          <w:lang w:val="es-ES_tradnl"/>
        </w:rPr>
        <w:t xml:space="preserve"> Con la excepción de la Convención sobre </w:t>
      </w:r>
      <w:r w:rsidR="0049112F" w:rsidRPr="00CF1744">
        <w:rPr>
          <w:rFonts w:ascii="Calibri" w:eastAsia="Times New Roman" w:hAnsi="Calibri" w:cs="Calibri"/>
          <w:sz w:val="22"/>
          <w:lang w:val="es-ES_tradnl"/>
        </w:rPr>
        <w:t xml:space="preserve">las </w:t>
      </w:r>
      <w:r w:rsidR="0002139C" w:rsidRPr="00CF1744">
        <w:rPr>
          <w:rFonts w:ascii="Calibri" w:eastAsia="Times New Roman" w:hAnsi="Calibri" w:cs="Calibri"/>
          <w:sz w:val="22"/>
          <w:lang w:val="es-ES_tradnl"/>
        </w:rPr>
        <w:t xml:space="preserve">Especies Migratorias (CMS), que modificó el artículo 3 del Reglamento de su Comité Permanente para formalizar los protocolos de las reuniones virtuales, la mayoría de las organizaciones concluyeron que el Reglamento existente </w:t>
      </w:r>
      <w:r w:rsidR="0049112F" w:rsidRPr="00CF1744">
        <w:rPr>
          <w:rFonts w:ascii="Calibri" w:eastAsia="Times New Roman" w:hAnsi="Calibri" w:cs="Calibri"/>
          <w:sz w:val="22"/>
          <w:lang w:val="es-ES_tradnl"/>
        </w:rPr>
        <w:t>–</w:t>
      </w:r>
      <w:r w:rsidR="0002139C" w:rsidRPr="00CF1744">
        <w:rPr>
          <w:rFonts w:ascii="Calibri" w:eastAsia="Times New Roman" w:hAnsi="Calibri" w:cs="Calibri"/>
          <w:sz w:val="22"/>
          <w:lang w:val="es-ES_tradnl"/>
        </w:rPr>
        <w:t>que no prohíbe ni permite explícitamente las reuniones virtuales</w:t>
      </w:r>
      <w:r w:rsidR="0049112F" w:rsidRPr="00CF1744">
        <w:rPr>
          <w:rFonts w:ascii="Calibri" w:eastAsia="Times New Roman" w:hAnsi="Calibri" w:cs="Calibri"/>
          <w:sz w:val="22"/>
          <w:lang w:val="es-ES_tradnl"/>
        </w:rPr>
        <w:t>–</w:t>
      </w:r>
      <w:r w:rsidR="0002139C" w:rsidRPr="00CF1744">
        <w:rPr>
          <w:rFonts w:ascii="Calibri" w:eastAsia="Times New Roman" w:hAnsi="Calibri" w:cs="Calibri"/>
          <w:sz w:val="22"/>
          <w:lang w:val="es-ES_tradnl"/>
        </w:rPr>
        <w:t xml:space="preserve"> era suficiente y podía adaptarse y que no era necesario revisarlo. </w:t>
      </w:r>
    </w:p>
    <w:p w14:paraId="1942202A" w14:textId="77777777" w:rsidR="0002139C" w:rsidRPr="00CF1744" w:rsidRDefault="0002139C" w:rsidP="0002139C">
      <w:pPr>
        <w:spacing w:line="240" w:lineRule="auto"/>
        <w:ind w:left="426" w:hanging="426"/>
        <w:rPr>
          <w:rFonts w:ascii="Calibri" w:eastAsia="Times New Roman" w:hAnsi="Calibri" w:cs="Calibri"/>
          <w:sz w:val="22"/>
          <w:lang w:val="es-ES_tradnl"/>
        </w:rPr>
      </w:pPr>
    </w:p>
    <w:p w14:paraId="169DE304" w14:textId="11687A8F" w:rsidR="00576F72" w:rsidRPr="00CF1744" w:rsidRDefault="0002139C" w:rsidP="00576F72">
      <w:pPr>
        <w:spacing w:line="240" w:lineRule="auto"/>
        <w:rPr>
          <w:rFonts w:ascii="Calibri" w:eastAsia="Times New Roman" w:hAnsi="Calibri" w:cs="Calibri"/>
          <w:b/>
          <w:bCs/>
          <w:sz w:val="22"/>
          <w:lang w:val="es-ES_tradnl"/>
        </w:rPr>
      </w:pPr>
      <w:r w:rsidRPr="00CF1744">
        <w:rPr>
          <w:rFonts w:ascii="Calibri" w:eastAsia="Times New Roman" w:hAnsi="Calibri" w:cs="Calibri"/>
          <w:b/>
          <w:bCs/>
          <w:sz w:val="22"/>
          <w:lang w:val="es-ES_tradnl"/>
        </w:rPr>
        <w:t>Resumen de las respuestas de las organizaciones internacionales</w:t>
      </w:r>
    </w:p>
    <w:p w14:paraId="421AD8D6" w14:textId="77777777" w:rsidR="00576F72" w:rsidRPr="00CF1744" w:rsidRDefault="00576F72" w:rsidP="00576F72">
      <w:pPr>
        <w:spacing w:line="240" w:lineRule="auto"/>
        <w:rPr>
          <w:rFonts w:ascii="Calibri" w:eastAsia="Times New Roman" w:hAnsi="Calibri" w:cs="Calibri"/>
          <w:sz w:val="22"/>
          <w:lang w:val="es-ES_tradnl"/>
        </w:rPr>
      </w:pPr>
    </w:p>
    <w:p w14:paraId="1AFD4F0E" w14:textId="54AB98D6" w:rsidR="00576F72" w:rsidRPr="00CF1744" w:rsidRDefault="008F3129" w:rsidP="00D373DC">
      <w:pPr>
        <w:spacing w:line="240" w:lineRule="auto"/>
        <w:ind w:left="426" w:hanging="426"/>
        <w:rPr>
          <w:rFonts w:ascii="Calibri" w:eastAsia="Times New Roman" w:hAnsi="Calibri" w:cs="Calibri"/>
          <w:sz w:val="22"/>
          <w:lang w:val="es-ES_tradnl"/>
        </w:rPr>
      </w:pPr>
      <w:r w:rsidRPr="00CF1744">
        <w:rPr>
          <w:rFonts w:ascii="Calibri" w:eastAsia="Times New Roman" w:hAnsi="Calibri" w:cs="Calibri"/>
          <w:sz w:val="22"/>
          <w:lang w:val="es-ES_tradnl"/>
        </w:rPr>
        <w:t>7.</w:t>
      </w:r>
      <w:r w:rsidRPr="00CF1744">
        <w:rPr>
          <w:rFonts w:ascii="Calibri" w:eastAsia="Times New Roman" w:hAnsi="Calibri" w:cs="Calibri"/>
          <w:sz w:val="22"/>
          <w:lang w:val="es-ES_tradnl"/>
        </w:rPr>
        <w:tab/>
      </w:r>
      <w:r w:rsidR="0002139C" w:rsidRPr="00CF1744">
        <w:rPr>
          <w:rFonts w:ascii="Calibri" w:eastAsia="Times New Roman" w:hAnsi="Calibri" w:cs="Calibri"/>
          <w:sz w:val="22"/>
          <w:lang w:val="es-ES_tradnl"/>
        </w:rPr>
        <w:t>Ocho organizaciones internacionales facilitaron respuestas sobre su funcionamiento durante la pandemia, a saber:</w:t>
      </w:r>
    </w:p>
    <w:p w14:paraId="606127E0" w14:textId="2D3FD5C5" w:rsidR="0002139C" w:rsidRPr="00CF1744" w:rsidRDefault="0002139C" w:rsidP="0002139C">
      <w:pPr>
        <w:spacing w:line="240" w:lineRule="auto"/>
        <w:ind w:left="851" w:hanging="425"/>
        <w:rPr>
          <w:rFonts w:ascii="Calibri" w:eastAsia="Times New Roman" w:hAnsi="Calibri" w:cs="Calibri"/>
          <w:sz w:val="22"/>
          <w:lang w:val="es-ES_tradnl"/>
        </w:rPr>
      </w:pPr>
      <w:r w:rsidRPr="00CF1744">
        <w:rPr>
          <w:rFonts w:ascii="Calibri" w:eastAsia="Times New Roman" w:hAnsi="Calibri" w:cs="Calibri"/>
          <w:sz w:val="22"/>
          <w:lang w:val="es-ES_tradnl"/>
        </w:rPr>
        <w:t>i.</w:t>
      </w:r>
      <w:r w:rsidRPr="00CF1744">
        <w:rPr>
          <w:rFonts w:ascii="Calibri" w:eastAsia="Times New Roman" w:hAnsi="Calibri" w:cs="Calibri"/>
          <w:sz w:val="22"/>
          <w:lang w:val="es-ES_tradnl"/>
        </w:rPr>
        <w:tab/>
      </w:r>
      <w:r w:rsidR="00A0277B">
        <w:rPr>
          <w:rFonts w:ascii="Calibri" w:eastAsia="Times New Roman" w:hAnsi="Calibri" w:cs="Calibri"/>
          <w:sz w:val="22"/>
          <w:lang w:val="es-ES_tradnl"/>
        </w:rPr>
        <w:t xml:space="preserve">La </w:t>
      </w:r>
      <w:r w:rsidRPr="00CF1744">
        <w:rPr>
          <w:rFonts w:ascii="Calibri" w:eastAsia="Times New Roman" w:hAnsi="Calibri" w:cs="Calibri"/>
          <w:sz w:val="22"/>
          <w:lang w:val="es-ES_tradnl"/>
        </w:rPr>
        <w:t>Secretaría de los Convenios de Basilea, Rotterdam y Estocolmo (BR</w:t>
      </w:r>
      <w:r w:rsidR="00F07C93" w:rsidRPr="00CF1744">
        <w:rPr>
          <w:rFonts w:ascii="Calibri" w:eastAsia="Times New Roman" w:hAnsi="Calibri" w:cs="Calibri"/>
          <w:sz w:val="22"/>
          <w:lang w:val="es-ES_tradnl"/>
        </w:rPr>
        <w:t>E</w:t>
      </w:r>
      <w:r w:rsidRPr="00CF1744">
        <w:rPr>
          <w:rFonts w:ascii="Calibri" w:eastAsia="Times New Roman" w:hAnsi="Calibri" w:cs="Calibri"/>
          <w:sz w:val="22"/>
          <w:lang w:val="es-ES_tradnl"/>
        </w:rPr>
        <w:t>);</w:t>
      </w:r>
    </w:p>
    <w:p w14:paraId="0A439FBC" w14:textId="26D60D08" w:rsidR="0002139C" w:rsidRPr="00CF1744" w:rsidRDefault="0002139C" w:rsidP="0002139C">
      <w:pPr>
        <w:spacing w:line="240" w:lineRule="auto"/>
        <w:ind w:left="851" w:hanging="425"/>
        <w:rPr>
          <w:rFonts w:ascii="Calibri" w:eastAsia="Times New Roman" w:hAnsi="Calibri" w:cs="Calibri"/>
          <w:sz w:val="22"/>
          <w:lang w:val="es-ES_tradnl"/>
        </w:rPr>
      </w:pPr>
      <w:r w:rsidRPr="00CF1744">
        <w:rPr>
          <w:rFonts w:ascii="Calibri" w:eastAsia="Times New Roman" w:hAnsi="Calibri" w:cs="Calibri"/>
          <w:sz w:val="22"/>
          <w:lang w:val="es-ES_tradnl"/>
        </w:rPr>
        <w:t>ii.</w:t>
      </w:r>
      <w:r w:rsidRPr="00CF1744">
        <w:rPr>
          <w:rFonts w:ascii="Calibri" w:eastAsia="Times New Roman" w:hAnsi="Calibri" w:cs="Calibri"/>
          <w:sz w:val="22"/>
          <w:lang w:val="es-ES_tradnl"/>
        </w:rPr>
        <w:tab/>
      </w:r>
      <w:r w:rsidR="00A0277B">
        <w:rPr>
          <w:rFonts w:ascii="Calibri" w:eastAsia="Times New Roman" w:hAnsi="Calibri" w:cs="Calibri"/>
          <w:sz w:val="22"/>
          <w:lang w:val="es-ES_tradnl"/>
        </w:rPr>
        <w:t xml:space="preserve">La </w:t>
      </w:r>
      <w:r w:rsidRPr="00CF1744">
        <w:rPr>
          <w:rFonts w:ascii="Calibri" w:eastAsia="Times New Roman" w:hAnsi="Calibri" w:cs="Calibri"/>
          <w:sz w:val="22"/>
          <w:lang w:val="es-ES_tradnl"/>
        </w:rPr>
        <w:t>Secretaría de la Convención sobre el Comercio Internacional de Especies Amenazadas de Fauna y Flora Silvestres (CITES);</w:t>
      </w:r>
    </w:p>
    <w:p w14:paraId="5F539D3A" w14:textId="390E165E" w:rsidR="0002139C" w:rsidRPr="00CF1744" w:rsidRDefault="0002139C" w:rsidP="0002139C">
      <w:pPr>
        <w:spacing w:line="240" w:lineRule="auto"/>
        <w:ind w:left="851" w:hanging="425"/>
        <w:rPr>
          <w:rFonts w:ascii="Calibri" w:eastAsia="Times New Roman" w:hAnsi="Calibri" w:cs="Calibri"/>
          <w:sz w:val="22"/>
          <w:lang w:val="es-ES_tradnl"/>
        </w:rPr>
      </w:pPr>
      <w:r w:rsidRPr="00CF1744">
        <w:rPr>
          <w:rFonts w:ascii="Calibri" w:eastAsia="Times New Roman" w:hAnsi="Calibri" w:cs="Calibri"/>
          <w:sz w:val="22"/>
          <w:lang w:val="es-ES_tradnl"/>
        </w:rPr>
        <w:t>iii.</w:t>
      </w:r>
      <w:r w:rsidRPr="00CF1744">
        <w:rPr>
          <w:rFonts w:ascii="Calibri" w:eastAsia="Times New Roman" w:hAnsi="Calibri" w:cs="Calibri"/>
          <w:sz w:val="22"/>
          <w:lang w:val="es-ES_tradnl"/>
        </w:rPr>
        <w:tab/>
      </w:r>
      <w:r w:rsidR="00A0277B">
        <w:rPr>
          <w:rFonts w:ascii="Calibri" w:eastAsia="Times New Roman" w:hAnsi="Calibri" w:cs="Calibri"/>
          <w:sz w:val="22"/>
          <w:lang w:val="es-ES_tradnl"/>
        </w:rPr>
        <w:t xml:space="preserve">La </w:t>
      </w:r>
      <w:r w:rsidRPr="00CF1744">
        <w:rPr>
          <w:rFonts w:ascii="Calibri" w:eastAsia="Times New Roman" w:hAnsi="Calibri" w:cs="Calibri"/>
          <w:sz w:val="22"/>
          <w:lang w:val="es-ES_tradnl"/>
        </w:rPr>
        <w:t>Secretaría de la CMS;</w:t>
      </w:r>
    </w:p>
    <w:p w14:paraId="25C3A12C" w14:textId="314A2E31" w:rsidR="0002139C" w:rsidRPr="00CF1744" w:rsidRDefault="0002139C" w:rsidP="0002139C">
      <w:pPr>
        <w:spacing w:line="240" w:lineRule="auto"/>
        <w:ind w:left="851" w:hanging="425"/>
        <w:rPr>
          <w:rFonts w:ascii="Calibri" w:eastAsia="Times New Roman" w:hAnsi="Calibri" w:cs="Calibri"/>
          <w:sz w:val="22"/>
          <w:lang w:val="es-ES_tradnl"/>
        </w:rPr>
      </w:pPr>
      <w:r w:rsidRPr="00CF1744">
        <w:rPr>
          <w:rFonts w:ascii="Calibri" w:eastAsia="Times New Roman" w:hAnsi="Calibri" w:cs="Calibri"/>
          <w:sz w:val="22"/>
          <w:lang w:val="es-ES_tradnl"/>
        </w:rPr>
        <w:t>iv.</w:t>
      </w:r>
      <w:r w:rsidRPr="00CF1744">
        <w:rPr>
          <w:rFonts w:ascii="Calibri" w:eastAsia="Times New Roman" w:hAnsi="Calibri" w:cs="Calibri"/>
          <w:sz w:val="22"/>
          <w:lang w:val="es-ES_tradnl"/>
        </w:rPr>
        <w:tab/>
      </w:r>
      <w:r w:rsidR="00A0277B">
        <w:rPr>
          <w:rFonts w:ascii="Calibri" w:eastAsia="Times New Roman" w:hAnsi="Calibri" w:cs="Calibri"/>
          <w:sz w:val="22"/>
          <w:lang w:val="es-ES_tradnl"/>
        </w:rPr>
        <w:t xml:space="preserve">La </w:t>
      </w:r>
      <w:r w:rsidRPr="00CF1744">
        <w:rPr>
          <w:rFonts w:ascii="Calibri" w:eastAsia="Times New Roman" w:hAnsi="Calibri" w:cs="Calibri"/>
          <w:sz w:val="22"/>
          <w:lang w:val="es-ES_tradnl"/>
        </w:rPr>
        <w:t>Secretaría del Convenio de Viena para la Protección de la Capa de Ozono y del Protocolo de Montreal relativo a las sustancias que agotan la capa de ozono (Secretaría del Ozono);</w:t>
      </w:r>
    </w:p>
    <w:p w14:paraId="5D0AEC6D" w14:textId="390A2275" w:rsidR="0002139C" w:rsidRPr="00CF1744" w:rsidRDefault="0002139C" w:rsidP="0002139C">
      <w:pPr>
        <w:spacing w:line="240" w:lineRule="auto"/>
        <w:ind w:left="851" w:hanging="425"/>
        <w:rPr>
          <w:rFonts w:ascii="Calibri" w:eastAsia="Times New Roman" w:hAnsi="Calibri" w:cs="Calibri"/>
          <w:sz w:val="22"/>
          <w:lang w:val="es-ES_tradnl"/>
        </w:rPr>
      </w:pPr>
      <w:r w:rsidRPr="00CF1744">
        <w:rPr>
          <w:rFonts w:ascii="Calibri" w:eastAsia="Times New Roman" w:hAnsi="Calibri" w:cs="Calibri"/>
          <w:sz w:val="22"/>
          <w:lang w:val="es-ES_tradnl"/>
        </w:rPr>
        <w:t>v.</w:t>
      </w:r>
      <w:r w:rsidRPr="00CF1744">
        <w:rPr>
          <w:rFonts w:ascii="Calibri" w:eastAsia="Times New Roman" w:hAnsi="Calibri" w:cs="Calibri"/>
          <w:sz w:val="22"/>
          <w:lang w:val="es-ES_tradnl"/>
        </w:rPr>
        <w:tab/>
      </w:r>
      <w:r w:rsidR="00A0277B">
        <w:rPr>
          <w:rFonts w:ascii="Calibri" w:eastAsia="Times New Roman" w:hAnsi="Calibri" w:cs="Calibri"/>
          <w:sz w:val="22"/>
          <w:lang w:val="es-ES_tradnl"/>
        </w:rPr>
        <w:t xml:space="preserve">La </w:t>
      </w:r>
      <w:r w:rsidRPr="00CF1744">
        <w:rPr>
          <w:rFonts w:ascii="Calibri" w:eastAsia="Times New Roman" w:hAnsi="Calibri" w:cs="Calibri"/>
          <w:sz w:val="22"/>
          <w:lang w:val="es-ES_tradnl"/>
        </w:rPr>
        <w:t>Secretaría del Convenio de Minamata;</w:t>
      </w:r>
    </w:p>
    <w:p w14:paraId="071CEA77" w14:textId="545ACA0F" w:rsidR="0002139C" w:rsidRPr="00CF1744" w:rsidRDefault="0002139C" w:rsidP="0002139C">
      <w:pPr>
        <w:spacing w:line="240" w:lineRule="auto"/>
        <w:ind w:left="851" w:hanging="425"/>
        <w:rPr>
          <w:rFonts w:ascii="Calibri" w:eastAsia="Times New Roman" w:hAnsi="Calibri" w:cs="Calibri"/>
          <w:sz w:val="22"/>
          <w:lang w:val="es-ES_tradnl"/>
        </w:rPr>
      </w:pPr>
      <w:r w:rsidRPr="00CF1744">
        <w:rPr>
          <w:rFonts w:ascii="Calibri" w:eastAsia="Times New Roman" w:hAnsi="Calibri" w:cs="Calibri"/>
          <w:sz w:val="22"/>
          <w:lang w:val="es-ES_tradnl"/>
        </w:rPr>
        <w:t>vi.</w:t>
      </w:r>
      <w:r w:rsidRPr="00CF1744">
        <w:rPr>
          <w:rFonts w:ascii="Calibri" w:eastAsia="Times New Roman" w:hAnsi="Calibri" w:cs="Calibri"/>
          <w:sz w:val="22"/>
          <w:lang w:val="es-ES_tradnl"/>
        </w:rPr>
        <w:tab/>
      </w:r>
      <w:r w:rsidR="00A0277B">
        <w:rPr>
          <w:rFonts w:ascii="Calibri" w:eastAsia="Times New Roman" w:hAnsi="Calibri" w:cs="Calibri"/>
          <w:sz w:val="22"/>
          <w:lang w:val="es-ES_tradnl"/>
        </w:rPr>
        <w:t xml:space="preserve">La </w:t>
      </w:r>
      <w:r w:rsidRPr="00CF1744">
        <w:rPr>
          <w:rFonts w:ascii="Calibri" w:eastAsia="Times New Roman" w:hAnsi="Calibri" w:cs="Calibri"/>
          <w:sz w:val="22"/>
          <w:lang w:val="es-ES_tradnl"/>
        </w:rPr>
        <w:t>Secretaría del Fondo Multilateral para la Aplicación del Protocolo de Montreal (FML);</w:t>
      </w:r>
    </w:p>
    <w:p w14:paraId="7B5B9B0A" w14:textId="02939B67" w:rsidR="0002139C" w:rsidRPr="00CF1744" w:rsidRDefault="0002139C" w:rsidP="0002139C">
      <w:pPr>
        <w:spacing w:line="240" w:lineRule="auto"/>
        <w:ind w:left="851" w:hanging="425"/>
        <w:rPr>
          <w:rFonts w:ascii="Calibri" w:eastAsia="Times New Roman" w:hAnsi="Calibri" w:cs="Calibri"/>
          <w:sz w:val="22"/>
          <w:lang w:val="es-ES_tradnl"/>
        </w:rPr>
      </w:pPr>
      <w:r w:rsidRPr="00CF1744">
        <w:rPr>
          <w:rFonts w:ascii="Calibri" w:eastAsia="Times New Roman" w:hAnsi="Calibri" w:cs="Calibri"/>
          <w:sz w:val="22"/>
          <w:lang w:val="es-ES_tradnl"/>
        </w:rPr>
        <w:t>vii.</w:t>
      </w:r>
      <w:r w:rsidRPr="00CF1744">
        <w:rPr>
          <w:rFonts w:ascii="Calibri" w:eastAsia="Times New Roman" w:hAnsi="Calibri" w:cs="Calibri"/>
          <w:sz w:val="22"/>
          <w:lang w:val="es-ES_tradnl"/>
        </w:rPr>
        <w:tab/>
      </w:r>
      <w:r w:rsidR="00A0277B">
        <w:rPr>
          <w:rFonts w:ascii="Calibri" w:eastAsia="Times New Roman" w:hAnsi="Calibri" w:cs="Calibri"/>
          <w:sz w:val="22"/>
          <w:lang w:val="es-ES_tradnl"/>
        </w:rPr>
        <w:t xml:space="preserve">La </w:t>
      </w:r>
      <w:r w:rsidRPr="00CF1744">
        <w:rPr>
          <w:rFonts w:ascii="Calibri" w:eastAsia="Times New Roman" w:hAnsi="Calibri" w:cs="Calibri"/>
          <w:sz w:val="22"/>
          <w:lang w:val="es-ES_tradnl"/>
        </w:rPr>
        <w:t>Asamblea de las Naciones Unidas para el Medio Ambiente (UNEA);</w:t>
      </w:r>
    </w:p>
    <w:p w14:paraId="07AAD67B" w14:textId="410121CF" w:rsidR="0002139C" w:rsidRPr="00CF1744" w:rsidRDefault="0002139C" w:rsidP="0002139C">
      <w:pPr>
        <w:spacing w:line="240" w:lineRule="auto"/>
        <w:ind w:left="851" w:hanging="425"/>
        <w:rPr>
          <w:rFonts w:ascii="Calibri" w:eastAsia="Times New Roman" w:hAnsi="Calibri" w:cs="Calibri"/>
          <w:sz w:val="22"/>
          <w:lang w:val="es-ES_tradnl"/>
        </w:rPr>
      </w:pPr>
      <w:r w:rsidRPr="00CF1744">
        <w:rPr>
          <w:rFonts w:ascii="Calibri" w:eastAsia="Times New Roman" w:hAnsi="Calibri" w:cs="Calibri"/>
          <w:sz w:val="22"/>
          <w:lang w:val="es-ES_tradnl"/>
        </w:rPr>
        <w:t>viii.</w:t>
      </w:r>
      <w:r w:rsidRPr="00CF1744">
        <w:rPr>
          <w:rFonts w:ascii="Calibri" w:eastAsia="Times New Roman" w:hAnsi="Calibri" w:cs="Calibri"/>
          <w:sz w:val="22"/>
          <w:lang w:val="es-ES_tradnl"/>
        </w:rPr>
        <w:tab/>
      </w:r>
      <w:r w:rsidR="00A0277B">
        <w:rPr>
          <w:rFonts w:ascii="Calibri" w:eastAsia="Times New Roman" w:hAnsi="Calibri" w:cs="Calibri"/>
          <w:sz w:val="22"/>
          <w:lang w:val="es-ES_tradnl"/>
        </w:rPr>
        <w:t xml:space="preserve">La </w:t>
      </w:r>
      <w:r w:rsidRPr="00CF1744">
        <w:rPr>
          <w:rFonts w:ascii="Calibri" w:eastAsia="Times New Roman" w:hAnsi="Calibri" w:cs="Calibri"/>
          <w:sz w:val="22"/>
          <w:lang w:val="es-ES_tradnl"/>
        </w:rPr>
        <w:t>Convención Marco de las Naciones Unidas sobre el Cambio Climático (CMNUCC).</w:t>
      </w:r>
    </w:p>
    <w:p w14:paraId="410DA23A" w14:textId="77777777" w:rsidR="00576F72" w:rsidRPr="00CF1744" w:rsidRDefault="00576F72" w:rsidP="00576F72">
      <w:pPr>
        <w:spacing w:line="240" w:lineRule="auto"/>
        <w:rPr>
          <w:rFonts w:ascii="Calibri" w:eastAsia="Times New Roman" w:hAnsi="Calibri" w:cs="Calibri"/>
          <w:sz w:val="22"/>
          <w:lang w:val="es-ES_tradnl"/>
        </w:rPr>
      </w:pPr>
    </w:p>
    <w:p w14:paraId="43155E17" w14:textId="1BB81C7B" w:rsidR="00576F72" w:rsidRPr="00CF1744" w:rsidRDefault="008F3129" w:rsidP="00D373DC">
      <w:pPr>
        <w:spacing w:line="240" w:lineRule="auto"/>
        <w:ind w:left="426" w:hanging="426"/>
        <w:rPr>
          <w:rFonts w:ascii="Calibri" w:eastAsia="Times New Roman" w:hAnsi="Calibri" w:cs="Calibri"/>
          <w:sz w:val="22"/>
          <w:lang w:val="es-ES_tradnl"/>
        </w:rPr>
      </w:pPr>
      <w:r w:rsidRPr="00CF1744">
        <w:rPr>
          <w:rFonts w:ascii="Calibri" w:eastAsia="Times New Roman" w:hAnsi="Calibri" w:cs="Calibri"/>
          <w:sz w:val="22"/>
          <w:lang w:val="es-ES_tradnl"/>
        </w:rPr>
        <w:t>8.</w:t>
      </w:r>
      <w:r w:rsidRPr="00CF1744">
        <w:rPr>
          <w:rFonts w:ascii="Calibri" w:eastAsia="Times New Roman" w:hAnsi="Calibri" w:cs="Calibri"/>
          <w:sz w:val="22"/>
          <w:lang w:val="es-ES_tradnl"/>
        </w:rPr>
        <w:tab/>
      </w:r>
      <w:r w:rsidR="0002139C" w:rsidRPr="00CF1744">
        <w:rPr>
          <w:rFonts w:ascii="Calibri" w:eastAsia="Times New Roman" w:hAnsi="Calibri" w:cs="Calibri"/>
          <w:sz w:val="22"/>
          <w:lang w:val="es-ES_tradnl"/>
        </w:rPr>
        <w:t>Basándose en el cuestionario co</w:t>
      </w:r>
      <w:r w:rsidR="00DE34B8" w:rsidRPr="00CF1744">
        <w:rPr>
          <w:rFonts w:ascii="Calibri" w:eastAsia="Times New Roman" w:hAnsi="Calibri" w:cs="Calibri"/>
          <w:sz w:val="22"/>
          <w:lang w:val="es-ES_tradnl"/>
        </w:rPr>
        <w:t>municado</w:t>
      </w:r>
      <w:r w:rsidR="0002139C" w:rsidRPr="00CF1744">
        <w:rPr>
          <w:rFonts w:ascii="Calibri" w:eastAsia="Times New Roman" w:hAnsi="Calibri" w:cs="Calibri"/>
          <w:sz w:val="22"/>
          <w:lang w:val="es-ES_tradnl"/>
        </w:rPr>
        <w:t xml:space="preserve"> por la Secretaría, sus respuestas pueden resumirse como sigue:</w:t>
      </w:r>
    </w:p>
    <w:p w14:paraId="25C77C16" w14:textId="77777777" w:rsidR="00576F72" w:rsidRPr="00CF1744" w:rsidRDefault="00576F72" w:rsidP="00576F72">
      <w:pPr>
        <w:spacing w:line="240" w:lineRule="auto"/>
        <w:rPr>
          <w:rFonts w:ascii="Calibri" w:eastAsia="Times New Roman" w:hAnsi="Calibri" w:cs="Calibri"/>
          <w:sz w:val="22"/>
          <w:lang w:val="es-ES_tradnl"/>
        </w:rPr>
      </w:pPr>
    </w:p>
    <w:p w14:paraId="0EC7F317" w14:textId="3A36EEC1" w:rsidR="0002139C" w:rsidRPr="00CF1744" w:rsidRDefault="008F3129" w:rsidP="000F3136">
      <w:pPr>
        <w:spacing w:line="240" w:lineRule="auto"/>
        <w:ind w:left="851" w:hanging="425"/>
        <w:rPr>
          <w:rFonts w:ascii="Calibri" w:eastAsia="Times New Roman" w:hAnsi="Calibri" w:cs="Calibri"/>
          <w:sz w:val="22"/>
          <w:lang w:val="es-ES_tradnl"/>
        </w:rPr>
      </w:pPr>
      <w:r w:rsidRPr="00CF1744">
        <w:rPr>
          <w:rFonts w:ascii="Calibri" w:eastAsia="Times New Roman" w:hAnsi="Calibri" w:cs="Calibri"/>
          <w:sz w:val="22"/>
          <w:lang w:val="es-ES_tradnl"/>
        </w:rPr>
        <w:t>i</w:t>
      </w:r>
      <w:r w:rsidR="00576F72" w:rsidRPr="00CF1744">
        <w:rPr>
          <w:rFonts w:ascii="Calibri" w:eastAsia="Times New Roman" w:hAnsi="Calibri" w:cs="Calibri"/>
          <w:sz w:val="22"/>
          <w:lang w:val="es-ES_tradnl"/>
        </w:rPr>
        <w:t>.</w:t>
      </w:r>
      <w:r w:rsidR="00576F72" w:rsidRPr="00CF1744">
        <w:rPr>
          <w:rFonts w:ascii="Calibri" w:eastAsia="Times New Roman" w:hAnsi="Calibri" w:cs="Calibri"/>
          <w:sz w:val="22"/>
          <w:lang w:val="es-ES_tradnl"/>
        </w:rPr>
        <w:tab/>
      </w:r>
      <w:r w:rsidR="0002139C" w:rsidRPr="00CF1744">
        <w:rPr>
          <w:rFonts w:ascii="Calibri" w:eastAsia="Times New Roman" w:hAnsi="Calibri" w:cs="Calibri"/>
          <w:sz w:val="22"/>
          <w:lang w:val="es-ES_tradnl"/>
        </w:rPr>
        <w:t>Salvo la UNEA, cuyo Reglamento no permite las reuniones virtuales, los Reglamentos de las demás organizaciones no permiten ni prohíben específicamente las reuniones virtuales. Por lo tanto, se pueden celebrar reuniones virtuales sin tener que revisar el Reglamento. La CMS es una excepción, ya que modificó el artículo 3 sobre «Reuniones» de su Reglamento de la Comisión Permanente, para añadir normas específicas para las reuniones virtuales. El nuevo artículo establece que «</w:t>
      </w:r>
      <w:r w:rsidR="000F3136" w:rsidRPr="00CF1744">
        <w:rPr>
          <w:rFonts w:ascii="Calibri" w:eastAsia="Times New Roman" w:hAnsi="Calibri" w:cs="Calibri"/>
          <w:sz w:val="22"/>
          <w:lang w:val="es-ES_tradnl"/>
        </w:rPr>
        <w:t xml:space="preserve">La Secretaría, en consulta con el Presidente y los miembros del Comité Permanente, propondrá la hora y el lugar de las reuniones, entre ellas las reuniones en línea </w:t>
      </w:r>
      <w:r w:rsidR="0002139C" w:rsidRPr="00CF1744">
        <w:rPr>
          <w:rFonts w:ascii="Calibri" w:eastAsia="Times New Roman" w:hAnsi="Calibri" w:cs="Calibri"/>
          <w:sz w:val="22"/>
          <w:lang w:val="es-ES_tradnl"/>
        </w:rPr>
        <w:t xml:space="preserve">», y regula los tres aspectos siguientes: </w:t>
      </w:r>
    </w:p>
    <w:p w14:paraId="169A15E5" w14:textId="77777777" w:rsidR="00E81DC5" w:rsidRPr="00CF1744" w:rsidRDefault="00E81DC5" w:rsidP="00E81DC5">
      <w:pPr>
        <w:spacing w:line="240" w:lineRule="auto"/>
        <w:ind w:left="851" w:hanging="425"/>
        <w:rPr>
          <w:rFonts w:ascii="Calibri" w:eastAsia="Times New Roman" w:hAnsi="Calibri" w:cs="Calibri"/>
          <w:sz w:val="22"/>
          <w:lang w:val="es-ES_tradnl"/>
        </w:rPr>
      </w:pPr>
    </w:p>
    <w:p w14:paraId="1A5BDC39" w14:textId="2898AB92" w:rsidR="00E81DC5" w:rsidRPr="00CF1744" w:rsidRDefault="00E81DC5" w:rsidP="00E81DC5">
      <w:pPr>
        <w:pStyle w:val="ListParagraph"/>
        <w:numPr>
          <w:ilvl w:val="0"/>
          <w:numId w:val="3"/>
        </w:numPr>
        <w:rPr>
          <w:rFonts w:ascii="Calibri" w:eastAsia="Times New Roman" w:hAnsi="Calibri" w:cs="Calibri"/>
          <w:lang w:val="es-ES_tradnl"/>
        </w:rPr>
      </w:pPr>
      <w:r w:rsidRPr="00CF1744">
        <w:rPr>
          <w:rFonts w:ascii="Calibri" w:eastAsia="Times New Roman" w:hAnsi="Calibri" w:cs="Calibri"/>
          <w:lang w:val="es-ES_tradnl"/>
        </w:rPr>
        <w:t xml:space="preserve">Cómo identificar la presencia de miembros que </w:t>
      </w:r>
      <w:r w:rsidR="000F3136" w:rsidRPr="00CF1744">
        <w:rPr>
          <w:rFonts w:ascii="Calibri" w:eastAsia="Times New Roman" w:hAnsi="Calibri" w:cs="Calibri"/>
          <w:lang w:val="es-ES_tradnl"/>
        </w:rPr>
        <w:t xml:space="preserve">se alejan de </w:t>
      </w:r>
      <w:r w:rsidRPr="00CF1744">
        <w:rPr>
          <w:rFonts w:ascii="Calibri" w:eastAsia="Times New Roman" w:hAnsi="Calibri" w:cs="Calibri"/>
          <w:lang w:val="es-ES_tradnl"/>
        </w:rPr>
        <w:t xml:space="preserve">su dispositivo o se desconectan; </w:t>
      </w:r>
    </w:p>
    <w:p w14:paraId="511C40A9" w14:textId="668A90BC" w:rsidR="00E81DC5" w:rsidRPr="00CF1744" w:rsidRDefault="00E81DC5" w:rsidP="00E81DC5">
      <w:pPr>
        <w:pStyle w:val="ListParagraph"/>
        <w:numPr>
          <w:ilvl w:val="0"/>
          <w:numId w:val="3"/>
        </w:numPr>
        <w:rPr>
          <w:rFonts w:ascii="Calibri" w:eastAsia="Times New Roman" w:hAnsi="Calibri" w:cs="Calibri"/>
          <w:lang w:val="es-ES_tradnl"/>
        </w:rPr>
      </w:pPr>
      <w:r w:rsidRPr="00CF1744">
        <w:rPr>
          <w:rFonts w:ascii="Calibri" w:eastAsia="Times New Roman" w:hAnsi="Calibri" w:cs="Calibri"/>
          <w:lang w:val="es-ES_tradnl"/>
        </w:rPr>
        <w:t>El procedimiento de votación durante una reunión en línea; y</w:t>
      </w:r>
    </w:p>
    <w:p w14:paraId="14E06AD5" w14:textId="7097082E" w:rsidR="00AF1212" w:rsidRPr="00CF1744" w:rsidRDefault="00E81DC5" w:rsidP="00AF1212">
      <w:pPr>
        <w:pStyle w:val="ListParagraph"/>
        <w:numPr>
          <w:ilvl w:val="0"/>
          <w:numId w:val="3"/>
        </w:numPr>
        <w:rPr>
          <w:rFonts w:ascii="Calibri" w:eastAsia="Times New Roman" w:hAnsi="Calibri" w:cs="Calibri"/>
          <w:lang w:val="es-ES_tradnl"/>
        </w:rPr>
      </w:pPr>
      <w:r w:rsidRPr="00CF1744">
        <w:rPr>
          <w:rFonts w:ascii="Calibri" w:eastAsia="Times New Roman" w:hAnsi="Calibri" w:cs="Calibri"/>
          <w:lang w:val="es-ES_tradnl"/>
        </w:rPr>
        <w:t>Inclusión en el informe de la reunión de los comentarios u opiniones expresados en el chat durante una reunión en línea.</w:t>
      </w:r>
    </w:p>
    <w:p w14:paraId="5B73222A" w14:textId="03744C1E" w:rsidR="00E81DC5" w:rsidRPr="00CF1744" w:rsidRDefault="008F3129" w:rsidP="00E81DC5">
      <w:pPr>
        <w:spacing w:line="240" w:lineRule="auto"/>
        <w:ind w:left="851" w:hanging="425"/>
        <w:rPr>
          <w:rFonts w:ascii="Calibri" w:eastAsia="Times New Roman" w:hAnsi="Calibri" w:cs="Calibri"/>
          <w:sz w:val="22"/>
          <w:lang w:val="es-ES_tradnl"/>
        </w:rPr>
      </w:pPr>
      <w:r w:rsidRPr="00CF1744">
        <w:rPr>
          <w:rFonts w:ascii="Calibri" w:eastAsia="Times New Roman" w:hAnsi="Calibri" w:cs="Calibri"/>
          <w:sz w:val="22"/>
          <w:lang w:val="es-ES_tradnl"/>
        </w:rPr>
        <w:t>ii</w:t>
      </w:r>
      <w:r w:rsidR="00576F72" w:rsidRPr="00CF1744">
        <w:rPr>
          <w:rFonts w:ascii="Calibri" w:eastAsia="Times New Roman" w:hAnsi="Calibri" w:cs="Calibri"/>
          <w:sz w:val="22"/>
          <w:lang w:val="es-ES_tradnl"/>
        </w:rPr>
        <w:t>.</w:t>
      </w:r>
      <w:r w:rsidR="00576F72" w:rsidRPr="00CF1744">
        <w:rPr>
          <w:rFonts w:ascii="Calibri" w:eastAsia="Times New Roman" w:hAnsi="Calibri" w:cs="Calibri"/>
          <w:sz w:val="22"/>
          <w:lang w:val="es-ES_tradnl"/>
        </w:rPr>
        <w:tab/>
      </w:r>
      <w:r w:rsidR="00E81DC5" w:rsidRPr="00CF1744">
        <w:rPr>
          <w:rFonts w:ascii="Calibri" w:eastAsia="Times New Roman" w:hAnsi="Calibri" w:cs="Calibri"/>
          <w:sz w:val="22"/>
          <w:lang w:val="es-ES_tradnl"/>
        </w:rPr>
        <w:t xml:space="preserve">Las ocho organizaciones utilizaron reuniones virtuales para las negociaciones y la </w:t>
      </w:r>
      <w:r w:rsidR="00AF1212" w:rsidRPr="00CF1744">
        <w:rPr>
          <w:rFonts w:ascii="Calibri" w:eastAsia="Times New Roman" w:hAnsi="Calibri" w:cs="Calibri"/>
          <w:sz w:val="22"/>
          <w:lang w:val="es-ES_tradnl"/>
        </w:rPr>
        <w:t>adopción</w:t>
      </w:r>
      <w:r w:rsidR="00E81DC5" w:rsidRPr="00CF1744">
        <w:rPr>
          <w:rFonts w:ascii="Calibri" w:eastAsia="Times New Roman" w:hAnsi="Calibri" w:cs="Calibri"/>
          <w:sz w:val="22"/>
          <w:lang w:val="es-ES_tradnl"/>
        </w:rPr>
        <w:t xml:space="preserve"> de decisiones. Cabe señalar que incluso la primera parte de la quinta sesión de la UNEA (UNEA 5.1) se celebró íntegramente en línea, a pesar de que el Reglamento interno de la UNEA no prevé la celebración de reuniones virtuales. Dentro de la UNEA hay </w:t>
      </w:r>
      <w:r w:rsidR="00AF1212" w:rsidRPr="00CF1744">
        <w:rPr>
          <w:rFonts w:ascii="Calibri" w:eastAsia="Times New Roman" w:hAnsi="Calibri" w:cs="Calibri"/>
          <w:sz w:val="22"/>
          <w:lang w:val="es-ES_tradnl"/>
        </w:rPr>
        <w:t xml:space="preserve">diferencia </w:t>
      </w:r>
      <w:r w:rsidR="00E81DC5" w:rsidRPr="00CF1744">
        <w:rPr>
          <w:rFonts w:ascii="Calibri" w:eastAsia="Times New Roman" w:hAnsi="Calibri" w:cs="Calibri"/>
          <w:sz w:val="22"/>
          <w:lang w:val="es-ES_tradnl"/>
        </w:rPr>
        <w:t>de opiniones sobre si la</w:t>
      </w:r>
      <w:r w:rsidR="00AF1212" w:rsidRPr="00CF1744">
        <w:rPr>
          <w:rFonts w:ascii="Calibri" w:eastAsia="Times New Roman" w:hAnsi="Calibri" w:cs="Calibri"/>
          <w:sz w:val="22"/>
          <w:lang w:val="es-ES_tradnl"/>
        </w:rPr>
        <w:t xml:space="preserve"> adopción de </w:t>
      </w:r>
      <w:r w:rsidR="00E81DC5" w:rsidRPr="00CF1744">
        <w:rPr>
          <w:rFonts w:ascii="Calibri" w:eastAsia="Times New Roman" w:hAnsi="Calibri" w:cs="Calibri"/>
          <w:sz w:val="22"/>
          <w:lang w:val="es-ES_tradnl"/>
        </w:rPr>
        <w:t xml:space="preserve">decisiones </w:t>
      </w:r>
      <w:r w:rsidR="00AF1212" w:rsidRPr="00CF1744">
        <w:rPr>
          <w:rFonts w:ascii="Calibri" w:eastAsia="Times New Roman" w:hAnsi="Calibri" w:cs="Calibri"/>
          <w:sz w:val="22"/>
          <w:lang w:val="es-ES_tradnl"/>
        </w:rPr>
        <w:t xml:space="preserve">oficiales </w:t>
      </w:r>
      <w:r w:rsidR="00E81DC5" w:rsidRPr="00CF1744">
        <w:rPr>
          <w:rFonts w:ascii="Calibri" w:eastAsia="Times New Roman" w:hAnsi="Calibri" w:cs="Calibri"/>
          <w:sz w:val="22"/>
          <w:lang w:val="es-ES_tradnl"/>
        </w:rPr>
        <w:t xml:space="preserve">e importantes puede tener lugar virtualmente. Como resultado, en algunas reuniones virtuales las decisiones </w:t>
      </w:r>
      <w:r w:rsidR="00B41013" w:rsidRPr="00CF1744">
        <w:rPr>
          <w:rFonts w:ascii="Calibri" w:eastAsia="Times New Roman" w:hAnsi="Calibri" w:cs="Calibri"/>
          <w:sz w:val="22"/>
          <w:lang w:val="es-ES_tradnl"/>
        </w:rPr>
        <w:t xml:space="preserve">oficiales </w:t>
      </w:r>
      <w:r w:rsidR="00E81DC5" w:rsidRPr="00CF1744">
        <w:rPr>
          <w:rFonts w:ascii="Calibri" w:eastAsia="Times New Roman" w:hAnsi="Calibri" w:cs="Calibri"/>
          <w:sz w:val="22"/>
          <w:lang w:val="es-ES_tradnl"/>
        </w:rPr>
        <w:t xml:space="preserve">se han limitado a «decisiones esenciales» o decisiones de procedimiento. </w:t>
      </w:r>
    </w:p>
    <w:p w14:paraId="6AF27BB9" w14:textId="77777777" w:rsidR="00E81DC5" w:rsidRPr="00CF1744" w:rsidRDefault="00E81DC5" w:rsidP="00E81DC5">
      <w:pPr>
        <w:rPr>
          <w:rFonts w:ascii="Calibri" w:eastAsia="Times New Roman" w:hAnsi="Calibri" w:cs="Calibri"/>
          <w:sz w:val="22"/>
          <w:lang w:val="es-ES_tradnl"/>
        </w:rPr>
      </w:pPr>
    </w:p>
    <w:p w14:paraId="61DA4ED5" w14:textId="0C81F9F4" w:rsidR="00576F72" w:rsidRPr="00CF1744" w:rsidRDefault="008F3129" w:rsidP="00D373DC">
      <w:pPr>
        <w:spacing w:line="240" w:lineRule="auto"/>
        <w:ind w:left="851" w:hanging="425"/>
        <w:rPr>
          <w:rFonts w:ascii="Calibri" w:eastAsia="Times New Roman" w:hAnsi="Calibri" w:cs="Calibri"/>
          <w:sz w:val="22"/>
          <w:lang w:val="es-ES_tradnl"/>
        </w:rPr>
      </w:pPr>
      <w:r w:rsidRPr="00CF1744">
        <w:rPr>
          <w:rFonts w:ascii="Calibri" w:eastAsia="Times New Roman" w:hAnsi="Calibri" w:cs="Calibri"/>
          <w:sz w:val="22"/>
          <w:lang w:val="es-ES_tradnl"/>
        </w:rPr>
        <w:t>iii.</w:t>
      </w:r>
      <w:r w:rsidRPr="00CF1744">
        <w:rPr>
          <w:rFonts w:ascii="Calibri" w:eastAsia="Times New Roman" w:hAnsi="Calibri" w:cs="Calibri"/>
          <w:sz w:val="22"/>
          <w:lang w:val="es-ES_tradnl"/>
        </w:rPr>
        <w:tab/>
      </w:r>
      <w:r w:rsidR="00E81DC5" w:rsidRPr="00CF1744">
        <w:rPr>
          <w:rFonts w:ascii="Calibri" w:eastAsia="Times New Roman" w:hAnsi="Calibri" w:cs="Calibri"/>
          <w:sz w:val="22"/>
          <w:lang w:val="es-ES_tradnl"/>
        </w:rPr>
        <w:t xml:space="preserve">Para </w:t>
      </w:r>
      <w:r w:rsidR="002460CD" w:rsidRPr="00CF1744">
        <w:rPr>
          <w:rFonts w:ascii="Calibri" w:eastAsia="Times New Roman" w:hAnsi="Calibri" w:cs="Calibri"/>
          <w:sz w:val="22"/>
          <w:lang w:val="es-ES_tradnl"/>
        </w:rPr>
        <w:t xml:space="preserve">asegurar </w:t>
      </w:r>
      <w:r w:rsidR="00E81DC5" w:rsidRPr="00CF1744">
        <w:rPr>
          <w:rFonts w:ascii="Calibri" w:eastAsia="Times New Roman" w:hAnsi="Calibri" w:cs="Calibri"/>
          <w:sz w:val="22"/>
          <w:lang w:val="es-ES_tradnl"/>
        </w:rPr>
        <w:t>una participación plena y efectiva, las organizaciones han realizado preparativos y consideraciones sobre la plataforma de reunión utilizada, los procedimientos de la reunión, la diferencia horaria, la interpretación, la</w:t>
      </w:r>
      <w:r w:rsidR="00B41013" w:rsidRPr="00CF1744">
        <w:rPr>
          <w:rFonts w:ascii="Calibri" w:eastAsia="Times New Roman" w:hAnsi="Calibri" w:cs="Calibri"/>
          <w:sz w:val="22"/>
          <w:lang w:val="es-ES_tradnl"/>
        </w:rPr>
        <w:t>s</w:t>
      </w:r>
      <w:r w:rsidR="00E81DC5" w:rsidRPr="00CF1744">
        <w:rPr>
          <w:rFonts w:ascii="Calibri" w:eastAsia="Times New Roman" w:hAnsi="Calibri" w:cs="Calibri"/>
          <w:sz w:val="22"/>
          <w:lang w:val="es-ES_tradnl"/>
        </w:rPr>
        <w:t xml:space="preserve"> prueba</w:t>
      </w:r>
      <w:r w:rsidR="00B41013" w:rsidRPr="00CF1744">
        <w:rPr>
          <w:rFonts w:ascii="Calibri" w:eastAsia="Times New Roman" w:hAnsi="Calibri" w:cs="Calibri"/>
          <w:sz w:val="22"/>
          <w:lang w:val="es-ES_tradnl"/>
        </w:rPr>
        <w:t>s</w:t>
      </w:r>
      <w:r w:rsidR="00E81DC5" w:rsidRPr="00CF1744">
        <w:rPr>
          <w:rFonts w:ascii="Calibri" w:eastAsia="Times New Roman" w:hAnsi="Calibri" w:cs="Calibri"/>
          <w:sz w:val="22"/>
          <w:lang w:val="es-ES_tradnl"/>
        </w:rPr>
        <w:t xml:space="preserve"> técnica</w:t>
      </w:r>
      <w:r w:rsidR="00B41013" w:rsidRPr="00CF1744">
        <w:rPr>
          <w:rFonts w:ascii="Calibri" w:eastAsia="Times New Roman" w:hAnsi="Calibri" w:cs="Calibri"/>
          <w:sz w:val="22"/>
          <w:lang w:val="es-ES_tradnl"/>
        </w:rPr>
        <w:t>s</w:t>
      </w:r>
      <w:r w:rsidR="00E81DC5" w:rsidRPr="00CF1744">
        <w:rPr>
          <w:rFonts w:ascii="Calibri" w:eastAsia="Times New Roman" w:hAnsi="Calibri" w:cs="Calibri"/>
          <w:sz w:val="22"/>
          <w:lang w:val="es-ES_tradnl"/>
        </w:rPr>
        <w:t xml:space="preserve"> y otras cuestiones. Además, la </w:t>
      </w:r>
      <w:r w:rsidR="00F07C93" w:rsidRPr="00CF1744">
        <w:rPr>
          <w:rFonts w:ascii="Calibri" w:eastAsia="Times New Roman" w:hAnsi="Calibri" w:cs="Calibri"/>
          <w:sz w:val="22"/>
          <w:lang w:val="es-ES_tradnl"/>
        </w:rPr>
        <w:t>Secretaría de los</w:t>
      </w:r>
      <w:r w:rsidR="00A5736D" w:rsidRPr="00CF1744">
        <w:rPr>
          <w:rFonts w:ascii="Calibri" w:eastAsia="Times New Roman" w:hAnsi="Calibri" w:cs="Calibri"/>
          <w:sz w:val="22"/>
          <w:lang w:val="es-ES_tradnl"/>
        </w:rPr>
        <w:t xml:space="preserve"> C</w:t>
      </w:r>
      <w:r w:rsidR="00F07C93" w:rsidRPr="00CF1744">
        <w:rPr>
          <w:rFonts w:ascii="Calibri" w:eastAsia="Times New Roman" w:hAnsi="Calibri" w:cs="Calibri"/>
          <w:sz w:val="22"/>
          <w:lang w:val="es-ES_tradnl"/>
        </w:rPr>
        <w:t>onvenios de BRE</w:t>
      </w:r>
      <w:r w:rsidR="00E81DC5" w:rsidRPr="00CF1744">
        <w:rPr>
          <w:rFonts w:ascii="Calibri" w:eastAsia="Times New Roman" w:hAnsi="Calibri" w:cs="Calibri"/>
          <w:sz w:val="22"/>
          <w:lang w:val="es-ES_tradnl"/>
        </w:rPr>
        <w:t xml:space="preserve"> proporcionó una «</w:t>
      </w:r>
      <w:r w:rsidR="00B41013" w:rsidRPr="00CF1744">
        <w:rPr>
          <w:rFonts w:ascii="Calibri" w:eastAsia="Times New Roman" w:hAnsi="Calibri" w:cs="Calibri"/>
          <w:sz w:val="22"/>
          <w:lang w:val="es-ES_tradnl"/>
        </w:rPr>
        <w:t>asistencia financiera para los costos de comunicación</w:t>
      </w:r>
      <w:r w:rsidR="00E81DC5" w:rsidRPr="00CF1744">
        <w:rPr>
          <w:rFonts w:ascii="Calibri" w:eastAsia="Times New Roman" w:hAnsi="Calibri" w:cs="Calibri"/>
          <w:sz w:val="22"/>
          <w:lang w:val="es-ES_tradnl"/>
        </w:rPr>
        <w:t>» a los países en desarrollo y a los países con economías en transición, reembolsando los cost</w:t>
      </w:r>
      <w:r w:rsidR="005D13C8" w:rsidRPr="00CF1744">
        <w:rPr>
          <w:rFonts w:ascii="Calibri" w:eastAsia="Times New Roman" w:hAnsi="Calibri" w:cs="Calibri"/>
          <w:sz w:val="22"/>
          <w:lang w:val="es-ES_tradnl"/>
        </w:rPr>
        <w:t>o</w:t>
      </w:r>
      <w:r w:rsidR="00E81DC5" w:rsidRPr="00CF1744">
        <w:rPr>
          <w:rFonts w:ascii="Calibri" w:eastAsia="Times New Roman" w:hAnsi="Calibri" w:cs="Calibri"/>
          <w:sz w:val="22"/>
          <w:lang w:val="es-ES_tradnl"/>
        </w:rPr>
        <w:t>s de las personas para adquirir una conexión a Internet estable y fiable.</w:t>
      </w:r>
    </w:p>
    <w:p w14:paraId="0F0F33B9" w14:textId="77777777" w:rsidR="00576F72" w:rsidRPr="00CF1744" w:rsidRDefault="00576F72" w:rsidP="00D373DC">
      <w:pPr>
        <w:spacing w:line="240" w:lineRule="auto"/>
        <w:ind w:left="851" w:hanging="425"/>
        <w:rPr>
          <w:rFonts w:ascii="Calibri" w:eastAsia="Times New Roman" w:hAnsi="Calibri" w:cs="Calibri"/>
          <w:sz w:val="22"/>
          <w:lang w:val="es-ES_tradnl"/>
        </w:rPr>
      </w:pPr>
    </w:p>
    <w:p w14:paraId="6DEADB22" w14:textId="7BFD9DB2" w:rsidR="00E81DC5" w:rsidRPr="00CF1744" w:rsidRDefault="008F3129" w:rsidP="00E81DC5">
      <w:pPr>
        <w:spacing w:line="240" w:lineRule="auto"/>
        <w:ind w:left="851" w:hanging="425"/>
        <w:rPr>
          <w:rFonts w:ascii="Calibri" w:eastAsia="Times New Roman" w:hAnsi="Calibri" w:cs="Calibri"/>
          <w:sz w:val="22"/>
          <w:lang w:val="es-ES_tradnl"/>
        </w:rPr>
      </w:pPr>
      <w:r w:rsidRPr="00CF1744">
        <w:rPr>
          <w:rFonts w:ascii="Calibri" w:eastAsia="Times New Roman" w:hAnsi="Calibri" w:cs="Calibri"/>
          <w:sz w:val="22"/>
          <w:lang w:val="es-ES_tradnl"/>
        </w:rPr>
        <w:t>iv</w:t>
      </w:r>
      <w:r w:rsidR="00576F72" w:rsidRPr="00CF1744">
        <w:rPr>
          <w:rFonts w:ascii="Calibri" w:eastAsia="Times New Roman" w:hAnsi="Calibri" w:cs="Calibri"/>
          <w:sz w:val="22"/>
          <w:lang w:val="es-ES_tradnl"/>
        </w:rPr>
        <w:t>.</w:t>
      </w:r>
      <w:r w:rsidR="00576F72" w:rsidRPr="00CF1744">
        <w:rPr>
          <w:rFonts w:ascii="Calibri" w:eastAsia="Times New Roman" w:hAnsi="Calibri" w:cs="Calibri"/>
          <w:sz w:val="22"/>
          <w:lang w:val="es-ES_tradnl"/>
        </w:rPr>
        <w:tab/>
      </w:r>
      <w:bookmarkStart w:id="0" w:name="_Hlk194413832"/>
      <w:r w:rsidR="00E81DC5" w:rsidRPr="00CF1744">
        <w:rPr>
          <w:rFonts w:ascii="Calibri" w:eastAsia="Times New Roman" w:hAnsi="Calibri" w:cs="Calibri"/>
          <w:sz w:val="22"/>
          <w:lang w:val="es-ES_tradnl"/>
        </w:rPr>
        <w:t>La mayoría de las organizaciones consideraron que las reuniones virtuales sólo fueron necesarias durante la pandemia y que la práctica de las reuniones presenciales se ha reanudado, por lo que no ha sido necesario modificar o cambiar los procesos de gobernanza para dichas reuniones. Varias organizaciones señalaron que desde la pandemia ha aumentado el uso de reuniones virtuales o híbridas, ya que las Partes se han sentido más cómodas con su uso. Varias organizaciones hicieron referencia a la importancia de contar con procedimientos operativos normalizados (PO</w:t>
      </w:r>
      <w:r w:rsidR="00F07C93" w:rsidRPr="00CF1744">
        <w:rPr>
          <w:rFonts w:ascii="Calibri" w:eastAsia="Times New Roman" w:hAnsi="Calibri" w:cs="Calibri"/>
          <w:sz w:val="22"/>
          <w:lang w:val="es-ES_tradnl"/>
        </w:rPr>
        <w:t>N</w:t>
      </w:r>
      <w:r w:rsidR="00E81DC5" w:rsidRPr="00CF1744">
        <w:rPr>
          <w:rFonts w:ascii="Calibri" w:eastAsia="Times New Roman" w:hAnsi="Calibri" w:cs="Calibri"/>
          <w:sz w:val="22"/>
          <w:lang w:val="es-ES_tradnl"/>
        </w:rPr>
        <w:t xml:space="preserve">) para organizar y gestionar las reuniones virtuales. </w:t>
      </w:r>
      <w:r w:rsidR="005D13C8" w:rsidRPr="00CF1744">
        <w:rPr>
          <w:rFonts w:ascii="Calibri" w:eastAsia="Times New Roman" w:hAnsi="Calibri" w:cs="Calibri"/>
          <w:sz w:val="22"/>
          <w:lang w:val="es-ES_tradnl"/>
        </w:rPr>
        <w:t xml:space="preserve">Dichos </w:t>
      </w:r>
      <w:r w:rsidR="00E81DC5" w:rsidRPr="00CF1744">
        <w:rPr>
          <w:rFonts w:ascii="Calibri" w:eastAsia="Times New Roman" w:hAnsi="Calibri" w:cs="Calibri"/>
          <w:sz w:val="22"/>
          <w:lang w:val="es-ES_tradnl"/>
        </w:rPr>
        <w:t>P</w:t>
      </w:r>
      <w:r w:rsidR="00F07C93" w:rsidRPr="00CF1744">
        <w:rPr>
          <w:rFonts w:ascii="Calibri" w:eastAsia="Times New Roman" w:hAnsi="Calibri" w:cs="Calibri"/>
          <w:sz w:val="22"/>
          <w:lang w:val="es-ES_tradnl"/>
        </w:rPr>
        <w:t>ON</w:t>
      </w:r>
      <w:r w:rsidR="00E81DC5" w:rsidRPr="00CF1744">
        <w:rPr>
          <w:rFonts w:ascii="Calibri" w:eastAsia="Times New Roman" w:hAnsi="Calibri" w:cs="Calibri"/>
          <w:sz w:val="22"/>
          <w:lang w:val="es-ES_tradnl"/>
        </w:rPr>
        <w:t xml:space="preserve"> definen las tareas operativas, los flujos de trabajo, las funciones y responsabilidades, y la documentación y el mantenimiento de registros. </w:t>
      </w:r>
      <w:r w:rsidR="00F07C93" w:rsidRPr="00CF1744">
        <w:rPr>
          <w:rFonts w:ascii="Calibri" w:eastAsia="Times New Roman" w:hAnsi="Calibri" w:cs="Calibri"/>
          <w:sz w:val="22"/>
          <w:lang w:val="es-ES_tradnl"/>
        </w:rPr>
        <w:t>La Secretar</w:t>
      </w:r>
      <w:r w:rsidR="00A5736D" w:rsidRPr="00CF1744">
        <w:rPr>
          <w:rFonts w:ascii="Calibri" w:eastAsia="Times New Roman" w:hAnsi="Calibri" w:cs="Calibri"/>
          <w:sz w:val="22"/>
          <w:lang w:val="es-ES_tradnl"/>
        </w:rPr>
        <w:t xml:space="preserve">ía </w:t>
      </w:r>
      <w:r w:rsidR="00F07C93" w:rsidRPr="00CF1744">
        <w:rPr>
          <w:rFonts w:ascii="Calibri" w:eastAsia="Times New Roman" w:hAnsi="Calibri" w:cs="Calibri"/>
          <w:sz w:val="22"/>
          <w:lang w:val="es-ES_tradnl"/>
        </w:rPr>
        <w:t xml:space="preserve">de los </w:t>
      </w:r>
      <w:r w:rsidR="00A5736D" w:rsidRPr="00CF1744">
        <w:rPr>
          <w:rFonts w:ascii="Calibri" w:eastAsia="Times New Roman" w:hAnsi="Calibri" w:cs="Calibri"/>
          <w:sz w:val="22"/>
          <w:lang w:val="es-ES_tradnl"/>
        </w:rPr>
        <w:t>C</w:t>
      </w:r>
      <w:r w:rsidR="00F07C93" w:rsidRPr="00CF1744">
        <w:rPr>
          <w:rFonts w:ascii="Calibri" w:eastAsia="Times New Roman" w:hAnsi="Calibri" w:cs="Calibri"/>
          <w:sz w:val="22"/>
          <w:lang w:val="es-ES_tradnl"/>
        </w:rPr>
        <w:t>onvenios de BRE</w:t>
      </w:r>
      <w:r w:rsidR="00E81DC5" w:rsidRPr="00CF1744">
        <w:rPr>
          <w:rFonts w:ascii="Calibri" w:eastAsia="Times New Roman" w:hAnsi="Calibri" w:cs="Calibri"/>
          <w:sz w:val="22"/>
          <w:lang w:val="es-ES_tradnl"/>
        </w:rPr>
        <w:t xml:space="preserve"> señaló que había ampliado el plazo de pertenencia a los órganos subsidiarios por considerar que las decisiones sobre la pertenencia a los mismos no debían </w:t>
      </w:r>
      <w:r w:rsidR="00A0277B">
        <w:rPr>
          <w:rFonts w:ascii="Calibri" w:eastAsia="Times New Roman" w:hAnsi="Calibri" w:cs="Calibri"/>
          <w:sz w:val="22"/>
          <w:lang w:val="es-ES_tradnl"/>
        </w:rPr>
        <w:t>adoptarse</w:t>
      </w:r>
      <w:r w:rsidR="00E81DC5" w:rsidRPr="00CF1744">
        <w:rPr>
          <w:rFonts w:ascii="Calibri" w:eastAsia="Times New Roman" w:hAnsi="Calibri" w:cs="Calibri"/>
          <w:sz w:val="22"/>
          <w:lang w:val="es-ES_tradnl"/>
        </w:rPr>
        <w:t xml:space="preserve"> </w:t>
      </w:r>
      <w:r w:rsidR="000B1341" w:rsidRPr="00CF1744">
        <w:rPr>
          <w:rFonts w:ascii="Calibri" w:eastAsia="Times New Roman" w:hAnsi="Calibri" w:cs="Calibri"/>
          <w:sz w:val="22"/>
          <w:lang w:val="es-ES_tradnl"/>
        </w:rPr>
        <w:t>de forma virtual</w:t>
      </w:r>
      <w:r w:rsidR="00E81DC5" w:rsidRPr="00CF1744">
        <w:rPr>
          <w:rFonts w:ascii="Calibri" w:eastAsia="Times New Roman" w:hAnsi="Calibri" w:cs="Calibri"/>
          <w:sz w:val="22"/>
          <w:lang w:val="es-ES_tradnl"/>
        </w:rPr>
        <w:t>.</w:t>
      </w:r>
    </w:p>
    <w:p w14:paraId="65E5A588" w14:textId="77777777" w:rsidR="00E81DC5" w:rsidRPr="00CF1744" w:rsidRDefault="00E81DC5" w:rsidP="00E81DC5">
      <w:pPr>
        <w:spacing w:line="240" w:lineRule="auto"/>
        <w:ind w:left="851" w:hanging="425"/>
        <w:rPr>
          <w:rFonts w:ascii="Calibri" w:eastAsia="Times New Roman" w:hAnsi="Calibri" w:cs="Calibri"/>
          <w:sz w:val="22"/>
          <w:lang w:val="es-ES_tradnl"/>
        </w:rPr>
      </w:pPr>
    </w:p>
    <w:p w14:paraId="360C334A" w14:textId="77777777" w:rsidR="00E81DC5" w:rsidRPr="00CF1744" w:rsidRDefault="00E81DC5" w:rsidP="00E81DC5">
      <w:pPr>
        <w:spacing w:line="240" w:lineRule="auto"/>
        <w:ind w:left="851" w:hanging="425"/>
        <w:rPr>
          <w:rFonts w:ascii="Calibri" w:eastAsia="Times New Roman" w:hAnsi="Calibri" w:cs="Calibri"/>
          <w:sz w:val="22"/>
          <w:lang w:val="es-ES_tradnl"/>
        </w:rPr>
      </w:pPr>
      <w:r w:rsidRPr="00CF1744">
        <w:rPr>
          <w:rFonts w:ascii="Calibri" w:eastAsia="Times New Roman" w:hAnsi="Calibri" w:cs="Calibri"/>
          <w:sz w:val="22"/>
          <w:lang w:val="es-ES_tradnl"/>
        </w:rPr>
        <w:t>v.</w:t>
      </w:r>
      <w:r w:rsidRPr="00CF1744">
        <w:rPr>
          <w:rFonts w:ascii="Calibri" w:eastAsia="Times New Roman" w:hAnsi="Calibri" w:cs="Calibri"/>
          <w:sz w:val="22"/>
          <w:lang w:val="es-ES_tradnl"/>
        </w:rPr>
        <w:tab/>
        <w:t xml:space="preserve">La mayoría de las organizaciones mantuvieron sus canales y prácticas de comunicación establecidos con las Partes. Las organizaciones mencionaron la necesidad de una mayor frecuencia de comunicación durante la pandemia, y varias de ellas señalaron que era importante proporcionar información actualizada y pertinente en sus sitios web.   </w:t>
      </w:r>
    </w:p>
    <w:p w14:paraId="00D10649" w14:textId="77777777" w:rsidR="00E81DC5" w:rsidRPr="00CF1744" w:rsidRDefault="00E81DC5" w:rsidP="00D373DC">
      <w:pPr>
        <w:spacing w:line="240" w:lineRule="auto"/>
        <w:ind w:left="851" w:hanging="425"/>
        <w:rPr>
          <w:rFonts w:ascii="Calibri" w:eastAsia="Times New Roman" w:hAnsi="Calibri" w:cs="Calibri"/>
          <w:sz w:val="22"/>
          <w:lang w:val="es-ES_tradnl"/>
        </w:rPr>
      </w:pPr>
    </w:p>
    <w:bookmarkEnd w:id="0"/>
    <w:p w14:paraId="1904BE42" w14:textId="309DD073" w:rsidR="00576F72" w:rsidRPr="00CF1744" w:rsidRDefault="00576F72" w:rsidP="00576F72">
      <w:pPr>
        <w:spacing w:line="240" w:lineRule="auto"/>
        <w:rPr>
          <w:rFonts w:ascii="Calibri" w:eastAsia="Times New Roman" w:hAnsi="Calibri" w:cs="Calibri"/>
          <w:b/>
          <w:bCs/>
          <w:sz w:val="22"/>
          <w:lang w:val="es-ES_tradnl"/>
        </w:rPr>
      </w:pPr>
      <w:r w:rsidRPr="00CF1744">
        <w:rPr>
          <w:rFonts w:ascii="Calibri" w:eastAsia="Times New Roman" w:hAnsi="Calibri" w:cs="Calibri"/>
          <w:b/>
          <w:bCs/>
          <w:sz w:val="22"/>
          <w:lang w:val="es-ES_tradnl"/>
        </w:rPr>
        <w:t>Conclusion</w:t>
      </w:r>
      <w:r w:rsidR="00E81DC5" w:rsidRPr="00CF1744">
        <w:rPr>
          <w:rFonts w:ascii="Calibri" w:eastAsia="Times New Roman" w:hAnsi="Calibri" w:cs="Calibri"/>
          <w:b/>
          <w:bCs/>
          <w:sz w:val="22"/>
          <w:lang w:val="es-ES_tradnl"/>
        </w:rPr>
        <w:t>es y recomendaciones</w:t>
      </w:r>
    </w:p>
    <w:p w14:paraId="60AEAB0C" w14:textId="77777777" w:rsidR="008F3129" w:rsidRPr="00CF1744" w:rsidRDefault="008F3129" w:rsidP="00576F72">
      <w:pPr>
        <w:spacing w:line="240" w:lineRule="auto"/>
        <w:rPr>
          <w:rFonts w:ascii="Calibri" w:eastAsia="Times New Roman" w:hAnsi="Calibri" w:cs="Calibri"/>
          <w:b/>
          <w:bCs/>
          <w:sz w:val="22"/>
          <w:lang w:val="es-ES_tradnl"/>
        </w:rPr>
      </w:pPr>
    </w:p>
    <w:p w14:paraId="6C41E921" w14:textId="20CF1E0B" w:rsidR="006D409D" w:rsidRPr="00CF1744" w:rsidRDefault="008F3129" w:rsidP="006D409D">
      <w:pPr>
        <w:spacing w:line="240" w:lineRule="auto"/>
        <w:ind w:left="426" w:hanging="426"/>
        <w:rPr>
          <w:rFonts w:ascii="Calibri" w:eastAsia="Times New Roman" w:hAnsi="Calibri" w:cs="Calibri"/>
          <w:sz w:val="22"/>
          <w:lang w:val="es-ES_tradnl"/>
        </w:rPr>
      </w:pPr>
      <w:r w:rsidRPr="00CF1744">
        <w:rPr>
          <w:rFonts w:ascii="Calibri" w:eastAsia="Times New Roman" w:hAnsi="Calibri" w:cs="Calibri"/>
          <w:sz w:val="22"/>
          <w:lang w:val="es-ES_tradnl"/>
        </w:rPr>
        <w:t>9.</w:t>
      </w:r>
      <w:r w:rsidRPr="00CF1744">
        <w:rPr>
          <w:rFonts w:ascii="Calibri" w:eastAsia="Times New Roman" w:hAnsi="Calibri" w:cs="Calibri"/>
          <w:sz w:val="22"/>
          <w:lang w:val="es-ES_tradnl"/>
        </w:rPr>
        <w:tab/>
      </w:r>
      <w:r w:rsidR="006D409D" w:rsidRPr="00CF1744">
        <w:rPr>
          <w:rFonts w:ascii="Calibri" w:eastAsia="Times New Roman" w:hAnsi="Calibri" w:cs="Calibri"/>
          <w:sz w:val="22"/>
          <w:lang w:val="es-ES_tradnl"/>
        </w:rPr>
        <w:t>Basándose en la evaluación realizada, la Secretaría presenta las siguientes recomendaciones para permitir el funcionamiento eficaz de la Convención en circunstancias excepcionales:</w:t>
      </w:r>
    </w:p>
    <w:p w14:paraId="349992DB" w14:textId="77777777" w:rsidR="00576F72" w:rsidRPr="00CF1744" w:rsidRDefault="00576F72" w:rsidP="00576F72">
      <w:pPr>
        <w:spacing w:line="240" w:lineRule="auto"/>
        <w:rPr>
          <w:rFonts w:ascii="Calibri" w:eastAsia="Times New Roman" w:hAnsi="Calibri" w:cs="Calibri"/>
          <w:sz w:val="22"/>
          <w:lang w:val="es-ES_tradnl"/>
        </w:rPr>
      </w:pPr>
    </w:p>
    <w:p w14:paraId="129B1891" w14:textId="41186D13" w:rsidR="006D409D" w:rsidRPr="00CF1744" w:rsidRDefault="006D409D" w:rsidP="00426196">
      <w:pPr>
        <w:pStyle w:val="ListParagraph"/>
        <w:numPr>
          <w:ilvl w:val="0"/>
          <w:numId w:val="4"/>
        </w:numPr>
        <w:spacing w:line="240" w:lineRule="auto"/>
        <w:ind w:left="851" w:hanging="425"/>
        <w:rPr>
          <w:rFonts w:ascii="Calibri" w:eastAsia="Times New Roman" w:hAnsi="Calibri" w:cs="Calibri"/>
          <w:lang w:val="es-ES_tradnl"/>
        </w:rPr>
      </w:pPr>
      <w:r w:rsidRPr="00CF1744">
        <w:rPr>
          <w:rFonts w:ascii="Calibri" w:eastAsia="Times New Roman" w:hAnsi="Calibri" w:cs="Calibri"/>
          <w:i/>
          <w:iCs/>
          <w:lang w:val="es-ES_tradnl"/>
        </w:rPr>
        <w:t>Formatos virtuales e híbridos:</w:t>
      </w:r>
      <w:r w:rsidRPr="00CF1744">
        <w:rPr>
          <w:rFonts w:ascii="Calibri" w:eastAsia="Times New Roman" w:hAnsi="Calibri" w:cs="Calibri"/>
          <w:lang w:val="es-ES_tradnl"/>
        </w:rPr>
        <w:t xml:space="preserve"> Las reuniones virtuales siguen siendo una herramienta crítica y útil durante circunstancias excepcionales. Como ha ocurrido desde la pandemia, los formatos y prácticas virtuales e híbridos pueden utilizarse para facilitar una comunicación accesible e inclusiva y apoyar la</w:t>
      </w:r>
      <w:r w:rsidR="00325B11" w:rsidRPr="00CF1744">
        <w:rPr>
          <w:rFonts w:ascii="Calibri" w:eastAsia="Times New Roman" w:hAnsi="Calibri" w:cs="Calibri"/>
          <w:lang w:val="es-ES_tradnl"/>
        </w:rPr>
        <w:t xml:space="preserve"> adopción </w:t>
      </w:r>
      <w:r w:rsidRPr="00CF1744">
        <w:rPr>
          <w:rFonts w:ascii="Calibri" w:eastAsia="Times New Roman" w:hAnsi="Calibri" w:cs="Calibri"/>
          <w:lang w:val="es-ES_tradnl"/>
        </w:rPr>
        <w:t xml:space="preserve">de decisiones cuando reunirse </w:t>
      </w:r>
      <w:r w:rsidR="00325B11" w:rsidRPr="00CF1744">
        <w:rPr>
          <w:rFonts w:ascii="Calibri" w:eastAsia="Times New Roman" w:hAnsi="Calibri" w:cs="Calibri"/>
          <w:lang w:val="es-ES_tradnl"/>
        </w:rPr>
        <w:t xml:space="preserve">de forma presencial </w:t>
      </w:r>
      <w:r w:rsidRPr="00CF1744">
        <w:rPr>
          <w:rFonts w:ascii="Calibri" w:eastAsia="Times New Roman" w:hAnsi="Calibri" w:cs="Calibri"/>
          <w:lang w:val="es-ES_tradnl"/>
        </w:rPr>
        <w:t xml:space="preserve">sea difícil o imposible. Deben establecerse medidas de garantía de calidad (por </w:t>
      </w:r>
      <w:r w:rsidRPr="00CF1744">
        <w:rPr>
          <w:rFonts w:ascii="Calibri" w:eastAsia="Times New Roman" w:hAnsi="Calibri" w:cs="Calibri"/>
          <w:lang w:val="es-ES_tradnl"/>
        </w:rPr>
        <w:lastRenderedPageBreak/>
        <w:t xml:space="preserve">ejemplo, pruebas técnicas, interpretación, horarios escalonados) y procedimientos operativos normalizados para </w:t>
      </w:r>
      <w:r w:rsidR="00E052CD" w:rsidRPr="00CF1744">
        <w:rPr>
          <w:rFonts w:ascii="Calibri" w:eastAsia="Times New Roman" w:hAnsi="Calibri" w:cs="Calibri"/>
          <w:lang w:val="es-ES_tradnl"/>
        </w:rPr>
        <w:t xml:space="preserve">asegurar </w:t>
      </w:r>
      <w:r w:rsidRPr="00CF1744">
        <w:rPr>
          <w:rFonts w:ascii="Calibri" w:eastAsia="Times New Roman" w:hAnsi="Calibri" w:cs="Calibri"/>
          <w:lang w:val="es-ES_tradnl"/>
        </w:rPr>
        <w:t xml:space="preserve">una gestión eficaz de las reuniones y una participación equitativa. En caso necesario, podrían estudiarse buenas prácticas como la </w:t>
      </w:r>
      <w:r w:rsidR="00E052CD" w:rsidRPr="00CF1744">
        <w:rPr>
          <w:rFonts w:ascii="Calibri" w:eastAsia="Times New Roman" w:hAnsi="Calibri" w:cs="Calibri"/>
          <w:lang w:val="es-ES_tradnl"/>
        </w:rPr>
        <w:t xml:space="preserve">concesión de asistencia financiera para los costos de comunicación </w:t>
      </w:r>
      <w:r w:rsidRPr="00CF1744">
        <w:rPr>
          <w:rFonts w:ascii="Calibri" w:eastAsia="Times New Roman" w:hAnsi="Calibri" w:cs="Calibri"/>
          <w:lang w:val="es-ES_tradnl"/>
        </w:rPr>
        <w:t>y el refuerzo de la infraestructura digital.</w:t>
      </w:r>
    </w:p>
    <w:p w14:paraId="20FA4D8A" w14:textId="53FCD523" w:rsidR="00C536C8" w:rsidRPr="00CF1744" w:rsidRDefault="008F3129" w:rsidP="00426196">
      <w:pPr>
        <w:spacing w:line="240" w:lineRule="auto"/>
        <w:ind w:left="851" w:hanging="425"/>
        <w:rPr>
          <w:rFonts w:ascii="Calibri" w:eastAsia="Times New Roman" w:hAnsi="Calibri" w:cs="Calibri"/>
          <w:sz w:val="22"/>
          <w:lang w:val="es-ES_tradnl"/>
        </w:rPr>
      </w:pPr>
      <w:r w:rsidRPr="00CF1744">
        <w:rPr>
          <w:rFonts w:ascii="Calibri" w:eastAsia="Times New Roman" w:hAnsi="Calibri" w:cs="Calibri"/>
          <w:sz w:val="22"/>
          <w:lang w:val="es-ES_tradnl"/>
        </w:rPr>
        <w:t>ii</w:t>
      </w:r>
      <w:r w:rsidR="00576F72" w:rsidRPr="00CF1744">
        <w:rPr>
          <w:rFonts w:ascii="Calibri" w:eastAsia="Times New Roman" w:hAnsi="Calibri" w:cs="Calibri"/>
          <w:sz w:val="22"/>
          <w:lang w:val="es-ES_tradnl"/>
        </w:rPr>
        <w:t>.</w:t>
      </w:r>
      <w:r w:rsidR="00576F72" w:rsidRPr="00CF1744">
        <w:rPr>
          <w:rFonts w:ascii="Calibri" w:eastAsia="Times New Roman" w:hAnsi="Calibri" w:cs="Calibri"/>
          <w:sz w:val="22"/>
          <w:lang w:val="es-ES_tradnl"/>
        </w:rPr>
        <w:tab/>
      </w:r>
      <w:r w:rsidR="00426196" w:rsidRPr="00CF1744">
        <w:rPr>
          <w:rFonts w:ascii="Calibri" w:hAnsi="Calibri" w:cs="Calibri"/>
          <w:i/>
          <w:iCs/>
          <w:sz w:val="22"/>
          <w:lang w:val="es-ES_tradnl"/>
        </w:rPr>
        <w:t>Reglamento interno:</w:t>
      </w:r>
      <w:r w:rsidR="00426196" w:rsidRPr="00CF1744">
        <w:rPr>
          <w:rFonts w:ascii="Calibri" w:hAnsi="Calibri" w:cs="Calibri"/>
          <w:sz w:val="22"/>
          <w:lang w:val="es-ES_tradnl"/>
        </w:rPr>
        <w:t xml:space="preserve"> Basándose en las prácticas de otras organizaciones y en consultas con el Asesor Jurídico de la Convención, dado que el Reglamento interno de la Convención no prohíbe expresamente las reuniones virtuales, no es necesario revisarlo. Es más razonable y práctico que las reuniones virtuales se adhieran a las Reglas existentes en la medida de lo posible, con flexibilidad en la interpretación para abordar matices técnicos y de procedimiento.</w:t>
      </w:r>
    </w:p>
    <w:sectPr w:rsidR="00C536C8" w:rsidRPr="00CF1744" w:rsidSect="00321BB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8555C" w14:textId="77777777" w:rsidR="00455E7D" w:rsidRDefault="00455E7D" w:rsidP="00710710">
      <w:pPr>
        <w:spacing w:line="240" w:lineRule="auto"/>
      </w:pPr>
      <w:r>
        <w:separator/>
      </w:r>
    </w:p>
  </w:endnote>
  <w:endnote w:type="continuationSeparator" w:id="0">
    <w:p w14:paraId="15F71987" w14:textId="77777777" w:rsidR="00455E7D" w:rsidRDefault="00455E7D" w:rsidP="007107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DA2F8" w14:textId="48CBB2F4" w:rsidR="00321BB8" w:rsidRPr="00321BB8" w:rsidRDefault="00321BB8" w:rsidP="00321BB8">
    <w:pPr>
      <w:tabs>
        <w:tab w:val="left" w:pos="8789"/>
      </w:tabs>
      <w:rPr>
        <w:rFonts w:ascii="Calibri" w:hAnsi="Calibri" w:cs="Calibri"/>
        <w:bCs/>
        <w:szCs w:val="20"/>
      </w:rPr>
    </w:pPr>
    <w:r w:rsidRPr="0028713E">
      <w:rPr>
        <w:rFonts w:ascii="Calibri" w:hAnsi="Calibri" w:cs="Calibri"/>
        <w:bCs/>
        <w:szCs w:val="20"/>
      </w:rPr>
      <w:t>COP15 Doc.</w:t>
    </w:r>
    <w:r w:rsidR="004A64CB">
      <w:rPr>
        <w:rFonts w:ascii="Calibri" w:hAnsi="Calibri" w:cs="Calibri"/>
        <w:bCs/>
        <w:szCs w:val="20"/>
      </w:rPr>
      <w:t>13</w:t>
    </w:r>
    <w:r>
      <w:rPr>
        <w:rFonts w:ascii="Calibri" w:hAnsi="Calibri" w:cs="Calibri"/>
        <w:bCs/>
        <w:szCs w:val="20"/>
      </w:rPr>
      <w:tab/>
    </w:r>
    <w:r w:rsidRPr="00B538BF">
      <w:rPr>
        <w:rFonts w:ascii="Calibri" w:hAnsi="Calibri" w:cs="Calibri"/>
        <w:bCs/>
        <w:szCs w:val="20"/>
      </w:rPr>
      <w:fldChar w:fldCharType="begin"/>
    </w:r>
    <w:r w:rsidRPr="00B538BF">
      <w:rPr>
        <w:rFonts w:ascii="Calibri" w:hAnsi="Calibri" w:cs="Calibri"/>
        <w:bCs/>
        <w:szCs w:val="20"/>
      </w:rPr>
      <w:instrText xml:space="preserve"> PAGE   \* MERGEFORMAT </w:instrText>
    </w:r>
    <w:r w:rsidRPr="00B538BF">
      <w:rPr>
        <w:rFonts w:ascii="Calibri" w:hAnsi="Calibri" w:cs="Calibri"/>
        <w:bCs/>
        <w:szCs w:val="20"/>
      </w:rPr>
      <w:fldChar w:fldCharType="separate"/>
    </w:r>
    <w:r>
      <w:rPr>
        <w:rFonts w:ascii="Calibri" w:hAnsi="Calibri" w:cs="Calibri"/>
        <w:bCs/>
        <w:szCs w:val="20"/>
      </w:rPr>
      <w:t>2</w:t>
    </w:r>
    <w:r w:rsidRPr="00B538BF">
      <w:rPr>
        <w:rFonts w:ascii="Calibri" w:hAnsi="Calibri" w:cs="Calibri"/>
        <w:bCs/>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6DDC8" w14:textId="77777777" w:rsidR="00455E7D" w:rsidRDefault="00455E7D" w:rsidP="00710710">
      <w:pPr>
        <w:spacing w:line="240" w:lineRule="auto"/>
      </w:pPr>
      <w:r>
        <w:separator/>
      </w:r>
    </w:p>
  </w:footnote>
  <w:footnote w:type="continuationSeparator" w:id="0">
    <w:p w14:paraId="47A657F1" w14:textId="77777777" w:rsidR="00455E7D" w:rsidRDefault="00455E7D" w:rsidP="007107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33E16"/>
    <w:multiLevelType w:val="hybridMultilevel"/>
    <w:tmpl w:val="1408B9E6"/>
    <w:lvl w:ilvl="0" w:tplc="2D36D0D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1C6B6F4F"/>
    <w:multiLevelType w:val="hybridMultilevel"/>
    <w:tmpl w:val="8098A8B2"/>
    <w:lvl w:ilvl="0" w:tplc="4ED0D64A">
      <w:start w:val="1"/>
      <w:numFmt w:val="bullet"/>
      <w:lvlText w:val="-"/>
      <w:lvlJc w:val="left"/>
      <w:pPr>
        <w:ind w:left="1211" w:hanging="360"/>
      </w:pPr>
      <w:rPr>
        <w:rFonts w:ascii="Calibri" w:eastAsia="Times New Roman" w:hAnsi="Calibri" w:cs="Calibr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30753EFF"/>
    <w:multiLevelType w:val="hybridMultilevel"/>
    <w:tmpl w:val="F1387440"/>
    <w:lvl w:ilvl="0" w:tplc="D7B008EE">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44AF3EBF"/>
    <w:multiLevelType w:val="hybridMultilevel"/>
    <w:tmpl w:val="6FCE8C3A"/>
    <w:lvl w:ilvl="0" w:tplc="6C4C20F2">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7E0C58DD"/>
    <w:multiLevelType w:val="hybridMultilevel"/>
    <w:tmpl w:val="EF24CB6E"/>
    <w:lvl w:ilvl="0" w:tplc="DB68D73E">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817569929">
    <w:abstractNumId w:val="4"/>
  </w:num>
  <w:num w:numId="2" w16cid:durableId="783770504">
    <w:abstractNumId w:val="0"/>
  </w:num>
  <w:num w:numId="3" w16cid:durableId="448427383">
    <w:abstractNumId w:val="1"/>
  </w:num>
  <w:num w:numId="4" w16cid:durableId="236325844">
    <w:abstractNumId w:val="2"/>
  </w:num>
  <w:num w:numId="5" w16cid:durableId="2755304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710"/>
    <w:rsid w:val="0002139C"/>
    <w:rsid w:val="00030E0E"/>
    <w:rsid w:val="0006739F"/>
    <w:rsid w:val="0007045C"/>
    <w:rsid w:val="00083BF5"/>
    <w:rsid w:val="00090BAF"/>
    <w:rsid w:val="000B0F29"/>
    <w:rsid w:val="000B1341"/>
    <w:rsid w:val="000F2494"/>
    <w:rsid w:val="000F3136"/>
    <w:rsid w:val="001916A8"/>
    <w:rsid w:val="001929BC"/>
    <w:rsid w:val="00195AE7"/>
    <w:rsid w:val="00220E89"/>
    <w:rsid w:val="00230B7E"/>
    <w:rsid w:val="002460CD"/>
    <w:rsid w:val="002B1B94"/>
    <w:rsid w:val="002C42CE"/>
    <w:rsid w:val="002D7078"/>
    <w:rsid w:val="003035C5"/>
    <w:rsid w:val="00321BB8"/>
    <w:rsid w:val="00325B11"/>
    <w:rsid w:val="00332912"/>
    <w:rsid w:val="003B4F8C"/>
    <w:rsid w:val="00426196"/>
    <w:rsid w:val="00455E7D"/>
    <w:rsid w:val="004851C6"/>
    <w:rsid w:val="0049112F"/>
    <w:rsid w:val="00496851"/>
    <w:rsid w:val="004A64CB"/>
    <w:rsid w:val="004D39BD"/>
    <w:rsid w:val="00576F72"/>
    <w:rsid w:val="005D13C8"/>
    <w:rsid w:val="005F69A1"/>
    <w:rsid w:val="00694520"/>
    <w:rsid w:val="006B7116"/>
    <w:rsid w:val="006D409D"/>
    <w:rsid w:val="006F16E4"/>
    <w:rsid w:val="00704A79"/>
    <w:rsid w:val="00706831"/>
    <w:rsid w:val="00710710"/>
    <w:rsid w:val="007F04BA"/>
    <w:rsid w:val="007F1E49"/>
    <w:rsid w:val="00831E02"/>
    <w:rsid w:val="00851BEA"/>
    <w:rsid w:val="0089637B"/>
    <w:rsid w:val="008D7C3A"/>
    <w:rsid w:val="008F3129"/>
    <w:rsid w:val="009519BF"/>
    <w:rsid w:val="00966E31"/>
    <w:rsid w:val="00985DA1"/>
    <w:rsid w:val="009D22FB"/>
    <w:rsid w:val="00A0277B"/>
    <w:rsid w:val="00A06F01"/>
    <w:rsid w:val="00A54AA0"/>
    <w:rsid w:val="00A5736D"/>
    <w:rsid w:val="00A725AA"/>
    <w:rsid w:val="00AA4D38"/>
    <w:rsid w:val="00AF1212"/>
    <w:rsid w:val="00B0114B"/>
    <w:rsid w:val="00B12317"/>
    <w:rsid w:val="00B41013"/>
    <w:rsid w:val="00B95557"/>
    <w:rsid w:val="00BC7678"/>
    <w:rsid w:val="00BF7E8F"/>
    <w:rsid w:val="00C434B3"/>
    <w:rsid w:val="00C505D3"/>
    <w:rsid w:val="00C536C8"/>
    <w:rsid w:val="00CA11EE"/>
    <w:rsid w:val="00CF0BAC"/>
    <w:rsid w:val="00CF1744"/>
    <w:rsid w:val="00D176D2"/>
    <w:rsid w:val="00D373DC"/>
    <w:rsid w:val="00D43A18"/>
    <w:rsid w:val="00DA5BE3"/>
    <w:rsid w:val="00DD6C92"/>
    <w:rsid w:val="00DE34B8"/>
    <w:rsid w:val="00E0029C"/>
    <w:rsid w:val="00E052CD"/>
    <w:rsid w:val="00E1357D"/>
    <w:rsid w:val="00E64F57"/>
    <w:rsid w:val="00E66B7B"/>
    <w:rsid w:val="00E81DC5"/>
    <w:rsid w:val="00EA157F"/>
    <w:rsid w:val="00EB682B"/>
    <w:rsid w:val="00ED060E"/>
    <w:rsid w:val="00EF6BFA"/>
    <w:rsid w:val="00F07C93"/>
    <w:rsid w:val="202E7F5B"/>
  </w:rsids>
  <m:mathPr>
    <m:mathFont m:val="Cambria Math"/>
    <m:brkBin m:val="before"/>
    <m:brkBinSub m:val="--"/>
    <m:smallFrac m:val="0"/>
    <m:dispDef/>
    <m:lMargin m:val="0"/>
    <m:rMargin m:val="0"/>
    <m:defJc m:val="centerGroup"/>
    <m:wrapIndent m:val="1440"/>
    <m:intLim m:val="subSup"/>
    <m:naryLim m:val="undOvr"/>
  </m:mathPr>
  <w:themeFontLang w:val="en-GB"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FEA75"/>
  <w15:chartTrackingRefBased/>
  <w15:docId w15:val="{BD9CAC06-8A56-4AEF-9275-5AF81ABD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DC5"/>
    <w:pPr>
      <w:spacing w:after="0" w:line="260" w:lineRule="atLeast"/>
    </w:pPr>
    <w:rPr>
      <w:rFonts w:ascii="Arial" w:hAnsi="Arial" w:cs="Arial"/>
      <w:kern w:val="0"/>
      <w:sz w:val="20"/>
      <w:lang w:val="fr-CH"/>
      <w14:ligatures w14:val="none"/>
    </w:rPr>
  </w:style>
  <w:style w:type="paragraph" w:styleId="Heading1">
    <w:name w:val="heading 1"/>
    <w:basedOn w:val="Normal"/>
    <w:next w:val="Normal"/>
    <w:link w:val="Heading1Char"/>
    <w:uiPriority w:val="9"/>
    <w:qFormat/>
    <w:rsid w:val="0071071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unhideWhenUsed/>
    <w:qFormat/>
    <w:rsid w:val="0071071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71071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71071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lang w:val="en-GB"/>
      <w14:ligatures w14:val="standardContextual"/>
    </w:rPr>
  </w:style>
  <w:style w:type="paragraph" w:styleId="Heading5">
    <w:name w:val="heading 5"/>
    <w:basedOn w:val="Normal"/>
    <w:next w:val="Normal"/>
    <w:link w:val="Heading5Char"/>
    <w:uiPriority w:val="9"/>
    <w:semiHidden/>
    <w:unhideWhenUsed/>
    <w:qFormat/>
    <w:rsid w:val="0071071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lang w:val="en-GB"/>
      <w14:ligatures w14:val="standardContextual"/>
    </w:rPr>
  </w:style>
  <w:style w:type="paragraph" w:styleId="Heading6">
    <w:name w:val="heading 6"/>
    <w:basedOn w:val="Normal"/>
    <w:next w:val="Normal"/>
    <w:link w:val="Heading6Char"/>
    <w:uiPriority w:val="9"/>
    <w:semiHidden/>
    <w:unhideWhenUsed/>
    <w:qFormat/>
    <w:rsid w:val="00710710"/>
    <w:pPr>
      <w:keepNext/>
      <w:keepLines/>
      <w:spacing w:before="40" w:line="259" w:lineRule="auto"/>
      <w:outlineLvl w:val="5"/>
    </w:pPr>
    <w:rPr>
      <w:rFonts w:asciiTheme="minorHAnsi" w:eastAsiaTheme="majorEastAsia" w:hAnsiTheme="minorHAnsi" w:cstheme="majorBidi"/>
      <w:i/>
      <w:iCs/>
      <w:color w:val="595959" w:themeColor="text1" w:themeTint="A6"/>
      <w:kern w:val="2"/>
      <w:sz w:val="22"/>
      <w:lang w:val="en-GB"/>
      <w14:ligatures w14:val="standardContextual"/>
    </w:rPr>
  </w:style>
  <w:style w:type="paragraph" w:styleId="Heading7">
    <w:name w:val="heading 7"/>
    <w:basedOn w:val="Normal"/>
    <w:next w:val="Normal"/>
    <w:link w:val="Heading7Char"/>
    <w:uiPriority w:val="9"/>
    <w:semiHidden/>
    <w:unhideWhenUsed/>
    <w:qFormat/>
    <w:rsid w:val="00710710"/>
    <w:pPr>
      <w:keepNext/>
      <w:keepLines/>
      <w:spacing w:before="40" w:line="259" w:lineRule="auto"/>
      <w:outlineLvl w:val="6"/>
    </w:pPr>
    <w:rPr>
      <w:rFonts w:asciiTheme="minorHAnsi" w:eastAsiaTheme="majorEastAsia" w:hAnsiTheme="minorHAnsi" w:cstheme="majorBidi"/>
      <w:color w:val="595959" w:themeColor="text1" w:themeTint="A6"/>
      <w:kern w:val="2"/>
      <w:sz w:val="22"/>
      <w:lang w:val="en-GB"/>
      <w14:ligatures w14:val="standardContextual"/>
    </w:rPr>
  </w:style>
  <w:style w:type="paragraph" w:styleId="Heading8">
    <w:name w:val="heading 8"/>
    <w:basedOn w:val="Normal"/>
    <w:next w:val="Normal"/>
    <w:link w:val="Heading8Char"/>
    <w:uiPriority w:val="9"/>
    <w:semiHidden/>
    <w:unhideWhenUsed/>
    <w:qFormat/>
    <w:rsid w:val="00710710"/>
    <w:pPr>
      <w:keepNext/>
      <w:keepLines/>
      <w:spacing w:line="259" w:lineRule="auto"/>
      <w:outlineLvl w:val="7"/>
    </w:pPr>
    <w:rPr>
      <w:rFonts w:asciiTheme="minorHAnsi" w:eastAsiaTheme="majorEastAsia" w:hAnsiTheme="minorHAnsi" w:cstheme="majorBidi"/>
      <w:i/>
      <w:iCs/>
      <w:color w:val="272727" w:themeColor="text1" w:themeTint="D8"/>
      <w:kern w:val="2"/>
      <w:sz w:val="22"/>
      <w:lang w:val="en-GB"/>
      <w14:ligatures w14:val="standardContextual"/>
    </w:rPr>
  </w:style>
  <w:style w:type="paragraph" w:styleId="Heading9">
    <w:name w:val="heading 9"/>
    <w:basedOn w:val="Normal"/>
    <w:next w:val="Normal"/>
    <w:link w:val="Heading9Char"/>
    <w:uiPriority w:val="9"/>
    <w:semiHidden/>
    <w:unhideWhenUsed/>
    <w:qFormat/>
    <w:rsid w:val="00710710"/>
    <w:pPr>
      <w:keepNext/>
      <w:keepLines/>
      <w:spacing w:line="259" w:lineRule="auto"/>
      <w:outlineLvl w:val="8"/>
    </w:pPr>
    <w:rPr>
      <w:rFonts w:asciiTheme="minorHAnsi" w:eastAsiaTheme="majorEastAsia" w:hAnsiTheme="minorHAnsi" w:cstheme="majorBidi"/>
      <w:color w:val="272727" w:themeColor="text1" w:themeTint="D8"/>
      <w:kern w:val="2"/>
      <w:sz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7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107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07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7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7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7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7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7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710"/>
    <w:rPr>
      <w:rFonts w:eastAsiaTheme="majorEastAsia" w:cstheme="majorBidi"/>
      <w:color w:val="272727" w:themeColor="text1" w:themeTint="D8"/>
    </w:rPr>
  </w:style>
  <w:style w:type="paragraph" w:styleId="Title">
    <w:name w:val="Title"/>
    <w:basedOn w:val="Normal"/>
    <w:next w:val="Normal"/>
    <w:link w:val="TitleChar"/>
    <w:uiPriority w:val="10"/>
    <w:qFormat/>
    <w:rsid w:val="00710710"/>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7107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71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7107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710"/>
    <w:pPr>
      <w:spacing w:before="160" w:after="160" w:line="259" w:lineRule="auto"/>
      <w:jc w:val="center"/>
    </w:pPr>
    <w:rPr>
      <w:rFonts w:asciiTheme="minorHAnsi" w:hAnsiTheme="minorHAnsi" w:cstheme="minorBidi"/>
      <w:i/>
      <w:iCs/>
      <w:color w:val="404040" w:themeColor="text1" w:themeTint="BF"/>
      <w:kern w:val="2"/>
      <w:sz w:val="22"/>
      <w:lang w:val="en-GB"/>
      <w14:ligatures w14:val="standardContextual"/>
    </w:rPr>
  </w:style>
  <w:style w:type="character" w:customStyle="1" w:styleId="QuoteChar">
    <w:name w:val="Quote Char"/>
    <w:basedOn w:val="DefaultParagraphFont"/>
    <w:link w:val="Quote"/>
    <w:uiPriority w:val="29"/>
    <w:rsid w:val="00710710"/>
    <w:rPr>
      <w:i/>
      <w:iCs/>
      <w:color w:val="404040" w:themeColor="text1" w:themeTint="BF"/>
    </w:rPr>
  </w:style>
  <w:style w:type="paragraph" w:styleId="ListParagraph">
    <w:name w:val="List Paragraph"/>
    <w:basedOn w:val="Normal"/>
    <w:uiPriority w:val="34"/>
    <w:qFormat/>
    <w:rsid w:val="00710710"/>
    <w:pPr>
      <w:spacing w:after="160" w:line="259" w:lineRule="auto"/>
      <w:ind w:left="720"/>
      <w:contextualSpacing/>
    </w:pPr>
    <w:rPr>
      <w:rFonts w:asciiTheme="minorHAnsi" w:hAnsiTheme="minorHAnsi" w:cstheme="minorBidi"/>
      <w:kern w:val="2"/>
      <w:sz w:val="22"/>
      <w:lang w:val="en-GB"/>
      <w14:ligatures w14:val="standardContextual"/>
    </w:rPr>
  </w:style>
  <w:style w:type="character" w:styleId="IntenseEmphasis">
    <w:name w:val="Intense Emphasis"/>
    <w:basedOn w:val="DefaultParagraphFont"/>
    <w:uiPriority w:val="21"/>
    <w:qFormat/>
    <w:rsid w:val="00710710"/>
    <w:rPr>
      <w:i/>
      <w:iCs/>
      <w:color w:val="0F4761" w:themeColor="accent1" w:themeShade="BF"/>
    </w:rPr>
  </w:style>
  <w:style w:type="paragraph" w:styleId="IntenseQuote">
    <w:name w:val="Intense Quote"/>
    <w:basedOn w:val="Normal"/>
    <w:next w:val="Normal"/>
    <w:link w:val="IntenseQuoteChar"/>
    <w:uiPriority w:val="30"/>
    <w:qFormat/>
    <w:rsid w:val="0071071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lang w:val="en-GB"/>
      <w14:ligatures w14:val="standardContextual"/>
    </w:rPr>
  </w:style>
  <w:style w:type="character" w:customStyle="1" w:styleId="IntenseQuoteChar">
    <w:name w:val="Intense Quote Char"/>
    <w:basedOn w:val="DefaultParagraphFont"/>
    <w:link w:val="IntenseQuote"/>
    <w:uiPriority w:val="30"/>
    <w:rsid w:val="00710710"/>
    <w:rPr>
      <w:i/>
      <w:iCs/>
      <w:color w:val="0F4761" w:themeColor="accent1" w:themeShade="BF"/>
    </w:rPr>
  </w:style>
  <w:style w:type="character" w:styleId="IntenseReference">
    <w:name w:val="Intense Reference"/>
    <w:basedOn w:val="DefaultParagraphFont"/>
    <w:uiPriority w:val="32"/>
    <w:qFormat/>
    <w:rsid w:val="00710710"/>
    <w:rPr>
      <w:b/>
      <w:bCs/>
      <w:smallCaps/>
      <w:color w:val="0F4761" w:themeColor="accent1" w:themeShade="BF"/>
      <w:spacing w:val="5"/>
    </w:rPr>
  </w:style>
  <w:style w:type="character" w:styleId="Hyperlink">
    <w:name w:val="Hyperlink"/>
    <w:basedOn w:val="DefaultParagraphFont"/>
    <w:uiPriority w:val="99"/>
    <w:unhideWhenUsed/>
    <w:rsid w:val="00710710"/>
    <w:rPr>
      <w:color w:val="0000FF"/>
      <w:u w:val="single"/>
    </w:rPr>
  </w:style>
  <w:style w:type="paragraph" w:styleId="FootnoteText">
    <w:name w:val="footnote text"/>
    <w:basedOn w:val="Normal"/>
    <w:link w:val="FootnoteTextChar"/>
    <w:uiPriority w:val="99"/>
    <w:semiHidden/>
    <w:unhideWhenUsed/>
    <w:rsid w:val="00710710"/>
    <w:pPr>
      <w:spacing w:line="240" w:lineRule="auto"/>
    </w:pPr>
    <w:rPr>
      <w:rFonts w:ascii="Calibri" w:eastAsia="Calibri" w:hAnsi="Calibri" w:cs="Times New Roman"/>
      <w:szCs w:val="20"/>
      <w:lang w:val="en-GB"/>
    </w:rPr>
  </w:style>
  <w:style w:type="character" w:customStyle="1" w:styleId="FootnoteTextChar">
    <w:name w:val="Footnote Text Char"/>
    <w:basedOn w:val="DefaultParagraphFont"/>
    <w:link w:val="FootnoteText"/>
    <w:uiPriority w:val="99"/>
    <w:semiHidden/>
    <w:rsid w:val="00710710"/>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710710"/>
    <w:rPr>
      <w:vertAlign w:val="superscript"/>
    </w:rPr>
  </w:style>
  <w:style w:type="table" w:styleId="TableGrid">
    <w:name w:val="Table Grid"/>
    <w:basedOn w:val="TableNormal"/>
    <w:uiPriority w:val="59"/>
    <w:rsid w:val="00321BB8"/>
    <w:pPr>
      <w:spacing w:after="0" w:line="240" w:lineRule="auto"/>
      <w:ind w:left="432" w:hanging="432"/>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1BB8"/>
    <w:pPr>
      <w:tabs>
        <w:tab w:val="center" w:pos="4513"/>
        <w:tab w:val="right" w:pos="9026"/>
      </w:tabs>
      <w:spacing w:line="240" w:lineRule="auto"/>
    </w:pPr>
  </w:style>
  <w:style w:type="character" w:customStyle="1" w:styleId="HeaderChar">
    <w:name w:val="Header Char"/>
    <w:basedOn w:val="DefaultParagraphFont"/>
    <w:link w:val="Header"/>
    <w:uiPriority w:val="99"/>
    <w:rsid w:val="00321BB8"/>
    <w:rPr>
      <w:rFonts w:ascii="Arial" w:hAnsi="Arial" w:cs="Arial"/>
      <w:kern w:val="0"/>
      <w:sz w:val="20"/>
      <w:lang w:val="fr-CH"/>
      <w14:ligatures w14:val="none"/>
    </w:rPr>
  </w:style>
  <w:style w:type="paragraph" w:styleId="Footer">
    <w:name w:val="footer"/>
    <w:basedOn w:val="Normal"/>
    <w:link w:val="FooterChar"/>
    <w:uiPriority w:val="99"/>
    <w:unhideWhenUsed/>
    <w:rsid w:val="00321BB8"/>
    <w:pPr>
      <w:tabs>
        <w:tab w:val="center" w:pos="4513"/>
        <w:tab w:val="right" w:pos="9026"/>
      </w:tabs>
      <w:spacing w:line="240" w:lineRule="auto"/>
    </w:pPr>
  </w:style>
  <w:style w:type="character" w:customStyle="1" w:styleId="FooterChar">
    <w:name w:val="Footer Char"/>
    <w:basedOn w:val="DefaultParagraphFont"/>
    <w:link w:val="Footer"/>
    <w:uiPriority w:val="99"/>
    <w:rsid w:val="00321BB8"/>
    <w:rPr>
      <w:rFonts w:ascii="Arial" w:hAnsi="Arial" w:cs="Arial"/>
      <w:kern w:val="0"/>
      <w:sz w:val="20"/>
      <w:lang w:val="fr-CH"/>
      <w14:ligatures w14:val="none"/>
    </w:rPr>
  </w:style>
  <w:style w:type="paragraph" w:styleId="Revision">
    <w:name w:val="Revision"/>
    <w:hidden/>
    <w:uiPriority w:val="99"/>
    <w:semiHidden/>
    <w:rsid w:val="008F3129"/>
    <w:pPr>
      <w:spacing w:after="0" w:line="240" w:lineRule="auto"/>
    </w:pPr>
    <w:rPr>
      <w:rFonts w:ascii="Arial" w:hAnsi="Arial" w:cs="Arial"/>
      <w:kern w:val="0"/>
      <w:sz w:val="20"/>
      <w:lang w:val="fr-CH"/>
      <w14:ligatures w14:val="none"/>
    </w:rPr>
  </w:style>
  <w:style w:type="character" w:styleId="CommentReference">
    <w:name w:val="annotation reference"/>
    <w:basedOn w:val="DefaultParagraphFont"/>
    <w:uiPriority w:val="99"/>
    <w:semiHidden/>
    <w:unhideWhenUsed/>
    <w:rsid w:val="00DD6C92"/>
    <w:rPr>
      <w:sz w:val="16"/>
      <w:szCs w:val="16"/>
    </w:rPr>
  </w:style>
  <w:style w:type="paragraph" w:styleId="CommentText">
    <w:name w:val="annotation text"/>
    <w:basedOn w:val="Normal"/>
    <w:link w:val="CommentTextChar"/>
    <w:uiPriority w:val="99"/>
    <w:unhideWhenUsed/>
    <w:rsid w:val="00DD6C92"/>
    <w:pPr>
      <w:spacing w:line="240" w:lineRule="auto"/>
    </w:pPr>
    <w:rPr>
      <w:szCs w:val="20"/>
    </w:rPr>
  </w:style>
  <w:style w:type="character" w:customStyle="1" w:styleId="CommentTextChar">
    <w:name w:val="Comment Text Char"/>
    <w:basedOn w:val="DefaultParagraphFont"/>
    <w:link w:val="CommentText"/>
    <w:uiPriority w:val="99"/>
    <w:rsid w:val="00DD6C92"/>
    <w:rPr>
      <w:rFonts w:ascii="Arial" w:hAnsi="Arial" w:cs="Arial"/>
      <w:kern w:val="0"/>
      <w:sz w:val="20"/>
      <w:szCs w:val="20"/>
      <w:lang w:val="fr-CH"/>
      <w14:ligatures w14:val="none"/>
    </w:rPr>
  </w:style>
  <w:style w:type="paragraph" w:styleId="CommentSubject">
    <w:name w:val="annotation subject"/>
    <w:basedOn w:val="CommentText"/>
    <w:next w:val="CommentText"/>
    <w:link w:val="CommentSubjectChar"/>
    <w:uiPriority w:val="99"/>
    <w:semiHidden/>
    <w:unhideWhenUsed/>
    <w:rsid w:val="00DD6C92"/>
    <w:rPr>
      <w:b/>
      <w:bCs/>
    </w:rPr>
  </w:style>
  <w:style w:type="character" w:customStyle="1" w:styleId="CommentSubjectChar">
    <w:name w:val="Comment Subject Char"/>
    <w:basedOn w:val="CommentTextChar"/>
    <w:link w:val="CommentSubject"/>
    <w:uiPriority w:val="99"/>
    <w:semiHidden/>
    <w:rsid w:val="00DD6C92"/>
    <w:rPr>
      <w:rFonts w:ascii="Arial" w:hAnsi="Arial" w:cs="Arial"/>
      <w:b/>
      <w:bCs/>
      <w:kern w:val="0"/>
      <w:sz w:val="20"/>
      <w:szCs w:val="20"/>
      <w:lang w:val="fr-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800922">
      <w:bodyDiv w:val="1"/>
      <w:marLeft w:val="0"/>
      <w:marRight w:val="0"/>
      <w:marTop w:val="0"/>
      <w:marBottom w:val="0"/>
      <w:divBdr>
        <w:top w:val="none" w:sz="0" w:space="0" w:color="auto"/>
        <w:left w:val="none" w:sz="0" w:space="0" w:color="auto"/>
        <w:bottom w:val="none" w:sz="0" w:space="0" w:color="auto"/>
        <w:right w:val="none" w:sz="0" w:space="0" w:color="auto"/>
      </w:divBdr>
    </w:div>
    <w:div w:id="118201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52510-7113-47AB-9829-B0D511A7C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4</cp:revision>
  <cp:lastPrinted>2025-04-02T09:41:00Z</cp:lastPrinted>
  <dcterms:created xsi:type="dcterms:W3CDTF">2025-04-02T13:04:00Z</dcterms:created>
  <dcterms:modified xsi:type="dcterms:W3CDTF">2025-04-21T14:09:00Z</dcterms:modified>
</cp:coreProperties>
</file>