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1774" w14:textId="14B62FA4" w:rsidR="00A71FEB" w:rsidRPr="0031405D" w:rsidRDefault="00A71FEB" w:rsidP="00C45220">
      <w:pPr>
        <w:spacing w:line="240" w:lineRule="auto"/>
        <w:jc w:val="center"/>
        <w:outlineLvl w:val="0"/>
        <w:rPr>
          <w:rFonts w:eastAsia="Times New Roman" w:cstheme="majorHAnsi"/>
          <w:b/>
          <w:bCs/>
          <w:sz w:val="24"/>
          <w:szCs w:val="24"/>
        </w:rPr>
      </w:pPr>
      <w:r w:rsidRPr="0031405D">
        <w:rPr>
          <w:rFonts w:eastAsia="Times New Roman" w:cstheme="majorHAnsi"/>
          <w:b/>
          <w:bCs/>
          <w:noProof/>
          <w:sz w:val="24"/>
          <w:szCs w:val="24"/>
        </w:rPr>
        <w:drawing>
          <wp:anchor distT="0" distB="0" distL="114300" distR="114300" simplePos="0" relativeHeight="251658240" behindDoc="0" locked="0" layoutInCell="1" allowOverlap="1" wp14:anchorId="13BEA2F4" wp14:editId="4D173655">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C2C1F6" w14:textId="5B9ADA3B" w:rsidR="00E024E2" w:rsidRPr="0031405D" w:rsidRDefault="00E024E2" w:rsidP="0031405D">
      <w:pPr>
        <w:spacing w:line="240" w:lineRule="auto"/>
        <w:jc w:val="center"/>
        <w:outlineLvl w:val="0"/>
        <w:rPr>
          <w:rFonts w:eastAsia="Times New Roman" w:cstheme="majorHAnsi"/>
          <w:b/>
          <w:bCs/>
          <w:sz w:val="24"/>
          <w:szCs w:val="24"/>
        </w:rPr>
      </w:pPr>
      <w:r w:rsidRPr="0031405D">
        <w:rPr>
          <w:rFonts w:eastAsia="Times New Roman" w:cstheme="majorHAnsi"/>
          <w:b/>
          <w:bCs/>
          <w:sz w:val="24"/>
          <w:szCs w:val="24"/>
        </w:rPr>
        <w:t>1</w:t>
      </w:r>
      <w:r w:rsidR="009A0003" w:rsidRPr="0031405D">
        <w:rPr>
          <w:rFonts w:eastAsia="Times New Roman" w:cstheme="majorHAnsi"/>
          <w:b/>
          <w:bCs/>
          <w:sz w:val="24"/>
          <w:szCs w:val="24"/>
        </w:rPr>
        <w:t>5</w:t>
      </w:r>
      <w:r w:rsidR="0031405D" w:rsidRPr="0031405D">
        <w:rPr>
          <w:rFonts w:eastAsia="Times New Roman" w:cstheme="majorHAnsi"/>
          <w:b/>
          <w:bCs/>
          <w:sz w:val="24"/>
          <w:szCs w:val="24"/>
          <w:vertAlign w:val="superscript"/>
        </w:rPr>
        <w:t>e</w:t>
      </w:r>
      <w:r w:rsidR="0031405D">
        <w:rPr>
          <w:rFonts w:eastAsia="Times New Roman" w:cstheme="majorHAnsi"/>
          <w:b/>
          <w:bCs/>
          <w:sz w:val="24"/>
          <w:szCs w:val="24"/>
        </w:rPr>
        <w:t xml:space="preserve"> session de la Conférence des Parties contractantes à la Convention sur les zones humides</w:t>
      </w:r>
    </w:p>
    <w:p w14:paraId="0397C0E1" w14:textId="77777777" w:rsidR="00E024E2" w:rsidRPr="0031405D" w:rsidRDefault="00E024E2" w:rsidP="00C45220">
      <w:pPr>
        <w:spacing w:line="240" w:lineRule="auto"/>
        <w:jc w:val="center"/>
        <w:outlineLvl w:val="0"/>
        <w:rPr>
          <w:rFonts w:eastAsia="Times New Roman" w:cstheme="majorHAnsi"/>
          <w:b/>
          <w:bCs/>
          <w:sz w:val="24"/>
          <w:szCs w:val="24"/>
        </w:rPr>
      </w:pPr>
    </w:p>
    <w:p w14:paraId="6FCF284A" w14:textId="52690AA9" w:rsidR="00E024E2" w:rsidRPr="0031405D" w:rsidRDefault="0031405D" w:rsidP="00C45220">
      <w:pPr>
        <w:spacing w:line="240" w:lineRule="auto"/>
        <w:jc w:val="center"/>
        <w:outlineLvl w:val="0"/>
        <w:rPr>
          <w:rFonts w:eastAsia="Times New Roman" w:cstheme="majorHAnsi"/>
          <w:b/>
          <w:bCs/>
          <w:sz w:val="24"/>
          <w:szCs w:val="24"/>
        </w:rPr>
      </w:pPr>
      <w:r>
        <w:rPr>
          <w:rFonts w:eastAsia="Times New Roman" w:cstheme="majorHAnsi"/>
          <w:b/>
          <w:bCs/>
          <w:sz w:val="24"/>
          <w:szCs w:val="24"/>
        </w:rPr>
        <w:t>«</w:t>
      </w:r>
      <w:r w:rsidR="007240FC">
        <w:rPr>
          <w:rFonts w:eastAsia="Times New Roman" w:cstheme="majorHAnsi"/>
          <w:b/>
          <w:bCs/>
          <w:sz w:val="24"/>
          <w:szCs w:val="24"/>
        </w:rPr>
        <w:t> </w:t>
      </w:r>
      <w:r w:rsidR="009A0003" w:rsidRPr="0031405D">
        <w:rPr>
          <w:rFonts w:eastAsia="Times New Roman" w:cstheme="majorHAnsi"/>
          <w:b/>
          <w:bCs/>
          <w:sz w:val="24"/>
          <w:szCs w:val="24"/>
        </w:rPr>
        <w:t>Prot</w:t>
      </w:r>
      <w:r>
        <w:rPr>
          <w:rFonts w:eastAsia="Times New Roman" w:cstheme="majorHAnsi"/>
          <w:b/>
          <w:bCs/>
          <w:sz w:val="24"/>
          <w:szCs w:val="24"/>
        </w:rPr>
        <w:t>éger les zones humides pour notre avenir commun</w:t>
      </w:r>
      <w:r w:rsidR="007240FC">
        <w:rPr>
          <w:rFonts w:eastAsia="Times New Roman" w:cstheme="majorHAnsi"/>
          <w:b/>
          <w:bCs/>
          <w:sz w:val="24"/>
          <w:szCs w:val="24"/>
        </w:rPr>
        <w:t> </w:t>
      </w:r>
      <w:r>
        <w:rPr>
          <w:rFonts w:eastAsia="Times New Roman" w:cstheme="majorHAnsi"/>
          <w:b/>
          <w:bCs/>
          <w:sz w:val="24"/>
          <w:szCs w:val="24"/>
        </w:rPr>
        <w:t>»</w:t>
      </w:r>
      <w:r w:rsidRPr="0031405D">
        <w:rPr>
          <w:rFonts w:eastAsia="Times New Roman" w:cstheme="majorHAnsi"/>
          <w:b/>
          <w:bCs/>
          <w:sz w:val="24"/>
          <w:szCs w:val="24"/>
        </w:rPr>
        <w:t xml:space="preserve"> </w:t>
      </w:r>
    </w:p>
    <w:p w14:paraId="794993B1" w14:textId="110B6445" w:rsidR="00E024E2" w:rsidRPr="0031405D" w:rsidRDefault="009A0003" w:rsidP="00C45220">
      <w:pPr>
        <w:spacing w:line="240" w:lineRule="auto"/>
        <w:jc w:val="center"/>
        <w:outlineLvl w:val="0"/>
        <w:rPr>
          <w:rFonts w:eastAsia="Times New Roman" w:cstheme="majorHAnsi"/>
          <w:b/>
          <w:bCs/>
          <w:sz w:val="24"/>
          <w:szCs w:val="24"/>
        </w:rPr>
      </w:pPr>
      <w:r w:rsidRPr="0031405D">
        <w:rPr>
          <w:rFonts w:eastAsia="Times New Roman" w:cstheme="majorHAnsi"/>
          <w:b/>
          <w:bCs/>
          <w:sz w:val="24"/>
          <w:szCs w:val="24"/>
        </w:rPr>
        <w:t>Victoria Falls, Zimbabwe</w:t>
      </w:r>
      <w:r w:rsidR="00E024E2" w:rsidRPr="0031405D">
        <w:rPr>
          <w:rFonts w:eastAsia="Times New Roman" w:cstheme="majorHAnsi"/>
          <w:b/>
          <w:bCs/>
          <w:sz w:val="24"/>
          <w:szCs w:val="24"/>
        </w:rPr>
        <w:t xml:space="preserve">, </w:t>
      </w:r>
      <w:r w:rsidRPr="0031405D">
        <w:rPr>
          <w:rFonts w:eastAsia="Times New Roman" w:cstheme="majorHAnsi"/>
          <w:b/>
          <w:bCs/>
          <w:sz w:val="24"/>
          <w:szCs w:val="24"/>
        </w:rPr>
        <w:t>23</w:t>
      </w:r>
      <w:r w:rsidR="00F30DA2" w:rsidRPr="0031405D">
        <w:rPr>
          <w:rFonts w:eastAsia="Times New Roman" w:cstheme="majorHAnsi"/>
          <w:b/>
          <w:bCs/>
          <w:sz w:val="24"/>
          <w:szCs w:val="24"/>
        </w:rPr>
        <w:t>-</w:t>
      </w:r>
      <w:r w:rsidRPr="0031405D">
        <w:rPr>
          <w:rFonts w:eastAsia="Times New Roman" w:cstheme="majorHAnsi"/>
          <w:b/>
          <w:bCs/>
          <w:sz w:val="24"/>
          <w:szCs w:val="24"/>
        </w:rPr>
        <w:t>31</w:t>
      </w:r>
      <w:r w:rsidR="0031405D">
        <w:rPr>
          <w:rFonts w:eastAsia="Times New Roman" w:cstheme="majorHAnsi"/>
          <w:b/>
          <w:bCs/>
          <w:sz w:val="24"/>
          <w:szCs w:val="24"/>
        </w:rPr>
        <w:t> juillet </w:t>
      </w:r>
      <w:r w:rsidRPr="0031405D">
        <w:rPr>
          <w:rFonts w:eastAsia="Times New Roman" w:cstheme="majorHAnsi"/>
          <w:b/>
          <w:bCs/>
          <w:sz w:val="24"/>
          <w:szCs w:val="24"/>
        </w:rPr>
        <w:t>20</w:t>
      </w:r>
      <w:r w:rsidR="00C0566A" w:rsidRPr="0031405D">
        <w:rPr>
          <w:rFonts w:eastAsia="Times New Roman" w:cstheme="majorHAnsi"/>
          <w:b/>
          <w:bCs/>
          <w:sz w:val="24"/>
          <w:szCs w:val="24"/>
        </w:rPr>
        <w:t>2</w:t>
      </w:r>
      <w:r w:rsidRPr="0031405D">
        <w:rPr>
          <w:rFonts w:eastAsia="Times New Roman" w:cstheme="majorHAnsi"/>
          <w:b/>
          <w:bCs/>
          <w:sz w:val="24"/>
          <w:szCs w:val="24"/>
        </w:rPr>
        <w:t>5</w:t>
      </w:r>
    </w:p>
    <w:p w14:paraId="16B3F466" w14:textId="77777777" w:rsidR="00E024E2" w:rsidRPr="0031405D" w:rsidRDefault="00E024E2" w:rsidP="00C45220">
      <w:pPr>
        <w:spacing w:line="240" w:lineRule="auto"/>
        <w:jc w:val="center"/>
        <w:outlineLvl w:val="0"/>
        <w:rPr>
          <w:rFonts w:eastAsia="Times New Roman" w:cstheme="majorHAnsi"/>
          <w:b/>
          <w:bCs/>
          <w:sz w:val="24"/>
          <w:szCs w:val="24"/>
        </w:rPr>
      </w:pPr>
    </w:p>
    <w:p w14:paraId="0D9BAF11" w14:textId="77777777" w:rsidR="00A71FEB" w:rsidRPr="0031405D" w:rsidRDefault="00A71FEB" w:rsidP="00C45220">
      <w:pPr>
        <w:spacing w:line="240" w:lineRule="auto"/>
        <w:jc w:val="center"/>
        <w:outlineLvl w:val="0"/>
        <w:rPr>
          <w:rFonts w:eastAsia="Times New Roman" w:cstheme="majorHAnsi"/>
          <w:b/>
          <w:bCs/>
          <w:sz w:val="24"/>
          <w:szCs w:val="24"/>
        </w:rPr>
      </w:pPr>
    </w:p>
    <w:p w14:paraId="400718E4" w14:textId="77777777" w:rsidR="00A71FEB" w:rsidRPr="0031405D" w:rsidRDefault="00A71FEB" w:rsidP="00C45220">
      <w:pPr>
        <w:spacing w:line="240" w:lineRule="auto"/>
        <w:jc w:val="center"/>
        <w:outlineLvl w:val="0"/>
        <w:rPr>
          <w:rFonts w:eastAsia="Times New Roman" w:cstheme="majorHAnsi"/>
          <w:b/>
          <w:bCs/>
          <w:sz w:val="24"/>
          <w:szCs w:val="24"/>
        </w:rPr>
      </w:pPr>
    </w:p>
    <w:p w14:paraId="79D63B1E" w14:textId="77777777" w:rsidR="00A71FEB" w:rsidRPr="0031405D" w:rsidRDefault="00A71FEB" w:rsidP="00A71FEB">
      <w:pPr>
        <w:spacing w:line="240" w:lineRule="auto"/>
        <w:jc w:val="right"/>
        <w:rPr>
          <w:rFonts w:cs="Times New Roman"/>
        </w:rPr>
      </w:pPr>
    </w:p>
    <w:p w14:paraId="42EA9398" w14:textId="776B4D20" w:rsidR="00A529E8" w:rsidRPr="00A529E8" w:rsidRDefault="00A529E8" w:rsidP="00A529E8">
      <w:pPr>
        <w:spacing w:line="240" w:lineRule="auto"/>
        <w:jc w:val="right"/>
        <w:rPr>
          <w:rFonts w:ascii="Calibri" w:eastAsia="Times New Roman" w:hAnsi="Calibri" w:cs="Calibri"/>
          <w:b/>
          <w:bCs/>
          <w:sz w:val="28"/>
          <w:szCs w:val="28"/>
        </w:rPr>
      </w:pPr>
      <w:r w:rsidRPr="00A529E8">
        <w:rPr>
          <w:rFonts w:ascii="Calibri" w:eastAsia="Times New Roman" w:hAnsi="Calibri" w:cs="Calibri"/>
          <w:b/>
          <w:bCs/>
          <w:sz w:val="28"/>
          <w:szCs w:val="28"/>
        </w:rPr>
        <w:t>COP15 Doc.</w:t>
      </w:r>
      <w:r w:rsidR="007240FC">
        <w:rPr>
          <w:rFonts w:ascii="Calibri" w:eastAsia="Times New Roman" w:hAnsi="Calibri" w:cs="Calibri"/>
          <w:b/>
          <w:bCs/>
          <w:sz w:val="28"/>
          <w:szCs w:val="28"/>
        </w:rPr>
        <w:t xml:space="preserve"> </w:t>
      </w:r>
      <w:r w:rsidRPr="00A529E8">
        <w:rPr>
          <w:rFonts w:ascii="Calibri" w:eastAsia="Times New Roman" w:hAnsi="Calibri" w:cs="Calibri"/>
          <w:b/>
          <w:bCs/>
          <w:sz w:val="28"/>
          <w:szCs w:val="28"/>
        </w:rPr>
        <w:t>13</w:t>
      </w:r>
    </w:p>
    <w:p w14:paraId="3C2D0AFB" w14:textId="77777777" w:rsidR="00A529E8" w:rsidRPr="00A529E8" w:rsidRDefault="00A529E8" w:rsidP="00A529E8">
      <w:pPr>
        <w:spacing w:line="240" w:lineRule="auto"/>
        <w:rPr>
          <w:rFonts w:ascii="Calibri" w:eastAsia="Times New Roman" w:hAnsi="Calibri" w:cs="Calibri"/>
          <w:b/>
          <w:bCs/>
          <w:sz w:val="28"/>
          <w:szCs w:val="28"/>
        </w:rPr>
      </w:pPr>
    </w:p>
    <w:p w14:paraId="270B1414" w14:textId="77777777" w:rsidR="00A529E8" w:rsidRPr="00A529E8" w:rsidRDefault="00A529E8" w:rsidP="00A529E8">
      <w:pPr>
        <w:spacing w:line="240" w:lineRule="auto"/>
        <w:rPr>
          <w:rFonts w:ascii="Calibri" w:eastAsia="Times New Roman" w:hAnsi="Calibri" w:cs="Calibri"/>
          <w:b/>
          <w:bCs/>
          <w:sz w:val="28"/>
          <w:szCs w:val="28"/>
        </w:rPr>
      </w:pPr>
    </w:p>
    <w:p w14:paraId="1D999811" w14:textId="77777777" w:rsidR="00A529E8" w:rsidRDefault="00A529E8" w:rsidP="00A529E8">
      <w:pPr>
        <w:spacing w:line="240" w:lineRule="auto"/>
        <w:jc w:val="center"/>
        <w:rPr>
          <w:rFonts w:ascii="Calibri" w:eastAsia="Times New Roman" w:hAnsi="Calibri" w:cs="Calibri"/>
          <w:b/>
          <w:bCs/>
          <w:sz w:val="28"/>
          <w:szCs w:val="28"/>
        </w:rPr>
      </w:pPr>
      <w:r w:rsidRPr="00576F72">
        <w:rPr>
          <w:rFonts w:ascii="Calibri" w:eastAsia="Times New Roman" w:hAnsi="Calibri" w:cs="Calibri"/>
          <w:b/>
          <w:bCs/>
          <w:sz w:val="28"/>
          <w:szCs w:val="28"/>
        </w:rPr>
        <w:t xml:space="preserve">Rapport du Secrétariat </w:t>
      </w:r>
    </w:p>
    <w:p w14:paraId="6F0E1562" w14:textId="286B81D8" w:rsidR="00A529E8" w:rsidRPr="00576F72" w:rsidRDefault="00A529E8" w:rsidP="00A529E8">
      <w:pPr>
        <w:spacing w:line="240" w:lineRule="auto"/>
        <w:jc w:val="center"/>
        <w:rPr>
          <w:rFonts w:ascii="Calibri" w:eastAsia="Times New Roman" w:hAnsi="Calibri" w:cs="Calibri"/>
          <w:b/>
          <w:bCs/>
          <w:sz w:val="28"/>
          <w:szCs w:val="28"/>
        </w:rPr>
      </w:pPr>
      <w:r w:rsidRPr="00576F72">
        <w:rPr>
          <w:rFonts w:ascii="Calibri" w:eastAsia="Times New Roman" w:hAnsi="Calibri" w:cs="Calibri"/>
          <w:b/>
          <w:bCs/>
          <w:sz w:val="28"/>
          <w:szCs w:val="28"/>
        </w:rPr>
        <w:t xml:space="preserve">sur l’amélioration des procédures de prise de décisions </w:t>
      </w:r>
      <w:r>
        <w:rPr>
          <w:rFonts w:ascii="Calibri" w:eastAsia="Times New Roman" w:hAnsi="Calibri" w:cs="Calibri"/>
          <w:b/>
          <w:bCs/>
          <w:sz w:val="28"/>
          <w:szCs w:val="28"/>
        </w:rPr>
        <w:br/>
      </w:r>
      <w:r w:rsidRPr="00576F72">
        <w:rPr>
          <w:rFonts w:ascii="Calibri" w:eastAsia="Times New Roman" w:hAnsi="Calibri" w:cs="Calibri"/>
          <w:b/>
          <w:bCs/>
          <w:sz w:val="28"/>
          <w:szCs w:val="28"/>
        </w:rPr>
        <w:t xml:space="preserve">et le maintien d’un fonctionnement efficace de la Convention </w:t>
      </w:r>
      <w:r>
        <w:rPr>
          <w:rFonts w:ascii="Calibri" w:eastAsia="Times New Roman" w:hAnsi="Calibri" w:cs="Calibri"/>
          <w:b/>
          <w:bCs/>
          <w:sz w:val="28"/>
          <w:szCs w:val="28"/>
        </w:rPr>
        <w:br/>
      </w:r>
      <w:r w:rsidRPr="00576F72">
        <w:rPr>
          <w:rFonts w:ascii="Calibri" w:eastAsia="Times New Roman" w:hAnsi="Calibri" w:cs="Calibri"/>
          <w:b/>
          <w:bCs/>
          <w:sz w:val="28"/>
          <w:szCs w:val="28"/>
        </w:rPr>
        <w:t>dans des circonstances exceptionnelles</w:t>
      </w:r>
    </w:p>
    <w:p w14:paraId="0A5753CE" w14:textId="77777777" w:rsidR="00A529E8" w:rsidRDefault="00A529E8" w:rsidP="00A529E8">
      <w:pPr>
        <w:spacing w:line="240" w:lineRule="auto"/>
        <w:rPr>
          <w:rFonts w:ascii="Calibri" w:eastAsia="Times New Roman" w:hAnsi="Calibri" w:cs="Calibri"/>
        </w:rPr>
      </w:pPr>
    </w:p>
    <w:p w14:paraId="0B70B6CB" w14:textId="77777777" w:rsidR="00A41232" w:rsidRPr="00576F72" w:rsidRDefault="00A41232" w:rsidP="00A529E8">
      <w:pPr>
        <w:spacing w:line="240" w:lineRule="auto"/>
        <w:rPr>
          <w:rFonts w:ascii="Calibri" w:eastAsia="Times New Roman" w:hAnsi="Calibri" w:cs="Calibri"/>
        </w:rPr>
      </w:pPr>
    </w:p>
    <w:p w14:paraId="5336BB69" w14:textId="77777777" w:rsidR="00A529E8" w:rsidRPr="00576F72" w:rsidRDefault="00A529E8" w:rsidP="00A529E8">
      <w:pPr>
        <w:spacing w:line="240" w:lineRule="auto"/>
        <w:rPr>
          <w:rFonts w:ascii="Calibri" w:eastAsia="Times New Roman" w:hAnsi="Calibri" w:cs="Calibri"/>
          <w:b/>
          <w:bCs/>
        </w:rPr>
      </w:pPr>
      <w:r w:rsidRPr="00576F72">
        <w:rPr>
          <w:rFonts w:ascii="Calibri" w:eastAsia="Times New Roman" w:hAnsi="Calibri" w:cs="Calibri"/>
          <w:b/>
          <w:bCs/>
        </w:rPr>
        <w:t>Contexte</w:t>
      </w:r>
    </w:p>
    <w:p w14:paraId="75C0801C" w14:textId="77777777" w:rsidR="00A529E8" w:rsidRPr="00576F72" w:rsidRDefault="00A529E8" w:rsidP="00A529E8">
      <w:pPr>
        <w:spacing w:line="240" w:lineRule="auto"/>
        <w:rPr>
          <w:rFonts w:ascii="Calibri" w:eastAsia="Times New Roman" w:hAnsi="Calibri" w:cs="Calibri"/>
        </w:rPr>
      </w:pPr>
    </w:p>
    <w:p w14:paraId="74FFB19F" w14:textId="1EB3959B"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1.</w:t>
      </w:r>
      <w:r>
        <w:rPr>
          <w:rFonts w:ascii="Calibri" w:eastAsia="Times New Roman" w:hAnsi="Calibri" w:cs="Calibri"/>
        </w:rPr>
        <w:tab/>
      </w:r>
      <w:r w:rsidRPr="00576F72">
        <w:rPr>
          <w:rFonts w:ascii="Calibri" w:eastAsia="Times New Roman" w:hAnsi="Calibri" w:cs="Calibri"/>
        </w:rPr>
        <w:t>De 2020 à 2022, la Convention sur les zones humides a peiné à mener à bien ses activités en raison de la pandémie de Covid-19</w:t>
      </w:r>
      <w:r w:rsidR="007240FC">
        <w:rPr>
          <w:rFonts w:ascii="Calibri" w:eastAsia="Times New Roman" w:hAnsi="Calibri" w:cs="Calibri"/>
        </w:rPr>
        <w:t>,</w:t>
      </w:r>
      <w:r w:rsidRPr="00576F72">
        <w:rPr>
          <w:rFonts w:ascii="Calibri" w:eastAsia="Times New Roman" w:hAnsi="Calibri" w:cs="Calibri"/>
        </w:rPr>
        <w:t xml:space="preserve"> qui a limité les réunions en présentiel. En conséquence, les 58</w:t>
      </w:r>
      <w:r w:rsidRPr="007240FC">
        <w:rPr>
          <w:rFonts w:ascii="Calibri" w:eastAsia="Times New Roman" w:hAnsi="Calibri" w:cs="Calibri"/>
          <w:vertAlign w:val="superscript"/>
        </w:rPr>
        <w:t>e</w:t>
      </w:r>
      <w:r w:rsidRPr="00576F72">
        <w:rPr>
          <w:rFonts w:ascii="Calibri" w:eastAsia="Times New Roman" w:hAnsi="Calibri" w:cs="Calibri"/>
        </w:rPr>
        <w:t xml:space="preserve"> et 59</w:t>
      </w:r>
      <w:r w:rsidRPr="007240FC">
        <w:rPr>
          <w:rFonts w:ascii="Calibri" w:eastAsia="Times New Roman" w:hAnsi="Calibri" w:cs="Calibri"/>
          <w:vertAlign w:val="superscript"/>
        </w:rPr>
        <w:t>e</w:t>
      </w:r>
      <w:r w:rsidRPr="00576F72">
        <w:rPr>
          <w:rFonts w:ascii="Calibri" w:eastAsia="Times New Roman" w:hAnsi="Calibri" w:cs="Calibri"/>
        </w:rPr>
        <w:t xml:space="preserve"> </w:t>
      </w:r>
      <w:r w:rsidR="007240FC">
        <w:rPr>
          <w:rFonts w:ascii="Calibri" w:eastAsia="Times New Roman" w:hAnsi="Calibri" w:cs="Calibri"/>
        </w:rPr>
        <w:t>réunions</w:t>
      </w:r>
      <w:r w:rsidRPr="00576F72">
        <w:rPr>
          <w:rFonts w:ascii="Calibri" w:eastAsia="Times New Roman" w:hAnsi="Calibri" w:cs="Calibri"/>
        </w:rPr>
        <w:t xml:space="preserve"> du Comité permanent (SC58 et SC59) se sont tenues virtuellement. La 14</w:t>
      </w:r>
      <w:r w:rsidRPr="007240FC">
        <w:rPr>
          <w:rFonts w:ascii="Calibri" w:eastAsia="Times New Roman" w:hAnsi="Calibri" w:cs="Calibri"/>
          <w:vertAlign w:val="superscript"/>
        </w:rPr>
        <w:t>e</w:t>
      </w:r>
      <w:r w:rsidRPr="00576F72">
        <w:rPr>
          <w:rFonts w:ascii="Calibri" w:eastAsia="Times New Roman" w:hAnsi="Calibri" w:cs="Calibri"/>
        </w:rPr>
        <w:t xml:space="preserve"> session de la Conférence des Parties contractantes (COP14), initialement prévue en 2021 à Wuhan (Chine), a été reportée à novembre 2022 et s</w:t>
      </w:r>
      <w:r w:rsidR="007240FC">
        <w:rPr>
          <w:rFonts w:ascii="Calibri" w:eastAsia="Times New Roman" w:hAnsi="Calibri" w:cs="Calibri"/>
        </w:rPr>
        <w:t>’</w:t>
      </w:r>
      <w:r w:rsidRPr="00576F72">
        <w:rPr>
          <w:rFonts w:ascii="Calibri" w:eastAsia="Times New Roman" w:hAnsi="Calibri" w:cs="Calibri"/>
        </w:rPr>
        <w:t>est finalement tenue dans un format hybride</w:t>
      </w:r>
      <w:r w:rsidR="007240FC">
        <w:rPr>
          <w:rFonts w:ascii="Calibri" w:eastAsia="Times New Roman" w:hAnsi="Calibri" w:cs="Calibri"/>
        </w:rPr>
        <w:t>,</w:t>
      </w:r>
      <w:r w:rsidRPr="00576F72">
        <w:rPr>
          <w:rFonts w:ascii="Calibri" w:eastAsia="Times New Roman" w:hAnsi="Calibri" w:cs="Calibri"/>
        </w:rPr>
        <w:t xml:space="preserve"> à Wuhan et à Genève (Suisse).</w:t>
      </w:r>
    </w:p>
    <w:p w14:paraId="104E1FEB" w14:textId="77777777" w:rsidR="00A529E8" w:rsidRPr="00576F72" w:rsidRDefault="00A529E8" w:rsidP="00A529E8">
      <w:pPr>
        <w:spacing w:line="240" w:lineRule="auto"/>
        <w:ind w:left="426" w:hanging="426"/>
        <w:rPr>
          <w:rFonts w:ascii="Calibri" w:eastAsia="Times New Roman" w:hAnsi="Calibri" w:cs="Calibri"/>
        </w:rPr>
      </w:pPr>
    </w:p>
    <w:p w14:paraId="202B374A" w14:textId="37D8BF6B"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2.</w:t>
      </w:r>
      <w:r>
        <w:rPr>
          <w:rFonts w:ascii="Calibri" w:eastAsia="Times New Roman" w:hAnsi="Calibri" w:cs="Calibri"/>
        </w:rPr>
        <w:tab/>
      </w:r>
      <w:r w:rsidRPr="00576F72">
        <w:rPr>
          <w:rFonts w:ascii="Calibri" w:eastAsia="Times New Roman" w:hAnsi="Calibri" w:cs="Calibri"/>
        </w:rPr>
        <w:t xml:space="preserve">La </w:t>
      </w:r>
      <w:r w:rsidR="00694A5C">
        <w:rPr>
          <w:rFonts w:ascii="Calibri" w:eastAsia="Times New Roman" w:hAnsi="Calibri" w:cs="Calibri"/>
        </w:rPr>
        <w:t>r</w:t>
      </w:r>
      <w:r w:rsidRPr="00576F72">
        <w:rPr>
          <w:rFonts w:ascii="Calibri" w:eastAsia="Times New Roman" w:hAnsi="Calibri" w:cs="Calibri"/>
        </w:rPr>
        <w:t>ésolution</w:t>
      </w:r>
      <w:r w:rsidR="007240FC">
        <w:rPr>
          <w:rFonts w:ascii="Calibri" w:eastAsia="Times New Roman" w:hAnsi="Calibri" w:cs="Calibri"/>
        </w:rPr>
        <w:t> </w:t>
      </w:r>
      <w:r w:rsidRPr="00576F72">
        <w:rPr>
          <w:rFonts w:ascii="Calibri" w:eastAsia="Times New Roman" w:hAnsi="Calibri" w:cs="Calibri"/>
        </w:rPr>
        <w:t xml:space="preserve">XIV.3, intitulée </w:t>
      </w:r>
      <w:r w:rsidRPr="00D373DC">
        <w:rPr>
          <w:rFonts w:ascii="Calibri" w:eastAsia="Times New Roman" w:hAnsi="Calibri" w:cs="Calibri"/>
          <w:i/>
          <w:iCs/>
        </w:rPr>
        <w:t>L</w:t>
      </w:r>
      <w:r w:rsidR="007240FC">
        <w:rPr>
          <w:rFonts w:ascii="Calibri" w:eastAsia="Times New Roman" w:hAnsi="Calibri" w:cs="Calibri"/>
          <w:i/>
          <w:iCs/>
        </w:rPr>
        <w:t>’</w:t>
      </w:r>
      <w:r w:rsidRPr="00D373DC">
        <w:rPr>
          <w:rFonts w:ascii="Calibri" w:eastAsia="Times New Roman" w:hAnsi="Calibri" w:cs="Calibri"/>
          <w:i/>
          <w:iCs/>
        </w:rPr>
        <w:t>efficacité et l</w:t>
      </w:r>
      <w:r w:rsidR="007240FC">
        <w:rPr>
          <w:rFonts w:ascii="Calibri" w:eastAsia="Times New Roman" w:hAnsi="Calibri" w:cs="Calibri"/>
          <w:i/>
          <w:iCs/>
        </w:rPr>
        <w:t>’</w:t>
      </w:r>
      <w:r w:rsidRPr="00D373DC">
        <w:rPr>
          <w:rFonts w:ascii="Calibri" w:eastAsia="Times New Roman" w:hAnsi="Calibri" w:cs="Calibri"/>
          <w:i/>
          <w:iCs/>
        </w:rPr>
        <w:t>efficience de la Convention sur les zones humides</w:t>
      </w:r>
      <w:r w:rsidRPr="00576F72">
        <w:rPr>
          <w:rFonts w:ascii="Calibri" w:eastAsia="Times New Roman" w:hAnsi="Calibri" w:cs="Calibri"/>
        </w:rPr>
        <w:t>, souligne la nécessité de tirer les enseignements de ces expériences et de réfléchir à des mesures permettant de garantir le bon fonctionnement de la Convention dans des circonstances exceptionnelles, en s</w:t>
      </w:r>
      <w:r w:rsidR="007240FC">
        <w:rPr>
          <w:rFonts w:ascii="Calibri" w:eastAsia="Times New Roman" w:hAnsi="Calibri" w:cs="Calibri"/>
        </w:rPr>
        <w:t>’</w:t>
      </w:r>
      <w:r w:rsidRPr="00576F72">
        <w:rPr>
          <w:rFonts w:ascii="Calibri" w:eastAsia="Times New Roman" w:hAnsi="Calibri" w:cs="Calibri"/>
        </w:rPr>
        <w:t>inspirant des bonnes pratiques d</w:t>
      </w:r>
      <w:r w:rsidR="007240FC">
        <w:rPr>
          <w:rFonts w:ascii="Calibri" w:eastAsia="Times New Roman" w:hAnsi="Calibri" w:cs="Calibri"/>
        </w:rPr>
        <w:t>’</w:t>
      </w:r>
      <w:r w:rsidRPr="00576F72">
        <w:rPr>
          <w:rFonts w:ascii="Calibri" w:eastAsia="Times New Roman" w:hAnsi="Calibri" w:cs="Calibri"/>
        </w:rPr>
        <w:t>autres institutions internationales et en repérant les éventuelles modifications à apporter au Règlement intérieur. Le Secrétariat a donc préparé la présente évaluation de l</w:t>
      </w:r>
      <w:r w:rsidR="007240FC">
        <w:rPr>
          <w:rFonts w:ascii="Calibri" w:eastAsia="Times New Roman" w:hAnsi="Calibri" w:cs="Calibri"/>
        </w:rPr>
        <w:t>’</w:t>
      </w:r>
      <w:r w:rsidRPr="00576F72">
        <w:rPr>
          <w:rFonts w:ascii="Calibri" w:eastAsia="Times New Roman" w:hAnsi="Calibri" w:cs="Calibri"/>
        </w:rPr>
        <w:t>amélioration de la prise de décision et du maintien d</w:t>
      </w:r>
      <w:r w:rsidR="007240FC">
        <w:rPr>
          <w:rFonts w:ascii="Calibri" w:eastAsia="Times New Roman" w:hAnsi="Calibri" w:cs="Calibri"/>
        </w:rPr>
        <w:t>’</w:t>
      </w:r>
      <w:r w:rsidRPr="00576F72">
        <w:rPr>
          <w:rFonts w:ascii="Calibri" w:eastAsia="Times New Roman" w:hAnsi="Calibri" w:cs="Calibri"/>
        </w:rPr>
        <w:t xml:space="preserve">une </w:t>
      </w:r>
      <w:r w:rsidR="007240FC" w:rsidRPr="00576F72">
        <w:rPr>
          <w:rFonts w:ascii="Calibri" w:eastAsia="Times New Roman" w:hAnsi="Calibri" w:cs="Calibri"/>
        </w:rPr>
        <w:t xml:space="preserve">pleine et effective </w:t>
      </w:r>
      <w:r w:rsidRPr="00576F72">
        <w:rPr>
          <w:rFonts w:ascii="Calibri" w:eastAsia="Times New Roman" w:hAnsi="Calibri" w:cs="Calibri"/>
        </w:rPr>
        <w:t xml:space="preserve">participation des parties contractantes dans des circonstances exceptionnelles, en tenant notamment compte des </w:t>
      </w:r>
      <w:r w:rsidR="007240FC">
        <w:rPr>
          <w:rFonts w:ascii="Calibri" w:eastAsia="Times New Roman" w:hAnsi="Calibri" w:cs="Calibri"/>
        </w:rPr>
        <w:t>bonnes</w:t>
      </w:r>
      <w:r w:rsidRPr="00576F72">
        <w:rPr>
          <w:rFonts w:ascii="Calibri" w:eastAsia="Times New Roman" w:hAnsi="Calibri" w:cs="Calibri"/>
        </w:rPr>
        <w:t xml:space="preserve"> pratiques d</w:t>
      </w:r>
      <w:r w:rsidR="007240FC">
        <w:rPr>
          <w:rFonts w:ascii="Calibri" w:eastAsia="Times New Roman" w:hAnsi="Calibri" w:cs="Calibri"/>
        </w:rPr>
        <w:t>’</w:t>
      </w:r>
      <w:r w:rsidRPr="00576F72">
        <w:rPr>
          <w:rFonts w:ascii="Calibri" w:eastAsia="Times New Roman" w:hAnsi="Calibri" w:cs="Calibri"/>
        </w:rPr>
        <w:t xml:space="preserve">autres institutions internationales et en </w:t>
      </w:r>
      <w:r w:rsidR="007240FC">
        <w:rPr>
          <w:rFonts w:ascii="Calibri" w:eastAsia="Times New Roman" w:hAnsi="Calibri" w:cs="Calibri"/>
        </w:rPr>
        <w:t>indiquant les possibilités de</w:t>
      </w:r>
      <w:r w:rsidRPr="00576F72">
        <w:rPr>
          <w:rFonts w:ascii="Calibri" w:eastAsia="Times New Roman" w:hAnsi="Calibri" w:cs="Calibri"/>
        </w:rPr>
        <w:t xml:space="preserve"> modification du Règlement intérieur.  </w:t>
      </w:r>
    </w:p>
    <w:p w14:paraId="34F4DF36" w14:textId="77777777" w:rsidR="00A529E8" w:rsidRPr="00576F72" w:rsidRDefault="00A529E8" w:rsidP="00A529E8">
      <w:pPr>
        <w:spacing w:line="240" w:lineRule="auto"/>
        <w:rPr>
          <w:rFonts w:ascii="Calibri" w:eastAsia="Times New Roman" w:hAnsi="Calibri" w:cs="Calibri"/>
        </w:rPr>
      </w:pPr>
    </w:p>
    <w:p w14:paraId="3123DF7A" w14:textId="77777777" w:rsidR="00A529E8" w:rsidRPr="00576F72" w:rsidRDefault="00A529E8" w:rsidP="00A529E8">
      <w:pPr>
        <w:spacing w:line="240" w:lineRule="auto"/>
        <w:rPr>
          <w:rFonts w:ascii="Calibri" w:eastAsia="Times New Roman" w:hAnsi="Calibri" w:cs="Calibri"/>
          <w:b/>
          <w:bCs/>
        </w:rPr>
      </w:pPr>
      <w:r w:rsidRPr="00576F72">
        <w:rPr>
          <w:rFonts w:ascii="Calibri" w:eastAsia="Times New Roman" w:hAnsi="Calibri" w:cs="Calibri"/>
          <w:b/>
          <w:bCs/>
        </w:rPr>
        <w:t>Méthodologie</w:t>
      </w:r>
    </w:p>
    <w:p w14:paraId="48412263" w14:textId="77777777" w:rsidR="00A529E8" w:rsidRPr="00576F72" w:rsidRDefault="00A529E8" w:rsidP="00A529E8">
      <w:pPr>
        <w:spacing w:line="240" w:lineRule="auto"/>
        <w:rPr>
          <w:rFonts w:ascii="Calibri" w:eastAsia="Times New Roman" w:hAnsi="Calibri" w:cs="Calibri"/>
        </w:rPr>
      </w:pPr>
    </w:p>
    <w:p w14:paraId="05D10C5B" w14:textId="540A0854"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3.</w:t>
      </w:r>
      <w:r>
        <w:rPr>
          <w:rFonts w:ascii="Calibri" w:eastAsia="Times New Roman" w:hAnsi="Calibri" w:cs="Calibri"/>
        </w:rPr>
        <w:tab/>
      </w:r>
      <w:r w:rsidRPr="00576F72">
        <w:rPr>
          <w:rFonts w:ascii="Calibri" w:eastAsia="Times New Roman" w:hAnsi="Calibri" w:cs="Calibri"/>
        </w:rPr>
        <w:t xml:space="preserve">Pour </w:t>
      </w:r>
      <w:r w:rsidR="007240FC">
        <w:rPr>
          <w:rFonts w:ascii="Calibri" w:eastAsia="Times New Roman" w:hAnsi="Calibri" w:cs="Calibri"/>
        </w:rPr>
        <w:t xml:space="preserve">appliquer </w:t>
      </w:r>
      <w:r w:rsidR="00694A5C">
        <w:rPr>
          <w:rFonts w:ascii="Calibri" w:eastAsia="Times New Roman" w:hAnsi="Calibri" w:cs="Calibri"/>
        </w:rPr>
        <w:t>cette</w:t>
      </w:r>
      <w:r w:rsidR="007240FC">
        <w:rPr>
          <w:rFonts w:ascii="Calibri" w:eastAsia="Times New Roman" w:hAnsi="Calibri" w:cs="Calibri"/>
        </w:rPr>
        <w:t xml:space="preserve"> résolution</w:t>
      </w:r>
      <w:r w:rsidRPr="00576F72">
        <w:rPr>
          <w:rFonts w:ascii="Calibri" w:eastAsia="Times New Roman" w:hAnsi="Calibri" w:cs="Calibri"/>
        </w:rPr>
        <w:t>, le Secrétariat a entrepris des recherches documentaires sur la manière dont d</w:t>
      </w:r>
      <w:r w:rsidR="007240FC">
        <w:rPr>
          <w:rFonts w:ascii="Calibri" w:eastAsia="Times New Roman" w:hAnsi="Calibri" w:cs="Calibri"/>
        </w:rPr>
        <w:t>’</w:t>
      </w:r>
      <w:r w:rsidRPr="00576F72">
        <w:rPr>
          <w:rFonts w:ascii="Calibri" w:eastAsia="Times New Roman" w:hAnsi="Calibri" w:cs="Calibri"/>
        </w:rPr>
        <w:t>autres accords multilatéraux sur l</w:t>
      </w:r>
      <w:r w:rsidR="007240FC">
        <w:rPr>
          <w:rFonts w:ascii="Calibri" w:eastAsia="Times New Roman" w:hAnsi="Calibri" w:cs="Calibri"/>
        </w:rPr>
        <w:t>’</w:t>
      </w:r>
      <w:r w:rsidRPr="00576F72">
        <w:rPr>
          <w:rFonts w:ascii="Calibri" w:eastAsia="Times New Roman" w:hAnsi="Calibri" w:cs="Calibri"/>
        </w:rPr>
        <w:t>environnement et organisations internationales ont fonctionné pendant la pandémie</w:t>
      </w:r>
      <w:r w:rsidR="00694A5C">
        <w:rPr>
          <w:rFonts w:ascii="Calibri" w:eastAsia="Times New Roman" w:hAnsi="Calibri" w:cs="Calibri"/>
        </w:rPr>
        <w:t>. Il</w:t>
      </w:r>
      <w:r w:rsidRPr="00576F72">
        <w:rPr>
          <w:rFonts w:ascii="Calibri" w:eastAsia="Times New Roman" w:hAnsi="Calibri" w:cs="Calibri"/>
        </w:rPr>
        <w:t xml:space="preserve"> a contacté 14 organisations internationales dans le cadre de la préparation du présent rapport, afin d</w:t>
      </w:r>
      <w:r w:rsidR="007240FC">
        <w:rPr>
          <w:rFonts w:ascii="Calibri" w:eastAsia="Times New Roman" w:hAnsi="Calibri" w:cs="Calibri"/>
        </w:rPr>
        <w:t>’</w:t>
      </w:r>
      <w:r w:rsidRPr="00576F72">
        <w:rPr>
          <w:rFonts w:ascii="Calibri" w:eastAsia="Times New Roman" w:hAnsi="Calibri" w:cs="Calibri"/>
        </w:rPr>
        <w:t>identifier les moyens d</w:t>
      </w:r>
      <w:r w:rsidR="007240FC">
        <w:rPr>
          <w:rFonts w:ascii="Calibri" w:eastAsia="Times New Roman" w:hAnsi="Calibri" w:cs="Calibri"/>
        </w:rPr>
        <w:t>’</w:t>
      </w:r>
      <w:r w:rsidRPr="00576F72">
        <w:rPr>
          <w:rFonts w:ascii="Calibri" w:eastAsia="Times New Roman" w:hAnsi="Calibri" w:cs="Calibri"/>
        </w:rPr>
        <w:t>améliorer les procédures de prise de décision dans des circonstances exceptionnelles comme une pandémie. L</w:t>
      </w:r>
      <w:r w:rsidR="007240FC">
        <w:rPr>
          <w:rFonts w:ascii="Calibri" w:eastAsia="Times New Roman" w:hAnsi="Calibri" w:cs="Calibri"/>
        </w:rPr>
        <w:t>’</w:t>
      </w:r>
      <w:r w:rsidRPr="00576F72">
        <w:rPr>
          <w:rFonts w:ascii="Calibri" w:eastAsia="Times New Roman" w:hAnsi="Calibri" w:cs="Calibri"/>
        </w:rPr>
        <w:t>étude documentaire comprend une étude sur les réunions virtuelles effectuée par la Division juridique du Programme des Nations Unies pour l</w:t>
      </w:r>
      <w:r w:rsidR="007240FC">
        <w:rPr>
          <w:rFonts w:ascii="Calibri" w:eastAsia="Times New Roman" w:hAnsi="Calibri" w:cs="Calibri"/>
        </w:rPr>
        <w:t>’</w:t>
      </w:r>
      <w:r w:rsidRPr="00576F72">
        <w:rPr>
          <w:rFonts w:ascii="Calibri" w:eastAsia="Times New Roman" w:hAnsi="Calibri" w:cs="Calibri"/>
        </w:rPr>
        <w:t xml:space="preserve">environnement, et une compilation des points de vue des États membres et des parties prenantes sur les réunions </w:t>
      </w:r>
      <w:r w:rsidRPr="00576F72">
        <w:rPr>
          <w:rFonts w:ascii="Calibri" w:eastAsia="Times New Roman" w:hAnsi="Calibri" w:cs="Calibri"/>
        </w:rPr>
        <w:lastRenderedPageBreak/>
        <w:t>virtuelles et hybrides, effectuée par l</w:t>
      </w:r>
      <w:r w:rsidR="007240FC">
        <w:rPr>
          <w:rFonts w:ascii="Calibri" w:eastAsia="Times New Roman" w:hAnsi="Calibri" w:cs="Calibri"/>
        </w:rPr>
        <w:t>’</w:t>
      </w:r>
      <w:r w:rsidRPr="00576F72">
        <w:rPr>
          <w:rFonts w:ascii="Calibri" w:eastAsia="Times New Roman" w:hAnsi="Calibri" w:cs="Calibri"/>
        </w:rPr>
        <w:t xml:space="preserve">Organe subsidiaire de mise en œuvre de la Convention sur la diversité biologique. </w:t>
      </w:r>
    </w:p>
    <w:p w14:paraId="3FD3B11C" w14:textId="77777777" w:rsidR="00A529E8" w:rsidRPr="00576F72" w:rsidRDefault="00A529E8" w:rsidP="00A529E8">
      <w:pPr>
        <w:spacing w:line="240" w:lineRule="auto"/>
        <w:rPr>
          <w:rFonts w:ascii="Calibri" w:eastAsia="Times New Roman" w:hAnsi="Calibri" w:cs="Calibri"/>
        </w:rPr>
      </w:pPr>
    </w:p>
    <w:p w14:paraId="373E65E6" w14:textId="77777777" w:rsidR="00A529E8" w:rsidRDefault="00A529E8" w:rsidP="00A529E8">
      <w:pPr>
        <w:keepNext/>
        <w:spacing w:line="240" w:lineRule="auto"/>
        <w:rPr>
          <w:rFonts w:ascii="Calibri" w:eastAsia="Times New Roman" w:hAnsi="Calibri" w:cs="Calibri"/>
          <w:b/>
          <w:bCs/>
        </w:rPr>
      </w:pPr>
      <w:r w:rsidRPr="00576F72">
        <w:rPr>
          <w:rFonts w:ascii="Calibri" w:eastAsia="Times New Roman" w:hAnsi="Calibri" w:cs="Calibri"/>
          <w:b/>
          <w:bCs/>
        </w:rPr>
        <w:t>Principaux constats :</w:t>
      </w:r>
    </w:p>
    <w:p w14:paraId="6FD80384" w14:textId="77777777" w:rsidR="00A529E8" w:rsidRPr="00576F72" w:rsidRDefault="00A529E8" w:rsidP="00A529E8">
      <w:pPr>
        <w:keepNext/>
        <w:spacing w:line="240" w:lineRule="auto"/>
        <w:rPr>
          <w:rFonts w:ascii="Calibri" w:eastAsia="Times New Roman" w:hAnsi="Calibri" w:cs="Calibri"/>
          <w:b/>
          <w:bCs/>
        </w:rPr>
      </w:pPr>
    </w:p>
    <w:p w14:paraId="4D0BCC6C" w14:textId="189740A7"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4.</w:t>
      </w:r>
      <w:r w:rsidRPr="00576F72">
        <w:rPr>
          <w:rFonts w:ascii="Calibri" w:eastAsia="Times New Roman" w:hAnsi="Calibri" w:cs="Calibri"/>
        </w:rPr>
        <w:tab/>
      </w:r>
      <w:r w:rsidRPr="00D373DC">
        <w:rPr>
          <w:rFonts w:ascii="Calibri" w:eastAsia="Times New Roman" w:hAnsi="Calibri" w:cs="Calibri"/>
          <w:i/>
          <w:iCs/>
        </w:rPr>
        <w:t>Les réunions en ligne comme solution partielle</w:t>
      </w:r>
      <w:r w:rsidR="007240FC">
        <w:rPr>
          <w:rFonts w:ascii="Calibri" w:eastAsia="Times New Roman" w:hAnsi="Calibri" w:cs="Calibri"/>
        </w:rPr>
        <w:t> </w:t>
      </w:r>
      <w:r>
        <w:rPr>
          <w:rFonts w:ascii="Calibri" w:eastAsia="Times New Roman" w:hAnsi="Calibri" w:cs="Calibri"/>
        </w:rPr>
        <w:t>: toutes les organisations contactées ont tenu des réunions en ligne pour atténuer les perturbations causées par la pandémie. Il a toutefois été difficile d</w:t>
      </w:r>
      <w:r w:rsidR="007240FC">
        <w:rPr>
          <w:rFonts w:ascii="Calibri" w:eastAsia="Times New Roman" w:hAnsi="Calibri" w:cs="Calibri"/>
        </w:rPr>
        <w:t>’</w:t>
      </w:r>
      <w:r w:rsidR="00694A5C">
        <w:rPr>
          <w:rFonts w:ascii="Calibri" w:eastAsia="Times New Roman" w:hAnsi="Calibri" w:cs="Calibri"/>
        </w:rPr>
        <w:t xml:space="preserve">y </w:t>
      </w:r>
      <w:r>
        <w:rPr>
          <w:rFonts w:ascii="Calibri" w:eastAsia="Times New Roman" w:hAnsi="Calibri" w:cs="Calibri"/>
        </w:rPr>
        <w:t>assurer la pleine participation et la prise de décision formelle. Les avis divergeaient quant à savoir si des décisions majeures pouvaient être prises virtuellement, ce qui a conduit certains organes à limiter les décisions formelles aux points de procédure ou aux questions «</w:t>
      </w:r>
      <w:r w:rsidR="007240FC">
        <w:rPr>
          <w:rFonts w:ascii="Calibri" w:eastAsia="Times New Roman" w:hAnsi="Calibri" w:cs="Calibri"/>
        </w:rPr>
        <w:t> </w:t>
      </w:r>
      <w:r>
        <w:rPr>
          <w:rFonts w:ascii="Calibri" w:eastAsia="Times New Roman" w:hAnsi="Calibri" w:cs="Calibri"/>
        </w:rPr>
        <w:t>essentielles</w:t>
      </w:r>
      <w:r w:rsidR="007240FC">
        <w:rPr>
          <w:rFonts w:ascii="Calibri" w:eastAsia="Times New Roman" w:hAnsi="Calibri" w:cs="Calibri"/>
        </w:rPr>
        <w:t> </w:t>
      </w:r>
      <w:r>
        <w:rPr>
          <w:rFonts w:ascii="Calibri" w:eastAsia="Times New Roman" w:hAnsi="Calibri" w:cs="Calibri"/>
        </w:rPr>
        <w:t xml:space="preserve">» lors des </w:t>
      </w:r>
      <w:r w:rsidR="00694A5C">
        <w:rPr>
          <w:rFonts w:ascii="Calibri" w:eastAsia="Times New Roman" w:hAnsi="Calibri" w:cs="Calibri"/>
        </w:rPr>
        <w:t>sessions</w:t>
      </w:r>
      <w:r>
        <w:rPr>
          <w:rFonts w:ascii="Calibri" w:eastAsia="Times New Roman" w:hAnsi="Calibri" w:cs="Calibri"/>
        </w:rPr>
        <w:t xml:space="preserve"> virtuelles.</w:t>
      </w:r>
    </w:p>
    <w:p w14:paraId="58AE339C" w14:textId="77777777" w:rsidR="00A529E8" w:rsidRPr="00576F72" w:rsidRDefault="00A529E8" w:rsidP="00A529E8">
      <w:pPr>
        <w:spacing w:line="240" w:lineRule="auto"/>
        <w:ind w:left="426" w:hanging="426"/>
        <w:rPr>
          <w:rFonts w:ascii="Calibri" w:eastAsia="Times New Roman" w:hAnsi="Calibri" w:cs="Calibri"/>
        </w:rPr>
      </w:pPr>
    </w:p>
    <w:p w14:paraId="2DFEC27D" w14:textId="6C8A26E2"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5.</w:t>
      </w:r>
      <w:r w:rsidRPr="00576F72">
        <w:rPr>
          <w:rFonts w:ascii="Calibri" w:eastAsia="Times New Roman" w:hAnsi="Calibri" w:cs="Calibri"/>
        </w:rPr>
        <w:tab/>
      </w:r>
      <w:r w:rsidRPr="00D373DC">
        <w:rPr>
          <w:rFonts w:ascii="Calibri" w:eastAsia="Times New Roman" w:hAnsi="Calibri" w:cs="Calibri"/>
          <w:i/>
          <w:iCs/>
        </w:rPr>
        <w:t>Préparation et participation</w:t>
      </w:r>
      <w:r w:rsidR="007240FC">
        <w:rPr>
          <w:rFonts w:ascii="Calibri" w:eastAsia="Times New Roman" w:hAnsi="Calibri" w:cs="Calibri"/>
        </w:rPr>
        <w:t> </w:t>
      </w:r>
      <w:r>
        <w:rPr>
          <w:rFonts w:ascii="Calibri" w:eastAsia="Times New Roman" w:hAnsi="Calibri" w:cs="Calibri"/>
        </w:rPr>
        <w:t>: les organisations ont déployé des efforts considérables pour préparer les réunions virtuelles, en s</w:t>
      </w:r>
      <w:r w:rsidR="007240FC">
        <w:rPr>
          <w:rFonts w:ascii="Calibri" w:eastAsia="Times New Roman" w:hAnsi="Calibri" w:cs="Calibri"/>
        </w:rPr>
        <w:t>’</w:t>
      </w:r>
      <w:r>
        <w:rPr>
          <w:rFonts w:ascii="Calibri" w:eastAsia="Times New Roman" w:hAnsi="Calibri" w:cs="Calibri"/>
        </w:rPr>
        <w:t xml:space="preserve">attaquant </w:t>
      </w:r>
      <w:r w:rsidR="00694A5C">
        <w:rPr>
          <w:rFonts w:ascii="Calibri" w:eastAsia="Times New Roman" w:hAnsi="Calibri" w:cs="Calibri"/>
        </w:rPr>
        <w:t>à des</w:t>
      </w:r>
      <w:r>
        <w:rPr>
          <w:rFonts w:ascii="Calibri" w:eastAsia="Times New Roman" w:hAnsi="Calibri" w:cs="Calibri"/>
        </w:rPr>
        <w:t xml:space="preserve"> obstacles logistiques tels que le décalage horaire, l</w:t>
      </w:r>
      <w:r w:rsidR="007240FC">
        <w:rPr>
          <w:rFonts w:ascii="Calibri" w:eastAsia="Times New Roman" w:hAnsi="Calibri" w:cs="Calibri"/>
        </w:rPr>
        <w:t>’</w:t>
      </w:r>
      <w:r>
        <w:rPr>
          <w:rFonts w:ascii="Calibri" w:eastAsia="Times New Roman" w:hAnsi="Calibri" w:cs="Calibri"/>
        </w:rPr>
        <w:t>interprétation et la fiabilité technique. Par exemple, les Conventions de Bâle, de Rotterdam et de Stockholm ont prévu une «</w:t>
      </w:r>
      <w:r w:rsidR="007240FC">
        <w:rPr>
          <w:rFonts w:ascii="Calibri" w:eastAsia="Times New Roman" w:hAnsi="Calibri" w:cs="Calibri"/>
        </w:rPr>
        <w:t> </w:t>
      </w:r>
      <w:r>
        <w:rPr>
          <w:rFonts w:ascii="Calibri" w:eastAsia="Times New Roman" w:hAnsi="Calibri" w:cs="Calibri"/>
        </w:rPr>
        <w:t>allocation de communication</w:t>
      </w:r>
      <w:r w:rsidR="007240FC">
        <w:rPr>
          <w:rFonts w:ascii="Calibri" w:eastAsia="Times New Roman" w:hAnsi="Calibri" w:cs="Calibri"/>
        </w:rPr>
        <w:t> </w:t>
      </w:r>
      <w:r>
        <w:rPr>
          <w:rFonts w:ascii="Calibri" w:eastAsia="Times New Roman" w:hAnsi="Calibri" w:cs="Calibri"/>
        </w:rPr>
        <w:t>» pour soutenir les pays en développement, et la Convention de Minamata sur le mercure a mis en place un «</w:t>
      </w:r>
      <w:r w:rsidR="007240FC">
        <w:rPr>
          <w:rFonts w:ascii="Calibri" w:eastAsia="Times New Roman" w:hAnsi="Calibri" w:cs="Calibri"/>
        </w:rPr>
        <w:t> </w:t>
      </w:r>
      <w:r>
        <w:rPr>
          <w:rFonts w:ascii="Calibri" w:eastAsia="Times New Roman" w:hAnsi="Calibri" w:cs="Calibri"/>
        </w:rPr>
        <w:t>écosystème numérique intégré</w:t>
      </w:r>
      <w:r w:rsidR="007240FC">
        <w:rPr>
          <w:rFonts w:ascii="Calibri" w:eastAsia="Times New Roman" w:hAnsi="Calibri" w:cs="Calibri"/>
        </w:rPr>
        <w:t> </w:t>
      </w:r>
      <w:r>
        <w:rPr>
          <w:rFonts w:ascii="Calibri" w:eastAsia="Times New Roman" w:hAnsi="Calibri" w:cs="Calibri"/>
        </w:rPr>
        <w:t>» pour améliorer la participation.</w:t>
      </w:r>
    </w:p>
    <w:p w14:paraId="2177EE95" w14:textId="77777777" w:rsidR="00A529E8" w:rsidRPr="00576F72" w:rsidRDefault="00A529E8" w:rsidP="00A529E8">
      <w:pPr>
        <w:spacing w:line="240" w:lineRule="auto"/>
        <w:ind w:left="426" w:hanging="426"/>
        <w:rPr>
          <w:rFonts w:ascii="Calibri" w:eastAsia="Times New Roman" w:hAnsi="Calibri" w:cs="Calibri"/>
        </w:rPr>
      </w:pPr>
    </w:p>
    <w:p w14:paraId="11089450" w14:textId="09B59C5F"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6.</w:t>
      </w:r>
      <w:r w:rsidRPr="00576F72">
        <w:rPr>
          <w:rFonts w:ascii="Calibri" w:eastAsia="Times New Roman" w:hAnsi="Calibri" w:cs="Calibri"/>
        </w:rPr>
        <w:tab/>
      </w:r>
      <w:r w:rsidRPr="00D373DC">
        <w:rPr>
          <w:rFonts w:ascii="Calibri" w:eastAsia="Times New Roman" w:hAnsi="Calibri" w:cs="Calibri"/>
          <w:i/>
          <w:iCs/>
        </w:rPr>
        <w:t>Règlement intérieur</w:t>
      </w:r>
      <w:r>
        <w:rPr>
          <w:rFonts w:ascii="Calibri" w:eastAsia="Times New Roman" w:hAnsi="Calibri" w:cs="Calibri"/>
        </w:rPr>
        <w:t> : à l</w:t>
      </w:r>
      <w:r w:rsidR="007240FC">
        <w:rPr>
          <w:rFonts w:ascii="Calibri" w:eastAsia="Times New Roman" w:hAnsi="Calibri" w:cs="Calibri"/>
        </w:rPr>
        <w:t>’</w:t>
      </w:r>
      <w:r>
        <w:rPr>
          <w:rFonts w:ascii="Calibri" w:eastAsia="Times New Roman" w:hAnsi="Calibri" w:cs="Calibri"/>
        </w:rPr>
        <w:t>exception de la Convention sur les espèces migratrices, qui a modifié l</w:t>
      </w:r>
      <w:r w:rsidR="007240FC">
        <w:rPr>
          <w:rFonts w:ascii="Calibri" w:eastAsia="Times New Roman" w:hAnsi="Calibri" w:cs="Calibri"/>
        </w:rPr>
        <w:t>’</w:t>
      </w:r>
      <w:r>
        <w:rPr>
          <w:rFonts w:ascii="Calibri" w:eastAsia="Times New Roman" w:hAnsi="Calibri" w:cs="Calibri"/>
        </w:rPr>
        <w:t>article</w:t>
      </w:r>
      <w:r w:rsidR="007240FC">
        <w:rPr>
          <w:rFonts w:ascii="Calibri" w:eastAsia="Times New Roman" w:hAnsi="Calibri" w:cs="Calibri"/>
        </w:rPr>
        <w:t> </w:t>
      </w:r>
      <w:r>
        <w:rPr>
          <w:rFonts w:ascii="Calibri" w:eastAsia="Times New Roman" w:hAnsi="Calibri" w:cs="Calibri"/>
        </w:rPr>
        <w:t>3 du règlement intérieur de son comité permanent afin d</w:t>
      </w:r>
      <w:r w:rsidR="007240FC">
        <w:rPr>
          <w:rFonts w:ascii="Calibri" w:eastAsia="Times New Roman" w:hAnsi="Calibri" w:cs="Calibri"/>
        </w:rPr>
        <w:t>’</w:t>
      </w:r>
      <w:r>
        <w:rPr>
          <w:rFonts w:ascii="Calibri" w:eastAsia="Times New Roman" w:hAnsi="Calibri" w:cs="Calibri"/>
        </w:rPr>
        <w:t xml:space="preserve">officialiser les protocoles relatifs aux réunions virtuelles, la plupart des organisations ont estimé que le règlement intérieur existant </w:t>
      </w:r>
      <w:r w:rsidR="007240FC">
        <w:rPr>
          <w:rFonts w:ascii="Calibri" w:eastAsia="Times New Roman" w:hAnsi="Calibri" w:cs="Calibri"/>
        </w:rPr>
        <w:t>—</w:t>
      </w:r>
      <w:r>
        <w:rPr>
          <w:rFonts w:ascii="Calibri" w:eastAsia="Times New Roman" w:hAnsi="Calibri" w:cs="Calibri"/>
        </w:rPr>
        <w:t xml:space="preserve"> </w:t>
      </w:r>
      <w:r w:rsidR="00694A5C">
        <w:rPr>
          <w:rFonts w:ascii="Calibri" w:eastAsia="Times New Roman" w:hAnsi="Calibri" w:cs="Calibri"/>
        </w:rPr>
        <w:t xml:space="preserve">n’interdisant </w:t>
      </w:r>
      <w:r>
        <w:rPr>
          <w:rFonts w:ascii="Calibri" w:eastAsia="Times New Roman" w:hAnsi="Calibri" w:cs="Calibri"/>
        </w:rPr>
        <w:t>ni n</w:t>
      </w:r>
      <w:r w:rsidR="007240FC">
        <w:rPr>
          <w:rFonts w:ascii="Calibri" w:eastAsia="Times New Roman" w:hAnsi="Calibri" w:cs="Calibri"/>
        </w:rPr>
        <w:t>’</w:t>
      </w:r>
      <w:r>
        <w:rPr>
          <w:rFonts w:ascii="Calibri" w:eastAsia="Times New Roman" w:hAnsi="Calibri" w:cs="Calibri"/>
        </w:rPr>
        <w:t>autorisa</w:t>
      </w:r>
      <w:r w:rsidR="00694A5C">
        <w:rPr>
          <w:rFonts w:ascii="Calibri" w:eastAsia="Times New Roman" w:hAnsi="Calibri" w:cs="Calibri"/>
        </w:rPr>
        <w:t>n</w:t>
      </w:r>
      <w:r>
        <w:rPr>
          <w:rFonts w:ascii="Calibri" w:eastAsia="Times New Roman" w:hAnsi="Calibri" w:cs="Calibri"/>
        </w:rPr>
        <w:t xml:space="preserve">t explicitement les réunions virtuelles </w:t>
      </w:r>
      <w:r w:rsidR="007240FC">
        <w:rPr>
          <w:rFonts w:ascii="Calibri" w:eastAsia="Times New Roman" w:hAnsi="Calibri" w:cs="Calibri"/>
        </w:rPr>
        <w:t>—</w:t>
      </w:r>
      <w:r>
        <w:rPr>
          <w:rFonts w:ascii="Calibri" w:eastAsia="Times New Roman" w:hAnsi="Calibri" w:cs="Calibri"/>
        </w:rPr>
        <w:t xml:space="preserve"> suffisait et pouvait être adapté, et qu</w:t>
      </w:r>
      <w:r w:rsidR="007240FC">
        <w:rPr>
          <w:rFonts w:ascii="Calibri" w:eastAsia="Times New Roman" w:hAnsi="Calibri" w:cs="Calibri"/>
        </w:rPr>
        <w:t>’</w:t>
      </w:r>
      <w:r>
        <w:rPr>
          <w:rFonts w:ascii="Calibri" w:eastAsia="Times New Roman" w:hAnsi="Calibri" w:cs="Calibri"/>
        </w:rPr>
        <w:t xml:space="preserve">il ne leur était donc pas nécessaire de le réviser. </w:t>
      </w:r>
    </w:p>
    <w:p w14:paraId="112E6DCC" w14:textId="77777777" w:rsidR="00A529E8" w:rsidRPr="00576F72" w:rsidRDefault="00A529E8" w:rsidP="00A529E8">
      <w:pPr>
        <w:spacing w:line="240" w:lineRule="auto"/>
        <w:rPr>
          <w:rFonts w:ascii="Calibri" w:eastAsia="Times New Roman" w:hAnsi="Calibri" w:cs="Calibri"/>
        </w:rPr>
      </w:pPr>
    </w:p>
    <w:p w14:paraId="3D36EF72" w14:textId="77777777" w:rsidR="00A529E8" w:rsidRPr="00576F72" w:rsidRDefault="00A529E8" w:rsidP="00A529E8">
      <w:pPr>
        <w:spacing w:line="240" w:lineRule="auto"/>
        <w:rPr>
          <w:rFonts w:ascii="Calibri" w:eastAsia="Times New Roman" w:hAnsi="Calibri" w:cs="Calibri"/>
          <w:b/>
          <w:bCs/>
        </w:rPr>
      </w:pPr>
      <w:r w:rsidRPr="00576F72">
        <w:rPr>
          <w:rFonts w:ascii="Calibri" w:eastAsia="Times New Roman" w:hAnsi="Calibri" w:cs="Calibri"/>
          <w:b/>
          <w:bCs/>
        </w:rPr>
        <w:t>Résumé des réponses des Organisations internationales</w:t>
      </w:r>
    </w:p>
    <w:p w14:paraId="7F8CB510" w14:textId="77777777" w:rsidR="00A529E8" w:rsidRPr="00576F72" w:rsidRDefault="00A529E8" w:rsidP="00A529E8">
      <w:pPr>
        <w:spacing w:line="240" w:lineRule="auto"/>
        <w:rPr>
          <w:rFonts w:ascii="Calibri" w:eastAsia="Times New Roman" w:hAnsi="Calibri" w:cs="Calibri"/>
        </w:rPr>
      </w:pPr>
    </w:p>
    <w:p w14:paraId="540B200C" w14:textId="77777777"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7.</w:t>
      </w:r>
      <w:r>
        <w:rPr>
          <w:rFonts w:ascii="Calibri" w:eastAsia="Times New Roman" w:hAnsi="Calibri" w:cs="Calibri"/>
        </w:rPr>
        <w:tab/>
      </w:r>
      <w:r w:rsidRPr="00576F72">
        <w:rPr>
          <w:rFonts w:ascii="Calibri" w:eastAsia="Times New Roman" w:hAnsi="Calibri" w:cs="Calibri"/>
        </w:rPr>
        <w:t>Huit Organisations internationales ont fourni des réponses sur la manière dont elles ont fonctionné pendant la pandémie :</w:t>
      </w:r>
    </w:p>
    <w:p w14:paraId="49D9424D" w14:textId="3B831987"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w:t>
      </w:r>
      <w:r w:rsidRPr="00576F72">
        <w:rPr>
          <w:rFonts w:ascii="Calibri" w:eastAsia="Times New Roman" w:hAnsi="Calibri" w:cs="Calibri"/>
        </w:rPr>
        <w:tab/>
        <w:t>Secrétariat des Conventions de Bâle, de Rotterdam et de Stockholm (BRS)</w:t>
      </w:r>
      <w:r w:rsidR="007240FC">
        <w:rPr>
          <w:rFonts w:ascii="Calibri" w:eastAsia="Times New Roman" w:hAnsi="Calibri" w:cs="Calibri"/>
        </w:rPr>
        <w:t> </w:t>
      </w:r>
      <w:r w:rsidRPr="00576F72">
        <w:rPr>
          <w:rFonts w:ascii="Calibri" w:eastAsia="Times New Roman" w:hAnsi="Calibri" w:cs="Calibri"/>
        </w:rPr>
        <w:t>;</w:t>
      </w:r>
    </w:p>
    <w:p w14:paraId="2ED16AED" w14:textId="0952377E"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ii.</w:t>
      </w:r>
      <w:r w:rsidRPr="00576F72">
        <w:rPr>
          <w:rFonts w:ascii="Calibri" w:eastAsia="Times New Roman" w:hAnsi="Calibri" w:cs="Calibri"/>
        </w:rPr>
        <w:tab/>
        <w:t>Secrétariat de la Convention sur le commerce international des espèces de faune et de flore sauvages menacées d</w:t>
      </w:r>
      <w:r w:rsidR="007240FC">
        <w:rPr>
          <w:rFonts w:ascii="Calibri" w:eastAsia="Times New Roman" w:hAnsi="Calibri" w:cs="Calibri"/>
        </w:rPr>
        <w:t>’</w:t>
      </w:r>
      <w:r w:rsidRPr="00576F72">
        <w:rPr>
          <w:rFonts w:ascii="Calibri" w:eastAsia="Times New Roman" w:hAnsi="Calibri" w:cs="Calibri"/>
        </w:rPr>
        <w:t>extinction (CITES)</w:t>
      </w:r>
      <w:r w:rsidR="007240FC">
        <w:rPr>
          <w:rFonts w:ascii="Calibri" w:eastAsia="Times New Roman" w:hAnsi="Calibri" w:cs="Calibri"/>
        </w:rPr>
        <w:t> </w:t>
      </w:r>
      <w:r w:rsidRPr="00576F72">
        <w:rPr>
          <w:rFonts w:ascii="Calibri" w:eastAsia="Times New Roman" w:hAnsi="Calibri" w:cs="Calibri"/>
        </w:rPr>
        <w:t>;</w:t>
      </w:r>
    </w:p>
    <w:p w14:paraId="32FFCF9A" w14:textId="343D08C2"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iii.</w:t>
      </w:r>
      <w:r w:rsidRPr="00576F72">
        <w:rPr>
          <w:rFonts w:ascii="Calibri" w:eastAsia="Times New Roman" w:hAnsi="Calibri" w:cs="Calibri"/>
        </w:rPr>
        <w:tab/>
        <w:t>Secrétariat de la Convention sur les espèces migratrices (CMS)</w:t>
      </w:r>
      <w:r w:rsidR="007240FC">
        <w:rPr>
          <w:rFonts w:ascii="Calibri" w:eastAsia="Times New Roman" w:hAnsi="Calibri" w:cs="Calibri"/>
        </w:rPr>
        <w:t> </w:t>
      </w:r>
      <w:r w:rsidRPr="00576F72">
        <w:rPr>
          <w:rFonts w:ascii="Calibri" w:eastAsia="Times New Roman" w:hAnsi="Calibri" w:cs="Calibri"/>
        </w:rPr>
        <w:t>;</w:t>
      </w:r>
    </w:p>
    <w:p w14:paraId="1ACC280E" w14:textId="3AA83632"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iv.</w:t>
      </w:r>
      <w:r w:rsidRPr="00576F72">
        <w:rPr>
          <w:rFonts w:ascii="Calibri" w:eastAsia="Times New Roman" w:hAnsi="Calibri" w:cs="Calibri"/>
        </w:rPr>
        <w:tab/>
        <w:t>Secrétariat de la Convention de Vienne pour la protection de la couche d</w:t>
      </w:r>
      <w:r w:rsidR="007240FC">
        <w:rPr>
          <w:rFonts w:ascii="Calibri" w:eastAsia="Times New Roman" w:hAnsi="Calibri" w:cs="Calibri"/>
        </w:rPr>
        <w:t>’</w:t>
      </w:r>
      <w:r w:rsidRPr="00576F72">
        <w:rPr>
          <w:rFonts w:ascii="Calibri" w:eastAsia="Times New Roman" w:hAnsi="Calibri" w:cs="Calibri"/>
        </w:rPr>
        <w:t>ozone et du Protocole de Montréal relatif à des substances qui appauvrissent la couche d</w:t>
      </w:r>
      <w:r w:rsidR="007240FC">
        <w:rPr>
          <w:rFonts w:ascii="Calibri" w:eastAsia="Times New Roman" w:hAnsi="Calibri" w:cs="Calibri"/>
        </w:rPr>
        <w:t>’</w:t>
      </w:r>
      <w:r w:rsidRPr="00576F72">
        <w:rPr>
          <w:rFonts w:ascii="Calibri" w:eastAsia="Times New Roman" w:hAnsi="Calibri" w:cs="Calibri"/>
        </w:rPr>
        <w:t>ozone (Secrétariat de l</w:t>
      </w:r>
      <w:r w:rsidR="007240FC">
        <w:rPr>
          <w:rFonts w:ascii="Calibri" w:eastAsia="Times New Roman" w:hAnsi="Calibri" w:cs="Calibri"/>
        </w:rPr>
        <w:t>’</w:t>
      </w:r>
      <w:r w:rsidRPr="00576F72">
        <w:rPr>
          <w:rFonts w:ascii="Calibri" w:eastAsia="Times New Roman" w:hAnsi="Calibri" w:cs="Calibri"/>
        </w:rPr>
        <w:t>ozone)</w:t>
      </w:r>
      <w:r w:rsidR="007240FC">
        <w:rPr>
          <w:rFonts w:ascii="Calibri" w:eastAsia="Times New Roman" w:hAnsi="Calibri" w:cs="Calibri"/>
        </w:rPr>
        <w:t> </w:t>
      </w:r>
      <w:r w:rsidRPr="00576F72">
        <w:rPr>
          <w:rFonts w:ascii="Calibri" w:eastAsia="Times New Roman" w:hAnsi="Calibri" w:cs="Calibri"/>
        </w:rPr>
        <w:t>;</w:t>
      </w:r>
    </w:p>
    <w:p w14:paraId="25296426" w14:textId="77777777"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v.</w:t>
      </w:r>
      <w:r w:rsidRPr="00576F72">
        <w:rPr>
          <w:rFonts w:ascii="Calibri" w:eastAsia="Times New Roman" w:hAnsi="Calibri" w:cs="Calibri"/>
        </w:rPr>
        <w:tab/>
        <w:t>Secrétariat de la Convention de Minamata :</w:t>
      </w:r>
    </w:p>
    <w:p w14:paraId="3FF3CF16" w14:textId="7F5A2B8E"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vi.</w:t>
      </w:r>
      <w:r w:rsidRPr="00576F72">
        <w:rPr>
          <w:rFonts w:ascii="Calibri" w:eastAsia="Times New Roman" w:hAnsi="Calibri" w:cs="Calibri"/>
        </w:rPr>
        <w:tab/>
        <w:t>Secrétariat du Fonds multilatéral aux fins d</w:t>
      </w:r>
      <w:r w:rsidR="007240FC">
        <w:rPr>
          <w:rFonts w:ascii="Calibri" w:eastAsia="Times New Roman" w:hAnsi="Calibri" w:cs="Calibri"/>
        </w:rPr>
        <w:t>’</w:t>
      </w:r>
      <w:r w:rsidRPr="00576F72">
        <w:rPr>
          <w:rFonts w:ascii="Calibri" w:eastAsia="Times New Roman" w:hAnsi="Calibri" w:cs="Calibri"/>
        </w:rPr>
        <w:t>application du Protocole de Montréal (MLF)</w:t>
      </w:r>
      <w:r w:rsidR="007240FC">
        <w:rPr>
          <w:rFonts w:ascii="Calibri" w:eastAsia="Times New Roman" w:hAnsi="Calibri" w:cs="Calibri"/>
        </w:rPr>
        <w:t> </w:t>
      </w:r>
      <w:r w:rsidRPr="00576F72">
        <w:rPr>
          <w:rFonts w:ascii="Calibri" w:eastAsia="Times New Roman" w:hAnsi="Calibri" w:cs="Calibri"/>
        </w:rPr>
        <w:t>;</w:t>
      </w:r>
    </w:p>
    <w:p w14:paraId="075C4B33" w14:textId="335A3232"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vii.</w:t>
      </w:r>
      <w:r w:rsidRPr="00576F72">
        <w:rPr>
          <w:rFonts w:ascii="Calibri" w:eastAsia="Times New Roman" w:hAnsi="Calibri" w:cs="Calibri"/>
        </w:rPr>
        <w:tab/>
        <w:t>Assemblée des Nations Unies pour l</w:t>
      </w:r>
      <w:r w:rsidR="007240FC">
        <w:rPr>
          <w:rFonts w:ascii="Calibri" w:eastAsia="Times New Roman" w:hAnsi="Calibri" w:cs="Calibri"/>
        </w:rPr>
        <w:t>’</w:t>
      </w:r>
      <w:r w:rsidRPr="00576F72">
        <w:rPr>
          <w:rFonts w:ascii="Calibri" w:eastAsia="Times New Roman" w:hAnsi="Calibri" w:cs="Calibri"/>
        </w:rPr>
        <w:t>environnement (ANUE)</w:t>
      </w:r>
      <w:r w:rsidR="007240FC">
        <w:rPr>
          <w:rFonts w:ascii="Calibri" w:eastAsia="Times New Roman" w:hAnsi="Calibri" w:cs="Calibri"/>
        </w:rPr>
        <w:t> </w:t>
      </w:r>
      <w:r w:rsidRPr="00576F72">
        <w:rPr>
          <w:rFonts w:ascii="Calibri" w:eastAsia="Times New Roman" w:hAnsi="Calibri" w:cs="Calibri"/>
        </w:rPr>
        <w:t>;</w:t>
      </w:r>
    </w:p>
    <w:p w14:paraId="7ABD8C96" w14:textId="77777777"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viii.</w:t>
      </w:r>
      <w:r w:rsidRPr="00576F72">
        <w:rPr>
          <w:rFonts w:ascii="Calibri" w:eastAsia="Times New Roman" w:hAnsi="Calibri" w:cs="Calibri"/>
        </w:rPr>
        <w:tab/>
        <w:t>Convention-cadre des Nations Unies sur les changements climatiques (CCNUCC).</w:t>
      </w:r>
    </w:p>
    <w:p w14:paraId="54C74503" w14:textId="77777777" w:rsidR="00A529E8" w:rsidRPr="00576F72" w:rsidRDefault="00A529E8" w:rsidP="00A529E8">
      <w:pPr>
        <w:spacing w:line="240" w:lineRule="auto"/>
        <w:rPr>
          <w:rFonts w:ascii="Calibri" w:eastAsia="Times New Roman" w:hAnsi="Calibri" w:cs="Calibri"/>
        </w:rPr>
      </w:pPr>
    </w:p>
    <w:p w14:paraId="7BAF5AEE" w14:textId="77777777"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8.</w:t>
      </w:r>
      <w:r>
        <w:rPr>
          <w:rFonts w:ascii="Calibri" w:eastAsia="Times New Roman" w:hAnsi="Calibri" w:cs="Calibri"/>
        </w:rPr>
        <w:tab/>
      </w:r>
      <w:r w:rsidRPr="00576F72">
        <w:rPr>
          <w:rFonts w:ascii="Calibri" w:eastAsia="Times New Roman" w:hAnsi="Calibri" w:cs="Calibri"/>
        </w:rPr>
        <w:t>Sur la base du questionnaire transmis par le Secrétariat, leurs réponses peuvent être résumées comme suit :</w:t>
      </w:r>
    </w:p>
    <w:p w14:paraId="11404A4F" w14:textId="77777777" w:rsidR="00A529E8" w:rsidRPr="00576F72" w:rsidRDefault="00A529E8" w:rsidP="00A529E8">
      <w:pPr>
        <w:spacing w:line="240" w:lineRule="auto"/>
        <w:rPr>
          <w:rFonts w:ascii="Calibri" w:eastAsia="Times New Roman" w:hAnsi="Calibri" w:cs="Calibri"/>
        </w:rPr>
      </w:pPr>
    </w:p>
    <w:p w14:paraId="6A6F7743" w14:textId="72301663" w:rsidR="00A529E8" w:rsidRDefault="00A529E8" w:rsidP="00A529E8">
      <w:pPr>
        <w:spacing w:line="240" w:lineRule="auto"/>
        <w:ind w:left="851" w:hanging="425"/>
        <w:rPr>
          <w:rFonts w:ascii="Calibri" w:eastAsia="Times New Roman" w:hAnsi="Calibri" w:cs="Calibri"/>
        </w:rPr>
      </w:pPr>
      <w:r>
        <w:rPr>
          <w:rFonts w:ascii="Calibri" w:eastAsia="Times New Roman" w:hAnsi="Calibri" w:cs="Calibri"/>
        </w:rPr>
        <w:t>i.</w:t>
      </w:r>
      <w:r w:rsidRPr="00576F72">
        <w:rPr>
          <w:rFonts w:ascii="Calibri" w:eastAsia="Times New Roman" w:hAnsi="Calibri" w:cs="Calibri"/>
        </w:rPr>
        <w:tab/>
        <w:t>À l</w:t>
      </w:r>
      <w:r w:rsidR="007240FC">
        <w:rPr>
          <w:rFonts w:ascii="Calibri" w:eastAsia="Times New Roman" w:hAnsi="Calibri" w:cs="Calibri"/>
        </w:rPr>
        <w:t>’</w:t>
      </w:r>
      <w:r w:rsidRPr="00576F72">
        <w:rPr>
          <w:rFonts w:ascii="Calibri" w:eastAsia="Times New Roman" w:hAnsi="Calibri" w:cs="Calibri"/>
        </w:rPr>
        <w:t>exception de l</w:t>
      </w:r>
      <w:r w:rsidR="007240FC">
        <w:rPr>
          <w:rFonts w:ascii="Calibri" w:eastAsia="Times New Roman" w:hAnsi="Calibri" w:cs="Calibri"/>
        </w:rPr>
        <w:t>’</w:t>
      </w:r>
      <w:r w:rsidRPr="00576F72">
        <w:rPr>
          <w:rFonts w:ascii="Calibri" w:eastAsia="Times New Roman" w:hAnsi="Calibri" w:cs="Calibri"/>
        </w:rPr>
        <w:t>ANUE, dont le règlement intérieur ne permet pas les sessions virtuelles, le règlement intérieur d</w:t>
      </w:r>
      <w:r w:rsidR="007240FC">
        <w:rPr>
          <w:rFonts w:ascii="Calibri" w:eastAsia="Times New Roman" w:hAnsi="Calibri" w:cs="Calibri"/>
        </w:rPr>
        <w:t>’</w:t>
      </w:r>
      <w:r w:rsidRPr="00576F72">
        <w:rPr>
          <w:rFonts w:ascii="Calibri" w:eastAsia="Times New Roman" w:hAnsi="Calibri" w:cs="Calibri"/>
        </w:rPr>
        <w:t>autres organisations n</w:t>
      </w:r>
      <w:r w:rsidR="007240FC">
        <w:rPr>
          <w:rFonts w:ascii="Calibri" w:eastAsia="Times New Roman" w:hAnsi="Calibri" w:cs="Calibri"/>
        </w:rPr>
        <w:t>’</w:t>
      </w:r>
      <w:r w:rsidRPr="00576F72">
        <w:rPr>
          <w:rFonts w:ascii="Calibri" w:eastAsia="Times New Roman" w:hAnsi="Calibri" w:cs="Calibri"/>
        </w:rPr>
        <w:t>autorise ni n</w:t>
      </w:r>
      <w:r w:rsidR="007240FC">
        <w:rPr>
          <w:rFonts w:ascii="Calibri" w:eastAsia="Times New Roman" w:hAnsi="Calibri" w:cs="Calibri"/>
        </w:rPr>
        <w:t>’</w:t>
      </w:r>
      <w:r w:rsidRPr="00576F72">
        <w:rPr>
          <w:rFonts w:ascii="Calibri" w:eastAsia="Times New Roman" w:hAnsi="Calibri" w:cs="Calibri"/>
        </w:rPr>
        <w:t>interdit spécifiquement les réunions en ligne, qui peuvent donc être organisées sans qu</w:t>
      </w:r>
      <w:r w:rsidR="007240FC">
        <w:rPr>
          <w:rFonts w:ascii="Calibri" w:eastAsia="Times New Roman" w:hAnsi="Calibri" w:cs="Calibri"/>
        </w:rPr>
        <w:t>’</w:t>
      </w:r>
      <w:r w:rsidRPr="00576F72">
        <w:rPr>
          <w:rFonts w:ascii="Calibri" w:eastAsia="Times New Roman" w:hAnsi="Calibri" w:cs="Calibri"/>
        </w:rPr>
        <w:t>il ne soit nécessaire de modifier le règlement intérieur. La CMS fait figure d</w:t>
      </w:r>
      <w:r w:rsidR="007240FC">
        <w:rPr>
          <w:rFonts w:ascii="Calibri" w:eastAsia="Times New Roman" w:hAnsi="Calibri" w:cs="Calibri"/>
        </w:rPr>
        <w:t>’</w:t>
      </w:r>
      <w:r w:rsidRPr="00576F72">
        <w:rPr>
          <w:rFonts w:ascii="Calibri" w:eastAsia="Times New Roman" w:hAnsi="Calibri" w:cs="Calibri"/>
        </w:rPr>
        <w:t>exception puisqu</w:t>
      </w:r>
      <w:r w:rsidR="007240FC">
        <w:rPr>
          <w:rFonts w:ascii="Calibri" w:eastAsia="Times New Roman" w:hAnsi="Calibri" w:cs="Calibri"/>
        </w:rPr>
        <w:t>’</w:t>
      </w:r>
      <w:r w:rsidRPr="00576F72">
        <w:rPr>
          <w:rFonts w:ascii="Calibri" w:eastAsia="Times New Roman" w:hAnsi="Calibri" w:cs="Calibri"/>
        </w:rPr>
        <w:t>elle a modifié l</w:t>
      </w:r>
      <w:r w:rsidR="007240FC">
        <w:rPr>
          <w:rFonts w:ascii="Calibri" w:eastAsia="Times New Roman" w:hAnsi="Calibri" w:cs="Calibri"/>
        </w:rPr>
        <w:t>’</w:t>
      </w:r>
      <w:r w:rsidRPr="00576F72">
        <w:rPr>
          <w:rFonts w:ascii="Calibri" w:eastAsia="Times New Roman" w:hAnsi="Calibri" w:cs="Calibri"/>
        </w:rPr>
        <w:t>article</w:t>
      </w:r>
      <w:r w:rsidR="007240FC">
        <w:rPr>
          <w:rFonts w:ascii="Calibri" w:eastAsia="Times New Roman" w:hAnsi="Calibri" w:cs="Calibri"/>
        </w:rPr>
        <w:t> </w:t>
      </w:r>
      <w:r w:rsidRPr="00576F72">
        <w:rPr>
          <w:rFonts w:ascii="Calibri" w:eastAsia="Times New Roman" w:hAnsi="Calibri" w:cs="Calibri"/>
        </w:rPr>
        <w:t>3 du règlement de son comité permanent, qui porte sur les réunions, pour y ajouter des dispositions spécifiques aux réunions virtuelles. Le nouveau texte prévoit que «</w:t>
      </w:r>
      <w:r w:rsidR="007240FC">
        <w:rPr>
          <w:rFonts w:ascii="Calibri" w:eastAsia="Times New Roman" w:hAnsi="Calibri" w:cs="Calibri"/>
        </w:rPr>
        <w:t> </w:t>
      </w:r>
      <w:r w:rsidRPr="00576F72">
        <w:rPr>
          <w:rFonts w:ascii="Calibri" w:eastAsia="Times New Roman" w:hAnsi="Calibri" w:cs="Calibri"/>
        </w:rPr>
        <w:t xml:space="preserve">le Secrétariat, en consultation avec le Président et les membres du Comité permanent, </w:t>
      </w:r>
      <w:r w:rsidRPr="00576F72">
        <w:rPr>
          <w:rFonts w:ascii="Calibri" w:eastAsia="Times New Roman" w:hAnsi="Calibri" w:cs="Calibri"/>
        </w:rPr>
        <w:lastRenderedPageBreak/>
        <w:t>propose l</w:t>
      </w:r>
      <w:r w:rsidR="007240FC">
        <w:rPr>
          <w:rFonts w:ascii="Calibri" w:eastAsia="Times New Roman" w:hAnsi="Calibri" w:cs="Calibri"/>
        </w:rPr>
        <w:t>’</w:t>
      </w:r>
      <w:r w:rsidRPr="00576F72">
        <w:rPr>
          <w:rFonts w:ascii="Calibri" w:eastAsia="Times New Roman" w:hAnsi="Calibri" w:cs="Calibri"/>
        </w:rPr>
        <w:t>heure et le lieu des réunions, y compris les réunions en ligne</w:t>
      </w:r>
      <w:r w:rsidR="007240FC">
        <w:rPr>
          <w:rFonts w:ascii="Calibri" w:eastAsia="Times New Roman" w:hAnsi="Calibri" w:cs="Calibri"/>
        </w:rPr>
        <w:t> </w:t>
      </w:r>
      <w:r w:rsidRPr="00576F72">
        <w:rPr>
          <w:rFonts w:ascii="Calibri" w:eastAsia="Times New Roman" w:hAnsi="Calibri" w:cs="Calibri"/>
        </w:rPr>
        <w:t>», et réglemente les trois éléments suivants :</w:t>
      </w:r>
    </w:p>
    <w:p w14:paraId="513F38E1" w14:textId="3BEC86FB" w:rsidR="00A529E8" w:rsidRDefault="0079493C" w:rsidP="00A529E8">
      <w:pPr>
        <w:pStyle w:val="ListParagraph"/>
        <w:numPr>
          <w:ilvl w:val="0"/>
          <w:numId w:val="3"/>
        </w:numPr>
        <w:spacing w:line="240" w:lineRule="auto"/>
        <w:ind w:left="1208" w:hanging="357"/>
        <w:rPr>
          <w:rFonts w:ascii="Calibri" w:eastAsia="Times New Roman" w:hAnsi="Calibri" w:cs="Calibri"/>
        </w:rPr>
      </w:pPr>
      <w:r>
        <w:rPr>
          <w:rFonts w:ascii="Calibri" w:eastAsia="Times New Roman" w:hAnsi="Calibri" w:cs="Calibri"/>
        </w:rPr>
        <w:t>La manière de</w:t>
      </w:r>
      <w:r w:rsidR="00A529E8" w:rsidRPr="00D373DC">
        <w:rPr>
          <w:rFonts w:ascii="Calibri" w:eastAsia="Times New Roman" w:hAnsi="Calibri" w:cs="Calibri"/>
        </w:rPr>
        <w:t xml:space="preserve"> tenir compte de la présence de membres qui quittent la réunion en laissant leur appareil connecté ou qui sont déconnectés</w:t>
      </w:r>
      <w:r w:rsidR="007240FC">
        <w:rPr>
          <w:rFonts w:ascii="Calibri" w:eastAsia="Times New Roman" w:hAnsi="Calibri" w:cs="Calibri"/>
        </w:rPr>
        <w:t> </w:t>
      </w:r>
      <w:r w:rsidR="00A529E8" w:rsidRPr="00D373DC">
        <w:rPr>
          <w:rFonts w:ascii="Calibri" w:eastAsia="Times New Roman" w:hAnsi="Calibri" w:cs="Calibri"/>
        </w:rPr>
        <w:t>;</w:t>
      </w:r>
    </w:p>
    <w:p w14:paraId="0175ED07" w14:textId="67D50FFF" w:rsidR="00A529E8" w:rsidRDefault="00A529E8" w:rsidP="00A529E8">
      <w:pPr>
        <w:pStyle w:val="ListParagraph"/>
        <w:numPr>
          <w:ilvl w:val="0"/>
          <w:numId w:val="3"/>
        </w:numPr>
        <w:spacing w:line="240" w:lineRule="auto"/>
        <w:ind w:left="1208" w:hanging="357"/>
        <w:rPr>
          <w:rFonts w:ascii="Calibri" w:eastAsia="Times New Roman" w:hAnsi="Calibri" w:cs="Calibri"/>
        </w:rPr>
      </w:pPr>
      <w:r w:rsidRPr="00D373DC">
        <w:rPr>
          <w:rFonts w:ascii="Calibri" w:eastAsia="Times New Roman" w:hAnsi="Calibri" w:cs="Calibri"/>
        </w:rPr>
        <w:t>La procédure de vote lors d</w:t>
      </w:r>
      <w:r w:rsidR="007240FC">
        <w:rPr>
          <w:rFonts w:ascii="Calibri" w:eastAsia="Times New Roman" w:hAnsi="Calibri" w:cs="Calibri"/>
        </w:rPr>
        <w:t>’</w:t>
      </w:r>
      <w:r w:rsidRPr="00D373DC">
        <w:rPr>
          <w:rFonts w:ascii="Calibri" w:eastAsia="Times New Roman" w:hAnsi="Calibri" w:cs="Calibri"/>
        </w:rPr>
        <w:t>une réunion en ligne</w:t>
      </w:r>
      <w:r w:rsidR="007240FC">
        <w:rPr>
          <w:rFonts w:ascii="Calibri" w:eastAsia="Times New Roman" w:hAnsi="Calibri" w:cs="Calibri"/>
        </w:rPr>
        <w:t> </w:t>
      </w:r>
      <w:r w:rsidRPr="00D373DC">
        <w:rPr>
          <w:rFonts w:ascii="Calibri" w:eastAsia="Times New Roman" w:hAnsi="Calibri" w:cs="Calibri"/>
        </w:rPr>
        <w:t>;</w:t>
      </w:r>
    </w:p>
    <w:p w14:paraId="2412DE7E" w14:textId="491E8674" w:rsidR="00A529E8" w:rsidRPr="00D373DC" w:rsidRDefault="0079493C" w:rsidP="00A529E8">
      <w:pPr>
        <w:pStyle w:val="ListParagraph"/>
        <w:numPr>
          <w:ilvl w:val="0"/>
          <w:numId w:val="3"/>
        </w:numPr>
        <w:spacing w:line="240" w:lineRule="auto"/>
        <w:ind w:left="1208" w:hanging="357"/>
        <w:rPr>
          <w:rFonts w:ascii="Calibri" w:eastAsia="Times New Roman" w:hAnsi="Calibri" w:cs="Calibri"/>
        </w:rPr>
      </w:pPr>
      <w:r>
        <w:rPr>
          <w:rFonts w:ascii="Calibri" w:eastAsia="Times New Roman" w:hAnsi="Calibri" w:cs="Calibri"/>
        </w:rPr>
        <w:t>L’i</w:t>
      </w:r>
      <w:r w:rsidR="00A529E8">
        <w:rPr>
          <w:rFonts w:ascii="Calibri" w:eastAsia="Times New Roman" w:hAnsi="Calibri" w:cs="Calibri"/>
        </w:rPr>
        <w:t>nclusion dans le rapport de la réunion des commentaires ou des points de vue exprimés dans la messagerie («</w:t>
      </w:r>
      <w:r w:rsidR="007240FC">
        <w:rPr>
          <w:rFonts w:ascii="Calibri" w:eastAsia="Times New Roman" w:hAnsi="Calibri" w:cs="Calibri"/>
        </w:rPr>
        <w:t> </w:t>
      </w:r>
      <w:r w:rsidR="00A529E8">
        <w:rPr>
          <w:rFonts w:ascii="Calibri" w:eastAsia="Times New Roman" w:hAnsi="Calibri" w:cs="Calibri"/>
        </w:rPr>
        <w:t>chat</w:t>
      </w:r>
      <w:r w:rsidR="007240FC">
        <w:rPr>
          <w:rFonts w:ascii="Calibri" w:eastAsia="Times New Roman" w:hAnsi="Calibri" w:cs="Calibri"/>
        </w:rPr>
        <w:t> </w:t>
      </w:r>
      <w:r w:rsidR="00A529E8">
        <w:rPr>
          <w:rFonts w:ascii="Calibri" w:eastAsia="Times New Roman" w:hAnsi="Calibri" w:cs="Calibri"/>
        </w:rPr>
        <w:t>») pendant une réunion en ligne.</w:t>
      </w:r>
    </w:p>
    <w:p w14:paraId="02EE3D0D" w14:textId="77777777" w:rsidR="00A529E8" w:rsidRPr="00576F72" w:rsidRDefault="00A529E8" w:rsidP="00A529E8">
      <w:pPr>
        <w:spacing w:line="240" w:lineRule="auto"/>
        <w:ind w:left="851" w:hanging="425"/>
        <w:rPr>
          <w:rFonts w:ascii="Calibri" w:eastAsia="Times New Roman" w:hAnsi="Calibri" w:cs="Calibri"/>
        </w:rPr>
      </w:pPr>
    </w:p>
    <w:p w14:paraId="08A8E053" w14:textId="25ABC18C"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ii.</w:t>
      </w:r>
      <w:r w:rsidRPr="00576F72">
        <w:rPr>
          <w:rFonts w:ascii="Calibri" w:eastAsia="Times New Roman" w:hAnsi="Calibri" w:cs="Calibri"/>
        </w:rPr>
        <w:tab/>
        <w:t>Les huit organisations ont eu recours à des réunions en ligne pour les négociations et la prise de décision. Il est à noter que même la première partie de la cinquième session de l</w:t>
      </w:r>
      <w:r w:rsidR="007240FC">
        <w:rPr>
          <w:rFonts w:ascii="Calibri" w:eastAsia="Times New Roman" w:hAnsi="Calibri" w:cs="Calibri"/>
        </w:rPr>
        <w:t>’</w:t>
      </w:r>
      <w:r w:rsidRPr="00576F72">
        <w:rPr>
          <w:rFonts w:ascii="Calibri" w:eastAsia="Times New Roman" w:hAnsi="Calibri" w:cs="Calibri"/>
        </w:rPr>
        <w:t>ANUE (ANUE</w:t>
      </w:r>
      <w:r w:rsidR="007240FC">
        <w:rPr>
          <w:rFonts w:ascii="Calibri" w:eastAsia="Times New Roman" w:hAnsi="Calibri" w:cs="Calibri"/>
        </w:rPr>
        <w:t> </w:t>
      </w:r>
      <w:r w:rsidRPr="00576F72">
        <w:rPr>
          <w:rFonts w:ascii="Calibri" w:eastAsia="Times New Roman" w:hAnsi="Calibri" w:cs="Calibri"/>
        </w:rPr>
        <w:t>5.1) s</w:t>
      </w:r>
      <w:r w:rsidR="007240FC">
        <w:rPr>
          <w:rFonts w:ascii="Calibri" w:eastAsia="Times New Roman" w:hAnsi="Calibri" w:cs="Calibri"/>
        </w:rPr>
        <w:t>’</w:t>
      </w:r>
      <w:r w:rsidRPr="00576F72">
        <w:rPr>
          <w:rFonts w:ascii="Calibri" w:eastAsia="Times New Roman" w:hAnsi="Calibri" w:cs="Calibri"/>
        </w:rPr>
        <w:t>est tenue entièrement en ligne bien que le règlement intérieur de l</w:t>
      </w:r>
      <w:r w:rsidR="007240FC">
        <w:rPr>
          <w:rFonts w:ascii="Calibri" w:eastAsia="Times New Roman" w:hAnsi="Calibri" w:cs="Calibri"/>
        </w:rPr>
        <w:t>’</w:t>
      </w:r>
      <w:r w:rsidRPr="00576F72">
        <w:rPr>
          <w:rFonts w:ascii="Calibri" w:eastAsia="Times New Roman" w:hAnsi="Calibri" w:cs="Calibri"/>
        </w:rPr>
        <w:t>ANUE ne mentionne pas les réunions virtuelles. Au sein de l</w:t>
      </w:r>
      <w:r w:rsidR="007240FC">
        <w:rPr>
          <w:rFonts w:ascii="Calibri" w:eastAsia="Times New Roman" w:hAnsi="Calibri" w:cs="Calibri"/>
        </w:rPr>
        <w:t>’</w:t>
      </w:r>
      <w:r w:rsidRPr="00576F72">
        <w:rPr>
          <w:rFonts w:ascii="Calibri" w:eastAsia="Times New Roman" w:hAnsi="Calibri" w:cs="Calibri"/>
        </w:rPr>
        <w:t>ANUE, les avis sont partagés quant à savoir si une importante décision formelle peut être prise en ligne. En conséquence, lors de certaines réunions virtuelles, les décisions formelles ont été limitées aux «</w:t>
      </w:r>
      <w:r w:rsidR="007240FC">
        <w:rPr>
          <w:rFonts w:ascii="Calibri" w:eastAsia="Times New Roman" w:hAnsi="Calibri" w:cs="Calibri"/>
        </w:rPr>
        <w:t> </w:t>
      </w:r>
      <w:r w:rsidRPr="00576F72">
        <w:rPr>
          <w:rFonts w:ascii="Calibri" w:eastAsia="Times New Roman" w:hAnsi="Calibri" w:cs="Calibri"/>
        </w:rPr>
        <w:t>décisions essentielles</w:t>
      </w:r>
      <w:r w:rsidR="007240FC">
        <w:rPr>
          <w:rFonts w:ascii="Calibri" w:eastAsia="Times New Roman" w:hAnsi="Calibri" w:cs="Calibri"/>
        </w:rPr>
        <w:t> </w:t>
      </w:r>
      <w:r w:rsidRPr="00576F72">
        <w:rPr>
          <w:rFonts w:ascii="Calibri" w:eastAsia="Times New Roman" w:hAnsi="Calibri" w:cs="Calibri"/>
        </w:rPr>
        <w:t xml:space="preserve">» ou aux décisions de procédure. </w:t>
      </w:r>
    </w:p>
    <w:p w14:paraId="51B27BA6" w14:textId="77777777" w:rsidR="00A529E8" w:rsidRPr="00576F72" w:rsidRDefault="00A529E8" w:rsidP="00A529E8">
      <w:pPr>
        <w:spacing w:line="240" w:lineRule="auto"/>
        <w:ind w:left="851" w:hanging="425"/>
        <w:rPr>
          <w:rFonts w:ascii="Calibri" w:eastAsia="Times New Roman" w:hAnsi="Calibri" w:cs="Calibri"/>
        </w:rPr>
      </w:pPr>
    </w:p>
    <w:p w14:paraId="473E7DED" w14:textId="79202B16"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iii.</w:t>
      </w:r>
      <w:r>
        <w:rPr>
          <w:rFonts w:ascii="Calibri" w:eastAsia="Times New Roman" w:hAnsi="Calibri" w:cs="Calibri"/>
        </w:rPr>
        <w:tab/>
      </w:r>
      <w:r w:rsidRPr="00576F72">
        <w:rPr>
          <w:rFonts w:ascii="Calibri" w:eastAsia="Times New Roman" w:hAnsi="Calibri" w:cs="Calibri"/>
        </w:rPr>
        <w:t>Afin de garantir une participation pleine et effective, les organisations se sont préparées et ont étudié les questions de la plateforme de réunion utilisée, des procédures de réunion, du décalage horaire, de l</w:t>
      </w:r>
      <w:r w:rsidR="007240FC">
        <w:rPr>
          <w:rFonts w:ascii="Calibri" w:eastAsia="Times New Roman" w:hAnsi="Calibri" w:cs="Calibri"/>
        </w:rPr>
        <w:t>’</w:t>
      </w:r>
      <w:r w:rsidRPr="00576F72">
        <w:rPr>
          <w:rFonts w:ascii="Calibri" w:eastAsia="Times New Roman" w:hAnsi="Calibri" w:cs="Calibri"/>
        </w:rPr>
        <w:t>interprétation ou encore des tests techniques. En outre, le Secrétariat des Conventions de Bâle, Rotterdam et Stockholm a fourni une «</w:t>
      </w:r>
      <w:r w:rsidR="007240FC">
        <w:rPr>
          <w:rFonts w:ascii="Calibri" w:eastAsia="Times New Roman" w:hAnsi="Calibri" w:cs="Calibri"/>
        </w:rPr>
        <w:t> </w:t>
      </w:r>
      <w:r w:rsidRPr="00576F72">
        <w:rPr>
          <w:rFonts w:ascii="Calibri" w:eastAsia="Times New Roman" w:hAnsi="Calibri" w:cs="Calibri"/>
        </w:rPr>
        <w:t>allocation de communication</w:t>
      </w:r>
      <w:r w:rsidR="007240FC">
        <w:rPr>
          <w:rFonts w:ascii="Calibri" w:eastAsia="Times New Roman" w:hAnsi="Calibri" w:cs="Calibri"/>
        </w:rPr>
        <w:t> </w:t>
      </w:r>
      <w:r w:rsidRPr="00576F72">
        <w:rPr>
          <w:rFonts w:ascii="Calibri" w:eastAsia="Times New Roman" w:hAnsi="Calibri" w:cs="Calibri"/>
        </w:rPr>
        <w:t>» aux pays en développement et aux pays à économie en transition, remboursant aux participants les frais de mise en place d</w:t>
      </w:r>
      <w:r w:rsidR="007240FC">
        <w:rPr>
          <w:rFonts w:ascii="Calibri" w:eastAsia="Times New Roman" w:hAnsi="Calibri" w:cs="Calibri"/>
        </w:rPr>
        <w:t>’</w:t>
      </w:r>
      <w:r w:rsidRPr="00576F72">
        <w:rPr>
          <w:rFonts w:ascii="Calibri" w:eastAsia="Times New Roman" w:hAnsi="Calibri" w:cs="Calibri"/>
        </w:rPr>
        <w:t xml:space="preserve">une connexion Internet stable et fiable. </w:t>
      </w:r>
    </w:p>
    <w:p w14:paraId="4371D240" w14:textId="77777777" w:rsidR="00A529E8" w:rsidRPr="00576F72" w:rsidRDefault="00A529E8" w:rsidP="00A529E8">
      <w:pPr>
        <w:spacing w:line="240" w:lineRule="auto"/>
        <w:ind w:left="851" w:hanging="425"/>
        <w:rPr>
          <w:rFonts w:ascii="Calibri" w:eastAsia="Times New Roman" w:hAnsi="Calibri" w:cs="Calibri"/>
        </w:rPr>
      </w:pPr>
    </w:p>
    <w:p w14:paraId="009BC356" w14:textId="3318EAF4"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iv.</w:t>
      </w:r>
      <w:r w:rsidRPr="00576F72">
        <w:rPr>
          <w:rFonts w:ascii="Calibri" w:eastAsia="Times New Roman" w:hAnsi="Calibri" w:cs="Calibri"/>
        </w:rPr>
        <w:tab/>
        <w:t>La plupart des organisations ont estimé que les réunions en ligne n</w:t>
      </w:r>
      <w:r w:rsidR="007240FC">
        <w:rPr>
          <w:rFonts w:ascii="Calibri" w:eastAsia="Times New Roman" w:hAnsi="Calibri" w:cs="Calibri"/>
        </w:rPr>
        <w:t>’</w:t>
      </w:r>
      <w:r w:rsidRPr="00576F72">
        <w:rPr>
          <w:rFonts w:ascii="Calibri" w:eastAsia="Times New Roman" w:hAnsi="Calibri" w:cs="Calibri"/>
        </w:rPr>
        <w:t>étaient nécessaires que pendant la pandémie et les réunions en présentiel ont repris, de sorte qu</w:t>
      </w:r>
      <w:r w:rsidR="007240FC">
        <w:rPr>
          <w:rFonts w:ascii="Calibri" w:eastAsia="Times New Roman" w:hAnsi="Calibri" w:cs="Calibri"/>
        </w:rPr>
        <w:t>’</w:t>
      </w:r>
      <w:r w:rsidRPr="00576F72">
        <w:rPr>
          <w:rFonts w:ascii="Calibri" w:eastAsia="Times New Roman" w:hAnsi="Calibri" w:cs="Calibri"/>
        </w:rPr>
        <w:t>il n</w:t>
      </w:r>
      <w:r w:rsidR="007240FC">
        <w:rPr>
          <w:rFonts w:ascii="Calibri" w:eastAsia="Times New Roman" w:hAnsi="Calibri" w:cs="Calibri"/>
        </w:rPr>
        <w:t>’</w:t>
      </w:r>
      <w:r w:rsidRPr="00576F72">
        <w:rPr>
          <w:rFonts w:ascii="Calibri" w:eastAsia="Times New Roman" w:hAnsi="Calibri" w:cs="Calibri"/>
        </w:rPr>
        <w:t>a pas été nécessaire de modifier ou de changer les processus de gouvernance pour les réunions en ligne. Plusieurs organisations ont constaté que depuis la pandémie, le recours aux réunions en ligne ou hybrides avait augmenté, les Parties s</w:t>
      </w:r>
      <w:r w:rsidR="007240FC">
        <w:rPr>
          <w:rFonts w:ascii="Calibri" w:eastAsia="Times New Roman" w:hAnsi="Calibri" w:cs="Calibri"/>
        </w:rPr>
        <w:t>’</w:t>
      </w:r>
      <w:r w:rsidRPr="00576F72">
        <w:rPr>
          <w:rFonts w:ascii="Calibri" w:eastAsia="Times New Roman" w:hAnsi="Calibri" w:cs="Calibri"/>
        </w:rPr>
        <w:t>y étant habituées. Plusieurs organisations ont souligné l</w:t>
      </w:r>
      <w:r w:rsidR="007240FC">
        <w:rPr>
          <w:rFonts w:ascii="Calibri" w:eastAsia="Times New Roman" w:hAnsi="Calibri" w:cs="Calibri"/>
        </w:rPr>
        <w:t>’</w:t>
      </w:r>
      <w:r w:rsidRPr="00576F72">
        <w:rPr>
          <w:rFonts w:ascii="Calibri" w:eastAsia="Times New Roman" w:hAnsi="Calibri" w:cs="Calibri"/>
        </w:rPr>
        <w:t>importance de mettre en place des procédures opérationnelles normalisées pour l</w:t>
      </w:r>
      <w:r w:rsidR="007240FC">
        <w:rPr>
          <w:rFonts w:ascii="Calibri" w:eastAsia="Times New Roman" w:hAnsi="Calibri" w:cs="Calibri"/>
        </w:rPr>
        <w:t>’</w:t>
      </w:r>
      <w:r w:rsidRPr="00576F72">
        <w:rPr>
          <w:rFonts w:ascii="Calibri" w:eastAsia="Times New Roman" w:hAnsi="Calibri" w:cs="Calibri"/>
        </w:rPr>
        <w:t>organisation et la gestion de réunions virtuelles. Ces procédures décrivent les tâches, les flux de travail, les attributions, ainsi que la documentation et l</w:t>
      </w:r>
      <w:r w:rsidR="007240FC">
        <w:rPr>
          <w:rFonts w:ascii="Calibri" w:eastAsia="Times New Roman" w:hAnsi="Calibri" w:cs="Calibri"/>
        </w:rPr>
        <w:t>’</w:t>
      </w:r>
      <w:r w:rsidRPr="00576F72">
        <w:rPr>
          <w:rFonts w:ascii="Calibri" w:eastAsia="Times New Roman" w:hAnsi="Calibri" w:cs="Calibri"/>
        </w:rPr>
        <w:t>archivage. Le Secrétariat BRS a indiqué avoir prolongé la durée du mandat des membres des organes subsidiaires, estimant que les décisions relatives à la composition de ces organes ne devaient pas être prises virtuellement.</w:t>
      </w:r>
    </w:p>
    <w:p w14:paraId="72A164CC" w14:textId="77777777" w:rsidR="00A529E8" w:rsidRPr="00576F72" w:rsidRDefault="00A529E8" w:rsidP="00A529E8">
      <w:pPr>
        <w:spacing w:line="240" w:lineRule="auto"/>
        <w:ind w:left="851" w:hanging="425"/>
        <w:rPr>
          <w:rFonts w:ascii="Calibri" w:eastAsia="Times New Roman" w:hAnsi="Calibri" w:cs="Calibri"/>
        </w:rPr>
      </w:pPr>
    </w:p>
    <w:p w14:paraId="34A4ECE8" w14:textId="00EC4D6F"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v.</w:t>
      </w:r>
      <w:r w:rsidRPr="00576F72">
        <w:rPr>
          <w:rFonts w:ascii="Calibri" w:eastAsia="Times New Roman" w:hAnsi="Calibri" w:cs="Calibri"/>
        </w:rPr>
        <w:tab/>
        <w:t>La plupart des organisations ont continué de communiquer avec les Parties via les canaux et pratiques de communication établis. Les organisations ont</w:t>
      </w:r>
      <w:r w:rsidR="0079493C">
        <w:rPr>
          <w:rFonts w:ascii="Calibri" w:eastAsia="Times New Roman" w:hAnsi="Calibri" w:cs="Calibri"/>
        </w:rPr>
        <w:t xml:space="preserve"> indiqué qu’il leur avait été nécessaire de</w:t>
      </w:r>
      <w:r w:rsidRPr="00576F72">
        <w:rPr>
          <w:rFonts w:ascii="Calibri" w:eastAsia="Times New Roman" w:hAnsi="Calibri" w:cs="Calibri"/>
        </w:rPr>
        <w:t xml:space="preserve"> communiquer plus fréquemment pendant la pandémie, et plusieurs d</w:t>
      </w:r>
      <w:r w:rsidR="007240FC">
        <w:rPr>
          <w:rFonts w:ascii="Calibri" w:eastAsia="Times New Roman" w:hAnsi="Calibri" w:cs="Calibri"/>
        </w:rPr>
        <w:t>’</w:t>
      </w:r>
      <w:r w:rsidRPr="00576F72">
        <w:rPr>
          <w:rFonts w:ascii="Calibri" w:eastAsia="Times New Roman" w:hAnsi="Calibri" w:cs="Calibri"/>
        </w:rPr>
        <w:t xml:space="preserve">entre elles ont </w:t>
      </w:r>
      <w:r w:rsidR="0079493C">
        <w:rPr>
          <w:rFonts w:ascii="Calibri" w:eastAsia="Times New Roman" w:hAnsi="Calibri" w:cs="Calibri"/>
        </w:rPr>
        <w:t>précisé</w:t>
      </w:r>
      <w:r w:rsidRPr="00576F72">
        <w:rPr>
          <w:rFonts w:ascii="Calibri" w:eastAsia="Times New Roman" w:hAnsi="Calibri" w:cs="Calibri"/>
        </w:rPr>
        <w:t xml:space="preserve"> qu</w:t>
      </w:r>
      <w:r w:rsidR="007240FC">
        <w:rPr>
          <w:rFonts w:ascii="Calibri" w:eastAsia="Times New Roman" w:hAnsi="Calibri" w:cs="Calibri"/>
        </w:rPr>
        <w:t>’</w:t>
      </w:r>
      <w:r w:rsidRPr="00576F72">
        <w:rPr>
          <w:rFonts w:ascii="Calibri" w:eastAsia="Times New Roman" w:hAnsi="Calibri" w:cs="Calibri"/>
        </w:rPr>
        <w:t xml:space="preserve">il était important de fournir des informations actualisées et pertinentes sur leurs sites Web.   </w:t>
      </w:r>
    </w:p>
    <w:p w14:paraId="36215CF8" w14:textId="77777777" w:rsidR="00A529E8" w:rsidRPr="00576F72" w:rsidRDefault="00A529E8" w:rsidP="00A529E8">
      <w:pPr>
        <w:spacing w:line="240" w:lineRule="auto"/>
        <w:rPr>
          <w:rFonts w:ascii="Calibri" w:eastAsia="Times New Roman" w:hAnsi="Calibri" w:cs="Calibri"/>
        </w:rPr>
      </w:pPr>
    </w:p>
    <w:p w14:paraId="38F86405" w14:textId="77777777" w:rsidR="00A529E8" w:rsidRDefault="00A529E8" w:rsidP="00A529E8">
      <w:pPr>
        <w:spacing w:line="240" w:lineRule="auto"/>
        <w:rPr>
          <w:rFonts w:ascii="Calibri" w:eastAsia="Times New Roman" w:hAnsi="Calibri" w:cs="Calibri"/>
          <w:b/>
          <w:bCs/>
        </w:rPr>
      </w:pPr>
      <w:r w:rsidRPr="00576F72">
        <w:rPr>
          <w:rFonts w:ascii="Calibri" w:eastAsia="Times New Roman" w:hAnsi="Calibri" w:cs="Calibri"/>
          <w:b/>
          <w:bCs/>
        </w:rPr>
        <w:t>Conclusions et recommandations</w:t>
      </w:r>
    </w:p>
    <w:p w14:paraId="2C21EA0F" w14:textId="77777777" w:rsidR="00A529E8" w:rsidRPr="00576F72" w:rsidRDefault="00A529E8" w:rsidP="00A529E8">
      <w:pPr>
        <w:spacing w:line="240" w:lineRule="auto"/>
        <w:rPr>
          <w:rFonts w:ascii="Calibri" w:eastAsia="Times New Roman" w:hAnsi="Calibri" w:cs="Calibri"/>
          <w:b/>
          <w:bCs/>
        </w:rPr>
      </w:pPr>
    </w:p>
    <w:p w14:paraId="2C1D1DEA" w14:textId="2804FF97" w:rsidR="00A529E8" w:rsidRPr="00576F72" w:rsidRDefault="00A529E8" w:rsidP="00A529E8">
      <w:pPr>
        <w:spacing w:line="240" w:lineRule="auto"/>
        <w:ind w:left="426" w:hanging="426"/>
        <w:rPr>
          <w:rFonts w:ascii="Calibri" w:eastAsia="Times New Roman" w:hAnsi="Calibri" w:cs="Calibri"/>
        </w:rPr>
      </w:pPr>
      <w:r>
        <w:rPr>
          <w:rFonts w:ascii="Calibri" w:eastAsia="Times New Roman" w:hAnsi="Calibri" w:cs="Calibri"/>
        </w:rPr>
        <w:t>9.</w:t>
      </w:r>
      <w:r>
        <w:rPr>
          <w:rFonts w:ascii="Calibri" w:eastAsia="Times New Roman" w:hAnsi="Calibri" w:cs="Calibri"/>
        </w:rPr>
        <w:tab/>
      </w:r>
      <w:r w:rsidRPr="00576F72">
        <w:rPr>
          <w:rFonts w:ascii="Calibri" w:eastAsia="Times New Roman" w:hAnsi="Calibri" w:cs="Calibri"/>
        </w:rPr>
        <w:t>Sur la base de l</w:t>
      </w:r>
      <w:r w:rsidR="007240FC">
        <w:rPr>
          <w:rFonts w:ascii="Calibri" w:eastAsia="Times New Roman" w:hAnsi="Calibri" w:cs="Calibri"/>
        </w:rPr>
        <w:t>’</w:t>
      </w:r>
      <w:r w:rsidRPr="00576F72">
        <w:rPr>
          <w:rFonts w:ascii="Calibri" w:eastAsia="Times New Roman" w:hAnsi="Calibri" w:cs="Calibri"/>
        </w:rPr>
        <w:t xml:space="preserve">évaluation entreprise, le Secrétariat présente les recommandations suivantes </w:t>
      </w:r>
      <w:r w:rsidR="0079493C">
        <w:rPr>
          <w:rFonts w:ascii="Calibri" w:eastAsia="Times New Roman" w:hAnsi="Calibri" w:cs="Calibri"/>
        </w:rPr>
        <w:t>en vue d’assurer</w:t>
      </w:r>
      <w:r w:rsidRPr="00576F72">
        <w:rPr>
          <w:rFonts w:ascii="Calibri" w:eastAsia="Times New Roman" w:hAnsi="Calibri" w:cs="Calibri"/>
        </w:rPr>
        <w:t xml:space="preserve"> le bon fonctionnement de la Convention dans des circonstances exceptionnelles :</w:t>
      </w:r>
    </w:p>
    <w:p w14:paraId="74115307" w14:textId="77777777" w:rsidR="00A529E8" w:rsidRPr="00576F72" w:rsidRDefault="00A529E8" w:rsidP="00A529E8">
      <w:pPr>
        <w:spacing w:line="240" w:lineRule="auto"/>
        <w:rPr>
          <w:rFonts w:ascii="Calibri" w:eastAsia="Times New Roman" w:hAnsi="Calibri" w:cs="Calibri"/>
        </w:rPr>
      </w:pPr>
    </w:p>
    <w:p w14:paraId="57AB1626" w14:textId="7F84F16D"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w:t>
      </w:r>
      <w:r w:rsidRPr="00576F72">
        <w:rPr>
          <w:rFonts w:ascii="Calibri" w:eastAsia="Times New Roman" w:hAnsi="Calibri" w:cs="Calibri"/>
        </w:rPr>
        <w:tab/>
      </w:r>
      <w:r w:rsidRPr="00D373DC">
        <w:rPr>
          <w:rFonts w:ascii="Calibri" w:eastAsia="Times New Roman" w:hAnsi="Calibri" w:cs="Calibri"/>
          <w:i/>
          <w:iCs/>
        </w:rPr>
        <w:t>Formats virtuels et hybrides</w:t>
      </w:r>
      <w:r>
        <w:rPr>
          <w:rFonts w:ascii="Calibri" w:eastAsia="Times New Roman" w:hAnsi="Calibri" w:cs="Calibri"/>
        </w:rPr>
        <w:t> : les réunions en ligne sont un outil essentiel et utile dans des circonstances exceptionnelles. Comme c</w:t>
      </w:r>
      <w:r w:rsidR="007240FC">
        <w:rPr>
          <w:rFonts w:ascii="Calibri" w:eastAsia="Times New Roman" w:hAnsi="Calibri" w:cs="Calibri"/>
        </w:rPr>
        <w:t>’</w:t>
      </w:r>
      <w:r>
        <w:rPr>
          <w:rFonts w:ascii="Calibri" w:eastAsia="Times New Roman" w:hAnsi="Calibri" w:cs="Calibri"/>
        </w:rPr>
        <w:t>est le cas depuis la pandémie, les formats et pratiques virtuels et hybrides peuvent être utilisés pour faciliter une communication accessible et inclusive et appuyer la prise de décision lorsqu</w:t>
      </w:r>
      <w:r w:rsidR="007240FC">
        <w:rPr>
          <w:rFonts w:ascii="Calibri" w:eastAsia="Times New Roman" w:hAnsi="Calibri" w:cs="Calibri"/>
        </w:rPr>
        <w:t>’</w:t>
      </w:r>
      <w:r>
        <w:rPr>
          <w:rFonts w:ascii="Calibri" w:eastAsia="Times New Roman" w:hAnsi="Calibri" w:cs="Calibri"/>
        </w:rPr>
        <w:t xml:space="preserve">il est difficile ou impossible de </w:t>
      </w:r>
      <w:r>
        <w:rPr>
          <w:rFonts w:ascii="Calibri" w:eastAsia="Times New Roman" w:hAnsi="Calibri" w:cs="Calibri"/>
        </w:rPr>
        <w:lastRenderedPageBreak/>
        <w:t>se rencontrer en personne. Des mesures d</w:t>
      </w:r>
      <w:r w:rsidR="007240FC">
        <w:rPr>
          <w:rFonts w:ascii="Calibri" w:eastAsia="Times New Roman" w:hAnsi="Calibri" w:cs="Calibri"/>
        </w:rPr>
        <w:t>’</w:t>
      </w:r>
      <w:r>
        <w:rPr>
          <w:rFonts w:ascii="Calibri" w:eastAsia="Times New Roman" w:hAnsi="Calibri" w:cs="Calibri"/>
        </w:rPr>
        <w:t xml:space="preserve">assurance qualité (par exemple, tests techniques, interprétation, calendriers échelonnés) et des procédures opérationnelles normalisées doivent être mises en place </w:t>
      </w:r>
      <w:r w:rsidR="0079493C">
        <w:rPr>
          <w:rFonts w:ascii="Calibri" w:eastAsia="Times New Roman" w:hAnsi="Calibri" w:cs="Calibri"/>
        </w:rPr>
        <w:t>afin de</w:t>
      </w:r>
      <w:r>
        <w:rPr>
          <w:rFonts w:ascii="Calibri" w:eastAsia="Times New Roman" w:hAnsi="Calibri" w:cs="Calibri"/>
        </w:rPr>
        <w:t xml:space="preserve"> garantir une gestion efficace des réunions et une participation équitable. </w:t>
      </w:r>
      <w:r w:rsidR="0079493C">
        <w:rPr>
          <w:rFonts w:ascii="Calibri" w:eastAsia="Times New Roman" w:hAnsi="Calibri" w:cs="Calibri"/>
        </w:rPr>
        <w:t>De</w:t>
      </w:r>
      <w:r>
        <w:rPr>
          <w:rFonts w:ascii="Calibri" w:eastAsia="Times New Roman" w:hAnsi="Calibri" w:cs="Calibri"/>
        </w:rPr>
        <w:t xml:space="preserve"> bonnes pratiques telles que les indemnités de communication et le renforcement de l</w:t>
      </w:r>
      <w:r w:rsidR="007240FC">
        <w:rPr>
          <w:rFonts w:ascii="Calibri" w:eastAsia="Times New Roman" w:hAnsi="Calibri" w:cs="Calibri"/>
        </w:rPr>
        <w:t>’</w:t>
      </w:r>
      <w:r>
        <w:rPr>
          <w:rFonts w:ascii="Calibri" w:eastAsia="Times New Roman" w:hAnsi="Calibri" w:cs="Calibri"/>
        </w:rPr>
        <w:t xml:space="preserve">infrastructure numérique pourraient être envisagées le cas échéant. </w:t>
      </w:r>
    </w:p>
    <w:p w14:paraId="597D8B24" w14:textId="77777777" w:rsidR="00A529E8" w:rsidRPr="00576F72" w:rsidRDefault="00A529E8" w:rsidP="00A529E8">
      <w:pPr>
        <w:spacing w:line="240" w:lineRule="auto"/>
        <w:ind w:left="851" w:hanging="425"/>
        <w:rPr>
          <w:rFonts w:ascii="Calibri" w:eastAsia="Times New Roman" w:hAnsi="Calibri" w:cs="Calibri"/>
        </w:rPr>
      </w:pPr>
    </w:p>
    <w:p w14:paraId="404FCE07" w14:textId="6F631DD4" w:rsidR="00A529E8" w:rsidRPr="00576F72" w:rsidRDefault="00A529E8" w:rsidP="00A529E8">
      <w:pPr>
        <w:spacing w:line="240" w:lineRule="auto"/>
        <w:ind w:left="851" w:hanging="425"/>
        <w:rPr>
          <w:rFonts w:ascii="Calibri" w:eastAsia="Times New Roman" w:hAnsi="Calibri" w:cs="Calibri"/>
        </w:rPr>
      </w:pPr>
      <w:r>
        <w:rPr>
          <w:rFonts w:ascii="Calibri" w:eastAsia="Times New Roman" w:hAnsi="Calibri" w:cs="Calibri"/>
        </w:rPr>
        <w:t>ii.</w:t>
      </w:r>
      <w:r w:rsidRPr="00576F72">
        <w:rPr>
          <w:rFonts w:ascii="Calibri" w:eastAsia="Times New Roman" w:hAnsi="Calibri" w:cs="Calibri"/>
        </w:rPr>
        <w:tab/>
      </w:r>
      <w:r w:rsidRPr="00D373DC">
        <w:rPr>
          <w:rFonts w:ascii="Calibri" w:eastAsia="Times New Roman" w:hAnsi="Calibri" w:cs="Calibri"/>
          <w:i/>
          <w:iCs/>
        </w:rPr>
        <w:t>Règlement intérieur</w:t>
      </w:r>
      <w:r w:rsidR="007240FC">
        <w:rPr>
          <w:rFonts w:ascii="Calibri" w:eastAsia="Times New Roman" w:hAnsi="Calibri" w:cs="Calibri"/>
        </w:rPr>
        <w:t> </w:t>
      </w:r>
      <w:r>
        <w:rPr>
          <w:rFonts w:ascii="Calibri" w:eastAsia="Times New Roman" w:hAnsi="Calibri" w:cs="Calibri"/>
        </w:rPr>
        <w:t xml:space="preserve">: </w:t>
      </w:r>
      <w:r w:rsidR="004419F0">
        <w:rPr>
          <w:rFonts w:ascii="Calibri" w:eastAsia="Times New Roman" w:hAnsi="Calibri" w:cs="Calibri"/>
        </w:rPr>
        <w:t>s’inspirant des</w:t>
      </w:r>
      <w:r>
        <w:rPr>
          <w:rFonts w:ascii="Calibri" w:eastAsia="Times New Roman" w:hAnsi="Calibri" w:cs="Calibri"/>
        </w:rPr>
        <w:t xml:space="preserve"> pratiques d</w:t>
      </w:r>
      <w:r w:rsidR="007240FC">
        <w:rPr>
          <w:rFonts w:ascii="Calibri" w:eastAsia="Times New Roman" w:hAnsi="Calibri" w:cs="Calibri"/>
        </w:rPr>
        <w:t>’</w:t>
      </w:r>
      <w:r>
        <w:rPr>
          <w:rFonts w:ascii="Calibri" w:eastAsia="Times New Roman" w:hAnsi="Calibri" w:cs="Calibri"/>
        </w:rPr>
        <w:t xml:space="preserve">autres organisations et </w:t>
      </w:r>
      <w:r w:rsidR="004419F0">
        <w:rPr>
          <w:rFonts w:ascii="Calibri" w:eastAsia="Times New Roman" w:hAnsi="Calibri" w:cs="Calibri"/>
        </w:rPr>
        <w:t>après</w:t>
      </w:r>
      <w:r>
        <w:rPr>
          <w:rFonts w:ascii="Calibri" w:eastAsia="Times New Roman" w:hAnsi="Calibri" w:cs="Calibri"/>
        </w:rPr>
        <w:t xml:space="preserve"> consultation du conseiller juridique de la Convention, </w:t>
      </w:r>
      <w:r w:rsidR="004419F0">
        <w:rPr>
          <w:rFonts w:ascii="Calibri" w:eastAsia="Times New Roman" w:hAnsi="Calibri" w:cs="Calibri"/>
        </w:rPr>
        <w:t xml:space="preserve">sachant que </w:t>
      </w:r>
      <w:r>
        <w:rPr>
          <w:rFonts w:ascii="Calibri" w:eastAsia="Times New Roman" w:hAnsi="Calibri" w:cs="Calibri"/>
        </w:rPr>
        <w:t>le règlement intérieur de la Convention n</w:t>
      </w:r>
      <w:r w:rsidR="007240FC">
        <w:rPr>
          <w:rFonts w:ascii="Calibri" w:eastAsia="Times New Roman" w:hAnsi="Calibri" w:cs="Calibri"/>
        </w:rPr>
        <w:t>’</w:t>
      </w:r>
      <w:r>
        <w:rPr>
          <w:rFonts w:ascii="Calibri" w:eastAsia="Times New Roman" w:hAnsi="Calibri" w:cs="Calibri"/>
        </w:rPr>
        <w:t>interdit pas expressément les réunions virtuelles, il n</w:t>
      </w:r>
      <w:r w:rsidR="007240FC">
        <w:rPr>
          <w:rFonts w:ascii="Calibri" w:eastAsia="Times New Roman" w:hAnsi="Calibri" w:cs="Calibri"/>
        </w:rPr>
        <w:t>’</w:t>
      </w:r>
      <w:r>
        <w:rPr>
          <w:rFonts w:ascii="Calibri" w:eastAsia="Times New Roman" w:hAnsi="Calibri" w:cs="Calibri"/>
        </w:rPr>
        <w:t>est pas nécessaire de le réviser. Il est plus raisonnable et plus pratique que les réunions en ligne se conforment le plus possible aux règles existantes, avec une certaine souplesse d</w:t>
      </w:r>
      <w:r w:rsidR="007240FC">
        <w:rPr>
          <w:rFonts w:ascii="Calibri" w:eastAsia="Times New Roman" w:hAnsi="Calibri" w:cs="Calibri"/>
        </w:rPr>
        <w:t>’</w:t>
      </w:r>
      <w:r>
        <w:rPr>
          <w:rFonts w:ascii="Calibri" w:eastAsia="Times New Roman" w:hAnsi="Calibri" w:cs="Calibri"/>
        </w:rPr>
        <w:t>interprétation pour tenir compte des nuances techniques et procédurales.</w:t>
      </w:r>
    </w:p>
    <w:p w14:paraId="509FB63D" w14:textId="77777777" w:rsidR="00A529E8" w:rsidRPr="00576F72" w:rsidRDefault="00A529E8" w:rsidP="00A529E8">
      <w:pPr>
        <w:spacing w:line="240" w:lineRule="auto"/>
        <w:rPr>
          <w:rFonts w:ascii="Calibri" w:hAnsi="Calibri" w:cs="Calibri"/>
        </w:rPr>
      </w:pPr>
    </w:p>
    <w:p w14:paraId="69F17080" w14:textId="77777777" w:rsidR="00DD5291" w:rsidRPr="0031405D" w:rsidRDefault="00DD5291" w:rsidP="00C45220">
      <w:pPr>
        <w:spacing w:line="240" w:lineRule="auto"/>
        <w:jc w:val="center"/>
        <w:rPr>
          <w:rFonts w:cs="Times New Roman"/>
        </w:rPr>
      </w:pPr>
    </w:p>
    <w:sectPr w:rsidR="00DD5291" w:rsidRPr="0031405D" w:rsidSect="0008427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CD4C" w14:textId="77777777" w:rsidR="00765A57" w:rsidRDefault="00765A57" w:rsidP="00F241CA">
      <w:pPr>
        <w:spacing w:line="240" w:lineRule="auto"/>
      </w:pPr>
      <w:r>
        <w:separator/>
      </w:r>
    </w:p>
  </w:endnote>
  <w:endnote w:type="continuationSeparator" w:id="0">
    <w:p w14:paraId="5F6116C1" w14:textId="77777777" w:rsidR="00765A57" w:rsidRDefault="00765A57" w:rsidP="00F24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02A" w14:textId="73CE1804" w:rsidR="00B16B31" w:rsidRPr="00545602" w:rsidRDefault="0083702F" w:rsidP="007240FC">
    <w:pPr>
      <w:pStyle w:val="Footer"/>
      <w:rPr>
        <w:rFonts w:cstheme="minorHAnsi"/>
        <w:sz w:val="20"/>
        <w:szCs w:val="20"/>
      </w:rPr>
    </w:pPr>
    <w:r w:rsidRPr="003058BC">
      <w:rPr>
        <w:rFonts w:cstheme="minorHAnsi"/>
        <w:sz w:val="20"/>
        <w:szCs w:val="20"/>
      </w:rPr>
      <w:t>COP1</w:t>
    </w:r>
    <w:r w:rsidR="00B34848">
      <w:rPr>
        <w:rFonts w:cstheme="minorHAnsi"/>
        <w:sz w:val="20"/>
        <w:szCs w:val="20"/>
      </w:rPr>
      <w:t>5</w:t>
    </w:r>
    <w:r w:rsidRPr="003058BC">
      <w:rPr>
        <w:rFonts w:cstheme="minorHAnsi"/>
        <w:sz w:val="20"/>
        <w:szCs w:val="20"/>
      </w:rPr>
      <w:t xml:space="preserve"> Doc.</w:t>
    </w:r>
    <w:r w:rsidR="007240FC">
      <w:rPr>
        <w:rFonts w:cstheme="minorHAnsi"/>
        <w:sz w:val="20"/>
        <w:szCs w:val="20"/>
      </w:rPr>
      <w:t>13</w:t>
    </w:r>
    <w:r>
      <w:rPr>
        <w:rFonts w:cstheme="minorHAnsi"/>
        <w:sz w:val="20"/>
        <w:szCs w:val="20"/>
      </w:rPr>
      <w:tab/>
    </w:r>
    <w:r>
      <w:rPr>
        <w:rFonts w:cstheme="minorHAnsi"/>
        <w:sz w:val="20"/>
        <w:szCs w:val="20"/>
      </w:rP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C3319">
          <w:rPr>
            <w:noProof/>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5607F" w14:textId="77777777" w:rsidR="00765A57" w:rsidRDefault="00765A57" w:rsidP="00F241CA">
      <w:pPr>
        <w:spacing w:line="240" w:lineRule="auto"/>
      </w:pPr>
      <w:r>
        <w:separator/>
      </w:r>
    </w:p>
  </w:footnote>
  <w:footnote w:type="continuationSeparator" w:id="0">
    <w:p w14:paraId="31961389" w14:textId="77777777" w:rsidR="00765A57" w:rsidRDefault="00765A57" w:rsidP="00F24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6B6F4F"/>
    <w:multiLevelType w:val="hybridMultilevel"/>
    <w:tmpl w:val="8098A8B2"/>
    <w:lvl w:ilvl="0" w:tplc="4ED0D64A">
      <w:start w:val="1"/>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828179397">
    <w:abstractNumId w:val="1"/>
  </w:num>
  <w:num w:numId="2" w16cid:durableId="213780737">
    <w:abstractNumId w:val="0"/>
  </w:num>
  <w:num w:numId="3" w16cid:durableId="159620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40BE"/>
    <w:rsid w:val="0002290A"/>
    <w:rsid w:val="00047703"/>
    <w:rsid w:val="00075EFE"/>
    <w:rsid w:val="000774E0"/>
    <w:rsid w:val="0007766E"/>
    <w:rsid w:val="0008427D"/>
    <w:rsid w:val="00094916"/>
    <w:rsid w:val="000B6531"/>
    <w:rsid w:val="000C2552"/>
    <w:rsid w:val="000D3012"/>
    <w:rsid w:val="000D6126"/>
    <w:rsid w:val="000D6B9E"/>
    <w:rsid w:val="00123BF8"/>
    <w:rsid w:val="00194305"/>
    <w:rsid w:val="001C3319"/>
    <w:rsid w:val="001D6DE1"/>
    <w:rsid w:val="001E5E2D"/>
    <w:rsid w:val="001F24C5"/>
    <w:rsid w:val="00215D7E"/>
    <w:rsid w:val="00216DE9"/>
    <w:rsid w:val="002254E6"/>
    <w:rsid w:val="002311BD"/>
    <w:rsid w:val="00231212"/>
    <w:rsid w:val="00232163"/>
    <w:rsid w:val="00280ECD"/>
    <w:rsid w:val="002A4C9F"/>
    <w:rsid w:val="002A5164"/>
    <w:rsid w:val="002A5EB0"/>
    <w:rsid w:val="002D2877"/>
    <w:rsid w:val="002D7C08"/>
    <w:rsid w:val="003058BC"/>
    <w:rsid w:val="00311B01"/>
    <w:rsid w:val="0031405D"/>
    <w:rsid w:val="00322ABE"/>
    <w:rsid w:val="00325D41"/>
    <w:rsid w:val="003315FC"/>
    <w:rsid w:val="00332AA5"/>
    <w:rsid w:val="003345CA"/>
    <w:rsid w:val="00335F0F"/>
    <w:rsid w:val="00354F8D"/>
    <w:rsid w:val="00360A43"/>
    <w:rsid w:val="00362A72"/>
    <w:rsid w:val="00371975"/>
    <w:rsid w:val="00390671"/>
    <w:rsid w:val="003A1637"/>
    <w:rsid w:val="003A3786"/>
    <w:rsid w:val="003B230A"/>
    <w:rsid w:val="003C5378"/>
    <w:rsid w:val="003E1D5F"/>
    <w:rsid w:val="003E33C7"/>
    <w:rsid w:val="00413622"/>
    <w:rsid w:val="00417C0A"/>
    <w:rsid w:val="0042170B"/>
    <w:rsid w:val="00424373"/>
    <w:rsid w:val="00426B95"/>
    <w:rsid w:val="00431860"/>
    <w:rsid w:val="004419F0"/>
    <w:rsid w:val="00455D6A"/>
    <w:rsid w:val="00457735"/>
    <w:rsid w:val="0046046B"/>
    <w:rsid w:val="004769D8"/>
    <w:rsid w:val="00490D7F"/>
    <w:rsid w:val="004948B2"/>
    <w:rsid w:val="004B346D"/>
    <w:rsid w:val="004B4FD6"/>
    <w:rsid w:val="004B6864"/>
    <w:rsid w:val="004E02B0"/>
    <w:rsid w:val="004E128C"/>
    <w:rsid w:val="004F06E6"/>
    <w:rsid w:val="004F1CB5"/>
    <w:rsid w:val="005022E1"/>
    <w:rsid w:val="00505EDF"/>
    <w:rsid w:val="00507AE7"/>
    <w:rsid w:val="00510AC5"/>
    <w:rsid w:val="00513C4F"/>
    <w:rsid w:val="005144E2"/>
    <w:rsid w:val="00521DA5"/>
    <w:rsid w:val="0053608A"/>
    <w:rsid w:val="00543CC0"/>
    <w:rsid w:val="00545602"/>
    <w:rsid w:val="005521F2"/>
    <w:rsid w:val="005603CD"/>
    <w:rsid w:val="0057511D"/>
    <w:rsid w:val="0057684C"/>
    <w:rsid w:val="005C1401"/>
    <w:rsid w:val="005D097B"/>
    <w:rsid w:val="005E3252"/>
    <w:rsid w:val="00601573"/>
    <w:rsid w:val="00601589"/>
    <w:rsid w:val="006138D4"/>
    <w:rsid w:val="0065018C"/>
    <w:rsid w:val="00661E6F"/>
    <w:rsid w:val="00675DAF"/>
    <w:rsid w:val="00683930"/>
    <w:rsid w:val="00687A83"/>
    <w:rsid w:val="00692E0D"/>
    <w:rsid w:val="00694A5C"/>
    <w:rsid w:val="006951F6"/>
    <w:rsid w:val="006A6288"/>
    <w:rsid w:val="006B0E7A"/>
    <w:rsid w:val="006C3522"/>
    <w:rsid w:val="006C5F91"/>
    <w:rsid w:val="006D2EDB"/>
    <w:rsid w:val="006D7FC7"/>
    <w:rsid w:val="007015A6"/>
    <w:rsid w:val="007144DE"/>
    <w:rsid w:val="007161D2"/>
    <w:rsid w:val="007240FC"/>
    <w:rsid w:val="00724E7F"/>
    <w:rsid w:val="00731D65"/>
    <w:rsid w:val="007327AD"/>
    <w:rsid w:val="007347EE"/>
    <w:rsid w:val="00741D92"/>
    <w:rsid w:val="00743168"/>
    <w:rsid w:val="00760B3F"/>
    <w:rsid w:val="0076274A"/>
    <w:rsid w:val="00765A57"/>
    <w:rsid w:val="007747C1"/>
    <w:rsid w:val="00777AA4"/>
    <w:rsid w:val="0079493C"/>
    <w:rsid w:val="0079644F"/>
    <w:rsid w:val="007B1890"/>
    <w:rsid w:val="007C1865"/>
    <w:rsid w:val="007E6524"/>
    <w:rsid w:val="007F056B"/>
    <w:rsid w:val="007F24C3"/>
    <w:rsid w:val="00810AF5"/>
    <w:rsid w:val="00815AA8"/>
    <w:rsid w:val="00825A47"/>
    <w:rsid w:val="00830529"/>
    <w:rsid w:val="0083609E"/>
    <w:rsid w:val="00836100"/>
    <w:rsid w:val="0083702F"/>
    <w:rsid w:val="00837A7E"/>
    <w:rsid w:val="00847F7F"/>
    <w:rsid w:val="0085596D"/>
    <w:rsid w:val="008617CC"/>
    <w:rsid w:val="00865C69"/>
    <w:rsid w:val="0087309D"/>
    <w:rsid w:val="00895E02"/>
    <w:rsid w:val="008A00EB"/>
    <w:rsid w:val="008B1070"/>
    <w:rsid w:val="008D718C"/>
    <w:rsid w:val="008E1D06"/>
    <w:rsid w:val="008E5B2A"/>
    <w:rsid w:val="008F56F2"/>
    <w:rsid w:val="00903343"/>
    <w:rsid w:val="00907CA6"/>
    <w:rsid w:val="009316B7"/>
    <w:rsid w:val="00934470"/>
    <w:rsid w:val="00965D53"/>
    <w:rsid w:val="009825E3"/>
    <w:rsid w:val="009A0003"/>
    <w:rsid w:val="009A624C"/>
    <w:rsid w:val="009B0C12"/>
    <w:rsid w:val="009B5978"/>
    <w:rsid w:val="009F3784"/>
    <w:rsid w:val="009F5317"/>
    <w:rsid w:val="00A04C31"/>
    <w:rsid w:val="00A12964"/>
    <w:rsid w:val="00A17D87"/>
    <w:rsid w:val="00A20A43"/>
    <w:rsid w:val="00A34D34"/>
    <w:rsid w:val="00A41232"/>
    <w:rsid w:val="00A51392"/>
    <w:rsid w:val="00A529E8"/>
    <w:rsid w:val="00A62ACB"/>
    <w:rsid w:val="00A6537E"/>
    <w:rsid w:val="00A71FEB"/>
    <w:rsid w:val="00A9066D"/>
    <w:rsid w:val="00AA0461"/>
    <w:rsid w:val="00AA19B7"/>
    <w:rsid w:val="00AB64C9"/>
    <w:rsid w:val="00AC183C"/>
    <w:rsid w:val="00AD3AAD"/>
    <w:rsid w:val="00AE1F4D"/>
    <w:rsid w:val="00B00205"/>
    <w:rsid w:val="00B16B31"/>
    <w:rsid w:val="00B2670C"/>
    <w:rsid w:val="00B26C9D"/>
    <w:rsid w:val="00B34848"/>
    <w:rsid w:val="00B3509D"/>
    <w:rsid w:val="00B46B7B"/>
    <w:rsid w:val="00B52E61"/>
    <w:rsid w:val="00B53152"/>
    <w:rsid w:val="00B805B3"/>
    <w:rsid w:val="00B9048A"/>
    <w:rsid w:val="00B946F7"/>
    <w:rsid w:val="00BB671D"/>
    <w:rsid w:val="00BE19AD"/>
    <w:rsid w:val="00BF3203"/>
    <w:rsid w:val="00C0308A"/>
    <w:rsid w:val="00C04314"/>
    <w:rsid w:val="00C04CB5"/>
    <w:rsid w:val="00C0566A"/>
    <w:rsid w:val="00C23ADE"/>
    <w:rsid w:val="00C3651B"/>
    <w:rsid w:val="00C45220"/>
    <w:rsid w:val="00C61DF5"/>
    <w:rsid w:val="00C62658"/>
    <w:rsid w:val="00C65B07"/>
    <w:rsid w:val="00C7682F"/>
    <w:rsid w:val="00CA15CE"/>
    <w:rsid w:val="00CD1DDF"/>
    <w:rsid w:val="00CF1A77"/>
    <w:rsid w:val="00CF58B1"/>
    <w:rsid w:val="00CF672A"/>
    <w:rsid w:val="00D02A5D"/>
    <w:rsid w:val="00D13940"/>
    <w:rsid w:val="00D1474B"/>
    <w:rsid w:val="00D16194"/>
    <w:rsid w:val="00D20162"/>
    <w:rsid w:val="00D21578"/>
    <w:rsid w:val="00D23C02"/>
    <w:rsid w:val="00D27B1E"/>
    <w:rsid w:val="00D30F1D"/>
    <w:rsid w:val="00D40096"/>
    <w:rsid w:val="00D41658"/>
    <w:rsid w:val="00D603E7"/>
    <w:rsid w:val="00D726B6"/>
    <w:rsid w:val="00D80F2E"/>
    <w:rsid w:val="00D85D24"/>
    <w:rsid w:val="00D8626B"/>
    <w:rsid w:val="00DA4438"/>
    <w:rsid w:val="00DA4489"/>
    <w:rsid w:val="00DA734E"/>
    <w:rsid w:val="00DD5291"/>
    <w:rsid w:val="00E024DB"/>
    <w:rsid w:val="00E024E2"/>
    <w:rsid w:val="00E15D42"/>
    <w:rsid w:val="00E22585"/>
    <w:rsid w:val="00E26C96"/>
    <w:rsid w:val="00E36C72"/>
    <w:rsid w:val="00E552DC"/>
    <w:rsid w:val="00E64247"/>
    <w:rsid w:val="00E87D9D"/>
    <w:rsid w:val="00E87F40"/>
    <w:rsid w:val="00E935DF"/>
    <w:rsid w:val="00E94C4F"/>
    <w:rsid w:val="00E97645"/>
    <w:rsid w:val="00EA6FCB"/>
    <w:rsid w:val="00EB682B"/>
    <w:rsid w:val="00ED166C"/>
    <w:rsid w:val="00ED4E8D"/>
    <w:rsid w:val="00ED6FED"/>
    <w:rsid w:val="00EE45E1"/>
    <w:rsid w:val="00EF0F24"/>
    <w:rsid w:val="00EF4EA7"/>
    <w:rsid w:val="00F074E2"/>
    <w:rsid w:val="00F10C39"/>
    <w:rsid w:val="00F139B2"/>
    <w:rsid w:val="00F16600"/>
    <w:rsid w:val="00F16D0F"/>
    <w:rsid w:val="00F241CA"/>
    <w:rsid w:val="00F3013D"/>
    <w:rsid w:val="00F30DA2"/>
    <w:rsid w:val="00F343A9"/>
    <w:rsid w:val="00F37F8A"/>
    <w:rsid w:val="00FA0356"/>
    <w:rsid w:val="00FA0B45"/>
    <w:rsid w:val="00FA62F2"/>
    <w:rsid w:val="00FB2D43"/>
    <w:rsid w:val="00FC533F"/>
    <w:rsid w:val="00FD7C15"/>
    <w:rsid w:val="00FE1855"/>
    <w:rsid w:val="00FE4B2C"/>
    <w:rsid w:val="00FE66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755F9"/>
  <w15:docId w15:val="{F755E69A-B8E9-43F5-846D-A0482986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4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paragraph" w:styleId="Heading2">
    <w:name w:val="heading 2"/>
    <w:basedOn w:val="Normal"/>
    <w:next w:val="Normal"/>
    <w:link w:val="Heading2Char"/>
    <w:uiPriority w:val="9"/>
    <w:semiHidden/>
    <w:unhideWhenUsed/>
    <w:qFormat/>
    <w:rsid w:val="00362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basedOn w:val="Normal"/>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nhideWhenUsed/>
    <w:rsid w:val="00F241CA"/>
    <w:pPr>
      <w:tabs>
        <w:tab w:val="center" w:pos="4536"/>
        <w:tab w:val="right" w:pos="9072"/>
      </w:tabs>
      <w:spacing w:line="240" w:lineRule="auto"/>
    </w:pPr>
  </w:style>
  <w:style w:type="character" w:customStyle="1" w:styleId="FooterChar">
    <w:name w:val="Footer Char"/>
    <w:basedOn w:val="DefaultParagraphFont"/>
    <w:link w:val="Footer"/>
    <w:rsid w:val="00F241CA"/>
  </w:style>
  <w:style w:type="character" w:styleId="CommentReference">
    <w:name w:val="annotation reference"/>
    <w:basedOn w:val="DefaultParagraphFont"/>
    <w:uiPriority w:val="99"/>
    <w:semiHidden/>
    <w:unhideWhenUsed/>
    <w:rsid w:val="00E024DB"/>
    <w:rPr>
      <w:sz w:val="16"/>
      <w:szCs w:val="16"/>
    </w:rPr>
  </w:style>
  <w:style w:type="paragraph" w:styleId="CommentText">
    <w:name w:val="annotation text"/>
    <w:basedOn w:val="Normal"/>
    <w:link w:val="CommentTextChar"/>
    <w:uiPriority w:val="99"/>
    <w:unhideWhenUsed/>
    <w:rsid w:val="00E024DB"/>
    <w:pPr>
      <w:spacing w:line="240" w:lineRule="auto"/>
    </w:pPr>
    <w:rPr>
      <w:sz w:val="20"/>
      <w:szCs w:val="20"/>
    </w:rPr>
  </w:style>
  <w:style w:type="character" w:customStyle="1" w:styleId="CommentTextChar">
    <w:name w:val="Comment Text Char"/>
    <w:basedOn w:val="DefaultParagraphFont"/>
    <w:link w:val="CommentText"/>
    <w:uiPriority w:val="99"/>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59"/>
    <w:rsid w:val="00FA0356"/>
    <w:pPr>
      <w:spacing w:line="240" w:lineRule="auto"/>
      <w:ind w:left="425" w:hanging="425"/>
    </w:pPr>
    <w:rPr>
      <w:rFonts w:ascii="Calibri" w:eastAsia="Calibri" w:hAnsi="Calibri" w:cs="Calibri"/>
      <w:lang w:val="en-GB"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1578"/>
    <w:pPr>
      <w:spacing w:line="240" w:lineRule="auto"/>
    </w:pPr>
    <w:rPr>
      <w:sz w:val="20"/>
      <w:szCs w:val="20"/>
    </w:rPr>
  </w:style>
  <w:style w:type="character" w:customStyle="1" w:styleId="FootnoteTextChar">
    <w:name w:val="Footnote Text Char"/>
    <w:basedOn w:val="DefaultParagraphFont"/>
    <w:link w:val="FootnoteText"/>
    <w:uiPriority w:val="99"/>
    <w:semiHidden/>
    <w:rsid w:val="00D21578"/>
    <w:rPr>
      <w:sz w:val="20"/>
      <w:szCs w:val="20"/>
    </w:rPr>
  </w:style>
  <w:style w:type="character" w:styleId="FootnoteReference">
    <w:name w:val="footnote reference"/>
    <w:basedOn w:val="DefaultParagraphFont"/>
    <w:uiPriority w:val="99"/>
    <w:semiHidden/>
    <w:unhideWhenUsed/>
    <w:rsid w:val="00D21578"/>
    <w:rPr>
      <w:vertAlign w:val="superscript"/>
    </w:rPr>
  </w:style>
  <w:style w:type="paragraph" w:styleId="Revision">
    <w:name w:val="Revision"/>
    <w:hidden/>
    <w:uiPriority w:val="99"/>
    <w:semiHidden/>
    <w:rsid w:val="00FE669F"/>
    <w:pPr>
      <w:spacing w:line="240" w:lineRule="auto"/>
    </w:pPr>
  </w:style>
  <w:style w:type="character" w:customStyle="1" w:styleId="Heading2Char">
    <w:name w:val="Heading 2 Char"/>
    <w:basedOn w:val="DefaultParagraphFont"/>
    <w:link w:val="Heading2"/>
    <w:uiPriority w:val="9"/>
    <w:semiHidden/>
    <w:rsid w:val="00362A7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D166C"/>
    <w:rPr>
      <w:color w:val="0000FF" w:themeColor="hyperlink"/>
      <w:u w:val="single"/>
    </w:rPr>
  </w:style>
  <w:style w:type="character" w:styleId="UnresolvedMention">
    <w:name w:val="Unresolved Mention"/>
    <w:basedOn w:val="DefaultParagraphFont"/>
    <w:uiPriority w:val="99"/>
    <w:semiHidden/>
    <w:unhideWhenUsed/>
    <w:rsid w:val="00ED166C"/>
    <w:rPr>
      <w:color w:val="605E5C"/>
      <w:shd w:val="clear" w:color="auto" w:fill="E1DFDD"/>
    </w:rPr>
  </w:style>
  <w:style w:type="character" w:styleId="FollowedHyperlink">
    <w:name w:val="FollowedHyperlink"/>
    <w:basedOn w:val="DefaultParagraphFont"/>
    <w:uiPriority w:val="99"/>
    <w:semiHidden/>
    <w:unhideWhenUsed/>
    <w:rsid w:val="00ED1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5165">
      <w:bodyDiv w:val="1"/>
      <w:marLeft w:val="0"/>
      <w:marRight w:val="0"/>
      <w:marTop w:val="0"/>
      <w:marBottom w:val="0"/>
      <w:divBdr>
        <w:top w:val="none" w:sz="0" w:space="0" w:color="auto"/>
        <w:left w:val="none" w:sz="0" w:space="0" w:color="auto"/>
        <w:bottom w:val="none" w:sz="0" w:space="0" w:color="auto"/>
        <w:right w:val="none" w:sz="0" w:space="0" w:color="auto"/>
      </w:divBdr>
    </w:div>
    <w:div w:id="818768936">
      <w:bodyDiv w:val="1"/>
      <w:marLeft w:val="0"/>
      <w:marRight w:val="0"/>
      <w:marTop w:val="0"/>
      <w:marBottom w:val="0"/>
      <w:divBdr>
        <w:top w:val="none" w:sz="0" w:space="0" w:color="auto"/>
        <w:left w:val="none" w:sz="0" w:space="0" w:color="auto"/>
        <w:bottom w:val="none" w:sz="0" w:space="0" w:color="auto"/>
        <w:right w:val="none" w:sz="0" w:space="0" w:color="auto"/>
      </w:divBdr>
    </w:div>
    <w:div w:id="1012879757">
      <w:bodyDiv w:val="1"/>
      <w:marLeft w:val="0"/>
      <w:marRight w:val="0"/>
      <w:marTop w:val="0"/>
      <w:marBottom w:val="0"/>
      <w:divBdr>
        <w:top w:val="none" w:sz="0" w:space="0" w:color="auto"/>
        <w:left w:val="none" w:sz="0" w:space="0" w:color="auto"/>
        <w:bottom w:val="none" w:sz="0" w:space="0" w:color="auto"/>
        <w:right w:val="none" w:sz="0" w:space="0" w:color="auto"/>
      </w:divBdr>
    </w:div>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 w:id="1357151066">
      <w:bodyDiv w:val="1"/>
      <w:marLeft w:val="0"/>
      <w:marRight w:val="0"/>
      <w:marTop w:val="0"/>
      <w:marBottom w:val="0"/>
      <w:divBdr>
        <w:top w:val="none" w:sz="0" w:space="0" w:color="auto"/>
        <w:left w:val="none" w:sz="0" w:space="0" w:color="auto"/>
        <w:bottom w:val="none" w:sz="0" w:space="0" w:color="auto"/>
        <w:right w:val="none" w:sz="0" w:space="0" w:color="auto"/>
      </w:divBdr>
    </w:div>
    <w:div w:id="1368677572">
      <w:bodyDiv w:val="1"/>
      <w:marLeft w:val="0"/>
      <w:marRight w:val="0"/>
      <w:marTop w:val="0"/>
      <w:marBottom w:val="0"/>
      <w:divBdr>
        <w:top w:val="none" w:sz="0" w:space="0" w:color="auto"/>
        <w:left w:val="none" w:sz="0" w:space="0" w:color="auto"/>
        <w:bottom w:val="none" w:sz="0" w:space="0" w:color="auto"/>
        <w:right w:val="none" w:sz="0" w:space="0" w:color="auto"/>
      </w:divBdr>
    </w:div>
    <w:div w:id="1588995257">
      <w:bodyDiv w:val="1"/>
      <w:marLeft w:val="0"/>
      <w:marRight w:val="0"/>
      <w:marTop w:val="0"/>
      <w:marBottom w:val="0"/>
      <w:divBdr>
        <w:top w:val="none" w:sz="0" w:space="0" w:color="auto"/>
        <w:left w:val="none" w:sz="0" w:space="0" w:color="auto"/>
        <w:bottom w:val="none" w:sz="0" w:space="0" w:color="auto"/>
        <w:right w:val="none" w:sz="0" w:space="0" w:color="auto"/>
      </w:divBdr>
    </w:div>
    <w:div w:id="17129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BBB0DD72C6F488DD2E897B32177D2" ma:contentTypeVersion="5" ma:contentTypeDescription="Create a new document." ma:contentTypeScope="" ma:versionID="245d128595381047dca30d8e9b16eaf5">
  <xsd:schema xmlns:xsd="http://www.w3.org/2001/XMLSchema" xmlns:xs="http://www.w3.org/2001/XMLSchema" xmlns:p="http://schemas.microsoft.com/office/2006/metadata/properties" xmlns:ns3="c82bae87-54d2-4d35-9c82-c5c937f47684" xmlns:ns4="ed13e1a4-03b5-44b7-a6ed-2799c47f2e9b" targetNamespace="http://schemas.microsoft.com/office/2006/metadata/properties" ma:root="true" ma:fieldsID="bf79ffd2eea56d0f5b00c3379733b6be" ns3:_="" ns4:_="">
    <xsd:import namespace="c82bae87-54d2-4d35-9c82-c5c937f47684"/>
    <xsd:import namespace="ed13e1a4-03b5-44b7-a6ed-2799c47f2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ae87-54d2-4d35-9c82-c5c937f4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3e1a4-03b5-44b7-a6ed-2799c47f2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09DD2-3FC5-43A9-86A3-D74206D472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97499-9175-4973-8FB0-5B54AB3AAF3F}">
  <ds:schemaRefs>
    <ds:schemaRef ds:uri="http://schemas.openxmlformats.org/officeDocument/2006/bibliography"/>
  </ds:schemaRefs>
</ds:datastoreItem>
</file>

<file path=customXml/itemProps3.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4.xml><?xml version="1.0" encoding="utf-8"?>
<ds:datastoreItem xmlns:ds="http://schemas.openxmlformats.org/officeDocument/2006/customXml" ds:itemID="{15F7BC21-6F8C-4A18-9B2A-91C4898D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ae87-54d2-4d35-9c82-c5c937f47684"/>
    <ds:schemaRef ds:uri="ed13e1a4-03b5-44b7-a6ed-2799c47f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BRACE Poppy</cp:lastModifiedBy>
  <cp:revision>3</cp:revision>
  <cp:lastPrinted>2025-02-13T17:44:00Z</cp:lastPrinted>
  <dcterms:created xsi:type="dcterms:W3CDTF">2025-04-04T07:06:00Z</dcterms:created>
  <dcterms:modified xsi:type="dcterms:W3CDTF">2025-04-15T09:40:00Z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0x01010090DBBB0DD72C6F488DD2E897B32177D2</vt:lpwstr>
  </property>
</Properties>
</file>