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D1774" w14:textId="14B62FA4" w:rsidR="00A71FEB" w:rsidRDefault="00A71FEB" w:rsidP="00C45220">
      <w:pPr>
        <w:spacing w:line="240" w:lineRule="auto"/>
        <w:jc w:val="center"/>
        <w:outlineLvl w:val="0"/>
        <w:rPr>
          <w:rFonts w:eastAsia="Times New Roman" w:cstheme="majorHAnsi"/>
          <w:b/>
          <w:bCs/>
          <w:sz w:val="24"/>
          <w:szCs w:val="24"/>
          <w:lang w:val="en-US"/>
        </w:rPr>
      </w:pPr>
      <w:r>
        <w:rPr>
          <w:rFonts w:eastAsia="Times New Roman" w:cstheme="majorHAnsi"/>
          <w:b/>
          <w:bCs/>
          <w:noProof/>
          <w:sz w:val="24"/>
          <w:szCs w:val="24"/>
          <w:lang w:val="en-US"/>
        </w:rPr>
        <w:drawing>
          <wp:anchor distT="0" distB="0" distL="114300" distR="114300" simplePos="0" relativeHeight="251658240" behindDoc="0" locked="0" layoutInCell="1" allowOverlap="1" wp14:anchorId="13BEA2F4" wp14:editId="250E1F69">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rotWithShape="1">
                    <a:blip r:embed="rId11"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4FAD93" w14:textId="63E916CD" w:rsidR="00E024E2" w:rsidRPr="00517C51" w:rsidRDefault="00E024E2" w:rsidP="00C45220">
      <w:pPr>
        <w:spacing w:line="240" w:lineRule="auto"/>
        <w:jc w:val="center"/>
        <w:outlineLvl w:val="0"/>
        <w:rPr>
          <w:rFonts w:eastAsia="Times New Roman" w:cstheme="majorHAnsi"/>
          <w:b/>
          <w:bCs/>
          <w:sz w:val="24"/>
          <w:szCs w:val="24"/>
          <w:lang w:val="en-US"/>
        </w:rPr>
      </w:pPr>
      <w:r w:rsidRPr="00517C51">
        <w:rPr>
          <w:rFonts w:eastAsia="Times New Roman" w:cstheme="majorHAnsi"/>
          <w:b/>
          <w:bCs/>
          <w:sz w:val="24"/>
          <w:szCs w:val="24"/>
          <w:lang w:val="en-US"/>
        </w:rPr>
        <w:t>1</w:t>
      </w:r>
      <w:r w:rsidR="009A0003">
        <w:rPr>
          <w:rFonts w:eastAsia="Times New Roman" w:cstheme="majorHAnsi"/>
          <w:b/>
          <w:bCs/>
          <w:sz w:val="24"/>
          <w:szCs w:val="24"/>
          <w:lang w:val="en-US"/>
        </w:rPr>
        <w:t>5</w:t>
      </w:r>
      <w:r w:rsidRPr="00517C51">
        <w:rPr>
          <w:rFonts w:eastAsia="Times New Roman" w:cstheme="majorHAnsi"/>
          <w:b/>
          <w:bCs/>
          <w:sz w:val="24"/>
          <w:szCs w:val="24"/>
          <w:lang w:val="en-US"/>
        </w:rPr>
        <w:t xml:space="preserve">th </w:t>
      </w:r>
      <w:r w:rsidR="00F30DA2">
        <w:rPr>
          <w:rFonts w:eastAsia="Times New Roman" w:cstheme="majorHAnsi"/>
          <w:b/>
          <w:bCs/>
          <w:sz w:val="24"/>
          <w:szCs w:val="24"/>
          <w:lang w:val="en-US"/>
        </w:rPr>
        <w:t>m</w:t>
      </w:r>
      <w:r w:rsidRPr="00517C51">
        <w:rPr>
          <w:rFonts w:eastAsia="Times New Roman" w:cstheme="majorHAnsi"/>
          <w:b/>
          <w:bCs/>
          <w:sz w:val="24"/>
          <w:szCs w:val="24"/>
          <w:lang w:val="en-US"/>
        </w:rPr>
        <w:t>eeting of the Conference of the Contracting Parties</w:t>
      </w:r>
    </w:p>
    <w:p w14:paraId="0DC2C1F6" w14:textId="001C9DCE" w:rsidR="00E024E2" w:rsidRDefault="00E024E2" w:rsidP="00C45220">
      <w:pPr>
        <w:spacing w:line="240" w:lineRule="auto"/>
        <w:jc w:val="center"/>
        <w:outlineLvl w:val="0"/>
        <w:rPr>
          <w:rFonts w:eastAsia="Times New Roman" w:cstheme="majorHAnsi"/>
          <w:b/>
          <w:bCs/>
          <w:sz w:val="24"/>
          <w:szCs w:val="24"/>
          <w:lang w:val="en-US"/>
        </w:rPr>
      </w:pPr>
      <w:r w:rsidRPr="00517C51">
        <w:rPr>
          <w:rFonts w:eastAsia="Times New Roman" w:cstheme="majorHAnsi"/>
          <w:b/>
          <w:bCs/>
          <w:sz w:val="24"/>
          <w:szCs w:val="24"/>
          <w:lang w:val="en-US"/>
        </w:rPr>
        <w:t>to the Convention on Wetlands</w:t>
      </w:r>
    </w:p>
    <w:p w14:paraId="0397C0E1" w14:textId="77777777" w:rsidR="00E024E2" w:rsidRPr="00B85A24" w:rsidRDefault="00E024E2" w:rsidP="00C45220">
      <w:pPr>
        <w:spacing w:line="240" w:lineRule="auto"/>
        <w:jc w:val="center"/>
        <w:outlineLvl w:val="0"/>
        <w:rPr>
          <w:rFonts w:eastAsia="Times New Roman" w:cstheme="majorHAnsi"/>
          <w:b/>
          <w:bCs/>
          <w:sz w:val="24"/>
          <w:szCs w:val="24"/>
          <w:lang w:val="en-US"/>
        </w:rPr>
      </w:pPr>
    </w:p>
    <w:p w14:paraId="6FCF284A" w14:textId="3D171585" w:rsidR="00E024E2" w:rsidRPr="00B85A24" w:rsidRDefault="00E024E2" w:rsidP="00C45220">
      <w:pPr>
        <w:spacing w:line="240" w:lineRule="auto"/>
        <w:jc w:val="center"/>
        <w:outlineLvl w:val="0"/>
        <w:rPr>
          <w:rFonts w:eastAsia="Times New Roman" w:cstheme="majorHAnsi"/>
          <w:b/>
          <w:bCs/>
          <w:sz w:val="24"/>
          <w:szCs w:val="24"/>
          <w:lang w:val="en-US"/>
        </w:rPr>
      </w:pPr>
      <w:r w:rsidRPr="00B85A24">
        <w:rPr>
          <w:rFonts w:eastAsia="Times New Roman" w:cstheme="majorHAnsi"/>
          <w:b/>
          <w:bCs/>
          <w:sz w:val="24"/>
          <w:szCs w:val="24"/>
          <w:lang w:val="en-US"/>
        </w:rPr>
        <w:t>“</w:t>
      </w:r>
      <w:r w:rsidR="009A0003">
        <w:rPr>
          <w:rFonts w:eastAsia="Times New Roman" w:cstheme="majorHAnsi"/>
          <w:b/>
          <w:bCs/>
          <w:sz w:val="24"/>
          <w:szCs w:val="24"/>
          <w:lang w:val="en-US"/>
        </w:rPr>
        <w:t xml:space="preserve">Protecting </w:t>
      </w:r>
      <w:r w:rsidR="00361937" w:rsidRPr="00721697">
        <w:rPr>
          <w:rFonts w:eastAsia="Times New Roman" w:cstheme="majorHAnsi"/>
          <w:b/>
          <w:bCs/>
          <w:sz w:val="24"/>
          <w:szCs w:val="24"/>
          <w:lang w:val="en-US"/>
        </w:rPr>
        <w:t>wetlands</w:t>
      </w:r>
      <w:r w:rsidR="00361937">
        <w:rPr>
          <w:rFonts w:eastAsia="Times New Roman" w:cstheme="majorHAnsi"/>
          <w:b/>
          <w:bCs/>
          <w:sz w:val="24"/>
          <w:szCs w:val="24"/>
          <w:lang w:val="en-US"/>
        </w:rPr>
        <w:t xml:space="preserve"> </w:t>
      </w:r>
      <w:r w:rsidR="009A0003">
        <w:rPr>
          <w:rFonts w:eastAsia="Times New Roman" w:cstheme="majorHAnsi"/>
          <w:b/>
          <w:bCs/>
          <w:sz w:val="24"/>
          <w:szCs w:val="24"/>
          <w:lang w:val="en-US"/>
        </w:rPr>
        <w:t>for our common future</w:t>
      </w:r>
      <w:r w:rsidRPr="00B85A24">
        <w:rPr>
          <w:rFonts w:eastAsia="Times New Roman" w:cstheme="majorHAnsi"/>
          <w:b/>
          <w:bCs/>
          <w:sz w:val="24"/>
          <w:szCs w:val="24"/>
          <w:lang w:val="en-US"/>
        </w:rPr>
        <w:t>”</w:t>
      </w:r>
    </w:p>
    <w:p w14:paraId="794993B1" w14:textId="64DE8774" w:rsidR="00E024E2" w:rsidRDefault="009A0003" w:rsidP="00C45220">
      <w:pPr>
        <w:spacing w:line="240" w:lineRule="auto"/>
        <w:jc w:val="center"/>
        <w:outlineLvl w:val="0"/>
        <w:rPr>
          <w:rFonts w:eastAsia="Times New Roman" w:cstheme="majorHAnsi"/>
          <w:b/>
          <w:bCs/>
          <w:sz w:val="24"/>
          <w:szCs w:val="24"/>
          <w:lang w:val="en-US"/>
        </w:rPr>
      </w:pPr>
      <w:r>
        <w:rPr>
          <w:rFonts w:eastAsia="Times New Roman" w:cstheme="majorHAnsi"/>
          <w:b/>
          <w:bCs/>
          <w:sz w:val="24"/>
          <w:szCs w:val="24"/>
          <w:lang w:val="en-US"/>
        </w:rPr>
        <w:t>Victoria Falls, Zimbabwe</w:t>
      </w:r>
      <w:r w:rsidR="00E024E2" w:rsidRPr="00B85A24">
        <w:rPr>
          <w:rFonts w:eastAsia="Times New Roman" w:cstheme="majorHAnsi"/>
          <w:b/>
          <w:bCs/>
          <w:sz w:val="24"/>
          <w:szCs w:val="24"/>
          <w:lang w:val="en-US"/>
        </w:rPr>
        <w:t xml:space="preserve">, </w:t>
      </w:r>
      <w:r>
        <w:rPr>
          <w:rFonts w:eastAsia="Times New Roman" w:cstheme="majorHAnsi"/>
          <w:b/>
          <w:bCs/>
          <w:sz w:val="24"/>
          <w:szCs w:val="24"/>
          <w:lang w:val="en-US"/>
        </w:rPr>
        <w:t>23</w:t>
      </w:r>
      <w:r w:rsidR="00F30DA2">
        <w:rPr>
          <w:rFonts w:eastAsia="Times New Roman" w:cstheme="majorHAnsi"/>
          <w:b/>
          <w:bCs/>
          <w:sz w:val="24"/>
          <w:szCs w:val="24"/>
          <w:lang w:val="en-US"/>
        </w:rPr>
        <w:t>-</w:t>
      </w:r>
      <w:r>
        <w:rPr>
          <w:rFonts w:eastAsia="Times New Roman" w:cstheme="majorHAnsi"/>
          <w:b/>
          <w:bCs/>
          <w:sz w:val="24"/>
          <w:szCs w:val="24"/>
          <w:lang w:val="en-US"/>
        </w:rPr>
        <w:t>31 July</w:t>
      </w:r>
      <w:r w:rsidR="00E024E2" w:rsidRPr="00B85A24">
        <w:rPr>
          <w:rFonts w:eastAsia="Times New Roman" w:cstheme="majorHAnsi"/>
          <w:b/>
          <w:bCs/>
          <w:sz w:val="24"/>
          <w:szCs w:val="24"/>
          <w:lang w:val="en-US"/>
        </w:rPr>
        <w:t xml:space="preserve"> </w:t>
      </w:r>
      <w:r>
        <w:rPr>
          <w:rFonts w:eastAsia="Times New Roman" w:cstheme="majorHAnsi"/>
          <w:b/>
          <w:bCs/>
          <w:sz w:val="24"/>
          <w:szCs w:val="24"/>
          <w:lang w:val="en-US"/>
        </w:rPr>
        <w:t>20</w:t>
      </w:r>
      <w:r w:rsidR="00C0566A">
        <w:rPr>
          <w:rFonts w:eastAsia="Times New Roman" w:cstheme="majorHAnsi"/>
          <w:b/>
          <w:bCs/>
          <w:sz w:val="24"/>
          <w:szCs w:val="24"/>
          <w:lang w:val="en-US"/>
        </w:rPr>
        <w:t>2</w:t>
      </w:r>
      <w:r>
        <w:rPr>
          <w:rFonts w:eastAsia="Times New Roman" w:cstheme="majorHAnsi"/>
          <w:b/>
          <w:bCs/>
          <w:sz w:val="24"/>
          <w:szCs w:val="24"/>
          <w:lang w:val="en-US"/>
        </w:rPr>
        <w:t>5</w:t>
      </w:r>
    </w:p>
    <w:p w14:paraId="16B3F466" w14:textId="77777777" w:rsidR="00E024E2" w:rsidRDefault="00E024E2" w:rsidP="00C45220">
      <w:pPr>
        <w:spacing w:line="240" w:lineRule="auto"/>
        <w:jc w:val="center"/>
        <w:outlineLvl w:val="0"/>
        <w:rPr>
          <w:rFonts w:eastAsia="Times New Roman" w:cstheme="majorHAnsi"/>
          <w:b/>
          <w:bCs/>
          <w:sz w:val="24"/>
          <w:szCs w:val="24"/>
          <w:lang w:val="en-US"/>
        </w:rPr>
      </w:pPr>
    </w:p>
    <w:p w14:paraId="0D9BAF11" w14:textId="77777777" w:rsidR="00A71FEB" w:rsidRDefault="00A71FEB" w:rsidP="00C45220">
      <w:pPr>
        <w:spacing w:line="240" w:lineRule="auto"/>
        <w:jc w:val="center"/>
        <w:outlineLvl w:val="0"/>
        <w:rPr>
          <w:rFonts w:eastAsia="Times New Roman" w:cstheme="majorHAnsi"/>
          <w:b/>
          <w:bCs/>
          <w:sz w:val="24"/>
          <w:szCs w:val="24"/>
          <w:lang w:val="en-US"/>
        </w:rPr>
      </w:pPr>
    </w:p>
    <w:p w14:paraId="400718E4" w14:textId="77777777" w:rsidR="00A71FEB" w:rsidRPr="00B85A24" w:rsidRDefault="00A71FEB" w:rsidP="00C45220">
      <w:pPr>
        <w:spacing w:line="240" w:lineRule="auto"/>
        <w:jc w:val="center"/>
        <w:outlineLvl w:val="0"/>
        <w:rPr>
          <w:rFonts w:eastAsia="Times New Roman" w:cstheme="majorHAnsi"/>
          <w:b/>
          <w:bCs/>
          <w:sz w:val="24"/>
          <w:szCs w:val="24"/>
          <w:lang w:val="en-US"/>
        </w:rPr>
      </w:pPr>
    </w:p>
    <w:p w14:paraId="79D63B1E" w14:textId="77777777" w:rsidR="00A71FEB" w:rsidRPr="00FA0356" w:rsidRDefault="00A71FEB" w:rsidP="00A71FEB">
      <w:pPr>
        <w:spacing w:line="240" w:lineRule="auto"/>
        <w:jc w:val="right"/>
        <w:rPr>
          <w:rFonts w:cs="Times New Roman"/>
          <w:lang w:val="en-GB"/>
        </w:rPr>
      </w:pPr>
    </w:p>
    <w:p w14:paraId="18F1B987" w14:textId="371995E4" w:rsidR="00FA0356" w:rsidRDefault="00A71FEB" w:rsidP="00A71FEB">
      <w:pPr>
        <w:widowControl w:val="0"/>
        <w:spacing w:line="240" w:lineRule="auto"/>
        <w:jc w:val="right"/>
        <w:rPr>
          <w:rFonts w:cstheme="minorHAnsi"/>
          <w:lang w:val="en-GB"/>
        </w:rPr>
      </w:pPr>
      <w:r w:rsidRPr="00A71FEB">
        <w:rPr>
          <w:rFonts w:cs="Times New Roman"/>
          <w:b/>
          <w:sz w:val="28"/>
          <w:szCs w:val="28"/>
          <w:lang w:val="en-GB"/>
        </w:rPr>
        <w:t>COP15 Doc.</w:t>
      </w:r>
      <w:r w:rsidR="00D15230">
        <w:rPr>
          <w:rFonts w:cs="Times New Roman"/>
          <w:b/>
          <w:sz w:val="28"/>
          <w:szCs w:val="28"/>
          <w:lang w:val="en-GB"/>
        </w:rPr>
        <w:t>11</w:t>
      </w:r>
    </w:p>
    <w:p w14:paraId="69F17080" w14:textId="77777777" w:rsidR="00DD5291" w:rsidRDefault="00DD5291" w:rsidP="00D15230">
      <w:pPr>
        <w:spacing w:line="240" w:lineRule="auto"/>
        <w:rPr>
          <w:rFonts w:cs="Times New Roman"/>
          <w:lang w:val="en-GB"/>
        </w:rPr>
      </w:pPr>
    </w:p>
    <w:p w14:paraId="3A93AA90" w14:textId="71BC3E04" w:rsidR="00D15230" w:rsidRDefault="00D15230" w:rsidP="00D15230">
      <w:pPr>
        <w:spacing w:line="240" w:lineRule="auto"/>
        <w:jc w:val="center"/>
        <w:rPr>
          <w:rFonts w:cs="Times New Roman"/>
          <w:b/>
          <w:sz w:val="28"/>
          <w:szCs w:val="28"/>
          <w:lang w:val="en-GB"/>
        </w:rPr>
      </w:pPr>
      <w:r w:rsidRPr="00D15230">
        <w:rPr>
          <w:rFonts w:cs="Times New Roman"/>
          <w:b/>
          <w:sz w:val="28"/>
          <w:szCs w:val="28"/>
          <w:lang w:val="en-GB"/>
        </w:rPr>
        <w:t>Report of the Chair of the Scientific and Technical Review Panel (STRP)</w:t>
      </w:r>
    </w:p>
    <w:p w14:paraId="1A93A4E5" w14:textId="77777777" w:rsidR="00035943" w:rsidRPr="008B2D5F" w:rsidRDefault="00035943" w:rsidP="008B2D5F">
      <w:pPr>
        <w:spacing w:line="240" w:lineRule="auto"/>
        <w:rPr>
          <w:rFonts w:cs="Times New Roman"/>
          <w:b/>
          <w:lang w:val="en-GB"/>
        </w:rPr>
      </w:pPr>
    </w:p>
    <w:p w14:paraId="6BD3D468" w14:textId="77777777" w:rsidR="00D15230" w:rsidRDefault="00D15230" w:rsidP="00D15230">
      <w:pPr>
        <w:spacing w:line="240" w:lineRule="auto"/>
        <w:rPr>
          <w:rFonts w:cs="Times New Roman"/>
          <w:lang w:val="en-GB"/>
        </w:rPr>
      </w:pPr>
    </w:p>
    <w:p w14:paraId="1EDCAFCC" w14:textId="72606C81" w:rsidR="00D15230" w:rsidRPr="0024785D" w:rsidRDefault="00804D7A" w:rsidP="001671B0">
      <w:pPr>
        <w:keepNext/>
        <w:suppressLineNumbers/>
        <w:suppressAutoHyphens/>
        <w:spacing w:line="240" w:lineRule="auto"/>
        <w:ind w:left="432" w:hanging="432"/>
        <w:rPr>
          <w:rFonts w:ascii="Calibri" w:eastAsia="Calibri" w:hAnsi="Calibri" w:cs="Arial"/>
          <w:b/>
          <w:lang w:val="en-GB"/>
        </w:rPr>
      </w:pPr>
      <w:r w:rsidRPr="0024785D">
        <w:rPr>
          <w:rFonts w:ascii="Calibri" w:eastAsia="Calibri" w:hAnsi="Calibri" w:cs="Arial"/>
          <w:b/>
          <w:lang w:val="en-GB"/>
        </w:rPr>
        <w:t>Introduction</w:t>
      </w:r>
    </w:p>
    <w:p w14:paraId="3D0E57E2" w14:textId="77777777" w:rsidR="00804D7A" w:rsidRDefault="00804D7A" w:rsidP="001671B0">
      <w:pPr>
        <w:keepNext/>
        <w:spacing w:line="240" w:lineRule="auto"/>
        <w:rPr>
          <w:rFonts w:cs="Times New Roman"/>
          <w:lang w:val="en-GB"/>
        </w:rPr>
      </w:pPr>
    </w:p>
    <w:p w14:paraId="4A41A60F" w14:textId="3F6D2E65" w:rsidR="006F712F" w:rsidRDefault="00804D7A" w:rsidP="006F712F">
      <w:pPr>
        <w:spacing w:line="240" w:lineRule="auto"/>
        <w:ind w:left="426" w:hanging="426"/>
        <w:rPr>
          <w:rFonts w:cs="Times New Roman"/>
          <w:lang w:val="en-GB"/>
        </w:rPr>
      </w:pPr>
      <w:r>
        <w:rPr>
          <w:rFonts w:cs="Times New Roman"/>
          <w:lang w:val="en-GB"/>
        </w:rPr>
        <w:t>1.</w:t>
      </w:r>
      <w:r>
        <w:rPr>
          <w:rFonts w:cs="Times New Roman"/>
          <w:lang w:val="en-GB"/>
        </w:rPr>
        <w:tab/>
      </w:r>
      <w:r w:rsidR="002F5D72" w:rsidRPr="002F5D72">
        <w:rPr>
          <w:rFonts w:cs="Times New Roman"/>
          <w:lang w:val="en-GB"/>
        </w:rPr>
        <w:t>Th</w:t>
      </w:r>
      <w:r w:rsidR="00971B90">
        <w:rPr>
          <w:rFonts w:cs="Times New Roman"/>
          <w:lang w:val="en-GB"/>
        </w:rPr>
        <w:t>is</w:t>
      </w:r>
      <w:r w:rsidR="002F5D72" w:rsidRPr="002F5D72">
        <w:rPr>
          <w:rFonts w:cs="Times New Roman"/>
          <w:lang w:val="en-GB"/>
        </w:rPr>
        <w:t xml:space="preserve"> report covers the </w:t>
      </w:r>
      <w:r w:rsidR="00035943" w:rsidRPr="002F5D72">
        <w:rPr>
          <w:rFonts w:cs="Times New Roman"/>
          <w:lang w:val="en-GB"/>
        </w:rPr>
        <w:t>2023-2025</w:t>
      </w:r>
      <w:r w:rsidR="00035943">
        <w:rPr>
          <w:rFonts w:cs="Times New Roman"/>
          <w:lang w:val="en-GB"/>
        </w:rPr>
        <w:t xml:space="preserve"> </w:t>
      </w:r>
      <w:r w:rsidR="002F5D72" w:rsidRPr="002F5D72">
        <w:rPr>
          <w:rFonts w:cs="Times New Roman"/>
          <w:lang w:val="en-GB"/>
        </w:rPr>
        <w:t xml:space="preserve">triennium. It provides a synthesis of the </w:t>
      </w:r>
      <w:r w:rsidR="00B76300">
        <w:rPr>
          <w:rFonts w:cs="Times New Roman"/>
          <w:lang w:val="en-GB"/>
        </w:rPr>
        <w:t>activities</w:t>
      </w:r>
      <w:r w:rsidR="002F5D72" w:rsidRPr="002F5D72">
        <w:rPr>
          <w:rFonts w:cs="Times New Roman"/>
          <w:lang w:val="en-GB"/>
        </w:rPr>
        <w:t xml:space="preserve"> of the Scientific and Technical Review Panel (STRP), </w:t>
      </w:r>
      <w:r w:rsidR="00035943">
        <w:rPr>
          <w:rFonts w:cs="Times New Roman"/>
          <w:lang w:val="en-GB"/>
        </w:rPr>
        <w:t xml:space="preserve">summarizing </w:t>
      </w:r>
      <w:r w:rsidR="00836B54">
        <w:rPr>
          <w:rFonts w:cs="Times New Roman"/>
          <w:lang w:val="en-GB"/>
        </w:rPr>
        <w:t xml:space="preserve">progress made in </w:t>
      </w:r>
      <w:r w:rsidR="003518CD">
        <w:rPr>
          <w:rFonts w:cs="Times New Roman"/>
          <w:lang w:val="en-GB"/>
        </w:rPr>
        <w:t xml:space="preserve">the implementation of the </w:t>
      </w:r>
      <w:r w:rsidR="00E35E02" w:rsidRPr="00E35E02">
        <w:rPr>
          <w:rFonts w:cs="Times New Roman"/>
          <w:lang w:val="en-GB"/>
        </w:rPr>
        <w:t>STRP work plan</w:t>
      </w:r>
      <w:r w:rsidR="00E35E02">
        <w:rPr>
          <w:rStyle w:val="FootnoteReference"/>
          <w:rFonts w:cs="Times New Roman"/>
          <w:lang w:val="en-GB"/>
        </w:rPr>
        <w:footnoteReference w:id="2"/>
      </w:r>
      <w:r w:rsidR="003518CD">
        <w:rPr>
          <w:rFonts w:cs="Times New Roman"/>
          <w:lang w:val="en-GB"/>
        </w:rPr>
        <w:t xml:space="preserve">, </w:t>
      </w:r>
      <w:r w:rsidR="002B151A">
        <w:rPr>
          <w:rFonts w:cs="Times New Roman"/>
          <w:lang w:val="en-GB"/>
        </w:rPr>
        <w:t xml:space="preserve">and through </w:t>
      </w:r>
      <w:r w:rsidR="002F5D72" w:rsidRPr="002F5D72">
        <w:rPr>
          <w:rFonts w:cs="Times New Roman"/>
          <w:lang w:val="en-GB"/>
        </w:rPr>
        <w:t xml:space="preserve">the 25th, 26th and 27th </w:t>
      </w:r>
      <w:r w:rsidR="002B151A">
        <w:rPr>
          <w:rFonts w:cs="Times New Roman"/>
          <w:lang w:val="en-GB"/>
        </w:rPr>
        <w:t xml:space="preserve">meetings </w:t>
      </w:r>
      <w:r w:rsidR="002F5D72" w:rsidRPr="002F5D72">
        <w:rPr>
          <w:rFonts w:cs="Times New Roman"/>
          <w:lang w:val="en-GB"/>
        </w:rPr>
        <w:t xml:space="preserve">of the STRP as well as </w:t>
      </w:r>
      <w:r w:rsidR="002B151A">
        <w:rPr>
          <w:rFonts w:cs="Times New Roman"/>
          <w:lang w:val="en-GB"/>
        </w:rPr>
        <w:t xml:space="preserve">other </w:t>
      </w:r>
      <w:r w:rsidR="002F5D72" w:rsidRPr="002F5D72">
        <w:rPr>
          <w:rFonts w:cs="Times New Roman"/>
          <w:lang w:val="en-GB"/>
        </w:rPr>
        <w:t>work carried out with the support of the Secretariat.</w:t>
      </w:r>
      <w:r w:rsidR="006F712F">
        <w:rPr>
          <w:rFonts w:cs="Times New Roman"/>
          <w:lang w:val="en-GB"/>
        </w:rPr>
        <w:t xml:space="preserve"> Additional information can be found in the </w:t>
      </w:r>
      <w:r w:rsidR="006F712F" w:rsidRPr="00DF0731">
        <w:rPr>
          <w:rFonts w:cs="Times New Roman"/>
          <w:lang w:val="en-GB"/>
        </w:rPr>
        <w:t>Chair</w:t>
      </w:r>
      <w:r w:rsidR="00035943">
        <w:rPr>
          <w:rFonts w:cs="Times New Roman"/>
          <w:lang w:val="en-GB"/>
        </w:rPr>
        <w:t>’</w:t>
      </w:r>
      <w:r w:rsidR="006F712F" w:rsidRPr="00DF0731">
        <w:rPr>
          <w:rFonts w:cs="Times New Roman"/>
          <w:lang w:val="en-GB"/>
        </w:rPr>
        <w:t xml:space="preserve">s reports to </w:t>
      </w:r>
      <w:r w:rsidR="006F712F" w:rsidRPr="00035943">
        <w:rPr>
          <w:rFonts w:cs="Times New Roman"/>
          <w:lang w:val="en-GB"/>
        </w:rPr>
        <w:t>the 62nd, 63rd and 64th</w:t>
      </w:r>
      <w:r w:rsidR="006F712F" w:rsidRPr="00035943">
        <w:rPr>
          <w:rFonts w:ascii="Calibri" w:eastAsia="Calibri" w:hAnsi="Calibri" w:cs="Arial"/>
          <w:lang w:val="en-GB"/>
        </w:rPr>
        <w:t xml:space="preserve"> meeting</w:t>
      </w:r>
      <w:r w:rsidR="00035943">
        <w:rPr>
          <w:rFonts w:ascii="Calibri" w:eastAsia="Calibri" w:hAnsi="Calibri" w:cs="Arial"/>
          <w:lang w:val="en-GB"/>
        </w:rPr>
        <w:t>s</w:t>
      </w:r>
      <w:r w:rsidR="006F712F" w:rsidRPr="00035943">
        <w:rPr>
          <w:rFonts w:ascii="Calibri" w:eastAsia="Calibri" w:hAnsi="Calibri" w:cs="Arial"/>
          <w:lang w:val="en-GB"/>
        </w:rPr>
        <w:t xml:space="preserve"> of the Standing Com</w:t>
      </w:r>
      <w:r w:rsidR="006F712F">
        <w:rPr>
          <w:rFonts w:ascii="Calibri" w:eastAsia="Calibri" w:hAnsi="Calibri" w:cs="Arial"/>
          <w:lang w:val="en-GB"/>
        </w:rPr>
        <w:t>mittee</w:t>
      </w:r>
      <w:r w:rsidR="00E35E02">
        <w:rPr>
          <w:rFonts w:ascii="Calibri" w:eastAsia="Calibri" w:hAnsi="Calibri" w:cs="Arial"/>
          <w:lang w:val="en-GB"/>
        </w:rPr>
        <w:t xml:space="preserve"> </w:t>
      </w:r>
      <w:r w:rsidR="00E35E02" w:rsidRPr="00035943">
        <w:rPr>
          <w:rFonts w:cs="Times New Roman"/>
          <w:lang w:val="en-GB"/>
        </w:rPr>
        <w:t>(</w:t>
      </w:r>
      <w:r w:rsidR="00E35E02">
        <w:rPr>
          <w:rFonts w:cs="Times New Roman"/>
          <w:lang w:val="en-GB"/>
        </w:rPr>
        <w:t xml:space="preserve">documents </w:t>
      </w:r>
      <w:r w:rsidR="00E35E02" w:rsidRPr="00E35E02">
        <w:rPr>
          <w:rFonts w:cs="Times New Roman"/>
          <w:lang w:val="en-GB"/>
        </w:rPr>
        <w:t>SC62 Doc.19</w:t>
      </w:r>
      <w:r w:rsidR="00E35E02">
        <w:rPr>
          <w:rFonts w:cs="Times New Roman"/>
          <w:lang w:val="en-GB"/>
        </w:rPr>
        <w:t xml:space="preserve">, </w:t>
      </w:r>
      <w:r w:rsidR="00E35E02" w:rsidRPr="00E35E02">
        <w:rPr>
          <w:rFonts w:cs="Times New Roman"/>
          <w:lang w:val="en-GB"/>
        </w:rPr>
        <w:t>SC63 Doc.19</w:t>
      </w:r>
      <w:r w:rsidR="00E35E02">
        <w:rPr>
          <w:rFonts w:cs="Times New Roman"/>
          <w:lang w:val="en-GB"/>
        </w:rPr>
        <w:t xml:space="preserve"> and </w:t>
      </w:r>
      <w:r w:rsidR="00E35E02" w:rsidRPr="00E35E02">
        <w:rPr>
          <w:rFonts w:ascii="Calibri" w:eastAsia="Calibri" w:hAnsi="Calibri" w:cs="Arial"/>
          <w:lang w:val="en-GB"/>
        </w:rPr>
        <w:t>SC64 Doc.18</w:t>
      </w:r>
      <w:r w:rsidR="00E35E02">
        <w:rPr>
          <w:rStyle w:val="FootnoteReference"/>
          <w:rFonts w:ascii="Calibri" w:eastAsia="Calibri" w:hAnsi="Calibri" w:cs="Arial"/>
          <w:lang w:val="en-GB"/>
        </w:rPr>
        <w:footnoteReference w:id="3"/>
      </w:r>
      <w:r w:rsidR="00E35E02" w:rsidRPr="00035943">
        <w:rPr>
          <w:rFonts w:cs="Times New Roman"/>
          <w:lang w:val="en-GB"/>
        </w:rPr>
        <w:t>)</w:t>
      </w:r>
      <w:r w:rsidR="006F712F" w:rsidRPr="00DF0731">
        <w:rPr>
          <w:rFonts w:cs="Times New Roman"/>
          <w:lang w:val="en-GB"/>
        </w:rPr>
        <w:t>.</w:t>
      </w:r>
    </w:p>
    <w:p w14:paraId="2439D8E2" w14:textId="77777777" w:rsidR="00804D7A" w:rsidRPr="00804D7A" w:rsidRDefault="00804D7A" w:rsidP="00804D7A">
      <w:pPr>
        <w:spacing w:line="240" w:lineRule="auto"/>
        <w:rPr>
          <w:rFonts w:cs="Times New Roman"/>
          <w:lang w:val="en-GB"/>
        </w:rPr>
      </w:pPr>
    </w:p>
    <w:p w14:paraId="7344FEF0" w14:textId="7DDEACE6" w:rsidR="00F774D1" w:rsidRPr="001E771D" w:rsidRDefault="00804D7A" w:rsidP="00F774D1">
      <w:pPr>
        <w:spacing w:line="240" w:lineRule="auto"/>
        <w:ind w:left="426" w:hanging="426"/>
        <w:rPr>
          <w:rFonts w:cs="Times New Roman"/>
          <w:lang w:val="en-GB"/>
        </w:rPr>
      </w:pPr>
      <w:r w:rsidRPr="001E771D">
        <w:rPr>
          <w:rFonts w:cs="Times New Roman"/>
          <w:lang w:val="en-GB"/>
        </w:rPr>
        <w:t>2.</w:t>
      </w:r>
      <w:r w:rsidRPr="001E771D">
        <w:rPr>
          <w:rFonts w:cs="Times New Roman"/>
          <w:lang w:val="en-GB"/>
        </w:rPr>
        <w:tab/>
      </w:r>
      <w:r w:rsidR="000A17B0" w:rsidRPr="001E771D">
        <w:rPr>
          <w:rFonts w:cs="Times New Roman"/>
          <w:lang w:val="en-GB"/>
        </w:rPr>
        <w:t>T</w:t>
      </w:r>
      <w:r w:rsidR="00F774D1" w:rsidRPr="001E771D">
        <w:rPr>
          <w:rFonts w:cs="Times New Roman"/>
          <w:lang w:val="en-GB"/>
        </w:rPr>
        <w:t>his report of the Chair of the STRP covers:</w:t>
      </w:r>
    </w:p>
    <w:p w14:paraId="31E526CD" w14:textId="5A99A557" w:rsidR="00F774D1" w:rsidRPr="001E771D" w:rsidRDefault="005A4DAC" w:rsidP="005A4DAC">
      <w:pPr>
        <w:suppressLineNumbers/>
        <w:suppressAutoHyphens/>
        <w:spacing w:line="240" w:lineRule="auto"/>
        <w:ind w:left="850" w:hanging="432"/>
        <w:contextualSpacing/>
        <w:rPr>
          <w:rFonts w:ascii="Calibri" w:eastAsia="Calibri" w:hAnsi="Calibri" w:cs="Arial"/>
          <w:lang w:val="en-GB"/>
        </w:rPr>
      </w:pPr>
      <w:r w:rsidRPr="001E771D">
        <w:rPr>
          <w:rFonts w:cs="Times New Roman"/>
          <w:lang w:val="en-GB"/>
        </w:rPr>
        <w:t>i</w:t>
      </w:r>
      <w:r w:rsidR="00F774D1" w:rsidRPr="001E771D">
        <w:rPr>
          <w:rFonts w:cs="Times New Roman"/>
          <w:lang w:val="en-GB"/>
        </w:rPr>
        <w:t>.</w:t>
      </w:r>
      <w:r w:rsidR="000A17B0" w:rsidRPr="001E771D">
        <w:rPr>
          <w:rFonts w:cs="Times New Roman"/>
          <w:lang w:val="en-GB"/>
        </w:rPr>
        <w:tab/>
      </w:r>
      <w:r w:rsidR="00F774D1" w:rsidRPr="001E771D">
        <w:rPr>
          <w:rFonts w:ascii="Calibri" w:eastAsia="Calibri" w:hAnsi="Calibri" w:cs="Arial"/>
          <w:lang w:val="en-GB"/>
        </w:rPr>
        <w:t>Meetings of the STRP</w:t>
      </w:r>
      <w:r w:rsidR="00035943">
        <w:rPr>
          <w:rFonts w:ascii="Calibri" w:eastAsia="Calibri" w:hAnsi="Calibri" w:cs="Arial"/>
          <w:lang w:val="en-GB"/>
        </w:rPr>
        <w:t>;</w:t>
      </w:r>
    </w:p>
    <w:p w14:paraId="7698FA35" w14:textId="5368F3D7" w:rsidR="00F774D1" w:rsidRPr="001E771D" w:rsidRDefault="005A4DAC" w:rsidP="005A4DAC">
      <w:pPr>
        <w:suppressLineNumbers/>
        <w:suppressAutoHyphens/>
        <w:spacing w:line="240" w:lineRule="auto"/>
        <w:ind w:left="850" w:hanging="432"/>
        <w:contextualSpacing/>
        <w:rPr>
          <w:rFonts w:ascii="Calibri" w:eastAsia="Calibri" w:hAnsi="Calibri" w:cs="Arial"/>
          <w:lang w:val="en-GB"/>
        </w:rPr>
      </w:pPr>
      <w:r w:rsidRPr="001E771D">
        <w:rPr>
          <w:rFonts w:ascii="Calibri" w:eastAsia="Calibri" w:hAnsi="Calibri" w:cs="Arial"/>
          <w:lang w:val="en-GB"/>
        </w:rPr>
        <w:t>ii</w:t>
      </w:r>
      <w:r w:rsidR="00F774D1" w:rsidRPr="001E771D">
        <w:rPr>
          <w:rFonts w:ascii="Calibri" w:eastAsia="Calibri" w:hAnsi="Calibri" w:cs="Arial"/>
          <w:lang w:val="en-GB"/>
        </w:rPr>
        <w:t>.</w:t>
      </w:r>
      <w:r w:rsidR="000A17B0" w:rsidRPr="001E771D">
        <w:rPr>
          <w:rFonts w:ascii="Calibri" w:eastAsia="Calibri" w:hAnsi="Calibri" w:cs="Arial"/>
          <w:lang w:val="en-GB"/>
        </w:rPr>
        <w:tab/>
      </w:r>
      <w:r w:rsidR="003B2F6F">
        <w:rPr>
          <w:rFonts w:ascii="Calibri" w:eastAsia="Calibri" w:hAnsi="Calibri" w:cs="Arial"/>
          <w:lang w:val="en-GB"/>
        </w:rPr>
        <w:t>P</w:t>
      </w:r>
      <w:r w:rsidR="000A17B0" w:rsidRPr="001E771D">
        <w:rPr>
          <w:rFonts w:ascii="Calibri" w:eastAsia="Calibri" w:hAnsi="Calibri" w:cs="Arial"/>
          <w:lang w:val="en-GB"/>
        </w:rPr>
        <w:t xml:space="preserve">rogress </w:t>
      </w:r>
      <w:r w:rsidR="00AF1B5E">
        <w:rPr>
          <w:rFonts w:ascii="Calibri" w:eastAsia="Calibri" w:hAnsi="Calibri" w:cs="Arial"/>
          <w:lang w:val="en-GB"/>
        </w:rPr>
        <w:t xml:space="preserve">made in implementation of </w:t>
      </w:r>
      <w:r w:rsidR="000A17B0" w:rsidRPr="001E771D">
        <w:rPr>
          <w:rFonts w:ascii="Calibri" w:eastAsia="Calibri" w:hAnsi="Calibri" w:cs="Arial"/>
          <w:lang w:val="en-GB"/>
        </w:rPr>
        <w:t xml:space="preserve">the STRP work plan </w:t>
      </w:r>
      <w:r w:rsidR="008F42F0">
        <w:rPr>
          <w:rFonts w:ascii="Calibri" w:eastAsia="Calibri" w:hAnsi="Calibri" w:cs="Arial"/>
          <w:lang w:val="en-GB"/>
        </w:rPr>
        <w:t xml:space="preserve">for </w:t>
      </w:r>
      <w:r w:rsidR="000A17B0" w:rsidRPr="001E771D">
        <w:rPr>
          <w:rFonts w:ascii="Calibri" w:eastAsia="Calibri" w:hAnsi="Calibri" w:cs="Arial"/>
          <w:lang w:val="en-GB"/>
        </w:rPr>
        <w:t>202</w:t>
      </w:r>
      <w:r w:rsidR="00B76300">
        <w:rPr>
          <w:rFonts w:ascii="Calibri" w:eastAsia="Calibri" w:hAnsi="Calibri" w:cs="Arial"/>
          <w:lang w:val="en-GB"/>
        </w:rPr>
        <w:t>3</w:t>
      </w:r>
      <w:r w:rsidR="000A17B0" w:rsidRPr="001E771D">
        <w:rPr>
          <w:rFonts w:ascii="Calibri" w:eastAsia="Calibri" w:hAnsi="Calibri" w:cs="Arial"/>
          <w:lang w:val="en-GB"/>
        </w:rPr>
        <w:t>-2025</w:t>
      </w:r>
      <w:r w:rsidR="00035943">
        <w:rPr>
          <w:rFonts w:ascii="Calibri" w:eastAsia="Calibri" w:hAnsi="Calibri" w:cs="Arial"/>
          <w:lang w:val="en-GB"/>
        </w:rPr>
        <w:t>;</w:t>
      </w:r>
    </w:p>
    <w:p w14:paraId="4900637F" w14:textId="7C5F54E5" w:rsidR="00F774D1" w:rsidRPr="001E771D" w:rsidRDefault="005A4DAC" w:rsidP="005A4DAC">
      <w:pPr>
        <w:suppressLineNumbers/>
        <w:suppressAutoHyphens/>
        <w:spacing w:line="240" w:lineRule="auto"/>
        <w:ind w:left="850" w:hanging="432"/>
        <w:contextualSpacing/>
        <w:rPr>
          <w:rFonts w:ascii="Calibri" w:eastAsia="Calibri" w:hAnsi="Calibri" w:cs="Arial"/>
          <w:lang w:val="en-GB"/>
        </w:rPr>
      </w:pPr>
      <w:r w:rsidRPr="001E771D">
        <w:rPr>
          <w:rFonts w:ascii="Calibri" w:eastAsia="Calibri" w:hAnsi="Calibri" w:cs="Arial"/>
          <w:lang w:val="en-GB"/>
        </w:rPr>
        <w:t>iii</w:t>
      </w:r>
      <w:r w:rsidR="00F774D1" w:rsidRPr="001E771D">
        <w:rPr>
          <w:rFonts w:ascii="Calibri" w:eastAsia="Calibri" w:hAnsi="Calibri" w:cs="Arial"/>
          <w:lang w:val="en-GB"/>
        </w:rPr>
        <w:t>.</w:t>
      </w:r>
      <w:r w:rsidR="000A17B0" w:rsidRPr="001E771D">
        <w:rPr>
          <w:rFonts w:ascii="Calibri" w:eastAsia="Calibri" w:hAnsi="Calibri" w:cs="Arial"/>
          <w:lang w:val="en-GB"/>
        </w:rPr>
        <w:tab/>
      </w:r>
      <w:r w:rsidR="004F62E4" w:rsidRPr="001E771D">
        <w:rPr>
          <w:rFonts w:ascii="Calibri" w:eastAsia="Calibri" w:hAnsi="Calibri" w:cs="Arial"/>
          <w:lang w:val="en-GB"/>
        </w:rPr>
        <w:t>Ad</w:t>
      </w:r>
      <w:r w:rsidR="004F62E4">
        <w:rPr>
          <w:rFonts w:ascii="Calibri" w:eastAsia="Calibri" w:hAnsi="Calibri" w:cs="Arial"/>
          <w:lang w:val="en-GB"/>
        </w:rPr>
        <w:t>-</w:t>
      </w:r>
      <w:r w:rsidR="000A17B0" w:rsidRPr="001E771D">
        <w:rPr>
          <w:rFonts w:ascii="Calibri" w:eastAsia="Calibri" w:hAnsi="Calibri" w:cs="Arial"/>
          <w:lang w:val="en-GB"/>
        </w:rPr>
        <w:t>hoc advice and other requests</w:t>
      </w:r>
      <w:r w:rsidR="00035943">
        <w:rPr>
          <w:rFonts w:ascii="Calibri" w:eastAsia="Calibri" w:hAnsi="Calibri" w:cs="Arial"/>
          <w:lang w:val="en-GB"/>
        </w:rPr>
        <w:t>;</w:t>
      </w:r>
    </w:p>
    <w:p w14:paraId="21A5E023" w14:textId="628DA2E2" w:rsidR="000A17B0" w:rsidRPr="001E771D" w:rsidRDefault="005A4DAC" w:rsidP="00495E08">
      <w:pPr>
        <w:suppressLineNumbers/>
        <w:suppressAutoHyphens/>
        <w:spacing w:line="240" w:lineRule="auto"/>
        <w:ind w:left="850" w:hanging="432"/>
        <w:contextualSpacing/>
        <w:rPr>
          <w:rFonts w:ascii="Calibri" w:eastAsia="Calibri" w:hAnsi="Calibri" w:cs="Arial"/>
          <w:lang w:val="en-GB"/>
        </w:rPr>
      </w:pPr>
      <w:r w:rsidRPr="001E771D">
        <w:rPr>
          <w:rFonts w:ascii="Calibri" w:eastAsia="Calibri" w:hAnsi="Calibri" w:cs="Arial"/>
          <w:lang w:val="en-GB"/>
        </w:rPr>
        <w:t>iv</w:t>
      </w:r>
      <w:r w:rsidR="000A17B0" w:rsidRPr="001E771D">
        <w:rPr>
          <w:rFonts w:ascii="Calibri" w:eastAsia="Calibri" w:hAnsi="Calibri" w:cs="Arial"/>
          <w:lang w:val="en-GB"/>
        </w:rPr>
        <w:t>.</w:t>
      </w:r>
      <w:r w:rsidR="000A17B0" w:rsidRPr="001E771D">
        <w:rPr>
          <w:rFonts w:ascii="Calibri" w:eastAsia="Calibri" w:hAnsi="Calibri" w:cs="Arial"/>
          <w:lang w:val="en-GB"/>
        </w:rPr>
        <w:tab/>
      </w:r>
      <w:r w:rsidR="00495E08" w:rsidRPr="00495E08">
        <w:rPr>
          <w:rFonts w:ascii="Calibri" w:eastAsia="Calibri" w:hAnsi="Calibri" w:cs="Arial"/>
          <w:lang w:val="en-GB"/>
        </w:rPr>
        <w:t>Effectiveness and visibility of the STRP</w:t>
      </w:r>
      <w:r w:rsidR="00035943">
        <w:rPr>
          <w:rFonts w:ascii="Calibri" w:eastAsia="Calibri" w:hAnsi="Calibri" w:cs="Arial"/>
          <w:lang w:val="en-GB"/>
        </w:rPr>
        <w:t>;</w:t>
      </w:r>
    </w:p>
    <w:p w14:paraId="7C805748" w14:textId="7048D491" w:rsidR="000A17B0" w:rsidRDefault="005A4DAC" w:rsidP="005A4DAC">
      <w:pPr>
        <w:suppressLineNumbers/>
        <w:suppressAutoHyphens/>
        <w:spacing w:line="240" w:lineRule="auto"/>
        <w:ind w:left="850" w:hanging="432"/>
        <w:contextualSpacing/>
        <w:rPr>
          <w:rFonts w:ascii="Calibri" w:eastAsia="Calibri" w:hAnsi="Calibri" w:cs="Arial"/>
          <w:lang w:val="en-GB"/>
        </w:rPr>
      </w:pPr>
      <w:r w:rsidRPr="001E771D">
        <w:rPr>
          <w:rFonts w:ascii="Calibri" w:eastAsia="Calibri" w:hAnsi="Calibri" w:cs="Arial"/>
          <w:lang w:val="en-GB"/>
        </w:rPr>
        <w:t>v</w:t>
      </w:r>
      <w:r w:rsidR="000A17B0" w:rsidRPr="001E771D">
        <w:rPr>
          <w:rFonts w:ascii="Calibri" w:eastAsia="Calibri" w:hAnsi="Calibri" w:cs="Arial"/>
          <w:lang w:val="en-GB"/>
        </w:rPr>
        <w:t>.</w:t>
      </w:r>
      <w:r w:rsidR="000A17B0" w:rsidRPr="001E771D">
        <w:rPr>
          <w:rFonts w:ascii="Calibri" w:eastAsia="Calibri" w:hAnsi="Calibri" w:cs="Arial"/>
          <w:lang w:val="en-GB"/>
        </w:rPr>
        <w:tab/>
      </w:r>
      <w:r w:rsidR="00C425AB">
        <w:rPr>
          <w:rFonts w:ascii="Calibri" w:eastAsia="Calibri" w:hAnsi="Calibri" w:cs="Arial"/>
          <w:lang w:val="en-GB"/>
        </w:rPr>
        <w:t>Recommendations regarding</w:t>
      </w:r>
      <w:r w:rsidR="00C425AB" w:rsidRPr="00C425AB">
        <w:rPr>
          <w:rFonts w:ascii="Calibri" w:eastAsia="Calibri" w:hAnsi="Calibri" w:cs="Arial"/>
          <w:lang w:val="en-GB"/>
        </w:rPr>
        <w:t xml:space="preserve"> scientific and technical </w:t>
      </w:r>
      <w:r w:rsidR="00C425AB">
        <w:rPr>
          <w:rFonts w:ascii="Calibri" w:eastAsia="Calibri" w:hAnsi="Calibri" w:cs="Arial"/>
          <w:lang w:val="en-GB"/>
        </w:rPr>
        <w:t>p</w:t>
      </w:r>
      <w:r w:rsidR="000A17B0" w:rsidRPr="001E771D">
        <w:rPr>
          <w:rFonts w:ascii="Calibri" w:eastAsia="Calibri" w:hAnsi="Calibri" w:cs="Arial"/>
          <w:lang w:val="en-GB"/>
        </w:rPr>
        <w:t xml:space="preserve">riorities </w:t>
      </w:r>
      <w:r w:rsidR="008F42F0">
        <w:rPr>
          <w:rFonts w:ascii="Calibri" w:eastAsia="Calibri" w:hAnsi="Calibri" w:cs="Arial"/>
          <w:lang w:val="en-GB"/>
        </w:rPr>
        <w:t xml:space="preserve">for </w:t>
      </w:r>
      <w:r w:rsidR="000A17B0" w:rsidRPr="001E771D">
        <w:rPr>
          <w:rFonts w:ascii="Calibri" w:eastAsia="Calibri" w:hAnsi="Calibri" w:cs="Arial"/>
          <w:lang w:val="en-GB"/>
        </w:rPr>
        <w:t>202</w:t>
      </w:r>
      <w:r w:rsidR="008F42F0">
        <w:rPr>
          <w:rFonts w:ascii="Calibri" w:eastAsia="Calibri" w:hAnsi="Calibri" w:cs="Arial"/>
          <w:lang w:val="en-GB"/>
        </w:rPr>
        <w:t>5</w:t>
      </w:r>
      <w:r w:rsidR="000A17B0" w:rsidRPr="001E771D">
        <w:rPr>
          <w:rFonts w:ascii="Calibri" w:eastAsia="Calibri" w:hAnsi="Calibri" w:cs="Arial"/>
          <w:lang w:val="en-GB"/>
        </w:rPr>
        <w:t>-2028</w:t>
      </w:r>
      <w:r w:rsidR="00035943">
        <w:rPr>
          <w:rFonts w:ascii="Calibri" w:eastAsia="Calibri" w:hAnsi="Calibri" w:cs="Arial"/>
          <w:lang w:val="en-GB"/>
        </w:rPr>
        <w:t>;</w:t>
      </w:r>
    </w:p>
    <w:p w14:paraId="6F440249" w14:textId="7F58B3CF" w:rsidR="00E7019D" w:rsidRPr="001E771D" w:rsidRDefault="00E7019D" w:rsidP="005A4DAC">
      <w:pPr>
        <w:suppressLineNumbers/>
        <w:suppressAutoHyphens/>
        <w:spacing w:line="240" w:lineRule="auto"/>
        <w:ind w:left="850" w:hanging="432"/>
        <w:contextualSpacing/>
        <w:rPr>
          <w:rFonts w:ascii="Calibri" w:eastAsia="Calibri" w:hAnsi="Calibri" w:cs="Arial"/>
          <w:lang w:val="en-GB"/>
        </w:rPr>
      </w:pPr>
      <w:r w:rsidRPr="001E771D">
        <w:rPr>
          <w:rFonts w:ascii="Calibri" w:eastAsia="Calibri" w:hAnsi="Calibri" w:cs="Arial"/>
          <w:lang w:val="en-GB"/>
        </w:rPr>
        <w:t>vi.</w:t>
      </w:r>
      <w:r w:rsidRPr="001E771D">
        <w:rPr>
          <w:rFonts w:ascii="Calibri" w:eastAsia="Calibri" w:hAnsi="Calibri" w:cs="Arial"/>
          <w:lang w:val="en-GB"/>
        </w:rPr>
        <w:tab/>
      </w:r>
      <w:r w:rsidRPr="00E7019D">
        <w:rPr>
          <w:rFonts w:ascii="Calibri" w:eastAsia="Calibri" w:hAnsi="Calibri" w:cs="Arial"/>
          <w:lang w:val="en-GB"/>
        </w:rPr>
        <w:t>Participation in S</w:t>
      </w:r>
      <w:r w:rsidR="004F62E4">
        <w:rPr>
          <w:rFonts w:ascii="Calibri" w:eastAsia="Calibri" w:hAnsi="Calibri" w:cs="Arial"/>
          <w:lang w:val="en-GB"/>
        </w:rPr>
        <w:t xml:space="preserve">tanding </w:t>
      </w:r>
      <w:r w:rsidRPr="00E7019D">
        <w:rPr>
          <w:rFonts w:ascii="Calibri" w:eastAsia="Calibri" w:hAnsi="Calibri" w:cs="Arial"/>
          <w:lang w:val="en-GB"/>
        </w:rPr>
        <w:t>C</w:t>
      </w:r>
      <w:r w:rsidR="004F62E4">
        <w:rPr>
          <w:rFonts w:ascii="Calibri" w:eastAsia="Calibri" w:hAnsi="Calibri" w:cs="Arial"/>
          <w:lang w:val="en-GB"/>
        </w:rPr>
        <w:t>ommittee</w:t>
      </w:r>
      <w:r w:rsidRPr="00E7019D">
        <w:rPr>
          <w:rFonts w:ascii="Calibri" w:eastAsia="Calibri" w:hAnsi="Calibri" w:cs="Arial"/>
          <w:lang w:val="en-GB"/>
        </w:rPr>
        <w:t xml:space="preserve"> meetings and pre-COP regional meetings</w:t>
      </w:r>
      <w:r w:rsidR="00035943">
        <w:rPr>
          <w:rFonts w:ascii="Calibri" w:eastAsia="Calibri" w:hAnsi="Calibri" w:cs="Arial"/>
          <w:lang w:val="en-GB"/>
        </w:rPr>
        <w:t>;</w:t>
      </w:r>
    </w:p>
    <w:p w14:paraId="3B1E7700" w14:textId="2C66E23B" w:rsidR="000A17B0" w:rsidRPr="001E771D" w:rsidRDefault="005A4DAC" w:rsidP="005A4DAC">
      <w:pPr>
        <w:suppressLineNumbers/>
        <w:suppressAutoHyphens/>
        <w:spacing w:line="240" w:lineRule="auto"/>
        <w:ind w:left="850" w:hanging="432"/>
        <w:contextualSpacing/>
        <w:rPr>
          <w:rFonts w:ascii="Calibri" w:eastAsia="Calibri" w:hAnsi="Calibri" w:cs="Arial"/>
          <w:lang w:val="en-GB"/>
        </w:rPr>
      </w:pPr>
      <w:r w:rsidRPr="001E771D">
        <w:rPr>
          <w:rFonts w:ascii="Calibri" w:eastAsia="Calibri" w:hAnsi="Calibri" w:cs="Arial"/>
          <w:lang w:val="en-GB"/>
        </w:rPr>
        <w:t>vi</w:t>
      </w:r>
      <w:r w:rsidR="00E7019D">
        <w:rPr>
          <w:rFonts w:ascii="Calibri" w:eastAsia="Calibri" w:hAnsi="Calibri" w:cs="Arial"/>
          <w:lang w:val="en-GB"/>
        </w:rPr>
        <w:t>i</w:t>
      </w:r>
      <w:r w:rsidRPr="001E771D">
        <w:rPr>
          <w:rFonts w:ascii="Calibri" w:eastAsia="Calibri" w:hAnsi="Calibri" w:cs="Arial"/>
          <w:lang w:val="en-GB"/>
        </w:rPr>
        <w:t>.</w:t>
      </w:r>
      <w:r w:rsidRPr="001E771D">
        <w:rPr>
          <w:rFonts w:ascii="Calibri" w:eastAsia="Calibri" w:hAnsi="Calibri" w:cs="Arial"/>
          <w:lang w:val="en-GB"/>
        </w:rPr>
        <w:tab/>
      </w:r>
      <w:r w:rsidR="000A17B0" w:rsidRPr="001E771D">
        <w:rPr>
          <w:rFonts w:ascii="Calibri" w:eastAsia="Calibri" w:hAnsi="Calibri" w:cs="Arial"/>
          <w:lang w:val="en-GB"/>
        </w:rPr>
        <w:t xml:space="preserve">Participation in meetings of technical bodies of other multilateral environmental agreements </w:t>
      </w:r>
      <w:r w:rsidR="00A84379">
        <w:rPr>
          <w:rFonts w:ascii="Calibri" w:eastAsia="Calibri" w:hAnsi="Calibri" w:cs="Arial"/>
          <w:lang w:val="en-GB"/>
        </w:rPr>
        <w:t xml:space="preserve">(MEAs) </w:t>
      </w:r>
      <w:r w:rsidR="000A17B0" w:rsidRPr="001E771D">
        <w:rPr>
          <w:rFonts w:ascii="Calibri" w:eastAsia="Calibri" w:hAnsi="Calibri" w:cs="Arial"/>
          <w:lang w:val="en-GB"/>
        </w:rPr>
        <w:t>and other events</w:t>
      </w:r>
      <w:r w:rsidR="00035943">
        <w:rPr>
          <w:rFonts w:ascii="Calibri" w:eastAsia="Calibri" w:hAnsi="Calibri" w:cs="Arial"/>
          <w:lang w:val="en-GB"/>
        </w:rPr>
        <w:t>;</w:t>
      </w:r>
    </w:p>
    <w:p w14:paraId="1F73DC07" w14:textId="36E41D74" w:rsidR="000A17B0" w:rsidRPr="005A4DAC" w:rsidRDefault="00495E08" w:rsidP="005A4DAC">
      <w:pPr>
        <w:suppressLineNumbers/>
        <w:suppressAutoHyphens/>
        <w:spacing w:line="240" w:lineRule="auto"/>
        <w:ind w:left="850" w:hanging="432"/>
        <w:contextualSpacing/>
        <w:rPr>
          <w:rFonts w:ascii="Calibri" w:eastAsia="Calibri" w:hAnsi="Calibri" w:cs="Arial"/>
          <w:lang w:val="en-GB"/>
        </w:rPr>
      </w:pPr>
      <w:r w:rsidRPr="001E771D">
        <w:rPr>
          <w:rFonts w:ascii="Calibri" w:eastAsia="Calibri" w:hAnsi="Calibri" w:cs="Arial"/>
          <w:lang w:val="en-GB"/>
        </w:rPr>
        <w:t>viii</w:t>
      </w:r>
      <w:r w:rsidR="005A4DAC" w:rsidRPr="001E771D">
        <w:rPr>
          <w:rFonts w:ascii="Calibri" w:eastAsia="Calibri" w:hAnsi="Calibri" w:cs="Arial"/>
          <w:lang w:val="en-GB"/>
        </w:rPr>
        <w:t>.</w:t>
      </w:r>
      <w:r w:rsidR="005A4DAC" w:rsidRPr="001E771D">
        <w:rPr>
          <w:rFonts w:ascii="Calibri" w:eastAsia="Calibri" w:hAnsi="Calibri" w:cs="Arial"/>
          <w:lang w:val="en-GB"/>
        </w:rPr>
        <w:tab/>
      </w:r>
      <w:r w:rsidR="000A17B0" w:rsidRPr="001E771D">
        <w:rPr>
          <w:rFonts w:ascii="Calibri" w:eastAsia="Calibri" w:hAnsi="Calibri" w:cs="Arial"/>
          <w:lang w:val="en-GB"/>
        </w:rPr>
        <w:t xml:space="preserve">Report on the consultation on the use of Earth </w:t>
      </w:r>
      <w:r w:rsidR="004F62E4">
        <w:rPr>
          <w:rFonts w:ascii="Calibri" w:eastAsia="Calibri" w:hAnsi="Calibri" w:cs="Arial"/>
          <w:lang w:val="en-GB"/>
        </w:rPr>
        <w:t>o</w:t>
      </w:r>
      <w:r w:rsidR="004F62E4" w:rsidRPr="001E771D">
        <w:rPr>
          <w:rFonts w:ascii="Calibri" w:eastAsia="Calibri" w:hAnsi="Calibri" w:cs="Arial"/>
          <w:lang w:val="en-GB"/>
        </w:rPr>
        <w:t xml:space="preserve">bservation </w:t>
      </w:r>
      <w:r w:rsidR="000A17B0" w:rsidRPr="001E771D">
        <w:rPr>
          <w:rFonts w:ascii="Calibri" w:eastAsia="Calibri" w:hAnsi="Calibri" w:cs="Arial"/>
          <w:lang w:val="en-GB"/>
        </w:rPr>
        <w:t>for wetland inventory, assessment, monitoring and conservation</w:t>
      </w:r>
      <w:r w:rsidR="00035943">
        <w:rPr>
          <w:rFonts w:ascii="Calibri" w:eastAsia="Calibri" w:hAnsi="Calibri" w:cs="Arial"/>
          <w:lang w:val="en-GB"/>
        </w:rPr>
        <w:t>;</w:t>
      </w:r>
    </w:p>
    <w:p w14:paraId="3ACCBC94" w14:textId="162351FD" w:rsidR="000A17B0" w:rsidRDefault="00495E08" w:rsidP="005A4DAC">
      <w:pPr>
        <w:suppressLineNumbers/>
        <w:suppressAutoHyphens/>
        <w:spacing w:line="240" w:lineRule="auto"/>
        <w:ind w:left="850" w:hanging="432"/>
        <w:contextualSpacing/>
        <w:rPr>
          <w:rFonts w:cs="Times New Roman"/>
          <w:lang w:val="en-GB"/>
        </w:rPr>
      </w:pPr>
      <w:r>
        <w:rPr>
          <w:rFonts w:ascii="Calibri" w:eastAsia="Calibri" w:hAnsi="Calibri" w:cs="Arial"/>
          <w:lang w:val="en-GB"/>
        </w:rPr>
        <w:t>i</w:t>
      </w:r>
      <w:r w:rsidR="00B704ED">
        <w:rPr>
          <w:rFonts w:ascii="Calibri" w:eastAsia="Calibri" w:hAnsi="Calibri" w:cs="Arial"/>
          <w:lang w:val="en-GB"/>
        </w:rPr>
        <w:t>x</w:t>
      </w:r>
      <w:r w:rsidR="005A4DAC" w:rsidRPr="005A4DAC">
        <w:rPr>
          <w:rFonts w:ascii="Calibri" w:eastAsia="Calibri" w:hAnsi="Calibri" w:cs="Arial"/>
          <w:lang w:val="en-GB"/>
        </w:rPr>
        <w:t>.</w:t>
      </w:r>
      <w:r w:rsidR="005A4DAC" w:rsidRPr="005A4DAC">
        <w:rPr>
          <w:rFonts w:ascii="Calibri" w:eastAsia="Calibri" w:hAnsi="Calibri" w:cs="Arial"/>
          <w:lang w:val="en-GB"/>
        </w:rPr>
        <w:tab/>
      </w:r>
      <w:r w:rsidR="000A17B0" w:rsidRPr="005A4DAC">
        <w:rPr>
          <w:rFonts w:ascii="Calibri" w:eastAsia="Calibri" w:hAnsi="Calibri" w:cs="Arial"/>
          <w:lang w:val="en-GB"/>
        </w:rPr>
        <w:t>Acknowledging the</w:t>
      </w:r>
      <w:r w:rsidR="000A17B0" w:rsidRPr="000A17B0">
        <w:rPr>
          <w:rFonts w:cs="Times New Roman"/>
          <w:lang w:val="en-GB"/>
        </w:rPr>
        <w:t xml:space="preserve"> work of the Secretariat, STRP </w:t>
      </w:r>
      <w:r w:rsidR="00070BB5">
        <w:rPr>
          <w:rFonts w:cs="Times New Roman"/>
          <w:lang w:val="en-GB"/>
        </w:rPr>
        <w:t>o</w:t>
      </w:r>
      <w:r w:rsidR="000A17B0" w:rsidRPr="000A17B0">
        <w:rPr>
          <w:rFonts w:cs="Times New Roman"/>
          <w:lang w:val="en-GB"/>
        </w:rPr>
        <w:t xml:space="preserve">bservers, </w:t>
      </w:r>
      <w:r w:rsidR="00035943" w:rsidRPr="00D43A3E">
        <w:rPr>
          <w:rFonts w:cs="Times New Roman"/>
          <w:lang w:val="en-GB"/>
        </w:rPr>
        <w:t>International Organi</w:t>
      </w:r>
      <w:r w:rsidR="00035943">
        <w:rPr>
          <w:rFonts w:cs="Times New Roman"/>
          <w:lang w:val="en-GB"/>
        </w:rPr>
        <w:t>z</w:t>
      </w:r>
      <w:r w:rsidR="00035943" w:rsidRPr="00D43A3E">
        <w:rPr>
          <w:rFonts w:cs="Times New Roman"/>
          <w:lang w:val="en-GB"/>
        </w:rPr>
        <w:t>ation Partners (IOPs)</w:t>
      </w:r>
      <w:r w:rsidR="00035943">
        <w:rPr>
          <w:rFonts w:cs="Times New Roman"/>
          <w:lang w:val="en-GB"/>
        </w:rPr>
        <w:t xml:space="preserve"> </w:t>
      </w:r>
      <w:r w:rsidR="000A17B0" w:rsidRPr="000A17B0">
        <w:rPr>
          <w:rFonts w:cs="Times New Roman"/>
          <w:lang w:val="en-GB"/>
        </w:rPr>
        <w:t>and other contributors</w:t>
      </w:r>
      <w:r w:rsidR="00035943">
        <w:rPr>
          <w:rFonts w:cs="Times New Roman"/>
          <w:lang w:val="en-GB"/>
        </w:rPr>
        <w:t>; and</w:t>
      </w:r>
    </w:p>
    <w:p w14:paraId="0BFF7828" w14:textId="640D1FBD" w:rsidR="005A448D" w:rsidRPr="000A17B0" w:rsidRDefault="005A448D" w:rsidP="005A4DAC">
      <w:pPr>
        <w:suppressLineNumbers/>
        <w:suppressAutoHyphens/>
        <w:spacing w:line="240" w:lineRule="auto"/>
        <w:ind w:left="850" w:hanging="432"/>
        <w:contextualSpacing/>
        <w:rPr>
          <w:rFonts w:cs="Times New Roman"/>
          <w:lang w:val="en-GB"/>
        </w:rPr>
      </w:pPr>
      <w:r>
        <w:rPr>
          <w:rFonts w:cs="Times New Roman"/>
          <w:lang w:val="en-GB"/>
        </w:rPr>
        <w:t>x.</w:t>
      </w:r>
      <w:r>
        <w:rPr>
          <w:rFonts w:cs="Times New Roman"/>
          <w:lang w:val="en-GB"/>
        </w:rPr>
        <w:tab/>
        <w:t>Acknowledging the non-core funding contributions of Contracting Parties and others to support the implementation of the STRP work plan</w:t>
      </w:r>
      <w:r w:rsidR="00035943">
        <w:rPr>
          <w:rFonts w:cs="Times New Roman"/>
          <w:lang w:val="en-GB"/>
        </w:rPr>
        <w:t>.</w:t>
      </w:r>
    </w:p>
    <w:p w14:paraId="19A50D8A" w14:textId="77777777" w:rsidR="000A17B0" w:rsidRDefault="000A17B0" w:rsidP="00F774D1">
      <w:pPr>
        <w:spacing w:line="240" w:lineRule="auto"/>
        <w:ind w:left="426" w:hanging="426"/>
        <w:rPr>
          <w:rFonts w:cs="Times New Roman"/>
          <w:lang w:val="en-GB"/>
        </w:rPr>
      </w:pPr>
    </w:p>
    <w:p w14:paraId="6EEFC07B" w14:textId="77777777" w:rsidR="003B77E3" w:rsidRPr="003B77E3" w:rsidRDefault="003B77E3" w:rsidP="001671B0">
      <w:pPr>
        <w:keepNext/>
        <w:suppressLineNumbers/>
        <w:suppressAutoHyphens/>
        <w:spacing w:line="240" w:lineRule="auto"/>
        <w:ind w:left="432" w:hanging="432"/>
        <w:rPr>
          <w:rFonts w:ascii="Calibri" w:eastAsia="Calibri" w:hAnsi="Calibri" w:cs="Arial"/>
          <w:b/>
          <w:lang w:val="en-GB"/>
        </w:rPr>
      </w:pPr>
      <w:r w:rsidRPr="003B77E3">
        <w:rPr>
          <w:rFonts w:ascii="Calibri" w:eastAsia="Calibri" w:hAnsi="Calibri" w:cs="Arial"/>
          <w:b/>
          <w:lang w:val="en-GB"/>
        </w:rPr>
        <w:t>Meetings of the STRP</w:t>
      </w:r>
    </w:p>
    <w:p w14:paraId="7EB813FC" w14:textId="77777777" w:rsidR="003B77E3" w:rsidRPr="003B77E3" w:rsidRDefault="003B77E3" w:rsidP="001671B0">
      <w:pPr>
        <w:keepNext/>
        <w:spacing w:line="240" w:lineRule="auto"/>
        <w:rPr>
          <w:rFonts w:cs="Times New Roman"/>
          <w:lang w:val="en-GB"/>
        </w:rPr>
      </w:pPr>
    </w:p>
    <w:p w14:paraId="1CB2F37C" w14:textId="0C82DF3C" w:rsidR="004F3F38" w:rsidRDefault="003B77E3" w:rsidP="004F3F38">
      <w:pPr>
        <w:spacing w:line="240" w:lineRule="auto"/>
        <w:ind w:left="426" w:hanging="426"/>
        <w:rPr>
          <w:rFonts w:cs="Times New Roman"/>
          <w:lang w:val="en-GB"/>
        </w:rPr>
      </w:pPr>
      <w:r>
        <w:rPr>
          <w:rFonts w:cs="Times New Roman"/>
          <w:lang w:val="en-GB"/>
        </w:rPr>
        <w:t>3.</w:t>
      </w:r>
      <w:r>
        <w:rPr>
          <w:rFonts w:cs="Times New Roman"/>
          <w:lang w:val="en-GB"/>
        </w:rPr>
        <w:tab/>
      </w:r>
      <w:r w:rsidR="004F3F38" w:rsidRPr="004F3F38">
        <w:rPr>
          <w:rFonts w:cs="Times New Roman"/>
          <w:lang w:val="en-GB"/>
        </w:rPr>
        <w:t xml:space="preserve">The STRP convened three </w:t>
      </w:r>
      <w:r w:rsidR="0060541A">
        <w:rPr>
          <w:rFonts w:cs="Times New Roman"/>
          <w:lang w:val="en-GB"/>
        </w:rPr>
        <w:t xml:space="preserve">annual in-person </w:t>
      </w:r>
      <w:r w:rsidR="004F3F38" w:rsidRPr="004F3F38">
        <w:rPr>
          <w:rFonts w:cs="Times New Roman"/>
          <w:lang w:val="en-GB"/>
        </w:rPr>
        <w:t xml:space="preserve">meetings during the 2023-2025 triennium: </w:t>
      </w:r>
    </w:p>
    <w:p w14:paraId="2B7FC04C" w14:textId="77777777" w:rsidR="004F3F38" w:rsidRDefault="004F3F38" w:rsidP="004F3F38">
      <w:pPr>
        <w:spacing w:line="240" w:lineRule="auto"/>
        <w:ind w:left="426" w:hanging="426"/>
        <w:rPr>
          <w:rFonts w:cs="Times New Roman"/>
          <w:lang w:val="en-GB"/>
        </w:rPr>
      </w:pPr>
    </w:p>
    <w:p w14:paraId="4116D855" w14:textId="4758D1D3" w:rsidR="004F3F38" w:rsidRDefault="004F3F38" w:rsidP="003E33E8">
      <w:pPr>
        <w:suppressLineNumbers/>
        <w:suppressAutoHyphens/>
        <w:spacing w:line="240" w:lineRule="auto"/>
        <w:ind w:left="850" w:hanging="432"/>
        <w:contextualSpacing/>
        <w:rPr>
          <w:rFonts w:ascii="Calibri" w:eastAsia="Calibri" w:hAnsi="Calibri" w:cs="Arial"/>
          <w:lang w:val="en-GB"/>
        </w:rPr>
      </w:pPr>
      <w:r w:rsidRPr="004F3F38">
        <w:rPr>
          <w:rFonts w:cs="Times New Roman"/>
          <w:lang w:val="en-GB"/>
        </w:rPr>
        <w:lastRenderedPageBreak/>
        <w:t>a.</w:t>
      </w:r>
      <w:r>
        <w:rPr>
          <w:rFonts w:cs="Times New Roman"/>
          <w:lang w:val="en-GB"/>
        </w:rPr>
        <w:tab/>
      </w:r>
      <w:r w:rsidRPr="004F3F38">
        <w:rPr>
          <w:rFonts w:cs="Times New Roman"/>
          <w:lang w:val="en-GB"/>
        </w:rPr>
        <w:t>The 25th meeting of the STRP (</w:t>
      </w:r>
      <w:r w:rsidR="00E35E02" w:rsidRPr="00E35E02">
        <w:rPr>
          <w:rFonts w:cs="Times New Roman"/>
          <w:lang w:val="en-GB"/>
        </w:rPr>
        <w:t>STRP25</w:t>
      </w:r>
      <w:r w:rsidRPr="004F3F38">
        <w:rPr>
          <w:rFonts w:cs="Times New Roman"/>
          <w:lang w:val="en-GB"/>
        </w:rPr>
        <w:t>)</w:t>
      </w:r>
      <w:r w:rsidR="00E35E02">
        <w:rPr>
          <w:rStyle w:val="FootnoteReference"/>
          <w:rFonts w:cs="Times New Roman"/>
          <w:lang w:val="en-GB"/>
        </w:rPr>
        <w:footnoteReference w:id="4"/>
      </w:r>
      <w:r w:rsidRPr="004F3F38">
        <w:rPr>
          <w:rFonts w:cs="Times New Roman"/>
          <w:lang w:val="en-GB"/>
        </w:rPr>
        <w:t xml:space="preserve"> was held in Gland, Switzerland, from 2 to 5 May 2023. This meeting focused on the development of the STRP work plan for 2023-2025, </w:t>
      </w:r>
      <w:r w:rsidRPr="004F3F38">
        <w:rPr>
          <w:rFonts w:ascii="Calibri" w:eastAsia="Calibri" w:hAnsi="Calibri" w:cs="Arial"/>
          <w:lang w:val="en-GB"/>
        </w:rPr>
        <w:t xml:space="preserve">including the development of </w:t>
      </w:r>
      <w:r w:rsidR="00A84379">
        <w:rPr>
          <w:rFonts w:ascii="Calibri" w:eastAsia="Calibri" w:hAnsi="Calibri" w:cs="Arial"/>
          <w:lang w:val="en-GB"/>
        </w:rPr>
        <w:t>t</w:t>
      </w:r>
      <w:r w:rsidR="00A84379" w:rsidRPr="004F3F38">
        <w:rPr>
          <w:rFonts w:ascii="Calibri" w:eastAsia="Calibri" w:hAnsi="Calibri" w:cs="Arial"/>
          <w:lang w:val="en-GB"/>
        </w:rPr>
        <w:t xml:space="preserve">erms </w:t>
      </w:r>
      <w:r w:rsidRPr="004F3F38">
        <w:rPr>
          <w:rFonts w:ascii="Calibri" w:eastAsia="Calibri" w:hAnsi="Calibri" w:cs="Arial"/>
          <w:lang w:val="en-GB"/>
        </w:rPr>
        <w:t xml:space="preserve">of </w:t>
      </w:r>
      <w:r w:rsidR="00A84379">
        <w:rPr>
          <w:rFonts w:ascii="Calibri" w:eastAsia="Calibri" w:hAnsi="Calibri" w:cs="Arial"/>
          <w:lang w:val="en-GB"/>
        </w:rPr>
        <w:t>r</w:t>
      </w:r>
      <w:r w:rsidR="00A84379" w:rsidRPr="004F3F38">
        <w:rPr>
          <w:rFonts w:ascii="Calibri" w:eastAsia="Calibri" w:hAnsi="Calibri" w:cs="Arial"/>
          <w:lang w:val="en-GB"/>
        </w:rPr>
        <w:t xml:space="preserve">eference </w:t>
      </w:r>
      <w:r w:rsidRPr="004F3F38">
        <w:rPr>
          <w:rFonts w:ascii="Calibri" w:eastAsia="Calibri" w:hAnsi="Calibri" w:cs="Arial"/>
          <w:lang w:val="en-GB"/>
        </w:rPr>
        <w:t xml:space="preserve">(TORs) for </w:t>
      </w:r>
      <w:r w:rsidR="00A84379" w:rsidRPr="004F3F38">
        <w:rPr>
          <w:rFonts w:ascii="Calibri" w:eastAsia="Calibri" w:hAnsi="Calibri" w:cs="Arial"/>
          <w:lang w:val="en-GB"/>
        </w:rPr>
        <w:t>high</w:t>
      </w:r>
      <w:r w:rsidR="00A84379">
        <w:rPr>
          <w:rFonts w:ascii="Calibri" w:eastAsia="Calibri" w:hAnsi="Calibri" w:cs="Arial"/>
          <w:lang w:val="en-GB"/>
        </w:rPr>
        <w:t>-</w:t>
      </w:r>
      <w:r w:rsidRPr="004F3F38">
        <w:rPr>
          <w:rFonts w:ascii="Calibri" w:eastAsia="Calibri" w:hAnsi="Calibri" w:cs="Arial"/>
          <w:lang w:val="en-GB"/>
        </w:rPr>
        <w:t xml:space="preserve">priority tasks identified in Resolution XIV.14 </w:t>
      </w:r>
      <w:r w:rsidR="00A84379">
        <w:rPr>
          <w:rFonts w:ascii="Calibri" w:eastAsia="Calibri" w:hAnsi="Calibri" w:cs="Arial"/>
          <w:lang w:val="en-GB"/>
        </w:rPr>
        <w:t xml:space="preserve">on </w:t>
      </w:r>
      <w:r w:rsidR="00A84379" w:rsidRPr="00A84379">
        <w:rPr>
          <w:rFonts w:ascii="Calibri" w:eastAsia="Calibri" w:hAnsi="Calibri" w:cs="Arial"/>
          <w:i/>
          <w:iCs/>
          <w:lang w:val="en-GB"/>
        </w:rPr>
        <w:t>Future implementation of scientific and technical aspects of the Convention for 2023-2025</w:t>
      </w:r>
      <w:r w:rsidRPr="004F3F38">
        <w:rPr>
          <w:rFonts w:ascii="Calibri" w:eastAsia="Calibri" w:hAnsi="Calibri" w:cs="Arial"/>
          <w:lang w:val="en-GB"/>
        </w:rPr>
        <w:t xml:space="preserve">, and the establishment of working groups to lead the implementation of the tasks. </w:t>
      </w:r>
    </w:p>
    <w:p w14:paraId="29C3BBA1" w14:textId="77777777" w:rsidR="00E35E02" w:rsidRPr="003E33E8" w:rsidRDefault="00E35E02" w:rsidP="003E33E8">
      <w:pPr>
        <w:suppressLineNumbers/>
        <w:suppressAutoHyphens/>
        <w:spacing w:line="240" w:lineRule="auto"/>
        <w:ind w:left="850" w:hanging="432"/>
        <w:contextualSpacing/>
        <w:rPr>
          <w:rFonts w:ascii="Calibri" w:eastAsia="Calibri" w:hAnsi="Calibri" w:cs="Arial"/>
          <w:lang w:val="en-GB"/>
        </w:rPr>
      </w:pPr>
    </w:p>
    <w:p w14:paraId="1EE56220" w14:textId="4241156A" w:rsidR="004066CF" w:rsidRDefault="004F3F38" w:rsidP="003E33E8">
      <w:pPr>
        <w:suppressLineNumbers/>
        <w:suppressAutoHyphens/>
        <w:spacing w:line="240" w:lineRule="auto"/>
        <w:ind w:left="850" w:hanging="432"/>
        <w:contextualSpacing/>
        <w:rPr>
          <w:rFonts w:ascii="Calibri" w:eastAsia="Calibri" w:hAnsi="Calibri" w:cs="Arial"/>
          <w:lang w:val="en-GB"/>
        </w:rPr>
      </w:pPr>
      <w:r w:rsidRPr="004F3F38">
        <w:rPr>
          <w:rFonts w:ascii="Calibri" w:eastAsia="Calibri" w:hAnsi="Calibri" w:cs="Arial"/>
          <w:lang w:val="en-GB"/>
        </w:rPr>
        <w:t>b.</w:t>
      </w:r>
      <w:r w:rsidRPr="004F3F38">
        <w:rPr>
          <w:rFonts w:ascii="Calibri" w:eastAsia="Calibri" w:hAnsi="Calibri" w:cs="Arial"/>
          <w:lang w:val="en-GB"/>
        </w:rPr>
        <w:tab/>
        <w:t>The 26th meeting of the STRP (</w:t>
      </w:r>
      <w:r w:rsidR="00A84379" w:rsidRPr="00A84379">
        <w:rPr>
          <w:rFonts w:ascii="Calibri" w:eastAsia="Calibri" w:hAnsi="Calibri" w:cs="Arial"/>
          <w:lang w:val="en-GB"/>
        </w:rPr>
        <w:t>STRP26</w:t>
      </w:r>
      <w:r w:rsidRPr="004F3F38">
        <w:rPr>
          <w:rFonts w:ascii="Calibri" w:eastAsia="Calibri" w:hAnsi="Calibri" w:cs="Arial"/>
          <w:lang w:val="en-GB"/>
        </w:rPr>
        <w:t>)</w:t>
      </w:r>
      <w:r w:rsidR="00A84379">
        <w:rPr>
          <w:rStyle w:val="FootnoteReference"/>
          <w:rFonts w:ascii="Calibri" w:eastAsia="Calibri" w:hAnsi="Calibri" w:cs="Arial"/>
          <w:lang w:val="en-GB"/>
        </w:rPr>
        <w:footnoteReference w:id="5"/>
      </w:r>
      <w:r w:rsidRPr="004F3F38">
        <w:rPr>
          <w:rFonts w:ascii="Calibri" w:eastAsia="Calibri" w:hAnsi="Calibri" w:cs="Arial"/>
          <w:lang w:val="en-GB"/>
        </w:rPr>
        <w:t xml:space="preserve"> was held in Gland from 5 to 8 February 2024. The purpose of the meeting was to </w:t>
      </w:r>
      <w:r w:rsidR="00730FF5">
        <w:rPr>
          <w:rFonts w:ascii="Calibri" w:eastAsia="Calibri" w:hAnsi="Calibri" w:cs="Arial"/>
          <w:lang w:val="en-GB"/>
        </w:rPr>
        <w:t xml:space="preserve">assess </w:t>
      </w:r>
      <w:r w:rsidR="00A84379">
        <w:rPr>
          <w:rFonts w:ascii="Calibri" w:eastAsia="Calibri" w:hAnsi="Calibri" w:cs="Arial"/>
          <w:lang w:val="en-GB"/>
        </w:rPr>
        <w:t xml:space="preserve">the </w:t>
      </w:r>
      <w:r w:rsidR="00730FF5">
        <w:rPr>
          <w:rFonts w:ascii="Calibri" w:eastAsia="Calibri" w:hAnsi="Calibri" w:cs="Arial"/>
          <w:lang w:val="en-GB"/>
        </w:rPr>
        <w:t xml:space="preserve">status of and </w:t>
      </w:r>
      <w:r w:rsidRPr="004F3F38">
        <w:rPr>
          <w:rFonts w:ascii="Calibri" w:eastAsia="Calibri" w:hAnsi="Calibri" w:cs="Arial"/>
          <w:lang w:val="en-GB"/>
        </w:rPr>
        <w:t xml:space="preserve">advance the preparation of the STRP </w:t>
      </w:r>
      <w:r w:rsidR="00CE16C9">
        <w:rPr>
          <w:rFonts w:ascii="Calibri" w:eastAsia="Calibri" w:hAnsi="Calibri" w:cs="Arial"/>
          <w:lang w:val="en-GB"/>
        </w:rPr>
        <w:t>tasks</w:t>
      </w:r>
      <w:r w:rsidRPr="004F3F38">
        <w:rPr>
          <w:rFonts w:ascii="Calibri" w:eastAsia="Calibri" w:hAnsi="Calibri" w:cs="Arial"/>
          <w:lang w:val="en-GB"/>
        </w:rPr>
        <w:t xml:space="preserve">, and agree on the next steps for implementation in the run-up to </w:t>
      </w:r>
      <w:r w:rsidR="00A84379" w:rsidRPr="004F3F38">
        <w:rPr>
          <w:rFonts w:ascii="Calibri" w:eastAsia="Calibri" w:hAnsi="Calibri" w:cs="Arial"/>
          <w:lang w:val="en-GB"/>
        </w:rPr>
        <w:t>the 15th meeting of the Conference of the Parties (COP15</w:t>
      </w:r>
      <w:r w:rsidR="00A84379" w:rsidRPr="004F3F38">
        <w:rPr>
          <w:rFonts w:cs="Times New Roman"/>
          <w:lang w:val="en-GB"/>
        </w:rPr>
        <w:t>)</w:t>
      </w:r>
      <w:r w:rsidRPr="004F3F38">
        <w:rPr>
          <w:rFonts w:ascii="Calibri" w:eastAsia="Calibri" w:hAnsi="Calibri" w:cs="Arial"/>
          <w:lang w:val="en-GB"/>
        </w:rPr>
        <w:t xml:space="preserve">. Particular attention was given to the </w:t>
      </w:r>
      <w:r w:rsidR="00E4718A">
        <w:rPr>
          <w:rFonts w:ascii="Calibri" w:eastAsia="Calibri" w:hAnsi="Calibri" w:cs="Arial"/>
          <w:lang w:val="en-GB"/>
        </w:rPr>
        <w:t xml:space="preserve">Fifth </w:t>
      </w:r>
      <w:r w:rsidRPr="004F3F38">
        <w:rPr>
          <w:rFonts w:ascii="Calibri" w:eastAsia="Calibri" w:hAnsi="Calibri" w:cs="Arial"/>
          <w:lang w:val="en-GB"/>
        </w:rPr>
        <w:t xml:space="preserve">Strategic Plan of the Convention (SP5), </w:t>
      </w:r>
      <w:r w:rsidR="005862FE">
        <w:rPr>
          <w:rFonts w:ascii="Calibri" w:eastAsia="Calibri" w:hAnsi="Calibri" w:cs="Arial"/>
          <w:lang w:val="en-GB"/>
        </w:rPr>
        <w:t xml:space="preserve">advice on </w:t>
      </w:r>
      <w:r w:rsidR="00C2712A">
        <w:rPr>
          <w:rFonts w:ascii="Calibri" w:eastAsia="Calibri" w:hAnsi="Calibri" w:cs="Arial"/>
          <w:lang w:val="en-GB"/>
        </w:rPr>
        <w:t>wetland-related indicators for the Kunming-Montreal</w:t>
      </w:r>
      <w:r w:rsidRPr="004F3F38">
        <w:rPr>
          <w:rFonts w:ascii="Calibri" w:eastAsia="Calibri" w:hAnsi="Calibri" w:cs="Arial"/>
          <w:lang w:val="en-GB"/>
        </w:rPr>
        <w:t xml:space="preserve"> Global Biodiversity Framework </w:t>
      </w:r>
      <w:r w:rsidR="0016034B">
        <w:rPr>
          <w:rFonts w:ascii="Calibri" w:eastAsia="Calibri" w:hAnsi="Calibri" w:cs="Arial"/>
          <w:lang w:val="en-GB"/>
        </w:rPr>
        <w:t xml:space="preserve">(KM-GBF) </w:t>
      </w:r>
      <w:r w:rsidRPr="004F3F38">
        <w:rPr>
          <w:rFonts w:ascii="Calibri" w:eastAsia="Calibri" w:hAnsi="Calibri" w:cs="Arial"/>
          <w:lang w:val="en-GB"/>
        </w:rPr>
        <w:t xml:space="preserve">and the </w:t>
      </w:r>
      <w:r w:rsidR="005862FE">
        <w:rPr>
          <w:rFonts w:ascii="Calibri" w:eastAsia="Calibri" w:hAnsi="Calibri" w:cs="Arial"/>
          <w:lang w:val="en-GB"/>
        </w:rPr>
        <w:t xml:space="preserve">proposed </w:t>
      </w:r>
      <w:r w:rsidRPr="004F3F38">
        <w:rPr>
          <w:rFonts w:ascii="Calibri" w:eastAsia="Calibri" w:hAnsi="Calibri" w:cs="Arial"/>
          <w:lang w:val="en-GB"/>
        </w:rPr>
        <w:t xml:space="preserve">review of the </w:t>
      </w:r>
      <w:r w:rsidR="00CE16C9">
        <w:rPr>
          <w:rFonts w:ascii="Calibri" w:eastAsia="Calibri" w:hAnsi="Calibri" w:cs="Arial"/>
          <w:lang w:val="en-GB"/>
        </w:rPr>
        <w:t>Convention</w:t>
      </w:r>
      <w:r w:rsidR="00584A4B">
        <w:rPr>
          <w:rFonts w:ascii="Calibri" w:eastAsia="Calibri" w:hAnsi="Calibri" w:cs="Arial"/>
          <w:lang w:val="en-GB"/>
        </w:rPr>
        <w:t>s</w:t>
      </w:r>
      <w:r w:rsidR="00CE16C9">
        <w:rPr>
          <w:rFonts w:ascii="Calibri" w:eastAsia="Calibri" w:hAnsi="Calibri" w:cs="Arial"/>
          <w:lang w:val="en-GB"/>
        </w:rPr>
        <w:t xml:space="preserve"> </w:t>
      </w:r>
      <w:r w:rsidR="00584A4B">
        <w:rPr>
          <w:rFonts w:ascii="Calibri" w:eastAsia="Calibri" w:hAnsi="Calibri" w:cs="Arial"/>
          <w:lang w:val="en-GB"/>
        </w:rPr>
        <w:t>w</w:t>
      </w:r>
      <w:r w:rsidR="00CE16C9">
        <w:rPr>
          <w:rFonts w:ascii="Calibri" w:eastAsia="Calibri" w:hAnsi="Calibri" w:cs="Arial"/>
          <w:lang w:val="en-GB"/>
        </w:rPr>
        <w:t>etland</w:t>
      </w:r>
      <w:r w:rsidR="00584A4B">
        <w:rPr>
          <w:rFonts w:ascii="Calibri" w:eastAsia="Calibri" w:hAnsi="Calibri" w:cs="Arial"/>
          <w:lang w:val="en-GB"/>
        </w:rPr>
        <w:t xml:space="preserve"> </w:t>
      </w:r>
      <w:r w:rsidRPr="004F3F38">
        <w:rPr>
          <w:rFonts w:ascii="Calibri" w:eastAsia="Calibri" w:hAnsi="Calibri" w:cs="Arial"/>
          <w:lang w:val="en-GB"/>
        </w:rPr>
        <w:t xml:space="preserve">classification system. </w:t>
      </w:r>
    </w:p>
    <w:p w14:paraId="293CA972" w14:textId="77777777" w:rsidR="00E35E02" w:rsidRPr="003E33E8" w:rsidRDefault="00E35E02" w:rsidP="003E33E8">
      <w:pPr>
        <w:suppressLineNumbers/>
        <w:suppressAutoHyphens/>
        <w:spacing w:line="240" w:lineRule="auto"/>
        <w:ind w:left="850" w:hanging="432"/>
        <w:contextualSpacing/>
        <w:rPr>
          <w:rFonts w:ascii="Calibri" w:eastAsia="Calibri" w:hAnsi="Calibri" w:cs="Arial"/>
          <w:lang w:val="en-GB"/>
        </w:rPr>
      </w:pPr>
    </w:p>
    <w:p w14:paraId="20848D95" w14:textId="47322413" w:rsidR="002762E4" w:rsidRDefault="004F3F38" w:rsidP="004F3F38">
      <w:pPr>
        <w:suppressLineNumbers/>
        <w:suppressAutoHyphens/>
        <w:spacing w:line="240" w:lineRule="auto"/>
        <w:ind w:left="850" w:hanging="432"/>
        <w:contextualSpacing/>
        <w:rPr>
          <w:rFonts w:cs="Times New Roman"/>
          <w:lang w:val="en-GB"/>
        </w:rPr>
      </w:pPr>
      <w:r w:rsidRPr="004F3F38">
        <w:rPr>
          <w:rFonts w:ascii="Calibri" w:eastAsia="Calibri" w:hAnsi="Calibri" w:cs="Arial"/>
          <w:lang w:val="en-GB"/>
        </w:rPr>
        <w:t>c.</w:t>
      </w:r>
      <w:r w:rsidRPr="004F3F38">
        <w:rPr>
          <w:rFonts w:ascii="Calibri" w:eastAsia="Calibri" w:hAnsi="Calibri" w:cs="Arial"/>
          <w:lang w:val="en-GB"/>
        </w:rPr>
        <w:tab/>
        <w:t>The 27th meeting of the STRP (</w:t>
      </w:r>
      <w:r w:rsidR="00A84379" w:rsidRPr="00A84379">
        <w:rPr>
          <w:rFonts w:ascii="Calibri" w:eastAsia="Calibri" w:hAnsi="Calibri" w:cs="Arial"/>
          <w:lang w:val="en-GB"/>
        </w:rPr>
        <w:t>STRP27</w:t>
      </w:r>
      <w:r w:rsidRPr="004F3F38">
        <w:rPr>
          <w:rFonts w:ascii="Calibri" w:eastAsia="Calibri" w:hAnsi="Calibri" w:cs="Arial"/>
          <w:lang w:val="en-GB"/>
        </w:rPr>
        <w:t>)</w:t>
      </w:r>
      <w:r w:rsidR="00A84379">
        <w:rPr>
          <w:rStyle w:val="FootnoteReference"/>
          <w:rFonts w:ascii="Calibri" w:eastAsia="Calibri" w:hAnsi="Calibri" w:cs="Arial"/>
          <w:lang w:val="en-GB"/>
        </w:rPr>
        <w:footnoteReference w:id="6"/>
      </w:r>
      <w:r w:rsidRPr="004F3F38">
        <w:rPr>
          <w:rFonts w:ascii="Calibri" w:eastAsia="Calibri" w:hAnsi="Calibri" w:cs="Arial"/>
          <w:lang w:val="en-GB"/>
        </w:rPr>
        <w:t xml:space="preserve"> was held in Gland from 2 to </w:t>
      </w:r>
      <w:r w:rsidR="00584A4B">
        <w:rPr>
          <w:rFonts w:ascii="Calibri" w:eastAsia="Calibri" w:hAnsi="Calibri" w:cs="Arial"/>
          <w:lang w:val="en-GB"/>
        </w:rPr>
        <w:t>5</w:t>
      </w:r>
      <w:r w:rsidRPr="004F3F38">
        <w:rPr>
          <w:rFonts w:ascii="Calibri" w:eastAsia="Calibri" w:hAnsi="Calibri" w:cs="Arial"/>
          <w:lang w:val="en-GB"/>
        </w:rPr>
        <w:t xml:space="preserve"> December 2024. The </w:t>
      </w:r>
      <w:r w:rsidR="00112BCC">
        <w:rPr>
          <w:rFonts w:ascii="Calibri" w:eastAsia="Calibri" w:hAnsi="Calibri" w:cs="Arial"/>
          <w:lang w:val="en-GB"/>
        </w:rPr>
        <w:t xml:space="preserve">meeting focused on preparations for </w:t>
      </w:r>
      <w:r w:rsidRPr="004F3F38">
        <w:rPr>
          <w:rFonts w:ascii="Calibri" w:eastAsia="Calibri" w:hAnsi="Calibri" w:cs="Arial"/>
          <w:lang w:val="en-GB"/>
        </w:rPr>
        <w:t>the 64th meeting of the Standing Committee (SC64) and COP15</w:t>
      </w:r>
      <w:r w:rsidR="0042118C">
        <w:rPr>
          <w:rFonts w:cs="Times New Roman"/>
          <w:lang w:val="en-GB"/>
        </w:rPr>
        <w:t>, including d</w:t>
      </w:r>
      <w:r w:rsidRPr="004F3F38">
        <w:rPr>
          <w:rFonts w:cs="Times New Roman"/>
          <w:lang w:val="en-GB"/>
        </w:rPr>
        <w:t xml:space="preserve">raft resolutions prepared by the </w:t>
      </w:r>
      <w:r w:rsidR="001671B0">
        <w:rPr>
          <w:rFonts w:cs="Times New Roman"/>
          <w:lang w:val="en-GB"/>
        </w:rPr>
        <w:t>P</w:t>
      </w:r>
      <w:r w:rsidR="0042118C">
        <w:rPr>
          <w:rFonts w:cs="Times New Roman"/>
          <w:lang w:val="en-GB"/>
        </w:rPr>
        <w:t xml:space="preserve">anel, and the </w:t>
      </w:r>
      <w:r w:rsidR="001671B0">
        <w:rPr>
          <w:rFonts w:cs="Times New Roman"/>
          <w:lang w:val="en-GB"/>
        </w:rPr>
        <w:t>P</w:t>
      </w:r>
      <w:r w:rsidR="0042118C">
        <w:rPr>
          <w:rFonts w:cs="Times New Roman"/>
          <w:lang w:val="en-GB"/>
        </w:rPr>
        <w:t>anel</w:t>
      </w:r>
      <w:r w:rsidR="00035943">
        <w:rPr>
          <w:rFonts w:cs="Times New Roman"/>
          <w:lang w:val="en-GB"/>
        </w:rPr>
        <w:t>’</w:t>
      </w:r>
      <w:r w:rsidR="0042118C">
        <w:rPr>
          <w:rFonts w:cs="Times New Roman"/>
          <w:lang w:val="en-GB"/>
        </w:rPr>
        <w:t xml:space="preserve">s </w:t>
      </w:r>
      <w:r w:rsidR="0042118C" w:rsidRPr="004F3F38">
        <w:rPr>
          <w:rFonts w:cs="Times New Roman"/>
          <w:lang w:val="en-GB"/>
        </w:rPr>
        <w:t>work on the development of indicators for SP5</w:t>
      </w:r>
      <w:r w:rsidRPr="004F3F38">
        <w:rPr>
          <w:rFonts w:cs="Times New Roman"/>
          <w:lang w:val="en-GB"/>
        </w:rPr>
        <w:t xml:space="preserve">. The </w:t>
      </w:r>
      <w:r w:rsidR="0042118C">
        <w:rPr>
          <w:rFonts w:cs="Times New Roman"/>
          <w:lang w:val="en-GB"/>
        </w:rPr>
        <w:t xml:space="preserve">meeting </w:t>
      </w:r>
      <w:r w:rsidRPr="004F3F38">
        <w:rPr>
          <w:rFonts w:cs="Times New Roman"/>
          <w:lang w:val="en-GB"/>
        </w:rPr>
        <w:t xml:space="preserve">also </w:t>
      </w:r>
      <w:r w:rsidR="0042118C">
        <w:rPr>
          <w:rFonts w:cs="Times New Roman"/>
          <w:lang w:val="en-GB"/>
        </w:rPr>
        <w:t xml:space="preserve">advanced the consultation on </w:t>
      </w:r>
      <w:r w:rsidRPr="004F3F38">
        <w:rPr>
          <w:rFonts w:cs="Times New Roman"/>
          <w:lang w:val="en-GB"/>
        </w:rPr>
        <w:t xml:space="preserve">Earth </w:t>
      </w:r>
      <w:r w:rsidR="004F62E4">
        <w:rPr>
          <w:rFonts w:cs="Times New Roman"/>
          <w:lang w:val="en-GB"/>
        </w:rPr>
        <w:t>o</w:t>
      </w:r>
      <w:r w:rsidR="004F62E4" w:rsidRPr="004F3F38">
        <w:rPr>
          <w:rFonts w:cs="Times New Roman"/>
          <w:lang w:val="en-GB"/>
        </w:rPr>
        <w:t xml:space="preserve">bservation </w:t>
      </w:r>
      <w:r w:rsidR="0042118C">
        <w:rPr>
          <w:rFonts w:cs="Times New Roman"/>
          <w:lang w:val="en-GB"/>
        </w:rPr>
        <w:t xml:space="preserve">conducted pursuant to </w:t>
      </w:r>
      <w:r w:rsidR="00224998">
        <w:rPr>
          <w:rFonts w:cs="Times New Roman"/>
          <w:lang w:val="en-GB"/>
        </w:rPr>
        <w:t>d</w:t>
      </w:r>
      <w:r w:rsidR="00224998" w:rsidRPr="00224998">
        <w:rPr>
          <w:rFonts w:cs="Times New Roman"/>
          <w:lang w:val="en-GB"/>
        </w:rPr>
        <w:t>ecision SC63-30</w:t>
      </w:r>
      <w:r w:rsidRPr="004F3F38">
        <w:rPr>
          <w:rFonts w:cs="Times New Roman"/>
          <w:lang w:val="en-GB"/>
        </w:rPr>
        <w:t>.</w:t>
      </w:r>
    </w:p>
    <w:p w14:paraId="4160F6E0" w14:textId="77777777" w:rsidR="002762E4" w:rsidRDefault="002762E4" w:rsidP="00D15230">
      <w:pPr>
        <w:spacing w:line="240" w:lineRule="auto"/>
        <w:rPr>
          <w:rFonts w:cs="Times New Roman"/>
          <w:lang w:val="en-GB"/>
        </w:rPr>
      </w:pPr>
    </w:p>
    <w:p w14:paraId="1B36FEA4" w14:textId="7A041EF8" w:rsidR="009D7793" w:rsidRDefault="00D43A3E" w:rsidP="00D43A3E">
      <w:pPr>
        <w:spacing w:line="240" w:lineRule="auto"/>
        <w:ind w:left="426" w:hanging="426"/>
        <w:rPr>
          <w:rFonts w:cs="Times New Roman"/>
          <w:lang w:val="en-GB"/>
        </w:rPr>
      </w:pPr>
      <w:r>
        <w:rPr>
          <w:rFonts w:cs="Times New Roman"/>
          <w:lang w:val="en-GB"/>
        </w:rPr>
        <w:t>4</w:t>
      </w:r>
      <w:r w:rsidRPr="00D43A3E">
        <w:rPr>
          <w:rFonts w:cs="Times New Roman"/>
          <w:lang w:val="en-GB"/>
        </w:rPr>
        <w:t>.</w:t>
      </w:r>
      <w:r w:rsidRPr="00D43A3E">
        <w:rPr>
          <w:rFonts w:cs="Times New Roman"/>
          <w:lang w:val="en-GB"/>
        </w:rPr>
        <w:tab/>
        <w:t xml:space="preserve">In addition to </w:t>
      </w:r>
      <w:r w:rsidR="00061472">
        <w:rPr>
          <w:rFonts w:cs="Times New Roman"/>
          <w:lang w:val="en-GB"/>
        </w:rPr>
        <w:t xml:space="preserve">the annual in-person </w:t>
      </w:r>
      <w:r w:rsidRPr="00D43A3E">
        <w:rPr>
          <w:rFonts w:cs="Times New Roman"/>
          <w:lang w:val="en-GB"/>
        </w:rPr>
        <w:t>meetings, the STRP held three online intersessional meetings during the triennium</w:t>
      </w:r>
      <w:r w:rsidR="00221A8D">
        <w:rPr>
          <w:rFonts w:cs="Times New Roman"/>
          <w:lang w:val="en-GB"/>
        </w:rPr>
        <w:t xml:space="preserve">, on </w:t>
      </w:r>
      <w:r w:rsidR="00D62CF5" w:rsidRPr="00D62CF5">
        <w:rPr>
          <w:rFonts w:cs="Times New Roman"/>
          <w:lang w:val="en-GB"/>
        </w:rPr>
        <w:t>12 July 2023</w:t>
      </w:r>
      <w:r w:rsidR="00EA2A86">
        <w:rPr>
          <w:rFonts w:cs="Times New Roman"/>
          <w:lang w:val="en-GB"/>
        </w:rPr>
        <w:t xml:space="preserve">, </w:t>
      </w:r>
      <w:r w:rsidR="00D62CF5" w:rsidRPr="00D62CF5">
        <w:rPr>
          <w:rFonts w:cs="Times New Roman"/>
          <w:lang w:val="en-GB"/>
        </w:rPr>
        <w:t xml:space="preserve">16 November 2023 </w:t>
      </w:r>
      <w:r w:rsidR="00EA2A86">
        <w:rPr>
          <w:rFonts w:cs="Times New Roman"/>
          <w:lang w:val="en-GB"/>
        </w:rPr>
        <w:t xml:space="preserve">and </w:t>
      </w:r>
      <w:r w:rsidR="00D62CF5" w:rsidRPr="00D62CF5">
        <w:rPr>
          <w:rFonts w:cs="Times New Roman"/>
          <w:lang w:val="en-GB"/>
        </w:rPr>
        <w:t>19 September 2024</w:t>
      </w:r>
      <w:r w:rsidRPr="00D43A3E">
        <w:rPr>
          <w:rFonts w:cs="Times New Roman"/>
          <w:lang w:val="en-GB"/>
        </w:rPr>
        <w:t xml:space="preserve">. These meetings provided an opportunity to review progress on tasks, coordinate inputs to ongoing processes (including the </w:t>
      </w:r>
      <w:r w:rsidR="00A84379">
        <w:rPr>
          <w:rFonts w:cs="Times New Roman"/>
          <w:lang w:val="en-GB"/>
        </w:rPr>
        <w:t>SP5</w:t>
      </w:r>
      <w:r w:rsidRPr="00D43A3E">
        <w:rPr>
          <w:rFonts w:cs="Times New Roman"/>
          <w:lang w:val="en-GB"/>
        </w:rPr>
        <w:t xml:space="preserve"> and COP15 draft resolutions) and strengthen collaboration between STRP members, National Focal Points, observers and IOPs.</w:t>
      </w:r>
      <w:r w:rsidR="00A7686D">
        <w:rPr>
          <w:rFonts w:cs="Times New Roman"/>
          <w:lang w:val="en-GB"/>
        </w:rPr>
        <w:t xml:space="preserve"> </w:t>
      </w:r>
      <w:r w:rsidRPr="00D43A3E">
        <w:rPr>
          <w:rFonts w:cs="Times New Roman"/>
          <w:lang w:val="en-GB"/>
        </w:rPr>
        <w:t xml:space="preserve">Topics covered during these meetings included </w:t>
      </w:r>
      <w:r w:rsidR="00BC4EE7">
        <w:rPr>
          <w:rFonts w:cs="Times New Roman"/>
          <w:lang w:val="en-GB"/>
        </w:rPr>
        <w:t>discussing requests from</w:t>
      </w:r>
      <w:r w:rsidRPr="00D43A3E">
        <w:rPr>
          <w:rFonts w:cs="Times New Roman"/>
          <w:lang w:val="en-GB"/>
        </w:rPr>
        <w:t xml:space="preserve"> the Standing Committee, </w:t>
      </w:r>
      <w:r w:rsidR="0040471C">
        <w:rPr>
          <w:rFonts w:cs="Times New Roman"/>
          <w:lang w:val="en-GB"/>
        </w:rPr>
        <w:t xml:space="preserve">progressing the </w:t>
      </w:r>
      <w:r w:rsidRPr="00D43A3E">
        <w:rPr>
          <w:rFonts w:cs="Times New Roman"/>
          <w:lang w:val="en-GB"/>
        </w:rPr>
        <w:t>development of</w:t>
      </w:r>
      <w:r w:rsidR="0040471C">
        <w:rPr>
          <w:rFonts w:cs="Times New Roman"/>
          <w:lang w:val="en-GB"/>
        </w:rPr>
        <w:t xml:space="preserve"> priority STRP</w:t>
      </w:r>
      <w:r w:rsidRPr="00D43A3E">
        <w:rPr>
          <w:rFonts w:cs="Times New Roman"/>
          <w:lang w:val="en-GB"/>
        </w:rPr>
        <w:t xml:space="preserve"> task</w:t>
      </w:r>
      <w:r w:rsidR="0040471C">
        <w:rPr>
          <w:rFonts w:cs="Times New Roman"/>
          <w:lang w:val="en-GB"/>
        </w:rPr>
        <w:t>s and publications</w:t>
      </w:r>
      <w:r w:rsidRPr="00D43A3E">
        <w:rPr>
          <w:rFonts w:cs="Times New Roman"/>
          <w:lang w:val="en-GB"/>
        </w:rPr>
        <w:t>, and sharing draft documents for peer</w:t>
      </w:r>
      <w:r w:rsidR="000A4D47">
        <w:rPr>
          <w:rFonts w:cs="Times New Roman"/>
          <w:lang w:val="en-GB"/>
        </w:rPr>
        <w:t xml:space="preserve"> review</w:t>
      </w:r>
      <w:r w:rsidRPr="00D43A3E">
        <w:rPr>
          <w:rFonts w:cs="Times New Roman"/>
          <w:lang w:val="en-GB"/>
        </w:rPr>
        <w:t xml:space="preserve">. </w:t>
      </w:r>
    </w:p>
    <w:p w14:paraId="77B8FD4F" w14:textId="77777777" w:rsidR="000E2966" w:rsidRDefault="000E2966" w:rsidP="00D15230">
      <w:pPr>
        <w:spacing w:line="240" w:lineRule="auto"/>
        <w:rPr>
          <w:rFonts w:cs="Times New Roman"/>
          <w:lang w:val="en-GB"/>
        </w:rPr>
      </w:pPr>
    </w:p>
    <w:p w14:paraId="5AFD2561" w14:textId="73A171B4" w:rsidR="00C055BA" w:rsidRPr="00C055BA" w:rsidRDefault="003E4D94" w:rsidP="00C055BA">
      <w:pPr>
        <w:suppressLineNumbers/>
        <w:suppressAutoHyphens/>
        <w:spacing w:line="240" w:lineRule="auto"/>
        <w:rPr>
          <w:rFonts w:ascii="Calibri" w:eastAsia="Calibri" w:hAnsi="Calibri" w:cs="Arial"/>
          <w:b/>
          <w:lang w:val="en-GB"/>
        </w:rPr>
      </w:pPr>
      <w:r>
        <w:rPr>
          <w:rFonts w:ascii="Calibri" w:eastAsia="Calibri" w:hAnsi="Calibri" w:cs="Arial"/>
          <w:b/>
          <w:lang w:val="en-GB"/>
        </w:rPr>
        <w:t>P</w:t>
      </w:r>
      <w:r w:rsidR="00C055BA" w:rsidRPr="00C055BA">
        <w:rPr>
          <w:rFonts w:ascii="Calibri" w:eastAsia="Calibri" w:hAnsi="Calibri" w:cs="Arial"/>
          <w:b/>
          <w:lang w:val="en-GB"/>
        </w:rPr>
        <w:t xml:space="preserve">rogress </w:t>
      </w:r>
      <w:r>
        <w:rPr>
          <w:rFonts w:ascii="Calibri" w:eastAsia="Calibri" w:hAnsi="Calibri" w:cs="Arial"/>
          <w:b/>
          <w:lang w:val="en-GB"/>
        </w:rPr>
        <w:t>ma</w:t>
      </w:r>
      <w:r w:rsidR="002245ED">
        <w:rPr>
          <w:rFonts w:ascii="Calibri" w:eastAsia="Calibri" w:hAnsi="Calibri" w:cs="Arial"/>
          <w:b/>
          <w:lang w:val="en-GB"/>
        </w:rPr>
        <w:t xml:space="preserve">de in </w:t>
      </w:r>
      <w:r>
        <w:rPr>
          <w:rFonts w:ascii="Calibri" w:eastAsia="Calibri" w:hAnsi="Calibri" w:cs="Arial"/>
          <w:b/>
          <w:lang w:val="en-GB"/>
        </w:rPr>
        <w:t xml:space="preserve">implementation of </w:t>
      </w:r>
      <w:r w:rsidR="00C055BA" w:rsidRPr="00C055BA">
        <w:rPr>
          <w:rFonts w:ascii="Calibri" w:eastAsia="Calibri" w:hAnsi="Calibri" w:cs="Arial"/>
          <w:b/>
          <w:lang w:val="en-GB"/>
        </w:rPr>
        <w:t>the STRP work plan 202</w:t>
      </w:r>
      <w:r w:rsidR="000A4D47">
        <w:rPr>
          <w:rFonts w:ascii="Calibri" w:eastAsia="Calibri" w:hAnsi="Calibri" w:cs="Arial"/>
          <w:b/>
          <w:lang w:val="en-GB"/>
        </w:rPr>
        <w:t>3</w:t>
      </w:r>
      <w:r w:rsidR="00C055BA" w:rsidRPr="00C055BA">
        <w:rPr>
          <w:rFonts w:ascii="Calibri" w:eastAsia="Calibri" w:hAnsi="Calibri" w:cs="Arial"/>
          <w:b/>
          <w:lang w:val="en-GB"/>
        </w:rPr>
        <w:t>-2025</w:t>
      </w:r>
    </w:p>
    <w:p w14:paraId="3C8FD4D4" w14:textId="77777777" w:rsidR="00C055BA" w:rsidRDefault="00C055BA" w:rsidP="001671B0">
      <w:pPr>
        <w:keepNext/>
        <w:spacing w:line="240" w:lineRule="auto"/>
        <w:rPr>
          <w:rFonts w:cs="Times New Roman"/>
          <w:lang w:val="en-GB"/>
        </w:rPr>
      </w:pPr>
    </w:p>
    <w:p w14:paraId="7A8B0E82" w14:textId="0B250BE1" w:rsidR="00F543D2" w:rsidRPr="00F543D2" w:rsidRDefault="002A18EF" w:rsidP="00F543D2">
      <w:pPr>
        <w:spacing w:line="240" w:lineRule="auto"/>
        <w:ind w:left="426" w:hanging="426"/>
        <w:rPr>
          <w:rFonts w:cs="Times New Roman"/>
          <w:lang w:val="en-GB"/>
        </w:rPr>
      </w:pPr>
      <w:r>
        <w:rPr>
          <w:rFonts w:cs="Times New Roman"/>
          <w:lang w:val="en-GB"/>
        </w:rPr>
        <w:t>5</w:t>
      </w:r>
      <w:r w:rsidR="00CD3939" w:rsidRPr="00D43A3E">
        <w:rPr>
          <w:rFonts w:cs="Times New Roman"/>
          <w:lang w:val="en-GB"/>
        </w:rPr>
        <w:t>.</w:t>
      </w:r>
      <w:r w:rsidR="00CD3939" w:rsidRPr="00D43A3E">
        <w:rPr>
          <w:rFonts w:cs="Times New Roman"/>
          <w:lang w:val="en-GB"/>
        </w:rPr>
        <w:tab/>
      </w:r>
      <w:r w:rsidR="00F543D2" w:rsidRPr="00F543D2">
        <w:rPr>
          <w:rFonts w:cs="Times New Roman"/>
          <w:lang w:val="en-GB"/>
        </w:rPr>
        <w:t xml:space="preserve">The STRP Work Plan 2023-2025, adopted intersessionally following </w:t>
      </w:r>
      <w:r w:rsidR="00817046">
        <w:rPr>
          <w:rFonts w:cs="Times New Roman"/>
          <w:lang w:val="en-GB"/>
        </w:rPr>
        <w:t>S</w:t>
      </w:r>
      <w:r w:rsidR="00F543D2" w:rsidRPr="00F543D2">
        <w:rPr>
          <w:rFonts w:cs="Times New Roman"/>
          <w:lang w:val="en-GB"/>
        </w:rPr>
        <w:t xml:space="preserve">TRP25, identified 15 high-priority tasks grouped into five Thematic Work Areas (TWAs), in accordance with </w:t>
      </w:r>
      <w:r w:rsidR="00FA3A01" w:rsidRPr="00FA3A01">
        <w:rPr>
          <w:rFonts w:cs="Times New Roman"/>
          <w:lang w:val="en-GB"/>
        </w:rPr>
        <w:t>Resolution XIV.14</w:t>
      </w:r>
      <w:r w:rsidR="00FA3A01">
        <w:rPr>
          <w:rStyle w:val="FootnoteReference"/>
          <w:rFonts w:cs="Times New Roman"/>
          <w:lang w:val="en-GB"/>
        </w:rPr>
        <w:footnoteReference w:id="7"/>
      </w:r>
      <w:r w:rsidR="00F543D2" w:rsidRPr="00F543D2">
        <w:rPr>
          <w:rFonts w:cs="Times New Roman"/>
          <w:lang w:val="en-GB"/>
        </w:rPr>
        <w:t>. The Panel has made substantial progress in completing these tasks, despite the shortened triennium and resource constraints.</w:t>
      </w:r>
    </w:p>
    <w:p w14:paraId="43B8976C" w14:textId="77777777" w:rsidR="00F543D2" w:rsidRPr="00F543D2" w:rsidRDefault="00F543D2" w:rsidP="00F543D2">
      <w:pPr>
        <w:spacing w:line="240" w:lineRule="auto"/>
        <w:ind w:left="426" w:hanging="426"/>
        <w:rPr>
          <w:rFonts w:cs="Times New Roman"/>
          <w:lang w:val="en-GB"/>
        </w:rPr>
      </w:pPr>
    </w:p>
    <w:p w14:paraId="092BB531" w14:textId="6C95FC89" w:rsidR="00C7093B" w:rsidRDefault="002A18EF" w:rsidP="00233D4F">
      <w:pPr>
        <w:spacing w:line="240" w:lineRule="auto"/>
        <w:ind w:left="426" w:hanging="426"/>
        <w:rPr>
          <w:rFonts w:cs="Times New Roman"/>
          <w:lang w:val="en-GB"/>
        </w:rPr>
      </w:pPr>
      <w:r>
        <w:rPr>
          <w:rFonts w:cs="Times New Roman"/>
          <w:lang w:val="en-GB"/>
        </w:rPr>
        <w:t>6</w:t>
      </w:r>
      <w:r w:rsidR="00F543D2" w:rsidRPr="00F543D2">
        <w:rPr>
          <w:rFonts w:cs="Times New Roman"/>
          <w:lang w:val="en-GB"/>
        </w:rPr>
        <w:t>.</w:t>
      </w:r>
      <w:r w:rsidR="00F543D2" w:rsidRPr="00F543D2">
        <w:rPr>
          <w:rFonts w:cs="Times New Roman"/>
          <w:lang w:val="en-GB"/>
        </w:rPr>
        <w:tab/>
      </w:r>
      <w:r w:rsidR="00C7093B">
        <w:rPr>
          <w:rFonts w:cs="Times New Roman"/>
          <w:lang w:val="en-GB"/>
        </w:rPr>
        <w:t>Under</w:t>
      </w:r>
      <w:r w:rsidR="00F543D2" w:rsidRPr="00F543D2">
        <w:rPr>
          <w:rFonts w:cs="Times New Roman"/>
          <w:lang w:val="en-GB"/>
        </w:rPr>
        <w:t xml:space="preserve"> TWA1: </w:t>
      </w:r>
      <w:r w:rsidR="00233D4F" w:rsidRPr="00735CE8">
        <w:rPr>
          <w:rFonts w:cs="Times New Roman"/>
          <w:i/>
          <w:iCs/>
          <w:lang w:val="en-GB"/>
        </w:rPr>
        <w:t>Wetlands of International Importance, development of the Site network and application of criteria</w:t>
      </w:r>
      <w:r w:rsidR="00F543D2" w:rsidRPr="00F543D2">
        <w:rPr>
          <w:rFonts w:cs="Times New Roman"/>
          <w:lang w:val="en-GB"/>
        </w:rPr>
        <w:t xml:space="preserve">, the STRP: </w:t>
      </w:r>
    </w:p>
    <w:p w14:paraId="6F88F639" w14:textId="0F5BF6BC" w:rsidR="00C7093B" w:rsidRPr="00C7093B" w:rsidRDefault="00F543D2" w:rsidP="00785182">
      <w:pPr>
        <w:suppressLineNumbers/>
        <w:suppressAutoHyphens/>
        <w:spacing w:line="240" w:lineRule="auto"/>
        <w:ind w:left="850" w:hanging="432"/>
        <w:contextualSpacing/>
        <w:rPr>
          <w:rFonts w:ascii="Calibri" w:eastAsia="Calibri" w:hAnsi="Calibri" w:cs="Arial"/>
          <w:lang w:val="en-GB"/>
        </w:rPr>
      </w:pPr>
      <w:r w:rsidRPr="00C7093B">
        <w:rPr>
          <w:rFonts w:ascii="Calibri" w:eastAsia="Calibri" w:hAnsi="Calibri" w:cs="Arial"/>
          <w:lang w:val="en-GB"/>
        </w:rPr>
        <w:t>a.</w:t>
      </w:r>
      <w:r w:rsidR="00C7093B" w:rsidRPr="00C7093B">
        <w:rPr>
          <w:rFonts w:ascii="Calibri" w:eastAsia="Calibri" w:hAnsi="Calibri" w:cs="Arial"/>
          <w:lang w:val="en-GB"/>
        </w:rPr>
        <w:tab/>
      </w:r>
      <w:r w:rsidR="001671B0" w:rsidRPr="00C7093B">
        <w:rPr>
          <w:rFonts w:ascii="Calibri" w:eastAsia="Calibri" w:hAnsi="Calibri" w:cs="Arial"/>
          <w:lang w:val="en-GB"/>
        </w:rPr>
        <w:t>Finali</w:t>
      </w:r>
      <w:r w:rsidR="001671B0">
        <w:rPr>
          <w:rFonts w:ascii="Calibri" w:eastAsia="Calibri" w:hAnsi="Calibri" w:cs="Arial"/>
          <w:lang w:val="en-GB"/>
        </w:rPr>
        <w:t>z</w:t>
      </w:r>
      <w:r w:rsidR="001671B0" w:rsidRPr="00C7093B">
        <w:rPr>
          <w:rFonts w:ascii="Calibri" w:eastAsia="Calibri" w:hAnsi="Calibri" w:cs="Arial"/>
          <w:lang w:val="en-GB"/>
        </w:rPr>
        <w:t xml:space="preserve">ed </w:t>
      </w:r>
      <w:r w:rsidRPr="00C7093B">
        <w:rPr>
          <w:rFonts w:ascii="Calibri" w:eastAsia="Calibri" w:hAnsi="Calibri" w:cs="Arial"/>
          <w:lang w:val="en-GB"/>
        </w:rPr>
        <w:t xml:space="preserve">guidance on the application of Criteria 6 and 9; </w:t>
      </w:r>
      <w:r w:rsidR="003D1425">
        <w:rPr>
          <w:rFonts w:ascii="Calibri" w:eastAsia="Calibri" w:hAnsi="Calibri" w:cs="Arial"/>
          <w:lang w:val="en-GB"/>
        </w:rPr>
        <w:t xml:space="preserve">including development of a </w:t>
      </w:r>
      <w:r w:rsidR="00337299">
        <w:rPr>
          <w:rFonts w:ascii="Calibri" w:eastAsia="Calibri" w:hAnsi="Calibri" w:cs="Arial"/>
          <w:lang w:val="en-GB"/>
        </w:rPr>
        <w:t>d</w:t>
      </w:r>
      <w:r w:rsidR="003D1425">
        <w:rPr>
          <w:rFonts w:ascii="Calibri" w:eastAsia="Calibri" w:hAnsi="Calibri" w:cs="Arial"/>
          <w:lang w:val="en-GB"/>
        </w:rPr>
        <w:t xml:space="preserve">raft </w:t>
      </w:r>
      <w:r w:rsidR="00337299">
        <w:rPr>
          <w:rFonts w:ascii="Calibri" w:eastAsia="Calibri" w:hAnsi="Calibri" w:cs="Arial"/>
          <w:lang w:val="en-GB"/>
        </w:rPr>
        <w:t xml:space="preserve">resolution </w:t>
      </w:r>
      <w:r w:rsidR="00A724D5" w:rsidRPr="00A724D5">
        <w:rPr>
          <w:rFonts w:ascii="Calibri" w:eastAsia="Calibri" w:hAnsi="Calibri" w:cs="Arial"/>
          <w:lang w:val="en-GB"/>
        </w:rPr>
        <w:t xml:space="preserve">on </w:t>
      </w:r>
      <w:r w:rsidR="00A724D5" w:rsidRPr="00901A0E">
        <w:rPr>
          <w:rFonts w:ascii="Calibri" w:eastAsia="Calibri" w:hAnsi="Calibri" w:cs="Arial"/>
          <w:i/>
          <w:iCs/>
          <w:lang w:val="en-GB"/>
        </w:rPr>
        <w:t xml:space="preserve">application of Criteria 6 and 9 to new and existing Wetlands of International Importance </w:t>
      </w:r>
      <w:r w:rsidR="00A724D5" w:rsidRPr="00A724D5">
        <w:rPr>
          <w:rFonts w:ascii="Calibri" w:eastAsia="Calibri" w:hAnsi="Calibri" w:cs="Arial"/>
          <w:lang w:val="en-GB"/>
        </w:rPr>
        <w:t>(</w:t>
      </w:r>
      <w:r w:rsidR="00FA3A01" w:rsidRPr="00FA3A01">
        <w:rPr>
          <w:rFonts w:ascii="Calibri" w:eastAsia="Calibri" w:hAnsi="Calibri" w:cs="Arial"/>
          <w:lang w:val="en-GB"/>
        </w:rPr>
        <w:t>COP15 Doc.23.12</w:t>
      </w:r>
      <w:r w:rsidR="00FA3A01">
        <w:rPr>
          <w:rStyle w:val="FootnoteReference"/>
          <w:rFonts w:ascii="Calibri" w:eastAsia="Calibri" w:hAnsi="Calibri" w:cs="Arial"/>
          <w:lang w:val="en-GB"/>
        </w:rPr>
        <w:footnoteReference w:id="8"/>
      </w:r>
      <w:r w:rsidR="00A724D5" w:rsidRPr="00A724D5">
        <w:rPr>
          <w:rFonts w:ascii="Calibri" w:eastAsia="Calibri" w:hAnsi="Calibri" w:cs="Arial"/>
          <w:lang w:val="en-GB"/>
        </w:rPr>
        <w:t>)</w:t>
      </w:r>
      <w:r w:rsidR="003207C4">
        <w:rPr>
          <w:rFonts w:ascii="Calibri" w:eastAsia="Calibri" w:hAnsi="Calibri" w:cs="Arial"/>
          <w:lang w:val="en-GB"/>
        </w:rPr>
        <w:t xml:space="preserve"> (Task 1.1a, b)</w:t>
      </w:r>
      <w:r w:rsidR="001671B0">
        <w:rPr>
          <w:rFonts w:ascii="Calibri" w:eastAsia="Calibri" w:hAnsi="Calibri" w:cs="Arial"/>
          <w:lang w:val="en-GB"/>
        </w:rPr>
        <w:t>;</w:t>
      </w:r>
    </w:p>
    <w:p w14:paraId="218F0201" w14:textId="7B2CA2EA" w:rsidR="003127CB" w:rsidRDefault="00F543D2" w:rsidP="00C7093B">
      <w:pPr>
        <w:suppressLineNumbers/>
        <w:suppressAutoHyphens/>
        <w:spacing w:line="240" w:lineRule="auto"/>
        <w:ind w:left="850" w:hanging="432"/>
        <w:contextualSpacing/>
        <w:rPr>
          <w:rFonts w:ascii="Calibri" w:eastAsia="Calibri" w:hAnsi="Calibri" w:cs="Arial"/>
          <w:lang w:val="en-GB"/>
        </w:rPr>
      </w:pPr>
      <w:r w:rsidRPr="00C7093B">
        <w:rPr>
          <w:rFonts w:ascii="Calibri" w:eastAsia="Calibri" w:hAnsi="Calibri" w:cs="Arial"/>
          <w:lang w:val="en-GB"/>
        </w:rPr>
        <w:lastRenderedPageBreak/>
        <w:t>b.</w:t>
      </w:r>
      <w:r w:rsidR="00C7093B" w:rsidRPr="00C7093B">
        <w:rPr>
          <w:rFonts w:ascii="Calibri" w:eastAsia="Calibri" w:hAnsi="Calibri" w:cs="Arial"/>
          <w:lang w:val="en-GB"/>
        </w:rPr>
        <w:tab/>
      </w:r>
      <w:r w:rsidRPr="00C7093B">
        <w:rPr>
          <w:rFonts w:ascii="Calibri" w:eastAsia="Calibri" w:hAnsi="Calibri" w:cs="Arial"/>
          <w:lang w:val="en-GB"/>
        </w:rPr>
        <w:t xml:space="preserve">Developed a </w:t>
      </w:r>
      <w:r w:rsidR="00B21975">
        <w:rPr>
          <w:rFonts w:ascii="Calibri" w:eastAsia="Calibri" w:hAnsi="Calibri" w:cs="Arial"/>
          <w:lang w:val="en-GB"/>
        </w:rPr>
        <w:t>t</w:t>
      </w:r>
      <w:r w:rsidR="004034E1" w:rsidRPr="004034E1">
        <w:rPr>
          <w:rFonts w:ascii="Calibri" w:eastAsia="Calibri" w:hAnsi="Calibri" w:cs="Arial"/>
          <w:lang w:val="en-GB"/>
        </w:rPr>
        <w:t xml:space="preserve">echnical proposal on </w:t>
      </w:r>
      <w:r w:rsidR="004034E1" w:rsidRPr="00901A0E">
        <w:rPr>
          <w:rFonts w:ascii="Calibri" w:eastAsia="Calibri" w:hAnsi="Calibri" w:cs="Arial"/>
          <w:i/>
          <w:iCs/>
          <w:lang w:val="en-GB"/>
        </w:rPr>
        <w:t>resourcing and implementing Waterbird Population Estimates</w:t>
      </w:r>
      <w:r w:rsidR="00B74C5F">
        <w:rPr>
          <w:rFonts w:ascii="Calibri" w:eastAsia="Calibri" w:hAnsi="Calibri" w:cs="Arial"/>
          <w:lang w:val="en-GB"/>
        </w:rPr>
        <w:t xml:space="preserve"> </w:t>
      </w:r>
      <w:r w:rsidR="004034E1">
        <w:rPr>
          <w:rFonts w:ascii="Calibri" w:eastAsia="Calibri" w:hAnsi="Calibri" w:cs="Arial"/>
          <w:lang w:val="en-GB"/>
        </w:rPr>
        <w:t>(</w:t>
      </w:r>
      <w:r w:rsidR="00FA3A01" w:rsidRPr="00FA3A01">
        <w:rPr>
          <w:rFonts w:ascii="Calibri" w:eastAsia="Calibri" w:hAnsi="Calibri" w:cs="Arial"/>
          <w:lang w:val="en-GB"/>
        </w:rPr>
        <w:t>SC63 Doc.20</w:t>
      </w:r>
      <w:r w:rsidR="00FA3A01">
        <w:rPr>
          <w:rStyle w:val="FootnoteReference"/>
          <w:rFonts w:ascii="Calibri" w:eastAsia="Calibri" w:hAnsi="Calibri" w:cs="Arial"/>
          <w:lang w:val="en-GB"/>
        </w:rPr>
        <w:footnoteReference w:id="9"/>
      </w:r>
      <w:r w:rsidR="004034E1">
        <w:rPr>
          <w:rFonts w:ascii="Calibri" w:eastAsia="Calibri" w:hAnsi="Calibri" w:cs="Arial"/>
          <w:lang w:val="en-GB"/>
        </w:rPr>
        <w:t xml:space="preserve">) </w:t>
      </w:r>
      <w:r w:rsidR="00B74C5F">
        <w:rPr>
          <w:rFonts w:ascii="Calibri" w:eastAsia="Calibri" w:hAnsi="Calibri" w:cs="Arial"/>
          <w:lang w:val="en-GB"/>
        </w:rPr>
        <w:t>in collaboration with Wetlands International and other STRP observers</w:t>
      </w:r>
      <w:r w:rsidR="00286D08">
        <w:rPr>
          <w:rFonts w:ascii="Calibri" w:eastAsia="Calibri" w:hAnsi="Calibri" w:cs="Arial"/>
          <w:lang w:val="en-GB"/>
        </w:rPr>
        <w:t>, including waterbird flyways</w:t>
      </w:r>
      <w:r w:rsidR="003207C4">
        <w:rPr>
          <w:rFonts w:ascii="Calibri" w:eastAsia="Calibri" w:hAnsi="Calibri" w:cs="Arial"/>
          <w:lang w:val="en-GB"/>
        </w:rPr>
        <w:t xml:space="preserve"> (Task 1.1c</w:t>
      </w:r>
      <w:r w:rsidR="001671B0">
        <w:rPr>
          <w:rFonts w:ascii="Calibri" w:eastAsia="Calibri" w:hAnsi="Calibri" w:cs="Arial"/>
          <w:lang w:val="en-GB"/>
        </w:rPr>
        <w:t>);</w:t>
      </w:r>
    </w:p>
    <w:p w14:paraId="5A1CB8A3" w14:textId="765AFE73" w:rsidR="00C7093B" w:rsidRDefault="003127CB" w:rsidP="00C7093B">
      <w:pPr>
        <w:suppressLineNumbers/>
        <w:suppressAutoHyphens/>
        <w:spacing w:line="240" w:lineRule="auto"/>
        <w:ind w:left="850" w:hanging="432"/>
        <w:contextualSpacing/>
        <w:rPr>
          <w:rFonts w:ascii="Calibri" w:eastAsia="Calibri" w:hAnsi="Calibri" w:cs="Arial"/>
          <w:lang w:val="en-GB"/>
        </w:rPr>
      </w:pPr>
      <w:r>
        <w:rPr>
          <w:rFonts w:ascii="Calibri" w:eastAsia="Calibri" w:hAnsi="Calibri" w:cs="Arial"/>
          <w:lang w:val="en-GB"/>
        </w:rPr>
        <w:t>c.</w:t>
      </w:r>
      <w:r>
        <w:rPr>
          <w:rFonts w:ascii="Calibri" w:eastAsia="Calibri" w:hAnsi="Calibri" w:cs="Arial"/>
          <w:lang w:val="en-GB"/>
        </w:rPr>
        <w:tab/>
        <w:t xml:space="preserve">Prepared a </w:t>
      </w:r>
      <w:r w:rsidR="00B21975">
        <w:rPr>
          <w:rFonts w:ascii="Calibri" w:eastAsia="Calibri" w:hAnsi="Calibri" w:cs="Arial"/>
          <w:lang w:val="en-GB"/>
        </w:rPr>
        <w:t>d</w:t>
      </w:r>
      <w:r w:rsidR="00487869" w:rsidRPr="00487869">
        <w:rPr>
          <w:rFonts w:ascii="Calibri" w:eastAsia="Calibri" w:hAnsi="Calibri" w:cs="Arial"/>
          <w:lang w:val="en-GB"/>
        </w:rPr>
        <w:t xml:space="preserve">raft resolution on </w:t>
      </w:r>
      <w:r w:rsidR="00487869" w:rsidRPr="00901A0E">
        <w:rPr>
          <w:rFonts w:ascii="Calibri" w:eastAsia="Calibri" w:hAnsi="Calibri" w:cs="Arial"/>
          <w:i/>
          <w:iCs/>
          <w:lang w:val="en-GB"/>
        </w:rPr>
        <w:t>establishment of the Waterbird Estimates Partnership and delivery of the 2027 edition of Waterbird Population Estimates</w:t>
      </w:r>
      <w:r w:rsidR="00487869" w:rsidRPr="00487869">
        <w:rPr>
          <w:rFonts w:ascii="Calibri" w:eastAsia="Calibri" w:hAnsi="Calibri" w:cs="Arial"/>
          <w:lang w:val="en-GB"/>
        </w:rPr>
        <w:t xml:space="preserve"> (</w:t>
      </w:r>
      <w:r w:rsidR="00FA3A01" w:rsidRPr="00FA3A01">
        <w:rPr>
          <w:rFonts w:ascii="Calibri" w:eastAsia="Calibri" w:hAnsi="Calibri" w:cs="Arial"/>
          <w:lang w:val="en-GB"/>
        </w:rPr>
        <w:t>COP15 Doc.23.11</w:t>
      </w:r>
      <w:r w:rsidR="00FA3A01">
        <w:rPr>
          <w:rStyle w:val="FootnoteReference"/>
          <w:rFonts w:ascii="Calibri" w:eastAsia="Calibri" w:hAnsi="Calibri" w:cs="Arial"/>
          <w:lang w:val="en-GB"/>
        </w:rPr>
        <w:footnoteReference w:id="10"/>
      </w:r>
      <w:r w:rsidR="00487869" w:rsidRPr="00487869">
        <w:rPr>
          <w:rFonts w:ascii="Calibri" w:eastAsia="Calibri" w:hAnsi="Calibri" w:cs="Arial"/>
          <w:lang w:val="en-GB"/>
        </w:rPr>
        <w:t>)</w:t>
      </w:r>
      <w:r w:rsidR="00901A0E">
        <w:rPr>
          <w:rFonts w:ascii="Calibri" w:eastAsia="Calibri" w:hAnsi="Calibri" w:cs="Arial"/>
          <w:lang w:val="en-GB"/>
        </w:rPr>
        <w:t xml:space="preserve"> </w:t>
      </w:r>
      <w:r w:rsidR="003207C4">
        <w:rPr>
          <w:rFonts w:ascii="Calibri" w:eastAsia="Calibri" w:hAnsi="Calibri" w:cs="Arial"/>
          <w:lang w:val="en-GB"/>
        </w:rPr>
        <w:t>(Task 1.1c</w:t>
      </w:r>
      <w:r w:rsidR="001671B0">
        <w:rPr>
          <w:rFonts w:ascii="Calibri" w:eastAsia="Calibri" w:hAnsi="Calibri" w:cs="Arial"/>
          <w:lang w:val="en-GB"/>
        </w:rPr>
        <w:t>); and</w:t>
      </w:r>
    </w:p>
    <w:p w14:paraId="58366AFB" w14:textId="6FC76791" w:rsidR="00B07EA2" w:rsidRPr="00C7093B" w:rsidRDefault="003127CB" w:rsidP="006C68FF">
      <w:pPr>
        <w:suppressLineNumbers/>
        <w:suppressAutoHyphens/>
        <w:spacing w:line="240" w:lineRule="auto"/>
        <w:ind w:left="850" w:hanging="432"/>
        <w:contextualSpacing/>
        <w:rPr>
          <w:rFonts w:ascii="Calibri" w:eastAsia="Calibri" w:hAnsi="Calibri" w:cs="Arial"/>
          <w:lang w:val="en-GB"/>
        </w:rPr>
      </w:pPr>
      <w:r>
        <w:rPr>
          <w:rFonts w:ascii="Calibri" w:eastAsia="Calibri" w:hAnsi="Calibri" w:cs="Arial"/>
          <w:lang w:val="en-GB"/>
        </w:rPr>
        <w:t>d</w:t>
      </w:r>
      <w:r w:rsidR="00365CB9">
        <w:rPr>
          <w:rFonts w:ascii="Calibri" w:eastAsia="Calibri" w:hAnsi="Calibri" w:cs="Arial"/>
          <w:lang w:val="en-GB"/>
        </w:rPr>
        <w:t>.</w:t>
      </w:r>
      <w:r w:rsidR="00365CB9">
        <w:rPr>
          <w:rFonts w:ascii="Calibri" w:eastAsia="Calibri" w:hAnsi="Calibri" w:cs="Arial"/>
          <w:lang w:val="en-GB"/>
        </w:rPr>
        <w:tab/>
        <w:t xml:space="preserve">Submitted a proposal to the </w:t>
      </w:r>
      <w:r w:rsidR="001671B0">
        <w:rPr>
          <w:rFonts w:ascii="Calibri" w:eastAsia="Calibri" w:hAnsi="Calibri" w:cs="Arial"/>
          <w:lang w:val="en-GB"/>
        </w:rPr>
        <w:t>Sub</w:t>
      </w:r>
      <w:r w:rsidR="00365CB9">
        <w:rPr>
          <w:rFonts w:ascii="Calibri" w:eastAsia="Calibri" w:hAnsi="Calibri" w:cs="Arial"/>
          <w:lang w:val="en-GB"/>
        </w:rPr>
        <w:t xml:space="preserve">group on </w:t>
      </w:r>
      <w:r w:rsidR="001671B0">
        <w:rPr>
          <w:rFonts w:ascii="Calibri" w:eastAsia="Calibri" w:hAnsi="Calibri" w:cs="Arial"/>
          <w:lang w:val="en-GB"/>
        </w:rPr>
        <w:t>F</w:t>
      </w:r>
      <w:r w:rsidR="00365CB9">
        <w:rPr>
          <w:rFonts w:ascii="Calibri" w:eastAsia="Calibri" w:hAnsi="Calibri" w:cs="Arial"/>
          <w:lang w:val="en-GB"/>
        </w:rPr>
        <w:t xml:space="preserve">inance for </w:t>
      </w:r>
      <w:r w:rsidR="006C68FF">
        <w:rPr>
          <w:rFonts w:ascii="Calibri" w:eastAsia="Calibri" w:hAnsi="Calibri" w:cs="Arial"/>
          <w:lang w:val="en-GB"/>
        </w:rPr>
        <w:t>f</w:t>
      </w:r>
      <w:r w:rsidR="006C68FF" w:rsidRPr="006C68FF">
        <w:rPr>
          <w:rFonts w:ascii="Calibri" w:eastAsia="Calibri" w:hAnsi="Calibri" w:cs="Arial"/>
          <w:lang w:val="en-GB"/>
        </w:rPr>
        <w:t>inancing the establishment of the Waterbirds Estimates Partnership and delivery of the 2027 edition of Waterbird Population Estimates (WPE2027)</w:t>
      </w:r>
      <w:r w:rsidR="003207C4">
        <w:rPr>
          <w:rFonts w:ascii="Calibri" w:eastAsia="Calibri" w:hAnsi="Calibri" w:cs="Arial"/>
          <w:lang w:val="en-GB"/>
        </w:rPr>
        <w:t xml:space="preserve"> </w:t>
      </w:r>
      <w:r w:rsidR="006C68FF">
        <w:rPr>
          <w:rFonts w:ascii="Calibri" w:eastAsia="Calibri" w:hAnsi="Calibri" w:cs="Arial"/>
          <w:lang w:val="en-GB"/>
        </w:rPr>
        <w:t>(</w:t>
      </w:r>
      <w:r w:rsidR="00FA3A01" w:rsidRPr="00FA3A01">
        <w:rPr>
          <w:rFonts w:ascii="Calibri" w:eastAsia="Calibri" w:hAnsi="Calibri" w:cs="Arial"/>
          <w:lang w:val="en-GB"/>
        </w:rPr>
        <w:t>Annex 5, SC64 Doc.18</w:t>
      </w:r>
      <w:r w:rsidR="00FA3A01">
        <w:rPr>
          <w:rStyle w:val="FootnoteReference"/>
          <w:rFonts w:ascii="Calibri" w:eastAsia="Calibri" w:hAnsi="Calibri" w:cs="Arial"/>
          <w:lang w:val="en-GB"/>
        </w:rPr>
        <w:footnoteReference w:id="11"/>
      </w:r>
      <w:r w:rsidR="00B21975">
        <w:rPr>
          <w:rFonts w:ascii="Calibri" w:eastAsia="Calibri" w:hAnsi="Calibri" w:cs="Arial"/>
          <w:lang w:val="en-GB"/>
        </w:rPr>
        <w:t xml:space="preserve">) </w:t>
      </w:r>
      <w:r w:rsidR="003207C4">
        <w:rPr>
          <w:rFonts w:ascii="Calibri" w:eastAsia="Calibri" w:hAnsi="Calibri" w:cs="Arial"/>
          <w:lang w:val="en-GB"/>
        </w:rPr>
        <w:t>(Task 1.1c)</w:t>
      </w:r>
      <w:r w:rsidR="00B21975">
        <w:rPr>
          <w:rFonts w:ascii="Calibri" w:eastAsia="Calibri" w:hAnsi="Calibri" w:cs="Arial"/>
          <w:lang w:val="en-GB"/>
        </w:rPr>
        <w:t>.</w:t>
      </w:r>
    </w:p>
    <w:p w14:paraId="6232E95D" w14:textId="77777777" w:rsidR="00F543D2" w:rsidRPr="00F543D2" w:rsidRDefault="00F543D2" w:rsidP="00F543D2">
      <w:pPr>
        <w:spacing w:line="240" w:lineRule="auto"/>
        <w:ind w:left="426" w:hanging="426"/>
        <w:rPr>
          <w:rFonts w:cs="Times New Roman"/>
          <w:lang w:val="en-GB"/>
        </w:rPr>
      </w:pPr>
    </w:p>
    <w:p w14:paraId="1BB1458B" w14:textId="6D50B635" w:rsidR="00C7093B" w:rsidRDefault="002A18EF" w:rsidP="00233D4F">
      <w:pPr>
        <w:spacing w:line="240" w:lineRule="auto"/>
        <w:ind w:left="426" w:hanging="426"/>
        <w:rPr>
          <w:rFonts w:cs="Times New Roman"/>
          <w:lang w:val="en-GB"/>
        </w:rPr>
      </w:pPr>
      <w:r>
        <w:rPr>
          <w:rFonts w:cs="Times New Roman"/>
          <w:lang w:val="en-GB"/>
        </w:rPr>
        <w:t>7</w:t>
      </w:r>
      <w:r w:rsidR="00F543D2" w:rsidRPr="00F543D2">
        <w:rPr>
          <w:rFonts w:cs="Times New Roman"/>
          <w:lang w:val="en-GB"/>
        </w:rPr>
        <w:t>.</w:t>
      </w:r>
      <w:r w:rsidR="00F543D2" w:rsidRPr="00F543D2">
        <w:rPr>
          <w:rFonts w:cs="Times New Roman"/>
          <w:lang w:val="en-GB"/>
        </w:rPr>
        <w:tab/>
        <w:t xml:space="preserve">Under TWA2: </w:t>
      </w:r>
      <w:r w:rsidR="00233D4F" w:rsidRPr="00735CE8">
        <w:rPr>
          <w:rFonts w:cs="Times New Roman"/>
          <w:i/>
          <w:iCs/>
          <w:lang w:val="en-GB"/>
        </w:rPr>
        <w:t>Tools for wetland assessment, mapping and monitoring, and development of inventories</w:t>
      </w:r>
      <w:r w:rsidR="00233D4F">
        <w:rPr>
          <w:rFonts w:cs="Times New Roman"/>
          <w:lang w:val="en-GB"/>
        </w:rPr>
        <w:t xml:space="preserve">, </w:t>
      </w:r>
      <w:r w:rsidR="00F543D2" w:rsidRPr="00F543D2">
        <w:rPr>
          <w:rFonts w:cs="Times New Roman"/>
          <w:lang w:val="en-GB"/>
        </w:rPr>
        <w:t xml:space="preserve">the STRP: </w:t>
      </w:r>
    </w:p>
    <w:p w14:paraId="260DF09D" w14:textId="2906BD13" w:rsidR="00C7093B" w:rsidRPr="00C7093B" w:rsidRDefault="00C7093B" w:rsidP="00C7093B">
      <w:pPr>
        <w:suppressLineNumbers/>
        <w:suppressAutoHyphens/>
        <w:spacing w:line="240" w:lineRule="auto"/>
        <w:ind w:left="850" w:hanging="432"/>
        <w:contextualSpacing/>
        <w:rPr>
          <w:rFonts w:ascii="Calibri" w:eastAsia="Calibri" w:hAnsi="Calibri" w:cs="Arial"/>
          <w:lang w:val="en-GB"/>
        </w:rPr>
      </w:pPr>
      <w:r w:rsidRPr="00C7093B">
        <w:rPr>
          <w:rFonts w:ascii="Calibri" w:eastAsia="Calibri" w:hAnsi="Calibri" w:cs="Arial"/>
          <w:lang w:val="en-GB"/>
        </w:rPr>
        <w:t>a</w:t>
      </w:r>
      <w:r w:rsidR="00F543D2" w:rsidRPr="00C7093B">
        <w:rPr>
          <w:rFonts w:ascii="Calibri" w:eastAsia="Calibri" w:hAnsi="Calibri" w:cs="Arial"/>
          <w:lang w:val="en-GB"/>
        </w:rPr>
        <w:t>.</w:t>
      </w:r>
      <w:r w:rsidRPr="00C7093B">
        <w:rPr>
          <w:rFonts w:ascii="Calibri" w:eastAsia="Calibri" w:hAnsi="Calibri" w:cs="Arial"/>
          <w:lang w:val="en-GB"/>
        </w:rPr>
        <w:tab/>
      </w:r>
      <w:r w:rsidR="00F543D2" w:rsidRPr="00C7093B">
        <w:rPr>
          <w:rFonts w:ascii="Calibri" w:eastAsia="Calibri" w:hAnsi="Calibri" w:cs="Arial"/>
          <w:lang w:val="en-GB"/>
        </w:rPr>
        <w:t xml:space="preserve">Developed technical guidance on </w:t>
      </w:r>
      <w:r w:rsidR="005E3A4C">
        <w:rPr>
          <w:rFonts w:ascii="Calibri" w:eastAsia="Calibri" w:hAnsi="Calibri" w:cs="Arial"/>
          <w:lang w:val="en-GB"/>
        </w:rPr>
        <w:t xml:space="preserve">the application of </w:t>
      </w:r>
      <w:r w:rsidR="001671B0">
        <w:rPr>
          <w:rFonts w:ascii="Calibri" w:eastAsia="Calibri" w:hAnsi="Calibri" w:cs="Arial"/>
          <w:lang w:val="en-GB"/>
        </w:rPr>
        <w:t xml:space="preserve">national wetland inventories </w:t>
      </w:r>
      <w:r w:rsidR="005E3A4C">
        <w:rPr>
          <w:rFonts w:ascii="Calibri" w:eastAsia="Calibri" w:hAnsi="Calibri" w:cs="Arial"/>
          <w:lang w:val="en-GB"/>
        </w:rPr>
        <w:t xml:space="preserve">(NWI) for </w:t>
      </w:r>
      <w:r w:rsidR="00F543D2" w:rsidRPr="00C7093B">
        <w:rPr>
          <w:rFonts w:ascii="Calibri" w:eastAsia="Calibri" w:hAnsi="Calibri" w:cs="Arial"/>
          <w:lang w:val="en-GB"/>
        </w:rPr>
        <w:t>wetland mapping for carbon assessments</w:t>
      </w:r>
      <w:r w:rsidR="003207C4">
        <w:rPr>
          <w:rFonts w:ascii="Calibri" w:eastAsia="Calibri" w:hAnsi="Calibri" w:cs="Arial"/>
          <w:lang w:val="en-GB"/>
        </w:rPr>
        <w:t xml:space="preserve"> (Task 2.1)</w:t>
      </w:r>
      <w:r w:rsidR="00735CE8">
        <w:rPr>
          <w:rFonts w:ascii="Calibri" w:eastAsia="Calibri" w:hAnsi="Calibri" w:cs="Arial"/>
          <w:lang w:val="en-GB"/>
        </w:rPr>
        <w:t>; and</w:t>
      </w:r>
    </w:p>
    <w:p w14:paraId="4C0140CF" w14:textId="0290389B" w:rsidR="00C7093B" w:rsidRPr="00C7093B" w:rsidRDefault="00C7093B" w:rsidP="00C7093B">
      <w:pPr>
        <w:suppressLineNumbers/>
        <w:suppressAutoHyphens/>
        <w:spacing w:line="240" w:lineRule="auto"/>
        <w:ind w:left="850" w:hanging="432"/>
        <w:contextualSpacing/>
        <w:rPr>
          <w:rFonts w:ascii="Calibri" w:eastAsia="Calibri" w:hAnsi="Calibri" w:cs="Arial"/>
          <w:lang w:val="en-GB"/>
        </w:rPr>
      </w:pPr>
      <w:r w:rsidRPr="00C7093B">
        <w:rPr>
          <w:rFonts w:ascii="Calibri" w:eastAsia="Calibri" w:hAnsi="Calibri" w:cs="Arial"/>
          <w:lang w:val="en-GB"/>
        </w:rPr>
        <w:t>b</w:t>
      </w:r>
      <w:r w:rsidR="00F543D2" w:rsidRPr="00C7093B">
        <w:rPr>
          <w:rFonts w:ascii="Calibri" w:eastAsia="Calibri" w:hAnsi="Calibri" w:cs="Arial"/>
          <w:lang w:val="en-GB"/>
        </w:rPr>
        <w:t>.</w:t>
      </w:r>
      <w:r w:rsidRPr="00C7093B">
        <w:rPr>
          <w:rFonts w:ascii="Calibri" w:eastAsia="Calibri" w:hAnsi="Calibri" w:cs="Arial"/>
          <w:lang w:val="en-GB"/>
        </w:rPr>
        <w:tab/>
      </w:r>
      <w:r w:rsidR="00F543D2" w:rsidRPr="00C7093B">
        <w:rPr>
          <w:rFonts w:ascii="Calibri" w:eastAsia="Calibri" w:hAnsi="Calibri" w:cs="Arial"/>
          <w:lang w:val="en-GB"/>
        </w:rPr>
        <w:t xml:space="preserve">Prepared a </w:t>
      </w:r>
      <w:r w:rsidR="00FA3A01" w:rsidRPr="00FA3A01">
        <w:rPr>
          <w:rFonts w:ascii="Calibri" w:eastAsia="Calibri" w:hAnsi="Calibri" w:cs="Arial"/>
          <w:lang w:val="en-GB"/>
        </w:rPr>
        <w:t>Policy Brief</w:t>
      </w:r>
      <w:r w:rsidR="00F543D2" w:rsidRPr="00C7093B">
        <w:rPr>
          <w:rFonts w:ascii="Calibri" w:eastAsia="Calibri" w:hAnsi="Calibri" w:cs="Arial"/>
          <w:lang w:val="en-GB"/>
        </w:rPr>
        <w:t xml:space="preserve"> on small wetlands</w:t>
      </w:r>
      <w:r w:rsidR="00FA3A01">
        <w:rPr>
          <w:rStyle w:val="FootnoteReference"/>
          <w:rFonts w:ascii="Calibri" w:eastAsia="Calibri" w:hAnsi="Calibri" w:cs="Arial"/>
          <w:lang w:val="en-GB"/>
        </w:rPr>
        <w:footnoteReference w:id="12"/>
      </w:r>
      <w:r w:rsidR="00F543D2" w:rsidRPr="00C7093B">
        <w:rPr>
          <w:rFonts w:ascii="Calibri" w:eastAsia="Calibri" w:hAnsi="Calibri" w:cs="Arial"/>
          <w:lang w:val="en-GB"/>
        </w:rPr>
        <w:t>, highlighting their ecological value and need for targeted monitoring and protection</w:t>
      </w:r>
      <w:r w:rsidR="003207C4">
        <w:rPr>
          <w:rFonts w:ascii="Calibri" w:eastAsia="Calibri" w:hAnsi="Calibri" w:cs="Arial"/>
          <w:lang w:val="en-GB"/>
        </w:rPr>
        <w:t xml:space="preserve"> (</w:t>
      </w:r>
      <w:r w:rsidR="009C683F" w:rsidRPr="009C683F">
        <w:rPr>
          <w:rFonts w:ascii="Calibri" w:eastAsia="Calibri" w:hAnsi="Calibri" w:cs="Arial"/>
          <w:lang w:val="en-GB"/>
        </w:rPr>
        <w:t>Task 2.2</w:t>
      </w:r>
      <w:r w:rsidR="003207C4">
        <w:rPr>
          <w:rFonts w:ascii="Calibri" w:eastAsia="Calibri" w:hAnsi="Calibri" w:cs="Arial"/>
          <w:lang w:val="en-GB"/>
        </w:rPr>
        <w:t>)</w:t>
      </w:r>
      <w:r w:rsidR="006421B9">
        <w:rPr>
          <w:rFonts w:ascii="Calibri" w:eastAsia="Calibri" w:hAnsi="Calibri" w:cs="Arial"/>
          <w:lang w:val="en-GB"/>
        </w:rPr>
        <w:t>.</w:t>
      </w:r>
    </w:p>
    <w:p w14:paraId="57D7A2D8" w14:textId="77777777" w:rsidR="00C7093B" w:rsidRDefault="00C7093B" w:rsidP="00F543D2">
      <w:pPr>
        <w:spacing w:line="240" w:lineRule="auto"/>
        <w:ind w:left="426" w:hanging="426"/>
        <w:rPr>
          <w:rFonts w:cs="Times New Roman"/>
          <w:lang w:val="en-GB"/>
        </w:rPr>
      </w:pPr>
    </w:p>
    <w:p w14:paraId="4F2EEC51" w14:textId="3FAA8AF1" w:rsidR="00C7093B" w:rsidRDefault="002A18EF" w:rsidP="00233D4F">
      <w:pPr>
        <w:spacing w:line="240" w:lineRule="auto"/>
        <w:ind w:left="426" w:hanging="426"/>
        <w:rPr>
          <w:rFonts w:cs="Times New Roman"/>
          <w:lang w:val="en-GB"/>
        </w:rPr>
      </w:pPr>
      <w:r>
        <w:rPr>
          <w:rFonts w:cs="Times New Roman"/>
          <w:lang w:val="en-GB"/>
        </w:rPr>
        <w:t>8</w:t>
      </w:r>
      <w:r w:rsidR="00C7093B">
        <w:rPr>
          <w:rFonts w:cs="Times New Roman"/>
          <w:lang w:val="en-GB"/>
        </w:rPr>
        <w:t>.</w:t>
      </w:r>
      <w:r w:rsidR="00C7093B">
        <w:rPr>
          <w:rFonts w:cs="Times New Roman"/>
          <w:lang w:val="en-GB"/>
        </w:rPr>
        <w:tab/>
      </w:r>
      <w:r w:rsidR="00F543D2" w:rsidRPr="00F543D2">
        <w:rPr>
          <w:rFonts w:cs="Times New Roman"/>
          <w:lang w:val="en-GB"/>
        </w:rPr>
        <w:t xml:space="preserve">Under TWA3: </w:t>
      </w:r>
      <w:r w:rsidR="00233D4F" w:rsidRPr="00735CE8">
        <w:rPr>
          <w:rFonts w:cs="Times New Roman"/>
          <w:i/>
          <w:iCs/>
          <w:lang w:val="en-GB"/>
        </w:rPr>
        <w:t>Direct and climate-change-related pressures on wetlands, their impacts and responses</w:t>
      </w:r>
      <w:r w:rsidR="00F543D2" w:rsidRPr="00F543D2">
        <w:rPr>
          <w:rFonts w:cs="Times New Roman"/>
          <w:lang w:val="en-GB"/>
        </w:rPr>
        <w:t xml:space="preserve">, the </w:t>
      </w:r>
      <w:r w:rsidR="00233D4F">
        <w:rPr>
          <w:rFonts w:cs="Times New Roman"/>
          <w:lang w:val="en-GB"/>
        </w:rPr>
        <w:t>STRP</w:t>
      </w:r>
      <w:r w:rsidR="00F543D2" w:rsidRPr="00F543D2">
        <w:rPr>
          <w:rFonts w:cs="Times New Roman"/>
          <w:lang w:val="en-GB"/>
        </w:rPr>
        <w:t xml:space="preserve">: </w:t>
      </w:r>
    </w:p>
    <w:p w14:paraId="444A28DD" w14:textId="71D83659" w:rsidR="00C217A4" w:rsidRDefault="00F8165E" w:rsidP="00F8165E">
      <w:pPr>
        <w:suppressLineNumbers/>
        <w:suppressAutoHyphens/>
        <w:spacing w:line="240" w:lineRule="auto"/>
        <w:ind w:left="850" w:hanging="432"/>
        <w:contextualSpacing/>
        <w:rPr>
          <w:rFonts w:ascii="Calibri" w:eastAsia="Calibri" w:hAnsi="Calibri" w:cs="Arial"/>
          <w:lang w:val="en-GB"/>
        </w:rPr>
      </w:pPr>
      <w:r>
        <w:rPr>
          <w:rFonts w:cs="Times New Roman"/>
          <w:lang w:val="en-GB"/>
        </w:rPr>
        <w:t>a</w:t>
      </w:r>
      <w:r w:rsidR="00F543D2" w:rsidRPr="00F543D2">
        <w:rPr>
          <w:rFonts w:cs="Times New Roman"/>
          <w:lang w:val="en-GB"/>
        </w:rPr>
        <w:t>.</w:t>
      </w:r>
      <w:r w:rsidR="00F543D2" w:rsidRPr="00F8165E">
        <w:rPr>
          <w:rFonts w:ascii="Calibri" w:eastAsia="Calibri" w:hAnsi="Calibri" w:cs="Arial"/>
          <w:lang w:val="en-GB"/>
        </w:rPr>
        <w:tab/>
      </w:r>
      <w:r w:rsidR="00C217A4">
        <w:rPr>
          <w:rFonts w:ascii="Calibri" w:eastAsia="Calibri" w:hAnsi="Calibri" w:cs="Arial"/>
          <w:lang w:val="en-GB"/>
        </w:rPr>
        <w:t xml:space="preserve">Prepared a Technical Report on the role of </w:t>
      </w:r>
      <w:r w:rsidR="00C217A4" w:rsidRPr="00F8165E">
        <w:rPr>
          <w:rFonts w:ascii="Calibri" w:eastAsia="Calibri" w:hAnsi="Calibri" w:cs="Arial"/>
          <w:lang w:val="en-GB"/>
        </w:rPr>
        <w:t>blue carbon ecosystems</w:t>
      </w:r>
      <w:r w:rsidR="00C217A4">
        <w:rPr>
          <w:rFonts w:ascii="Calibri" w:eastAsia="Calibri" w:hAnsi="Calibri" w:cs="Arial"/>
          <w:lang w:val="en-GB"/>
        </w:rPr>
        <w:t xml:space="preserve"> in carbon storage and mitigation (Task 3.2)</w:t>
      </w:r>
      <w:r w:rsidR="00735CE8">
        <w:rPr>
          <w:rFonts w:ascii="Calibri" w:eastAsia="Calibri" w:hAnsi="Calibri" w:cs="Arial"/>
          <w:lang w:val="en-GB"/>
        </w:rPr>
        <w:t>;</w:t>
      </w:r>
    </w:p>
    <w:p w14:paraId="7E9623E7" w14:textId="0EA9DC57" w:rsidR="003207C4" w:rsidRDefault="00C217A4" w:rsidP="00F8165E">
      <w:pPr>
        <w:suppressLineNumbers/>
        <w:suppressAutoHyphens/>
        <w:spacing w:line="240" w:lineRule="auto"/>
        <w:ind w:left="850" w:hanging="432"/>
        <w:contextualSpacing/>
        <w:rPr>
          <w:rFonts w:ascii="Calibri" w:eastAsia="Calibri" w:hAnsi="Calibri" w:cs="Arial"/>
          <w:lang w:val="en-GB"/>
        </w:rPr>
      </w:pPr>
      <w:r>
        <w:rPr>
          <w:rFonts w:ascii="Calibri" w:eastAsia="Calibri" w:hAnsi="Calibri" w:cs="Arial"/>
          <w:lang w:val="en-GB"/>
        </w:rPr>
        <w:t>b.</w:t>
      </w:r>
      <w:r>
        <w:rPr>
          <w:rFonts w:ascii="Calibri" w:eastAsia="Calibri" w:hAnsi="Calibri" w:cs="Arial"/>
          <w:lang w:val="en-GB"/>
        </w:rPr>
        <w:tab/>
      </w:r>
      <w:r w:rsidR="00FC1E4F">
        <w:rPr>
          <w:rFonts w:ascii="Calibri" w:eastAsia="Calibri" w:hAnsi="Calibri" w:cs="Arial"/>
          <w:lang w:val="en-GB"/>
        </w:rPr>
        <w:t xml:space="preserve">Prepared a </w:t>
      </w:r>
      <w:r w:rsidR="007828CD">
        <w:rPr>
          <w:rFonts w:ascii="Calibri" w:eastAsia="Calibri" w:hAnsi="Calibri" w:cs="Arial"/>
          <w:lang w:val="en-GB"/>
        </w:rPr>
        <w:t xml:space="preserve">Technical Report and Policy Brief </w:t>
      </w:r>
      <w:r w:rsidR="00B8358D" w:rsidRPr="006520C9">
        <w:rPr>
          <w:rFonts w:ascii="Calibri" w:eastAsia="Calibri" w:hAnsi="Calibri" w:cs="Arial"/>
          <w:lang w:val="en-GB"/>
        </w:rPr>
        <w:t>on wetlands and agriculture, focusing on restoration and wise use in agricultural landscapes, developed in partnership with FAO</w:t>
      </w:r>
      <w:r w:rsidR="00013DAB">
        <w:rPr>
          <w:rFonts w:ascii="Calibri" w:eastAsia="Calibri" w:hAnsi="Calibri" w:cs="Arial"/>
          <w:lang w:val="en-GB"/>
        </w:rPr>
        <w:t xml:space="preserve"> </w:t>
      </w:r>
      <w:r w:rsidR="00013DAB" w:rsidRPr="006520C9">
        <w:rPr>
          <w:rFonts w:ascii="Calibri" w:eastAsia="Calibri" w:hAnsi="Calibri" w:cs="Arial"/>
          <w:lang w:val="en-GB"/>
        </w:rPr>
        <w:t>(Task 3.3)</w:t>
      </w:r>
      <w:r w:rsidR="00735CE8">
        <w:rPr>
          <w:rFonts w:ascii="Calibri" w:eastAsia="Calibri" w:hAnsi="Calibri" w:cs="Arial"/>
          <w:lang w:val="en-GB"/>
        </w:rPr>
        <w:t>; and</w:t>
      </w:r>
    </w:p>
    <w:p w14:paraId="3C89F22B" w14:textId="52A36EEC" w:rsidR="00C7093B" w:rsidRPr="00F8165E" w:rsidRDefault="00C217A4" w:rsidP="00F8165E">
      <w:pPr>
        <w:suppressLineNumbers/>
        <w:suppressAutoHyphens/>
        <w:spacing w:line="240" w:lineRule="auto"/>
        <w:ind w:left="850" w:hanging="432"/>
        <w:contextualSpacing/>
        <w:rPr>
          <w:rFonts w:ascii="Calibri" w:eastAsia="Calibri" w:hAnsi="Calibri" w:cs="Arial"/>
          <w:lang w:val="en-GB"/>
        </w:rPr>
      </w:pPr>
      <w:r>
        <w:rPr>
          <w:rFonts w:ascii="Calibri" w:eastAsia="Calibri" w:hAnsi="Calibri" w:cs="Arial"/>
          <w:lang w:val="en-GB"/>
        </w:rPr>
        <w:t>c</w:t>
      </w:r>
      <w:r w:rsidR="00F543D2" w:rsidRPr="00F8165E">
        <w:rPr>
          <w:rFonts w:ascii="Calibri" w:eastAsia="Calibri" w:hAnsi="Calibri" w:cs="Arial"/>
          <w:lang w:val="en-GB"/>
        </w:rPr>
        <w:t>.</w:t>
      </w:r>
      <w:r w:rsidR="00F8165E" w:rsidRPr="00F8165E">
        <w:rPr>
          <w:rFonts w:ascii="Calibri" w:eastAsia="Calibri" w:hAnsi="Calibri" w:cs="Arial"/>
          <w:lang w:val="en-GB"/>
        </w:rPr>
        <w:tab/>
      </w:r>
      <w:r w:rsidR="00F543D2" w:rsidRPr="00F8165E">
        <w:rPr>
          <w:rFonts w:ascii="Calibri" w:eastAsia="Calibri" w:hAnsi="Calibri" w:cs="Arial"/>
          <w:lang w:val="en-GB"/>
        </w:rPr>
        <w:t>Co-</w:t>
      </w:r>
      <w:r w:rsidR="00035943" w:rsidRPr="00F8165E">
        <w:rPr>
          <w:rFonts w:ascii="Calibri" w:eastAsia="Calibri" w:hAnsi="Calibri" w:cs="Arial"/>
          <w:lang w:val="en-GB"/>
        </w:rPr>
        <w:t>organi</w:t>
      </w:r>
      <w:r w:rsidR="00035943">
        <w:rPr>
          <w:rFonts w:ascii="Calibri" w:eastAsia="Calibri" w:hAnsi="Calibri" w:cs="Arial"/>
          <w:lang w:val="en-GB"/>
        </w:rPr>
        <w:t>z</w:t>
      </w:r>
      <w:r w:rsidR="00035943" w:rsidRPr="00F8165E">
        <w:rPr>
          <w:rFonts w:ascii="Calibri" w:eastAsia="Calibri" w:hAnsi="Calibri" w:cs="Arial"/>
          <w:lang w:val="en-GB"/>
        </w:rPr>
        <w:t xml:space="preserve">ed </w:t>
      </w:r>
      <w:r w:rsidR="00F543D2" w:rsidRPr="00F8165E">
        <w:rPr>
          <w:rFonts w:ascii="Calibri" w:eastAsia="Calibri" w:hAnsi="Calibri" w:cs="Arial"/>
          <w:lang w:val="en-GB"/>
        </w:rPr>
        <w:t xml:space="preserve">a workshop with FAO and contributed to a </w:t>
      </w:r>
      <w:r w:rsidR="00FA3A01" w:rsidRPr="00FA3A01">
        <w:rPr>
          <w:rFonts w:ascii="Calibri" w:eastAsia="Calibri" w:hAnsi="Calibri" w:cs="Arial"/>
          <w:lang w:val="en-GB"/>
        </w:rPr>
        <w:t>e-learning module</w:t>
      </w:r>
      <w:r w:rsidR="00FA3A01">
        <w:rPr>
          <w:rStyle w:val="FootnoteReference"/>
          <w:rFonts w:ascii="Calibri" w:eastAsia="Calibri" w:hAnsi="Calibri" w:cs="Arial"/>
          <w:lang w:val="en-GB"/>
        </w:rPr>
        <w:footnoteReference w:id="13"/>
      </w:r>
      <w:r w:rsidR="00F543D2" w:rsidRPr="00F8165E">
        <w:rPr>
          <w:rFonts w:ascii="Calibri" w:eastAsia="Calibri" w:hAnsi="Calibri" w:cs="Arial"/>
          <w:lang w:val="en-GB"/>
        </w:rPr>
        <w:t xml:space="preserve"> and related technical products</w:t>
      </w:r>
      <w:r w:rsidR="00220495">
        <w:rPr>
          <w:rFonts w:ascii="Calibri" w:eastAsia="Calibri" w:hAnsi="Calibri" w:cs="Arial"/>
          <w:lang w:val="en-GB"/>
        </w:rPr>
        <w:t xml:space="preserve"> (Task 3.3)</w:t>
      </w:r>
      <w:r w:rsidR="00F543D2" w:rsidRPr="00F8165E">
        <w:rPr>
          <w:rFonts w:ascii="Calibri" w:eastAsia="Calibri" w:hAnsi="Calibri" w:cs="Arial"/>
          <w:lang w:val="en-GB"/>
        </w:rPr>
        <w:t xml:space="preserve">. </w:t>
      </w:r>
    </w:p>
    <w:p w14:paraId="3D9D51A2" w14:textId="77777777" w:rsidR="00C7093B" w:rsidRDefault="00C7093B" w:rsidP="00F543D2">
      <w:pPr>
        <w:spacing w:line="240" w:lineRule="auto"/>
        <w:ind w:left="426" w:hanging="426"/>
        <w:rPr>
          <w:rFonts w:cs="Times New Roman"/>
          <w:lang w:val="en-GB"/>
        </w:rPr>
      </w:pPr>
    </w:p>
    <w:p w14:paraId="35116C82" w14:textId="1B10063C" w:rsidR="00C7093B" w:rsidRDefault="002A18EF" w:rsidP="00233D4F">
      <w:pPr>
        <w:spacing w:line="240" w:lineRule="auto"/>
        <w:ind w:left="426" w:hanging="426"/>
        <w:rPr>
          <w:rFonts w:cs="Times New Roman"/>
          <w:lang w:val="en-GB"/>
        </w:rPr>
      </w:pPr>
      <w:r>
        <w:rPr>
          <w:rFonts w:cs="Times New Roman"/>
          <w:lang w:val="en-GB"/>
        </w:rPr>
        <w:t>9</w:t>
      </w:r>
      <w:r w:rsidR="00F543D2" w:rsidRPr="00F543D2">
        <w:rPr>
          <w:rFonts w:cs="Times New Roman"/>
          <w:lang w:val="en-GB"/>
        </w:rPr>
        <w:t>.</w:t>
      </w:r>
      <w:r w:rsidR="00F8165E">
        <w:rPr>
          <w:rFonts w:cs="Times New Roman"/>
          <w:lang w:val="en-GB"/>
        </w:rPr>
        <w:tab/>
      </w:r>
      <w:r w:rsidR="00C7093B">
        <w:rPr>
          <w:rFonts w:cs="Times New Roman"/>
          <w:lang w:val="en-GB"/>
        </w:rPr>
        <w:t>Under</w:t>
      </w:r>
      <w:r w:rsidR="00F543D2" w:rsidRPr="00F543D2">
        <w:rPr>
          <w:rFonts w:cs="Times New Roman"/>
          <w:lang w:val="en-GB"/>
        </w:rPr>
        <w:t xml:space="preserve"> TWA4: </w:t>
      </w:r>
      <w:r w:rsidR="00233D4F" w:rsidRPr="00735CE8">
        <w:rPr>
          <w:rFonts w:cs="Times New Roman"/>
          <w:i/>
          <w:iCs/>
          <w:lang w:val="en-GB"/>
        </w:rPr>
        <w:t>Wise use, sustainable management and restoration of wetlands in the wider landscape/seascape</w:t>
      </w:r>
      <w:r w:rsidR="00F543D2" w:rsidRPr="00F543D2">
        <w:rPr>
          <w:rFonts w:cs="Times New Roman"/>
          <w:lang w:val="en-GB"/>
        </w:rPr>
        <w:t xml:space="preserve">, the STRP: </w:t>
      </w:r>
    </w:p>
    <w:p w14:paraId="5BD941BD" w14:textId="62E33F1B" w:rsidR="00C7093B" w:rsidRPr="00F8165E" w:rsidRDefault="00F8165E" w:rsidP="00F8165E">
      <w:pPr>
        <w:suppressLineNumbers/>
        <w:suppressAutoHyphens/>
        <w:spacing w:line="240" w:lineRule="auto"/>
        <w:ind w:left="850" w:hanging="432"/>
        <w:contextualSpacing/>
        <w:rPr>
          <w:rFonts w:ascii="Calibri" w:eastAsia="Calibri" w:hAnsi="Calibri" w:cs="Arial"/>
          <w:lang w:val="en-GB"/>
        </w:rPr>
      </w:pPr>
      <w:r>
        <w:rPr>
          <w:rFonts w:cs="Times New Roman"/>
          <w:lang w:val="en-GB"/>
        </w:rPr>
        <w:t>a</w:t>
      </w:r>
      <w:r w:rsidR="00F543D2" w:rsidRPr="00F543D2">
        <w:rPr>
          <w:rFonts w:cs="Times New Roman"/>
          <w:lang w:val="en-GB"/>
        </w:rPr>
        <w:t>.</w:t>
      </w:r>
      <w:r w:rsidR="00F543D2" w:rsidRPr="00F543D2">
        <w:rPr>
          <w:rFonts w:cs="Times New Roman"/>
          <w:lang w:val="en-GB"/>
        </w:rPr>
        <w:tab/>
      </w:r>
      <w:r w:rsidR="003120CA">
        <w:rPr>
          <w:rFonts w:ascii="Calibri" w:eastAsia="Calibri" w:hAnsi="Calibri" w:cs="Arial"/>
          <w:lang w:val="en-GB"/>
        </w:rPr>
        <w:t>Published a</w:t>
      </w:r>
      <w:r w:rsidR="00F543D2" w:rsidRPr="00F8165E">
        <w:rPr>
          <w:rFonts w:ascii="Calibri" w:eastAsia="Calibri" w:hAnsi="Calibri" w:cs="Arial"/>
          <w:lang w:val="en-GB"/>
        </w:rPr>
        <w:t xml:space="preserve"> </w:t>
      </w:r>
      <w:r w:rsidR="00FA3A01" w:rsidRPr="00FA3A01">
        <w:rPr>
          <w:rFonts w:ascii="Calibri" w:eastAsia="Calibri" w:hAnsi="Calibri" w:cs="Arial"/>
          <w:lang w:val="en-GB"/>
        </w:rPr>
        <w:t>Briefing Note</w:t>
      </w:r>
      <w:r w:rsidR="003D49CE" w:rsidRPr="00F8165E">
        <w:rPr>
          <w:rFonts w:ascii="Calibri" w:eastAsia="Calibri" w:hAnsi="Calibri" w:cs="Arial"/>
          <w:lang w:val="en-GB"/>
        </w:rPr>
        <w:t xml:space="preserve"> </w:t>
      </w:r>
      <w:r w:rsidR="00F543D2" w:rsidRPr="00F8165E">
        <w:rPr>
          <w:rFonts w:ascii="Calibri" w:eastAsia="Calibri" w:hAnsi="Calibri" w:cs="Arial"/>
          <w:lang w:val="en-GB"/>
        </w:rPr>
        <w:t xml:space="preserve">on </w:t>
      </w:r>
      <w:r w:rsidR="00200EAD" w:rsidRPr="00200EAD">
        <w:rPr>
          <w:rFonts w:ascii="Calibri" w:eastAsia="Calibri" w:hAnsi="Calibri" w:cs="Arial"/>
          <w:lang w:val="en-GB"/>
        </w:rPr>
        <w:t>Other effective area-based conservation measures (OECMs)</w:t>
      </w:r>
      <w:r w:rsidR="00FA3A01">
        <w:rPr>
          <w:rStyle w:val="FootnoteReference"/>
          <w:rFonts w:ascii="Calibri" w:eastAsia="Calibri" w:hAnsi="Calibri" w:cs="Arial"/>
          <w:lang w:val="en-GB"/>
        </w:rPr>
        <w:footnoteReference w:id="14"/>
      </w:r>
      <w:r w:rsidR="00200EAD" w:rsidRPr="00200EAD">
        <w:rPr>
          <w:rFonts w:ascii="Calibri" w:eastAsia="Calibri" w:hAnsi="Calibri" w:cs="Arial"/>
          <w:lang w:val="en-GB"/>
        </w:rPr>
        <w:t xml:space="preserve"> for the conservation and wise use of wetlands</w:t>
      </w:r>
      <w:r w:rsidR="00200EAD" w:rsidRPr="00200EAD" w:rsidDel="00200EAD">
        <w:rPr>
          <w:rFonts w:ascii="Calibri" w:eastAsia="Calibri" w:hAnsi="Calibri" w:cs="Arial"/>
          <w:lang w:val="en-GB"/>
        </w:rPr>
        <w:t xml:space="preserve"> </w:t>
      </w:r>
      <w:r w:rsidR="003120CA">
        <w:rPr>
          <w:rFonts w:ascii="Calibri" w:eastAsia="Calibri" w:hAnsi="Calibri" w:cs="Arial"/>
          <w:lang w:val="en-GB"/>
        </w:rPr>
        <w:t xml:space="preserve">in collaboration with </w:t>
      </w:r>
      <w:r w:rsidR="006D1F8E">
        <w:rPr>
          <w:rFonts w:ascii="Calibri" w:eastAsia="Calibri" w:hAnsi="Calibri" w:cs="Arial"/>
          <w:lang w:val="en-GB"/>
        </w:rPr>
        <w:t xml:space="preserve">the </w:t>
      </w:r>
      <w:r w:rsidR="006D1F8E" w:rsidRPr="006D1F8E">
        <w:rPr>
          <w:rFonts w:ascii="Calibri" w:eastAsia="Calibri" w:hAnsi="Calibri" w:cs="Arial"/>
          <w:lang w:val="en-GB"/>
        </w:rPr>
        <w:t>IUCN – WCPA OECM Specialist Group</w:t>
      </w:r>
      <w:r w:rsidR="00220495">
        <w:rPr>
          <w:rFonts w:ascii="Calibri" w:eastAsia="Calibri" w:hAnsi="Calibri" w:cs="Arial"/>
          <w:lang w:val="en-GB"/>
        </w:rPr>
        <w:t xml:space="preserve"> (</w:t>
      </w:r>
      <w:r w:rsidR="00BA393C" w:rsidRPr="00BA393C">
        <w:rPr>
          <w:rFonts w:ascii="Calibri" w:eastAsia="Calibri" w:hAnsi="Calibri" w:cs="Arial"/>
          <w:lang w:val="en-GB"/>
        </w:rPr>
        <w:t>Task 4.1</w:t>
      </w:r>
      <w:r w:rsidR="00220495">
        <w:rPr>
          <w:rFonts w:ascii="Calibri" w:eastAsia="Calibri" w:hAnsi="Calibri" w:cs="Arial"/>
          <w:lang w:val="en-GB"/>
        </w:rPr>
        <w:t>)</w:t>
      </w:r>
      <w:r w:rsidR="00F543D2" w:rsidRPr="00F8165E">
        <w:rPr>
          <w:rFonts w:ascii="Calibri" w:eastAsia="Calibri" w:hAnsi="Calibri" w:cs="Arial"/>
          <w:lang w:val="en-GB"/>
        </w:rPr>
        <w:t xml:space="preserve">. </w:t>
      </w:r>
    </w:p>
    <w:p w14:paraId="05FA841C" w14:textId="77777777" w:rsidR="00F543D2" w:rsidRDefault="00F543D2" w:rsidP="00F543D2">
      <w:pPr>
        <w:spacing w:line="240" w:lineRule="auto"/>
        <w:ind w:left="426" w:hanging="426"/>
        <w:rPr>
          <w:rFonts w:cs="Times New Roman"/>
          <w:lang w:val="en-GB"/>
        </w:rPr>
      </w:pPr>
    </w:p>
    <w:p w14:paraId="2C40B615" w14:textId="3C21057C" w:rsidR="00DF0731" w:rsidRDefault="0073601B" w:rsidP="00F543D2">
      <w:pPr>
        <w:spacing w:line="240" w:lineRule="auto"/>
        <w:ind w:left="426" w:hanging="426"/>
        <w:rPr>
          <w:rFonts w:cs="Times New Roman"/>
          <w:lang w:val="en-GB"/>
        </w:rPr>
      </w:pPr>
      <w:r>
        <w:rPr>
          <w:rFonts w:cs="Times New Roman"/>
          <w:lang w:val="en-GB"/>
        </w:rPr>
        <w:t>1</w:t>
      </w:r>
      <w:r w:rsidR="002A18EF">
        <w:rPr>
          <w:rFonts w:cs="Times New Roman"/>
          <w:lang w:val="en-GB"/>
        </w:rPr>
        <w:t>0</w:t>
      </w:r>
      <w:r w:rsidR="00DF0731" w:rsidRPr="00DF0731">
        <w:rPr>
          <w:rFonts w:cs="Times New Roman"/>
          <w:lang w:val="en-GB"/>
        </w:rPr>
        <w:t>.</w:t>
      </w:r>
      <w:r w:rsidR="00DF0731" w:rsidRPr="00DF0731">
        <w:rPr>
          <w:rFonts w:cs="Times New Roman"/>
          <w:lang w:val="en-GB"/>
        </w:rPr>
        <w:tab/>
        <w:t xml:space="preserve">Under TWA5: </w:t>
      </w:r>
      <w:r w:rsidR="00233D4F" w:rsidRPr="00735CE8">
        <w:rPr>
          <w:rFonts w:cs="Times New Roman"/>
          <w:i/>
          <w:iCs/>
          <w:lang w:val="en-GB"/>
        </w:rPr>
        <w:t>Cross-cutting issues, supporting functions, and synergies with other MEAs</w:t>
      </w:r>
      <w:r w:rsidR="00DF0731" w:rsidRPr="00DF0731">
        <w:rPr>
          <w:rFonts w:cs="Times New Roman"/>
          <w:lang w:val="en-GB"/>
        </w:rPr>
        <w:t xml:space="preserve">, the STRP: </w:t>
      </w:r>
    </w:p>
    <w:p w14:paraId="1E15205B" w14:textId="382246EB" w:rsidR="00DF0731" w:rsidRDefault="00F8165E" w:rsidP="00F8165E">
      <w:pPr>
        <w:suppressLineNumbers/>
        <w:suppressAutoHyphens/>
        <w:spacing w:line="240" w:lineRule="auto"/>
        <w:ind w:left="850" w:hanging="432"/>
        <w:contextualSpacing/>
        <w:rPr>
          <w:rFonts w:ascii="Calibri" w:eastAsia="Calibri" w:hAnsi="Calibri" w:cs="Arial"/>
          <w:lang w:val="en-GB"/>
        </w:rPr>
      </w:pPr>
      <w:r>
        <w:rPr>
          <w:rFonts w:ascii="Calibri" w:eastAsia="Calibri" w:hAnsi="Calibri" w:cs="Arial"/>
          <w:lang w:val="en-GB"/>
        </w:rPr>
        <w:t>a.</w:t>
      </w:r>
      <w:r>
        <w:rPr>
          <w:rFonts w:ascii="Calibri" w:eastAsia="Calibri" w:hAnsi="Calibri" w:cs="Arial"/>
          <w:lang w:val="en-GB"/>
        </w:rPr>
        <w:tab/>
      </w:r>
      <w:r w:rsidR="00DF0731" w:rsidRPr="00F8165E">
        <w:rPr>
          <w:rFonts w:ascii="Calibri" w:eastAsia="Calibri" w:hAnsi="Calibri" w:cs="Arial"/>
          <w:lang w:val="en-GB"/>
        </w:rPr>
        <w:t xml:space="preserve">Developed </w:t>
      </w:r>
      <w:r w:rsidR="0004375D">
        <w:rPr>
          <w:rFonts w:ascii="Calibri" w:eastAsia="Calibri" w:hAnsi="Calibri" w:cs="Arial"/>
          <w:lang w:val="en-GB"/>
        </w:rPr>
        <w:t xml:space="preserve">a </w:t>
      </w:r>
      <w:r w:rsidR="00FA3A01" w:rsidRPr="00FA3A01">
        <w:rPr>
          <w:rFonts w:ascii="Calibri" w:eastAsia="Calibri" w:hAnsi="Calibri" w:cs="Arial"/>
          <w:lang w:val="en-GB"/>
        </w:rPr>
        <w:t>Technical Report</w:t>
      </w:r>
      <w:r w:rsidR="004B0017" w:rsidRPr="00F8165E">
        <w:rPr>
          <w:rFonts w:ascii="Calibri" w:eastAsia="Calibri" w:hAnsi="Calibri" w:cs="Arial"/>
          <w:lang w:val="en-GB"/>
        </w:rPr>
        <w:t xml:space="preserve"> </w:t>
      </w:r>
      <w:r w:rsidR="0004375D">
        <w:rPr>
          <w:rFonts w:ascii="Calibri" w:eastAsia="Calibri" w:hAnsi="Calibri" w:cs="Arial"/>
          <w:lang w:val="en-GB"/>
        </w:rPr>
        <w:t>o</w:t>
      </w:r>
      <w:r w:rsidR="00DF0731" w:rsidRPr="00F8165E">
        <w:rPr>
          <w:rFonts w:ascii="Calibri" w:eastAsia="Calibri" w:hAnsi="Calibri" w:cs="Arial"/>
          <w:lang w:val="en-GB"/>
        </w:rPr>
        <w:t xml:space="preserve">n </w:t>
      </w:r>
      <w:r w:rsidR="0033030A" w:rsidRPr="00901A0E">
        <w:rPr>
          <w:rFonts w:ascii="Calibri" w:eastAsia="Calibri" w:hAnsi="Calibri" w:cs="Arial"/>
          <w:i/>
          <w:iCs/>
          <w:lang w:val="en-GB"/>
        </w:rPr>
        <w:t>scaling up wetland conservation and restoration to deliver the Kunming-Montreal Global Biodiversity Framework: Guidance on including wetlands in NBSAPs</w:t>
      </w:r>
      <w:r w:rsidR="00FA3A01">
        <w:rPr>
          <w:rStyle w:val="FootnoteReference"/>
          <w:rFonts w:ascii="Calibri" w:eastAsia="Calibri" w:hAnsi="Calibri" w:cs="Arial"/>
          <w:lang w:val="en-GB"/>
        </w:rPr>
        <w:footnoteReference w:id="15"/>
      </w:r>
      <w:r w:rsidR="00F63456">
        <w:rPr>
          <w:rFonts w:ascii="Calibri" w:eastAsia="Calibri" w:hAnsi="Calibri" w:cs="Arial"/>
          <w:lang w:val="en-GB"/>
        </w:rPr>
        <w:t xml:space="preserve">, and prepared a </w:t>
      </w:r>
      <w:r w:rsidR="00FA3A01" w:rsidRPr="00FA3A01">
        <w:rPr>
          <w:rFonts w:ascii="Calibri" w:eastAsia="Calibri" w:hAnsi="Calibri" w:cs="Arial"/>
          <w:lang w:val="en-GB"/>
        </w:rPr>
        <w:t>Briefing Paper</w:t>
      </w:r>
      <w:r w:rsidR="00F63456">
        <w:rPr>
          <w:rFonts w:ascii="Calibri" w:eastAsia="Calibri" w:hAnsi="Calibri" w:cs="Arial"/>
          <w:lang w:val="en-GB"/>
        </w:rPr>
        <w:t xml:space="preserve"> on </w:t>
      </w:r>
      <w:r w:rsidR="004B0017" w:rsidRPr="004B0017">
        <w:rPr>
          <w:rFonts w:ascii="Calibri" w:eastAsia="Calibri" w:hAnsi="Calibri" w:cs="Arial"/>
          <w:lang w:val="en-GB"/>
        </w:rPr>
        <w:t>Kun</w:t>
      </w:r>
      <w:r w:rsidR="004B0017" w:rsidRPr="00901A0E">
        <w:rPr>
          <w:rFonts w:ascii="Calibri" w:eastAsia="Calibri" w:hAnsi="Calibri" w:cs="Arial"/>
          <w:i/>
          <w:iCs/>
          <w:lang w:val="en-GB"/>
        </w:rPr>
        <w:t xml:space="preserve">ming-Montreal Global Biodiversity </w:t>
      </w:r>
      <w:r w:rsidR="004B0017" w:rsidRPr="00901A0E">
        <w:rPr>
          <w:rFonts w:ascii="Calibri" w:eastAsia="Calibri" w:hAnsi="Calibri" w:cs="Arial"/>
          <w:i/>
          <w:iCs/>
          <w:lang w:val="en-GB"/>
        </w:rPr>
        <w:lastRenderedPageBreak/>
        <w:t>Framework: Upscaling wetland conservation, restoration and wise use through National Biodiversity Strategies and Action Plans</w:t>
      </w:r>
      <w:r w:rsidR="004B0017" w:rsidRPr="004B0017">
        <w:rPr>
          <w:rFonts w:ascii="Calibri" w:eastAsia="Calibri" w:hAnsi="Calibri" w:cs="Arial"/>
          <w:lang w:val="en-GB"/>
        </w:rPr>
        <w:t xml:space="preserve"> (NBSAPs)</w:t>
      </w:r>
      <w:r w:rsidR="00FA3A01">
        <w:rPr>
          <w:rStyle w:val="FootnoteReference"/>
          <w:rFonts w:ascii="Calibri" w:eastAsia="Calibri" w:hAnsi="Calibri" w:cs="Arial"/>
          <w:lang w:val="en-GB"/>
        </w:rPr>
        <w:footnoteReference w:id="16"/>
      </w:r>
      <w:r w:rsidR="00220495">
        <w:rPr>
          <w:rFonts w:ascii="Calibri" w:eastAsia="Calibri" w:hAnsi="Calibri" w:cs="Arial"/>
          <w:lang w:val="en-GB"/>
        </w:rPr>
        <w:t xml:space="preserve"> (Task 5.2)</w:t>
      </w:r>
      <w:r w:rsidR="00735CE8">
        <w:rPr>
          <w:rFonts w:ascii="Calibri" w:eastAsia="Calibri" w:hAnsi="Calibri" w:cs="Arial"/>
          <w:lang w:val="en-GB"/>
        </w:rPr>
        <w:t>;</w:t>
      </w:r>
    </w:p>
    <w:p w14:paraId="7A9C6772" w14:textId="1607850F" w:rsidR="00D022AB" w:rsidRPr="00F8165E" w:rsidRDefault="00D022AB" w:rsidP="00F8165E">
      <w:pPr>
        <w:suppressLineNumbers/>
        <w:suppressAutoHyphens/>
        <w:spacing w:line="240" w:lineRule="auto"/>
        <w:ind w:left="850" w:hanging="432"/>
        <w:contextualSpacing/>
        <w:rPr>
          <w:rFonts w:ascii="Calibri" w:eastAsia="Calibri" w:hAnsi="Calibri" w:cs="Arial"/>
          <w:lang w:val="en-GB"/>
        </w:rPr>
      </w:pPr>
      <w:r>
        <w:rPr>
          <w:rFonts w:ascii="Calibri" w:eastAsia="Calibri" w:hAnsi="Calibri" w:cs="Arial"/>
          <w:lang w:val="en-GB"/>
        </w:rPr>
        <w:t>b.</w:t>
      </w:r>
      <w:r>
        <w:rPr>
          <w:rFonts w:ascii="Calibri" w:eastAsia="Calibri" w:hAnsi="Calibri" w:cs="Arial"/>
          <w:lang w:val="en-GB"/>
        </w:rPr>
        <w:tab/>
      </w:r>
      <w:r w:rsidR="00141E94">
        <w:rPr>
          <w:rFonts w:ascii="Calibri" w:eastAsia="Calibri" w:hAnsi="Calibri" w:cs="Arial"/>
          <w:lang w:val="en-GB"/>
        </w:rPr>
        <w:t xml:space="preserve">Submitted </w:t>
      </w:r>
      <w:r w:rsidR="00033C03">
        <w:rPr>
          <w:rFonts w:ascii="Calibri" w:eastAsia="Calibri" w:hAnsi="Calibri" w:cs="Arial"/>
          <w:lang w:val="en-GB"/>
        </w:rPr>
        <w:t>advi</w:t>
      </w:r>
      <w:r w:rsidR="00095B33">
        <w:rPr>
          <w:rFonts w:ascii="Calibri" w:eastAsia="Calibri" w:hAnsi="Calibri" w:cs="Arial"/>
          <w:lang w:val="en-GB"/>
        </w:rPr>
        <w:t>c</w:t>
      </w:r>
      <w:r w:rsidR="00033C03">
        <w:rPr>
          <w:rFonts w:ascii="Calibri" w:eastAsia="Calibri" w:hAnsi="Calibri" w:cs="Arial"/>
          <w:lang w:val="en-GB"/>
        </w:rPr>
        <w:t>e</w:t>
      </w:r>
      <w:r w:rsidR="003B396C" w:rsidRPr="003B396C">
        <w:rPr>
          <w:rFonts w:ascii="Calibri" w:eastAsia="Calibri" w:hAnsi="Calibri" w:cs="Arial"/>
          <w:lang w:val="en-GB"/>
        </w:rPr>
        <w:t xml:space="preserve"> to the 6th meeting of the Ad Hoc Technical Expert Group on Indicators on the effective consideration of wetlands in the KM</w:t>
      </w:r>
      <w:r w:rsidR="00BA1789">
        <w:rPr>
          <w:rFonts w:ascii="Calibri" w:eastAsia="Calibri" w:hAnsi="Calibri" w:cs="Arial"/>
          <w:lang w:val="en-GB"/>
        </w:rPr>
        <w:t>-</w:t>
      </w:r>
      <w:r w:rsidR="003B396C" w:rsidRPr="003B396C">
        <w:rPr>
          <w:rFonts w:ascii="Calibri" w:eastAsia="Calibri" w:hAnsi="Calibri" w:cs="Arial"/>
          <w:lang w:val="en-GB"/>
        </w:rPr>
        <w:t>GBF Monitoring Framework</w:t>
      </w:r>
      <w:r w:rsidR="003B396C" w:rsidRPr="003B396C" w:rsidDel="003B396C">
        <w:rPr>
          <w:rFonts w:ascii="Calibri" w:eastAsia="Calibri" w:hAnsi="Calibri" w:cs="Arial"/>
          <w:lang w:val="en-GB"/>
        </w:rPr>
        <w:t xml:space="preserve"> </w:t>
      </w:r>
      <w:r w:rsidR="00033C03">
        <w:rPr>
          <w:rFonts w:ascii="Calibri" w:eastAsia="Calibri" w:hAnsi="Calibri" w:cs="Arial"/>
          <w:lang w:val="en-GB"/>
        </w:rPr>
        <w:t>(</w:t>
      </w:r>
      <w:r w:rsidR="00FA3A01" w:rsidRPr="00FA3A01">
        <w:rPr>
          <w:rFonts w:ascii="Calibri" w:eastAsia="Calibri" w:hAnsi="Calibri" w:cs="Arial"/>
          <w:lang w:val="en-GB"/>
        </w:rPr>
        <w:t>SC63 Inf.3</w:t>
      </w:r>
      <w:r w:rsidR="00FA3A01">
        <w:rPr>
          <w:rStyle w:val="FootnoteReference"/>
          <w:rFonts w:ascii="Calibri" w:eastAsia="Calibri" w:hAnsi="Calibri" w:cs="Arial"/>
          <w:lang w:val="en-GB"/>
        </w:rPr>
        <w:footnoteReference w:id="17"/>
      </w:r>
      <w:r w:rsidR="00033C03">
        <w:rPr>
          <w:rFonts w:ascii="Calibri" w:eastAsia="Calibri" w:hAnsi="Calibri" w:cs="Arial"/>
          <w:lang w:val="en-GB"/>
        </w:rPr>
        <w:t>)</w:t>
      </w:r>
      <w:r w:rsidR="00033C03" w:rsidRPr="003B396C">
        <w:rPr>
          <w:rFonts w:ascii="Calibri" w:eastAsia="Calibri" w:hAnsi="Calibri" w:cs="Arial"/>
          <w:lang w:val="en-GB"/>
        </w:rPr>
        <w:t xml:space="preserve"> </w:t>
      </w:r>
      <w:r w:rsidR="00141E94">
        <w:rPr>
          <w:rFonts w:ascii="Calibri" w:eastAsia="Calibri" w:hAnsi="Calibri" w:cs="Arial"/>
          <w:lang w:val="en-GB"/>
        </w:rPr>
        <w:t>(Task 5.2)</w:t>
      </w:r>
      <w:r w:rsidR="00735CE8">
        <w:rPr>
          <w:rFonts w:ascii="Calibri" w:eastAsia="Calibri" w:hAnsi="Calibri" w:cs="Arial"/>
          <w:lang w:val="en-GB"/>
        </w:rPr>
        <w:t>;</w:t>
      </w:r>
    </w:p>
    <w:p w14:paraId="75C91F20" w14:textId="0277577A" w:rsidR="00DF0731" w:rsidRPr="00F8165E" w:rsidRDefault="00F8165E" w:rsidP="00F8165E">
      <w:pPr>
        <w:suppressLineNumbers/>
        <w:suppressAutoHyphens/>
        <w:spacing w:line="240" w:lineRule="auto"/>
        <w:ind w:left="850" w:hanging="432"/>
        <w:contextualSpacing/>
        <w:rPr>
          <w:rFonts w:ascii="Calibri" w:eastAsia="Calibri" w:hAnsi="Calibri" w:cs="Arial"/>
          <w:lang w:val="en-GB"/>
        </w:rPr>
      </w:pPr>
      <w:r>
        <w:rPr>
          <w:rFonts w:ascii="Calibri" w:eastAsia="Calibri" w:hAnsi="Calibri" w:cs="Arial"/>
          <w:lang w:val="en-GB"/>
        </w:rPr>
        <w:t>b.</w:t>
      </w:r>
      <w:r>
        <w:rPr>
          <w:rFonts w:ascii="Calibri" w:eastAsia="Calibri" w:hAnsi="Calibri" w:cs="Arial"/>
          <w:lang w:val="en-GB"/>
        </w:rPr>
        <w:tab/>
      </w:r>
      <w:r w:rsidR="00DF0731" w:rsidRPr="00F8165E">
        <w:rPr>
          <w:rFonts w:ascii="Calibri" w:eastAsia="Calibri" w:hAnsi="Calibri" w:cs="Arial"/>
          <w:lang w:val="en-GB"/>
        </w:rPr>
        <w:t xml:space="preserve">Developed a </w:t>
      </w:r>
      <w:r w:rsidR="00B10851">
        <w:rPr>
          <w:rFonts w:ascii="Calibri" w:eastAsia="Calibri" w:hAnsi="Calibri" w:cs="Arial"/>
          <w:lang w:val="en-GB"/>
        </w:rPr>
        <w:t>p</w:t>
      </w:r>
      <w:r w:rsidR="00B10851" w:rsidRPr="00B10851">
        <w:rPr>
          <w:rFonts w:ascii="Calibri" w:eastAsia="Calibri" w:hAnsi="Calibri" w:cs="Arial"/>
          <w:lang w:val="en-GB"/>
        </w:rPr>
        <w:t>roposed approach to deliver future Global Wetland Outlooks</w:t>
      </w:r>
      <w:r w:rsidR="00B10851" w:rsidRPr="00B10851" w:rsidDel="00B10851">
        <w:rPr>
          <w:rFonts w:ascii="Calibri" w:eastAsia="Calibri" w:hAnsi="Calibri" w:cs="Arial"/>
          <w:lang w:val="en-GB"/>
        </w:rPr>
        <w:t xml:space="preserve"> </w:t>
      </w:r>
      <w:r w:rsidR="00E43EBE">
        <w:rPr>
          <w:rFonts w:ascii="Calibri" w:eastAsia="Calibri" w:hAnsi="Calibri" w:cs="Arial"/>
          <w:lang w:val="en-GB"/>
        </w:rPr>
        <w:t>(</w:t>
      </w:r>
      <w:r w:rsidR="00FA3A01" w:rsidRPr="00FA3A01">
        <w:rPr>
          <w:rFonts w:ascii="Calibri" w:eastAsia="Calibri" w:hAnsi="Calibri" w:cs="Arial"/>
          <w:lang w:val="en-GB"/>
        </w:rPr>
        <w:t>Annex 4, SC64 Doc.18</w:t>
      </w:r>
      <w:r w:rsidR="00FA3A01">
        <w:rPr>
          <w:rStyle w:val="FootnoteReference"/>
          <w:rFonts w:ascii="Calibri" w:eastAsia="Calibri" w:hAnsi="Calibri" w:cs="Arial"/>
          <w:lang w:val="en-GB"/>
        </w:rPr>
        <w:footnoteReference w:id="18"/>
      </w:r>
      <w:r w:rsidR="00E43EBE">
        <w:rPr>
          <w:rFonts w:ascii="Calibri" w:eastAsia="Calibri" w:hAnsi="Calibri" w:cs="Arial"/>
          <w:lang w:val="en-GB"/>
        </w:rPr>
        <w:t>)</w:t>
      </w:r>
      <w:r w:rsidR="00DF0731" w:rsidRPr="00F8165E">
        <w:rPr>
          <w:rFonts w:ascii="Calibri" w:eastAsia="Calibri" w:hAnsi="Calibri" w:cs="Arial"/>
          <w:lang w:val="en-GB"/>
        </w:rPr>
        <w:t xml:space="preserve">, in line with the forthcoming </w:t>
      </w:r>
      <w:r w:rsidR="00901A0E" w:rsidRPr="006520C9">
        <w:rPr>
          <w:rFonts w:ascii="Calibri" w:eastAsia="Calibri" w:hAnsi="Calibri" w:cs="Arial"/>
          <w:lang w:val="en-GB"/>
        </w:rPr>
        <w:t xml:space="preserve">Special Edition </w:t>
      </w:r>
      <w:r w:rsidR="00DF0731" w:rsidRPr="00F8165E">
        <w:rPr>
          <w:rFonts w:ascii="Calibri" w:eastAsia="Calibri" w:hAnsi="Calibri" w:cs="Arial"/>
          <w:lang w:val="en-GB"/>
        </w:rPr>
        <w:t>2025</w:t>
      </w:r>
      <w:r w:rsidR="00220495">
        <w:rPr>
          <w:rFonts w:ascii="Calibri" w:eastAsia="Calibri" w:hAnsi="Calibri" w:cs="Arial"/>
          <w:lang w:val="en-GB"/>
        </w:rPr>
        <w:t xml:space="preserve"> (Task 5.3)</w:t>
      </w:r>
      <w:r w:rsidR="00735CE8">
        <w:rPr>
          <w:rFonts w:ascii="Calibri" w:eastAsia="Calibri" w:hAnsi="Calibri" w:cs="Arial"/>
          <w:lang w:val="en-GB"/>
        </w:rPr>
        <w:t>; and</w:t>
      </w:r>
    </w:p>
    <w:p w14:paraId="541B0B72" w14:textId="37638291" w:rsidR="005A30B7" w:rsidRPr="00F8165E" w:rsidRDefault="00F8165E" w:rsidP="00354434">
      <w:pPr>
        <w:suppressLineNumbers/>
        <w:suppressAutoHyphens/>
        <w:spacing w:line="240" w:lineRule="auto"/>
        <w:ind w:left="850" w:hanging="432"/>
        <w:contextualSpacing/>
        <w:rPr>
          <w:rFonts w:ascii="Calibri" w:eastAsia="Calibri" w:hAnsi="Calibri" w:cs="Arial"/>
          <w:lang w:val="en-GB"/>
        </w:rPr>
      </w:pPr>
      <w:r>
        <w:rPr>
          <w:rFonts w:ascii="Calibri" w:eastAsia="Calibri" w:hAnsi="Calibri" w:cs="Arial"/>
          <w:lang w:val="en-GB"/>
        </w:rPr>
        <w:t>c.</w:t>
      </w:r>
      <w:r>
        <w:rPr>
          <w:rFonts w:ascii="Calibri" w:eastAsia="Calibri" w:hAnsi="Calibri" w:cs="Arial"/>
          <w:lang w:val="en-GB"/>
        </w:rPr>
        <w:tab/>
      </w:r>
      <w:r w:rsidR="0062609F">
        <w:rPr>
          <w:rFonts w:ascii="Calibri" w:eastAsia="Calibri" w:hAnsi="Calibri" w:cs="Arial"/>
          <w:lang w:val="en-GB"/>
        </w:rPr>
        <w:t xml:space="preserve">Prepared a </w:t>
      </w:r>
      <w:r w:rsidR="00354434">
        <w:rPr>
          <w:rFonts w:ascii="Calibri" w:eastAsia="Calibri" w:hAnsi="Calibri" w:cs="Arial"/>
          <w:lang w:val="en-GB"/>
        </w:rPr>
        <w:t>s</w:t>
      </w:r>
      <w:r w:rsidR="00354434" w:rsidRPr="00354434">
        <w:rPr>
          <w:rFonts w:ascii="Calibri" w:eastAsia="Calibri" w:hAnsi="Calibri" w:cs="Arial"/>
          <w:lang w:val="en-GB"/>
        </w:rPr>
        <w:t>coping note for the review of legal and policy frameworks for wetland conservation and wise us</w:t>
      </w:r>
      <w:r w:rsidR="00220495">
        <w:rPr>
          <w:rFonts w:ascii="Calibri" w:eastAsia="Calibri" w:hAnsi="Calibri" w:cs="Arial"/>
          <w:lang w:val="en-GB"/>
        </w:rPr>
        <w:t xml:space="preserve"> </w:t>
      </w:r>
      <w:r w:rsidR="00354434">
        <w:rPr>
          <w:rFonts w:ascii="Calibri" w:eastAsia="Calibri" w:hAnsi="Calibri" w:cs="Arial"/>
          <w:lang w:val="en-GB"/>
        </w:rPr>
        <w:t>(</w:t>
      </w:r>
      <w:r w:rsidR="00F54966" w:rsidRPr="00F54966">
        <w:rPr>
          <w:rFonts w:ascii="Calibri" w:eastAsia="Calibri" w:hAnsi="Calibri" w:cs="Arial"/>
          <w:lang w:val="en-GB"/>
        </w:rPr>
        <w:t>Annex 3, SC64 Doc.18</w:t>
      </w:r>
      <w:r w:rsidR="00F54966">
        <w:rPr>
          <w:rStyle w:val="FootnoteReference"/>
        </w:rPr>
        <w:footnoteReference w:id="19"/>
      </w:r>
      <w:r w:rsidR="00354434">
        <w:rPr>
          <w:rFonts w:ascii="Calibri" w:eastAsia="Calibri" w:hAnsi="Calibri" w:cs="Arial"/>
          <w:lang w:val="en-GB"/>
        </w:rPr>
        <w:t xml:space="preserve">) </w:t>
      </w:r>
      <w:r w:rsidR="00220495">
        <w:rPr>
          <w:rFonts w:ascii="Calibri" w:eastAsia="Calibri" w:hAnsi="Calibri" w:cs="Arial"/>
          <w:lang w:val="en-GB"/>
        </w:rPr>
        <w:t>(Task 5.4)</w:t>
      </w:r>
      <w:r w:rsidR="0004375D">
        <w:rPr>
          <w:rFonts w:ascii="Calibri" w:eastAsia="Calibri" w:hAnsi="Calibri" w:cs="Arial"/>
          <w:lang w:val="en-GB"/>
        </w:rPr>
        <w:t xml:space="preserve">. </w:t>
      </w:r>
    </w:p>
    <w:p w14:paraId="74020E4E" w14:textId="77777777" w:rsidR="00D465D3" w:rsidRDefault="00D465D3" w:rsidP="00D465D3">
      <w:pPr>
        <w:spacing w:line="240" w:lineRule="auto"/>
        <w:rPr>
          <w:rFonts w:cs="Times New Roman"/>
          <w:lang w:val="en-GB"/>
        </w:rPr>
      </w:pPr>
    </w:p>
    <w:p w14:paraId="07D2EDEB" w14:textId="7F94C4B3" w:rsidR="00554E71" w:rsidRDefault="00554E71" w:rsidP="00F543D2">
      <w:pPr>
        <w:spacing w:line="240" w:lineRule="auto"/>
        <w:ind w:left="426" w:hanging="426"/>
        <w:rPr>
          <w:rFonts w:cs="Times New Roman"/>
          <w:lang w:val="en-GB"/>
        </w:rPr>
      </w:pPr>
      <w:r w:rsidRPr="00554E71">
        <w:rPr>
          <w:rFonts w:cs="Times New Roman"/>
          <w:lang w:val="en-GB"/>
        </w:rPr>
        <w:t>1</w:t>
      </w:r>
      <w:r w:rsidR="002A18EF">
        <w:rPr>
          <w:rFonts w:cs="Times New Roman"/>
          <w:lang w:val="en-GB"/>
        </w:rPr>
        <w:t>1</w:t>
      </w:r>
      <w:r w:rsidRPr="00554E71">
        <w:rPr>
          <w:rFonts w:cs="Times New Roman"/>
          <w:lang w:val="en-GB"/>
        </w:rPr>
        <w:t>.</w:t>
      </w:r>
      <w:r w:rsidRPr="00554E71">
        <w:rPr>
          <w:rFonts w:cs="Times New Roman"/>
          <w:lang w:val="en-GB"/>
        </w:rPr>
        <w:tab/>
      </w:r>
      <w:r w:rsidR="00E00350">
        <w:rPr>
          <w:rFonts w:cs="Times New Roman"/>
          <w:lang w:val="en-GB"/>
        </w:rPr>
        <w:t xml:space="preserve">Several </w:t>
      </w:r>
      <w:r w:rsidRPr="00554E71">
        <w:rPr>
          <w:rFonts w:cs="Times New Roman"/>
          <w:lang w:val="en-GB"/>
        </w:rPr>
        <w:t>STRP outputs will be finali</w:t>
      </w:r>
      <w:r w:rsidR="00035943">
        <w:rPr>
          <w:rFonts w:cs="Times New Roman"/>
          <w:lang w:val="en-GB"/>
        </w:rPr>
        <w:t>z</w:t>
      </w:r>
      <w:r w:rsidRPr="00554E71">
        <w:rPr>
          <w:rFonts w:cs="Times New Roman"/>
          <w:lang w:val="en-GB"/>
        </w:rPr>
        <w:t xml:space="preserve">ed and published in the period leading up to COP15. These include: </w:t>
      </w:r>
    </w:p>
    <w:p w14:paraId="4BBDACC9" w14:textId="77777777" w:rsidR="00554E71" w:rsidRDefault="00554E71" w:rsidP="00F543D2">
      <w:pPr>
        <w:spacing w:line="240" w:lineRule="auto"/>
        <w:ind w:left="426" w:hanging="426"/>
        <w:rPr>
          <w:rFonts w:cs="Times New Roman"/>
          <w:lang w:val="en-GB"/>
        </w:rPr>
      </w:pPr>
    </w:p>
    <w:p w14:paraId="558DC50B" w14:textId="094AF793" w:rsidR="00554E71" w:rsidRPr="006520C9" w:rsidRDefault="00554E71" w:rsidP="006520C9">
      <w:pPr>
        <w:suppressLineNumbers/>
        <w:suppressAutoHyphens/>
        <w:spacing w:line="240" w:lineRule="auto"/>
        <w:ind w:left="850" w:hanging="432"/>
        <w:contextualSpacing/>
        <w:rPr>
          <w:rFonts w:ascii="Calibri" w:eastAsia="Calibri" w:hAnsi="Calibri" w:cs="Arial"/>
          <w:lang w:val="en-GB"/>
        </w:rPr>
      </w:pPr>
      <w:r w:rsidRPr="00554E71">
        <w:rPr>
          <w:rFonts w:cs="Times New Roman"/>
          <w:lang w:val="en-GB"/>
        </w:rPr>
        <w:t>a.</w:t>
      </w:r>
      <w:r>
        <w:rPr>
          <w:rFonts w:cs="Times New Roman"/>
          <w:lang w:val="en-GB"/>
        </w:rPr>
        <w:tab/>
      </w:r>
      <w:r w:rsidRPr="006520C9">
        <w:rPr>
          <w:rFonts w:ascii="Calibri" w:eastAsia="Calibri" w:hAnsi="Calibri" w:cs="Arial"/>
          <w:lang w:val="en-GB"/>
        </w:rPr>
        <w:t>The Global Wetland Outlook: Special Edition 2025, which will provide an economic perspective on wetland loss and degradation, investment needs and policy responses</w:t>
      </w:r>
      <w:r w:rsidR="00436EB4">
        <w:rPr>
          <w:rFonts w:ascii="Calibri" w:eastAsia="Calibri" w:hAnsi="Calibri" w:cs="Arial"/>
          <w:lang w:val="en-GB"/>
        </w:rPr>
        <w:t xml:space="preserve"> (Task 5.1)</w:t>
      </w:r>
      <w:r w:rsidR="00735CE8">
        <w:rPr>
          <w:rFonts w:ascii="Calibri" w:eastAsia="Calibri" w:hAnsi="Calibri" w:cs="Arial"/>
          <w:lang w:val="en-GB"/>
        </w:rPr>
        <w:t>;</w:t>
      </w:r>
    </w:p>
    <w:p w14:paraId="300280A1" w14:textId="072AD129" w:rsidR="00554E71" w:rsidRPr="006520C9" w:rsidRDefault="00554E71" w:rsidP="006520C9">
      <w:pPr>
        <w:suppressLineNumbers/>
        <w:suppressAutoHyphens/>
        <w:spacing w:line="240" w:lineRule="auto"/>
        <w:ind w:left="850" w:hanging="432"/>
        <w:contextualSpacing/>
        <w:rPr>
          <w:rFonts w:ascii="Calibri" w:eastAsia="Calibri" w:hAnsi="Calibri" w:cs="Arial"/>
          <w:lang w:val="en-GB"/>
        </w:rPr>
      </w:pPr>
      <w:r w:rsidRPr="006520C9">
        <w:rPr>
          <w:rFonts w:ascii="Calibri" w:eastAsia="Calibri" w:hAnsi="Calibri" w:cs="Arial"/>
          <w:lang w:val="en-GB"/>
        </w:rPr>
        <w:t>b.</w:t>
      </w:r>
      <w:r w:rsidRPr="006520C9">
        <w:rPr>
          <w:rFonts w:ascii="Calibri" w:eastAsia="Calibri" w:hAnsi="Calibri" w:cs="Arial"/>
          <w:lang w:val="en-GB"/>
        </w:rPr>
        <w:tab/>
      </w:r>
      <w:r w:rsidR="00337299">
        <w:rPr>
          <w:rFonts w:ascii="Calibri" w:eastAsia="Calibri" w:hAnsi="Calibri" w:cs="Arial"/>
          <w:lang w:val="en-GB"/>
        </w:rPr>
        <w:t>A</w:t>
      </w:r>
      <w:r w:rsidR="00337299" w:rsidRPr="006520C9">
        <w:rPr>
          <w:rFonts w:ascii="Calibri" w:eastAsia="Calibri" w:hAnsi="Calibri" w:cs="Arial"/>
          <w:lang w:val="en-GB"/>
        </w:rPr>
        <w:t xml:space="preserve"> </w:t>
      </w:r>
      <w:r w:rsidR="00E00350">
        <w:rPr>
          <w:rFonts w:ascii="Calibri" w:eastAsia="Calibri" w:hAnsi="Calibri" w:cs="Arial"/>
          <w:lang w:val="en-GB"/>
        </w:rPr>
        <w:t>b</w:t>
      </w:r>
      <w:r w:rsidRPr="006520C9">
        <w:rPr>
          <w:rFonts w:ascii="Calibri" w:eastAsia="Calibri" w:hAnsi="Calibri" w:cs="Arial"/>
          <w:lang w:val="en-GB"/>
        </w:rPr>
        <w:t xml:space="preserve">riefing </w:t>
      </w:r>
      <w:r w:rsidR="00E00350">
        <w:rPr>
          <w:rFonts w:ascii="Calibri" w:eastAsia="Calibri" w:hAnsi="Calibri" w:cs="Arial"/>
          <w:lang w:val="en-GB"/>
        </w:rPr>
        <w:t>n</w:t>
      </w:r>
      <w:r w:rsidRPr="006520C9">
        <w:rPr>
          <w:rFonts w:ascii="Calibri" w:eastAsia="Calibri" w:hAnsi="Calibri" w:cs="Arial"/>
          <w:lang w:val="en-GB"/>
        </w:rPr>
        <w:t xml:space="preserve">ote on </w:t>
      </w:r>
      <w:r w:rsidR="00E00350" w:rsidRPr="006520C9">
        <w:rPr>
          <w:rFonts w:ascii="Calibri" w:eastAsia="Calibri" w:hAnsi="Calibri" w:cs="Arial"/>
          <w:lang w:val="en-GB"/>
        </w:rPr>
        <w:t xml:space="preserve">climate change and wetlands </w:t>
      </w:r>
      <w:r w:rsidRPr="006520C9">
        <w:rPr>
          <w:rFonts w:ascii="Calibri" w:eastAsia="Calibri" w:hAnsi="Calibri" w:cs="Arial"/>
          <w:lang w:val="en-GB"/>
        </w:rPr>
        <w:t>(Task 3.1), which compiles updated information on the current and projected impacts of climate change on the world</w:t>
      </w:r>
      <w:r w:rsidR="00035943">
        <w:rPr>
          <w:rFonts w:ascii="Calibri" w:eastAsia="Calibri" w:hAnsi="Calibri" w:cs="Arial"/>
          <w:lang w:val="en-GB"/>
        </w:rPr>
        <w:t>’</w:t>
      </w:r>
      <w:r w:rsidRPr="006520C9">
        <w:rPr>
          <w:rFonts w:ascii="Calibri" w:eastAsia="Calibri" w:hAnsi="Calibri" w:cs="Arial"/>
          <w:lang w:val="en-GB"/>
        </w:rPr>
        <w:t>s wetlands, and responses across regions and wetland types</w:t>
      </w:r>
      <w:r w:rsidR="00337299">
        <w:rPr>
          <w:rFonts w:ascii="Calibri" w:eastAsia="Calibri" w:hAnsi="Calibri" w:cs="Arial"/>
          <w:lang w:val="en-GB"/>
        </w:rPr>
        <w:t>; and</w:t>
      </w:r>
    </w:p>
    <w:p w14:paraId="4E83C6FD" w14:textId="64895289" w:rsidR="006421B9" w:rsidRDefault="00B8358D" w:rsidP="00337299">
      <w:pPr>
        <w:suppressLineNumbers/>
        <w:suppressAutoHyphens/>
        <w:spacing w:line="240" w:lineRule="auto"/>
        <w:ind w:left="850" w:hanging="432"/>
        <w:contextualSpacing/>
        <w:rPr>
          <w:rFonts w:cs="Times New Roman"/>
          <w:lang w:val="en-GB"/>
        </w:rPr>
      </w:pPr>
      <w:r>
        <w:rPr>
          <w:rFonts w:ascii="Calibri" w:eastAsia="Calibri" w:hAnsi="Calibri" w:cs="Arial"/>
          <w:lang w:val="en-GB"/>
        </w:rPr>
        <w:t>c</w:t>
      </w:r>
      <w:r w:rsidR="00554E71" w:rsidRPr="006520C9">
        <w:rPr>
          <w:rFonts w:ascii="Calibri" w:eastAsia="Calibri" w:hAnsi="Calibri" w:cs="Arial"/>
          <w:lang w:val="en-GB"/>
        </w:rPr>
        <w:t>.</w:t>
      </w:r>
      <w:r w:rsidR="005B6D67" w:rsidRPr="006520C9">
        <w:rPr>
          <w:rFonts w:ascii="Calibri" w:eastAsia="Calibri" w:hAnsi="Calibri" w:cs="Arial"/>
          <w:lang w:val="en-GB"/>
        </w:rPr>
        <w:tab/>
      </w:r>
      <w:r w:rsidR="00554E71" w:rsidRPr="006520C9">
        <w:rPr>
          <w:rFonts w:ascii="Calibri" w:eastAsia="Calibri" w:hAnsi="Calibri" w:cs="Arial"/>
          <w:lang w:val="en-GB"/>
        </w:rPr>
        <w:t>A briefing note</w:t>
      </w:r>
      <w:r w:rsidR="00554E71" w:rsidRPr="00554E71">
        <w:rPr>
          <w:rFonts w:cs="Times New Roman"/>
          <w:lang w:val="en-GB"/>
        </w:rPr>
        <w:t xml:space="preserve"> on integrating wetlands into national sustainable development strategies (Task 4.3), aimed at supporting coherent policy alignment at the national level.</w:t>
      </w:r>
      <w:r>
        <w:rPr>
          <w:rFonts w:ascii="Calibri" w:eastAsia="Calibri" w:hAnsi="Calibri" w:cs="Arial"/>
          <w:lang w:val="en-GB"/>
        </w:rPr>
        <w:tab/>
      </w:r>
    </w:p>
    <w:p w14:paraId="34DA475D" w14:textId="77777777" w:rsidR="00554E71" w:rsidRDefault="00554E71" w:rsidP="00F543D2">
      <w:pPr>
        <w:spacing w:line="240" w:lineRule="auto"/>
        <w:ind w:left="426" w:hanging="426"/>
        <w:rPr>
          <w:rFonts w:cs="Times New Roman"/>
          <w:lang w:val="en-GB"/>
        </w:rPr>
      </w:pPr>
    </w:p>
    <w:p w14:paraId="18353CAB" w14:textId="03304DA1" w:rsidR="00D465D3" w:rsidRDefault="00554E71" w:rsidP="00D465D3">
      <w:pPr>
        <w:spacing w:line="240" w:lineRule="auto"/>
        <w:ind w:left="426" w:hanging="426"/>
        <w:rPr>
          <w:rFonts w:cs="Times New Roman"/>
          <w:lang w:val="en-GB"/>
        </w:rPr>
      </w:pPr>
      <w:r>
        <w:rPr>
          <w:rFonts w:cs="Times New Roman"/>
          <w:lang w:val="en-GB"/>
        </w:rPr>
        <w:t>1</w:t>
      </w:r>
      <w:r w:rsidR="002A18EF">
        <w:rPr>
          <w:rFonts w:cs="Times New Roman"/>
          <w:lang w:val="en-GB"/>
        </w:rPr>
        <w:t>2</w:t>
      </w:r>
      <w:r w:rsidR="00D465D3">
        <w:rPr>
          <w:rFonts w:cs="Times New Roman"/>
          <w:lang w:val="en-GB"/>
        </w:rPr>
        <w:t>.</w:t>
      </w:r>
      <w:r w:rsidR="00D465D3" w:rsidRPr="00DF0731">
        <w:rPr>
          <w:rFonts w:cs="Times New Roman"/>
          <w:lang w:val="en-GB"/>
        </w:rPr>
        <w:tab/>
      </w:r>
      <w:r w:rsidR="00826CD4">
        <w:rPr>
          <w:rFonts w:cs="Times New Roman"/>
          <w:lang w:val="en-GB"/>
        </w:rPr>
        <w:t>The STRP also</w:t>
      </w:r>
      <w:r w:rsidR="00D465D3" w:rsidRPr="00DF0731">
        <w:rPr>
          <w:rFonts w:cs="Times New Roman"/>
          <w:lang w:val="en-GB"/>
        </w:rPr>
        <w:t xml:space="preserve"> respond</w:t>
      </w:r>
      <w:r w:rsidR="00826CD4">
        <w:rPr>
          <w:rFonts w:cs="Times New Roman"/>
          <w:lang w:val="en-GB"/>
        </w:rPr>
        <w:t>ed</w:t>
      </w:r>
      <w:r w:rsidR="00D465D3" w:rsidRPr="00DF0731">
        <w:rPr>
          <w:rFonts w:cs="Times New Roman"/>
          <w:lang w:val="en-GB"/>
        </w:rPr>
        <w:t xml:space="preserve"> to requests from the Standing Committee</w:t>
      </w:r>
      <w:r w:rsidR="00A61DDF">
        <w:rPr>
          <w:rFonts w:cs="Times New Roman"/>
          <w:lang w:val="en-GB"/>
        </w:rPr>
        <w:t>,</w:t>
      </w:r>
      <w:r w:rsidR="005358E4">
        <w:rPr>
          <w:rFonts w:cs="Times New Roman"/>
          <w:lang w:val="en-GB"/>
        </w:rPr>
        <w:t xml:space="preserve"> </w:t>
      </w:r>
      <w:r w:rsidR="00D465D3" w:rsidRPr="00DF0731">
        <w:rPr>
          <w:rFonts w:cs="Times New Roman"/>
          <w:lang w:val="en-GB"/>
        </w:rPr>
        <w:t xml:space="preserve">including </w:t>
      </w:r>
      <w:r w:rsidR="00A61DDF">
        <w:rPr>
          <w:rFonts w:cs="Times New Roman"/>
          <w:lang w:val="en-GB"/>
        </w:rPr>
        <w:t xml:space="preserve">requests to </w:t>
      </w:r>
      <w:r w:rsidR="00D465D3" w:rsidRPr="00DF0731">
        <w:rPr>
          <w:rFonts w:cs="Times New Roman"/>
          <w:lang w:val="en-GB"/>
        </w:rPr>
        <w:t>initiat</w:t>
      </w:r>
      <w:r w:rsidR="00A61DDF">
        <w:rPr>
          <w:rFonts w:cs="Times New Roman"/>
          <w:lang w:val="en-GB"/>
        </w:rPr>
        <w:t>e</w:t>
      </w:r>
      <w:r w:rsidR="00D465D3" w:rsidRPr="00DF0731">
        <w:rPr>
          <w:rFonts w:cs="Times New Roman"/>
          <w:lang w:val="en-GB"/>
        </w:rPr>
        <w:t xml:space="preserve"> a review of the Ramsar </w:t>
      </w:r>
      <w:r w:rsidR="00924450">
        <w:rPr>
          <w:rFonts w:cs="Times New Roman"/>
          <w:lang w:val="en-GB"/>
        </w:rPr>
        <w:t>c</w:t>
      </w:r>
      <w:r w:rsidR="00D465D3" w:rsidRPr="00DF0731">
        <w:rPr>
          <w:rFonts w:cs="Times New Roman"/>
          <w:lang w:val="en-GB"/>
        </w:rPr>
        <w:t xml:space="preserve">lassification </w:t>
      </w:r>
      <w:r w:rsidR="00924450">
        <w:rPr>
          <w:rFonts w:cs="Times New Roman"/>
          <w:lang w:val="en-GB"/>
        </w:rPr>
        <w:t>s</w:t>
      </w:r>
      <w:r w:rsidR="00D465D3" w:rsidRPr="00DF0731">
        <w:rPr>
          <w:rFonts w:cs="Times New Roman"/>
          <w:lang w:val="en-GB"/>
        </w:rPr>
        <w:t xml:space="preserve">ystem </w:t>
      </w:r>
      <w:r w:rsidR="00182369">
        <w:rPr>
          <w:rFonts w:cs="Times New Roman"/>
          <w:lang w:val="en-GB"/>
        </w:rPr>
        <w:t xml:space="preserve">for </w:t>
      </w:r>
      <w:r w:rsidR="00924450" w:rsidRPr="00DF0731">
        <w:rPr>
          <w:rFonts w:cs="Times New Roman"/>
          <w:lang w:val="en-GB"/>
        </w:rPr>
        <w:t xml:space="preserve">wetland type </w:t>
      </w:r>
      <w:r w:rsidR="00AB639D">
        <w:rPr>
          <w:rFonts w:cs="Times New Roman"/>
          <w:lang w:val="en-GB"/>
        </w:rPr>
        <w:t>(</w:t>
      </w:r>
      <w:r w:rsidR="00AB639D" w:rsidRPr="00AB639D">
        <w:rPr>
          <w:rFonts w:cs="Times New Roman"/>
          <w:lang w:val="en-GB"/>
        </w:rPr>
        <w:t>SC62-50</w:t>
      </w:r>
      <w:r w:rsidR="00AB639D">
        <w:rPr>
          <w:rFonts w:cs="Times New Roman"/>
          <w:lang w:val="en-GB"/>
        </w:rPr>
        <w:t>,</w:t>
      </w:r>
      <w:r w:rsidR="0061699C">
        <w:rPr>
          <w:rFonts w:cs="Times New Roman"/>
          <w:lang w:val="en-GB"/>
        </w:rPr>
        <w:t xml:space="preserve"> </w:t>
      </w:r>
      <w:r w:rsidR="0061699C" w:rsidRPr="0061699C">
        <w:rPr>
          <w:rFonts w:cs="Times New Roman"/>
          <w:lang w:val="en-GB"/>
        </w:rPr>
        <w:t>SC63-30</w:t>
      </w:r>
      <w:r w:rsidR="00AB639D">
        <w:rPr>
          <w:rFonts w:cs="Times New Roman"/>
          <w:lang w:val="en-GB"/>
        </w:rPr>
        <w:t>)</w:t>
      </w:r>
      <w:r w:rsidR="0061699C">
        <w:rPr>
          <w:rFonts w:cs="Times New Roman"/>
          <w:lang w:val="en-GB"/>
        </w:rPr>
        <w:t xml:space="preserve">, </w:t>
      </w:r>
      <w:r w:rsidR="00D465D3" w:rsidRPr="00DF0731">
        <w:rPr>
          <w:rFonts w:cs="Times New Roman"/>
          <w:lang w:val="en-GB"/>
        </w:rPr>
        <w:t>contributing to</w:t>
      </w:r>
      <w:r w:rsidR="00315CBE">
        <w:rPr>
          <w:rFonts w:cs="Times New Roman"/>
          <w:lang w:val="en-GB"/>
        </w:rPr>
        <w:t xml:space="preserve"> </w:t>
      </w:r>
      <w:r w:rsidR="00315CBE" w:rsidRPr="00315CBE">
        <w:rPr>
          <w:rFonts w:cs="Times New Roman"/>
          <w:lang w:val="en-US"/>
        </w:rPr>
        <w:t xml:space="preserve">the report on the challenges and opportunities related to the submission and updating of </w:t>
      </w:r>
      <w:r w:rsidR="00315CBE" w:rsidRPr="00DF0731">
        <w:rPr>
          <w:rFonts w:cs="Times New Roman"/>
          <w:lang w:val="en-GB"/>
        </w:rPr>
        <w:t>Ramsar Information Sheet</w:t>
      </w:r>
      <w:r w:rsidR="00901A0E">
        <w:rPr>
          <w:rFonts w:cs="Times New Roman"/>
          <w:lang w:val="en-GB"/>
        </w:rPr>
        <w:t>s</w:t>
      </w:r>
      <w:r w:rsidR="00315CBE" w:rsidRPr="00DF0731">
        <w:rPr>
          <w:rFonts w:cs="Times New Roman"/>
          <w:lang w:val="en-GB"/>
        </w:rPr>
        <w:t xml:space="preserve"> (RIS)</w:t>
      </w:r>
      <w:r w:rsidR="00315CBE">
        <w:rPr>
          <w:rFonts w:cs="Times New Roman"/>
          <w:lang w:val="en-GB"/>
        </w:rPr>
        <w:t xml:space="preserve"> </w:t>
      </w:r>
      <w:r w:rsidR="0061699C">
        <w:rPr>
          <w:rFonts w:cs="Times New Roman"/>
          <w:lang w:val="en-GB"/>
        </w:rPr>
        <w:t>(</w:t>
      </w:r>
      <w:r w:rsidR="0061699C" w:rsidRPr="0061699C">
        <w:rPr>
          <w:rFonts w:cs="Times New Roman"/>
          <w:lang w:val="en-US"/>
        </w:rPr>
        <w:t>SC62-53</w:t>
      </w:r>
      <w:r w:rsidR="00B1614B">
        <w:rPr>
          <w:rFonts w:cs="Times New Roman"/>
          <w:lang w:val="en-US"/>
        </w:rPr>
        <w:t xml:space="preserve">, </w:t>
      </w:r>
      <w:r w:rsidR="00B1614B" w:rsidRPr="00B1614B">
        <w:rPr>
          <w:rFonts w:cs="Times New Roman"/>
          <w:lang w:val="en-US"/>
        </w:rPr>
        <w:t>SC63-33</w:t>
      </w:r>
      <w:r w:rsidR="0061699C" w:rsidRPr="0061699C">
        <w:rPr>
          <w:rFonts w:cs="Times New Roman"/>
          <w:lang w:val="en-US"/>
        </w:rPr>
        <w:t>)</w:t>
      </w:r>
      <w:r w:rsidR="0061699C">
        <w:rPr>
          <w:rFonts w:cs="Times New Roman"/>
          <w:lang w:val="en-US"/>
        </w:rPr>
        <w:t xml:space="preserve"> and</w:t>
      </w:r>
      <w:r w:rsidR="00B71C53">
        <w:rPr>
          <w:rFonts w:cs="Times New Roman"/>
          <w:lang w:val="en-US"/>
        </w:rPr>
        <w:t xml:space="preserve"> </w:t>
      </w:r>
      <w:r w:rsidR="00B71C53" w:rsidRPr="00B71C53">
        <w:rPr>
          <w:rFonts w:cs="Times New Roman"/>
          <w:lang w:val="en-US"/>
        </w:rPr>
        <w:t>organiz</w:t>
      </w:r>
      <w:r w:rsidR="00A61DDF">
        <w:rPr>
          <w:rFonts w:cs="Times New Roman"/>
          <w:lang w:val="en-US"/>
        </w:rPr>
        <w:t>ing</w:t>
      </w:r>
      <w:r w:rsidR="00B71C53" w:rsidRPr="00B71C53">
        <w:rPr>
          <w:rFonts w:cs="Times New Roman"/>
          <w:lang w:val="en-US"/>
        </w:rPr>
        <w:t xml:space="preserve"> a consultation with the </w:t>
      </w:r>
      <w:r w:rsidR="004F62E4">
        <w:rPr>
          <w:rFonts w:cs="Times New Roman"/>
          <w:lang w:val="en-US"/>
        </w:rPr>
        <w:t>E</w:t>
      </w:r>
      <w:r w:rsidR="00B71C53" w:rsidRPr="00B71C53">
        <w:rPr>
          <w:rFonts w:cs="Times New Roman"/>
          <w:lang w:val="en-US"/>
        </w:rPr>
        <w:t>arth observation community</w:t>
      </w:r>
      <w:r w:rsidR="00B71C53">
        <w:rPr>
          <w:rFonts w:cs="Times New Roman"/>
          <w:lang w:val="en-US"/>
        </w:rPr>
        <w:t xml:space="preserve"> (</w:t>
      </w:r>
      <w:r w:rsidR="00B71C53" w:rsidRPr="0061699C">
        <w:rPr>
          <w:rFonts w:cs="Times New Roman"/>
          <w:lang w:val="en-GB"/>
        </w:rPr>
        <w:t>SC63-30</w:t>
      </w:r>
      <w:r w:rsidR="00B71C53">
        <w:rPr>
          <w:rFonts w:cs="Times New Roman"/>
          <w:lang w:val="en-GB"/>
        </w:rPr>
        <w:t>)</w:t>
      </w:r>
      <w:r w:rsidR="00D465D3" w:rsidRPr="00DF0731">
        <w:rPr>
          <w:rFonts w:cs="Times New Roman"/>
          <w:lang w:val="en-GB"/>
        </w:rPr>
        <w:t xml:space="preserve">. </w:t>
      </w:r>
    </w:p>
    <w:p w14:paraId="4D6530FB" w14:textId="77777777" w:rsidR="00D465D3" w:rsidRDefault="00D465D3" w:rsidP="00D465D3">
      <w:pPr>
        <w:spacing w:line="240" w:lineRule="auto"/>
        <w:ind w:left="426" w:hanging="426"/>
        <w:rPr>
          <w:rFonts w:cs="Times New Roman"/>
          <w:lang w:val="en-GB"/>
        </w:rPr>
      </w:pPr>
    </w:p>
    <w:p w14:paraId="3E14E440" w14:textId="426416E1" w:rsidR="00D465D3" w:rsidRDefault="00554E71" w:rsidP="00D465D3">
      <w:pPr>
        <w:spacing w:line="240" w:lineRule="auto"/>
        <w:ind w:left="426" w:hanging="426"/>
        <w:rPr>
          <w:rFonts w:cs="Times New Roman"/>
          <w:lang w:val="en-GB"/>
        </w:rPr>
      </w:pPr>
      <w:r>
        <w:rPr>
          <w:rFonts w:cs="Times New Roman"/>
          <w:lang w:val="en-GB"/>
        </w:rPr>
        <w:t>1</w:t>
      </w:r>
      <w:r w:rsidR="002A18EF">
        <w:rPr>
          <w:rFonts w:cs="Times New Roman"/>
          <w:lang w:val="en-GB"/>
        </w:rPr>
        <w:t>3</w:t>
      </w:r>
      <w:r w:rsidR="00D465D3">
        <w:rPr>
          <w:rFonts w:cs="Times New Roman"/>
          <w:lang w:val="en-GB"/>
        </w:rPr>
        <w:t>.</w:t>
      </w:r>
      <w:r w:rsidR="00D465D3">
        <w:rPr>
          <w:rFonts w:cs="Times New Roman"/>
          <w:lang w:val="en-GB"/>
        </w:rPr>
        <w:tab/>
      </w:r>
      <w:r w:rsidR="00D465D3" w:rsidRPr="00DF0731">
        <w:rPr>
          <w:rFonts w:cs="Times New Roman"/>
          <w:lang w:val="en-GB"/>
        </w:rPr>
        <w:t xml:space="preserve">Progress on each high priority task was tracked through the STRP workspace, with STRP members, observers and National Focal Points contributing to outputs through </w:t>
      </w:r>
      <w:r w:rsidR="001577F0">
        <w:rPr>
          <w:rFonts w:cs="Times New Roman"/>
          <w:lang w:val="en-GB"/>
        </w:rPr>
        <w:t>t</w:t>
      </w:r>
      <w:r w:rsidR="00A97C15">
        <w:rPr>
          <w:rFonts w:cs="Times New Roman"/>
          <w:lang w:val="en-GB"/>
        </w:rPr>
        <w:t xml:space="preserve">ask </w:t>
      </w:r>
      <w:r w:rsidR="00D465D3" w:rsidRPr="00DF0731">
        <w:rPr>
          <w:rFonts w:cs="Times New Roman"/>
          <w:lang w:val="en-GB"/>
        </w:rPr>
        <w:t>groups, consultations and expert reviews. Detailed updates on each task can be found in the Chair</w:t>
      </w:r>
      <w:r w:rsidR="00035943">
        <w:rPr>
          <w:rFonts w:cs="Times New Roman"/>
          <w:lang w:val="en-GB"/>
        </w:rPr>
        <w:t>’</w:t>
      </w:r>
      <w:r w:rsidR="00D465D3" w:rsidRPr="00DF0731">
        <w:rPr>
          <w:rFonts w:cs="Times New Roman"/>
          <w:lang w:val="en-GB"/>
        </w:rPr>
        <w:t xml:space="preserve">s reports to </w:t>
      </w:r>
      <w:r w:rsidR="00A32760">
        <w:rPr>
          <w:rFonts w:ascii="Calibri" w:eastAsia="Calibri" w:hAnsi="Calibri" w:cs="Arial"/>
          <w:lang w:val="en-GB"/>
        </w:rPr>
        <w:t>Standing Committee</w:t>
      </w:r>
      <w:r w:rsidR="00A32760" w:rsidDel="00A32760">
        <w:rPr>
          <w:rFonts w:cs="Times New Roman"/>
          <w:lang w:val="en-GB"/>
        </w:rPr>
        <w:t xml:space="preserve"> </w:t>
      </w:r>
      <w:r w:rsidR="00E00B97">
        <w:rPr>
          <w:rFonts w:cs="Times New Roman"/>
          <w:lang w:val="en-GB"/>
        </w:rPr>
        <w:t>(</w:t>
      </w:r>
      <w:r w:rsidR="00F54966" w:rsidRPr="00F54966">
        <w:rPr>
          <w:rFonts w:cs="Times New Roman"/>
          <w:lang w:val="en-GB"/>
        </w:rPr>
        <w:t>SC62 Doc.19</w:t>
      </w:r>
      <w:r w:rsidR="00D465D3" w:rsidRPr="00DF0731">
        <w:rPr>
          <w:rFonts w:cs="Times New Roman"/>
          <w:lang w:val="en-GB"/>
        </w:rPr>
        <w:t>,</w:t>
      </w:r>
      <w:r w:rsidR="00A32760">
        <w:rPr>
          <w:rFonts w:cs="Times New Roman"/>
          <w:lang w:val="en-GB"/>
        </w:rPr>
        <w:t xml:space="preserve"> </w:t>
      </w:r>
      <w:r w:rsidR="00F54966" w:rsidRPr="00F54966">
        <w:rPr>
          <w:rFonts w:cs="Times New Roman"/>
          <w:lang w:val="en-GB"/>
        </w:rPr>
        <w:t>SC63 Doc.19</w:t>
      </w:r>
      <w:r w:rsidR="00E37678">
        <w:rPr>
          <w:rFonts w:cs="Times New Roman"/>
          <w:lang w:val="en-GB"/>
        </w:rPr>
        <w:t xml:space="preserve">, and </w:t>
      </w:r>
      <w:r w:rsidR="00F54966" w:rsidRPr="00F54966">
        <w:rPr>
          <w:rFonts w:ascii="Calibri" w:eastAsia="Calibri" w:hAnsi="Calibri" w:cs="Arial"/>
          <w:lang w:val="en-GB"/>
        </w:rPr>
        <w:t>SC64 Doc.18</w:t>
      </w:r>
      <w:r w:rsidR="00F54966">
        <w:rPr>
          <w:rStyle w:val="FootnoteReference"/>
        </w:rPr>
        <w:footnoteReference w:id="20"/>
      </w:r>
      <w:r w:rsidR="007D274D">
        <w:rPr>
          <w:rFonts w:ascii="Calibri" w:eastAsia="Calibri" w:hAnsi="Calibri" w:cs="Arial"/>
          <w:lang w:val="en-GB"/>
        </w:rPr>
        <w:t>)</w:t>
      </w:r>
      <w:r w:rsidR="00E37678">
        <w:rPr>
          <w:rFonts w:ascii="Calibri" w:eastAsia="Calibri" w:hAnsi="Calibri" w:cs="Arial"/>
          <w:lang w:val="en-GB"/>
        </w:rPr>
        <w:t>.</w:t>
      </w:r>
    </w:p>
    <w:p w14:paraId="00401D96" w14:textId="77777777" w:rsidR="00E3236E" w:rsidRPr="00E21D17" w:rsidRDefault="00E3236E" w:rsidP="00D465D3">
      <w:pPr>
        <w:spacing w:line="240" w:lineRule="auto"/>
        <w:ind w:left="426" w:hanging="426"/>
        <w:rPr>
          <w:rFonts w:cs="Times New Roman"/>
          <w:lang w:val="en-GB"/>
        </w:rPr>
      </w:pPr>
    </w:p>
    <w:p w14:paraId="006950FC" w14:textId="00B5C3EA" w:rsidR="00E222E4" w:rsidRPr="00E21D17" w:rsidRDefault="00844143" w:rsidP="00470DFF">
      <w:pPr>
        <w:spacing w:line="240" w:lineRule="auto"/>
        <w:ind w:left="426" w:hanging="426"/>
        <w:rPr>
          <w:rFonts w:cs="Times New Roman"/>
          <w:lang w:val="en-GB"/>
        </w:rPr>
      </w:pPr>
      <w:r>
        <w:rPr>
          <w:rFonts w:cs="Times New Roman"/>
          <w:lang w:val="en-GB"/>
        </w:rPr>
        <w:t>1</w:t>
      </w:r>
      <w:r w:rsidR="002A18EF">
        <w:rPr>
          <w:rFonts w:cs="Times New Roman"/>
          <w:lang w:val="en-GB"/>
        </w:rPr>
        <w:t>4</w:t>
      </w:r>
      <w:r w:rsidR="00E222E4" w:rsidRPr="00E21D17">
        <w:rPr>
          <w:rFonts w:cs="Times New Roman"/>
          <w:lang w:val="en-GB"/>
        </w:rPr>
        <w:t>.</w:t>
      </w:r>
      <w:r w:rsidR="00E222E4" w:rsidRPr="00E21D17">
        <w:rPr>
          <w:rFonts w:cs="Times New Roman"/>
          <w:lang w:val="en-GB"/>
        </w:rPr>
        <w:tab/>
      </w:r>
      <w:r w:rsidR="00E21D17">
        <w:rPr>
          <w:rFonts w:cs="Times New Roman"/>
          <w:lang w:val="en-GB"/>
        </w:rPr>
        <w:t>The</w:t>
      </w:r>
      <w:r w:rsidR="00E222E4" w:rsidRPr="00E21D17">
        <w:rPr>
          <w:rFonts w:cs="Times New Roman"/>
          <w:lang w:val="en-GB"/>
        </w:rPr>
        <w:t xml:space="preserve"> list of </w:t>
      </w:r>
      <w:r w:rsidR="00ED2E01" w:rsidRPr="00E21D17">
        <w:rPr>
          <w:rFonts w:cs="Times New Roman"/>
          <w:lang w:val="en-GB"/>
        </w:rPr>
        <w:t>STRP outputs produced during the 2023-2025 triennium</w:t>
      </w:r>
      <w:r w:rsidR="00D73943">
        <w:rPr>
          <w:rFonts w:cs="Times New Roman"/>
          <w:lang w:val="en-GB"/>
        </w:rPr>
        <w:t xml:space="preserve"> is contained within Annex 1 of the </w:t>
      </w:r>
      <w:r w:rsidR="00337299">
        <w:rPr>
          <w:rFonts w:cs="Times New Roman"/>
          <w:lang w:val="en-GB"/>
        </w:rPr>
        <w:t>d</w:t>
      </w:r>
      <w:r w:rsidR="00D73943">
        <w:rPr>
          <w:rFonts w:cs="Times New Roman"/>
          <w:lang w:val="en-GB"/>
        </w:rPr>
        <w:t xml:space="preserve">raft </w:t>
      </w:r>
      <w:r w:rsidR="00337299">
        <w:rPr>
          <w:rFonts w:cs="Times New Roman"/>
          <w:lang w:val="en-GB"/>
        </w:rPr>
        <w:t>r</w:t>
      </w:r>
      <w:r w:rsidR="00D73943">
        <w:rPr>
          <w:rFonts w:cs="Times New Roman"/>
          <w:lang w:val="en-GB"/>
        </w:rPr>
        <w:t xml:space="preserve">esolution on </w:t>
      </w:r>
      <w:r w:rsidR="00D73943" w:rsidRPr="00901A0E">
        <w:rPr>
          <w:rFonts w:cs="Times New Roman"/>
          <w:i/>
          <w:iCs/>
          <w:lang w:val="en-GB"/>
        </w:rPr>
        <w:t>the</w:t>
      </w:r>
      <w:r w:rsidR="00470DFF" w:rsidRPr="00901A0E">
        <w:rPr>
          <w:i/>
          <w:iCs/>
          <w:lang w:val="en-US"/>
        </w:rPr>
        <w:t xml:space="preserve"> </w:t>
      </w:r>
      <w:r w:rsidR="00470DFF" w:rsidRPr="00901A0E">
        <w:rPr>
          <w:rFonts w:cs="Times New Roman"/>
          <w:i/>
          <w:iCs/>
          <w:lang w:val="en-GB"/>
        </w:rPr>
        <w:t>future implementation of scientific and technical aspects of the Convention for 202</w:t>
      </w:r>
      <w:r w:rsidR="008F42F0">
        <w:rPr>
          <w:rFonts w:cs="Times New Roman"/>
          <w:i/>
          <w:iCs/>
          <w:lang w:val="en-GB"/>
        </w:rPr>
        <w:t>5</w:t>
      </w:r>
      <w:r w:rsidR="00470DFF" w:rsidRPr="00901A0E">
        <w:rPr>
          <w:rFonts w:cs="Times New Roman"/>
          <w:i/>
          <w:iCs/>
          <w:lang w:val="en-GB"/>
        </w:rPr>
        <w:t>-2028</w:t>
      </w:r>
      <w:r w:rsidR="00D73943">
        <w:rPr>
          <w:rFonts w:cs="Times New Roman"/>
          <w:lang w:val="en-GB"/>
        </w:rPr>
        <w:t xml:space="preserve"> </w:t>
      </w:r>
      <w:r w:rsidR="002A2D1A">
        <w:rPr>
          <w:rFonts w:cs="Times New Roman"/>
          <w:lang w:val="en-GB"/>
        </w:rPr>
        <w:t>(</w:t>
      </w:r>
      <w:r w:rsidR="00F54966" w:rsidRPr="00F54966">
        <w:rPr>
          <w:rFonts w:cs="Times New Roman"/>
          <w:lang w:val="en-GB"/>
        </w:rPr>
        <w:t>COP15 Doc.23.10</w:t>
      </w:r>
      <w:r w:rsidR="00F54966">
        <w:rPr>
          <w:rStyle w:val="FootnoteReference"/>
          <w:rFonts w:cs="Times New Roman"/>
          <w:lang w:val="en-GB"/>
        </w:rPr>
        <w:footnoteReference w:id="21"/>
      </w:r>
      <w:r w:rsidR="001F6549">
        <w:rPr>
          <w:rFonts w:cs="Times New Roman"/>
          <w:lang w:val="en-GB"/>
        </w:rPr>
        <w:t>)</w:t>
      </w:r>
      <w:r w:rsidR="00ED2E01" w:rsidRPr="00E21D17">
        <w:rPr>
          <w:rFonts w:cs="Times New Roman"/>
          <w:lang w:val="en-GB"/>
        </w:rPr>
        <w:t>.</w:t>
      </w:r>
      <w:r w:rsidR="00C606F7">
        <w:rPr>
          <w:rFonts w:cs="Times New Roman"/>
          <w:lang w:val="en-GB"/>
        </w:rPr>
        <w:t xml:space="preserve"> </w:t>
      </w:r>
      <w:r w:rsidR="00A74772" w:rsidRPr="00A74772">
        <w:rPr>
          <w:rFonts w:cs="Times New Roman"/>
          <w:lang w:val="en-GB"/>
        </w:rPr>
        <w:t xml:space="preserve">The </w:t>
      </w:r>
      <w:r w:rsidR="00337299">
        <w:rPr>
          <w:rFonts w:cs="Times New Roman"/>
          <w:lang w:val="en-GB"/>
        </w:rPr>
        <w:t>draft resolution</w:t>
      </w:r>
      <w:r w:rsidR="00337299" w:rsidRPr="00A74772">
        <w:rPr>
          <w:rFonts w:cs="Times New Roman"/>
          <w:lang w:val="en-GB"/>
        </w:rPr>
        <w:t xml:space="preserve"> </w:t>
      </w:r>
      <w:r w:rsidR="00A74772" w:rsidRPr="00A74772">
        <w:rPr>
          <w:rFonts w:cs="Times New Roman"/>
          <w:lang w:val="en-GB"/>
        </w:rPr>
        <w:t>does not yet reflect STRP outputs still under preparation.</w:t>
      </w:r>
    </w:p>
    <w:p w14:paraId="79F3C764" w14:textId="77777777" w:rsidR="00D465D3" w:rsidRDefault="00D465D3" w:rsidP="00F543D2">
      <w:pPr>
        <w:spacing w:line="240" w:lineRule="auto"/>
        <w:ind w:left="426" w:hanging="426"/>
        <w:rPr>
          <w:rFonts w:cs="Times New Roman"/>
          <w:lang w:val="en-GB"/>
        </w:rPr>
      </w:pPr>
    </w:p>
    <w:p w14:paraId="108D3554" w14:textId="5829A24D" w:rsidR="003E5B8A" w:rsidRPr="003E5B8A" w:rsidRDefault="00337299" w:rsidP="00F54966">
      <w:pPr>
        <w:keepNext/>
        <w:suppressLineNumbers/>
        <w:suppressAutoHyphens/>
        <w:spacing w:line="240" w:lineRule="auto"/>
        <w:rPr>
          <w:rFonts w:ascii="Calibri" w:eastAsia="Calibri" w:hAnsi="Calibri" w:cs="Arial"/>
          <w:b/>
          <w:lang w:val="en-GB"/>
        </w:rPr>
      </w:pPr>
      <w:r w:rsidRPr="003E5B8A">
        <w:rPr>
          <w:rFonts w:ascii="Calibri" w:eastAsia="Calibri" w:hAnsi="Calibri" w:cs="Arial"/>
          <w:b/>
          <w:lang w:val="en-GB"/>
        </w:rPr>
        <w:lastRenderedPageBreak/>
        <w:t>Ad</w:t>
      </w:r>
      <w:r>
        <w:rPr>
          <w:rFonts w:ascii="Calibri" w:eastAsia="Calibri" w:hAnsi="Calibri" w:cs="Arial"/>
          <w:b/>
          <w:lang w:val="en-GB"/>
        </w:rPr>
        <w:t>-</w:t>
      </w:r>
      <w:r w:rsidR="003E5B8A" w:rsidRPr="003E5B8A">
        <w:rPr>
          <w:rFonts w:ascii="Calibri" w:eastAsia="Calibri" w:hAnsi="Calibri" w:cs="Arial"/>
          <w:b/>
          <w:lang w:val="en-GB"/>
        </w:rPr>
        <w:t xml:space="preserve">hoc advice and other requests </w:t>
      </w:r>
    </w:p>
    <w:p w14:paraId="7DB3C9E4" w14:textId="77777777" w:rsidR="003E5B8A" w:rsidRDefault="003E5B8A" w:rsidP="00F54966">
      <w:pPr>
        <w:keepNext/>
        <w:spacing w:line="240" w:lineRule="auto"/>
        <w:ind w:left="426" w:hanging="426"/>
        <w:rPr>
          <w:rFonts w:cs="Times New Roman"/>
          <w:lang w:val="en-GB"/>
        </w:rPr>
      </w:pPr>
    </w:p>
    <w:p w14:paraId="73F7D133" w14:textId="504449F3" w:rsidR="003E5B8A" w:rsidRPr="003E5B8A" w:rsidRDefault="003E5B8A" w:rsidP="003E5B8A">
      <w:pPr>
        <w:spacing w:line="240" w:lineRule="auto"/>
        <w:ind w:left="426" w:hanging="426"/>
        <w:rPr>
          <w:rFonts w:cs="Times New Roman"/>
          <w:lang w:val="en-GB"/>
        </w:rPr>
      </w:pPr>
      <w:r>
        <w:rPr>
          <w:rFonts w:cs="Times New Roman"/>
          <w:lang w:val="en-GB"/>
        </w:rPr>
        <w:t>1</w:t>
      </w:r>
      <w:r w:rsidR="002A18EF">
        <w:rPr>
          <w:rFonts w:cs="Times New Roman"/>
          <w:lang w:val="en-GB"/>
        </w:rPr>
        <w:t>5</w:t>
      </w:r>
      <w:r>
        <w:rPr>
          <w:rFonts w:cs="Times New Roman"/>
          <w:lang w:val="en-GB"/>
        </w:rPr>
        <w:t>.</w:t>
      </w:r>
      <w:r>
        <w:rPr>
          <w:rFonts w:cs="Times New Roman"/>
          <w:lang w:val="en-GB"/>
        </w:rPr>
        <w:tab/>
      </w:r>
      <w:r w:rsidRPr="003E5B8A">
        <w:rPr>
          <w:rFonts w:cs="Times New Roman"/>
          <w:lang w:val="en-GB"/>
        </w:rPr>
        <w:t xml:space="preserve">In addition to the scheduled tasks under the STRP Work Plan 2023-2025, the Panel responded to </w:t>
      </w:r>
      <w:r w:rsidR="00981F0A" w:rsidRPr="003E5B8A">
        <w:rPr>
          <w:rFonts w:cs="Times New Roman"/>
          <w:lang w:val="en-GB"/>
        </w:rPr>
        <w:t>several</w:t>
      </w:r>
      <w:r w:rsidRPr="003E5B8A">
        <w:rPr>
          <w:rFonts w:cs="Times New Roman"/>
          <w:lang w:val="en-GB"/>
        </w:rPr>
        <w:t xml:space="preserve"> </w:t>
      </w:r>
      <w:r w:rsidR="00337299" w:rsidRPr="003E5B8A">
        <w:rPr>
          <w:rFonts w:cs="Times New Roman"/>
          <w:lang w:val="en-GB"/>
        </w:rPr>
        <w:t>ad</w:t>
      </w:r>
      <w:r w:rsidR="00337299">
        <w:rPr>
          <w:rFonts w:cs="Times New Roman"/>
          <w:lang w:val="en-GB"/>
        </w:rPr>
        <w:t>-</w:t>
      </w:r>
      <w:r w:rsidRPr="003E5B8A">
        <w:rPr>
          <w:rFonts w:cs="Times New Roman"/>
          <w:lang w:val="en-GB"/>
        </w:rPr>
        <w:t>hoc requests and provided advice on matters of scientific and technical relevance raised by the Standing Committee. These included</w:t>
      </w:r>
      <w:r>
        <w:rPr>
          <w:rFonts w:cs="Times New Roman"/>
          <w:lang w:val="en-GB"/>
        </w:rPr>
        <w:t>:</w:t>
      </w:r>
    </w:p>
    <w:p w14:paraId="05218C7D" w14:textId="77777777" w:rsidR="003E5B8A" w:rsidRPr="003E5B8A" w:rsidRDefault="003E5B8A" w:rsidP="003E5B8A">
      <w:pPr>
        <w:spacing w:line="240" w:lineRule="auto"/>
        <w:ind w:left="426" w:hanging="426"/>
        <w:rPr>
          <w:rFonts w:cs="Times New Roman"/>
          <w:lang w:val="en-GB"/>
        </w:rPr>
      </w:pPr>
    </w:p>
    <w:p w14:paraId="26FDF2C5" w14:textId="358273B0" w:rsidR="003E5B8A" w:rsidRDefault="003E5B8A" w:rsidP="00774D2B">
      <w:pPr>
        <w:suppressLineNumbers/>
        <w:suppressAutoHyphens/>
        <w:spacing w:line="240" w:lineRule="auto"/>
        <w:ind w:left="850" w:hanging="432"/>
        <w:contextualSpacing/>
        <w:rPr>
          <w:rFonts w:cs="Times New Roman"/>
          <w:lang w:val="en-GB"/>
        </w:rPr>
      </w:pPr>
      <w:r>
        <w:rPr>
          <w:rFonts w:cs="Times New Roman"/>
          <w:lang w:val="en-GB"/>
        </w:rPr>
        <w:t>a.</w:t>
      </w:r>
      <w:r>
        <w:rPr>
          <w:rFonts w:cs="Times New Roman"/>
          <w:lang w:val="en-GB"/>
        </w:rPr>
        <w:tab/>
      </w:r>
      <w:r w:rsidR="00AC5EF5">
        <w:rPr>
          <w:rFonts w:cs="Times New Roman"/>
          <w:lang w:val="en-GB"/>
        </w:rPr>
        <w:t>P</w:t>
      </w:r>
      <w:r w:rsidRPr="003E5B8A">
        <w:rPr>
          <w:rFonts w:cs="Times New Roman"/>
          <w:lang w:val="en-GB"/>
        </w:rPr>
        <w:t xml:space="preserve">lanning for a two-phase </w:t>
      </w:r>
      <w:r w:rsidR="00544AB7">
        <w:rPr>
          <w:rFonts w:cs="Times New Roman"/>
          <w:lang w:val="en-GB"/>
        </w:rPr>
        <w:t xml:space="preserve">technical </w:t>
      </w:r>
      <w:r w:rsidRPr="003E5B8A">
        <w:rPr>
          <w:rFonts w:cs="Times New Roman"/>
          <w:lang w:val="en-GB"/>
        </w:rPr>
        <w:t xml:space="preserve">review </w:t>
      </w:r>
      <w:r w:rsidR="00AC5EF5">
        <w:rPr>
          <w:rFonts w:cs="Times New Roman"/>
          <w:lang w:val="en-GB"/>
        </w:rPr>
        <w:t xml:space="preserve">of </w:t>
      </w:r>
      <w:r w:rsidR="00AC5EF5" w:rsidRPr="003E5B8A">
        <w:rPr>
          <w:rFonts w:cs="Times New Roman"/>
          <w:lang w:val="en-GB"/>
        </w:rPr>
        <w:t xml:space="preserve">the </w:t>
      </w:r>
      <w:r w:rsidR="00AC5EF5">
        <w:rPr>
          <w:rFonts w:cs="Times New Roman"/>
          <w:lang w:val="en-GB"/>
        </w:rPr>
        <w:t>Convention</w:t>
      </w:r>
      <w:r w:rsidR="00035943">
        <w:rPr>
          <w:rFonts w:cs="Times New Roman"/>
          <w:lang w:val="en-GB"/>
        </w:rPr>
        <w:t>’</w:t>
      </w:r>
      <w:r w:rsidR="00AC5EF5">
        <w:rPr>
          <w:rFonts w:cs="Times New Roman"/>
          <w:lang w:val="en-GB"/>
        </w:rPr>
        <w:t>s</w:t>
      </w:r>
      <w:r w:rsidR="00AC5EF5" w:rsidRPr="003E5B8A">
        <w:rPr>
          <w:rFonts w:cs="Times New Roman"/>
          <w:lang w:val="en-GB"/>
        </w:rPr>
        <w:t xml:space="preserve"> wetland classification system</w:t>
      </w:r>
      <w:r w:rsidR="0068211C">
        <w:rPr>
          <w:rFonts w:cs="Times New Roman"/>
          <w:lang w:val="en-GB"/>
        </w:rPr>
        <w:t xml:space="preserve">, </w:t>
      </w:r>
      <w:r w:rsidRPr="003E5B8A">
        <w:rPr>
          <w:rFonts w:cs="Times New Roman"/>
          <w:lang w:val="en-GB"/>
        </w:rPr>
        <w:t>to be carried out during the next triennium</w:t>
      </w:r>
      <w:r w:rsidR="001E2D1A">
        <w:rPr>
          <w:rFonts w:cs="Times New Roman"/>
          <w:lang w:val="en-GB"/>
        </w:rPr>
        <w:t xml:space="preserve"> (</w:t>
      </w:r>
      <w:r w:rsidR="00F54966" w:rsidRPr="00F54966">
        <w:rPr>
          <w:rFonts w:cs="Times New Roman"/>
          <w:lang w:val="en-GB"/>
        </w:rPr>
        <w:t>Annex 1, SC63 Doc.19</w:t>
      </w:r>
      <w:r w:rsidR="00F54966">
        <w:rPr>
          <w:rStyle w:val="FootnoteReference"/>
          <w:rFonts w:cs="Times New Roman"/>
          <w:lang w:val="en-GB"/>
        </w:rPr>
        <w:footnoteReference w:id="22"/>
      </w:r>
      <w:r w:rsidR="001E2D1A">
        <w:rPr>
          <w:rFonts w:cs="Times New Roman"/>
          <w:lang w:val="en-GB"/>
        </w:rPr>
        <w:t>)</w:t>
      </w:r>
      <w:r w:rsidR="00337299">
        <w:rPr>
          <w:rFonts w:cs="Times New Roman"/>
          <w:lang w:val="en-GB"/>
        </w:rPr>
        <w:t>;</w:t>
      </w:r>
    </w:p>
    <w:p w14:paraId="73174DBB" w14:textId="7A05A743" w:rsidR="003E5B8A" w:rsidRPr="003E5B8A" w:rsidRDefault="00BA1167" w:rsidP="00774D2B">
      <w:pPr>
        <w:suppressLineNumbers/>
        <w:suppressAutoHyphens/>
        <w:spacing w:line="240" w:lineRule="auto"/>
        <w:ind w:left="850" w:hanging="432"/>
        <w:contextualSpacing/>
        <w:rPr>
          <w:rFonts w:cs="Times New Roman"/>
          <w:lang w:val="en-GB"/>
        </w:rPr>
      </w:pPr>
      <w:r>
        <w:rPr>
          <w:rFonts w:cs="Times New Roman"/>
          <w:lang w:val="en-GB"/>
        </w:rPr>
        <w:t>b.</w:t>
      </w:r>
      <w:r>
        <w:rPr>
          <w:rFonts w:cs="Times New Roman"/>
          <w:lang w:val="en-GB"/>
        </w:rPr>
        <w:tab/>
      </w:r>
      <w:r w:rsidR="003E5B8A" w:rsidRPr="003E5B8A">
        <w:rPr>
          <w:rFonts w:cs="Times New Roman"/>
          <w:lang w:val="en-GB"/>
        </w:rPr>
        <w:t>Support to the St</w:t>
      </w:r>
      <w:r w:rsidR="00C40168">
        <w:rPr>
          <w:rFonts w:cs="Times New Roman"/>
          <w:lang w:val="en-GB"/>
        </w:rPr>
        <w:t>rategic Plan</w:t>
      </w:r>
      <w:r w:rsidR="003E5B8A" w:rsidRPr="003E5B8A">
        <w:rPr>
          <w:rFonts w:cs="Times New Roman"/>
          <w:lang w:val="en-GB"/>
        </w:rPr>
        <w:t xml:space="preserve"> Working Group including </w:t>
      </w:r>
      <w:r w:rsidR="00D15441">
        <w:rPr>
          <w:rFonts w:cs="Times New Roman"/>
          <w:lang w:val="en-GB"/>
        </w:rPr>
        <w:t xml:space="preserve">the </w:t>
      </w:r>
      <w:r w:rsidR="00E800DE">
        <w:rPr>
          <w:rFonts w:cs="Times New Roman"/>
          <w:lang w:val="en-GB"/>
        </w:rPr>
        <w:t xml:space="preserve">development of </w:t>
      </w:r>
      <w:r w:rsidR="00337299">
        <w:rPr>
          <w:rFonts w:cs="Times New Roman"/>
          <w:lang w:val="en-GB"/>
        </w:rPr>
        <w:t>the</w:t>
      </w:r>
      <w:r w:rsidR="00337299" w:rsidRPr="00D15441">
        <w:rPr>
          <w:rFonts w:cs="Times New Roman"/>
          <w:lang w:val="en-GB"/>
        </w:rPr>
        <w:t xml:space="preserve"> </w:t>
      </w:r>
      <w:r w:rsidR="00D15441" w:rsidRPr="003B3181">
        <w:rPr>
          <w:rFonts w:cs="Times New Roman"/>
          <w:i/>
          <w:iCs/>
          <w:lang w:val="en-GB"/>
        </w:rPr>
        <w:t>Draft Indicator Framework for the 5th Strategic Plan of the Convention on Wetlands: Preliminary STRP advice</w:t>
      </w:r>
      <w:r w:rsidR="00E800DE" w:rsidRPr="003B3181">
        <w:rPr>
          <w:rFonts w:cs="Times New Roman"/>
          <w:i/>
          <w:iCs/>
          <w:lang w:val="en-GB"/>
        </w:rPr>
        <w:t xml:space="preserve"> </w:t>
      </w:r>
      <w:r w:rsidR="00E800DE">
        <w:rPr>
          <w:rFonts w:cs="Times New Roman"/>
          <w:lang w:val="en-GB"/>
        </w:rPr>
        <w:t>(</w:t>
      </w:r>
      <w:r w:rsidR="00F54966" w:rsidRPr="00F54966">
        <w:rPr>
          <w:rFonts w:cs="Times New Roman"/>
          <w:lang w:val="en-GB"/>
        </w:rPr>
        <w:t>SC64 Inf.3</w:t>
      </w:r>
      <w:r w:rsidR="00337299">
        <w:rPr>
          <w:rStyle w:val="FootnoteReference"/>
          <w:rFonts w:cs="Times New Roman"/>
          <w:lang w:val="en-GB"/>
        </w:rPr>
        <w:footnoteReference w:id="23"/>
      </w:r>
      <w:r w:rsidR="00337299">
        <w:rPr>
          <w:rFonts w:cs="Times New Roman"/>
          <w:lang w:val="en-GB"/>
        </w:rPr>
        <w:t>);</w:t>
      </w:r>
    </w:p>
    <w:p w14:paraId="003923C5" w14:textId="78B39F31" w:rsidR="00BA1167" w:rsidRDefault="00BA1167" w:rsidP="00774D2B">
      <w:pPr>
        <w:suppressLineNumbers/>
        <w:suppressAutoHyphens/>
        <w:spacing w:line="240" w:lineRule="auto"/>
        <w:ind w:left="850" w:hanging="432"/>
        <w:contextualSpacing/>
        <w:rPr>
          <w:rFonts w:cs="Times New Roman"/>
          <w:lang w:val="en-GB"/>
        </w:rPr>
      </w:pPr>
      <w:r>
        <w:rPr>
          <w:rFonts w:cs="Times New Roman"/>
          <w:lang w:val="en-GB"/>
        </w:rPr>
        <w:t>c.</w:t>
      </w:r>
      <w:r>
        <w:rPr>
          <w:rFonts w:cs="Times New Roman"/>
          <w:lang w:val="en-GB"/>
        </w:rPr>
        <w:tab/>
      </w:r>
      <w:r w:rsidR="00901A0E">
        <w:rPr>
          <w:rFonts w:cs="Times New Roman"/>
          <w:lang w:val="en-GB"/>
        </w:rPr>
        <w:t>Provision of a</w:t>
      </w:r>
      <w:r w:rsidR="00901A0E" w:rsidRPr="003E5B8A">
        <w:rPr>
          <w:rFonts w:cs="Times New Roman"/>
          <w:lang w:val="en-GB"/>
        </w:rPr>
        <w:t xml:space="preserve">dvice </w:t>
      </w:r>
      <w:r w:rsidR="00524CE4">
        <w:rPr>
          <w:rFonts w:cs="Times New Roman"/>
          <w:lang w:val="en-GB"/>
        </w:rPr>
        <w:t xml:space="preserve">to the </w:t>
      </w:r>
      <w:r w:rsidR="00A91449">
        <w:rPr>
          <w:rFonts w:cs="Times New Roman"/>
          <w:lang w:val="en-GB"/>
        </w:rPr>
        <w:t>W</w:t>
      </w:r>
      <w:r w:rsidR="00337299">
        <w:rPr>
          <w:rFonts w:cs="Times New Roman"/>
          <w:lang w:val="en-GB"/>
        </w:rPr>
        <w:t xml:space="preserve">orking </w:t>
      </w:r>
      <w:r w:rsidR="00A91449">
        <w:rPr>
          <w:rFonts w:cs="Times New Roman"/>
          <w:lang w:val="en-GB"/>
        </w:rPr>
        <w:t>G</w:t>
      </w:r>
      <w:r w:rsidR="00337299">
        <w:rPr>
          <w:rFonts w:cs="Times New Roman"/>
          <w:lang w:val="en-GB"/>
        </w:rPr>
        <w:t>roup</w:t>
      </w:r>
      <w:r w:rsidR="00524CE4">
        <w:rPr>
          <w:rFonts w:cs="Times New Roman"/>
          <w:lang w:val="en-GB"/>
        </w:rPr>
        <w:t xml:space="preserve"> </w:t>
      </w:r>
      <w:r w:rsidR="003E5B8A" w:rsidRPr="003E5B8A">
        <w:rPr>
          <w:rFonts w:cs="Times New Roman"/>
          <w:lang w:val="en-GB"/>
        </w:rPr>
        <w:t xml:space="preserve">on </w:t>
      </w:r>
      <w:r w:rsidR="00CF437B">
        <w:rPr>
          <w:rFonts w:cs="Times New Roman"/>
          <w:lang w:val="en-GB"/>
        </w:rPr>
        <w:t>RIS U</w:t>
      </w:r>
      <w:r w:rsidR="003E5B8A" w:rsidRPr="003E5B8A">
        <w:rPr>
          <w:rFonts w:cs="Times New Roman"/>
          <w:lang w:val="en-GB"/>
        </w:rPr>
        <w:t>pdating, in particular on aligning RIS fields with current scientific standards and reporting requirements</w:t>
      </w:r>
      <w:r w:rsidR="00337299">
        <w:rPr>
          <w:rFonts w:cs="Times New Roman"/>
          <w:lang w:val="en-GB"/>
        </w:rPr>
        <w:t>;</w:t>
      </w:r>
    </w:p>
    <w:p w14:paraId="6D919954" w14:textId="4FF75A91" w:rsidR="00BA1167" w:rsidRDefault="00BA1167" w:rsidP="00774D2B">
      <w:pPr>
        <w:suppressLineNumbers/>
        <w:suppressAutoHyphens/>
        <w:spacing w:line="240" w:lineRule="auto"/>
        <w:ind w:left="850" w:hanging="432"/>
        <w:contextualSpacing/>
        <w:rPr>
          <w:rFonts w:cs="Times New Roman"/>
          <w:lang w:val="en-GB"/>
        </w:rPr>
      </w:pPr>
      <w:r>
        <w:rPr>
          <w:rFonts w:cs="Times New Roman"/>
          <w:lang w:val="en-GB"/>
        </w:rPr>
        <w:t>d.</w:t>
      </w:r>
      <w:r>
        <w:rPr>
          <w:rFonts w:cs="Times New Roman"/>
          <w:lang w:val="en-GB"/>
        </w:rPr>
        <w:tab/>
      </w:r>
      <w:r w:rsidR="00DC7AD6">
        <w:rPr>
          <w:rFonts w:cs="Times New Roman"/>
          <w:lang w:val="en-GB"/>
        </w:rPr>
        <w:t>Organi</w:t>
      </w:r>
      <w:r w:rsidR="00035943">
        <w:rPr>
          <w:rFonts w:cs="Times New Roman"/>
          <w:lang w:val="en-GB"/>
        </w:rPr>
        <w:t>z</w:t>
      </w:r>
      <w:r w:rsidR="00901A0E">
        <w:rPr>
          <w:rFonts w:cs="Times New Roman"/>
          <w:lang w:val="en-GB"/>
        </w:rPr>
        <w:t>ation of</w:t>
      </w:r>
      <w:r w:rsidR="00DC7AD6">
        <w:rPr>
          <w:rFonts w:cs="Times New Roman"/>
          <w:lang w:val="en-GB"/>
        </w:rPr>
        <w:t xml:space="preserve"> </w:t>
      </w:r>
      <w:r w:rsidR="003E5B8A" w:rsidRPr="003E5B8A">
        <w:rPr>
          <w:rFonts w:cs="Times New Roman"/>
          <w:lang w:val="en-GB"/>
        </w:rPr>
        <w:t xml:space="preserve">the Earth </w:t>
      </w:r>
      <w:r w:rsidR="004F62E4">
        <w:rPr>
          <w:rFonts w:cs="Times New Roman"/>
          <w:lang w:val="en-GB"/>
        </w:rPr>
        <w:t>o</w:t>
      </w:r>
      <w:r w:rsidR="004F62E4" w:rsidRPr="003E5B8A">
        <w:rPr>
          <w:rFonts w:cs="Times New Roman"/>
          <w:lang w:val="en-GB"/>
        </w:rPr>
        <w:t xml:space="preserve">bservation </w:t>
      </w:r>
      <w:r w:rsidR="00337299">
        <w:rPr>
          <w:rFonts w:cs="Times New Roman"/>
          <w:lang w:val="en-GB"/>
        </w:rPr>
        <w:t xml:space="preserve">(EO) </w:t>
      </w:r>
      <w:r w:rsidR="003E5B8A" w:rsidRPr="003E5B8A">
        <w:rPr>
          <w:rFonts w:cs="Times New Roman"/>
          <w:lang w:val="en-GB"/>
        </w:rPr>
        <w:t>consultation</w:t>
      </w:r>
      <w:r w:rsidR="007E60A0">
        <w:rPr>
          <w:rFonts w:cs="Times New Roman"/>
          <w:lang w:val="en-GB"/>
        </w:rPr>
        <w:t>, together with the Secretariat</w:t>
      </w:r>
      <w:r w:rsidR="003E5B8A" w:rsidRPr="003E5B8A">
        <w:rPr>
          <w:rFonts w:cs="Times New Roman"/>
          <w:lang w:val="en-GB"/>
        </w:rPr>
        <w:t>, including interviews, expert engagement and development of draft recommendations for enhanced use of EO in wetland inventory and monitoring</w:t>
      </w:r>
      <w:r w:rsidR="0010000E">
        <w:rPr>
          <w:rFonts w:cs="Times New Roman"/>
          <w:lang w:val="en-GB"/>
        </w:rPr>
        <w:t xml:space="preserve"> (see Annex 2</w:t>
      </w:r>
      <w:r w:rsidR="00337299">
        <w:rPr>
          <w:rFonts w:cs="Times New Roman"/>
          <w:lang w:val="en-GB"/>
        </w:rPr>
        <w:t>);</w:t>
      </w:r>
    </w:p>
    <w:p w14:paraId="1238A7F4" w14:textId="026910C6" w:rsidR="003E5B8A" w:rsidRDefault="00BA1167" w:rsidP="00774D2B">
      <w:pPr>
        <w:suppressLineNumbers/>
        <w:suppressAutoHyphens/>
        <w:spacing w:line="240" w:lineRule="auto"/>
        <w:ind w:left="850" w:hanging="432"/>
        <w:contextualSpacing/>
        <w:rPr>
          <w:rFonts w:cs="Times New Roman"/>
          <w:lang w:val="en-GB"/>
        </w:rPr>
      </w:pPr>
      <w:r>
        <w:rPr>
          <w:rFonts w:cs="Times New Roman"/>
          <w:lang w:val="en-GB"/>
        </w:rPr>
        <w:t>e.</w:t>
      </w:r>
      <w:r>
        <w:rPr>
          <w:rFonts w:cs="Times New Roman"/>
          <w:lang w:val="en-GB"/>
        </w:rPr>
        <w:tab/>
      </w:r>
      <w:r w:rsidR="00385753">
        <w:rPr>
          <w:rFonts w:cs="Times New Roman"/>
          <w:lang w:val="en-GB"/>
        </w:rPr>
        <w:t xml:space="preserve">Review of </w:t>
      </w:r>
      <w:r w:rsidR="00765F90">
        <w:rPr>
          <w:rFonts w:cs="Times New Roman"/>
          <w:lang w:val="en-GB"/>
        </w:rPr>
        <w:t xml:space="preserve">proposed </w:t>
      </w:r>
      <w:r w:rsidR="00385753">
        <w:rPr>
          <w:rFonts w:cs="Times New Roman"/>
          <w:lang w:val="en-GB"/>
        </w:rPr>
        <w:t>draft resolutions submitted by Contracting Parties that contained scientific and technical content</w:t>
      </w:r>
      <w:r w:rsidR="00252DF1">
        <w:rPr>
          <w:rFonts w:cs="Times New Roman"/>
          <w:lang w:val="en-GB"/>
        </w:rPr>
        <w:t xml:space="preserve">, including: </w:t>
      </w:r>
      <w:r w:rsidR="005B0B7D" w:rsidRPr="005B0B7D">
        <w:rPr>
          <w:rFonts w:cs="Times New Roman"/>
          <w:lang w:val="en-GB"/>
        </w:rPr>
        <w:t xml:space="preserve">SC64 Doc.29.2 on </w:t>
      </w:r>
      <w:r w:rsidR="005B0B7D" w:rsidRPr="003B3181">
        <w:rPr>
          <w:rFonts w:cs="Times New Roman"/>
          <w:i/>
          <w:iCs/>
          <w:lang w:val="en-GB"/>
        </w:rPr>
        <w:t>restoration of degraded freshwater ecosystems and the Freshwater Challenge</w:t>
      </w:r>
      <w:r w:rsidR="005B0B7D" w:rsidRPr="005B0B7D">
        <w:rPr>
          <w:rFonts w:cs="Times New Roman"/>
          <w:lang w:val="en-GB"/>
        </w:rPr>
        <w:t>; SC64 Doc.29.</w:t>
      </w:r>
      <w:r w:rsidR="00C91E5F">
        <w:rPr>
          <w:rFonts w:cs="Times New Roman"/>
          <w:lang w:val="en-GB"/>
        </w:rPr>
        <w:t>4</w:t>
      </w:r>
      <w:r w:rsidR="00C91E5F" w:rsidRPr="005B0B7D">
        <w:rPr>
          <w:rFonts w:cs="Times New Roman"/>
          <w:lang w:val="en-GB"/>
        </w:rPr>
        <w:t xml:space="preserve"> </w:t>
      </w:r>
      <w:r w:rsidR="005B0B7D" w:rsidRPr="005B0B7D">
        <w:rPr>
          <w:rFonts w:cs="Times New Roman"/>
          <w:lang w:val="en-GB"/>
        </w:rPr>
        <w:t xml:space="preserve">on </w:t>
      </w:r>
      <w:r w:rsidR="005B0B7D" w:rsidRPr="003B3181">
        <w:rPr>
          <w:rFonts w:cs="Times New Roman"/>
          <w:i/>
          <w:iCs/>
          <w:lang w:val="en-GB"/>
        </w:rPr>
        <w:t>promoting incorporation of frontier technology and traditional ecological knowledge</w:t>
      </w:r>
      <w:r w:rsidR="005B0B7D" w:rsidRPr="005B0B7D">
        <w:rPr>
          <w:rFonts w:cs="Times New Roman"/>
          <w:lang w:val="en-GB"/>
        </w:rPr>
        <w:t>; SC64 Doc.29.</w:t>
      </w:r>
      <w:r w:rsidR="00C91E5F">
        <w:rPr>
          <w:rFonts w:cs="Times New Roman"/>
          <w:lang w:val="en-GB"/>
        </w:rPr>
        <w:t xml:space="preserve">5 </w:t>
      </w:r>
      <w:r w:rsidR="005B0B7D" w:rsidRPr="005B0B7D">
        <w:rPr>
          <w:rFonts w:cs="Times New Roman"/>
          <w:lang w:val="en-GB"/>
        </w:rPr>
        <w:t xml:space="preserve">on </w:t>
      </w:r>
      <w:r w:rsidR="005B0B7D" w:rsidRPr="003B3181">
        <w:rPr>
          <w:rFonts w:cs="Times New Roman"/>
          <w:i/>
          <w:iCs/>
          <w:lang w:val="en-GB"/>
        </w:rPr>
        <w:t>achieving equitable and effective conservation of wetlands as protected areas and OECMs</w:t>
      </w:r>
      <w:r w:rsidR="005B0B7D" w:rsidRPr="005B0B7D">
        <w:rPr>
          <w:rFonts w:cs="Times New Roman"/>
          <w:lang w:val="en-GB"/>
        </w:rPr>
        <w:t>; SC64 Doc.29.</w:t>
      </w:r>
      <w:r w:rsidR="00C91E5F">
        <w:rPr>
          <w:rFonts w:cs="Times New Roman"/>
          <w:lang w:val="en-GB"/>
        </w:rPr>
        <w:t>9</w:t>
      </w:r>
      <w:r w:rsidR="00C91E5F" w:rsidRPr="005B0B7D">
        <w:rPr>
          <w:rFonts w:cs="Times New Roman"/>
          <w:lang w:val="en-GB"/>
        </w:rPr>
        <w:t xml:space="preserve"> </w:t>
      </w:r>
      <w:r w:rsidR="005B0B7D" w:rsidRPr="005B0B7D">
        <w:rPr>
          <w:rFonts w:cs="Times New Roman"/>
          <w:lang w:val="en-GB"/>
        </w:rPr>
        <w:t xml:space="preserve">on </w:t>
      </w:r>
      <w:r w:rsidR="005B0B7D" w:rsidRPr="003B3181">
        <w:rPr>
          <w:rFonts w:cs="Times New Roman"/>
          <w:i/>
          <w:iCs/>
          <w:lang w:val="en-GB"/>
        </w:rPr>
        <w:t>promoting sustainable lifestyles for the wise use of wetlands</w:t>
      </w:r>
      <w:r w:rsidR="005B0B7D" w:rsidRPr="005B0B7D">
        <w:rPr>
          <w:rFonts w:cs="Times New Roman"/>
          <w:lang w:val="en-GB"/>
        </w:rPr>
        <w:t xml:space="preserve">; SC64 Doc.29.12 on </w:t>
      </w:r>
      <w:r w:rsidR="005B0B7D" w:rsidRPr="003B3181">
        <w:rPr>
          <w:rFonts w:cs="Times New Roman"/>
          <w:i/>
          <w:iCs/>
          <w:lang w:val="en-GB"/>
        </w:rPr>
        <w:t>assessing wetland vulnerability</w:t>
      </w:r>
      <w:r w:rsidR="005B0B7D" w:rsidRPr="005B0B7D">
        <w:rPr>
          <w:rFonts w:cs="Times New Roman"/>
          <w:lang w:val="en-GB"/>
        </w:rPr>
        <w:t xml:space="preserve"> (a rapid assessment); SC64 Doc.29.</w:t>
      </w:r>
      <w:r w:rsidR="00C91E5F">
        <w:rPr>
          <w:rFonts w:cs="Times New Roman"/>
          <w:lang w:val="en-GB"/>
        </w:rPr>
        <w:t>3</w:t>
      </w:r>
      <w:r w:rsidR="00C91E5F" w:rsidRPr="005B0B7D">
        <w:rPr>
          <w:rFonts w:cs="Times New Roman"/>
          <w:lang w:val="en-GB"/>
        </w:rPr>
        <w:t xml:space="preserve"> </w:t>
      </w:r>
      <w:r w:rsidR="005B0B7D" w:rsidRPr="005B0B7D">
        <w:rPr>
          <w:rFonts w:cs="Times New Roman"/>
          <w:lang w:val="en-GB"/>
        </w:rPr>
        <w:t xml:space="preserve">on </w:t>
      </w:r>
      <w:r w:rsidR="005B0B7D" w:rsidRPr="003B3181">
        <w:rPr>
          <w:rFonts w:cs="Times New Roman"/>
          <w:i/>
          <w:iCs/>
          <w:lang w:val="en-GB"/>
        </w:rPr>
        <w:t>strengthening national actions for the conservation and restoration of the East-Asian Australasian Flyway</w:t>
      </w:r>
      <w:r w:rsidR="005B0B7D" w:rsidRPr="005B0B7D">
        <w:rPr>
          <w:rFonts w:cs="Times New Roman"/>
          <w:lang w:val="en-GB"/>
        </w:rPr>
        <w:t xml:space="preserve">; SC64 Doc.29.10 on </w:t>
      </w:r>
      <w:r w:rsidR="005B0B7D" w:rsidRPr="003B3181">
        <w:rPr>
          <w:rFonts w:cs="Times New Roman"/>
          <w:i/>
          <w:iCs/>
          <w:lang w:val="en-GB"/>
        </w:rPr>
        <w:t>the status and conservation of river dolphins</w:t>
      </w:r>
      <w:r w:rsidR="005B0B7D" w:rsidRPr="005B0B7D">
        <w:rPr>
          <w:rFonts w:cs="Times New Roman"/>
          <w:lang w:val="en-GB"/>
        </w:rPr>
        <w:t>; and SC64 Doc.29.</w:t>
      </w:r>
      <w:r w:rsidR="00C91E5F">
        <w:rPr>
          <w:rFonts w:cs="Times New Roman"/>
          <w:lang w:val="en-GB"/>
        </w:rPr>
        <w:t xml:space="preserve">7 </w:t>
      </w:r>
      <w:r w:rsidR="005B0B7D" w:rsidRPr="005B0B7D">
        <w:rPr>
          <w:rFonts w:cs="Times New Roman"/>
          <w:lang w:val="en-GB"/>
        </w:rPr>
        <w:t xml:space="preserve">on </w:t>
      </w:r>
      <w:r w:rsidR="005B0B7D" w:rsidRPr="003B3181">
        <w:rPr>
          <w:rFonts w:cs="Times New Roman"/>
          <w:i/>
          <w:iCs/>
          <w:lang w:val="en-GB"/>
        </w:rPr>
        <w:t>rights of nature in wetlands</w:t>
      </w:r>
      <w:r w:rsidR="00901A0E">
        <w:rPr>
          <w:rFonts w:cs="Times New Roman"/>
          <w:lang w:val="en-GB"/>
        </w:rPr>
        <w:t>;</w:t>
      </w:r>
    </w:p>
    <w:p w14:paraId="6191A83C" w14:textId="3707E734" w:rsidR="001F5107" w:rsidRDefault="001F5107" w:rsidP="00774D2B">
      <w:pPr>
        <w:suppressLineNumbers/>
        <w:suppressAutoHyphens/>
        <w:spacing w:line="240" w:lineRule="auto"/>
        <w:ind w:left="850" w:hanging="432"/>
        <w:contextualSpacing/>
        <w:rPr>
          <w:rFonts w:cs="Times New Roman"/>
          <w:lang w:val="en-US"/>
        </w:rPr>
      </w:pPr>
      <w:r>
        <w:rPr>
          <w:rFonts w:cs="Times New Roman"/>
          <w:lang w:val="en-GB"/>
        </w:rPr>
        <w:t>f.</w:t>
      </w:r>
      <w:r>
        <w:rPr>
          <w:rFonts w:cs="Times New Roman"/>
          <w:lang w:val="en-GB"/>
        </w:rPr>
        <w:tab/>
      </w:r>
      <w:r w:rsidR="006B1072" w:rsidRPr="006B1072">
        <w:rPr>
          <w:rFonts w:cs="Times New Roman"/>
          <w:lang w:val="en-GB"/>
        </w:rPr>
        <w:t>Participation in the Advisory Group</w:t>
      </w:r>
      <w:r w:rsidR="006B1072">
        <w:rPr>
          <w:rFonts w:cs="Times New Roman"/>
          <w:lang w:val="en-GB"/>
        </w:rPr>
        <w:t xml:space="preserve"> on</w:t>
      </w:r>
      <w:r w:rsidR="006B1072" w:rsidRPr="006B1072">
        <w:rPr>
          <w:rFonts w:cs="Times New Roman"/>
          <w:lang w:val="en-GB"/>
        </w:rPr>
        <w:t xml:space="preserve"> Wetland Restoration to review and guide the Secretariat</w:t>
      </w:r>
      <w:r w:rsidR="00035943">
        <w:rPr>
          <w:rFonts w:cs="Times New Roman"/>
          <w:lang w:val="en-GB"/>
        </w:rPr>
        <w:t>’</w:t>
      </w:r>
      <w:r w:rsidR="006B1072" w:rsidRPr="006B1072">
        <w:rPr>
          <w:rFonts w:cs="Times New Roman"/>
          <w:lang w:val="en-GB"/>
        </w:rPr>
        <w:t>s work in assessing progress on wetland restoration</w:t>
      </w:r>
      <w:r w:rsidR="00901A0E">
        <w:rPr>
          <w:rFonts w:cs="Times New Roman"/>
          <w:lang w:val="en-GB"/>
        </w:rPr>
        <w:t>;</w:t>
      </w:r>
    </w:p>
    <w:p w14:paraId="13E732AE" w14:textId="203374F3" w:rsidR="00B95A6B" w:rsidRDefault="00B95A6B" w:rsidP="00774D2B">
      <w:pPr>
        <w:suppressLineNumbers/>
        <w:suppressAutoHyphens/>
        <w:spacing w:line="240" w:lineRule="auto"/>
        <w:ind w:left="850" w:hanging="432"/>
        <w:contextualSpacing/>
        <w:rPr>
          <w:rFonts w:cs="Times New Roman"/>
          <w:lang w:val="en-US"/>
        </w:rPr>
      </w:pPr>
      <w:r>
        <w:rPr>
          <w:rFonts w:cs="Times New Roman"/>
          <w:lang w:val="en-US"/>
        </w:rPr>
        <w:t>g.</w:t>
      </w:r>
      <w:r>
        <w:rPr>
          <w:rFonts w:cs="Times New Roman"/>
          <w:lang w:val="en-US"/>
        </w:rPr>
        <w:tab/>
        <w:t xml:space="preserve">Submission of proposals to the </w:t>
      </w:r>
      <w:r w:rsidR="00901A0E">
        <w:rPr>
          <w:rFonts w:cs="Times New Roman"/>
          <w:lang w:val="en-US"/>
        </w:rPr>
        <w:t>S</w:t>
      </w:r>
      <w:r>
        <w:rPr>
          <w:rFonts w:cs="Times New Roman"/>
          <w:lang w:val="en-US"/>
        </w:rPr>
        <w:t xml:space="preserve">ubgroup on </w:t>
      </w:r>
      <w:r w:rsidR="00901A0E">
        <w:rPr>
          <w:rFonts w:cs="Times New Roman"/>
          <w:lang w:val="en-US"/>
        </w:rPr>
        <w:t>F</w:t>
      </w:r>
      <w:r>
        <w:rPr>
          <w:rFonts w:cs="Times New Roman"/>
          <w:lang w:val="en-US"/>
        </w:rPr>
        <w:t xml:space="preserve">inance relating to Waterbird Population Estimates, and </w:t>
      </w:r>
      <w:r w:rsidR="00D80DB2">
        <w:rPr>
          <w:rFonts w:cs="Times New Roman"/>
          <w:lang w:val="en-US"/>
        </w:rPr>
        <w:t xml:space="preserve">to </w:t>
      </w:r>
      <w:r>
        <w:rPr>
          <w:rFonts w:cs="Times New Roman"/>
          <w:lang w:val="en-US"/>
        </w:rPr>
        <w:t>progress the Convention</w:t>
      </w:r>
      <w:r w:rsidR="004F62E4">
        <w:rPr>
          <w:rFonts w:cs="Times New Roman"/>
          <w:lang w:val="en-US"/>
        </w:rPr>
        <w:t>’</w:t>
      </w:r>
      <w:r>
        <w:rPr>
          <w:rFonts w:cs="Times New Roman"/>
          <w:lang w:val="en-US"/>
        </w:rPr>
        <w:t xml:space="preserve">s work on </w:t>
      </w:r>
      <w:r w:rsidR="00901A0E">
        <w:rPr>
          <w:rFonts w:cs="Times New Roman"/>
          <w:lang w:val="en-US"/>
        </w:rPr>
        <w:t>EO;</w:t>
      </w:r>
    </w:p>
    <w:p w14:paraId="32CF1C39" w14:textId="5729B626" w:rsidR="006F6AD7" w:rsidRDefault="006F6AD7" w:rsidP="00774D2B">
      <w:pPr>
        <w:suppressLineNumbers/>
        <w:suppressAutoHyphens/>
        <w:spacing w:line="240" w:lineRule="auto"/>
        <w:ind w:left="850" w:hanging="432"/>
        <w:contextualSpacing/>
        <w:rPr>
          <w:rFonts w:cs="Times New Roman"/>
          <w:lang w:val="en-US"/>
        </w:rPr>
      </w:pPr>
      <w:r>
        <w:rPr>
          <w:rFonts w:cs="Times New Roman"/>
          <w:lang w:val="en-US"/>
        </w:rPr>
        <w:t>h.</w:t>
      </w:r>
      <w:r>
        <w:rPr>
          <w:rFonts w:cs="Times New Roman"/>
          <w:lang w:val="en-US"/>
        </w:rPr>
        <w:tab/>
      </w:r>
      <w:r w:rsidR="00D70D5B">
        <w:rPr>
          <w:rFonts w:cs="Times New Roman"/>
          <w:lang w:val="en-US"/>
        </w:rPr>
        <w:t>Participat</w:t>
      </w:r>
      <w:r w:rsidR="00901A0E">
        <w:rPr>
          <w:rFonts w:cs="Times New Roman"/>
          <w:lang w:val="en-US"/>
        </w:rPr>
        <w:t>ion</w:t>
      </w:r>
      <w:r w:rsidR="00D70D5B">
        <w:rPr>
          <w:rFonts w:cs="Times New Roman"/>
          <w:lang w:val="en-US"/>
        </w:rPr>
        <w:t xml:space="preserve"> in the </w:t>
      </w:r>
      <w:r w:rsidR="00D70D5B" w:rsidRPr="00D70D5B">
        <w:rPr>
          <w:rFonts w:cs="Times New Roman"/>
          <w:lang w:val="en-US"/>
        </w:rPr>
        <w:t xml:space="preserve">Advisory Board of the </w:t>
      </w:r>
      <w:r w:rsidR="0085444E">
        <w:rPr>
          <w:rFonts w:cs="Times New Roman"/>
          <w:lang w:val="en-US"/>
        </w:rPr>
        <w:t>a</w:t>
      </w:r>
      <w:r w:rsidR="0085444E" w:rsidRPr="0085444E">
        <w:rPr>
          <w:rFonts w:cs="Times New Roman"/>
          <w:lang w:val="en-US"/>
        </w:rPr>
        <w:t xml:space="preserve">ssessment of environmental damage to </w:t>
      </w:r>
      <w:r w:rsidR="00D70D5B" w:rsidRPr="00D70D5B">
        <w:rPr>
          <w:rFonts w:cs="Times New Roman"/>
          <w:lang w:val="en-US"/>
        </w:rPr>
        <w:t>Ukraine</w:t>
      </w:r>
      <w:r w:rsidR="00035943">
        <w:rPr>
          <w:rFonts w:cs="Times New Roman"/>
          <w:lang w:val="en-US"/>
        </w:rPr>
        <w:t>’</w:t>
      </w:r>
      <w:r w:rsidR="00677B93">
        <w:rPr>
          <w:rFonts w:cs="Times New Roman"/>
          <w:lang w:val="en-US"/>
        </w:rPr>
        <w:t>s</w:t>
      </w:r>
      <w:r w:rsidR="00D70D5B" w:rsidRPr="00D70D5B">
        <w:rPr>
          <w:rFonts w:cs="Times New Roman"/>
          <w:lang w:val="en-US"/>
        </w:rPr>
        <w:t xml:space="preserve"> </w:t>
      </w:r>
      <w:r w:rsidR="003B3181" w:rsidRPr="00C425AB">
        <w:rPr>
          <w:rFonts w:ascii="Calibri" w:eastAsia="Calibri" w:hAnsi="Calibri" w:cs="Arial"/>
          <w:lang w:val="en-GB"/>
        </w:rPr>
        <w:t>Wetlands of International Importance</w:t>
      </w:r>
      <w:r w:rsidR="00901A0E">
        <w:rPr>
          <w:rFonts w:cs="Times New Roman"/>
          <w:lang w:val="en-US"/>
        </w:rPr>
        <w:t>;</w:t>
      </w:r>
    </w:p>
    <w:p w14:paraId="19511F51" w14:textId="367C924C" w:rsidR="006F6AD7" w:rsidRDefault="006F6AD7" w:rsidP="00774D2B">
      <w:pPr>
        <w:suppressLineNumbers/>
        <w:suppressAutoHyphens/>
        <w:spacing w:line="240" w:lineRule="auto"/>
        <w:ind w:left="850" w:hanging="432"/>
        <w:contextualSpacing/>
        <w:rPr>
          <w:rFonts w:cs="Times New Roman"/>
          <w:lang w:val="en-US"/>
        </w:rPr>
      </w:pPr>
      <w:r>
        <w:rPr>
          <w:rFonts w:cs="Times New Roman"/>
          <w:lang w:val="en-US"/>
        </w:rPr>
        <w:t>i.</w:t>
      </w:r>
      <w:r>
        <w:rPr>
          <w:rFonts w:cs="Times New Roman"/>
          <w:lang w:val="en-US"/>
        </w:rPr>
        <w:tab/>
      </w:r>
      <w:r w:rsidR="008C1205">
        <w:rPr>
          <w:rFonts w:cs="Times New Roman"/>
          <w:lang w:val="en-US"/>
        </w:rPr>
        <w:t>Participat</w:t>
      </w:r>
      <w:r w:rsidR="00901A0E">
        <w:rPr>
          <w:rFonts w:cs="Times New Roman"/>
          <w:lang w:val="en-US"/>
        </w:rPr>
        <w:t>ion</w:t>
      </w:r>
      <w:r w:rsidR="008C1205">
        <w:rPr>
          <w:rFonts w:cs="Times New Roman"/>
          <w:lang w:val="en-US"/>
        </w:rPr>
        <w:t xml:space="preserve"> in the </w:t>
      </w:r>
      <w:r w:rsidR="008C1205" w:rsidRPr="008C1205">
        <w:rPr>
          <w:rFonts w:cs="Times New Roman"/>
          <w:lang w:val="en-US"/>
        </w:rPr>
        <w:t>CEPA Oversight Pane</w:t>
      </w:r>
      <w:r w:rsidR="008C1205">
        <w:rPr>
          <w:rFonts w:cs="Times New Roman"/>
          <w:lang w:val="en-US"/>
        </w:rPr>
        <w:t>l</w:t>
      </w:r>
      <w:r w:rsidR="00901A0E">
        <w:rPr>
          <w:rFonts w:cs="Times New Roman"/>
          <w:lang w:val="en-US"/>
        </w:rPr>
        <w:t>; and</w:t>
      </w:r>
    </w:p>
    <w:p w14:paraId="3056A08C" w14:textId="64052FEB" w:rsidR="00052C96" w:rsidRPr="006120B2" w:rsidRDefault="00052C96" w:rsidP="00774D2B">
      <w:pPr>
        <w:suppressLineNumbers/>
        <w:suppressAutoHyphens/>
        <w:spacing w:line="240" w:lineRule="auto"/>
        <w:ind w:left="850" w:hanging="432"/>
        <w:contextualSpacing/>
        <w:rPr>
          <w:rFonts w:cs="Times New Roman"/>
          <w:lang w:val="en-US"/>
        </w:rPr>
      </w:pPr>
      <w:r>
        <w:rPr>
          <w:rFonts w:cs="Times New Roman"/>
          <w:lang w:val="en-US"/>
        </w:rPr>
        <w:t>j.</w:t>
      </w:r>
      <w:r>
        <w:rPr>
          <w:rFonts w:cs="Times New Roman"/>
          <w:lang w:val="en-US"/>
        </w:rPr>
        <w:tab/>
      </w:r>
      <w:r w:rsidR="008C1205">
        <w:rPr>
          <w:rFonts w:cs="Times New Roman"/>
          <w:lang w:val="en-US"/>
        </w:rPr>
        <w:t>Participat</w:t>
      </w:r>
      <w:r w:rsidR="00901A0E">
        <w:rPr>
          <w:rFonts w:cs="Times New Roman"/>
          <w:lang w:val="en-US"/>
        </w:rPr>
        <w:t>ion</w:t>
      </w:r>
      <w:r w:rsidR="008C1205">
        <w:rPr>
          <w:rFonts w:cs="Times New Roman"/>
          <w:lang w:val="en-US"/>
        </w:rPr>
        <w:t xml:space="preserve"> in the </w:t>
      </w:r>
      <w:r w:rsidR="008C1205" w:rsidRPr="008C1205">
        <w:rPr>
          <w:rFonts w:cs="Times New Roman"/>
          <w:lang w:val="en-US"/>
        </w:rPr>
        <w:t>Wetland City Accreditation Independent Advisory Committee</w:t>
      </w:r>
      <w:r w:rsidR="008C1205">
        <w:rPr>
          <w:rFonts w:cs="Times New Roman"/>
          <w:lang w:val="en-US"/>
        </w:rPr>
        <w:t>.</w:t>
      </w:r>
    </w:p>
    <w:p w14:paraId="5D643F86" w14:textId="77777777" w:rsidR="002E4D45" w:rsidRDefault="002E4D45" w:rsidP="001C65FF">
      <w:pPr>
        <w:spacing w:line="240" w:lineRule="auto"/>
        <w:rPr>
          <w:rFonts w:cs="Times New Roman"/>
          <w:lang w:val="en-GB"/>
        </w:rPr>
      </w:pPr>
    </w:p>
    <w:p w14:paraId="5A69B966" w14:textId="2DD8CEED" w:rsidR="00C055BA" w:rsidRPr="005F61EE" w:rsidRDefault="00256C12" w:rsidP="005F61EE">
      <w:pPr>
        <w:suppressLineNumbers/>
        <w:suppressAutoHyphens/>
        <w:spacing w:line="240" w:lineRule="auto"/>
        <w:rPr>
          <w:rFonts w:ascii="Calibri" w:eastAsia="Calibri" w:hAnsi="Calibri" w:cs="Arial"/>
          <w:b/>
          <w:lang w:val="en-GB"/>
        </w:rPr>
      </w:pPr>
      <w:r w:rsidRPr="00256C12">
        <w:rPr>
          <w:rFonts w:ascii="Calibri" w:eastAsia="Calibri" w:hAnsi="Calibri" w:cs="Arial"/>
          <w:b/>
          <w:lang w:val="en-GB"/>
        </w:rPr>
        <w:t xml:space="preserve">Effectiveness and visibility of </w:t>
      </w:r>
      <w:r>
        <w:rPr>
          <w:rFonts w:ascii="Calibri" w:eastAsia="Calibri" w:hAnsi="Calibri" w:cs="Arial"/>
          <w:b/>
          <w:lang w:val="en-GB"/>
        </w:rPr>
        <w:t xml:space="preserve">the </w:t>
      </w:r>
      <w:r w:rsidRPr="00256C12">
        <w:rPr>
          <w:rFonts w:ascii="Calibri" w:eastAsia="Calibri" w:hAnsi="Calibri" w:cs="Arial"/>
          <w:b/>
          <w:lang w:val="en-GB"/>
        </w:rPr>
        <w:t>STRP</w:t>
      </w:r>
      <w:r w:rsidRPr="00256C12" w:rsidDel="00256C12">
        <w:rPr>
          <w:rFonts w:ascii="Calibri" w:eastAsia="Calibri" w:hAnsi="Calibri" w:cs="Arial"/>
          <w:b/>
          <w:lang w:val="en-GB"/>
        </w:rPr>
        <w:t xml:space="preserve"> </w:t>
      </w:r>
    </w:p>
    <w:p w14:paraId="343B7028" w14:textId="77777777" w:rsidR="00C055BA" w:rsidRDefault="00C055BA" w:rsidP="001671B0">
      <w:pPr>
        <w:keepNext/>
        <w:spacing w:line="240" w:lineRule="auto"/>
        <w:ind w:left="426" w:hanging="426"/>
        <w:rPr>
          <w:rFonts w:cs="Times New Roman"/>
          <w:lang w:val="en-GB"/>
        </w:rPr>
      </w:pPr>
    </w:p>
    <w:p w14:paraId="5447757A" w14:textId="13B51F39" w:rsidR="00127AD7" w:rsidRDefault="00B17CCC" w:rsidP="00127AD7">
      <w:pPr>
        <w:spacing w:line="240" w:lineRule="auto"/>
        <w:ind w:left="426" w:hanging="426"/>
        <w:rPr>
          <w:rFonts w:cs="Times New Roman"/>
          <w:lang w:val="en-GB"/>
        </w:rPr>
      </w:pPr>
      <w:r>
        <w:rPr>
          <w:rFonts w:cs="Times New Roman"/>
          <w:lang w:val="en-GB"/>
        </w:rPr>
        <w:t>1</w:t>
      </w:r>
      <w:r w:rsidR="002A18EF">
        <w:rPr>
          <w:rFonts w:cs="Times New Roman"/>
          <w:lang w:val="en-GB"/>
        </w:rPr>
        <w:t>6</w:t>
      </w:r>
      <w:r w:rsidR="009C683F">
        <w:rPr>
          <w:rFonts w:cs="Times New Roman"/>
          <w:lang w:val="en-GB"/>
        </w:rPr>
        <w:t>.</w:t>
      </w:r>
      <w:r w:rsidR="005F61EE">
        <w:rPr>
          <w:rFonts w:cs="Times New Roman"/>
          <w:lang w:val="en-GB"/>
        </w:rPr>
        <w:tab/>
      </w:r>
      <w:r w:rsidR="00A1685C">
        <w:rPr>
          <w:rFonts w:cs="Times New Roman"/>
          <w:lang w:val="en-GB"/>
        </w:rPr>
        <w:t>T</w:t>
      </w:r>
      <w:r w:rsidR="005F61EE" w:rsidRPr="005F61EE">
        <w:rPr>
          <w:rFonts w:cs="Times New Roman"/>
          <w:lang w:val="en-GB"/>
        </w:rPr>
        <w:t>he STRP</w:t>
      </w:r>
      <w:r w:rsidR="00556AFE">
        <w:rPr>
          <w:rFonts w:cs="Times New Roman"/>
          <w:lang w:val="en-GB"/>
        </w:rPr>
        <w:t xml:space="preserve"> </w:t>
      </w:r>
      <w:r w:rsidR="00A1685C">
        <w:rPr>
          <w:rFonts w:cs="Times New Roman"/>
          <w:lang w:val="en-GB"/>
        </w:rPr>
        <w:t>ha</w:t>
      </w:r>
      <w:r w:rsidR="00556AFE">
        <w:rPr>
          <w:rFonts w:cs="Times New Roman"/>
          <w:lang w:val="en-GB"/>
        </w:rPr>
        <w:t>s</w:t>
      </w:r>
      <w:r w:rsidR="00A1685C">
        <w:rPr>
          <w:rFonts w:cs="Times New Roman"/>
          <w:lang w:val="en-GB"/>
        </w:rPr>
        <w:t xml:space="preserve"> </w:t>
      </w:r>
      <w:r w:rsidR="005F61EE" w:rsidRPr="005F61EE">
        <w:rPr>
          <w:rFonts w:cs="Times New Roman"/>
          <w:lang w:val="en-GB"/>
        </w:rPr>
        <w:t>contributed to the organi</w:t>
      </w:r>
      <w:r w:rsidR="00035943">
        <w:rPr>
          <w:rFonts w:cs="Times New Roman"/>
          <w:lang w:val="en-GB"/>
        </w:rPr>
        <w:t>z</w:t>
      </w:r>
      <w:r w:rsidR="005F61EE" w:rsidRPr="005F61EE">
        <w:rPr>
          <w:rFonts w:cs="Times New Roman"/>
          <w:lang w:val="en-GB"/>
        </w:rPr>
        <w:t>ation of thematic webinars designed to disseminate technical guidance</w:t>
      </w:r>
      <w:r w:rsidR="00315835">
        <w:rPr>
          <w:rFonts w:cs="Times New Roman"/>
          <w:lang w:val="en-GB"/>
        </w:rPr>
        <w:t xml:space="preserve">, </w:t>
      </w:r>
      <w:r w:rsidR="005F61EE" w:rsidRPr="005F61EE">
        <w:rPr>
          <w:rFonts w:cs="Times New Roman"/>
          <w:lang w:val="en-GB"/>
        </w:rPr>
        <w:t>raise awareness on key wetland issues</w:t>
      </w:r>
      <w:r w:rsidR="00315835">
        <w:rPr>
          <w:rFonts w:cs="Times New Roman"/>
          <w:lang w:val="en-GB"/>
        </w:rPr>
        <w:t xml:space="preserve">, and help to </w:t>
      </w:r>
      <w:r w:rsidR="00315835" w:rsidRPr="005F61EE">
        <w:rPr>
          <w:rFonts w:cs="Times New Roman"/>
          <w:lang w:val="en-GB"/>
        </w:rPr>
        <w:t>increase the visibility and practical uptake of STRP outputs</w:t>
      </w:r>
      <w:r w:rsidR="005F61EE" w:rsidRPr="005F61EE">
        <w:rPr>
          <w:rFonts w:cs="Times New Roman"/>
          <w:lang w:val="en-GB"/>
        </w:rPr>
        <w:t>.</w:t>
      </w:r>
      <w:r w:rsidR="00A1685C">
        <w:rPr>
          <w:rFonts w:cs="Times New Roman"/>
          <w:lang w:val="en-GB"/>
        </w:rPr>
        <w:t xml:space="preserve"> </w:t>
      </w:r>
      <w:r w:rsidR="004A3362">
        <w:rPr>
          <w:rFonts w:cs="Times New Roman"/>
          <w:lang w:val="en-GB"/>
        </w:rPr>
        <w:t xml:space="preserve">This included </w:t>
      </w:r>
      <w:r w:rsidR="009E2E59">
        <w:rPr>
          <w:rFonts w:ascii="Calibri" w:eastAsia="Calibri" w:hAnsi="Calibri" w:cs="Arial"/>
          <w:lang w:val="en-GB"/>
        </w:rPr>
        <w:t>a w</w:t>
      </w:r>
      <w:r w:rsidR="005F61EE" w:rsidRPr="005F61EE">
        <w:rPr>
          <w:rFonts w:ascii="Calibri" w:eastAsia="Calibri" w:hAnsi="Calibri" w:cs="Arial"/>
          <w:lang w:val="en-GB"/>
        </w:rPr>
        <w:t xml:space="preserve">ebinar </w:t>
      </w:r>
      <w:r w:rsidR="009E2E59">
        <w:rPr>
          <w:rFonts w:ascii="Calibri" w:eastAsia="Calibri" w:hAnsi="Calibri" w:cs="Arial"/>
          <w:lang w:val="en-GB"/>
        </w:rPr>
        <w:t xml:space="preserve">on </w:t>
      </w:r>
      <w:r w:rsidR="005F61EE" w:rsidRPr="00901A0E">
        <w:rPr>
          <w:rFonts w:ascii="Calibri" w:eastAsia="Calibri" w:hAnsi="Calibri" w:cs="Arial"/>
          <w:i/>
          <w:iCs/>
          <w:lang w:val="en-GB"/>
        </w:rPr>
        <w:t>Integrating Wetlands into National Biodiversity Strategies and Action Plans (NBSAPs)</w:t>
      </w:r>
      <w:r w:rsidR="005F61EE" w:rsidRPr="005F61EE">
        <w:rPr>
          <w:rFonts w:ascii="Calibri" w:eastAsia="Calibri" w:hAnsi="Calibri" w:cs="Arial"/>
          <w:lang w:val="en-GB"/>
        </w:rPr>
        <w:t>, held</w:t>
      </w:r>
      <w:r w:rsidR="005F61EE" w:rsidRPr="005F61EE">
        <w:rPr>
          <w:rFonts w:cs="Times New Roman"/>
          <w:lang w:val="en-GB"/>
        </w:rPr>
        <w:t xml:space="preserve"> on 19 June </w:t>
      </w:r>
      <w:r w:rsidR="00C91E5F">
        <w:rPr>
          <w:rFonts w:cs="Times New Roman"/>
          <w:lang w:val="en-GB"/>
        </w:rPr>
        <w:t>2024</w:t>
      </w:r>
      <w:r w:rsidR="005F61EE" w:rsidRPr="005F61EE">
        <w:rPr>
          <w:rFonts w:cs="Times New Roman"/>
          <w:lang w:val="en-GB"/>
        </w:rPr>
        <w:t xml:space="preserve">. This session presented Technical Report 12 under STRP Task 5.2 and focused on aligning wetland priorities with the </w:t>
      </w:r>
      <w:r w:rsidR="00BA1789">
        <w:rPr>
          <w:rFonts w:ascii="Calibri" w:eastAsia="Calibri" w:hAnsi="Calibri" w:cs="Arial"/>
          <w:lang w:val="en-GB"/>
        </w:rPr>
        <w:t>KM-GBF</w:t>
      </w:r>
      <w:r w:rsidR="005F61EE" w:rsidRPr="005F61EE">
        <w:rPr>
          <w:rFonts w:cs="Times New Roman"/>
          <w:lang w:val="en-GB"/>
        </w:rPr>
        <w:t>. Case studies were presented and participants discussed ways to improve national wetland integration.</w:t>
      </w:r>
      <w:r w:rsidR="00AD0CBA">
        <w:rPr>
          <w:rFonts w:cs="Times New Roman"/>
          <w:lang w:val="en-GB"/>
        </w:rPr>
        <w:t xml:space="preserve"> </w:t>
      </w:r>
      <w:r w:rsidR="00FB28A1">
        <w:rPr>
          <w:rFonts w:cs="Times New Roman"/>
          <w:lang w:val="en-GB"/>
        </w:rPr>
        <w:t>In consultation with the Secretariat, t</w:t>
      </w:r>
      <w:r w:rsidR="001F5107" w:rsidRPr="001F5107">
        <w:rPr>
          <w:rFonts w:cs="Times New Roman"/>
          <w:lang w:val="en-GB"/>
        </w:rPr>
        <w:t xml:space="preserve">he STRP is preparing </w:t>
      </w:r>
      <w:r w:rsidR="00FB28A1">
        <w:rPr>
          <w:rFonts w:cs="Times New Roman"/>
          <w:lang w:val="en-GB"/>
        </w:rPr>
        <w:t xml:space="preserve">for </w:t>
      </w:r>
      <w:r w:rsidR="001F5107" w:rsidRPr="001F5107">
        <w:rPr>
          <w:rFonts w:cs="Times New Roman"/>
          <w:lang w:val="en-GB"/>
        </w:rPr>
        <w:t>further webinars</w:t>
      </w:r>
      <w:r w:rsidR="00157544">
        <w:rPr>
          <w:rFonts w:cs="Times New Roman"/>
          <w:lang w:val="en-GB"/>
        </w:rPr>
        <w:t xml:space="preserve"> </w:t>
      </w:r>
      <w:r w:rsidR="00F84E25">
        <w:rPr>
          <w:rFonts w:cs="Times New Roman"/>
          <w:lang w:val="en-GB"/>
        </w:rPr>
        <w:t xml:space="preserve">to support </w:t>
      </w:r>
      <w:r w:rsidR="001F5107" w:rsidRPr="001F5107">
        <w:rPr>
          <w:rFonts w:cs="Times New Roman"/>
          <w:lang w:val="en-GB"/>
        </w:rPr>
        <w:t xml:space="preserve">launch and dissemination of </w:t>
      </w:r>
      <w:r w:rsidR="00E8011B">
        <w:rPr>
          <w:rFonts w:cs="Times New Roman"/>
          <w:lang w:val="en-GB"/>
        </w:rPr>
        <w:t>products</w:t>
      </w:r>
      <w:r w:rsidR="003E7577">
        <w:rPr>
          <w:rFonts w:cs="Times New Roman"/>
          <w:lang w:val="en-GB"/>
        </w:rPr>
        <w:t xml:space="preserve"> as they are finalized</w:t>
      </w:r>
      <w:r w:rsidR="00373A7D" w:rsidRPr="00373A7D">
        <w:rPr>
          <w:rFonts w:cs="Times New Roman"/>
          <w:lang w:val="en-GB"/>
        </w:rPr>
        <w:t>.</w:t>
      </w:r>
    </w:p>
    <w:p w14:paraId="617318AF" w14:textId="77777777" w:rsidR="00E348B4" w:rsidRPr="00E348B4" w:rsidRDefault="00E348B4" w:rsidP="00E348B4">
      <w:pPr>
        <w:spacing w:line="240" w:lineRule="auto"/>
        <w:rPr>
          <w:rFonts w:cs="Times New Roman"/>
          <w:lang w:val="en-GB"/>
        </w:rPr>
      </w:pPr>
    </w:p>
    <w:p w14:paraId="421AB2CF" w14:textId="13AB01CA" w:rsidR="00821618" w:rsidRDefault="002A18EF" w:rsidP="00821618">
      <w:pPr>
        <w:spacing w:line="240" w:lineRule="auto"/>
        <w:ind w:left="426" w:hanging="426"/>
        <w:rPr>
          <w:rFonts w:cs="Times New Roman"/>
          <w:lang w:val="en-GB"/>
        </w:rPr>
      </w:pPr>
      <w:r>
        <w:rPr>
          <w:rFonts w:cs="Times New Roman"/>
          <w:lang w:val="en-GB"/>
        </w:rPr>
        <w:lastRenderedPageBreak/>
        <w:t>17</w:t>
      </w:r>
      <w:r w:rsidR="00E348B4">
        <w:rPr>
          <w:rFonts w:cs="Times New Roman"/>
          <w:lang w:val="en-GB"/>
        </w:rPr>
        <w:t>.</w:t>
      </w:r>
      <w:r w:rsidR="00E348B4">
        <w:rPr>
          <w:rFonts w:cs="Times New Roman"/>
          <w:lang w:val="en-GB"/>
        </w:rPr>
        <w:tab/>
      </w:r>
      <w:r w:rsidR="009A26FC">
        <w:rPr>
          <w:rFonts w:cs="Times New Roman"/>
          <w:lang w:val="en-GB"/>
        </w:rPr>
        <w:t>T</w:t>
      </w:r>
      <w:r w:rsidR="00821618" w:rsidRPr="00821618">
        <w:rPr>
          <w:rFonts w:cs="Times New Roman"/>
          <w:lang w:val="en-GB"/>
        </w:rPr>
        <w:t xml:space="preserve">wo notable developments during the 2023-2025 triennium have contributed to strengthening the effectiveness and visibility of the STRP: </w:t>
      </w:r>
    </w:p>
    <w:p w14:paraId="675B5799" w14:textId="77777777" w:rsidR="00821618" w:rsidRDefault="00821618" w:rsidP="00821618">
      <w:pPr>
        <w:spacing w:line="240" w:lineRule="auto"/>
        <w:ind w:left="426" w:hanging="426"/>
        <w:rPr>
          <w:rFonts w:cs="Times New Roman"/>
          <w:lang w:val="en-GB"/>
        </w:rPr>
      </w:pPr>
    </w:p>
    <w:p w14:paraId="6A9471E9" w14:textId="42B16CFC" w:rsidR="00821618" w:rsidRDefault="00821618" w:rsidP="00821618">
      <w:pPr>
        <w:suppressLineNumbers/>
        <w:suppressAutoHyphens/>
        <w:spacing w:line="240" w:lineRule="auto"/>
        <w:ind w:left="850" w:hanging="432"/>
        <w:contextualSpacing/>
        <w:rPr>
          <w:rFonts w:cs="Times New Roman"/>
          <w:lang w:val="en-GB"/>
        </w:rPr>
      </w:pPr>
      <w:r w:rsidRPr="00821618">
        <w:rPr>
          <w:rFonts w:cs="Times New Roman"/>
          <w:lang w:val="en-GB"/>
        </w:rPr>
        <w:t>i.</w:t>
      </w:r>
      <w:r>
        <w:rPr>
          <w:rFonts w:cs="Times New Roman"/>
          <w:lang w:val="en-GB"/>
        </w:rPr>
        <w:tab/>
      </w:r>
      <w:r w:rsidRPr="00821618">
        <w:rPr>
          <w:rFonts w:cs="Times New Roman"/>
          <w:lang w:val="en-GB"/>
        </w:rPr>
        <w:t xml:space="preserve">The re-launch of the STRP Workspace, a dedicated online platform developed and maintained by the Secretariat to facilitate information sharing and collaboration among STRP members, National Focal Points, </w:t>
      </w:r>
      <w:r w:rsidR="003B3181">
        <w:rPr>
          <w:rFonts w:cs="Times New Roman"/>
          <w:lang w:val="en-GB"/>
        </w:rPr>
        <w:t>o</w:t>
      </w:r>
      <w:r w:rsidR="003B3181" w:rsidRPr="00821618">
        <w:rPr>
          <w:rFonts w:cs="Times New Roman"/>
          <w:lang w:val="en-GB"/>
        </w:rPr>
        <w:t xml:space="preserve">bservers </w:t>
      </w:r>
      <w:r w:rsidRPr="00821618">
        <w:rPr>
          <w:rFonts w:cs="Times New Roman"/>
          <w:lang w:val="en-GB"/>
        </w:rPr>
        <w:t xml:space="preserve">and IOPs. The Workspace provides access to key STRP documents, task updates, draft deliverables, internal meeting materials and background resources. </w:t>
      </w:r>
    </w:p>
    <w:p w14:paraId="1CF6DE88" w14:textId="2BAEDF3B" w:rsidR="005F61EE" w:rsidRDefault="00821618" w:rsidP="00821618">
      <w:pPr>
        <w:suppressLineNumbers/>
        <w:suppressAutoHyphens/>
        <w:spacing w:line="240" w:lineRule="auto"/>
        <w:ind w:left="850" w:hanging="432"/>
        <w:contextualSpacing/>
        <w:rPr>
          <w:rFonts w:cs="Times New Roman"/>
          <w:lang w:val="en-GB"/>
        </w:rPr>
      </w:pPr>
      <w:r w:rsidRPr="00821618">
        <w:rPr>
          <w:rFonts w:cs="Times New Roman"/>
          <w:lang w:val="en-GB"/>
        </w:rPr>
        <w:t>ii.</w:t>
      </w:r>
      <w:r w:rsidRPr="00821618">
        <w:rPr>
          <w:rFonts w:cs="Times New Roman"/>
          <w:lang w:val="en-GB"/>
        </w:rPr>
        <w:tab/>
        <w:t>Introduction of the STRP Communiqué, a biannual newsletter launched in 2024 to enhance communication and outreach. The Communiqué provides updates on the progress of STRP tasks, upcoming events and opportunities for engagement. It has helped to raise the profile of the STRP</w:t>
      </w:r>
      <w:r w:rsidR="00035943">
        <w:rPr>
          <w:rFonts w:cs="Times New Roman"/>
          <w:lang w:val="en-GB"/>
        </w:rPr>
        <w:t>’</w:t>
      </w:r>
      <w:r w:rsidRPr="00821618">
        <w:rPr>
          <w:rFonts w:cs="Times New Roman"/>
          <w:lang w:val="en-GB"/>
        </w:rPr>
        <w:t xml:space="preserve">s work among stakeholders and </w:t>
      </w:r>
      <w:r w:rsidR="003B3181">
        <w:rPr>
          <w:rFonts w:cs="Times New Roman"/>
          <w:lang w:val="en-GB"/>
        </w:rPr>
        <w:t xml:space="preserve">Contracting </w:t>
      </w:r>
      <w:r w:rsidRPr="00821618">
        <w:rPr>
          <w:rFonts w:cs="Times New Roman"/>
          <w:lang w:val="en-GB"/>
        </w:rPr>
        <w:t>Parties.</w:t>
      </w:r>
    </w:p>
    <w:p w14:paraId="4BC961EF" w14:textId="77777777" w:rsidR="00821618" w:rsidRPr="00C055BA" w:rsidRDefault="00821618" w:rsidP="00821618">
      <w:pPr>
        <w:spacing w:line="240" w:lineRule="auto"/>
        <w:ind w:left="426" w:hanging="426"/>
        <w:rPr>
          <w:rFonts w:cs="Times New Roman"/>
          <w:lang w:val="en-GB"/>
        </w:rPr>
      </w:pPr>
    </w:p>
    <w:p w14:paraId="6A145E8B" w14:textId="6EB6B28C" w:rsidR="00AF5148" w:rsidRPr="00C055BA" w:rsidRDefault="00C425AB" w:rsidP="00C055BA">
      <w:pPr>
        <w:suppressLineNumbers/>
        <w:suppressAutoHyphens/>
        <w:spacing w:line="240" w:lineRule="auto"/>
        <w:rPr>
          <w:rFonts w:ascii="Calibri" w:eastAsia="Calibri" w:hAnsi="Calibri" w:cs="Arial"/>
          <w:b/>
          <w:lang w:val="en-GB"/>
        </w:rPr>
      </w:pPr>
      <w:r w:rsidRPr="00C425AB">
        <w:rPr>
          <w:rFonts w:ascii="Calibri" w:eastAsia="Calibri" w:hAnsi="Calibri" w:cs="Arial"/>
          <w:b/>
          <w:lang w:val="en-GB"/>
        </w:rPr>
        <w:t xml:space="preserve">Recommendations regarding scientific and technical priorities </w:t>
      </w:r>
      <w:r w:rsidR="008F42F0">
        <w:rPr>
          <w:rFonts w:ascii="Calibri" w:eastAsia="Calibri" w:hAnsi="Calibri" w:cs="Arial"/>
          <w:b/>
          <w:lang w:val="en-GB"/>
        </w:rPr>
        <w:t xml:space="preserve">for </w:t>
      </w:r>
      <w:r w:rsidR="008F42F0" w:rsidRPr="00C425AB">
        <w:rPr>
          <w:rFonts w:ascii="Calibri" w:eastAsia="Calibri" w:hAnsi="Calibri" w:cs="Arial"/>
          <w:b/>
          <w:lang w:val="en-GB"/>
        </w:rPr>
        <w:t>202</w:t>
      </w:r>
      <w:r w:rsidR="008F42F0">
        <w:rPr>
          <w:rFonts w:ascii="Calibri" w:eastAsia="Calibri" w:hAnsi="Calibri" w:cs="Arial"/>
          <w:b/>
          <w:lang w:val="en-GB"/>
        </w:rPr>
        <w:t>5</w:t>
      </w:r>
      <w:r w:rsidRPr="00C425AB">
        <w:rPr>
          <w:rFonts w:ascii="Calibri" w:eastAsia="Calibri" w:hAnsi="Calibri" w:cs="Arial"/>
          <w:b/>
          <w:lang w:val="en-GB"/>
        </w:rPr>
        <w:t>-2028</w:t>
      </w:r>
    </w:p>
    <w:p w14:paraId="6DAD0078" w14:textId="77777777" w:rsidR="00AF5148" w:rsidRDefault="00AF5148" w:rsidP="001671B0">
      <w:pPr>
        <w:keepNext/>
        <w:spacing w:line="240" w:lineRule="auto"/>
        <w:rPr>
          <w:rFonts w:cs="Times New Roman"/>
          <w:lang w:val="en-GB"/>
        </w:rPr>
      </w:pPr>
    </w:p>
    <w:p w14:paraId="6FCBAEF0" w14:textId="46DAF90E" w:rsidR="00C45957" w:rsidRPr="00C45957" w:rsidRDefault="002A18EF" w:rsidP="009B42F9">
      <w:pPr>
        <w:spacing w:line="240" w:lineRule="auto"/>
        <w:ind w:left="426" w:hanging="426"/>
        <w:rPr>
          <w:rFonts w:cs="Times New Roman"/>
          <w:lang w:val="en-GB"/>
        </w:rPr>
      </w:pPr>
      <w:r>
        <w:rPr>
          <w:rFonts w:cs="Times New Roman"/>
          <w:lang w:val="en-GB"/>
        </w:rPr>
        <w:t>18</w:t>
      </w:r>
      <w:r w:rsidR="009B42F9" w:rsidRPr="00D43A3E">
        <w:rPr>
          <w:rFonts w:cs="Times New Roman"/>
          <w:lang w:val="en-GB"/>
        </w:rPr>
        <w:t>.</w:t>
      </w:r>
      <w:r w:rsidR="009B42F9" w:rsidRPr="00D43A3E">
        <w:rPr>
          <w:rFonts w:cs="Times New Roman"/>
          <w:lang w:val="en-GB"/>
        </w:rPr>
        <w:tab/>
      </w:r>
      <w:r w:rsidR="00C45957" w:rsidRPr="00C45957">
        <w:rPr>
          <w:rFonts w:cs="Times New Roman"/>
          <w:lang w:val="en-GB"/>
        </w:rPr>
        <w:t>The STRP has proposed a set of scientific and technical priorities for the 20</w:t>
      </w:r>
      <w:r w:rsidR="008F42F0">
        <w:rPr>
          <w:rFonts w:cs="Times New Roman"/>
          <w:lang w:val="en-GB"/>
        </w:rPr>
        <w:t>25</w:t>
      </w:r>
      <w:r w:rsidR="00C45957" w:rsidRPr="00C45957">
        <w:rPr>
          <w:rFonts w:cs="Times New Roman"/>
          <w:lang w:val="en-GB"/>
        </w:rPr>
        <w:t>-2028</w:t>
      </w:r>
      <w:r w:rsidR="008F42F0">
        <w:rPr>
          <w:rFonts w:cs="Times New Roman"/>
          <w:lang w:val="en-GB"/>
        </w:rPr>
        <w:t xml:space="preserve"> </w:t>
      </w:r>
      <w:r w:rsidR="008F42F0" w:rsidRPr="00C45957">
        <w:rPr>
          <w:rFonts w:cs="Times New Roman"/>
          <w:lang w:val="en-GB"/>
        </w:rPr>
        <w:t>triennium</w:t>
      </w:r>
      <w:r w:rsidR="00C45957" w:rsidRPr="00C45957">
        <w:rPr>
          <w:rFonts w:cs="Times New Roman"/>
          <w:lang w:val="en-GB"/>
        </w:rPr>
        <w:t>, building on the lessons learned and progress made during the 2023-2025 work cycle. These proposed priorities were developed through a consultative process involving STRP members, National Focal Points, observers, IOPs and the Standing Committee.</w:t>
      </w:r>
      <w:r w:rsidR="00234701">
        <w:rPr>
          <w:rFonts w:cs="Times New Roman"/>
          <w:lang w:val="en-GB"/>
        </w:rPr>
        <w:t xml:space="preserve">  A summary of emerging science and technical issues were presented to SC63</w:t>
      </w:r>
      <w:r w:rsidR="009C683F">
        <w:rPr>
          <w:rFonts w:cs="Times New Roman"/>
          <w:lang w:val="en-GB"/>
        </w:rPr>
        <w:t xml:space="preserve"> (</w:t>
      </w:r>
      <w:r w:rsidR="00F54966" w:rsidRPr="00F54966">
        <w:rPr>
          <w:rFonts w:cs="Times New Roman"/>
          <w:lang w:val="en-GB"/>
        </w:rPr>
        <w:t>SC63 Doc.19</w:t>
      </w:r>
      <w:r w:rsidR="00F54966">
        <w:rPr>
          <w:rStyle w:val="FootnoteReference"/>
          <w:rFonts w:cs="Times New Roman"/>
          <w:lang w:val="en-GB"/>
        </w:rPr>
        <w:footnoteReference w:id="24"/>
      </w:r>
      <w:r w:rsidR="009C683F">
        <w:rPr>
          <w:rFonts w:cs="Times New Roman"/>
          <w:lang w:val="en-GB"/>
        </w:rPr>
        <w:t xml:space="preserve">) </w:t>
      </w:r>
      <w:r w:rsidR="00E95722">
        <w:rPr>
          <w:rFonts w:cs="Times New Roman"/>
          <w:lang w:val="en-GB"/>
        </w:rPr>
        <w:t xml:space="preserve">and a draft list of STRP priorities </w:t>
      </w:r>
      <w:r w:rsidR="00815BAC">
        <w:rPr>
          <w:rFonts w:cs="Times New Roman"/>
          <w:lang w:val="en-GB"/>
        </w:rPr>
        <w:t xml:space="preserve">were further discussed during SC64 </w:t>
      </w:r>
      <w:r w:rsidR="009C683F">
        <w:rPr>
          <w:rFonts w:ascii="Calibri" w:eastAsia="Calibri" w:hAnsi="Calibri" w:cs="Arial"/>
          <w:lang w:val="en-GB"/>
        </w:rPr>
        <w:t>(</w:t>
      </w:r>
      <w:r w:rsidR="00F54966" w:rsidRPr="00F54966">
        <w:rPr>
          <w:rFonts w:ascii="Calibri" w:eastAsia="Calibri" w:hAnsi="Calibri" w:cs="Arial"/>
          <w:lang w:val="en-GB"/>
        </w:rPr>
        <w:t>SC64 Doc.18</w:t>
      </w:r>
      <w:r w:rsidR="00F54966">
        <w:rPr>
          <w:rStyle w:val="FootnoteReference"/>
        </w:rPr>
        <w:footnoteReference w:id="25"/>
      </w:r>
      <w:r w:rsidR="009C683F">
        <w:rPr>
          <w:rFonts w:ascii="Calibri" w:eastAsia="Calibri" w:hAnsi="Calibri" w:cs="Arial"/>
          <w:lang w:val="en-GB"/>
        </w:rPr>
        <w:t>).</w:t>
      </w:r>
      <w:r w:rsidR="009C683F" w:rsidDel="009C683F">
        <w:rPr>
          <w:rFonts w:cs="Times New Roman"/>
          <w:lang w:val="en-GB"/>
        </w:rPr>
        <w:t xml:space="preserve"> </w:t>
      </w:r>
    </w:p>
    <w:p w14:paraId="74031436" w14:textId="77777777" w:rsidR="00C45957" w:rsidRPr="00C45957" w:rsidRDefault="00C45957" w:rsidP="009B42F9">
      <w:pPr>
        <w:spacing w:line="240" w:lineRule="auto"/>
        <w:ind w:left="426" w:hanging="426"/>
        <w:rPr>
          <w:rFonts w:cs="Times New Roman"/>
          <w:lang w:val="en-GB"/>
        </w:rPr>
      </w:pPr>
    </w:p>
    <w:p w14:paraId="352B5288" w14:textId="59916719" w:rsidR="00C45957" w:rsidRPr="00C45957" w:rsidRDefault="002A18EF" w:rsidP="009B42F9">
      <w:pPr>
        <w:spacing w:line="240" w:lineRule="auto"/>
        <w:ind w:left="426" w:hanging="426"/>
        <w:rPr>
          <w:rFonts w:cs="Times New Roman"/>
          <w:lang w:val="en-GB"/>
        </w:rPr>
      </w:pPr>
      <w:r>
        <w:rPr>
          <w:rFonts w:cs="Times New Roman"/>
          <w:lang w:val="en-GB"/>
        </w:rPr>
        <w:t>19</w:t>
      </w:r>
      <w:r w:rsidR="009B42F9" w:rsidRPr="00D43A3E">
        <w:rPr>
          <w:rFonts w:cs="Times New Roman"/>
          <w:lang w:val="en-GB"/>
        </w:rPr>
        <w:t>.</w:t>
      </w:r>
      <w:r w:rsidR="009B42F9" w:rsidRPr="00D43A3E">
        <w:rPr>
          <w:rFonts w:cs="Times New Roman"/>
          <w:lang w:val="en-GB"/>
        </w:rPr>
        <w:tab/>
      </w:r>
      <w:r w:rsidR="00C45957" w:rsidRPr="00C45957">
        <w:rPr>
          <w:rFonts w:cs="Times New Roman"/>
          <w:lang w:val="en-GB"/>
        </w:rPr>
        <w:t xml:space="preserve">The five </w:t>
      </w:r>
      <w:r w:rsidR="003B3181" w:rsidRPr="00F543D2">
        <w:rPr>
          <w:rFonts w:cs="Times New Roman"/>
          <w:lang w:val="en-GB"/>
        </w:rPr>
        <w:t>Thematic Work Areas (TWAs)</w:t>
      </w:r>
      <w:r w:rsidR="003B3181">
        <w:rPr>
          <w:rFonts w:cs="Times New Roman"/>
          <w:lang w:val="en-GB"/>
        </w:rPr>
        <w:t xml:space="preserve"> </w:t>
      </w:r>
      <w:r w:rsidR="00C45957" w:rsidRPr="00C45957">
        <w:rPr>
          <w:rFonts w:cs="Times New Roman"/>
          <w:lang w:val="en-GB"/>
        </w:rPr>
        <w:t>defined in Resolution XIV.14 have been retained to ensure continuity and consistency:</w:t>
      </w:r>
    </w:p>
    <w:p w14:paraId="5A09E912" w14:textId="77777777" w:rsidR="00C45957" w:rsidRPr="00C45957" w:rsidRDefault="00C45957" w:rsidP="00C45957">
      <w:pPr>
        <w:spacing w:line="240" w:lineRule="auto"/>
        <w:rPr>
          <w:rFonts w:cs="Times New Roman"/>
          <w:lang w:val="en-GB"/>
        </w:rPr>
      </w:pPr>
    </w:p>
    <w:p w14:paraId="493F442F" w14:textId="3A2D2231" w:rsidR="00C45957" w:rsidRPr="009B42F9" w:rsidRDefault="009B42F9" w:rsidP="009B42F9">
      <w:pPr>
        <w:suppressLineNumbers/>
        <w:suppressAutoHyphens/>
        <w:spacing w:line="240" w:lineRule="auto"/>
        <w:ind w:left="850" w:hanging="432"/>
        <w:contextualSpacing/>
        <w:rPr>
          <w:rFonts w:ascii="Calibri" w:eastAsia="Calibri" w:hAnsi="Calibri" w:cs="Arial"/>
          <w:lang w:val="en-GB"/>
        </w:rPr>
      </w:pPr>
      <w:r w:rsidRPr="00D43A3E">
        <w:rPr>
          <w:rFonts w:cs="Times New Roman"/>
          <w:lang w:val="en-GB"/>
        </w:rPr>
        <w:t>a.</w:t>
      </w:r>
      <w:r>
        <w:rPr>
          <w:rFonts w:cs="Times New Roman"/>
          <w:lang w:val="en-GB"/>
        </w:rPr>
        <w:tab/>
      </w:r>
      <w:r w:rsidR="00C45957" w:rsidRPr="00C45957">
        <w:rPr>
          <w:rFonts w:cs="Times New Roman"/>
          <w:lang w:val="en-GB"/>
        </w:rPr>
        <w:t xml:space="preserve">TWA1: </w:t>
      </w:r>
      <w:r w:rsidR="00C45957" w:rsidRPr="003B3181">
        <w:rPr>
          <w:rFonts w:cs="Times New Roman"/>
          <w:i/>
          <w:iCs/>
          <w:lang w:val="en-GB"/>
        </w:rPr>
        <w:t>Wetlands of International Importance</w:t>
      </w:r>
      <w:r w:rsidR="00C45957" w:rsidRPr="00C45957">
        <w:rPr>
          <w:rFonts w:cs="Times New Roman"/>
          <w:lang w:val="en-GB"/>
        </w:rPr>
        <w:t xml:space="preserve">: Tasks under this area focus on improving guidelines for the </w:t>
      </w:r>
      <w:r w:rsidR="00C45957" w:rsidRPr="009B42F9">
        <w:rPr>
          <w:rFonts w:ascii="Calibri" w:eastAsia="Calibri" w:hAnsi="Calibri" w:cs="Arial"/>
          <w:lang w:val="en-GB"/>
        </w:rPr>
        <w:t xml:space="preserve">ecological character of </w:t>
      </w:r>
      <w:r w:rsidR="00C425AB" w:rsidRPr="00C425AB">
        <w:rPr>
          <w:rFonts w:ascii="Calibri" w:eastAsia="Calibri" w:hAnsi="Calibri" w:cs="Arial"/>
          <w:lang w:val="en-GB"/>
        </w:rPr>
        <w:t>Wetlands of International Importance</w:t>
      </w:r>
      <w:r w:rsidR="00C45957" w:rsidRPr="009B42F9">
        <w:rPr>
          <w:rFonts w:ascii="Calibri" w:eastAsia="Calibri" w:hAnsi="Calibri" w:cs="Arial"/>
          <w:lang w:val="en-GB"/>
        </w:rPr>
        <w:t xml:space="preserve"> and a global assessment of gaps in the </w:t>
      </w:r>
      <w:r w:rsidR="003B3181">
        <w:rPr>
          <w:rFonts w:ascii="Calibri" w:eastAsia="Calibri" w:hAnsi="Calibri" w:cs="Arial"/>
          <w:lang w:val="en-GB"/>
        </w:rPr>
        <w:t>Ramsar S</w:t>
      </w:r>
      <w:r w:rsidR="00C45957" w:rsidRPr="009B42F9">
        <w:rPr>
          <w:rFonts w:ascii="Calibri" w:eastAsia="Calibri" w:hAnsi="Calibri" w:cs="Arial"/>
          <w:lang w:val="en-GB"/>
        </w:rPr>
        <w:t>ite network, with emphasis on synergies with global biodiversity, climate and development agendas.</w:t>
      </w:r>
    </w:p>
    <w:p w14:paraId="5B4FC197" w14:textId="4F44F8FF" w:rsidR="00C45957" w:rsidRPr="009B42F9" w:rsidRDefault="009B42F9" w:rsidP="009B42F9">
      <w:pPr>
        <w:suppressLineNumbers/>
        <w:suppressAutoHyphens/>
        <w:spacing w:line="240" w:lineRule="auto"/>
        <w:ind w:left="850" w:hanging="432"/>
        <w:contextualSpacing/>
        <w:rPr>
          <w:rFonts w:ascii="Calibri" w:eastAsia="Calibri" w:hAnsi="Calibri" w:cs="Arial"/>
          <w:lang w:val="en-GB"/>
        </w:rPr>
      </w:pPr>
      <w:r>
        <w:rPr>
          <w:rFonts w:ascii="Calibri" w:eastAsia="Calibri" w:hAnsi="Calibri" w:cs="Arial"/>
          <w:lang w:val="en-GB"/>
        </w:rPr>
        <w:t>b</w:t>
      </w:r>
      <w:r w:rsidRPr="009B42F9">
        <w:rPr>
          <w:rFonts w:ascii="Calibri" w:eastAsia="Calibri" w:hAnsi="Calibri" w:cs="Arial"/>
          <w:lang w:val="en-GB"/>
        </w:rPr>
        <w:t>.</w:t>
      </w:r>
      <w:r w:rsidRPr="009B42F9">
        <w:rPr>
          <w:rFonts w:ascii="Calibri" w:eastAsia="Calibri" w:hAnsi="Calibri" w:cs="Arial"/>
          <w:lang w:val="en-GB"/>
        </w:rPr>
        <w:tab/>
      </w:r>
      <w:r w:rsidR="00C45957" w:rsidRPr="009B42F9">
        <w:rPr>
          <w:rFonts w:ascii="Calibri" w:eastAsia="Calibri" w:hAnsi="Calibri" w:cs="Arial"/>
          <w:lang w:val="en-GB"/>
        </w:rPr>
        <w:t xml:space="preserve">TWA2: </w:t>
      </w:r>
      <w:r w:rsidR="00C45957" w:rsidRPr="003B3181">
        <w:rPr>
          <w:rFonts w:ascii="Calibri" w:eastAsia="Calibri" w:hAnsi="Calibri" w:cs="Arial"/>
          <w:i/>
          <w:iCs/>
          <w:lang w:val="en-GB"/>
        </w:rPr>
        <w:t>Tools for wetland assessment, mapping and monitoring</w:t>
      </w:r>
      <w:r w:rsidR="00C45957" w:rsidRPr="009B42F9">
        <w:rPr>
          <w:rFonts w:ascii="Calibri" w:eastAsia="Calibri" w:hAnsi="Calibri" w:cs="Arial"/>
          <w:lang w:val="en-GB"/>
        </w:rPr>
        <w:t xml:space="preserve">: Priorities include the continuation of a two-stage review of the </w:t>
      </w:r>
      <w:r w:rsidR="004C19B6">
        <w:rPr>
          <w:rFonts w:ascii="Calibri" w:eastAsia="Calibri" w:hAnsi="Calibri" w:cs="Arial"/>
          <w:lang w:val="en-GB"/>
        </w:rPr>
        <w:t>Convention</w:t>
      </w:r>
      <w:r w:rsidR="00035943">
        <w:rPr>
          <w:rFonts w:ascii="Calibri" w:eastAsia="Calibri" w:hAnsi="Calibri" w:cs="Arial"/>
          <w:lang w:val="en-GB"/>
        </w:rPr>
        <w:t>’</w:t>
      </w:r>
      <w:r w:rsidR="004C19B6">
        <w:rPr>
          <w:rFonts w:ascii="Calibri" w:eastAsia="Calibri" w:hAnsi="Calibri" w:cs="Arial"/>
          <w:lang w:val="en-GB"/>
        </w:rPr>
        <w:t xml:space="preserve">s </w:t>
      </w:r>
      <w:r w:rsidR="00C45957" w:rsidRPr="009B42F9">
        <w:rPr>
          <w:rFonts w:ascii="Calibri" w:eastAsia="Calibri" w:hAnsi="Calibri" w:cs="Arial"/>
          <w:lang w:val="en-GB"/>
        </w:rPr>
        <w:t xml:space="preserve">classification system </w:t>
      </w:r>
      <w:r w:rsidR="00A31FD8">
        <w:rPr>
          <w:rFonts w:ascii="Calibri" w:eastAsia="Calibri" w:hAnsi="Calibri" w:cs="Arial"/>
          <w:lang w:val="en-GB"/>
        </w:rPr>
        <w:t>for wetland type</w:t>
      </w:r>
      <w:r w:rsidR="00145403">
        <w:rPr>
          <w:rFonts w:ascii="Calibri" w:eastAsia="Calibri" w:hAnsi="Calibri" w:cs="Arial"/>
          <w:lang w:val="en-GB"/>
        </w:rPr>
        <w:t xml:space="preserve">, </w:t>
      </w:r>
      <w:r w:rsidR="00C45957" w:rsidRPr="009B42F9">
        <w:rPr>
          <w:rFonts w:ascii="Calibri" w:eastAsia="Calibri" w:hAnsi="Calibri" w:cs="Arial"/>
          <w:lang w:val="en-GB"/>
        </w:rPr>
        <w:t>promoti</w:t>
      </w:r>
      <w:r w:rsidR="00145403">
        <w:rPr>
          <w:rFonts w:ascii="Calibri" w:eastAsia="Calibri" w:hAnsi="Calibri" w:cs="Arial"/>
          <w:lang w:val="en-GB"/>
        </w:rPr>
        <w:t xml:space="preserve">ng and strengthening wetland inventory, </w:t>
      </w:r>
      <w:r w:rsidR="00BF0C98">
        <w:rPr>
          <w:rFonts w:ascii="Calibri" w:eastAsia="Calibri" w:hAnsi="Calibri" w:cs="Arial"/>
          <w:lang w:val="en-GB"/>
        </w:rPr>
        <w:t xml:space="preserve">especially </w:t>
      </w:r>
      <w:r w:rsidR="00145403">
        <w:rPr>
          <w:rFonts w:ascii="Calibri" w:eastAsia="Calibri" w:hAnsi="Calibri" w:cs="Arial"/>
          <w:lang w:val="en-GB"/>
        </w:rPr>
        <w:t xml:space="preserve">through </w:t>
      </w:r>
      <w:r w:rsidR="00C45957" w:rsidRPr="009B42F9">
        <w:rPr>
          <w:rFonts w:ascii="Calibri" w:eastAsia="Calibri" w:hAnsi="Calibri" w:cs="Arial"/>
          <w:lang w:val="en-GB"/>
        </w:rPr>
        <w:t xml:space="preserve">the use of </w:t>
      </w:r>
      <w:r w:rsidR="004F62E4">
        <w:rPr>
          <w:rFonts w:ascii="Calibri" w:eastAsia="Calibri" w:hAnsi="Calibri" w:cs="Arial"/>
          <w:lang w:val="en-GB"/>
        </w:rPr>
        <w:t>E</w:t>
      </w:r>
      <w:r w:rsidR="00C45957" w:rsidRPr="009B42F9">
        <w:rPr>
          <w:rFonts w:ascii="Calibri" w:eastAsia="Calibri" w:hAnsi="Calibri" w:cs="Arial"/>
          <w:lang w:val="en-GB"/>
        </w:rPr>
        <w:t>arth observation</w:t>
      </w:r>
      <w:r w:rsidR="00145403">
        <w:rPr>
          <w:rFonts w:ascii="Calibri" w:eastAsia="Calibri" w:hAnsi="Calibri" w:cs="Arial"/>
          <w:lang w:val="en-GB"/>
        </w:rPr>
        <w:t xml:space="preserve"> and </w:t>
      </w:r>
      <w:r w:rsidR="00BF0C98">
        <w:rPr>
          <w:rFonts w:ascii="Calibri" w:eastAsia="Calibri" w:hAnsi="Calibri" w:cs="Arial"/>
          <w:lang w:val="en-GB"/>
        </w:rPr>
        <w:t xml:space="preserve">in </w:t>
      </w:r>
      <w:r w:rsidR="00C45957" w:rsidRPr="009B42F9">
        <w:rPr>
          <w:rFonts w:ascii="Calibri" w:eastAsia="Calibri" w:hAnsi="Calibri" w:cs="Arial"/>
          <w:lang w:val="en-GB"/>
        </w:rPr>
        <w:t xml:space="preserve">coordination with GEO-Wetlands and </w:t>
      </w:r>
      <w:r w:rsidR="00BF0C98">
        <w:rPr>
          <w:rFonts w:ascii="Calibri" w:eastAsia="Calibri" w:hAnsi="Calibri" w:cs="Arial"/>
          <w:lang w:val="en-GB"/>
        </w:rPr>
        <w:t xml:space="preserve">other relevant </w:t>
      </w:r>
      <w:r w:rsidR="00C45957" w:rsidRPr="009B42F9">
        <w:rPr>
          <w:rFonts w:ascii="Calibri" w:eastAsia="Calibri" w:hAnsi="Calibri" w:cs="Arial"/>
          <w:lang w:val="en-GB"/>
        </w:rPr>
        <w:t>initiatives.</w:t>
      </w:r>
    </w:p>
    <w:p w14:paraId="4E1CCF82" w14:textId="1DE713AE" w:rsidR="00C45957" w:rsidRPr="009B42F9" w:rsidRDefault="009B42F9" w:rsidP="009B42F9">
      <w:pPr>
        <w:suppressLineNumbers/>
        <w:suppressAutoHyphens/>
        <w:spacing w:line="240" w:lineRule="auto"/>
        <w:ind w:left="850" w:hanging="432"/>
        <w:contextualSpacing/>
        <w:rPr>
          <w:rFonts w:ascii="Calibri" w:eastAsia="Calibri" w:hAnsi="Calibri" w:cs="Arial"/>
          <w:lang w:val="en-GB"/>
        </w:rPr>
      </w:pPr>
      <w:r>
        <w:rPr>
          <w:rFonts w:ascii="Calibri" w:eastAsia="Calibri" w:hAnsi="Calibri" w:cs="Arial"/>
          <w:lang w:val="en-GB"/>
        </w:rPr>
        <w:t>c</w:t>
      </w:r>
      <w:r w:rsidRPr="009B42F9">
        <w:rPr>
          <w:rFonts w:ascii="Calibri" w:eastAsia="Calibri" w:hAnsi="Calibri" w:cs="Arial"/>
          <w:lang w:val="en-GB"/>
        </w:rPr>
        <w:t>.</w:t>
      </w:r>
      <w:r w:rsidRPr="009B42F9">
        <w:rPr>
          <w:rFonts w:ascii="Calibri" w:eastAsia="Calibri" w:hAnsi="Calibri" w:cs="Arial"/>
          <w:lang w:val="en-GB"/>
        </w:rPr>
        <w:tab/>
      </w:r>
      <w:r w:rsidR="00C45957" w:rsidRPr="009B42F9">
        <w:rPr>
          <w:rFonts w:ascii="Calibri" w:eastAsia="Calibri" w:hAnsi="Calibri" w:cs="Arial"/>
          <w:lang w:val="en-GB"/>
        </w:rPr>
        <w:t xml:space="preserve">TWA3: </w:t>
      </w:r>
      <w:r w:rsidR="00C45957" w:rsidRPr="003B3181">
        <w:rPr>
          <w:rFonts w:ascii="Calibri" w:eastAsia="Calibri" w:hAnsi="Calibri" w:cs="Arial"/>
          <w:i/>
          <w:iCs/>
          <w:lang w:val="en-GB"/>
        </w:rPr>
        <w:t>Pressures on wetlands and climate change</w:t>
      </w:r>
      <w:r w:rsidR="00C45957" w:rsidRPr="009B42F9">
        <w:rPr>
          <w:rFonts w:ascii="Calibri" w:eastAsia="Calibri" w:hAnsi="Calibri" w:cs="Arial"/>
          <w:lang w:val="en-GB"/>
        </w:rPr>
        <w:t xml:space="preserve">: </w:t>
      </w:r>
      <w:r w:rsidR="002A7B96">
        <w:rPr>
          <w:rFonts w:ascii="Calibri" w:eastAsia="Calibri" w:hAnsi="Calibri" w:cs="Arial"/>
          <w:lang w:val="en-GB"/>
        </w:rPr>
        <w:t>Proposed n</w:t>
      </w:r>
      <w:r w:rsidR="00C45957" w:rsidRPr="009B42F9">
        <w:rPr>
          <w:rFonts w:ascii="Calibri" w:eastAsia="Calibri" w:hAnsi="Calibri" w:cs="Arial"/>
          <w:lang w:val="en-GB"/>
        </w:rPr>
        <w:t>ew tasks will examine the impacts of harmful algal blooms and wetland fires, and provide data and guidance to Parties on how to mitigate and respond to these threats.</w:t>
      </w:r>
    </w:p>
    <w:p w14:paraId="4BDB117D" w14:textId="3C138556" w:rsidR="00C45957" w:rsidRPr="009B42F9" w:rsidRDefault="009B42F9" w:rsidP="009B42F9">
      <w:pPr>
        <w:suppressLineNumbers/>
        <w:suppressAutoHyphens/>
        <w:spacing w:line="240" w:lineRule="auto"/>
        <w:ind w:left="850" w:hanging="432"/>
        <w:contextualSpacing/>
        <w:rPr>
          <w:rFonts w:ascii="Calibri" w:eastAsia="Calibri" w:hAnsi="Calibri" w:cs="Arial"/>
          <w:lang w:val="en-GB"/>
        </w:rPr>
      </w:pPr>
      <w:r>
        <w:rPr>
          <w:rFonts w:ascii="Calibri" w:eastAsia="Calibri" w:hAnsi="Calibri" w:cs="Arial"/>
          <w:lang w:val="en-GB"/>
        </w:rPr>
        <w:t>d</w:t>
      </w:r>
      <w:r w:rsidRPr="009B42F9">
        <w:rPr>
          <w:rFonts w:ascii="Calibri" w:eastAsia="Calibri" w:hAnsi="Calibri" w:cs="Arial"/>
          <w:lang w:val="en-GB"/>
        </w:rPr>
        <w:t>.</w:t>
      </w:r>
      <w:r w:rsidRPr="009B42F9">
        <w:rPr>
          <w:rFonts w:ascii="Calibri" w:eastAsia="Calibri" w:hAnsi="Calibri" w:cs="Arial"/>
          <w:lang w:val="en-GB"/>
        </w:rPr>
        <w:tab/>
      </w:r>
      <w:r w:rsidR="00C45957" w:rsidRPr="009B42F9">
        <w:rPr>
          <w:rFonts w:ascii="Calibri" w:eastAsia="Calibri" w:hAnsi="Calibri" w:cs="Arial"/>
          <w:lang w:val="en-GB"/>
        </w:rPr>
        <w:t xml:space="preserve">TWA4: </w:t>
      </w:r>
      <w:r w:rsidR="00C45957" w:rsidRPr="003B3181">
        <w:rPr>
          <w:rFonts w:ascii="Calibri" w:eastAsia="Calibri" w:hAnsi="Calibri" w:cs="Arial"/>
          <w:i/>
          <w:iCs/>
          <w:lang w:val="en-GB"/>
        </w:rPr>
        <w:t>Wise use and restoration in the wider landscape/seascape</w:t>
      </w:r>
      <w:r w:rsidR="00C45957" w:rsidRPr="009B42F9">
        <w:rPr>
          <w:rFonts w:ascii="Calibri" w:eastAsia="Calibri" w:hAnsi="Calibri" w:cs="Arial"/>
          <w:lang w:val="en-GB"/>
        </w:rPr>
        <w:t>: The STRP will continue work on transformative change pathways for wise use of wetlands and strengthen efforts to restore wetlands in line with global restoration targets.</w:t>
      </w:r>
    </w:p>
    <w:p w14:paraId="4EA93417" w14:textId="44EAB302" w:rsidR="00C055BA" w:rsidRDefault="009B42F9" w:rsidP="009B42F9">
      <w:pPr>
        <w:suppressLineNumbers/>
        <w:suppressAutoHyphens/>
        <w:spacing w:line="240" w:lineRule="auto"/>
        <w:ind w:left="850" w:hanging="432"/>
        <w:contextualSpacing/>
        <w:rPr>
          <w:rFonts w:cs="Times New Roman"/>
          <w:lang w:val="en-GB"/>
        </w:rPr>
      </w:pPr>
      <w:r>
        <w:rPr>
          <w:rFonts w:ascii="Calibri" w:eastAsia="Calibri" w:hAnsi="Calibri" w:cs="Arial"/>
          <w:lang w:val="en-GB"/>
        </w:rPr>
        <w:t>e</w:t>
      </w:r>
      <w:r w:rsidRPr="009B42F9">
        <w:rPr>
          <w:rFonts w:ascii="Calibri" w:eastAsia="Calibri" w:hAnsi="Calibri" w:cs="Arial"/>
          <w:lang w:val="en-GB"/>
        </w:rPr>
        <w:t>.</w:t>
      </w:r>
      <w:r w:rsidRPr="009B42F9">
        <w:rPr>
          <w:rFonts w:ascii="Calibri" w:eastAsia="Calibri" w:hAnsi="Calibri" w:cs="Arial"/>
          <w:lang w:val="en-GB"/>
        </w:rPr>
        <w:tab/>
      </w:r>
      <w:r w:rsidR="00C45957" w:rsidRPr="009B42F9">
        <w:rPr>
          <w:rFonts w:ascii="Calibri" w:eastAsia="Calibri" w:hAnsi="Calibri" w:cs="Arial"/>
          <w:lang w:val="en-GB"/>
        </w:rPr>
        <w:t xml:space="preserve">TWA5: </w:t>
      </w:r>
      <w:r w:rsidR="00C45957" w:rsidRPr="003B3181">
        <w:rPr>
          <w:rFonts w:ascii="Calibri" w:eastAsia="Calibri" w:hAnsi="Calibri" w:cs="Arial"/>
          <w:i/>
          <w:iCs/>
          <w:lang w:val="en-GB"/>
        </w:rPr>
        <w:t>Cross-cutting issues and synergies</w:t>
      </w:r>
      <w:r w:rsidR="00C45957" w:rsidRPr="009B42F9">
        <w:rPr>
          <w:rFonts w:ascii="Calibri" w:eastAsia="Calibri" w:hAnsi="Calibri" w:cs="Arial"/>
          <w:lang w:val="en-GB"/>
        </w:rPr>
        <w:t xml:space="preserve">: Priorities include development of the next edition of the Global Wetland Outlook, </w:t>
      </w:r>
      <w:r w:rsidR="005F606C">
        <w:rPr>
          <w:rFonts w:ascii="Calibri" w:eastAsia="Calibri" w:hAnsi="Calibri" w:cs="Arial"/>
          <w:lang w:val="en-GB"/>
        </w:rPr>
        <w:t xml:space="preserve">support towards the development </w:t>
      </w:r>
      <w:r w:rsidR="00C45957" w:rsidRPr="009B42F9">
        <w:rPr>
          <w:rFonts w:ascii="Calibri" w:eastAsia="Calibri" w:hAnsi="Calibri" w:cs="Arial"/>
          <w:lang w:val="en-GB"/>
        </w:rPr>
        <w:t>of indicator</w:t>
      </w:r>
      <w:r w:rsidR="005F606C">
        <w:rPr>
          <w:rFonts w:ascii="Calibri" w:eastAsia="Calibri" w:hAnsi="Calibri" w:cs="Arial"/>
          <w:lang w:val="en-GB"/>
        </w:rPr>
        <w:t>s</w:t>
      </w:r>
      <w:r w:rsidR="00C45957" w:rsidRPr="009B42F9">
        <w:rPr>
          <w:rFonts w:ascii="Calibri" w:eastAsia="Calibri" w:hAnsi="Calibri" w:cs="Arial"/>
          <w:lang w:val="en-GB"/>
        </w:rPr>
        <w:t xml:space="preserve"> </w:t>
      </w:r>
      <w:r w:rsidR="005F606C">
        <w:rPr>
          <w:rFonts w:ascii="Calibri" w:eastAsia="Calibri" w:hAnsi="Calibri" w:cs="Arial"/>
          <w:lang w:val="en-GB"/>
        </w:rPr>
        <w:t xml:space="preserve">and </w:t>
      </w:r>
      <w:r w:rsidR="00C45957" w:rsidRPr="009B42F9">
        <w:rPr>
          <w:rFonts w:ascii="Calibri" w:eastAsia="Calibri" w:hAnsi="Calibri" w:cs="Arial"/>
          <w:lang w:val="en-GB"/>
        </w:rPr>
        <w:t>methodologies for SP5 and other global frameworks, and continued</w:t>
      </w:r>
      <w:r w:rsidR="00C45957" w:rsidRPr="00C45957">
        <w:rPr>
          <w:rFonts w:cs="Times New Roman"/>
          <w:lang w:val="en-GB"/>
        </w:rPr>
        <w:t xml:space="preserve"> review of legal and policy frameworks relevant to wetlands.</w:t>
      </w:r>
    </w:p>
    <w:p w14:paraId="7E04EE08" w14:textId="77777777" w:rsidR="0030794E" w:rsidRDefault="0030794E" w:rsidP="0030794E">
      <w:pPr>
        <w:spacing w:line="240" w:lineRule="auto"/>
        <w:ind w:left="426" w:hanging="426"/>
        <w:rPr>
          <w:rFonts w:cs="Times New Roman"/>
          <w:lang w:val="en-GB"/>
        </w:rPr>
      </w:pPr>
    </w:p>
    <w:p w14:paraId="7175310E" w14:textId="24114134" w:rsidR="0030794E" w:rsidRPr="009B42F9" w:rsidRDefault="0030794E" w:rsidP="0030794E">
      <w:pPr>
        <w:spacing w:line="240" w:lineRule="auto"/>
        <w:ind w:left="426" w:hanging="426"/>
        <w:rPr>
          <w:rFonts w:cs="Times New Roman"/>
          <w:lang w:val="en-GB"/>
        </w:rPr>
      </w:pPr>
      <w:r>
        <w:rPr>
          <w:rFonts w:cs="Times New Roman"/>
          <w:lang w:val="en-GB"/>
        </w:rPr>
        <w:t>2</w:t>
      </w:r>
      <w:r w:rsidR="002A18EF">
        <w:rPr>
          <w:rFonts w:cs="Times New Roman"/>
          <w:lang w:val="en-GB"/>
        </w:rPr>
        <w:t>0</w:t>
      </w:r>
      <w:r w:rsidRPr="00D43A3E">
        <w:rPr>
          <w:rFonts w:cs="Times New Roman"/>
          <w:lang w:val="en-GB"/>
        </w:rPr>
        <w:t>.</w:t>
      </w:r>
      <w:r>
        <w:rPr>
          <w:rFonts w:cs="Times New Roman"/>
          <w:lang w:val="en-GB"/>
        </w:rPr>
        <w:tab/>
      </w:r>
      <w:r w:rsidRPr="009B42F9">
        <w:rPr>
          <w:rFonts w:cs="Times New Roman"/>
          <w:lang w:val="en-GB"/>
        </w:rPr>
        <w:t>The STRP also identified additional emerging issues for possible inclusion in the 202</w:t>
      </w:r>
      <w:r w:rsidR="004253DD">
        <w:rPr>
          <w:rFonts w:cs="Times New Roman"/>
          <w:lang w:val="en-GB"/>
        </w:rPr>
        <w:t>5</w:t>
      </w:r>
      <w:r w:rsidRPr="009B42F9">
        <w:rPr>
          <w:rFonts w:cs="Times New Roman"/>
          <w:lang w:val="en-GB"/>
        </w:rPr>
        <w:t>-2028 work plan, subject to the availability of financial and human resources. These include improved global reporting on wetlands, urban wetlands, carbon credits, plastic pollution, hydrological change and the integration of biodiversity through updated guidance on wise use of wetlands.</w:t>
      </w:r>
    </w:p>
    <w:p w14:paraId="5796A80A" w14:textId="77777777" w:rsidR="00C055BA" w:rsidRDefault="00C055BA" w:rsidP="00D15230">
      <w:pPr>
        <w:spacing w:line="240" w:lineRule="auto"/>
        <w:rPr>
          <w:rFonts w:cs="Times New Roman"/>
          <w:lang w:val="en-GB"/>
        </w:rPr>
      </w:pPr>
    </w:p>
    <w:p w14:paraId="2C2D6D1C" w14:textId="0DF9E696" w:rsidR="00F26DD7" w:rsidRDefault="00F26DD7" w:rsidP="00F26DD7">
      <w:pPr>
        <w:spacing w:line="240" w:lineRule="auto"/>
        <w:ind w:left="426" w:hanging="426"/>
        <w:rPr>
          <w:rFonts w:cs="Times New Roman"/>
          <w:lang w:val="en-GB"/>
        </w:rPr>
      </w:pPr>
      <w:r>
        <w:rPr>
          <w:rFonts w:cs="Times New Roman"/>
          <w:lang w:val="en-GB"/>
        </w:rPr>
        <w:t>2</w:t>
      </w:r>
      <w:r w:rsidR="002A18EF">
        <w:rPr>
          <w:rFonts w:cs="Times New Roman"/>
          <w:lang w:val="en-GB"/>
        </w:rPr>
        <w:t>1</w:t>
      </w:r>
      <w:r w:rsidRPr="00D43A3E">
        <w:rPr>
          <w:rFonts w:cs="Times New Roman"/>
          <w:lang w:val="en-GB"/>
        </w:rPr>
        <w:t>.</w:t>
      </w:r>
      <w:r>
        <w:rPr>
          <w:rFonts w:cs="Times New Roman"/>
          <w:lang w:val="en-GB"/>
        </w:rPr>
        <w:tab/>
      </w:r>
      <w:r w:rsidRPr="009B42F9">
        <w:rPr>
          <w:rFonts w:cs="Times New Roman"/>
          <w:lang w:val="en-GB"/>
        </w:rPr>
        <w:t>A detailed list of tasks recommended by the STRP for 202</w:t>
      </w:r>
      <w:r w:rsidR="004253DD">
        <w:rPr>
          <w:rFonts w:cs="Times New Roman"/>
          <w:lang w:val="en-GB"/>
        </w:rPr>
        <w:t>5</w:t>
      </w:r>
      <w:r w:rsidRPr="009B42F9">
        <w:rPr>
          <w:rFonts w:cs="Times New Roman"/>
          <w:lang w:val="en-GB"/>
        </w:rPr>
        <w:t xml:space="preserve">-2028 is provided in Annex </w:t>
      </w:r>
      <w:r w:rsidR="004B323D">
        <w:rPr>
          <w:rFonts w:cs="Times New Roman"/>
          <w:lang w:val="en-GB"/>
        </w:rPr>
        <w:t>1</w:t>
      </w:r>
      <w:r w:rsidRPr="009B42F9">
        <w:rPr>
          <w:rFonts w:cs="Times New Roman"/>
          <w:lang w:val="en-GB"/>
        </w:rPr>
        <w:t xml:space="preserve"> of </w:t>
      </w:r>
      <w:r w:rsidR="003B3181">
        <w:rPr>
          <w:rFonts w:cs="Times New Roman"/>
          <w:lang w:val="en-GB"/>
        </w:rPr>
        <w:t>the present</w:t>
      </w:r>
      <w:r w:rsidR="003B3181" w:rsidRPr="009B42F9">
        <w:rPr>
          <w:rFonts w:cs="Times New Roman"/>
          <w:lang w:val="en-GB"/>
        </w:rPr>
        <w:t xml:space="preserve"> </w:t>
      </w:r>
      <w:r w:rsidRPr="009B42F9">
        <w:rPr>
          <w:rFonts w:cs="Times New Roman"/>
          <w:lang w:val="en-GB"/>
        </w:rPr>
        <w:t>report.</w:t>
      </w:r>
    </w:p>
    <w:p w14:paraId="426777BC" w14:textId="77777777" w:rsidR="00E7019D" w:rsidRDefault="00E7019D" w:rsidP="00E7019D">
      <w:pPr>
        <w:spacing w:line="240" w:lineRule="auto"/>
        <w:ind w:left="426" w:hanging="426"/>
        <w:rPr>
          <w:rFonts w:cs="Times New Roman"/>
          <w:lang w:val="en-GB"/>
        </w:rPr>
      </w:pPr>
    </w:p>
    <w:p w14:paraId="16694E64" w14:textId="1EDA8ADE" w:rsidR="00E7019D" w:rsidRPr="007A1DCD" w:rsidRDefault="00E7019D" w:rsidP="00E7019D">
      <w:pPr>
        <w:suppressLineNumbers/>
        <w:suppressAutoHyphens/>
        <w:spacing w:line="240" w:lineRule="auto"/>
        <w:rPr>
          <w:rFonts w:ascii="Calibri" w:eastAsia="Calibri" w:hAnsi="Calibri" w:cs="Arial"/>
          <w:b/>
          <w:lang w:val="en-GB"/>
        </w:rPr>
      </w:pPr>
      <w:r w:rsidRPr="00E7019D">
        <w:rPr>
          <w:rFonts w:ascii="Calibri" w:eastAsia="Calibri" w:hAnsi="Calibri" w:cs="Arial"/>
          <w:b/>
          <w:lang w:val="en-GB"/>
        </w:rPr>
        <w:t>Participation in S</w:t>
      </w:r>
      <w:r w:rsidR="003B3181">
        <w:rPr>
          <w:rFonts w:ascii="Calibri" w:eastAsia="Calibri" w:hAnsi="Calibri" w:cs="Arial"/>
          <w:b/>
          <w:lang w:val="en-GB"/>
        </w:rPr>
        <w:t xml:space="preserve">tanding </w:t>
      </w:r>
      <w:r w:rsidRPr="00E7019D">
        <w:rPr>
          <w:rFonts w:ascii="Calibri" w:eastAsia="Calibri" w:hAnsi="Calibri" w:cs="Arial"/>
          <w:b/>
          <w:lang w:val="en-GB"/>
        </w:rPr>
        <w:t>C</w:t>
      </w:r>
      <w:r w:rsidR="003B3181">
        <w:rPr>
          <w:rFonts w:ascii="Calibri" w:eastAsia="Calibri" w:hAnsi="Calibri" w:cs="Arial"/>
          <w:b/>
          <w:lang w:val="en-GB"/>
        </w:rPr>
        <w:t>ommittee</w:t>
      </w:r>
      <w:r w:rsidRPr="00E7019D">
        <w:rPr>
          <w:rFonts w:ascii="Calibri" w:eastAsia="Calibri" w:hAnsi="Calibri" w:cs="Arial"/>
          <w:b/>
          <w:lang w:val="en-GB"/>
        </w:rPr>
        <w:t xml:space="preserve"> meetings and pre-COP regional meetings</w:t>
      </w:r>
      <w:r w:rsidRPr="00E7019D" w:rsidDel="00E7019D">
        <w:rPr>
          <w:rFonts w:ascii="Calibri" w:eastAsia="Calibri" w:hAnsi="Calibri" w:cs="Arial"/>
          <w:b/>
          <w:lang w:val="en-GB"/>
        </w:rPr>
        <w:t xml:space="preserve"> </w:t>
      </w:r>
    </w:p>
    <w:p w14:paraId="60F11A7B" w14:textId="77777777" w:rsidR="00E7019D" w:rsidRDefault="00E7019D" w:rsidP="001671B0">
      <w:pPr>
        <w:keepNext/>
        <w:spacing w:line="240" w:lineRule="auto"/>
        <w:rPr>
          <w:rFonts w:cs="Times New Roman"/>
          <w:lang w:val="en-GB"/>
        </w:rPr>
      </w:pPr>
    </w:p>
    <w:p w14:paraId="21E9949C" w14:textId="3FDF7D26" w:rsidR="00DC6B1C" w:rsidRPr="00070BB5" w:rsidRDefault="002A18EF" w:rsidP="00260CB3">
      <w:pPr>
        <w:spacing w:line="240" w:lineRule="auto"/>
        <w:ind w:left="426" w:hanging="426"/>
        <w:rPr>
          <w:rFonts w:cs="Times New Roman"/>
          <w:lang w:val="en-GB"/>
        </w:rPr>
      </w:pPr>
      <w:r w:rsidRPr="00070BB5">
        <w:rPr>
          <w:rFonts w:cs="Times New Roman"/>
          <w:lang w:val="en-GB"/>
        </w:rPr>
        <w:t>22</w:t>
      </w:r>
      <w:r w:rsidR="00DC6B1C" w:rsidRPr="00070BB5">
        <w:rPr>
          <w:rFonts w:cs="Times New Roman"/>
          <w:lang w:val="en-GB"/>
        </w:rPr>
        <w:t>.</w:t>
      </w:r>
      <w:r w:rsidR="00DC6B1C" w:rsidRPr="00070BB5">
        <w:rPr>
          <w:rFonts w:cs="Times New Roman"/>
          <w:lang w:val="en-GB"/>
        </w:rPr>
        <w:tab/>
      </w:r>
      <w:r w:rsidR="00064F16" w:rsidRPr="00070BB5">
        <w:rPr>
          <w:rFonts w:cs="Times New Roman"/>
          <w:lang w:val="en-GB"/>
        </w:rPr>
        <w:t xml:space="preserve">The Chair of the STRP participated actively in all meetings of the Standing Committee during the 2023-2025 triennium. At the 62nd meeting in September 2023, the Chair presented a comprehensive report on the newly constituted STRP and its work plan for 2023-2025. At </w:t>
      </w:r>
      <w:r w:rsidR="00070BB5">
        <w:rPr>
          <w:rFonts w:cs="Times New Roman"/>
          <w:lang w:val="en-GB"/>
        </w:rPr>
        <w:t>SC63</w:t>
      </w:r>
      <w:r w:rsidR="00064F16" w:rsidRPr="00070BB5">
        <w:rPr>
          <w:rFonts w:cs="Times New Roman"/>
          <w:lang w:val="en-GB"/>
        </w:rPr>
        <w:t xml:space="preserve"> in June 2024, the Chair provided an update on the progress of high priority tasks and presented a technical proposal on waterbird population estimation and updated guidance on the application of Criteria 6 and 9. At </w:t>
      </w:r>
      <w:r w:rsidR="00070BB5">
        <w:rPr>
          <w:rFonts w:cs="Times New Roman"/>
          <w:lang w:val="en-GB"/>
        </w:rPr>
        <w:t>SC64</w:t>
      </w:r>
      <w:r w:rsidR="00064F16" w:rsidRPr="00070BB5">
        <w:rPr>
          <w:rFonts w:cs="Times New Roman"/>
          <w:lang w:val="en-GB"/>
        </w:rPr>
        <w:t xml:space="preserve"> in January 2025, the Chair presented the final report of the STRP for the triennium, introduced several draft resolutions submitted by the STRP and participated in discussions on other scientifically relevant draft resolutions submitted by Parties. The STRP also presented an information paper on proposed indicators for </w:t>
      </w:r>
      <w:r w:rsidR="00A84379" w:rsidRPr="00070BB5">
        <w:rPr>
          <w:rFonts w:cs="Times New Roman"/>
          <w:lang w:val="en-GB"/>
        </w:rPr>
        <w:t>SP5</w:t>
      </w:r>
      <w:r w:rsidR="00DC6B1C" w:rsidRPr="00070BB5">
        <w:rPr>
          <w:rFonts w:cs="Times New Roman"/>
          <w:lang w:val="en-GB"/>
        </w:rPr>
        <w:t>.</w:t>
      </w:r>
      <w:r w:rsidR="001C520C" w:rsidRPr="00070BB5">
        <w:rPr>
          <w:rFonts w:cs="Times New Roman"/>
          <w:lang w:val="en-GB"/>
        </w:rPr>
        <w:t xml:space="preserve"> </w:t>
      </w:r>
    </w:p>
    <w:p w14:paraId="5F99B3E1" w14:textId="77777777" w:rsidR="00DC6B1C" w:rsidRPr="000E2966" w:rsidRDefault="00DC6B1C" w:rsidP="00E7019D">
      <w:pPr>
        <w:spacing w:line="240" w:lineRule="auto"/>
        <w:rPr>
          <w:rFonts w:cs="Times New Roman"/>
          <w:lang w:val="en-GB"/>
        </w:rPr>
      </w:pPr>
    </w:p>
    <w:p w14:paraId="1C91DDD1" w14:textId="7BD0F431" w:rsidR="00E7019D" w:rsidRPr="003C3EDB" w:rsidRDefault="002A18EF" w:rsidP="00E7019D">
      <w:pPr>
        <w:spacing w:line="240" w:lineRule="auto"/>
        <w:ind w:left="426" w:hanging="426"/>
        <w:rPr>
          <w:rFonts w:cs="Times New Roman"/>
          <w:lang w:val="en-GB"/>
        </w:rPr>
      </w:pPr>
      <w:r>
        <w:rPr>
          <w:rFonts w:cs="Times New Roman"/>
          <w:lang w:val="en-GB"/>
        </w:rPr>
        <w:t>23</w:t>
      </w:r>
      <w:r w:rsidR="00E7019D">
        <w:rPr>
          <w:rFonts w:cs="Times New Roman"/>
          <w:lang w:val="en-GB"/>
        </w:rPr>
        <w:t>.</w:t>
      </w:r>
      <w:r w:rsidR="00E7019D">
        <w:rPr>
          <w:rFonts w:cs="Times New Roman"/>
          <w:lang w:val="en-GB"/>
        </w:rPr>
        <w:tab/>
      </w:r>
      <w:r w:rsidR="00523463" w:rsidRPr="00DC6B1C">
        <w:rPr>
          <w:rFonts w:cs="Times New Roman"/>
          <w:lang w:val="en-US"/>
        </w:rPr>
        <w:t>In addition to S</w:t>
      </w:r>
      <w:r w:rsidR="00070BB5">
        <w:rPr>
          <w:rFonts w:cs="Times New Roman"/>
          <w:lang w:val="en-US"/>
        </w:rPr>
        <w:t xml:space="preserve">tanding </w:t>
      </w:r>
      <w:r w:rsidR="00523463" w:rsidRPr="00DC6B1C">
        <w:rPr>
          <w:rFonts w:cs="Times New Roman"/>
          <w:lang w:val="en-US"/>
        </w:rPr>
        <w:t>C</w:t>
      </w:r>
      <w:r w:rsidR="00070BB5">
        <w:rPr>
          <w:rFonts w:cs="Times New Roman"/>
          <w:lang w:val="en-US"/>
        </w:rPr>
        <w:t>ommittee</w:t>
      </w:r>
      <w:r w:rsidR="00523463" w:rsidRPr="00DC6B1C">
        <w:rPr>
          <w:rFonts w:cs="Times New Roman"/>
          <w:lang w:val="en-US"/>
        </w:rPr>
        <w:t xml:space="preserve"> meetings, </w:t>
      </w:r>
      <w:r w:rsidR="00DC6B1C">
        <w:rPr>
          <w:rFonts w:cs="Times New Roman"/>
          <w:lang w:val="en-US"/>
        </w:rPr>
        <w:t>t</w:t>
      </w:r>
      <w:r w:rsidR="00E7019D" w:rsidRPr="003C3EDB">
        <w:rPr>
          <w:rFonts w:cs="Times New Roman"/>
          <w:lang w:val="en-GB"/>
        </w:rPr>
        <w:t>he STRP Chair and members contributed to regional preparatory meetings for COP15, including those</w:t>
      </w:r>
      <w:r w:rsidR="00DC6B1C">
        <w:rPr>
          <w:rFonts w:cs="Times New Roman"/>
          <w:lang w:val="en-GB"/>
        </w:rPr>
        <w:t xml:space="preserve"> held</w:t>
      </w:r>
      <w:r w:rsidR="00E7019D" w:rsidRPr="003C3EDB">
        <w:rPr>
          <w:rFonts w:cs="Times New Roman"/>
          <w:lang w:val="en-GB"/>
        </w:rPr>
        <w:t xml:space="preserve"> for Africa, Asia and Oceania, Europe and the Americas. Presentations were made on key draft resolutions and STRP technical guidance, including the proposed resolution on future scientific and technical implementation of the Convention for 202</w:t>
      </w:r>
      <w:r w:rsidR="004253DD">
        <w:rPr>
          <w:rFonts w:cs="Times New Roman"/>
          <w:lang w:val="en-GB"/>
        </w:rPr>
        <w:t>5</w:t>
      </w:r>
      <w:r w:rsidR="00E7019D" w:rsidRPr="003C3EDB">
        <w:rPr>
          <w:rFonts w:cs="Times New Roman"/>
          <w:lang w:val="en-GB"/>
        </w:rPr>
        <w:t>-2028, and other draft resolutions on criteria</w:t>
      </w:r>
      <w:r w:rsidR="00E7019D">
        <w:rPr>
          <w:rFonts w:cs="Times New Roman"/>
          <w:lang w:val="en-GB"/>
        </w:rPr>
        <w:t xml:space="preserve"> for Wetlands of International Importance</w:t>
      </w:r>
      <w:r w:rsidR="00E7019D" w:rsidRPr="003C3EDB">
        <w:rPr>
          <w:rFonts w:cs="Times New Roman"/>
          <w:lang w:val="en-GB"/>
        </w:rPr>
        <w:t>,</w:t>
      </w:r>
      <w:r w:rsidR="00E7019D">
        <w:rPr>
          <w:rFonts w:cs="Times New Roman"/>
          <w:lang w:val="en-GB"/>
        </w:rPr>
        <w:t xml:space="preserve"> and</w:t>
      </w:r>
      <w:r w:rsidR="00E7019D" w:rsidRPr="003C3EDB">
        <w:rPr>
          <w:rFonts w:cs="Times New Roman"/>
          <w:lang w:val="en-GB"/>
        </w:rPr>
        <w:t xml:space="preserve"> waterbird population estimates.</w:t>
      </w:r>
    </w:p>
    <w:p w14:paraId="08B84FF9" w14:textId="77777777" w:rsidR="00D82A29" w:rsidRDefault="00D82A29" w:rsidP="00D15230">
      <w:pPr>
        <w:spacing w:line="240" w:lineRule="auto"/>
        <w:rPr>
          <w:rFonts w:cs="Times New Roman"/>
          <w:lang w:val="en-GB"/>
        </w:rPr>
      </w:pPr>
    </w:p>
    <w:p w14:paraId="454C9B32" w14:textId="5247C819" w:rsidR="00D82A29" w:rsidRPr="003D77E8" w:rsidRDefault="00AF5148" w:rsidP="00AF5148">
      <w:pPr>
        <w:suppressLineNumbers/>
        <w:suppressAutoHyphens/>
        <w:spacing w:line="240" w:lineRule="auto"/>
        <w:rPr>
          <w:rFonts w:ascii="Calibri" w:eastAsia="Calibri" w:hAnsi="Calibri" w:cs="Arial"/>
          <w:b/>
          <w:lang w:val="en-GB"/>
        </w:rPr>
      </w:pPr>
      <w:r w:rsidRPr="003D77E8">
        <w:rPr>
          <w:rFonts w:ascii="Calibri" w:eastAsia="Calibri" w:hAnsi="Calibri" w:cs="Arial"/>
          <w:b/>
          <w:lang w:val="en-GB"/>
        </w:rPr>
        <w:t>Participation in meetings of technical bodies of other multilateral environmental agreements and other events</w:t>
      </w:r>
    </w:p>
    <w:p w14:paraId="028BBA15" w14:textId="77777777" w:rsidR="000E2966" w:rsidRPr="00524816" w:rsidRDefault="000E2966" w:rsidP="001671B0">
      <w:pPr>
        <w:keepNext/>
        <w:spacing w:line="240" w:lineRule="auto"/>
        <w:ind w:left="426" w:hanging="426"/>
        <w:rPr>
          <w:rFonts w:cs="Times New Roman"/>
          <w:lang w:val="en-GB"/>
        </w:rPr>
      </w:pPr>
    </w:p>
    <w:p w14:paraId="0E2FA7C3" w14:textId="7BF6F814" w:rsidR="00F8638B" w:rsidRPr="00F8638B" w:rsidRDefault="00B17CCC" w:rsidP="00F8638B">
      <w:pPr>
        <w:spacing w:line="240" w:lineRule="auto"/>
        <w:ind w:left="426" w:hanging="426"/>
        <w:rPr>
          <w:rFonts w:cs="Times New Roman"/>
          <w:lang w:val="en-GB"/>
        </w:rPr>
      </w:pPr>
      <w:r>
        <w:rPr>
          <w:rFonts w:cs="Times New Roman"/>
          <w:lang w:val="en-GB"/>
        </w:rPr>
        <w:t>2</w:t>
      </w:r>
      <w:r w:rsidR="002A18EF">
        <w:rPr>
          <w:rFonts w:cs="Times New Roman"/>
          <w:lang w:val="en-GB"/>
        </w:rPr>
        <w:t>4</w:t>
      </w:r>
      <w:r w:rsidR="00524816">
        <w:rPr>
          <w:rFonts w:cs="Times New Roman"/>
          <w:lang w:val="en-GB"/>
        </w:rPr>
        <w:t>.</w:t>
      </w:r>
      <w:r w:rsidR="00524816">
        <w:rPr>
          <w:rFonts w:cs="Times New Roman"/>
          <w:lang w:val="en-GB"/>
        </w:rPr>
        <w:tab/>
      </w:r>
      <w:r w:rsidR="00F8638B" w:rsidRPr="00F8638B">
        <w:rPr>
          <w:rFonts w:cs="Times New Roman"/>
          <w:lang w:val="en-GB"/>
        </w:rPr>
        <w:t>During the 2023-2025 triennium, the Chair, Vice-Chair and members of the STRP actively participated in key international meetings, providing scientific and technical input to enhance synergies between the Convention and other MEAs:</w:t>
      </w:r>
    </w:p>
    <w:p w14:paraId="55439764" w14:textId="77777777" w:rsidR="00F8638B" w:rsidRPr="00F8638B" w:rsidRDefault="00F8638B" w:rsidP="00F8638B">
      <w:pPr>
        <w:spacing w:line="240" w:lineRule="auto"/>
        <w:ind w:left="426" w:hanging="426"/>
        <w:rPr>
          <w:rFonts w:cs="Times New Roman"/>
          <w:lang w:val="en-GB"/>
        </w:rPr>
      </w:pPr>
    </w:p>
    <w:p w14:paraId="23C5F807" w14:textId="7FB56056" w:rsidR="007B5815" w:rsidRPr="000233AC" w:rsidRDefault="00070BB5">
      <w:pPr>
        <w:pStyle w:val="ListParagraph"/>
        <w:numPr>
          <w:ilvl w:val="0"/>
          <w:numId w:val="5"/>
        </w:numPr>
        <w:suppressLineNumbers/>
        <w:suppressAutoHyphens/>
        <w:spacing w:line="240" w:lineRule="auto"/>
        <w:rPr>
          <w:rFonts w:cs="Times New Roman"/>
          <w:lang w:val="en-GB"/>
        </w:rPr>
      </w:pPr>
      <w:r>
        <w:rPr>
          <w:rFonts w:cs="Times New Roman"/>
          <w:lang w:val="en-GB"/>
        </w:rPr>
        <w:t>T</w:t>
      </w:r>
      <w:r w:rsidR="007B5815" w:rsidRPr="000233AC">
        <w:rPr>
          <w:rFonts w:cs="Times New Roman"/>
          <w:lang w:val="en-GB"/>
        </w:rPr>
        <w:t xml:space="preserve">he STRP Chair and Vice-Chair </w:t>
      </w:r>
      <w:r>
        <w:rPr>
          <w:rFonts w:cs="Times New Roman"/>
          <w:lang w:val="en-GB"/>
        </w:rPr>
        <w:t>p</w:t>
      </w:r>
      <w:r w:rsidRPr="000233AC">
        <w:rPr>
          <w:rFonts w:cs="Times New Roman"/>
          <w:lang w:val="en-GB"/>
        </w:rPr>
        <w:t>articipat</w:t>
      </w:r>
      <w:r>
        <w:rPr>
          <w:rFonts w:cs="Times New Roman"/>
          <w:lang w:val="en-GB"/>
        </w:rPr>
        <w:t>ed</w:t>
      </w:r>
      <w:r w:rsidRPr="000233AC">
        <w:rPr>
          <w:rFonts w:cs="Times New Roman"/>
          <w:lang w:val="en-GB"/>
        </w:rPr>
        <w:t xml:space="preserve"> </w:t>
      </w:r>
      <w:r w:rsidR="007B5815" w:rsidRPr="000233AC">
        <w:rPr>
          <w:rFonts w:cs="Times New Roman"/>
          <w:lang w:val="en-GB"/>
        </w:rPr>
        <w:t>in three meetings of the Multidisciplinary Expert Panel (MEP) and Bureau of the Intergovernmental Science-Policy Platform on Biodiversity and Ecosystem Services (IPBES) in March 2023, July 2024, and April 2025. In these meetings, the Chair and Vice-Chair presented the Panel</w:t>
      </w:r>
      <w:r w:rsidR="00035943">
        <w:rPr>
          <w:rFonts w:cs="Times New Roman"/>
          <w:lang w:val="en-GB"/>
        </w:rPr>
        <w:t>’</w:t>
      </w:r>
      <w:r w:rsidR="007B5815" w:rsidRPr="000233AC">
        <w:rPr>
          <w:rFonts w:cs="Times New Roman"/>
          <w:lang w:val="en-GB"/>
        </w:rPr>
        <w:t>s high-priority tasks and explored synergies with the IPBES work programme</w:t>
      </w:r>
      <w:r w:rsidR="000233AC">
        <w:rPr>
          <w:rFonts w:cs="Times New Roman"/>
          <w:lang w:val="en-GB"/>
        </w:rPr>
        <w:t>.</w:t>
      </w:r>
    </w:p>
    <w:p w14:paraId="55C5C862" w14:textId="19CA4F5E" w:rsidR="00F8638B" w:rsidRPr="00F8638B" w:rsidRDefault="00F8638B" w:rsidP="000233AC">
      <w:pPr>
        <w:pStyle w:val="ListParagraph"/>
        <w:numPr>
          <w:ilvl w:val="0"/>
          <w:numId w:val="5"/>
        </w:numPr>
        <w:suppressLineNumbers/>
        <w:suppressAutoHyphens/>
        <w:spacing w:line="240" w:lineRule="auto"/>
        <w:rPr>
          <w:lang w:val="en-GB"/>
        </w:rPr>
      </w:pPr>
      <w:r w:rsidRPr="00F8638B">
        <w:rPr>
          <w:lang w:val="en-GB"/>
        </w:rPr>
        <w:t xml:space="preserve">STRP members participated in technical consultations with the Ad Hoc Technical Expert Group (AHTEG) on Indicators under the Convention on Biological Diversity, supporting improved integration of wetland-relevant indicators into the </w:t>
      </w:r>
      <w:r w:rsidR="00BA1789">
        <w:rPr>
          <w:rFonts w:ascii="Calibri" w:eastAsia="Calibri" w:hAnsi="Calibri" w:cs="Arial"/>
          <w:lang w:val="en-GB"/>
        </w:rPr>
        <w:t>KM-GBF</w:t>
      </w:r>
      <w:r w:rsidRPr="00F8638B">
        <w:rPr>
          <w:lang w:val="en-GB"/>
        </w:rPr>
        <w:t>.</w:t>
      </w:r>
    </w:p>
    <w:p w14:paraId="20BD42FA" w14:textId="5C97C4DF" w:rsidR="00F8638B" w:rsidRPr="00F8638B" w:rsidRDefault="003D77E8" w:rsidP="00D34F70">
      <w:pPr>
        <w:suppressLineNumbers/>
        <w:suppressAutoHyphens/>
        <w:spacing w:line="240" w:lineRule="auto"/>
        <w:ind w:left="850" w:hanging="432"/>
        <w:contextualSpacing/>
        <w:rPr>
          <w:rFonts w:cs="Times New Roman"/>
          <w:lang w:val="en-GB"/>
        </w:rPr>
      </w:pPr>
      <w:r>
        <w:rPr>
          <w:rFonts w:cs="Times New Roman"/>
          <w:lang w:val="en-GB"/>
        </w:rPr>
        <w:t>c</w:t>
      </w:r>
      <w:r w:rsidR="00F8638B" w:rsidRPr="003D77E8">
        <w:rPr>
          <w:rFonts w:cs="Times New Roman"/>
          <w:lang w:val="en-GB"/>
        </w:rPr>
        <w:t>.</w:t>
      </w:r>
      <w:r w:rsidR="00F8638B" w:rsidRPr="003D77E8">
        <w:rPr>
          <w:rFonts w:cs="Times New Roman"/>
          <w:lang w:val="en-GB"/>
        </w:rPr>
        <w:tab/>
      </w:r>
      <w:r w:rsidR="00F8638B" w:rsidRPr="00F8638B">
        <w:rPr>
          <w:rFonts w:cs="Times New Roman"/>
          <w:lang w:val="en-GB"/>
        </w:rPr>
        <w:t>STRP members also participated in technical side events at the 29th Session of the Conference of the Parties to the United Nations Framework Convention on Climate Change (UNFCCC COP29), including a side event on peatland hotspots for climate action.</w:t>
      </w:r>
    </w:p>
    <w:p w14:paraId="611C33FD" w14:textId="77777777" w:rsidR="00524816" w:rsidRDefault="00524816" w:rsidP="00524816">
      <w:pPr>
        <w:spacing w:line="240" w:lineRule="auto"/>
        <w:ind w:left="426" w:hanging="426"/>
        <w:rPr>
          <w:rFonts w:cs="Times New Roman"/>
          <w:lang w:val="en-GB"/>
        </w:rPr>
      </w:pPr>
    </w:p>
    <w:p w14:paraId="1C84DE5F" w14:textId="01537CA1" w:rsidR="00F8638B" w:rsidRDefault="00B17CCC" w:rsidP="00524816">
      <w:pPr>
        <w:spacing w:line="240" w:lineRule="auto"/>
        <w:ind w:left="426" w:hanging="426"/>
        <w:rPr>
          <w:rFonts w:cs="Times New Roman"/>
          <w:lang w:val="en-GB"/>
        </w:rPr>
      </w:pPr>
      <w:r>
        <w:rPr>
          <w:rFonts w:ascii="Calibri" w:eastAsia="Calibri" w:hAnsi="Calibri" w:cs="Arial"/>
          <w:lang w:val="en-GB"/>
        </w:rPr>
        <w:t>2</w:t>
      </w:r>
      <w:r w:rsidR="002A18EF">
        <w:rPr>
          <w:rFonts w:ascii="Calibri" w:eastAsia="Calibri" w:hAnsi="Calibri" w:cs="Arial"/>
          <w:lang w:val="en-GB"/>
        </w:rPr>
        <w:t>5</w:t>
      </w:r>
      <w:r w:rsidR="003D77E8" w:rsidRPr="009B42F9">
        <w:rPr>
          <w:rFonts w:ascii="Calibri" w:eastAsia="Calibri" w:hAnsi="Calibri" w:cs="Arial"/>
          <w:lang w:val="en-GB"/>
        </w:rPr>
        <w:t>.</w:t>
      </w:r>
      <w:r w:rsidR="003D77E8" w:rsidRPr="009B42F9">
        <w:rPr>
          <w:rFonts w:ascii="Calibri" w:eastAsia="Calibri" w:hAnsi="Calibri" w:cs="Arial"/>
          <w:lang w:val="en-GB"/>
        </w:rPr>
        <w:tab/>
      </w:r>
      <w:r w:rsidR="003D77E8" w:rsidRPr="003D77E8">
        <w:rPr>
          <w:rFonts w:cs="Times New Roman"/>
          <w:lang w:val="en-GB"/>
        </w:rPr>
        <w:t>Participation in these fora facilitated alignment of STRP outputs with global processes and reinforced the Convention</w:t>
      </w:r>
      <w:r w:rsidR="00035943">
        <w:rPr>
          <w:rFonts w:cs="Times New Roman"/>
          <w:lang w:val="en-GB"/>
        </w:rPr>
        <w:t>’</w:t>
      </w:r>
      <w:r w:rsidR="003D77E8" w:rsidRPr="003D77E8">
        <w:rPr>
          <w:rFonts w:cs="Times New Roman"/>
          <w:lang w:val="en-GB"/>
        </w:rPr>
        <w:t>s contributions to biodiversity, climate change, and sustainable development goals.</w:t>
      </w:r>
    </w:p>
    <w:p w14:paraId="16447023" w14:textId="77777777" w:rsidR="007E307C" w:rsidRDefault="007E307C" w:rsidP="00524816">
      <w:pPr>
        <w:spacing w:line="240" w:lineRule="auto"/>
        <w:ind w:left="426" w:hanging="426"/>
        <w:rPr>
          <w:rFonts w:cs="Times New Roman"/>
          <w:lang w:val="en-GB"/>
        </w:rPr>
      </w:pPr>
    </w:p>
    <w:p w14:paraId="5245DCEA" w14:textId="7AE0D7CB" w:rsidR="00055FA0" w:rsidRPr="00055FA0" w:rsidRDefault="00CB2CFB" w:rsidP="001671B0">
      <w:pPr>
        <w:keepNext/>
        <w:suppressLineNumbers/>
        <w:suppressAutoHyphens/>
        <w:spacing w:line="240" w:lineRule="auto"/>
        <w:rPr>
          <w:rFonts w:ascii="Calibri" w:eastAsia="Calibri" w:hAnsi="Calibri" w:cs="Arial"/>
          <w:b/>
          <w:lang w:val="en-GB"/>
        </w:rPr>
      </w:pPr>
      <w:r>
        <w:rPr>
          <w:rFonts w:ascii="Calibri" w:eastAsia="Calibri" w:hAnsi="Calibri" w:cs="Arial"/>
          <w:b/>
          <w:lang w:val="en-GB"/>
        </w:rPr>
        <w:t>C</w:t>
      </w:r>
      <w:r w:rsidR="00087572" w:rsidRPr="00087572">
        <w:rPr>
          <w:rFonts w:ascii="Calibri" w:eastAsia="Calibri" w:hAnsi="Calibri" w:cs="Arial"/>
          <w:b/>
          <w:lang w:val="en-GB"/>
        </w:rPr>
        <w:t xml:space="preserve">onsultation on the use of Earth </w:t>
      </w:r>
      <w:r w:rsidR="004F62E4">
        <w:rPr>
          <w:rFonts w:ascii="Calibri" w:eastAsia="Calibri" w:hAnsi="Calibri" w:cs="Arial"/>
          <w:b/>
          <w:lang w:val="en-GB"/>
        </w:rPr>
        <w:t>o</w:t>
      </w:r>
      <w:r w:rsidR="00087572" w:rsidRPr="00087572">
        <w:rPr>
          <w:rFonts w:ascii="Calibri" w:eastAsia="Calibri" w:hAnsi="Calibri" w:cs="Arial"/>
          <w:b/>
          <w:lang w:val="en-GB"/>
        </w:rPr>
        <w:t>bservation for wetland inventory, assessment, monitoring and conservation</w:t>
      </w:r>
    </w:p>
    <w:p w14:paraId="5D38DF03" w14:textId="77777777" w:rsidR="00055FA0" w:rsidRPr="00055FA0" w:rsidRDefault="00055FA0" w:rsidP="001671B0">
      <w:pPr>
        <w:keepNext/>
        <w:spacing w:line="240" w:lineRule="auto"/>
        <w:ind w:left="426" w:hanging="426"/>
        <w:rPr>
          <w:rFonts w:cs="Times New Roman"/>
          <w:lang w:val="en-GB"/>
        </w:rPr>
      </w:pPr>
    </w:p>
    <w:p w14:paraId="5532212A" w14:textId="325EF947" w:rsidR="009D7793" w:rsidRPr="009D7793" w:rsidRDefault="002A18EF" w:rsidP="00912FF1">
      <w:pPr>
        <w:spacing w:line="240" w:lineRule="auto"/>
        <w:ind w:left="426" w:hanging="426"/>
        <w:rPr>
          <w:rFonts w:cs="Times New Roman"/>
          <w:lang w:val="en-GB"/>
        </w:rPr>
      </w:pPr>
      <w:r>
        <w:rPr>
          <w:rFonts w:cs="Times New Roman"/>
          <w:lang w:val="en-GB"/>
        </w:rPr>
        <w:t>26</w:t>
      </w:r>
      <w:r w:rsidR="009D7793">
        <w:rPr>
          <w:rFonts w:cs="Times New Roman"/>
          <w:lang w:val="en-GB"/>
        </w:rPr>
        <w:t>.</w:t>
      </w:r>
      <w:r w:rsidR="009D7793">
        <w:rPr>
          <w:rFonts w:cs="Times New Roman"/>
          <w:lang w:val="en-GB"/>
        </w:rPr>
        <w:tab/>
      </w:r>
      <w:r w:rsidR="00255CC1">
        <w:rPr>
          <w:rFonts w:cs="Times New Roman"/>
          <w:lang w:val="en-GB"/>
        </w:rPr>
        <w:t>Pursuant to S</w:t>
      </w:r>
      <w:r w:rsidR="003B3181">
        <w:rPr>
          <w:rFonts w:cs="Times New Roman"/>
          <w:lang w:val="en-GB"/>
        </w:rPr>
        <w:t>tanding Committee</w:t>
      </w:r>
      <w:r w:rsidR="00255CC1">
        <w:rPr>
          <w:rFonts w:cs="Times New Roman"/>
          <w:lang w:val="en-GB"/>
        </w:rPr>
        <w:t xml:space="preserve"> Decision </w:t>
      </w:r>
      <w:r w:rsidR="0097223E" w:rsidRPr="0051619C">
        <w:rPr>
          <w:rFonts w:cs="Calibri"/>
          <w:lang w:val="en-US"/>
        </w:rPr>
        <w:t>SC63-30</w:t>
      </w:r>
      <w:r w:rsidR="003B3181">
        <w:rPr>
          <w:rFonts w:cs="Calibri"/>
          <w:lang w:val="en-US"/>
        </w:rPr>
        <w:t>,</w:t>
      </w:r>
      <w:r w:rsidR="0097223E">
        <w:rPr>
          <w:rFonts w:cs="Calibri"/>
          <w:lang w:val="en-US"/>
        </w:rPr>
        <w:t xml:space="preserve"> </w:t>
      </w:r>
      <w:r w:rsidR="009D7793" w:rsidRPr="009D7793">
        <w:rPr>
          <w:rFonts w:cs="Times New Roman"/>
          <w:lang w:val="en-GB"/>
        </w:rPr>
        <w:t xml:space="preserve">the STRP, together with the Secretariat, </w:t>
      </w:r>
      <w:r w:rsidR="00612928" w:rsidRPr="00612928">
        <w:rPr>
          <w:rFonts w:cs="Times New Roman"/>
          <w:lang w:val="en-GB"/>
        </w:rPr>
        <w:t xml:space="preserve">conducted a consultation </w:t>
      </w:r>
      <w:r w:rsidR="005D74BD">
        <w:rPr>
          <w:rFonts w:cs="Times New Roman"/>
          <w:lang w:val="en-GB"/>
        </w:rPr>
        <w:t xml:space="preserve">on </w:t>
      </w:r>
      <w:r w:rsidR="005D74BD" w:rsidRPr="009D7793">
        <w:rPr>
          <w:rFonts w:cs="Times New Roman"/>
          <w:lang w:val="en-GB"/>
        </w:rPr>
        <w:t xml:space="preserve">the use of Earth </w:t>
      </w:r>
      <w:r w:rsidR="005D74BD">
        <w:rPr>
          <w:rFonts w:cs="Times New Roman"/>
          <w:lang w:val="en-GB"/>
        </w:rPr>
        <w:t>o</w:t>
      </w:r>
      <w:r w:rsidR="005D74BD" w:rsidRPr="009D7793">
        <w:rPr>
          <w:rFonts w:cs="Times New Roman"/>
          <w:lang w:val="en-GB"/>
        </w:rPr>
        <w:t xml:space="preserve">bservation (EO) technologies for wetland </w:t>
      </w:r>
      <w:r w:rsidR="005D74BD" w:rsidRPr="009D7793">
        <w:rPr>
          <w:rFonts w:cs="Times New Roman"/>
          <w:lang w:val="en-GB"/>
        </w:rPr>
        <w:lastRenderedPageBreak/>
        <w:t xml:space="preserve">inventory, monitoring and conservation, </w:t>
      </w:r>
      <w:r w:rsidR="00612928" w:rsidRPr="00612928">
        <w:rPr>
          <w:rFonts w:cs="Times New Roman"/>
          <w:lang w:val="en-GB"/>
        </w:rPr>
        <w:t xml:space="preserve">process in late 2024. This consultation included structured interviews with Contracting Parties and EO agencies, technical exchanges with key partners and experts, and a dedicated </w:t>
      </w:r>
      <w:r w:rsidR="004F62E4">
        <w:rPr>
          <w:rFonts w:cs="Times New Roman"/>
          <w:lang w:val="en-GB"/>
        </w:rPr>
        <w:t>“</w:t>
      </w:r>
      <w:r w:rsidR="00612928" w:rsidRPr="00612928">
        <w:rPr>
          <w:rFonts w:cs="Times New Roman"/>
          <w:lang w:val="en-GB"/>
        </w:rPr>
        <w:t xml:space="preserve">Earth </w:t>
      </w:r>
      <w:r w:rsidR="004F62E4">
        <w:rPr>
          <w:rFonts w:cs="Times New Roman"/>
          <w:lang w:val="en-GB"/>
        </w:rPr>
        <w:t>o</w:t>
      </w:r>
      <w:r w:rsidR="004F62E4" w:rsidRPr="00612928">
        <w:rPr>
          <w:rFonts w:cs="Times New Roman"/>
          <w:lang w:val="en-GB"/>
        </w:rPr>
        <w:t xml:space="preserve">bservation </w:t>
      </w:r>
      <w:r w:rsidR="004F62E4">
        <w:rPr>
          <w:rFonts w:cs="Times New Roman"/>
          <w:lang w:val="en-GB"/>
        </w:rPr>
        <w:t>d</w:t>
      </w:r>
      <w:r w:rsidR="004F62E4" w:rsidRPr="00612928">
        <w:rPr>
          <w:rFonts w:cs="Times New Roman"/>
          <w:lang w:val="en-GB"/>
        </w:rPr>
        <w:t>ay</w:t>
      </w:r>
      <w:r w:rsidR="004F62E4">
        <w:rPr>
          <w:rFonts w:cs="Times New Roman"/>
          <w:lang w:val="en-GB"/>
        </w:rPr>
        <w:t>”</w:t>
      </w:r>
      <w:r w:rsidR="004F62E4" w:rsidRPr="00612928">
        <w:rPr>
          <w:rFonts w:cs="Times New Roman"/>
          <w:lang w:val="en-GB"/>
        </w:rPr>
        <w:t xml:space="preserve"> </w:t>
      </w:r>
      <w:r w:rsidR="00612928" w:rsidRPr="00612928">
        <w:rPr>
          <w:rFonts w:cs="Times New Roman"/>
          <w:lang w:val="en-GB"/>
        </w:rPr>
        <w:t>on 6 December 2024 held in conjunction with STRP27. The consultation aimed to assess user needs, explore opportunities for integrating EO into national wetland inventories, and identify priorities for support.</w:t>
      </w:r>
    </w:p>
    <w:p w14:paraId="7F2F3619" w14:textId="77777777" w:rsidR="009D7793" w:rsidRPr="009D7793" w:rsidRDefault="009D7793" w:rsidP="009D7793">
      <w:pPr>
        <w:spacing w:line="240" w:lineRule="auto"/>
        <w:ind w:left="426" w:hanging="426"/>
        <w:rPr>
          <w:rFonts w:cs="Times New Roman"/>
          <w:lang w:val="en-GB"/>
        </w:rPr>
      </w:pPr>
    </w:p>
    <w:p w14:paraId="7F085F27" w14:textId="4B1CC829" w:rsidR="009D7793" w:rsidRDefault="002A18EF" w:rsidP="009D7793">
      <w:pPr>
        <w:spacing w:line="240" w:lineRule="auto"/>
        <w:ind w:left="426" w:hanging="426"/>
        <w:rPr>
          <w:rFonts w:cs="Times New Roman"/>
          <w:lang w:val="en-GB"/>
        </w:rPr>
      </w:pPr>
      <w:r>
        <w:rPr>
          <w:rFonts w:cs="Times New Roman"/>
          <w:lang w:val="en-GB"/>
        </w:rPr>
        <w:t>27</w:t>
      </w:r>
      <w:r w:rsidR="009D7793">
        <w:rPr>
          <w:rFonts w:cs="Times New Roman"/>
          <w:lang w:val="en-GB"/>
        </w:rPr>
        <w:t>.</w:t>
      </w:r>
      <w:r w:rsidR="009D7793">
        <w:rPr>
          <w:rFonts w:cs="Times New Roman"/>
          <w:lang w:val="en-GB"/>
        </w:rPr>
        <w:tab/>
      </w:r>
      <w:r w:rsidR="009D7793" w:rsidRPr="009D7793">
        <w:rPr>
          <w:rFonts w:cs="Times New Roman"/>
          <w:lang w:val="en-GB"/>
        </w:rPr>
        <w:t xml:space="preserve">The Earth </w:t>
      </w:r>
      <w:r w:rsidR="004F62E4">
        <w:rPr>
          <w:rFonts w:cs="Times New Roman"/>
          <w:lang w:val="en-GB"/>
        </w:rPr>
        <w:t>o</w:t>
      </w:r>
      <w:r w:rsidR="004F62E4" w:rsidRPr="009D7793">
        <w:rPr>
          <w:rFonts w:cs="Times New Roman"/>
          <w:lang w:val="en-GB"/>
        </w:rPr>
        <w:t xml:space="preserve">bservation </w:t>
      </w:r>
      <w:r w:rsidR="004F62E4">
        <w:rPr>
          <w:rFonts w:cs="Times New Roman"/>
          <w:lang w:val="en-GB"/>
        </w:rPr>
        <w:t>d</w:t>
      </w:r>
      <w:r w:rsidR="004F62E4" w:rsidRPr="009D7793">
        <w:rPr>
          <w:rFonts w:cs="Times New Roman"/>
          <w:lang w:val="en-GB"/>
        </w:rPr>
        <w:t>ay</w:t>
      </w:r>
      <w:r w:rsidR="00912FF1">
        <w:rPr>
          <w:rFonts w:cs="Times New Roman"/>
          <w:lang w:val="en-GB"/>
        </w:rPr>
        <w:t xml:space="preserve">, </w:t>
      </w:r>
      <w:r w:rsidR="005F6929">
        <w:rPr>
          <w:rFonts w:cs="Times New Roman"/>
          <w:lang w:val="en-GB"/>
        </w:rPr>
        <w:t xml:space="preserve">held during STRP27 </w:t>
      </w:r>
      <w:r w:rsidR="00912FF1" w:rsidRPr="00912FF1">
        <w:rPr>
          <w:rFonts w:cs="Times New Roman"/>
          <w:lang w:val="en-GB"/>
        </w:rPr>
        <w:t>as one key component of this broader consultation,</w:t>
      </w:r>
      <w:r w:rsidR="009D7793" w:rsidRPr="009D7793">
        <w:rPr>
          <w:rFonts w:cs="Times New Roman"/>
          <w:lang w:val="en-GB"/>
        </w:rPr>
        <w:t xml:space="preserve"> featured presentations by representatives </w:t>
      </w:r>
      <w:r w:rsidR="00070BB5">
        <w:rPr>
          <w:rFonts w:cs="Times New Roman"/>
          <w:lang w:val="en-GB"/>
        </w:rPr>
        <w:t>of</w:t>
      </w:r>
      <w:r w:rsidR="00070BB5" w:rsidRPr="009D7793">
        <w:rPr>
          <w:rFonts w:cs="Times New Roman"/>
          <w:lang w:val="en-GB"/>
        </w:rPr>
        <w:t xml:space="preserve"> </w:t>
      </w:r>
      <w:r w:rsidR="00070BB5">
        <w:rPr>
          <w:rFonts w:cs="Times New Roman"/>
          <w:lang w:val="en-GB"/>
        </w:rPr>
        <w:t xml:space="preserve">the </w:t>
      </w:r>
      <w:r w:rsidR="00070BB5" w:rsidRPr="0051619C">
        <w:rPr>
          <w:rFonts w:cs="Calibri"/>
          <w:lang w:val="en-US"/>
        </w:rPr>
        <w:t xml:space="preserve">European Space Agency </w:t>
      </w:r>
      <w:r w:rsidR="00070BB5">
        <w:rPr>
          <w:rFonts w:cs="Calibri"/>
          <w:lang w:val="en-US"/>
        </w:rPr>
        <w:t>(</w:t>
      </w:r>
      <w:r w:rsidR="00070BB5" w:rsidRPr="0051619C">
        <w:rPr>
          <w:rFonts w:cs="Calibri"/>
          <w:lang w:val="en-US"/>
        </w:rPr>
        <w:t>ESA</w:t>
      </w:r>
      <w:r w:rsidR="00070BB5">
        <w:rPr>
          <w:rFonts w:cs="Times New Roman"/>
          <w:lang w:val="en-GB"/>
        </w:rPr>
        <w:t>),</w:t>
      </w:r>
      <w:r w:rsidR="009D7793" w:rsidRPr="009D7793">
        <w:rPr>
          <w:rFonts w:cs="Times New Roman"/>
          <w:lang w:val="en-GB"/>
        </w:rPr>
        <w:t xml:space="preserve"> </w:t>
      </w:r>
      <w:r w:rsidR="00070BB5" w:rsidRPr="0051619C">
        <w:rPr>
          <w:rFonts w:cs="Calibri"/>
          <w:lang w:val="en-US"/>
        </w:rPr>
        <w:t>Japan Aerospace Exploration Agency (JAXA)</w:t>
      </w:r>
      <w:r w:rsidR="009D7793" w:rsidRPr="009D7793">
        <w:rPr>
          <w:rFonts w:cs="Times New Roman"/>
          <w:lang w:val="en-GB"/>
        </w:rPr>
        <w:t xml:space="preserve">, </w:t>
      </w:r>
      <w:r w:rsidR="00070BB5" w:rsidRPr="0051619C">
        <w:rPr>
          <w:rFonts w:cs="Calibri"/>
          <w:lang w:val="en-US"/>
        </w:rPr>
        <w:t>UN Environment Programme-Danish Hydraulic Institute (UNEP-DHI)</w:t>
      </w:r>
      <w:r w:rsidR="009D7793" w:rsidRPr="009D7793">
        <w:rPr>
          <w:rFonts w:cs="Times New Roman"/>
          <w:lang w:val="en-GB"/>
        </w:rPr>
        <w:t xml:space="preserve">, Digital Earth Africa and others, and culminated in a </w:t>
      </w:r>
      <w:r w:rsidR="009D7793">
        <w:rPr>
          <w:rFonts w:cs="Times New Roman"/>
          <w:lang w:val="en-GB"/>
        </w:rPr>
        <w:t>P</w:t>
      </w:r>
      <w:r w:rsidR="009D7793" w:rsidRPr="009D7793">
        <w:rPr>
          <w:rFonts w:cs="Times New Roman"/>
          <w:lang w:val="en-GB"/>
        </w:rPr>
        <w:t xml:space="preserve">anel discussion moderated by the Secretariat. </w:t>
      </w:r>
      <w:r w:rsidR="00665C24" w:rsidRPr="00665C24">
        <w:rPr>
          <w:rFonts w:cs="Times New Roman"/>
          <w:lang w:val="en-GB"/>
        </w:rPr>
        <w:t>It served to showcase recent developments in EO technologies, shared experiences from practitioners, and helped build momentum for enhanced collaboration.</w:t>
      </w:r>
      <w:r w:rsidR="009D7793" w:rsidRPr="009D7793">
        <w:rPr>
          <w:rFonts w:cs="Times New Roman"/>
          <w:lang w:val="en-GB"/>
        </w:rPr>
        <w:t xml:space="preserve">. </w:t>
      </w:r>
    </w:p>
    <w:p w14:paraId="0B76A94B" w14:textId="77777777" w:rsidR="009D7793" w:rsidRDefault="009D7793" w:rsidP="009D7793">
      <w:pPr>
        <w:spacing w:line="240" w:lineRule="auto"/>
        <w:ind w:left="426" w:hanging="426"/>
        <w:rPr>
          <w:rFonts w:cs="Times New Roman"/>
          <w:lang w:val="en-GB"/>
        </w:rPr>
      </w:pPr>
    </w:p>
    <w:p w14:paraId="631C064C" w14:textId="2A37BC9D" w:rsidR="008770A0" w:rsidRDefault="002A18EF" w:rsidP="009D7793">
      <w:pPr>
        <w:spacing w:line="240" w:lineRule="auto"/>
        <w:ind w:left="426" w:hanging="426"/>
        <w:rPr>
          <w:rFonts w:cs="Times New Roman"/>
          <w:lang w:val="en-GB"/>
        </w:rPr>
      </w:pPr>
      <w:r>
        <w:rPr>
          <w:rFonts w:cs="Times New Roman"/>
          <w:lang w:val="en-GB"/>
        </w:rPr>
        <w:t>28</w:t>
      </w:r>
      <w:r w:rsidR="008770A0">
        <w:rPr>
          <w:rFonts w:cs="Times New Roman"/>
          <w:lang w:val="en-GB"/>
        </w:rPr>
        <w:t>.</w:t>
      </w:r>
      <w:r w:rsidR="008770A0">
        <w:rPr>
          <w:rFonts w:cs="Times New Roman"/>
          <w:lang w:val="en-GB"/>
        </w:rPr>
        <w:tab/>
      </w:r>
      <w:r w:rsidR="00D34F70" w:rsidRPr="00D34F70">
        <w:rPr>
          <w:rFonts w:cs="Times New Roman"/>
          <w:lang w:val="en-GB"/>
        </w:rPr>
        <w:t xml:space="preserve">The consultation resulted in several concrete recommendations, notably the establishment of a Convention initiative - GEO Wetlands - to support </w:t>
      </w:r>
      <w:r w:rsidR="00D34F70">
        <w:rPr>
          <w:rFonts w:cs="Times New Roman"/>
          <w:lang w:val="en-GB"/>
        </w:rPr>
        <w:t xml:space="preserve">Contracting </w:t>
      </w:r>
      <w:r w:rsidR="00D34F70" w:rsidRPr="00D34F70">
        <w:rPr>
          <w:rFonts w:cs="Times New Roman"/>
          <w:lang w:val="en-GB"/>
        </w:rPr>
        <w:t>Parties in the use of EO tools for wetland inventory and monitoring. Key findings highlighted the importance of harmoni</w:t>
      </w:r>
      <w:r w:rsidR="00035943">
        <w:rPr>
          <w:rFonts w:cs="Times New Roman"/>
          <w:lang w:val="en-GB"/>
        </w:rPr>
        <w:t>z</w:t>
      </w:r>
      <w:r w:rsidR="00D34F70" w:rsidRPr="00D34F70">
        <w:rPr>
          <w:rFonts w:cs="Times New Roman"/>
          <w:lang w:val="en-GB"/>
        </w:rPr>
        <w:t xml:space="preserve">ed inventory approaches, improved data accessibility and targeted capacity building to enable the effective use of EO by </w:t>
      </w:r>
      <w:r w:rsidR="00D34F70">
        <w:rPr>
          <w:rFonts w:cs="Times New Roman"/>
          <w:lang w:val="en-GB"/>
        </w:rPr>
        <w:t xml:space="preserve">Contracting </w:t>
      </w:r>
      <w:r w:rsidR="00D34F70" w:rsidRPr="00D34F70">
        <w:rPr>
          <w:rFonts w:cs="Times New Roman"/>
          <w:lang w:val="en-GB"/>
        </w:rPr>
        <w:t>Parties</w:t>
      </w:r>
      <w:r w:rsidR="008770A0" w:rsidRPr="008770A0">
        <w:rPr>
          <w:rFonts w:cs="Times New Roman"/>
          <w:lang w:val="en-GB"/>
        </w:rPr>
        <w:t>.</w:t>
      </w:r>
    </w:p>
    <w:p w14:paraId="602BFE2B" w14:textId="77777777" w:rsidR="008770A0" w:rsidRDefault="008770A0" w:rsidP="009D7793">
      <w:pPr>
        <w:spacing w:line="240" w:lineRule="auto"/>
        <w:ind w:left="426" w:hanging="426"/>
        <w:rPr>
          <w:rFonts w:cs="Times New Roman"/>
          <w:lang w:val="en-GB"/>
        </w:rPr>
      </w:pPr>
    </w:p>
    <w:p w14:paraId="535C771C" w14:textId="374BA635" w:rsidR="002762E4" w:rsidRDefault="002A18EF" w:rsidP="009D7793">
      <w:pPr>
        <w:spacing w:line="240" w:lineRule="auto"/>
        <w:ind w:left="426" w:hanging="426"/>
        <w:rPr>
          <w:rFonts w:cs="Times New Roman"/>
          <w:lang w:val="en-GB"/>
        </w:rPr>
      </w:pPr>
      <w:r>
        <w:rPr>
          <w:rFonts w:cs="Times New Roman"/>
          <w:lang w:val="en-GB"/>
        </w:rPr>
        <w:t>29</w:t>
      </w:r>
      <w:r w:rsidR="009D7793">
        <w:rPr>
          <w:rFonts w:cs="Times New Roman"/>
          <w:lang w:val="en-GB"/>
        </w:rPr>
        <w:t>.</w:t>
      </w:r>
      <w:r w:rsidR="009D7793">
        <w:rPr>
          <w:rFonts w:cs="Times New Roman"/>
          <w:lang w:val="en-GB"/>
        </w:rPr>
        <w:tab/>
      </w:r>
      <w:r w:rsidR="009D7793" w:rsidRPr="009D7793">
        <w:rPr>
          <w:rFonts w:cs="Times New Roman"/>
          <w:lang w:val="en-GB"/>
        </w:rPr>
        <w:t xml:space="preserve">The </w:t>
      </w:r>
      <w:r w:rsidR="007E307C">
        <w:rPr>
          <w:rFonts w:cs="Times New Roman"/>
          <w:lang w:val="en-GB"/>
        </w:rPr>
        <w:t>final</w:t>
      </w:r>
      <w:r w:rsidR="007E307C" w:rsidRPr="009D7793">
        <w:rPr>
          <w:rFonts w:cs="Times New Roman"/>
          <w:lang w:val="en-GB"/>
        </w:rPr>
        <w:t xml:space="preserve"> </w:t>
      </w:r>
      <w:r w:rsidR="009D7793" w:rsidRPr="009D7793">
        <w:rPr>
          <w:rFonts w:cs="Times New Roman"/>
          <w:lang w:val="en-GB"/>
        </w:rPr>
        <w:t xml:space="preserve">report of the consultation is provided in Annex </w:t>
      </w:r>
      <w:r w:rsidR="004B323D">
        <w:rPr>
          <w:rFonts w:cs="Times New Roman"/>
          <w:lang w:val="en-GB"/>
        </w:rPr>
        <w:t>2</w:t>
      </w:r>
      <w:r w:rsidR="009D7793" w:rsidRPr="009D7793">
        <w:rPr>
          <w:rFonts w:cs="Times New Roman"/>
          <w:lang w:val="en-GB"/>
        </w:rPr>
        <w:t xml:space="preserve"> to </w:t>
      </w:r>
      <w:r w:rsidR="00070BB5">
        <w:rPr>
          <w:rFonts w:cs="Times New Roman"/>
          <w:lang w:val="en-GB"/>
        </w:rPr>
        <w:t>the present</w:t>
      </w:r>
      <w:r w:rsidR="00070BB5" w:rsidRPr="009D7793">
        <w:rPr>
          <w:rFonts w:cs="Times New Roman"/>
          <w:lang w:val="en-GB"/>
        </w:rPr>
        <w:t xml:space="preserve"> </w:t>
      </w:r>
      <w:r w:rsidR="009D7793" w:rsidRPr="009D7793">
        <w:rPr>
          <w:rFonts w:cs="Times New Roman"/>
          <w:lang w:val="en-GB"/>
        </w:rPr>
        <w:t>report.</w:t>
      </w:r>
    </w:p>
    <w:p w14:paraId="03CBBC98" w14:textId="77777777" w:rsidR="00E348B4" w:rsidRPr="00E348B4" w:rsidRDefault="00E348B4" w:rsidP="00E348B4">
      <w:pPr>
        <w:spacing w:line="240" w:lineRule="auto"/>
        <w:rPr>
          <w:rFonts w:cs="Times New Roman"/>
          <w:lang w:val="en-GB"/>
        </w:rPr>
      </w:pPr>
    </w:p>
    <w:p w14:paraId="3A0EBB15" w14:textId="6C340A8E" w:rsidR="00E348B4" w:rsidRPr="00E348B4" w:rsidRDefault="00E348B4" w:rsidP="001671B0">
      <w:pPr>
        <w:keepNext/>
        <w:suppressLineNumbers/>
        <w:suppressAutoHyphens/>
        <w:spacing w:line="240" w:lineRule="auto"/>
        <w:rPr>
          <w:rFonts w:ascii="Calibri" w:eastAsia="Calibri" w:hAnsi="Calibri" w:cs="Arial"/>
          <w:b/>
          <w:lang w:val="en-GB"/>
        </w:rPr>
      </w:pPr>
      <w:r w:rsidRPr="00E348B4">
        <w:rPr>
          <w:rFonts w:ascii="Calibri" w:eastAsia="Calibri" w:hAnsi="Calibri" w:cs="Arial"/>
          <w:b/>
          <w:lang w:val="en-GB"/>
        </w:rPr>
        <w:t xml:space="preserve">Acknowledging the work of the </w:t>
      </w:r>
      <w:r w:rsidR="00C84640">
        <w:rPr>
          <w:rFonts w:ascii="Calibri" w:eastAsia="Calibri" w:hAnsi="Calibri" w:cs="Arial"/>
          <w:b/>
          <w:lang w:val="en-GB"/>
        </w:rPr>
        <w:t xml:space="preserve">STRP members, </w:t>
      </w:r>
      <w:r w:rsidRPr="00E348B4">
        <w:rPr>
          <w:rFonts w:ascii="Calibri" w:eastAsia="Calibri" w:hAnsi="Calibri" w:cs="Arial"/>
          <w:b/>
          <w:lang w:val="en-GB"/>
        </w:rPr>
        <w:t xml:space="preserve">Secretariat, STRP </w:t>
      </w:r>
      <w:r w:rsidR="00070BB5">
        <w:rPr>
          <w:rFonts w:ascii="Calibri" w:eastAsia="Calibri" w:hAnsi="Calibri" w:cs="Arial"/>
          <w:b/>
          <w:lang w:val="en-GB"/>
        </w:rPr>
        <w:t>o</w:t>
      </w:r>
      <w:r w:rsidR="00070BB5" w:rsidRPr="00E348B4">
        <w:rPr>
          <w:rFonts w:ascii="Calibri" w:eastAsia="Calibri" w:hAnsi="Calibri" w:cs="Arial"/>
          <w:b/>
          <w:lang w:val="en-GB"/>
        </w:rPr>
        <w:t>bservers</w:t>
      </w:r>
      <w:r w:rsidRPr="00E348B4">
        <w:rPr>
          <w:rFonts w:ascii="Calibri" w:eastAsia="Calibri" w:hAnsi="Calibri" w:cs="Arial"/>
          <w:b/>
          <w:lang w:val="en-GB"/>
        </w:rPr>
        <w:t>, IOPs and other contributors</w:t>
      </w:r>
    </w:p>
    <w:p w14:paraId="622BE061" w14:textId="77777777" w:rsidR="00E348B4" w:rsidRDefault="00E348B4" w:rsidP="001671B0">
      <w:pPr>
        <w:keepNext/>
        <w:spacing w:line="240" w:lineRule="auto"/>
        <w:rPr>
          <w:rFonts w:cs="Times New Roman"/>
          <w:lang w:val="en-GB"/>
        </w:rPr>
      </w:pPr>
    </w:p>
    <w:p w14:paraId="78270909" w14:textId="237E1ADC" w:rsidR="00604567" w:rsidRDefault="00445E10" w:rsidP="00445E10">
      <w:pPr>
        <w:spacing w:line="240" w:lineRule="auto"/>
        <w:ind w:left="426" w:hanging="426"/>
        <w:rPr>
          <w:rFonts w:cs="Times New Roman"/>
          <w:lang w:val="en-GB"/>
        </w:rPr>
      </w:pPr>
      <w:r>
        <w:rPr>
          <w:rFonts w:cs="Times New Roman"/>
          <w:lang w:val="en-GB"/>
        </w:rPr>
        <w:t>3</w:t>
      </w:r>
      <w:r w:rsidR="002A18EF">
        <w:rPr>
          <w:rFonts w:cs="Times New Roman"/>
          <w:lang w:val="en-GB"/>
        </w:rPr>
        <w:t>0</w:t>
      </w:r>
      <w:r w:rsidR="00604567">
        <w:rPr>
          <w:rFonts w:cs="Times New Roman"/>
          <w:lang w:val="en-GB"/>
        </w:rPr>
        <w:t>.</w:t>
      </w:r>
      <w:r w:rsidR="00604567">
        <w:rPr>
          <w:rFonts w:cs="Times New Roman"/>
          <w:lang w:val="en-GB"/>
        </w:rPr>
        <w:tab/>
      </w:r>
      <w:r w:rsidR="002409F2">
        <w:rPr>
          <w:rFonts w:cs="Times New Roman"/>
          <w:lang w:val="en-GB"/>
        </w:rPr>
        <w:t>The STRP Ch</w:t>
      </w:r>
      <w:r w:rsidR="00B43BB9">
        <w:rPr>
          <w:rFonts w:cs="Times New Roman"/>
          <w:lang w:val="en-GB"/>
        </w:rPr>
        <w:t>air and Vice Chair e</w:t>
      </w:r>
      <w:r w:rsidR="00604567">
        <w:rPr>
          <w:rFonts w:cs="Times New Roman"/>
          <w:lang w:val="en-GB"/>
        </w:rPr>
        <w:t xml:space="preserve">xpress thanks to all STRP members </w:t>
      </w:r>
      <w:r w:rsidR="00F93B5B">
        <w:rPr>
          <w:rFonts w:cs="Times New Roman"/>
          <w:lang w:val="en-GB"/>
        </w:rPr>
        <w:t>for their significant contribution to the scientific and technical work of the Convention, in particular to the Thematic Work Area leads, and the Task leads</w:t>
      </w:r>
      <w:r w:rsidR="00CD12D6">
        <w:rPr>
          <w:rFonts w:cs="Times New Roman"/>
          <w:lang w:val="en-GB"/>
        </w:rPr>
        <w:t>.</w:t>
      </w:r>
    </w:p>
    <w:p w14:paraId="5EAC11F8" w14:textId="77777777" w:rsidR="00CD12D6" w:rsidRPr="00E348B4" w:rsidRDefault="00CD12D6" w:rsidP="00E348B4">
      <w:pPr>
        <w:spacing w:line="240" w:lineRule="auto"/>
        <w:rPr>
          <w:rFonts w:cs="Times New Roman"/>
          <w:lang w:val="en-GB"/>
        </w:rPr>
      </w:pPr>
    </w:p>
    <w:p w14:paraId="16BC7FC0" w14:textId="24A4C60A" w:rsidR="006F546F" w:rsidRPr="006F546F" w:rsidRDefault="00445E10" w:rsidP="00604567">
      <w:pPr>
        <w:spacing w:line="240" w:lineRule="auto"/>
        <w:ind w:left="426" w:hanging="426"/>
        <w:rPr>
          <w:rFonts w:cs="Times New Roman"/>
          <w:lang w:val="en-GB"/>
        </w:rPr>
      </w:pPr>
      <w:r>
        <w:rPr>
          <w:rFonts w:cs="Times New Roman"/>
          <w:lang w:val="en-GB"/>
        </w:rPr>
        <w:t>3</w:t>
      </w:r>
      <w:r w:rsidR="002A18EF">
        <w:rPr>
          <w:rFonts w:cs="Times New Roman"/>
          <w:lang w:val="en-GB"/>
        </w:rPr>
        <w:t>1</w:t>
      </w:r>
      <w:r w:rsidR="006F546F" w:rsidRPr="006F546F">
        <w:rPr>
          <w:rFonts w:cs="Times New Roman"/>
          <w:lang w:val="en-GB"/>
        </w:rPr>
        <w:t>.</w:t>
      </w:r>
      <w:r w:rsidR="006F546F" w:rsidRPr="006F546F">
        <w:rPr>
          <w:rFonts w:cs="Times New Roman"/>
          <w:lang w:val="en-GB"/>
        </w:rPr>
        <w:tab/>
        <w:t>The STRP would like to express its appreciation for the dedication and support of the Secretariat throughout the triennium. The coordination, logistical arrangements and technical support provided by the Secretariat staff have been instrumental in enabling the implementation of the STRP Work Plan.</w:t>
      </w:r>
    </w:p>
    <w:p w14:paraId="587D9FD2" w14:textId="77777777" w:rsidR="006F546F" w:rsidRPr="006F546F" w:rsidRDefault="006F546F" w:rsidP="006F546F">
      <w:pPr>
        <w:spacing w:line="240" w:lineRule="auto"/>
        <w:ind w:left="426" w:hanging="426"/>
        <w:rPr>
          <w:rFonts w:cs="Times New Roman"/>
          <w:lang w:val="en-GB"/>
        </w:rPr>
      </w:pPr>
    </w:p>
    <w:p w14:paraId="66692888" w14:textId="2385D87B" w:rsidR="006F546F" w:rsidRPr="006F546F" w:rsidRDefault="00445E10" w:rsidP="006F546F">
      <w:pPr>
        <w:spacing w:line="240" w:lineRule="auto"/>
        <w:ind w:left="426" w:hanging="426"/>
        <w:rPr>
          <w:rFonts w:cs="Times New Roman"/>
          <w:lang w:val="en-GB"/>
        </w:rPr>
      </w:pPr>
      <w:r>
        <w:rPr>
          <w:rFonts w:cs="Times New Roman"/>
          <w:lang w:val="en-GB"/>
        </w:rPr>
        <w:t>3</w:t>
      </w:r>
      <w:r w:rsidR="002A18EF">
        <w:rPr>
          <w:rFonts w:cs="Times New Roman"/>
          <w:lang w:val="en-GB"/>
        </w:rPr>
        <w:t>2</w:t>
      </w:r>
      <w:r w:rsidR="006F546F" w:rsidRPr="006F546F">
        <w:rPr>
          <w:rFonts w:cs="Times New Roman"/>
          <w:lang w:val="en-GB"/>
        </w:rPr>
        <w:t>.</w:t>
      </w:r>
      <w:r w:rsidR="006F546F">
        <w:rPr>
          <w:rFonts w:cs="Times New Roman"/>
          <w:lang w:val="en-GB"/>
        </w:rPr>
        <w:tab/>
      </w:r>
      <w:r w:rsidR="006F546F" w:rsidRPr="006F546F">
        <w:rPr>
          <w:rFonts w:cs="Times New Roman"/>
          <w:lang w:val="en-GB"/>
        </w:rPr>
        <w:t xml:space="preserve">The contributions of the STRP </w:t>
      </w:r>
      <w:r w:rsidR="00070BB5">
        <w:rPr>
          <w:rFonts w:cs="Times New Roman"/>
          <w:lang w:val="en-GB"/>
        </w:rPr>
        <w:t>o</w:t>
      </w:r>
      <w:r w:rsidR="006F546F" w:rsidRPr="006F546F">
        <w:rPr>
          <w:rFonts w:cs="Times New Roman"/>
          <w:lang w:val="en-GB"/>
        </w:rPr>
        <w:t>bservers, including those from scientific institutions, networks and regional partners, have enriched the work of the Panel through their expertise, peer review and collaboration on various outputs.</w:t>
      </w:r>
    </w:p>
    <w:p w14:paraId="6B44E32A" w14:textId="77777777" w:rsidR="006F546F" w:rsidRPr="006F546F" w:rsidRDefault="006F546F" w:rsidP="006F546F">
      <w:pPr>
        <w:spacing w:line="240" w:lineRule="auto"/>
        <w:ind w:left="426" w:hanging="426"/>
        <w:rPr>
          <w:rFonts w:cs="Times New Roman"/>
          <w:lang w:val="en-GB"/>
        </w:rPr>
      </w:pPr>
    </w:p>
    <w:p w14:paraId="4CCBA277" w14:textId="750E3D7E" w:rsidR="006F546F" w:rsidRPr="006F546F" w:rsidRDefault="00445E10" w:rsidP="006F546F">
      <w:pPr>
        <w:spacing w:line="240" w:lineRule="auto"/>
        <w:ind w:left="426" w:hanging="426"/>
        <w:rPr>
          <w:rFonts w:cs="Times New Roman"/>
          <w:lang w:val="en-GB"/>
        </w:rPr>
      </w:pPr>
      <w:r>
        <w:rPr>
          <w:rFonts w:cs="Times New Roman"/>
          <w:lang w:val="en-GB"/>
        </w:rPr>
        <w:t>3</w:t>
      </w:r>
      <w:r w:rsidR="002A18EF">
        <w:rPr>
          <w:rFonts w:cs="Times New Roman"/>
          <w:lang w:val="en-GB"/>
        </w:rPr>
        <w:t>3</w:t>
      </w:r>
      <w:r w:rsidR="006F546F" w:rsidRPr="006F546F">
        <w:rPr>
          <w:rFonts w:cs="Times New Roman"/>
          <w:lang w:val="en-GB"/>
        </w:rPr>
        <w:t>.</w:t>
      </w:r>
      <w:r w:rsidR="006F546F">
        <w:rPr>
          <w:rFonts w:cs="Times New Roman"/>
          <w:lang w:val="en-GB"/>
        </w:rPr>
        <w:tab/>
      </w:r>
      <w:r w:rsidR="006F546F" w:rsidRPr="006F546F">
        <w:rPr>
          <w:rFonts w:cs="Times New Roman"/>
          <w:lang w:val="en-GB"/>
        </w:rPr>
        <w:t>The IOPs - BirdLife International, IUCN, Wetlands International, WWF International</w:t>
      </w:r>
      <w:r w:rsidR="00317AED">
        <w:rPr>
          <w:rFonts w:cs="Times New Roman"/>
          <w:lang w:val="en-GB"/>
        </w:rPr>
        <w:t xml:space="preserve">, </w:t>
      </w:r>
      <w:r w:rsidR="00317AED" w:rsidRPr="00317AED">
        <w:rPr>
          <w:rFonts w:cs="Times New Roman"/>
          <w:lang w:val="en-GB"/>
        </w:rPr>
        <w:t>International Water Management Institute (IWMI)</w:t>
      </w:r>
      <w:r w:rsidR="00317AED">
        <w:rPr>
          <w:rFonts w:cs="Times New Roman"/>
          <w:lang w:val="en-GB"/>
        </w:rPr>
        <w:t>,</w:t>
      </w:r>
      <w:r w:rsidR="006F546F" w:rsidRPr="006F546F">
        <w:rPr>
          <w:rFonts w:cs="Times New Roman"/>
          <w:lang w:val="en-GB"/>
        </w:rPr>
        <w:t xml:space="preserve"> and the Wildfowl &amp; Wetlands Trust (WWT) - have been instrumental in co-developing and promoting STRP outputs and mobili</w:t>
      </w:r>
      <w:r w:rsidR="00035943">
        <w:rPr>
          <w:rFonts w:cs="Times New Roman"/>
          <w:lang w:val="en-GB"/>
        </w:rPr>
        <w:t>z</w:t>
      </w:r>
      <w:r w:rsidR="006F546F" w:rsidRPr="006F546F">
        <w:rPr>
          <w:rFonts w:cs="Times New Roman"/>
          <w:lang w:val="en-GB"/>
        </w:rPr>
        <w:t>ing expert networks.</w:t>
      </w:r>
    </w:p>
    <w:p w14:paraId="3B2491C3" w14:textId="77777777" w:rsidR="006F546F" w:rsidRPr="006F546F" w:rsidRDefault="006F546F" w:rsidP="006F546F">
      <w:pPr>
        <w:spacing w:line="240" w:lineRule="auto"/>
        <w:ind w:left="426" w:hanging="426"/>
        <w:rPr>
          <w:rFonts w:cs="Times New Roman"/>
          <w:lang w:val="en-GB"/>
        </w:rPr>
      </w:pPr>
    </w:p>
    <w:p w14:paraId="23015F24" w14:textId="0A8F9868" w:rsidR="006F546F" w:rsidRDefault="00445E10" w:rsidP="006F546F">
      <w:pPr>
        <w:spacing w:line="240" w:lineRule="auto"/>
        <w:ind w:left="426" w:hanging="426"/>
        <w:rPr>
          <w:rFonts w:cs="Times New Roman"/>
          <w:lang w:val="en-GB"/>
        </w:rPr>
      </w:pPr>
      <w:r>
        <w:rPr>
          <w:rFonts w:cs="Times New Roman"/>
          <w:lang w:val="en-GB"/>
        </w:rPr>
        <w:t>3</w:t>
      </w:r>
      <w:r w:rsidR="002A18EF">
        <w:rPr>
          <w:rFonts w:cs="Times New Roman"/>
          <w:lang w:val="en-GB"/>
        </w:rPr>
        <w:t>4</w:t>
      </w:r>
      <w:r w:rsidR="006F546F" w:rsidRPr="006F546F">
        <w:rPr>
          <w:rFonts w:cs="Times New Roman"/>
          <w:lang w:val="en-GB"/>
        </w:rPr>
        <w:t>.</w:t>
      </w:r>
      <w:r w:rsidR="006F546F">
        <w:rPr>
          <w:rFonts w:cs="Times New Roman"/>
          <w:lang w:val="en-GB"/>
        </w:rPr>
        <w:tab/>
      </w:r>
      <w:r w:rsidR="006F546F" w:rsidRPr="006F546F">
        <w:rPr>
          <w:rFonts w:cs="Times New Roman"/>
          <w:lang w:val="en-GB"/>
        </w:rPr>
        <w:t xml:space="preserve">The STRP also acknowledges the valuable input from </w:t>
      </w:r>
      <w:r w:rsidR="00070BB5">
        <w:rPr>
          <w:rFonts w:cs="Times New Roman"/>
          <w:lang w:val="en-GB"/>
        </w:rPr>
        <w:t xml:space="preserve">Contracting </w:t>
      </w:r>
      <w:r w:rsidR="006F546F" w:rsidRPr="006F546F">
        <w:rPr>
          <w:rFonts w:cs="Times New Roman"/>
          <w:lang w:val="en-GB"/>
        </w:rPr>
        <w:t>Parties, including STRP National Focal Points, and from contributing individuals and organi</w:t>
      </w:r>
      <w:r w:rsidR="00035943">
        <w:rPr>
          <w:rFonts w:cs="Times New Roman"/>
          <w:lang w:val="en-GB"/>
        </w:rPr>
        <w:t>z</w:t>
      </w:r>
      <w:r w:rsidR="006F546F" w:rsidRPr="006F546F">
        <w:rPr>
          <w:rFonts w:cs="Times New Roman"/>
          <w:lang w:val="en-GB"/>
        </w:rPr>
        <w:t xml:space="preserve">ations who participated in webinars, consultations, workshops and Earth </w:t>
      </w:r>
      <w:r w:rsidR="004F62E4">
        <w:rPr>
          <w:rFonts w:cs="Times New Roman"/>
          <w:lang w:val="en-GB"/>
        </w:rPr>
        <w:t>o</w:t>
      </w:r>
      <w:r w:rsidR="004F62E4" w:rsidRPr="006F546F">
        <w:rPr>
          <w:rFonts w:cs="Times New Roman"/>
          <w:lang w:val="en-GB"/>
        </w:rPr>
        <w:t xml:space="preserve">bservation </w:t>
      </w:r>
      <w:r w:rsidR="004F62E4">
        <w:rPr>
          <w:rFonts w:cs="Times New Roman"/>
          <w:lang w:val="en-GB"/>
        </w:rPr>
        <w:t>d</w:t>
      </w:r>
      <w:r w:rsidR="004F62E4" w:rsidRPr="006F546F">
        <w:rPr>
          <w:rFonts w:cs="Times New Roman"/>
          <w:lang w:val="en-GB"/>
        </w:rPr>
        <w:t>ay</w:t>
      </w:r>
      <w:r w:rsidR="006F546F" w:rsidRPr="006F546F">
        <w:rPr>
          <w:rFonts w:cs="Times New Roman"/>
          <w:lang w:val="en-GB"/>
        </w:rPr>
        <w:t>.</w:t>
      </w:r>
    </w:p>
    <w:p w14:paraId="47656123" w14:textId="77777777" w:rsidR="0005576E" w:rsidRDefault="0005576E" w:rsidP="006F546F">
      <w:pPr>
        <w:spacing w:line="240" w:lineRule="auto"/>
        <w:ind w:left="426" w:hanging="426"/>
        <w:rPr>
          <w:rFonts w:cs="Times New Roman"/>
          <w:lang w:val="en-GB"/>
        </w:rPr>
      </w:pPr>
    </w:p>
    <w:p w14:paraId="2DD7B6A7" w14:textId="722C8AE9" w:rsidR="0005576E" w:rsidRPr="00E348B4" w:rsidRDefault="0005576E" w:rsidP="001671B0">
      <w:pPr>
        <w:keepNext/>
        <w:suppressLineNumbers/>
        <w:suppressAutoHyphens/>
        <w:spacing w:line="240" w:lineRule="auto"/>
        <w:rPr>
          <w:rFonts w:ascii="Calibri" w:eastAsia="Calibri" w:hAnsi="Calibri" w:cs="Arial"/>
          <w:b/>
          <w:lang w:val="en-GB"/>
        </w:rPr>
      </w:pPr>
      <w:r w:rsidRPr="00E348B4">
        <w:rPr>
          <w:rFonts w:ascii="Calibri" w:eastAsia="Calibri" w:hAnsi="Calibri" w:cs="Arial"/>
          <w:b/>
          <w:lang w:val="en-GB"/>
        </w:rPr>
        <w:lastRenderedPageBreak/>
        <w:t xml:space="preserve">Acknowledging </w:t>
      </w:r>
      <w:r w:rsidRPr="0005576E">
        <w:rPr>
          <w:rFonts w:ascii="Calibri" w:eastAsia="Calibri" w:hAnsi="Calibri" w:cs="Arial"/>
          <w:b/>
          <w:lang w:val="en-GB"/>
        </w:rPr>
        <w:t>the non-core funding contributions of Contracting Parties and others to support the implementation of the STRP work plan</w:t>
      </w:r>
    </w:p>
    <w:p w14:paraId="4786F631" w14:textId="77777777" w:rsidR="0005576E" w:rsidRPr="00E348B4" w:rsidRDefault="0005576E" w:rsidP="001671B0">
      <w:pPr>
        <w:keepNext/>
        <w:spacing w:line="240" w:lineRule="auto"/>
        <w:rPr>
          <w:rFonts w:cs="Times New Roman"/>
          <w:lang w:val="en-GB"/>
        </w:rPr>
      </w:pPr>
    </w:p>
    <w:p w14:paraId="21ECFCAF" w14:textId="3374B962" w:rsidR="00AB2220" w:rsidRPr="00AB2220" w:rsidRDefault="002A18EF" w:rsidP="00AB2220">
      <w:pPr>
        <w:spacing w:line="240" w:lineRule="auto"/>
        <w:ind w:left="426" w:hanging="426"/>
        <w:rPr>
          <w:rFonts w:cs="Times New Roman"/>
          <w:lang w:val="en-US"/>
        </w:rPr>
      </w:pPr>
      <w:r>
        <w:rPr>
          <w:rFonts w:cs="Times New Roman"/>
          <w:lang w:val="en-GB"/>
        </w:rPr>
        <w:t>35</w:t>
      </w:r>
      <w:r w:rsidR="0005576E" w:rsidRPr="006F546F">
        <w:rPr>
          <w:rFonts w:cs="Times New Roman"/>
          <w:lang w:val="en-GB"/>
        </w:rPr>
        <w:t>.</w:t>
      </w:r>
      <w:r w:rsidR="0005576E" w:rsidRPr="006F546F">
        <w:rPr>
          <w:rFonts w:cs="Times New Roman"/>
          <w:lang w:val="en-GB"/>
        </w:rPr>
        <w:tab/>
      </w:r>
      <w:r w:rsidR="00E069EA" w:rsidRPr="00E069EA">
        <w:rPr>
          <w:rFonts w:cs="Times New Roman"/>
          <w:lang w:val="en-GB"/>
        </w:rPr>
        <w:t xml:space="preserve">The financial contributions of the following </w:t>
      </w:r>
      <w:r w:rsidR="00070BB5">
        <w:rPr>
          <w:rFonts w:cs="Times New Roman"/>
          <w:lang w:val="en-GB"/>
        </w:rPr>
        <w:t xml:space="preserve">Contracting Parties </w:t>
      </w:r>
      <w:r w:rsidR="00E069EA" w:rsidRPr="00E069EA">
        <w:rPr>
          <w:rFonts w:cs="Times New Roman"/>
          <w:lang w:val="en-GB"/>
        </w:rPr>
        <w:t xml:space="preserve">is gratefully acknowledged: </w:t>
      </w:r>
      <w:r w:rsidR="00C65B5C" w:rsidRPr="00C65B5C">
        <w:rPr>
          <w:rFonts w:cs="Times New Roman"/>
          <w:lang w:val="en-GB"/>
        </w:rPr>
        <w:t xml:space="preserve">the Government of the United Kingdom of Great Britain and Northern Ireland, the Government of the Kingdom of Norway, </w:t>
      </w:r>
      <w:r w:rsidR="00860B23">
        <w:rPr>
          <w:rFonts w:cs="Times New Roman"/>
          <w:lang w:val="en-GB"/>
        </w:rPr>
        <w:t xml:space="preserve">and </w:t>
      </w:r>
      <w:r w:rsidR="00C65B5C" w:rsidRPr="00C65B5C">
        <w:rPr>
          <w:rFonts w:cs="Times New Roman"/>
          <w:lang w:val="en-GB"/>
        </w:rPr>
        <w:t>the Government of the Republic of Finland</w:t>
      </w:r>
      <w:r w:rsidR="00AB2220" w:rsidRPr="00C65B5C">
        <w:rPr>
          <w:rFonts w:cs="Times New Roman"/>
          <w:lang w:val="en-GB"/>
        </w:rPr>
        <w:t>, which have supported the delivery of scientific and technical outputs by the STRP</w:t>
      </w:r>
      <w:r w:rsidR="00AB2220">
        <w:rPr>
          <w:rFonts w:cs="Times New Roman"/>
          <w:lang w:val="en-GB"/>
        </w:rPr>
        <w:t>.</w:t>
      </w:r>
      <w:r w:rsidR="006A606C">
        <w:rPr>
          <w:rFonts w:cs="Times New Roman"/>
          <w:lang w:val="en-GB"/>
        </w:rPr>
        <w:t xml:space="preserve"> Support</w:t>
      </w:r>
      <w:r w:rsidR="00AB2220">
        <w:rPr>
          <w:rFonts w:cs="Times New Roman"/>
          <w:lang w:val="en-GB"/>
        </w:rPr>
        <w:t xml:space="preserve"> was also provided under the </w:t>
      </w:r>
      <w:r w:rsidR="00AB2220">
        <w:rPr>
          <w:rFonts w:cs="Times New Roman"/>
          <w:lang w:val="en-US"/>
        </w:rPr>
        <w:t>current</w:t>
      </w:r>
      <w:r w:rsidR="00AB2220" w:rsidRPr="00AB2220">
        <w:rPr>
          <w:rFonts w:cs="Times New Roman"/>
          <w:lang w:val="en-US"/>
        </w:rPr>
        <w:t xml:space="preserve"> memorandum </w:t>
      </w:r>
      <w:r w:rsidR="00AB2220">
        <w:rPr>
          <w:rFonts w:cs="Times New Roman"/>
          <w:lang w:val="en-US"/>
        </w:rPr>
        <w:t xml:space="preserve">of understanding </w:t>
      </w:r>
      <w:r w:rsidR="00AB2220" w:rsidRPr="00AB2220">
        <w:rPr>
          <w:rFonts w:cs="Times New Roman"/>
          <w:lang w:val="en-US"/>
        </w:rPr>
        <w:t xml:space="preserve">between </w:t>
      </w:r>
      <w:r w:rsidR="001A78C6" w:rsidRPr="00C65B5C">
        <w:rPr>
          <w:rFonts w:cs="Times New Roman"/>
          <w:lang w:val="en-GB"/>
        </w:rPr>
        <w:t>Danone S.A.</w:t>
      </w:r>
      <w:r w:rsidR="001A78C6">
        <w:rPr>
          <w:rFonts w:cs="Times New Roman"/>
          <w:lang w:val="en-GB"/>
        </w:rPr>
        <w:t xml:space="preserve"> </w:t>
      </w:r>
      <w:r w:rsidR="00AB2220" w:rsidRPr="00AB2220">
        <w:rPr>
          <w:rFonts w:cs="Times New Roman"/>
          <w:lang w:val="en-US"/>
        </w:rPr>
        <w:t xml:space="preserve">and </w:t>
      </w:r>
      <w:r w:rsidR="00AB2220">
        <w:rPr>
          <w:rFonts w:cs="Times New Roman"/>
          <w:lang w:val="en-US"/>
        </w:rPr>
        <w:t xml:space="preserve">the </w:t>
      </w:r>
      <w:r w:rsidR="00AB2220" w:rsidRPr="00AB2220">
        <w:rPr>
          <w:rFonts w:cs="Times New Roman"/>
          <w:lang w:val="en-US"/>
        </w:rPr>
        <w:t>Sec</w:t>
      </w:r>
      <w:r w:rsidR="00AB2220">
        <w:rPr>
          <w:rFonts w:cs="Times New Roman"/>
          <w:lang w:val="en-US"/>
        </w:rPr>
        <w:t xml:space="preserve">retariat. </w:t>
      </w:r>
      <w:r w:rsidR="00AB2220" w:rsidRPr="00AB2220">
        <w:rPr>
          <w:rFonts w:cs="Times New Roman"/>
          <w:lang w:val="en-US"/>
        </w:rPr>
        <w:t xml:space="preserve"> </w:t>
      </w:r>
    </w:p>
    <w:p w14:paraId="25DE8954" w14:textId="77777777" w:rsidR="00C65B5C" w:rsidRPr="00C65B5C" w:rsidRDefault="00C65B5C" w:rsidP="00C65B5C">
      <w:pPr>
        <w:spacing w:line="240" w:lineRule="auto"/>
        <w:ind w:left="426" w:hanging="426"/>
        <w:rPr>
          <w:rFonts w:cs="Times New Roman"/>
          <w:lang w:val="en-GB"/>
        </w:rPr>
      </w:pPr>
    </w:p>
    <w:p w14:paraId="02FB5420" w14:textId="41D69749" w:rsidR="0005576E" w:rsidRDefault="002A18EF" w:rsidP="00C65B5C">
      <w:pPr>
        <w:spacing w:line="240" w:lineRule="auto"/>
        <w:ind w:left="426" w:hanging="426"/>
        <w:rPr>
          <w:rFonts w:cs="Times New Roman"/>
          <w:lang w:val="en-GB"/>
        </w:rPr>
      </w:pPr>
      <w:r>
        <w:rPr>
          <w:rFonts w:cs="Times New Roman"/>
          <w:lang w:val="en-GB"/>
        </w:rPr>
        <w:t>36</w:t>
      </w:r>
      <w:r w:rsidR="00C65B5C" w:rsidRPr="00C65B5C">
        <w:rPr>
          <w:rFonts w:cs="Times New Roman"/>
          <w:lang w:val="en-GB"/>
        </w:rPr>
        <w:t>.</w:t>
      </w:r>
      <w:r w:rsidR="00C65B5C">
        <w:rPr>
          <w:rFonts w:cs="Times New Roman"/>
          <w:lang w:val="en-GB"/>
        </w:rPr>
        <w:tab/>
      </w:r>
      <w:r w:rsidR="00E069EA" w:rsidRPr="00E069EA">
        <w:rPr>
          <w:rFonts w:cs="Times New Roman"/>
          <w:lang w:val="en-GB"/>
        </w:rPr>
        <w:t>C</w:t>
      </w:r>
      <w:r w:rsidR="00E069EA">
        <w:rPr>
          <w:rFonts w:cs="Times New Roman"/>
          <w:lang w:val="en-GB"/>
        </w:rPr>
        <w:t xml:space="preserve">ontracting </w:t>
      </w:r>
      <w:r w:rsidR="00E069EA" w:rsidRPr="00E069EA">
        <w:rPr>
          <w:rFonts w:cs="Times New Roman"/>
          <w:lang w:val="en-GB"/>
        </w:rPr>
        <w:t>P</w:t>
      </w:r>
      <w:r w:rsidR="00E069EA">
        <w:rPr>
          <w:rFonts w:cs="Times New Roman"/>
          <w:lang w:val="en-GB"/>
        </w:rPr>
        <w:t>arties</w:t>
      </w:r>
      <w:r w:rsidR="00E069EA" w:rsidRPr="00E069EA">
        <w:rPr>
          <w:rFonts w:cs="Times New Roman"/>
          <w:lang w:val="en-GB"/>
        </w:rPr>
        <w:t xml:space="preserve"> are encouraged to continue providing such support on a voluntary basis, and to support resource mobili</w:t>
      </w:r>
      <w:r w:rsidR="00035943">
        <w:rPr>
          <w:rFonts w:cs="Times New Roman"/>
          <w:lang w:val="en-GB"/>
        </w:rPr>
        <w:t>z</w:t>
      </w:r>
      <w:r w:rsidR="00E069EA" w:rsidRPr="00E069EA">
        <w:rPr>
          <w:rFonts w:cs="Times New Roman"/>
          <w:lang w:val="en-GB"/>
        </w:rPr>
        <w:t>ation for addressing future</w:t>
      </w:r>
      <w:r w:rsidR="00E069EA" w:rsidRPr="00E069EA" w:rsidDel="00E069EA">
        <w:rPr>
          <w:rFonts w:cs="Times New Roman"/>
          <w:lang w:val="en-GB"/>
        </w:rPr>
        <w:t xml:space="preserve"> </w:t>
      </w:r>
      <w:r w:rsidR="00C65B5C" w:rsidRPr="00C65B5C">
        <w:rPr>
          <w:rFonts w:cs="Times New Roman"/>
          <w:lang w:val="en-GB"/>
        </w:rPr>
        <w:t>scientific</w:t>
      </w:r>
      <w:r w:rsidR="00C65B5C">
        <w:rPr>
          <w:rFonts w:cs="Times New Roman"/>
          <w:lang w:val="en-GB"/>
        </w:rPr>
        <w:t xml:space="preserve"> and </w:t>
      </w:r>
      <w:r w:rsidR="00C65B5C" w:rsidRPr="00C65B5C">
        <w:rPr>
          <w:rFonts w:cs="Times New Roman"/>
          <w:lang w:val="en-GB"/>
        </w:rPr>
        <w:t>technical</w:t>
      </w:r>
      <w:r w:rsidR="00C65B5C">
        <w:rPr>
          <w:rFonts w:cs="Times New Roman"/>
          <w:lang w:val="en-GB"/>
        </w:rPr>
        <w:t xml:space="preserve"> </w:t>
      </w:r>
      <w:r w:rsidR="00C65B5C" w:rsidRPr="00C65B5C">
        <w:rPr>
          <w:rFonts w:cs="Times New Roman"/>
          <w:lang w:val="en-GB"/>
        </w:rPr>
        <w:t xml:space="preserve">priorities </w:t>
      </w:r>
      <w:r w:rsidR="00E069EA">
        <w:rPr>
          <w:rFonts w:cs="Times New Roman"/>
          <w:lang w:val="en-GB"/>
        </w:rPr>
        <w:t>of the Convention</w:t>
      </w:r>
      <w:r w:rsidR="001310D3">
        <w:rPr>
          <w:rFonts w:cs="Times New Roman"/>
          <w:lang w:val="en-GB"/>
        </w:rPr>
        <w:t>.</w:t>
      </w:r>
      <w:r w:rsidR="00C65B5C">
        <w:rPr>
          <w:rFonts w:cs="Times New Roman"/>
          <w:lang w:val="en-GB"/>
        </w:rPr>
        <w:t xml:space="preserve"> </w:t>
      </w:r>
    </w:p>
    <w:p w14:paraId="7F22C9BE" w14:textId="4F8456C3" w:rsidR="00D15230" w:rsidRDefault="00D15230" w:rsidP="006F546F">
      <w:pPr>
        <w:spacing w:line="240" w:lineRule="auto"/>
        <w:rPr>
          <w:rFonts w:cs="Times New Roman"/>
          <w:lang w:val="en-GB"/>
        </w:rPr>
      </w:pPr>
      <w:r>
        <w:rPr>
          <w:rFonts w:cs="Times New Roman"/>
          <w:lang w:val="en-GB"/>
        </w:rPr>
        <w:br w:type="page"/>
      </w:r>
    </w:p>
    <w:p w14:paraId="5A3583DA" w14:textId="0417E5E8" w:rsidR="00A75EF8" w:rsidRPr="0051619C" w:rsidRDefault="00A75EF8" w:rsidP="00A75EF8">
      <w:pPr>
        <w:spacing w:line="240" w:lineRule="auto"/>
        <w:rPr>
          <w:rFonts w:eastAsia="SimSun" w:cstheme="minorHAnsi"/>
          <w:b/>
          <w:sz w:val="24"/>
          <w:szCs w:val="24"/>
          <w:lang w:val="en-US" w:eastAsia="zh-CN"/>
        </w:rPr>
      </w:pPr>
      <w:r w:rsidRPr="0051619C">
        <w:rPr>
          <w:rFonts w:eastAsia="SimSun" w:cstheme="minorHAnsi"/>
          <w:b/>
          <w:sz w:val="24"/>
          <w:szCs w:val="24"/>
          <w:lang w:val="en-US" w:eastAsia="zh-CN"/>
        </w:rPr>
        <w:lastRenderedPageBreak/>
        <w:t xml:space="preserve">Annex </w:t>
      </w:r>
      <w:r w:rsidR="003649E2">
        <w:rPr>
          <w:rFonts w:eastAsia="SimSun" w:cstheme="minorHAnsi"/>
          <w:b/>
          <w:sz w:val="24"/>
          <w:szCs w:val="24"/>
          <w:lang w:val="en-US" w:eastAsia="zh-CN"/>
        </w:rPr>
        <w:t>1</w:t>
      </w:r>
    </w:p>
    <w:p w14:paraId="7FD06742" w14:textId="6076ACA0" w:rsidR="0051619C" w:rsidRPr="0051619C" w:rsidRDefault="0051619C" w:rsidP="0051619C">
      <w:pPr>
        <w:spacing w:line="240" w:lineRule="auto"/>
        <w:rPr>
          <w:b/>
          <w:bCs/>
          <w:sz w:val="24"/>
          <w:szCs w:val="24"/>
          <w:lang w:val="en-US"/>
        </w:rPr>
      </w:pPr>
      <w:r w:rsidRPr="0051619C">
        <w:rPr>
          <w:b/>
          <w:bCs/>
          <w:sz w:val="24"/>
          <w:szCs w:val="24"/>
          <w:lang w:val="en-US"/>
        </w:rPr>
        <w:t>STRP Priorities 202</w:t>
      </w:r>
      <w:r w:rsidR="004253DD">
        <w:rPr>
          <w:b/>
          <w:bCs/>
          <w:sz w:val="24"/>
          <w:szCs w:val="24"/>
          <w:lang w:val="en-US"/>
        </w:rPr>
        <w:t>5</w:t>
      </w:r>
      <w:r w:rsidRPr="0051619C">
        <w:rPr>
          <w:b/>
          <w:bCs/>
          <w:sz w:val="24"/>
          <w:szCs w:val="24"/>
          <w:lang w:val="en-US"/>
        </w:rPr>
        <w:t>-2028</w:t>
      </w:r>
    </w:p>
    <w:p w14:paraId="79163C12" w14:textId="77777777" w:rsidR="0051619C" w:rsidRPr="0051619C" w:rsidRDefault="0051619C" w:rsidP="0051619C">
      <w:pPr>
        <w:spacing w:line="240" w:lineRule="auto"/>
        <w:rPr>
          <w:lang w:val="en-US"/>
        </w:rPr>
      </w:pPr>
    </w:p>
    <w:p w14:paraId="650B8170" w14:textId="17CC9C6D" w:rsidR="0051619C" w:rsidRPr="0051619C" w:rsidRDefault="0051619C" w:rsidP="009C683F">
      <w:pPr>
        <w:spacing w:line="240" w:lineRule="auto"/>
        <w:ind w:left="432" w:hanging="432"/>
        <w:rPr>
          <w:lang w:val="en-US"/>
        </w:rPr>
      </w:pPr>
      <w:r w:rsidRPr="0051619C">
        <w:rPr>
          <w:lang w:val="en-US"/>
        </w:rPr>
        <w:t>1.</w:t>
      </w:r>
      <w:r w:rsidRPr="0051619C">
        <w:rPr>
          <w:lang w:val="en-US"/>
        </w:rPr>
        <w:tab/>
        <w:t>Recommendations for the next STRP work plan 202</w:t>
      </w:r>
      <w:r w:rsidR="004253DD">
        <w:rPr>
          <w:lang w:val="en-US"/>
        </w:rPr>
        <w:t>5</w:t>
      </w:r>
      <w:r w:rsidRPr="0051619C">
        <w:rPr>
          <w:lang w:val="en-US"/>
        </w:rPr>
        <w:t>-2028 have been established through a consultative process that started with an initial discussion on emerging issues during the 26th Meeting of the Scientific and Technical Review Panel (</w:t>
      </w:r>
      <w:r w:rsidR="00F54966" w:rsidRPr="00F54966">
        <w:rPr>
          <w:rFonts w:cs="Calibri"/>
          <w:lang w:val="en-US"/>
        </w:rPr>
        <w:t>Annex 2, SC63.19</w:t>
      </w:r>
      <w:r w:rsidR="00F54966">
        <w:rPr>
          <w:rStyle w:val="FootnoteReference"/>
          <w:rFonts w:cs="Calibri"/>
          <w:lang w:val="en-US"/>
        </w:rPr>
        <w:footnoteReference w:id="26"/>
      </w:r>
      <w:r w:rsidRPr="0051619C">
        <w:rPr>
          <w:lang w:val="en-US"/>
        </w:rPr>
        <w:t xml:space="preserve">), inputs received during the 63rd </w:t>
      </w:r>
      <w:r w:rsidR="00070BB5">
        <w:rPr>
          <w:lang w:val="en-US"/>
        </w:rPr>
        <w:t>and 64th m</w:t>
      </w:r>
      <w:r w:rsidR="00070BB5" w:rsidRPr="0051619C">
        <w:rPr>
          <w:lang w:val="en-US"/>
        </w:rPr>
        <w:t>eeting</w:t>
      </w:r>
      <w:r w:rsidR="00070BB5">
        <w:rPr>
          <w:lang w:val="en-US"/>
        </w:rPr>
        <w:t>s</w:t>
      </w:r>
      <w:r w:rsidR="00070BB5" w:rsidRPr="0051619C">
        <w:rPr>
          <w:lang w:val="en-US"/>
        </w:rPr>
        <w:t xml:space="preserve"> </w:t>
      </w:r>
      <w:r w:rsidRPr="0051619C">
        <w:rPr>
          <w:lang w:val="en-US"/>
        </w:rPr>
        <w:t>of the Standing Committee</w:t>
      </w:r>
      <w:r w:rsidR="00F54966">
        <w:rPr>
          <w:rStyle w:val="FootnoteReference"/>
          <w:rFonts w:cs="Calibri"/>
          <w:lang w:val="en-US"/>
        </w:rPr>
        <w:footnoteReference w:id="27"/>
      </w:r>
      <w:r w:rsidR="001B7059">
        <w:rPr>
          <w:lang w:val="en-US"/>
        </w:rPr>
        <w:t xml:space="preserve">, </w:t>
      </w:r>
      <w:r w:rsidRPr="0051619C">
        <w:rPr>
          <w:lang w:val="en-US"/>
        </w:rPr>
        <w:t xml:space="preserve">and subsequent consultations with Panel </w:t>
      </w:r>
      <w:r w:rsidR="00E84A8B">
        <w:rPr>
          <w:lang w:val="en-US"/>
        </w:rPr>
        <w:t>m</w:t>
      </w:r>
      <w:r w:rsidR="00E84A8B" w:rsidRPr="0051619C">
        <w:rPr>
          <w:lang w:val="en-US"/>
        </w:rPr>
        <w:t>embers</w:t>
      </w:r>
      <w:r w:rsidRPr="0051619C">
        <w:rPr>
          <w:lang w:val="en-US"/>
        </w:rPr>
        <w:t xml:space="preserve">, National Focal Points, </w:t>
      </w:r>
      <w:r w:rsidR="00070BB5">
        <w:rPr>
          <w:lang w:val="en-US"/>
        </w:rPr>
        <w:t>o</w:t>
      </w:r>
      <w:r w:rsidRPr="0051619C">
        <w:rPr>
          <w:lang w:val="en-US"/>
        </w:rPr>
        <w:t xml:space="preserve">bservers and IOPs, including the third intersessional online meeting of the STRP. </w:t>
      </w:r>
    </w:p>
    <w:p w14:paraId="05718C1E" w14:textId="77777777" w:rsidR="0051619C" w:rsidRPr="0051619C" w:rsidRDefault="0051619C" w:rsidP="0051619C">
      <w:pPr>
        <w:spacing w:line="240" w:lineRule="auto"/>
        <w:rPr>
          <w:lang w:val="en-US"/>
        </w:rPr>
      </w:pPr>
    </w:p>
    <w:p w14:paraId="701919FC" w14:textId="77777777" w:rsidR="0051619C" w:rsidRPr="0051619C" w:rsidRDefault="0051619C" w:rsidP="0051619C">
      <w:pPr>
        <w:spacing w:line="240" w:lineRule="auto"/>
        <w:rPr>
          <w:b/>
          <w:bCs/>
          <w:lang w:val="en-US"/>
        </w:rPr>
      </w:pPr>
      <w:r w:rsidRPr="0051619C">
        <w:rPr>
          <w:b/>
          <w:bCs/>
          <w:lang w:val="en-US"/>
        </w:rPr>
        <w:t>Thematic Working Areas (TWAs):</w:t>
      </w:r>
    </w:p>
    <w:p w14:paraId="0E06D681" w14:textId="77777777" w:rsidR="0051619C" w:rsidRPr="0051619C" w:rsidRDefault="0051619C" w:rsidP="0051619C">
      <w:pPr>
        <w:spacing w:line="240" w:lineRule="auto"/>
        <w:rPr>
          <w:lang w:val="en-US"/>
        </w:rPr>
      </w:pPr>
    </w:p>
    <w:p w14:paraId="375FD361" w14:textId="6A1FE4E7" w:rsidR="0051619C" w:rsidRPr="0051619C" w:rsidRDefault="0051619C" w:rsidP="0051619C">
      <w:pPr>
        <w:spacing w:line="240" w:lineRule="auto"/>
        <w:ind w:left="432" w:hanging="432"/>
        <w:rPr>
          <w:lang w:val="en-US"/>
        </w:rPr>
      </w:pPr>
      <w:r w:rsidRPr="0051619C">
        <w:rPr>
          <w:lang w:val="en-US"/>
        </w:rPr>
        <w:t>2.</w:t>
      </w:r>
      <w:r w:rsidRPr="0051619C">
        <w:rPr>
          <w:lang w:val="en-US"/>
        </w:rPr>
        <w:tab/>
        <w:t xml:space="preserve">To maintain continuity and ensure a consistent approach, the Thematic Work Areas (TWAs) have been retained from the preceding triennium (defined in </w:t>
      </w:r>
      <w:r w:rsidR="00F54966" w:rsidRPr="00F54966">
        <w:rPr>
          <w:rFonts w:cs="Calibri"/>
          <w:lang w:val="en-US"/>
        </w:rPr>
        <w:t>Resolution XIV.14</w:t>
      </w:r>
      <w:r w:rsidR="00F54966">
        <w:rPr>
          <w:rStyle w:val="FootnoteReference"/>
          <w:rFonts w:cs="Calibri"/>
          <w:lang w:val="en-US"/>
        </w:rPr>
        <w:footnoteReference w:id="28"/>
      </w:r>
      <w:r w:rsidRPr="0051619C">
        <w:rPr>
          <w:lang w:val="en-US"/>
        </w:rPr>
        <w:t xml:space="preserve">, </w:t>
      </w:r>
      <w:r w:rsidR="00F524A7" w:rsidRPr="00F524A7">
        <w:rPr>
          <w:rFonts w:cs="Calibri"/>
          <w:lang w:val="en-US"/>
        </w:rPr>
        <w:t>Pre-SC62 Intersessional Decision 04</w:t>
      </w:r>
      <w:r w:rsidRPr="0051619C">
        <w:rPr>
          <w:lang w:val="en-US"/>
        </w:rPr>
        <w:t xml:space="preserve"> on the STRP work plan 2023-2025</w:t>
      </w:r>
      <w:r w:rsidR="00F524A7">
        <w:rPr>
          <w:rStyle w:val="FootnoteReference"/>
          <w:lang w:val="en-US"/>
        </w:rPr>
        <w:footnoteReference w:id="29"/>
      </w:r>
      <w:r w:rsidRPr="0051619C">
        <w:rPr>
          <w:lang w:val="en-US"/>
        </w:rPr>
        <w:t xml:space="preserve">): </w:t>
      </w:r>
    </w:p>
    <w:p w14:paraId="723CF2C6" w14:textId="77777777" w:rsidR="0051619C" w:rsidRPr="0051619C" w:rsidRDefault="0051619C" w:rsidP="0051619C">
      <w:pPr>
        <w:spacing w:line="240" w:lineRule="auto"/>
        <w:rPr>
          <w:lang w:val="en-US"/>
        </w:rPr>
      </w:pPr>
    </w:p>
    <w:p w14:paraId="273A7B29" w14:textId="77777777" w:rsidR="0051619C" w:rsidRPr="0051619C" w:rsidRDefault="0051619C" w:rsidP="0051619C">
      <w:pPr>
        <w:tabs>
          <w:tab w:val="left" w:pos="810"/>
        </w:tabs>
        <w:spacing w:line="240" w:lineRule="auto"/>
        <w:ind w:left="810" w:hanging="810"/>
        <w:rPr>
          <w:lang w:val="en-US"/>
        </w:rPr>
      </w:pPr>
      <w:r w:rsidRPr="0051619C">
        <w:rPr>
          <w:b/>
          <w:lang w:val="en-US"/>
        </w:rPr>
        <w:t>TWA 1.</w:t>
      </w:r>
      <w:r w:rsidRPr="0051619C">
        <w:rPr>
          <w:lang w:val="en-US"/>
        </w:rPr>
        <w:tab/>
        <w:t>Wetlands of International Importance, development of the Site network and application of criteria.</w:t>
      </w:r>
    </w:p>
    <w:p w14:paraId="099396A9" w14:textId="77777777" w:rsidR="0051619C" w:rsidRPr="0051619C" w:rsidRDefault="0051619C" w:rsidP="0051619C">
      <w:pPr>
        <w:tabs>
          <w:tab w:val="left" w:pos="810"/>
        </w:tabs>
        <w:spacing w:line="240" w:lineRule="auto"/>
        <w:ind w:left="810" w:hanging="810"/>
        <w:rPr>
          <w:lang w:val="en-US"/>
        </w:rPr>
      </w:pPr>
    </w:p>
    <w:tbl>
      <w:tblPr>
        <w:tblStyle w:val="TableGrid"/>
        <w:tblW w:w="0" w:type="auto"/>
        <w:tblInd w:w="805" w:type="dxa"/>
        <w:tblLook w:val="04A0" w:firstRow="1" w:lastRow="0" w:firstColumn="1" w:lastColumn="0" w:noHBand="0" w:noVBand="1"/>
      </w:tblPr>
      <w:tblGrid>
        <w:gridCol w:w="8211"/>
      </w:tblGrid>
      <w:tr w:rsidR="0051619C" w:rsidRPr="00C91E5F" w14:paraId="00985B2A" w14:textId="77777777">
        <w:tc>
          <w:tcPr>
            <w:tcW w:w="8545" w:type="dxa"/>
          </w:tcPr>
          <w:p w14:paraId="7E077ECC" w14:textId="77777777" w:rsidR="0051619C" w:rsidRPr="00390F83" w:rsidRDefault="0051619C">
            <w:pPr>
              <w:tabs>
                <w:tab w:val="left" w:pos="810"/>
              </w:tabs>
              <w:ind w:left="66" w:firstLine="0"/>
            </w:pPr>
            <w:r w:rsidRPr="00EF7423">
              <w:t xml:space="preserve">This work area focuses on providing information to support Contracting Parties in designating, managing, and monitoring Wetlands of International Importance in line with the </w:t>
            </w:r>
            <w:r w:rsidRPr="00EA7469">
              <w:rPr>
                <w:color w:val="000000"/>
              </w:rPr>
              <w:t>objectives</w:t>
            </w:r>
            <w:r w:rsidRPr="00EF7423">
              <w:t xml:space="preserve"> of the Convention on Wetlands. It includes guidance on applying criteria for site designation and assessing underrepresented wetland types in the Site network. TWA 1 may also provide guidance on integrating Wetlands of International Importance with broader global biodiversity targets, enhancing their role in achieving international conservation objectives.</w:t>
            </w:r>
          </w:p>
        </w:tc>
      </w:tr>
    </w:tbl>
    <w:p w14:paraId="6FEE01E4" w14:textId="77777777" w:rsidR="0051619C" w:rsidRPr="0051619C" w:rsidRDefault="0051619C" w:rsidP="0051619C">
      <w:pPr>
        <w:tabs>
          <w:tab w:val="left" w:pos="810"/>
        </w:tabs>
        <w:spacing w:line="240" w:lineRule="auto"/>
        <w:ind w:left="810" w:hanging="810"/>
        <w:rPr>
          <w:lang w:val="en-US"/>
        </w:rPr>
      </w:pPr>
    </w:p>
    <w:p w14:paraId="18CB8B68" w14:textId="77777777" w:rsidR="0051619C" w:rsidRPr="0051619C" w:rsidRDefault="0051619C" w:rsidP="0051619C">
      <w:pPr>
        <w:tabs>
          <w:tab w:val="left" w:pos="810"/>
        </w:tabs>
        <w:spacing w:line="240" w:lineRule="auto"/>
        <w:ind w:left="810" w:hanging="810"/>
        <w:rPr>
          <w:lang w:val="en-US"/>
        </w:rPr>
      </w:pPr>
      <w:r w:rsidRPr="0051619C">
        <w:rPr>
          <w:b/>
          <w:lang w:val="en-US"/>
        </w:rPr>
        <w:t>TWA 2.</w:t>
      </w:r>
      <w:r w:rsidRPr="0051619C">
        <w:rPr>
          <w:b/>
          <w:lang w:val="en-US"/>
        </w:rPr>
        <w:tab/>
      </w:r>
      <w:r w:rsidRPr="0051619C">
        <w:rPr>
          <w:lang w:val="en-US"/>
        </w:rPr>
        <w:t xml:space="preserve">Tools for wetland assessment, mapping and monitoring, and development of inventories. </w:t>
      </w:r>
    </w:p>
    <w:p w14:paraId="53AFD24C" w14:textId="77777777" w:rsidR="0051619C" w:rsidRPr="0051619C" w:rsidRDefault="0051619C" w:rsidP="0051619C">
      <w:pPr>
        <w:tabs>
          <w:tab w:val="left" w:pos="810"/>
        </w:tabs>
        <w:spacing w:line="240" w:lineRule="auto"/>
        <w:rPr>
          <w:lang w:val="en-US"/>
        </w:rPr>
      </w:pPr>
    </w:p>
    <w:tbl>
      <w:tblPr>
        <w:tblStyle w:val="TableGrid"/>
        <w:tblW w:w="0" w:type="auto"/>
        <w:tblInd w:w="805" w:type="dxa"/>
        <w:tblLook w:val="04A0" w:firstRow="1" w:lastRow="0" w:firstColumn="1" w:lastColumn="0" w:noHBand="0" w:noVBand="1"/>
      </w:tblPr>
      <w:tblGrid>
        <w:gridCol w:w="8211"/>
      </w:tblGrid>
      <w:tr w:rsidR="0051619C" w:rsidRPr="00C91E5F" w14:paraId="3DCAF00B" w14:textId="77777777">
        <w:tc>
          <w:tcPr>
            <w:tcW w:w="8545" w:type="dxa"/>
          </w:tcPr>
          <w:p w14:paraId="1B238C52" w14:textId="649D6D19" w:rsidR="0051619C" w:rsidRPr="00390F83" w:rsidRDefault="0051619C">
            <w:pPr>
              <w:tabs>
                <w:tab w:val="left" w:pos="810"/>
              </w:tabs>
              <w:ind w:left="66" w:firstLine="0"/>
            </w:pPr>
            <w:r w:rsidRPr="00EF7423">
              <w:t xml:space="preserve">This work area </w:t>
            </w:r>
            <w:r w:rsidRPr="00EF7423">
              <w:rPr>
                <w:color w:val="000000"/>
              </w:rPr>
              <w:t xml:space="preserve">aims to improve the tools and methodologies required for wetland assessment, mapping, and monitoring, including wetland carbon assessments and biodiversity monitoring. TWA 2 will explore innovative techniques for streamlining wetland inventory and reporting, including remote sensing and Earth </w:t>
            </w:r>
            <w:r w:rsidR="004F62E4">
              <w:rPr>
                <w:color w:val="000000"/>
              </w:rPr>
              <w:t>o</w:t>
            </w:r>
            <w:r w:rsidRPr="00EF7423">
              <w:rPr>
                <w:color w:val="000000"/>
              </w:rPr>
              <w:t>bservation. Future actions will ensure these tools are accessible and adaptable, allowing Contracting Parties to meet their reporting obligations under the Convention and other international frameworks that consider wetlands.</w:t>
            </w:r>
          </w:p>
        </w:tc>
      </w:tr>
    </w:tbl>
    <w:p w14:paraId="2D67B010" w14:textId="77777777" w:rsidR="0051619C" w:rsidRPr="0051619C" w:rsidRDefault="0051619C" w:rsidP="0051619C">
      <w:pPr>
        <w:tabs>
          <w:tab w:val="left" w:pos="810"/>
        </w:tabs>
        <w:spacing w:line="240" w:lineRule="auto"/>
        <w:rPr>
          <w:lang w:val="en-US"/>
        </w:rPr>
      </w:pPr>
    </w:p>
    <w:p w14:paraId="7DDA1606" w14:textId="77777777" w:rsidR="0051619C" w:rsidRPr="0051619C" w:rsidRDefault="0051619C" w:rsidP="0051619C">
      <w:pPr>
        <w:tabs>
          <w:tab w:val="left" w:pos="810"/>
        </w:tabs>
        <w:spacing w:line="240" w:lineRule="auto"/>
        <w:ind w:left="810" w:hanging="810"/>
        <w:rPr>
          <w:lang w:val="en-US"/>
        </w:rPr>
      </w:pPr>
      <w:r w:rsidRPr="0051619C">
        <w:rPr>
          <w:b/>
          <w:lang w:val="en-US"/>
        </w:rPr>
        <w:t>TWA 3.</w:t>
      </w:r>
      <w:r w:rsidRPr="0051619C">
        <w:rPr>
          <w:b/>
          <w:lang w:val="en-US"/>
        </w:rPr>
        <w:tab/>
      </w:r>
      <w:r w:rsidRPr="0051619C">
        <w:rPr>
          <w:lang w:val="en-US"/>
        </w:rPr>
        <w:t xml:space="preserve">Direct and climate change related pressures on wetlands, their impacts and responses. </w:t>
      </w:r>
    </w:p>
    <w:p w14:paraId="328BD792" w14:textId="77777777" w:rsidR="0051619C" w:rsidRPr="0051619C" w:rsidRDefault="0051619C" w:rsidP="0051619C">
      <w:pPr>
        <w:tabs>
          <w:tab w:val="left" w:pos="810"/>
        </w:tabs>
        <w:spacing w:line="240" w:lineRule="auto"/>
        <w:rPr>
          <w:lang w:val="en-US"/>
        </w:rPr>
      </w:pPr>
    </w:p>
    <w:tbl>
      <w:tblPr>
        <w:tblStyle w:val="TableGrid"/>
        <w:tblW w:w="0" w:type="auto"/>
        <w:tblInd w:w="805" w:type="dxa"/>
        <w:tblLook w:val="04A0" w:firstRow="1" w:lastRow="0" w:firstColumn="1" w:lastColumn="0" w:noHBand="0" w:noVBand="1"/>
      </w:tblPr>
      <w:tblGrid>
        <w:gridCol w:w="8211"/>
      </w:tblGrid>
      <w:tr w:rsidR="0051619C" w:rsidRPr="00C91E5F" w14:paraId="735C7C83" w14:textId="77777777">
        <w:tc>
          <w:tcPr>
            <w:tcW w:w="8545" w:type="dxa"/>
          </w:tcPr>
          <w:p w14:paraId="39D9CB64" w14:textId="77777777" w:rsidR="0051619C" w:rsidRPr="00390F83" w:rsidRDefault="0051619C">
            <w:pPr>
              <w:tabs>
                <w:tab w:val="left" w:pos="810"/>
              </w:tabs>
              <w:ind w:left="66" w:firstLine="0"/>
            </w:pPr>
            <w:r w:rsidRPr="00EF7423">
              <w:rPr>
                <w:color w:val="000000"/>
              </w:rPr>
              <w:t xml:space="preserve">This work area provides scientific and technical guidance on the key pressures on wetlands, including the current and projected impacts of climate change, drawing from the latest international assessments. TWA 3 aims to provide Contracting Parties with information to enable adaptation and resilience-building measures for wetlands, promoting nature-based solutions or ecosystem-based approaches to protect ecosystem </w:t>
            </w:r>
            <w:r w:rsidRPr="00EF7423">
              <w:rPr>
                <w:color w:val="000000"/>
              </w:rPr>
              <w:lastRenderedPageBreak/>
              <w:t>services under changing climate conditions and other direct pressures, including agricultural expansion, pollution, and urban development.</w:t>
            </w:r>
          </w:p>
        </w:tc>
      </w:tr>
    </w:tbl>
    <w:p w14:paraId="3E21AED7" w14:textId="77777777" w:rsidR="0051619C" w:rsidRPr="0051619C" w:rsidRDefault="0051619C" w:rsidP="0051619C">
      <w:pPr>
        <w:tabs>
          <w:tab w:val="left" w:pos="810"/>
        </w:tabs>
        <w:spacing w:line="240" w:lineRule="auto"/>
        <w:rPr>
          <w:lang w:val="en-US"/>
        </w:rPr>
      </w:pPr>
    </w:p>
    <w:p w14:paraId="2D3D54AF" w14:textId="77777777" w:rsidR="0051619C" w:rsidRPr="0051619C" w:rsidRDefault="0051619C" w:rsidP="0051619C">
      <w:pPr>
        <w:keepNext/>
        <w:tabs>
          <w:tab w:val="left" w:pos="810"/>
        </w:tabs>
        <w:spacing w:line="240" w:lineRule="auto"/>
        <w:ind w:left="810" w:hanging="810"/>
        <w:rPr>
          <w:lang w:val="en-US"/>
        </w:rPr>
      </w:pPr>
      <w:r w:rsidRPr="0051619C">
        <w:rPr>
          <w:b/>
          <w:lang w:val="en-US"/>
        </w:rPr>
        <w:t>TWA 4.</w:t>
      </w:r>
      <w:r w:rsidRPr="0051619C">
        <w:rPr>
          <w:b/>
          <w:lang w:val="en-US"/>
        </w:rPr>
        <w:tab/>
      </w:r>
      <w:r w:rsidRPr="0051619C">
        <w:rPr>
          <w:lang w:val="en-US"/>
        </w:rPr>
        <w:t xml:space="preserve">Wise use, sustainable management and restoration of wetlands in the wider landscape/seascape. </w:t>
      </w:r>
    </w:p>
    <w:p w14:paraId="24E68A9A" w14:textId="77777777" w:rsidR="0051619C" w:rsidRPr="0051619C" w:rsidRDefault="0051619C" w:rsidP="0051619C">
      <w:pPr>
        <w:keepNext/>
        <w:tabs>
          <w:tab w:val="left" w:pos="810"/>
        </w:tabs>
        <w:spacing w:line="240" w:lineRule="auto"/>
        <w:rPr>
          <w:lang w:val="en-US"/>
        </w:rPr>
      </w:pPr>
    </w:p>
    <w:tbl>
      <w:tblPr>
        <w:tblStyle w:val="TableGrid"/>
        <w:tblW w:w="0" w:type="auto"/>
        <w:tblInd w:w="805" w:type="dxa"/>
        <w:tblLook w:val="04A0" w:firstRow="1" w:lastRow="0" w:firstColumn="1" w:lastColumn="0" w:noHBand="0" w:noVBand="1"/>
      </w:tblPr>
      <w:tblGrid>
        <w:gridCol w:w="8211"/>
      </w:tblGrid>
      <w:tr w:rsidR="0051619C" w:rsidRPr="00C91E5F" w14:paraId="6DB7F5CB" w14:textId="77777777">
        <w:tc>
          <w:tcPr>
            <w:tcW w:w="8545" w:type="dxa"/>
          </w:tcPr>
          <w:p w14:paraId="3B60054C" w14:textId="77777777" w:rsidR="0051619C" w:rsidRPr="00390F83" w:rsidRDefault="0051619C">
            <w:pPr>
              <w:tabs>
                <w:tab w:val="left" w:pos="810"/>
              </w:tabs>
              <w:ind w:left="66" w:firstLine="0"/>
            </w:pPr>
            <w:r w:rsidRPr="00EF7423">
              <w:rPr>
                <w:color w:val="000000"/>
              </w:rPr>
              <w:t>This work area will support Contracting Parties in implementing actions that promote the wise use and sustainable management of wetlands</w:t>
            </w:r>
            <w:r>
              <w:rPr>
                <w:color w:val="000000"/>
              </w:rPr>
              <w:t xml:space="preserve">, </w:t>
            </w:r>
            <w:r w:rsidRPr="00EF7423">
              <w:rPr>
                <w:color w:val="000000"/>
              </w:rPr>
              <w:t>restoration</w:t>
            </w:r>
            <w:r>
              <w:rPr>
                <w:rFonts w:asciiTheme="minorHAnsi" w:hAnsiTheme="minorHAnsi" w:cstheme="minorHAnsi"/>
                <w:color w:val="000000"/>
              </w:rPr>
              <w:t xml:space="preserve">, and </w:t>
            </w:r>
            <w:r w:rsidRPr="00414FF8">
              <w:rPr>
                <w:rFonts w:asciiTheme="minorHAnsi" w:hAnsiTheme="minorHAnsi" w:cstheme="minorHAnsi"/>
                <w:color w:val="000000"/>
              </w:rPr>
              <w:t xml:space="preserve">livelihoods of </w:t>
            </w:r>
            <w:r>
              <w:rPr>
                <w:rFonts w:asciiTheme="minorHAnsi" w:hAnsiTheme="minorHAnsi" w:cstheme="minorHAnsi"/>
                <w:color w:val="000000"/>
              </w:rPr>
              <w:t xml:space="preserve">local </w:t>
            </w:r>
            <w:r w:rsidRPr="00414FF8">
              <w:rPr>
                <w:rFonts w:asciiTheme="minorHAnsi" w:hAnsiTheme="minorHAnsi" w:cstheme="minorHAnsi"/>
                <w:color w:val="000000"/>
              </w:rPr>
              <w:t>communities</w:t>
            </w:r>
            <w:r w:rsidRPr="00EF7423">
              <w:rPr>
                <w:color w:val="000000"/>
              </w:rPr>
              <w:t>. TWA 4 includes assessing options for transformative change to achieve wetland wise use in alignment with sustainable development goals and supporting the integration of wetlands into national development strategies. Future activities include guidance to enhance the role of wetlands in disaster risk reduction, promote food security, and enable wetland restoration.</w:t>
            </w:r>
          </w:p>
        </w:tc>
      </w:tr>
    </w:tbl>
    <w:p w14:paraId="455D6DFF" w14:textId="77777777" w:rsidR="0051619C" w:rsidRPr="0051619C" w:rsidRDefault="0051619C" w:rsidP="0051619C">
      <w:pPr>
        <w:tabs>
          <w:tab w:val="left" w:pos="810"/>
        </w:tabs>
        <w:spacing w:line="240" w:lineRule="auto"/>
        <w:rPr>
          <w:lang w:val="en-US"/>
        </w:rPr>
      </w:pPr>
    </w:p>
    <w:p w14:paraId="2C51B637" w14:textId="5903476B" w:rsidR="0051619C" w:rsidRPr="0051619C" w:rsidRDefault="0051619C" w:rsidP="0051619C">
      <w:pPr>
        <w:tabs>
          <w:tab w:val="left" w:pos="810"/>
        </w:tabs>
        <w:spacing w:line="240" w:lineRule="auto"/>
        <w:ind w:left="810" w:hanging="810"/>
        <w:rPr>
          <w:lang w:val="en-US"/>
        </w:rPr>
      </w:pPr>
      <w:r w:rsidRPr="0051619C">
        <w:rPr>
          <w:b/>
          <w:lang w:val="en-US"/>
        </w:rPr>
        <w:t>TWA 5.</w:t>
      </w:r>
      <w:r w:rsidRPr="0051619C">
        <w:rPr>
          <w:lang w:val="en-US"/>
        </w:rPr>
        <w:tab/>
        <w:t>Cross cutting issues, Global Wetland Outlook (GWO), supporting functions, and synergies with other Multilateral Environmental Agreements (MEAs).</w:t>
      </w:r>
    </w:p>
    <w:p w14:paraId="55C82901" w14:textId="77777777" w:rsidR="0051619C" w:rsidRPr="0051619C" w:rsidRDefault="0051619C" w:rsidP="0051619C">
      <w:pPr>
        <w:tabs>
          <w:tab w:val="left" w:pos="810"/>
        </w:tabs>
        <w:spacing w:line="240" w:lineRule="auto"/>
        <w:ind w:left="810" w:hanging="810"/>
        <w:rPr>
          <w:lang w:val="en-US"/>
        </w:rPr>
      </w:pPr>
    </w:p>
    <w:tbl>
      <w:tblPr>
        <w:tblStyle w:val="TableGrid"/>
        <w:tblW w:w="0" w:type="auto"/>
        <w:tblInd w:w="805" w:type="dxa"/>
        <w:tblLook w:val="04A0" w:firstRow="1" w:lastRow="0" w:firstColumn="1" w:lastColumn="0" w:noHBand="0" w:noVBand="1"/>
      </w:tblPr>
      <w:tblGrid>
        <w:gridCol w:w="8211"/>
      </w:tblGrid>
      <w:tr w:rsidR="0051619C" w:rsidRPr="00C91E5F" w14:paraId="18681D75" w14:textId="77777777">
        <w:tc>
          <w:tcPr>
            <w:tcW w:w="8545" w:type="dxa"/>
          </w:tcPr>
          <w:p w14:paraId="7ADA0113" w14:textId="77777777" w:rsidR="0051619C" w:rsidRPr="00390F83" w:rsidRDefault="0051619C">
            <w:pPr>
              <w:tabs>
                <w:tab w:val="left" w:pos="810"/>
              </w:tabs>
              <w:ind w:left="66" w:firstLine="0"/>
            </w:pPr>
            <w:r w:rsidRPr="00EF7423">
              <w:rPr>
                <w:color w:val="000000"/>
              </w:rPr>
              <w:t>This work area will address cross-cutting issues that impact wetland conservation, report on the global status of wetlands (Global Wetland Outlook), and provide technical guidance to facilitate synergies with other multilateral environmental agreements (MEAs). TWA 5 will provide information to support Contracting Parties in applying effective approaches for wetland conservation, restoration, and wise use and promote integrated reporting mechanisms with various international frameworks, including the SDGs and KM-GBF.</w:t>
            </w:r>
          </w:p>
        </w:tc>
      </w:tr>
    </w:tbl>
    <w:p w14:paraId="6D3EC62D" w14:textId="77777777" w:rsidR="0051619C" w:rsidRPr="0051619C" w:rsidRDefault="0051619C" w:rsidP="0051619C">
      <w:pPr>
        <w:spacing w:line="240" w:lineRule="auto"/>
        <w:rPr>
          <w:lang w:val="en-US"/>
        </w:rPr>
      </w:pPr>
    </w:p>
    <w:p w14:paraId="1C45A0CA" w14:textId="77777777" w:rsidR="0051619C" w:rsidRPr="0051619C" w:rsidRDefault="0051619C" w:rsidP="0051619C">
      <w:pPr>
        <w:spacing w:line="240" w:lineRule="auto"/>
        <w:rPr>
          <w:lang w:val="en-US"/>
        </w:rPr>
      </w:pPr>
    </w:p>
    <w:p w14:paraId="36362359" w14:textId="77777777" w:rsidR="0051619C" w:rsidRPr="0051619C" w:rsidRDefault="0051619C" w:rsidP="0051619C">
      <w:pPr>
        <w:spacing w:line="240" w:lineRule="auto"/>
        <w:ind w:left="360"/>
        <w:rPr>
          <w:lang w:val="en-US"/>
        </w:rPr>
        <w:sectPr w:rsidR="0051619C" w:rsidRPr="0051619C" w:rsidSect="00035943">
          <w:footerReference w:type="default" r:id="rId12"/>
          <w:pgSz w:w="11906" w:h="16838" w:code="9"/>
          <w:pgMar w:top="1440" w:right="1440" w:bottom="1440" w:left="1440" w:header="720" w:footer="720" w:gutter="0"/>
          <w:cols w:space="720"/>
          <w:titlePg/>
          <w:docGrid w:linePitch="360"/>
        </w:sectPr>
      </w:pPr>
    </w:p>
    <w:p w14:paraId="55F6EF7D" w14:textId="066F499A" w:rsidR="0051619C" w:rsidRPr="0051619C" w:rsidRDefault="0051619C" w:rsidP="0051619C">
      <w:pPr>
        <w:spacing w:line="240" w:lineRule="auto"/>
        <w:rPr>
          <w:b/>
          <w:lang w:val="en-US"/>
        </w:rPr>
      </w:pPr>
      <w:r w:rsidRPr="0051619C">
        <w:rPr>
          <w:b/>
          <w:lang w:val="en-US"/>
        </w:rPr>
        <w:lastRenderedPageBreak/>
        <w:t>Prioritized STRP tasks for the 202</w:t>
      </w:r>
      <w:r w:rsidR="004253DD">
        <w:rPr>
          <w:b/>
          <w:lang w:val="en-US"/>
        </w:rPr>
        <w:t>5</w:t>
      </w:r>
      <w:r w:rsidRPr="0051619C">
        <w:rPr>
          <w:b/>
          <w:lang w:val="en-US"/>
        </w:rPr>
        <w:t xml:space="preserve">-2028 triennium </w:t>
      </w:r>
    </w:p>
    <w:p w14:paraId="7D4E664C" w14:textId="77777777" w:rsidR="0051619C" w:rsidRPr="0051619C" w:rsidRDefault="0051619C" w:rsidP="0051619C">
      <w:pPr>
        <w:spacing w:line="240" w:lineRule="auto"/>
        <w:ind w:left="432" w:hanging="432"/>
        <w:rPr>
          <w:lang w:val="en-US"/>
        </w:rPr>
      </w:pPr>
    </w:p>
    <w:p w14:paraId="43B77449" w14:textId="77777777" w:rsidR="0051619C" w:rsidRPr="0051619C" w:rsidRDefault="0051619C" w:rsidP="0051619C">
      <w:pPr>
        <w:spacing w:line="240" w:lineRule="auto"/>
        <w:ind w:left="432" w:hanging="432"/>
        <w:rPr>
          <w:lang w:val="en-US"/>
        </w:rPr>
      </w:pPr>
      <w:r w:rsidRPr="0051619C">
        <w:rPr>
          <w:lang w:val="en-US"/>
        </w:rPr>
        <w:t>3.</w:t>
      </w:r>
      <w:r w:rsidRPr="0051619C">
        <w:rPr>
          <w:lang w:val="en-US"/>
        </w:rPr>
        <w:tab/>
        <w:t>Each STRP task is assigned to the most relevant TWA, although some tasks will likely contribute to the delivery of work under multiple TWAs. The likely type(s) of output(s)/product(s) are also listed for each task, but these may change as the scope of the work is defined further as the work progresses.</w:t>
      </w:r>
    </w:p>
    <w:p w14:paraId="6FF4E5F7" w14:textId="77777777" w:rsidR="0051619C" w:rsidRPr="0051619C" w:rsidRDefault="0051619C" w:rsidP="0051619C">
      <w:pPr>
        <w:spacing w:line="240" w:lineRule="auto"/>
        <w:rPr>
          <w:lang w:val="en-US"/>
        </w:rPr>
      </w:pPr>
    </w:p>
    <w:tbl>
      <w:tblPr>
        <w:tblW w:w="0" w:type="auto"/>
        <w:tblLayout w:type="fixed"/>
        <w:tblLook w:val="0400" w:firstRow="0" w:lastRow="0" w:firstColumn="0" w:lastColumn="0" w:noHBand="0" w:noVBand="1"/>
      </w:tblPr>
      <w:tblGrid>
        <w:gridCol w:w="2967"/>
        <w:gridCol w:w="5663"/>
        <w:gridCol w:w="7"/>
        <w:gridCol w:w="1418"/>
        <w:gridCol w:w="1913"/>
        <w:gridCol w:w="1914"/>
      </w:tblGrid>
      <w:tr w:rsidR="0051619C" w:rsidRPr="00390F83" w14:paraId="52EF8073" w14:textId="77777777">
        <w:trPr>
          <w:tblHeader/>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1271F95" w14:textId="77777777" w:rsidR="0051619C" w:rsidRPr="00390F83" w:rsidRDefault="0051619C">
            <w:pPr>
              <w:spacing w:before="60" w:after="60" w:line="240" w:lineRule="auto"/>
              <w:rPr>
                <w:b/>
                <w:color w:val="000000"/>
              </w:rPr>
            </w:pPr>
            <w:r w:rsidRPr="00390F83">
              <w:rPr>
                <w:b/>
                <w:color w:val="000000"/>
              </w:rPr>
              <w:t>STRP task</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F34B80" w14:textId="77777777" w:rsidR="0051619C" w:rsidRPr="00390F83" w:rsidRDefault="0051619C">
            <w:pPr>
              <w:spacing w:before="60" w:after="60" w:line="240" w:lineRule="auto"/>
              <w:rPr>
                <w:b/>
              </w:rPr>
            </w:pPr>
            <w:r w:rsidRPr="00390F83">
              <w:rPr>
                <w:b/>
              </w:rPr>
              <w:t>Description</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4A46C6E" w14:textId="77777777" w:rsidR="0051619C" w:rsidRPr="00390F83" w:rsidRDefault="0051619C">
            <w:pPr>
              <w:spacing w:before="60" w:after="60" w:line="240" w:lineRule="auto"/>
              <w:rPr>
                <w:b/>
                <w:color w:val="000000"/>
              </w:rPr>
            </w:pPr>
            <w:r w:rsidRPr="00390F83">
              <w:rPr>
                <w:b/>
                <w:color w:val="000000"/>
              </w:rPr>
              <w:t>Timeframe</w:t>
            </w:r>
          </w:p>
        </w:tc>
        <w:tc>
          <w:tcPr>
            <w:tcW w:w="19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2E0866A" w14:textId="77777777" w:rsidR="0051619C" w:rsidRPr="00390F83" w:rsidRDefault="0051619C">
            <w:pPr>
              <w:spacing w:before="60" w:after="60" w:line="240" w:lineRule="auto"/>
            </w:pPr>
            <w:r w:rsidRPr="00390F83">
              <w:rPr>
                <w:b/>
                <w:color w:val="000000"/>
              </w:rPr>
              <w:t>Output(s)</w:t>
            </w:r>
          </w:p>
        </w:tc>
        <w:tc>
          <w:tcPr>
            <w:tcW w:w="19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A914ACE" w14:textId="77777777" w:rsidR="0051619C" w:rsidRPr="00390F83" w:rsidRDefault="0051619C">
            <w:pPr>
              <w:spacing w:before="60" w:after="60" w:line="240" w:lineRule="auto"/>
              <w:rPr>
                <w:b/>
                <w:color w:val="000000"/>
              </w:rPr>
            </w:pPr>
            <w:r w:rsidRPr="00390F83">
              <w:rPr>
                <w:b/>
                <w:color w:val="000000"/>
              </w:rPr>
              <w:t>Mandate(s)</w:t>
            </w:r>
          </w:p>
        </w:tc>
      </w:tr>
      <w:tr w:rsidR="0051619C" w:rsidRPr="00C91E5F" w14:paraId="5CF4F1F9" w14:textId="77777777">
        <w:tc>
          <w:tcPr>
            <w:tcW w:w="1388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91F9DC9" w14:textId="77777777" w:rsidR="0051619C" w:rsidRPr="0051619C" w:rsidRDefault="0051619C">
            <w:pPr>
              <w:spacing w:before="60" w:after="60" w:line="240" w:lineRule="auto"/>
              <w:rPr>
                <w:color w:val="000000" w:themeColor="text1"/>
                <w:lang w:val="en-US"/>
              </w:rPr>
            </w:pPr>
            <w:r w:rsidRPr="0051619C">
              <w:rPr>
                <w:b/>
                <w:color w:val="000000" w:themeColor="text1"/>
                <w:lang w:val="en-US"/>
              </w:rPr>
              <w:t>TWA 1: Wetlands of International Importance, development of the Site network and application of criteria.</w:t>
            </w:r>
          </w:p>
        </w:tc>
      </w:tr>
      <w:tr w:rsidR="0051619C" w:rsidRPr="00C91E5F" w14:paraId="3A4042A5" w14:textId="77777777">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F3C203" w14:textId="77777777" w:rsidR="0051619C" w:rsidRPr="0051619C" w:rsidRDefault="0051619C">
            <w:pPr>
              <w:spacing w:before="60" w:after="60" w:line="240" w:lineRule="auto"/>
              <w:rPr>
                <w:color w:val="000000" w:themeColor="text1"/>
                <w:lang w:val="en-US"/>
              </w:rPr>
            </w:pPr>
            <w:r w:rsidRPr="0051619C">
              <w:rPr>
                <w:b/>
                <w:bCs/>
                <w:color w:val="000000" w:themeColor="text1"/>
                <w:lang w:val="en-US"/>
              </w:rPr>
              <w:t>Task 1.1.</w:t>
            </w:r>
            <w:r w:rsidRPr="0051619C">
              <w:rPr>
                <w:color w:val="000000" w:themeColor="text1"/>
                <w:lang w:val="en-US"/>
              </w:rPr>
              <w:t xml:space="preserve"> Scientific and technical support towards effective monitoring and reporting on the ecological character of Wetlands of International Importance in the Ramsar Information Sheet (RIS).</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66BDCA" w14:textId="77777777" w:rsidR="0051619C" w:rsidRPr="0051619C" w:rsidRDefault="0051619C">
            <w:pPr>
              <w:spacing w:before="60" w:after="60" w:line="240" w:lineRule="auto"/>
              <w:rPr>
                <w:lang w:val="en-US"/>
              </w:rPr>
            </w:pPr>
            <w:r w:rsidRPr="0051619C">
              <w:rPr>
                <w:lang w:val="en-US"/>
              </w:rPr>
              <w:t>Task 1.1. will update guidance on assessing and reporting the ecological character (and changes in ecological character) of Wetlands of International Importance (Ramsar Sites),</w:t>
            </w:r>
            <w:r w:rsidRPr="0051619C">
              <w:rPr>
                <w:color w:val="000000" w:themeColor="text1"/>
                <w:lang w:val="en-US"/>
              </w:rPr>
              <w:t xml:space="preserve"> including impacts of climate change on ecological character.</w:t>
            </w:r>
          </w:p>
          <w:p w14:paraId="2D8BB9E9" w14:textId="6370E4C7" w:rsidR="0051619C" w:rsidRPr="0051619C" w:rsidRDefault="0051619C" w:rsidP="000B4142">
            <w:pPr>
              <w:spacing w:before="60" w:after="60" w:line="240" w:lineRule="auto"/>
              <w:rPr>
                <w:lang w:val="en-US"/>
              </w:rPr>
            </w:pPr>
            <w:r w:rsidRPr="0051619C">
              <w:rPr>
                <w:lang w:val="en-US"/>
              </w:rPr>
              <w:t xml:space="preserve">This work will also </w:t>
            </w:r>
            <w:r w:rsidR="000B4142" w:rsidRPr="000B4142">
              <w:rPr>
                <w:lang w:val="en-US"/>
              </w:rPr>
              <w:t>encompass scientific and technical advice regarding RIS updating, including input to possible WG established on this topic</w:t>
            </w:r>
            <w:r w:rsidRPr="0051619C">
              <w:rPr>
                <w:lang w:val="en-US"/>
              </w:rPr>
              <w:t>, subject to the availability of resources.</w:t>
            </w:r>
          </w:p>
        </w:tc>
        <w:tc>
          <w:tcPr>
            <w:tcW w:w="1418" w:type="dxa"/>
            <w:tcBorders>
              <w:top w:val="nil"/>
              <w:left w:val="single" w:sz="8" w:space="0" w:color="000000" w:themeColor="text1"/>
              <w:bottom w:val="single" w:sz="8" w:space="0" w:color="000000" w:themeColor="text1"/>
              <w:right w:val="single" w:sz="8" w:space="0" w:color="000000" w:themeColor="text1"/>
            </w:tcBorders>
          </w:tcPr>
          <w:p w14:paraId="6467FD14" w14:textId="76675389" w:rsidR="0051619C" w:rsidRPr="00390F83" w:rsidRDefault="004253DD">
            <w:pPr>
              <w:spacing w:before="60" w:after="60" w:line="240" w:lineRule="auto"/>
            </w:pPr>
            <w:r>
              <w:t>2025-2028</w:t>
            </w:r>
          </w:p>
        </w:tc>
        <w:tc>
          <w:tcPr>
            <w:tcW w:w="1913" w:type="dxa"/>
            <w:tcBorders>
              <w:top w:val="nil"/>
              <w:left w:val="single" w:sz="8" w:space="0" w:color="000000" w:themeColor="text1"/>
              <w:bottom w:val="single" w:sz="8" w:space="0" w:color="000000" w:themeColor="text1"/>
              <w:right w:val="single" w:sz="8" w:space="0" w:color="000000" w:themeColor="text1"/>
            </w:tcBorders>
          </w:tcPr>
          <w:p w14:paraId="0464D584" w14:textId="77777777" w:rsidR="0051619C" w:rsidRPr="0051619C" w:rsidRDefault="0051619C">
            <w:pPr>
              <w:spacing w:before="60" w:after="60" w:line="240" w:lineRule="auto"/>
              <w:rPr>
                <w:lang w:val="en-US"/>
              </w:rPr>
            </w:pPr>
            <w:r w:rsidRPr="0051619C">
              <w:rPr>
                <w:lang w:val="en-US"/>
              </w:rPr>
              <w:t>Revisions to Strategic Framework and RIS</w:t>
            </w:r>
          </w:p>
        </w:tc>
        <w:tc>
          <w:tcPr>
            <w:tcW w:w="1914" w:type="dxa"/>
            <w:tcBorders>
              <w:top w:val="nil"/>
              <w:left w:val="single" w:sz="8" w:space="0" w:color="000000" w:themeColor="text1"/>
              <w:bottom w:val="single" w:sz="8" w:space="0" w:color="000000" w:themeColor="text1"/>
              <w:right w:val="single" w:sz="8" w:space="0" w:color="000000" w:themeColor="text1"/>
            </w:tcBorders>
          </w:tcPr>
          <w:p w14:paraId="2B5FD5FD" w14:textId="77777777" w:rsidR="0051619C" w:rsidRPr="0051619C" w:rsidRDefault="0051619C">
            <w:pPr>
              <w:spacing w:before="60" w:after="60" w:line="240" w:lineRule="auto"/>
              <w:rPr>
                <w:lang w:val="en-US"/>
              </w:rPr>
            </w:pPr>
            <w:r w:rsidRPr="0051619C">
              <w:rPr>
                <w:lang w:val="en-US"/>
              </w:rPr>
              <w:t>Doc. SC63.19 (Para. 19-21 &amp; Annex 2).</w:t>
            </w:r>
          </w:p>
          <w:p w14:paraId="16A104C2" w14:textId="77777777" w:rsidR="0051619C" w:rsidRPr="0051619C" w:rsidRDefault="0051619C">
            <w:pPr>
              <w:spacing w:before="60" w:after="60" w:line="240" w:lineRule="auto"/>
              <w:rPr>
                <w:lang w:val="en-US"/>
              </w:rPr>
            </w:pPr>
            <w:r w:rsidRPr="0051619C">
              <w:rPr>
                <w:lang w:val="en-US"/>
              </w:rPr>
              <w:t>Report and Decisions of the 63rd Meeting of the Standing Committee.</w:t>
            </w:r>
          </w:p>
        </w:tc>
      </w:tr>
      <w:tr w:rsidR="0051619C" w:rsidRPr="00C91E5F" w14:paraId="4384A829" w14:textId="77777777">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49884F" w14:textId="77777777" w:rsidR="0051619C" w:rsidRPr="0051619C" w:rsidRDefault="0051619C">
            <w:pPr>
              <w:spacing w:before="60" w:after="60" w:line="240" w:lineRule="auto"/>
              <w:rPr>
                <w:color w:val="000000" w:themeColor="text1"/>
                <w:lang w:val="en-US"/>
              </w:rPr>
            </w:pPr>
            <w:r w:rsidRPr="0051619C">
              <w:rPr>
                <w:b/>
                <w:bCs/>
                <w:color w:val="000000" w:themeColor="text1"/>
                <w:lang w:val="en-US"/>
              </w:rPr>
              <w:t>Task 1.2.</w:t>
            </w:r>
            <w:r w:rsidRPr="0051619C">
              <w:rPr>
                <w:color w:val="000000" w:themeColor="text1"/>
                <w:lang w:val="en-US"/>
              </w:rPr>
              <w:t xml:space="preserve"> Global assessment of gaps in the network of Wetlands of International Importance, and synergies with global climate, biodiversity and sustainable development goals.</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FF2CC4" w14:textId="77777777" w:rsidR="0051619C" w:rsidRPr="0051619C" w:rsidRDefault="0051619C">
            <w:pPr>
              <w:spacing w:before="60" w:after="60" w:line="240" w:lineRule="auto"/>
              <w:rPr>
                <w:lang w:val="en-US"/>
              </w:rPr>
            </w:pPr>
            <w:r w:rsidRPr="0051619C">
              <w:rPr>
                <w:lang w:val="en-US"/>
              </w:rPr>
              <w:t>Task 1.2. will carry out a global assessment to identify under-represented wetland types, including associated biodiversity and habitats across biogeographic regions (including transboundary wetlands), and consider changes in wetland ecological character, drawing on-site details in the Ramsar Sites Information Service (RSIS) and other relevant sources in order to highlight to Contracting Parties opportunities for enhanced designation of Wetlands of International Importance towards biodiversity, climate and sustainable development goals.</w:t>
            </w:r>
          </w:p>
        </w:tc>
        <w:tc>
          <w:tcPr>
            <w:tcW w:w="1418" w:type="dxa"/>
            <w:tcBorders>
              <w:top w:val="nil"/>
              <w:left w:val="single" w:sz="8" w:space="0" w:color="000000" w:themeColor="text1"/>
              <w:bottom w:val="single" w:sz="8" w:space="0" w:color="000000" w:themeColor="text1"/>
              <w:right w:val="single" w:sz="8" w:space="0" w:color="000000" w:themeColor="text1"/>
            </w:tcBorders>
          </w:tcPr>
          <w:p w14:paraId="596554E3" w14:textId="74FCB09E" w:rsidR="0051619C" w:rsidRPr="00390F83" w:rsidRDefault="004253DD">
            <w:pPr>
              <w:spacing w:before="60" w:after="60" w:line="240" w:lineRule="auto"/>
            </w:pPr>
            <w:r>
              <w:t>2025-2028</w:t>
            </w:r>
          </w:p>
        </w:tc>
        <w:tc>
          <w:tcPr>
            <w:tcW w:w="1913" w:type="dxa"/>
            <w:tcBorders>
              <w:top w:val="nil"/>
              <w:left w:val="single" w:sz="8" w:space="0" w:color="000000" w:themeColor="text1"/>
              <w:bottom w:val="single" w:sz="8" w:space="0" w:color="000000" w:themeColor="text1"/>
              <w:right w:val="single" w:sz="8" w:space="0" w:color="000000" w:themeColor="text1"/>
            </w:tcBorders>
          </w:tcPr>
          <w:p w14:paraId="1F7661B5" w14:textId="77777777" w:rsidR="0051619C" w:rsidRPr="0051619C" w:rsidRDefault="0051619C">
            <w:pPr>
              <w:spacing w:before="60" w:after="60" w:line="240" w:lineRule="auto"/>
              <w:rPr>
                <w:lang w:val="en-US"/>
              </w:rPr>
            </w:pPr>
            <w:r w:rsidRPr="0051619C">
              <w:rPr>
                <w:lang w:val="en-US"/>
              </w:rPr>
              <w:t>Technical Report and/or Briefing Note.</w:t>
            </w:r>
          </w:p>
        </w:tc>
        <w:tc>
          <w:tcPr>
            <w:tcW w:w="1914" w:type="dxa"/>
            <w:tcBorders>
              <w:top w:val="nil"/>
              <w:left w:val="single" w:sz="8" w:space="0" w:color="000000" w:themeColor="text1"/>
              <w:bottom w:val="single" w:sz="8" w:space="0" w:color="000000" w:themeColor="text1"/>
              <w:right w:val="single" w:sz="8" w:space="0" w:color="000000" w:themeColor="text1"/>
            </w:tcBorders>
          </w:tcPr>
          <w:p w14:paraId="1B8F1D0C" w14:textId="77777777" w:rsidR="0051619C" w:rsidRPr="00390F83" w:rsidRDefault="0051619C">
            <w:pPr>
              <w:spacing w:before="60" w:after="60" w:line="240" w:lineRule="auto"/>
            </w:pPr>
            <w:r w:rsidRPr="00390F83">
              <w:t xml:space="preserve">Res. XII.5, </w:t>
            </w:r>
          </w:p>
          <w:p w14:paraId="5C5A02FD" w14:textId="77777777" w:rsidR="0051619C" w:rsidRPr="00390F83" w:rsidRDefault="0051619C">
            <w:pPr>
              <w:spacing w:before="60" w:after="60" w:line="240" w:lineRule="auto"/>
            </w:pPr>
            <w:r w:rsidRPr="00390F83">
              <w:t>Annex 1.</w:t>
            </w:r>
          </w:p>
          <w:p w14:paraId="04319581" w14:textId="77777777" w:rsidR="0051619C" w:rsidRPr="00390F83" w:rsidRDefault="0051619C">
            <w:pPr>
              <w:spacing w:before="60" w:after="60" w:line="240" w:lineRule="auto"/>
            </w:pPr>
            <w:r w:rsidRPr="00390F83">
              <w:t xml:space="preserve">Res. </w:t>
            </w:r>
          </w:p>
          <w:p w14:paraId="7D41376C" w14:textId="77777777" w:rsidR="0051619C" w:rsidRPr="00390F83" w:rsidRDefault="0051619C">
            <w:pPr>
              <w:spacing w:before="60" w:after="60" w:line="240" w:lineRule="auto"/>
            </w:pPr>
            <w:r w:rsidRPr="00390F83">
              <w:t>XIV.14, Annex 2</w:t>
            </w:r>
          </w:p>
          <w:p w14:paraId="49F827F7" w14:textId="77777777" w:rsidR="0051619C" w:rsidRPr="0051619C" w:rsidRDefault="0051619C">
            <w:pPr>
              <w:spacing w:before="60" w:after="60" w:line="240" w:lineRule="auto"/>
              <w:rPr>
                <w:lang w:val="en-US"/>
              </w:rPr>
            </w:pPr>
            <w:r w:rsidRPr="0051619C">
              <w:rPr>
                <w:lang w:val="en-US"/>
              </w:rPr>
              <w:t>Res. XIV.6, Para. 38</w:t>
            </w:r>
          </w:p>
          <w:p w14:paraId="502200C7" w14:textId="77777777" w:rsidR="0051619C" w:rsidRPr="0051619C" w:rsidRDefault="0051619C">
            <w:pPr>
              <w:spacing w:before="60" w:after="60" w:line="240" w:lineRule="auto"/>
              <w:rPr>
                <w:lang w:val="en-US"/>
              </w:rPr>
            </w:pPr>
            <w:r w:rsidRPr="0051619C">
              <w:rPr>
                <w:lang w:val="en-US"/>
              </w:rPr>
              <w:t>Continuation from STRP 2023-25 work plan (Pre-SC62 Intersessional Decision 04).</w:t>
            </w:r>
          </w:p>
        </w:tc>
      </w:tr>
      <w:tr w:rsidR="0051619C" w:rsidRPr="00C91E5F" w14:paraId="0EDEE15E" w14:textId="77777777">
        <w:tc>
          <w:tcPr>
            <w:tcW w:w="1388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3340CE0" w14:textId="77777777" w:rsidR="0051619C" w:rsidRPr="0051619C" w:rsidRDefault="0051619C">
            <w:pPr>
              <w:keepNext/>
              <w:spacing w:before="60" w:after="60" w:line="240" w:lineRule="auto"/>
              <w:rPr>
                <w:b/>
                <w:color w:val="000000"/>
                <w:lang w:val="en-US"/>
              </w:rPr>
            </w:pPr>
            <w:r w:rsidRPr="0051619C">
              <w:rPr>
                <w:b/>
                <w:color w:val="000000"/>
                <w:lang w:val="en-US"/>
              </w:rPr>
              <w:lastRenderedPageBreak/>
              <w:t>TWA 2: Tools for wetland assessment, mapping and monitoring, and development of inventories.</w:t>
            </w:r>
          </w:p>
        </w:tc>
      </w:tr>
      <w:tr w:rsidR="0051619C" w:rsidRPr="00C91E5F" w14:paraId="4A505F07" w14:textId="77777777">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788D85" w14:textId="1D10955C" w:rsidR="0051619C" w:rsidRPr="0051619C" w:rsidRDefault="0051619C">
            <w:pPr>
              <w:spacing w:before="60" w:after="60" w:line="240" w:lineRule="auto"/>
              <w:rPr>
                <w:color w:val="000000"/>
                <w:lang w:val="en-US"/>
              </w:rPr>
            </w:pPr>
            <w:r w:rsidRPr="0051619C">
              <w:rPr>
                <w:b/>
                <w:bCs/>
                <w:color w:val="000000" w:themeColor="text1"/>
                <w:lang w:val="en-US"/>
              </w:rPr>
              <w:t>Task 2.1.</w:t>
            </w:r>
            <w:r w:rsidRPr="0051619C">
              <w:rPr>
                <w:color w:val="000000" w:themeColor="text1"/>
                <w:lang w:val="en-US"/>
              </w:rPr>
              <w:t xml:space="preserve"> Review of the Convention</w:t>
            </w:r>
            <w:r w:rsidR="00035943">
              <w:rPr>
                <w:color w:val="000000" w:themeColor="text1"/>
                <w:lang w:val="en-US"/>
              </w:rPr>
              <w:t>’</w:t>
            </w:r>
            <w:r w:rsidRPr="0051619C">
              <w:rPr>
                <w:color w:val="000000" w:themeColor="text1"/>
                <w:lang w:val="en-US"/>
              </w:rPr>
              <w:t>s classification system for wetland type.</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D9EDE7" w14:textId="77777777" w:rsidR="0051619C" w:rsidRPr="0051619C" w:rsidRDefault="0051619C">
            <w:pPr>
              <w:spacing w:before="60" w:after="60" w:line="240" w:lineRule="auto"/>
              <w:rPr>
                <w:color w:val="000000"/>
                <w:lang w:val="en-US"/>
              </w:rPr>
            </w:pPr>
            <w:r w:rsidRPr="0051619C">
              <w:rPr>
                <w:color w:val="000000" w:themeColor="text1"/>
                <w:lang w:val="en-US"/>
              </w:rPr>
              <w:t xml:space="preserve">Task 2.1. will undertake a 2-phase review of the classification system of wetland types: </w:t>
            </w:r>
          </w:p>
          <w:p w14:paraId="71886E70" w14:textId="77777777" w:rsidR="0051619C" w:rsidRPr="0051619C" w:rsidRDefault="0051619C" w:rsidP="0051619C">
            <w:pPr>
              <w:pStyle w:val="ListParagraph"/>
              <w:numPr>
                <w:ilvl w:val="0"/>
                <w:numId w:val="3"/>
              </w:numPr>
              <w:spacing w:before="60" w:after="60" w:line="240" w:lineRule="auto"/>
              <w:ind w:left="246" w:hanging="246"/>
              <w:rPr>
                <w:color w:val="000000" w:themeColor="text1"/>
                <w:lang w:val="en-US"/>
              </w:rPr>
            </w:pPr>
            <w:r w:rsidRPr="0051619C">
              <w:rPr>
                <w:color w:val="000000" w:themeColor="text1"/>
                <w:lang w:val="en-US"/>
              </w:rPr>
              <w:t>Phase 1: Initial assessment to determine whether sufficient evidence justifies a comprehensive review. This would clarify why a review is needed, e.g., to meet national and global assessment and reporting purposes.</w:t>
            </w:r>
          </w:p>
          <w:p w14:paraId="1A01AF62" w14:textId="77777777" w:rsidR="0051619C" w:rsidRPr="0051619C" w:rsidRDefault="0051619C" w:rsidP="0051619C">
            <w:pPr>
              <w:pStyle w:val="ListParagraph"/>
              <w:numPr>
                <w:ilvl w:val="0"/>
                <w:numId w:val="3"/>
              </w:numPr>
              <w:spacing w:before="60" w:after="60" w:line="240" w:lineRule="auto"/>
              <w:ind w:left="246" w:hanging="246"/>
              <w:rPr>
                <w:color w:val="000000" w:themeColor="text1"/>
                <w:lang w:val="en-US"/>
              </w:rPr>
            </w:pPr>
            <w:r w:rsidRPr="0051619C">
              <w:rPr>
                <w:color w:val="000000" w:themeColor="text1"/>
                <w:lang w:val="en-US"/>
              </w:rPr>
              <w:t>Phase 2: Undertake a comprehensive assessment to address the issues and opportunities identified during Phase 1.</w:t>
            </w:r>
          </w:p>
          <w:p w14:paraId="4DB1FD45" w14:textId="77777777" w:rsidR="0051619C" w:rsidRPr="0051619C" w:rsidRDefault="0051619C">
            <w:pPr>
              <w:spacing w:before="60" w:after="60" w:line="240" w:lineRule="auto"/>
              <w:rPr>
                <w:color w:val="000000"/>
                <w:lang w:val="en-US"/>
              </w:rPr>
            </w:pPr>
            <w:r w:rsidRPr="0051619C">
              <w:rPr>
                <w:color w:val="000000" w:themeColor="text1"/>
                <w:lang w:val="en-US"/>
              </w:rPr>
              <w:t>Task 2.1 will consider the potential for improving the classification of wetlands, including via minor amendments to enhance harmonization with classification systems used by other MEAs and global and national reporting on wetland extent and condition. It will also consider how national classification schemes may be affected by the proposed review of the classification of wetland types.</w:t>
            </w:r>
          </w:p>
        </w:tc>
        <w:tc>
          <w:tcPr>
            <w:tcW w:w="1418" w:type="dxa"/>
            <w:tcBorders>
              <w:top w:val="nil"/>
              <w:left w:val="single" w:sz="8" w:space="0" w:color="000000" w:themeColor="text1"/>
              <w:bottom w:val="single" w:sz="8" w:space="0" w:color="000000" w:themeColor="text1"/>
              <w:right w:val="single" w:sz="8" w:space="0" w:color="000000" w:themeColor="text1"/>
            </w:tcBorders>
          </w:tcPr>
          <w:p w14:paraId="404E2286" w14:textId="203EBCEC" w:rsidR="0051619C" w:rsidRPr="00390F83" w:rsidRDefault="004253DD">
            <w:pPr>
              <w:spacing w:before="60" w:after="60" w:line="240" w:lineRule="auto"/>
            </w:pPr>
            <w:r>
              <w:t>2025-2028</w:t>
            </w:r>
          </w:p>
        </w:tc>
        <w:tc>
          <w:tcPr>
            <w:tcW w:w="1913" w:type="dxa"/>
            <w:tcBorders>
              <w:top w:val="nil"/>
              <w:left w:val="single" w:sz="8" w:space="0" w:color="000000" w:themeColor="text1"/>
              <w:bottom w:val="single" w:sz="8" w:space="0" w:color="000000" w:themeColor="text1"/>
              <w:right w:val="single" w:sz="8" w:space="0" w:color="000000" w:themeColor="text1"/>
            </w:tcBorders>
          </w:tcPr>
          <w:p w14:paraId="108F3C15" w14:textId="77777777" w:rsidR="0051619C" w:rsidRPr="0051619C" w:rsidRDefault="0051619C">
            <w:pPr>
              <w:spacing w:before="60" w:after="60" w:line="240" w:lineRule="auto"/>
              <w:rPr>
                <w:lang w:val="en-US"/>
              </w:rPr>
            </w:pPr>
            <w:r w:rsidRPr="0051619C">
              <w:rPr>
                <w:lang w:val="en-US"/>
              </w:rPr>
              <w:t>Reports to SC (one report covering phase 1, and one report on phase 2, if applicable).</w:t>
            </w:r>
          </w:p>
          <w:p w14:paraId="6200BD74" w14:textId="77777777" w:rsidR="0051619C" w:rsidRPr="0051619C" w:rsidRDefault="0051619C">
            <w:pPr>
              <w:spacing w:before="60" w:after="60" w:line="240" w:lineRule="auto"/>
              <w:rPr>
                <w:lang w:val="en-US"/>
              </w:rPr>
            </w:pPr>
            <w:r w:rsidRPr="0051619C">
              <w:rPr>
                <w:lang w:val="en-US"/>
              </w:rPr>
              <w:t>If relevant, STRP will prepare a resolution for COP16.</w:t>
            </w:r>
          </w:p>
        </w:tc>
        <w:tc>
          <w:tcPr>
            <w:tcW w:w="1914" w:type="dxa"/>
            <w:tcBorders>
              <w:top w:val="nil"/>
              <w:left w:val="single" w:sz="8" w:space="0" w:color="000000" w:themeColor="text1"/>
              <w:bottom w:val="single" w:sz="8" w:space="0" w:color="000000" w:themeColor="text1"/>
              <w:right w:val="single" w:sz="8" w:space="0" w:color="000000" w:themeColor="text1"/>
            </w:tcBorders>
          </w:tcPr>
          <w:p w14:paraId="51710473" w14:textId="77777777" w:rsidR="0051619C" w:rsidRPr="0051619C" w:rsidRDefault="0051619C">
            <w:pPr>
              <w:spacing w:before="60" w:after="60" w:line="240" w:lineRule="auto"/>
              <w:rPr>
                <w:lang w:val="en-US"/>
              </w:rPr>
            </w:pPr>
            <w:r w:rsidRPr="0051619C">
              <w:rPr>
                <w:lang w:val="en-US"/>
              </w:rPr>
              <w:t>Doc. SC63.19 (Para. 16-18 &amp; Annex 1).</w:t>
            </w:r>
          </w:p>
          <w:p w14:paraId="77C48C89" w14:textId="77777777" w:rsidR="0051619C" w:rsidRPr="0051619C" w:rsidRDefault="0051619C">
            <w:pPr>
              <w:spacing w:before="60" w:after="60" w:line="240" w:lineRule="auto"/>
              <w:rPr>
                <w:color w:val="000000"/>
                <w:lang w:val="en-US"/>
              </w:rPr>
            </w:pPr>
            <w:r w:rsidRPr="0051619C">
              <w:rPr>
                <w:lang w:val="en-US"/>
              </w:rPr>
              <w:t>Report and Decisions of the 63rd Meeting of the Standing Committee</w:t>
            </w:r>
            <w:r w:rsidRPr="0051619C">
              <w:rPr>
                <w:color w:val="000000"/>
                <w:lang w:val="en-US"/>
              </w:rPr>
              <w:t xml:space="preserve"> (Decision SC63-30).</w:t>
            </w:r>
          </w:p>
        </w:tc>
      </w:tr>
      <w:tr w:rsidR="0051619C" w:rsidRPr="00C91E5F" w14:paraId="43E02BAE" w14:textId="77777777">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5A61BE" w14:textId="77777777" w:rsidR="0051619C" w:rsidRPr="0051619C" w:rsidRDefault="0051619C">
            <w:pPr>
              <w:spacing w:before="60" w:after="60" w:line="240" w:lineRule="auto"/>
              <w:rPr>
                <w:color w:val="000000" w:themeColor="text1"/>
                <w:lang w:val="en-US"/>
              </w:rPr>
            </w:pPr>
            <w:r w:rsidRPr="0051619C">
              <w:rPr>
                <w:b/>
                <w:bCs/>
                <w:color w:val="000000" w:themeColor="text1"/>
                <w:lang w:val="en-US"/>
              </w:rPr>
              <w:t>Task 2.2.</w:t>
            </w:r>
            <w:r w:rsidRPr="0051619C">
              <w:rPr>
                <w:color w:val="000000" w:themeColor="text1"/>
                <w:lang w:val="en-US"/>
              </w:rPr>
              <w:t xml:space="preserve"> Advancing the development and use of technology for wetland mapping and inventory.</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647378" w14:textId="43D41C6B" w:rsidR="0051619C" w:rsidRPr="0051619C" w:rsidRDefault="0051619C" w:rsidP="00B9309D">
            <w:pPr>
              <w:spacing w:before="60" w:after="60" w:line="240" w:lineRule="auto"/>
              <w:rPr>
                <w:color w:val="000000" w:themeColor="text1"/>
                <w:lang w:val="en-US"/>
              </w:rPr>
            </w:pPr>
            <w:r w:rsidRPr="0051619C">
              <w:rPr>
                <w:color w:val="000000"/>
                <w:lang w:val="en-US"/>
              </w:rPr>
              <w:t xml:space="preserve">Task 2.2. </w:t>
            </w:r>
            <w:r w:rsidRPr="0051619C">
              <w:rPr>
                <w:color w:val="000000" w:themeColor="text1"/>
                <w:lang w:val="en-US"/>
              </w:rPr>
              <w:t xml:space="preserve">will focus on </w:t>
            </w:r>
            <w:r w:rsidR="000D47AB">
              <w:rPr>
                <w:color w:val="000000" w:themeColor="text1"/>
                <w:lang w:val="en-US"/>
              </w:rPr>
              <w:t xml:space="preserve">contributions to </w:t>
            </w:r>
            <w:r w:rsidRPr="0051619C">
              <w:rPr>
                <w:color w:val="000000" w:themeColor="text1"/>
                <w:lang w:val="en-US"/>
              </w:rPr>
              <w:t xml:space="preserve">the development </w:t>
            </w:r>
            <w:r w:rsidR="000D47AB">
              <w:rPr>
                <w:color w:val="000000" w:themeColor="text1"/>
                <w:lang w:val="en-US"/>
              </w:rPr>
              <w:t xml:space="preserve">and implementation </w:t>
            </w:r>
            <w:r w:rsidRPr="0051619C">
              <w:rPr>
                <w:color w:val="000000" w:themeColor="text1"/>
                <w:lang w:val="en-US"/>
              </w:rPr>
              <w:t xml:space="preserve">of a cross-triennial initiative to foster dialogue, knowledge exchange and guidance on the use of Earth observation for wetland inventory, assessment, monitoring, and conservation, </w:t>
            </w:r>
            <w:r w:rsidR="00B9309D" w:rsidRPr="00B9309D">
              <w:rPr>
                <w:color w:val="000000" w:themeColor="text1"/>
                <w:lang w:val="en-US"/>
              </w:rPr>
              <w:t>following the recommendations of the EO consultation (</w:t>
            </w:r>
            <w:hyperlink r:id="rId13" w:history="1">
              <w:r w:rsidR="006C0605" w:rsidRPr="00891A15">
                <w:rPr>
                  <w:rStyle w:val="Hyperlink"/>
                  <w:lang w:val="en-US"/>
                </w:rPr>
                <w:t>Annex 2, COP15 Doc.</w:t>
              </w:r>
              <w:r w:rsidR="00891A15">
                <w:rPr>
                  <w:rStyle w:val="Hyperlink"/>
                  <w:lang w:val="en-US"/>
                </w:rPr>
                <w:t>1</w:t>
              </w:r>
              <w:r w:rsidR="006C0605" w:rsidRPr="00891A15">
                <w:rPr>
                  <w:rStyle w:val="Hyperlink"/>
                  <w:lang w:val="en-US"/>
                </w:rPr>
                <w:t>1</w:t>
              </w:r>
            </w:hyperlink>
            <w:r w:rsidR="00B9309D" w:rsidRPr="00B9309D">
              <w:rPr>
                <w:color w:val="000000" w:themeColor="text1"/>
                <w:lang w:val="en-US"/>
              </w:rPr>
              <w:t>)</w:t>
            </w:r>
            <w:r w:rsidRPr="0051619C">
              <w:rPr>
                <w:color w:val="000000" w:themeColor="text1"/>
                <w:lang w:val="en-US"/>
              </w:rPr>
              <w:t>.</w:t>
            </w:r>
          </w:p>
          <w:p w14:paraId="3EAE73F9" w14:textId="304F37D0" w:rsidR="0051619C" w:rsidRPr="0051619C" w:rsidRDefault="0051619C">
            <w:pPr>
              <w:spacing w:before="60" w:after="60" w:line="240" w:lineRule="auto"/>
              <w:rPr>
                <w:color w:val="000000" w:themeColor="text1"/>
                <w:lang w:val="en-US"/>
              </w:rPr>
            </w:pPr>
            <w:r w:rsidRPr="0051619C">
              <w:rPr>
                <w:color w:val="000000" w:themeColor="text1"/>
                <w:lang w:val="en-US"/>
              </w:rPr>
              <w:t xml:space="preserve">Task 2.2 will also inform Contracting Parties about technological advances in wetland mapping and assessment and the application of global ecosystem typologies, including streamlining mapping and inventory approaches (e.g., those used in NWIs) to report on the conservation and wise use of </w:t>
            </w:r>
            <w:r w:rsidRPr="0051619C">
              <w:rPr>
                <w:color w:val="000000" w:themeColor="text1"/>
                <w:lang w:val="en-US"/>
              </w:rPr>
              <w:lastRenderedPageBreak/>
              <w:t xml:space="preserve">wetlands, tracking the status and trends of wetlands, and implementation of international goals and targets, e.g., the </w:t>
            </w:r>
            <w:r w:rsidR="002E48E3" w:rsidRPr="002E48E3">
              <w:rPr>
                <w:color w:val="000000" w:themeColor="text1"/>
                <w:lang w:val="en-US"/>
              </w:rPr>
              <w:t xml:space="preserve">Kunming-Montreal </w:t>
            </w:r>
            <w:r w:rsidRPr="0051619C">
              <w:rPr>
                <w:color w:val="000000" w:themeColor="text1"/>
                <w:lang w:val="en-US"/>
              </w:rPr>
              <w:t>Global Biodiversity Framework Target 3 on 30x30 and SDG Target 6.6.1 on Change in the extent of water-related ecosystems over time.</w:t>
            </w:r>
          </w:p>
        </w:tc>
        <w:tc>
          <w:tcPr>
            <w:tcW w:w="1418" w:type="dxa"/>
            <w:tcBorders>
              <w:top w:val="nil"/>
              <w:left w:val="single" w:sz="8" w:space="0" w:color="000000" w:themeColor="text1"/>
              <w:bottom w:val="single" w:sz="8" w:space="0" w:color="000000" w:themeColor="text1"/>
              <w:right w:val="single" w:sz="8" w:space="0" w:color="000000" w:themeColor="text1"/>
            </w:tcBorders>
          </w:tcPr>
          <w:p w14:paraId="45A3E5D5" w14:textId="77777777" w:rsidR="0051619C" w:rsidRPr="0051619C" w:rsidRDefault="0051619C">
            <w:pPr>
              <w:spacing w:before="60" w:after="60" w:line="240" w:lineRule="auto"/>
              <w:rPr>
                <w:lang w:val="en-US"/>
              </w:rPr>
            </w:pPr>
            <w:r w:rsidRPr="0051619C">
              <w:rPr>
                <w:lang w:val="en-US"/>
              </w:rPr>
              <w:lastRenderedPageBreak/>
              <w:t>Cross-triennial (subject to the availability of human and financial resources).</w:t>
            </w:r>
          </w:p>
        </w:tc>
        <w:tc>
          <w:tcPr>
            <w:tcW w:w="1913" w:type="dxa"/>
            <w:tcBorders>
              <w:top w:val="nil"/>
              <w:left w:val="single" w:sz="8" w:space="0" w:color="000000" w:themeColor="text1"/>
              <w:bottom w:val="single" w:sz="8" w:space="0" w:color="000000" w:themeColor="text1"/>
              <w:right w:val="single" w:sz="8" w:space="0" w:color="000000" w:themeColor="text1"/>
            </w:tcBorders>
          </w:tcPr>
          <w:p w14:paraId="3BB4F612" w14:textId="77777777" w:rsidR="0051619C" w:rsidRPr="0051619C" w:rsidRDefault="0051619C">
            <w:pPr>
              <w:spacing w:before="60" w:after="60" w:line="240" w:lineRule="auto"/>
              <w:rPr>
                <w:lang w:val="en-US"/>
              </w:rPr>
            </w:pPr>
            <w:r w:rsidRPr="0051619C">
              <w:rPr>
                <w:lang w:val="en-US"/>
              </w:rPr>
              <w:t xml:space="preserve">Technical Report and/or Briefing Note. </w:t>
            </w:r>
          </w:p>
          <w:p w14:paraId="2850D447" w14:textId="77777777" w:rsidR="0051619C" w:rsidRPr="0051619C" w:rsidRDefault="0051619C">
            <w:pPr>
              <w:spacing w:before="60" w:after="60" w:line="240" w:lineRule="auto"/>
              <w:rPr>
                <w:lang w:val="en-US"/>
              </w:rPr>
            </w:pPr>
            <w:r w:rsidRPr="0051619C">
              <w:rPr>
                <w:lang w:val="en-US"/>
              </w:rPr>
              <w:t xml:space="preserve">Report to SC on progress as related to </w:t>
            </w:r>
            <w:r w:rsidRPr="0051619C">
              <w:rPr>
                <w:color w:val="000000"/>
                <w:lang w:val="en-US"/>
              </w:rPr>
              <w:t>Decision SC63-30</w:t>
            </w:r>
            <w:r w:rsidRPr="0051619C">
              <w:rPr>
                <w:lang w:val="en-US"/>
              </w:rPr>
              <w:t>.</w:t>
            </w:r>
          </w:p>
        </w:tc>
        <w:tc>
          <w:tcPr>
            <w:tcW w:w="1914" w:type="dxa"/>
            <w:tcBorders>
              <w:top w:val="nil"/>
              <w:left w:val="single" w:sz="8" w:space="0" w:color="000000" w:themeColor="text1"/>
              <w:bottom w:val="single" w:sz="8" w:space="0" w:color="000000" w:themeColor="text1"/>
              <w:right w:val="single" w:sz="8" w:space="0" w:color="000000" w:themeColor="text1"/>
            </w:tcBorders>
          </w:tcPr>
          <w:p w14:paraId="3FEC6310" w14:textId="77777777" w:rsidR="0051619C" w:rsidRPr="0051619C" w:rsidRDefault="0051619C">
            <w:pPr>
              <w:spacing w:before="60" w:after="60" w:line="240" w:lineRule="auto"/>
              <w:rPr>
                <w:lang w:val="en-US"/>
              </w:rPr>
            </w:pPr>
            <w:r w:rsidRPr="0051619C">
              <w:rPr>
                <w:lang w:val="en-US"/>
              </w:rPr>
              <w:t>Doc. SC63.19 (Para. 49 (h)).</w:t>
            </w:r>
          </w:p>
          <w:p w14:paraId="6AA12A49" w14:textId="77777777" w:rsidR="0051619C" w:rsidRPr="0051619C" w:rsidRDefault="0051619C">
            <w:pPr>
              <w:spacing w:before="60" w:after="60" w:line="240" w:lineRule="auto"/>
              <w:rPr>
                <w:lang w:val="en-US"/>
              </w:rPr>
            </w:pPr>
            <w:r w:rsidRPr="0051619C">
              <w:rPr>
                <w:lang w:val="en-US"/>
              </w:rPr>
              <w:t>Report and Decisions of the 63rd Meeting of the Standing Committee</w:t>
            </w:r>
            <w:r w:rsidRPr="0051619C">
              <w:rPr>
                <w:color w:val="000000"/>
                <w:lang w:val="en-US"/>
              </w:rPr>
              <w:t xml:space="preserve"> (Decision SC63-30).</w:t>
            </w:r>
          </w:p>
        </w:tc>
      </w:tr>
      <w:tr w:rsidR="0051619C" w:rsidRPr="00C91E5F" w14:paraId="1D7B1368" w14:textId="77777777">
        <w:tc>
          <w:tcPr>
            <w:tcW w:w="1388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9F8810A" w14:textId="77777777" w:rsidR="0051619C" w:rsidRPr="0051619C" w:rsidRDefault="0051619C">
            <w:pPr>
              <w:spacing w:before="60" w:after="60" w:line="240" w:lineRule="auto"/>
              <w:rPr>
                <w:b/>
                <w:color w:val="000000"/>
                <w:lang w:val="en-US"/>
              </w:rPr>
            </w:pPr>
            <w:r w:rsidRPr="0051619C">
              <w:rPr>
                <w:b/>
                <w:color w:val="000000"/>
                <w:lang w:val="en-US"/>
              </w:rPr>
              <w:t>TWA 3: Direct and climate-change-related pressures on wetlands, their impacts and responses.</w:t>
            </w:r>
          </w:p>
        </w:tc>
      </w:tr>
      <w:tr w:rsidR="0051619C" w:rsidRPr="00390F83" w14:paraId="2FB2DC52" w14:textId="77777777">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A44E28" w14:textId="77777777" w:rsidR="0051619C" w:rsidRPr="0051619C" w:rsidRDefault="0051619C">
            <w:pPr>
              <w:spacing w:before="60" w:after="60" w:line="240" w:lineRule="auto"/>
              <w:rPr>
                <w:color w:val="000000"/>
                <w:lang w:val="en-US"/>
              </w:rPr>
            </w:pPr>
            <w:r w:rsidRPr="0051619C">
              <w:rPr>
                <w:b/>
                <w:bCs/>
                <w:color w:val="000000" w:themeColor="text1"/>
                <w:lang w:val="en-US"/>
              </w:rPr>
              <w:t>Task 3.1.</w:t>
            </w:r>
            <w:r w:rsidRPr="0051619C">
              <w:rPr>
                <w:color w:val="000000" w:themeColor="text1"/>
                <w:lang w:val="en-US"/>
              </w:rPr>
              <w:t xml:space="preserve"> Assessing the impacts from harmful algal blooms in wetlands.</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57120C" w14:textId="77777777" w:rsidR="0051619C" w:rsidRPr="0051619C" w:rsidRDefault="0051619C">
            <w:pPr>
              <w:spacing w:before="60" w:after="60" w:line="240" w:lineRule="auto"/>
              <w:rPr>
                <w:color w:val="000000" w:themeColor="text1"/>
                <w:lang w:val="en-US"/>
              </w:rPr>
            </w:pPr>
            <w:r w:rsidRPr="0051619C">
              <w:rPr>
                <w:color w:val="000000" w:themeColor="text1"/>
                <w:lang w:val="en-US"/>
              </w:rPr>
              <w:t>Task 3.1 will synthesize information on the occurrence and frequency of harmful algal blooms in wetlands, the key causes of harmful algal blooms, and their impact on biodiversity and ecosystem services, including human health and access to clean water for agriculture and other uses.</w:t>
            </w:r>
          </w:p>
          <w:p w14:paraId="365C3512" w14:textId="77777777" w:rsidR="0051619C" w:rsidRPr="0051619C" w:rsidRDefault="0051619C">
            <w:pPr>
              <w:spacing w:before="60" w:after="60" w:line="240" w:lineRule="auto"/>
              <w:rPr>
                <w:color w:val="000000"/>
                <w:lang w:val="en-US"/>
              </w:rPr>
            </w:pPr>
            <w:r w:rsidRPr="0051619C">
              <w:rPr>
                <w:color w:val="000000" w:themeColor="text1"/>
                <w:lang w:val="en-US"/>
              </w:rPr>
              <w:t>Task 3.1 will also develop guidance on best practice methods to prevent and</w:t>
            </w:r>
            <w:r w:rsidRPr="0051619C">
              <w:rPr>
                <w:color w:val="000000" w:themeColor="text1"/>
                <w:u w:val="single"/>
                <w:lang w:val="en-US"/>
              </w:rPr>
              <w:t xml:space="preserve"> </w:t>
            </w:r>
            <w:r w:rsidRPr="0051619C">
              <w:rPr>
                <w:color w:val="000000" w:themeColor="text1"/>
                <w:lang w:val="en-US"/>
              </w:rPr>
              <w:t xml:space="preserve">manage harmful algal blooms, maintain wetland ecological character and protect human health (e.g., in terms of the impact on ecosystem services).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6CBDCC" w14:textId="21E25CB0" w:rsidR="0051619C" w:rsidRPr="00390F83" w:rsidRDefault="004253DD">
            <w:pPr>
              <w:spacing w:before="60" w:after="60" w:line="240" w:lineRule="auto"/>
            </w:pPr>
            <w:r>
              <w:t>2025-2028</w:t>
            </w:r>
          </w:p>
        </w:tc>
        <w:tc>
          <w:tcPr>
            <w:tcW w:w="19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B9EED0" w14:textId="77777777" w:rsidR="0051619C" w:rsidRPr="0051619C" w:rsidRDefault="0051619C">
            <w:pPr>
              <w:spacing w:before="60" w:after="60" w:line="240" w:lineRule="auto"/>
              <w:rPr>
                <w:lang w:val="en-US"/>
              </w:rPr>
            </w:pPr>
            <w:r w:rsidRPr="0051619C">
              <w:rPr>
                <w:lang w:val="en-US"/>
              </w:rPr>
              <w:t>Technical Report and/or Briefing Note.</w:t>
            </w:r>
          </w:p>
        </w:tc>
        <w:tc>
          <w:tcPr>
            <w:tcW w:w="19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0B61C6" w14:textId="77777777" w:rsidR="0051619C" w:rsidRPr="00390F83" w:rsidRDefault="0051619C">
            <w:pPr>
              <w:spacing w:before="60" w:after="60" w:line="240" w:lineRule="auto"/>
            </w:pPr>
            <w:r w:rsidRPr="00390F83">
              <w:t>Doc. SC63.19 (Para. 19-21 &amp; Annex 2).</w:t>
            </w:r>
          </w:p>
        </w:tc>
      </w:tr>
      <w:tr w:rsidR="0051619C" w:rsidRPr="00390F83" w14:paraId="381DB28F" w14:textId="77777777">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BB0523" w14:textId="77777777" w:rsidR="0051619C" w:rsidRPr="0051619C" w:rsidRDefault="0051619C">
            <w:pPr>
              <w:spacing w:before="60" w:after="60" w:line="240" w:lineRule="auto"/>
              <w:rPr>
                <w:b/>
                <w:bCs/>
                <w:color w:val="000000" w:themeColor="text1"/>
                <w:lang w:val="en-US"/>
              </w:rPr>
            </w:pPr>
            <w:r w:rsidRPr="0051619C">
              <w:rPr>
                <w:b/>
                <w:bCs/>
                <w:color w:val="000000" w:themeColor="text1"/>
                <w:lang w:val="en-US"/>
              </w:rPr>
              <w:t>Task 3.2.</w:t>
            </w:r>
            <w:r w:rsidRPr="0051619C">
              <w:rPr>
                <w:color w:val="000000" w:themeColor="text1"/>
                <w:lang w:val="en-US"/>
              </w:rPr>
              <w:t xml:space="preserve"> Assessing the impact of fires in wetlands.</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C0F744" w14:textId="77777777" w:rsidR="0051619C" w:rsidRPr="0051619C" w:rsidRDefault="0051619C">
            <w:pPr>
              <w:spacing w:before="60" w:after="60" w:line="240" w:lineRule="auto"/>
              <w:rPr>
                <w:color w:val="000000" w:themeColor="text1"/>
                <w:lang w:val="en-US"/>
              </w:rPr>
            </w:pPr>
            <w:r w:rsidRPr="0051619C">
              <w:rPr>
                <w:color w:val="000000" w:themeColor="text1"/>
                <w:lang w:val="en-US"/>
              </w:rPr>
              <w:t>Task 3.2. will evaluate the occurrence and change in frequency and extent of fires in wetlands and the impact on (i) protecting biodiversity, (ii) wetland carbon stocks and sequestration potential, and (iii) human health. The task will cover impacts on people (e.g., health issues from smoke) and the effects on ecosystem services, such as food, fiber, and access to clean water, if applicable.</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DAC6BE" w14:textId="040A9333" w:rsidR="0051619C" w:rsidRPr="00390F83" w:rsidRDefault="004253DD">
            <w:pPr>
              <w:spacing w:before="60" w:after="60" w:line="240" w:lineRule="auto"/>
            </w:pPr>
            <w:r>
              <w:t>2025-2028</w:t>
            </w:r>
          </w:p>
        </w:tc>
        <w:tc>
          <w:tcPr>
            <w:tcW w:w="19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07351A" w14:textId="77777777" w:rsidR="0051619C" w:rsidRPr="0051619C" w:rsidRDefault="0051619C">
            <w:pPr>
              <w:spacing w:before="60" w:after="60" w:line="240" w:lineRule="auto"/>
              <w:rPr>
                <w:lang w:val="en-US"/>
              </w:rPr>
            </w:pPr>
            <w:r w:rsidRPr="0051619C">
              <w:rPr>
                <w:lang w:val="en-US"/>
              </w:rPr>
              <w:t>Technical Report and/or Briefing Note.</w:t>
            </w:r>
          </w:p>
        </w:tc>
        <w:tc>
          <w:tcPr>
            <w:tcW w:w="19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8CE444" w14:textId="77777777" w:rsidR="0051619C" w:rsidRPr="00390F83" w:rsidRDefault="0051619C">
            <w:pPr>
              <w:spacing w:before="60" w:after="60" w:line="240" w:lineRule="auto"/>
            </w:pPr>
            <w:r w:rsidRPr="00390F83">
              <w:t>Doc. SC63.19 (Para. 19-21 &amp; Annex 2).</w:t>
            </w:r>
          </w:p>
        </w:tc>
      </w:tr>
      <w:tr w:rsidR="0051619C" w:rsidRPr="00C91E5F" w14:paraId="57D524A7" w14:textId="77777777">
        <w:tc>
          <w:tcPr>
            <w:tcW w:w="1388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657F815" w14:textId="77777777" w:rsidR="0051619C" w:rsidRPr="0051619C" w:rsidRDefault="0051619C">
            <w:pPr>
              <w:keepNext/>
              <w:spacing w:before="60" w:after="60" w:line="240" w:lineRule="auto"/>
              <w:rPr>
                <w:b/>
                <w:color w:val="000000"/>
                <w:lang w:val="en-US"/>
              </w:rPr>
            </w:pPr>
            <w:r w:rsidRPr="0051619C">
              <w:rPr>
                <w:b/>
                <w:color w:val="000000"/>
                <w:lang w:val="en-US"/>
              </w:rPr>
              <w:t>TWA 4: Wise use, sustainable management and restoration of wetlands in the wider landscape/seascape.</w:t>
            </w:r>
          </w:p>
        </w:tc>
      </w:tr>
      <w:tr w:rsidR="0051619C" w:rsidRPr="00C91E5F" w14:paraId="0C2507B2" w14:textId="77777777">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EC1182" w14:textId="77777777" w:rsidR="0051619C" w:rsidRPr="0051619C" w:rsidRDefault="0051619C">
            <w:pPr>
              <w:spacing w:before="60" w:after="60" w:line="240" w:lineRule="auto"/>
              <w:rPr>
                <w:color w:val="000000"/>
                <w:lang w:val="en-US"/>
              </w:rPr>
            </w:pPr>
            <w:r w:rsidRPr="0051619C">
              <w:rPr>
                <w:b/>
                <w:bCs/>
                <w:color w:val="000000" w:themeColor="text1"/>
                <w:lang w:val="en-US"/>
              </w:rPr>
              <w:t>Task 4.1.</w:t>
            </w:r>
            <w:r w:rsidRPr="0051619C">
              <w:rPr>
                <w:color w:val="000000" w:themeColor="text1"/>
                <w:lang w:val="en-US"/>
              </w:rPr>
              <w:t xml:space="preserve"> An assessment of transformative change pathways for wetland conservation and wise use for nature, climate and people.</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685ED9" w14:textId="77777777" w:rsidR="0051619C" w:rsidRPr="0051619C" w:rsidRDefault="0051619C">
            <w:pPr>
              <w:spacing w:before="60" w:after="60" w:line="240" w:lineRule="auto"/>
              <w:rPr>
                <w:color w:val="000000" w:themeColor="text1"/>
                <w:lang w:val="en-US"/>
              </w:rPr>
            </w:pPr>
            <w:r w:rsidRPr="0051619C">
              <w:rPr>
                <w:color w:val="000000" w:themeColor="text1"/>
                <w:lang w:val="en-US"/>
              </w:rPr>
              <w:t xml:space="preserve">Task 4.1 will focus on reviewing and assessing models, scenarios, and pathways for transformative change that address the triple planetary crisis (climate change, pollution, and biodiversity loss), the Strategic Goals of the Convention on Wetlands, and other relevant goals and targets, such as the SDGs and KM-GBF, building on related IPBES </w:t>
            </w:r>
            <w:r w:rsidRPr="0051619C">
              <w:rPr>
                <w:color w:val="000000" w:themeColor="text1"/>
                <w:lang w:val="en-US"/>
              </w:rPr>
              <w:lastRenderedPageBreak/>
              <w:t xml:space="preserve">assessments (e.g., Nexus Assessment and Transformative Change Assessment). </w:t>
            </w:r>
          </w:p>
          <w:p w14:paraId="440B94A1" w14:textId="77777777" w:rsidR="0051619C" w:rsidRPr="0051619C" w:rsidRDefault="0051619C">
            <w:pPr>
              <w:spacing w:before="60" w:after="60" w:line="240" w:lineRule="auto"/>
              <w:rPr>
                <w:color w:val="000000" w:themeColor="text1"/>
                <w:lang w:val="en-US"/>
              </w:rPr>
            </w:pPr>
            <w:r w:rsidRPr="0051619C">
              <w:rPr>
                <w:color w:val="000000" w:themeColor="text1"/>
                <w:lang w:val="en-US"/>
              </w:rPr>
              <w:t>Where applicable, the task will strive towards integrating activities originally planned under task 3.4 in the 2023-2025 work plan, covering a synthesis of successful nature-based solutions (NbS) or ecosystem-based approaches for protecting, conserving, restoring, sustainably using, and managing wetland ecosystems to address climate change and achieve other co-benefits. If possible, it will also review diverse values and views of Indigenous and traditional knowledge as part of the drive towards transformative change.</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51D09D" w14:textId="24BDB50A" w:rsidR="0051619C" w:rsidRPr="00390F83" w:rsidRDefault="004253DD">
            <w:pPr>
              <w:spacing w:before="60" w:after="60" w:line="240" w:lineRule="auto"/>
            </w:pPr>
            <w:r>
              <w:lastRenderedPageBreak/>
              <w:t>2025-2028</w:t>
            </w:r>
          </w:p>
        </w:tc>
        <w:tc>
          <w:tcPr>
            <w:tcW w:w="19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BCCEA1" w14:textId="77777777" w:rsidR="0051619C" w:rsidRPr="0051619C" w:rsidRDefault="0051619C">
            <w:pPr>
              <w:spacing w:before="60" w:after="60" w:line="240" w:lineRule="auto"/>
              <w:rPr>
                <w:lang w:val="en-US"/>
              </w:rPr>
            </w:pPr>
            <w:r w:rsidRPr="0051619C">
              <w:rPr>
                <w:lang w:val="en-US"/>
              </w:rPr>
              <w:t>Technical Report and/or Briefing Note.</w:t>
            </w:r>
          </w:p>
          <w:p w14:paraId="524FEE26" w14:textId="77777777" w:rsidR="0051619C" w:rsidRPr="0051619C" w:rsidRDefault="0051619C">
            <w:pPr>
              <w:spacing w:before="60" w:after="60" w:line="240" w:lineRule="auto"/>
              <w:rPr>
                <w:lang w:val="en-US"/>
              </w:rPr>
            </w:pPr>
          </w:p>
          <w:p w14:paraId="5F7004B7" w14:textId="77777777" w:rsidR="0051619C" w:rsidRPr="0051619C" w:rsidRDefault="0051619C">
            <w:pPr>
              <w:spacing w:before="60" w:after="60" w:line="240" w:lineRule="auto"/>
              <w:rPr>
                <w:color w:val="000000" w:themeColor="text1"/>
                <w:lang w:val="en-US"/>
              </w:rPr>
            </w:pPr>
            <w:r w:rsidRPr="0051619C">
              <w:rPr>
                <w:color w:val="000000" w:themeColor="text1"/>
                <w:lang w:val="en-US"/>
              </w:rPr>
              <w:lastRenderedPageBreak/>
              <w:t>Potential topic for future Global Wetland Outlook.</w:t>
            </w:r>
          </w:p>
          <w:p w14:paraId="6771C34F" w14:textId="77777777" w:rsidR="0051619C" w:rsidRPr="0051619C" w:rsidRDefault="0051619C">
            <w:pPr>
              <w:spacing w:before="60" w:after="60" w:line="240" w:lineRule="auto"/>
              <w:rPr>
                <w:color w:val="000000" w:themeColor="text1"/>
                <w:lang w:val="en-US"/>
              </w:rPr>
            </w:pPr>
          </w:p>
          <w:p w14:paraId="125E9DF2" w14:textId="77777777" w:rsidR="0051619C" w:rsidRPr="00390F83" w:rsidRDefault="0051619C">
            <w:pPr>
              <w:spacing w:before="60" w:after="60" w:line="240" w:lineRule="auto"/>
            </w:pPr>
            <w:r w:rsidRPr="00390F83">
              <w:rPr>
                <w:color w:val="000000" w:themeColor="text1"/>
              </w:rPr>
              <w:t>Database with NbS cases</w:t>
            </w:r>
          </w:p>
        </w:tc>
        <w:tc>
          <w:tcPr>
            <w:tcW w:w="19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DE0423" w14:textId="77777777" w:rsidR="0051619C" w:rsidRPr="0051619C" w:rsidRDefault="0051619C">
            <w:pPr>
              <w:spacing w:before="60" w:after="60" w:line="240" w:lineRule="auto"/>
              <w:rPr>
                <w:lang w:val="en-US"/>
              </w:rPr>
            </w:pPr>
            <w:r w:rsidRPr="0051619C">
              <w:rPr>
                <w:lang w:val="en-US"/>
              </w:rPr>
              <w:lastRenderedPageBreak/>
              <w:t>Doc. SC63.19 (Para. 19-21 &amp; Annex 2).</w:t>
            </w:r>
          </w:p>
          <w:p w14:paraId="2A518789" w14:textId="77777777" w:rsidR="0051619C" w:rsidRPr="0051619C" w:rsidRDefault="0051619C">
            <w:pPr>
              <w:spacing w:before="60" w:after="60" w:line="240" w:lineRule="auto"/>
              <w:rPr>
                <w:lang w:val="en-US"/>
              </w:rPr>
            </w:pPr>
          </w:p>
          <w:p w14:paraId="14C95DED" w14:textId="77777777" w:rsidR="0051619C" w:rsidRPr="0051619C" w:rsidRDefault="0051619C">
            <w:pPr>
              <w:spacing w:before="60" w:after="60" w:line="240" w:lineRule="auto"/>
              <w:rPr>
                <w:lang w:val="en-US"/>
              </w:rPr>
            </w:pPr>
            <w:r w:rsidRPr="0051619C">
              <w:rPr>
                <w:lang w:val="en-US"/>
              </w:rPr>
              <w:lastRenderedPageBreak/>
              <w:t>Vision of 5th Strategic Plan (TBC)</w:t>
            </w:r>
          </w:p>
        </w:tc>
      </w:tr>
      <w:tr w:rsidR="0051619C" w:rsidRPr="00CE6642" w14:paraId="54606FAB" w14:textId="77777777">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A4ECCB" w14:textId="77777777" w:rsidR="0051619C" w:rsidRPr="0051619C" w:rsidRDefault="0051619C">
            <w:pPr>
              <w:spacing w:before="60" w:after="60" w:line="240" w:lineRule="auto"/>
              <w:rPr>
                <w:b/>
                <w:bCs/>
                <w:color w:val="000000" w:themeColor="text1"/>
                <w:lang w:val="en-US"/>
              </w:rPr>
            </w:pPr>
            <w:r w:rsidRPr="0051619C">
              <w:rPr>
                <w:b/>
                <w:bCs/>
                <w:color w:val="000000" w:themeColor="text1"/>
                <w:lang w:val="en-US"/>
              </w:rPr>
              <w:lastRenderedPageBreak/>
              <w:t>Task 4.2.</w:t>
            </w:r>
            <w:r w:rsidRPr="0051619C">
              <w:rPr>
                <w:color w:val="000000" w:themeColor="text1"/>
                <w:lang w:val="en-US"/>
              </w:rPr>
              <w:t xml:space="preserve"> Strengthening wetland restoration for climate resilience and biodiversity recovery: Building on STRP outputs and global frameworks.</w:t>
            </w:r>
          </w:p>
        </w:tc>
        <w:tc>
          <w:tcPr>
            <w:tcW w:w="56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1CD2E7" w14:textId="77777777" w:rsidR="0051619C" w:rsidRPr="0051619C" w:rsidRDefault="0051619C">
            <w:pPr>
              <w:spacing w:before="60" w:after="60" w:line="240" w:lineRule="auto"/>
              <w:rPr>
                <w:color w:val="000000" w:themeColor="text1"/>
                <w:lang w:val="en-US"/>
              </w:rPr>
            </w:pPr>
            <w:r w:rsidRPr="0051619C">
              <w:rPr>
                <w:color w:val="000000" w:themeColor="text1"/>
                <w:lang w:val="en-US"/>
              </w:rPr>
              <w:t>Task 4.2 will synthesize and promote knowledge and guidance related to wetland restoration, which enhances climate resilience and supports biodiversity recovery.</w:t>
            </w:r>
          </w:p>
          <w:p w14:paraId="11D3D9BD" w14:textId="77777777" w:rsidR="0051619C" w:rsidRPr="0051619C" w:rsidRDefault="0051619C">
            <w:pPr>
              <w:spacing w:before="60" w:after="60" w:line="240" w:lineRule="auto"/>
              <w:rPr>
                <w:color w:val="000000" w:themeColor="text1"/>
                <w:lang w:val="en-US"/>
              </w:rPr>
            </w:pPr>
            <w:r w:rsidRPr="0051619C">
              <w:rPr>
                <w:color w:val="000000" w:themeColor="text1"/>
                <w:lang w:val="en-US"/>
              </w:rPr>
              <w:t xml:space="preserve">Task 4.2 will harness and build on the range of restoration-related outputs already produced by the STRP, such as Briefing Note 10 on wetland restoration for climate change resilience, Briefing Note 11 on practical peatland restoration, and the Global Wetland Outlook: Special Edition 2025. This work will also ensure the integration and communication of international developments on restoration, such as on forthcoming guidance associated with Target 2 of the KM-GBF and the UN Decade of Restoration.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54D7C5" w14:textId="1CD70C3D" w:rsidR="0051619C" w:rsidRPr="00390F83" w:rsidRDefault="004253DD">
            <w:pPr>
              <w:spacing w:before="60" w:after="60" w:line="240" w:lineRule="auto"/>
            </w:pPr>
            <w:r>
              <w:t>2025-2028</w:t>
            </w:r>
          </w:p>
        </w:tc>
        <w:tc>
          <w:tcPr>
            <w:tcW w:w="19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E64534" w14:textId="77777777" w:rsidR="0051619C" w:rsidRPr="0051619C" w:rsidRDefault="0051619C">
            <w:pPr>
              <w:spacing w:before="60" w:after="60" w:line="240" w:lineRule="auto"/>
              <w:rPr>
                <w:lang w:val="en-US"/>
              </w:rPr>
            </w:pPr>
            <w:r w:rsidRPr="0051619C">
              <w:rPr>
                <w:lang w:val="en-US"/>
              </w:rPr>
              <w:t>Develop communication materials, including Policy Briefs and/or Briefing Notes if needed.</w:t>
            </w:r>
          </w:p>
          <w:p w14:paraId="08F9D547" w14:textId="77777777" w:rsidR="0051619C" w:rsidRPr="0051619C" w:rsidRDefault="0051619C">
            <w:pPr>
              <w:spacing w:before="60" w:after="60" w:line="240" w:lineRule="auto"/>
              <w:rPr>
                <w:lang w:val="en-US"/>
              </w:rPr>
            </w:pPr>
            <w:r w:rsidRPr="0051619C">
              <w:rPr>
                <w:lang w:val="en-US"/>
              </w:rPr>
              <w:t xml:space="preserve">Implement capacity-building and knowledge-exchange activities. </w:t>
            </w:r>
          </w:p>
        </w:tc>
        <w:tc>
          <w:tcPr>
            <w:tcW w:w="19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77C228" w14:textId="77777777" w:rsidR="0051619C" w:rsidRPr="00CE6642" w:rsidRDefault="0051619C">
            <w:pPr>
              <w:spacing w:before="60" w:after="60" w:line="240" w:lineRule="auto"/>
              <w:rPr>
                <w:lang w:val="en-US"/>
              </w:rPr>
            </w:pPr>
            <w:r w:rsidRPr="00CE6642">
              <w:rPr>
                <w:lang w:val="en-US"/>
              </w:rPr>
              <w:t>Relevant STRP activities: e.g., Res. XIV.6, Para. 45; Res. XIV.14, Annex 2; Res. XIV.16, Para. 21; Res. XIV.17, Para. 14.</w:t>
            </w:r>
          </w:p>
        </w:tc>
      </w:tr>
      <w:tr w:rsidR="0051619C" w:rsidRPr="00C91E5F" w14:paraId="6FB7D774" w14:textId="77777777">
        <w:trPr>
          <w:cantSplit/>
          <w:trHeight w:val="300"/>
        </w:trPr>
        <w:tc>
          <w:tcPr>
            <w:tcW w:w="1388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2A8C5C5" w14:textId="77777777" w:rsidR="0051619C" w:rsidRPr="0051619C" w:rsidRDefault="0051619C">
            <w:pPr>
              <w:keepNext/>
              <w:spacing w:before="60" w:after="60" w:line="240" w:lineRule="auto"/>
              <w:rPr>
                <w:b/>
                <w:color w:val="000000"/>
                <w:lang w:val="en-US"/>
              </w:rPr>
            </w:pPr>
            <w:r w:rsidRPr="0051619C">
              <w:rPr>
                <w:b/>
                <w:color w:val="000000" w:themeColor="text1"/>
                <w:lang w:val="en-US"/>
              </w:rPr>
              <w:lastRenderedPageBreak/>
              <w:t>TWA 5: Cross-cutting issues, Global Wetland Outlook, supporting functions, and synergies with other Multilateral Environmental Agreements (MEAs).</w:t>
            </w:r>
          </w:p>
        </w:tc>
      </w:tr>
      <w:tr w:rsidR="0051619C" w:rsidRPr="00390F83" w14:paraId="3E15368A" w14:textId="77777777">
        <w:trPr>
          <w:cantSplit/>
          <w:trHeight w:val="30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D16284" w14:textId="77777777" w:rsidR="0051619C" w:rsidRPr="00390F83" w:rsidRDefault="0051619C">
            <w:pPr>
              <w:spacing w:before="60" w:after="60" w:line="240" w:lineRule="auto"/>
              <w:rPr>
                <w:color w:val="000000"/>
              </w:rPr>
            </w:pPr>
            <w:r w:rsidRPr="00390F83">
              <w:rPr>
                <w:b/>
                <w:bCs/>
                <w:color w:val="000000" w:themeColor="text1"/>
              </w:rPr>
              <w:t>Task 5.1.</w:t>
            </w:r>
            <w:r w:rsidRPr="00390F83">
              <w:rPr>
                <w:color w:val="000000" w:themeColor="text1"/>
              </w:rPr>
              <w:t xml:space="preserve"> Global Wetland Outlook</w:t>
            </w:r>
          </w:p>
        </w:tc>
        <w:tc>
          <w:tcPr>
            <w:tcW w:w="56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BD5904" w14:textId="77777777" w:rsidR="0051619C" w:rsidRPr="0051619C" w:rsidRDefault="0051619C">
            <w:pPr>
              <w:spacing w:before="60" w:after="60" w:line="240" w:lineRule="auto"/>
              <w:rPr>
                <w:color w:val="000000" w:themeColor="text1"/>
                <w:lang w:val="en-US"/>
              </w:rPr>
            </w:pPr>
            <w:r w:rsidRPr="0051619C">
              <w:rPr>
                <w:color w:val="000000" w:themeColor="text1"/>
                <w:lang w:val="en-US"/>
              </w:rPr>
              <w:t>Task 5.1. will serve as a flagship publication under the Convention, providing comprehensive, evidence-based assessments of the global status of wetlands, tracking progress against the Strategic Plan, and offering targeted recommendations for policymakers. The assessment process will follow a structured phased approach, encompassing scoping, data collection, expert review, and extensive communication efforts.</w:t>
            </w:r>
          </w:p>
        </w:tc>
        <w:tc>
          <w:tcPr>
            <w:tcW w:w="1425" w:type="dxa"/>
            <w:gridSpan w:val="2"/>
            <w:tcBorders>
              <w:left w:val="single" w:sz="8" w:space="0" w:color="000000" w:themeColor="text1"/>
              <w:bottom w:val="single" w:sz="4" w:space="0" w:color="auto"/>
              <w:right w:val="single" w:sz="8" w:space="0" w:color="000000" w:themeColor="text1"/>
            </w:tcBorders>
          </w:tcPr>
          <w:p w14:paraId="740CBA0E" w14:textId="77777777" w:rsidR="0051619C" w:rsidRPr="0051619C" w:rsidRDefault="0051619C">
            <w:pPr>
              <w:spacing w:before="60" w:after="60" w:line="240" w:lineRule="auto"/>
              <w:rPr>
                <w:lang w:val="en-US"/>
              </w:rPr>
            </w:pPr>
            <w:r w:rsidRPr="0051619C">
              <w:rPr>
                <w:lang w:val="en-US"/>
              </w:rPr>
              <w:t>Cross-triennial (subject to the availability of human and financial resources).</w:t>
            </w:r>
          </w:p>
        </w:tc>
        <w:tc>
          <w:tcPr>
            <w:tcW w:w="1913" w:type="dxa"/>
            <w:tcBorders>
              <w:left w:val="single" w:sz="8" w:space="0" w:color="000000" w:themeColor="text1"/>
              <w:bottom w:val="single" w:sz="4" w:space="0" w:color="auto"/>
              <w:right w:val="single" w:sz="8" w:space="0" w:color="000000" w:themeColor="text1"/>
            </w:tcBorders>
          </w:tcPr>
          <w:p w14:paraId="274A8F7E" w14:textId="77777777" w:rsidR="0051619C" w:rsidRPr="00390F83" w:rsidRDefault="0051619C">
            <w:pPr>
              <w:spacing w:before="60" w:after="60" w:line="240" w:lineRule="auto"/>
            </w:pPr>
            <w:r w:rsidRPr="00390F83">
              <w:t>Global Wetland Outlook 2028</w:t>
            </w:r>
          </w:p>
        </w:tc>
        <w:tc>
          <w:tcPr>
            <w:tcW w:w="1914" w:type="dxa"/>
            <w:tcBorders>
              <w:left w:val="single" w:sz="8" w:space="0" w:color="000000" w:themeColor="text1"/>
              <w:bottom w:val="single" w:sz="4" w:space="0" w:color="auto"/>
              <w:right w:val="single" w:sz="8" w:space="0" w:color="000000" w:themeColor="text1"/>
            </w:tcBorders>
          </w:tcPr>
          <w:p w14:paraId="726F9788" w14:textId="77777777" w:rsidR="0051619C" w:rsidRPr="00390F83" w:rsidRDefault="0051619C">
            <w:pPr>
              <w:spacing w:before="60" w:after="60" w:line="240" w:lineRule="auto"/>
            </w:pPr>
            <w:r w:rsidRPr="00390F83">
              <w:t>Doc. SC64.18</w:t>
            </w:r>
          </w:p>
        </w:tc>
      </w:tr>
      <w:tr w:rsidR="0051619C" w:rsidRPr="00390F83" w14:paraId="3E5BA5EF" w14:textId="77777777">
        <w:trPr>
          <w:cantSplit/>
          <w:trHeight w:val="300"/>
        </w:trPr>
        <w:tc>
          <w:tcPr>
            <w:tcW w:w="2967" w:type="dxa"/>
            <w:tcBorders>
              <w:top w:val="single" w:sz="4" w:space="0" w:color="auto"/>
              <w:left w:val="single" w:sz="8" w:space="0" w:color="000000" w:themeColor="text1"/>
              <w:bottom w:val="single" w:sz="4" w:space="0" w:color="auto"/>
              <w:right w:val="single" w:sz="8" w:space="0" w:color="000000" w:themeColor="text1"/>
            </w:tcBorders>
          </w:tcPr>
          <w:p w14:paraId="4EDA28F8" w14:textId="00FD3E34" w:rsidR="0051619C" w:rsidRPr="0051619C" w:rsidRDefault="0051619C">
            <w:pPr>
              <w:spacing w:before="60" w:after="60" w:line="240" w:lineRule="auto"/>
              <w:rPr>
                <w:color w:val="000000"/>
                <w:lang w:val="en-US"/>
              </w:rPr>
            </w:pPr>
            <w:r w:rsidRPr="0051619C">
              <w:rPr>
                <w:b/>
                <w:color w:val="000000" w:themeColor="text1"/>
                <w:lang w:val="en-US"/>
              </w:rPr>
              <w:t>Task 5.2.</w:t>
            </w:r>
            <w:r w:rsidRPr="0051619C">
              <w:rPr>
                <w:color w:val="000000" w:themeColor="text1"/>
                <w:lang w:val="en-US"/>
              </w:rPr>
              <w:t xml:space="preserve"> Improved global reporting on wetlands: synergies in the development of indicators and methods for the Convention</w:t>
            </w:r>
            <w:r w:rsidR="00035943">
              <w:rPr>
                <w:color w:val="000000" w:themeColor="text1"/>
                <w:lang w:val="en-US"/>
              </w:rPr>
              <w:t>’</w:t>
            </w:r>
            <w:r w:rsidRPr="0051619C">
              <w:rPr>
                <w:color w:val="000000" w:themeColor="text1"/>
                <w:lang w:val="en-US"/>
              </w:rPr>
              <w:t>s 5th Strategic Plan and other global processes.</w:t>
            </w:r>
          </w:p>
        </w:tc>
        <w:tc>
          <w:tcPr>
            <w:tcW w:w="5663" w:type="dxa"/>
            <w:tcBorders>
              <w:top w:val="single" w:sz="4" w:space="0" w:color="auto"/>
              <w:left w:val="single" w:sz="8" w:space="0" w:color="000000" w:themeColor="text1"/>
              <w:bottom w:val="single" w:sz="4" w:space="0" w:color="auto"/>
              <w:right w:val="single" w:sz="8" w:space="0" w:color="000000" w:themeColor="text1"/>
            </w:tcBorders>
          </w:tcPr>
          <w:p w14:paraId="22628DF5" w14:textId="2FD7CDE0" w:rsidR="0051619C" w:rsidRPr="0051619C" w:rsidRDefault="0051619C">
            <w:pPr>
              <w:spacing w:before="60" w:after="60" w:line="240" w:lineRule="auto"/>
              <w:rPr>
                <w:color w:val="000000"/>
                <w:lang w:val="en-US"/>
              </w:rPr>
            </w:pPr>
            <w:r w:rsidRPr="0051619C">
              <w:rPr>
                <w:color w:val="000000" w:themeColor="text1"/>
                <w:lang w:val="en-US"/>
              </w:rPr>
              <w:t>Task 5.2. will develop guidance on addressing indicator gaps and tools for reporting on wetlands to support the assessment of indicators and targets associated with the Convention</w:t>
            </w:r>
            <w:r w:rsidR="00035943">
              <w:rPr>
                <w:color w:val="000000" w:themeColor="text1"/>
                <w:lang w:val="en-US"/>
              </w:rPr>
              <w:t>’</w:t>
            </w:r>
            <w:r w:rsidRPr="0051619C">
              <w:rPr>
                <w:color w:val="000000" w:themeColor="text1"/>
                <w:lang w:val="en-US"/>
              </w:rPr>
              <w:t xml:space="preserve">s 5th Strategic Plan and other global assessment and reporting processes (e.g., </w:t>
            </w:r>
            <w:r w:rsidR="00BA1789" w:rsidRPr="0051619C">
              <w:rPr>
                <w:color w:val="000000" w:themeColor="text1"/>
                <w:lang w:val="en-US"/>
              </w:rPr>
              <w:t>KM</w:t>
            </w:r>
            <w:r w:rsidR="00BA1789">
              <w:rPr>
                <w:color w:val="000000" w:themeColor="text1"/>
                <w:lang w:val="en-US"/>
              </w:rPr>
              <w:t>-</w:t>
            </w:r>
            <w:r w:rsidRPr="0051619C">
              <w:rPr>
                <w:color w:val="000000" w:themeColor="text1"/>
                <w:lang w:val="en-US"/>
              </w:rPr>
              <w:t xml:space="preserve">GBF). A key opportunity will be to continue working in parallel with the </w:t>
            </w:r>
            <w:r w:rsidR="00BA1789" w:rsidRPr="0051619C">
              <w:rPr>
                <w:color w:val="000000" w:themeColor="text1"/>
                <w:lang w:val="en-US"/>
              </w:rPr>
              <w:t>KM</w:t>
            </w:r>
            <w:r w:rsidR="00BA1789">
              <w:rPr>
                <w:color w:val="000000" w:themeColor="text1"/>
                <w:lang w:val="en-US"/>
              </w:rPr>
              <w:t>-</w:t>
            </w:r>
            <w:r w:rsidRPr="0051619C">
              <w:rPr>
                <w:color w:val="000000" w:themeColor="text1"/>
                <w:lang w:val="en-US"/>
              </w:rPr>
              <w:t xml:space="preserve">GBF to promote the development of ambitious and linked wetland targets and monitoring indicators, for example, as part of National Biodiversity Strategies and Action Plans (NBSAPs). </w:t>
            </w:r>
          </w:p>
        </w:tc>
        <w:tc>
          <w:tcPr>
            <w:tcW w:w="1425" w:type="dxa"/>
            <w:gridSpan w:val="2"/>
            <w:tcBorders>
              <w:top w:val="single" w:sz="4" w:space="0" w:color="auto"/>
              <w:left w:val="single" w:sz="8" w:space="0" w:color="000000" w:themeColor="text1"/>
              <w:bottom w:val="single" w:sz="4" w:space="0" w:color="auto"/>
              <w:right w:val="single" w:sz="8" w:space="0" w:color="000000" w:themeColor="text1"/>
            </w:tcBorders>
          </w:tcPr>
          <w:p w14:paraId="39ECBE01" w14:textId="0501E711" w:rsidR="0051619C" w:rsidRPr="00390F83" w:rsidRDefault="004253DD">
            <w:pPr>
              <w:spacing w:before="60" w:after="60" w:line="240" w:lineRule="auto"/>
            </w:pPr>
            <w:r>
              <w:t>2025-2028</w:t>
            </w:r>
          </w:p>
        </w:tc>
        <w:tc>
          <w:tcPr>
            <w:tcW w:w="1913" w:type="dxa"/>
            <w:tcBorders>
              <w:top w:val="single" w:sz="4" w:space="0" w:color="auto"/>
              <w:left w:val="single" w:sz="8" w:space="0" w:color="000000" w:themeColor="text1"/>
              <w:bottom w:val="single" w:sz="4" w:space="0" w:color="auto"/>
              <w:right w:val="single" w:sz="8" w:space="0" w:color="000000" w:themeColor="text1"/>
            </w:tcBorders>
          </w:tcPr>
          <w:p w14:paraId="4A420993" w14:textId="77777777" w:rsidR="0051619C" w:rsidRPr="0051619C" w:rsidRDefault="0051619C">
            <w:pPr>
              <w:spacing w:before="60" w:after="60" w:line="240" w:lineRule="auto"/>
              <w:rPr>
                <w:lang w:val="en-US"/>
              </w:rPr>
            </w:pPr>
            <w:r w:rsidRPr="0051619C">
              <w:rPr>
                <w:lang w:val="en-US"/>
              </w:rPr>
              <w:t>Technical Report and/or Briefing Note</w:t>
            </w:r>
          </w:p>
        </w:tc>
        <w:tc>
          <w:tcPr>
            <w:tcW w:w="1914" w:type="dxa"/>
            <w:tcBorders>
              <w:top w:val="single" w:sz="4" w:space="0" w:color="auto"/>
              <w:left w:val="single" w:sz="8" w:space="0" w:color="000000" w:themeColor="text1"/>
              <w:bottom w:val="single" w:sz="4" w:space="0" w:color="auto"/>
              <w:right w:val="single" w:sz="8" w:space="0" w:color="000000" w:themeColor="text1"/>
            </w:tcBorders>
          </w:tcPr>
          <w:p w14:paraId="627624BE" w14:textId="77777777" w:rsidR="0051619C" w:rsidRPr="00390F83" w:rsidRDefault="0051619C">
            <w:pPr>
              <w:spacing w:before="60" w:after="60" w:line="240" w:lineRule="auto"/>
            </w:pPr>
            <w:r w:rsidRPr="00390F83">
              <w:t>Doc. SC63.19 (Para. 19-21 &amp; Annex 2).</w:t>
            </w:r>
          </w:p>
          <w:p w14:paraId="696C6CC8" w14:textId="77777777" w:rsidR="0051619C" w:rsidRPr="00390F83" w:rsidRDefault="0051619C">
            <w:pPr>
              <w:spacing w:before="60" w:after="60" w:line="240" w:lineRule="auto"/>
            </w:pPr>
            <w:r w:rsidRPr="00390F83">
              <w:t>Res. XIII.5</w:t>
            </w:r>
          </w:p>
          <w:p w14:paraId="7F9613BD" w14:textId="77777777" w:rsidR="0051619C" w:rsidRPr="00390F83" w:rsidRDefault="0051619C">
            <w:pPr>
              <w:spacing w:before="60" w:after="60" w:line="240" w:lineRule="auto"/>
            </w:pPr>
            <w:r w:rsidRPr="00390F83">
              <w:t>Res. XIV.14, Annex 2</w:t>
            </w:r>
          </w:p>
          <w:p w14:paraId="3B8026C2" w14:textId="77777777" w:rsidR="0051619C" w:rsidRPr="00390F83" w:rsidRDefault="0051619C">
            <w:pPr>
              <w:spacing w:before="60" w:after="60" w:line="240" w:lineRule="auto"/>
            </w:pPr>
            <w:r w:rsidRPr="00390F83">
              <w:t>Res. XIV.6, Para. 24 &amp; 44</w:t>
            </w:r>
          </w:p>
        </w:tc>
      </w:tr>
      <w:tr w:rsidR="0051619C" w:rsidRPr="00C91E5F" w14:paraId="4BD2C552" w14:textId="77777777">
        <w:trPr>
          <w:cantSplit/>
          <w:trHeight w:val="300"/>
        </w:trPr>
        <w:tc>
          <w:tcPr>
            <w:tcW w:w="2967" w:type="dxa"/>
            <w:tcBorders>
              <w:top w:val="single" w:sz="4" w:space="0" w:color="auto"/>
              <w:left w:val="single" w:sz="8" w:space="0" w:color="000000" w:themeColor="text1"/>
              <w:bottom w:val="single" w:sz="8" w:space="0" w:color="000000" w:themeColor="text1"/>
              <w:right w:val="single" w:sz="8" w:space="0" w:color="000000" w:themeColor="text1"/>
            </w:tcBorders>
          </w:tcPr>
          <w:p w14:paraId="5CF9AA46" w14:textId="77777777" w:rsidR="0051619C" w:rsidRPr="0051619C" w:rsidRDefault="0051619C">
            <w:pPr>
              <w:spacing w:before="60" w:after="60" w:line="240" w:lineRule="auto"/>
              <w:rPr>
                <w:lang w:val="en-US"/>
              </w:rPr>
            </w:pPr>
            <w:r w:rsidRPr="0051619C">
              <w:rPr>
                <w:b/>
                <w:bCs/>
                <w:color w:val="000000" w:themeColor="text1"/>
                <w:lang w:val="en-US"/>
              </w:rPr>
              <w:t>Task 5.3.</w:t>
            </w:r>
            <w:r w:rsidRPr="0051619C">
              <w:rPr>
                <w:color w:val="000000" w:themeColor="text1"/>
                <w:lang w:val="en-US"/>
              </w:rPr>
              <w:t xml:space="preserve"> </w:t>
            </w:r>
            <w:r w:rsidRPr="0051619C">
              <w:rPr>
                <w:lang w:val="en-US"/>
              </w:rPr>
              <w:t>Review of policy and legal frameworks for wetland conservation and wise use.</w:t>
            </w:r>
          </w:p>
        </w:tc>
        <w:tc>
          <w:tcPr>
            <w:tcW w:w="5663" w:type="dxa"/>
            <w:tcBorders>
              <w:top w:val="single" w:sz="4" w:space="0" w:color="auto"/>
              <w:left w:val="single" w:sz="8" w:space="0" w:color="000000" w:themeColor="text1"/>
              <w:bottom w:val="single" w:sz="8" w:space="0" w:color="000000" w:themeColor="text1"/>
              <w:right w:val="single" w:sz="8" w:space="0" w:color="000000" w:themeColor="text1"/>
            </w:tcBorders>
          </w:tcPr>
          <w:p w14:paraId="71062135" w14:textId="77777777" w:rsidR="0051619C" w:rsidRPr="0051619C" w:rsidRDefault="0051619C">
            <w:pPr>
              <w:spacing w:before="60" w:after="60" w:line="240" w:lineRule="auto"/>
              <w:rPr>
                <w:color w:val="000000" w:themeColor="text1"/>
                <w:lang w:val="en-US"/>
              </w:rPr>
            </w:pPr>
            <w:r w:rsidRPr="0051619C">
              <w:rPr>
                <w:color w:val="000000" w:themeColor="text1"/>
                <w:lang w:val="en-US"/>
              </w:rPr>
              <w:t>Task 5.3 will evaluate policy and legal frameworks to assess how effectively they support wetland conservation, restoration, and wise use. This evaluation will build on the guidance and information provided in Handbook 3: Laws and Institutions while incorporating more recent case studies and legal developments. The task will identify and showcase successful examples of wetland laws and policies that have demonstrated positive outcomes in promoting the wise use, conservation, and restoration of wetlands and provide recommendations for enhancing the implementation of these frameworks.</w:t>
            </w:r>
          </w:p>
        </w:tc>
        <w:tc>
          <w:tcPr>
            <w:tcW w:w="1425"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14:paraId="1334F008" w14:textId="350A1EBD" w:rsidR="0051619C" w:rsidRPr="00390F83" w:rsidRDefault="004253DD">
            <w:pPr>
              <w:spacing w:before="60" w:after="60" w:line="240" w:lineRule="auto"/>
            </w:pPr>
            <w:r>
              <w:t>2025-2028</w:t>
            </w:r>
          </w:p>
        </w:tc>
        <w:tc>
          <w:tcPr>
            <w:tcW w:w="1913" w:type="dxa"/>
            <w:tcBorders>
              <w:top w:val="single" w:sz="4" w:space="0" w:color="auto"/>
              <w:left w:val="single" w:sz="8" w:space="0" w:color="000000" w:themeColor="text1"/>
              <w:bottom w:val="single" w:sz="8" w:space="0" w:color="000000" w:themeColor="text1"/>
              <w:right w:val="single" w:sz="8" w:space="0" w:color="000000" w:themeColor="text1"/>
            </w:tcBorders>
          </w:tcPr>
          <w:p w14:paraId="70E92D75" w14:textId="77777777" w:rsidR="0051619C" w:rsidRPr="0051619C" w:rsidRDefault="0051619C">
            <w:pPr>
              <w:spacing w:before="60" w:after="60" w:line="240" w:lineRule="auto"/>
              <w:rPr>
                <w:lang w:val="en-US"/>
              </w:rPr>
            </w:pPr>
            <w:r w:rsidRPr="0051619C">
              <w:rPr>
                <w:lang w:val="en-US"/>
              </w:rPr>
              <w:t>Technical Report and/or Briefing Note</w:t>
            </w:r>
          </w:p>
          <w:p w14:paraId="3C81D771" w14:textId="77777777" w:rsidR="0051619C" w:rsidRPr="0051619C" w:rsidRDefault="0051619C">
            <w:pPr>
              <w:spacing w:before="60" w:after="60" w:line="240" w:lineRule="auto"/>
              <w:rPr>
                <w:lang w:val="en-US"/>
              </w:rPr>
            </w:pPr>
          </w:p>
          <w:p w14:paraId="5C32E04B" w14:textId="77777777" w:rsidR="0051619C" w:rsidRPr="00390F83" w:rsidRDefault="0051619C">
            <w:pPr>
              <w:spacing w:before="60" w:after="60" w:line="240" w:lineRule="auto"/>
            </w:pPr>
            <w:r w:rsidRPr="00390F83">
              <w:t>Policy database</w:t>
            </w:r>
          </w:p>
        </w:tc>
        <w:tc>
          <w:tcPr>
            <w:tcW w:w="1914" w:type="dxa"/>
            <w:tcBorders>
              <w:top w:val="single" w:sz="4" w:space="0" w:color="auto"/>
              <w:left w:val="single" w:sz="8" w:space="0" w:color="000000" w:themeColor="text1"/>
              <w:bottom w:val="single" w:sz="8" w:space="0" w:color="000000" w:themeColor="text1"/>
              <w:right w:val="single" w:sz="8" w:space="0" w:color="000000" w:themeColor="text1"/>
            </w:tcBorders>
          </w:tcPr>
          <w:p w14:paraId="26D379B6" w14:textId="77777777" w:rsidR="0051619C" w:rsidRPr="0051619C" w:rsidRDefault="0051619C">
            <w:pPr>
              <w:spacing w:before="60" w:after="60" w:line="240" w:lineRule="auto"/>
              <w:rPr>
                <w:lang w:val="en-US"/>
              </w:rPr>
            </w:pPr>
            <w:r w:rsidRPr="0051619C">
              <w:rPr>
                <w:lang w:val="en-US"/>
              </w:rPr>
              <w:t xml:space="preserve">SC57 Doc.8; Res. XIV.14., Annex 2; &amp; </w:t>
            </w:r>
          </w:p>
          <w:p w14:paraId="19F0F424" w14:textId="77777777" w:rsidR="0051619C" w:rsidRPr="0051619C" w:rsidRDefault="0051619C">
            <w:pPr>
              <w:spacing w:before="60" w:after="60" w:line="240" w:lineRule="auto"/>
              <w:rPr>
                <w:lang w:val="en-US"/>
              </w:rPr>
            </w:pPr>
            <w:r w:rsidRPr="0051619C">
              <w:rPr>
                <w:lang w:val="en-US"/>
              </w:rPr>
              <w:t>Continuation from STRP 2023-25 work plan (Pre-SC62 Intersessional Decision 04).</w:t>
            </w:r>
          </w:p>
        </w:tc>
      </w:tr>
    </w:tbl>
    <w:p w14:paraId="6FE8B620" w14:textId="77777777" w:rsidR="0051619C" w:rsidRPr="0051619C" w:rsidRDefault="0051619C" w:rsidP="0051619C">
      <w:pPr>
        <w:spacing w:line="240" w:lineRule="auto"/>
        <w:rPr>
          <w:lang w:val="en-US"/>
        </w:rPr>
        <w:sectPr w:rsidR="0051619C" w:rsidRPr="0051619C" w:rsidSect="0051619C">
          <w:footerReference w:type="default" r:id="rId14"/>
          <w:pgSz w:w="16838" w:h="11906" w:orient="landscape" w:code="9"/>
          <w:pgMar w:top="1440" w:right="1440" w:bottom="1440" w:left="1440" w:header="720" w:footer="720" w:gutter="0"/>
          <w:cols w:space="720"/>
          <w:rtlGutter/>
          <w:docGrid w:linePitch="360"/>
        </w:sectPr>
      </w:pPr>
    </w:p>
    <w:p w14:paraId="4D9FD393" w14:textId="77777777" w:rsidR="0051619C" w:rsidRPr="0051619C" w:rsidRDefault="0051619C" w:rsidP="0051619C">
      <w:pPr>
        <w:spacing w:line="240" w:lineRule="auto"/>
        <w:rPr>
          <w:b/>
          <w:bCs/>
          <w:lang w:val="en-US"/>
        </w:rPr>
      </w:pPr>
      <w:r w:rsidRPr="0051619C">
        <w:rPr>
          <w:b/>
          <w:bCs/>
          <w:lang w:val="en-US"/>
        </w:rPr>
        <w:lastRenderedPageBreak/>
        <w:t>Additional STRP tasks</w:t>
      </w:r>
    </w:p>
    <w:p w14:paraId="07848240" w14:textId="77777777" w:rsidR="0051619C" w:rsidRPr="0051619C" w:rsidRDefault="0051619C" w:rsidP="0051619C">
      <w:pPr>
        <w:spacing w:line="240" w:lineRule="auto"/>
        <w:rPr>
          <w:lang w:val="en-US"/>
        </w:rPr>
      </w:pPr>
    </w:p>
    <w:p w14:paraId="01858E8C" w14:textId="604A0EE7" w:rsidR="0051619C" w:rsidRPr="0051619C" w:rsidRDefault="0051619C" w:rsidP="0051619C">
      <w:pPr>
        <w:spacing w:line="240" w:lineRule="auto"/>
        <w:ind w:left="432" w:hanging="432"/>
        <w:rPr>
          <w:lang w:val="en-US"/>
        </w:rPr>
      </w:pPr>
      <w:r w:rsidRPr="0051619C">
        <w:rPr>
          <w:lang w:val="en-US"/>
        </w:rPr>
        <w:t>4.</w:t>
      </w:r>
      <w:r w:rsidRPr="0051619C">
        <w:rPr>
          <w:lang w:val="en-US"/>
        </w:rPr>
        <w:tab/>
        <w:t xml:space="preserve">Further tasks may be considered for inclusion in the STRP work plan for the </w:t>
      </w:r>
      <w:r w:rsidR="004253DD">
        <w:rPr>
          <w:lang w:val="en-US"/>
        </w:rPr>
        <w:t>2025-2028</w:t>
      </w:r>
      <w:r w:rsidRPr="0051619C">
        <w:rPr>
          <w:lang w:val="en-US"/>
        </w:rPr>
        <w:t xml:space="preserve"> triennium.</w:t>
      </w:r>
    </w:p>
    <w:p w14:paraId="7BBA344C" w14:textId="3FF1B89F" w:rsidR="0051619C" w:rsidRPr="0051619C" w:rsidRDefault="0051619C" w:rsidP="0051619C">
      <w:pPr>
        <w:spacing w:line="240" w:lineRule="auto"/>
        <w:rPr>
          <w:lang w:val="en-US"/>
        </w:rPr>
      </w:pPr>
      <w:r w:rsidRPr="0051619C">
        <w:rPr>
          <w:lang w:val="en-US"/>
        </w:rPr>
        <w:t>Potential tasks identified during the Panel</w:t>
      </w:r>
      <w:r w:rsidR="00035943">
        <w:rPr>
          <w:lang w:val="en-US"/>
        </w:rPr>
        <w:t>’</w:t>
      </w:r>
      <w:r w:rsidRPr="0051619C">
        <w:rPr>
          <w:lang w:val="en-US"/>
        </w:rPr>
        <w:t xml:space="preserve">s consultation on potential priorities are briefly itemized in the table below. However, careful thought needs to be given to availability of human and financial resources in establishing the STRP work plan for the </w:t>
      </w:r>
      <w:r w:rsidR="004253DD">
        <w:rPr>
          <w:lang w:val="en-US"/>
        </w:rPr>
        <w:t>2025-2028</w:t>
      </w:r>
      <w:r w:rsidRPr="0051619C">
        <w:rPr>
          <w:lang w:val="en-US"/>
        </w:rPr>
        <w:t xml:space="preserve"> triennium. </w:t>
      </w:r>
    </w:p>
    <w:p w14:paraId="31754498" w14:textId="77777777" w:rsidR="0051619C" w:rsidRPr="0051619C" w:rsidRDefault="0051619C" w:rsidP="0051619C">
      <w:pPr>
        <w:spacing w:line="240" w:lineRule="auto"/>
        <w:rPr>
          <w:lang w:val="en-US"/>
        </w:rPr>
      </w:pPr>
    </w:p>
    <w:tbl>
      <w:tblPr>
        <w:tblW w:w="8900" w:type="dxa"/>
        <w:tblLayout w:type="fixed"/>
        <w:tblLook w:val="0400" w:firstRow="0" w:lastRow="0" w:firstColumn="0" w:lastColumn="0" w:noHBand="0" w:noVBand="1"/>
      </w:tblPr>
      <w:tblGrid>
        <w:gridCol w:w="3676"/>
        <w:gridCol w:w="5224"/>
      </w:tblGrid>
      <w:tr w:rsidR="0051619C" w:rsidRPr="00390F83" w14:paraId="71DCB1DE" w14:textId="77777777">
        <w:trPr>
          <w:cantSplit/>
          <w:tblHeader/>
        </w:trPr>
        <w:tc>
          <w:tcPr>
            <w:tcW w:w="3676" w:type="dxa"/>
            <w:tcBorders>
              <w:top w:val="single" w:sz="8" w:space="0" w:color="000000"/>
              <w:left w:val="single" w:sz="8" w:space="0" w:color="000000"/>
              <w:bottom w:val="single" w:sz="8" w:space="0" w:color="000000"/>
              <w:right w:val="single" w:sz="8" w:space="0" w:color="000000"/>
            </w:tcBorders>
            <w:shd w:val="clear" w:color="auto" w:fill="D9D9D9"/>
          </w:tcPr>
          <w:p w14:paraId="7AD53955" w14:textId="77777777" w:rsidR="0051619C" w:rsidRPr="0051619C" w:rsidRDefault="0051619C">
            <w:pPr>
              <w:spacing w:line="240" w:lineRule="auto"/>
              <w:rPr>
                <w:b/>
                <w:color w:val="000000"/>
                <w:lang w:val="en-US"/>
              </w:rPr>
            </w:pPr>
            <w:r w:rsidRPr="0051619C">
              <w:rPr>
                <w:b/>
                <w:color w:val="000000"/>
                <w:lang w:val="en-US"/>
              </w:rPr>
              <w:t xml:space="preserve">Further emerging issues identified </w:t>
            </w:r>
          </w:p>
          <w:p w14:paraId="610561F8" w14:textId="77777777" w:rsidR="0051619C" w:rsidRPr="0051619C" w:rsidRDefault="0051619C">
            <w:pPr>
              <w:spacing w:line="240" w:lineRule="auto"/>
              <w:rPr>
                <w:b/>
                <w:color w:val="000000"/>
                <w:lang w:val="en-US"/>
              </w:rPr>
            </w:pPr>
            <w:r w:rsidRPr="0051619C">
              <w:rPr>
                <w:b/>
                <w:color w:val="000000"/>
                <w:lang w:val="en-US"/>
              </w:rPr>
              <w:t>by the STRP</w:t>
            </w:r>
          </w:p>
        </w:tc>
        <w:tc>
          <w:tcPr>
            <w:tcW w:w="5224" w:type="dxa"/>
            <w:tcBorders>
              <w:top w:val="single" w:sz="8" w:space="0" w:color="000000"/>
              <w:left w:val="single" w:sz="8" w:space="0" w:color="000000"/>
              <w:bottom w:val="single" w:sz="8" w:space="0" w:color="000000"/>
              <w:right w:val="single" w:sz="8" w:space="0" w:color="000000"/>
            </w:tcBorders>
            <w:shd w:val="clear" w:color="auto" w:fill="D9D9D9"/>
          </w:tcPr>
          <w:p w14:paraId="268C5D1C" w14:textId="77777777" w:rsidR="0051619C" w:rsidRPr="00390F83" w:rsidRDefault="0051619C">
            <w:pPr>
              <w:spacing w:line="240" w:lineRule="auto"/>
              <w:rPr>
                <w:b/>
              </w:rPr>
            </w:pPr>
            <w:r w:rsidRPr="00390F83">
              <w:rPr>
                <w:b/>
              </w:rPr>
              <w:t>Description</w:t>
            </w:r>
          </w:p>
        </w:tc>
      </w:tr>
      <w:tr w:rsidR="0051619C" w:rsidRPr="00C91E5F" w14:paraId="4094AD6F" w14:textId="77777777">
        <w:trPr>
          <w:cantSplit/>
        </w:trPr>
        <w:tc>
          <w:tcPr>
            <w:tcW w:w="3676" w:type="dxa"/>
            <w:tcBorders>
              <w:top w:val="single" w:sz="8" w:space="0" w:color="000000"/>
              <w:left w:val="single" w:sz="8" w:space="0" w:color="000000"/>
              <w:bottom w:val="single" w:sz="8" w:space="0" w:color="000000"/>
              <w:right w:val="single" w:sz="8" w:space="0" w:color="000000"/>
            </w:tcBorders>
          </w:tcPr>
          <w:p w14:paraId="3AA0826B" w14:textId="77777777" w:rsidR="0051619C" w:rsidRPr="0051619C" w:rsidRDefault="0051619C" w:rsidP="0051619C">
            <w:pPr>
              <w:pStyle w:val="ListParagraph"/>
              <w:numPr>
                <w:ilvl w:val="0"/>
                <w:numId w:val="4"/>
              </w:numPr>
              <w:spacing w:line="240" w:lineRule="auto"/>
              <w:ind w:left="242" w:hanging="242"/>
              <w:rPr>
                <w:lang w:val="en-US"/>
              </w:rPr>
            </w:pPr>
            <w:r w:rsidRPr="0051619C">
              <w:rPr>
                <w:lang w:val="en-US"/>
              </w:rPr>
              <w:t>Revised framework for the Convention and other MEAs to coordinate global reporting on wetland extent and degradation.</w:t>
            </w:r>
          </w:p>
        </w:tc>
        <w:tc>
          <w:tcPr>
            <w:tcW w:w="5224" w:type="dxa"/>
            <w:tcBorders>
              <w:top w:val="single" w:sz="8" w:space="0" w:color="000000"/>
              <w:left w:val="single" w:sz="8" w:space="0" w:color="000000"/>
              <w:bottom w:val="single" w:sz="8" w:space="0" w:color="000000"/>
              <w:right w:val="single" w:sz="8" w:space="0" w:color="000000"/>
            </w:tcBorders>
          </w:tcPr>
          <w:p w14:paraId="3AB80495" w14:textId="77777777" w:rsidR="0051619C" w:rsidRPr="0051619C" w:rsidRDefault="0051619C">
            <w:pPr>
              <w:spacing w:line="240" w:lineRule="auto"/>
              <w:ind w:left="78" w:hanging="2"/>
              <w:rPr>
                <w:color w:val="000000"/>
                <w:lang w:val="en-US"/>
              </w:rPr>
            </w:pPr>
            <w:r w:rsidRPr="0051619C">
              <w:rPr>
                <w:color w:val="000000"/>
                <w:lang w:val="en-US"/>
              </w:rPr>
              <w:t>Develop a standardized reporting framework to harmonize and enhance global coordination of data on wetland extent, condition, and degradation across multiple MEAs, improving monitoring and reporting on wetland health.</w:t>
            </w:r>
          </w:p>
        </w:tc>
      </w:tr>
      <w:tr w:rsidR="0051619C" w:rsidRPr="00C425AB" w14:paraId="4FA21477" w14:textId="77777777">
        <w:trPr>
          <w:cantSplit/>
        </w:trPr>
        <w:tc>
          <w:tcPr>
            <w:tcW w:w="3676" w:type="dxa"/>
            <w:tcBorders>
              <w:top w:val="single" w:sz="8" w:space="0" w:color="000000"/>
              <w:left w:val="single" w:sz="8" w:space="0" w:color="000000"/>
              <w:bottom w:val="single" w:sz="8" w:space="0" w:color="000000"/>
              <w:right w:val="single" w:sz="8" w:space="0" w:color="000000"/>
            </w:tcBorders>
          </w:tcPr>
          <w:p w14:paraId="22CE44FB" w14:textId="77777777" w:rsidR="0051619C" w:rsidRPr="0051619C" w:rsidRDefault="0051619C" w:rsidP="0051619C">
            <w:pPr>
              <w:pStyle w:val="ListParagraph"/>
              <w:numPr>
                <w:ilvl w:val="0"/>
                <w:numId w:val="4"/>
              </w:numPr>
              <w:spacing w:line="240" w:lineRule="auto"/>
              <w:ind w:left="242" w:hanging="242"/>
              <w:rPr>
                <w:lang w:val="en-US"/>
              </w:rPr>
            </w:pPr>
            <w:r w:rsidRPr="0051619C">
              <w:rPr>
                <w:lang w:val="en-US"/>
              </w:rPr>
              <w:t>Developing a comprehensive global wetland inventory</w:t>
            </w:r>
          </w:p>
        </w:tc>
        <w:tc>
          <w:tcPr>
            <w:tcW w:w="5224" w:type="dxa"/>
            <w:tcBorders>
              <w:top w:val="single" w:sz="8" w:space="0" w:color="000000"/>
              <w:left w:val="single" w:sz="8" w:space="0" w:color="000000"/>
              <w:bottom w:val="single" w:sz="8" w:space="0" w:color="000000"/>
              <w:right w:val="single" w:sz="8" w:space="0" w:color="000000"/>
            </w:tcBorders>
          </w:tcPr>
          <w:p w14:paraId="5E3919DD" w14:textId="68300C7B" w:rsidR="0051619C" w:rsidRPr="0051619C" w:rsidRDefault="0051619C">
            <w:pPr>
              <w:spacing w:line="240" w:lineRule="auto"/>
              <w:ind w:left="78" w:hanging="2"/>
              <w:rPr>
                <w:color w:val="000000"/>
                <w:lang w:val="en-US"/>
              </w:rPr>
            </w:pPr>
            <w:r w:rsidRPr="0051619C">
              <w:rPr>
                <w:color w:val="000000"/>
                <w:lang w:val="en-US"/>
              </w:rPr>
              <w:t>Developing a global wetland inventory that consolidates existing data and fills in gaps to provide an accurate and comprehensive overview of wetland ecosystems worldwide.</w:t>
            </w:r>
            <w:r w:rsidR="00EB1871">
              <w:rPr>
                <w:color w:val="000000"/>
                <w:lang w:val="en-US"/>
              </w:rPr>
              <w:t xml:space="preserve"> This work would be impleme</w:t>
            </w:r>
            <w:r w:rsidR="0014519E">
              <w:rPr>
                <w:color w:val="000000"/>
                <w:lang w:val="en-US"/>
              </w:rPr>
              <w:t xml:space="preserve">nted through GEO Wetlands. </w:t>
            </w:r>
          </w:p>
        </w:tc>
      </w:tr>
      <w:tr w:rsidR="0051619C" w:rsidRPr="00C91E5F" w14:paraId="132F3119" w14:textId="77777777">
        <w:trPr>
          <w:cantSplit/>
        </w:trPr>
        <w:tc>
          <w:tcPr>
            <w:tcW w:w="3676" w:type="dxa"/>
            <w:tcBorders>
              <w:top w:val="single" w:sz="8" w:space="0" w:color="000000"/>
              <w:left w:val="single" w:sz="8" w:space="0" w:color="000000"/>
              <w:bottom w:val="single" w:sz="8" w:space="0" w:color="000000"/>
              <w:right w:val="single" w:sz="8" w:space="0" w:color="000000"/>
            </w:tcBorders>
          </w:tcPr>
          <w:p w14:paraId="17F809A0" w14:textId="77777777" w:rsidR="0051619C" w:rsidRPr="0051619C" w:rsidRDefault="0051619C" w:rsidP="0051619C">
            <w:pPr>
              <w:pStyle w:val="ListParagraph"/>
              <w:numPr>
                <w:ilvl w:val="0"/>
                <w:numId w:val="4"/>
              </w:numPr>
              <w:spacing w:line="240" w:lineRule="auto"/>
              <w:ind w:left="242" w:hanging="242"/>
              <w:rPr>
                <w:lang w:val="en-US"/>
              </w:rPr>
            </w:pPr>
            <w:r w:rsidRPr="0051619C">
              <w:rPr>
                <w:lang w:val="en-US"/>
              </w:rPr>
              <w:t>Wetland mapping and inventory in a peri-urban context</w:t>
            </w:r>
          </w:p>
        </w:tc>
        <w:tc>
          <w:tcPr>
            <w:tcW w:w="5224" w:type="dxa"/>
            <w:tcBorders>
              <w:top w:val="single" w:sz="8" w:space="0" w:color="000000"/>
              <w:left w:val="single" w:sz="8" w:space="0" w:color="000000"/>
              <w:bottom w:val="single" w:sz="8" w:space="0" w:color="000000"/>
              <w:right w:val="single" w:sz="8" w:space="0" w:color="000000"/>
            </w:tcBorders>
          </w:tcPr>
          <w:p w14:paraId="21960449" w14:textId="77777777" w:rsidR="0051619C" w:rsidRPr="0051619C" w:rsidRDefault="0051619C">
            <w:pPr>
              <w:spacing w:line="240" w:lineRule="auto"/>
              <w:ind w:left="78" w:hanging="2"/>
              <w:rPr>
                <w:color w:val="000000"/>
                <w:lang w:val="en-US"/>
              </w:rPr>
            </w:pPr>
            <w:r w:rsidRPr="0051619C">
              <w:rPr>
                <w:color w:val="000000"/>
                <w:lang w:val="en-US"/>
              </w:rPr>
              <w:t>Address the specific challenges of wetland mapping and inventorying in peri-urban areas, where pressures from urban expansion and land-use changes pose significant threats to wetland ecosystems.</w:t>
            </w:r>
          </w:p>
        </w:tc>
      </w:tr>
      <w:tr w:rsidR="0051619C" w:rsidRPr="00C91E5F" w14:paraId="0CE1DF83" w14:textId="77777777">
        <w:trPr>
          <w:cantSplit/>
        </w:trPr>
        <w:tc>
          <w:tcPr>
            <w:tcW w:w="3676" w:type="dxa"/>
            <w:tcBorders>
              <w:top w:val="single" w:sz="8" w:space="0" w:color="000000"/>
              <w:left w:val="single" w:sz="8" w:space="0" w:color="000000"/>
              <w:bottom w:val="single" w:sz="8" w:space="0" w:color="000000"/>
              <w:right w:val="single" w:sz="8" w:space="0" w:color="000000"/>
            </w:tcBorders>
          </w:tcPr>
          <w:p w14:paraId="147B57FD" w14:textId="77777777" w:rsidR="0051619C" w:rsidRPr="0051619C" w:rsidRDefault="0051619C" w:rsidP="0051619C">
            <w:pPr>
              <w:pStyle w:val="ListParagraph"/>
              <w:numPr>
                <w:ilvl w:val="0"/>
                <w:numId w:val="4"/>
              </w:numPr>
              <w:spacing w:line="240" w:lineRule="auto"/>
              <w:ind w:left="242" w:hanging="242"/>
              <w:rPr>
                <w:lang w:val="en-US"/>
              </w:rPr>
            </w:pPr>
            <w:r w:rsidRPr="0051619C">
              <w:rPr>
                <w:lang w:val="en-US"/>
              </w:rPr>
              <w:t>Changes in hydrological cycles and how to manage drying cycles</w:t>
            </w:r>
          </w:p>
        </w:tc>
        <w:tc>
          <w:tcPr>
            <w:tcW w:w="5224" w:type="dxa"/>
            <w:tcBorders>
              <w:top w:val="single" w:sz="8" w:space="0" w:color="000000"/>
              <w:left w:val="single" w:sz="8" w:space="0" w:color="000000"/>
              <w:bottom w:val="single" w:sz="8" w:space="0" w:color="000000"/>
              <w:right w:val="single" w:sz="8" w:space="0" w:color="000000"/>
            </w:tcBorders>
          </w:tcPr>
          <w:p w14:paraId="5AEB3876" w14:textId="77777777" w:rsidR="0051619C" w:rsidRPr="0051619C" w:rsidRDefault="0051619C">
            <w:pPr>
              <w:spacing w:line="240" w:lineRule="auto"/>
              <w:ind w:left="78" w:hanging="2"/>
              <w:rPr>
                <w:color w:val="000000"/>
                <w:lang w:val="en-US"/>
              </w:rPr>
            </w:pPr>
            <w:r w:rsidRPr="0051619C">
              <w:rPr>
                <w:color w:val="000000"/>
                <w:lang w:val="en-US"/>
              </w:rPr>
              <w:t>Explore the effects of changing hydrological cycles, including increased drying, on wetland ecosystems and develop strategies to manage these shifts to ensure wetland resilience and functionality</w:t>
            </w:r>
          </w:p>
        </w:tc>
      </w:tr>
      <w:tr w:rsidR="0051619C" w:rsidRPr="00C91E5F" w14:paraId="0A8E03E5" w14:textId="77777777">
        <w:trPr>
          <w:cantSplit/>
        </w:trPr>
        <w:tc>
          <w:tcPr>
            <w:tcW w:w="3676" w:type="dxa"/>
            <w:tcBorders>
              <w:top w:val="single" w:sz="8" w:space="0" w:color="000000"/>
              <w:left w:val="single" w:sz="8" w:space="0" w:color="000000"/>
              <w:bottom w:val="single" w:sz="8" w:space="0" w:color="000000"/>
              <w:right w:val="single" w:sz="8" w:space="0" w:color="000000"/>
            </w:tcBorders>
          </w:tcPr>
          <w:p w14:paraId="5048537F" w14:textId="77777777" w:rsidR="0051619C" w:rsidRPr="0051619C" w:rsidRDefault="0051619C" w:rsidP="0051619C">
            <w:pPr>
              <w:pStyle w:val="ListParagraph"/>
              <w:numPr>
                <w:ilvl w:val="0"/>
                <w:numId w:val="4"/>
              </w:numPr>
              <w:spacing w:line="240" w:lineRule="auto"/>
              <w:ind w:left="242" w:hanging="242"/>
              <w:rPr>
                <w:lang w:val="en-US"/>
              </w:rPr>
            </w:pPr>
            <w:r w:rsidRPr="0051619C">
              <w:rPr>
                <w:lang w:val="en-US"/>
              </w:rPr>
              <w:t>Support for livelihoods of wetland communities</w:t>
            </w:r>
          </w:p>
        </w:tc>
        <w:tc>
          <w:tcPr>
            <w:tcW w:w="5224" w:type="dxa"/>
            <w:tcBorders>
              <w:top w:val="single" w:sz="8" w:space="0" w:color="000000"/>
              <w:left w:val="single" w:sz="8" w:space="0" w:color="000000"/>
              <w:bottom w:val="single" w:sz="8" w:space="0" w:color="000000"/>
              <w:right w:val="single" w:sz="8" w:space="0" w:color="000000"/>
            </w:tcBorders>
          </w:tcPr>
          <w:p w14:paraId="01B7FDBE" w14:textId="77777777" w:rsidR="0051619C" w:rsidRPr="0051619C" w:rsidRDefault="0051619C">
            <w:pPr>
              <w:spacing w:line="240" w:lineRule="auto"/>
              <w:ind w:left="78" w:hanging="2"/>
              <w:rPr>
                <w:color w:val="000000"/>
                <w:lang w:val="en-US"/>
              </w:rPr>
            </w:pPr>
            <w:r w:rsidRPr="0051619C">
              <w:rPr>
                <w:color w:val="000000"/>
                <w:lang w:val="en-US"/>
              </w:rPr>
              <w:t>Development of strategies to support and enhance the livelihoods of communities living in or around wetlands, ensuring that wetland conservation and wise use align with the social and economic well-being of local populations.</w:t>
            </w:r>
          </w:p>
        </w:tc>
      </w:tr>
      <w:tr w:rsidR="0051619C" w:rsidRPr="00C91E5F" w14:paraId="40A423C3" w14:textId="77777777">
        <w:trPr>
          <w:cantSplit/>
        </w:trPr>
        <w:tc>
          <w:tcPr>
            <w:tcW w:w="3676" w:type="dxa"/>
            <w:tcBorders>
              <w:top w:val="single" w:sz="8" w:space="0" w:color="000000"/>
              <w:left w:val="single" w:sz="8" w:space="0" w:color="000000"/>
              <w:bottom w:val="single" w:sz="8" w:space="0" w:color="000000"/>
              <w:right w:val="single" w:sz="8" w:space="0" w:color="000000"/>
            </w:tcBorders>
          </w:tcPr>
          <w:p w14:paraId="05381F92" w14:textId="77777777" w:rsidR="0051619C" w:rsidRPr="0051619C" w:rsidRDefault="0051619C" w:rsidP="0051619C">
            <w:pPr>
              <w:pStyle w:val="ListParagraph"/>
              <w:numPr>
                <w:ilvl w:val="0"/>
                <w:numId w:val="4"/>
              </w:numPr>
              <w:spacing w:line="240" w:lineRule="auto"/>
              <w:ind w:left="242" w:hanging="242"/>
              <w:rPr>
                <w:lang w:val="en-US"/>
              </w:rPr>
            </w:pPr>
            <w:r w:rsidRPr="0051619C">
              <w:rPr>
                <w:lang w:val="en-US"/>
              </w:rPr>
              <w:t>Impacts on wetlands from the shift to electric energy sources and mineral use</w:t>
            </w:r>
          </w:p>
        </w:tc>
        <w:tc>
          <w:tcPr>
            <w:tcW w:w="5224" w:type="dxa"/>
            <w:tcBorders>
              <w:top w:val="single" w:sz="8" w:space="0" w:color="000000"/>
              <w:left w:val="single" w:sz="8" w:space="0" w:color="000000"/>
              <w:bottom w:val="single" w:sz="8" w:space="0" w:color="000000"/>
              <w:right w:val="single" w:sz="8" w:space="0" w:color="000000"/>
            </w:tcBorders>
          </w:tcPr>
          <w:p w14:paraId="551FD110" w14:textId="77777777" w:rsidR="0051619C" w:rsidRPr="0051619C" w:rsidRDefault="0051619C">
            <w:pPr>
              <w:spacing w:line="240" w:lineRule="auto"/>
              <w:ind w:left="78" w:hanging="2"/>
              <w:rPr>
                <w:color w:val="000000"/>
                <w:lang w:val="en-US"/>
              </w:rPr>
            </w:pPr>
            <w:r w:rsidRPr="0051619C">
              <w:rPr>
                <w:color w:val="000000"/>
                <w:lang w:val="en-US"/>
              </w:rPr>
              <w:t>Investigate the environmental impacts on wetlands resulting from the growing demand for electric energy sources and the extraction of minerals, particularly focusing on land-use changes, pollution, and habitat degradation</w:t>
            </w:r>
          </w:p>
        </w:tc>
      </w:tr>
      <w:tr w:rsidR="0051619C" w:rsidRPr="00C91E5F" w14:paraId="7475B61E" w14:textId="77777777">
        <w:trPr>
          <w:cantSplit/>
        </w:trPr>
        <w:tc>
          <w:tcPr>
            <w:tcW w:w="3676" w:type="dxa"/>
            <w:tcBorders>
              <w:top w:val="single" w:sz="8" w:space="0" w:color="000000"/>
              <w:left w:val="single" w:sz="8" w:space="0" w:color="000000"/>
              <w:bottom w:val="single" w:sz="8" w:space="0" w:color="000000"/>
              <w:right w:val="single" w:sz="8" w:space="0" w:color="000000"/>
            </w:tcBorders>
          </w:tcPr>
          <w:p w14:paraId="73FCD7B0" w14:textId="77777777" w:rsidR="0051619C" w:rsidRPr="0051619C" w:rsidRDefault="0051619C" w:rsidP="0051619C">
            <w:pPr>
              <w:pStyle w:val="ListParagraph"/>
              <w:numPr>
                <w:ilvl w:val="0"/>
                <w:numId w:val="4"/>
              </w:numPr>
              <w:spacing w:line="240" w:lineRule="auto"/>
              <w:ind w:left="242" w:hanging="242"/>
              <w:rPr>
                <w:lang w:val="en-US"/>
              </w:rPr>
            </w:pPr>
            <w:r w:rsidRPr="0051619C">
              <w:rPr>
                <w:lang w:val="en-US"/>
              </w:rPr>
              <w:t>Challenges associated with biodiversity and carbon credits</w:t>
            </w:r>
          </w:p>
        </w:tc>
        <w:tc>
          <w:tcPr>
            <w:tcW w:w="5224" w:type="dxa"/>
            <w:tcBorders>
              <w:top w:val="single" w:sz="8" w:space="0" w:color="000000"/>
              <w:left w:val="single" w:sz="8" w:space="0" w:color="000000"/>
              <w:bottom w:val="single" w:sz="8" w:space="0" w:color="000000"/>
              <w:right w:val="single" w:sz="8" w:space="0" w:color="000000"/>
            </w:tcBorders>
          </w:tcPr>
          <w:p w14:paraId="45EB71B3" w14:textId="53D91BEF" w:rsidR="0051619C" w:rsidRPr="0051619C" w:rsidRDefault="0051619C">
            <w:pPr>
              <w:spacing w:line="240" w:lineRule="auto"/>
              <w:ind w:left="78" w:hanging="2"/>
              <w:rPr>
                <w:color w:val="000000"/>
                <w:lang w:val="en-US"/>
              </w:rPr>
            </w:pPr>
            <w:r w:rsidRPr="0051619C">
              <w:rPr>
                <w:color w:val="000000"/>
                <w:lang w:val="en-US"/>
              </w:rPr>
              <w:t>Address the complexities and challenges of biodiversity and carbon credit mechanisms in wetland ecosystems, aiming to propose frameworks that can maximize both carbon sequestration and biodiversity protection</w:t>
            </w:r>
          </w:p>
        </w:tc>
      </w:tr>
      <w:tr w:rsidR="0051619C" w:rsidRPr="00C91E5F" w14:paraId="0AC1A2CD" w14:textId="77777777">
        <w:trPr>
          <w:cantSplit/>
        </w:trPr>
        <w:tc>
          <w:tcPr>
            <w:tcW w:w="3676" w:type="dxa"/>
            <w:tcBorders>
              <w:top w:val="single" w:sz="8" w:space="0" w:color="000000"/>
              <w:left w:val="single" w:sz="8" w:space="0" w:color="000000"/>
              <w:bottom w:val="single" w:sz="8" w:space="0" w:color="000000"/>
              <w:right w:val="single" w:sz="8" w:space="0" w:color="000000"/>
            </w:tcBorders>
          </w:tcPr>
          <w:p w14:paraId="62D891C9" w14:textId="77777777" w:rsidR="0051619C" w:rsidRPr="0051619C" w:rsidRDefault="0051619C" w:rsidP="0051619C">
            <w:pPr>
              <w:pStyle w:val="ListParagraph"/>
              <w:numPr>
                <w:ilvl w:val="0"/>
                <w:numId w:val="4"/>
              </w:numPr>
              <w:spacing w:line="240" w:lineRule="auto"/>
              <w:ind w:left="242" w:hanging="242"/>
              <w:rPr>
                <w:color w:val="000000"/>
                <w:lang w:val="en-US"/>
              </w:rPr>
            </w:pPr>
            <w:r w:rsidRPr="0051619C">
              <w:rPr>
                <w:lang w:val="en-US"/>
              </w:rPr>
              <w:t>Integrated wetland assessments to address threats at the river basin scale</w:t>
            </w:r>
          </w:p>
        </w:tc>
        <w:tc>
          <w:tcPr>
            <w:tcW w:w="5224" w:type="dxa"/>
            <w:tcBorders>
              <w:top w:val="single" w:sz="8" w:space="0" w:color="000000"/>
              <w:left w:val="single" w:sz="8" w:space="0" w:color="000000"/>
              <w:bottom w:val="single" w:sz="8" w:space="0" w:color="000000"/>
              <w:right w:val="single" w:sz="8" w:space="0" w:color="000000"/>
            </w:tcBorders>
          </w:tcPr>
          <w:p w14:paraId="295DB3A6" w14:textId="77777777" w:rsidR="0051619C" w:rsidRPr="0051619C" w:rsidRDefault="0051619C">
            <w:pPr>
              <w:spacing w:line="240" w:lineRule="auto"/>
              <w:ind w:left="78" w:hanging="2"/>
              <w:rPr>
                <w:color w:val="000000"/>
                <w:lang w:val="en-US"/>
              </w:rPr>
            </w:pPr>
            <w:r w:rsidRPr="0051619C">
              <w:rPr>
                <w:color w:val="000000"/>
                <w:lang w:val="en-US"/>
              </w:rPr>
              <w:t>Assessment of wetland ecosystems at the river basin scale, incorporating hydrological, ecological, and socio-economic factors to address threats holistically and promote basin-wide wetland management.</w:t>
            </w:r>
          </w:p>
        </w:tc>
      </w:tr>
      <w:tr w:rsidR="0051619C" w:rsidRPr="00C91E5F" w14:paraId="209F0734" w14:textId="77777777">
        <w:trPr>
          <w:cantSplit/>
        </w:trPr>
        <w:tc>
          <w:tcPr>
            <w:tcW w:w="3676" w:type="dxa"/>
            <w:tcBorders>
              <w:top w:val="single" w:sz="8" w:space="0" w:color="000000"/>
              <w:left w:val="single" w:sz="8" w:space="0" w:color="000000"/>
              <w:bottom w:val="single" w:sz="8" w:space="0" w:color="000000"/>
              <w:right w:val="single" w:sz="8" w:space="0" w:color="000000"/>
            </w:tcBorders>
          </w:tcPr>
          <w:p w14:paraId="418F4E7E" w14:textId="77777777" w:rsidR="0051619C" w:rsidRPr="0051619C" w:rsidRDefault="0051619C" w:rsidP="0051619C">
            <w:pPr>
              <w:pStyle w:val="ListParagraph"/>
              <w:numPr>
                <w:ilvl w:val="0"/>
                <w:numId w:val="4"/>
              </w:numPr>
              <w:spacing w:line="240" w:lineRule="auto"/>
              <w:ind w:left="242" w:hanging="242"/>
              <w:rPr>
                <w:color w:val="000000"/>
                <w:lang w:val="en-US"/>
              </w:rPr>
            </w:pPr>
            <w:r w:rsidRPr="0051619C">
              <w:rPr>
                <w:lang w:val="en-US"/>
              </w:rPr>
              <w:t>Carbon capture potential for mineral soil wetlands</w:t>
            </w:r>
          </w:p>
        </w:tc>
        <w:tc>
          <w:tcPr>
            <w:tcW w:w="5224" w:type="dxa"/>
            <w:tcBorders>
              <w:top w:val="single" w:sz="8" w:space="0" w:color="000000"/>
              <w:left w:val="single" w:sz="8" w:space="0" w:color="000000"/>
              <w:bottom w:val="single" w:sz="8" w:space="0" w:color="000000"/>
              <w:right w:val="single" w:sz="8" w:space="0" w:color="000000"/>
            </w:tcBorders>
          </w:tcPr>
          <w:p w14:paraId="31C2FE35" w14:textId="77777777" w:rsidR="0051619C" w:rsidRPr="0051619C" w:rsidRDefault="0051619C">
            <w:pPr>
              <w:spacing w:line="240" w:lineRule="auto"/>
              <w:ind w:left="78" w:hanging="2"/>
              <w:rPr>
                <w:color w:val="000000"/>
                <w:lang w:val="en-US"/>
              </w:rPr>
            </w:pPr>
            <w:r w:rsidRPr="0051619C">
              <w:rPr>
                <w:color w:val="000000"/>
                <w:lang w:val="en-US"/>
              </w:rPr>
              <w:t>Explore the carbon sequestration capacity of mineral soil wetlands, evaluating their role in mitigating climate change and developing best practices for their conservation and restoration.</w:t>
            </w:r>
          </w:p>
        </w:tc>
      </w:tr>
      <w:tr w:rsidR="0051619C" w:rsidRPr="00C91E5F" w14:paraId="4211F64E" w14:textId="77777777">
        <w:trPr>
          <w:cantSplit/>
        </w:trPr>
        <w:tc>
          <w:tcPr>
            <w:tcW w:w="3676" w:type="dxa"/>
            <w:tcBorders>
              <w:top w:val="single" w:sz="8" w:space="0" w:color="000000"/>
              <w:left w:val="single" w:sz="8" w:space="0" w:color="000000"/>
              <w:bottom w:val="single" w:sz="8" w:space="0" w:color="000000"/>
              <w:right w:val="single" w:sz="8" w:space="0" w:color="000000"/>
            </w:tcBorders>
          </w:tcPr>
          <w:p w14:paraId="0FE42877" w14:textId="77777777" w:rsidR="0051619C" w:rsidRPr="0051619C" w:rsidRDefault="0051619C" w:rsidP="0051619C">
            <w:pPr>
              <w:pStyle w:val="ListParagraph"/>
              <w:numPr>
                <w:ilvl w:val="0"/>
                <w:numId w:val="4"/>
              </w:numPr>
              <w:spacing w:line="240" w:lineRule="auto"/>
              <w:ind w:left="242" w:hanging="242"/>
              <w:rPr>
                <w:lang w:val="en-US"/>
              </w:rPr>
            </w:pPr>
            <w:r w:rsidRPr="0051619C">
              <w:rPr>
                <w:lang w:val="en-US"/>
              </w:rPr>
              <w:lastRenderedPageBreak/>
              <w:t>Plastic pollution in wetlands and wetland species</w:t>
            </w:r>
          </w:p>
        </w:tc>
        <w:tc>
          <w:tcPr>
            <w:tcW w:w="5224" w:type="dxa"/>
            <w:tcBorders>
              <w:top w:val="single" w:sz="8" w:space="0" w:color="000000"/>
              <w:left w:val="single" w:sz="8" w:space="0" w:color="000000"/>
              <w:bottom w:val="single" w:sz="8" w:space="0" w:color="000000"/>
              <w:right w:val="single" w:sz="8" w:space="0" w:color="000000"/>
            </w:tcBorders>
          </w:tcPr>
          <w:p w14:paraId="3EF11727" w14:textId="77777777" w:rsidR="0051619C" w:rsidRPr="0051619C" w:rsidRDefault="0051619C">
            <w:pPr>
              <w:spacing w:line="240" w:lineRule="auto"/>
              <w:ind w:left="78" w:hanging="2"/>
              <w:rPr>
                <w:color w:val="000000"/>
                <w:lang w:val="en-US"/>
              </w:rPr>
            </w:pPr>
            <w:r w:rsidRPr="0051619C">
              <w:rPr>
                <w:color w:val="000000"/>
                <w:lang w:val="en-US"/>
              </w:rPr>
              <w:t>Examine the extent and impacts of plastic pollution in wetland ecosystems, particularly its effects on wetland species, and propose strategies to reduce and manage plastic waste in these critical habitats.</w:t>
            </w:r>
          </w:p>
        </w:tc>
      </w:tr>
      <w:tr w:rsidR="0051619C" w:rsidRPr="00C91E5F" w14:paraId="24041F34" w14:textId="77777777">
        <w:trPr>
          <w:cantSplit/>
        </w:trPr>
        <w:tc>
          <w:tcPr>
            <w:tcW w:w="3676" w:type="dxa"/>
            <w:tcBorders>
              <w:top w:val="single" w:sz="8" w:space="0" w:color="000000"/>
              <w:left w:val="single" w:sz="8" w:space="0" w:color="000000"/>
              <w:bottom w:val="single" w:sz="8" w:space="0" w:color="000000"/>
              <w:right w:val="single" w:sz="8" w:space="0" w:color="000000"/>
            </w:tcBorders>
          </w:tcPr>
          <w:p w14:paraId="4622DE96" w14:textId="77777777" w:rsidR="0051619C" w:rsidRPr="0051619C" w:rsidRDefault="0051619C" w:rsidP="0051619C">
            <w:pPr>
              <w:pStyle w:val="ListParagraph"/>
              <w:numPr>
                <w:ilvl w:val="0"/>
                <w:numId w:val="4"/>
              </w:numPr>
              <w:spacing w:line="240" w:lineRule="auto"/>
              <w:ind w:left="242" w:hanging="242"/>
              <w:rPr>
                <w:color w:val="000000"/>
                <w:lang w:val="en-US"/>
              </w:rPr>
            </w:pPr>
            <w:r w:rsidRPr="0051619C">
              <w:rPr>
                <w:lang w:val="en-US"/>
              </w:rPr>
              <w:t>Wetlands of International Importance – guidance on shifting baselines (ecological character)</w:t>
            </w:r>
          </w:p>
        </w:tc>
        <w:tc>
          <w:tcPr>
            <w:tcW w:w="5224" w:type="dxa"/>
            <w:tcBorders>
              <w:top w:val="single" w:sz="8" w:space="0" w:color="000000"/>
              <w:left w:val="single" w:sz="8" w:space="0" w:color="000000"/>
              <w:bottom w:val="single" w:sz="8" w:space="0" w:color="000000"/>
              <w:right w:val="single" w:sz="8" w:space="0" w:color="000000"/>
            </w:tcBorders>
          </w:tcPr>
          <w:p w14:paraId="42C1E893" w14:textId="77777777" w:rsidR="0051619C" w:rsidRPr="0051619C" w:rsidRDefault="0051619C">
            <w:pPr>
              <w:spacing w:line="240" w:lineRule="auto"/>
              <w:ind w:left="78" w:hanging="2"/>
              <w:rPr>
                <w:color w:val="000000"/>
                <w:lang w:val="en-US"/>
              </w:rPr>
            </w:pPr>
            <w:r w:rsidRPr="0051619C">
              <w:rPr>
                <w:color w:val="000000"/>
                <w:lang w:val="en-US"/>
              </w:rPr>
              <w:t>Provide updated guidance on managing Wetlands of International Importance in the face of shifting ecological baselines.</w:t>
            </w:r>
          </w:p>
        </w:tc>
      </w:tr>
      <w:tr w:rsidR="0051619C" w:rsidRPr="00C91E5F" w14:paraId="76A27EA3" w14:textId="77777777">
        <w:trPr>
          <w:cantSplit/>
        </w:trPr>
        <w:tc>
          <w:tcPr>
            <w:tcW w:w="3676" w:type="dxa"/>
            <w:tcBorders>
              <w:top w:val="single" w:sz="8" w:space="0" w:color="000000"/>
              <w:left w:val="single" w:sz="8" w:space="0" w:color="000000"/>
              <w:bottom w:val="single" w:sz="8" w:space="0" w:color="000000"/>
              <w:right w:val="single" w:sz="8" w:space="0" w:color="000000"/>
            </w:tcBorders>
          </w:tcPr>
          <w:p w14:paraId="4D2DD286" w14:textId="77777777" w:rsidR="0051619C" w:rsidRPr="0051619C" w:rsidRDefault="0051619C" w:rsidP="0051619C">
            <w:pPr>
              <w:pStyle w:val="ListParagraph"/>
              <w:numPr>
                <w:ilvl w:val="0"/>
                <w:numId w:val="4"/>
              </w:numPr>
              <w:spacing w:line="240" w:lineRule="auto"/>
              <w:ind w:left="242" w:hanging="242"/>
              <w:rPr>
                <w:lang w:val="en-US"/>
              </w:rPr>
            </w:pPr>
            <w:r w:rsidRPr="0051619C">
              <w:rPr>
                <w:lang w:val="en-US"/>
              </w:rPr>
              <w:t>Nexus assessment – building on the IPBES assessment in a wetland context</w:t>
            </w:r>
          </w:p>
        </w:tc>
        <w:tc>
          <w:tcPr>
            <w:tcW w:w="5224" w:type="dxa"/>
            <w:tcBorders>
              <w:top w:val="single" w:sz="8" w:space="0" w:color="000000"/>
              <w:left w:val="single" w:sz="8" w:space="0" w:color="000000"/>
              <w:bottom w:val="single" w:sz="8" w:space="0" w:color="000000"/>
              <w:right w:val="single" w:sz="8" w:space="0" w:color="000000"/>
            </w:tcBorders>
          </w:tcPr>
          <w:p w14:paraId="71F24734" w14:textId="77777777" w:rsidR="0051619C" w:rsidRPr="0051619C" w:rsidRDefault="0051619C">
            <w:pPr>
              <w:spacing w:line="240" w:lineRule="auto"/>
              <w:ind w:left="78" w:hanging="2"/>
              <w:rPr>
                <w:color w:val="000000"/>
                <w:lang w:val="en-US"/>
              </w:rPr>
            </w:pPr>
            <w:r w:rsidRPr="0051619C">
              <w:rPr>
                <w:color w:val="000000"/>
                <w:lang w:val="en-US"/>
              </w:rPr>
              <w:t>Building on the IPBES assessment, applying its nexus framework to wetlands to evaluate the interconnectedness of water, biodiversity, food, and climate.</w:t>
            </w:r>
          </w:p>
        </w:tc>
      </w:tr>
      <w:tr w:rsidR="0051619C" w:rsidRPr="00C91E5F" w14:paraId="56A68E41" w14:textId="77777777">
        <w:trPr>
          <w:cantSplit/>
        </w:trPr>
        <w:tc>
          <w:tcPr>
            <w:tcW w:w="3676" w:type="dxa"/>
            <w:tcBorders>
              <w:top w:val="single" w:sz="8" w:space="0" w:color="000000"/>
              <w:left w:val="single" w:sz="8" w:space="0" w:color="000000"/>
              <w:bottom w:val="single" w:sz="8" w:space="0" w:color="000000"/>
              <w:right w:val="single" w:sz="8" w:space="0" w:color="000000"/>
            </w:tcBorders>
          </w:tcPr>
          <w:p w14:paraId="52E13105" w14:textId="77777777" w:rsidR="0051619C" w:rsidRPr="0051619C" w:rsidRDefault="0051619C" w:rsidP="0051619C">
            <w:pPr>
              <w:pStyle w:val="ListParagraph"/>
              <w:numPr>
                <w:ilvl w:val="0"/>
                <w:numId w:val="4"/>
              </w:numPr>
              <w:spacing w:line="240" w:lineRule="auto"/>
              <w:ind w:left="242" w:hanging="242"/>
              <w:rPr>
                <w:lang w:val="en-US"/>
              </w:rPr>
            </w:pPr>
            <w:r w:rsidRPr="0051619C">
              <w:rPr>
                <w:lang w:val="en-US"/>
              </w:rPr>
              <w:t>Wise use of wetlands: updated guidance</w:t>
            </w:r>
          </w:p>
        </w:tc>
        <w:tc>
          <w:tcPr>
            <w:tcW w:w="5224" w:type="dxa"/>
            <w:tcBorders>
              <w:top w:val="single" w:sz="8" w:space="0" w:color="000000"/>
              <w:left w:val="single" w:sz="8" w:space="0" w:color="000000"/>
              <w:bottom w:val="single" w:sz="8" w:space="0" w:color="000000"/>
              <w:right w:val="single" w:sz="8" w:space="0" w:color="000000"/>
            </w:tcBorders>
          </w:tcPr>
          <w:p w14:paraId="242265C2" w14:textId="37448E5E" w:rsidR="0051619C" w:rsidRPr="0051619C" w:rsidRDefault="0051619C">
            <w:pPr>
              <w:spacing w:line="240" w:lineRule="auto"/>
              <w:ind w:left="78" w:hanging="2"/>
              <w:rPr>
                <w:color w:val="000000"/>
                <w:lang w:val="en-US"/>
              </w:rPr>
            </w:pPr>
            <w:r w:rsidRPr="0051619C">
              <w:rPr>
                <w:color w:val="000000"/>
                <w:lang w:val="en-US"/>
              </w:rPr>
              <w:t>Propose revisions and updates to the Convention</w:t>
            </w:r>
            <w:r w:rsidR="00035943">
              <w:rPr>
                <w:color w:val="000000"/>
                <w:lang w:val="en-US"/>
              </w:rPr>
              <w:t>’</w:t>
            </w:r>
            <w:r w:rsidRPr="0051619C">
              <w:rPr>
                <w:color w:val="000000"/>
                <w:lang w:val="en-US"/>
              </w:rPr>
              <w:t>s guidance on the wise use of wetlands, incorporating new scientific knowledge, best practices, and emerging environmental challenges.</w:t>
            </w:r>
          </w:p>
        </w:tc>
      </w:tr>
      <w:tr w:rsidR="0051619C" w:rsidRPr="00C91E5F" w14:paraId="112D9D6E" w14:textId="77777777">
        <w:trPr>
          <w:cantSplit/>
        </w:trPr>
        <w:tc>
          <w:tcPr>
            <w:tcW w:w="3676" w:type="dxa"/>
            <w:tcBorders>
              <w:top w:val="single" w:sz="8" w:space="0" w:color="000000"/>
              <w:left w:val="single" w:sz="8" w:space="0" w:color="000000"/>
              <w:bottom w:val="single" w:sz="8" w:space="0" w:color="000000"/>
              <w:right w:val="single" w:sz="8" w:space="0" w:color="000000"/>
            </w:tcBorders>
          </w:tcPr>
          <w:p w14:paraId="4EAC3817" w14:textId="675889FE" w:rsidR="0051619C" w:rsidRPr="0051619C" w:rsidRDefault="0051619C" w:rsidP="0051619C">
            <w:pPr>
              <w:pStyle w:val="ListParagraph"/>
              <w:numPr>
                <w:ilvl w:val="0"/>
                <w:numId w:val="4"/>
              </w:numPr>
              <w:spacing w:line="240" w:lineRule="auto"/>
              <w:ind w:left="242" w:hanging="242"/>
              <w:rPr>
                <w:color w:val="000000"/>
                <w:lang w:val="en-US"/>
              </w:rPr>
            </w:pPr>
            <w:r w:rsidRPr="0051619C">
              <w:rPr>
                <w:lang w:val="en-US"/>
              </w:rPr>
              <w:t xml:space="preserve">Further work on </w:t>
            </w:r>
            <w:r w:rsidR="00035943">
              <w:rPr>
                <w:lang w:val="en-US"/>
              </w:rPr>
              <w:t>‘</w:t>
            </w:r>
            <w:r w:rsidRPr="0051619C">
              <w:rPr>
                <w:lang w:val="en-US"/>
              </w:rPr>
              <w:t>other effective area-based conservation measures</w:t>
            </w:r>
            <w:r w:rsidR="00035943">
              <w:rPr>
                <w:lang w:val="en-US"/>
              </w:rPr>
              <w:t>’</w:t>
            </w:r>
            <w:r w:rsidRPr="0051619C">
              <w:rPr>
                <w:lang w:val="en-US"/>
              </w:rPr>
              <w:t xml:space="preserve"> (OECMs)</w:t>
            </w:r>
          </w:p>
        </w:tc>
        <w:tc>
          <w:tcPr>
            <w:tcW w:w="5224" w:type="dxa"/>
            <w:tcBorders>
              <w:top w:val="single" w:sz="8" w:space="0" w:color="000000"/>
              <w:left w:val="single" w:sz="8" w:space="0" w:color="000000"/>
              <w:bottom w:val="single" w:sz="8" w:space="0" w:color="000000"/>
              <w:right w:val="single" w:sz="8" w:space="0" w:color="000000"/>
            </w:tcBorders>
          </w:tcPr>
          <w:p w14:paraId="3FF0BA73" w14:textId="77777777" w:rsidR="0051619C" w:rsidRPr="0051619C" w:rsidRDefault="0051619C">
            <w:pPr>
              <w:spacing w:line="240" w:lineRule="auto"/>
              <w:ind w:left="78" w:hanging="2"/>
              <w:rPr>
                <w:color w:val="000000"/>
                <w:lang w:val="en-US"/>
              </w:rPr>
            </w:pPr>
            <w:r w:rsidRPr="0051619C">
              <w:rPr>
                <w:color w:val="000000"/>
                <w:lang w:val="en-US"/>
              </w:rPr>
              <w:t>Further explore the application and integration of OECMs in wetland conservation, identifying opportunities to recognize and support non-traditional conservation areas.</w:t>
            </w:r>
          </w:p>
        </w:tc>
      </w:tr>
    </w:tbl>
    <w:p w14:paraId="1DFD3BA9" w14:textId="77777777" w:rsidR="0051619C" w:rsidRPr="0051619C" w:rsidRDefault="0051619C" w:rsidP="0051619C">
      <w:pPr>
        <w:rPr>
          <w:lang w:val="en-US"/>
        </w:rPr>
      </w:pPr>
      <w:r w:rsidRPr="0051619C">
        <w:rPr>
          <w:lang w:val="en-US"/>
        </w:rPr>
        <w:br w:type="page"/>
      </w:r>
    </w:p>
    <w:p w14:paraId="16E68CCD" w14:textId="07212027" w:rsidR="0051619C" w:rsidRPr="0051619C" w:rsidRDefault="0051619C" w:rsidP="0051619C">
      <w:pPr>
        <w:spacing w:line="240" w:lineRule="auto"/>
        <w:rPr>
          <w:rFonts w:eastAsia="SimSun" w:cstheme="minorHAnsi"/>
          <w:b/>
          <w:sz w:val="24"/>
          <w:szCs w:val="24"/>
          <w:lang w:val="en-US" w:eastAsia="zh-CN"/>
        </w:rPr>
      </w:pPr>
      <w:r w:rsidRPr="0051619C">
        <w:rPr>
          <w:rFonts w:eastAsia="SimSun" w:cstheme="minorHAnsi"/>
          <w:b/>
          <w:sz w:val="24"/>
          <w:szCs w:val="24"/>
          <w:lang w:val="en-US" w:eastAsia="zh-CN"/>
        </w:rPr>
        <w:lastRenderedPageBreak/>
        <w:t xml:space="preserve">Annex </w:t>
      </w:r>
      <w:r w:rsidR="003649E2">
        <w:rPr>
          <w:rFonts w:eastAsia="SimSun" w:cstheme="minorHAnsi"/>
          <w:b/>
          <w:sz w:val="24"/>
          <w:szCs w:val="24"/>
          <w:lang w:val="en-US" w:eastAsia="zh-CN"/>
        </w:rPr>
        <w:t>2</w:t>
      </w:r>
    </w:p>
    <w:p w14:paraId="25B4561D" w14:textId="4AB2CF55" w:rsidR="0051619C" w:rsidRPr="0051619C" w:rsidRDefault="0051619C" w:rsidP="0051619C">
      <w:pPr>
        <w:spacing w:line="240" w:lineRule="auto"/>
        <w:rPr>
          <w:b/>
          <w:bCs/>
          <w:sz w:val="24"/>
          <w:szCs w:val="24"/>
          <w:lang w:val="en-US"/>
        </w:rPr>
      </w:pPr>
      <w:r w:rsidRPr="0051619C">
        <w:rPr>
          <w:b/>
          <w:bCs/>
          <w:sz w:val="24"/>
          <w:szCs w:val="24"/>
          <w:lang w:val="en-US"/>
        </w:rPr>
        <w:t xml:space="preserve">Report on the consultation on the use of Earth </w:t>
      </w:r>
      <w:r w:rsidR="004F62E4">
        <w:rPr>
          <w:b/>
          <w:bCs/>
          <w:sz w:val="24"/>
          <w:szCs w:val="24"/>
          <w:lang w:val="en-US"/>
        </w:rPr>
        <w:t>o</w:t>
      </w:r>
      <w:r w:rsidRPr="0051619C">
        <w:rPr>
          <w:b/>
          <w:bCs/>
          <w:sz w:val="24"/>
          <w:szCs w:val="24"/>
          <w:lang w:val="en-US"/>
        </w:rPr>
        <w:t>bservation for wetland inventory, assessment, monitoring and conservation</w:t>
      </w:r>
    </w:p>
    <w:p w14:paraId="12584E82" w14:textId="77777777" w:rsidR="0051619C" w:rsidRPr="0051619C" w:rsidRDefault="0051619C" w:rsidP="0051619C">
      <w:pPr>
        <w:spacing w:line="240" w:lineRule="auto"/>
        <w:ind w:left="432" w:hanging="432"/>
        <w:rPr>
          <w:rFonts w:cs="Calibri"/>
          <w:lang w:val="en-US"/>
        </w:rPr>
      </w:pPr>
    </w:p>
    <w:p w14:paraId="60C89F00" w14:textId="77777777" w:rsidR="0051619C" w:rsidRPr="0051619C" w:rsidRDefault="0051619C" w:rsidP="0051619C">
      <w:pPr>
        <w:keepNext/>
        <w:spacing w:line="240" w:lineRule="auto"/>
        <w:rPr>
          <w:rFonts w:cs="Calibri"/>
          <w:b/>
          <w:lang w:val="en-US"/>
        </w:rPr>
      </w:pPr>
      <w:r w:rsidRPr="0051619C">
        <w:rPr>
          <w:rFonts w:cs="Calibri"/>
          <w:b/>
          <w:lang w:val="en-US"/>
        </w:rPr>
        <w:t xml:space="preserve">Background </w:t>
      </w:r>
    </w:p>
    <w:p w14:paraId="0B88B1AC" w14:textId="77777777" w:rsidR="0051619C" w:rsidRPr="0051619C" w:rsidRDefault="0051619C" w:rsidP="001671B0">
      <w:pPr>
        <w:keepNext/>
        <w:pBdr>
          <w:top w:val="nil"/>
          <w:left w:val="nil"/>
          <w:bottom w:val="nil"/>
          <w:right w:val="nil"/>
          <w:between w:val="nil"/>
        </w:pBdr>
        <w:spacing w:line="240" w:lineRule="auto"/>
        <w:rPr>
          <w:rFonts w:cs="Calibri"/>
          <w:lang w:val="en-US"/>
        </w:rPr>
      </w:pPr>
    </w:p>
    <w:p w14:paraId="1614D1D4" w14:textId="7C4A5AE0" w:rsidR="0051619C" w:rsidRPr="0051619C" w:rsidRDefault="0051619C" w:rsidP="0051619C">
      <w:pPr>
        <w:pBdr>
          <w:top w:val="nil"/>
          <w:left w:val="nil"/>
          <w:bottom w:val="nil"/>
          <w:right w:val="nil"/>
          <w:between w:val="nil"/>
        </w:pBdr>
        <w:spacing w:line="240" w:lineRule="auto"/>
        <w:ind w:left="426" w:hanging="426"/>
        <w:rPr>
          <w:rFonts w:cs="Calibri"/>
          <w:lang w:val="en-US"/>
        </w:rPr>
      </w:pPr>
      <w:r w:rsidRPr="0051619C">
        <w:rPr>
          <w:rFonts w:cs="Calibri"/>
          <w:lang w:val="en-US"/>
        </w:rPr>
        <w:t>1.</w:t>
      </w:r>
      <w:r w:rsidRPr="0051619C">
        <w:rPr>
          <w:rFonts w:cs="Calibri"/>
          <w:lang w:val="en-US"/>
        </w:rPr>
        <w:tab/>
        <w:t xml:space="preserve">The consultation on the use of Earth </w:t>
      </w:r>
      <w:r w:rsidR="001142BA">
        <w:rPr>
          <w:rFonts w:cs="Calibri"/>
          <w:lang w:val="en-US"/>
        </w:rPr>
        <w:t>o</w:t>
      </w:r>
      <w:r w:rsidR="001142BA" w:rsidRPr="0051619C">
        <w:rPr>
          <w:rFonts w:cs="Calibri"/>
          <w:lang w:val="en-US"/>
        </w:rPr>
        <w:t xml:space="preserve">bservation </w:t>
      </w:r>
      <w:r w:rsidR="001142BA">
        <w:rPr>
          <w:rFonts w:cs="Calibri"/>
          <w:lang w:val="en-US"/>
        </w:rPr>
        <w:t xml:space="preserve">(EO) </w:t>
      </w:r>
      <w:r w:rsidRPr="0051619C">
        <w:rPr>
          <w:rFonts w:cs="Calibri"/>
          <w:lang w:val="en-US"/>
        </w:rPr>
        <w:t>for wetland inventory, assessment, monitoring and conservation</w:t>
      </w:r>
      <w:r w:rsidRPr="0051619C">
        <w:rPr>
          <w:rFonts w:cs="Calibri"/>
          <w:b/>
          <w:bCs/>
          <w:lang w:val="en-US"/>
        </w:rPr>
        <w:t xml:space="preserve"> </w:t>
      </w:r>
      <w:r w:rsidRPr="0051619C">
        <w:rPr>
          <w:rFonts w:cs="Calibri"/>
          <w:lang w:val="en-US"/>
        </w:rPr>
        <w:t xml:space="preserve">was organized pursuant to Convention on Wetlands Resolution XIII.10 which, in paragraph 23, requests the Secretariat, subject to the availability of resources, to investigate the options and associated costs for working with </w:t>
      </w:r>
      <w:r w:rsidR="001142BA">
        <w:rPr>
          <w:rFonts w:cs="Calibri"/>
          <w:lang w:val="en-US"/>
        </w:rPr>
        <w:t>EO</w:t>
      </w:r>
      <w:r w:rsidRPr="0051619C">
        <w:rPr>
          <w:rFonts w:cs="Calibri"/>
          <w:lang w:val="en-US"/>
        </w:rPr>
        <w:t xml:space="preserve"> organizations, including the Group on Earth Observations (GEO) for application areas and coordination with government agencies, to put EO </w:t>
      </w:r>
      <w:r w:rsidRPr="0051619C">
        <w:rPr>
          <w:rFonts w:cs="Calibri"/>
          <w:color w:val="000000" w:themeColor="text1"/>
          <w:lang w:val="en-US"/>
        </w:rPr>
        <w:t>data</w:t>
      </w:r>
      <w:r w:rsidRPr="0051619C">
        <w:rPr>
          <w:rFonts w:cs="Calibri"/>
          <w:lang w:val="en-US"/>
        </w:rPr>
        <w:t xml:space="preserve"> and monitoring tools at the </w:t>
      </w:r>
      <w:r w:rsidRPr="0051619C">
        <w:rPr>
          <w:rFonts w:cs="Calibri"/>
          <w:color w:val="000000" w:themeColor="text1"/>
          <w:lang w:val="en-US"/>
        </w:rPr>
        <w:t>disposal</w:t>
      </w:r>
      <w:r w:rsidRPr="0051619C">
        <w:rPr>
          <w:rFonts w:cs="Calibri"/>
          <w:lang w:val="en-US"/>
        </w:rPr>
        <w:t xml:space="preserve"> of Contracting Parties for national wetland inventories (NWI</w:t>
      </w:r>
      <w:r w:rsidR="001142BA">
        <w:rPr>
          <w:rFonts w:cs="Calibri"/>
          <w:lang w:val="en-US"/>
        </w:rPr>
        <w:t>s</w:t>
      </w:r>
      <w:r w:rsidRPr="0051619C">
        <w:rPr>
          <w:rFonts w:cs="Calibri"/>
          <w:lang w:val="en-US"/>
        </w:rPr>
        <w:t xml:space="preserve">) or monitoring of changes to Wetlands of International Importance; and Standing Committee </w:t>
      </w:r>
      <w:r w:rsidR="005B5B0A">
        <w:rPr>
          <w:rFonts w:cs="Calibri"/>
          <w:lang w:val="en-US"/>
        </w:rPr>
        <w:t xml:space="preserve">Decision </w:t>
      </w:r>
      <w:r w:rsidRPr="0051619C">
        <w:rPr>
          <w:rFonts w:cs="Calibri"/>
          <w:lang w:val="en-US"/>
        </w:rPr>
        <w:t xml:space="preserve">SC63-30, which requests the Scientific and Technical Review Panel (STRP), working with the Secretariat, to </w:t>
      </w:r>
      <w:r w:rsidR="00035943" w:rsidRPr="0051619C">
        <w:rPr>
          <w:rFonts w:cs="Calibri"/>
          <w:lang w:val="en-US"/>
        </w:rPr>
        <w:t>organi</w:t>
      </w:r>
      <w:r w:rsidR="00035943">
        <w:rPr>
          <w:rFonts w:cs="Calibri"/>
          <w:lang w:val="en-US"/>
        </w:rPr>
        <w:t>z</w:t>
      </w:r>
      <w:r w:rsidR="00035943" w:rsidRPr="0051619C">
        <w:rPr>
          <w:rFonts w:cs="Calibri"/>
          <w:lang w:val="en-US"/>
        </w:rPr>
        <w:t xml:space="preserve">e </w:t>
      </w:r>
      <w:r w:rsidRPr="0051619C">
        <w:rPr>
          <w:rFonts w:cs="Calibri"/>
          <w:lang w:val="en-US"/>
        </w:rPr>
        <w:t xml:space="preserve">a consultation with the </w:t>
      </w:r>
      <w:r w:rsidR="001142BA">
        <w:rPr>
          <w:rFonts w:cs="Calibri"/>
          <w:lang w:val="en-US"/>
        </w:rPr>
        <w:t>EO</w:t>
      </w:r>
      <w:r w:rsidRPr="0051619C">
        <w:rPr>
          <w:rFonts w:cs="Calibri"/>
          <w:lang w:val="en-US"/>
        </w:rPr>
        <w:t xml:space="preserve"> community on development of an initiative to foster dialogue, knowledge exchange and guidance for </w:t>
      </w:r>
      <w:r w:rsidR="001142BA">
        <w:rPr>
          <w:rFonts w:cs="Calibri"/>
          <w:lang w:val="en-US"/>
        </w:rPr>
        <w:t>EO</w:t>
      </w:r>
      <w:r w:rsidRPr="0051619C">
        <w:rPr>
          <w:rFonts w:cs="Calibri"/>
          <w:lang w:val="en-US"/>
        </w:rPr>
        <w:t>in support of wetland inventory, assessment, monitoring and conservation.</w:t>
      </w:r>
    </w:p>
    <w:p w14:paraId="37C26A4A" w14:textId="77777777" w:rsidR="0051619C" w:rsidRPr="0051619C" w:rsidRDefault="0051619C" w:rsidP="0051619C">
      <w:pPr>
        <w:pBdr>
          <w:top w:val="nil"/>
          <w:left w:val="nil"/>
          <w:bottom w:val="nil"/>
          <w:right w:val="nil"/>
          <w:between w:val="nil"/>
        </w:pBdr>
        <w:spacing w:line="240" w:lineRule="auto"/>
        <w:rPr>
          <w:rFonts w:cs="Calibri"/>
          <w:lang w:val="en-US"/>
        </w:rPr>
      </w:pPr>
    </w:p>
    <w:p w14:paraId="38745C2B" w14:textId="4B8D4201" w:rsidR="0051619C" w:rsidRPr="0051619C" w:rsidRDefault="0051619C" w:rsidP="0051619C">
      <w:pPr>
        <w:keepNext/>
        <w:spacing w:line="240" w:lineRule="auto"/>
        <w:rPr>
          <w:rFonts w:cs="Calibri"/>
          <w:b/>
          <w:bCs/>
          <w:lang w:val="en-US"/>
        </w:rPr>
      </w:pPr>
      <w:r w:rsidRPr="0051619C">
        <w:rPr>
          <w:rFonts w:cs="Calibri"/>
          <w:b/>
          <w:bCs/>
          <w:lang w:val="en-US"/>
        </w:rPr>
        <w:t xml:space="preserve">The consultation on Earth </w:t>
      </w:r>
      <w:r w:rsidR="004F62E4">
        <w:rPr>
          <w:rFonts w:cs="Calibri"/>
          <w:b/>
          <w:bCs/>
          <w:lang w:val="en-US"/>
        </w:rPr>
        <w:t>o</w:t>
      </w:r>
      <w:r w:rsidRPr="0051619C">
        <w:rPr>
          <w:rFonts w:cs="Calibri"/>
          <w:b/>
          <w:bCs/>
          <w:lang w:val="en-US"/>
        </w:rPr>
        <w:t>bservation</w:t>
      </w:r>
    </w:p>
    <w:p w14:paraId="6300BBCE" w14:textId="77777777" w:rsidR="0051619C" w:rsidRPr="0051619C" w:rsidRDefault="0051619C" w:rsidP="001671B0">
      <w:pPr>
        <w:keepNext/>
        <w:pBdr>
          <w:top w:val="nil"/>
          <w:left w:val="nil"/>
          <w:bottom w:val="nil"/>
          <w:right w:val="nil"/>
          <w:between w:val="nil"/>
        </w:pBdr>
        <w:spacing w:line="240" w:lineRule="auto"/>
        <w:rPr>
          <w:rFonts w:cs="Calibri"/>
          <w:color w:val="000000"/>
          <w:lang w:val="en-US"/>
        </w:rPr>
      </w:pPr>
    </w:p>
    <w:p w14:paraId="2E31B40A" w14:textId="3CBFFC2F" w:rsidR="0051619C" w:rsidRPr="0051619C" w:rsidRDefault="0051619C" w:rsidP="0051619C">
      <w:pPr>
        <w:pBdr>
          <w:top w:val="nil"/>
          <w:left w:val="nil"/>
          <w:bottom w:val="nil"/>
          <w:right w:val="nil"/>
          <w:between w:val="nil"/>
        </w:pBdr>
        <w:spacing w:line="240" w:lineRule="auto"/>
        <w:ind w:left="426" w:hanging="426"/>
        <w:rPr>
          <w:rFonts w:cs="Calibri"/>
          <w:lang w:val="en-US"/>
        </w:rPr>
      </w:pPr>
      <w:r w:rsidRPr="0051619C">
        <w:rPr>
          <w:rFonts w:cs="Calibri"/>
          <w:lang w:val="en-US"/>
        </w:rPr>
        <w:t>2.</w:t>
      </w:r>
      <w:r w:rsidRPr="0051619C">
        <w:rPr>
          <w:rFonts w:cs="Calibri"/>
          <w:lang w:val="en-US"/>
        </w:rPr>
        <w:tab/>
        <w:t xml:space="preserve">The purpose of the consultation was to contribute to and strengthen the use of </w:t>
      </w:r>
      <w:r w:rsidR="001142BA">
        <w:rPr>
          <w:rFonts w:cs="Calibri"/>
          <w:lang w:val="en-US"/>
        </w:rPr>
        <w:t>EO</w:t>
      </w:r>
      <w:r w:rsidRPr="0051619C">
        <w:rPr>
          <w:rFonts w:cs="Calibri"/>
          <w:lang w:val="en-US"/>
        </w:rPr>
        <w:t xml:space="preserve"> in development and use of </w:t>
      </w:r>
      <w:r w:rsidR="001142BA">
        <w:rPr>
          <w:rFonts w:cs="Calibri"/>
          <w:lang w:val="en-US"/>
        </w:rPr>
        <w:t>NWIs</w:t>
      </w:r>
      <w:r w:rsidRPr="0051619C">
        <w:rPr>
          <w:rFonts w:cs="Calibri"/>
          <w:lang w:val="en-US"/>
        </w:rPr>
        <w:t xml:space="preserve"> and in wetland assessment, monitoring and conservation, thereby supporting Contracting Parties in protection and wise use of wetlands, delivering and reporting on commitments under the Convention on Wetlands as well as other relevant global environmental agreements. </w:t>
      </w:r>
    </w:p>
    <w:p w14:paraId="43D4B42E" w14:textId="77777777" w:rsidR="0051619C" w:rsidRPr="0051619C" w:rsidRDefault="0051619C" w:rsidP="0051619C">
      <w:pPr>
        <w:pBdr>
          <w:top w:val="nil"/>
          <w:left w:val="nil"/>
          <w:bottom w:val="nil"/>
          <w:right w:val="nil"/>
          <w:between w:val="nil"/>
        </w:pBdr>
        <w:spacing w:line="240" w:lineRule="auto"/>
        <w:ind w:left="426" w:hanging="426"/>
        <w:rPr>
          <w:rFonts w:cs="Calibri"/>
          <w:lang w:val="en-US"/>
        </w:rPr>
      </w:pPr>
    </w:p>
    <w:p w14:paraId="52112CAA" w14:textId="135E397B" w:rsidR="0051619C" w:rsidRPr="0051619C" w:rsidRDefault="0051619C" w:rsidP="0051619C">
      <w:pPr>
        <w:pBdr>
          <w:top w:val="nil"/>
          <w:left w:val="nil"/>
          <w:bottom w:val="nil"/>
          <w:right w:val="nil"/>
          <w:between w:val="nil"/>
        </w:pBdr>
        <w:spacing w:line="240" w:lineRule="auto"/>
        <w:ind w:left="426" w:hanging="426"/>
        <w:rPr>
          <w:rFonts w:cs="Calibri"/>
          <w:lang w:val="en-US"/>
        </w:rPr>
      </w:pPr>
      <w:r w:rsidRPr="0051619C">
        <w:rPr>
          <w:rFonts w:cs="Calibri"/>
          <w:lang w:val="en-US"/>
        </w:rPr>
        <w:t>3.</w:t>
      </w:r>
      <w:r w:rsidRPr="0051619C">
        <w:rPr>
          <w:rFonts w:cs="Calibri"/>
          <w:lang w:val="en-US"/>
        </w:rPr>
        <w:tab/>
        <w:t xml:space="preserve">The consultation was carried out building on in-depth interviews with 13 Contracting Parties on the development of </w:t>
      </w:r>
      <w:r w:rsidR="001142BA">
        <w:rPr>
          <w:rFonts w:cs="Calibri"/>
          <w:lang w:val="en-US"/>
        </w:rPr>
        <w:t>NWIs</w:t>
      </w:r>
      <w:r w:rsidRPr="0051619C">
        <w:rPr>
          <w:rFonts w:cs="Calibri"/>
          <w:lang w:val="en-US"/>
        </w:rPr>
        <w:t xml:space="preserve">, priorities and needs (presented in </w:t>
      </w:r>
      <w:r w:rsidR="001142BA">
        <w:rPr>
          <w:rFonts w:cs="Calibri"/>
          <w:lang w:val="en-US"/>
        </w:rPr>
        <w:t xml:space="preserve">information document </w:t>
      </w:r>
      <w:r w:rsidRPr="0051619C">
        <w:rPr>
          <w:rFonts w:cs="Calibri"/>
          <w:lang w:val="en-US"/>
        </w:rPr>
        <w:t xml:space="preserve">SC63 Inf.2), and ongoing efforts under the Convention to support development of </w:t>
      </w:r>
      <w:r w:rsidR="001142BA">
        <w:rPr>
          <w:rFonts w:cs="Calibri"/>
          <w:lang w:val="en-US"/>
        </w:rPr>
        <w:t xml:space="preserve">NWIs </w:t>
      </w:r>
      <w:r w:rsidRPr="0051619C">
        <w:rPr>
          <w:rFonts w:cs="Calibri"/>
          <w:lang w:val="en-US"/>
        </w:rPr>
        <w:t xml:space="preserve">(presented in </w:t>
      </w:r>
      <w:r w:rsidR="001142BA">
        <w:rPr>
          <w:rFonts w:cs="Calibri"/>
          <w:lang w:val="en-US"/>
        </w:rPr>
        <w:t>doc</w:t>
      </w:r>
      <w:r w:rsidR="00887EF7">
        <w:rPr>
          <w:rFonts w:cs="Calibri"/>
          <w:lang w:val="en-US"/>
        </w:rPr>
        <w:t>u</w:t>
      </w:r>
      <w:r w:rsidR="001142BA">
        <w:rPr>
          <w:rFonts w:cs="Calibri"/>
          <w:lang w:val="en-US"/>
        </w:rPr>
        <w:t xml:space="preserve">ments </w:t>
      </w:r>
      <w:r w:rsidRPr="0051619C">
        <w:rPr>
          <w:rFonts w:cs="Calibri"/>
          <w:lang w:val="en-US"/>
        </w:rPr>
        <w:t xml:space="preserve">SC64 Doc. 10, SC63 Doc.10 and SC62 Doc.9). Semi-structured interviews were conducted with </w:t>
      </w:r>
      <w:r w:rsidR="001142BA">
        <w:rPr>
          <w:rFonts w:cs="Calibri"/>
          <w:lang w:val="en-US"/>
        </w:rPr>
        <w:t xml:space="preserve">EO </w:t>
      </w:r>
      <w:r w:rsidRPr="0051619C">
        <w:rPr>
          <w:rFonts w:cs="Calibri"/>
          <w:lang w:val="en-US"/>
        </w:rPr>
        <w:t>experts from five organi</w:t>
      </w:r>
      <w:r w:rsidR="00035943">
        <w:rPr>
          <w:rFonts w:cs="Calibri"/>
          <w:lang w:val="en-US"/>
        </w:rPr>
        <w:t>z</w:t>
      </w:r>
      <w:r w:rsidRPr="0051619C">
        <w:rPr>
          <w:rFonts w:cs="Calibri"/>
          <w:lang w:val="en-US"/>
        </w:rPr>
        <w:t>ations, UN Environment Programme-Danish Hydraulic Institute (UNEP-DHI), Wetlands International, Japan Aerospace Exploration Agency (JAXA), Digital Earth Africa, and Tour du Valat, to discuss the technical and capacity needs of the Convention</w:t>
      </w:r>
      <w:r w:rsidR="00035943">
        <w:rPr>
          <w:rFonts w:cs="Calibri"/>
          <w:lang w:val="en-US"/>
        </w:rPr>
        <w:t>’</w:t>
      </w:r>
      <w:r w:rsidRPr="0051619C">
        <w:rPr>
          <w:rFonts w:cs="Calibri"/>
          <w:lang w:val="en-US"/>
        </w:rPr>
        <w:t xml:space="preserve">s Contracting Parties, particularly in relation to integrating </w:t>
      </w:r>
      <w:r w:rsidR="001142BA">
        <w:rPr>
          <w:rFonts w:cs="Calibri"/>
          <w:lang w:val="en-US"/>
        </w:rPr>
        <w:t xml:space="preserve">EO </w:t>
      </w:r>
      <w:r w:rsidRPr="0051619C">
        <w:rPr>
          <w:rFonts w:cs="Calibri"/>
          <w:lang w:val="en-US"/>
        </w:rPr>
        <w:t xml:space="preserve">technologies into wetland inventory, assessment, monitoring and conservation. This provided the basis for a dedicated </w:t>
      </w:r>
      <w:r w:rsidR="004F62E4">
        <w:rPr>
          <w:rFonts w:cs="Calibri"/>
          <w:lang w:val="en-US"/>
        </w:rPr>
        <w:t>“</w:t>
      </w:r>
      <w:r w:rsidRPr="0051619C">
        <w:rPr>
          <w:rFonts w:cs="Calibri"/>
          <w:lang w:val="en-US"/>
        </w:rPr>
        <w:t xml:space="preserve">Earth </w:t>
      </w:r>
      <w:r w:rsidR="004F62E4">
        <w:rPr>
          <w:rFonts w:cs="Calibri"/>
          <w:lang w:val="en-US"/>
        </w:rPr>
        <w:t>o</w:t>
      </w:r>
      <w:r w:rsidRPr="0051619C">
        <w:rPr>
          <w:rFonts w:cs="Calibri"/>
          <w:lang w:val="en-US"/>
        </w:rPr>
        <w:t xml:space="preserve">bservation </w:t>
      </w:r>
      <w:r w:rsidR="004F62E4">
        <w:rPr>
          <w:rFonts w:cs="Calibri"/>
          <w:lang w:val="en-US"/>
        </w:rPr>
        <w:t>d</w:t>
      </w:r>
      <w:r w:rsidRPr="0051619C">
        <w:rPr>
          <w:rFonts w:cs="Calibri"/>
          <w:lang w:val="en-US"/>
        </w:rPr>
        <w:t>ay</w:t>
      </w:r>
      <w:r w:rsidR="004F62E4">
        <w:rPr>
          <w:rFonts w:cs="Calibri"/>
          <w:lang w:val="en-US"/>
        </w:rPr>
        <w:t>”</w:t>
      </w:r>
      <w:r w:rsidRPr="0051619C">
        <w:rPr>
          <w:rFonts w:cs="Calibri"/>
          <w:lang w:val="en-US"/>
        </w:rPr>
        <w:t xml:space="preserve"> held on 6 December 2024, in association with STRP27, bringing together Earth observation experts, STRP members, observers and National Focal Points. </w:t>
      </w:r>
    </w:p>
    <w:p w14:paraId="77EB5B6F" w14:textId="77777777" w:rsidR="0051619C" w:rsidRPr="0051619C" w:rsidRDefault="0051619C" w:rsidP="0051619C">
      <w:pPr>
        <w:pBdr>
          <w:top w:val="nil"/>
          <w:left w:val="nil"/>
          <w:bottom w:val="nil"/>
          <w:right w:val="nil"/>
          <w:between w:val="nil"/>
        </w:pBdr>
        <w:spacing w:line="240" w:lineRule="auto"/>
        <w:ind w:left="426" w:hanging="426"/>
        <w:rPr>
          <w:rFonts w:cs="Calibri"/>
          <w:lang w:val="en-US"/>
        </w:rPr>
      </w:pPr>
      <w:hyperlink w:history="1"/>
    </w:p>
    <w:p w14:paraId="1B1F9DD3" w14:textId="0B627D79" w:rsidR="0051619C" w:rsidRPr="0051619C" w:rsidRDefault="0051619C" w:rsidP="0051619C">
      <w:pPr>
        <w:pBdr>
          <w:top w:val="nil"/>
          <w:left w:val="nil"/>
          <w:bottom w:val="nil"/>
          <w:right w:val="nil"/>
          <w:between w:val="nil"/>
        </w:pBdr>
        <w:spacing w:line="240" w:lineRule="auto"/>
        <w:ind w:left="426" w:hanging="426"/>
        <w:rPr>
          <w:rFonts w:cs="Calibri"/>
          <w:lang w:val="en-US"/>
        </w:rPr>
      </w:pPr>
      <w:r w:rsidRPr="0051619C">
        <w:rPr>
          <w:rFonts w:cs="Calibri"/>
          <w:lang w:val="en-US"/>
        </w:rPr>
        <w:t>4.</w:t>
      </w:r>
      <w:r w:rsidRPr="0051619C">
        <w:rPr>
          <w:rFonts w:cs="Calibri"/>
          <w:lang w:val="en-US"/>
        </w:rPr>
        <w:tab/>
        <w:t xml:space="preserve">Earth </w:t>
      </w:r>
      <w:r w:rsidR="004F62E4">
        <w:rPr>
          <w:rFonts w:cs="Calibri"/>
          <w:lang w:val="en-US"/>
        </w:rPr>
        <w:t>o</w:t>
      </w:r>
      <w:r w:rsidR="004F62E4" w:rsidRPr="0051619C">
        <w:rPr>
          <w:rFonts w:cs="Calibri"/>
          <w:lang w:val="en-US"/>
        </w:rPr>
        <w:t xml:space="preserve">bservation </w:t>
      </w:r>
      <w:r w:rsidR="004F62E4">
        <w:rPr>
          <w:rFonts w:cs="Calibri"/>
          <w:lang w:val="en-US"/>
        </w:rPr>
        <w:t>d</w:t>
      </w:r>
      <w:r w:rsidR="004F62E4" w:rsidRPr="0051619C">
        <w:rPr>
          <w:rFonts w:cs="Calibri"/>
          <w:lang w:val="en-US"/>
        </w:rPr>
        <w:t xml:space="preserve">ay </w:t>
      </w:r>
      <w:r w:rsidRPr="0051619C">
        <w:rPr>
          <w:rFonts w:cs="Calibri"/>
          <w:lang w:val="en-US"/>
        </w:rPr>
        <w:t>was opened by Dr Hugh Robertson, STRP Chair, and Jerker Tamelander, Director of Science and Policy</w:t>
      </w:r>
      <w:r w:rsidR="00CE46D6">
        <w:rPr>
          <w:rFonts w:cs="Calibri"/>
          <w:lang w:val="en-US"/>
        </w:rPr>
        <w:t xml:space="preserve"> of the</w:t>
      </w:r>
      <w:r w:rsidRPr="0051619C">
        <w:rPr>
          <w:rFonts w:cs="Calibri"/>
          <w:lang w:val="en-US"/>
        </w:rPr>
        <w:t xml:space="preserve"> Secretariat. Flore Lafaye de Micheaux (Senior Advisor for Europe) and Filip Aggestam (Scientific and Technical Officer) presented the Secretariat</w:t>
      </w:r>
      <w:r w:rsidR="00035943">
        <w:rPr>
          <w:rFonts w:cs="Calibri"/>
          <w:lang w:val="en-US"/>
        </w:rPr>
        <w:t>’</w:t>
      </w:r>
      <w:r w:rsidRPr="0051619C">
        <w:rPr>
          <w:rFonts w:cs="Calibri"/>
          <w:lang w:val="en-US"/>
        </w:rPr>
        <w:t xml:space="preserve">s ongoing work on supporting Contracting Parties in relation to national wetland inventory and a summary of interviews conducted with Contracting Parties and </w:t>
      </w:r>
      <w:r w:rsidR="00070BB5">
        <w:rPr>
          <w:rFonts w:cs="Calibri"/>
          <w:lang w:val="en-US"/>
        </w:rPr>
        <w:t>EO</w:t>
      </w:r>
      <w:r w:rsidRPr="0051619C">
        <w:rPr>
          <w:rFonts w:cs="Calibri"/>
          <w:lang w:val="en-US"/>
        </w:rPr>
        <w:t xml:space="preserve"> experts. Presentations by Earth observation experts addressed the transformative potential of </w:t>
      </w:r>
      <w:r w:rsidR="00070BB5">
        <w:rPr>
          <w:rFonts w:cs="Calibri"/>
          <w:lang w:val="en-US"/>
        </w:rPr>
        <w:t>EO</w:t>
      </w:r>
      <w:r w:rsidRPr="0051619C">
        <w:rPr>
          <w:rFonts w:cs="Calibri"/>
          <w:lang w:val="en-US"/>
        </w:rPr>
        <w:t xml:space="preserve"> data and tools for wetland inventory and monitoring (Marc Paganini, European Space Agency, ESA); the capabilities of spaceborne radar for wetland mapping, with case studies from the Global Mangrove Watch and the ALOS Wetland Inundation Mapping initiative (Åke Rosenqvist, JAXA); use of machine learning towards creating a global wetland dataset through Global Wetland Watch (Christian Toettrup, DHI, and Stuart Crane, UNEP); the development of operational and sustainable </w:t>
      </w:r>
      <w:r w:rsidR="001142BA">
        <w:rPr>
          <w:rFonts w:cs="Calibri"/>
          <w:lang w:val="en-US"/>
        </w:rPr>
        <w:t>EO</w:t>
      </w:r>
      <w:r w:rsidRPr="0051619C">
        <w:rPr>
          <w:rFonts w:cs="Calibri"/>
          <w:lang w:val="en-US"/>
        </w:rPr>
        <w:t xml:space="preserve"> services through Copernicus, the </w:t>
      </w:r>
      <w:r w:rsidR="001142BA">
        <w:rPr>
          <w:rFonts w:cs="Calibri"/>
          <w:lang w:val="en-US"/>
        </w:rPr>
        <w:t xml:space="preserve">EO </w:t>
      </w:r>
      <w:r w:rsidRPr="0051619C">
        <w:rPr>
          <w:rFonts w:cs="Calibri"/>
          <w:lang w:val="en-US"/>
        </w:rPr>
        <w:t xml:space="preserve">flagship programme of the European Union </w:t>
      </w:r>
      <w:r w:rsidRPr="0051619C">
        <w:rPr>
          <w:rFonts w:cs="Calibri"/>
          <w:lang w:val="en-US"/>
        </w:rPr>
        <w:lastRenderedPageBreak/>
        <w:t xml:space="preserve">(Michel Massart, EU-JRC); as well as experiences of regional programmes that have been successful in supporting application of </w:t>
      </w:r>
      <w:r w:rsidR="001142BA">
        <w:rPr>
          <w:rFonts w:cs="Calibri"/>
          <w:lang w:val="en-US"/>
        </w:rPr>
        <w:t xml:space="preserve">EO </w:t>
      </w:r>
      <w:r w:rsidRPr="0051619C">
        <w:rPr>
          <w:rFonts w:cs="Calibri"/>
          <w:lang w:val="en-US"/>
        </w:rPr>
        <w:t xml:space="preserve">tools (Anis Guelmami, Mediterranean Wetlands Observatory; and Lisa-Maria Rebelo and Mpho Sadiki, Digital Earth Africa). The day concluded with a panel discussion, moderated by Jerker Tamelander. The Earth </w:t>
      </w:r>
      <w:r w:rsidR="004F62E4">
        <w:rPr>
          <w:rFonts w:cs="Calibri"/>
          <w:lang w:val="en-US"/>
        </w:rPr>
        <w:t>o</w:t>
      </w:r>
      <w:r w:rsidR="004F62E4" w:rsidRPr="0051619C">
        <w:rPr>
          <w:rFonts w:cs="Calibri"/>
          <w:lang w:val="en-US"/>
        </w:rPr>
        <w:t xml:space="preserve">bservation </w:t>
      </w:r>
      <w:r w:rsidR="004F62E4">
        <w:rPr>
          <w:rFonts w:cs="Calibri"/>
          <w:lang w:val="en-US"/>
        </w:rPr>
        <w:t>d</w:t>
      </w:r>
      <w:r w:rsidR="004F62E4" w:rsidRPr="0051619C">
        <w:rPr>
          <w:rFonts w:cs="Calibri"/>
          <w:lang w:val="en-US"/>
        </w:rPr>
        <w:t xml:space="preserve">ay </w:t>
      </w:r>
      <w:r w:rsidR="00F524A7" w:rsidRPr="00F524A7">
        <w:rPr>
          <w:rFonts w:cs="Calibri"/>
          <w:lang w:val="en-US"/>
        </w:rPr>
        <w:t>background document</w:t>
      </w:r>
      <w:r w:rsidRPr="0051619C">
        <w:rPr>
          <w:rFonts w:cs="Calibri"/>
          <w:lang w:val="en-US"/>
        </w:rPr>
        <w:t xml:space="preserve">, </w:t>
      </w:r>
      <w:r w:rsidR="00F524A7" w:rsidRPr="00F524A7">
        <w:rPr>
          <w:rFonts w:cs="Calibri"/>
          <w:lang w:val="en-US"/>
        </w:rPr>
        <w:t>programme</w:t>
      </w:r>
      <w:r w:rsidRPr="0051619C">
        <w:rPr>
          <w:rFonts w:cs="Calibri"/>
          <w:lang w:val="en-US"/>
        </w:rPr>
        <w:t xml:space="preserve"> as well as </w:t>
      </w:r>
      <w:r w:rsidR="00F524A7" w:rsidRPr="00F524A7">
        <w:rPr>
          <w:rFonts w:cs="Calibri"/>
          <w:lang w:val="en-US"/>
        </w:rPr>
        <w:t>presentations</w:t>
      </w:r>
      <w:r w:rsidRPr="0051619C">
        <w:rPr>
          <w:rFonts w:cs="Calibri"/>
          <w:lang w:val="en-US"/>
        </w:rPr>
        <w:t xml:space="preserve"> are available on the Convention website</w:t>
      </w:r>
      <w:r w:rsidR="00F524A7">
        <w:rPr>
          <w:rStyle w:val="FootnoteReference"/>
          <w:rFonts w:cs="Calibri"/>
          <w:lang w:val="en-US"/>
        </w:rPr>
        <w:footnoteReference w:id="30"/>
      </w:r>
      <w:r w:rsidRPr="0051619C">
        <w:rPr>
          <w:rFonts w:cs="Calibri"/>
          <w:lang w:val="en-US"/>
        </w:rPr>
        <w:t xml:space="preserve">.  </w:t>
      </w:r>
    </w:p>
    <w:p w14:paraId="26F65BBB" w14:textId="77777777" w:rsidR="0051619C" w:rsidRPr="0051619C" w:rsidRDefault="0051619C" w:rsidP="0051619C">
      <w:pPr>
        <w:spacing w:line="240" w:lineRule="auto"/>
        <w:rPr>
          <w:rFonts w:cs="Calibri"/>
          <w:b/>
          <w:lang w:val="en-US"/>
        </w:rPr>
      </w:pPr>
    </w:p>
    <w:p w14:paraId="5429D1A0" w14:textId="5C744F71" w:rsidR="0051619C" w:rsidRPr="0051619C" w:rsidRDefault="0051619C" w:rsidP="00D04D48">
      <w:pPr>
        <w:pBdr>
          <w:top w:val="nil"/>
          <w:left w:val="nil"/>
          <w:bottom w:val="nil"/>
          <w:right w:val="nil"/>
          <w:between w:val="nil"/>
        </w:pBdr>
        <w:spacing w:line="240" w:lineRule="auto"/>
        <w:ind w:left="426" w:hanging="426"/>
        <w:rPr>
          <w:rFonts w:cs="Calibri"/>
          <w:lang w:val="en-US"/>
        </w:rPr>
      </w:pPr>
      <w:r w:rsidRPr="0051619C">
        <w:rPr>
          <w:rFonts w:cs="Calibri"/>
          <w:lang w:val="en-US"/>
        </w:rPr>
        <w:t>5.</w:t>
      </w:r>
      <w:r w:rsidRPr="0051619C">
        <w:rPr>
          <w:rFonts w:cs="Calibri"/>
          <w:lang w:val="en-US"/>
        </w:rPr>
        <w:tab/>
        <w:t xml:space="preserve">This </w:t>
      </w:r>
      <w:r w:rsidR="0040445F">
        <w:rPr>
          <w:rFonts w:cs="Calibri"/>
          <w:lang w:val="en-US"/>
        </w:rPr>
        <w:t xml:space="preserve">final </w:t>
      </w:r>
      <w:r w:rsidRPr="0051619C">
        <w:rPr>
          <w:rFonts w:cs="Calibri"/>
          <w:lang w:val="en-US"/>
        </w:rPr>
        <w:t xml:space="preserve">report summarizes the main findings and recommendations arising from the consultation. It </w:t>
      </w:r>
      <w:r w:rsidR="005C32B6" w:rsidRPr="005C32B6">
        <w:rPr>
          <w:rFonts w:cs="Calibri"/>
          <w:lang w:val="en-US"/>
        </w:rPr>
        <w:t xml:space="preserve">includes minor updates to the draft report presented </w:t>
      </w:r>
      <w:r w:rsidR="005C32B6">
        <w:rPr>
          <w:rFonts w:cs="Calibri"/>
          <w:lang w:val="en-US"/>
        </w:rPr>
        <w:t>during the</w:t>
      </w:r>
      <w:r w:rsidR="005C32B6" w:rsidRPr="005C32B6">
        <w:rPr>
          <w:rFonts w:cs="Calibri"/>
          <w:lang w:val="en-US"/>
        </w:rPr>
        <w:t xml:space="preserve"> </w:t>
      </w:r>
      <w:r w:rsidR="009A1D89" w:rsidRPr="009A1D89">
        <w:rPr>
          <w:rFonts w:cs="Calibri"/>
          <w:lang w:val="en-US"/>
        </w:rPr>
        <w:t>64th meeting of the Standing Committee</w:t>
      </w:r>
      <w:r w:rsidR="009A1D89">
        <w:rPr>
          <w:rFonts w:cs="Calibri"/>
          <w:lang w:val="en-US"/>
        </w:rPr>
        <w:t xml:space="preserve"> (</w:t>
      </w:r>
      <w:r w:rsidR="00F524A7" w:rsidRPr="00F524A7">
        <w:rPr>
          <w:rFonts w:cs="Calibri"/>
          <w:lang w:val="en-US"/>
        </w:rPr>
        <w:t>SC64 Inf.2</w:t>
      </w:r>
      <w:r w:rsidR="00F524A7">
        <w:rPr>
          <w:rStyle w:val="FootnoteReference"/>
        </w:rPr>
        <w:footnoteReference w:id="31"/>
      </w:r>
      <w:r w:rsidR="009A1D89">
        <w:rPr>
          <w:rFonts w:cs="Calibri"/>
          <w:lang w:val="en-US"/>
        </w:rPr>
        <w:t>)</w:t>
      </w:r>
      <w:r w:rsidR="005C32B6" w:rsidRPr="005C32B6">
        <w:rPr>
          <w:rFonts w:cs="Calibri"/>
          <w:lang w:val="en-US"/>
        </w:rPr>
        <w:t xml:space="preserve">. </w:t>
      </w:r>
    </w:p>
    <w:p w14:paraId="635BC5E8" w14:textId="77777777" w:rsidR="0051619C" w:rsidRPr="0051619C" w:rsidRDefault="0051619C" w:rsidP="0051619C">
      <w:pPr>
        <w:spacing w:line="240" w:lineRule="auto"/>
        <w:rPr>
          <w:rFonts w:cs="Calibri"/>
          <w:lang w:val="en-US"/>
        </w:rPr>
      </w:pPr>
    </w:p>
    <w:p w14:paraId="52C44CDE" w14:textId="77777777" w:rsidR="0051619C" w:rsidRPr="0051619C" w:rsidRDefault="0051619C" w:rsidP="0051619C">
      <w:pPr>
        <w:keepNext/>
        <w:spacing w:line="240" w:lineRule="auto"/>
        <w:rPr>
          <w:rFonts w:cs="Calibri"/>
          <w:b/>
          <w:lang w:val="en-US"/>
        </w:rPr>
      </w:pPr>
      <w:r w:rsidRPr="0051619C">
        <w:rPr>
          <w:rFonts w:cs="Calibri"/>
          <w:b/>
          <w:lang w:val="en-US"/>
        </w:rPr>
        <w:t xml:space="preserve">Key findings </w:t>
      </w:r>
    </w:p>
    <w:p w14:paraId="4FC5B697" w14:textId="77777777" w:rsidR="0051619C" w:rsidRPr="0051619C" w:rsidRDefault="0051619C" w:rsidP="001671B0">
      <w:pPr>
        <w:keepNext/>
        <w:spacing w:line="240" w:lineRule="auto"/>
        <w:rPr>
          <w:rFonts w:cs="Calibri"/>
          <w:lang w:val="en-US"/>
        </w:rPr>
      </w:pPr>
    </w:p>
    <w:p w14:paraId="6EFAA5CE" w14:textId="77777777" w:rsidR="0051619C" w:rsidRPr="0051619C" w:rsidRDefault="0051619C" w:rsidP="0051619C">
      <w:pPr>
        <w:pBdr>
          <w:top w:val="nil"/>
          <w:left w:val="nil"/>
          <w:bottom w:val="nil"/>
          <w:right w:val="nil"/>
          <w:between w:val="nil"/>
        </w:pBdr>
        <w:spacing w:line="240" w:lineRule="auto"/>
        <w:ind w:left="426" w:hanging="426"/>
        <w:rPr>
          <w:rFonts w:cs="Calibri"/>
          <w:lang w:val="en-US"/>
        </w:rPr>
      </w:pPr>
      <w:r w:rsidRPr="0051619C">
        <w:rPr>
          <w:rFonts w:cs="Calibri"/>
          <w:lang w:val="en-US"/>
        </w:rPr>
        <w:t>6.</w:t>
      </w:r>
      <w:r w:rsidRPr="0051619C">
        <w:rPr>
          <w:rFonts w:cs="Calibri"/>
          <w:lang w:val="en-US"/>
        </w:rPr>
        <w:tab/>
        <w:t xml:space="preserve">The key findings of the consultation are summarized below: </w:t>
      </w:r>
    </w:p>
    <w:p w14:paraId="20B7BFB5" w14:textId="77777777" w:rsidR="0051619C" w:rsidRPr="0051619C" w:rsidRDefault="0051619C" w:rsidP="0051619C">
      <w:pPr>
        <w:pStyle w:val="ListParagraph"/>
        <w:spacing w:line="240" w:lineRule="auto"/>
        <w:ind w:left="360"/>
        <w:rPr>
          <w:rFonts w:cs="Calibri"/>
          <w:lang w:val="en-US"/>
        </w:rPr>
      </w:pPr>
    </w:p>
    <w:p w14:paraId="44423D93" w14:textId="75187CA3" w:rsidR="0051619C" w:rsidRPr="0051619C" w:rsidRDefault="0051619C" w:rsidP="0051619C">
      <w:pPr>
        <w:pBdr>
          <w:top w:val="nil"/>
          <w:left w:val="nil"/>
          <w:bottom w:val="nil"/>
          <w:right w:val="nil"/>
          <w:between w:val="nil"/>
        </w:pBdr>
        <w:spacing w:line="240" w:lineRule="auto"/>
        <w:ind w:left="845" w:hanging="420"/>
        <w:rPr>
          <w:rFonts w:cs="Calibri"/>
          <w:lang w:val="en-US"/>
        </w:rPr>
      </w:pPr>
      <w:r w:rsidRPr="0051619C">
        <w:rPr>
          <w:rFonts w:cs="Calibri"/>
          <w:lang w:val="en-US"/>
        </w:rPr>
        <w:t>a.</w:t>
      </w:r>
      <w:r w:rsidRPr="0051619C">
        <w:rPr>
          <w:rFonts w:cs="Calibri"/>
          <w:lang w:val="en-US"/>
        </w:rPr>
        <w:tab/>
      </w:r>
      <w:r w:rsidRPr="0051619C">
        <w:rPr>
          <w:rFonts w:cs="Calibri"/>
          <w:b/>
          <w:bCs/>
          <w:i/>
          <w:iCs/>
          <w:lang w:val="en-US"/>
        </w:rPr>
        <w:t>Earth observation data generation and data quality are increasing rapidly.</w:t>
      </w:r>
      <w:r w:rsidRPr="0051619C">
        <w:rPr>
          <w:rFonts w:cs="Calibri"/>
          <w:b/>
          <w:bCs/>
          <w:lang w:val="en-US"/>
        </w:rPr>
        <w:t xml:space="preserve"> </w:t>
      </w:r>
      <w:r w:rsidRPr="0051619C">
        <w:rPr>
          <w:rFonts w:cs="Calibri"/>
          <w:lang w:val="en-US"/>
        </w:rPr>
        <w:t xml:space="preserve">The range of satellites and sensors generating data relevant to wetland inventory, assessment, monitoring and conservation has increased rapidly over many years, and continues to increase. This provides more, and more accurate data, at high temporal, spectral and spatial resolution. Ongoing developments in artificial intelligence, </w:t>
      </w:r>
      <w:r w:rsidR="001142BA">
        <w:rPr>
          <w:rFonts w:cs="Calibri"/>
          <w:lang w:val="en-US"/>
        </w:rPr>
        <w:t xml:space="preserve">and </w:t>
      </w:r>
      <w:r w:rsidRPr="0051619C">
        <w:rPr>
          <w:rFonts w:cs="Calibri"/>
          <w:lang w:val="en-US"/>
        </w:rPr>
        <w:t>notably machine learning</w:t>
      </w:r>
      <w:r w:rsidR="001142BA">
        <w:rPr>
          <w:rFonts w:cs="Calibri"/>
          <w:lang w:val="en-US"/>
        </w:rPr>
        <w:t>,</w:t>
      </w:r>
      <w:r w:rsidRPr="0051619C">
        <w:rPr>
          <w:rFonts w:cs="Calibri"/>
          <w:lang w:val="en-US"/>
        </w:rPr>
        <w:t xml:space="preserve"> are expected to further contribute to increasing the availability and applicability of </w:t>
      </w:r>
      <w:r w:rsidR="00D0124B">
        <w:rPr>
          <w:rFonts w:cs="Calibri"/>
          <w:lang w:val="en-US"/>
        </w:rPr>
        <w:t>EO</w:t>
      </w:r>
      <w:r w:rsidRPr="0051619C">
        <w:rPr>
          <w:rFonts w:cs="Calibri"/>
          <w:lang w:val="en-US"/>
        </w:rPr>
        <w:t xml:space="preserve"> for identifying and mapping wetlands, assessing condition and ecosystem service provision. </w:t>
      </w:r>
    </w:p>
    <w:p w14:paraId="3C40FA6F" w14:textId="77777777" w:rsidR="0051619C" w:rsidRPr="0051619C" w:rsidRDefault="0051619C" w:rsidP="0051619C">
      <w:pPr>
        <w:pStyle w:val="ListParagraph"/>
        <w:spacing w:line="240" w:lineRule="auto"/>
        <w:ind w:left="851"/>
        <w:rPr>
          <w:rFonts w:cs="Calibri"/>
          <w:lang w:val="en-US"/>
        </w:rPr>
      </w:pPr>
    </w:p>
    <w:p w14:paraId="23D4397C" w14:textId="2CF8B426" w:rsidR="0051619C" w:rsidRPr="0051619C" w:rsidRDefault="0051619C" w:rsidP="0051619C">
      <w:pPr>
        <w:pBdr>
          <w:top w:val="nil"/>
          <w:left w:val="nil"/>
          <w:bottom w:val="nil"/>
          <w:right w:val="nil"/>
          <w:between w:val="nil"/>
        </w:pBdr>
        <w:spacing w:line="240" w:lineRule="auto"/>
        <w:ind w:left="845" w:hanging="420"/>
        <w:rPr>
          <w:rFonts w:cs="Calibri"/>
          <w:lang w:val="en-US"/>
        </w:rPr>
      </w:pPr>
      <w:r w:rsidRPr="0051619C">
        <w:rPr>
          <w:rFonts w:cs="Calibri"/>
          <w:lang w:val="en-US"/>
        </w:rPr>
        <w:t>b.</w:t>
      </w:r>
      <w:r w:rsidRPr="0051619C">
        <w:rPr>
          <w:rFonts w:cs="Calibri"/>
          <w:lang w:val="en-US"/>
        </w:rPr>
        <w:tab/>
      </w:r>
      <w:r w:rsidRPr="0051619C">
        <w:rPr>
          <w:rFonts w:cs="Calibri"/>
          <w:b/>
          <w:bCs/>
          <w:i/>
          <w:iCs/>
          <w:lang w:val="en-US"/>
        </w:rPr>
        <w:t>Earth observation data is often freely available</w:t>
      </w:r>
      <w:r w:rsidRPr="00D0124B">
        <w:rPr>
          <w:rFonts w:cs="Calibri"/>
          <w:b/>
          <w:bCs/>
          <w:i/>
          <w:iCs/>
          <w:lang w:val="en-US"/>
        </w:rPr>
        <w:t>.</w:t>
      </w:r>
      <w:r w:rsidRPr="00D0124B">
        <w:rPr>
          <w:rFonts w:cs="Calibri"/>
          <w:b/>
          <w:bCs/>
          <w:lang w:val="en-US"/>
        </w:rPr>
        <w:t xml:space="preserve"> </w:t>
      </w:r>
      <w:r w:rsidRPr="00D0124B">
        <w:rPr>
          <w:rFonts w:cs="Calibri"/>
          <w:lang w:val="en-US"/>
        </w:rPr>
        <w:t>Publicly available</w:t>
      </w:r>
      <w:r w:rsidRPr="0051619C">
        <w:rPr>
          <w:rFonts w:cs="Calibri"/>
          <w:i/>
          <w:iCs/>
          <w:lang w:val="en-US"/>
        </w:rPr>
        <w:t xml:space="preserve"> </w:t>
      </w:r>
      <w:r w:rsidR="00D0124B">
        <w:rPr>
          <w:rFonts w:cs="Calibri"/>
          <w:lang w:val="en-US"/>
        </w:rPr>
        <w:t xml:space="preserve">EO </w:t>
      </w:r>
      <w:r w:rsidRPr="0051619C">
        <w:rPr>
          <w:rFonts w:cs="Calibri"/>
          <w:lang w:val="en-US"/>
        </w:rPr>
        <w:t xml:space="preserve">data is, for the most part, readily and freely available for application in wetland inventory, assessment, monitoring and conservation. Space agencies put a very large part of the data they generate in the public domain or make it available for non-commercial applications for free. This includes raw data, as well as derived products and services. This is an exceptionally valuable </w:t>
      </w:r>
      <w:r w:rsidR="00035943">
        <w:rPr>
          <w:rFonts w:cs="Calibri"/>
          <w:lang w:val="en-US"/>
        </w:rPr>
        <w:t>‘</w:t>
      </w:r>
      <w:r w:rsidRPr="0051619C">
        <w:rPr>
          <w:rFonts w:cs="Calibri"/>
          <w:lang w:val="en-US"/>
        </w:rPr>
        <w:t>public service</w:t>
      </w:r>
      <w:r w:rsidR="00035943">
        <w:rPr>
          <w:rFonts w:cs="Calibri"/>
          <w:lang w:val="en-US"/>
        </w:rPr>
        <w:t>’</w:t>
      </w:r>
      <w:r w:rsidRPr="0051619C">
        <w:rPr>
          <w:rFonts w:cs="Calibri"/>
          <w:lang w:val="en-US"/>
        </w:rPr>
        <w:t>, also bearing in mind that many countries may not have the infrastructure and technical capability for generating, storing and processing large volumes of Earth observation</w:t>
      </w:r>
      <w:r w:rsidRPr="0051619C" w:rsidDel="0097043C">
        <w:rPr>
          <w:rFonts w:cs="Calibri"/>
          <w:lang w:val="en-US"/>
        </w:rPr>
        <w:t xml:space="preserve"> </w:t>
      </w:r>
      <w:r w:rsidRPr="0051619C">
        <w:rPr>
          <w:rFonts w:cs="Calibri"/>
          <w:lang w:val="en-US"/>
        </w:rPr>
        <w:t xml:space="preserve">data, and that developing and maintaining such capability at national level can be very costly as well as impractical. Commercial </w:t>
      </w:r>
      <w:r w:rsidR="00D0124B">
        <w:rPr>
          <w:rFonts w:cs="Calibri"/>
          <w:lang w:val="en-US"/>
        </w:rPr>
        <w:t>EO</w:t>
      </w:r>
      <w:r w:rsidRPr="0051619C">
        <w:rPr>
          <w:rFonts w:cs="Calibri"/>
          <w:lang w:val="en-US"/>
        </w:rPr>
        <w:t xml:space="preserve"> data with very high spatial resolution, while not always freely available, can also play a crucial role in enhancing wetland inventory, assessment and monitoring efforts, offering spatial details that can justify their cost for specific local-scale applications (e.g. monitoring of small or fragmented wetland habitats or human-made wetlands, monitoring of wetland restoration projects, environmental impact assessment etc.). </w:t>
      </w:r>
    </w:p>
    <w:p w14:paraId="1FAE16A0" w14:textId="77777777" w:rsidR="0051619C" w:rsidRPr="0051619C" w:rsidRDefault="0051619C" w:rsidP="0051619C">
      <w:pPr>
        <w:pStyle w:val="ListParagraph"/>
        <w:spacing w:line="240" w:lineRule="auto"/>
        <w:ind w:left="851"/>
        <w:rPr>
          <w:rFonts w:cs="Calibri"/>
          <w:lang w:val="en-US"/>
        </w:rPr>
      </w:pPr>
    </w:p>
    <w:p w14:paraId="74A6C406" w14:textId="4D042FC2" w:rsidR="0051619C" w:rsidRPr="0051619C" w:rsidRDefault="0051619C" w:rsidP="0051619C">
      <w:pPr>
        <w:pBdr>
          <w:top w:val="nil"/>
          <w:left w:val="nil"/>
          <w:bottom w:val="nil"/>
          <w:right w:val="nil"/>
          <w:between w:val="nil"/>
        </w:pBdr>
        <w:spacing w:line="240" w:lineRule="auto"/>
        <w:ind w:left="845" w:hanging="420"/>
        <w:rPr>
          <w:rFonts w:cs="Calibri"/>
          <w:lang w:val="en-US"/>
        </w:rPr>
      </w:pPr>
      <w:r w:rsidRPr="0051619C">
        <w:rPr>
          <w:rFonts w:cs="Calibri"/>
          <w:lang w:val="en-US"/>
        </w:rPr>
        <w:t>c.</w:t>
      </w:r>
      <w:r w:rsidRPr="0051619C">
        <w:rPr>
          <w:rFonts w:cs="Calibri"/>
          <w:lang w:val="en-US"/>
        </w:rPr>
        <w:tab/>
      </w:r>
      <w:r w:rsidRPr="0051619C">
        <w:rPr>
          <w:rFonts w:cs="Calibri"/>
          <w:b/>
          <w:bCs/>
          <w:i/>
          <w:iCs/>
          <w:lang w:val="en-US"/>
        </w:rPr>
        <w:t>Earth observation</w:t>
      </w:r>
      <w:r w:rsidRPr="0051619C" w:rsidDel="00CF0A89">
        <w:rPr>
          <w:rFonts w:cs="Calibri"/>
          <w:b/>
          <w:bCs/>
          <w:i/>
          <w:iCs/>
          <w:lang w:val="en-US"/>
        </w:rPr>
        <w:t xml:space="preserve"> </w:t>
      </w:r>
      <w:r w:rsidRPr="0051619C">
        <w:rPr>
          <w:rFonts w:cs="Calibri"/>
          <w:b/>
          <w:bCs/>
          <w:i/>
          <w:iCs/>
          <w:lang w:val="en-US"/>
        </w:rPr>
        <w:t xml:space="preserve">data is a valuable but underused asset. </w:t>
      </w:r>
      <w:r w:rsidRPr="0051619C">
        <w:rPr>
          <w:rFonts w:cs="Calibri"/>
          <w:lang w:val="en-US"/>
        </w:rPr>
        <w:t xml:space="preserve">While use of </w:t>
      </w:r>
      <w:r w:rsidR="00D0124B">
        <w:rPr>
          <w:rFonts w:cs="Calibri"/>
          <w:lang w:val="en-US"/>
        </w:rPr>
        <w:t>EO</w:t>
      </w:r>
      <w:r w:rsidRPr="0051619C" w:rsidDel="0097043C">
        <w:rPr>
          <w:rFonts w:cs="Calibri"/>
          <w:lang w:val="en-US"/>
        </w:rPr>
        <w:t xml:space="preserve"> </w:t>
      </w:r>
      <w:r w:rsidRPr="0051619C">
        <w:rPr>
          <w:rFonts w:cs="Calibri"/>
          <w:lang w:val="en-US"/>
        </w:rPr>
        <w:t xml:space="preserve">data in national wetland inventory, assessment, monitoring and conservation is increasing, it is not keeping pace with the rapid growth in data availability. The significant potential of </w:t>
      </w:r>
      <w:r w:rsidR="00D0124B">
        <w:rPr>
          <w:rFonts w:cs="Calibri"/>
          <w:lang w:val="en-US"/>
        </w:rPr>
        <w:t>EO</w:t>
      </w:r>
      <w:r w:rsidRPr="0051619C" w:rsidDel="0097043C">
        <w:rPr>
          <w:rFonts w:cs="Calibri"/>
          <w:lang w:val="en-US"/>
        </w:rPr>
        <w:t xml:space="preserve"> </w:t>
      </w:r>
      <w:r w:rsidRPr="0051619C">
        <w:rPr>
          <w:rFonts w:cs="Calibri"/>
          <w:lang w:val="en-US"/>
        </w:rPr>
        <w:t xml:space="preserve">(and associated investments) is under-utilized. While capability on the supply side of </w:t>
      </w:r>
      <w:r w:rsidR="00D0124B">
        <w:rPr>
          <w:rFonts w:cs="Calibri"/>
          <w:lang w:val="en-US"/>
        </w:rPr>
        <w:t>EO</w:t>
      </w:r>
      <w:r w:rsidRPr="0051619C">
        <w:rPr>
          <w:rFonts w:cs="Calibri"/>
          <w:lang w:val="en-US"/>
        </w:rPr>
        <w:t xml:space="preserve">data is very advanced, it remains constrained at the demand side. Availability of data does not catalyze its application by authorities responsible for wetlands, and in many cases the </w:t>
      </w:r>
      <w:r w:rsidRPr="0051619C">
        <w:rPr>
          <w:rFonts w:cs="Calibri"/>
          <w:lang w:val="en-US"/>
        </w:rPr>
        <w:lastRenderedPageBreak/>
        <w:t xml:space="preserve">institutional and policy environment is not keeping up with the supply of data and derived products. </w:t>
      </w:r>
    </w:p>
    <w:p w14:paraId="3CBB1A75" w14:textId="77777777" w:rsidR="0051619C" w:rsidRPr="0051619C" w:rsidRDefault="0051619C" w:rsidP="0051619C">
      <w:pPr>
        <w:pStyle w:val="ListParagraph"/>
        <w:spacing w:line="240" w:lineRule="auto"/>
        <w:rPr>
          <w:rFonts w:cs="Calibri"/>
          <w:b/>
          <w:i/>
          <w:lang w:val="en-US"/>
        </w:rPr>
      </w:pPr>
    </w:p>
    <w:p w14:paraId="70F2D324" w14:textId="7CA9098C" w:rsidR="0051619C" w:rsidRPr="0051619C" w:rsidRDefault="0051619C" w:rsidP="0051619C">
      <w:pPr>
        <w:pBdr>
          <w:top w:val="nil"/>
          <w:left w:val="nil"/>
          <w:bottom w:val="nil"/>
          <w:right w:val="nil"/>
          <w:between w:val="nil"/>
        </w:pBdr>
        <w:spacing w:line="240" w:lineRule="auto"/>
        <w:ind w:left="845" w:hanging="420"/>
        <w:rPr>
          <w:rFonts w:cs="Calibri"/>
          <w:lang w:val="en-US"/>
        </w:rPr>
      </w:pPr>
      <w:r w:rsidRPr="0051619C">
        <w:rPr>
          <w:rFonts w:cs="Calibri"/>
          <w:lang w:val="en-US"/>
        </w:rPr>
        <w:t>d.</w:t>
      </w:r>
      <w:r w:rsidRPr="0051619C">
        <w:rPr>
          <w:rFonts w:cs="Calibri"/>
          <w:lang w:val="en-US"/>
        </w:rPr>
        <w:tab/>
      </w:r>
      <w:r w:rsidRPr="0051619C">
        <w:rPr>
          <w:rFonts w:cs="Calibri"/>
          <w:b/>
          <w:bCs/>
          <w:i/>
          <w:iCs/>
          <w:lang w:val="en-US"/>
        </w:rPr>
        <w:t>User-driven design is key to enhancing use of Earth observation</w:t>
      </w:r>
      <w:r w:rsidRPr="0051619C" w:rsidDel="00CF0A89">
        <w:rPr>
          <w:rFonts w:cs="Calibri"/>
          <w:b/>
          <w:bCs/>
          <w:i/>
          <w:iCs/>
          <w:lang w:val="en-US"/>
        </w:rPr>
        <w:t xml:space="preserve"> </w:t>
      </w:r>
      <w:r w:rsidRPr="0051619C">
        <w:rPr>
          <w:rFonts w:cs="Calibri"/>
          <w:b/>
          <w:bCs/>
          <w:i/>
          <w:iCs/>
          <w:lang w:val="en-US"/>
        </w:rPr>
        <w:t xml:space="preserve">in wetland inventory. </w:t>
      </w:r>
      <w:r w:rsidRPr="0051619C">
        <w:rPr>
          <w:rFonts w:cs="Calibri"/>
          <w:lang w:val="en-US"/>
        </w:rPr>
        <w:t xml:space="preserve">Enhancing application of </w:t>
      </w:r>
      <w:r w:rsidR="00D0124B">
        <w:rPr>
          <w:rFonts w:cs="Calibri"/>
          <w:lang w:val="en-US"/>
        </w:rPr>
        <w:t xml:space="preserve">EO </w:t>
      </w:r>
      <w:r w:rsidRPr="0051619C">
        <w:rPr>
          <w:rFonts w:cs="Calibri"/>
          <w:lang w:val="en-US"/>
        </w:rPr>
        <w:t xml:space="preserve">in </w:t>
      </w:r>
      <w:r w:rsidR="00D0124B">
        <w:rPr>
          <w:rFonts w:cs="Calibri"/>
          <w:lang w:val="en-US"/>
        </w:rPr>
        <w:t xml:space="preserve">NWI </w:t>
      </w:r>
      <w:r w:rsidRPr="0051619C">
        <w:rPr>
          <w:rFonts w:cs="Calibri"/>
          <w:lang w:val="en-US"/>
        </w:rPr>
        <w:t xml:space="preserve">requires increased focus on the needs of national authorities responsible for wetland inventory, monitoring and management, as well as requirements of other end users, including authorities responsible for relevant sectoral policies or for tracking and reporting on global biodiversity, climate and sustainable development targets. An active involvement of end-users in the co-design and development of </w:t>
      </w:r>
      <w:r w:rsidR="00D0124B">
        <w:rPr>
          <w:rFonts w:cs="Calibri"/>
          <w:lang w:val="en-US"/>
        </w:rPr>
        <w:t xml:space="preserve">EO </w:t>
      </w:r>
      <w:r w:rsidRPr="0051619C">
        <w:rPr>
          <w:rFonts w:cs="Calibri"/>
          <w:lang w:val="en-US"/>
        </w:rPr>
        <w:t xml:space="preserve">data products and tools for wetland inventory is fundamental to fostering genuine ownership, and in order to ensure that </w:t>
      </w:r>
      <w:r w:rsidR="00D0124B">
        <w:rPr>
          <w:rFonts w:cs="Calibri"/>
          <w:lang w:val="en-US"/>
        </w:rPr>
        <w:t xml:space="preserve">EO </w:t>
      </w:r>
      <w:r w:rsidRPr="0051619C">
        <w:rPr>
          <w:rFonts w:cs="Calibri"/>
          <w:lang w:val="en-US"/>
        </w:rPr>
        <w:t xml:space="preserve">products and services are relevant, appropriate to the context, and that technical and other capacity needs are well understood and addressed. Adopting a user-driven approach will help </w:t>
      </w:r>
      <w:r w:rsidR="00035943">
        <w:rPr>
          <w:rFonts w:cs="Calibri"/>
          <w:lang w:val="en-US"/>
        </w:rPr>
        <w:t>‘</w:t>
      </w:r>
      <w:r w:rsidRPr="0051619C">
        <w:rPr>
          <w:rFonts w:cs="Calibri"/>
          <w:lang w:val="en-US"/>
        </w:rPr>
        <w:t>democratize</w:t>
      </w:r>
      <w:r w:rsidR="00035943">
        <w:rPr>
          <w:rFonts w:cs="Calibri"/>
          <w:lang w:val="en-US"/>
        </w:rPr>
        <w:t>’</w:t>
      </w:r>
      <w:r w:rsidRPr="0051619C">
        <w:rPr>
          <w:rFonts w:cs="Calibri"/>
          <w:lang w:val="en-US"/>
        </w:rPr>
        <w:t xml:space="preserve"> </w:t>
      </w:r>
      <w:r w:rsidR="00D0124B">
        <w:rPr>
          <w:rFonts w:cs="Calibri"/>
          <w:lang w:val="en-US"/>
        </w:rPr>
        <w:t>EO</w:t>
      </w:r>
      <w:r w:rsidRPr="0051619C">
        <w:rPr>
          <w:rFonts w:cs="Calibri"/>
          <w:lang w:val="en-US"/>
        </w:rPr>
        <w:t>,</w:t>
      </w:r>
      <w:r w:rsidRPr="0051619C">
        <w:rPr>
          <w:rFonts w:cs="Calibri"/>
          <w:sz w:val="18"/>
          <w:szCs w:val="18"/>
          <w:lang w:val="en-US"/>
        </w:rPr>
        <w:t xml:space="preserve"> </w:t>
      </w:r>
      <w:r w:rsidRPr="0051619C">
        <w:rPr>
          <w:rFonts w:cs="Calibri"/>
          <w:lang w:val="en-US"/>
        </w:rPr>
        <w:t xml:space="preserve">making its benefits more accessible and impactful. </w:t>
      </w:r>
    </w:p>
    <w:p w14:paraId="2E9B07B6" w14:textId="77777777" w:rsidR="0051619C" w:rsidRPr="0051619C" w:rsidRDefault="0051619C" w:rsidP="0051619C">
      <w:pPr>
        <w:pStyle w:val="ListParagraph"/>
        <w:spacing w:line="240" w:lineRule="auto"/>
        <w:rPr>
          <w:rFonts w:cs="Calibri"/>
          <w:b/>
          <w:i/>
          <w:lang w:val="en-US"/>
        </w:rPr>
      </w:pPr>
    </w:p>
    <w:p w14:paraId="0C839FDF" w14:textId="729E66CF" w:rsidR="0051619C" w:rsidRPr="0051619C" w:rsidRDefault="0051619C" w:rsidP="0051619C">
      <w:pPr>
        <w:pBdr>
          <w:top w:val="nil"/>
          <w:left w:val="nil"/>
          <w:bottom w:val="nil"/>
          <w:right w:val="nil"/>
          <w:between w:val="nil"/>
        </w:pBdr>
        <w:spacing w:line="240" w:lineRule="auto"/>
        <w:ind w:left="845" w:hanging="420"/>
        <w:rPr>
          <w:rFonts w:cs="Calibri"/>
          <w:lang w:val="en-US"/>
        </w:rPr>
      </w:pPr>
      <w:r w:rsidRPr="0051619C">
        <w:rPr>
          <w:rFonts w:cs="Calibri"/>
          <w:lang w:val="en-US"/>
        </w:rPr>
        <w:t>e.</w:t>
      </w:r>
      <w:r w:rsidRPr="0051619C">
        <w:rPr>
          <w:rFonts w:cs="Calibri"/>
          <w:lang w:val="en-US"/>
        </w:rPr>
        <w:tab/>
      </w:r>
      <w:r w:rsidRPr="0051619C">
        <w:rPr>
          <w:rFonts w:cs="Calibri"/>
          <w:b/>
          <w:bCs/>
          <w:i/>
          <w:iCs/>
          <w:lang w:val="en-US"/>
        </w:rPr>
        <w:t>Limitations to Earth observation</w:t>
      </w:r>
      <w:r w:rsidRPr="0051619C" w:rsidDel="00CF0A89">
        <w:rPr>
          <w:rFonts w:cs="Calibri"/>
          <w:b/>
          <w:bCs/>
          <w:i/>
          <w:iCs/>
          <w:lang w:val="en-US"/>
        </w:rPr>
        <w:t xml:space="preserve"> </w:t>
      </w:r>
      <w:r w:rsidRPr="0051619C">
        <w:rPr>
          <w:rFonts w:cs="Calibri"/>
          <w:b/>
          <w:bCs/>
          <w:i/>
          <w:iCs/>
          <w:lang w:val="en-US"/>
        </w:rPr>
        <w:t xml:space="preserve">data remain but can increasingly be addressed. </w:t>
      </w:r>
      <w:r w:rsidRPr="0051619C">
        <w:rPr>
          <w:rFonts w:cs="Calibri"/>
          <w:lang w:val="en-US"/>
        </w:rPr>
        <w:t xml:space="preserve">Some wetland types, such as small wetlands and forested inland wetlands, have for long been challenging to identify, map and assess using </w:t>
      </w:r>
      <w:r w:rsidR="00D0124B">
        <w:rPr>
          <w:rFonts w:cs="Calibri"/>
          <w:lang w:val="en-US"/>
        </w:rPr>
        <w:t xml:space="preserve">EO </w:t>
      </w:r>
      <w:r w:rsidRPr="0051619C">
        <w:rPr>
          <w:rFonts w:cs="Calibri"/>
          <w:lang w:val="en-US"/>
        </w:rPr>
        <w:t xml:space="preserve">technology. Similarly, some wetland characteristics are challenging, such as depth of peat soil in peatlands, as well as extent and condition of wetlands with high seasonal or inter-annual dynamics. Inventory of human-made wetlands is uneven. Some of these limitations can increasingly be overcome with innovative use of currently available </w:t>
      </w:r>
      <w:r w:rsidR="00D0124B">
        <w:rPr>
          <w:rFonts w:cs="Calibri"/>
          <w:lang w:val="en-US"/>
        </w:rPr>
        <w:t xml:space="preserve">EO </w:t>
      </w:r>
      <w:r w:rsidRPr="0051619C">
        <w:rPr>
          <w:rFonts w:cs="Calibri"/>
          <w:lang w:val="en-US"/>
        </w:rPr>
        <w:t xml:space="preserve">technologies, whereas others require further development of </w:t>
      </w:r>
      <w:r w:rsidR="00D0124B">
        <w:rPr>
          <w:rFonts w:cs="Calibri"/>
          <w:lang w:val="en-US"/>
        </w:rPr>
        <w:t xml:space="preserve">EO </w:t>
      </w:r>
      <w:r w:rsidRPr="0051619C">
        <w:rPr>
          <w:rFonts w:cs="Calibri"/>
          <w:lang w:val="en-US"/>
        </w:rPr>
        <w:t xml:space="preserve">sensors and products. Space agencies can play a critical role in bridging these gaps by directing </w:t>
      </w:r>
      <w:r w:rsidR="00D0124B">
        <w:rPr>
          <w:rFonts w:cs="Calibri"/>
          <w:lang w:val="en-US"/>
        </w:rPr>
        <w:t xml:space="preserve">their </w:t>
      </w:r>
      <w:r w:rsidRPr="0051619C">
        <w:rPr>
          <w:rFonts w:cs="Calibri"/>
          <w:lang w:val="en-US"/>
        </w:rPr>
        <w:t>effort</w:t>
      </w:r>
      <w:r w:rsidR="00D0124B">
        <w:rPr>
          <w:rFonts w:cs="Calibri"/>
          <w:lang w:val="en-US"/>
        </w:rPr>
        <w:t>s</w:t>
      </w:r>
      <w:r w:rsidRPr="0051619C">
        <w:rPr>
          <w:rFonts w:cs="Calibri"/>
          <w:lang w:val="en-US"/>
        </w:rPr>
        <w:t xml:space="preserve"> towards advancing </w:t>
      </w:r>
      <w:r w:rsidR="00D0124B">
        <w:rPr>
          <w:rFonts w:cs="Calibri"/>
          <w:lang w:val="en-US"/>
        </w:rPr>
        <w:t xml:space="preserve">EO </w:t>
      </w:r>
      <w:r w:rsidRPr="0051619C">
        <w:rPr>
          <w:rFonts w:cs="Calibri"/>
          <w:lang w:val="en-US"/>
        </w:rPr>
        <w:t>capabilities.</w:t>
      </w:r>
      <w:r w:rsidRPr="0051619C">
        <w:rPr>
          <w:rFonts w:cs="Calibri"/>
          <w:sz w:val="18"/>
          <w:szCs w:val="18"/>
          <w:lang w:val="en-US"/>
        </w:rPr>
        <w:t xml:space="preserve"> </w:t>
      </w:r>
      <w:r w:rsidRPr="0051619C">
        <w:rPr>
          <w:rFonts w:cs="Calibri"/>
          <w:lang w:val="en-US"/>
        </w:rPr>
        <w:t xml:space="preserve">They can align their priorities with the recommendations from intergovernmental processes, such as those of the Convention on Wetlands, to ensure that </w:t>
      </w:r>
      <w:r w:rsidR="00D0124B">
        <w:rPr>
          <w:rFonts w:cs="Calibri"/>
          <w:lang w:val="en-US"/>
        </w:rPr>
        <w:t>EO</w:t>
      </w:r>
      <w:r w:rsidRPr="0051619C" w:rsidDel="002E1FF9">
        <w:rPr>
          <w:rFonts w:cs="Calibri"/>
          <w:lang w:val="en-US"/>
        </w:rPr>
        <w:t xml:space="preserve"> </w:t>
      </w:r>
      <w:r w:rsidRPr="0051619C">
        <w:rPr>
          <w:rFonts w:cs="Calibri"/>
          <w:lang w:val="en-US"/>
        </w:rPr>
        <w:t xml:space="preserve">developments meet the critical needs of wetland inventory, monitoring, assessment and conservation globally. </w:t>
      </w:r>
    </w:p>
    <w:p w14:paraId="3098DDD1" w14:textId="77777777" w:rsidR="0051619C" w:rsidRPr="0051619C" w:rsidRDefault="0051619C" w:rsidP="0051619C">
      <w:pPr>
        <w:pStyle w:val="ListParagraph"/>
        <w:spacing w:line="240" w:lineRule="auto"/>
        <w:rPr>
          <w:rFonts w:cs="Calibri"/>
          <w:b/>
          <w:i/>
          <w:lang w:val="en-US"/>
        </w:rPr>
      </w:pPr>
    </w:p>
    <w:p w14:paraId="7382706B" w14:textId="19565AA0" w:rsidR="0051619C" w:rsidRPr="0051619C" w:rsidRDefault="0051619C" w:rsidP="0051619C">
      <w:pPr>
        <w:pBdr>
          <w:top w:val="nil"/>
          <w:left w:val="nil"/>
          <w:bottom w:val="nil"/>
          <w:right w:val="nil"/>
          <w:between w:val="nil"/>
        </w:pBdr>
        <w:spacing w:line="240" w:lineRule="auto"/>
        <w:ind w:left="845" w:hanging="420"/>
        <w:rPr>
          <w:rFonts w:cs="Calibri"/>
          <w:lang w:val="en-US"/>
        </w:rPr>
      </w:pPr>
      <w:r w:rsidRPr="0051619C">
        <w:rPr>
          <w:rFonts w:cs="Calibri"/>
          <w:lang w:val="en-US"/>
        </w:rPr>
        <w:t>f.</w:t>
      </w:r>
      <w:r w:rsidRPr="0051619C">
        <w:rPr>
          <w:rFonts w:cs="Calibri"/>
          <w:lang w:val="en-US"/>
        </w:rPr>
        <w:tab/>
      </w:r>
      <w:r w:rsidRPr="0051619C">
        <w:rPr>
          <w:rFonts w:cs="Calibri"/>
          <w:b/>
          <w:bCs/>
          <w:i/>
          <w:iCs/>
          <w:lang w:val="en-US"/>
        </w:rPr>
        <w:t>Effective use of Earth observation</w:t>
      </w:r>
      <w:r w:rsidRPr="0051619C" w:rsidDel="00CF0A89">
        <w:rPr>
          <w:rFonts w:cs="Calibri"/>
          <w:b/>
          <w:bCs/>
          <w:i/>
          <w:iCs/>
          <w:lang w:val="en-US"/>
        </w:rPr>
        <w:t xml:space="preserve"> </w:t>
      </w:r>
      <w:r w:rsidRPr="0051619C">
        <w:rPr>
          <w:rFonts w:cs="Calibri"/>
          <w:b/>
          <w:bCs/>
          <w:i/>
          <w:iCs/>
          <w:lang w:val="en-US"/>
        </w:rPr>
        <w:t xml:space="preserve">is dependent on ground-based data. </w:t>
      </w:r>
      <w:r w:rsidRPr="0051619C">
        <w:rPr>
          <w:rFonts w:cs="Calibri"/>
          <w:lang w:val="en-US"/>
        </w:rPr>
        <w:t xml:space="preserve">Unlocking the power of </w:t>
      </w:r>
      <w:r w:rsidR="00D0124B">
        <w:rPr>
          <w:rFonts w:cs="Calibri"/>
          <w:lang w:val="en-US"/>
        </w:rPr>
        <w:t>EO</w:t>
      </w:r>
      <w:r w:rsidRPr="0051619C" w:rsidDel="002E1FF9">
        <w:rPr>
          <w:rFonts w:cs="Calibri"/>
          <w:lang w:val="en-US"/>
        </w:rPr>
        <w:t xml:space="preserve"> </w:t>
      </w:r>
      <w:r w:rsidRPr="0051619C">
        <w:rPr>
          <w:rFonts w:cs="Calibri"/>
          <w:lang w:val="en-US"/>
        </w:rPr>
        <w:t xml:space="preserve">data is dependent on high-quality in-situ data for ground validation and to train models. This is important both to sufficiently consider bioregional/local characteristics of wetlands, and for the development of </w:t>
      </w:r>
      <w:r w:rsidR="00D0124B">
        <w:rPr>
          <w:rFonts w:cs="Calibri"/>
          <w:lang w:val="en-US"/>
        </w:rPr>
        <w:t xml:space="preserve">EO </w:t>
      </w:r>
      <w:r w:rsidRPr="0051619C">
        <w:rPr>
          <w:rFonts w:cs="Calibri"/>
          <w:lang w:val="en-US"/>
        </w:rPr>
        <w:t xml:space="preserve">solutions for wetland types that to date have been difficult to map using </w:t>
      </w:r>
      <w:r w:rsidR="00D0124B">
        <w:rPr>
          <w:rFonts w:cs="Calibri"/>
          <w:lang w:val="en-US"/>
        </w:rPr>
        <w:t>EO</w:t>
      </w:r>
      <w:r w:rsidRPr="0051619C">
        <w:rPr>
          <w:rFonts w:cs="Calibri"/>
          <w:lang w:val="en-US"/>
        </w:rPr>
        <w:t xml:space="preserve">. Much field data is already held by national authorities as well as e.g. academic institutions and civil society organizations, as well as private sector organizations, and further field data will be required in many locations and/or for specific wetland types. Enhanced sharing of data suitable for ground validation and model training is needed, requiring trust as well as appropriate cooperation mechanisms. There is also a need for further gap analysis to identify ground validation and training data deficiencies for specific wetland types. This can draw on what has been done for some wetland types, such as mangroves.  </w:t>
      </w:r>
    </w:p>
    <w:p w14:paraId="6E1F9C60" w14:textId="77777777" w:rsidR="0051619C" w:rsidRPr="0051619C" w:rsidRDefault="0051619C" w:rsidP="0051619C">
      <w:pPr>
        <w:pStyle w:val="ListParagraph"/>
        <w:spacing w:line="240" w:lineRule="auto"/>
        <w:rPr>
          <w:rFonts w:cs="Calibri"/>
          <w:b/>
          <w:i/>
          <w:lang w:val="en-US"/>
        </w:rPr>
      </w:pPr>
    </w:p>
    <w:p w14:paraId="4DBEF11B" w14:textId="6956D126" w:rsidR="0051619C" w:rsidRPr="0051619C" w:rsidRDefault="0051619C" w:rsidP="0051619C">
      <w:pPr>
        <w:pBdr>
          <w:top w:val="nil"/>
          <w:left w:val="nil"/>
          <w:bottom w:val="nil"/>
          <w:right w:val="nil"/>
          <w:between w:val="nil"/>
        </w:pBdr>
        <w:spacing w:line="240" w:lineRule="auto"/>
        <w:ind w:left="845" w:hanging="420"/>
        <w:rPr>
          <w:rFonts w:cs="Calibri"/>
          <w:lang w:val="en-US"/>
        </w:rPr>
      </w:pPr>
      <w:r w:rsidRPr="0051619C">
        <w:rPr>
          <w:rFonts w:cs="Calibri"/>
          <w:lang w:val="en-US"/>
        </w:rPr>
        <w:t>g.</w:t>
      </w:r>
      <w:r w:rsidRPr="0051619C">
        <w:rPr>
          <w:rFonts w:cs="Calibri"/>
          <w:lang w:val="en-US"/>
        </w:rPr>
        <w:tab/>
      </w:r>
      <w:r w:rsidRPr="0051619C">
        <w:rPr>
          <w:rFonts w:cs="Calibri"/>
          <w:b/>
          <w:bCs/>
          <w:i/>
          <w:iCs/>
          <w:lang w:val="en-US"/>
        </w:rPr>
        <w:t xml:space="preserve">A common wetland classification system supports data interoperability and reporting. </w:t>
      </w:r>
      <w:r w:rsidRPr="0051619C">
        <w:rPr>
          <w:rFonts w:cs="Calibri"/>
          <w:lang w:val="en-US"/>
        </w:rPr>
        <w:t xml:space="preserve">A common classification system is an important element for interoperability of data and enables global compilation and presentation of data based on reporting by individual Contracting Parties. The ability of Contracting Parties to pick and choose from among a variety of interoperable wetland data layers aligned with a common classification system can contribute to increased application of </w:t>
      </w:r>
      <w:r w:rsidR="002028FF">
        <w:rPr>
          <w:rFonts w:cs="Calibri"/>
          <w:lang w:val="en-US"/>
        </w:rPr>
        <w:t>EO</w:t>
      </w:r>
      <w:r w:rsidRPr="0051619C" w:rsidDel="002E1FF9">
        <w:rPr>
          <w:rFonts w:cs="Calibri"/>
          <w:lang w:val="en-US"/>
        </w:rPr>
        <w:t xml:space="preserve"> </w:t>
      </w:r>
      <w:r w:rsidRPr="0051619C">
        <w:rPr>
          <w:rFonts w:cs="Calibri"/>
          <w:lang w:val="en-US"/>
        </w:rPr>
        <w:t xml:space="preserve">data in NWI. The Convention on Wetlands Classification System for Wetland Type was created to provide a broad framework for rapid identification of the main wetland habitats represented in Wetlands of International Importance. However, as noted in the </w:t>
      </w:r>
      <w:r w:rsidR="00035943">
        <w:rPr>
          <w:rFonts w:cs="Calibri"/>
          <w:lang w:val="en-US"/>
        </w:rPr>
        <w:t>‘</w:t>
      </w:r>
      <w:r w:rsidRPr="0051619C">
        <w:rPr>
          <w:rFonts w:cs="Calibri"/>
          <w:lang w:val="en-US"/>
        </w:rPr>
        <w:t xml:space="preserve">Strategic Framework and guidelines for the future development of the List of Wetlands of International Importance of the Convention on </w:t>
      </w:r>
      <w:r w:rsidRPr="0051619C">
        <w:rPr>
          <w:rFonts w:cs="Calibri"/>
          <w:lang w:val="en-US"/>
        </w:rPr>
        <w:lastRenderedPageBreak/>
        <w:t>Wetlands</w:t>
      </w:r>
      <w:r w:rsidR="00035943">
        <w:rPr>
          <w:rFonts w:cs="Calibri"/>
          <w:lang w:val="en-US"/>
        </w:rPr>
        <w:t>’</w:t>
      </w:r>
      <w:r w:rsidRPr="0051619C">
        <w:rPr>
          <w:rFonts w:cs="Calibri"/>
          <w:lang w:val="en-US"/>
        </w:rPr>
        <w:t>, its usefulness for any specific wetland inventory should be carefully assessed. Many Contracting Parties have their own national classification systems, but these are not always coherently mapped against the Convention</w:t>
      </w:r>
      <w:r w:rsidR="00035943">
        <w:rPr>
          <w:rFonts w:cs="Calibri"/>
          <w:lang w:val="en-US"/>
        </w:rPr>
        <w:t>’</w:t>
      </w:r>
      <w:r w:rsidRPr="0051619C">
        <w:rPr>
          <w:rFonts w:cs="Calibri"/>
          <w:lang w:val="en-US"/>
        </w:rPr>
        <w:t>s classification system. Work by the STRP is underway to undertake scoping and planning for a review of the Convention</w:t>
      </w:r>
      <w:r w:rsidR="00035943">
        <w:rPr>
          <w:rFonts w:cs="Calibri"/>
          <w:lang w:val="en-US"/>
        </w:rPr>
        <w:t>’</w:t>
      </w:r>
      <w:r w:rsidRPr="0051619C">
        <w:rPr>
          <w:rFonts w:cs="Calibri"/>
          <w:lang w:val="en-US"/>
        </w:rPr>
        <w:t>s classification system in the 2025-2027 triennium (</w:t>
      </w:r>
      <w:r w:rsidR="002028FF">
        <w:rPr>
          <w:rFonts w:cs="Calibri"/>
          <w:lang w:val="en-US"/>
        </w:rPr>
        <w:t xml:space="preserve">pursuant to Standing Committee </w:t>
      </w:r>
      <w:r w:rsidRPr="0051619C">
        <w:rPr>
          <w:rFonts w:cs="Calibri"/>
          <w:lang w:val="en-US"/>
        </w:rPr>
        <w:t xml:space="preserve">Decision </w:t>
      </w:r>
      <w:r w:rsidR="002028FF">
        <w:rPr>
          <w:rFonts w:cs="Calibri"/>
          <w:lang w:val="en-US"/>
        </w:rPr>
        <w:t>SC63-</w:t>
      </w:r>
      <w:r w:rsidRPr="0051619C">
        <w:rPr>
          <w:rFonts w:cs="Calibri"/>
          <w:lang w:val="en-US"/>
        </w:rPr>
        <w:t xml:space="preserve">30). </w:t>
      </w:r>
    </w:p>
    <w:p w14:paraId="313477BE" w14:textId="77777777" w:rsidR="0051619C" w:rsidRPr="0051619C" w:rsidRDefault="0051619C" w:rsidP="0051619C">
      <w:pPr>
        <w:pStyle w:val="ListParagraph"/>
        <w:spacing w:line="240" w:lineRule="auto"/>
        <w:ind w:left="851"/>
        <w:rPr>
          <w:rFonts w:cs="Calibri"/>
          <w:lang w:val="en-US"/>
        </w:rPr>
      </w:pPr>
    </w:p>
    <w:p w14:paraId="44E2932F" w14:textId="0F1B5B32" w:rsidR="0051619C" w:rsidRPr="0051619C" w:rsidRDefault="0051619C" w:rsidP="0051619C">
      <w:pPr>
        <w:pBdr>
          <w:top w:val="nil"/>
          <w:left w:val="nil"/>
          <w:bottom w:val="nil"/>
          <w:right w:val="nil"/>
          <w:between w:val="nil"/>
        </w:pBdr>
        <w:spacing w:line="240" w:lineRule="auto"/>
        <w:ind w:left="845" w:hanging="420"/>
        <w:rPr>
          <w:rFonts w:cs="Calibri"/>
          <w:lang w:val="en-US"/>
        </w:rPr>
      </w:pPr>
      <w:r w:rsidRPr="0051619C">
        <w:rPr>
          <w:rFonts w:cs="Calibri"/>
          <w:lang w:val="en-US"/>
        </w:rPr>
        <w:t>h.</w:t>
      </w:r>
      <w:r w:rsidRPr="0051619C">
        <w:rPr>
          <w:rFonts w:cs="Calibri"/>
          <w:lang w:val="en-US"/>
        </w:rPr>
        <w:tab/>
      </w:r>
      <w:r w:rsidRPr="0051619C">
        <w:rPr>
          <w:rFonts w:cs="Calibri"/>
          <w:b/>
          <w:bCs/>
          <w:i/>
          <w:iCs/>
          <w:lang w:val="en-US"/>
        </w:rPr>
        <w:t xml:space="preserve">Essential wetland variables can inform wetland conservation and wise use. </w:t>
      </w:r>
      <w:r w:rsidRPr="005C68D9">
        <w:rPr>
          <w:rFonts w:cs="Calibri"/>
          <w:lang w:val="en-US"/>
        </w:rPr>
        <w:t xml:space="preserve">Wetlands are dynamic ecosystems, and provide multiple services based on e.g. their biodiversity, hydrography and carbon storage and flux. Wetland functions and services are significantly influenced by wetland degradation, not just loss of area. In addition to tracking change in wetland extent over time, it is therefore also important to be able to track the condition of wetlands, or changes in specific characteristics of wetlands. For example, </w:t>
      </w:r>
      <w:r w:rsidR="002028FF">
        <w:rPr>
          <w:rFonts w:cs="Calibri"/>
          <w:lang w:val="en-US"/>
        </w:rPr>
        <w:t xml:space="preserve">Resolutions of the </w:t>
      </w:r>
      <w:r w:rsidRPr="005C68D9">
        <w:rPr>
          <w:rFonts w:cs="Calibri"/>
          <w:lang w:val="en-US"/>
        </w:rPr>
        <w:t>Convention have called</w:t>
      </w:r>
      <w:r w:rsidRPr="0051619C">
        <w:rPr>
          <w:rFonts w:cs="Calibri"/>
          <w:lang w:val="en-US"/>
        </w:rPr>
        <w:t xml:space="preserve"> on Contracting Parties to update </w:t>
      </w:r>
      <w:r w:rsidR="002028FF">
        <w:rPr>
          <w:rFonts w:cs="Calibri"/>
          <w:lang w:val="en-US"/>
        </w:rPr>
        <w:t>NWIs</w:t>
      </w:r>
      <w:r w:rsidRPr="0051619C">
        <w:rPr>
          <w:rFonts w:cs="Calibri"/>
          <w:lang w:val="en-US"/>
        </w:rPr>
        <w:t xml:space="preserve"> to support estimation of carbon storage and fluxes, in order to update greenhouse gas accounts and include wetland actions in Nationally Determined Contributions and other climate change plans (Resolution XII.11 and Resolution XIII.14). </w:t>
      </w:r>
      <w:r w:rsidRPr="005C68D9">
        <w:rPr>
          <w:rFonts w:cs="Calibri"/>
          <w:lang w:val="en-US"/>
        </w:rPr>
        <w:t xml:space="preserve">Further development of appropriate essential wetland variables which can be measured using </w:t>
      </w:r>
      <w:r w:rsidR="002028FF">
        <w:rPr>
          <w:rFonts w:cs="Calibri"/>
          <w:lang w:val="en-US"/>
        </w:rPr>
        <w:t xml:space="preserve">EO </w:t>
      </w:r>
      <w:r w:rsidRPr="005C68D9">
        <w:rPr>
          <w:rFonts w:cs="Calibri"/>
          <w:lang w:val="en-US"/>
        </w:rPr>
        <w:t xml:space="preserve">is important for conservation, restoration and wise use of wetlands, and to support implementation and monitoring of biodiversity, climate </w:t>
      </w:r>
      <w:r w:rsidRPr="0051619C">
        <w:rPr>
          <w:rFonts w:cs="Calibri"/>
          <w:lang w:val="en-US"/>
        </w:rPr>
        <w:t>and land degradation neutrality targets</w:t>
      </w:r>
      <w:r w:rsidRPr="005C68D9">
        <w:rPr>
          <w:rFonts w:cs="Calibri"/>
          <w:lang w:val="en-US"/>
        </w:rPr>
        <w:t xml:space="preserve">. </w:t>
      </w:r>
    </w:p>
    <w:p w14:paraId="43353FC6" w14:textId="77777777" w:rsidR="0051619C" w:rsidRPr="0051619C" w:rsidRDefault="0051619C" w:rsidP="0051619C">
      <w:pPr>
        <w:pStyle w:val="ListParagraph"/>
        <w:spacing w:line="240" w:lineRule="auto"/>
        <w:rPr>
          <w:rFonts w:cs="Calibri"/>
          <w:b/>
          <w:i/>
          <w:lang w:val="en-US"/>
        </w:rPr>
      </w:pPr>
    </w:p>
    <w:p w14:paraId="6CDC76A1" w14:textId="7F631F5D" w:rsidR="0051619C" w:rsidRPr="0051619C" w:rsidRDefault="0051619C" w:rsidP="0051619C">
      <w:pPr>
        <w:pBdr>
          <w:top w:val="nil"/>
          <w:left w:val="nil"/>
          <w:bottom w:val="nil"/>
          <w:right w:val="nil"/>
          <w:between w:val="nil"/>
        </w:pBdr>
        <w:spacing w:line="240" w:lineRule="auto"/>
        <w:ind w:left="845" w:hanging="420"/>
        <w:rPr>
          <w:rFonts w:cs="Calibri"/>
          <w:lang w:val="en-US"/>
        </w:rPr>
      </w:pPr>
      <w:r w:rsidRPr="0051619C">
        <w:rPr>
          <w:rFonts w:cs="Calibri"/>
          <w:lang w:val="en-US"/>
        </w:rPr>
        <w:t>i.</w:t>
      </w:r>
      <w:r w:rsidRPr="0051619C">
        <w:rPr>
          <w:rFonts w:cs="Calibri"/>
          <w:lang w:val="en-US"/>
        </w:rPr>
        <w:tab/>
      </w:r>
      <w:r w:rsidRPr="0051619C">
        <w:rPr>
          <w:rFonts w:cs="Calibri"/>
          <w:b/>
          <w:bCs/>
          <w:i/>
          <w:iCs/>
          <w:lang w:val="en-US"/>
        </w:rPr>
        <w:t>Enhanced use of Earth observation</w:t>
      </w:r>
      <w:r w:rsidRPr="0051619C" w:rsidDel="00CF0A89">
        <w:rPr>
          <w:rFonts w:cs="Calibri"/>
          <w:b/>
          <w:bCs/>
          <w:i/>
          <w:iCs/>
          <w:lang w:val="en-US"/>
        </w:rPr>
        <w:t xml:space="preserve"> </w:t>
      </w:r>
      <w:r w:rsidRPr="0051619C">
        <w:rPr>
          <w:rFonts w:cs="Calibri"/>
          <w:b/>
          <w:bCs/>
          <w:i/>
          <w:iCs/>
          <w:lang w:val="en-US"/>
        </w:rPr>
        <w:t xml:space="preserve">in wetland inventory will strengthen reporting on wetland extent and condition in the context of the Convention. </w:t>
      </w:r>
      <w:r w:rsidRPr="0051619C">
        <w:rPr>
          <w:rFonts w:cs="Calibri"/>
          <w:lang w:val="en-US"/>
        </w:rPr>
        <w:t xml:space="preserve">Contracting Parties have benefited from long-standing engagement of space agencies in activities under the Convention. This includes their contributions to the work of the STRP and their support to Contracting Parties in relation to wetland inventory, as well as in the designation and management of Wetlands of International Importance. However, less than half of Contracting Parties report progress in developing </w:t>
      </w:r>
      <w:r w:rsidR="007F548E">
        <w:rPr>
          <w:rFonts w:cs="Calibri"/>
          <w:lang w:val="en-US"/>
        </w:rPr>
        <w:t>NWIs</w:t>
      </w:r>
      <w:r w:rsidRPr="0051619C">
        <w:rPr>
          <w:rFonts w:cs="Calibri"/>
          <w:lang w:val="en-US"/>
        </w:rPr>
        <w:t xml:space="preserve"> and even fewer provide data from these inventories through national reports under the Convention and towards tracking of SDG indicator 6.6.1. Additionally, the Convention is yet to produce a comprehensive and coherent global map of wetland extent. Support to the Contracting Parties needs to be significantly increased, in line with the approach established by the Secretariat (as outlined in </w:t>
      </w:r>
      <w:r w:rsidR="007F548E">
        <w:rPr>
          <w:rFonts w:cs="Calibri"/>
          <w:lang w:val="en-US"/>
        </w:rPr>
        <w:t xml:space="preserve">documents </w:t>
      </w:r>
      <w:r w:rsidRPr="0051619C">
        <w:rPr>
          <w:rFonts w:cs="Calibri"/>
          <w:lang w:val="en-US"/>
        </w:rPr>
        <w:t xml:space="preserve">SC62 Doc.9, SC63 Doc.10 and SC64 Doc. 10), and ensuring </w:t>
      </w:r>
      <w:r w:rsidR="007F548E">
        <w:rPr>
          <w:rFonts w:cs="Calibri"/>
          <w:lang w:val="en-US"/>
        </w:rPr>
        <w:t>C</w:t>
      </w:r>
      <w:r w:rsidRPr="0051619C">
        <w:rPr>
          <w:rFonts w:cs="Calibri"/>
          <w:lang w:val="en-US"/>
        </w:rPr>
        <w:t xml:space="preserve">ontracting </w:t>
      </w:r>
      <w:r w:rsidR="007F548E">
        <w:rPr>
          <w:rFonts w:cs="Calibri"/>
          <w:lang w:val="en-US"/>
        </w:rPr>
        <w:t>P</w:t>
      </w:r>
      <w:r w:rsidRPr="0051619C">
        <w:rPr>
          <w:rFonts w:cs="Calibri"/>
          <w:lang w:val="en-US"/>
        </w:rPr>
        <w:t xml:space="preserve">arties have access to guidance, knowledge and support for development and gradual refinement and use of </w:t>
      </w:r>
      <w:r w:rsidR="007F548E">
        <w:rPr>
          <w:rFonts w:cs="Calibri"/>
          <w:lang w:val="en-US"/>
        </w:rPr>
        <w:t>NWIs</w:t>
      </w:r>
      <w:r w:rsidRPr="0051619C">
        <w:rPr>
          <w:rFonts w:cs="Calibri"/>
          <w:lang w:val="en-US"/>
        </w:rPr>
        <w:t>. There is a need for a periodically updated global inventory of wetlands (noting relevant ongoing efforts such as Global Wetland Watch and the GEO Global Ecosystem Atlas), including their condition and the extent of wetlands under restoration or restored. Such an inventory would support the Global Wetland Outlook, the Convention</w:t>
      </w:r>
      <w:r w:rsidR="00035943">
        <w:rPr>
          <w:rFonts w:cs="Calibri"/>
          <w:lang w:val="en-US"/>
        </w:rPr>
        <w:t>’</w:t>
      </w:r>
      <w:r w:rsidRPr="0051619C">
        <w:rPr>
          <w:rFonts w:cs="Calibri"/>
          <w:lang w:val="en-US"/>
        </w:rPr>
        <w:t xml:space="preserve">s flagship product, enhance the work of the STRP, and contribute to other international policy frameworks. </w:t>
      </w:r>
    </w:p>
    <w:p w14:paraId="60BFE750" w14:textId="77777777" w:rsidR="0051619C" w:rsidRPr="0051619C" w:rsidRDefault="0051619C" w:rsidP="0051619C">
      <w:pPr>
        <w:pStyle w:val="ListParagraph"/>
        <w:spacing w:line="240" w:lineRule="auto"/>
        <w:ind w:left="851"/>
        <w:rPr>
          <w:rFonts w:cs="Calibri"/>
          <w:lang w:val="en-US"/>
        </w:rPr>
      </w:pPr>
    </w:p>
    <w:p w14:paraId="3D19C666" w14:textId="18B72953" w:rsidR="0051619C" w:rsidRPr="0051619C" w:rsidRDefault="0051619C" w:rsidP="0051619C">
      <w:pPr>
        <w:pBdr>
          <w:top w:val="nil"/>
          <w:left w:val="nil"/>
          <w:bottom w:val="nil"/>
          <w:right w:val="nil"/>
          <w:between w:val="nil"/>
        </w:pBdr>
        <w:spacing w:line="240" w:lineRule="auto"/>
        <w:ind w:left="845" w:hanging="420"/>
        <w:rPr>
          <w:rFonts w:cs="Calibri"/>
          <w:lang w:val="en-US"/>
        </w:rPr>
      </w:pPr>
      <w:r w:rsidRPr="0051619C">
        <w:rPr>
          <w:rFonts w:cs="Calibri"/>
          <w:lang w:val="en-US"/>
        </w:rPr>
        <w:t>j.</w:t>
      </w:r>
      <w:r w:rsidRPr="0051619C">
        <w:rPr>
          <w:rFonts w:cs="Calibri"/>
          <w:lang w:val="en-US"/>
        </w:rPr>
        <w:tab/>
      </w:r>
      <w:r w:rsidRPr="0051619C">
        <w:rPr>
          <w:rFonts w:cs="Calibri"/>
          <w:b/>
          <w:bCs/>
          <w:i/>
          <w:iCs/>
          <w:lang w:val="en-US"/>
        </w:rPr>
        <w:t>Global datasets of specific wetland types are crucial to support development of National Wetlands Inventories as well as global reporting.</w:t>
      </w:r>
      <w:r w:rsidRPr="0051619C">
        <w:rPr>
          <w:rFonts w:cs="Calibri"/>
          <w:lang w:val="en-US"/>
        </w:rPr>
        <w:t xml:space="preserve"> The availability of global datasets of specific wetland types, such as the Global Mangrove Watch, play</w:t>
      </w:r>
      <w:r w:rsidR="00CF4494">
        <w:rPr>
          <w:rFonts w:cs="Calibri"/>
          <w:lang w:val="en-US"/>
        </w:rPr>
        <w:t>s</w:t>
      </w:r>
      <w:r w:rsidRPr="0051619C">
        <w:rPr>
          <w:rFonts w:cs="Calibri"/>
          <w:lang w:val="en-US"/>
        </w:rPr>
        <w:t xml:space="preserve"> a critical role in advancing wetland inventory, monitoring, and assessment efforts worldwide. These global datasets can serve as a valuable starting point for countries that lack their own </w:t>
      </w:r>
      <w:r w:rsidR="00CF4494">
        <w:rPr>
          <w:rFonts w:cs="Calibri"/>
          <w:lang w:val="en-US"/>
        </w:rPr>
        <w:t>NWIs</w:t>
      </w:r>
      <w:r w:rsidRPr="0051619C">
        <w:rPr>
          <w:rFonts w:cs="Calibri"/>
          <w:lang w:val="en-US"/>
        </w:rPr>
        <w:t xml:space="preserve">, providing baseline information to guide national efforts. Additionally, they enable standardized intercomparison of wetland extent, condition, and trends across countries and regions. Such datasets can also be instrumental in supporting international reporting requirements, such as those under the Convention on Wetlands and SDG Indicator 6.6.1. </w:t>
      </w:r>
      <w:r w:rsidRPr="0051619C">
        <w:rPr>
          <w:rFonts w:cs="Calibri"/>
          <w:lang w:val="en-US"/>
        </w:rPr>
        <w:lastRenderedPageBreak/>
        <w:t xml:space="preserve">Strengthening the quality, accessibility, and updating of these global datasets is vital for their effective use by Contracting Parties as well as other entities. </w:t>
      </w:r>
    </w:p>
    <w:p w14:paraId="20DD04D5" w14:textId="77777777" w:rsidR="0051619C" w:rsidRPr="0051619C" w:rsidRDefault="0051619C" w:rsidP="0051619C">
      <w:pPr>
        <w:pStyle w:val="ListParagraph"/>
        <w:spacing w:line="240" w:lineRule="auto"/>
        <w:ind w:left="851"/>
        <w:rPr>
          <w:rFonts w:cs="Calibri"/>
          <w:lang w:val="en-US"/>
        </w:rPr>
      </w:pPr>
    </w:p>
    <w:p w14:paraId="5A0F27AF" w14:textId="3F17ED09" w:rsidR="0051619C" w:rsidRPr="0051619C" w:rsidRDefault="0051619C" w:rsidP="0051619C">
      <w:pPr>
        <w:pBdr>
          <w:top w:val="nil"/>
          <w:left w:val="nil"/>
          <w:bottom w:val="nil"/>
          <w:right w:val="nil"/>
          <w:between w:val="nil"/>
        </w:pBdr>
        <w:spacing w:line="240" w:lineRule="auto"/>
        <w:ind w:left="845" w:hanging="420"/>
        <w:rPr>
          <w:rFonts w:cs="Calibri"/>
          <w:lang w:val="en-US"/>
        </w:rPr>
      </w:pPr>
      <w:r w:rsidRPr="0051619C">
        <w:rPr>
          <w:rFonts w:cs="Calibri"/>
          <w:lang w:val="en-US"/>
        </w:rPr>
        <w:t>k.</w:t>
      </w:r>
      <w:r w:rsidRPr="0051619C">
        <w:rPr>
          <w:rFonts w:cs="Calibri"/>
          <w:lang w:val="en-US"/>
        </w:rPr>
        <w:tab/>
      </w:r>
      <w:r w:rsidRPr="0051619C">
        <w:rPr>
          <w:rFonts w:cs="Calibri"/>
          <w:b/>
          <w:bCs/>
          <w:i/>
          <w:iCs/>
          <w:lang w:val="en-US"/>
        </w:rPr>
        <w:t>Enhanced international coordination and cooperation, and identification of policy requirements and gaps, are essential to accelerate the uptake and maximize the impact of Earth observation</w:t>
      </w:r>
      <w:r w:rsidRPr="0051619C" w:rsidDel="00CF0A89">
        <w:rPr>
          <w:rFonts w:cs="Calibri"/>
          <w:b/>
          <w:bCs/>
          <w:i/>
          <w:iCs/>
          <w:lang w:val="en-US"/>
        </w:rPr>
        <w:t xml:space="preserve"> </w:t>
      </w:r>
      <w:r w:rsidRPr="0051619C">
        <w:rPr>
          <w:rFonts w:cs="Calibri"/>
          <w:b/>
          <w:bCs/>
          <w:i/>
          <w:iCs/>
          <w:lang w:val="en-US"/>
        </w:rPr>
        <w:t xml:space="preserve">initiatives. </w:t>
      </w:r>
      <w:r w:rsidRPr="0051619C">
        <w:rPr>
          <w:rFonts w:cs="Calibri"/>
          <w:lang w:val="en-US"/>
        </w:rPr>
        <w:t xml:space="preserve">One of the findings of the GEO Wetlands initiative under the GEO Work Programme 2023-2025 was that there are many scientific initiatives that could contribute better to international efforts on wetlands inventory, monitoring, assessment and conservation if there </w:t>
      </w:r>
      <w:r w:rsidR="00CF4494">
        <w:rPr>
          <w:rFonts w:cs="Calibri"/>
          <w:lang w:val="en-US"/>
        </w:rPr>
        <w:t>were</w:t>
      </w:r>
      <w:r w:rsidR="00CF4494" w:rsidRPr="0051619C">
        <w:rPr>
          <w:rFonts w:cs="Calibri"/>
          <w:lang w:val="en-US"/>
        </w:rPr>
        <w:t xml:space="preserve"> </w:t>
      </w:r>
      <w:r w:rsidRPr="0051619C">
        <w:rPr>
          <w:rFonts w:cs="Calibri"/>
          <w:lang w:val="en-US"/>
        </w:rPr>
        <w:t xml:space="preserve">a clear expression of need from the Convention on Wetlands. There are many initiatives underway to map, classify and assess wetlands using </w:t>
      </w:r>
      <w:r w:rsidR="00CF4494">
        <w:rPr>
          <w:rFonts w:cs="Calibri"/>
          <w:lang w:val="en-US"/>
        </w:rPr>
        <w:t>EO</w:t>
      </w:r>
      <w:r w:rsidRPr="0051619C">
        <w:rPr>
          <w:rFonts w:cs="Calibri"/>
          <w:lang w:val="en-US"/>
        </w:rPr>
        <w:t xml:space="preserve">, including global, regional and national initiatives. While many of these generate a wealth of data and tools, greater coordination across initiatives could facilitate better sharing of knowledge and data across initiatives and, importantly, support Contracting Parties in the application of </w:t>
      </w:r>
      <w:r w:rsidR="00CF4494">
        <w:rPr>
          <w:rFonts w:cs="Calibri"/>
          <w:lang w:val="en-US"/>
        </w:rPr>
        <w:t>EO</w:t>
      </w:r>
      <w:r w:rsidRPr="0051619C" w:rsidDel="00CF0A89">
        <w:rPr>
          <w:rFonts w:cs="Calibri"/>
          <w:lang w:val="en-US"/>
        </w:rPr>
        <w:t xml:space="preserve"> </w:t>
      </w:r>
      <w:r w:rsidRPr="0051619C">
        <w:rPr>
          <w:rFonts w:cs="Calibri"/>
          <w:lang w:val="en-US"/>
        </w:rPr>
        <w:t xml:space="preserve">data, products and tools in national wetland inventory, monitoring, assessment and conservation. There is a need for a mechanism or a community for ongoing exchange, engaging and supporting Contracting Parties / national authorities as end users but also facilitating engagement with other stakeholders including academia and civil society organizations e.g. in relation to </w:t>
      </w:r>
      <w:r w:rsidRPr="0051619C">
        <w:rPr>
          <w:rFonts w:cs="Calibri"/>
          <w:i/>
          <w:iCs/>
          <w:lang w:val="en-US"/>
        </w:rPr>
        <w:t>in situ</w:t>
      </w:r>
      <w:r w:rsidRPr="0051619C">
        <w:rPr>
          <w:rFonts w:cs="Calibri"/>
          <w:lang w:val="en-US"/>
        </w:rPr>
        <w:t xml:space="preserve"> data and to support integration of </w:t>
      </w:r>
      <w:r w:rsidR="00CF4494">
        <w:rPr>
          <w:rFonts w:cs="Calibri"/>
          <w:lang w:val="en-US"/>
        </w:rPr>
        <w:t>EO</w:t>
      </w:r>
      <w:r w:rsidRPr="0051619C" w:rsidDel="00CF0A89">
        <w:rPr>
          <w:rFonts w:cs="Calibri"/>
          <w:lang w:val="en-US"/>
        </w:rPr>
        <w:t xml:space="preserve"> </w:t>
      </w:r>
      <w:r w:rsidRPr="0051619C">
        <w:rPr>
          <w:rFonts w:cs="Calibri"/>
          <w:lang w:val="en-US"/>
        </w:rPr>
        <w:t>tools. Such cooperation may be pursued with the Group on Earth Observations (GEO) Secretariat</w:t>
      </w:r>
      <w:r w:rsidR="00497ED2">
        <w:rPr>
          <w:rFonts w:cs="Calibri"/>
          <w:lang w:val="en-US"/>
        </w:rPr>
        <w:t xml:space="preserve"> </w:t>
      </w:r>
      <w:r w:rsidR="00497ED2" w:rsidRPr="0051619C">
        <w:rPr>
          <w:rFonts w:cs="Calibri"/>
          <w:lang w:val="en-US"/>
        </w:rPr>
        <w:t>and the Committee on Earth Observation Satellites (CEOS) for data, science and technology aspects of satellite Earth observations for wetland monitoring and reporting and coordination with space agencies</w:t>
      </w:r>
      <w:r w:rsidRPr="0051619C">
        <w:rPr>
          <w:rFonts w:cs="Calibri"/>
          <w:lang w:val="en-US"/>
        </w:rPr>
        <w:t xml:space="preserve">. A regional approach may be particularly useful in providing technical support and capacity building support to Contracting Parties, leveraging regional mechanisms, centres or initiatives established under global </w:t>
      </w:r>
      <w:r w:rsidR="00CF4494">
        <w:rPr>
          <w:rFonts w:cs="Calibri"/>
          <w:lang w:val="en-US"/>
        </w:rPr>
        <w:t>C</w:t>
      </w:r>
      <w:r w:rsidRPr="0051619C">
        <w:rPr>
          <w:rFonts w:cs="Calibri"/>
          <w:lang w:val="en-US"/>
        </w:rPr>
        <w:t xml:space="preserve">onventions, including Ramsar Regional Initiatives, as well as initiatives such as Digital Earth Africa. </w:t>
      </w:r>
    </w:p>
    <w:p w14:paraId="12724948" w14:textId="77777777" w:rsidR="0051619C" w:rsidRPr="0051619C" w:rsidRDefault="0051619C" w:rsidP="0051619C">
      <w:pPr>
        <w:spacing w:line="240" w:lineRule="auto"/>
        <w:rPr>
          <w:rFonts w:cs="Calibri"/>
          <w:lang w:val="en-US"/>
        </w:rPr>
      </w:pPr>
    </w:p>
    <w:p w14:paraId="4572076D" w14:textId="77777777" w:rsidR="0051619C" w:rsidRPr="0051619C" w:rsidRDefault="0051619C" w:rsidP="0051619C">
      <w:pPr>
        <w:keepNext/>
        <w:spacing w:line="240" w:lineRule="auto"/>
        <w:rPr>
          <w:rFonts w:cs="Calibri"/>
          <w:b/>
          <w:lang w:val="en-US"/>
        </w:rPr>
      </w:pPr>
      <w:r w:rsidRPr="0051619C">
        <w:rPr>
          <w:rFonts w:cs="Calibri"/>
          <w:b/>
          <w:lang w:val="en-US"/>
        </w:rPr>
        <w:t xml:space="preserve">Recommendations </w:t>
      </w:r>
    </w:p>
    <w:p w14:paraId="4293CA3F" w14:textId="77777777" w:rsidR="0051619C" w:rsidRPr="0051619C" w:rsidRDefault="0051619C" w:rsidP="001671B0">
      <w:pPr>
        <w:keepNext/>
        <w:spacing w:line="240" w:lineRule="auto"/>
        <w:rPr>
          <w:rFonts w:cs="Calibri"/>
          <w:b/>
          <w:lang w:val="en-US"/>
        </w:rPr>
      </w:pPr>
    </w:p>
    <w:p w14:paraId="3AC2B112" w14:textId="1076CC64" w:rsidR="0051619C" w:rsidRPr="0051619C" w:rsidRDefault="0051619C" w:rsidP="0051619C">
      <w:pPr>
        <w:pBdr>
          <w:top w:val="nil"/>
          <w:left w:val="nil"/>
          <w:bottom w:val="nil"/>
          <w:right w:val="nil"/>
          <w:between w:val="nil"/>
        </w:pBdr>
        <w:spacing w:line="240" w:lineRule="auto"/>
        <w:ind w:left="426" w:hanging="426"/>
        <w:rPr>
          <w:rFonts w:cs="Calibri"/>
          <w:lang w:val="en-US"/>
        </w:rPr>
      </w:pPr>
      <w:r w:rsidRPr="0051619C">
        <w:rPr>
          <w:rFonts w:cs="Calibri"/>
          <w:lang w:val="en-US"/>
        </w:rPr>
        <w:t>7.</w:t>
      </w:r>
      <w:r w:rsidRPr="0051619C">
        <w:rPr>
          <w:rFonts w:cs="Calibri"/>
          <w:lang w:val="en-US"/>
        </w:rPr>
        <w:tab/>
        <w:t xml:space="preserve">Recommended actions through the Convention towards strengthening the use of </w:t>
      </w:r>
      <w:r w:rsidR="00CF4494">
        <w:rPr>
          <w:rFonts w:cs="Calibri"/>
          <w:lang w:val="en-US"/>
        </w:rPr>
        <w:t>EO</w:t>
      </w:r>
      <w:r w:rsidRPr="0051619C" w:rsidDel="00CF0A89">
        <w:rPr>
          <w:rFonts w:cs="Calibri"/>
          <w:lang w:val="en-US"/>
        </w:rPr>
        <w:t xml:space="preserve"> </w:t>
      </w:r>
      <w:r w:rsidRPr="0051619C">
        <w:rPr>
          <w:rFonts w:cs="Calibri"/>
          <w:lang w:val="en-US"/>
        </w:rPr>
        <w:t xml:space="preserve">in wetland inventory, monitoring, assessment, and conservation arising from the consultation include the following: </w:t>
      </w:r>
    </w:p>
    <w:p w14:paraId="5A0FE5BD" w14:textId="77777777" w:rsidR="0051619C" w:rsidRPr="0051619C" w:rsidRDefault="0051619C" w:rsidP="0051619C">
      <w:pPr>
        <w:spacing w:line="240" w:lineRule="auto"/>
        <w:rPr>
          <w:rFonts w:cs="Calibri"/>
          <w:lang w:val="en-US"/>
        </w:rPr>
      </w:pPr>
    </w:p>
    <w:p w14:paraId="2EED7A93" w14:textId="77777777" w:rsidR="0051619C" w:rsidRPr="0051619C" w:rsidRDefault="0051619C" w:rsidP="0051619C">
      <w:pPr>
        <w:pBdr>
          <w:top w:val="nil"/>
          <w:left w:val="nil"/>
          <w:bottom w:val="nil"/>
          <w:right w:val="nil"/>
          <w:between w:val="nil"/>
        </w:pBdr>
        <w:spacing w:line="240" w:lineRule="auto"/>
        <w:ind w:left="845" w:hanging="420"/>
        <w:rPr>
          <w:rFonts w:cs="Calibri"/>
          <w:lang w:val="en-US"/>
        </w:rPr>
      </w:pPr>
      <w:r w:rsidRPr="0051619C">
        <w:rPr>
          <w:rFonts w:cs="Calibri"/>
          <w:lang w:val="en-US"/>
        </w:rPr>
        <w:t>a.</w:t>
      </w:r>
      <w:r w:rsidRPr="0051619C">
        <w:rPr>
          <w:rFonts w:cs="Calibri"/>
          <w:lang w:val="en-US"/>
        </w:rPr>
        <w:tab/>
      </w:r>
      <w:r w:rsidRPr="0051619C">
        <w:rPr>
          <w:rFonts w:cs="Calibri"/>
          <w:b/>
          <w:bCs/>
          <w:i/>
          <w:iCs/>
          <w:lang w:val="en-US"/>
        </w:rPr>
        <w:t>Develop an initiative dedicated to supporting use of Earth observation</w:t>
      </w:r>
      <w:r w:rsidRPr="0051619C" w:rsidDel="00CF0A89">
        <w:rPr>
          <w:rFonts w:cs="Calibri"/>
          <w:b/>
          <w:bCs/>
          <w:i/>
          <w:iCs/>
          <w:lang w:val="en-US"/>
        </w:rPr>
        <w:t xml:space="preserve"> </w:t>
      </w:r>
      <w:r w:rsidRPr="0051619C">
        <w:rPr>
          <w:rFonts w:cs="Calibri"/>
          <w:b/>
          <w:bCs/>
          <w:i/>
          <w:iCs/>
          <w:lang w:val="en-US"/>
        </w:rPr>
        <w:t>in wetland inventory, monitoring, assessment, and conservation</w:t>
      </w:r>
      <w:r w:rsidRPr="0051619C">
        <w:rPr>
          <w:rFonts w:cs="Calibri"/>
          <w:lang w:val="en-US"/>
        </w:rPr>
        <w:t>. It is recommended that such a mechanism would:</w:t>
      </w:r>
    </w:p>
    <w:p w14:paraId="678416FE" w14:textId="77777777" w:rsidR="0051619C" w:rsidRPr="0051619C" w:rsidRDefault="0051619C" w:rsidP="0051619C">
      <w:pPr>
        <w:pBdr>
          <w:top w:val="nil"/>
          <w:left w:val="nil"/>
          <w:bottom w:val="nil"/>
          <w:right w:val="nil"/>
          <w:between w:val="nil"/>
        </w:pBdr>
        <w:spacing w:line="240" w:lineRule="auto"/>
        <w:ind w:left="845" w:hanging="420"/>
        <w:rPr>
          <w:rFonts w:cs="Calibri"/>
          <w:lang w:val="en-US"/>
        </w:rPr>
      </w:pPr>
    </w:p>
    <w:p w14:paraId="5172F3F3" w14:textId="7C38A100" w:rsidR="0051619C" w:rsidRPr="0051619C" w:rsidRDefault="0051619C" w:rsidP="0051619C">
      <w:pPr>
        <w:spacing w:line="240" w:lineRule="auto"/>
        <w:ind w:left="1276" w:hanging="436"/>
        <w:rPr>
          <w:rFonts w:cs="Calibri"/>
          <w:lang w:val="en-US"/>
        </w:rPr>
      </w:pPr>
      <w:r w:rsidRPr="0051619C">
        <w:rPr>
          <w:rFonts w:cs="Calibri"/>
          <w:lang w:val="en-US"/>
        </w:rPr>
        <w:t>i.</w:t>
      </w:r>
      <w:r w:rsidRPr="0051619C">
        <w:rPr>
          <w:rFonts w:cs="Calibri"/>
          <w:lang w:val="en-US"/>
        </w:rPr>
        <w:tab/>
      </w:r>
      <w:r w:rsidRPr="0051619C">
        <w:rPr>
          <w:rFonts w:cs="Calibri"/>
          <w:u w:val="single"/>
          <w:lang w:val="en-US"/>
        </w:rPr>
        <w:t>Facilitate access to and utilization of Earth observation</w:t>
      </w:r>
      <w:r w:rsidRPr="0051619C" w:rsidDel="00CF0A89">
        <w:rPr>
          <w:rFonts w:cs="Calibri"/>
          <w:lang w:val="en-US"/>
        </w:rPr>
        <w:t xml:space="preserve"> </w:t>
      </w:r>
      <w:r w:rsidRPr="0051619C">
        <w:rPr>
          <w:rFonts w:cs="Calibri"/>
          <w:u w:val="single"/>
          <w:lang w:val="en-US"/>
        </w:rPr>
        <w:t>technology.</w:t>
      </w:r>
      <w:r w:rsidRPr="0051619C">
        <w:rPr>
          <w:rFonts w:cs="Calibri"/>
          <w:b/>
          <w:bCs/>
          <w:lang w:val="en-US"/>
        </w:rPr>
        <w:t xml:space="preserve"> </w:t>
      </w:r>
      <w:r w:rsidRPr="0051619C">
        <w:rPr>
          <w:rFonts w:cs="Calibri"/>
          <w:lang w:val="en-US"/>
        </w:rPr>
        <w:t xml:space="preserve">Enhance access to and effective use of existing and emerging </w:t>
      </w:r>
      <w:r w:rsidR="00CF4494">
        <w:rPr>
          <w:rFonts w:cs="Calibri"/>
          <w:lang w:val="en-US"/>
        </w:rPr>
        <w:t>EO</w:t>
      </w:r>
      <w:r w:rsidRPr="0051619C" w:rsidDel="00CF0A89">
        <w:rPr>
          <w:rFonts w:cs="Calibri"/>
          <w:lang w:val="en-US"/>
        </w:rPr>
        <w:t xml:space="preserve"> </w:t>
      </w:r>
      <w:r w:rsidRPr="0051619C">
        <w:rPr>
          <w:rFonts w:cs="Calibri"/>
          <w:lang w:val="en-US"/>
        </w:rPr>
        <w:t xml:space="preserve">data, derived products, and tools from diverse sources to support the development, maintenance, and use of </w:t>
      </w:r>
      <w:r w:rsidR="00CF4494">
        <w:rPr>
          <w:rFonts w:cs="Calibri"/>
          <w:lang w:val="en-US"/>
        </w:rPr>
        <w:t>n</w:t>
      </w:r>
      <w:r w:rsidR="00CF4494" w:rsidRPr="0051619C">
        <w:rPr>
          <w:rFonts w:cs="Calibri"/>
          <w:lang w:val="en-US"/>
        </w:rPr>
        <w:t xml:space="preserve">ational </w:t>
      </w:r>
      <w:r w:rsidR="00CF4494">
        <w:rPr>
          <w:rFonts w:cs="Calibri"/>
          <w:lang w:val="en-US"/>
        </w:rPr>
        <w:t>w</w:t>
      </w:r>
      <w:r w:rsidR="00CF4494" w:rsidRPr="0051619C">
        <w:rPr>
          <w:rFonts w:cs="Calibri"/>
          <w:lang w:val="en-US"/>
        </w:rPr>
        <w:t xml:space="preserve">etland </w:t>
      </w:r>
      <w:r w:rsidR="00CF4494">
        <w:rPr>
          <w:rFonts w:cs="Calibri"/>
          <w:lang w:val="en-US"/>
        </w:rPr>
        <w:t>i</w:t>
      </w:r>
      <w:r w:rsidR="00CF4494" w:rsidRPr="0051619C">
        <w:rPr>
          <w:rFonts w:cs="Calibri"/>
          <w:lang w:val="en-US"/>
        </w:rPr>
        <w:t>nventories</w:t>
      </w:r>
      <w:r w:rsidR="00CF4494">
        <w:rPr>
          <w:rFonts w:cs="Calibri"/>
          <w:lang w:val="en-US"/>
        </w:rPr>
        <w:t xml:space="preserve"> (NWIs)</w:t>
      </w:r>
      <w:r w:rsidRPr="0051619C">
        <w:rPr>
          <w:rFonts w:cs="Calibri"/>
          <w:lang w:val="en-US"/>
        </w:rPr>
        <w:t>. Where relevant, contribute to their continued development including by promoting the exchange of ground validation and training data.</w:t>
      </w:r>
    </w:p>
    <w:p w14:paraId="42059DC6" w14:textId="77777777" w:rsidR="0051619C" w:rsidRPr="0051619C" w:rsidRDefault="0051619C" w:rsidP="0051619C">
      <w:pPr>
        <w:spacing w:line="240" w:lineRule="auto"/>
        <w:ind w:left="1276" w:hanging="436"/>
        <w:rPr>
          <w:rFonts w:cs="Calibri"/>
          <w:lang w:val="en-US"/>
        </w:rPr>
      </w:pPr>
    </w:p>
    <w:p w14:paraId="6C828F5E" w14:textId="77777777" w:rsidR="0051619C" w:rsidRPr="0051619C" w:rsidRDefault="0051619C" w:rsidP="0051619C">
      <w:pPr>
        <w:spacing w:line="240" w:lineRule="auto"/>
        <w:ind w:left="1276" w:hanging="436"/>
        <w:rPr>
          <w:rFonts w:cs="Calibri"/>
          <w:lang w:val="en-US"/>
        </w:rPr>
      </w:pPr>
      <w:r w:rsidRPr="0051619C">
        <w:rPr>
          <w:rFonts w:cs="Calibri"/>
          <w:lang w:val="en-US"/>
        </w:rPr>
        <w:t>ii.</w:t>
      </w:r>
      <w:r w:rsidRPr="0051619C">
        <w:rPr>
          <w:rFonts w:cs="Calibri"/>
          <w:lang w:val="en-US"/>
        </w:rPr>
        <w:tab/>
      </w:r>
      <w:r w:rsidRPr="0051619C">
        <w:rPr>
          <w:rFonts w:cs="Calibri"/>
          <w:u w:val="single"/>
          <w:lang w:val="en-US"/>
        </w:rPr>
        <w:t>Develop/strengthen global wetland datasets.</w:t>
      </w:r>
      <w:r w:rsidRPr="0051619C">
        <w:rPr>
          <w:rFonts w:cs="Calibri"/>
          <w:lang w:val="en-US"/>
        </w:rPr>
        <w:t xml:space="preserve"> Develop and maintain new global datasets of wetland types, and support/promote further development of existing global datasets for specific wetland types. This may also encompass focus on Wetlands of International Importance. </w:t>
      </w:r>
    </w:p>
    <w:p w14:paraId="67C2EC34" w14:textId="77777777" w:rsidR="0051619C" w:rsidRPr="0051619C" w:rsidRDefault="0051619C" w:rsidP="0051619C">
      <w:pPr>
        <w:spacing w:line="240" w:lineRule="auto"/>
        <w:ind w:left="1276" w:hanging="436"/>
        <w:rPr>
          <w:rFonts w:cs="Calibri"/>
          <w:lang w:val="en-US"/>
        </w:rPr>
      </w:pPr>
    </w:p>
    <w:p w14:paraId="3BEC65D3" w14:textId="22615CBA" w:rsidR="0051619C" w:rsidRPr="0051619C" w:rsidRDefault="0051619C" w:rsidP="0051619C">
      <w:pPr>
        <w:spacing w:line="240" w:lineRule="auto"/>
        <w:ind w:left="1276" w:hanging="436"/>
        <w:rPr>
          <w:rFonts w:cs="Calibri"/>
          <w:lang w:val="en-US"/>
        </w:rPr>
      </w:pPr>
      <w:r w:rsidRPr="0051619C">
        <w:rPr>
          <w:rFonts w:cs="Calibri"/>
          <w:lang w:val="en-US"/>
        </w:rPr>
        <w:t>iii.</w:t>
      </w:r>
      <w:r w:rsidRPr="0051619C">
        <w:rPr>
          <w:rFonts w:cs="Calibri"/>
          <w:lang w:val="en-US"/>
        </w:rPr>
        <w:tab/>
      </w:r>
      <w:r w:rsidRPr="0051619C">
        <w:rPr>
          <w:rFonts w:cs="Calibri"/>
          <w:u w:val="single"/>
          <w:lang w:val="en-US"/>
        </w:rPr>
        <w:t xml:space="preserve">Develop </w:t>
      </w:r>
      <w:r w:rsidR="00CF4494">
        <w:rPr>
          <w:rFonts w:cs="Calibri"/>
          <w:u w:val="single"/>
          <w:lang w:val="en-US"/>
        </w:rPr>
        <w:t>e</w:t>
      </w:r>
      <w:r w:rsidR="00CF4494" w:rsidRPr="0051619C">
        <w:rPr>
          <w:rFonts w:cs="Calibri"/>
          <w:u w:val="single"/>
          <w:lang w:val="en-US"/>
        </w:rPr>
        <w:t xml:space="preserve">ssential </w:t>
      </w:r>
      <w:r w:rsidR="00CF4494">
        <w:rPr>
          <w:rFonts w:cs="Calibri"/>
          <w:u w:val="single"/>
          <w:lang w:val="en-US"/>
        </w:rPr>
        <w:t>w</w:t>
      </w:r>
      <w:r w:rsidR="00CF4494" w:rsidRPr="0051619C">
        <w:rPr>
          <w:rFonts w:cs="Calibri"/>
          <w:u w:val="single"/>
          <w:lang w:val="en-US"/>
        </w:rPr>
        <w:t xml:space="preserve">etland </w:t>
      </w:r>
      <w:r w:rsidR="00CF4494">
        <w:rPr>
          <w:rFonts w:cs="Calibri"/>
          <w:u w:val="single"/>
          <w:lang w:val="en-US"/>
        </w:rPr>
        <w:t>v</w:t>
      </w:r>
      <w:r w:rsidR="00CF4494" w:rsidRPr="0051619C">
        <w:rPr>
          <w:rFonts w:cs="Calibri"/>
          <w:u w:val="single"/>
          <w:lang w:val="en-US"/>
        </w:rPr>
        <w:t>ariables</w:t>
      </w:r>
      <w:r w:rsidRPr="0051619C">
        <w:rPr>
          <w:rFonts w:cs="Calibri"/>
          <w:u w:val="single"/>
          <w:lang w:val="en-US"/>
        </w:rPr>
        <w:t>.</w:t>
      </w:r>
      <w:r w:rsidRPr="0051619C">
        <w:rPr>
          <w:rFonts w:cs="Calibri"/>
          <w:b/>
          <w:bCs/>
          <w:lang w:val="en-US"/>
        </w:rPr>
        <w:t xml:space="preserve"> </w:t>
      </w:r>
      <w:r w:rsidRPr="0051619C">
        <w:rPr>
          <w:rFonts w:cs="Calibri"/>
          <w:lang w:val="en-US"/>
        </w:rPr>
        <w:t xml:space="preserve">Advance the development of essential wetland variables to improve the utility of </w:t>
      </w:r>
      <w:r w:rsidR="00CF4494">
        <w:rPr>
          <w:rFonts w:cs="Calibri"/>
          <w:lang w:val="en-US"/>
        </w:rPr>
        <w:t>EO</w:t>
      </w:r>
      <w:r w:rsidRPr="0051619C" w:rsidDel="00CF0A89">
        <w:rPr>
          <w:rFonts w:cs="Calibri"/>
          <w:lang w:val="en-US"/>
        </w:rPr>
        <w:t xml:space="preserve"> </w:t>
      </w:r>
      <w:r w:rsidRPr="0051619C">
        <w:rPr>
          <w:rFonts w:cs="Calibri"/>
          <w:lang w:val="en-US"/>
        </w:rPr>
        <w:t xml:space="preserve">data in </w:t>
      </w:r>
      <w:r w:rsidR="00CF4494">
        <w:rPr>
          <w:rFonts w:cs="Calibri"/>
          <w:lang w:val="en-US"/>
        </w:rPr>
        <w:t>NWIs</w:t>
      </w:r>
      <w:r w:rsidRPr="0051619C">
        <w:rPr>
          <w:rFonts w:cs="Calibri"/>
          <w:lang w:val="en-US"/>
        </w:rPr>
        <w:t xml:space="preserve">, in wetland monitoring and </w:t>
      </w:r>
      <w:r w:rsidRPr="0051619C">
        <w:rPr>
          <w:rFonts w:cs="Calibri"/>
          <w:lang w:val="en-US"/>
        </w:rPr>
        <w:lastRenderedPageBreak/>
        <w:t xml:space="preserve">assessment, and for reporting purposes. This includes monitoring of changes to Wetlands of International Importance, wetland conservation and restoration planning, and supporting national planning and reporting efforts within international policy frameworks such as the Convention on Wetlands and the Sustainable Development Goals. </w:t>
      </w:r>
    </w:p>
    <w:p w14:paraId="770B2ECF" w14:textId="77777777" w:rsidR="0051619C" w:rsidRPr="0051619C" w:rsidRDefault="0051619C" w:rsidP="0051619C">
      <w:pPr>
        <w:spacing w:line="240" w:lineRule="auto"/>
        <w:ind w:left="1276" w:hanging="436"/>
        <w:rPr>
          <w:rFonts w:cs="Calibri"/>
          <w:lang w:val="en-US"/>
        </w:rPr>
      </w:pPr>
    </w:p>
    <w:p w14:paraId="030FAF44" w14:textId="0C2F17A0" w:rsidR="0051619C" w:rsidRPr="0051619C" w:rsidRDefault="0051619C" w:rsidP="0051619C">
      <w:pPr>
        <w:spacing w:line="240" w:lineRule="auto"/>
        <w:ind w:left="1276" w:hanging="436"/>
        <w:rPr>
          <w:rFonts w:cs="Calibri"/>
          <w:lang w:val="en-US"/>
        </w:rPr>
      </w:pPr>
      <w:r w:rsidRPr="0051619C">
        <w:rPr>
          <w:rFonts w:cs="Calibri"/>
          <w:lang w:val="en-US"/>
        </w:rPr>
        <w:t>iv.</w:t>
      </w:r>
      <w:r w:rsidRPr="0051619C">
        <w:rPr>
          <w:rFonts w:cs="Calibri"/>
          <w:lang w:val="en-US"/>
        </w:rPr>
        <w:tab/>
      </w:r>
      <w:r w:rsidRPr="0051619C">
        <w:rPr>
          <w:rFonts w:cs="Calibri"/>
          <w:u w:val="single"/>
          <w:lang w:val="en-US"/>
        </w:rPr>
        <w:t>Undertake capacity building.</w:t>
      </w:r>
      <w:r w:rsidRPr="0051619C">
        <w:rPr>
          <w:rFonts w:cs="Calibri"/>
          <w:b/>
          <w:bCs/>
          <w:lang w:val="en-US"/>
        </w:rPr>
        <w:t xml:space="preserve"> </w:t>
      </w:r>
      <w:r w:rsidRPr="0051619C">
        <w:rPr>
          <w:rFonts w:cs="Calibri"/>
          <w:lang w:val="en-US"/>
        </w:rPr>
        <w:t>Strengthen capacity building initiatives by developing training materials, tools, and activities in collaboration with end users. These efforts should include guidance on performing crosswalk analyses between national wetland classification systems, such as the Convention</w:t>
      </w:r>
      <w:r w:rsidR="00035943">
        <w:rPr>
          <w:rFonts w:cs="Calibri"/>
          <w:lang w:val="en-US"/>
        </w:rPr>
        <w:t>’</w:t>
      </w:r>
      <w:r w:rsidRPr="0051619C">
        <w:rPr>
          <w:rFonts w:cs="Calibri"/>
          <w:lang w:val="en-US"/>
        </w:rPr>
        <w:t>s Classification System for Wetland Type, and other relevant classification frameworks, such as the Global Ecosystem Typology (GET).</w:t>
      </w:r>
    </w:p>
    <w:p w14:paraId="0BC3851E" w14:textId="77777777" w:rsidR="0051619C" w:rsidRPr="0051619C" w:rsidRDefault="0051619C" w:rsidP="0051619C">
      <w:pPr>
        <w:spacing w:line="240" w:lineRule="auto"/>
        <w:ind w:left="1276" w:hanging="436"/>
        <w:rPr>
          <w:rFonts w:cs="Calibri"/>
          <w:lang w:val="en-US"/>
        </w:rPr>
      </w:pPr>
    </w:p>
    <w:p w14:paraId="66D69954" w14:textId="51589C6D" w:rsidR="0051619C" w:rsidRPr="0051619C" w:rsidRDefault="0051619C" w:rsidP="0051619C">
      <w:pPr>
        <w:spacing w:line="240" w:lineRule="auto"/>
        <w:ind w:left="1276" w:hanging="436"/>
        <w:rPr>
          <w:rFonts w:cs="Calibri"/>
          <w:lang w:val="en-US"/>
        </w:rPr>
      </w:pPr>
      <w:r w:rsidRPr="0051619C">
        <w:rPr>
          <w:rFonts w:cs="Calibri"/>
          <w:lang w:val="en-US"/>
        </w:rPr>
        <w:t>v.</w:t>
      </w:r>
      <w:r w:rsidRPr="0051619C">
        <w:rPr>
          <w:rFonts w:cs="Calibri"/>
          <w:lang w:val="en-US"/>
        </w:rPr>
        <w:tab/>
      </w:r>
      <w:r w:rsidRPr="0051619C">
        <w:rPr>
          <w:rFonts w:cs="Calibri"/>
          <w:u w:val="single"/>
          <w:lang w:val="en-US"/>
        </w:rPr>
        <w:t xml:space="preserve">Provide </w:t>
      </w:r>
      <w:r w:rsidR="00CF4494">
        <w:rPr>
          <w:rFonts w:cs="Calibri"/>
          <w:u w:val="single"/>
          <w:lang w:val="en-US"/>
        </w:rPr>
        <w:t>t</w:t>
      </w:r>
      <w:r w:rsidR="00CF4494" w:rsidRPr="0051619C">
        <w:rPr>
          <w:rFonts w:cs="Calibri"/>
          <w:u w:val="single"/>
          <w:lang w:val="en-US"/>
        </w:rPr>
        <w:t xml:space="preserve">echnical </w:t>
      </w:r>
      <w:r w:rsidR="00CF4494">
        <w:rPr>
          <w:rFonts w:cs="Calibri"/>
          <w:u w:val="single"/>
          <w:lang w:val="en-US"/>
        </w:rPr>
        <w:t>a</w:t>
      </w:r>
      <w:r w:rsidR="00CF4494" w:rsidRPr="0051619C">
        <w:rPr>
          <w:rFonts w:cs="Calibri"/>
          <w:u w:val="single"/>
          <w:lang w:val="en-US"/>
        </w:rPr>
        <w:t xml:space="preserve">dvice </w:t>
      </w:r>
      <w:r w:rsidRPr="0051619C">
        <w:rPr>
          <w:rFonts w:cs="Calibri"/>
          <w:u w:val="single"/>
          <w:lang w:val="en-US"/>
        </w:rPr>
        <w:t xml:space="preserve">and </w:t>
      </w:r>
      <w:r w:rsidR="00CF4494">
        <w:rPr>
          <w:rFonts w:cs="Calibri"/>
          <w:u w:val="single"/>
          <w:lang w:val="en-US"/>
        </w:rPr>
        <w:t>s</w:t>
      </w:r>
      <w:r w:rsidR="00CF4494" w:rsidRPr="0051619C">
        <w:rPr>
          <w:rFonts w:cs="Calibri"/>
          <w:u w:val="single"/>
          <w:lang w:val="en-US"/>
        </w:rPr>
        <w:t>upport</w:t>
      </w:r>
      <w:r w:rsidRPr="0051619C">
        <w:rPr>
          <w:rFonts w:cs="Calibri"/>
          <w:u w:val="single"/>
          <w:lang w:val="en-US"/>
        </w:rPr>
        <w:t>.</w:t>
      </w:r>
      <w:r w:rsidRPr="0051619C">
        <w:rPr>
          <w:rFonts w:cs="Calibri"/>
          <w:b/>
          <w:bCs/>
          <w:lang w:val="en-US"/>
        </w:rPr>
        <w:t xml:space="preserve"> </w:t>
      </w:r>
      <w:r w:rsidRPr="0051619C">
        <w:rPr>
          <w:rFonts w:cs="Calibri"/>
          <w:lang w:val="en-US"/>
        </w:rPr>
        <w:t xml:space="preserve">Offer technical advice and support to Contracting Parties of the Convention throughout their </w:t>
      </w:r>
      <w:r w:rsidR="00CF4494">
        <w:rPr>
          <w:rFonts w:cs="Calibri"/>
          <w:lang w:val="en-US"/>
        </w:rPr>
        <w:t>NWI</w:t>
      </w:r>
      <w:r w:rsidRPr="0051619C">
        <w:rPr>
          <w:rFonts w:cs="Calibri"/>
          <w:lang w:val="en-US"/>
        </w:rPr>
        <w:t xml:space="preserve"> processes. This support should be tailored to address specific technical, methodological, and operational challenges faced by individual countries.</w:t>
      </w:r>
    </w:p>
    <w:p w14:paraId="51C51CA6" w14:textId="77777777" w:rsidR="0051619C" w:rsidRPr="0051619C" w:rsidRDefault="0051619C" w:rsidP="0051619C">
      <w:pPr>
        <w:spacing w:line="240" w:lineRule="auto"/>
        <w:ind w:left="1276" w:hanging="436"/>
        <w:rPr>
          <w:rFonts w:cs="Calibri"/>
          <w:lang w:val="en-US"/>
        </w:rPr>
      </w:pPr>
    </w:p>
    <w:p w14:paraId="11E8E180" w14:textId="4CB742BE" w:rsidR="0051619C" w:rsidRPr="0051619C" w:rsidRDefault="0051619C" w:rsidP="0051619C">
      <w:pPr>
        <w:spacing w:line="240" w:lineRule="auto"/>
        <w:ind w:left="1276" w:hanging="436"/>
        <w:rPr>
          <w:rFonts w:cs="Calibri"/>
          <w:lang w:val="en-US"/>
        </w:rPr>
      </w:pPr>
      <w:r w:rsidRPr="0051619C">
        <w:rPr>
          <w:rFonts w:cs="Calibri"/>
          <w:lang w:val="en-US"/>
        </w:rPr>
        <w:t>vi.</w:t>
      </w:r>
      <w:r w:rsidRPr="0051619C">
        <w:rPr>
          <w:rFonts w:cs="Calibri"/>
          <w:lang w:val="en-US"/>
        </w:rPr>
        <w:tab/>
      </w:r>
      <w:r w:rsidRPr="0051619C">
        <w:rPr>
          <w:rFonts w:cs="Calibri"/>
          <w:u w:val="single"/>
          <w:lang w:val="en-US"/>
        </w:rPr>
        <w:t xml:space="preserve">Strengthen </w:t>
      </w:r>
      <w:r w:rsidR="00CF4494">
        <w:rPr>
          <w:rFonts w:cs="Calibri"/>
          <w:u w:val="single"/>
          <w:lang w:val="en-US"/>
        </w:rPr>
        <w:t>i</w:t>
      </w:r>
      <w:r w:rsidR="00CF4494" w:rsidRPr="0051619C">
        <w:rPr>
          <w:rFonts w:cs="Calibri"/>
          <w:u w:val="single"/>
          <w:lang w:val="en-US"/>
        </w:rPr>
        <w:t xml:space="preserve">nternational </w:t>
      </w:r>
      <w:r w:rsidR="00CF4494">
        <w:rPr>
          <w:rFonts w:cs="Calibri"/>
          <w:u w:val="single"/>
          <w:lang w:val="en-US"/>
        </w:rPr>
        <w:t>c</w:t>
      </w:r>
      <w:r w:rsidR="00CF4494" w:rsidRPr="0051619C">
        <w:rPr>
          <w:rFonts w:cs="Calibri"/>
          <w:u w:val="single"/>
          <w:lang w:val="en-US"/>
        </w:rPr>
        <w:t xml:space="preserve">oordination </w:t>
      </w:r>
      <w:r w:rsidRPr="0051619C">
        <w:rPr>
          <w:rFonts w:cs="Calibri"/>
          <w:u w:val="single"/>
          <w:lang w:val="en-US"/>
        </w:rPr>
        <w:t xml:space="preserve">and </w:t>
      </w:r>
      <w:r w:rsidR="00CF4494">
        <w:rPr>
          <w:rFonts w:cs="Calibri"/>
          <w:u w:val="single"/>
          <w:lang w:val="en-US"/>
        </w:rPr>
        <w:t>c</w:t>
      </w:r>
      <w:r w:rsidR="00CF4494" w:rsidRPr="0051619C">
        <w:rPr>
          <w:rFonts w:cs="Calibri"/>
          <w:u w:val="single"/>
          <w:lang w:val="en-US"/>
        </w:rPr>
        <w:t>ooperation</w:t>
      </w:r>
      <w:r w:rsidRPr="0051619C">
        <w:rPr>
          <w:rFonts w:cs="Calibri"/>
          <w:u w:val="single"/>
          <w:lang w:val="en-US"/>
        </w:rPr>
        <w:t>.</w:t>
      </w:r>
      <w:r w:rsidRPr="0051619C">
        <w:rPr>
          <w:rFonts w:cs="Calibri"/>
          <w:b/>
          <w:bCs/>
          <w:lang w:val="en-US"/>
        </w:rPr>
        <w:t xml:space="preserve"> </w:t>
      </w:r>
      <w:r w:rsidRPr="0051619C">
        <w:rPr>
          <w:rFonts w:cs="Calibri"/>
          <w:lang w:val="en-US"/>
        </w:rPr>
        <w:t xml:space="preserve">Actively engage with and strengthen the coordination and collaboration among international initiatives to ensure synergies in addressing wetland-related challenges. Foster partnerships across global, regional, and national efforts to enhance the impact of </w:t>
      </w:r>
      <w:r w:rsidR="00CF4494">
        <w:rPr>
          <w:rFonts w:cs="Calibri"/>
          <w:lang w:val="en-US"/>
        </w:rPr>
        <w:t>EO</w:t>
      </w:r>
      <w:r w:rsidRPr="0051619C" w:rsidDel="00CF0A89">
        <w:rPr>
          <w:rFonts w:cs="Calibri"/>
          <w:lang w:val="en-US"/>
        </w:rPr>
        <w:t xml:space="preserve"> </w:t>
      </w:r>
      <w:r w:rsidRPr="0051619C">
        <w:rPr>
          <w:rFonts w:cs="Calibri"/>
          <w:lang w:val="en-US"/>
        </w:rPr>
        <w:t xml:space="preserve">data, derived products, and tools in wetland inventory, monitoring, assessment and conservation. </w:t>
      </w:r>
    </w:p>
    <w:p w14:paraId="2E1FB322" w14:textId="77777777" w:rsidR="0051619C" w:rsidRPr="0051619C" w:rsidRDefault="0051619C" w:rsidP="0051619C">
      <w:pPr>
        <w:spacing w:line="240" w:lineRule="auto"/>
        <w:ind w:left="709"/>
        <w:rPr>
          <w:rFonts w:cs="Calibri"/>
          <w:lang w:val="en-US"/>
        </w:rPr>
      </w:pPr>
    </w:p>
    <w:p w14:paraId="1127EBB5" w14:textId="3A984724" w:rsidR="0051619C" w:rsidRPr="0051619C" w:rsidRDefault="0051619C" w:rsidP="0051619C">
      <w:pPr>
        <w:pStyle w:val="ListParagraph"/>
        <w:pBdr>
          <w:top w:val="nil"/>
          <w:left w:val="nil"/>
          <w:bottom w:val="nil"/>
          <w:right w:val="nil"/>
          <w:between w:val="nil"/>
        </w:pBdr>
        <w:spacing w:line="240" w:lineRule="auto"/>
        <w:ind w:left="845" w:hanging="8"/>
        <w:rPr>
          <w:rFonts w:cs="Calibri"/>
          <w:lang w:val="en-US"/>
        </w:rPr>
      </w:pPr>
      <w:r w:rsidRPr="0051619C">
        <w:rPr>
          <w:rFonts w:cs="Calibri"/>
          <w:lang w:val="en-US"/>
        </w:rPr>
        <w:t>The initiative should complement and support the Convention</w:t>
      </w:r>
      <w:r w:rsidR="00035943">
        <w:rPr>
          <w:rFonts w:cs="Calibri"/>
          <w:lang w:val="en-US"/>
        </w:rPr>
        <w:t>’</w:t>
      </w:r>
      <w:r w:rsidRPr="0051619C">
        <w:rPr>
          <w:rFonts w:cs="Calibri"/>
          <w:lang w:val="en-US"/>
        </w:rPr>
        <w:t xml:space="preserve">s ongoing </w:t>
      </w:r>
      <w:r w:rsidR="00CF4494">
        <w:rPr>
          <w:rFonts w:cs="Calibri"/>
          <w:lang w:val="en-US"/>
        </w:rPr>
        <w:t>NWI</w:t>
      </w:r>
      <w:r w:rsidRPr="0051619C">
        <w:rPr>
          <w:rFonts w:cs="Calibri"/>
          <w:lang w:val="en-US"/>
        </w:rPr>
        <w:t xml:space="preserve"> support mechanism, and be formally mandated by the Convention</w:t>
      </w:r>
      <w:r w:rsidR="00035943">
        <w:rPr>
          <w:rFonts w:cs="Calibri"/>
          <w:lang w:val="en-US"/>
        </w:rPr>
        <w:t>’</w:t>
      </w:r>
      <w:r w:rsidRPr="0051619C">
        <w:rPr>
          <w:rFonts w:cs="Calibri"/>
          <w:lang w:val="en-US"/>
        </w:rPr>
        <w:t xml:space="preserve">s governing body, to ensure impact and sustainability. It can be developed building on the tentative proposal for a GEO Wetlands initiative submitted for inclusion in the Group on Earth Observations (GEO) Post-2025 Work Programme, drawing on existing models such as the GEO Flagship Initiatives. It would be developed and implemented in close collaboration with space agencies and </w:t>
      </w:r>
      <w:r w:rsidR="00CF4494">
        <w:rPr>
          <w:rFonts w:cs="Calibri"/>
          <w:lang w:val="en-US"/>
        </w:rPr>
        <w:t xml:space="preserve">EO </w:t>
      </w:r>
      <w:r w:rsidRPr="0051619C">
        <w:rPr>
          <w:rFonts w:cs="Calibri"/>
          <w:lang w:val="en-US"/>
        </w:rPr>
        <w:t xml:space="preserve">organizations. It should give consideration to how relevant regional mechanisms including those established under the Convention on Wetlands (Ramsar Regional Initiatives), or other global agreements or processes can be leveraged, and may entail identifying and engaging with </w:t>
      </w:r>
      <w:r w:rsidR="00035943">
        <w:rPr>
          <w:rFonts w:cs="Calibri"/>
          <w:lang w:val="en-US"/>
        </w:rPr>
        <w:t>‘</w:t>
      </w:r>
      <w:r w:rsidRPr="0051619C">
        <w:rPr>
          <w:rFonts w:cs="Calibri"/>
          <w:lang w:val="en-US"/>
        </w:rPr>
        <w:t>champion countries</w:t>
      </w:r>
      <w:r w:rsidR="00035943">
        <w:rPr>
          <w:rFonts w:cs="Calibri"/>
          <w:lang w:val="en-US"/>
        </w:rPr>
        <w:t>’</w:t>
      </w:r>
      <w:r w:rsidRPr="0051619C">
        <w:rPr>
          <w:rFonts w:cs="Calibri"/>
          <w:lang w:val="en-US"/>
        </w:rPr>
        <w:t xml:space="preserve"> to help ensure solutions are built to address national needs, enable testing and fine tuning of approaches, facilitate peer-to-peer exchange and support broader application. Findings of this </w:t>
      </w:r>
      <w:r w:rsidR="00CF4494">
        <w:rPr>
          <w:rFonts w:cs="Calibri"/>
          <w:lang w:val="en-US"/>
        </w:rPr>
        <w:t>EO</w:t>
      </w:r>
      <w:r w:rsidRPr="0051619C" w:rsidDel="00CF0A89">
        <w:rPr>
          <w:rFonts w:cs="Calibri"/>
          <w:lang w:val="en-US"/>
        </w:rPr>
        <w:t xml:space="preserve"> </w:t>
      </w:r>
      <w:r w:rsidRPr="0051619C">
        <w:rPr>
          <w:rFonts w:cs="Calibri"/>
          <w:lang w:val="en-US"/>
        </w:rPr>
        <w:t xml:space="preserve">consultation provides a basis for its further technical development. </w:t>
      </w:r>
    </w:p>
    <w:p w14:paraId="438A35C0" w14:textId="77777777" w:rsidR="0051619C" w:rsidRPr="0051619C" w:rsidRDefault="0051619C" w:rsidP="0051619C">
      <w:pPr>
        <w:spacing w:line="240" w:lineRule="auto"/>
        <w:ind w:left="709"/>
        <w:rPr>
          <w:rFonts w:cs="Calibri"/>
          <w:lang w:val="en-US"/>
        </w:rPr>
      </w:pPr>
    </w:p>
    <w:p w14:paraId="283CED07" w14:textId="77777777" w:rsidR="0051619C" w:rsidRPr="0051619C" w:rsidRDefault="0051619C" w:rsidP="0051619C">
      <w:pPr>
        <w:pStyle w:val="ListParagraph"/>
        <w:pBdr>
          <w:top w:val="nil"/>
          <w:left w:val="nil"/>
          <w:bottom w:val="nil"/>
          <w:right w:val="nil"/>
          <w:between w:val="nil"/>
        </w:pBdr>
        <w:spacing w:line="240" w:lineRule="auto"/>
        <w:ind w:left="845" w:hanging="8"/>
        <w:rPr>
          <w:rFonts w:cs="Calibri"/>
          <w:lang w:val="en-US"/>
        </w:rPr>
      </w:pPr>
      <w:r w:rsidRPr="0051619C">
        <w:rPr>
          <w:rFonts w:cs="Calibri"/>
          <w:lang w:val="en-US"/>
        </w:rPr>
        <w:t xml:space="preserve">Development of the initiative can be led by the Secretariat, working with the STRP and relevant partners. In the first instance, it is critical that start-up financial resources are secured for development of the initiative, including to identify requirements and modalities for its longer-term operation. </w:t>
      </w:r>
    </w:p>
    <w:p w14:paraId="445DFD0F" w14:textId="77777777" w:rsidR="0051619C" w:rsidRPr="0051619C" w:rsidRDefault="0051619C" w:rsidP="0051619C">
      <w:pPr>
        <w:spacing w:line="240" w:lineRule="auto"/>
        <w:rPr>
          <w:rFonts w:cs="Calibri"/>
          <w:lang w:val="en-US"/>
        </w:rPr>
      </w:pPr>
    </w:p>
    <w:p w14:paraId="64C20848" w14:textId="034DD8CA" w:rsidR="0051619C" w:rsidRPr="0051619C" w:rsidRDefault="0051619C" w:rsidP="0051619C">
      <w:pPr>
        <w:pBdr>
          <w:top w:val="nil"/>
          <w:left w:val="nil"/>
          <w:bottom w:val="nil"/>
          <w:right w:val="nil"/>
          <w:between w:val="nil"/>
        </w:pBdr>
        <w:spacing w:line="240" w:lineRule="auto"/>
        <w:ind w:left="845" w:hanging="420"/>
        <w:rPr>
          <w:rFonts w:cs="Calibri"/>
          <w:lang w:val="en-US"/>
        </w:rPr>
      </w:pPr>
      <w:r w:rsidRPr="0051619C">
        <w:rPr>
          <w:rFonts w:cs="Calibri"/>
          <w:lang w:val="en-US"/>
        </w:rPr>
        <w:t>b.</w:t>
      </w:r>
      <w:r w:rsidRPr="0051619C">
        <w:rPr>
          <w:rFonts w:cs="Calibri"/>
          <w:lang w:val="en-US"/>
        </w:rPr>
        <w:tab/>
      </w:r>
      <w:r w:rsidRPr="0051619C">
        <w:rPr>
          <w:rFonts w:cs="Calibri"/>
          <w:b/>
          <w:bCs/>
          <w:i/>
          <w:iCs/>
          <w:lang w:val="en-US"/>
        </w:rPr>
        <w:t>Establish or strengthen bilateral cooperation with space agencies and Earth observation</w:t>
      </w:r>
      <w:r w:rsidRPr="0051619C" w:rsidDel="00CF0A89">
        <w:rPr>
          <w:rFonts w:cs="Calibri"/>
          <w:b/>
          <w:bCs/>
          <w:i/>
          <w:iCs/>
          <w:lang w:val="en-US"/>
        </w:rPr>
        <w:t xml:space="preserve"> </w:t>
      </w:r>
      <w:r w:rsidRPr="0051619C">
        <w:rPr>
          <w:rFonts w:cs="Calibri"/>
          <w:b/>
          <w:bCs/>
          <w:i/>
          <w:iCs/>
          <w:lang w:val="en-US"/>
        </w:rPr>
        <w:t>initiatives.</w:t>
      </w:r>
      <w:r w:rsidRPr="0051619C">
        <w:rPr>
          <w:rFonts w:cs="Calibri"/>
          <w:lang w:val="en-US"/>
        </w:rPr>
        <w:t xml:space="preserve"> This may include, </w:t>
      </w:r>
      <w:r w:rsidRPr="00CE46D6">
        <w:rPr>
          <w:rFonts w:cs="Calibri"/>
          <w:lang w:val="en-US"/>
        </w:rPr>
        <w:t>inter alia</w:t>
      </w:r>
      <w:r w:rsidRPr="0051619C">
        <w:rPr>
          <w:rFonts w:cs="Calibri"/>
          <w:lang w:val="en-US"/>
        </w:rPr>
        <w:t>, expanding the long-standing collaboration with individual space agencies contributing to the work of the STRP and the Convention</w:t>
      </w:r>
      <w:r w:rsidR="00035943">
        <w:rPr>
          <w:rFonts w:cs="Calibri"/>
          <w:lang w:val="en-US"/>
        </w:rPr>
        <w:t>’</w:t>
      </w:r>
      <w:r w:rsidRPr="0051619C">
        <w:rPr>
          <w:rFonts w:cs="Calibri"/>
          <w:lang w:val="en-US"/>
        </w:rPr>
        <w:t xml:space="preserve">s programme to support </w:t>
      </w:r>
      <w:r w:rsidR="00CE46D6">
        <w:rPr>
          <w:rFonts w:cs="Calibri"/>
          <w:lang w:val="en-US"/>
        </w:rPr>
        <w:t>NWI</w:t>
      </w:r>
      <w:r w:rsidRPr="0051619C">
        <w:rPr>
          <w:rFonts w:cs="Calibri"/>
          <w:lang w:val="en-US"/>
        </w:rPr>
        <w:t xml:space="preserve">, including to strengthen the applicability of existing </w:t>
      </w:r>
      <w:r w:rsidR="00CE46D6">
        <w:rPr>
          <w:rFonts w:cs="Calibri"/>
          <w:lang w:val="en-US"/>
        </w:rPr>
        <w:t xml:space="preserve">EO </w:t>
      </w:r>
      <w:r w:rsidRPr="0051619C">
        <w:rPr>
          <w:rFonts w:cs="Calibri"/>
          <w:lang w:val="en-US"/>
        </w:rPr>
        <w:t xml:space="preserve">products and services (such as those of Copernicus, the Global Mangrove Watch and Global Wetland Watch) in </w:t>
      </w:r>
      <w:r w:rsidR="00CE46D6">
        <w:rPr>
          <w:rFonts w:cs="Calibri"/>
          <w:lang w:val="en-US"/>
        </w:rPr>
        <w:t>NWIs</w:t>
      </w:r>
      <w:r w:rsidRPr="0051619C">
        <w:rPr>
          <w:rFonts w:cs="Calibri"/>
          <w:lang w:val="en-US"/>
        </w:rPr>
        <w:t xml:space="preserve">, and to develop new tools and global wetland datasets to address current gaps. This can be done through exchange of letters or cooperation agreements between the Secretariat of the Convention and relevant partner organizations, also </w:t>
      </w:r>
      <w:r w:rsidRPr="0051619C">
        <w:rPr>
          <w:rFonts w:cs="Calibri"/>
          <w:lang w:val="en-US"/>
        </w:rPr>
        <w:lastRenderedPageBreak/>
        <w:t>potentially considering cooperation with the Committee on Earth Observation Satellites (CEOS) regarding satellite data for NWI.</w:t>
      </w:r>
    </w:p>
    <w:p w14:paraId="02C49836" w14:textId="77777777" w:rsidR="0051619C" w:rsidRPr="0051619C" w:rsidRDefault="0051619C" w:rsidP="0051619C">
      <w:pPr>
        <w:spacing w:line="240" w:lineRule="auto"/>
        <w:rPr>
          <w:rFonts w:cs="Calibri"/>
          <w:lang w:val="en-US"/>
        </w:rPr>
      </w:pPr>
    </w:p>
    <w:p w14:paraId="4B10123A" w14:textId="47E90D8E" w:rsidR="0051619C" w:rsidRPr="0051619C" w:rsidRDefault="0051619C" w:rsidP="0051619C">
      <w:pPr>
        <w:pBdr>
          <w:top w:val="nil"/>
          <w:left w:val="nil"/>
          <w:bottom w:val="nil"/>
          <w:right w:val="nil"/>
          <w:between w:val="nil"/>
        </w:pBdr>
        <w:spacing w:line="240" w:lineRule="auto"/>
        <w:ind w:left="845" w:hanging="420"/>
        <w:rPr>
          <w:rFonts w:cs="Calibri"/>
          <w:lang w:val="en-US"/>
        </w:rPr>
      </w:pPr>
      <w:r w:rsidRPr="0051619C">
        <w:rPr>
          <w:rFonts w:cs="Calibri"/>
          <w:lang w:val="en-US"/>
        </w:rPr>
        <w:t>c.</w:t>
      </w:r>
      <w:r w:rsidRPr="0051619C">
        <w:rPr>
          <w:rFonts w:cs="Calibri"/>
          <w:lang w:val="en-US"/>
        </w:rPr>
        <w:tab/>
      </w:r>
      <w:r w:rsidRPr="0051619C">
        <w:rPr>
          <w:rFonts w:cs="Calibri"/>
          <w:b/>
          <w:bCs/>
          <w:i/>
          <w:iCs/>
          <w:lang w:val="en-US"/>
        </w:rPr>
        <w:t xml:space="preserve">Undertake in-depth assessments to identify further technological development needs. </w:t>
      </w:r>
      <w:r w:rsidRPr="0051619C">
        <w:rPr>
          <w:rFonts w:cs="Calibri"/>
          <w:lang w:val="en-US"/>
        </w:rPr>
        <w:t xml:space="preserve">This may include identification of wetland types or wetland areas/regions for which further technical development of </w:t>
      </w:r>
      <w:r w:rsidR="00CE46D6">
        <w:rPr>
          <w:rFonts w:cs="Calibri"/>
          <w:lang w:val="en-US"/>
        </w:rPr>
        <w:t>EO-</w:t>
      </w:r>
      <w:r w:rsidRPr="0051619C">
        <w:rPr>
          <w:rFonts w:cs="Calibri"/>
          <w:lang w:val="en-US"/>
        </w:rPr>
        <w:t>based approaches, including dedicated systematic observation strategies for wetlands, are</w:t>
      </w:r>
      <w:r w:rsidRPr="0051619C">
        <w:rPr>
          <w:rFonts w:cs="Calibri"/>
          <w:b/>
          <w:bCs/>
          <w:i/>
          <w:iCs/>
          <w:lang w:val="en-US"/>
        </w:rPr>
        <w:t xml:space="preserve"> </w:t>
      </w:r>
      <w:r w:rsidRPr="0051619C">
        <w:rPr>
          <w:rFonts w:cs="Calibri"/>
          <w:lang w:val="en-US"/>
        </w:rPr>
        <w:t>required in order to better support wetland inventory, and identification of wetland types that require additional or better ground validation and training data, or enhanced exchange of such data. Such assessments/analyses may be pursued by the STRP in the context of its work plan for the 2025-</w:t>
      </w:r>
      <w:r w:rsidR="00CE46D6" w:rsidRPr="0051619C">
        <w:rPr>
          <w:rFonts w:cs="Calibri"/>
          <w:lang w:val="en-US"/>
        </w:rPr>
        <w:t>202</w:t>
      </w:r>
      <w:r w:rsidR="00CE46D6">
        <w:rPr>
          <w:rFonts w:cs="Calibri"/>
          <w:lang w:val="en-US"/>
        </w:rPr>
        <w:t>8</w:t>
      </w:r>
      <w:r w:rsidR="00CE46D6" w:rsidRPr="0051619C">
        <w:rPr>
          <w:rFonts w:cs="Calibri"/>
          <w:lang w:val="en-US"/>
        </w:rPr>
        <w:t xml:space="preserve"> </w:t>
      </w:r>
      <w:r w:rsidRPr="0051619C">
        <w:rPr>
          <w:rFonts w:cs="Calibri"/>
          <w:lang w:val="en-US"/>
        </w:rPr>
        <w:t xml:space="preserve">triennium, with findings addressed through collaboration with space agencies or </w:t>
      </w:r>
      <w:r w:rsidR="00CE46D6">
        <w:rPr>
          <w:rFonts w:cs="Calibri"/>
          <w:lang w:val="en-US"/>
        </w:rPr>
        <w:t xml:space="preserve">EO </w:t>
      </w:r>
      <w:r w:rsidRPr="0051619C">
        <w:rPr>
          <w:rFonts w:cs="Calibri"/>
          <w:lang w:val="en-US"/>
        </w:rPr>
        <w:t xml:space="preserve">initiatives. As an initial action, the Secretariat can encourage development of RS approaches and products for mapping e.g. forested inland wetlands, small wetlands, and human-made wetlands as well as assessing depth of peat soils and extent and condition of wetlands with high seasonal or inter-annual dynamics, through formal liaison with the Committee on Earth Observation Satellites (CEOS). </w:t>
      </w:r>
    </w:p>
    <w:p w14:paraId="42982745" w14:textId="77777777" w:rsidR="0051619C" w:rsidRPr="0051619C" w:rsidRDefault="0051619C" w:rsidP="0051619C">
      <w:pPr>
        <w:pStyle w:val="ListParagraph"/>
        <w:spacing w:line="240" w:lineRule="auto"/>
        <w:rPr>
          <w:rFonts w:cs="Calibri"/>
          <w:lang w:val="en-US"/>
        </w:rPr>
      </w:pPr>
    </w:p>
    <w:p w14:paraId="622757A2" w14:textId="1C934423" w:rsidR="0051619C" w:rsidRPr="0051619C" w:rsidRDefault="0051619C" w:rsidP="0051619C">
      <w:pPr>
        <w:pBdr>
          <w:top w:val="nil"/>
          <w:left w:val="nil"/>
          <w:bottom w:val="nil"/>
          <w:right w:val="nil"/>
          <w:between w:val="nil"/>
        </w:pBdr>
        <w:spacing w:line="240" w:lineRule="auto"/>
        <w:ind w:left="845" w:hanging="420"/>
        <w:rPr>
          <w:rFonts w:cs="Calibri"/>
          <w:lang w:val="en-US"/>
        </w:rPr>
      </w:pPr>
      <w:r w:rsidRPr="0051619C">
        <w:rPr>
          <w:rFonts w:cs="Calibri"/>
          <w:lang w:val="en-US"/>
        </w:rPr>
        <w:t>d.</w:t>
      </w:r>
      <w:r w:rsidRPr="0051619C">
        <w:rPr>
          <w:rFonts w:cs="Calibri"/>
          <w:lang w:val="en-US"/>
        </w:rPr>
        <w:tab/>
      </w:r>
      <w:r w:rsidRPr="0051619C">
        <w:rPr>
          <w:rFonts w:cs="Calibri"/>
          <w:b/>
          <w:bCs/>
          <w:i/>
          <w:iCs/>
          <w:lang w:val="en-US"/>
        </w:rPr>
        <w:t>Disseminate the findings of the Earth observation</w:t>
      </w:r>
      <w:r w:rsidRPr="0051619C" w:rsidDel="00CF0A89">
        <w:rPr>
          <w:rFonts w:cs="Calibri"/>
          <w:b/>
          <w:bCs/>
          <w:i/>
          <w:iCs/>
          <w:lang w:val="en-US"/>
        </w:rPr>
        <w:t xml:space="preserve"> </w:t>
      </w:r>
      <w:r w:rsidRPr="0051619C">
        <w:rPr>
          <w:rFonts w:cs="Calibri"/>
          <w:b/>
          <w:bCs/>
          <w:i/>
          <w:iCs/>
          <w:lang w:val="en-US"/>
        </w:rPr>
        <w:t>consultation, identified needs and recommended actions</w:t>
      </w:r>
      <w:r w:rsidRPr="0051619C">
        <w:rPr>
          <w:rFonts w:cs="Calibri"/>
          <w:lang w:val="en-US"/>
        </w:rPr>
        <w:t xml:space="preserve">. This may include, inter alia, outreach to space agencies and </w:t>
      </w:r>
      <w:r w:rsidR="00CE46D6">
        <w:rPr>
          <w:rFonts w:cs="Calibri"/>
          <w:lang w:val="en-US"/>
        </w:rPr>
        <w:t>EO</w:t>
      </w:r>
      <w:r w:rsidRPr="0051619C" w:rsidDel="00CF0A89">
        <w:rPr>
          <w:rFonts w:cs="Calibri"/>
          <w:lang w:val="en-US"/>
        </w:rPr>
        <w:t xml:space="preserve"> </w:t>
      </w:r>
      <w:r w:rsidRPr="0051619C">
        <w:rPr>
          <w:rFonts w:cs="Calibri"/>
          <w:lang w:val="en-US"/>
        </w:rPr>
        <w:t xml:space="preserve">initiatives; international and national funding agencies and philanthropies; relevant international organizations; as well as other MEAs, through their respective secretariats and as appropriate through contributions to meetings of their governing or subsidiary bodies, and may invite contributions towards or collaboration in the implementation of the recommendations arising from the </w:t>
      </w:r>
      <w:r w:rsidR="00CE46D6">
        <w:rPr>
          <w:rFonts w:cs="Calibri"/>
          <w:lang w:val="en-US"/>
        </w:rPr>
        <w:t>EO</w:t>
      </w:r>
      <w:r w:rsidR="004F62E4" w:rsidRPr="0051619C" w:rsidDel="00CF0A89">
        <w:rPr>
          <w:rFonts w:cs="Calibri"/>
          <w:lang w:val="en-US"/>
        </w:rPr>
        <w:t xml:space="preserve"> </w:t>
      </w:r>
      <w:r w:rsidRPr="0051619C">
        <w:rPr>
          <w:rFonts w:cs="Calibri"/>
          <w:lang w:val="en-US"/>
        </w:rPr>
        <w:t xml:space="preserve">consultation. This can be done by the Secretariat of the Convention, with the STRP. </w:t>
      </w:r>
    </w:p>
    <w:p w14:paraId="1A59CC54" w14:textId="77777777" w:rsidR="0051619C" w:rsidRPr="0051619C" w:rsidRDefault="0051619C" w:rsidP="0051619C">
      <w:pPr>
        <w:spacing w:line="240" w:lineRule="auto"/>
        <w:rPr>
          <w:rFonts w:cs="Calibri"/>
          <w:lang w:val="en-US"/>
        </w:rPr>
      </w:pPr>
    </w:p>
    <w:p w14:paraId="02006A44" w14:textId="77777777" w:rsidR="0051619C" w:rsidRPr="0051619C" w:rsidRDefault="0051619C" w:rsidP="0051619C">
      <w:pPr>
        <w:keepNext/>
        <w:spacing w:line="240" w:lineRule="auto"/>
        <w:rPr>
          <w:rFonts w:cs="Calibri"/>
          <w:b/>
          <w:lang w:val="en-US"/>
        </w:rPr>
      </w:pPr>
      <w:r w:rsidRPr="0051619C">
        <w:rPr>
          <w:rFonts w:cs="Calibri"/>
          <w:b/>
          <w:lang w:val="en-US"/>
        </w:rPr>
        <w:t>Acknowledgements</w:t>
      </w:r>
    </w:p>
    <w:p w14:paraId="64F96B92" w14:textId="77777777" w:rsidR="0051619C" w:rsidRPr="0051619C" w:rsidRDefault="0051619C" w:rsidP="001671B0">
      <w:pPr>
        <w:keepNext/>
        <w:pBdr>
          <w:top w:val="nil"/>
          <w:left w:val="nil"/>
          <w:bottom w:val="nil"/>
          <w:right w:val="nil"/>
          <w:between w:val="nil"/>
        </w:pBdr>
        <w:spacing w:line="240" w:lineRule="auto"/>
        <w:ind w:left="426" w:hanging="426"/>
        <w:rPr>
          <w:rFonts w:cs="Calibri"/>
          <w:lang w:val="en-US"/>
        </w:rPr>
      </w:pPr>
    </w:p>
    <w:p w14:paraId="5ED116CB" w14:textId="0267544D" w:rsidR="00D15230" w:rsidRPr="0051619C" w:rsidRDefault="0051619C" w:rsidP="001671B0">
      <w:pPr>
        <w:pBdr>
          <w:top w:val="nil"/>
          <w:left w:val="nil"/>
          <w:bottom w:val="nil"/>
          <w:right w:val="nil"/>
          <w:between w:val="nil"/>
        </w:pBdr>
        <w:spacing w:line="240" w:lineRule="auto"/>
        <w:ind w:left="426" w:hanging="426"/>
        <w:rPr>
          <w:rFonts w:cs="Times New Roman"/>
          <w:lang w:val="en-US"/>
        </w:rPr>
      </w:pPr>
      <w:r w:rsidRPr="0051619C">
        <w:rPr>
          <w:rFonts w:cs="Calibri"/>
          <w:lang w:val="en-US"/>
        </w:rPr>
        <w:t>8.</w:t>
      </w:r>
      <w:r w:rsidRPr="0051619C">
        <w:rPr>
          <w:rFonts w:cs="Calibri"/>
          <w:lang w:val="en-US"/>
        </w:rPr>
        <w:tab/>
        <w:t xml:space="preserve">The invaluable contribution made by representatives of Contracting Parties, space agencies, and </w:t>
      </w:r>
      <w:r w:rsidR="00CE46D6">
        <w:rPr>
          <w:rFonts w:cs="Calibri"/>
          <w:lang w:val="en-US"/>
        </w:rPr>
        <w:t>EO</w:t>
      </w:r>
      <w:r w:rsidRPr="0051619C">
        <w:rPr>
          <w:rFonts w:cs="Calibri"/>
          <w:lang w:val="en-US"/>
        </w:rPr>
        <w:t xml:space="preserve"> organizations to the consultation, through interviews and Earth </w:t>
      </w:r>
      <w:r w:rsidR="0005722A">
        <w:rPr>
          <w:rFonts w:cs="Calibri"/>
          <w:lang w:val="en-US"/>
        </w:rPr>
        <w:t>o</w:t>
      </w:r>
      <w:r w:rsidRPr="0051619C">
        <w:rPr>
          <w:rFonts w:cs="Calibri"/>
          <w:lang w:val="en-US"/>
        </w:rPr>
        <w:t xml:space="preserve">bservation day, is gratefully acknowledged. </w:t>
      </w:r>
    </w:p>
    <w:sectPr w:rsidR="00D15230" w:rsidRPr="0051619C" w:rsidSect="0003594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636E6" w14:textId="77777777" w:rsidR="00F61B6A" w:rsidRDefault="00F61B6A" w:rsidP="00F241CA">
      <w:pPr>
        <w:spacing w:line="240" w:lineRule="auto"/>
      </w:pPr>
      <w:r>
        <w:separator/>
      </w:r>
    </w:p>
  </w:endnote>
  <w:endnote w:type="continuationSeparator" w:id="0">
    <w:p w14:paraId="55AEFD1B" w14:textId="77777777" w:rsidR="00F61B6A" w:rsidRDefault="00F61B6A" w:rsidP="00F241CA">
      <w:pPr>
        <w:spacing w:line="240" w:lineRule="auto"/>
      </w:pPr>
      <w:r>
        <w:continuationSeparator/>
      </w:r>
    </w:p>
  </w:endnote>
  <w:endnote w:type="continuationNotice" w:id="1">
    <w:p w14:paraId="2DA81A24" w14:textId="77777777" w:rsidR="00F61B6A" w:rsidRDefault="00F61B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B9819" w14:textId="26A5657D" w:rsidR="0051619C" w:rsidRDefault="004F43A9" w:rsidP="00035943">
    <w:pPr>
      <w:tabs>
        <w:tab w:val="center" w:pos="4680"/>
        <w:tab w:val="right" w:pos="9360"/>
      </w:tabs>
      <w:spacing w:line="240" w:lineRule="auto"/>
      <w:rPr>
        <w:color w:val="000000"/>
        <w:sz w:val="20"/>
        <w:szCs w:val="20"/>
      </w:rPr>
    </w:pPr>
    <w:r w:rsidRPr="004F43A9">
      <w:rPr>
        <w:color w:val="000000"/>
        <w:sz w:val="20"/>
        <w:szCs w:val="20"/>
      </w:rPr>
      <w:t>COP15 Doc.11</w:t>
    </w:r>
    <w:r w:rsidR="0051619C">
      <w:rPr>
        <w:color w:val="000000"/>
        <w:sz w:val="20"/>
        <w:szCs w:val="20"/>
      </w:rPr>
      <w:tab/>
    </w:r>
    <w:r w:rsidR="0051619C">
      <w:rPr>
        <w:color w:val="000000"/>
        <w:sz w:val="20"/>
        <w:szCs w:val="20"/>
      </w:rPr>
      <w:tab/>
    </w:r>
    <w:r w:rsidR="0051619C">
      <w:rPr>
        <w:color w:val="000000"/>
        <w:sz w:val="20"/>
        <w:szCs w:val="20"/>
      </w:rPr>
      <w:fldChar w:fldCharType="begin"/>
    </w:r>
    <w:r w:rsidR="0051619C">
      <w:rPr>
        <w:color w:val="000000"/>
        <w:sz w:val="20"/>
        <w:szCs w:val="20"/>
      </w:rPr>
      <w:instrText>PAGE</w:instrText>
    </w:r>
    <w:r w:rsidR="0051619C">
      <w:rPr>
        <w:color w:val="000000"/>
        <w:sz w:val="20"/>
        <w:szCs w:val="20"/>
      </w:rPr>
      <w:fldChar w:fldCharType="separate"/>
    </w:r>
    <w:r w:rsidR="0051619C">
      <w:rPr>
        <w:noProof/>
        <w:color w:val="000000"/>
        <w:sz w:val="20"/>
        <w:szCs w:val="20"/>
      </w:rPr>
      <w:t>1</w:t>
    </w:r>
    <w:r w:rsidR="0051619C">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00B2" w14:textId="69CC31B9" w:rsidR="0051619C" w:rsidRDefault="004F43A9">
    <w:pPr>
      <w:tabs>
        <w:tab w:val="center" w:pos="4680"/>
        <w:tab w:val="right" w:pos="14175"/>
      </w:tabs>
      <w:rPr>
        <w:color w:val="000000"/>
        <w:sz w:val="20"/>
        <w:szCs w:val="20"/>
      </w:rPr>
    </w:pPr>
    <w:r w:rsidRPr="004F43A9">
      <w:rPr>
        <w:color w:val="000000"/>
        <w:sz w:val="20"/>
        <w:szCs w:val="20"/>
      </w:rPr>
      <w:t>COP15 Doc.11</w:t>
    </w:r>
    <w:r w:rsidR="0051619C">
      <w:rPr>
        <w:color w:val="000000"/>
        <w:sz w:val="20"/>
        <w:szCs w:val="20"/>
      </w:rPr>
      <w:tab/>
    </w:r>
    <w:r w:rsidR="0051619C">
      <w:rPr>
        <w:color w:val="000000"/>
        <w:sz w:val="20"/>
        <w:szCs w:val="20"/>
      </w:rPr>
      <w:tab/>
    </w:r>
    <w:r w:rsidR="0051619C">
      <w:rPr>
        <w:color w:val="000000"/>
        <w:sz w:val="20"/>
        <w:szCs w:val="20"/>
      </w:rPr>
      <w:fldChar w:fldCharType="begin"/>
    </w:r>
    <w:r w:rsidR="0051619C">
      <w:rPr>
        <w:color w:val="000000"/>
        <w:sz w:val="20"/>
        <w:szCs w:val="20"/>
      </w:rPr>
      <w:instrText>PAGE</w:instrText>
    </w:r>
    <w:r w:rsidR="0051619C">
      <w:rPr>
        <w:color w:val="000000"/>
        <w:sz w:val="20"/>
        <w:szCs w:val="20"/>
      </w:rPr>
      <w:fldChar w:fldCharType="separate"/>
    </w:r>
    <w:r w:rsidR="0051619C">
      <w:rPr>
        <w:noProof/>
        <w:color w:val="000000"/>
        <w:sz w:val="20"/>
        <w:szCs w:val="20"/>
      </w:rPr>
      <w:t>44</w:t>
    </w:r>
    <w:r w:rsidR="0051619C">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402A" w14:textId="38BB7ACC" w:rsidR="00B16B31" w:rsidRPr="00545602" w:rsidRDefault="0083702F" w:rsidP="00545602">
    <w:pPr>
      <w:pStyle w:val="Footer"/>
      <w:rPr>
        <w:rFonts w:cstheme="minorHAnsi"/>
        <w:sz w:val="20"/>
        <w:szCs w:val="20"/>
      </w:rPr>
    </w:pPr>
    <w:r w:rsidRPr="003058BC">
      <w:rPr>
        <w:rFonts w:cstheme="minorHAnsi"/>
        <w:sz w:val="20"/>
        <w:szCs w:val="20"/>
      </w:rPr>
      <w:t>COP1</w:t>
    </w:r>
    <w:r w:rsidR="00B34848">
      <w:rPr>
        <w:rFonts w:cstheme="minorHAnsi"/>
        <w:sz w:val="20"/>
        <w:szCs w:val="20"/>
      </w:rPr>
      <w:t>5</w:t>
    </w:r>
    <w:r w:rsidRPr="003058BC">
      <w:rPr>
        <w:rFonts w:cstheme="minorHAnsi"/>
        <w:sz w:val="20"/>
        <w:szCs w:val="20"/>
      </w:rPr>
      <w:t xml:space="preserve"> Doc.</w:t>
    </w:r>
    <w:r w:rsidR="00D15230">
      <w:rPr>
        <w:rFonts w:cstheme="minorHAnsi"/>
        <w:sz w:val="20"/>
        <w:szCs w:val="20"/>
      </w:rPr>
      <w:t>11</w:t>
    </w:r>
    <w:r>
      <w:rPr>
        <w:rFonts w:cstheme="minorHAnsi"/>
        <w:sz w:val="20"/>
        <w:szCs w:val="20"/>
      </w:rPr>
      <w:tab/>
    </w:r>
    <w:r>
      <w:rPr>
        <w:rFonts w:cstheme="minorHAnsi"/>
        <w:sz w:val="20"/>
        <w:szCs w:val="20"/>
      </w:rP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1C3319">
          <w:rPr>
            <w:noProof/>
            <w:sz w:val="20"/>
            <w:szCs w:val="20"/>
          </w:rPr>
          <w:t>2</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18AE5" w14:textId="77777777" w:rsidR="00F61B6A" w:rsidRDefault="00F61B6A" w:rsidP="00F241CA">
      <w:pPr>
        <w:spacing w:line="240" w:lineRule="auto"/>
      </w:pPr>
      <w:r>
        <w:separator/>
      </w:r>
    </w:p>
  </w:footnote>
  <w:footnote w:type="continuationSeparator" w:id="0">
    <w:p w14:paraId="7A689A17" w14:textId="77777777" w:rsidR="00F61B6A" w:rsidRDefault="00F61B6A" w:rsidP="00F241CA">
      <w:pPr>
        <w:spacing w:line="240" w:lineRule="auto"/>
      </w:pPr>
      <w:r>
        <w:continuationSeparator/>
      </w:r>
    </w:p>
  </w:footnote>
  <w:footnote w:type="continuationNotice" w:id="1">
    <w:p w14:paraId="1D562E36" w14:textId="77777777" w:rsidR="00F61B6A" w:rsidRDefault="00F61B6A">
      <w:pPr>
        <w:spacing w:line="240" w:lineRule="auto"/>
      </w:pPr>
    </w:p>
  </w:footnote>
  <w:footnote w:id="2">
    <w:p w14:paraId="714D3C92" w14:textId="3A85BC75" w:rsidR="00E35E02" w:rsidRPr="00E35E02" w:rsidRDefault="00E35E02">
      <w:pPr>
        <w:pStyle w:val="FootnoteText"/>
        <w:rPr>
          <w:lang w:val="en-GB"/>
        </w:rPr>
      </w:pPr>
      <w:r>
        <w:rPr>
          <w:rStyle w:val="FootnoteReference"/>
        </w:rPr>
        <w:footnoteRef/>
      </w:r>
      <w:r w:rsidRPr="00E35E02">
        <w:rPr>
          <w:lang w:val="en-GB"/>
        </w:rPr>
        <w:t xml:space="preserve"> </w:t>
      </w:r>
      <w:r>
        <w:rPr>
          <w:lang w:val="en-GB"/>
        </w:rPr>
        <w:t xml:space="preserve">See </w:t>
      </w:r>
      <w:hyperlink r:id="rId1" w:history="1">
        <w:r w:rsidRPr="008936F8">
          <w:rPr>
            <w:rStyle w:val="Hyperlink"/>
            <w:lang w:val="en-GB"/>
          </w:rPr>
          <w:t>https://www.ramsar.org/document/scientific-technical-review-panel-strp-workplan-2023-2025</w:t>
        </w:r>
      </w:hyperlink>
      <w:r>
        <w:rPr>
          <w:lang w:val="en-GB"/>
        </w:rPr>
        <w:t>.</w:t>
      </w:r>
    </w:p>
  </w:footnote>
  <w:footnote w:id="3">
    <w:p w14:paraId="7D1750D4" w14:textId="6906F767" w:rsidR="00E35E02" w:rsidRPr="00E35E02" w:rsidRDefault="00E35E02">
      <w:pPr>
        <w:pStyle w:val="FootnoteText"/>
        <w:rPr>
          <w:lang w:val="en-GB"/>
        </w:rPr>
      </w:pPr>
      <w:r>
        <w:rPr>
          <w:rStyle w:val="FootnoteReference"/>
        </w:rPr>
        <w:footnoteRef/>
      </w:r>
      <w:r w:rsidRPr="00E35E02">
        <w:rPr>
          <w:lang w:val="en-GB"/>
        </w:rPr>
        <w:t xml:space="preserve"> </w:t>
      </w:r>
      <w:r>
        <w:rPr>
          <w:lang w:val="en-GB"/>
        </w:rPr>
        <w:t xml:space="preserve">See </w:t>
      </w:r>
      <w:hyperlink r:id="rId2" w:history="1">
        <w:r w:rsidRPr="008936F8">
          <w:rPr>
            <w:rStyle w:val="Hyperlink"/>
            <w:lang w:val="en-GB"/>
          </w:rPr>
          <w:t>https://www.ramsar.org/document/sc62-doc19-rev1-report-chair-scientific-technical-review-panel-including-work-plan-2023</w:t>
        </w:r>
      </w:hyperlink>
      <w:r>
        <w:rPr>
          <w:lang w:val="en-GB"/>
        </w:rPr>
        <w:t xml:space="preserve">; </w:t>
      </w:r>
      <w:hyperlink r:id="rId3" w:history="1">
        <w:r w:rsidRPr="008936F8">
          <w:rPr>
            <w:rStyle w:val="Hyperlink"/>
            <w:lang w:val="en-GB"/>
          </w:rPr>
          <w:t>https://www.ramsar.org/document/sc63-doc19-report-chair-scientific-technical-review-panel-implementation-strp-work-plan</w:t>
        </w:r>
      </w:hyperlink>
      <w:r>
        <w:rPr>
          <w:lang w:val="en-GB"/>
        </w:rPr>
        <w:t xml:space="preserve">; and </w:t>
      </w:r>
      <w:hyperlink r:id="rId4" w:history="1">
        <w:r w:rsidRPr="008936F8">
          <w:rPr>
            <w:rStyle w:val="Hyperlink"/>
            <w:lang w:val="en-GB"/>
          </w:rPr>
          <w:t>https://www.ramsar.org/document/sc64-doc18-report-chair-scientific-technical-review-panel</w:t>
        </w:r>
      </w:hyperlink>
      <w:r>
        <w:rPr>
          <w:lang w:val="en-GB"/>
        </w:rPr>
        <w:t>.</w:t>
      </w:r>
    </w:p>
  </w:footnote>
  <w:footnote w:id="4">
    <w:p w14:paraId="26703C67" w14:textId="3321000A" w:rsidR="00E35E02" w:rsidRPr="00E35E02" w:rsidRDefault="00E35E02">
      <w:pPr>
        <w:pStyle w:val="FootnoteText"/>
        <w:rPr>
          <w:lang w:val="en-GB"/>
        </w:rPr>
      </w:pPr>
      <w:r>
        <w:rPr>
          <w:rStyle w:val="FootnoteReference"/>
        </w:rPr>
        <w:footnoteRef/>
      </w:r>
      <w:r w:rsidRPr="00E35E02">
        <w:rPr>
          <w:lang w:val="en-GB"/>
        </w:rPr>
        <w:t xml:space="preserve"> </w:t>
      </w:r>
      <w:r>
        <w:rPr>
          <w:lang w:val="en-GB"/>
        </w:rPr>
        <w:t xml:space="preserve">See </w:t>
      </w:r>
      <w:hyperlink r:id="rId5" w:history="1">
        <w:r w:rsidRPr="008936F8">
          <w:rPr>
            <w:rStyle w:val="Hyperlink"/>
            <w:lang w:val="en-GB"/>
          </w:rPr>
          <w:t>https://www.ramsar.org/meeting/25th-meeting-scientific-technical-review-panel</w:t>
        </w:r>
      </w:hyperlink>
      <w:r>
        <w:rPr>
          <w:lang w:val="en-GB"/>
        </w:rPr>
        <w:t>.</w:t>
      </w:r>
    </w:p>
  </w:footnote>
  <w:footnote w:id="5">
    <w:p w14:paraId="292FE446" w14:textId="4B0AA972" w:rsidR="00A84379" w:rsidRPr="00A84379" w:rsidRDefault="00A84379">
      <w:pPr>
        <w:pStyle w:val="FootnoteText"/>
        <w:rPr>
          <w:lang w:val="en-GB"/>
        </w:rPr>
      </w:pPr>
      <w:r>
        <w:rPr>
          <w:rStyle w:val="FootnoteReference"/>
        </w:rPr>
        <w:footnoteRef/>
      </w:r>
      <w:r w:rsidRPr="00A84379">
        <w:rPr>
          <w:lang w:val="en-GB"/>
        </w:rPr>
        <w:t xml:space="preserve"> </w:t>
      </w:r>
      <w:r>
        <w:rPr>
          <w:lang w:val="en-GB"/>
        </w:rPr>
        <w:t xml:space="preserve">See </w:t>
      </w:r>
      <w:hyperlink r:id="rId6" w:history="1">
        <w:r w:rsidRPr="008936F8">
          <w:rPr>
            <w:rStyle w:val="Hyperlink"/>
            <w:lang w:val="en-GB"/>
          </w:rPr>
          <w:t>https://www.ramsar.org/meeting/26th-meeting-scientific-technical-review-panel</w:t>
        </w:r>
      </w:hyperlink>
      <w:r>
        <w:rPr>
          <w:lang w:val="en-GB"/>
        </w:rPr>
        <w:t>.</w:t>
      </w:r>
    </w:p>
  </w:footnote>
  <w:footnote w:id="6">
    <w:p w14:paraId="6A697519" w14:textId="54A64696" w:rsidR="00A84379" w:rsidRPr="00A84379" w:rsidRDefault="00A84379">
      <w:pPr>
        <w:pStyle w:val="FootnoteText"/>
        <w:rPr>
          <w:lang w:val="en-GB"/>
        </w:rPr>
      </w:pPr>
      <w:r>
        <w:rPr>
          <w:rStyle w:val="FootnoteReference"/>
        </w:rPr>
        <w:footnoteRef/>
      </w:r>
      <w:r w:rsidRPr="00A84379">
        <w:rPr>
          <w:lang w:val="en-GB"/>
        </w:rPr>
        <w:t xml:space="preserve"> </w:t>
      </w:r>
      <w:r>
        <w:rPr>
          <w:lang w:val="en-GB"/>
        </w:rPr>
        <w:t xml:space="preserve">See </w:t>
      </w:r>
      <w:hyperlink r:id="rId7" w:history="1">
        <w:r w:rsidRPr="008936F8">
          <w:rPr>
            <w:rStyle w:val="Hyperlink"/>
            <w:lang w:val="en-GB"/>
          </w:rPr>
          <w:t>https://www.ramsar.org/meeting/27th-meeting-scientific-technical-review-panel</w:t>
        </w:r>
      </w:hyperlink>
      <w:r>
        <w:rPr>
          <w:lang w:val="en-GB"/>
        </w:rPr>
        <w:t>.</w:t>
      </w:r>
    </w:p>
  </w:footnote>
  <w:footnote w:id="7">
    <w:p w14:paraId="3E08523A" w14:textId="7C62D553" w:rsidR="00FA3A01" w:rsidRPr="00FA3A01" w:rsidRDefault="00FA3A01">
      <w:pPr>
        <w:pStyle w:val="FootnoteText"/>
        <w:rPr>
          <w:lang w:val="en-GB"/>
        </w:rPr>
      </w:pPr>
      <w:r>
        <w:rPr>
          <w:rStyle w:val="FootnoteReference"/>
        </w:rPr>
        <w:footnoteRef/>
      </w:r>
      <w:r w:rsidRPr="00FA3A01">
        <w:rPr>
          <w:lang w:val="en-GB"/>
        </w:rPr>
        <w:t xml:space="preserve"> </w:t>
      </w:r>
      <w:r>
        <w:rPr>
          <w:lang w:val="en-GB"/>
        </w:rPr>
        <w:t xml:space="preserve">See </w:t>
      </w:r>
      <w:hyperlink r:id="rId8" w:history="1">
        <w:r w:rsidRPr="00302293">
          <w:rPr>
            <w:rStyle w:val="Hyperlink"/>
            <w:lang w:val="en-GB"/>
          </w:rPr>
          <w:t>https://www.ramsar.org/document/resolution-xiv14-future-implementation-scientific-technical-aspects-convention-2023-2025</w:t>
        </w:r>
      </w:hyperlink>
      <w:r>
        <w:rPr>
          <w:lang w:val="en-GB"/>
        </w:rPr>
        <w:t>.</w:t>
      </w:r>
    </w:p>
  </w:footnote>
  <w:footnote w:id="8">
    <w:p w14:paraId="1C88D21A" w14:textId="2E7E619C" w:rsidR="00FA3A01" w:rsidRPr="00FA3A01" w:rsidRDefault="00FA3A01">
      <w:pPr>
        <w:pStyle w:val="FootnoteText"/>
        <w:rPr>
          <w:lang w:val="en-GB"/>
        </w:rPr>
      </w:pPr>
      <w:r>
        <w:rPr>
          <w:rStyle w:val="FootnoteReference"/>
        </w:rPr>
        <w:footnoteRef/>
      </w:r>
      <w:r w:rsidRPr="00FA3A01">
        <w:rPr>
          <w:lang w:val="en-GB"/>
        </w:rPr>
        <w:t xml:space="preserve"> </w:t>
      </w:r>
      <w:r>
        <w:rPr>
          <w:lang w:val="en-GB"/>
        </w:rPr>
        <w:t xml:space="preserve">See </w:t>
      </w:r>
      <w:hyperlink r:id="rId9" w:history="1">
        <w:r w:rsidRPr="00302293">
          <w:rPr>
            <w:rStyle w:val="Hyperlink"/>
            <w:lang w:val="en-GB"/>
          </w:rPr>
          <w:t>https://www.ramsar.org/document/cop15-doc2312-draft-resolution-application-criteria-6-9-new-existing-wetlands</w:t>
        </w:r>
      </w:hyperlink>
      <w:r>
        <w:rPr>
          <w:lang w:val="en-GB"/>
        </w:rPr>
        <w:t>.</w:t>
      </w:r>
    </w:p>
  </w:footnote>
  <w:footnote w:id="9">
    <w:p w14:paraId="2198F940" w14:textId="5D992A10" w:rsidR="00FA3A01" w:rsidRPr="00FA3A01" w:rsidRDefault="00FA3A01">
      <w:pPr>
        <w:pStyle w:val="FootnoteText"/>
        <w:rPr>
          <w:lang w:val="en-GB"/>
        </w:rPr>
      </w:pPr>
      <w:r>
        <w:rPr>
          <w:rStyle w:val="FootnoteReference"/>
        </w:rPr>
        <w:footnoteRef/>
      </w:r>
      <w:r w:rsidRPr="00FA3A01">
        <w:rPr>
          <w:lang w:val="en-GB"/>
        </w:rPr>
        <w:t xml:space="preserve"> </w:t>
      </w:r>
      <w:r>
        <w:rPr>
          <w:lang w:val="en-GB"/>
        </w:rPr>
        <w:t xml:space="preserve">See </w:t>
      </w:r>
      <w:hyperlink r:id="rId10" w:history="1">
        <w:r w:rsidRPr="00302293">
          <w:rPr>
            <w:rStyle w:val="Hyperlink"/>
            <w:lang w:val="en-GB"/>
          </w:rPr>
          <w:t>https://www.ramsar.org/document/sc63-doc20-technical-proposal-strp-resourcing-implementing-waterbird-population-estimates</w:t>
        </w:r>
      </w:hyperlink>
      <w:r>
        <w:rPr>
          <w:lang w:val="en-GB"/>
        </w:rPr>
        <w:t>.</w:t>
      </w:r>
    </w:p>
  </w:footnote>
  <w:footnote w:id="10">
    <w:p w14:paraId="29821DC7" w14:textId="7686D975" w:rsidR="00FA3A01" w:rsidRPr="00FA3A01" w:rsidRDefault="00FA3A01">
      <w:pPr>
        <w:pStyle w:val="FootnoteText"/>
        <w:rPr>
          <w:lang w:val="en-GB"/>
        </w:rPr>
      </w:pPr>
      <w:r>
        <w:rPr>
          <w:rStyle w:val="FootnoteReference"/>
        </w:rPr>
        <w:footnoteRef/>
      </w:r>
      <w:r w:rsidRPr="00FA3A01">
        <w:rPr>
          <w:lang w:val="en-GB"/>
        </w:rPr>
        <w:t xml:space="preserve"> </w:t>
      </w:r>
      <w:r>
        <w:rPr>
          <w:lang w:val="en-GB"/>
        </w:rPr>
        <w:t xml:space="preserve">See </w:t>
      </w:r>
      <w:hyperlink r:id="rId11" w:history="1">
        <w:r w:rsidRPr="00302293">
          <w:rPr>
            <w:rStyle w:val="Hyperlink"/>
            <w:lang w:val="en-GB"/>
          </w:rPr>
          <w:t>https://www.ramsar.org/document/cop15-doc2311-draft-resolution-establishment-waterbird-estimates-partnership-wep-delivery</w:t>
        </w:r>
      </w:hyperlink>
      <w:r>
        <w:rPr>
          <w:lang w:val="en-GB"/>
        </w:rPr>
        <w:t>.</w:t>
      </w:r>
    </w:p>
  </w:footnote>
  <w:footnote w:id="11">
    <w:p w14:paraId="42D34A87" w14:textId="558CD6FF" w:rsidR="00FA3A01" w:rsidRPr="00FA3A01" w:rsidRDefault="00FA3A01">
      <w:pPr>
        <w:pStyle w:val="FootnoteText"/>
        <w:rPr>
          <w:lang w:val="en-GB"/>
        </w:rPr>
      </w:pPr>
      <w:r>
        <w:rPr>
          <w:rStyle w:val="FootnoteReference"/>
        </w:rPr>
        <w:footnoteRef/>
      </w:r>
      <w:r w:rsidRPr="00FA3A01">
        <w:rPr>
          <w:lang w:val="en-GB"/>
        </w:rPr>
        <w:t xml:space="preserve"> </w:t>
      </w:r>
      <w:r>
        <w:rPr>
          <w:lang w:val="en-GB"/>
        </w:rPr>
        <w:t xml:space="preserve">See </w:t>
      </w:r>
      <w:hyperlink r:id="rId12" w:history="1">
        <w:r w:rsidRPr="00302293">
          <w:rPr>
            <w:rStyle w:val="Hyperlink"/>
            <w:lang w:val="en-GB"/>
          </w:rPr>
          <w:t>https://www.ramsar.org/document/sc64-doc18-report-chair-scientific-technical-review-panel</w:t>
        </w:r>
      </w:hyperlink>
      <w:r>
        <w:rPr>
          <w:lang w:val="en-GB"/>
        </w:rPr>
        <w:t>.</w:t>
      </w:r>
    </w:p>
  </w:footnote>
  <w:footnote w:id="12">
    <w:p w14:paraId="1024D730" w14:textId="65A41EC7" w:rsidR="00FA3A01" w:rsidRPr="00FA3A01" w:rsidRDefault="00FA3A01">
      <w:pPr>
        <w:pStyle w:val="FootnoteText"/>
        <w:rPr>
          <w:lang w:val="en-GB"/>
        </w:rPr>
      </w:pPr>
      <w:r>
        <w:rPr>
          <w:rStyle w:val="FootnoteReference"/>
        </w:rPr>
        <w:footnoteRef/>
      </w:r>
      <w:r w:rsidRPr="00FA3A01">
        <w:rPr>
          <w:lang w:val="en-GB"/>
        </w:rPr>
        <w:t xml:space="preserve"> </w:t>
      </w:r>
      <w:r>
        <w:rPr>
          <w:lang w:val="en-GB"/>
        </w:rPr>
        <w:t xml:space="preserve">See </w:t>
      </w:r>
      <w:hyperlink r:id="rId13" w:history="1">
        <w:r w:rsidRPr="00302293">
          <w:rPr>
            <w:rStyle w:val="Hyperlink"/>
            <w:lang w:val="en-GB"/>
          </w:rPr>
          <w:t>https://www.ramsar.org/document/small-wetlands-their-importance-strategies-effective-conservation</w:t>
        </w:r>
      </w:hyperlink>
      <w:r>
        <w:rPr>
          <w:lang w:val="en-GB"/>
        </w:rPr>
        <w:t>.</w:t>
      </w:r>
    </w:p>
  </w:footnote>
  <w:footnote w:id="13">
    <w:p w14:paraId="631A649C" w14:textId="2678BFA6" w:rsidR="00FA3A01" w:rsidRPr="00FA3A01" w:rsidRDefault="00FA3A01">
      <w:pPr>
        <w:pStyle w:val="FootnoteText"/>
        <w:rPr>
          <w:lang w:val="en-GB"/>
        </w:rPr>
      </w:pPr>
      <w:r>
        <w:rPr>
          <w:rStyle w:val="FootnoteReference"/>
        </w:rPr>
        <w:footnoteRef/>
      </w:r>
      <w:r w:rsidRPr="00FA3A01">
        <w:rPr>
          <w:lang w:val="en-GB"/>
        </w:rPr>
        <w:t xml:space="preserve"> </w:t>
      </w:r>
      <w:r>
        <w:rPr>
          <w:lang w:val="en-GB"/>
        </w:rPr>
        <w:t xml:space="preserve">See </w:t>
      </w:r>
      <w:hyperlink r:id="rId14" w:history="1">
        <w:r w:rsidRPr="00302293">
          <w:rPr>
            <w:rStyle w:val="Hyperlink"/>
            <w:lang w:val="en-GB"/>
          </w:rPr>
          <w:t>https://elearning.fao.org/course/view.php?id=1194</w:t>
        </w:r>
      </w:hyperlink>
      <w:r>
        <w:rPr>
          <w:lang w:val="en-GB"/>
        </w:rPr>
        <w:t>.</w:t>
      </w:r>
    </w:p>
  </w:footnote>
  <w:footnote w:id="14">
    <w:p w14:paraId="72D3E744" w14:textId="1D013149" w:rsidR="00FA3A01" w:rsidRPr="00FA3A01" w:rsidRDefault="00FA3A01">
      <w:pPr>
        <w:pStyle w:val="FootnoteText"/>
        <w:rPr>
          <w:lang w:val="en-GB"/>
        </w:rPr>
      </w:pPr>
      <w:r>
        <w:rPr>
          <w:rStyle w:val="FootnoteReference"/>
        </w:rPr>
        <w:footnoteRef/>
      </w:r>
      <w:r w:rsidRPr="00FA3A01">
        <w:rPr>
          <w:lang w:val="en-GB"/>
        </w:rPr>
        <w:t xml:space="preserve"> </w:t>
      </w:r>
      <w:r>
        <w:rPr>
          <w:lang w:val="en-GB"/>
        </w:rPr>
        <w:t xml:space="preserve">See </w:t>
      </w:r>
      <w:hyperlink r:id="rId15" w:history="1">
        <w:r w:rsidRPr="00302293">
          <w:rPr>
            <w:rStyle w:val="Hyperlink"/>
            <w:lang w:val="en-GB"/>
          </w:rPr>
          <w:t>https://www.ramsar.org/document/other-effective-area-based-conservation-measures-oecms-conservation-wise-use-wetlands</w:t>
        </w:r>
      </w:hyperlink>
      <w:r>
        <w:rPr>
          <w:lang w:val="en-GB"/>
        </w:rPr>
        <w:t>.</w:t>
      </w:r>
    </w:p>
  </w:footnote>
  <w:footnote w:id="15">
    <w:p w14:paraId="51D58384" w14:textId="07CCB145" w:rsidR="00FA3A01" w:rsidRPr="00FA3A01" w:rsidRDefault="00FA3A01">
      <w:pPr>
        <w:pStyle w:val="FootnoteText"/>
        <w:rPr>
          <w:lang w:val="en-GB"/>
        </w:rPr>
      </w:pPr>
      <w:r>
        <w:rPr>
          <w:rStyle w:val="FootnoteReference"/>
        </w:rPr>
        <w:footnoteRef/>
      </w:r>
      <w:r w:rsidRPr="00FA3A01">
        <w:rPr>
          <w:lang w:val="en-GB"/>
        </w:rPr>
        <w:t xml:space="preserve"> </w:t>
      </w:r>
      <w:r>
        <w:rPr>
          <w:lang w:val="en-GB"/>
        </w:rPr>
        <w:t xml:space="preserve">See </w:t>
      </w:r>
      <w:hyperlink r:id="rId16" w:history="1">
        <w:r w:rsidRPr="00302293">
          <w:rPr>
            <w:rStyle w:val="Hyperlink"/>
            <w:lang w:val="en-GB"/>
          </w:rPr>
          <w:t>https://www.ramsar.org/document/scaling-wetland-conservation-restoration-deliver-kunming-montreal-global-biodiversity</w:t>
        </w:r>
      </w:hyperlink>
      <w:r>
        <w:rPr>
          <w:lang w:val="en-GB"/>
        </w:rPr>
        <w:t>.</w:t>
      </w:r>
    </w:p>
  </w:footnote>
  <w:footnote w:id="16">
    <w:p w14:paraId="64F54A1B" w14:textId="094749CD" w:rsidR="00FA3A01" w:rsidRPr="00FA3A01" w:rsidRDefault="00FA3A01">
      <w:pPr>
        <w:pStyle w:val="FootnoteText"/>
        <w:rPr>
          <w:lang w:val="en-GB"/>
        </w:rPr>
      </w:pPr>
      <w:r>
        <w:rPr>
          <w:rStyle w:val="FootnoteReference"/>
        </w:rPr>
        <w:footnoteRef/>
      </w:r>
      <w:r w:rsidRPr="00FA3A01">
        <w:rPr>
          <w:lang w:val="en-GB"/>
        </w:rPr>
        <w:t xml:space="preserve"> </w:t>
      </w:r>
      <w:r>
        <w:rPr>
          <w:lang w:val="en-GB"/>
        </w:rPr>
        <w:t xml:space="preserve">See </w:t>
      </w:r>
      <w:hyperlink r:id="rId17" w:history="1">
        <w:r w:rsidRPr="00302293">
          <w:rPr>
            <w:rStyle w:val="Hyperlink"/>
            <w:lang w:val="en-GB"/>
          </w:rPr>
          <w:t>https://www.ramsar.org/document/kunming-montreal-global-biodiversity-framework-upscaling-wetland-conservation-restoration</w:t>
        </w:r>
      </w:hyperlink>
      <w:r>
        <w:rPr>
          <w:lang w:val="en-GB"/>
        </w:rPr>
        <w:t>.</w:t>
      </w:r>
    </w:p>
  </w:footnote>
  <w:footnote w:id="17">
    <w:p w14:paraId="0A2F1228" w14:textId="77777777" w:rsidR="00FA3A01" w:rsidRPr="00FA3A01" w:rsidRDefault="00FA3A01" w:rsidP="00FA3A01">
      <w:pPr>
        <w:pStyle w:val="FootnoteText"/>
        <w:rPr>
          <w:lang w:val="en-GB"/>
        </w:rPr>
      </w:pPr>
      <w:r>
        <w:rPr>
          <w:rStyle w:val="FootnoteReference"/>
        </w:rPr>
        <w:footnoteRef/>
      </w:r>
      <w:r w:rsidRPr="00FA3A01">
        <w:rPr>
          <w:lang w:val="en-GB"/>
        </w:rPr>
        <w:t xml:space="preserve"> </w:t>
      </w:r>
      <w:r>
        <w:rPr>
          <w:lang w:val="en-GB"/>
        </w:rPr>
        <w:t xml:space="preserve">See </w:t>
      </w:r>
      <w:hyperlink r:id="rId18" w:history="1">
        <w:r w:rsidRPr="00302293">
          <w:rPr>
            <w:rStyle w:val="Hyperlink"/>
            <w:lang w:val="en-GB"/>
          </w:rPr>
          <w:t>https://www.ramsar.org/document/sc63-inf3-submission-convention-wetlands-6th-meeting-ad-hoc-technical-expert-group</w:t>
        </w:r>
      </w:hyperlink>
      <w:r>
        <w:rPr>
          <w:lang w:val="en-GB"/>
        </w:rPr>
        <w:t>.</w:t>
      </w:r>
    </w:p>
  </w:footnote>
  <w:footnote w:id="18">
    <w:p w14:paraId="14241B58" w14:textId="77777777" w:rsidR="00FA3A01" w:rsidRPr="00FA3A01" w:rsidRDefault="00FA3A01" w:rsidP="00FA3A01">
      <w:pPr>
        <w:pStyle w:val="FootnoteText"/>
        <w:rPr>
          <w:lang w:val="en-GB"/>
        </w:rPr>
      </w:pPr>
      <w:r>
        <w:rPr>
          <w:rStyle w:val="FootnoteReference"/>
        </w:rPr>
        <w:footnoteRef/>
      </w:r>
      <w:r w:rsidRPr="00FA3A01">
        <w:rPr>
          <w:lang w:val="en-GB"/>
        </w:rPr>
        <w:t xml:space="preserve"> </w:t>
      </w:r>
      <w:r>
        <w:rPr>
          <w:lang w:val="en-GB"/>
        </w:rPr>
        <w:t xml:space="preserve">See </w:t>
      </w:r>
      <w:hyperlink r:id="rId19" w:history="1">
        <w:r w:rsidRPr="00302293">
          <w:rPr>
            <w:rStyle w:val="Hyperlink"/>
            <w:lang w:val="en-GB"/>
          </w:rPr>
          <w:t>https://www.ramsar.org/document/sc64-doc18-report-chair-scientific-technical-review-panel</w:t>
        </w:r>
      </w:hyperlink>
      <w:r>
        <w:rPr>
          <w:lang w:val="en-GB"/>
        </w:rPr>
        <w:t>.</w:t>
      </w:r>
    </w:p>
  </w:footnote>
  <w:footnote w:id="19">
    <w:p w14:paraId="5C36CF58" w14:textId="2074FAE3" w:rsidR="00F54966" w:rsidRPr="00F54966" w:rsidRDefault="00F54966">
      <w:pPr>
        <w:pStyle w:val="FootnoteText"/>
        <w:rPr>
          <w:lang w:val="en-GB"/>
        </w:rPr>
      </w:pPr>
      <w:r>
        <w:rPr>
          <w:rStyle w:val="FootnoteReference"/>
        </w:rPr>
        <w:footnoteRef/>
      </w:r>
      <w:r w:rsidRPr="008B2D5F">
        <w:rPr>
          <w:lang w:val="en-GB"/>
        </w:rPr>
        <w:t xml:space="preserve"> </w:t>
      </w:r>
      <w:r>
        <w:rPr>
          <w:lang w:val="en-GB"/>
        </w:rPr>
        <w:t>Idem.</w:t>
      </w:r>
    </w:p>
  </w:footnote>
  <w:footnote w:id="20">
    <w:p w14:paraId="080592A0" w14:textId="4A6A5176" w:rsidR="00F54966" w:rsidRPr="00F54966" w:rsidRDefault="00F54966">
      <w:pPr>
        <w:pStyle w:val="FootnoteText"/>
        <w:rPr>
          <w:lang w:val="en-GB"/>
        </w:rPr>
      </w:pPr>
      <w:r>
        <w:rPr>
          <w:rStyle w:val="FootnoteReference"/>
        </w:rPr>
        <w:footnoteRef/>
      </w:r>
      <w:r w:rsidRPr="00F54966">
        <w:rPr>
          <w:lang w:val="en-GB"/>
        </w:rPr>
        <w:t xml:space="preserve"> </w:t>
      </w:r>
      <w:r>
        <w:rPr>
          <w:lang w:val="en-GB"/>
        </w:rPr>
        <w:t xml:space="preserve">See </w:t>
      </w:r>
      <w:hyperlink r:id="rId20" w:history="1">
        <w:r w:rsidRPr="00302293">
          <w:rPr>
            <w:rStyle w:val="Hyperlink"/>
            <w:lang w:val="en-GB"/>
          </w:rPr>
          <w:t>https://www.ramsar.org/document/sc62-doc19-rev1-report-chair-scientific-technical-review-panel-including-work-plan-2023</w:t>
        </w:r>
      </w:hyperlink>
      <w:r>
        <w:rPr>
          <w:lang w:val="en-GB"/>
        </w:rPr>
        <w:t xml:space="preserve">, </w:t>
      </w:r>
      <w:hyperlink r:id="rId21" w:history="1">
        <w:r w:rsidRPr="00302293">
          <w:rPr>
            <w:rStyle w:val="Hyperlink"/>
            <w:lang w:val="en-GB"/>
          </w:rPr>
          <w:t>https://www.ramsar.org/document/sc63-doc19-report-chair-scientific-technical-review-panel-implementation-strp-work-plan</w:t>
        </w:r>
      </w:hyperlink>
      <w:r>
        <w:rPr>
          <w:lang w:val="en-GB"/>
        </w:rPr>
        <w:t xml:space="preserve">, and </w:t>
      </w:r>
      <w:hyperlink r:id="rId22" w:history="1">
        <w:r w:rsidRPr="00302293">
          <w:rPr>
            <w:rStyle w:val="Hyperlink"/>
            <w:lang w:val="en-GB"/>
          </w:rPr>
          <w:t>https://www.ramsar.org/document/sc64-doc18-report-chair-scientific-technical-review-panel</w:t>
        </w:r>
      </w:hyperlink>
      <w:r>
        <w:rPr>
          <w:lang w:val="en-GB"/>
        </w:rPr>
        <w:t>.</w:t>
      </w:r>
    </w:p>
  </w:footnote>
  <w:footnote w:id="21">
    <w:p w14:paraId="727157A3" w14:textId="2FB78A2C" w:rsidR="00F54966" w:rsidRPr="00F54966" w:rsidRDefault="00F54966">
      <w:pPr>
        <w:pStyle w:val="FootnoteText"/>
        <w:rPr>
          <w:lang w:val="en-GB"/>
        </w:rPr>
      </w:pPr>
      <w:r>
        <w:rPr>
          <w:rStyle w:val="FootnoteReference"/>
        </w:rPr>
        <w:footnoteRef/>
      </w:r>
      <w:r w:rsidRPr="00F54966">
        <w:rPr>
          <w:lang w:val="en-GB"/>
        </w:rPr>
        <w:t xml:space="preserve"> </w:t>
      </w:r>
      <w:r>
        <w:rPr>
          <w:lang w:val="en-GB"/>
        </w:rPr>
        <w:t xml:space="preserve">See </w:t>
      </w:r>
      <w:hyperlink r:id="rId23" w:history="1">
        <w:r w:rsidRPr="00302293">
          <w:rPr>
            <w:rStyle w:val="Hyperlink"/>
            <w:lang w:val="en-GB"/>
          </w:rPr>
          <w:t>https://www.ramsar.org/document/cop15-doc2310-draft-resolution-future-implementation-scientific-technical-aspects</w:t>
        </w:r>
      </w:hyperlink>
      <w:r>
        <w:rPr>
          <w:lang w:val="en-GB"/>
        </w:rPr>
        <w:t>.</w:t>
      </w:r>
    </w:p>
  </w:footnote>
  <w:footnote w:id="22">
    <w:p w14:paraId="3A904995" w14:textId="1C6A122B" w:rsidR="00F54966" w:rsidRPr="00F54966" w:rsidRDefault="00F54966">
      <w:pPr>
        <w:pStyle w:val="FootnoteText"/>
        <w:rPr>
          <w:lang w:val="en-GB"/>
        </w:rPr>
      </w:pPr>
      <w:r>
        <w:rPr>
          <w:rStyle w:val="FootnoteReference"/>
        </w:rPr>
        <w:footnoteRef/>
      </w:r>
      <w:r w:rsidRPr="00F54966">
        <w:rPr>
          <w:lang w:val="en-GB"/>
        </w:rPr>
        <w:t xml:space="preserve"> </w:t>
      </w:r>
      <w:r>
        <w:rPr>
          <w:lang w:val="en-GB"/>
        </w:rPr>
        <w:t xml:space="preserve">See </w:t>
      </w:r>
      <w:hyperlink r:id="rId24" w:history="1">
        <w:r w:rsidRPr="00302293">
          <w:rPr>
            <w:rStyle w:val="Hyperlink"/>
            <w:lang w:val="en-GB"/>
          </w:rPr>
          <w:t>https://www.ramsar.org/document/sc63-doc19-report-chair-scientific-technical-review-panel-implementation-strp-work-plan</w:t>
        </w:r>
      </w:hyperlink>
      <w:r>
        <w:rPr>
          <w:lang w:val="en-GB"/>
        </w:rPr>
        <w:t>.</w:t>
      </w:r>
    </w:p>
  </w:footnote>
  <w:footnote w:id="23">
    <w:p w14:paraId="532DCE3C" w14:textId="77777777" w:rsidR="00337299" w:rsidRPr="00F54966" w:rsidRDefault="00337299">
      <w:pPr>
        <w:pStyle w:val="FootnoteText"/>
        <w:rPr>
          <w:lang w:val="en-GB"/>
        </w:rPr>
      </w:pPr>
      <w:r>
        <w:rPr>
          <w:rStyle w:val="FootnoteReference"/>
        </w:rPr>
        <w:footnoteRef/>
      </w:r>
      <w:r w:rsidRPr="00F54966">
        <w:rPr>
          <w:lang w:val="en-GB"/>
        </w:rPr>
        <w:t xml:space="preserve"> </w:t>
      </w:r>
      <w:r>
        <w:rPr>
          <w:lang w:val="en-GB"/>
        </w:rPr>
        <w:t xml:space="preserve">See </w:t>
      </w:r>
      <w:hyperlink r:id="rId25" w:history="1">
        <w:r w:rsidRPr="00302293">
          <w:rPr>
            <w:rStyle w:val="Hyperlink"/>
            <w:lang w:val="en-GB"/>
          </w:rPr>
          <w:t>https://www.ramsar.org/document/sc64-inf3-draft-indicator-framework-5th-strategic-plan-convention-wetlands-preliminary</w:t>
        </w:r>
      </w:hyperlink>
      <w:r>
        <w:rPr>
          <w:lang w:val="en-GB"/>
        </w:rPr>
        <w:t>.</w:t>
      </w:r>
    </w:p>
  </w:footnote>
  <w:footnote w:id="24">
    <w:p w14:paraId="3DA362FE" w14:textId="52B0B6F4" w:rsidR="00F54966" w:rsidRPr="00F54966" w:rsidRDefault="00F54966">
      <w:pPr>
        <w:pStyle w:val="FootnoteText"/>
        <w:rPr>
          <w:lang w:val="en-GB"/>
        </w:rPr>
      </w:pPr>
      <w:r>
        <w:rPr>
          <w:rStyle w:val="FootnoteReference"/>
        </w:rPr>
        <w:footnoteRef/>
      </w:r>
      <w:r w:rsidRPr="00F54966">
        <w:rPr>
          <w:lang w:val="en-GB"/>
        </w:rPr>
        <w:t xml:space="preserve"> </w:t>
      </w:r>
      <w:r>
        <w:rPr>
          <w:lang w:val="en-GB"/>
        </w:rPr>
        <w:t xml:space="preserve">See </w:t>
      </w:r>
      <w:hyperlink r:id="rId26" w:history="1">
        <w:r w:rsidRPr="00302293">
          <w:rPr>
            <w:rStyle w:val="Hyperlink"/>
            <w:lang w:val="en-GB"/>
          </w:rPr>
          <w:t>https://www.ramsar.org/document/sc63-doc19-report-chair-scientific-technical-review-panel-implementation-strp-work-plan</w:t>
        </w:r>
      </w:hyperlink>
      <w:r>
        <w:rPr>
          <w:lang w:val="en-GB"/>
        </w:rPr>
        <w:t>.</w:t>
      </w:r>
    </w:p>
  </w:footnote>
  <w:footnote w:id="25">
    <w:p w14:paraId="4DCA835E" w14:textId="476071E7" w:rsidR="00F54966" w:rsidRPr="00F54966" w:rsidRDefault="00F54966">
      <w:pPr>
        <w:pStyle w:val="FootnoteText"/>
        <w:rPr>
          <w:lang w:val="en-GB"/>
        </w:rPr>
      </w:pPr>
      <w:r>
        <w:rPr>
          <w:rStyle w:val="FootnoteReference"/>
        </w:rPr>
        <w:footnoteRef/>
      </w:r>
      <w:r w:rsidRPr="00F54966">
        <w:rPr>
          <w:lang w:val="en-GB"/>
        </w:rPr>
        <w:t xml:space="preserve"> </w:t>
      </w:r>
      <w:r>
        <w:rPr>
          <w:lang w:val="en-GB"/>
        </w:rPr>
        <w:t xml:space="preserve">See </w:t>
      </w:r>
      <w:hyperlink r:id="rId27" w:history="1">
        <w:r w:rsidRPr="00302293">
          <w:rPr>
            <w:rStyle w:val="Hyperlink"/>
            <w:lang w:val="en-GB"/>
          </w:rPr>
          <w:t>https://www.ramsar.org/document/sc64-doc18-report-chair-scientific-technical-review-panel</w:t>
        </w:r>
      </w:hyperlink>
      <w:r>
        <w:rPr>
          <w:lang w:val="en-GB"/>
        </w:rPr>
        <w:t>.</w:t>
      </w:r>
    </w:p>
  </w:footnote>
  <w:footnote w:id="26">
    <w:p w14:paraId="27392350" w14:textId="4395D3A1" w:rsidR="00F54966" w:rsidRPr="00F54966" w:rsidRDefault="00F54966">
      <w:pPr>
        <w:pStyle w:val="FootnoteText"/>
        <w:rPr>
          <w:lang w:val="en-GB"/>
        </w:rPr>
      </w:pPr>
      <w:r>
        <w:rPr>
          <w:rStyle w:val="FootnoteReference"/>
        </w:rPr>
        <w:footnoteRef/>
      </w:r>
      <w:r w:rsidRPr="00F54966">
        <w:rPr>
          <w:lang w:val="en-GB"/>
        </w:rPr>
        <w:t xml:space="preserve"> </w:t>
      </w:r>
      <w:r>
        <w:rPr>
          <w:lang w:val="en-GB"/>
        </w:rPr>
        <w:t xml:space="preserve">See </w:t>
      </w:r>
      <w:hyperlink r:id="rId28" w:history="1">
        <w:r w:rsidRPr="00302293">
          <w:rPr>
            <w:rStyle w:val="Hyperlink"/>
            <w:lang w:val="en-GB"/>
          </w:rPr>
          <w:t>https://www.ramsar.org/document/sc63-doc19-report-chair-scientific-technical-review-panel-implementation-strp-work-plan</w:t>
        </w:r>
      </w:hyperlink>
      <w:r>
        <w:rPr>
          <w:lang w:val="en-GB"/>
        </w:rPr>
        <w:t>.</w:t>
      </w:r>
    </w:p>
  </w:footnote>
  <w:footnote w:id="27">
    <w:p w14:paraId="32ADE575" w14:textId="21C8E079" w:rsidR="00F54966" w:rsidRPr="00F54966" w:rsidRDefault="00F54966">
      <w:pPr>
        <w:pStyle w:val="FootnoteText"/>
        <w:rPr>
          <w:lang w:val="en-GB"/>
        </w:rPr>
      </w:pPr>
      <w:r>
        <w:rPr>
          <w:rStyle w:val="FootnoteReference"/>
        </w:rPr>
        <w:footnoteRef/>
      </w:r>
      <w:r w:rsidRPr="00F54966">
        <w:rPr>
          <w:lang w:val="en-GB"/>
        </w:rPr>
        <w:t xml:space="preserve"> </w:t>
      </w:r>
      <w:r>
        <w:rPr>
          <w:lang w:val="en-GB"/>
        </w:rPr>
        <w:t>See</w:t>
      </w:r>
      <w:r w:rsidR="00070BB5">
        <w:rPr>
          <w:lang w:val="en-GB"/>
        </w:rPr>
        <w:t xml:space="preserve"> the meeting reports at</w:t>
      </w:r>
      <w:r>
        <w:rPr>
          <w:lang w:val="en-GB"/>
        </w:rPr>
        <w:t xml:space="preserve"> </w:t>
      </w:r>
      <w:hyperlink r:id="rId29" w:history="1">
        <w:r w:rsidRPr="00302293">
          <w:rPr>
            <w:rStyle w:val="Hyperlink"/>
            <w:lang w:val="en-GB"/>
          </w:rPr>
          <w:t>https://www.ramsar.org/document/report-decisions-63rd-meeting-standing-committee</w:t>
        </w:r>
      </w:hyperlink>
      <w:r w:rsidR="00070BB5">
        <w:rPr>
          <w:lang w:val="en-GB"/>
        </w:rPr>
        <w:t xml:space="preserve"> and </w:t>
      </w:r>
      <w:hyperlink r:id="rId30" w:history="1">
        <w:r w:rsidR="00070BB5" w:rsidRPr="00302293">
          <w:rPr>
            <w:rStyle w:val="Hyperlink"/>
            <w:lang w:val="en-GB"/>
          </w:rPr>
          <w:t>https://www.ramsar.org/document/report-decisions-64th-meeting-standing-committee</w:t>
        </w:r>
      </w:hyperlink>
      <w:r>
        <w:rPr>
          <w:lang w:val="en-GB"/>
        </w:rPr>
        <w:t>.</w:t>
      </w:r>
    </w:p>
  </w:footnote>
  <w:footnote w:id="28">
    <w:p w14:paraId="7FAFFEDF" w14:textId="1234CEC7" w:rsidR="00F54966" w:rsidRPr="00F54966" w:rsidRDefault="00F54966">
      <w:pPr>
        <w:pStyle w:val="FootnoteText"/>
        <w:rPr>
          <w:lang w:val="en-GB"/>
        </w:rPr>
      </w:pPr>
      <w:r>
        <w:rPr>
          <w:rStyle w:val="FootnoteReference"/>
        </w:rPr>
        <w:footnoteRef/>
      </w:r>
      <w:r w:rsidRPr="00F54966">
        <w:rPr>
          <w:lang w:val="en-GB"/>
        </w:rPr>
        <w:t xml:space="preserve"> </w:t>
      </w:r>
      <w:r>
        <w:rPr>
          <w:lang w:val="en-GB"/>
        </w:rPr>
        <w:t xml:space="preserve">See </w:t>
      </w:r>
      <w:hyperlink r:id="rId31" w:history="1">
        <w:r w:rsidRPr="00302293">
          <w:rPr>
            <w:rStyle w:val="Hyperlink"/>
            <w:lang w:val="en-GB"/>
          </w:rPr>
          <w:t>https://www.ramsar.org/document/resolution-xiv14-future-implementation-scientific-technical-aspects-convention-2023-2025</w:t>
        </w:r>
      </w:hyperlink>
      <w:r>
        <w:rPr>
          <w:lang w:val="en-GB"/>
        </w:rPr>
        <w:t>.</w:t>
      </w:r>
    </w:p>
  </w:footnote>
  <w:footnote w:id="29">
    <w:p w14:paraId="1DA751E4" w14:textId="744F1F90" w:rsidR="00F524A7" w:rsidRPr="00F524A7" w:rsidRDefault="00F524A7">
      <w:pPr>
        <w:pStyle w:val="FootnoteText"/>
        <w:rPr>
          <w:lang w:val="en-GB"/>
        </w:rPr>
      </w:pPr>
      <w:r>
        <w:rPr>
          <w:rStyle w:val="FootnoteReference"/>
        </w:rPr>
        <w:footnoteRef/>
      </w:r>
      <w:r w:rsidRPr="00F524A7">
        <w:rPr>
          <w:lang w:val="en-GB"/>
        </w:rPr>
        <w:t xml:space="preserve"> </w:t>
      </w:r>
      <w:r>
        <w:rPr>
          <w:lang w:val="en-GB"/>
        </w:rPr>
        <w:t xml:space="preserve">See </w:t>
      </w:r>
      <w:hyperlink r:id="rId32" w:history="1">
        <w:r w:rsidRPr="00302293">
          <w:rPr>
            <w:rStyle w:val="Hyperlink"/>
            <w:lang w:val="en-GB"/>
          </w:rPr>
          <w:t>https://www.ramsar.org/sites/default/files/2023-09/STRP_workplan_2023_2025_e.pdf</w:t>
        </w:r>
      </w:hyperlink>
      <w:r>
        <w:rPr>
          <w:lang w:val="en-GB"/>
        </w:rPr>
        <w:t>.</w:t>
      </w:r>
    </w:p>
  </w:footnote>
  <w:footnote w:id="30">
    <w:p w14:paraId="6C7BE544" w14:textId="3C249534" w:rsidR="00F524A7" w:rsidRPr="00F524A7" w:rsidRDefault="00F524A7">
      <w:pPr>
        <w:pStyle w:val="FootnoteText"/>
        <w:rPr>
          <w:lang w:val="en-GB"/>
        </w:rPr>
      </w:pPr>
      <w:r>
        <w:rPr>
          <w:rStyle w:val="FootnoteReference"/>
        </w:rPr>
        <w:footnoteRef/>
      </w:r>
      <w:r w:rsidRPr="00F524A7">
        <w:rPr>
          <w:lang w:val="en-GB"/>
        </w:rPr>
        <w:t xml:space="preserve"> </w:t>
      </w:r>
      <w:r>
        <w:rPr>
          <w:lang w:val="en-GB"/>
        </w:rPr>
        <w:t xml:space="preserve">See </w:t>
      </w:r>
      <w:hyperlink r:id="rId33" w:history="1">
        <w:r w:rsidRPr="00302293">
          <w:rPr>
            <w:rStyle w:val="Hyperlink"/>
            <w:lang w:val="en-GB"/>
          </w:rPr>
          <w:t>https://www.ramsar.org/sites/default/files/2024-11/Earth%20Observation%20Consultation%20Note.pdf</w:t>
        </w:r>
      </w:hyperlink>
      <w:r>
        <w:rPr>
          <w:lang w:val="en-GB"/>
        </w:rPr>
        <w:t xml:space="preserve">, </w:t>
      </w:r>
      <w:hyperlink r:id="rId34" w:history="1">
        <w:r w:rsidRPr="00302293">
          <w:rPr>
            <w:rStyle w:val="Hyperlink"/>
            <w:lang w:val="en-GB"/>
          </w:rPr>
          <w:t>https://www.ramsar.org/sites/default/files/2024-11/Earth%20Observation%20Day%20Working%20Programme.pdf</w:t>
        </w:r>
      </w:hyperlink>
      <w:r>
        <w:rPr>
          <w:lang w:val="en-GB"/>
        </w:rPr>
        <w:t xml:space="preserve">, and </w:t>
      </w:r>
      <w:hyperlink r:id="rId35" w:history="1">
        <w:r w:rsidRPr="00302293">
          <w:rPr>
            <w:rStyle w:val="Hyperlink"/>
            <w:lang w:val="en-GB"/>
          </w:rPr>
          <w:t>https://www.ramsar.org/earth-observation-day</w:t>
        </w:r>
      </w:hyperlink>
      <w:r>
        <w:rPr>
          <w:lang w:val="en-GB"/>
        </w:rPr>
        <w:t>.</w:t>
      </w:r>
    </w:p>
  </w:footnote>
  <w:footnote w:id="31">
    <w:p w14:paraId="28591180" w14:textId="0A691352" w:rsidR="00F524A7" w:rsidRPr="00F524A7" w:rsidRDefault="00F524A7">
      <w:pPr>
        <w:pStyle w:val="FootnoteText"/>
        <w:rPr>
          <w:lang w:val="en-GB"/>
        </w:rPr>
      </w:pPr>
      <w:r>
        <w:rPr>
          <w:rStyle w:val="FootnoteReference"/>
        </w:rPr>
        <w:footnoteRef/>
      </w:r>
      <w:r w:rsidRPr="00F524A7">
        <w:rPr>
          <w:lang w:val="en-GB"/>
        </w:rPr>
        <w:t xml:space="preserve"> </w:t>
      </w:r>
      <w:r>
        <w:rPr>
          <w:lang w:val="en-GB"/>
        </w:rPr>
        <w:t xml:space="preserve">See </w:t>
      </w:r>
      <w:hyperlink r:id="rId36" w:history="1">
        <w:r w:rsidRPr="00302293">
          <w:rPr>
            <w:rStyle w:val="Hyperlink"/>
            <w:lang w:val="en-GB"/>
          </w:rPr>
          <w:t>https://www.ramsar.org/sites/default/files/2025-01/SC64_inf2_earth_observation_consultation_e.pdf</w:t>
        </w:r>
      </w:hyperlink>
      <w:r>
        <w:rPr>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7C11"/>
    <w:multiLevelType w:val="hybridMultilevel"/>
    <w:tmpl w:val="F50683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9F6C85"/>
    <w:multiLevelType w:val="hybridMultilevel"/>
    <w:tmpl w:val="EC54CF78"/>
    <w:lvl w:ilvl="0" w:tplc="86029AB2">
      <w:start w:val="1"/>
      <w:numFmt w:val="bullet"/>
      <w:lvlText w:val=""/>
      <w:lvlJc w:val="left"/>
      <w:pPr>
        <w:ind w:left="720" w:hanging="360"/>
      </w:pPr>
      <w:rPr>
        <w:rFonts w:ascii="Symbol" w:hAnsi="Symbol" w:hint="default"/>
      </w:rPr>
    </w:lvl>
    <w:lvl w:ilvl="1" w:tplc="0CAA3D2C" w:tentative="1">
      <w:start w:val="1"/>
      <w:numFmt w:val="bullet"/>
      <w:lvlText w:val="o"/>
      <w:lvlJc w:val="left"/>
      <w:pPr>
        <w:ind w:left="1440" w:hanging="360"/>
      </w:pPr>
      <w:rPr>
        <w:rFonts w:ascii="Courier New" w:hAnsi="Courier New" w:hint="default"/>
      </w:rPr>
    </w:lvl>
    <w:lvl w:ilvl="2" w:tplc="3AC03C84" w:tentative="1">
      <w:start w:val="1"/>
      <w:numFmt w:val="bullet"/>
      <w:lvlText w:val=""/>
      <w:lvlJc w:val="left"/>
      <w:pPr>
        <w:ind w:left="2160" w:hanging="360"/>
      </w:pPr>
      <w:rPr>
        <w:rFonts w:ascii="Wingdings" w:hAnsi="Wingdings" w:hint="default"/>
      </w:rPr>
    </w:lvl>
    <w:lvl w:ilvl="3" w:tplc="E45658DC" w:tentative="1">
      <w:start w:val="1"/>
      <w:numFmt w:val="bullet"/>
      <w:lvlText w:val=""/>
      <w:lvlJc w:val="left"/>
      <w:pPr>
        <w:ind w:left="2880" w:hanging="360"/>
      </w:pPr>
      <w:rPr>
        <w:rFonts w:ascii="Symbol" w:hAnsi="Symbol" w:hint="default"/>
      </w:rPr>
    </w:lvl>
    <w:lvl w:ilvl="4" w:tplc="8B5CB324" w:tentative="1">
      <w:start w:val="1"/>
      <w:numFmt w:val="bullet"/>
      <w:lvlText w:val="o"/>
      <w:lvlJc w:val="left"/>
      <w:pPr>
        <w:ind w:left="3600" w:hanging="360"/>
      </w:pPr>
      <w:rPr>
        <w:rFonts w:ascii="Courier New" w:hAnsi="Courier New" w:hint="default"/>
      </w:rPr>
    </w:lvl>
    <w:lvl w:ilvl="5" w:tplc="189EE7D4" w:tentative="1">
      <w:start w:val="1"/>
      <w:numFmt w:val="bullet"/>
      <w:lvlText w:val=""/>
      <w:lvlJc w:val="left"/>
      <w:pPr>
        <w:ind w:left="4320" w:hanging="360"/>
      </w:pPr>
      <w:rPr>
        <w:rFonts w:ascii="Wingdings" w:hAnsi="Wingdings" w:hint="default"/>
      </w:rPr>
    </w:lvl>
    <w:lvl w:ilvl="6" w:tplc="5D8A130C" w:tentative="1">
      <w:start w:val="1"/>
      <w:numFmt w:val="bullet"/>
      <w:lvlText w:val=""/>
      <w:lvlJc w:val="left"/>
      <w:pPr>
        <w:ind w:left="5040" w:hanging="360"/>
      </w:pPr>
      <w:rPr>
        <w:rFonts w:ascii="Symbol" w:hAnsi="Symbol" w:hint="default"/>
      </w:rPr>
    </w:lvl>
    <w:lvl w:ilvl="7" w:tplc="FD4835AA" w:tentative="1">
      <w:start w:val="1"/>
      <w:numFmt w:val="bullet"/>
      <w:lvlText w:val="o"/>
      <w:lvlJc w:val="left"/>
      <w:pPr>
        <w:ind w:left="5760" w:hanging="360"/>
      </w:pPr>
      <w:rPr>
        <w:rFonts w:ascii="Courier New" w:hAnsi="Courier New" w:hint="default"/>
      </w:rPr>
    </w:lvl>
    <w:lvl w:ilvl="8" w:tplc="242C2CDA" w:tentative="1">
      <w:start w:val="1"/>
      <w:numFmt w:val="bullet"/>
      <w:lvlText w:val=""/>
      <w:lvlJc w:val="left"/>
      <w:pPr>
        <w:ind w:left="6480" w:hanging="360"/>
      </w:pPr>
      <w:rPr>
        <w:rFonts w:ascii="Wingdings" w:hAnsi="Wingdings" w:hint="default"/>
      </w:rPr>
    </w:lvl>
  </w:abstractNum>
  <w:abstractNum w:abstractNumId="2" w15:restartNumberingAfterBreak="0">
    <w:nsid w:val="186A553C"/>
    <w:multiLevelType w:val="hybridMultilevel"/>
    <w:tmpl w:val="503C69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FE4B66"/>
    <w:multiLevelType w:val="hybridMultilevel"/>
    <w:tmpl w:val="FFFFFFFF"/>
    <w:lvl w:ilvl="0" w:tplc="C870F982">
      <w:numFmt w:val="bullet"/>
      <w:lvlText w:val="•"/>
      <w:lvlJc w:val="left"/>
      <w:pPr>
        <w:ind w:left="1080" w:hanging="720"/>
      </w:pPr>
      <w:rPr>
        <w:rFonts w:ascii="Calibri" w:eastAsia="Times New Roman" w:hAnsi="Calibri" w:hint="default"/>
      </w:rPr>
    </w:lvl>
    <w:lvl w:ilvl="1" w:tplc="9012AD4C" w:tentative="1">
      <w:start w:val="1"/>
      <w:numFmt w:val="bullet"/>
      <w:lvlText w:val="o"/>
      <w:lvlJc w:val="left"/>
      <w:pPr>
        <w:ind w:left="1440" w:hanging="360"/>
      </w:pPr>
      <w:rPr>
        <w:rFonts w:ascii="Courier New" w:hAnsi="Courier New" w:hint="default"/>
      </w:rPr>
    </w:lvl>
    <w:lvl w:ilvl="2" w:tplc="B7281060" w:tentative="1">
      <w:start w:val="1"/>
      <w:numFmt w:val="bullet"/>
      <w:lvlText w:val=""/>
      <w:lvlJc w:val="left"/>
      <w:pPr>
        <w:ind w:left="2160" w:hanging="360"/>
      </w:pPr>
      <w:rPr>
        <w:rFonts w:ascii="Wingdings" w:hAnsi="Wingdings" w:hint="default"/>
      </w:rPr>
    </w:lvl>
    <w:lvl w:ilvl="3" w:tplc="85189160" w:tentative="1">
      <w:start w:val="1"/>
      <w:numFmt w:val="bullet"/>
      <w:lvlText w:val=""/>
      <w:lvlJc w:val="left"/>
      <w:pPr>
        <w:ind w:left="2880" w:hanging="360"/>
      </w:pPr>
      <w:rPr>
        <w:rFonts w:ascii="Symbol" w:hAnsi="Symbol" w:hint="default"/>
      </w:rPr>
    </w:lvl>
    <w:lvl w:ilvl="4" w:tplc="ABB6F9C0" w:tentative="1">
      <w:start w:val="1"/>
      <w:numFmt w:val="bullet"/>
      <w:lvlText w:val="o"/>
      <w:lvlJc w:val="left"/>
      <w:pPr>
        <w:ind w:left="3600" w:hanging="360"/>
      </w:pPr>
      <w:rPr>
        <w:rFonts w:ascii="Courier New" w:hAnsi="Courier New" w:hint="default"/>
      </w:rPr>
    </w:lvl>
    <w:lvl w:ilvl="5" w:tplc="E01AF3BE" w:tentative="1">
      <w:start w:val="1"/>
      <w:numFmt w:val="bullet"/>
      <w:lvlText w:val=""/>
      <w:lvlJc w:val="left"/>
      <w:pPr>
        <w:ind w:left="4320" w:hanging="360"/>
      </w:pPr>
      <w:rPr>
        <w:rFonts w:ascii="Wingdings" w:hAnsi="Wingdings" w:hint="default"/>
      </w:rPr>
    </w:lvl>
    <w:lvl w:ilvl="6" w:tplc="5E8CBCB0" w:tentative="1">
      <w:start w:val="1"/>
      <w:numFmt w:val="bullet"/>
      <w:lvlText w:val=""/>
      <w:lvlJc w:val="left"/>
      <w:pPr>
        <w:ind w:left="5040" w:hanging="360"/>
      </w:pPr>
      <w:rPr>
        <w:rFonts w:ascii="Symbol" w:hAnsi="Symbol" w:hint="default"/>
      </w:rPr>
    </w:lvl>
    <w:lvl w:ilvl="7" w:tplc="6240B768" w:tentative="1">
      <w:start w:val="1"/>
      <w:numFmt w:val="bullet"/>
      <w:lvlText w:val="o"/>
      <w:lvlJc w:val="left"/>
      <w:pPr>
        <w:ind w:left="5760" w:hanging="360"/>
      </w:pPr>
      <w:rPr>
        <w:rFonts w:ascii="Courier New" w:hAnsi="Courier New" w:hint="default"/>
      </w:rPr>
    </w:lvl>
    <w:lvl w:ilvl="8" w:tplc="C3C25B64" w:tentative="1">
      <w:start w:val="1"/>
      <w:numFmt w:val="bullet"/>
      <w:lvlText w:val=""/>
      <w:lvlJc w:val="left"/>
      <w:pPr>
        <w:ind w:left="6480" w:hanging="360"/>
      </w:pPr>
      <w:rPr>
        <w:rFonts w:ascii="Wingdings" w:hAnsi="Wingdings" w:hint="default"/>
      </w:rPr>
    </w:lvl>
  </w:abstractNum>
  <w:abstractNum w:abstractNumId="4" w15:restartNumberingAfterBreak="0">
    <w:nsid w:val="34DE744B"/>
    <w:multiLevelType w:val="hybridMultilevel"/>
    <w:tmpl w:val="C0E25506"/>
    <w:lvl w:ilvl="0" w:tplc="B32C3140">
      <w:start w:val="1"/>
      <w:numFmt w:val="lowerLetter"/>
      <w:lvlText w:val="%1."/>
      <w:lvlJc w:val="left"/>
      <w:pPr>
        <w:ind w:left="850" w:hanging="432"/>
      </w:pPr>
      <w:rPr>
        <w:rFonts w:ascii="Calibri" w:eastAsia="Calibri" w:hAnsi="Calibri" w:cs="Arial"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 w15:restartNumberingAfterBreak="0">
    <w:nsid w:val="3C666439"/>
    <w:multiLevelType w:val="hybridMultilevel"/>
    <w:tmpl w:val="5B92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859991">
    <w:abstractNumId w:val="2"/>
  </w:num>
  <w:num w:numId="2" w16cid:durableId="1705445429">
    <w:abstractNumId w:val="0"/>
  </w:num>
  <w:num w:numId="3" w16cid:durableId="1590772848">
    <w:abstractNumId w:val="1"/>
  </w:num>
  <w:num w:numId="4" w16cid:durableId="1333529460">
    <w:abstractNumId w:val="3"/>
  </w:num>
  <w:num w:numId="5" w16cid:durableId="223487677">
    <w:abstractNumId w:val="4"/>
  </w:num>
  <w:num w:numId="6" w16cid:durableId="8438608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70C"/>
    <w:rsid w:val="000030A0"/>
    <w:rsid w:val="000040BE"/>
    <w:rsid w:val="00006352"/>
    <w:rsid w:val="00013DAB"/>
    <w:rsid w:val="0002290A"/>
    <w:rsid w:val="000233AC"/>
    <w:rsid w:val="00023F11"/>
    <w:rsid w:val="00024503"/>
    <w:rsid w:val="000315FF"/>
    <w:rsid w:val="00032323"/>
    <w:rsid w:val="00033A55"/>
    <w:rsid w:val="00033C03"/>
    <w:rsid w:val="00035012"/>
    <w:rsid w:val="00035943"/>
    <w:rsid w:val="00036670"/>
    <w:rsid w:val="0004375D"/>
    <w:rsid w:val="00047703"/>
    <w:rsid w:val="00052C96"/>
    <w:rsid w:val="0005576E"/>
    <w:rsid w:val="00055FA0"/>
    <w:rsid w:val="0005722A"/>
    <w:rsid w:val="00061472"/>
    <w:rsid w:val="00064F16"/>
    <w:rsid w:val="00064F78"/>
    <w:rsid w:val="00067BD0"/>
    <w:rsid w:val="00070A51"/>
    <w:rsid w:val="00070BB5"/>
    <w:rsid w:val="00075EFE"/>
    <w:rsid w:val="000774E0"/>
    <w:rsid w:val="0007766E"/>
    <w:rsid w:val="0008427D"/>
    <w:rsid w:val="00087572"/>
    <w:rsid w:val="0009348F"/>
    <w:rsid w:val="00094916"/>
    <w:rsid w:val="00095B33"/>
    <w:rsid w:val="000A17B0"/>
    <w:rsid w:val="000A4D47"/>
    <w:rsid w:val="000B4142"/>
    <w:rsid w:val="000B6977"/>
    <w:rsid w:val="000C2552"/>
    <w:rsid w:val="000C4620"/>
    <w:rsid w:val="000D3012"/>
    <w:rsid w:val="000D47AB"/>
    <w:rsid w:val="000D6126"/>
    <w:rsid w:val="000D6B9E"/>
    <w:rsid w:val="000E2966"/>
    <w:rsid w:val="000E524B"/>
    <w:rsid w:val="000F3E27"/>
    <w:rsid w:val="000F479C"/>
    <w:rsid w:val="0010000E"/>
    <w:rsid w:val="001015CD"/>
    <w:rsid w:val="00107CE6"/>
    <w:rsid w:val="00111466"/>
    <w:rsid w:val="00112BCC"/>
    <w:rsid w:val="001142BA"/>
    <w:rsid w:val="00123BF8"/>
    <w:rsid w:val="00127AD7"/>
    <w:rsid w:val="001310D3"/>
    <w:rsid w:val="00136233"/>
    <w:rsid w:val="00141E94"/>
    <w:rsid w:val="001427A3"/>
    <w:rsid w:val="0014519E"/>
    <w:rsid w:val="00145403"/>
    <w:rsid w:val="00157544"/>
    <w:rsid w:val="001577F0"/>
    <w:rsid w:val="0016034B"/>
    <w:rsid w:val="00166BC2"/>
    <w:rsid w:val="001671B0"/>
    <w:rsid w:val="0016751D"/>
    <w:rsid w:val="00175C53"/>
    <w:rsid w:val="00181067"/>
    <w:rsid w:val="00182369"/>
    <w:rsid w:val="00194305"/>
    <w:rsid w:val="00197402"/>
    <w:rsid w:val="001A78C6"/>
    <w:rsid w:val="001B1228"/>
    <w:rsid w:val="001B7059"/>
    <w:rsid w:val="001C1348"/>
    <w:rsid w:val="001C2FFE"/>
    <w:rsid w:val="001C3319"/>
    <w:rsid w:val="001C51F8"/>
    <w:rsid w:val="001C520C"/>
    <w:rsid w:val="001C65FF"/>
    <w:rsid w:val="001D1DA3"/>
    <w:rsid w:val="001D6DE1"/>
    <w:rsid w:val="001D75DB"/>
    <w:rsid w:val="001E2D1A"/>
    <w:rsid w:val="001E5E2D"/>
    <w:rsid w:val="001E771D"/>
    <w:rsid w:val="001F24C5"/>
    <w:rsid w:val="001F5107"/>
    <w:rsid w:val="001F6549"/>
    <w:rsid w:val="00200EAD"/>
    <w:rsid w:val="00201585"/>
    <w:rsid w:val="002028FF"/>
    <w:rsid w:val="002039C5"/>
    <w:rsid w:val="00213AC8"/>
    <w:rsid w:val="00214136"/>
    <w:rsid w:val="00215D7E"/>
    <w:rsid w:val="00216DE9"/>
    <w:rsid w:val="00217246"/>
    <w:rsid w:val="00220495"/>
    <w:rsid w:val="00221A8D"/>
    <w:rsid w:val="00222BD2"/>
    <w:rsid w:val="002245ED"/>
    <w:rsid w:val="00224998"/>
    <w:rsid w:val="0022554E"/>
    <w:rsid w:val="002311BD"/>
    <w:rsid w:val="00231212"/>
    <w:rsid w:val="00232163"/>
    <w:rsid w:val="00232539"/>
    <w:rsid w:val="00233D4F"/>
    <w:rsid w:val="00234596"/>
    <w:rsid w:val="00234701"/>
    <w:rsid w:val="002365DA"/>
    <w:rsid w:val="002409F2"/>
    <w:rsid w:val="00242ADC"/>
    <w:rsid w:val="0024785D"/>
    <w:rsid w:val="00252DF1"/>
    <w:rsid w:val="00254C07"/>
    <w:rsid w:val="00255CC1"/>
    <w:rsid w:val="00256C12"/>
    <w:rsid w:val="00260CB3"/>
    <w:rsid w:val="002701F3"/>
    <w:rsid w:val="00272769"/>
    <w:rsid w:val="002762E4"/>
    <w:rsid w:val="00280ECD"/>
    <w:rsid w:val="00280F18"/>
    <w:rsid w:val="00286D08"/>
    <w:rsid w:val="00291289"/>
    <w:rsid w:val="002A0ECD"/>
    <w:rsid w:val="002A18EF"/>
    <w:rsid w:val="002A2D1A"/>
    <w:rsid w:val="002A4C9F"/>
    <w:rsid w:val="002A5164"/>
    <w:rsid w:val="002A5EB0"/>
    <w:rsid w:val="002A7B96"/>
    <w:rsid w:val="002B151A"/>
    <w:rsid w:val="002B19BE"/>
    <w:rsid w:val="002C6D60"/>
    <w:rsid w:val="002D4332"/>
    <w:rsid w:val="002D486B"/>
    <w:rsid w:val="002D7C08"/>
    <w:rsid w:val="002E48E3"/>
    <w:rsid w:val="002E4D45"/>
    <w:rsid w:val="002E5375"/>
    <w:rsid w:val="002E5733"/>
    <w:rsid w:val="002E6147"/>
    <w:rsid w:val="002F5D72"/>
    <w:rsid w:val="003058BC"/>
    <w:rsid w:val="003066FF"/>
    <w:rsid w:val="0030794E"/>
    <w:rsid w:val="00311B01"/>
    <w:rsid w:val="003120CA"/>
    <w:rsid w:val="003127CB"/>
    <w:rsid w:val="00315835"/>
    <w:rsid w:val="00315CBE"/>
    <w:rsid w:val="00317AED"/>
    <w:rsid w:val="003207C4"/>
    <w:rsid w:val="00326A64"/>
    <w:rsid w:val="0033030A"/>
    <w:rsid w:val="003315FC"/>
    <w:rsid w:val="00332AA5"/>
    <w:rsid w:val="003345CA"/>
    <w:rsid w:val="0033523C"/>
    <w:rsid w:val="00335F0F"/>
    <w:rsid w:val="00337299"/>
    <w:rsid w:val="00343EF7"/>
    <w:rsid w:val="00347DEB"/>
    <w:rsid w:val="00350BE3"/>
    <w:rsid w:val="003518CD"/>
    <w:rsid w:val="00354434"/>
    <w:rsid w:val="00354F8D"/>
    <w:rsid w:val="00361937"/>
    <w:rsid w:val="00362A72"/>
    <w:rsid w:val="003649E2"/>
    <w:rsid w:val="00365CB9"/>
    <w:rsid w:val="00366DA8"/>
    <w:rsid w:val="00373A7D"/>
    <w:rsid w:val="003749EE"/>
    <w:rsid w:val="00374C09"/>
    <w:rsid w:val="00385753"/>
    <w:rsid w:val="00390671"/>
    <w:rsid w:val="00395591"/>
    <w:rsid w:val="003A1637"/>
    <w:rsid w:val="003A3786"/>
    <w:rsid w:val="003B230A"/>
    <w:rsid w:val="003B24ED"/>
    <w:rsid w:val="003B2AE0"/>
    <w:rsid w:val="003B2F6F"/>
    <w:rsid w:val="003B3181"/>
    <w:rsid w:val="003B396C"/>
    <w:rsid w:val="003B77E3"/>
    <w:rsid w:val="003C044F"/>
    <w:rsid w:val="003C3EDB"/>
    <w:rsid w:val="003C5378"/>
    <w:rsid w:val="003D017F"/>
    <w:rsid w:val="003D1425"/>
    <w:rsid w:val="003D2C75"/>
    <w:rsid w:val="003D49CE"/>
    <w:rsid w:val="003D77E8"/>
    <w:rsid w:val="003E1D5F"/>
    <w:rsid w:val="003E33C7"/>
    <w:rsid w:val="003E33E8"/>
    <w:rsid w:val="003E4D94"/>
    <w:rsid w:val="003E5B8A"/>
    <w:rsid w:val="003E7577"/>
    <w:rsid w:val="003F0E88"/>
    <w:rsid w:val="004034E1"/>
    <w:rsid w:val="0040445F"/>
    <w:rsid w:val="0040471C"/>
    <w:rsid w:val="004066CF"/>
    <w:rsid w:val="00413622"/>
    <w:rsid w:val="00417C0A"/>
    <w:rsid w:val="0042118C"/>
    <w:rsid w:val="0042170B"/>
    <w:rsid w:val="00424373"/>
    <w:rsid w:val="004253DD"/>
    <w:rsid w:val="00426B95"/>
    <w:rsid w:val="00433003"/>
    <w:rsid w:val="004359B1"/>
    <w:rsid w:val="00436EB4"/>
    <w:rsid w:val="00445E10"/>
    <w:rsid w:val="00446AB1"/>
    <w:rsid w:val="0046046B"/>
    <w:rsid w:val="00465F30"/>
    <w:rsid w:val="0046691A"/>
    <w:rsid w:val="00470DFF"/>
    <w:rsid w:val="00472C5C"/>
    <w:rsid w:val="004769D8"/>
    <w:rsid w:val="00487869"/>
    <w:rsid w:val="00490D7F"/>
    <w:rsid w:val="0049374A"/>
    <w:rsid w:val="004948B2"/>
    <w:rsid w:val="00495E08"/>
    <w:rsid w:val="00497ED2"/>
    <w:rsid w:val="004A3362"/>
    <w:rsid w:val="004B0017"/>
    <w:rsid w:val="004B323D"/>
    <w:rsid w:val="004B346D"/>
    <w:rsid w:val="004B4FD6"/>
    <w:rsid w:val="004B6864"/>
    <w:rsid w:val="004C19B6"/>
    <w:rsid w:val="004C5DA8"/>
    <w:rsid w:val="004C7471"/>
    <w:rsid w:val="004E02B0"/>
    <w:rsid w:val="004E128C"/>
    <w:rsid w:val="004E6349"/>
    <w:rsid w:val="004E653D"/>
    <w:rsid w:val="004F0005"/>
    <w:rsid w:val="004F06E6"/>
    <w:rsid w:val="004F3F38"/>
    <w:rsid w:val="004F43A9"/>
    <w:rsid w:val="004F46DA"/>
    <w:rsid w:val="004F62E4"/>
    <w:rsid w:val="005022E1"/>
    <w:rsid w:val="00503CFA"/>
    <w:rsid w:val="00505EDF"/>
    <w:rsid w:val="00510AC5"/>
    <w:rsid w:val="00511350"/>
    <w:rsid w:val="00515CB8"/>
    <w:rsid w:val="0051619C"/>
    <w:rsid w:val="0052006B"/>
    <w:rsid w:val="00521D09"/>
    <w:rsid w:val="00521DA5"/>
    <w:rsid w:val="00523463"/>
    <w:rsid w:val="00523954"/>
    <w:rsid w:val="00524816"/>
    <w:rsid w:val="00524CE4"/>
    <w:rsid w:val="005274BD"/>
    <w:rsid w:val="005358E4"/>
    <w:rsid w:val="0053608A"/>
    <w:rsid w:val="00543CC0"/>
    <w:rsid w:val="00544AB7"/>
    <w:rsid w:val="00545602"/>
    <w:rsid w:val="005466BC"/>
    <w:rsid w:val="005521F2"/>
    <w:rsid w:val="0055381A"/>
    <w:rsid w:val="00554E71"/>
    <w:rsid w:val="00556AFE"/>
    <w:rsid w:val="0057511D"/>
    <w:rsid w:val="00584A4B"/>
    <w:rsid w:val="0058593C"/>
    <w:rsid w:val="005862FE"/>
    <w:rsid w:val="005A30B7"/>
    <w:rsid w:val="005A448D"/>
    <w:rsid w:val="005A4DAC"/>
    <w:rsid w:val="005A6E74"/>
    <w:rsid w:val="005B0B7D"/>
    <w:rsid w:val="005B2C1A"/>
    <w:rsid w:val="005B5B0A"/>
    <w:rsid w:val="005B6D67"/>
    <w:rsid w:val="005C1401"/>
    <w:rsid w:val="005C32B6"/>
    <w:rsid w:val="005D097B"/>
    <w:rsid w:val="005D3D63"/>
    <w:rsid w:val="005D74BD"/>
    <w:rsid w:val="005E0CCF"/>
    <w:rsid w:val="005E2CB3"/>
    <w:rsid w:val="005E3252"/>
    <w:rsid w:val="005E3A4C"/>
    <w:rsid w:val="005E4692"/>
    <w:rsid w:val="005F29C4"/>
    <w:rsid w:val="005F606C"/>
    <w:rsid w:val="005F61EE"/>
    <w:rsid w:val="005F6929"/>
    <w:rsid w:val="005F6C10"/>
    <w:rsid w:val="00601573"/>
    <w:rsid w:val="00601589"/>
    <w:rsid w:val="00602AEB"/>
    <w:rsid w:val="00604567"/>
    <w:rsid w:val="0060541A"/>
    <w:rsid w:val="006120B2"/>
    <w:rsid w:val="00612928"/>
    <w:rsid w:val="0061699C"/>
    <w:rsid w:val="0062609F"/>
    <w:rsid w:val="006421B9"/>
    <w:rsid w:val="0065018C"/>
    <w:rsid w:val="006520C9"/>
    <w:rsid w:val="00661E6F"/>
    <w:rsid w:val="00665C24"/>
    <w:rsid w:val="006737B6"/>
    <w:rsid w:val="00675DAF"/>
    <w:rsid w:val="00677B93"/>
    <w:rsid w:val="0068211C"/>
    <w:rsid w:val="0068392A"/>
    <w:rsid w:val="00687A83"/>
    <w:rsid w:val="00692E0D"/>
    <w:rsid w:val="006951F6"/>
    <w:rsid w:val="006A606C"/>
    <w:rsid w:val="006A6288"/>
    <w:rsid w:val="006A7BE1"/>
    <w:rsid w:val="006B0E7A"/>
    <w:rsid w:val="006B1072"/>
    <w:rsid w:val="006B1FF0"/>
    <w:rsid w:val="006C0605"/>
    <w:rsid w:val="006C3522"/>
    <w:rsid w:val="006C5F91"/>
    <w:rsid w:val="006C68FF"/>
    <w:rsid w:val="006D1F8E"/>
    <w:rsid w:val="006D2EDB"/>
    <w:rsid w:val="006D7FC7"/>
    <w:rsid w:val="006E5867"/>
    <w:rsid w:val="006F546F"/>
    <w:rsid w:val="006F6AD7"/>
    <w:rsid w:val="006F712F"/>
    <w:rsid w:val="007015A6"/>
    <w:rsid w:val="0070547C"/>
    <w:rsid w:val="0070688E"/>
    <w:rsid w:val="00713658"/>
    <w:rsid w:val="007144DE"/>
    <w:rsid w:val="007161D2"/>
    <w:rsid w:val="00720DDF"/>
    <w:rsid w:val="00721024"/>
    <w:rsid w:val="00721697"/>
    <w:rsid w:val="00723883"/>
    <w:rsid w:val="00724E7F"/>
    <w:rsid w:val="00730FF5"/>
    <w:rsid w:val="007327AD"/>
    <w:rsid w:val="00735CE8"/>
    <w:rsid w:val="0073601B"/>
    <w:rsid w:val="00741D92"/>
    <w:rsid w:val="00743168"/>
    <w:rsid w:val="00760B3F"/>
    <w:rsid w:val="0076274A"/>
    <w:rsid w:val="00765F90"/>
    <w:rsid w:val="007747C1"/>
    <w:rsid w:val="00774D2B"/>
    <w:rsid w:val="00777AA4"/>
    <w:rsid w:val="0078164B"/>
    <w:rsid w:val="007828CD"/>
    <w:rsid w:val="00785182"/>
    <w:rsid w:val="00790234"/>
    <w:rsid w:val="00793506"/>
    <w:rsid w:val="00793A67"/>
    <w:rsid w:val="007A1DCD"/>
    <w:rsid w:val="007B1890"/>
    <w:rsid w:val="007B5815"/>
    <w:rsid w:val="007B5970"/>
    <w:rsid w:val="007C1865"/>
    <w:rsid w:val="007C3FF1"/>
    <w:rsid w:val="007D274D"/>
    <w:rsid w:val="007D58ED"/>
    <w:rsid w:val="007E307C"/>
    <w:rsid w:val="007E60A0"/>
    <w:rsid w:val="007E627A"/>
    <w:rsid w:val="007F056B"/>
    <w:rsid w:val="007F24C3"/>
    <w:rsid w:val="007F548E"/>
    <w:rsid w:val="00804D7A"/>
    <w:rsid w:val="00810427"/>
    <w:rsid w:val="00810AF5"/>
    <w:rsid w:val="008147BF"/>
    <w:rsid w:val="00815AA8"/>
    <w:rsid w:val="00815BAC"/>
    <w:rsid w:val="00817046"/>
    <w:rsid w:val="00821618"/>
    <w:rsid w:val="0082248F"/>
    <w:rsid w:val="00825A47"/>
    <w:rsid w:val="00826CD4"/>
    <w:rsid w:val="00827F39"/>
    <w:rsid w:val="00830529"/>
    <w:rsid w:val="008309C9"/>
    <w:rsid w:val="0083144E"/>
    <w:rsid w:val="00835AAF"/>
    <w:rsid w:val="0083609E"/>
    <w:rsid w:val="00836100"/>
    <w:rsid w:val="00836B54"/>
    <w:rsid w:val="0083702F"/>
    <w:rsid w:val="00837A7E"/>
    <w:rsid w:val="00844143"/>
    <w:rsid w:val="00846B9A"/>
    <w:rsid w:val="00847F7F"/>
    <w:rsid w:val="0085444E"/>
    <w:rsid w:val="0085596D"/>
    <w:rsid w:val="00857CCF"/>
    <w:rsid w:val="00860B23"/>
    <w:rsid w:val="008745D3"/>
    <w:rsid w:val="008770A0"/>
    <w:rsid w:val="00884283"/>
    <w:rsid w:val="00887EF7"/>
    <w:rsid w:val="00891A15"/>
    <w:rsid w:val="00897F8D"/>
    <w:rsid w:val="008A00EB"/>
    <w:rsid w:val="008B1070"/>
    <w:rsid w:val="008B2D5F"/>
    <w:rsid w:val="008C1205"/>
    <w:rsid w:val="008C6FC7"/>
    <w:rsid w:val="008E0968"/>
    <w:rsid w:val="008E1D06"/>
    <w:rsid w:val="008E5B2A"/>
    <w:rsid w:val="008F11C6"/>
    <w:rsid w:val="008F42F0"/>
    <w:rsid w:val="008F56F2"/>
    <w:rsid w:val="00901A0E"/>
    <w:rsid w:val="00903343"/>
    <w:rsid w:val="00907CA6"/>
    <w:rsid w:val="00912FF1"/>
    <w:rsid w:val="00922E42"/>
    <w:rsid w:val="00923D02"/>
    <w:rsid w:val="00924450"/>
    <w:rsid w:val="009316B7"/>
    <w:rsid w:val="00933474"/>
    <w:rsid w:val="00934470"/>
    <w:rsid w:val="0093785A"/>
    <w:rsid w:val="00955ABA"/>
    <w:rsid w:val="00965173"/>
    <w:rsid w:val="00965D53"/>
    <w:rsid w:val="009712CF"/>
    <w:rsid w:val="00971B90"/>
    <w:rsid w:val="0097223E"/>
    <w:rsid w:val="00981F0A"/>
    <w:rsid w:val="009825E3"/>
    <w:rsid w:val="00982C1E"/>
    <w:rsid w:val="009858FD"/>
    <w:rsid w:val="00987E16"/>
    <w:rsid w:val="009900B5"/>
    <w:rsid w:val="009970CE"/>
    <w:rsid w:val="009A0003"/>
    <w:rsid w:val="009A1D89"/>
    <w:rsid w:val="009A26FC"/>
    <w:rsid w:val="009A43F6"/>
    <w:rsid w:val="009B0C12"/>
    <w:rsid w:val="009B42F9"/>
    <w:rsid w:val="009B5978"/>
    <w:rsid w:val="009B70C2"/>
    <w:rsid w:val="009C3D15"/>
    <w:rsid w:val="009C683F"/>
    <w:rsid w:val="009D7793"/>
    <w:rsid w:val="009E2E59"/>
    <w:rsid w:val="009E34E2"/>
    <w:rsid w:val="009F3784"/>
    <w:rsid w:val="00A00992"/>
    <w:rsid w:val="00A04A6A"/>
    <w:rsid w:val="00A04C31"/>
    <w:rsid w:val="00A108A1"/>
    <w:rsid w:val="00A12964"/>
    <w:rsid w:val="00A1685C"/>
    <w:rsid w:val="00A17D87"/>
    <w:rsid w:val="00A20A43"/>
    <w:rsid w:val="00A20CCA"/>
    <w:rsid w:val="00A23616"/>
    <w:rsid w:val="00A3134E"/>
    <w:rsid w:val="00A31FD8"/>
    <w:rsid w:val="00A32760"/>
    <w:rsid w:val="00A34D34"/>
    <w:rsid w:val="00A40B9E"/>
    <w:rsid w:val="00A51392"/>
    <w:rsid w:val="00A61DDF"/>
    <w:rsid w:val="00A62ACB"/>
    <w:rsid w:val="00A66462"/>
    <w:rsid w:val="00A70C7D"/>
    <w:rsid w:val="00A71FEB"/>
    <w:rsid w:val="00A72424"/>
    <w:rsid w:val="00A724D5"/>
    <w:rsid w:val="00A74772"/>
    <w:rsid w:val="00A75EF8"/>
    <w:rsid w:val="00A763BD"/>
    <w:rsid w:val="00A7686D"/>
    <w:rsid w:val="00A80664"/>
    <w:rsid w:val="00A82AB1"/>
    <w:rsid w:val="00A83E94"/>
    <w:rsid w:val="00A84379"/>
    <w:rsid w:val="00A85379"/>
    <w:rsid w:val="00A91449"/>
    <w:rsid w:val="00A94037"/>
    <w:rsid w:val="00A9428E"/>
    <w:rsid w:val="00A96F13"/>
    <w:rsid w:val="00A97C15"/>
    <w:rsid w:val="00AA0461"/>
    <w:rsid w:val="00AA19B7"/>
    <w:rsid w:val="00AA2565"/>
    <w:rsid w:val="00AA5D48"/>
    <w:rsid w:val="00AB2220"/>
    <w:rsid w:val="00AB5506"/>
    <w:rsid w:val="00AB639D"/>
    <w:rsid w:val="00AB64C9"/>
    <w:rsid w:val="00AC5EF5"/>
    <w:rsid w:val="00AD0CBA"/>
    <w:rsid w:val="00AD3AAD"/>
    <w:rsid w:val="00AD560B"/>
    <w:rsid w:val="00AE1F4D"/>
    <w:rsid w:val="00AF1B5E"/>
    <w:rsid w:val="00AF34A5"/>
    <w:rsid w:val="00AF3A48"/>
    <w:rsid w:val="00AF5148"/>
    <w:rsid w:val="00B00205"/>
    <w:rsid w:val="00B04F43"/>
    <w:rsid w:val="00B07EA2"/>
    <w:rsid w:val="00B10851"/>
    <w:rsid w:val="00B13ED5"/>
    <w:rsid w:val="00B1614B"/>
    <w:rsid w:val="00B16B31"/>
    <w:rsid w:val="00B17CCC"/>
    <w:rsid w:val="00B20735"/>
    <w:rsid w:val="00B2079E"/>
    <w:rsid w:val="00B21975"/>
    <w:rsid w:val="00B2670C"/>
    <w:rsid w:val="00B26C9D"/>
    <w:rsid w:val="00B34848"/>
    <w:rsid w:val="00B3509D"/>
    <w:rsid w:val="00B41DE0"/>
    <w:rsid w:val="00B43448"/>
    <w:rsid w:val="00B43BB9"/>
    <w:rsid w:val="00B46B7B"/>
    <w:rsid w:val="00B50615"/>
    <w:rsid w:val="00B52E61"/>
    <w:rsid w:val="00B53152"/>
    <w:rsid w:val="00B704ED"/>
    <w:rsid w:val="00B71C53"/>
    <w:rsid w:val="00B74C5F"/>
    <w:rsid w:val="00B76300"/>
    <w:rsid w:val="00B805B3"/>
    <w:rsid w:val="00B8358D"/>
    <w:rsid w:val="00B9048A"/>
    <w:rsid w:val="00B9309D"/>
    <w:rsid w:val="00B95A6B"/>
    <w:rsid w:val="00B9701D"/>
    <w:rsid w:val="00BA1167"/>
    <w:rsid w:val="00BA127F"/>
    <w:rsid w:val="00BA1789"/>
    <w:rsid w:val="00BA393C"/>
    <w:rsid w:val="00BB7D14"/>
    <w:rsid w:val="00BC1F2C"/>
    <w:rsid w:val="00BC4EE7"/>
    <w:rsid w:val="00BE0E0C"/>
    <w:rsid w:val="00BE19AD"/>
    <w:rsid w:val="00BE6BF9"/>
    <w:rsid w:val="00BF0C98"/>
    <w:rsid w:val="00BF6D0E"/>
    <w:rsid w:val="00C02117"/>
    <w:rsid w:val="00C04314"/>
    <w:rsid w:val="00C04CB5"/>
    <w:rsid w:val="00C055BA"/>
    <w:rsid w:val="00C0566A"/>
    <w:rsid w:val="00C217A4"/>
    <w:rsid w:val="00C2712A"/>
    <w:rsid w:val="00C3651B"/>
    <w:rsid w:val="00C36A08"/>
    <w:rsid w:val="00C40168"/>
    <w:rsid w:val="00C425AB"/>
    <w:rsid w:val="00C437D2"/>
    <w:rsid w:val="00C4430E"/>
    <w:rsid w:val="00C45220"/>
    <w:rsid w:val="00C45957"/>
    <w:rsid w:val="00C50CB2"/>
    <w:rsid w:val="00C53044"/>
    <w:rsid w:val="00C53C47"/>
    <w:rsid w:val="00C57E47"/>
    <w:rsid w:val="00C606F7"/>
    <w:rsid w:val="00C61DF5"/>
    <w:rsid w:val="00C62658"/>
    <w:rsid w:val="00C64466"/>
    <w:rsid w:val="00C65B07"/>
    <w:rsid w:val="00C65B5C"/>
    <w:rsid w:val="00C7093B"/>
    <w:rsid w:val="00C7682F"/>
    <w:rsid w:val="00C84640"/>
    <w:rsid w:val="00C858DD"/>
    <w:rsid w:val="00C91E5F"/>
    <w:rsid w:val="00CA4D64"/>
    <w:rsid w:val="00CB0FE8"/>
    <w:rsid w:val="00CB2CFB"/>
    <w:rsid w:val="00CC750D"/>
    <w:rsid w:val="00CC7D0B"/>
    <w:rsid w:val="00CC7EAD"/>
    <w:rsid w:val="00CD12D6"/>
    <w:rsid w:val="00CD1DDF"/>
    <w:rsid w:val="00CD3939"/>
    <w:rsid w:val="00CD67FE"/>
    <w:rsid w:val="00CE16C9"/>
    <w:rsid w:val="00CE46D6"/>
    <w:rsid w:val="00CE6642"/>
    <w:rsid w:val="00CF19A9"/>
    <w:rsid w:val="00CF1A77"/>
    <w:rsid w:val="00CF437B"/>
    <w:rsid w:val="00CF4494"/>
    <w:rsid w:val="00CF547E"/>
    <w:rsid w:val="00CF58B1"/>
    <w:rsid w:val="00CF672A"/>
    <w:rsid w:val="00D0124B"/>
    <w:rsid w:val="00D022AB"/>
    <w:rsid w:val="00D02A5D"/>
    <w:rsid w:val="00D034D3"/>
    <w:rsid w:val="00D04D48"/>
    <w:rsid w:val="00D13403"/>
    <w:rsid w:val="00D13940"/>
    <w:rsid w:val="00D15230"/>
    <w:rsid w:val="00D15441"/>
    <w:rsid w:val="00D16194"/>
    <w:rsid w:val="00D16390"/>
    <w:rsid w:val="00D20162"/>
    <w:rsid w:val="00D21578"/>
    <w:rsid w:val="00D23C02"/>
    <w:rsid w:val="00D27B1E"/>
    <w:rsid w:val="00D30F1D"/>
    <w:rsid w:val="00D34F70"/>
    <w:rsid w:val="00D35A64"/>
    <w:rsid w:val="00D41658"/>
    <w:rsid w:val="00D43A3E"/>
    <w:rsid w:val="00D461BD"/>
    <w:rsid w:val="00D465D3"/>
    <w:rsid w:val="00D60118"/>
    <w:rsid w:val="00D603E7"/>
    <w:rsid w:val="00D62CF5"/>
    <w:rsid w:val="00D64B0F"/>
    <w:rsid w:val="00D70D5B"/>
    <w:rsid w:val="00D726B6"/>
    <w:rsid w:val="00D73943"/>
    <w:rsid w:val="00D80DB2"/>
    <w:rsid w:val="00D80F2E"/>
    <w:rsid w:val="00D82A29"/>
    <w:rsid w:val="00D84125"/>
    <w:rsid w:val="00D85D24"/>
    <w:rsid w:val="00D8626B"/>
    <w:rsid w:val="00D9188B"/>
    <w:rsid w:val="00DA0E63"/>
    <w:rsid w:val="00DA12F9"/>
    <w:rsid w:val="00DA4438"/>
    <w:rsid w:val="00DA7293"/>
    <w:rsid w:val="00DA734E"/>
    <w:rsid w:val="00DB1591"/>
    <w:rsid w:val="00DB2E0B"/>
    <w:rsid w:val="00DB71F0"/>
    <w:rsid w:val="00DB784E"/>
    <w:rsid w:val="00DC34A0"/>
    <w:rsid w:val="00DC50CC"/>
    <w:rsid w:val="00DC6B1C"/>
    <w:rsid w:val="00DC7AD6"/>
    <w:rsid w:val="00DD03EC"/>
    <w:rsid w:val="00DD2271"/>
    <w:rsid w:val="00DD5291"/>
    <w:rsid w:val="00DE0DCB"/>
    <w:rsid w:val="00DE34A2"/>
    <w:rsid w:val="00DE5F76"/>
    <w:rsid w:val="00DF0731"/>
    <w:rsid w:val="00DF085C"/>
    <w:rsid w:val="00DF08FC"/>
    <w:rsid w:val="00E00350"/>
    <w:rsid w:val="00E00B97"/>
    <w:rsid w:val="00E012D8"/>
    <w:rsid w:val="00E024DB"/>
    <w:rsid w:val="00E024E2"/>
    <w:rsid w:val="00E069EA"/>
    <w:rsid w:val="00E15D42"/>
    <w:rsid w:val="00E21D17"/>
    <w:rsid w:val="00E222E4"/>
    <w:rsid w:val="00E22585"/>
    <w:rsid w:val="00E24C50"/>
    <w:rsid w:val="00E26C96"/>
    <w:rsid w:val="00E314EE"/>
    <w:rsid w:val="00E3236E"/>
    <w:rsid w:val="00E348B4"/>
    <w:rsid w:val="00E35E02"/>
    <w:rsid w:val="00E36C72"/>
    <w:rsid w:val="00E37678"/>
    <w:rsid w:val="00E41208"/>
    <w:rsid w:val="00E43EBE"/>
    <w:rsid w:val="00E4718A"/>
    <w:rsid w:val="00E552DC"/>
    <w:rsid w:val="00E64247"/>
    <w:rsid w:val="00E7019D"/>
    <w:rsid w:val="00E800DE"/>
    <w:rsid w:val="00E8011B"/>
    <w:rsid w:val="00E84A8B"/>
    <w:rsid w:val="00E87D9D"/>
    <w:rsid w:val="00E94C4F"/>
    <w:rsid w:val="00E95722"/>
    <w:rsid w:val="00E97645"/>
    <w:rsid w:val="00EA2A86"/>
    <w:rsid w:val="00EA3120"/>
    <w:rsid w:val="00EA6FCB"/>
    <w:rsid w:val="00EB1871"/>
    <w:rsid w:val="00ED161F"/>
    <w:rsid w:val="00ED166C"/>
    <w:rsid w:val="00ED2E01"/>
    <w:rsid w:val="00ED4E8D"/>
    <w:rsid w:val="00ED52AF"/>
    <w:rsid w:val="00ED6FED"/>
    <w:rsid w:val="00EE45E1"/>
    <w:rsid w:val="00EF0F24"/>
    <w:rsid w:val="00EF4C0D"/>
    <w:rsid w:val="00EF4EA7"/>
    <w:rsid w:val="00EF4F4E"/>
    <w:rsid w:val="00EF7D1D"/>
    <w:rsid w:val="00F074E2"/>
    <w:rsid w:val="00F10C39"/>
    <w:rsid w:val="00F139B2"/>
    <w:rsid w:val="00F16D0F"/>
    <w:rsid w:val="00F171A4"/>
    <w:rsid w:val="00F17727"/>
    <w:rsid w:val="00F203B4"/>
    <w:rsid w:val="00F241CA"/>
    <w:rsid w:val="00F26DD7"/>
    <w:rsid w:val="00F3013D"/>
    <w:rsid w:val="00F304F5"/>
    <w:rsid w:val="00F30DA2"/>
    <w:rsid w:val="00F324F3"/>
    <w:rsid w:val="00F343A9"/>
    <w:rsid w:val="00F37F8A"/>
    <w:rsid w:val="00F516EF"/>
    <w:rsid w:val="00F524A7"/>
    <w:rsid w:val="00F52637"/>
    <w:rsid w:val="00F543D2"/>
    <w:rsid w:val="00F54966"/>
    <w:rsid w:val="00F61B6A"/>
    <w:rsid w:val="00F63456"/>
    <w:rsid w:val="00F6679D"/>
    <w:rsid w:val="00F74649"/>
    <w:rsid w:val="00F750C9"/>
    <w:rsid w:val="00F7681B"/>
    <w:rsid w:val="00F774D1"/>
    <w:rsid w:val="00F8165E"/>
    <w:rsid w:val="00F84E25"/>
    <w:rsid w:val="00F8638B"/>
    <w:rsid w:val="00F93B5B"/>
    <w:rsid w:val="00FA0356"/>
    <w:rsid w:val="00FA0B45"/>
    <w:rsid w:val="00FA3A01"/>
    <w:rsid w:val="00FA62F2"/>
    <w:rsid w:val="00FB28A1"/>
    <w:rsid w:val="00FB2D43"/>
    <w:rsid w:val="00FB46BE"/>
    <w:rsid w:val="00FC1E4F"/>
    <w:rsid w:val="00FD6EB6"/>
    <w:rsid w:val="00FD7052"/>
    <w:rsid w:val="00FD7C15"/>
    <w:rsid w:val="00FE0089"/>
    <w:rsid w:val="00FE1855"/>
    <w:rsid w:val="00FE480C"/>
    <w:rsid w:val="00FE4B2C"/>
    <w:rsid w:val="00FE669F"/>
    <w:rsid w:val="00FE6727"/>
    <w:rsid w:val="00FE7168"/>
    <w:rsid w:val="00FF2E17"/>
    <w:rsid w:val="00FF56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755F9"/>
  <w15:docId w15:val="{9F92C10C-2270-44BE-9018-5609A4B1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B45"/>
  </w:style>
  <w:style w:type="paragraph" w:styleId="Heading1">
    <w:name w:val="heading 1"/>
    <w:basedOn w:val="Normal"/>
    <w:link w:val="Heading1Char"/>
    <w:uiPriority w:val="9"/>
    <w:qFormat/>
    <w:rsid w:val="00FA0B45"/>
    <w:pPr>
      <w:spacing w:before="300" w:after="150" w:line="240" w:lineRule="auto"/>
      <w:outlineLvl w:val="0"/>
    </w:pPr>
    <w:rPr>
      <w:rFonts w:ascii="Lato" w:eastAsia="Times New Roman" w:hAnsi="Lato" w:cs="Helvetica"/>
      <w:kern w:val="36"/>
      <w:sz w:val="54"/>
      <w:szCs w:val="54"/>
      <w:lang w:eastAsia="fr-FR"/>
    </w:rPr>
  </w:style>
  <w:style w:type="paragraph" w:styleId="Heading2">
    <w:name w:val="heading 2"/>
    <w:basedOn w:val="Normal"/>
    <w:next w:val="Normal"/>
    <w:link w:val="Heading2Char"/>
    <w:uiPriority w:val="9"/>
    <w:semiHidden/>
    <w:unhideWhenUsed/>
    <w:qFormat/>
    <w:rsid w:val="00362A7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B45"/>
    <w:rPr>
      <w:rFonts w:ascii="Lato" w:eastAsia="Times New Roman" w:hAnsi="Lato" w:cs="Helvetica"/>
      <w:kern w:val="36"/>
      <w:sz w:val="54"/>
      <w:szCs w:val="54"/>
      <w:lang w:eastAsia="fr-FR"/>
    </w:rPr>
  </w:style>
  <w:style w:type="character" w:styleId="Strong">
    <w:name w:val="Strong"/>
    <w:basedOn w:val="DefaultParagraphFont"/>
    <w:uiPriority w:val="22"/>
    <w:qFormat/>
    <w:rsid w:val="00FA0B45"/>
    <w:rPr>
      <w:b/>
      <w:bCs/>
    </w:rPr>
  </w:style>
  <w:style w:type="paragraph" w:styleId="ListParagraph">
    <w:name w:val="List Paragraph"/>
    <w:aliases w:val="Rec para"/>
    <w:basedOn w:val="Normal"/>
    <w:link w:val="ListParagraphChar"/>
    <w:uiPriority w:val="34"/>
    <w:qFormat/>
    <w:rsid w:val="00FA0B45"/>
    <w:pPr>
      <w:ind w:left="720"/>
      <w:contextualSpacing/>
    </w:pPr>
  </w:style>
  <w:style w:type="paragraph" w:styleId="Header">
    <w:name w:val="header"/>
    <w:basedOn w:val="Normal"/>
    <w:link w:val="HeaderChar"/>
    <w:uiPriority w:val="99"/>
    <w:unhideWhenUsed/>
    <w:rsid w:val="00F241CA"/>
    <w:pPr>
      <w:tabs>
        <w:tab w:val="center" w:pos="4536"/>
        <w:tab w:val="right" w:pos="9072"/>
      </w:tabs>
      <w:spacing w:line="240" w:lineRule="auto"/>
    </w:pPr>
  </w:style>
  <w:style w:type="character" w:customStyle="1" w:styleId="HeaderChar">
    <w:name w:val="Header Char"/>
    <w:basedOn w:val="DefaultParagraphFont"/>
    <w:link w:val="Header"/>
    <w:uiPriority w:val="99"/>
    <w:rsid w:val="00F241CA"/>
  </w:style>
  <w:style w:type="paragraph" w:styleId="Footer">
    <w:name w:val="footer"/>
    <w:basedOn w:val="Normal"/>
    <w:link w:val="FooterChar"/>
    <w:uiPriority w:val="99"/>
    <w:unhideWhenUsed/>
    <w:rsid w:val="00F241CA"/>
    <w:pPr>
      <w:tabs>
        <w:tab w:val="center" w:pos="4536"/>
        <w:tab w:val="right" w:pos="9072"/>
      </w:tabs>
      <w:spacing w:line="240" w:lineRule="auto"/>
    </w:pPr>
  </w:style>
  <w:style w:type="character" w:customStyle="1" w:styleId="FooterChar">
    <w:name w:val="Footer Char"/>
    <w:basedOn w:val="DefaultParagraphFont"/>
    <w:link w:val="Footer"/>
    <w:uiPriority w:val="99"/>
    <w:rsid w:val="00F241CA"/>
  </w:style>
  <w:style w:type="character" w:styleId="CommentReference">
    <w:name w:val="annotation reference"/>
    <w:basedOn w:val="DefaultParagraphFont"/>
    <w:uiPriority w:val="99"/>
    <w:semiHidden/>
    <w:unhideWhenUsed/>
    <w:qFormat/>
    <w:rsid w:val="00E024DB"/>
    <w:rPr>
      <w:sz w:val="16"/>
      <w:szCs w:val="16"/>
    </w:rPr>
  </w:style>
  <w:style w:type="paragraph" w:styleId="CommentText">
    <w:name w:val="annotation text"/>
    <w:basedOn w:val="Normal"/>
    <w:link w:val="CommentTextChar"/>
    <w:uiPriority w:val="99"/>
    <w:unhideWhenUsed/>
    <w:qFormat/>
    <w:rsid w:val="00E024DB"/>
    <w:pPr>
      <w:spacing w:line="240" w:lineRule="auto"/>
    </w:pPr>
    <w:rPr>
      <w:sz w:val="20"/>
      <w:szCs w:val="20"/>
    </w:rPr>
  </w:style>
  <w:style w:type="character" w:customStyle="1" w:styleId="CommentTextChar">
    <w:name w:val="Comment Text Char"/>
    <w:basedOn w:val="DefaultParagraphFont"/>
    <w:link w:val="CommentText"/>
    <w:uiPriority w:val="99"/>
    <w:qFormat/>
    <w:rsid w:val="00E024DB"/>
    <w:rPr>
      <w:sz w:val="20"/>
      <w:szCs w:val="20"/>
    </w:rPr>
  </w:style>
  <w:style w:type="paragraph" w:styleId="CommentSubject">
    <w:name w:val="annotation subject"/>
    <w:basedOn w:val="CommentText"/>
    <w:next w:val="CommentText"/>
    <w:link w:val="CommentSubjectChar"/>
    <w:uiPriority w:val="99"/>
    <w:semiHidden/>
    <w:unhideWhenUsed/>
    <w:rsid w:val="00E024DB"/>
    <w:rPr>
      <w:b/>
      <w:bCs/>
    </w:rPr>
  </w:style>
  <w:style w:type="character" w:customStyle="1" w:styleId="CommentSubjectChar">
    <w:name w:val="Comment Subject Char"/>
    <w:basedOn w:val="CommentTextChar"/>
    <w:link w:val="CommentSubject"/>
    <w:uiPriority w:val="99"/>
    <w:semiHidden/>
    <w:rsid w:val="00E024DB"/>
    <w:rPr>
      <w:b/>
      <w:bCs/>
      <w:sz w:val="20"/>
      <w:szCs w:val="20"/>
    </w:rPr>
  </w:style>
  <w:style w:type="paragraph" w:styleId="BalloonText">
    <w:name w:val="Balloon Text"/>
    <w:basedOn w:val="Normal"/>
    <w:link w:val="BalloonTextChar"/>
    <w:uiPriority w:val="99"/>
    <w:semiHidden/>
    <w:unhideWhenUsed/>
    <w:rsid w:val="00E024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4DB"/>
    <w:rPr>
      <w:rFonts w:ascii="Segoe UI" w:hAnsi="Segoe UI" w:cs="Segoe UI"/>
      <w:sz w:val="18"/>
      <w:szCs w:val="18"/>
    </w:rPr>
  </w:style>
  <w:style w:type="table" w:styleId="TableGrid">
    <w:name w:val="Table Grid"/>
    <w:basedOn w:val="TableNormal"/>
    <w:uiPriority w:val="39"/>
    <w:qFormat/>
    <w:rsid w:val="00FA0356"/>
    <w:pPr>
      <w:spacing w:line="240" w:lineRule="auto"/>
      <w:ind w:left="425" w:hanging="425"/>
    </w:pPr>
    <w:rPr>
      <w:rFonts w:ascii="Calibri" w:eastAsia="Calibri" w:hAnsi="Calibri" w:cs="Calibri"/>
      <w:lang w:val="en-GB"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21578"/>
    <w:pPr>
      <w:spacing w:line="240" w:lineRule="auto"/>
    </w:pPr>
    <w:rPr>
      <w:sz w:val="20"/>
      <w:szCs w:val="20"/>
    </w:rPr>
  </w:style>
  <w:style w:type="character" w:customStyle="1" w:styleId="FootnoteTextChar">
    <w:name w:val="Footnote Text Char"/>
    <w:basedOn w:val="DefaultParagraphFont"/>
    <w:link w:val="FootnoteText"/>
    <w:uiPriority w:val="99"/>
    <w:semiHidden/>
    <w:rsid w:val="00D21578"/>
    <w:rPr>
      <w:sz w:val="20"/>
      <w:szCs w:val="20"/>
    </w:rPr>
  </w:style>
  <w:style w:type="character" w:styleId="FootnoteReference">
    <w:name w:val="footnote reference"/>
    <w:basedOn w:val="DefaultParagraphFont"/>
    <w:uiPriority w:val="99"/>
    <w:semiHidden/>
    <w:unhideWhenUsed/>
    <w:rsid w:val="00D21578"/>
    <w:rPr>
      <w:vertAlign w:val="superscript"/>
    </w:rPr>
  </w:style>
  <w:style w:type="paragraph" w:styleId="Revision">
    <w:name w:val="Revision"/>
    <w:hidden/>
    <w:uiPriority w:val="99"/>
    <w:semiHidden/>
    <w:rsid w:val="00FE669F"/>
    <w:pPr>
      <w:spacing w:line="240" w:lineRule="auto"/>
    </w:pPr>
  </w:style>
  <w:style w:type="character" w:customStyle="1" w:styleId="Heading2Char">
    <w:name w:val="Heading 2 Char"/>
    <w:basedOn w:val="DefaultParagraphFont"/>
    <w:link w:val="Heading2"/>
    <w:uiPriority w:val="9"/>
    <w:semiHidden/>
    <w:rsid w:val="00362A72"/>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qFormat/>
    <w:rsid w:val="00ED166C"/>
    <w:rPr>
      <w:color w:val="0000FF" w:themeColor="hyperlink"/>
      <w:u w:val="single"/>
    </w:rPr>
  </w:style>
  <w:style w:type="character" w:styleId="UnresolvedMention">
    <w:name w:val="Unresolved Mention"/>
    <w:basedOn w:val="DefaultParagraphFont"/>
    <w:uiPriority w:val="99"/>
    <w:semiHidden/>
    <w:unhideWhenUsed/>
    <w:rsid w:val="00ED166C"/>
    <w:rPr>
      <w:color w:val="605E5C"/>
      <w:shd w:val="clear" w:color="auto" w:fill="E1DFDD"/>
    </w:rPr>
  </w:style>
  <w:style w:type="character" w:styleId="FollowedHyperlink">
    <w:name w:val="FollowedHyperlink"/>
    <w:basedOn w:val="DefaultParagraphFont"/>
    <w:uiPriority w:val="99"/>
    <w:semiHidden/>
    <w:unhideWhenUsed/>
    <w:rsid w:val="00ED166C"/>
    <w:rPr>
      <w:color w:val="800080" w:themeColor="followedHyperlink"/>
      <w:u w:val="single"/>
    </w:rPr>
  </w:style>
  <w:style w:type="character" w:customStyle="1" w:styleId="ListParagraphChar">
    <w:name w:val="List Paragraph Char"/>
    <w:aliases w:val="Rec para Char"/>
    <w:link w:val="ListParagraph"/>
    <w:uiPriority w:val="34"/>
    <w:qFormat/>
    <w:locked/>
    <w:rsid w:val="0051619C"/>
  </w:style>
  <w:style w:type="character" w:customStyle="1" w:styleId="normaltextrun">
    <w:name w:val="normaltextrun"/>
    <w:basedOn w:val="DefaultParagraphFont"/>
    <w:rsid w:val="00612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819">
      <w:bodyDiv w:val="1"/>
      <w:marLeft w:val="0"/>
      <w:marRight w:val="0"/>
      <w:marTop w:val="0"/>
      <w:marBottom w:val="0"/>
      <w:divBdr>
        <w:top w:val="none" w:sz="0" w:space="0" w:color="auto"/>
        <w:left w:val="none" w:sz="0" w:space="0" w:color="auto"/>
        <w:bottom w:val="none" w:sz="0" w:space="0" w:color="auto"/>
        <w:right w:val="none" w:sz="0" w:space="0" w:color="auto"/>
      </w:divBdr>
    </w:div>
    <w:div w:id="345906776">
      <w:bodyDiv w:val="1"/>
      <w:marLeft w:val="0"/>
      <w:marRight w:val="0"/>
      <w:marTop w:val="0"/>
      <w:marBottom w:val="0"/>
      <w:divBdr>
        <w:top w:val="none" w:sz="0" w:space="0" w:color="auto"/>
        <w:left w:val="none" w:sz="0" w:space="0" w:color="auto"/>
        <w:bottom w:val="none" w:sz="0" w:space="0" w:color="auto"/>
        <w:right w:val="none" w:sz="0" w:space="0" w:color="auto"/>
      </w:divBdr>
    </w:div>
    <w:div w:id="818768936">
      <w:bodyDiv w:val="1"/>
      <w:marLeft w:val="0"/>
      <w:marRight w:val="0"/>
      <w:marTop w:val="0"/>
      <w:marBottom w:val="0"/>
      <w:divBdr>
        <w:top w:val="none" w:sz="0" w:space="0" w:color="auto"/>
        <w:left w:val="none" w:sz="0" w:space="0" w:color="auto"/>
        <w:bottom w:val="none" w:sz="0" w:space="0" w:color="auto"/>
        <w:right w:val="none" w:sz="0" w:space="0" w:color="auto"/>
      </w:divBdr>
    </w:div>
    <w:div w:id="1027099282">
      <w:bodyDiv w:val="1"/>
      <w:marLeft w:val="0"/>
      <w:marRight w:val="0"/>
      <w:marTop w:val="0"/>
      <w:marBottom w:val="0"/>
      <w:divBdr>
        <w:top w:val="none" w:sz="0" w:space="0" w:color="auto"/>
        <w:left w:val="none" w:sz="0" w:space="0" w:color="auto"/>
        <w:bottom w:val="none" w:sz="0" w:space="0" w:color="auto"/>
        <w:right w:val="none" w:sz="0" w:space="0" w:color="auto"/>
      </w:divBdr>
    </w:div>
    <w:div w:id="1031759909">
      <w:bodyDiv w:val="1"/>
      <w:marLeft w:val="0"/>
      <w:marRight w:val="0"/>
      <w:marTop w:val="0"/>
      <w:marBottom w:val="0"/>
      <w:divBdr>
        <w:top w:val="none" w:sz="0" w:space="0" w:color="auto"/>
        <w:left w:val="none" w:sz="0" w:space="0" w:color="auto"/>
        <w:bottom w:val="none" w:sz="0" w:space="0" w:color="auto"/>
        <w:right w:val="none" w:sz="0" w:space="0" w:color="auto"/>
      </w:divBdr>
    </w:div>
    <w:div w:id="1262373856">
      <w:bodyDiv w:val="1"/>
      <w:marLeft w:val="0"/>
      <w:marRight w:val="0"/>
      <w:marTop w:val="0"/>
      <w:marBottom w:val="0"/>
      <w:divBdr>
        <w:top w:val="none" w:sz="0" w:space="0" w:color="auto"/>
        <w:left w:val="none" w:sz="0" w:space="0" w:color="auto"/>
        <w:bottom w:val="none" w:sz="0" w:space="0" w:color="auto"/>
        <w:right w:val="none" w:sz="0" w:space="0" w:color="auto"/>
      </w:divBdr>
    </w:div>
    <w:div w:id="1263337495">
      <w:bodyDiv w:val="1"/>
      <w:marLeft w:val="0"/>
      <w:marRight w:val="0"/>
      <w:marTop w:val="0"/>
      <w:marBottom w:val="0"/>
      <w:divBdr>
        <w:top w:val="none" w:sz="0" w:space="0" w:color="auto"/>
        <w:left w:val="none" w:sz="0" w:space="0" w:color="auto"/>
        <w:bottom w:val="none" w:sz="0" w:space="0" w:color="auto"/>
        <w:right w:val="none" w:sz="0" w:space="0" w:color="auto"/>
      </w:divBdr>
    </w:div>
    <w:div w:id="1357151066">
      <w:bodyDiv w:val="1"/>
      <w:marLeft w:val="0"/>
      <w:marRight w:val="0"/>
      <w:marTop w:val="0"/>
      <w:marBottom w:val="0"/>
      <w:divBdr>
        <w:top w:val="none" w:sz="0" w:space="0" w:color="auto"/>
        <w:left w:val="none" w:sz="0" w:space="0" w:color="auto"/>
        <w:bottom w:val="none" w:sz="0" w:space="0" w:color="auto"/>
        <w:right w:val="none" w:sz="0" w:space="0" w:color="auto"/>
      </w:divBdr>
    </w:div>
    <w:div w:id="1368677572">
      <w:bodyDiv w:val="1"/>
      <w:marLeft w:val="0"/>
      <w:marRight w:val="0"/>
      <w:marTop w:val="0"/>
      <w:marBottom w:val="0"/>
      <w:divBdr>
        <w:top w:val="none" w:sz="0" w:space="0" w:color="auto"/>
        <w:left w:val="none" w:sz="0" w:space="0" w:color="auto"/>
        <w:bottom w:val="none" w:sz="0" w:space="0" w:color="auto"/>
        <w:right w:val="none" w:sz="0" w:space="0" w:color="auto"/>
      </w:divBdr>
    </w:div>
    <w:div w:id="1588995257">
      <w:bodyDiv w:val="1"/>
      <w:marLeft w:val="0"/>
      <w:marRight w:val="0"/>
      <w:marTop w:val="0"/>
      <w:marBottom w:val="0"/>
      <w:divBdr>
        <w:top w:val="none" w:sz="0" w:space="0" w:color="auto"/>
        <w:left w:val="none" w:sz="0" w:space="0" w:color="auto"/>
        <w:bottom w:val="none" w:sz="0" w:space="0" w:color="auto"/>
        <w:right w:val="none" w:sz="0" w:space="0" w:color="auto"/>
      </w:divBdr>
    </w:div>
    <w:div w:id="202520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msar.org/meeting/15th-meeting-conference-contracting-par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www.ramsar.org/document/small-wetlands-their-importance-strategies-effective-conservation" TargetMode="External"/><Relationship Id="rId18" Type="http://schemas.openxmlformats.org/officeDocument/2006/relationships/hyperlink" Target="https://www.ramsar.org/document/sc63-inf3-submission-convention-wetlands-6th-meeting-ad-hoc-technical-expert-group" TargetMode="External"/><Relationship Id="rId26" Type="http://schemas.openxmlformats.org/officeDocument/2006/relationships/hyperlink" Target="https://www.ramsar.org/document/sc63-doc19-report-chair-scientific-technical-review-panel-implementation-strp-work-plan" TargetMode="External"/><Relationship Id="rId3" Type="http://schemas.openxmlformats.org/officeDocument/2006/relationships/hyperlink" Target="https://www.ramsar.org/document/sc63-doc19-report-chair-scientific-technical-review-panel-implementation-strp-work-plan" TargetMode="External"/><Relationship Id="rId21" Type="http://schemas.openxmlformats.org/officeDocument/2006/relationships/hyperlink" Target="https://www.ramsar.org/document/sc63-doc19-report-chair-scientific-technical-review-panel-implementation-strp-work-plan" TargetMode="External"/><Relationship Id="rId34" Type="http://schemas.openxmlformats.org/officeDocument/2006/relationships/hyperlink" Target="https://www.ramsar.org/sites/default/files/2024-11/Earth%20Observation%20Day%20Working%20Programme.pdf" TargetMode="External"/><Relationship Id="rId7" Type="http://schemas.openxmlformats.org/officeDocument/2006/relationships/hyperlink" Target="https://www.ramsar.org/meeting/27th-meeting-scientific-technical-review-panel" TargetMode="External"/><Relationship Id="rId12" Type="http://schemas.openxmlformats.org/officeDocument/2006/relationships/hyperlink" Target="https://www.ramsar.org/document/sc64-doc18-report-chair-scientific-technical-review-panel" TargetMode="External"/><Relationship Id="rId17" Type="http://schemas.openxmlformats.org/officeDocument/2006/relationships/hyperlink" Target="https://www.ramsar.org/document/kunming-montreal-global-biodiversity-framework-upscaling-wetland-conservation-restoration" TargetMode="External"/><Relationship Id="rId25" Type="http://schemas.openxmlformats.org/officeDocument/2006/relationships/hyperlink" Target="https://www.ramsar.org/document/sc64-inf3-draft-indicator-framework-5th-strategic-plan-convention-wetlands-preliminary" TargetMode="External"/><Relationship Id="rId33" Type="http://schemas.openxmlformats.org/officeDocument/2006/relationships/hyperlink" Target="https://www.ramsar.org/sites/default/files/2024-11/Earth%20Observation%20Consultation%20Note.pdf" TargetMode="External"/><Relationship Id="rId2" Type="http://schemas.openxmlformats.org/officeDocument/2006/relationships/hyperlink" Target="https://www.ramsar.org/document/sc62-doc19-rev1-report-chair-scientific-technical-review-panel-including-work-plan-2023" TargetMode="External"/><Relationship Id="rId16" Type="http://schemas.openxmlformats.org/officeDocument/2006/relationships/hyperlink" Target="https://www.ramsar.org/document/scaling-wetland-conservation-restoration-deliver-kunming-montreal-global-biodiversity" TargetMode="External"/><Relationship Id="rId20" Type="http://schemas.openxmlformats.org/officeDocument/2006/relationships/hyperlink" Target="https://www.ramsar.org/document/sc62-doc19-rev1-report-chair-scientific-technical-review-panel-including-work-plan-2023" TargetMode="External"/><Relationship Id="rId29" Type="http://schemas.openxmlformats.org/officeDocument/2006/relationships/hyperlink" Target="https://www.ramsar.org/document/report-decisions-63rd-meeting-standing-committee" TargetMode="External"/><Relationship Id="rId1" Type="http://schemas.openxmlformats.org/officeDocument/2006/relationships/hyperlink" Target="https://www.ramsar.org/document/scientific-technical-review-panel-strp-workplan-2023-2025" TargetMode="External"/><Relationship Id="rId6" Type="http://schemas.openxmlformats.org/officeDocument/2006/relationships/hyperlink" Target="https://www.ramsar.org/meeting/26th-meeting-scientific-technical-review-panel" TargetMode="External"/><Relationship Id="rId11" Type="http://schemas.openxmlformats.org/officeDocument/2006/relationships/hyperlink" Target="https://www.ramsar.org/document/cop15-doc2311-draft-resolution-establishment-waterbird-estimates-partnership-wep-delivery" TargetMode="External"/><Relationship Id="rId24" Type="http://schemas.openxmlformats.org/officeDocument/2006/relationships/hyperlink" Target="https://www.ramsar.org/document/sc63-doc19-report-chair-scientific-technical-review-panel-implementation-strp-work-plan" TargetMode="External"/><Relationship Id="rId32" Type="http://schemas.openxmlformats.org/officeDocument/2006/relationships/hyperlink" Target="https://www.ramsar.org/sites/default/files/2023-09/STRP_workplan_2023_2025_e.pdf" TargetMode="External"/><Relationship Id="rId5" Type="http://schemas.openxmlformats.org/officeDocument/2006/relationships/hyperlink" Target="https://www.ramsar.org/meeting/25th-meeting-scientific-technical-review-panel" TargetMode="External"/><Relationship Id="rId15" Type="http://schemas.openxmlformats.org/officeDocument/2006/relationships/hyperlink" Target="https://www.ramsar.org/document/other-effective-area-based-conservation-measures-oecms-conservation-wise-use-wetlands" TargetMode="External"/><Relationship Id="rId23" Type="http://schemas.openxmlformats.org/officeDocument/2006/relationships/hyperlink" Target="https://www.ramsar.org/document/cop15-doc2310-draft-resolution-future-implementation-scientific-technical-aspects" TargetMode="External"/><Relationship Id="rId28" Type="http://schemas.openxmlformats.org/officeDocument/2006/relationships/hyperlink" Target="https://www.ramsar.org/document/sc63-doc19-report-chair-scientific-technical-review-panel-implementation-strp-work-plan" TargetMode="External"/><Relationship Id="rId36" Type="http://schemas.openxmlformats.org/officeDocument/2006/relationships/hyperlink" Target="https://www.ramsar.org/sites/default/files/2025-01/SC64_inf2_earth_observation_consultation_e.pdf" TargetMode="External"/><Relationship Id="rId10" Type="http://schemas.openxmlformats.org/officeDocument/2006/relationships/hyperlink" Target="https://www.ramsar.org/document/sc63-doc20-technical-proposal-strp-resourcing-implementing-waterbird-population-estimates" TargetMode="External"/><Relationship Id="rId19" Type="http://schemas.openxmlformats.org/officeDocument/2006/relationships/hyperlink" Target="https://www.ramsar.org/document/sc64-doc18-report-chair-scientific-technical-review-panel" TargetMode="External"/><Relationship Id="rId31" Type="http://schemas.openxmlformats.org/officeDocument/2006/relationships/hyperlink" Target="https://www.ramsar.org/document/resolution-xiv14-future-implementation-scientific-technical-aspects-convention-2023-2025" TargetMode="External"/><Relationship Id="rId4" Type="http://schemas.openxmlformats.org/officeDocument/2006/relationships/hyperlink" Target="https://www.ramsar.org/document/sc64-doc18-report-chair-scientific-technical-review-panel" TargetMode="External"/><Relationship Id="rId9" Type="http://schemas.openxmlformats.org/officeDocument/2006/relationships/hyperlink" Target="https://www.ramsar.org/document/cop15-doc2312-draft-resolution-application-criteria-6-9-new-existing-wetlands" TargetMode="External"/><Relationship Id="rId14" Type="http://schemas.openxmlformats.org/officeDocument/2006/relationships/hyperlink" Target="https://elearning.fao.org/course/view.php?id=1194" TargetMode="External"/><Relationship Id="rId22" Type="http://schemas.openxmlformats.org/officeDocument/2006/relationships/hyperlink" Target="https://www.ramsar.org/document/sc64-doc18-report-chair-scientific-technical-review-panel" TargetMode="External"/><Relationship Id="rId27" Type="http://schemas.openxmlformats.org/officeDocument/2006/relationships/hyperlink" Target="https://www.ramsar.org/document/sc64-doc18-report-chair-scientific-technical-review-panel" TargetMode="External"/><Relationship Id="rId30" Type="http://schemas.openxmlformats.org/officeDocument/2006/relationships/hyperlink" Target="https://www.ramsar.org/document/report-decisions-64th-meeting-standing-committee" TargetMode="External"/><Relationship Id="rId35" Type="http://schemas.openxmlformats.org/officeDocument/2006/relationships/hyperlink" Target="https://www.ramsar.org/earth-observation-day" TargetMode="External"/><Relationship Id="rId8" Type="http://schemas.openxmlformats.org/officeDocument/2006/relationships/hyperlink" Target="https://www.ramsar.org/document/resolution-xiv14-future-implementation-scientific-technical-aspects-convention-2023-202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DBBB0DD72C6F488DD2E897B32177D2" ma:contentTypeVersion="5" ma:contentTypeDescription="Create a new document." ma:contentTypeScope="" ma:versionID="245d128595381047dca30d8e9b16eaf5">
  <xsd:schema xmlns:xsd="http://www.w3.org/2001/XMLSchema" xmlns:xs="http://www.w3.org/2001/XMLSchema" xmlns:p="http://schemas.microsoft.com/office/2006/metadata/properties" xmlns:ns3="c82bae87-54d2-4d35-9c82-c5c937f47684" xmlns:ns4="ed13e1a4-03b5-44b7-a6ed-2799c47f2e9b" targetNamespace="http://schemas.microsoft.com/office/2006/metadata/properties" ma:root="true" ma:fieldsID="bf79ffd2eea56d0f5b00c3379733b6be" ns3:_="" ns4:_="">
    <xsd:import namespace="c82bae87-54d2-4d35-9c82-c5c937f47684"/>
    <xsd:import namespace="ed13e1a4-03b5-44b7-a6ed-2799c47f2e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bae87-54d2-4d35-9c82-c5c937f47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13e1a4-03b5-44b7-a6ed-2799c47f2e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CEA225-ADE7-4C88-8E00-52E6D1446ED5}">
  <ds:schemaRefs>
    <ds:schemaRef ds:uri="http://schemas.microsoft.com/sharepoint/v3/contenttype/forms"/>
  </ds:schemaRefs>
</ds:datastoreItem>
</file>

<file path=customXml/itemProps2.xml><?xml version="1.0" encoding="utf-8"?>
<ds:datastoreItem xmlns:ds="http://schemas.openxmlformats.org/officeDocument/2006/customXml" ds:itemID="{E1497499-9175-4973-8FB0-5B54AB3AAF3F}">
  <ds:schemaRefs>
    <ds:schemaRef ds:uri="http://schemas.openxmlformats.org/officeDocument/2006/bibliography"/>
  </ds:schemaRefs>
</ds:datastoreItem>
</file>

<file path=customXml/itemProps3.xml><?xml version="1.0" encoding="utf-8"?>
<ds:datastoreItem xmlns:ds="http://schemas.openxmlformats.org/officeDocument/2006/customXml" ds:itemID="{15F7BC21-6F8C-4A18-9B2A-91C4898D2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bae87-54d2-4d35-9c82-c5c937f47684"/>
    <ds:schemaRef ds:uri="ed13e1a4-03b5-44b7-a6ed-2799c47f2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509DD2-3FC5-43A9-86A3-D74206D472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9634</Words>
  <Characters>56268</Characters>
  <Application>Microsoft Office Word</Application>
  <DocSecurity>0</DocSecurity>
  <Lines>1607</Lines>
  <Paragraphs>732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JENNINGS Edmund</cp:lastModifiedBy>
  <cp:revision>2</cp:revision>
  <cp:lastPrinted>2021-06-17T16:46:00Z</cp:lastPrinted>
  <dcterms:created xsi:type="dcterms:W3CDTF">2025-05-05T14:25:00Z</dcterms:created>
  <dcterms:modified xsi:type="dcterms:W3CDTF">2025-05-05T14:25:00Z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0x01010090DBBB0DD72C6F488DD2E897B32177D2</vt:lpwstr>
  </property>
</Properties>
</file>