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E" w14:textId="77777777" w:rsidR="009550DF" w:rsidRPr="000C33DF" w:rsidRDefault="009550DF" w:rsidP="008C4BA0">
      <w:pPr>
        <w:jc w:val="center"/>
        <w:outlineLvl w:val="0"/>
        <w:rPr>
          <w:rFonts w:eastAsia="Times New Roman" w:cstheme="minorHAnsi"/>
          <w:b/>
          <w:bCs/>
          <w:lang w:val="en-US"/>
        </w:rPr>
      </w:pPr>
      <w:r w:rsidRPr="000C33DF">
        <w:rPr>
          <w:rFonts w:eastAsia="Times New Roman" w:cstheme="minorHAnsi"/>
          <w:b/>
          <w:bCs/>
          <w:noProof/>
          <w:lang w:val="en-US"/>
        </w:rPr>
        <w:drawing>
          <wp:anchor distT="0" distB="0" distL="114300" distR="114300" simplePos="0" relativeHeight="251658240" behindDoc="0" locked="0" layoutInCell="1" allowOverlap="1" wp14:anchorId="7ADB7EDE" wp14:editId="3EB9E695">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EB4888" w14:textId="17605230" w:rsidR="009550DF" w:rsidRPr="00CA5940" w:rsidRDefault="009550DF" w:rsidP="008C4BA0">
      <w:pPr>
        <w:jc w:val="center"/>
        <w:outlineLvl w:val="0"/>
        <w:rPr>
          <w:rFonts w:eastAsia="Times New Roman" w:cstheme="minorHAnsi"/>
          <w:b/>
          <w:bCs/>
        </w:rPr>
      </w:pPr>
      <w:r w:rsidRPr="00CA5940">
        <w:rPr>
          <w:rFonts w:eastAsia="Times New Roman" w:cstheme="minorHAnsi"/>
          <w:b/>
          <w:bCs/>
        </w:rPr>
        <w:t>15</w:t>
      </w:r>
      <w:r w:rsidR="00F53533">
        <w:rPr>
          <w:rFonts w:eastAsia="Times New Roman" w:cstheme="minorHAnsi"/>
          <w:b/>
          <w:bCs/>
        </w:rPr>
        <w:t>e</w:t>
      </w:r>
      <w:r w:rsidRPr="00CA5940">
        <w:rPr>
          <w:rFonts w:eastAsia="Times New Roman" w:cstheme="minorHAnsi"/>
          <w:b/>
          <w:bCs/>
        </w:rPr>
        <w:t xml:space="preserve"> </w:t>
      </w:r>
      <w:r w:rsidR="00F53533">
        <w:rPr>
          <w:rFonts w:eastAsia="Times New Roman" w:cstheme="minorHAnsi"/>
          <w:b/>
          <w:bCs/>
        </w:rPr>
        <w:t>S</w:t>
      </w:r>
      <w:r w:rsidRPr="00CA5940">
        <w:rPr>
          <w:rFonts w:eastAsia="Times New Roman" w:cstheme="minorHAnsi"/>
          <w:b/>
          <w:bCs/>
        </w:rPr>
        <w:t xml:space="preserve">ession de la </w:t>
      </w:r>
      <w:r w:rsidR="00CA5940" w:rsidRPr="00CA5940">
        <w:rPr>
          <w:rFonts w:eastAsia="Times New Roman" w:cstheme="minorHAnsi"/>
          <w:b/>
          <w:bCs/>
        </w:rPr>
        <w:t>Conférence</w:t>
      </w:r>
      <w:r w:rsidRPr="00CA5940">
        <w:rPr>
          <w:rFonts w:eastAsia="Times New Roman" w:cstheme="minorHAnsi"/>
          <w:b/>
          <w:bCs/>
        </w:rPr>
        <w:t xml:space="preserve"> des Parties contractantes</w:t>
      </w:r>
    </w:p>
    <w:p w14:paraId="214A41D4" w14:textId="77777777" w:rsidR="009550DF" w:rsidRPr="00CA5940" w:rsidRDefault="009550DF" w:rsidP="008C4BA0">
      <w:pPr>
        <w:jc w:val="center"/>
        <w:outlineLvl w:val="0"/>
        <w:rPr>
          <w:rFonts w:eastAsia="Times New Roman" w:cstheme="minorHAnsi"/>
          <w:b/>
          <w:bCs/>
        </w:rPr>
      </w:pPr>
      <w:r w:rsidRPr="00CA5940">
        <w:rPr>
          <w:rFonts w:eastAsia="Times New Roman" w:cstheme="minorHAnsi"/>
          <w:b/>
          <w:bCs/>
        </w:rPr>
        <w:t>à la Convention sur les zones humides</w:t>
      </w:r>
    </w:p>
    <w:p w14:paraId="38CC333D" w14:textId="77777777" w:rsidR="009550DF" w:rsidRPr="00CA5940" w:rsidRDefault="009550DF" w:rsidP="008C4BA0">
      <w:pPr>
        <w:jc w:val="center"/>
        <w:outlineLvl w:val="0"/>
        <w:rPr>
          <w:rFonts w:eastAsia="Times New Roman" w:cstheme="minorHAnsi"/>
          <w:b/>
          <w:bCs/>
        </w:rPr>
      </w:pPr>
    </w:p>
    <w:p w14:paraId="0CD6811B" w14:textId="6525C91C" w:rsidR="009550DF" w:rsidRPr="00CA5940" w:rsidRDefault="00CA5940" w:rsidP="008C4BA0">
      <w:pPr>
        <w:jc w:val="center"/>
        <w:outlineLvl w:val="0"/>
        <w:rPr>
          <w:rFonts w:eastAsia="Times New Roman" w:cstheme="minorHAnsi"/>
          <w:b/>
          <w:bCs/>
        </w:rPr>
      </w:pPr>
      <w:r>
        <w:rPr>
          <w:rFonts w:eastAsia="Times New Roman" w:cstheme="minorHAnsi"/>
          <w:b/>
          <w:bCs/>
        </w:rPr>
        <w:t>« </w:t>
      </w:r>
      <w:r w:rsidR="009550DF" w:rsidRPr="00CA5940">
        <w:rPr>
          <w:rFonts w:eastAsia="Times New Roman" w:cstheme="minorHAnsi"/>
          <w:b/>
          <w:bCs/>
        </w:rPr>
        <w:t>Protéger les zones humides pour notre avenir commun</w:t>
      </w:r>
      <w:r w:rsidR="00F53533">
        <w:rPr>
          <w:rFonts w:eastAsia="Times New Roman" w:cstheme="minorHAnsi"/>
          <w:b/>
          <w:bCs/>
        </w:rPr>
        <w:t> »</w:t>
      </w:r>
    </w:p>
    <w:p w14:paraId="1C23A966" w14:textId="77777777" w:rsidR="009550DF" w:rsidRPr="00CA5940" w:rsidRDefault="009550DF" w:rsidP="008C4BA0">
      <w:pPr>
        <w:jc w:val="center"/>
        <w:outlineLvl w:val="0"/>
        <w:rPr>
          <w:rFonts w:eastAsia="Times New Roman" w:cstheme="minorHAnsi"/>
          <w:b/>
          <w:bCs/>
        </w:rPr>
      </w:pPr>
      <w:r w:rsidRPr="00CA5940">
        <w:rPr>
          <w:rFonts w:eastAsia="Times New Roman" w:cstheme="minorHAnsi"/>
          <w:b/>
          <w:bCs/>
        </w:rPr>
        <w:t>Victoria Falls, Zimbabwe, 23-31 juillet 2025</w:t>
      </w:r>
    </w:p>
    <w:p w14:paraId="1F267790" w14:textId="77777777" w:rsidR="009550DF" w:rsidRPr="00CA5940" w:rsidRDefault="009550DF" w:rsidP="008C4BA0">
      <w:pPr>
        <w:jc w:val="center"/>
        <w:outlineLvl w:val="0"/>
        <w:rPr>
          <w:rFonts w:eastAsia="Times New Roman" w:cstheme="minorHAnsi"/>
          <w:b/>
          <w:bCs/>
        </w:rPr>
      </w:pPr>
    </w:p>
    <w:p w14:paraId="21C58A0F" w14:textId="77777777" w:rsidR="009550DF" w:rsidRPr="00CA5940" w:rsidRDefault="009550DF" w:rsidP="008C4BA0">
      <w:pPr>
        <w:jc w:val="center"/>
        <w:outlineLvl w:val="0"/>
        <w:rPr>
          <w:rFonts w:eastAsia="Times New Roman" w:cstheme="minorHAnsi"/>
          <w:b/>
          <w:bCs/>
        </w:rPr>
      </w:pPr>
    </w:p>
    <w:p w14:paraId="324E2483" w14:textId="77777777" w:rsidR="009550DF" w:rsidRPr="00CA5940" w:rsidRDefault="009550DF" w:rsidP="008C4BA0">
      <w:pPr>
        <w:jc w:val="center"/>
        <w:outlineLvl w:val="0"/>
        <w:rPr>
          <w:rFonts w:eastAsia="Times New Roman" w:cstheme="minorHAnsi"/>
          <w:b/>
          <w:bCs/>
        </w:rPr>
      </w:pPr>
    </w:p>
    <w:p w14:paraId="1C6919D7" w14:textId="76F98973" w:rsidR="006C4071" w:rsidRPr="00CA5940" w:rsidRDefault="00BA4D2B" w:rsidP="008C4BA0">
      <w:pPr>
        <w:jc w:val="right"/>
        <w:rPr>
          <w:rFonts w:cstheme="minorHAnsi"/>
          <w:b/>
          <w:sz w:val="28"/>
          <w:szCs w:val="28"/>
        </w:rPr>
      </w:pPr>
      <w:r w:rsidRPr="00CA5940">
        <w:rPr>
          <w:rFonts w:cstheme="minorHAnsi"/>
          <w:b/>
          <w:sz w:val="28"/>
          <w:szCs w:val="28"/>
        </w:rPr>
        <w:t xml:space="preserve">COP15 </w:t>
      </w:r>
      <w:r w:rsidR="006C4071" w:rsidRPr="00CA5940">
        <w:rPr>
          <w:rFonts w:cstheme="minorHAnsi"/>
          <w:b/>
          <w:sz w:val="28"/>
          <w:szCs w:val="28"/>
        </w:rPr>
        <w:t>Doc.</w:t>
      </w:r>
      <w:r w:rsidR="00716389" w:rsidRPr="00CA5940">
        <w:rPr>
          <w:rFonts w:cstheme="minorHAnsi"/>
          <w:b/>
          <w:sz w:val="28"/>
          <w:szCs w:val="28"/>
        </w:rPr>
        <w:t>10</w:t>
      </w:r>
    </w:p>
    <w:p w14:paraId="07111A5C" w14:textId="77777777" w:rsidR="006C4071" w:rsidRPr="00CA5940" w:rsidRDefault="006C4071" w:rsidP="008C4BA0">
      <w:pPr>
        <w:jc w:val="center"/>
        <w:rPr>
          <w:rFonts w:cstheme="minorHAnsi"/>
          <w:bCs/>
          <w:sz w:val="22"/>
          <w:szCs w:val="22"/>
        </w:rPr>
      </w:pPr>
    </w:p>
    <w:p w14:paraId="71206A10" w14:textId="419FCB24" w:rsidR="00CF5664" w:rsidRPr="00CA5940" w:rsidRDefault="00CF5664" w:rsidP="008C4BA0">
      <w:pPr>
        <w:pStyle w:val="NormalWeb"/>
        <w:spacing w:before="0" w:beforeAutospacing="0" w:after="0" w:afterAutospacing="0"/>
        <w:jc w:val="center"/>
        <w:rPr>
          <w:rFonts w:asciiTheme="minorHAnsi" w:hAnsiTheme="minorHAnsi" w:cstheme="minorHAnsi"/>
          <w:sz w:val="22"/>
          <w:szCs w:val="22"/>
          <w:lang w:val="fr-FR"/>
        </w:rPr>
      </w:pPr>
    </w:p>
    <w:p w14:paraId="581372D7" w14:textId="34FF068E" w:rsidR="006C4071" w:rsidRPr="00F53533" w:rsidRDefault="001D15DC" w:rsidP="00EC5C46">
      <w:pPr>
        <w:pStyle w:val="NormalWeb"/>
        <w:spacing w:before="0" w:beforeAutospacing="0" w:after="0" w:afterAutospacing="0"/>
        <w:jc w:val="center"/>
        <w:rPr>
          <w:rFonts w:asciiTheme="minorHAnsi" w:hAnsiTheme="minorHAnsi" w:cstheme="minorHAnsi"/>
          <w:b/>
          <w:bCs/>
          <w:color w:val="000000"/>
          <w:sz w:val="28"/>
          <w:szCs w:val="28"/>
          <w:lang w:val="fr-FR"/>
        </w:rPr>
      </w:pPr>
      <w:r w:rsidRPr="00CA5940">
        <w:rPr>
          <w:rFonts w:asciiTheme="minorHAnsi" w:hAnsiTheme="minorHAnsi" w:cstheme="minorHAnsi"/>
          <w:b/>
          <w:bCs/>
          <w:color w:val="000000"/>
          <w:sz w:val="28"/>
          <w:szCs w:val="28"/>
          <w:lang w:val="fr-FR"/>
        </w:rPr>
        <w:t xml:space="preserve">Rapport </w:t>
      </w:r>
      <w:r w:rsidR="000C33DF" w:rsidRPr="00CA5940">
        <w:rPr>
          <w:rFonts w:asciiTheme="minorHAnsi" w:hAnsiTheme="minorHAnsi" w:cstheme="minorHAnsi"/>
          <w:b/>
          <w:bCs/>
          <w:color w:val="000000"/>
          <w:sz w:val="28"/>
          <w:szCs w:val="28"/>
          <w:lang w:val="fr-FR"/>
        </w:rPr>
        <w:t xml:space="preserve">du </w:t>
      </w:r>
      <w:r w:rsidR="00F53533">
        <w:rPr>
          <w:rFonts w:asciiTheme="minorHAnsi" w:hAnsiTheme="minorHAnsi" w:cstheme="minorHAnsi"/>
          <w:b/>
          <w:bCs/>
          <w:color w:val="000000"/>
          <w:sz w:val="28"/>
          <w:szCs w:val="28"/>
          <w:lang w:val="fr-FR"/>
        </w:rPr>
        <w:t>P</w:t>
      </w:r>
      <w:r w:rsidR="000C33DF" w:rsidRPr="00CA5940">
        <w:rPr>
          <w:rFonts w:asciiTheme="minorHAnsi" w:hAnsiTheme="minorHAnsi" w:cstheme="minorHAnsi"/>
          <w:b/>
          <w:bCs/>
          <w:color w:val="000000"/>
          <w:sz w:val="28"/>
          <w:szCs w:val="28"/>
          <w:lang w:val="fr-FR"/>
        </w:rPr>
        <w:t xml:space="preserve">résident </w:t>
      </w:r>
      <w:r w:rsidR="00F53533" w:rsidRPr="00F53533">
        <w:rPr>
          <w:rFonts w:asciiTheme="minorHAnsi" w:hAnsiTheme="minorHAnsi" w:cstheme="minorHAnsi"/>
          <w:b/>
          <w:bCs/>
          <w:color w:val="000000"/>
          <w:sz w:val="28"/>
          <w:szCs w:val="28"/>
          <w:lang w:val="fr-FR"/>
        </w:rPr>
        <w:t>d</w:t>
      </w:r>
      <w:r w:rsidR="00F53533">
        <w:rPr>
          <w:rFonts w:asciiTheme="minorHAnsi" w:hAnsiTheme="minorHAnsi" w:cstheme="minorHAnsi"/>
          <w:b/>
          <w:bCs/>
          <w:color w:val="000000"/>
          <w:sz w:val="28"/>
          <w:szCs w:val="28"/>
          <w:lang w:val="fr-FR"/>
        </w:rPr>
        <w:t xml:space="preserve">u </w:t>
      </w:r>
      <w:r w:rsidR="00F53533" w:rsidRPr="00F53533">
        <w:rPr>
          <w:rFonts w:asciiTheme="minorHAnsi" w:hAnsiTheme="minorHAnsi" w:cstheme="minorHAnsi"/>
          <w:b/>
          <w:bCs/>
          <w:color w:val="000000"/>
          <w:sz w:val="28"/>
          <w:szCs w:val="28"/>
          <w:lang w:val="fr-FR"/>
        </w:rPr>
        <w:t>Groupe de surveillance des</w:t>
      </w:r>
      <w:r w:rsidR="00F53533">
        <w:rPr>
          <w:rFonts w:asciiTheme="minorHAnsi" w:hAnsiTheme="minorHAnsi" w:cstheme="minorHAnsi"/>
          <w:b/>
          <w:bCs/>
          <w:color w:val="000000"/>
          <w:sz w:val="28"/>
          <w:szCs w:val="28"/>
          <w:lang w:val="fr-FR"/>
        </w:rPr>
        <w:t xml:space="preserve"> </w:t>
      </w:r>
      <w:r w:rsidR="00F53533" w:rsidRPr="00F53533">
        <w:rPr>
          <w:rFonts w:asciiTheme="minorHAnsi" w:hAnsiTheme="minorHAnsi" w:cstheme="minorHAnsi"/>
          <w:b/>
          <w:bCs/>
          <w:color w:val="000000"/>
          <w:sz w:val="28"/>
          <w:szCs w:val="28"/>
          <w:lang w:val="fr-FR"/>
        </w:rPr>
        <w:t>activités d</w:t>
      </w:r>
      <w:r w:rsidR="00F53533">
        <w:rPr>
          <w:rFonts w:asciiTheme="minorHAnsi" w:hAnsiTheme="minorHAnsi" w:cstheme="minorHAnsi"/>
          <w:b/>
          <w:bCs/>
          <w:color w:val="000000"/>
          <w:sz w:val="28"/>
          <w:szCs w:val="28"/>
          <w:lang w:val="fr-FR"/>
        </w:rPr>
        <w:t>e</w:t>
      </w:r>
      <w:r w:rsidR="00F53533" w:rsidRPr="00F53533">
        <w:rPr>
          <w:rFonts w:asciiTheme="minorHAnsi" w:hAnsiTheme="minorHAnsi" w:cstheme="minorHAnsi"/>
          <w:b/>
          <w:bCs/>
          <w:color w:val="000000"/>
          <w:sz w:val="28"/>
          <w:szCs w:val="28"/>
          <w:lang w:val="fr-FR"/>
        </w:rPr>
        <w:t xml:space="preserve"> CESP</w:t>
      </w:r>
      <w:r w:rsidR="000C33DF" w:rsidRPr="00CA5940">
        <w:rPr>
          <w:rFonts w:asciiTheme="minorHAnsi" w:hAnsiTheme="minorHAnsi" w:cstheme="minorHAnsi"/>
          <w:b/>
          <w:bCs/>
          <w:color w:val="000000"/>
          <w:sz w:val="28"/>
          <w:szCs w:val="28"/>
          <w:lang w:val="fr-FR"/>
        </w:rPr>
        <w:t xml:space="preserve"> </w:t>
      </w:r>
      <w:r w:rsidRPr="00CA5940">
        <w:rPr>
          <w:rFonts w:asciiTheme="minorHAnsi" w:hAnsiTheme="minorHAnsi" w:cstheme="minorHAnsi"/>
          <w:b/>
          <w:bCs/>
          <w:color w:val="000000"/>
          <w:sz w:val="28"/>
          <w:szCs w:val="28"/>
          <w:lang w:val="fr-FR"/>
        </w:rPr>
        <w:t>sur la mise en œuvre</w:t>
      </w:r>
      <w:r w:rsidR="00F53533">
        <w:rPr>
          <w:rFonts w:asciiTheme="minorHAnsi" w:hAnsiTheme="minorHAnsi" w:cstheme="minorHAnsi"/>
          <w:b/>
          <w:bCs/>
          <w:color w:val="000000"/>
          <w:sz w:val="28"/>
          <w:szCs w:val="28"/>
          <w:lang w:val="fr-FR"/>
        </w:rPr>
        <w:t xml:space="preserve"> </w:t>
      </w:r>
      <w:r w:rsidRPr="00CA5940">
        <w:rPr>
          <w:rFonts w:asciiTheme="minorHAnsi" w:hAnsiTheme="minorHAnsi" w:cstheme="minorHAnsi"/>
          <w:b/>
          <w:bCs/>
          <w:color w:val="000000"/>
          <w:sz w:val="28"/>
          <w:szCs w:val="28"/>
          <w:lang w:val="fr-FR"/>
        </w:rPr>
        <w:t xml:space="preserve">du </w:t>
      </w:r>
      <w:r w:rsidR="00F53533">
        <w:rPr>
          <w:rFonts w:asciiTheme="minorHAnsi" w:hAnsiTheme="minorHAnsi" w:cstheme="minorHAnsi"/>
          <w:b/>
          <w:bCs/>
          <w:color w:val="000000"/>
          <w:sz w:val="28"/>
          <w:szCs w:val="28"/>
          <w:lang w:val="fr-FR"/>
        </w:rPr>
        <w:t>P</w:t>
      </w:r>
      <w:r w:rsidRPr="00CA5940">
        <w:rPr>
          <w:rFonts w:asciiTheme="minorHAnsi" w:hAnsiTheme="minorHAnsi" w:cstheme="minorHAnsi"/>
          <w:b/>
          <w:bCs/>
          <w:color w:val="000000"/>
          <w:sz w:val="28"/>
          <w:szCs w:val="28"/>
          <w:lang w:val="fr-FR"/>
        </w:rPr>
        <w:t xml:space="preserve">rogramme </w:t>
      </w:r>
      <w:r w:rsidR="00F53533">
        <w:rPr>
          <w:rFonts w:asciiTheme="minorHAnsi" w:hAnsiTheme="minorHAnsi" w:cstheme="minorHAnsi"/>
          <w:b/>
          <w:bCs/>
          <w:color w:val="000000"/>
          <w:sz w:val="28"/>
          <w:szCs w:val="28"/>
          <w:lang w:val="fr-FR"/>
        </w:rPr>
        <w:t xml:space="preserve">de </w:t>
      </w:r>
      <w:r w:rsidRPr="00CA5940">
        <w:rPr>
          <w:rFonts w:asciiTheme="minorHAnsi" w:hAnsiTheme="minorHAnsi" w:cstheme="minorHAnsi"/>
          <w:b/>
          <w:bCs/>
          <w:color w:val="000000"/>
          <w:sz w:val="28"/>
          <w:szCs w:val="28"/>
          <w:lang w:val="fr-FR"/>
        </w:rPr>
        <w:t>CESP 2016-2024</w:t>
      </w:r>
    </w:p>
    <w:p w14:paraId="1A78CC29" w14:textId="77777777" w:rsidR="002B57D1" w:rsidRPr="00CA5940" w:rsidRDefault="002B57D1" w:rsidP="00EC5C46">
      <w:pPr>
        <w:pStyle w:val="NormalWeb"/>
        <w:spacing w:before="0" w:beforeAutospacing="0" w:after="0" w:afterAutospacing="0"/>
        <w:jc w:val="center"/>
        <w:rPr>
          <w:rFonts w:asciiTheme="minorHAnsi" w:hAnsiTheme="minorHAnsi" w:cstheme="minorHAnsi"/>
          <w:b/>
          <w:bCs/>
          <w:sz w:val="2"/>
          <w:szCs w:val="2"/>
          <w:lang w:val="fr-FR"/>
        </w:rPr>
      </w:pPr>
    </w:p>
    <w:p w14:paraId="4BDCA521" w14:textId="77777777" w:rsidR="006C4071" w:rsidRPr="00EC5C46" w:rsidRDefault="006C4071" w:rsidP="00EC5C46">
      <w:pPr>
        <w:rPr>
          <w:rFonts w:eastAsia="Times New Roman" w:cstheme="minorHAnsi"/>
          <w:b/>
          <w:bCs/>
          <w:sz w:val="22"/>
          <w:szCs w:val="22"/>
          <w:lang w:eastAsia="fr-CA"/>
        </w:rPr>
      </w:pPr>
    </w:p>
    <w:p w14:paraId="2547147E" w14:textId="77777777" w:rsidR="006C4071" w:rsidRPr="00EC5C46" w:rsidRDefault="006C4071" w:rsidP="00EC5C46">
      <w:pPr>
        <w:rPr>
          <w:rFonts w:eastAsia="Times New Roman" w:cstheme="minorHAnsi"/>
          <w:b/>
          <w:bCs/>
          <w:sz w:val="22"/>
          <w:szCs w:val="22"/>
          <w:lang w:eastAsia="fr-CA"/>
        </w:rPr>
      </w:pPr>
    </w:p>
    <w:p w14:paraId="2CC5741A" w14:textId="77777777" w:rsidR="00DD5506" w:rsidRPr="00CA5940" w:rsidRDefault="00DD5506" w:rsidP="008C4BA0">
      <w:pPr>
        <w:autoSpaceDE w:val="0"/>
        <w:autoSpaceDN w:val="0"/>
        <w:adjustRightInd w:val="0"/>
        <w:rPr>
          <w:rFonts w:cstheme="minorHAnsi"/>
          <w:b/>
          <w:sz w:val="22"/>
          <w:szCs w:val="22"/>
        </w:rPr>
      </w:pPr>
      <w:r w:rsidRPr="00CA5940">
        <w:rPr>
          <w:rFonts w:cstheme="minorHAnsi"/>
          <w:b/>
          <w:sz w:val="22"/>
          <w:szCs w:val="22"/>
        </w:rPr>
        <w:t>Résumé</w:t>
      </w:r>
    </w:p>
    <w:p w14:paraId="2E03CF6E" w14:textId="77777777" w:rsidR="00DD5506" w:rsidRPr="00CA5940" w:rsidRDefault="00DD5506" w:rsidP="008C4BA0">
      <w:pPr>
        <w:pStyle w:val="BodyText"/>
        <w:widowControl/>
        <w:ind w:left="425" w:hanging="425"/>
        <w:rPr>
          <w:rFonts w:asciiTheme="minorHAnsi" w:hAnsiTheme="minorHAnsi" w:cstheme="minorHAnsi"/>
          <w:lang w:val="fr-FR"/>
        </w:rPr>
      </w:pPr>
    </w:p>
    <w:p w14:paraId="63397B76" w14:textId="3F9F8AEC" w:rsidR="00DD5506" w:rsidRPr="00CA5940" w:rsidRDefault="00DD5506" w:rsidP="00D0197C">
      <w:pPr>
        <w:pStyle w:val="BodyText"/>
        <w:ind w:left="425" w:hanging="425"/>
        <w:rPr>
          <w:rFonts w:asciiTheme="minorHAnsi" w:hAnsiTheme="minorHAnsi" w:cstheme="minorHAnsi"/>
          <w:lang w:val="fr-FR"/>
        </w:rPr>
      </w:pPr>
      <w:r w:rsidRPr="00CA5940">
        <w:rPr>
          <w:rFonts w:asciiTheme="minorHAnsi" w:hAnsiTheme="minorHAnsi" w:cstheme="minorHAnsi"/>
          <w:lang w:val="fr-FR"/>
        </w:rPr>
        <w:t>1.</w:t>
      </w:r>
      <w:r w:rsidRPr="00CA5940">
        <w:rPr>
          <w:rFonts w:asciiTheme="minorHAnsi" w:hAnsiTheme="minorHAnsi" w:cstheme="minorHAnsi"/>
          <w:lang w:val="fr-FR"/>
        </w:rPr>
        <w:tab/>
        <w:t xml:space="preserve">Le présent </w:t>
      </w:r>
      <w:r w:rsidR="003933A7" w:rsidRPr="00CA5940">
        <w:rPr>
          <w:rFonts w:asciiTheme="minorHAnsi" w:hAnsiTheme="minorHAnsi" w:cstheme="minorHAnsi"/>
          <w:lang w:val="fr-FR"/>
        </w:rPr>
        <w:t xml:space="preserve">rapport </w:t>
      </w:r>
      <w:r w:rsidR="00301F7A">
        <w:rPr>
          <w:rFonts w:asciiTheme="minorHAnsi" w:hAnsiTheme="minorHAnsi" w:cstheme="minorHAnsi"/>
          <w:lang w:val="fr-FR"/>
        </w:rPr>
        <w:t>fait le point sur l</w:t>
      </w:r>
      <w:r w:rsidRPr="00CA5940">
        <w:rPr>
          <w:rFonts w:asciiTheme="minorHAnsi" w:hAnsiTheme="minorHAnsi" w:cstheme="minorHAnsi"/>
          <w:lang w:val="fr-FR"/>
        </w:rPr>
        <w:t xml:space="preserve">es progrès </w:t>
      </w:r>
      <w:r w:rsidR="00AF3B64">
        <w:rPr>
          <w:rFonts w:asciiTheme="minorHAnsi" w:hAnsiTheme="minorHAnsi" w:cstheme="minorHAnsi"/>
          <w:lang w:val="fr-FR"/>
        </w:rPr>
        <w:t>accompli</w:t>
      </w:r>
      <w:r w:rsidRPr="00CA5940">
        <w:rPr>
          <w:rFonts w:asciiTheme="minorHAnsi" w:hAnsiTheme="minorHAnsi" w:cstheme="minorHAnsi"/>
          <w:lang w:val="fr-FR"/>
        </w:rPr>
        <w:t xml:space="preserve">s </w:t>
      </w:r>
      <w:r w:rsidR="00F53533">
        <w:rPr>
          <w:rFonts w:asciiTheme="minorHAnsi" w:hAnsiTheme="minorHAnsi" w:cstheme="minorHAnsi"/>
          <w:lang w:val="fr-FR"/>
        </w:rPr>
        <w:t xml:space="preserve">en matière de </w:t>
      </w:r>
      <w:r w:rsidRPr="00CA5940">
        <w:rPr>
          <w:rFonts w:asciiTheme="minorHAnsi" w:hAnsiTheme="minorHAnsi" w:cstheme="minorHAnsi"/>
          <w:lang w:val="fr-FR"/>
        </w:rPr>
        <w:t xml:space="preserve">mise en œuvre du </w:t>
      </w:r>
      <w:r w:rsidR="00F53533">
        <w:rPr>
          <w:rFonts w:asciiTheme="minorHAnsi" w:hAnsiTheme="minorHAnsi" w:cstheme="minorHAnsi"/>
          <w:lang w:val="fr-FR"/>
        </w:rPr>
        <w:t>P</w:t>
      </w:r>
      <w:r w:rsidRPr="00CA5940">
        <w:rPr>
          <w:rFonts w:asciiTheme="minorHAnsi" w:hAnsiTheme="minorHAnsi" w:cstheme="minorHAnsi"/>
          <w:lang w:val="fr-FR"/>
        </w:rPr>
        <w:t xml:space="preserve">rogramme </w:t>
      </w:r>
      <w:r w:rsidR="00D0197C" w:rsidRPr="00D0197C">
        <w:rPr>
          <w:rFonts w:asciiTheme="minorHAnsi" w:hAnsiTheme="minorHAnsi" w:cstheme="minorHAnsi"/>
          <w:lang w:val="fr-FR"/>
        </w:rPr>
        <w:t>relatif à la communication, au</w:t>
      </w:r>
      <w:r w:rsidR="00D0197C">
        <w:rPr>
          <w:rFonts w:asciiTheme="minorHAnsi" w:hAnsiTheme="minorHAnsi" w:cstheme="minorHAnsi"/>
          <w:lang w:val="fr-FR"/>
        </w:rPr>
        <w:t xml:space="preserve"> </w:t>
      </w:r>
      <w:r w:rsidR="00D0197C" w:rsidRPr="00D0197C">
        <w:rPr>
          <w:rFonts w:asciiTheme="minorHAnsi" w:hAnsiTheme="minorHAnsi" w:cstheme="minorHAnsi"/>
          <w:lang w:val="fr-FR"/>
        </w:rPr>
        <w:t>renforcement des capacités, à l’éducation, à la sensibilisation et à la</w:t>
      </w:r>
      <w:r w:rsidR="00D0197C">
        <w:rPr>
          <w:rFonts w:asciiTheme="minorHAnsi" w:hAnsiTheme="minorHAnsi" w:cstheme="minorHAnsi"/>
          <w:lang w:val="fr-FR"/>
        </w:rPr>
        <w:t xml:space="preserve"> </w:t>
      </w:r>
      <w:r w:rsidR="00D0197C" w:rsidRPr="00D0197C">
        <w:rPr>
          <w:rFonts w:asciiTheme="minorHAnsi" w:hAnsiTheme="minorHAnsi" w:cstheme="minorHAnsi"/>
          <w:lang w:val="fr-FR"/>
        </w:rPr>
        <w:t>participatio</w:t>
      </w:r>
      <w:r w:rsidR="00D0197C">
        <w:rPr>
          <w:rFonts w:asciiTheme="minorHAnsi" w:hAnsiTheme="minorHAnsi" w:cstheme="minorHAnsi"/>
          <w:lang w:val="fr-FR"/>
        </w:rPr>
        <w:t>n</w:t>
      </w:r>
      <w:r w:rsidRPr="00CA5940">
        <w:rPr>
          <w:rFonts w:asciiTheme="minorHAnsi" w:hAnsiTheme="minorHAnsi" w:cstheme="minorHAnsi"/>
          <w:lang w:val="fr-FR"/>
        </w:rPr>
        <w:t xml:space="preserve"> (CESP) </w:t>
      </w:r>
      <w:r w:rsidR="00D0197C">
        <w:rPr>
          <w:rFonts w:asciiTheme="minorHAnsi" w:hAnsiTheme="minorHAnsi" w:cstheme="minorHAnsi"/>
          <w:lang w:val="fr-FR"/>
        </w:rPr>
        <w:t xml:space="preserve">entre </w:t>
      </w:r>
      <w:r w:rsidR="0007775B" w:rsidRPr="00CA5940">
        <w:rPr>
          <w:rFonts w:asciiTheme="minorHAnsi" w:hAnsiTheme="minorHAnsi" w:cstheme="minorHAnsi"/>
          <w:lang w:val="fr-FR"/>
        </w:rPr>
        <w:t xml:space="preserve">2022 </w:t>
      </w:r>
      <w:r w:rsidR="00D0197C">
        <w:rPr>
          <w:rFonts w:asciiTheme="minorHAnsi" w:hAnsiTheme="minorHAnsi" w:cstheme="minorHAnsi"/>
          <w:lang w:val="fr-FR"/>
        </w:rPr>
        <w:t>et</w:t>
      </w:r>
      <w:r w:rsidR="003C24F3" w:rsidRPr="00CA5940">
        <w:rPr>
          <w:rFonts w:asciiTheme="minorHAnsi" w:hAnsiTheme="minorHAnsi" w:cstheme="minorHAnsi"/>
          <w:lang w:val="fr-FR"/>
        </w:rPr>
        <w:t xml:space="preserve"> </w:t>
      </w:r>
      <w:r w:rsidR="00C97F39" w:rsidRPr="00CA5940">
        <w:rPr>
          <w:rFonts w:asciiTheme="minorHAnsi" w:hAnsiTheme="minorHAnsi" w:cstheme="minorHAnsi"/>
          <w:lang w:val="fr-FR"/>
        </w:rPr>
        <w:t>mars 2025</w:t>
      </w:r>
      <w:r w:rsidRPr="00CA5940">
        <w:rPr>
          <w:rFonts w:asciiTheme="minorHAnsi" w:hAnsiTheme="minorHAnsi" w:cstheme="minorHAnsi"/>
          <w:lang w:val="fr-FR"/>
        </w:rPr>
        <w:t>.</w:t>
      </w:r>
    </w:p>
    <w:p w14:paraId="2F42492A" w14:textId="77777777" w:rsidR="00DD5506" w:rsidRPr="00CA5940" w:rsidRDefault="00DD5506" w:rsidP="008C4BA0">
      <w:pPr>
        <w:pStyle w:val="BodyText"/>
        <w:widowControl/>
        <w:ind w:left="425" w:hanging="425"/>
        <w:rPr>
          <w:rFonts w:asciiTheme="minorHAnsi" w:hAnsiTheme="minorHAnsi" w:cstheme="minorHAnsi"/>
          <w:lang w:val="fr-FR"/>
        </w:rPr>
      </w:pPr>
    </w:p>
    <w:p w14:paraId="1CFDAE4C" w14:textId="7846FAFF" w:rsidR="00DD5506" w:rsidRPr="00CA5940" w:rsidRDefault="00DD5506" w:rsidP="008C4BA0">
      <w:pPr>
        <w:pStyle w:val="BodyText"/>
        <w:widowControl/>
        <w:ind w:left="425" w:hanging="425"/>
        <w:rPr>
          <w:rFonts w:asciiTheme="minorHAnsi" w:hAnsiTheme="minorHAnsi" w:cstheme="minorHAnsi"/>
          <w:lang w:val="fr-FR"/>
        </w:rPr>
      </w:pPr>
      <w:r w:rsidRPr="00CA5940">
        <w:rPr>
          <w:rFonts w:asciiTheme="minorHAnsi" w:hAnsiTheme="minorHAnsi" w:cstheme="minorHAnsi"/>
          <w:lang w:val="fr-FR"/>
        </w:rPr>
        <w:t>2.</w:t>
      </w:r>
      <w:r w:rsidRPr="00CA5940">
        <w:rPr>
          <w:rFonts w:asciiTheme="minorHAnsi" w:hAnsiTheme="minorHAnsi" w:cstheme="minorHAnsi"/>
          <w:lang w:val="fr-FR"/>
        </w:rPr>
        <w:tab/>
        <w:t xml:space="preserve">Au cours de la période de référence </w:t>
      </w:r>
      <w:r w:rsidR="00C97F39" w:rsidRPr="00CA5940">
        <w:rPr>
          <w:rFonts w:asciiTheme="minorHAnsi" w:hAnsiTheme="minorHAnsi" w:cstheme="minorHAnsi"/>
          <w:lang w:val="fr-FR"/>
        </w:rPr>
        <w:t>2022-2025</w:t>
      </w:r>
      <w:r w:rsidRPr="00CA5940">
        <w:rPr>
          <w:rFonts w:asciiTheme="minorHAnsi" w:hAnsiTheme="minorHAnsi" w:cstheme="minorHAnsi"/>
          <w:lang w:val="fr-FR"/>
        </w:rPr>
        <w:t xml:space="preserve">, des </w:t>
      </w:r>
      <w:r w:rsidR="000A2E04" w:rsidRPr="00CA5940">
        <w:rPr>
          <w:rFonts w:asciiTheme="minorHAnsi" w:hAnsiTheme="minorHAnsi" w:cstheme="minorHAnsi"/>
          <w:lang w:val="fr-FR"/>
        </w:rPr>
        <w:t xml:space="preserve">activités ont été </w:t>
      </w:r>
      <w:r w:rsidRPr="00CA5940">
        <w:rPr>
          <w:rFonts w:asciiTheme="minorHAnsi" w:hAnsiTheme="minorHAnsi" w:cstheme="minorHAnsi"/>
          <w:lang w:val="fr-FR"/>
        </w:rPr>
        <w:t xml:space="preserve">entreprises par rapport aux neuf </w:t>
      </w:r>
      <w:r w:rsidR="00212F6D">
        <w:rPr>
          <w:rFonts w:asciiTheme="minorHAnsi" w:hAnsiTheme="minorHAnsi" w:cstheme="minorHAnsi"/>
          <w:lang w:val="fr-FR"/>
        </w:rPr>
        <w:t>buts</w:t>
      </w:r>
      <w:r w:rsidRPr="00CA5940">
        <w:rPr>
          <w:rFonts w:asciiTheme="minorHAnsi" w:hAnsiTheme="minorHAnsi" w:cstheme="minorHAnsi"/>
          <w:lang w:val="fr-FR"/>
        </w:rPr>
        <w:t xml:space="preserve"> du Programme de CESP, avec des réalisations </w:t>
      </w:r>
      <w:r w:rsidR="00D0197C">
        <w:rPr>
          <w:rFonts w:asciiTheme="minorHAnsi" w:hAnsiTheme="minorHAnsi" w:cstheme="minorHAnsi"/>
          <w:lang w:val="fr-FR"/>
        </w:rPr>
        <w:t xml:space="preserve">en termes de </w:t>
      </w:r>
      <w:r w:rsidRPr="00CA5940">
        <w:rPr>
          <w:rFonts w:asciiTheme="minorHAnsi" w:hAnsiTheme="minorHAnsi" w:cstheme="minorHAnsi"/>
          <w:lang w:val="fr-FR"/>
        </w:rPr>
        <w:t xml:space="preserve">visibilité et de sensibilisation aux zones humides, </w:t>
      </w:r>
      <w:r w:rsidR="00D0197C">
        <w:rPr>
          <w:rFonts w:asciiTheme="minorHAnsi" w:hAnsiTheme="minorHAnsi" w:cstheme="minorHAnsi"/>
          <w:lang w:val="fr-FR"/>
        </w:rPr>
        <w:t>d</w:t>
      </w:r>
      <w:r w:rsidRPr="00CA5940">
        <w:rPr>
          <w:rFonts w:asciiTheme="minorHAnsi" w:hAnsiTheme="minorHAnsi" w:cstheme="minorHAnsi"/>
          <w:lang w:val="fr-FR"/>
        </w:rPr>
        <w:t xml:space="preserve">e soutien et </w:t>
      </w:r>
      <w:r w:rsidR="00D0197C">
        <w:rPr>
          <w:rFonts w:asciiTheme="minorHAnsi" w:hAnsiTheme="minorHAnsi" w:cstheme="minorHAnsi"/>
          <w:lang w:val="fr-FR"/>
        </w:rPr>
        <w:t>d</w:t>
      </w:r>
      <w:r w:rsidRPr="00CA5940">
        <w:rPr>
          <w:rFonts w:asciiTheme="minorHAnsi" w:hAnsiTheme="minorHAnsi" w:cstheme="minorHAnsi"/>
          <w:lang w:val="fr-FR"/>
        </w:rPr>
        <w:t xml:space="preserve">e renforcement des capacités des gestionnaires de sites, </w:t>
      </w:r>
      <w:r w:rsidR="00D0197C">
        <w:rPr>
          <w:rFonts w:asciiTheme="minorHAnsi" w:hAnsiTheme="minorHAnsi" w:cstheme="minorHAnsi"/>
          <w:lang w:val="fr-FR"/>
        </w:rPr>
        <w:t>d</w:t>
      </w:r>
      <w:r w:rsidRPr="00CA5940">
        <w:rPr>
          <w:rFonts w:asciiTheme="minorHAnsi" w:hAnsiTheme="minorHAnsi" w:cstheme="minorHAnsi"/>
          <w:lang w:val="fr-FR"/>
        </w:rPr>
        <w:t xml:space="preserve">'engagement de nouveaux acteurs, </w:t>
      </w:r>
      <w:r w:rsidR="00D0197C">
        <w:rPr>
          <w:rFonts w:asciiTheme="minorHAnsi" w:hAnsiTheme="minorHAnsi" w:cstheme="minorHAnsi"/>
          <w:lang w:val="fr-FR"/>
        </w:rPr>
        <w:t>d’appui à</w:t>
      </w:r>
      <w:r w:rsidRPr="00CA5940">
        <w:rPr>
          <w:rFonts w:asciiTheme="minorHAnsi" w:hAnsiTheme="minorHAnsi" w:cstheme="minorHAnsi"/>
          <w:lang w:val="fr-FR"/>
        </w:rPr>
        <w:t xml:space="preserve"> la Journée mondiale des zones humides et </w:t>
      </w:r>
      <w:r w:rsidR="00D0197C">
        <w:rPr>
          <w:rFonts w:asciiTheme="minorHAnsi" w:hAnsiTheme="minorHAnsi" w:cstheme="minorHAnsi"/>
          <w:lang w:val="fr-FR"/>
        </w:rPr>
        <w:t xml:space="preserve">à </w:t>
      </w:r>
      <w:r w:rsidRPr="00CA5940">
        <w:rPr>
          <w:rFonts w:asciiTheme="minorHAnsi" w:hAnsiTheme="minorHAnsi" w:cstheme="minorHAnsi"/>
          <w:lang w:val="fr-FR"/>
        </w:rPr>
        <w:t>d'autres campagnes, et</w:t>
      </w:r>
      <w:r w:rsidR="00067251" w:rsidRPr="00CA5940">
        <w:rPr>
          <w:rFonts w:asciiTheme="minorHAnsi" w:hAnsiTheme="minorHAnsi" w:cstheme="minorHAnsi"/>
          <w:lang w:val="fr-FR"/>
        </w:rPr>
        <w:t xml:space="preserve"> de </w:t>
      </w:r>
      <w:r w:rsidR="00212F6D">
        <w:rPr>
          <w:rFonts w:asciiTheme="minorHAnsi" w:hAnsiTheme="minorHAnsi" w:cstheme="minorHAnsi"/>
          <w:lang w:val="fr-FR"/>
        </w:rPr>
        <w:t xml:space="preserve">mise à disposition </w:t>
      </w:r>
      <w:r w:rsidRPr="00CA5940">
        <w:rPr>
          <w:rFonts w:asciiTheme="minorHAnsi" w:hAnsiTheme="minorHAnsi" w:cstheme="minorHAnsi"/>
          <w:lang w:val="fr-FR"/>
        </w:rPr>
        <w:t xml:space="preserve">d'un </w:t>
      </w:r>
      <w:r w:rsidR="00301F7A">
        <w:rPr>
          <w:rFonts w:asciiTheme="minorHAnsi" w:hAnsiTheme="minorHAnsi" w:cstheme="minorHAnsi"/>
          <w:lang w:val="fr-FR"/>
        </w:rPr>
        <w:t xml:space="preserve">large </w:t>
      </w:r>
      <w:r w:rsidR="00212F6D">
        <w:rPr>
          <w:rFonts w:asciiTheme="minorHAnsi" w:hAnsiTheme="minorHAnsi" w:cstheme="minorHAnsi"/>
          <w:lang w:val="fr-FR"/>
        </w:rPr>
        <w:t>éventail</w:t>
      </w:r>
      <w:r w:rsidR="00301F7A">
        <w:rPr>
          <w:rFonts w:asciiTheme="minorHAnsi" w:hAnsiTheme="minorHAnsi" w:cstheme="minorHAnsi"/>
          <w:lang w:val="fr-FR"/>
        </w:rPr>
        <w:t xml:space="preserve"> </w:t>
      </w:r>
      <w:r w:rsidRPr="00CA5940">
        <w:rPr>
          <w:rFonts w:asciiTheme="minorHAnsi" w:hAnsiTheme="minorHAnsi" w:cstheme="minorHAnsi"/>
          <w:lang w:val="fr-FR"/>
        </w:rPr>
        <w:t>de matériel</w:t>
      </w:r>
      <w:r w:rsidR="00212F6D">
        <w:rPr>
          <w:rFonts w:asciiTheme="minorHAnsi" w:hAnsiTheme="minorHAnsi" w:cstheme="minorHAnsi"/>
          <w:lang w:val="fr-FR"/>
        </w:rPr>
        <w:t>s</w:t>
      </w:r>
      <w:r w:rsidRPr="00CA5940">
        <w:rPr>
          <w:rFonts w:asciiTheme="minorHAnsi" w:hAnsiTheme="minorHAnsi" w:cstheme="minorHAnsi"/>
          <w:lang w:val="fr-FR"/>
        </w:rPr>
        <w:t xml:space="preserve"> promotionnel</w:t>
      </w:r>
      <w:r w:rsidR="00212F6D">
        <w:rPr>
          <w:rFonts w:asciiTheme="minorHAnsi" w:hAnsiTheme="minorHAnsi" w:cstheme="minorHAnsi"/>
          <w:lang w:val="fr-FR"/>
        </w:rPr>
        <w:t>s</w:t>
      </w:r>
      <w:r w:rsidRPr="00CA5940">
        <w:rPr>
          <w:rFonts w:asciiTheme="minorHAnsi" w:hAnsiTheme="minorHAnsi" w:cstheme="minorHAnsi"/>
          <w:lang w:val="fr-FR"/>
        </w:rPr>
        <w:t xml:space="preserve"> et </w:t>
      </w:r>
      <w:r w:rsidR="00212F6D">
        <w:rPr>
          <w:rFonts w:asciiTheme="minorHAnsi" w:hAnsiTheme="minorHAnsi" w:cstheme="minorHAnsi"/>
          <w:lang w:val="fr-FR"/>
        </w:rPr>
        <w:t>pédagogiques</w:t>
      </w:r>
      <w:r w:rsidRPr="00CA5940">
        <w:rPr>
          <w:rFonts w:asciiTheme="minorHAnsi" w:hAnsiTheme="minorHAnsi" w:cstheme="minorHAnsi"/>
          <w:lang w:val="fr-FR"/>
        </w:rPr>
        <w:t>.</w:t>
      </w:r>
    </w:p>
    <w:p w14:paraId="4B144B83" w14:textId="77777777" w:rsidR="00DD5506" w:rsidRPr="00CA5940" w:rsidRDefault="00DD5506" w:rsidP="008C4BA0">
      <w:pPr>
        <w:pStyle w:val="BodyText"/>
        <w:widowControl/>
        <w:ind w:left="425" w:hanging="425"/>
        <w:rPr>
          <w:rFonts w:asciiTheme="minorHAnsi" w:hAnsiTheme="minorHAnsi" w:cstheme="minorHAnsi"/>
          <w:lang w:val="fr-FR"/>
        </w:rPr>
      </w:pPr>
    </w:p>
    <w:p w14:paraId="12557231" w14:textId="23888C5D" w:rsidR="00DD5506" w:rsidRPr="00CA5940" w:rsidRDefault="00DD5506" w:rsidP="005B3BB5">
      <w:pPr>
        <w:pStyle w:val="BodyText"/>
        <w:ind w:left="425" w:hanging="425"/>
        <w:rPr>
          <w:rFonts w:asciiTheme="minorHAnsi" w:hAnsiTheme="minorHAnsi" w:cstheme="minorHAnsi"/>
          <w:lang w:val="fr-FR"/>
        </w:rPr>
      </w:pPr>
      <w:r w:rsidRPr="00CA5940">
        <w:rPr>
          <w:rFonts w:asciiTheme="minorHAnsi" w:hAnsiTheme="minorHAnsi" w:cstheme="minorHAnsi"/>
          <w:lang w:val="fr-FR"/>
        </w:rPr>
        <w:t>3.</w:t>
      </w:r>
      <w:r w:rsidRPr="00CA5940">
        <w:rPr>
          <w:rFonts w:asciiTheme="minorHAnsi" w:hAnsiTheme="minorHAnsi" w:cstheme="minorHAnsi"/>
          <w:lang w:val="fr-FR"/>
        </w:rPr>
        <w:tab/>
      </w:r>
      <w:r w:rsidR="004953A8" w:rsidRPr="00CA5940">
        <w:rPr>
          <w:rFonts w:asciiTheme="minorHAnsi" w:eastAsia="Times New Roman" w:hAnsiTheme="minorHAnsi" w:cstheme="minorHAnsi"/>
          <w:lang w:val="fr-FR" w:eastAsia="fr-CA"/>
        </w:rPr>
        <w:t xml:space="preserve">Conformément aux instructions du Comité permanent dans </w:t>
      </w:r>
      <w:r w:rsidR="00212F6D">
        <w:rPr>
          <w:rFonts w:asciiTheme="minorHAnsi" w:eastAsia="Times New Roman" w:hAnsiTheme="minorHAnsi" w:cstheme="minorHAnsi"/>
          <w:lang w:val="fr-FR" w:eastAsia="fr-CA"/>
        </w:rPr>
        <w:t>s</w:t>
      </w:r>
      <w:r w:rsidR="004953A8" w:rsidRPr="00CA5940">
        <w:rPr>
          <w:rFonts w:asciiTheme="minorHAnsi" w:eastAsia="Times New Roman" w:hAnsiTheme="minorHAnsi" w:cstheme="minorHAnsi"/>
          <w:lang w:val="fr-FR" w:eastAsia="fr-CA"/>
        </w:rPr>
        <w:t xml:space="preserve">a </w:t>
      </w:r>
      <w:r w:rsidR="004953A8" w:rsidRPr="00CA5940">
        <w:rPr>
          <w:rFonts w:asciiTheme="minorHAnsi" w:hAnsiTheme="minorHAnsi" w:cstheme="minorHAnsi"/>
          <w:lang w:val="fr-FR"/>
        </w:rPr>
        <w:t>décision SC63-24, le Secrétariat a préparé un projet de résolution</w:t>
      </w:r>
      <w:r w:rsidR="0078526B">
        <w:rPr>
          <w:rStyle w:val="FootnoteReference"/>
          <w:rFonts w:asciiTheme="minorHAnsi" w:hAnsiTheme="minorHAnsi" w:cstheme="minorHAnsi"/>
          <w:lang w:val="en-GB"/>
        </w:rPr>
        <w:footnoteReference w:id="2"/>
      </w:r>
      <w:r w:rsidR="0094483C" w:rsidRPr="00CA5940">
        <w:rPr>
          <w:rFonts w:asciiTheme="minorHAnsi" w:hAnsiTheme="minorHAnsi" w:cstheme="minorHAnsi"/>
          <w:lang w:val="fr-FR"/>
        </w:rPr>
        <w:t xml:space="preserve"> pour examen à la COP15 </w:t>
      </w:r>
      <w:r w:rsidR="005B3BB5" w:rsidRPr="005B3BB5">
        <w:rPr>
          <w:rFonts w:asciiTheme="minorHAnsi" w:hAnsiTheme="minorHAnsi" w:cstheme="minorHAnsi"/>
          <w:lang w:val="fr-FR"/>
        </w:rPr>
        <w:t>qui rend compte du</w:t>
      </w:r>
      <w:r w:rsidR="005B3BB5">
        <w:rPr>
          <w:rFonts w:asciiTheme="minorHAnsi" w:hAnsiTheme="minorHAnsi" w:cstheme="minorHAnsi"/>
          <w:lang w:val="fr-FR"/>
        </w:rPr>
        <w:t xml:space="preserve"> </w:t>
      </w:r>
      <w:r w:rsidR="005B3BB5" w:rsidRPr="005B3BB5">
        <w:rPr>
          <w:rFonts w:asciiTheme="minorHAnsi" w:hAnsiTheme="minorHAnsi" w:cstheme="minorHAnsi"/>
          <w:lang w:val="fr-FR"/>
        </w:rPr>
        <w:t xml:space="preserve">regroupement des Recommandations et Résolutions sur la CESP approuvé dans la Décision SC63-22, et des </w:t>
      </w:r>
      <w:r w:rsidR="00C2220F">
        <w:rPr>
          <w:rFonts w:asciiTheme="minorHAnsi" w:hAnsiTheme="minorHAnsi" w:cstheme="minorHAnsi"/>
          <w:lang w:val="fr-FR"/>
        </w:rPr>
        <w:t xml:space="preserve">opinions </w:t>
      </w:r>
      <w:r w:rsidR="005B3BB5" w:rsidRPr="005B3BB5">
        <w:rPr>
          <w:rFonts w:asciiTheme="minorHAnsi" w:hAnsiTheme="minorHAnsi" w:cstheme="minorHAnsi"/>
          <w:lang w:val="fr-FR"/>
        </w:rPr>
        <w:t>du Comité permanent</w:t>
      </w:r>
      <w:r w:rsidR="005B3BB5">
        <w:rPr>
          <w:rFonts w:asciiTheme="minorHAnsi" w:hAnsiTheme="minorHAnsi" w:cstheme="minorHAnsi"/>
          <w:lang w:val="fr-FR"/>
        </w:rPr>
        <w:t xml:space="preserve"> </w:t>
      </w:r>
      <w:r w:rsidR="005B3BB5" w:rsidRPr="005B3BB5">
        <w:rPr>
          <w:rFonts w:asciiTheme="minorHAnsi" w:hAnsiTheme="minorHAnsi" w:cstheme="minorHAnsi"/>
          <w:lang w:val="fr-FR"/>
        </w:rPr>
        <w:t xml:space="preserve">sur le processus et le calendrier à suivre </w:t>
      </w:r>
      <w:r w:rsidR="00C2220F">
        <w:rPr>
          <w:rFonts w:asciiTheme="minorHAnsi" w:hAnsiTheme="minorHAnsi" w:cstheme="minorHAnsi"/>
          <w:lang w:val="fr-FR"/>
        </w:rPr>
        <w:t>en vue de</w:t>
      </w:r>
      <w:r w:rsidR="005B3BB5" w:rsidRPr="005B3BB5">
        <w:rPr>
          <w:rFonts w:asciiTheme="minorHAnsi" w:hAnsiTheme="minorHAnsi" w:cstheme="minorHAnsi"/>
          <w:lang w:val="fr-FR"/>
        </w:rPr>
        <w:t xml:space="preserve"> nommer les membres du Groupe pour la période</w:t>
      </w:r>
      <w:r w:rsidR="005B3BB5">
        <w:rPr>
          <w:rFonts w:asciiTheme="minorHAnsi" w:hAnsiTheme="minorHAnsi" w:cstheme="minorHAnsi"/>
          <w:lang w:val="fr-FR"/>
        </w:rPr>
        <w:t xml:space="preserve"> </w:t>
      </w:r>
      <w:r w:rsidR="005B3BB5" w:rsidRPr="005B3BB5">
        <w:rPr>
          <w:rFonts w:asciiTheme="minorHAnsi" w:hAnsiTheme="minorHAnsi" w:cstheme="minorHAnsi"/>
          <w:lang w:val="fr-FR"/>
        </w:rPr>
        <w:t>triennale 2025-2028</w:t>
      </w:r>
      <w:r w:rsidR="004953A8" w:rsidRPr="00CA5940">
        <w:rPr>
          <w:rFonts w:asciiTheme="minorHAnsi" w:hAnsiTheme="minorHAnsi" w:cstheme="minorHAnsi"/>
          <w:lang w:val="fr-FR"/>
        </w:rPr>
        <w:t xml:space="preserve">. </w:t>
      </w:r>
    </w:p>
    <w:p w14:paraId="26C41436" w14:textId="77777777" w:rsidR="00BA4ED6" w:rsidRPr="00CA5940" w:rsidRDefault="00BA4ED6" w:rsidP="008C4BA0">
      <w:pPr>
        <w:pStyle w:val="BodyText"/>
        <w:widowControl/>
        <w:ind w:left="425" w:hanging="425"/>
        <w:rPr>
          <w:rFonts w:asciiTheme="minorHAnsi" w:hAnsiTheme="minorHAnsi" w:cstheme="minorHAnsi"/>
          <w:lang w:val="fr-FR"/>
        </w:rPr>
      </w:pPr>
    </w:p>
    <w:p w14:paraId="456549B6" w14:textId="1FD2251E" w:rsidR="00BA4ED6" w:rsidRPr="00CA5940" w:rsidRDefault="00BA4ED6" w:rsidP="008C4BA0">
      <w:pPr>
        <w:autoSpaceDE w:val="0"/>
        <w:autoSpaceDN w:val="0"/>
        <w:adjustRightInd w:val="0"/>
        <w:rPr>
          <w:rFonts w:cstheme="minorHAnsi"/>
          <w:b/>
          <w:sz w:val="22"/>
          <w:szCs w:val="22"/>
        </w:rPr>
      </w:pPr>
      <w:r w:rsidRPr="00CA5940">
        <w:rPr>
          <w:rFonts w:cstheme="minorHAnsi"/>
          <w:b/>
          <w:sz w:val="22"/>
          <w:szCs w:val="22"/>
        </w:rPr>
        <w:t xml:space="preserve">Réalisations du </w:t>
      </w:r>
      <w:r w:rsidR="00B05CAA">
        <w:rPr>
          <w:rFonts w:cstheme="minorHAnsi"/>
          <w:b/>
          <w:sz w:val="22"/>
          <w:szCs w:val="22"/>
        </w:rPr>
        <w:t xml:space="preserve">Programme de </w:t>
      </w:r>
      <w:r w:rsidRPr="00CA5940">
        <w:rPr>
          <w:rFonts w:cstheme="minorHAnsi"/>
          <w:b/>
          <w:sz w:val="22"/>
          <w:szCs w:val="22"/>
        </w:rPr>
        <w:t>CESP au cours de la période 2022-2025</w:t>
      </w:r>
    </w:p>
    <w:p w14:paraId="59C9A927" w14:textId="77777777" w:rsidR="00BA4ED6" w:rsidRPr="00CA5940" w:rsidRDefault="00BA4ED6" w:rsidP="008C4BA0">
      <w:pPr>
        <w:pStyle w:val="BodyText"/>
        <w:widowControl/>
        <w:ind w:left="425" w:hanging="425"/>
        <w:rPr>
          <w:rFonts w:asciiTheme="minorHAnsi" w:hAnsiTheme="minorHAnsi" w:cstheme="minorHAnsi"/>
          <w:lang w:val="fr-FR"/>
        </w:rPr>
      </w:pPr>
    </w:p>
    <w:p w14:paraId="286B156F" w14:textId="1496F8A8" w:rsidR="00BA4ED6" w:rsidRPr="00CA5940" w:rsidRDefault="00BA4ED6" w:rsidP="008C4BA0">
      <w:pPr>
        <w:pStyle w:val="BodyText"/>
        <w:widowControl/>
        <w:ind w:left="425" w:hanging="425"/>
        <w:rPr>
          <w:rFonts w:asciiTheme="minorHAnsi" w:hAnsiTheme="minorHAnsi" w:cstheme="minorHAnsi"/>
          <w:lang w:val="fr-FR"/>
        </w:rPr>
      </w:pPr>
      <w:r w:rsidRPr="00CA5940">
        <w:rPr>
          <w:rFonts w:asciiTheme="minorHAnsi" w:hAnsiTheme="minorHAnsi" w:cstheme="minorHAnsi"/>
          <w:lang w:val="fr-FR"/>
        </w:rPr>
        <w:t>12.</w:t>
      </w:r>
      <w:r w:rsidRPr="00CA5940">
        <w:rPr>
          <w:rFonts w:asciiTheme="minorHAnsi" w:hAnsiTheme="minorHAnsi" w:cstheme="minorHAnsi"/>
          <w:lang w:val="fr-FR"/>
        </w:rPr>
        <w:tab/>
        <w:t xml:space="preserve">L'examen </w:t>
      </w:r>
      <w:r w:rsidR="005B3BB5">
        <w:rPr>
          <w:rFonts w:asciiTheme="minorHAnsi" w:hAnsiTheme="minorHAnsi" w:cstheme="minorHAnsi"/>
          <w:lang w:val="fr-FR"/>
        </w:rPr>
        <w:t>ci-dessous</w:t>
      </w:r>
      <w:r w:rsidRPr="00CA5940">
        <w:rPr>
          <w:rFonts w:asciiTheme="minorHAnsi" w:hAnsiTheme="minorHAnsi" w:cstheme="minorHAnsi"/>
          <w:lang w:val="fr-FR"/>
        </w:rPr>
        <w:t xml:space="preserve"> des progrès </w:t>
      </w:r>
      <w:r w:rsidR="000D4A00">
        <w:rPr>
          <w:rFonts w:asciiTheme="minorHAnsi" w:hAnsiTheme="minorHAnsi" w:cstheme="minorHAnsi"/>
          <w:lang w:val="fr-FR"/>
        </w:rPr>
        <w:t>accomplis</w:t>
      </w:r>
      <w:r w:rsidRPr="00CA5940">
        <w:rPr>
          <w:rFonts w:asciiTheme="minorHAnsi" w:hAnsiTheme="minorHAnsi" w:cstheme="minorHAnsi"/>
          <w:lang w:val="fr-FR"/>
        </w:rPr>
        <w:t xml:space="preserve"> </w:t>
      </w:r>
      <w:r w:rsidR="005B3BB5">
        <w:rPr>
          <w:rFonts w:asciiTheme="minorHAnsi" w:hAnsiTheme="minorHAnsi" w:cstheme="minorHAnsi"/>
          <w:lang w:val="fr-FR"/>
        </w:rPr>
        <w:t xml:space="preserve">en termes de </w:t>
      </w:r>
      <w:r w:rsidRPr="00CA5940">
        <w:rPr>
          <w:rFonts w:asciiTheme="minorHAnsi" w:hAnsiTheme="minorHAnsi" w:cstheme="minorHAnsi"/>
          <w:lang w:val="fr-FR"/>
        </w:rPr>
        <w:t xml:space="preserve">mise en œuvre du </w:t>
      </w:r>
      <w:r w:rsidR="000D4A00">
        <w:rPr>
          <w:rFonts w:asciiTheme="minorHAnsi" w:hAnsiTheme="minorHAnsi" w:cstheme="minorHAnsi"/>
          <w:lang w:val="fr-FR"/>
        </w:rPr>
        <w:t>P</w:t>
      </w:r>
      <w:r w:rsidRPr="00CA5940">
        <w:rPr>
          <w:rFonts w:asciiTheme="minorHAnsi" w:hAnsiTheme="minorHAnsi" w:cstheme="minorHAnsi"/>
          <w:lang w:val="fr-FR"/>
        </w:rPr>
        <w:t xml:space="preserve">rogramme de CESP s'appuie sur une analyse des </w:t>
      </w:r>
      <w:r w:rsidR="000D4A00">
        <w:rPr>
          <w:rFonts w:asciiTheme="minorHAnsi" w:hAnsiTheme="minorHAnsi" w:cstheme="minorHAnsi"/>
          <w:lang w:val="fr-FR"/>
        </w:rPr>
        <w:t>R</w:t>
      </w:r>
      <w:r w:rsidRPr="00CA5940">
        <w:rPr>
          <w:rFonts w:asciiTheme="minorHAnsi" w:hAnsiTheme="minorHAnsi" w:cstheme="minorHAnsi"/>
          <w:lang w:val="fr-FR"/>
        </w:rPr>
        <w:t xml:space="preserve">apports nationaux </w:t>
      </w:r>
      <w:r w:rsidR="00B05CAA">
        <w:rPr>
          <w:rFonts w:asciiTheme="minorHAnsi" w:hAnsiTheme="minorHAnsi" w:cstheme="minorHAnsi"/>
          <w:lang w:val="fr-FR"/>
        </w:rPr>
        <w:t xml:space="preserve">soumis par les </w:t>
      </w:r>
      <w:r w:rsidRPr="00CA5940">
        <w:rPr>
          <w:rFonts w:asciiTheme="minorHAnsi" w:hAnsiTheme="minorHAnsi" w:cstheme="minorHAnsi"/>
          <w:lang w:val="fr-FR"/>
        </w:rPr>
        <w:t xml:space="preserve">Parties contractantes à </w:t>
      </w:r>
      <w:r w:rsidR="00D35080" w:rsidRPr="00CA5940">
        <w:rPr>
          <w:rFonts w:asciiTheme="minorHAnsi" w:hAnsiTheme="minorHAnsi" w:cstheme="minorHAnsi"/>
          <w:lang w:val="fr-FR"/>
        </w:rPr>
        <w:t xml:space="preserve">la 15e </w:t>
      </w:r>
      <w:r w:rsidR="00B05CAA">
        <w:rPr>
          <w:rFonts w:asciiTheme="minorHAnsi" w:hAnsiTheme="minorHAnsi" w:cstheme="minorHAnsi"/>
          <w:lang w:val="fr-FR"/>
        </w:rPr>
        <w:t>S</w:t>
      </w:r>
      <w:r w:rsidR="00D35080" w:rsidRPr="00CA5940">
        <w:rPr>
          <w:rFonts w:asciiTheme="minorHAnsi" w:hAnsiTheme="minorHAnsi" w:cstheme="minorHAnsi"/>
          <w:lang w:val="fr-FR"/>
        </w:rPr>
        <w:t>ession de la Conférence des Parties contractantes (</w:t>
      </w:r>
      <w:r w:rsidRPr="00CA5940">
        <w:rPr>
          <w:rFonts w:asciiTheme="minorHAnsi" w:hAnsiTheme="minorHAnsi" w:cstheme="minorHAnsi"/>
          <w:lang w:val="fr-FR"/>
        </w:rPr>
        <w:t>COP15</w:t>
      </w:r>
      <w:r w:rsidR="00D35080" w:rsidRPr="00CA5940">
        <w:rPr>
          <w:rFonts w:asciiTheme="minorHAnsi" w:hAnsiTheme="minorHAnsi" w:cstheme="minorHAnsi"/>
          <w:lang w:val="fr-FR"/>
        </w:rPr>
        <w:t>)</w:t>
      </w:r>
      <w:r w:rsidR="00B34AAF" w:rsidRPr="00CA5940">
        <w:rPr>
          <w:rFonts w:asciiTheme="minorHAnsi" w:hAnsiTheme="minorHAnsi" w:cstheme="minorHAnsi"/>
          <w:lang w:val="fr-FR"/>
        </w:rPr>
        <w:t xml:space="preserve">, des actions et activités entreprises par le Secrétariat </w:t>
      </w:r>
      <w:r w:rsidRPr="00CA5940">
        <w:rPr>
          <w:rFonts w:asciiTheme="minorHAnsi" w:hAnsiTheme="minorHAnsi" w:cstheme="minorHAnsi"/>
          <w:lang w:val="fr-FR"/>
        </w:rPr>
        <w:t xml:space="preserve">et des informations fournies au Secrétariat par les parties prenantes qui soutiennent le </w:t>
      </w:r>
      <w:r w:rsidR="000D4A00">
        <w:rPr>
          <w:rFonts w:asciiTheme="minorHAnsi" w:hAnsiTheme="minorHAnsi" w:cstheme="minorHAnsi"/>
          <w:lang w:val="fr-FR"/>
        </w:rPr>
        <w:t>P</w:t>
      </w:r>
      <w:r w:rsidRPr="00CA5940">
        <w:rPr>
          <w:rFonts w:asciiTheme="minorHAnsi" w:hAnsiTheme="minorHAnsi" w:cstheme="minorHAnsi"/>
          <w:lang w:val="fr-FR"/>
        </w:rPr>
        <w:t>rogramme de CESP.</w:t>
      </w:r>
    </w:p>
    <w:p w14:paraId="2F221C1E" w14:textId="77777777" w:rsidR="00BA4ED6" w:rsidRPr="00CA5940" w:rsidRDefault="00BA4ED6" w:rsidP="008C4BA0">
      <w:pPr>
        <w:pStyle w:val="BodyText"/>
        <w:widowControl/>
        <w:ind w:left="425" w:hanging="425"/>
        <w:rPr>
          <w:rFonts w:asciiTheme="minorHAnsi" w:hAnsiTheme="minorHAnsi" w:cstheme="minorHAnsi"/>
          <w:lang w:val="fr-FR"/>
        </w:rPr>
      </w:pPr>
    </w:p>
    <w:p w14:paraId="4A9D67BD" w14:textId="7F50805C" w:rsidR="00BA4ED6" w:rsidRPr="00CA5940" w:rsidRDefault="00BA4ED6" w:rsidP="008C4BA0">
      <w:pPr>
        <w:pStyle w:val="BodyText"/>
        <w:widowControl/>
        <w:ind w:left="425" w:hanging="425"/>
        <w:rPr>
          <w:rFonts w:asciiTheme="minorHAnsi" w:hAnsiTheme="minorHAnsi" w:cstheme="minorHAnsi"/>
          <w:lang w:val="fr-FR"/>
        </w:rPr>
      </w:pPr>
      <w:r w:rsidRPr="00CA5940">
        <w:rPr>
          <w:rFonts w:asciiTheme="minorHAnsi" w:hAnsiTheme="minorHAnsi" w:cstheme="minorHAnsi"/>
          <w:lang w:val="fr-FR"/>
        </w:rPr>
        <w:t>13.</w:t>
      </w:r>
      <w:r w:rsidRPr="00CA5940">
        <w:rPr>
          <w:rFonts w:asciiTheme="minorHAnsi" w:hAnsiTheme="minorHAnsi" w:cstheme="minorHAnsi"/>
          <w:lang w:val="fr-FR"/>
        </w:rPr>
        <w:tab/>
        <w:t xml:space="preserve">Les rapports nationaux </w:t>
      </w:r>
      <w:r w:rsidR="00B05CAA">
        <w:rPr>
          <w:rFonts w:asciiTheme="minorHAnsi" w:hAnsiTheme="minorHAnsi" w:cstheme="minorHAnsi"/>
          <w:lang w:val="fr-FR"/>
        </w:rPr>
        <w:t>ont</w:t>
      </w:r>
      <w:r w:rsidR="000D4A00">
        <w:rPr>
          <w:rFonts w:asciiTheme="minorHAnsi" w:hAnsiTheme="minorHAnsi" w:cstheme="minorHAnsi"/>
          <w:lang w:val="fr-FR"/>
        </w:rPr>
        <w:t xml:space="preserve"> permis d’obtenir </w:t>
      </w:r>
      <w:r w:rsidRPr="00CA5940">
        <w:rPr>
          <w:rFonts w:asciiTheme="minorHAnsi" w:hAnsiTheme="minorHAnsi" w:cstheme="minorHAnsi"/>
          <w:lang w:val="fr-FR"/>
        </w:rPr>
        <w:t xml:space="preserve">les informations suivantes sur la mise en œuvre du </w:t>
      </w:r>
      <w:r w:rsidR="00B05CAA">
        <w:rPr>
          <w:rFonts w:asciiTheme="minorHAnsi" w:hAnsiTheme="minorHAnsi" w:cstheme="minorHAnsi"/>
          <w:lang w:val="fr-FR"/>
        </w:rPr>
        <w:t>P</w:t>
      </w:r>
      <w:r w:rsidRPr="00CA5940">
        <w:rPr>
          <w:rFonts w:asciiTheme="minorHAnsi" w:hAnsiTheme="minorHAnsi" w:cstheme="minorHAnsi"/>
          <w:lang w:val="fr-FR"/>
        </w:rPr>
        <w:t xml:space="preserve">rogramme </w:t>
      </w:r>
      <w:r w:rsidR="00B05CAA">
        <w:rPr>
          <w:rFonts w:asciiTheme="minorHAnsi" w:hAnsiTheme="minorHAnsi" w:cstheme="minorHAnsi"/>
          <w:lang w:val="fr-FR"/>
        </w:rPr>
        <w:t xml:space="preserve">de </w:t>
      </w:r>
      <w:r w:rsidRPr="00CA5940">
        <w:rPr>
          <w:rFonts w:asciiTheme="minorHAnsi" w:hAnsiTheme="minorHAnsi" w:cstheme="minorHAnsi"/>
          <w:lang w:val="fr-FR"/>
        </w:rPr>
        <w:t>CE</w:t>
      </w:r>
      <w:r w:rsidR="00B05CAA">
        <w:rPr>
          <w:rFonts w:asciiTheme="minorHAnsi" w:hAnsiTheme="minorHAnsi" w:cstheme="minorHAnsi"/>
          <w:lang w:val="fr-FR"/>
        </w:rPr>
        <w:t>SP</w:t>
      </w:r>
      <w:r w:rsidRPr="00CA5940">
        <w:rPr>
          <w:rFonts w:asciiTheme="minorHAnsi" w:hAnsiTheme="minorHAnsi" w:cstheme="minorHAnsi"/>
          <w:lang w:val="fr-FR"/>
        </w:rPr>
        <w:t xml:space="preserve"> :</w:t>
      </w:r>
    </w:p>
    <w:p w14:paraId="13A1AA62" w14:textId="77777777" w:rsidR="00BA4ED6" w:rsidRPr="00CA5940" w:rsidRDefault="00BA4ED6" w:rsidP="008C4BA0">
      <w:pPr>
        <w:pStyle w:val="BodyText"/>
        <w:widowControl/>
        <w:tabs>
          <w:tab w:val="left" w:pos="544"/>
        </w:tabs>
        <w:ind w:left="425" w:hanging="425"/>
        <w:rPr>
          <w:rFonts w:asciiTheme="minorHAnsi" w:hAnsiTheme="minorHAnsi" w:cstheme="minorHAnsi"/>
          <w:lang w:val="fr-FR"/>
        </w:rPr>
      </w:pPr>
    </w:p>
    <w:p w14:paraId="3C123A95" w14:textId="2831A898" w:rsidR="00BA4ED6" w:rsidRPr="00CA5940" w:rsidRDefault="00BA4ED6" w:rsidP="008C4BA0">
      <w:pPr>
        <w:numPr>
          <w:ilvl w:val="0"/>
          <w:numId w:val="6"/>
        </w:numPr>
        <w:ind w:left="851" w:hanging="425"/>
        <w:contextualSpacing/>
        <w:rPr>
          <w:rFonts w:eastAsia="Calibri" w:cstheme="minorHAnsi"/>
          <w:sz w:val="22"/>
          <w:szCs w:val="22"/>
        </w:rPr>
      </w:pPr>
      <w:r w:rsidRPr="00CA5940">
        <w:rPr>
          <w:rFonts w:eastAsia="Calibri" w:cstheme="minorHAnsi"/>
          <w:sz w:val="22"/>
          <w:szCs w:val="22"/>
        </w:rPr>
        <w:lastRenderedPageBreak/>
        <w:t xml:space="preserve">Des plans d'action </w:t>
      </w:r>
      <w:r w:rsidR="00B05CAA">
        <w:rPr>
          <w:rFonts w:eastAsia="Calibri" w:cstheme="minorHAnsi"/>
          <w:sz w:val="22"/>
          <w:szCs w:val="22"/>
        </w:rPr>
        <w:t xml:space="preserve">relatifs à </w:t>
      </w:r>
      <w:r w:rsidRPr="00CA5940">
        <w:rPr>
          <w:rFonts w:eastAsia="Calibri" w:cstheme="minorHAnsi"/>
          <w:sz w:val="22"/>
          <w:szCs w:val="22"/>
        </w:rPr>
        <w:t xml:space="preserve">la CESP </w:t>
      </w:r>
      <w:r w:rsidR="00B05CAA">
        <w:rPr>
          <w:rFonts w:eastAsia="Calibri" w:cstheme="minorHAnsi"/>
          <w:sz w:val="22"/>
          <w:szCs w:val="22"/>
        </w:rPr>
        <w:t>concernant l</w:t>
      </w:r>
      <w:r w:rsidRPr="00CA5940">
        <w:rPr>
          <w:rFonts w:eastAsia="Calibri" w:cstheme="minorHAnsi"/>
          <w:sz w:val="22"/>
          <w:szCs w:val="22"/>
        </w:rPr>
        <w:t xml:space="preserve">es zones humides ont </w:t>
      </w:r>
      <w:r w:rsidR="00C2220F">
        <w:rPr>
          <w:rFonts w:eastAsia="Calibri" w:cstheme="minorHAnsi"/>
          <w:sz w:val="22"/>
          <w:szCs w:val="22"/>
        </w:rPr>
        <w:t xml:space="preserve">été mis </w:t>
      </w:r>
      <w:r w:rsidRPr="00CA5940">
        <w:rPr>
          <w:rFonts w:eastAsia="Calibri" w:cstheme="minorHAnsi"/>
          <w:sz w:val="22"/>
          <w:szCs w:val="22"/>
        </w:rPr>
        <w:t xml:space="preserve">en place dans 32% des Parties contractantes </w:t>
      </w:r>
      <w:r w:rsidR="1BB75CB2" w:rsidRPr="00CA5940">
        <w:rPr>
          <w:rFonts w:eastAsia="Calibri" w:cstheme="minorHAnsi"/>
          <w:sz w:val="22"/>
          <w:szCs w:val="22"/>
        </w:rPr>
        <w:t>ayant soumis un rapport</w:t>
      </w:r>
      <w:r w:rsidR="6CBB339D" w:rsidRPr="00CA5940">
        <w:rPr>
          <w:rFonts w:eastAsia="Calibri" w:cstheme="minorHAnsi"/>
          <w:sz w:val="22"/>
          <w:szCs w:val="22"/>
        </w:rPr>
        <w:t xml:space="preserve">, </w:t>
      </w:r>
      <w:r w:rsidR="00B05CAA">
        <w:rPr>
          <w:rFonts w:eastAsia="Calibri" w:cstheme="minorHAnsi"/>
          <w:sz w:val="22"/>
          <w:szCs w:val="22"/>
        </w:rPr>
        <w:t xml:space="preserve">un recul </w:t>
      </w:r>
      <w:r w:rsidR="6CBB339D" w:rsidRPr="00CA5940">
        <w:rPr>
          <w:rFonts w:eastAsia="Calibri" w:cstheme="minorHAnsi"/>
          <w:sz w:val="22"/>
          <w:szCs w:val="22"/>
        </w:rPr>
        <w:t xml:space="preserve">par rapport aux 35% </w:t>
      </w:r>
      <w:r w:rsidR="00B05CAA">
        <w:rPr>
          <w:rFonts w:eastAsia="Calibri" w:cstheme="minorHAnsi"/>
          <w:sz w:val="22"/>
          <w:szCs w:val="22"/>
        </w:rPr>
        <w:t xml:space="preserve">annoncés à </w:t>
      </w:r>
      <w:r w:rsidRPr="00CA5940">
        <w:rPr>
          <w:rFonts w:eastAsia="Calibri" w:cstheme="minorHAnsi"/>
          <w:sz w:val="22"/>
          <w:szCs w:val="22"/>
        </w:rPr>
        <w:t xml:space="preserve">la COP14. La mise en œuvre </w:t>
      </w:r>
      <w:r w:rsidR="00B05CAA">
        <w:rPr>
          <w:rFonts w:eastAsia="Calibri" w:cstheme="minorHAnsi"/>
          <w:sz w:val="22"/>
          <w:szCs w:val="22"/>
        </w:rPr>
        <w:t xml:space="preserve">du Programme </w:t>
      </w:r>
      <w:r w:rsidRPr="00CA5940">
        <w:rPr>
          <w:rFonts w:eastAsia="Calibri" w:cstheme="minorHAnsi"/>
          <w:sz w:val="22"/>
          <w:szCs w:val="22"/>
        </w:rPr>
        <w:t>de CESP au niveau national s</w:t>
      </w:r>
      <w:r w:rsidR="00C2220F">
        <w:rPr>
          <w:rFonts w:eastAsia="Calibri" w:cstheme="minorHAnsi"/>
          <w:sz w:val="22"/>
          <w:szCs w:val="22"/>
        </w:rPr>
        <w:t>era plus efficace</w:t>
      </w:r>
      <w:r w:rsidRPr="00CA5940">
        <w:rPr>
          <w:rFonts w:eastAsia="Calibri" w:cstheme="minorHAnsi"/>
          <w:sz w:val="22"/>
          <w:szCs w:val="22"/>
        </w:rPr>
        <w:t xml:space="preserve"> si davantage de Parties contractantes élaborent des plans d'action </w:t>
      </w:r>
      <w:r w:rsidR="00DB656F">
        <w:rPr>
          <w:rFonts w:eastAsia="Calibri" w:cstheme="minorHAnsi"/>
          <w:sz w:val="22"/>
          <w:szCs w:val="22"/>
        </w:rPr>
        <w:t xml:space="preserve">relatifs à la </w:t>
      </w:r>
      <w:r w:rsidRPr="00CA5940">
        <w:rPr>
          <w:rFonts w:eastAsia="Calibri" w:cstheme="minorHAnsi"/>
          <w:sz w:val="22"/>
          <w:szCs w:val="22"/>
        </w:rPr>
        <w:t xml:space="preserve">CESP.  </w:t>
      </w:r>
    </w:p>
    <w:p w14:paraId="225E3CD3" w14:textId="77777777" w:rsidR="00BA4ED6" w:rsidRPr="00CA5940" w:rsidRDefault="00BA4ED6" w:rsidP="008C4BA0">
      <w:pPr>
        <w:rPr>
          <w:rFonts w:eastAsia="Calibri" w:cstheme="minorHAnsi"/>
          <w:sz w:val="22"/>
          <w:szCs w:val="22"/>
        </w:rPr>
      </w:pPr>
    </w:p>
    <w:p w14:paraId="14502433" w14:textId="7052F8EE" w:rsidR="00BA4ED6" w:rsidRPr="00CA5940" w:rsidRDefault="00DA0CC9" w:rsidP="008C4BA0">
      <w:pPr>
        <w:numPr>
          <w:ilvl w:val="0"/>
          <w:numId w:val="6"/>
        </w:numPr>
        <w:ind w:left="851" w:hanging="425"/>
        <w:contextualSpacing/>
        <w:rPr>
          <w:rFonts w:eastAsia="Calibri" w:cstheme="minorHAnsi"/>
          <w:sz w:val="22"/>
          <w:szCs w:val="22"/>
        </w:rPr>
      </w:pPr>
      <w:r w:rsidRPr="00CA5940">
        <w:rPr>
          <w:rFonts w:eastAsia="Calibri" w:cstheme="minorHAnsi"/>
          <w:sz w:val="22"/>
          <w:szCs w:val="22"/>
        </w:rPr>
        <w:t xml:space="preserve">Des </w:t>
      </w:r>
      <w:r w:rsidR="00BA4ED6" w:rsidRPr="00CA5940">
        <w:rPr>
          <w:rFonts w:eastAsia="Calibri" w:cstheme="minorHAnsi"/>
          <w:sz w:val="22"/>
          <w:szCs w:val="22"/>
        </w:rPr>
        <w:t xml:space="preserve">mécanismes de communication sont </w:t>
      </w:r>
      <w:r w:rsidR="00C2220F">
        <w:rPr>
          <w:rFonts w:eastAsia="Calibri" w:cstheme="minorHAnsi"/>
          <w:sz w:val="22"/>
          <w:szCs w:val="22"/>
        </w:rPr>
        <w:t>adoptés</w:t>
      </w:r>
      <w:r w:rsidR="00BA4ED6" w:rsidRPr="00CA5940">
        <w:rPr>
          <w:rFonts w:eastAsia="Calibri" w:cstheme="minorHAnsi"/>
          <w:sz w:val="22"/>
          <w:szCs w:val="22"/>
        </w:rPr>
        <w:t xml:space="preserve"> pour partager les orientations et les informations</w:t>
      </w:r>
      <w:r w:rsidR="004A478A">
        <w:rPr>
          <w:rFonts w:eastAsia="Calibri" w:cstheme="minorHAnsi"/>
          <w:sz w:val="22"/>
          <w:szCs w:val="22"/>
        </w:rPr>
        <w:t xml:space="preserve"> provenant</w:t>
      </w:r>
      <w:r w:rsidR="00BA4ED6" w:rsidRPr="00CA5940">
        <w:rPr>
          <w:rFonts w:eastAsia="Calibri" w:cstheme="minorHAnsi"/>
          <w:sz w:val="22"/>
          <w:szCs w:val="22"/>
        </w:rPr>
        <w:t xml:space="preserve"> de la Convention avec les gestionnaires de sites, les </w:t>
      </w:r>
      <w:r w:rsidR="00FF6444">
        <w:rPr>
          <w:rFonts w:eastAsia="Calibri" w:cstheme="minorHAnsi"/>
          <w:sz w:val="22"/>
          <w:szCs w:val="22"/>
        </w:rPr>
        <w:t>C</w:t>
      </w:r>
      <w:r w:rsidR="00BA4ED6" w:rsidRPr="00CA5940">
        <w:rPr>
          <w:rFonts w:eastAsia="Calibri" w:cstheme="minorHAnsi"/>
          <w:sz w:val="22"/>
          <w:szCs w:val="22"/>
        </w:rPr>
        <w:t xml:space="preserve">orrespondants </w:t>
      </w:r>
      <w:r w:rsidR="0088614B">
        <w:rPr>
          <w:rFonts w:eastAsia="Calibri" w:cstheme="minorHAnsi"/>
          <w:sz w:val="22"/>
          <w:szCs w:val="22"/>
        </w:rPr>
        <w:t xml:space="preserve">pour </w:t>
      </w:r>
      <w:r w:rsidR="00BA4ED6" w:rsidRPr="00CA5940">
        <w:rPr>
          <w:rFonts w:eastAsia="Calibri" w:cstheme="minorHAnsi"/>
          <w:sz w:val="22"/>
          <w:szCs w:val="22"/>
        </w:rPr>
        <w:t xml:space="preserve">d'autres </w:t>
      </w:r>
      <w:r w:rsidR="00FF6444">
        <w:rPr>
          <w:rFonts w:eastAsia="Calibri" w:cstheme="minorHAnsi"/>
          <w:sz w:val="22"/>
          <w:szCs w:val="22"/>
        </w:rPr>
        <w:t>A</w:t>
      </w:r>
      <w:r w:rsidR="00BA4ED6" w:rsidRPr="00CA5940">
        <w:rPr>
          <w:rFonts w:eastAsia="Calibri" w:cstheme="minorHAnsi"/>
          <w:sz w:val="22"/>
          <w:szCs w:val="22"/>
        </w:rPr>
        <w:t xml:space="preserve">ccords multilatéraux sur l'environnement (AME) et d'autres ministères, départements et agences </w:t>
      </w:r>
      <w:r w:rsidRPr="00CA5940">
        <w:rPr>
          <w:rFonts w:eastAsia="Calibri" w:cstheme="minorHAnsi"/>
          <w:sz w:val="22"/>
          <w:szCs w:val="22"/>
        </w:rPr>
        <w:t xml:space="preserve">: dans </w:t>
      </w:r>
      <w:r w:rsidR="00BA4ED6" w:rsidRPr="00CA5940">
        <w:rPr>
          <w:rFonts w:cstheme="minorHAnsi"/>
          <w:sz w:val="22"/>
          <w:szCs w:val="22"/>
        </w:rPr>
        <w:t xml:space="preserve">62% </w:t>
      </w:r>
      <w:r w:rsidRPr="00CA5940">
        <w:rPr>
          <w:rFonts w:cstheme="minorHAnsi"/>
          <w:sz w:val="22"/>
          <w:szCs w:val="22"/>
        </w:rPr>
        <w:t xml:space="preserve">des Parties contractantes déclarantes </w:t>
      </w:r>
      <w:r w:rsidR="004A478A">
        <w:rPr>
          <w:rFonts w:cstheme="minorHAnsi"/>
          <w:sz w:val="22"/>
          <w:szCs w:val="22"/>
        </w:rPr>
        <w:t>avec</w:t>
      </w:r>
      <w:r w:rsidR="00BA4ED6" w:rsidRPr="00CA5940">
        <w:rPr>
          <w:rFonts w:cstheme="minorHAnsi"/>
          <w:sz w:val="22"/>
          <w:szCs w:val="22"/>
        </w:rPr>
        <w:t xml:space="preserve"> les gestionnaires de </w:t>
      </w:r>
      <w:r w:rsidR="00DD10FA">
        <w:rPr>
          <w:rFonts w:cstheme="minorHAnsi"/>
          <w:sz w:val="22"/>
          <w:szCs w:val="22"/>
        </w:rPr>
        <w:t>S</w:t>
      </w:r>
      <w:r w:rsidR="00BA4ED6" w:rsidRPr="00CA5940">
        <w:rPr>
          <w:rFonts w:cstheme="minorHAnsi"/>
          <w:sz w:val="22"/>
          <w:szCs w:val="22"/>
        </w:rPr>
        <w:t xml:space="preserve">ites Ramsar ; </w:t>
      </w:r>
      <w:r w:rsidRPr="00CA5940">
        <w:rPr>
          <w:rFonts w:cstheme="minorHAnsi"/>
          <w:sz w:val="22"/>
          <w:szCs w:val="22"/>
        </w:rPr>
        <w:t xml:space="preserve">dans </w:t>
      </w:r>
      <w:r w:rsidR="00BA4ED6" w:rsidRPr="00CA5940">
        <w:rPr>
          <w:rFonts w:cstheme="minorHAnsi"/>
          <w:sz w:val="22"/>
          <w:szCs w:val="22"/>
        </w:rPr>
        <w:t xml:space="preserve">49% </w:t>
      </w:r>
      <w:r w:rsidRPr="00CA5940">
        <w:rPr>
          <w:rFonts w:cstheme="minorHAnsi"/>
          <w:sz w:val="22"/>
          <w:szCs w:val="22"/>
        </w:rPr>
        <w:t xml:space="preserve">des Parties déclarantes </w:t>
      </w:r>
      <w:r w:rsidR="004A478A">
        <w:rPr>
          <w:rFonts w:cstheme="minorHAnsi"/>
          <w:sz w:val="22"/>
          <w:szCs w:val="22"/>
        </w:rPr>
        <w:t>avec</w:t>
      </w:r>
      <w:r w:rsidR="00BA4ED6" w:rsidRPr="00CA5940">
        <w:rPr>
          <w:rFonts w:cstheme="minorHAnsi"/>
          <w:sz w:val="22"/>
          <w:szCs w:val="22"/>
        </w:rPr>
        <w:t xml:space="preserve"> les </w:t>
      </w:r>
      <w:r w:rsidR="00FF6444">
        <w:rPr>
          <w:rFonts w:cstheme="minorHAnsi"/>
          <w:sz w:val="22"/>
          <w:szCs w:val="22"/>
        </w:rPr>
        <w:t>C</w:t>
      </w:r>
      <w:r w:rsidR="00BA4ED6" w:rsidRPr="00CA5940">
        <w:rPr>
          <w:rFonts w:cstheme="minorHAnsi"/>
          <w:sz w:val="22"/>
          <w:szCs w:val="22"/>
        </w:rPr>
        <w:t xml:space="preserve">orrespondants nationaux </w:t>
      </w:r>
      <w:r w:rsidR="0088614B">
        <w:rPr>
          <w:rFonts w:cstheme="minorHAnsi"/>
          <w:sz w:val="22"/>
          <w:szCs w:val="22"/>
        </w:rPr>
        <w:t>pour l</w:t>
      </w:r>
      <w:r w:rsidR="00BA4ED6" w:rsidRPr="00CA5940">
        <w:rPr>
          <w:rFonts w:cstheme="minorHAnsi"/>
          <w:sz w:val="22"/>
          <w:szCs w:val="22"/>
        </w:rPr>
        <w:t xml:space="preserve">es AME </w:t>
      </w:r>
      <w:r w:rsidRPr="00CA5940">
        <w:rPr>
          <w:rFonts w:cstheme="minorHAnsi"/>
          <w:sz w:val="22"/>
          <w:szCs w:val="22"/>
        </w:rPr>
        <w:t xml:space="preserve">; </w:t>
      </w:r>
      <w:r w:rsidR="00BA4ED6" w:rsidRPr="00CA5940">
        <w:rPr>
          <w:rFonts w:cstheme="minorHAnsi"/>
          <w:sz w:val="22"/>
          <w:szCs w:val="22"/>
        </w:rPr>
        <w:t xml:space="preserve">et dans 50% </w:t>
      </w:r>
      <w:r w:rsidRPr="00CA5940">
        <w:rPr>
          <w:rFonts w:cstheme="minorHAnsi"/>
          <w:sz w:val="22"/>
          <w:szCs w:val="22"/>
        </w:rPr>
        <w:t xml:space="preserve">des Parties déclarantes </w:t>
      </w:r>
      <w:r w:rsidR="004A478A">
        <w:rPr>
          <w:rFonts w:cstheme="minorHAnsi"/>
          <w:sz w:val="22"/>
          <w:szCs w:val="22"/>
        </w:rPr>
        <w:t>avec</w:t>
      </w:r>
      <w:r w:rsidR="00BA4ED6" w:rsidRPr="00CA5940">
        <w:rPr>
          <w:rFonts w:cstheme="minorHAnsi"/>
          <w:sz w:val="22"/>
          <w:szCs w:val="22"/>
        </w:rPr>
        <w:t xml:space="preserve"> d'autres ministères, départements et </w:t>
      </w:r>
      <w:r w:rsidR="003B2814" w:rsidRPr="00CA5940">
        <w:rPr>
          <w:rFonts w:cstheme="minorHAnsi"/>
          <w:sz w:val="22"/>
          <w:szCs w:val="22"/>
        </w:rPr>
        <w:t>agences</w:t>
      </w:r>
      <w:r w:rsidR="00BA4ED6" w:rsidRPr="00CA5940">
        <w:rPr>
          <w:rFonts w:eastAsia="Calibri" w:cstheme="minorHAnsi"/>
          <w:sz w:val="22"/>
          <w:szCs w:val="22"/>
        </w:rPr>
        <w:t xml:space="preserve">. </w:t>
      </w:r>
      <w:r w:rsidR="76719152" w:rsidRPr="00CA5940">
        <w:rPr>
          <w:rFonts w:eastAsia="Calibri" w:cstheme="minorHAnsi"/>
          <w:sz w:val="22"/>
          <w:szCs w:val="22"/>
        </w:rPr>
        <w:t xml:space="preserve">Ces </w:t>
      </w:r>
      <w:r w:rsidR="7521D3F6" w:rsidRPr="00CA5940">
        <w:rPr>
          <w:rFonts w:eastAsia="Calibri" w:cstheme="minorHAnsi"/>
          <w:sz w:val="22"/>
          <w:szCs w:val="22"/>
        </w:rPr>
        <w:t>chiffres</w:t>
      </w:r>
      <w:r w:rsidR="00BA4ED6" w:rsidRPr="00CA5940">
        <w:rPr>
          <w:rFonts w:eastAsia="Calibri" w:cstheme="minorHAnsi"/>
          <w:sz w:val="22"/>
          <w:szCs w:val="22"/>
        </w:rPr>
        <w:t xml:space="preserve">, bien qu'en légère amélioration par rapport à la COP14, restent préoccupants car les mécanismes de </w:t>
      </w:r>
      <w:r w:rsidR="28666EFD" w:rsidRPr="00CA5940">
        <w:rPr>
          <w:rFonts w:eastAsia="Calibri" w:cstheme="minorHAnsi"/>
          <w:sz w:val="22"/>
          <w:szCs w:val="22"/>
        </w:rPr>
        <w:t xml:space="preserve">communication </w:t>
      </w:r>
      <w:r w:rsidR="00BA4ED6" w:rsidRPr="00CA5940">
        <w:rPr>
          <w:rFonts w:eastAsia="Calibri" w:cstheme="minorHAnsi"/>
          <w:sz w:val="22"/>
          <w:szCs w:val="22"/>
        </w:rPr>
        <w:t xml:space="preserve">sont essentiels pour soutenir les gestionnaires de sites dans leur gestion des </w:t>
      </w:r>
      <w:r w:rsidR="000E60FC">
        <w:rPr>
          <w:rFonts w:eastAsia="Calibri" w:cstheme="minorHAnsi"/>
          <w:sz w:val="22"/>
          <w:szCs w:val="22"/>
        </w:rPr>
        <w:t>Z</w:t>
      </w:r>
      <w:r w:rsidR="00BA4ED6" w:rsidRPr="00CA5940">
        <w:rPr>
          <w:rFonts w:eastAsia="Calibri" w:cstheme="minorHAnsi"/>
          <w:sz w:val="22"/>
          <w:szCs w:val="22"/>
        </w:rPr>
        <w:t>ones humides d'importance internationale et pour inciter les ministères et agences concernés à comprendre et à mettre en œuvre la Convention.</w:t>
      </w:r>
    </w:p>
    <w:p w14:paraId="61897F2F" w14:textId="77777777" w:rsidR="00BA4ED6" w:rsidRPr="00CA5940" w:rsidRDefault="00BA4ED6" w:rsidP="008C4BA0">
      <w:pPr>
        <w:rPr>
          <w:rFonts w:eastAsia="Calibri" w:cstheme="minorHAnsi"/>
          <w:sz w:val="22"/>
          <w:szCs w:val="22"/>
        </w:rPr>
      </w:pPr>
    </w:p>
    <w:p w14:paraId="72E112ED" w14:textId="7DE74501" w:rsidR="00BA4ED6" w:rsidRPr="00CA5940" w:rsidRDefault="537A3CE1" w:rsidP="008C4BA0">
      <w:pPr>
        <w:numPr>
          <w:ilvl w:val="0"/>
          <w:numId w:val="6"/>
        </w:numPr>
        <w:ind w:left="851" w:hanging="425"/>
        <w:contextualSpacing/>
        <w:rPr>
          <w:rFonts w:eastAsia="Calibri" w:cstheme="minorHAnsi"/>
          <w:sz w:val="22"/>
          <w:szCs w:val="22"/>
        </w:rPr>
      </w:pPr>
      <w:r w:rsidRPr="00CA5940">
        <w:rPr>
          <w:rFonts w:eastAsia="Calibri" w:cstheme="minorHAnsi"/>
          <w:sz w:val="22"/>
          <w:szCs w:val="22"/>
        </w:rPr>
        <w:t>Cinquante-deux Parties contractantes</w:t>
      </w:r>
      <w:r w:rsidR="00DA0CC9" w:rsidRPr="00CA5940">
        <w:rPr>
          <w:rFonts w:eastAsia="Calibri" w:cstheme="minorHAnsi"/>
          <w:sz w:val="22"/>
          <w:szCs w:val="22"/>
        </w:rPr>
        <w:t xml:space="preserve">, </w:t>
      </w:r>
      <w:r w:rsidR="6F46DF1D" w:rsidRPr="00CA5940">
        <w:rPr>
          <w:rFonts w:eastAsia="Calibri" w:cstheme="minorHAnsi"/>
          <w:sz w:val="22"/>
          <w:szCs w:val="22"/>
        </w:rPr>
        <w:t>représentant 46% des Parties déclarantes</w:t>
      </w:r>
      <w:r w:rsidR="00DA0CC9" w:rsidRPr="00CA5940">
        <w:rPr>
          <w:rFonts w:eastAsia="Calibri" w:cstheme="minorHAnsi"/>
          <w:sz w:val="22"/>
          <w:szCs w:val="22"/>
        </w:rPr>
        <w:t xml:space="preserve">, </w:t>
      </w:r>
      <w:r w:rsidR="2364873B" w:rsidRPr="00CA5940">
        <w:rPr>
          <w:rFonts w:eastAsia="Calibri" w:cstheme="minorHAnsi"/>
          <w:sz w:val="22"/>
          <w:szCs w:val="22"/>
        </w:rPr>
        <w:t>indiquent qu'</w:t>
      </w:r>
      <w:r w:rsidRPr="00CA5940">
        <w:rPr>
          <w:rFonts w:eastAsia="Calibri" w:cstheme="minorHAnsi"/>
          <w:sz w:val="22"/>
          <w:szCs w:val="22"/>
        </w:rPr>
        <w:t xml:space="preserve">elles disposent d'un Comité national Ramsar ou d'un organe intersectoriel opérationnel équivalent. </w:t>
      </w:r>
      <w:r w:rsidR="1B23FB44" w:rsidRPr="00CA5940">
        <w:rPr>
          <w:rFonts w:eastAsia="Calibri" w:cstheme="minorHAnsi"/>
          <w:sz w:val="22"/>
          <w:szCs w:val="22"/>
        </w:rPr>
        <w:t xml:space="preserve">Huit </w:t>
      </w:r>
      <w:r w:rsidRPr="00CA5940">
        <w:rPr>
          <w:rFonts w:eastAsia="Calibri" w:cstheme="minorHAnsi"/>
          <w:sz w:val="22"/>
          <w:szCs w:val="22"/>
        </w:rPr>
        <w:t xml:space="preserve">Parties ont </w:t>
      </w:r>
      <w:r w:rsidR="004A478A">
        <w:rPr>
          <w:rFonts w:eastAsia="Calibri" w:cstheme="minorHAnsi"/>
          <w:sz w:val="22"/>
          <w:szCs w:val="22"/>
        </w:rPr>
        <w:t xml:space="preserve">commencé à mettre en place </w:t>
      </w:r>
      <w:r w:rsidRPr="00CA5940">
        <w:rPr>
          <w:rFonts w:eastAsia="Calibri" w:cstheme="minorHAnsi"/>
          <w:sz w:val="22"/>
          <w:szCs w:val="22"/>
        </w:rPr>
        <w:t xml:space="preserve">des </w:t>
      </w:r>
      <w:r w:rsidR="004A478A">
        <w:rPr>
          <w:rFonts w:eastAsia="Calibri" w:cstheme="minorHAnsi"/>
          <w:sz w:val="22"/>
          <w:szCs w:val="22"/>
        </w:rPr>
        <w:t>C</w:t>
      </w:r>
      <w:r w:rsidRPr="00CA5940">
        <w:rPr>
          <w:rFonts w:eastAsia="Calibri" w:cstheme="minorHAnsi"/>
          <w:sz w:val="22"/>
          <w:szCs w:val="22"/>
        </w:rPr>
        <w:t xml:space="preserve">omités nationaux Ramsar et </w:t>
      </w:r>
      <w:r w:rsidR="55449520" w:rsidRPr="00CA5940">
        <w:rPr>
          <w:rFonts w:eastAsia="Calibri" w:cstheme="minorHAnsi"/>
          <w:sz w:val="22"/>
          <w:szCs w:val="22"/>
        </w:rPr>
        <w:t xml:space="preserve">13 </w:t>
      </w:r>
      <w:r w:rsidRPr="00CA5940">
        <w:rPr>
          <w:rFonts w:eastAsia="Calibri" w:cstheme="minorHAnsi"/>
          <w:sz w:val="22"/>
          <w:szCs w:val="22"/>
        </w:rPr>
        <w:t xml:space="preserve">prévoient d'en créer. </w:t>
      </w:r>
      <w:r w:rsidR="00BA4ED6" w:rsidRPr="00CA5940">
        <w:rPr>
          <w:rFonts w:eastAsia="Calibri" w:cstheme="minorHAnsi"/>
          <w:sz w:val="22"/>
          <w:szCs w:val="22"/>
        </w:rPr>
        <w:t xml:space="preserve">Ces comités sont un outil important pour intégrer la conservation et l'utilisation rationnelle des zones humides dans les considérations de politique nationale et garantir que </w:t>
      </w:r>
      <w:r w:rsidR="004A478A">
        <w:rPr>
          <w:rFonts w:eastAsia="Calibri" w:cstheme="minorHAnsi"/>
          <w:sz w:val="22"/>
          <w:szCs w:val="22"/>
        </w:rPr>
        <w:t>l</w:t>
      </w:r>
      <w:r w:rsidR="004A478A" w:rsidRPr="00CA5940">
        <w:rPr>
          <w:rFonts w:eastAsia="Calibri" w:cstheme="minorHAnsi"/>
          <w:sz w:val="22"/>
          <w:szCs w:val="22"/>
        </w:rPr>
        <w:t xml:space="preserve">es services écologiques fournis par les zones humides </w:t>
      </w:r>
      <w:r w:rsidR="004A478A">
        <w:rPr>
          <w:rFonts w:eastAsia="Calibri" w:cstheme="minorHAnsi"/>
          <w:sz w:val="22"/>
          <w:szCs w:val="22"/>
        </w:rPr>
        <w:t xml:space="preserve">sont pris en compte lors des </w:t>
      </w:r>
      <w:r w:rsidR="00BA4ED6" w:rsidRPr="00CA5940">
        <w:rPr>
          <w:rFonts w:eastAsia="Calibri" w:cstheme="minorHAnsi"/>
          <w:sz w:val="22"/>
          <w:szCs w:val="22"/>
        </w:rPr>
        <w:t>prise</w:t>
      </w:r>
      <w:r w:rsidR="004A478A">
        <w:rPr>
          <w:rFonts w:eastAsia="Calibri" w:cstheme="minorHAnsi"/>
          <w:sz w:val="22"/>
          <w:szCs w:val="22"/>
        </w:rPr>
        <w:t>s</w:t>
      </w:r>
      <w:r w:rsidR="00BA4ED6" w:rsidRPr="00CA5940">
        <w:rPr>
          <w:rFonts w:eastAsia="Calibri" w:cstheme="minorHAnsi"/>
          <w:sz w:val="22"/>
          <w:szCs w:val="22"/>
        </w:rPr>
        <w:t xml:space="preserve"> de décision</w:t>
      </w:r>
      <w:r w:rsidR="004A478A">
        <w:rPr>
          <w:rFonts w:eastAsia="Calibri" w:cstheme="minorHAnsi"/>
          <w:sz w:val="22"/>
          <w:szCs w:val="22"/>
        </w:rPr>
        <w:t>s</w:t>
      </w:r>
      <w:r w:rsidR="00BA4ED6" w:rsidRPr="00CA5940">
        <w:rPr>
          <w:rFonts w:eastAsia="Calibri" w:cstheme="minorHAnsi"/>
          <w:sz w:val="22"/>
          <w:szCs w:val="22"/>
        </w:rPr>
        <w:t xml:space="preserve">. En particulier, les </w:t>
      </w:r>
      <w:r w:rsidR="00205856">
        <w:rPr>
          <w:rFonts w:eastAsia="Calibri" w:cstheme="minorHAnsi"/>
          <w:sz w:val="22"/>
          <w:szCs w:val="22"/>
        </w:rPr>
        <w:t xml:space="preserve">objectifs spécifiques </w:t>
      </w:r>
      <w:r w:rsidR="00BA4ED6" w:rsidRPr="00CA5940">
        <w:rPr>
          <w:rFonts w:eastAsia="Calibri" w:cstheme="minorHAnsi"/>
          <w:sz w:val="22"/>
          <w:szCs w:val="22"/>
        </w:rPr>
        <w:t xml:space="preserve">1 et </w:t>
      </w:r>
      <w:r w:rsidR="00BA4ED6" w:rsidRPr="00EC5C46">
        <w:rPr>
          <w:rFonts w:eastAsia="Calibri" w:cstheme="minorHAnsi"/>
          <w:sz w:val="22"/>
          <w:szCs w:val="22"/>
        </w:rPr>
        <w:t>13</w:t>
      </w:r>
      <w:r w:rsidR="00BA4ED6" w:rsidRPr="00CA5940">
        <w:rPr>
          <w:rFonts w:eastAsia="Calibri" w:cstheme="minorHAnsi"/>
          <w:sz w:val="22"/>
          <w:szCs w:val="22"/>
        </w:rPr>
        <w:t xml:space="preserve"> du </w:t>
      </w:r>
      <w:r w:rsidR="00DA0CC9" w:rsidRPr="00CA5940">
        <w:rPr>
          <w:rFonts w:eastAsia="Calibri" w:cstheme="minorHAnsi"/>
          <w:sz w:val="22"/>
          <w:szCs w:val="22"/>
        </w:rPr>
        <w:t xml:space="preserve">Quatrième </w:t>
      </w:r>
      <w:r w:rsidR="00BA4ED6" w:rsidRPr="00CA5940">
        <w:rPr>
          <w:rFonts w:eastAsia="Calibri" w:cstheme="minorHAnsi"/>
          <w:sz w:val="22"/>
          <w:szCs w:val="22"/>
        </w:rPr>
        <w:t xml:space="preserve">Plan stratégique encouragent les Parties contractantes à </w:t>
      </w:r>
      <w:r w:rsidR="00205856">
        <w:rPr>
          <w:rFonts w:eastAsia="Calibri" w:cstheme="minorHAnsi"/>
          <w:sz w:val="22"/>
          <w:szCs w:val="22"/>
        </w:rPr>
        <w:t xml:space="preserve">faire figurer </w:t>
      </w:r>
      <w:r w:rsidR="00BA4ED6" w:rsidRPr="00CA5940">
        <w:rPr>
          <w:rFonts w:eastAsia="Calibri" w:cstheme="minorHAnsi"/>
          <w:sz w:val="22"/>
          <w:szCs w:val="22"/>
        </w:rPr>
        <w:t xml:space="preserve">les avantages des zones humides dans les politiques et </w:t>
      </w:r>
      <w:r w:rsidR="00205856">
        <w:rPr>
          <w:rFonts w:eastAsia="Calibri" w:cstheme="minorHAnsi"/>
          <w:sz w:val="22"/>
          <w:szCs w:val="22"/>
        </w:rPr>
        <w:t xml:space="preserve">les </w:t>
      </w:r>
      <w:r w:rsidR="00BA4ED6" w:rsidRPr="00CA5940">
        <w:rPr>
          <w:rFonts w:eastAsia="Calibri" w:cstheme="minorHAnsi"/>
          <w:sz w:val="22"/>
          <w:szCs w:val="22"/>
        </w:rPr>
        <w:t xml:space="preserve">plans nationaux/locaux relatifs </w:t>
      </w:r>
      <w:r w:rsidR="00205856">
        <w:rPr>
          <w:rFonts w:eastAsia="Calibri" w:cstheme="minorHAnsi"/>
          <w:sz w:val="22"/>
          <w:szCs w:val="22"/>
        </w:rPr>
        <w:t>à des</w:t>
      </w:r>
      <w:r w:rsidR="00BA4ED6" w:rsidRPr="00CA5940">
        <w:rPr>
          <w:rFonts w:eastAsia="Calibri" w:cstheme="minorHAnsi"/>
          <w:sz w:val="22"/>
          <w:szCs w:val="22"/>
        </w:rPr>
        <w:t xml:space="preserve"> secteurs clés, et à </w:t>
      </w:r>
      <w:r w:rsidR="00205856">
        <w:rPr>
          <w:rFonts w:eastAsia="Calibri" w:cstheme="minorHAnsi"/>
          <w:sz w:val="22"/>
          <w:szCs w:val="22"/>
        </w:rPr>
        <w:t>améliorer</w:t>
      </w:r>
      <w:r w:rsidR="00BA4ED6" w:rsidRPr="00CA5940">
        <w:rPr>
          <w:rFonts w:eastAsia="Calibri" w:cstheme="minorHAnsi"/>
          <w:sz w:val="22"/>
          <w:szCs w:val="22"/>
        </w:rPr>
        <w:t xml:space="preserve"> la durabilité des secteurs clés </w:t>
      </w:r>
      <w:r w:rsidR="00205856">
        <w:rPr>
          <w:rFonts w:eastAsia="Calibri" w:cstheme="minorHAnsi"/>
          <w:sz w:val="22"/>
          <w:szCs w:val="22"/>
        </w:rPr>
        <w:t xml:space="preserve">touchant aux </w:t>
      </w:r>
      <w:r w:rsidR="00BA4ED6" w:rsidRPr="00CA5940">
        <w:rPr>
          <w:rFonts w:eastAsia="Calibri" w:cstheme="minorHAnsi"/>
          <w:sz w:val="22"/>
          <w:szCs w:val="22"/>
        </w:rPr>
        <w:t>zones humides.</w:t>
      </w:r>
    </w:p>
    <w:p w14:paraId="42F05F21" w14:textId="017E7F09" w:rsidR="4845D55C" w:rsidRPr="00CA5940" w:rsidRDefault="4845D55C" w:rsidP="008C4BA0">
      <w:pPr>
        <w:contextualSpacing/>
        <w:rPr>
          <w:rFonts w:eastAsia="Calibri" w:cstheme="minorHAnsi"/>
        </w:rPr>
      </w:pPr>
    </w:p>
    <w:p w14:paraId="7048430C" w14:textId="723DC310" w:rsidR="082E3B5C" w:rsidRPr="00CA5940" w:rsidRDefault="082E3B5C" w:rsidP="008C4BA0">
      <w:pPr>
        <w:pStyle w:val="ListParagraph"/>
        <w:numPr>
          <w:ilvl w:val="0"/>
          <w:numId w:val="6"/>
        </w:numPr>
        <w:ind w:left="851" w:hanging="425"/>
        <w:rPr>
          <w:rFonts w:eastAsia="Calibri" w:cstheme="minorHAnsi"/>
          <w:sz w:val="22"/>
          <w:szCs w:val="22"/>
        </w:rPr>
      </w:pPr>
      <w:r w:rsidRPr="00CA5940">
        <w:rPr>
          <w:rFonts w:eastAsia="Calibri" w:cstheme="minorHAnsi"/>
          <w:sz w:val="22"/>
          <w:szCs w:val="22"/>
        </w:rPr>
        <w:t>Quatre-vingt-</w:t>
      </w:r>
      <w:r w:rsidR="00661765">
        <w:rPr>
          <w:rFonts w:eastAsia="Calibri" w:cstheme="minorHAnsi"/>
          <w:sz w:val="22"/>
          <w:szCs w:val="22"/>
        </w:rPr>
        <w:t>huit</w:t>
      </w:r>
      <w:r w:rsidR="00661765" w:rsidRPr="00CA5940">
        <w:rPr>
          <w:rFonts w:eastAsia="Calibri" w:cstheme="minorHAnsi"/>
          <w:sz w:val="22"/>
          <w:szCs w:val="22"/>
        </w:rPr>
        <w:t xml:space="preserve"> </w:t>
      </w:r>
      <w:r w:rsidR="49065031" w:rsidRPr="00CA5940">
        <w:rPr>
          <w:rFonts w:eastAsia="Calibri" w:cstheme="minorHAnsi"/>
          <w:sz w:val="22"/>
          <w:szCs w:val="22"/>
        </w:rPr>
        <w:t xml:space="preserve">pour cent des Parties contractantes déclarantes ont organisé des événements et des activités </w:t>
      </w:r>
      <w:r w:rsidR="0032701F">
        <w:rPr>
          <w:rFonts w:eastAsia="Calibri" w:cstheme="minorHAnsi"/>
          <w:sz w:val="22"/>
          <w:szCs w:val="22"/>
        </w:rPr>
        <w:t>portant l’estampille Ramsar à l’occasion des</w:t>
      </w:r>
      <w:r w:rsidR="49065031" w:rsidRPr="00CA5940">
        <w:rPr>
          <w:rFonts w:eastAsia="Calibri" w:cstheme="minorHAnsi"/>
          <w:sz w:val="22"/>
          <w:szCs w:val="22"/>
        </w:rPr>
        <w:t xml:space="preserve"> Journée</w:t>
      </w:r>
      <w:r w:rsidR="0032701F">
        <w:rPr>
          <w:rFonts w:eastAsia="Calibri" w:cstheme="minorHAnsi"/>
          <w:sz w:val="22"/>
          <w:szCs w:val="22"/>
        </w:rPr>
        <w:t>s</w:t>
      </w:r>
      <w:r w:rsidR="49065031" w:rsidRPr="00CA5940">
        <w:rPr>
          <w:rFonts w:eastAsia="Calibri" w:cstheme="minorHAnsi"/>
          <w:sz w:val="22"/>
          <w:szCs w:val="22"/>
        </w:rPr>
        <w:t xml:space="preserve"> mondiale</w:t>
      </w:r>
      <w:r w:rsidR="0032701F">
        <w:rPr>
          <w:rFonts w:eastAsia="Calibri" w:cstheme="minorHAnsi"/>
          <w:sz w:val="22"/>
          <w:szCs w:val="22"/>
        </w:rPr>
        <w:t>s</w:t>
      </w:r>
      <w:r w:rsidR="49065031" w:rsidRPr="00CA5940">
        <w:rPr>
          <w:rFonts w:eastAsia="Calibri" w:cstheme="minorHAnsi"/>
          <w:sz w:val="22"/>
          <w:szCs w:val="22"/>
        </w:rPr>
        <w:t xml:space="preserve"> des zones humides </w:t>
      </w:r>
      <w:r w:rsidR="4D2A494E" w:rsidRPr="00CA5940">
        <w:rPr>
          <w:rFonts w:eastAsia="Calibri" w:cstheme="minorHAnsi"/>
          <w:sz w:val="22"/>
          <w:szCs w:val="22"/>
        </w:rPr>
        <w:t xml:space="preserve">pendant la </w:t>
      </w:r>
      <w:r w:rsidR="49065031" w:rsidRPr="00CA5940">
        <w:rPr>
          <w:rFonts w:eastAsia="Calibri" w:cstheme="minorHAnsi"/>
          <w:sz w:val="22"/>
          <w:szCs w:val="22"/>
        </w:rPr>
        <w:t xml:space="preserve">période couverte par le rapport. </w:t>
      </w:r>
      <w:r w:rsidR="0436074E" w:rsidRPr="00CA5940">
        <w:rPr>
          <w:rFonts w:eastAsia="Calibri" w:cstheme="minorHAnsi"/>
          <w:sz w:val="22"/>
          <w:szCs w:val="22"/>
        </w:rPr>
        <w:t xml:space="preserve">Ce chiffre a </w:t>
      </w:r>
      <w:r w:rsidR="00661765">
        <w:rPr>
          <w:rFonts w:eastAsia="Calibri" w:cstheme="minorHAnsi"/>
          <w:sz w:val="22"/>
          <w:szCs w:val="22"/>
        </w:rPr>
        <w:t>diminué</w:t>
      </w:r>
      <w:r w:rsidR="00661765" w:rsidRPr="00CA5940">
        <w:rPr>
          <w:rFonts w:eastAsia="Calibri" w:cstheme="minorHAnsi"/>
          <w:sz w:val="22"/>
          <w:szCs w:val="22"/>
        </w:rPr>
        <w:t xml:space="preserve"> </w:t>
      </w:r>
      <w:r w:rsidR="0436074E" w:rsidRPr="00CA5940">
        <w:rPr>
          <w:rFonts w:eastAsia="Calibri" w:cstheme="minorHAnsi"/>
          <w:sz w:val="22"/>
          <w:szCs w:val="22"/>
        </w:rPr>
        <w:t xml:space="preserve">par rapport </w:t>
      </w:r>
      <w:r w:rsidR="00821B1B" w:rsidRPr="00CA5940">
        <w:rPr>
          <w:rFonts w:eastAsia="Calibri" w:cstheme="minorHAnsi"/>
          <w:sz w:val="22"/>
          <w:szCs w:val="22"/>
        </w:rPr>
        <w:t xml:space="preserve">aux </w:t>
      </w:r>
      <w:r w:rsidR="00661765">
        <w:rPr>
          <w:rFonts w:eastAsia="Calibri" w:cstheme="minorHAnsi"/>
          <w:sz w:val="22"/>
          <w:szCs w:val="22"/>
        </w:rPr>
        <w:t>91</w:t>
      </w:r>
      <w:r w:rsidR="0436074E" w:rsidRPr="00CA5940">
        <w:rPr>
          <w:rFonts w:eastAsia="Calibri" w:cstheme="minorHAnsi"/>
          <w:sz w:val="22"/>
          <w:szCs w:val="22"/>
        </w:rPr>
        <w:t xml:space="preserve">% rapportés lors de la COP14. </w:t>
      </w:r>
      <w:r w:rsidR="00661765" w:rsidRPr="00661765">
        <w:rPr>
          <w:rFonts w:eastAsia="Calibri" w:cstheme="minorHAnsi"/>
          <w:sz w:val="22"/>
          <w:szCs w:val="22"/>
        </w:rPr>
        <w:t>Bien qu'il y ait une légère diminution du nombre de Parties contractantes ayant soumis un rapport</w:t>
      </w:r>
      <w:r w:rsidR="00661765">
        <w:rPr>
          <w:rFonts w:eastAsia="Calibri" w:cstheme="minorHAnsi"/>
          <w:sz w:val="22"/>
          <w:szCs w:val="22"/>
        </w:rPr>
        <w:t>, l</w:t>
      </w:r>
      <w:r w:rsidR="00661765" w:rsidRPr="00CA5940">
        <w:rPr>
          <w:rFonts w:eastAsia="Calibri" w:cstheme="minorHAnsi"/>
          <w:sz w:val="22"/>
          <w:szCs w:val="22"/>
        </w:rPr>
        <w:t xml:space="preserve">a </w:t>
      </w:r>
      <w:r w:rsidR="25F2B01F" w:rsidRPr="00CA5940">
        <w:rPr>
          <w:rFonts w:eastAsia="Calibri" w:cstheme="minorHAnsi"/>
          <w:sz w:val="22"/>
          <w:szCs w:val="22"/>
        </w:rPr>
        <w:t>Journée mondiale des zones humides</w:t>
      </w:r>
      <w:r w:rsidR="0032701F">
        <w:rPr>
          <w:rFonts w:eastAsia="Calibri" w:cstheme="minorHAnsi"/>
          <w:sz w:val="22"/>
          <w:szCs w:val="22"/>
        </w:rPr>
        <w:t xml:space="preserve"> est toujours </w:t>
      </w:r>
      <w:r w:rsidR="25F2B01F" w:rsidRPr="00CA5940">
        <w:rPr>
          <w:rFonts w:eastAsia="Calibri" w:cstheme="minorHAnsi"/>
          <w:sz w:val="22"/>
          <w:szCs w:val="22"/>
        </w:rPr>
        <w:t xml:space="preserve">une excellente plateforme </w:t>
      </w:r>
      <w:r w:rsidR="0032701F">
        <w:rPr>
          <w:rFonts w:eastAsia="Calibri" w:cstheme="minorHAnsi"/>
          <w:sz w:val="22"/>
          <w:szCs w:val="22"/>
        </w:rPr>
        <w:t xml:space="preserve">permettant aux Parties d’améliorer </w:t>
      </w:r>
      <w:r w:rsidR="3196DAAF" w:rsidRPr="00CA5940">
        <w:rPr>
          <w:rFonts w:eastAsia="Calibri" w:cstheme="minorHAnsi"/>
          <w:sz w:val="22"/>
          <w:szCs w:val="22"/>
        </w:rPr>
        <w:t xml:space="preserve">la </w:t>
      </w:r>
      <w:r w:rsidR="25F2B01F" w:rsidRPr="00CA5940">
        <w:rPr>
          <w:rFonts w:eastAsia="Calibri" w:cstheme="minorHAnsi"/>
          <w:sz w:val="22"/>
          <w:szCs w:val="22"/>
        </w:rPr>
        <w:t xml:space="preserve">visibilité </w:t>
      </w:r>
      <w:r w:rsidR="0032701F">
        <w:rPr>
          <w:rFonts w:eastAsia="Calibri" w:cstheme="minorHAnsi"/>
          <w:sz w:val="22"/>
          <w:szCs w:val="22"/>
        </w:rPr>
        <w:t xml:space="preserve">de la Convention </w:t>
      </w:r>
      <w:r w:rsidR="25F2B01F" w:rsidRPr="00CA5940">
        <w:rPr>
          <w:rFonts w:eastAsia="Calibri" w:cstheme="minorHAnsi"/>
          <w:sz w:val="22"/>
          <w:szCs w:val="22"/>
        </w:rPr>
        <w:t xml:space="preserve">et la sensibilisation à la conservation et à l'utilisation rationnelle des zones humides. </w:t>
      </w:r>
    </w:p>
    <w:p w14:paraId="083A5584" w14:textId="426C9611" w:rsidR="4845D55C" w:rsidRPr="00CA5940" w:rsidRDefault="4845D55C" w:rsidP="008C4BA0">
      <w:pPr>
        <w:ind w:left="851" w:hanging="425"/>
        <w:contextualSpacing/>
        <w:rPr>
          <w:rFonts w:eastAsia="Calibri" w:cstheme="minorHAnsi"/>
        </w:rPr>
      </w:pPr>
    </w:p>
    <w:p w14:paraId="5BCA476E" w14:textId="0EC008BB" w:rsidR="3DC537F7" w:rsidRPr="00CA5940" w:rsidRDefault="3DC537F7" w:rsidP="008C4BA0">
      <w:pPr>
        <w:pStyle w:val="ListParagraph"/>
        <w:numPr>
          <w:ilvl w:val="0"/>
          <w:numId w:val="6"/>
        </w:numPr>
        <w:ind w:left="851" w:hanging="425"/>
        <w:rPr>
          <w:rFonts w:eastAsia="Calibri" w:cstheme="minorHAnsi"/>
          <w:sz w:val="22"/>
          <w:szCs w:val="22"/>
        </w:rPr>
      </w:pPr>
      <w:r w:rsidRPr="00CA5940">
        <w:rPr>
          <w:rFonts w:eastAsia="Calibri" w:cstheme="minorHAnsi"/>
          <w:sz w:val="22"/>
          <w:szCs w:val="22"/>
        </w:rPr>
        <w:t xml:space="preserve">Soixante-quatorze pour cent des </w:t>
      </w:r>
      <w:r w:rsidR="0032701F">
        <w:rPr>
          <w:rFonts w:eastAsia="Calibri" w:cstheme="minorHAnsi"/>
          <w:sz w:val="22"/>
          <w:szCs w:val="22"/>
        </w:rPr>
        <w:t>P</w:t>
      </w:r>
      <w:r w:rsidRPr="00CA5940">
        <w:rPr>
          <w:rFonts w:eastAsia="Calibri" w:cstheme="minorHAnsi"/>
          <w:sz w:val="22"/>
          <w:szCs w:val="22"/>
        </w:rPr>
        <w:t>arties contractantes ont déclaré partager des informations sur les zones humides d</w:t>
      </w:r>
      <w:r w:rsidR="0032701F">
        <w:rPr>
          <w:rFonts w:eastAsia="Calibri" w:cstheme="minorHAnsi"/>
          <w:sz w:val="22"/>
          <w:szCs w:val="22"/>
        </w:rPr>
        <w:t xml:space="preserve">e leur </w:t>
      </w:r>
      <w:r w:rsidRPr="00CA5940">
        <w:rPr>
          <w:rFonts w:eastAsia="Calibri" w:cstheme="minorHAnsi"/>
          <w:sz w:val="22"/>
          <w:szCs w:val="22"/>
        </w:rPr>
        <w:t xml:space="preserve">pays </w:t>
      </w:r>
      <w:r w:rsidR="0032701F">
        <w:rPr>
          <w:rFonts w:eastAsia="Calibri" w:cstheme="minorHAnsi"/>
          <w:sz w:val="22"/>
          <w:szCs w:val="22"/>
        </w:rPr>
        <w:t xml:space="preserve">par des </w:t>
      </w:r>
      <w:r w:rsidRPr="00CA5940">
        <w:rPr>
          <w:rFonts w:eastAsia="Calibri" w:cstheme="minorHAnsi"/>
          <w:sz w:val="22"/>
          <w:szCs w:val="22"/>
        </w:rPr>
        <w:t xml:space="preserve">publications </w:t>
      </w:r>
      <w:r w:rsidR="5E828BDF" w:rsidRPr="00CA5940">
        <w:rPr>
          <w:rFonts w:eastAsia="Calibri" w:cstheme="minorHAnsi"/>
          <w:sz w:val="22"/>
          <w:szCs w:val="22"/>
        </w:rPr>
        <w:t xml:space="preserve">et </w:t>
      </w:r>
      <w:r w:rsidR="0032701F">
        <w:rPr>
          <w:rFonts w:eastAsia="Calibri" w:cstheme="minorHAnsi"/>
          <w:sz w:val="22"/>
          <w:szCs w:val="22"/>
        </w:rPr>
        <w:t xml:space="preserve">sur </w:t>
      </w:r>
      <w:r w:rsidR="5E828BDF" w:rsidRPr="00CA5940">
        <w:rPr>
          <w:rFonts w:eastAsia="Calibri" w:cstheme="minorHAnsi"/>
          <w:sz w:val="22"/>
          <w:szCs w:val="22"/>
        </w:rPr>
        <w:t xml:space="preserve">des </w:t>
      </w:r>
      <w:r w:rsidRPr="00CA5940">
        <w:rPr>
          <w:rFonts w:eastAsia="Calibri" w:cstheme="minorHAnsi"/>
          <w:sz w:val="22"/>
          <w:szCs w:val="22"/>
        </w:rPr>
        <w:t>sites web</w:t>
      </w:r>
      <w:r w:rsidR="1FF1AB49" w:rsidRPr="00CA5940">
        <w:rPr>
          <w:rFonts w:eastAsia="Calibri" w:cstheme="minorHAnsi"/>
          <w:sz w:val="22"/>
          <w:szCs w:val="22"/>
        </w:rPr>
        <w:t xml:space="preserve">. Ce pourcentage est en </w:t>
      </w:r>
      <w:r w:rsidR="0032701F">
        <w:rPr>
          <w:rFonts w:eastAsia="Calibri" w:cstheme="minorHAnsi"/>
          <w:sz w:val="22"/>
          <w:szCs w:val="22"/>
        </w:rPr>
        <w:t xml:space="preserve">recul </w:t>
      </w:r>
      <w:r w:rsidR="1FF1AB49" w:rsidRPr="00CA5940">
        <w:rPr>
          <w:rFonts w:eastAsia="Calibri" w:cstheme="minorHAnsi"/>
          <w:sz w:val="22"/>
          <w:szCs w:val="22"/>
        </w:rPr>
        <w:t xml:space="preserve">par rapport aux 86% déclarés lors de la COP14. Cette baisse est préoccupante </w:t>
      </w:r>
      <w:r w:rsidR="0CFD157F" w:rsidRPr="00CA5940">
        <w:rPr>
          <w:rFonts w:eastAsia="Calibri" w:cstheme="minorHAnsi"/>
          <w:sz w:val="22"/>
          <w:szCs w:val="22"/>
        </w:rPr>
        <w:t xml:space="preserve">car les actions </w:t>
      </w:r>
      <w:r w:rsidR="0032701F">
        <w:rPr>
          <w:rFonts w:eastAsia="Calibri" w:cstheme="minorHAnsi"/>
          <w:sz w:val="22"/>
          <w:szCs w:val="22"/>
        </w:rPr>
        <w:t>menées par l</w:t>
      </w:r>
      <w:r w:rsidR="0CFD157F" w:rsidRPr="00CA5940">
        <w:rPr>
          <w:rFonts w:eastAsia="Calibri" w:cstheme="minorHAnsi"/>
          <w:sz w:val="22"/>
          <w:szCs w:val="22"/>
        </w:rPr>
        <w:t>es Parties pour a</w:t>
      </w:r>
      <w:r w:rsidR="0032701F">
        <w:rPr>
          <w:rFonts w:eastAsia="Calibri" w:cstheme="minorHAnsi"/>
          <w:sz w:val="22"/>
          <w:szCs w:val="22"/>
        </w:rPr>
        <w:t xml:space="preserve">méliorer </w:t>
      </w:r>
      <w:r w:rsidR="0CFD157F" w:rsidRPr="00CA5940">
        <w:rPr>
          <w:rFonts w:eastAsia="Calibri" w:cstheme="minorHAnsi"/>
          <w:sz w:val="22"/>
          <w:szCs w:val="22"/>
        </w:rPr>
        <w:t xml:space="preserve">la visibilité de </w:t>
      </w:r>
      <w:r w:rsidR="00821B1B" w:rsidRPr="00CA5940">
        <w:rPr>
          <w:rFonts w:eastAsia="Calibri" w:cstheme="minorHAnsi"/>
          <w:sz w:val="22"/>
          <w:szCs w:val="22"/>
        </w:rPr>
        <w:t xml:space="preserve">leurs </w:t>
      </w:r>
      <w:r w:rsidR="0CFD157F" w:rsidRPr="00CA5940">
        <w:rPr>
          <w:rFonts w:eastAsia="Calibri" w:cstheme="minorHAnsi"/>
          <w:sz w:val="22"/>
          <w:szCs w:val="22"/>
        </w:rPr>
        <w:t xml:space="preserve">zones humides </w:t>
      </w:r>
      <w:r w:rsidR="0032701F" w:rsidRPr="00CA5940">
        <w:rPr>
          <w:rFonts w:eastAsia="Calibri" w:cstheme="minorHAnsi"/>
          <w:sz w:val="22"/>
          <w:szCs w:val="22"/>
        </w:rPr>
        <w:t xml:space="preserve">et la prise de conscience </w:t>
      </w:r>
      <w:r w:rsidR="0032701F">
        <w:rPr>
          <w:rFonts w:eastAsia="Calibri" w:cstheme="minorHAnsi"/>
          <w:sz w:val="22"/>
          <w:szCs w:val="22"/>
        </w:rPr>
        <w:t xml:space="preserve">de leur importance </w:t>
      </w:r>
      <w:r w:rsidR="0CFD157F" w:rsidRPr="00CA5940">
        <w:rPr>
          <w:rFonts w:eastAsia="Calibri" w:cstheme="minorHAnsi"/>
          <w:sz w:val="22"/>
          <w:szCs w:val="22"/>
        </w:rPr>
        <w:t xml:space="preserve">au niveau national sont </w:t>
      </w:r>
      <w:r w:rsidR="0032701F">
        <w:rPr>
          <w:rFonts w:eastAsia="Calibri" w:cstheme="minorHAnsi"/>
          <w:sz w:val="22"/>
          <w:szCs w:val="22"/>
        </w:rPr>
        <w:t xml:space="preserve">essentielles </w:t>
      </w:r>
      <w:r w:rsidR="0CFD157F" w:rsidRPr="00CA5940">
        <w:rPr>
          <w:rFonts w:eastAsia="Calibri" w:cstheme="minorHAnsi"/>
          <w:sz w:val="22"/>
          <w:szCs w:val="22"/>
        </w:rPr>
        <w:t xml:space="preserve">pour </w:t>
      </w:r>
      <w:r w:rsidR="727824C0" w:rsidRPr="00CA5940">
        <w:rPr>
          <w:rFonts w:eastAsia="Calibri" w:cstheme="minorHAnsi"/>
          <w:sz w:val="22"/>
          <w:szCs w:val="22"/>
        </w:rPr>
        <w:t>me</w:t>
      </w:r>
      <w:r w:rsidR="0032701F">
        <w:rPr>
          <w:rFonts w:eastAsia="Calibri" w:cstheme="minorHAnsi"/>
          <w:sz w:val="22"/>
          <w:szCs w:val="22"/>
        </w:rPr>
        <w:t xml:space="preserve">ner à bien </w:t>
      </w:r>
      <w:r w:rsidR="727824C0" w:rsidRPr="00CA5940">
        <w:rPr>
          <w:rFonts w:eastAsia="Calibri" w:cstheme="minorHAnsi"/>
          <w:sz w:val="22"/>
          <w:szCs w:val="22"/>
        </w:rPr>
        <w:t xml:space="preserve">des actions </w:t>
      </w:r>
      <w:r w:rsidR="0032701F">
        <w:rPr>
          <w:rFonts w:eastAsia="Calibri" w:cstheme="minorHAnsi"/>
          <w:sz w:val="22"/>
          <w:szCs w:val="22"/>
        </w:rPr>
        <w:t xml:space="preserve">en faveur de </w:t>
      </w:r>
      <w:r w:rsidR="00821B1B" w:rsidRPr="00CA5940">
        <w:rPr>
          <w:rFonts w:eastAsia="Calibri" w:cstheme="minorHAnsi"/>
          <w:sz w:val="22"/>
          <w:szCs w:val="22"/>
        </w:rPr>
        <w:t xml:space="preserve">leur </w:t>
      </w:r>
      <w:r w:rsidR="727824C0" w:rsidRPr="00CA5940">
        <w:rPr>
          <w:rFonts w:eastAsia="Calibri" w:cstheme="minorHAnsi"/>
          <w:sz w:val="22"/>
          <w:szCs w:val="22"/>
        </w:rPr>
        <w:t xml:space="preserve">conservation et </w:t>
      </w:r>
      <w:r w:rsidR="0032701F">
        <w:rPr>
          <w:rFonts w:eastAsia="Calibri" w:cstheme="minorHAnsi"/>
          <w:sz w:val="22"/>
          <w:szCs w:val="22"/>
        </w:rPr>
        <w:t xml:space="preserve">de </w:t>
      </w:r>
      <w:r w:rsidR="727824C0" w:rsidRPr="00CA5940">
        <w:rPr>
          <w:rFonts w:eastAsia="Calibri" w:cstheme="minorHAnsi"/>
          <w:sz w:val="22"/>
          <w:szCs w:val="22"/>
        </w:rPr>
        <w:t xml:space="preserve">leur utilisation rationnelle. </w:t>
      </w:r>
    </w:p>
    <w:p w14:paraId="3F9FFAAB" w14:textId="77777777" w:rsidR="00BA4ED6" w:rsidRPr="00CA5940" w:rsidRDefault="00BA4ED6" w:rsidP="008C4BA0">
      <w:pPr>
        <w:pStyle w:val="BodyText"/>
        <w:widowControl/>
        <w:tabs>
          <w:tab w:val="left" w:pos="544"/>
        </w:tabs>
        <w:ind w:left="0" w:firstLine="0"/>
        <w:rPr>
          <w:rFonts w:asciiTheme="minorHAnsi" w:hAnsiTheme="minorHAnsi" w:cstheme="minorHAnsi"/>
          <w:lang w:val="fr-FR"/>
        </w:rPr>
      </w:pPr>
    </w:p>
    <w:p w14:paraId="7760539A" w14:textId="41BC8FCA" w:rsidR="00BA4ED6" w:rsidRPr="00CA5940" w:rsidRDefault="00BA4ED6" w:rsidP="008C4BA0">
      <w:pPr>
        <w:pStyle w:val="BodyText"/>
        <w:widowControl/>
        <w:ind w:left="425" w:hanging="425"/>
        <w:rPr>
          <w:rFonts w:asciiTheme="minorHAnsi" w:hAnsiTheme="minorHAnsi" w:cstheme="minorHAnsi"/>
          <w:lang w:val="fr-FR"/>
        </w:rPr>
      </w:pPr>
      <w:r w:rsidRPr="00CA5940">
        <w:rPr>
          <w:rFonts w:asciiTheme="minorHAnsi" w:hAnsiTheme="minorHAnsi" w:cstheme="minorHAnsi"/>
          <w:lang w:val="fr-FR"/>
        </w:rPr>
        <w:t>14.</w:t>
      </w:r>
      <w:r w:rsidRPr="00CA5940">
        <w:rPr>
          <w:rFonts w:asciiTheme="minorHAnsi" w:hAnsiTheme="minorHAnsi" w:cstheme="minorHAnsi"/>
          <w:lang w:val="fr-FR"/>
        </w:rPr>
        <w:tab/>
        <w:t xml:space="preserve">En ce qui concerne les neuf </w:t>
      </w:r>
      <w:r w:rsidR="006D258C">
        <w:rPr>
          <w:rFonts w:asciiTheme="minorHAnsi" w:hAnsiTheme="minorHAnsi" w:cstheme="minorHAnsi"/>
          <w:lang w:val="fr-FR"/>
        </w:rPr>
        <w:t xml:space="preserve">buts </w:t>
      </w:r>
      <w:r w:rsidRPr="00CA5940">
        <w:rPr>
          <w:rFonts w:asciiTheme="minorHAnsi" w:hAnsiTheme="minorHAnsi" w:cstheme="minorHAnsi"/>
          <w:lang w:val="fr-FR"/>
        </w:rPr>
        <w:t xml:space="preserve">du </w:t>
      </w:r>
      <w:r w:rsidR="0032701F">
        <w:rPr>
          <w:rFonts w:asciiTheme="minorHAnsi" w:hAnsiTheme="minorHAnsi" w:cstheme="minorHAnsi"/>
          <w:lang w:val="fr-FR"/>
        </w:rPr>
        <w:t>P</w:t>
      </w:r>
      <w:r w:rsidRPr="00CA5940">
        <w:rPr>
          <w:rFonts w:asciiTheme="minorHAnsi" w:hAnsiTheme="minorHAnsi" w:cstheme="minorHAnsi"/>
          <w:lang w:val="fr-FR"/>
        </w:rPr>
        <w:t xml:space="preserve">rogramme </w:t>
      </w:r>
      <w:r w:rsidR="006D258C">
        <w:rPr>
          <w:rFonts w:asciiTheme="minorHAnsi" w:hAnsiTheme="minorHAnsi" w:cstheme="minorHAnsi"/>
          <w:lang w:val="fr-FR"/>
        </w:rPr>
        <w:t xml:space="preserve">de </w:t>
      </w:r>
      <w:r w:rsidRPr="00CA5940">
        <w:rPr>
          <w:rFonts w:asciiTheme="minorHAnsi" w:hAnsiTheme="minorHAnsi" w:cstheme="minorHAnsi"/>
          <w:lang w:val="fr-FR"/>
        </w:rPr>
        <w:t xml:space="preserve">CESP 2016-2024, les actions et réalisations </w:t>
      </w:r>
      <w:r w:rsidR="006D258C">
        <w:rPr>
          <w:rFonts w:asciiTheme="minorHAnsi" w:hAnsiTheme="minorHAnsi" w:cstheme="minorHAnsi"/>
          <w:lang w:val="fr-FR"/>
        </w:rPr>
        <w:t xml:space="preserve">décrites ci-dessous </w:t>
      </w:r>
      <w:r w:rsidRPr="00CA5940">
        <w:rPr>
          <w:rFonts w:asciiTheme="minorHAnsi" w:hAnsiTheme="minorHAnsi" w:cstheme="minorHAnsi"/>
          <w:lang w:val="fr-FR"/>
        </w:rPr>
        <w:t xml:space="preserve">ont </w:t>
      </w:r>
      <w:r w:rsidR="006352BF">
        <w:rPr>
          <w:rFonts w:asciiTheme="minorHAnsi" w:hAnsiTheme="minorHAnsi" w:cstheme="minorHAnsi"/>
          <w:lang w:val="fr-FR"/>
        </w:rPr>
        <w:t>pris place</w:t>
      </w:r>
      <w:r w:rsidRPr="00CA5940">
        <w:rPr>
          <w:rFonts w:asciiTheme="minorHAnsi" w:hAnsiTheme="minorHAnsi" w:cstheme="minorHAnsi"/>
          <w:lang w:val="fr-FR"/>
        </w:rPr>
        <w:t xml:space="preserve"> au cours de la période de référence.</w:t>
      </w:r>
    </w:p>
    <w:p w14:paraId="457420D9" w14:textId="77777777" w:rsidR="00BA4ED6" w:rsidRPr="00CA5940" w:rsidRDefault="00BA4ED6" w:rsidP="008C4BA0">
      <w:pPr>
        <w:pStyle w:val="BodyText"/>
        <w:widowControl/>
        <w:tabs>
          <w:tab w:val="left" w:pos="544"/>
        </w:tabs>
        <w:ind w:left="425" w:hanging="425"/>
        <w:rPr>
          <w:rFonts w:asciiTheme="minorHAnsi" w:hAnsiTheme="minorHAnsi" w:cstheme="minorHAnsi"/>
          <w:lang w:val="fr-FR"/>
        </w:rPr>
      </w:pPr>
    </w:p>
    <w:p w14:paraId="131CFFDF" w14:textId="35A803F8" w:rsidR="00BA4ED6" w:rsidRPr="00CA5940" w:rsidRDefault="006D258C" w:rsidP="00EC5C46">
      <w:pPr>
        <w:keepNext/>
        <w:rPr>
          <w:rFonts w:eastAsia="Calibri" w:cstheme="minorHAnsi"/>
          <w:i/>
          <w:sz w:val="22"/>
          <w:szCs w:val="22"/>
        </w:rPr>
      </w:pPr>
      <w:r>
        <w:rPr>
          <w:rFonts w:eastAsia="Calibri" w:cstheme="minorHAnsi"/>
          <w:i/>
          <w:sz w:val="22"/>
          <w:szCs w:val="22"/>
        </w:rPr>
        <w:lastRenderedPageBreak/>
        <w:t>But</w:t>
      </w:r>
      <w:r w:rsidR="00BA4ED6" w:rsidRPr="00CA5940">
        <w:rPr>
          <w:rFonts w:eastAsia="Calibri" w:cstheme="minorHAnsi"/>
          <w:i/>
          <w:sz w:val="22"/>
          <w:szCs w:val="22"/>
        </w:rPr>
        <w:t xml:space="preserve"> 1 </w:t>
      </w:r>
      <w:r>
        <w:rPr>
          <w:rFonts w:eastAsia="Calibri" w:cstheme="minorHAnsi"/>
          <w:i/>
          <w:sz w:val="22"/>
          <w:szCs w:val="22"/>
        </w:rPr>
        <w:t>–</w:t>
      </w:r>
      <w:r w:rsidR="00BA4ED6" w:rsidRPr="00CA5940">
        <w:rPr>
          <w:rFonts w:eastAsia="Calibri" w:cstheme="minorHAnsi"/>
          <w:i/>
          <w:sz w:val="22"/>
          <w:szCs w:val="22"/>
        </w:rPr>
        <w:t xml:space="preserve"> </w:t>
      </w:r>
      <w:r w:rsidR="00A02660">
        <w:rPr>
          <w:rFonts w:eastAsia="Calibri" w:cstheme="minorHAnsi"/>
          <w:i/>
          <w:sz w:val="22"/>
          <w:szCs w:val="22"/>
        </w:rPr>
        <w:t xml:space="preserve">Mettre en place des </w:t>
      </w:r>
      <w:r>
        <w:rPr>
          <w:rFonts w:eastAsia="Calibri" w:cstheme="minorHAnsi"/>
          <w:i/>
          <w:sz w:val="22"/>
          <w:szCs w:val="22"/>
        </w:rPr>
        <w:t>tructures d’encadrement</w:t>
      </w:r>
      <w:r w:rsidR="00BA4ED6" w:rsidRPr="00CA5940">
        <w:rPr>
          <w:rFonts w:eastAsia="Calibri" w:cstheme="minorHAnsi"/>
          <w:i/>
          <w:sz w:val="22"/>
          <w:szCs w:val="22"/>
        </w:rPr>
        <w:t>, mécanismes institutionnels et soutien aux réseaux</w:t>
      </w:r>
    </w:p>
    <w:p w14:paraId="5A90DC16" w14:textId="77777777" w:rsidR="00BA4ED6" w:rsidRPr="00CA5940" w:rsidRDefault="00BA4ED6" w:rsidP="00EC5C46">
      <w:pPr>
        <w:keepNext/>
        <w:rPr>
          <w:rFonts w:eastAsia="Calibri" w:cstheme="minorHAnsi"/>
          <w:sz w:val="22"/>
          <w:szCs w:val="22"/>
        </w:rPr>
      </w:pPr>
    </w:p>
    <w:p w14:paraId="02581C2D" w14:textId="62F8534A" w:rsidR="00BA4ED6" w:rsidRPr="00CA5940" w:rsidRDefault="00BA4ED6" w:rsidP="008C4BA0">
      <w:pPr>
        <w:numPr>
          <w:ilvl w:val="0"/>
          <w:numId w:val="6"/>
        </w:numPr>
        <w:ind w:left="851" w:hanging="426"/>
        <w:contextualSpacing/>
        <w:rPr>
          <w:rFonts w:eastAsia="Calibri" w:cstheme="minorHAnsi"/>
          <w:sz w:val="22"/>
          <w:szCs w:val="22"/>
        </w:rPr>
      </w:pPr>
      <w:r w:rsidRPr="00CA5940">
        <w:rPr>
          <w:rFonts w:eastAsia="Calibri" w:cstheme="minorHAnsi"/>
          <w:sz w:val="22"/>
          <w:szCs w:val="22"/>
        </w:rPr>
        <w:t>La désignation de</w:t>
      </w:r>
      <w:r w:rsidR="006D258C">
        <w:rPr>
          <w:rFonts w:eastAsia="Calibri" w:cstheme="minorHAnsi"/>
          <w:sz w:val="22"/>
          <w:szCs w:val="22"/>
        </w:rPr>
        <w:t xml:space="preserve"> Correspondants nationaux </w:t>
      </w:r>
      <w:r w:rsidR="0088614B">
        <w:rPr>
          <w:rFonts w:eastAsia="Calibri" w:cstheme="minorHAnsi"/>
          <w:sz w:val="22"/>
          <w:szCs w:val="22"/>
        </w:rPr>
        <w:t xml:space="preserve">pour la </w:t>
      </w:r>
      <w:r w:rsidRPr="00CA5940">
        <w:rPr>
          <w:rFonts w:eastAsia="Calibri" w:cstheme="minorHAnsi"/>
          <w:sz w:val="22"/>
          <w:szCs w:val="22"/>
        </w:rPr>
        <w:t xml:space="preserve">CESP </w:t>
      </w:r>
      <w:r w:rsidR="006D258C">
        <w:rPr>
          <w:rFonts w:eastAsia="Calibri" w:cstheme="minorHAnsi"/>
          <w:sz w:val="22"/>
          <w:szCs w:val="22"/>
        </w:rPr>
        <w:t>par l</w:t>
      </w:r>
      <w:r w:rsidRPr="00CA5940">
        <w:rPr>
          <w:rFonts w:eastAsia="Calibri" w:cstheme="minorHAnsi"/>
          <w:sz w:val="22"/>
          <w:szCs w:val="22"/>
        </w:rPr>
        <w:t xml:space="preserve">es gouvernements nationaux et </w:t>
      </w:r>
      <w:r w:rsidR="006D258C">
        <w:rPr>
          <w:rFonts w:eastAsia="Calibri" w:cstheme="minorHAnsi"/>
          <w:sz w:val="22"/>
          <w:szCs w:val="22"/>
        </w:rPr>
        <w:t>l</w:t>
      </w:r>
      <w:r w:rsidRPr="00CA5940">
        <w:rPr>
          <w:rFonts w:eastAsia="Calibri" w:cstheme="minorHAnsi"/>
          <w:sz w:val="22"/>
          <w:szCs w:val="22"/>
        </w:rPr>
        <w:t xml:space="preserve">es ONG est essentielle pour assurer le leadership de la CESP au niveau national. Cent quarante-neuf </w:t>
      </w:r>
      <w:r w:rsidR="00D1530D">
        <w:rPr>
          <w:rFonts w:eastAsia="Calibri" w:cstheme="minorHAnsi"/>
          <w:sz w:val="22"/>
          <w:szCs w:val="22"/>
        </w:rPr>
        <w:t>P</w:t>
      </w:r>
      <w:r w:rsidRPr="00CA5940">
        <w:rPr>
          <w:rFonts w:eastAsia="Calibri" w:cstheme="minorHAnsi"/>
          <w:sz w:val="22"/>
          <w:szCs w:val="22"/>
        </w:rPr>
        <w:t xml:space="preserve">arties contractantes ont désigné des </w:t>
      </w:r>
      <w:r w:rsidR="00D1530D">
        <w:rPr>
          <w:rFonts w:eastAsia="Calibri" w:cstheme="minorHAnsi"/>
          <w:sz w:val="22"/>
          <w:szCs w:val="22"/>
        </w:rPr>
        <w:t xml:space="preserve">Correspondants nationaux </w:t>
      </w:r>
      <w:r w:rsidR="0088614B">
        <w:rPr>
          <w:rFonts w:eastAsia="Calibri" w:cstheme="minorHAnsi"/>
          <w:sz w:val="22"/>
          <w:szCs w:val="22"/>
        </w:rPr>
        <w:t xml:space="preserve">pour la </w:t>
      </w:r>
      <w:r w:rsidRPr="00CA5940">
        <w:rPr>
          <w:rFonts w:eastAsia="Calibri" w:cstheme="minorHAnsi"/>
          <w:sz w:val="22"/>
          <w:szCs w:val="22"/>
        </w:rPr>
        <w:t xml:space="preserve">CESP </w:t>
      </w:r>
      <w:r w:rsidR="00D1530D">
        <w:rPr>
          <w:rFonts w:eastAsia="Calibri" w:cstheme="minorHAnsi"/>
          <w:sz w:val="22"/>
          <w:szCs w:val="22"/>
        </w:rPr>
        <w:t>gouvernementaux</w:t>
      </w:r>
      <w:r w:rsidRPr="00CA5940">
        <w:rPr>
          <w:rFonts w:eastAsia="Calibri" w:cstheme="minorHAnsi"/>
          <w:sz w:val="22"/>
          <w:szCs w:val="22"/>
        </w:rPr>
        <w:t xml:space="preserve"> et 112 ont désigné des </w:t>
      </w:r>
      <w:r w:rsidR="00D1530D">
        <w:rPr>
          <w:rFonts w:eastAsia="Calibri" w:cstheme="minorHAnsi"/>
          <w:sz w:val="22"/>
          <w:szCs w:val="22"/>
        </w:rPr>
        <w:t xml:space="preserve">Correspondants nationaux </w:t>
      </w:r>
      <w:r w:rsidR="0088614B">
        <w:rPr>
          <w:rFonts w:eastAsia="Calibri" w:cstheme="minorHAnsi"/>
          <w:sz w:val="22"/>
          <w:szCs w:val="22"/>
        </w:rPr>
        <w:t xml:space="preserve">pour la </w:t>
      </w:r>
      <w:r w:rsidR="00D1530D" w:rsidRPr="00CA5940">
        <w:rPr>
          <w:rFonts w:eastAsia="Calibri" w:cstheme="minorHAnsi"/>
          <w:sz w:val="22"/>
          <w:szCs w:val="22"/>
        </w:rPr>
        <w:t>CESP</w:t>
      </w:r>
      <w:r w:rsidR="00D1530D">
        <w:rPr>
          <w:rFonts w:eastAsia="Calibri" w:cstheme="minorHAnsi"/>
          <w:sz w:val="22"/>
          <w:szCs w:val="22"/>
        </w:rPr>
        <w:t xml:space="preserve"> non gouvernementaux</w:t>
      </w:r>
      <w:r w:rsidRPr="00CA5940">
        <w:rPr>
          <w:rFonts w:eastAsia="Calibri" w:cstheme="minorHAnsi"/>
          <w:sz w:val="22"/>
          <w:szCs w:val="22"/>
        </w:rPr>
        <w:t xml:space="preserve">. </w:t>
      </w:r>
    </w:p>
    <w:p w14:paraId="73A55A91" w14:textId="77777777" w:rsidR="00DE19D7" w:rsidRPr="00CA5940" w:rsidRDefault="00DE19D7" w:rsidP="008C4BA0">
      <w:pPr>
        <w:ind w:left="851"/>
        <w:contextualSpacing/>
        <w:rPr>
          <w:rFonts w:eastAsia="Calibri" w:cstheme="minorHAnsi"/>
          <w:sz w:val="22"/>
          <w:szCs w:val="22"/>
        </w:rPr>
      </w:pPr>
    </w:p>
    <w:p w14:paraId="1B04E307" w14:textId="1858F78B" w:rsidR="00BA4ED6" w:rsidRPr="00CA5940" w:rsidRDefault="00BA4ED6" w:rsidP="008C4BA0">
      <w:pPr>
        <w:numPr>
          <w:ilvl w:val="0"/>
          <w:numId w:val="6"/>
        </w:numPr>
        <w:ind w:left="851" w:hanging="426"/>
        <w:contextualSpacing/>
        <w:rPr>
          <w:rFonts w:eastAsia="Calibri" w:cstheme="minorHAnsi"/>
          <w:sz w:val="22"/>
          <w:szCs w:val="22"/>
        </w:rPr>
      </w:pPr>
      <w:r w:rsidRPr="00CA5940">
        <w:rPr>
          <w:rFonts w:eastAsia="Calibri" w:cstheme="minorHAnsi"/>
          <w:sz w:val="22"/>
          <w:szCs w:val="22"/>
        </w:rPr>
        <w:t xml:space="preserve">Le Secrétariat </w:t>
      </w:r>
      <w:r w:rsidR="00D1530D">
        <w:rPr>
          <w:rFonts w:eastAsia="Calibri" w:cstheme="minorHAnsi"/>
          <w:sz w:val="22"/>
          <w:szCs w:val="22"/>
        </w:rPr>
        <w:t xml:space="preserve">possède </w:t>
      </w:r>
      <w:r w:rsidRPr="00CA5940">
        <w:rPr>
          <w:rFonts w:eastAsia="Calibri" w:cstheme="minorHAnsi"/>
          <w:sz w:val="22"/>
          <w:szCs w:val="22"/>
        </w:rPr>
        <w:t xml:space="preserve">jour une liste </w:t>
      </w:r>
      <w:r w:rsidR="00D1530D">
        <w:rPr>
          <w:rFonts w:eastAsia="Calibri" w:cstheme="minorHAnsi"/>
          <w:sz w:val="22"/>
          <w:szCs w:val="22"/>
        </w:rPr>
        <w:t>à jour de</w:t>
      </w:r>
      <w:r w:rsidR="00EF5792">
        <w:rPr>
          <w:rFonts w:eastAsia="Calibri" w:cstheme="minorHAnsi"/>
          <w:sz w:val="22"/>
          <w:szCs w:val="22"/>
        </w:rPr>
        <w:t>s Corres</w:t>
      </w:r>
      <w:r w:rsidR="00D1530D">
        <w:rPr>
          <w:rFonts w:eastAsia="Calibri" w:cstheme="minorHAnsi"/>
          <w:sz w:val="22"/>
          <w:szCs w:val="22"/>
        </w:rPr>
        <w:t xml:space="preserve">pondants nationaux </w:t>
      </w:r>
      <w:r w:rsidR="00EF5792">
        <w:rPr>
          <w:rFonts w:eastAsia="Calibri" w:cstheme="minorHAnsi"/>
          <w:sz w:val="22"/>
          <w:szCs w:val="22"/>
        </w:rPr>
        <w:t xml:space="preserve">pour la </w:t>
      </w:r>
      <w:r w:rsidR="00D1530D" w:rsidRPr="00CA5940">
        <w:rPr>
          <w:rFonts w:eastAsia="Calibri" w:cstheme="minorHAnsi"/>
          <w:sz w:val="22"/>
          <w:szCs w:val="22"/>
        </w:rPr>
        <w:t xml:space="preserve">CESP </w:t>
      </w:r>
      <w:r w:rsidR="00D1530D">
        <w:rPr>
          <w:rFonts w:eastAsia="Calibri" w:cstheme="minorHAnsi"/>
          <w:sz w:val="22"/>
          <w:szCs w:val="22"/>
        </w:rPr>
        <w:t xml:space="preserve">qui regroupe </w:t>
      </w:r>
      <w:r w:rsidR="002350A3" w:rsidRPr="00CA5940">
        <w:rPr>
          <w:rFonts w:eastAsia="Calibri" w:cstheme="minorHAnsi"/>
          <w:sz w:val="22"/>
          <w:szCs w:val="22"/>
        </w:rPr>
        <w:t xml:space="preserve">1 271 </w:t>
      </w:r>
      <w:r w:rsidRPr="00CA5940">
        <w:rPr>
          <w:rFonts w:eastAsia="Calibri" w:cstheme="minorHAnsi"/>
          <w:sz w:val="22"/>
          <w:szCs w:val="22"/>
        </w:rPr>
        <w:t xml:space="preserve">personnes. Cette liste est </w:t>
      </w:r>
      <w:r w:rsidR="00592652" w:rsidRPr="00CA5940">
        <w:rPr>
          <w:rFonts w:eastAsia="Calibri" w:cstheme="minorHAnsi"/>
          <w:sz w:val="22"/>
          <w:szCs w:val="22"/>
        </w:rPr>
        <w:t xml:space="preserve">utilisée </w:t>
      </w:r>
      <w:r w:rsidRPr="00CA5940">
        <w:rPr>
          <w:rFonts w:eastAsia="Calibri" w:cstheme="minorHAnsi"/>
          <w:sz w:val="22"/>
          <w:szCs w:val="22"/>
        </w:rPr>
        <w:t xml:space="preserve">pour diffuser des informations pertinentes sur la CESP aux </w:t>
      </w:r>
      <w:r w:rsidR="00D1530D">
        <w:rPr>
          <w:rFonts w:eastAsia="Calibri" w:cstheme="minorHAnsi"/>
          <w:sz w:val="22"/>
          <w:szCs w:val="22"/>
        </w:rPr>
        <w:t>P</w:t>
      </w:r>
      <w:r w:rsidRPr="00CA5940">
        <w:rPr>
          <w:rFonts w:eastAsia="Calibri" w:cstheme="minorHAnsi"/>
          <w:sz w:val="22"/>
          <w:szCs w:val="22"/>
        </w:rPr>
        <w:t xml:space="preserve">arties contractantes et aux groupes de parties prenantes. </w:t>
      </w:r>
    </w:p>
    <w:p w14:paraId="6D8B1AA1" w14:textId="77777777" w:rsidR="004D781E" w:rsidRPr="00CA5940" w:rsidRDefault="004D781E" w:rsidP="008C4BA0">
      <w:pPr>
        <w:contextualSpacing/>
        <w:rPr>
          <w:rFonts w:eastAsia="Calibri" w:cstheme="minorHAnsi"/>
          <w:sz w:val="22"/>
          <w:szCs w:val="22"/>
        </w:rPr>
      </w:pPr>
    </w:p>
    <w:p w14:paraId="382915B3" w14:textId="434D7B1F" w:rsidR="00FF43FD" w:rsidRPr="00CA5940" w:rsidRDefault="00555AF4" w:rsidP="008C4BA0">
      <w:pPr>
        <w:numPr>
          <w:ilvl w:val="0"/>
          <w:numId w:val="6"/>
        </w:numPr>
        <w:ind w:left="851" w:hanging="426"/>
        <w:contextualSpacing/>
        <w:rPr>
          <w:rFonts w:eastAsia="Calibri" w:cstheme="minorHAnsi"/>
          <w:sz w:val="22"/>
          <w:szCs w:val="22"/>
        </w:rPr>
      </w:pPr>
      <w:r w:rsidRPr="00CA5940">
        <w:rPr>
          <w:rFonts w:eastAsia="Calibri" w:cstheme="minorHAnsi"/>
          <w:sz w:val="22"/>
          <w:szCs w:val="22"/>
        </w:rPr>
        <w:t xml:space="preserve">La Secrétaire générale a </w:t>
      </w:r>
      <w:r w:rsidR="00D1530D">
        <w:rPr>
          <w:rFonts w:eastAsia="Calibri" w:cstheme="minorHAnsi"/>
          <w:sz w:val="22"/>
          <w:szCs w:val="22"/>
        </w:rPr>
        <w:t xml:space="preserve">joué un rôle </w:t>
      </w:r>
      <w:r w:rsidRPr="00CA5940">
        <w:rPr>
          <w:rFonts w:eastAsia="Calibri" w:cstheme="minorHAnsi"/>
          <w:sz w:val="22"/>
          <w:szCs w:val="22"/>
        </w:rPr>
        <w:t>très acti</w:t>
      </w:r>
      <w:r w:rsidR="00D1530D">
        <w:rPr>
          <w:rFonts w:eastAsia="Calibri" w:cstheme="minorHAnsi"/>
          <w:sz w:val="22"/>
          <w:szCs w:val="22"/>
        </w:rPr>
        <w:t>f</w:t>
      </w:r>
      <w:r w:rsidRPr="00CA5940">
        <w:rPr>
          <w:rFonts w:eastAsia="Calibri" w:cstheme="minorHAnsi"/>
          <w:sz w:val="22"/>
          <w:szCs w:val="22"/>
        </w:rPr>
        <w:t xml:space="preserve"> </w:t>
      </w:r>
      <w:r w:rsidR="00D06DB5">
        <w:rPr>
          <w:rFonts w:eastAsia="Calibri" w:cstheme="minorHAnsi"/>
          <w:sz w:val="22"/>
          <w:szCs w:val="22"/>
        </w:rPr>
        <w:t>en utilisant certains</w:t>
      </w:r>
      <w:r w:rsidRPr="00CA5940">
        <w:rPr>
          <w:rFonts w:eastAsia="Calibri" w:cstheme="minorHAnsi"/>
          <w:sz w:val="22"/>
          <w:szCs w:val="22"/>
        </w:rPr>
        <w:t xml:space="preserve"> </w:t>
      </w:r>
      <w:r w:rsidR="008F53C8" w:rsidRPr="00CA5940">
        <w:rPr>
          <w:rFonts w:eastAsia="Calibri" w:cstheme="minorHAnsi"/>
          <w:sz w:val="22"/>
          <w:szCs w:val="22"/>
        </w:rPr>
        <w:t xml:space="preserve">éléments du Programme de CESP pour </w:t>
      </w:r>
      <w:r w:rsidR="00D06DB5">
        <w:rPr>
          <w:rFonts w:eastAsia="Calibri" w:cstheme="minorHAnsi"/>
          <w:sz w:val="22"/>
          <w:szCs w:val="22"/>
        </w:rPr>
        <w:t xml:space="preserve">accroître </w:t>
      </w:r>
      <w:r w:rsidR="008F53C8" w:rsidRPr="00CA5940">
        <w:rPr>
          <w:rFonts w:eastAsia="Calibri" w:cstheme="minorHAnsi"/>
          <w:sz w:val="22"/>
          <w:szCs w:val="22"/>
        </w:rPr>
        <w:t xml:space="preserve">la visibilité des zones humides et de la Convention. Elle a </w:t>
      </w:r>
      <w:r w:rsidR="00D06DB5">
        <w:rPr>
          <w:rFonts w:eastAsia="Calibri" w:cstheme="minorHAnsi"/>
          <w:sz w:val="22"/>
          <w:szCs w:val="22"/>
        </w:rPr>
        <w:t xml:space="preserve">mis à profit </w:t>
      </w:r>
      <w:r w:rsidR="0024560C" w:rsidRPr="00CA5940">
        <w:rPr>
          <w:rFonts w:eastAsia="Calibri" w:cstheme="minorHAnsi"/>
          <w:sz w:val="22"/>
          <w:szCs w:val="22"/>
        </w:rPr>
        <w:t xml:space="preserve">sa position de </w:t>
      </w:r>
      <w:r w:rsidR="00D06DB5">
        <w:rPr>
          <w:rFonts w:eastAsia="Calibri" w:cstheme="minorHAnsi"/>
          <w:sz w:val="22"/>
          <w:szCs w:val="22"/>
        </w:rPr>
        <w:t xml:space="preserve">cheffe de file </w:t>
      </w:r>
      <w:r w:rsidR="0024560C" w:rsidRPr="00CA5940">
        <w:rPr>
          <w:rFonts w:eastAsia="Calibri" w:cstheme="minorHAnsi"/>
          <w:sz w:val="22"/>
          <w:szCs w:val="22"/>
        </w:rPr>
        <w:t xml:space="preserve">pour engager les responsables gouvernementaux, les dirigeants de la société civile et les jeunes </w:t>
      </w:r>
      <w:r w:rsidR="00D06DB5" w:rsidRPr="00CA5940">
        <w:rPr>
          <w:rFonts w:eastAsia="Calibri" w:cstheme="minorHAnsi"/>
          <w:sz w:val="22"/>
          <w:szCs w:val="22"/>
        </w:rPr>
        <w:t xml:space="preserve">et </w:t>
      </w:r>
      <w:r w:rsidR="00D06DB5">
        <w:rPr>
          <w:rFonts w:eastAsia="Calibri" w:cstheme="minorHAnsi"/>
          <w:sz w:val="22"/>
          <w:szCs w:val="22"/>
        </w:rPr>
        <w:t xml:space="preserve">les </w:t>
      </w:r>
      <w:r w:rsidR="00D06DB5" w:rsidRPr="00CA5940">
        <w:rPr>
          <w:rFonts w:eastAsia="Calibri" w:cstheme="minorHAnsi"/>
          <w:sz w:val="22"/>
          <w:szCs w:val="22"/>
        </w:rPr>
        <w:t xml:space="preserve">mobiliser </w:t>
      </w:r>
      <w:r w:rsidR="006C325A" w:rsidRPr="00CA5940">
        <w:rPr>
          <w:rFonts w:eastAsia="Calibri" w:cstheme="minorHAnsi"/>
          <w:sz w:val="22"/>
          <w:szCs w:val="22"/>
        </w:rPr>
        <w:t xml:space="preserve">afin qu'ils prennent des mesures positives </w:t>
      </w:r>
      <w:r w:rsidR="00D06DB5">
        <w:rPr>
          <w:rFonts w:eastAsia="Calibri" w:cstheme="minorHAnsi"/>
          <w:sz w:val="22"/>
          <w:szCs w:val="22"/>
        </w:rPr>
        <w:t>en faveur des</w:t>
      </w:r>
      <w:r w:rsidR="006C325A" w:rsidRPr="00CA5940">
        <w:rPr>
          <w:rFonts w:eastAsia="Calibri" w:cstheme="minorHAnsi"/>
          <w:sz w:val="22"/>
          <w:szCs w:val="22"/>
        </w:rPr>
        <w:t xml:space="preserve"> zones humides. </w:t>
      </w:r>
    </w:p>
    <w:p w14:paraId="67FF49E5" w14:textId="77777777" w:rsidR="004D781E" w:rsidRPr="00CA5940" w:rsidRDefault="004D781E" w:rsidP="008C4BA0">
      <w:pPr>
        <w:contextualSpacing/>
        <w:rPr>
          <w:rFonts w:eastAsia="Calibri" w:cstheme="minorHAnsi"/>
          <w:sz w:val="22"/>
          <w:szCs w:val="22"/>
        </w:rPr>
      </w:pPr>
    </w:p>
    <w:p w14:paraId="2CADC5D6" w14:textId="6B63336C" w:rsidR="00BA4ED6" w:rsidRPr="00CA5940" w:rsidRDefault="00BA4ED6" w:rsidP="008C4BA0">
      <w:pPr>
        <w:numPr>
          <w:ilvl w:val="0"/>
          <w:numId w:val="6"/>
        </w:numPr>
        <w:ind w:left="851" w:hanging="426"/>
        <w:contextualSpacing/>
        <w:rPr>
          <w:rFonts w:eastAsia="Calibri" w:cstheme="minorHAnsi"/>
          <w:sz w:val="22"/>
          <w:szCs w:val="22"/>
        </w:rPr>
      </w:pPr>
      <w:r w:rsidRPr="00CA5940">
        <w:rPr>
          <w:rFonts w:eastAsia="Calibri" w:cstheme="minorHAnsi"/>
          <w:sz w:val="22"/>
          <w:szCs w:val="22"/>
        </w:rPr>
        <w:t xml:space="preserve">Le Secrétariat cherche à établir des relations avec des organisations susceptibles de faire progresser les objectifs de la Convention en matière de CESP. La </w:t>
      </w:r>
      <w:r w:rsidR="00D06DB5">
        <w:rPr>
          <w:rFonts w:eastAsia="Calibri" w:cstheme="minorHAnsi"/>
          <w:sz w:val="22"/>
          <w:szCs w:val="22"/>
        </w:rPr>
        <w:t>« </w:t>
      </w:r>
      <w:r w:rsidRPr="00CA5940">
        <w:rPr>
          <w:rFonts w:eastAsia="Calibri" w:cstheme="minorHAnsi"/>
          <w:sz w:val="22"/>
          <w:szCs w:val="22"/>
        </w:rPr>
        <w:t>flottille</w:t>
      </w:r>
      <w:r w:rsidR="00D06DB5">
        <w:rPr>
          <w:rFonts w:eastAsia="Calibri" w:cstheme="minorHAnsi"/>
          <w:sz w:val="22"/>
          <w:szCs w:val="22"/>
        </w:rPr>
        <w:t> </w:t>
      </w:r>
      <w:r w:rsidR="00283A44">
        <w:rPr>
          <w:rFonts w:eastAsia="Calibri" w:cstheme="minorHAnsi"/>
          <w:sz w:val="22"/>
          <w:szCs w:val="22"/>
        </w:rPr>
        <w:t xml:space="preserve">de la communication </w:t>
      </w:r>
      <w:r w:rsidR="00D06DB5">
        <w:rPr>
          <w:rFonts w:eastAsia="Calibri" w:cstheme="minorHAnsi"/>
          <w:sz w:val="22"/>
          <w:szCs w:val="22"/>
        </w:rPr>
        <w:t>»</w:t>
      </w:r>
      <w:r w:rsidR="00093973" w:rsidRPr="00CA5940">
        <w:rPr>
          <w:rFonts w:eastAsia="Calibri" w:cstheme="minorHAnsi"/>
          <w:sz w:val="22"/>
          <w:szCs w:val="22"/>
        </w:rPr>
        <w:t xml:space="preserve">, </w:t>
      </w:r>
      <w:r w:rsidRPr="00CA5940">
        <w:rPr>
          <w:rFonts w:eastAsia="Calibri" w:cstheme="minorHAnsi"/>
          <w:sz w:val="22"/>
          <w:szCs w:val="22"/>
        </w:rPr>
        <w:t xml:space="preserve">un réseau d'organisations environnementales </w:t>
      </w:r>
      <w:r w:rsidR="00093973" w:rsidRPr="00CA5940">
        <w:rPr>
          <w:rFonts w:eastAsia="Calibri" w:cstheme="minorHAnsi"/>
          <w:sz w:val="22"/>
          <w:szCs w:val="22"/>
        </w:rPr>
        <w:t xml:space="preserve">qui </w:t>
      </w:r>
      <w:r w:rsidRPr="00CA5940">
        <w:rPr>
          <w:rFonts w:eastAsia="Calibri" w:cstheme="minorHAnsi"/>
          <w:sz w:val="22"/>
          <w:szCs w:val="22"/>
        </w:rPr>
        <w:t xml:space="preserve">aide à diffuser des informations </w:t>
      </w:r>
      <w:r w:rsidR="00283A44" w:rsidRPr="00CA5940">
        <w:rPr>
          <w:rFonts w:eastAsia="Calibri" w:cstheme="minorHAnsi"/>
          <w:sz w:val="22"/>
          <w:szCs w:val="22"/>
        </w:rPr>
        <w:t>sur la</w:t>
      </w:r>
      <w:r w:rsidR="00592652" w:rsidRPr="00CA5940">
        <w:rPr>
          <w:rFonts w:eastAsia="Calibri" w:cstheme="minorHAnsi"/>
          <w:sz w:val="22"/>
          <w:szCs w:val="22"/>
        </w:rPr>
        <w:t xml:space="preserve"> communication </w:t>
      </w:r>
      <w:r w:rsidRPr="00CA5940">
        <w:rPr>
          <w:rFonts w:eastAsia="Calibri" w:cstheme="minorHAnsi"/>
          <w:sz w:val="22"/>
          <w:szCs w:val="22"/>
        </w:rPr>
        <w:t xml:space="preserve">et les campagnes à divers groupes de parties </w:t>
      </w:r>
      <w:r w:rsidR="00AA15E7" w:rsidRPr="00CA5940">
        <w:rPr>
          <w:rFonts w:eastAsia="Calibri" w:cstheme="minorHAnsi"/>
          <w:sz w:val="22"/>
          <w:szCs w:val="22"/>
        </w:rPr>
        <w:t>prenantes, est</w:t>
      </w:r>
      <w:r w:rsidRPr="00CA5940">
        <w:rPr>
          <w:rFonts w:eastAsia="Calibri" w:cstheme="minorHAnsi"/>
          <w:sz w:val="22"/>
          <w:szCs w:val="22"/>
        </w:rPr>
        <w:t xml:space="preserve"> un mécanisme clé </w:t>
      </w:r>
      <w:r w:rsidR="00AA15E7">
        <w:rPr>
          <w:rFonts w:eastAsia="Calibri" w:cstheme="minorHAnsi"/>
          <w:sz w:val="22"/>
          <w:szCs w:val="22"/>
        </w:rPr>
        <w:t>qui permet de</w:t>
      </w:r>
      <w:r w:rsidRPr="00CA5940">
        <w:rPr>
          <w:rFonts w:eastAsia="Calibri" w:cstheme="minorHAnsi"/>
          <w:sz w:val="22"/>
          <w:szCs w:val="22"/>
        </w:rPr>
        <w:t xml:space="preserve"> </w:t>
      </w:r>
      <w:r w:rsidR="00283A44">
        <w:rPr>
          <w:rFonts w:eastAsia="Calibri" w:cstheme="minorHAnsi"/>
          <w:sz w:val="22"/>
          <w:szCs w:val="22"/>
        </w:rPr>
        <w:t xml:space="preserve">coordonner les activités de communication et créer des synergies avec </w:t>
      </w:r>
      <w:r w:rsidRPr="00CA5940">
        <w:rPr>
          <w:rFonts w:eastAsia="Calibri" w:cstheme="minorHAnsi"/>
          <w:sz w:val="22"/>
          <w:szCs w:val="22"/>
        </w:rPr>
        <w:t xml:space="preserve">ces organisations. </w:t>
      </w:r>
    </w:p>
    <w:p w14:paraId="7FA5DCD1" w14:textId="77777777" w:rsidR="00BA4ED6" w:rsidRPr="00CA5940" w:rsidRDefault="00BA4ED6" w:rsidP="008C4BA0">
      <w:pPr>
        <w:rPr>
          <w:rFonts w:eastAsia="Calibri" w:cstheme="minorHAnsi"/>
          <w:sz w:val="22"/>
          <w:szCs w:val="22"/>
        </w:rPr>
      </w:pPr>
    </w:p>
    <w:p w14:paraId="19154BA8" w14:textId="7E92A42A" w:rsidR="00BA4ED6" w:rsidRPr="00CA5940" w:rsidRDefault="00283A44" w:rsidP="008C4BA0">
      <w:pPr>
        <w:ind w:left="426"/>
        <w:rPr>
          <w:rFonts w:eastAsia="Calibri" w:cstheme="minorHAnsi"/>
          <w:i/>
          <w:sz w:val="22"/>
          <w:szCs w:val="22"/>
        </w:rPr>
      </w:pPr>
      <w:r>
        <w:rPr>
          <w:rFonts w:eastAsia="Calibri" w:cstheme="minorHAnsi"/>
          <w:i/>
          <w:sz w:val="22"/>
          <w:szCs w:val="22"/>
        </w:rPr>
        <w:t>But</w:t>
      </w:r>
      <w:r w:rsidR="00BA4ED6" w:rsidRPr="00CA5940">
        <w:rPr>
          <w:rFonts w:eastAsia="Calibri" w:cstheme="minorHAnsi"/>
          <w:i/>
          <w:sz w:val="22"/>
          <w:szCs w:val="22"/>
        </w:rPr>
        <w:t xml:space="preserve"> 2 - Intégr</w:t>
      </w:r>
      <w:r w:rsidR="00A02660">
        <w:rPr>
          <w:rFonts w:eastAsia="Calibri" w:cstheme="minorHAnsi"/>
          <w:i/>
          <w:sz w:val="22"/>
          <w:szCs w:val="22"/>
        </w:rPr>
        <w:t>er</w:t>
      </w:r>
      <w:r w:rsidR="00BA4ED6" w:rsidRPr="00CA5940">
        <w:rPr>
          <w:rFonts w:eastAsia="Calibri" w:cstheme="minorHAnsi"/>
          <w:i/>
          <w:sz w:val="22"/>
          <w:szCs w:val="22"/>
        </w:rPr>
        <w:t xml:space="preserve"> </w:t>
      </w:r>
      <w:r w:rsidR="00A02660">
        <w:rPr>
          <w:rFonts w:eastAsia="Calibri" w:cstheme="minorHAnsi"/>
          <w:i/>
          <w:sz w:val="22"/>
          <w:szCs w:val="22"/>
        </w:rPr>
        <w:t>l</w:t>
      </w:r>
      <w:r w:rsidR="0010449F">
        <w:rPr>
          <w:rFonts w:eastAsia="Calibri" w:cstheme="minorHAnsi"/>
          <w:i/>
          <w:sz w:val="22"/>
          <w:szCs w:val="22"/>
        </w:rPr>
        <w:t xml:space="preserve">es processus </w:t>
      </w:r>
      <w:r w:rsidR="00BA4ED6" w:rsidRPr="00CA5940">
        <w:rPr>
          <w:rFonts w:eastAsia="Calibri" w:cstheme="minorHAnsi"/>
          <w:i/>
          <w:sz w:val="22"/>
          <w:szCs w:val="22"/>
        </w:rPr>
        <w:t>de CESP dans les activités de la Convention</w:t>
      </w:r>
    </w:p>
    <w:p w14:paraId="6104225A" w14:textId="77777777" w:rsidR="00BA4ED6" w:rsidRPr="00CA5940" w:rsidRDefault="00BA4ED6" w:rsidP="008C4BA0">
      <w:pPr>
        <w:rPr>
          <w:rFonts w:eastAsia="Calibri" w:cstheme="minorHAnsi"/>
          <w:sz w:val="22"/>
          <w:szCs w:val="22"/>
        </w:rPr>
      </w:pPr>
    </w:p>
    <w:p w14:paraId="76A6CAFB" w14:textId="44357588" w:rsidR="00BA4ED6" w:rsidRPr="00CA5940" w:rsidRDefault="00093973" w:rsidP="008C4BA0">
      <w:pPr>
        <w:numPr>
          <w:ilvl w:val="0"/>
          <w:numId w:val="8"/>
        </w:numPr>
        <w:ind w:left="851" w:hanging="425"/>
        <w:contextualSpacing/>
        <w:rPr>
          <w:rFonts w:eastAsia="Calibri" w:cstheme="minorHAnsi"/>
          <w:sz w:val="22"/>
          <w:szCs w:val="22"/>
        </w:rPr>
      </w:pPr>
      <w:r w:rsidRPr="00CA5940">
        <w:rPr>
          <w:rFonts w:eastAsia="Calibri" w:cstheme="minorHAnsi"/>
          <w:sz w:val="22"/>
          <w:szCs w:val="22"/>
        </w:rPr>
        <w:t xml:space="preserve">Les organes </w:t>
      </w:r>
      <w:r w:rsidR="00BA4ED6" w:rsidRPr="00CA5940">
        <w:rPr>
          <w:rFonts w:eastAsia="Calibri" w:cstheme="minorHAnsi"/>
          <w:sz w:val="22"/>
          <w:szCs w:val="22"/>
        </w:rPr>
        <w:t xml:space="preserve">subsidiaires de la Convention ont sollicité les conseils et l'expertise du </w:t>
      </w:r>
      <w:r w:rsidR="006F68A2">
        <w:rPr>
          <w:rFonts w:eastAsia="Calibri" w:cstheme="minorHAnsi"/>
          <w:sz w:val="22"/>
          <w:szCs w:val="22"/>
        </w:rPr>
        <w:t xml:space="preserve">Groupe de surveillance des activités </w:t>
      </w:r>
      <w:r w:rsidR="00BA4ED6" w:rsidRPr="00CA5940">
        <w:rPr>
          <w:rFonts w:eastAsia="Calibri" w:cstheme="minorHAnsi"/>
          <w:sz w:val="22"/>
          <w:szCs w:val="22"/>
        </w:rPr>
        <w:t>de CESP</w:t>
      </w:r>
      <w:r w:rsidRPr="00CA5940">
        <w:rPr>
          <w:rFonts w:eastAsia="Calibri" w:cstheme="minorHAnsi"/>
          <w:sz w:val="22"/>
          <w:szCs w:val="22"/>
        </w:rPr>
        <w:t xml:space="preserve">, notamment le Comité permanent qui a fait appel </w:t>
      </w:r>
      <w:r w:rsidR="00BA4ED6" w:rsidRPr="00CA5940">
        <w:rPr>
          <w:rFonts w:eastAsia="Calibri" w:cstheme="minorHAnsi"/>
          <w:sz w:val="22"/>
          <w:szCs w:val="22"/>
        </w:rPr>
        <w:t xml:space="preserve">à l'expertise du Groupe sur les avantages, les risques et les coûts de la mise à jour du logo de la Convention, et le </w:t>
      </w:r>
      <w:r w:rsidRPr="00CA5940">
        <w:rPr>
          <w:rFonts w:eastAsia="Calibri" w:cstheme="minorHAnsi"/>
          <w:sz w:val="22"/>
          <w:szCs w:val="22"/>
        </w:rPr>
        <w:t>Groupe d'évaluation scientifique et technique (</w:t>
      </w:r>
      <w:r w:rsidR="00BA4ED6" w:rsidRPr="00CA5940">
        <w:rPr>
          <w:rFonts w:eastAsia="Calibri" w:cstheme="minorHAnsi"/>
          <w:sz w:val="22"/>
          <w:szCs w:val="22"/>
        </w:rPr>
        <w:t>GEST</w:t>
      </w:r>
      <w:r w:rsidRPr="00CA5940">
        <w:rPr>
          <w:rFonts w:eastAsia="Calibri" w:cstheme="minorHAnsi"/>
          <w:sz w:val="22"/>
          <w:szCs w:val="22"/>
        </w:rPr>
        <w:t>)</w:t>
      </w:r>
      <w:r w:rsidR="006970AA">
        <w:rPr>
          <w:rFonts w:eastAsia="Calibri" w:cstheme="minorHAnsi"/>
          <w:sz w:val="22"/>
          <w:szCs w:val="22"/>
        </w:rPr>
        <w:t>,</w:t>
      </w:r>
      <w:r w:rsidRPr="00CA5940">
        <w:rPr>
          <w:rFonts w:eastAsia="Calibri" w:cstheme="minorHAnsi"/>
          <w:sz w:val="22"/>
          <w:szCs w:val="22"/>
        </w:rPr>
        <w:t xml:space="preserve"> </w:t>
      </w:r>
      <w:r w:rsidR="00051285" w:rsidRPr="00CA5940">
        <w:rPr>
          <w:rFonts w:eastAsia="Calibri" w:cstheme="minorHAnsi"/>
          <w:sz w:val="22"/>
          <w:szCs w:val="22"/>
        </w:rPr>
        <w:t xml:space="preserve">qui a demandé des </w:t>
      </w:r>
      <w:r w:rsidR="00BA4ED6" w:rsidRPr="00CA5940">
        <w:rPr>
          <w:rFonts w:eastAsia="Calibri" w:cstheme="minorHAnsi"/>
          <w:sz w:val="22"/>
          <w:szCs w:val="22"/>
        </w:rPr>
        <w:t xml:space="preserve">conseils sur la préparation et la diffusion des produits du GEST. </w:t>
      </w:r>
      <w:r w:rsidR="006970AA">
        <w:rPr>
          <w:rFonts w:eastAsia="Calibri" w:cstheme="minorHAnsi"/>
          <w:sz w:val="22"/>
          <w:szCs w:val="22"/>
        </w:rPr>
        <w:t>Par ailleurs</w:t>
      </w:r>
      <w:r w:rsidR="00592652" w:rsidRPr="00CA5940">
        <w:rPr>
          <w:rFonts w:eastAsia="Calibri" w:cstheme="minorHAnsi"/>
          <w:sz w:val="22"/>
          <w:szCs w:val="22"/>
        </w:rPr>
        <w:t xml:space="preserve">, </w:t>
      </w:r>
      <w:r w:rsidR="00BA4ED6" w:rsidRPr="00CA5940">
        <w:rPr>
          <w:rFonts w:eastAsia="Calibri" w:cstheme="minorHAnsi"/>
          <w:sz w:val="22"/>
          <w:szCs w:val="22"/>
        </w:rPr>
        <w:t xml:space="preserve">il a été demandé au Groupe de surveillance </w:t>
      </w:r>
      <w:r w:rsidR="006F68A2">
        <w:rPr>
          <w:rFonts w:eastAsia="Calibri" w:cstheme="minorHAnsi"/>
          <w:sz w:val="22"/>
          <w:szCs w:val="22"/>
        </w:rPr>
        <w:t xml:space="preserve">des activités </w:t>
      </w:r>
      <w:r w:rsidR="00BA4ED6" w:rsidRPr="00CA5940">
        <w:rPr>
          <w:rFonts w:eastAsia="Calibri" w:cstheme="minorHAnsi"/>
          <w:sz w:val="22"/>
          <w:szCs w:val="22"/>
        </w:rPr>
        <w:t xml:space="preserve">de CESP d'apporter son expertise dans l'examen </w:t>
      </w:r>
      <w:r w:rsidR="00A73304" w:rsidRPr="00CA5940">
        <w:rPr>
          <w:rFonts w:eastAsia="Calibri" w:cstheme="minorHAnsi"/>
          <w:sz w:val="22"/>
          <w:szCs w:val="22"/>
        </w:rPr>
        <w:t>et l'</w:t>
      </w:r>
      <w:r w:rsidR="00BA4ED6" w:rsidRPr="00CA5940">
        <w:rPr>
          <w:rFonts w:eastAsia="Calibri" w:cstheme="minorHAnsi"/>
          <w:sz w:val="22"/>
          <w:szCs w:val="22"/>
        </w:rPr>
        <w:t xml:space="preserve">analyse des </w:t>
      </w:r>
      <w:r w:rsidR="00BA4ED6" w:rsidRPr="00CA5940">
        <w:rPr>
          <w:rFonts w:cstheme="minorHAnsi"/>
          <w:sz w:val="22"/>
          <w:szCs w:val="22"/>
        </w:rPr>
        <w:t xml:space="preserve">progrès réalisés </w:t>
      </w:r>
      <w:r w:rsidR="006970AA">
        <w:rPr>
          <w:rFonts w:cstheme="minorHAnsi"/>
          <w:sz w:val="22"/>
          <w:szCs w:val="22"/>
        </w:rPr>
        <w:t>en termes d’</w:t>
      </w:r>
      <w:r w:rsidR="00BA4ED6" w:rsidRPr="00CA5940">
        <w:rPr>
          <w:rFonts w:cstheme="minorHAnsi"/>
          <w:sz w:val="22"/>
          <w:szCs w:val="22"/>
        </w:rPr>
        <w:t xml:space="preserve">élaboration et </w:t>
      </w:r>
      <w:r w:rsidR="006970AA">
        <w:rPr>
          <w:rFonts w:cstheme="minorHAnsi"/>
          <w:sz w:val="22"/>
          <w:szCs w:val="22"/>
        </w:rPr>
        <w:t>de</w:t>
      </w:r>
      <w:r w:rsidR="00BA4ED6" w:rsidRPr="00CA5940">
        <w:rPr>
          <w:rFonts w:cstheme="minorHAnsi"/>
          <w:sz w:val="22"/>
          <w:szCs w:val="22"/>
        </w:rPr>
        <w:t xml:space="preserve"> mise en œuvre des programmes d'éducation aux zones humides, sur la base des </w:t>
      </w:r>
      <w:r w:rsidR="006970AA">
        <w:rPr>
          <w:rFonts w:cstheme="minorHAnsi"/>
          <w:sz w:val="22"/>
          <w:szCs w:val="22"/>
        </w:rPr>
        <w:t>R</w:t>
      </w:r>
      <w:r w:rsidR="00BA4ED6" w:rsidRPr="00CA5940">
        <w:rPr>
          <w:rFonts w:cstheme="minorHAnsi"/>
          <w:sz w:val="22"/>
          <w:szCs w:val="22"/>
        </w:rPr>
        <w:t>apports nationaux</w:t>
      </w:r>
      <w:r w:rsidR="005A3945" w:rsidRPr="00CA5940">
        <w:rPr>
          <w:rFonts w:cstheme="minorHAnsi"/>
          <w:sz w:val="22"/>
          <w:szCs w:val="22"/>
        </w:rPr>
        <w:t>.</w:t>
      </w:r>
    </w:p>
    <w:p w14:paraId="3CAF06B0" w14:textId="77777777" w:rsidR="001E33CB" w:rsidRPr="00CA5940" w:rsidRDefault="001E33CB" w:rsidP="008C4BA0">
      <w:pPr>
        <w:ind w:left="851" w:hanging="425"/>
        <w:contextualSpacing/>
        <w:rPr>
          <w:rFonts w:cstheme="minorHAnsi"/>
          <w:sz w:val="22"/>
          <w:szCs w:val="22"/>
        </w:rPr>
      </w:pPr>
    </w:p>
    <w:p w14:paraId="20E278AB" w14:textId="04522CAD" w:rsidR="001E33CB" w:rsidRPr="00CA5940" w:rsidRDefault="003A36D9" w:rsidP="008C4BA0">
      <w:pPr>
        <w:pStyle w:val="ListParagraph"/>
        <w:numPr>
          <w:ilvl w:val="0"/>
          <w:numId w:val="17"/>
        </w:numPr>
        <w:ind w:left="851" w:hanging="425"/>
        <w:rPr>
          <w:rFonts w:eastAsia="Calibri" w:cstheme="minorHAnsi"/>
          <w:sz w:val="22"/>
          <w:szCs w:val="22"/>
        </w:rPr>
      </w:pPr>
      <w:r w:rsidRPr="00CA5940">
        <w:rPr>
          <w:rFonts w:eastAsia="Calibri" w:cstheme="minorHAnsi"/>
          <w:sz w:val="22"/>
          <w:szCs w:val="22"/>
        </w:rPr>
        <w:t>Reconnaissant que, pour certains</w:t>
      </w:r>
      <w:r w:rsidR="00D35080" w:rsidRPr="00CA5940">
        <w:rPr>
          <w:rFonts w:eastAsia="Calibri" w:cstheme="minorHAnsi"/>
          <w:sz w:val="22"/>
          <w:szCs w:val="22"/>
        </w:rPr>
        <w:t xml:space="preserve">, le </w:t>
      </w:r>
      <w:r w:rsidRPr="00CA5940">
        <w:rPr>
          <w:rFonts w:eastAsia="Calibri" w:cstheme="minorHAnsi"/>
          <w:sz w:val="22"/>
          <w:szCs w:val="22"/>
        </w:rPr>
        <w:t xml:space="preserve">nom </w:t>
      </w:r>
      <w:r w:rsidR="006970AA">
        <w:rPr>
          <w:rFonts w:eastAsia="Calibri" w:cstheme="minorHAnsi"/>
          <w:sz w:val="22"/>
          <w:szCs w:val="22"/>
        </w:rPr>
        <w:t>« </w:t>
      </w:r>
      <w:r w:rsidRPr="00CA5940">
        <w:rPr>
          <w:rFonts w:eastAsia="Calibri" w:cstheme="minorHAnsi"/>
          <w:sz w:val="22"/>
          <w:szCs w:val="22"/>
        </w:rPr>
        <w:t>CESP</w:t>
      </w:r>
      <w:r w:rsidR="006970AA">
        <w:rPr>
          <w:rFonts w:eastAsia="Calibri" w:cstheme="minorHAnsi"/>
          <w:sz w:val="22"/>
          <w:szCs w:val="22"/>
        </w:rPr>
        <w:t> »</w:t>
      </w:r>
      <w:r w:rsidRPr="00CA5940">
        <w:rPr>
          <w:rFonts w:eastAsia="Calibri" w:cstheme="minorHAnsi"/>
          <w:sz w:val="22"/>
          <w:szCs w:val="22"/>
        </w:rPr>
        <w:t xml:space="preserve"> est difficile à comprendre </w:t>
      </w:r>
      <w:r w:rsidR="00B56627" w:rsidRPr="00CA5940">
        <w:rPr>
          <w:rFonts w:eastAsia="Calibri" w:cstheme="minorHAnsi"/>
          <w:sz w:val="22"/>
          <w:szCs w:val="22"/>
        </w:rPr>
        <w:t xml:space="preserve">et manque de pertinence, et que se référer au programme différemment </w:t>
      </w:r>
      <w:r w:rsidR="002A373E" w:rsidRPr="00CA5940">
        <w:rPr>
          <w:rFonts w:eastAsia="Calibri" w:cstheme="minorHAnsi"/>
          <w:sz w:val="22"/>
          <w:szCs w:val="22"/>
        </w:rPr>
        <w:t>pourrait avoir des avantages, le Groupe de surveillance de</w:t>
      </w:r>
      <w:r w:rsidR="006F68A2">
        <w:rPr>
          <w:rFonts w:eastAsia="Calibri" w:cstheme="minorHAnsi"/>
          <w:sz w:val="22"/>
          <w:szCs w:val="22"/>
        </w:rPr>
        <w:t>s activités de</w:t>
      </w:r>
      <w:r w:rsidR="002A373E" w:rsidRPr="00CA5940">
        <w:rPr>
          <w:rFonts w:eastAsia="Calibri" w:cstheme="minorHAnsi"/>
          <w:sz w:val="22"/>
          <w:szCs w:val="22"/>
        </w:rPr>
        <w:t xml:space="preserve"> CESP a proposé de </w:t>
      </w:r>
      <w:r w:rsidR="002A1523" w:rsidRPr="00CA5940">
        <w:rPr>
          <w:rFonts w:eastAsia="Calibri" w:cstheme="minorHAnsi"/>
          <w:sz w:val="22"/>
          <w:szCs w:val="22"/>
        </w:rPr>
        <w:t xml:space="preserve">se référer à la CESP comme étant le </w:t>
      </w:r>
      <w:r w:rsidR="00D80CDB">
        <w:rPr>
          <w:rFonts w:eastAsia="Calibri" w:cstheme="minorHAnsi"/>
          <w:sz w:val="22"/>
          <w:szCs w:val="22"/>
        </w:rPr>
        <w:t>« </w:t>
      </w:r>
      <w:r w:rsidR="001B2E6A">
        <w:rPr>
          <w:rFonts w:eastAsia="Calibri" w:cstheme="minorHAnsi"/>
          <w:sz w:val="22"/>
          <w:szCs w:val="22"/>
        </w:rPr>
        <w:t>P</w:t>
      </w:r>
      <w:r w:rsidR="002A1523" w:rsidRPr="00CA5940">
        <w:rPr>
          <w:rFonts w:eastAsia="Calibri" w:cstheme="minorHAnsi"/>
          <w:sz w:val="22"/>
          <w:szCs w:val="22"/>
        </w:rPr>
        <w:t xml:space="preserve">rogramme </w:t>
      </w:r>
      <w:r w:rsidR="00D80CDB">
        <w:rPr>
          <w:rFonts w:eastAsia="Calibri" w:cstheme="minorHAnsi"/>
          <w:sz w:val="22"/>
          <w:szCs w:val="22"/>
        </w:rPr>
        <w:t xml:space="preserve">pour les populations </w:t>
      </w:r>
      <w:r w:rsidR="002A1523" w:rsidRPr="00CA5940">
        <w:rPr>
          <w:rFonts w:eastAsia="Calibri" w:cstheme="minorHAnsi"/>
          <w:sz w:val="22"/>
          <w:szCs w:val="22"/>
        </w:rPr>
        <w:t xml:space="preserve">et </w:t>
      </w:r>
      <w:r w:rsidR="00D80CDB">
        <w:rPr>
          <w:rFonts w:eastAsia="Calibri" w:cstheme="minorHAnsi"/>
          <w:sz w:val="22"/>
          <w:szCs w:val="22"/>
        </w:rPr>
        <w:t xml:space="preserve">les </w:t>
      </w:r>
      <w:r w:rsidR="002A1523" w:rsidRPr="00CA5940">
        <w:rPr>
          <w:rFonts w:eastAsia="Calibri" w:cstheme="minorHAnsi"/>
          <w:sz w:val="22"/>
          <w:szCs w:val="22"/>
        </w:rPr>
        <w:t>zones humides</w:t>
      </w:r>
      <w:r w:rsidR="006970AA">
        <w:rPr>
          <w:rFonts w:eastAsia="Calibri" w:cstheme="minorHAnsi"/>
          <w:sz w:val="22"/>
          <w:szCs w:val="22"/>
        </w:rPr>
        <w:t> »</w:t>
      </w:r>
      <w:r w:rsidR="00E7631F" w:rsidRPr="00CA5940">
        <w:rPr>
          <w:rFonts w:eastAsia="Calibri" w:cstheme="minorHAnsi"/>
          <w:sz w:val="22"/>
          <w:szCs w:val="22"/>
        </w:rPr>
        <w:t xml:space="preserve">. Cette nouvelle formulation a été approuvée </w:t>
      </w:r>
      <w:r w:rsidR="00D35080" w:rsidRPr="00CA5940">
        <w:rPr>
          <w:rFonts w:eastAsia="Calibri" w:cstheme="minorHAnsi"/>
          <w:sz w:val="22"/>
          <w:szCs w:val="22"/>
        </w:rPr>
        <w:t>par le Comité permanent lors de sa 64e session (</w:t>
      </w:r>
      <w:r w:rsidR="00E7631F" w:rsidRPr="00CA5940">
        <w:rPr>
          <w:rFonts w:eastAsia="Calibri" w:cstheme="minorHAnsi"/>
          <w:sz w:val="22"/>
          <w:szCs w:val="22"/>
        </w:rPr>
        <w:t xml:space="preserve">SC64) et </w:t>
      </w:r>
      <w:r w:rsidR="001B2E6A">
        <w:rPr>
          <w:rFonts w:eastAsia="Calibri" w:cstheme="minorHAnsi"/>
          <w:sz w:val="22"/>
          <w:szCs w:val="22"/>
        </w:rPr>
        <w:t xml:space="preserve">figure </w:t>
      </w:r>
      <w:r w:rsidR="00E7631F" w:rsidRPr="00CA5940">
        <w:rPr>
          <w:rFonts w:eastAsia="Calibri" w:cstheme="minorHAnsi"/>
          <w:sz w:val="22"/>
          <w:szCs w:val="22"/>
        </w:rPr>
        <w:t xml:space="preserve">dans le projet de résolution sur la CESP </w:t>
      </w:r>
      <w:r w:rsidR="00051285" w:rsidRPr="00CA5940">
        <w:rPr>
          <w:rFonts w:eastAsia="Calibri" w:cstheme="minorHAnsi"/>
          <w:sz w:val="22"/>
          <w:szCs w:val="22"/>
        </w:rPr>
        <w:t xml:space="preserve">qui sera examiné </w:t>
      </w:r>
      <w:r w:rsidR="00D35080" w:rsidRPr="00CA5940">
        <w:rPr>
          <w:rFonts w:eastAsia="Calibri" w:cstheme="minorHAnsi"/>
          <w:sz w:val="22"/>
          <w:szCs w:val="22"/>
        </w:rPr>
        <w:t xml:space="preserve">lors de la </w:t>
      </w:r>
      <w:r w:rsidR="00E7631F" w:rsidRPr="00CA5940">
        <w:rPr>
          <w:rFonts w:eastAsia="Calibri" w:cstheme="minorHAnsi"/>
          <w:sz w:val="22"/>
          <w:szCs w:val="22"/>
        </w:rPr>
        <w:t xml:space="preserve">COP15. </w:t>
      </w:r>
    </w:p>
    <w:p w14:paraId="4BB8DECD" w14:textId="77777777" w:rsidR="00895681" w:rsidRPr="00CA5940" w:rsidRDefault="00895681" w:rsidP="008C4BA0">
      <w:pPr>
        <w:ind w:left="851" w:hanging="425"/>
        <w:contextualSpacing/>
        <w:rPr>
          <w:rFonts w:eastAsia="Calibri" w:cstheme="minorHAnsi"/>
          <w:sz w:val="22"/>
          <w:szCs w:val="22"/>
        </w:rPr>
      </w:pPr>
    </w:p>
    <w:p w14:paraId="015950EC" w14:textId="1E006606" w:rsidR="00BA4ED6" w:rsidRPr="00CA5940" w:rsidRDefault="00BA4ED6" w:rsidP="008C4BA0">
      <w:pPr>
        <w:numPr>
          <w:ilvl w:val="0"/>
          <w:numId w:val="8"/>
        </w:numPr>
        <w:ind w:left="851" w:hanging="425"/>
        <w:contextualSpacing/>
        <w:rPr>
          <w:rFonts w:eastAsia="Calibri" w:cstheme="minorHAnsi"/>
          <w:sz w:val="22"/>
          <w:szCs w:val="22"/>
        </w:rPr>
      </w:pPr>
      <w:r w:rsidRPr="00CA5940">
        <w:rPr>
          <w:rFonts w:eastAsia="Calibri" w:cstheme="minorHAnsi"/>
          <w:sz w:val="22"/>
          <w:szCs w:val="22"/>
        </w:rPr>
        <w:t xml:space="preserve">Le </w:t>
      </w:r>
      <w:r w:rsidR="00D35080" w:rsidRPr="00CA5940">
        <w:rPr>
          <w:rFonts w:eastAsia="Calibri" w:cstheme="minorHAnsi"/>
          <w:sz w:val="22"/>
          <w:szCs w:val="22"/>
        </w:rPr>
        <w:t xml:space="preserve">projet de </w:t>
      </w:r>
      <w:r w:rsidRPr="00CA5940">
        <w:rPr>
          <w:rFonts w:eastAsia="Calibri" w:cstheme="minorHAnsi"/>
          <w:sz w:val="22"/>
          <w:szCs w:val="22"/>
        </w:rPr>
        <w:t xml:space="preserve">résolution </w:t>
      </w:r>
      <w:r w:rsidR="00D35080" w:rsidRPr="00CA5940">
        <w:rPr>
          <w:rFonts w:eastAsia="Calibri" w:cstheme="minorHAnsi"/>
          <w:sz w:val="22"/>
          <w:szCs w:val="22"/>
        </w:rPr>
        <w:t xml:space="preserve">sur la CESP </w:t>
      </w:r>
      <w:r w:rsidRPr="00CA5940">
        <w:rPr>
          <w:rFonts w:eastAsia="Calibri" w:cstheme="minorHAnsi"/>
          <w:sz w:val="22"/>
          <w:szCs w:val="22"/>
        </w:rPr>
        <w:t xml:space="preserve">encourage les </w:t>
      </w:r>
      <w:r w:rsidR="001B2E6A">
        <w:rPr>
          <w:rFonts w:eastAsia="Calibri" w:cstheme="minorHAnsi"/>
          <w:sz w:val="22"/>
          <w:szCs w:val="22"/>
        </w:rPr>
        <w:t>P</w:t>
      </w:r>
      <w:r w:rsidRPr="00CA5940">
        <w:rPr>
          <w:rFonts w:eastAsia="Calibri" w:cstheme="minorHAnsi"/>
          <w:sz w:val="22"/>
          <w:szCs w:val="22"/>
        </w:rPr>
        <w:t xml:space="preserve">arties contractantes à élaborer et à mettre en œuvre des plans d'action </w:t>
      </w:r>
      <w:r w:rsidR="001B2E6A">
        <w:rPr>
          <w:rFonts w:eastAsia="Calibri" w:cstheme="minorHAnsi"/>
          <w:sz w:val="22"/>
          <w:szCs w:val="22"/>
        </w:rPr>
        <w:t xml:space="preserve">pour la </w:t>
      </w:r>
      <w:r w:rsidRPr="00CA5940">
        <w:rPr>
          <w:rFonts w:eastAsia="Calibri" w:cstheme="minorHAnsi"/>
          <w:sz w:val="22"/>
          <w:szCs w:val="22"/>
        </w:rPr>
        <w:t xml:space="preserve">CESP. </w:t>
      </w:r>
      <w:r w:rsidR="00D35080" w:rsidRPr="00CA5940">
        <w:rPr>
          <w:rFonts w:eastAsia="Calibri" w:cstheme="minorHAnsi"/>
          <w:sz w:val="22"/>
          <w:szCs w:val="22"/>
        </w:rPr>
        <w:t xml:space="preserve">Comme indiqué ci-dessus, les </w:t>
      </w:r>
      <w:r w:rsidR="001B2E6A">
        <w:rPr>
          <w:rFonts w:eastAsia="Calibri" w:cstheme="minorHAnsi"/>
          <w:sz w:val="22"/>
          <w:szCs w:val="22"/>
        </w:rPr>
        <w:t>R</w:t>
      </w:r>
      <w:r w:rsidRPr="00CA5940">
        <w:rPr>
          <w:rFonts w:eastAsia="Calibri" w:cstheme="minorHAnsi"/>
          <w:sz w:val="22"/>
          <w:szCs w:val="22"/>
        </w:rPr>
        <w:t xml:space="preserve">apports </w:t>
      </w:r>
      <w:r w:rsidR="00D35080" w:rsidRPr="00CA5940">
        <w:rPr>
          <w:rFonts w:eastAsia="Calibri" w:cstheme="minorHAnsi"/>
          <w:sz w:val="22"/>
          <w:szCs w:val="22"/>
        </w:rPr>
        <w:t xml:space="preserve">nationaux </w:t>
      </w:r>
      <w:r w:rsidR="001B2E6A">
        <w:rPr>
          <w:rFonts w:eastAsia="Calibri" w:cstheme="minorHAnsi"/>
          <w:sz w:val="22"/>
          <w:szCs w:val="22"/>
        </w:rPr>
        <w:t xml:space="preserve">soumis </w:t>
      </w:r>
      <w:r w:rsidR="00D35080" w:rsidRPr="00CA5940">
        <w:rPr>
          <w:rFonts w:eastAsia="Calibri" w:cstheme="minorHAnsi"/>
          <w:sz w:val="22"/>
          <w:szCs w:val="22"/>
        </w:rPr>
        <w:t xml:space="preserve">à la COP15 </w:t>
      </w:r>
      <w:r w:rsidRPr="00CA5940">
        <w:rPr>
          <w:rFonts w:eastAsia="Calibri" w:cstheme="minorHAnsi"/>
          <w:sz w:val="22"/>
          <w:szCs w:val="22"/>
        </w:rPr>
        <w:t xml:space="preserve">indiquent que 32% des </w:t>
      </w:r>
      <w:r w:rsidR="001B2E6A">
        <w:rPr>
          <w:rFonts w:eastAsia="Calibri" w:cstheme="minorHAnsi"/>
          <w:sz w:val="22"/>
          <w:szCs w:val="22"/>
        </w:rPr>
        <w:t>P</w:t>
      </w:r>
      <w:r w:rsidRPr="00CA5940">
        <w:rPr>
          <w:rFonts w:eastAsia="Calibri" w:cstheme="minorHAnsi"/>
          <w:sz w:val="22"/>
          <w:szCs w:val="22"/>
        </w:rPr>
        <w:t xml:space="preserve">arties contractantes </w:t>
      </w:r>
      <w:r w:rsidR="001B2E6A" w:rsidRPr="00CA5940">
        <w:rPr>
          <w:rFonts w:eastAsia="Calibri" w:cstheme="minorHAnsi"/>
          <w:sz w:val="22"/>
          <w:szCs w:val="22"/>
        </w:rPr>
        <w:t>seulement</w:t>
      </w:r>
      <w:r w:rsidR="001B2E6A">
        <w:rPr>
          <w:rFonts w:eastAsia="Calibri" w:cstheme="minorHAnsi"/>
          <w:sz w:val="22"/>
          <w:szCs w:val="22"/>
        </w:rPr>
        <w:t xml:space="preserve"> se sont dotées </w:t>
      </w:r>
      <w:r w:rsidRPr="00CA5940">
        <w:rPr>
          <w:rFonts w:eastAsia="Calibri" w:cstheme="minorHAnsi"/>
          <w:sz w:val="22"/>
          <w:szCs w:val="22"/>
        </w:rPr>
        <w:t xml:space="preserve">de plans d'action </w:t>
      </w:r>
      <w:r w:rsidR="001B2E6A">
        <w:rPr>
          <w:rFonts w:eastAsia="Calibri" w:cstheme="minorHAnsi"/>
          <w:sz w:val="22"/>
          <w:szCs w:val="22"/>
        </w:rPr>
        <w:t>pour la CESP ;</w:t>
      </w:r>
      <w:r w:rsidR="00D35080" w:rsidRPr="00CA5940">
        <w:rPr>
          <w:rFonts w:eastAsia="Calibri" w:cstheme="minorHAnsi"/>
          <w:sz w:val="22"/>
          <w:szCs w:val="22"/>
        </w:rPr>
        <w:t xml:space="preserve"> la </w:t>
      </w:r>
      <w:r w:rsidRPr="00CA5940">
        <w:rPr>
          <w:rFonts w:eastAsia="Calibri" w:cstheme="minorHAnsi"/>
          <w:sz w:val="22"/>
          <w:szCs w:val="22"/>
        </w:rPr>
        <w:t xml:space="preserve">mise en œuvre </w:t>
      </w:r>
      <w:r w:rsidR="001B2E6A">
        <w:rPr>
          <w:rFonts w:eastAsia="Calibri" w:cstheme="minorHAnsi"/>
          <w:sz w:val="22"/>
          <w:szCs w:val="22"/>
        </w:rPr>
        <w:t xml:space="preserve">des activités </w:t>
      </w:r>
      <w:r w:rsidRPr="00CA5940">
        <w:rPr>
          <w:rFonts w:eastAsia="Calibri" w:cstheme="minorHAnsi"/>
          <w:sz w:val="22"/>
          <w:szCs w:val="22"/>
        </w:rPr>
        <w:t xml:space="preserve">de </w:t>
      </w:r>
      <w:r w:rsidR="001B2E6A">
        <w:rPr>
          <w:rFonts w:eastAsia="Calibri" w:cstheme="minorHAnsi"/>
          <w:sz w:val="22"/>
          <w:szCs w:val="22"/>
        </w:rPr>
        <w:t>CESP</w:t>
      </w:r>
      <w:r w:rsidRPr="00CA5940">
        <w:rPr>
          <w:rFonts w:eastAsia="Calibri" w:cstheme="minorHAnsi"/>
          <w:sz w:val="22"/>
          <w:szCs w:val="22"/>
        </w:rPr>
        <w:t xml:space="preserve"> bénéficierait d</w:t>
      </w:r>
      <w:r w:rsidR="001B2E6A">
        <w:rPr>
          <w:rFonts w:eastAsia="Calibri" w:cstheme="minorHAnsi"/>
          <w:sz w:val="22"/>
          <w:szCs w:val="22"/>
        </w:rPr>
        <w:t>e l’adoption d</w:t>
      </w:r>
      <w:r w:rsidRPr="00CA5940">
        <w:rPr>
          <w:rFonts w:eastAsia="Calibri" w:cstheme="minorHAnsi"/>
          <w:sz w:val="22"/>
          <w:szCs w:val="22"/>
        </w:rPr>
        <w:t xml:space="preserve">'un plus grand nombre de </w:t>
      </w:r>
      <w:r w:rsidR="001B2E6A">
        <w:rPr>
          <w:rFonts w:eastAsia="Calibri" w:cstheme="minorHAnsi"/>
          <w:sz w:val="22"/>
          <w:szCs w:val="22"/>
        </w:rPr>
        <w:t>plans d’action par les P</w:t>
      </w:r>
      <w:r w:rsidRPr="00CA5940">
        <w:rPr>
          <w:rFonts w:eastAsia="Calibri" w:cstheme="minorHAnsi"/>
          <w:sz w:val="22"/>
          <w:szCs w:val="22"/>
        </w:rPr>
        <w:t xml:space="preserve">arties. </w:t>
      </w:r>
    </w:p>
    <w:p w14:paraId="4F23D090" w14:textId="77777777" w:rsidR="00BA4ED6" w:rsidRPr="00CA5940" w:rsidRDefault="00BA4ED6" w:rsidP="008C4BA0">
      <w:pPr>
        <w:rPr>
          <w:rFonts w:eastAsia="Calibri" w:cstheme="minorHAnsi"/>
          <w:sz w:val="22"/>
          <w:szCs w:val="22"/>
        </w:rPr>
      </w:pPr>
    </w:p>
    <w:p w14:paraId="57F87FEE" w14:textId="72B5A962" w:rsidR="00BA4ED6" w:rsidRPr="00CA5940" w:rsidRDefault="001B2E6A" w:rsidP="00EC5C46">
      <w:pPr>
        <w:keepNext/>
        <w:rPr>
          <w:rFonts w:eastAsia="Calibri" w:cstheme="minorHAnsi"/>
          <w:i/>
          <w:sz w:val="22"/>
          <w:szCs w:val="22"/>
        </w:rPr>
      </w:pPr>
      <w:r>
        <w:rPr>
          <w:rFonts w:eastAsia="Calibri" w:cstheme="minorHAnsi"/>
          <w:i/>
          <w:sz w:val="22"/>
          <w:szCs w:val="22"/>
        </w:rPr>
        <w:lastRenderedPageBreak/>
        <w:t>But</w:t>
      </w:r>
      <w:r w:rsidR="00BA4ED6" w:rsidRPr="00CA5940">
        <w:rPr>
          <w:rFonts w:eastAsia="Calibri" w:cstheme="minorHAnsi"/>
          <w:i/>
          <w:sz w:val="22"/>
          <w:szCs w:val="22"/>
        </w:rPr>
        <w:t xml:space="preserve"> 3 - Soutenir </w:t>
      </w:r>
      <w:r w:rsidR="00A02660">
        <w:rPr>
          <w:rFonts w:eastAsia="Calibri" w:cstheme="minorHAnsi"/>
          <w:i/>
          <w:sz w:val="22"/>
          <w:szCs w:val="22"/>
        </w:rPr>
        <w:t xml:space="preserve">tous ceux </w:t>
      </w:r>
      <w:r w:rsidR="00BA4ED6" w:rsidRPr="00CA5940">
        <w:rPr>
          <w:rFonts w:eastAsia="Calibri" w:cstheme="minorHAnsi"/>
          <w:i/>
          <w:sz w:val="22"/>
          <w:szCs w:val="22"/>
        </w:rPr>
        <w:t xml:space="preserve">qui </w:t>
      </w:r>
      <w:r w:rsidR="00A02660">
        <w:rPr>
          <w:rFonts w:eastAsia="Calibri" w:cstheme="minorHAnsi"/>
          <w:i/>
          <w:sz w:val="22"/>
          <w:szCs w:val="22"/>
        </w:rPr>
        <w:t xml:space="preserve">appliquent </w:t>
      </w:r>
      <w:r w:rsidR="00BA4ED6" w:rsidRPr="00CA5940">
        <w:rPr>
          <w:rFonts w:eastAsia="Calibri" w:cstheme="minorHAnsi"/>
          <w:i/>
          <w:sz w:val="22"/>
          <w:szCs w:val="22"/>
        </w:rPr>
        <w:t xml:space="preserve">les principes d'utilisation rationnelle </w:t>
      </w:r>
    </w:p>
    <w:p w14:paraId="7350C50B" w14:textId="77777777" w:rsidR="00BA4ED6" w:rsidRPr="00CA5940" w:rsidRDefault="00BA4ED6" w:rsidP="00EC5C46">
      <w:pPr>
        <w:pStyle w:val="ListParagraph"/>
        <w:keepNext/>
        <w:ind w:left="0"/>
        <w:contextualSpacing w:val="0"/>
        <w:rPr>
          <w:rFonts w:eastAsia="Calibri" w:cstheme="minorHAnsi"/>
          <w:i/>
          <w:sz w:val="22"/>
          <w:szCs w:val="22"/>
        </w:rPr>
      </w:pPr>
    </w:p>
    <w:p w14:paraId="7CA4334C" w14:textId="1F8F6D0F" w:rsidR="00BA4ED6" w:rsidRPr="00CA5940" w:rsidRDefault="00BA4ED6" w:rsidP="008C4BA0">
      <w:pPr>
        <w:pStyle w:val="ListParagraph"/>
        <w:numPr>
          <w:ilvl w:val="0"/>
          <w:numId w:val="16"/>
        </w:numPr>
        <w:ind w:left="851" w:hanging="425"/>
        <w:rPr>
          <w:rFonts w:eastAsia="Calibri" w:cstheme="minorHAnsi"/>
          <w:iCs/>
          <w:sz w:val="22"/>
          <w:szCs w:val="22"/>
        </w:rPr>
      </w:pPr>
      <w:r w:rsidRPr="00CA5940">
        <w:rPr>
          <w:rFonts w:eastAsia="Calibri" w:cstheme="minorHAnsi"/>
          <w:iCs/>
          <w:sz w:val="22"/>
          <w:szCs w:val="22"/>
        </w:rPr>
        <w:t xml:space="preserve">Un certain nombre de ressources sur la CESP ont été </w:t>
      </w:r>
      <w:r w:rsidR="00A02660">
        <w:rPr>
          <w:rFonts w:eastAsia="Calibri" w:cstheme="minorHAnsi"/>
          <w:iCs/>
          <w:sz w:val="22"/>
          <w:szCs w:val="22"/>
        </w:rPr>
        <w:t xml:space="preserve">élaborées ou </w:t>
      </w:r>
      <w:r w:rsidRPr="00CA5940">
        <w:rPr>
          <w:rFonts w:eastAsia="Calibri" w:cstheme="minorHAnsi"/>
          <w:iCs/>
          <w:sz w:val="22"/>
          <w:szCs w:val="22"/>
        </w:rPr>
        <w:t xml:space="preserve">mises à jour </w:t>
      </w:r>
      <w:r w:rsidR="00952196" w:rsidRPr="00CA5940">
        <w:rPr>
          <w:rFonts w:eastAsia="Calibri" w:cstheme="minorHAnsi"/>
          <w:iCs/>
          <w:sz w:val="22"/>
          <w:szCs w:val="22"/>
        </w:rPr>
        <w:t xml:space="preserve">pour soutenir </w:t>
      </w:r>
      <w:r w:rsidR="00A02660">
        <w:rPr>
          <w:rFonts w:eastAsia="Calibri" w:cstheme="minorHAnsi"/>
          <w:iCs/>
          <w:sz w:val="22"/>
          <w:szCs w:val="22"/>
        </w:rPr>
        <w:t>s</w:t>
      </w:r>
      <w:r w:rsidR="00952196" w:rsidRPr="00CA5940">
        <w:rPr>
          <w:rFonts w:eastAsia="Calibri" w:cstheme="minorHAnsi"/>
          <w:iCs/>
          <w:sz w:val="22"/>
          <w:szCs w:val="22"/>
        </w:rPr>
        <w:t>a mise en œuvre</w:t>
      </w:r>
      <w:r w:rsidRPr="00CA5940">
        <w:rPr>
          <w:rFonts w:eastAsia="Calibri" w:cstheme="minorHAnsi"/>
          <w:iCs/>
          <w:sz w:val="22"/>
          <w:szCs w:val="22"/>
        </w:rPr>
        <w:t xml:space="preserve">. En particulier, le </w:t>
      </w:r>
      <w:r w:rsidR="0016454E">
        <w:rPr>
          <w:rFonts w:eastAsia="Calibri" w:cstheme="minorHAnsi"/>
          <w:iCs/>
          <w:sz w:val="22"/>
          <w:szCs w:val="22"/>
        </w:rPr>
        <w:t>M</w:t>
      </w:r>
      <w:r w:rsidRPr="00CA5940">
        <w:rPr>
          <w:rFonts w:eastAsia="Calibri" w:cstheme="minorHAnsi"/>
          <w:iCs/>
          <w:sz w:val="22"/>
          <w:szCs w:val="22"/>
        </w:rPr>
        <w:t xml:space="preserve">anuel </w:t>
      </w:r>
      <w:r w:rsidR="0016454E">
        <w:rPr>
          <w:rFonts w:eastAsia="Calibri" w:cstheme="minorHAnsi"/>
          <w:iCs/>
          <w:sz w:val="22"/>
          <w:szCs w:val="22"/>
        </w:rPr>
        <w:t xml:space="preserve">sur la </w:t>
      </w:r>
      <w:r w:rsidRPr="00CA5940">
        <w:rPr>
          <w:rFonts w:eastAsia="Calibri" w:cstheme="minorHAnsi"/>
          <w:iCs/>
          <w:sz w:val="22"/>
          <w:szCs w:val="22"/>
        </w:rPr>
        <w:t xml:space="preserve">CESP a été révisé et </w:t>
      </w:r>
      <w:r w:rsidR="00F04D17">
        <w:rPr>
          <w:rFonts w:eastAsia="Calibri" w:cstheme="minorHAnsi"/>
          <w:iCs/>
          <w:sz w:val="22"/>
          <w:szCs w:val="22"/>
        </w:rPr>
        <w:t>mis en ligne</w:t>
      </w:r>
      <w:r w:rsidRPr="00CA5940">
        <w:rPr>
          <w:rFonts w:eastAsia="Calibri" w:cstheme="minorHAnsi"/>
          <w:iCs/>
          <w:sz w:val="22"/>
          <w:szCs w:val="22"/>
        </w:rPr>
        <w:t xml:space="preserve"> </w:t>
      </w:r>
      <w:r w:rsidR="0016454E" w:rsidRPr="00CA5940">
        <w:rPr>
          <w:rFonts w:eastAsia="Calibri" w:cstheme="minorHAnsi"/>
          <w:iCs/>
          <w:sz w:val="22"/>
          <w:szCs w:val="22"/>
        </w:rPr>
        <w:t xml:space="preserve">par le Secrétariat </w:t>
      </w:r>
      <w:r w:rsidRPr="00CA5940">
        <w:rPr>
          <w:rFonts w:eastAsia="Calibri" w:cstheme="minorHAnsi"/>
          <w:iCs/>
          <w:sz w:val="22"/>
          <w:szCs w:val="22"/>
        </w:rPr>
        <w:t xml:space="preserve">sur le site web de la </w:t>
      </w:r>
      <w:r w:rsidR="00F14350" w:rsidRPr="00CA5940">
        <w:rPr>
          <w:rFonts w:eastAsia="Calibri" w:cstheme="minorHAnsi"/>
          <w:iCs/>
          <w:sz w:val="22"/>
          <w:szCs w:val="22"/>
        </w:rPr>
        <w:t>Convention</w:t>
      </w:r>
      <w:r w:rsidR="001E5633">
        <w:rPr>
          <w:rStyle w:val="FootnoteReference"/>
          <w:rFonts w:eastAsia="Calibri" w:cstheme="minorHAnsi"/>
          <w:iCs/>
          <w:sz w:val="22"/>
          <w:szCs w:val="22"/>
          <w:lang w:val="en-AU"/>
        </w:rPr>
        <w:footnoteReference w:id="3"/>
      </w:r>
      <w:r w:rsidRPr="00CA5940">
        <w:rPr>
          <w:rFonts w:eastAsia="Calibri" w:cstheme="minorHAnsi"/>
          <w:iCs/>
          <w:sz w:val="22"/>
          <w:szCs w:val="22"/>
        </w:rPr>
        <w:t xml:space="preserve">. </w:t>
      </w:r>
      <w:r w:rsidR="0016454E">
        <w:rPr>
          <w:rFonts w:eastAsia="Calibri" w:cstheme="minorHAnsi"/>
          <w:iCs/>
          <w:sz w:val="22"/>
          <w:szCs w:val="22"/>
        </w:rPr>
        <w:t>C</w:t>
      </w:r>
      <w:r w:rsidRPr="00CA5940">
        <w:rPr>
          <w:rFonts w:eastAsia="Calibri" w:cstheme="minorHAnsi"/>
          <w:iCs/>
          <w:sz w:val="22"/>
          <w:szCs w:val="22"/>
        </w:rPr>
        <w:t xml:space="preserve">e manuel révisé fournit des conseils pratiques aux </w:t>
      </w:r>
      <w:r w:rsidR="0016454E">
        <w:rPr>
          <w:rFonts w:eastAsia="Calibri" w:cstheme="minorHAnsi"/>
          <w:iCs/>
          <w:sz w:val="22"/>
          <w:szCs w:val="22"/>
        </w:rPr>
        <w:t xml:space="preserve">Correspondants nationaux pour la </w:t>
      </w:r>
      <w:r w:rsidRPr="00CA5940">
        <w:rPr>
          <w:rFonts w:eastAsia="Calibri" w:cstheme="minorHAnsi"/>
          <w:iCs/>
          <w:sz w:val="22"/>
          <w:szCs w:val="22"/>
        </w:rPr>
        <w:t xml:space="preserve">CESP et aux praticiens. Une </w:t>
      </w:r>
      <w:r w:rsidR="0016454E">
        <w:rPr>
          <w:rFonts w:eastAsia="Calibri" w:cstheme="minorHAnsi"/>
          <w:iCs/>
          <w:sz w:val="22"/>
          <w:szCs w:val="22"/>
        </w:rPr>
        <w:t>« </w:t>
      </w:r>
      <w:r w:rsidRPr="00CA5940">
        <w:rPr>
          <w:rFonts w:eastAsia="Calibri" w:cstheme="minorHAnsi"/>
          <w:iCs/>
          <w:sz w:val="22"/>
          <w:szCs w:val="22"/>
        </w:rPr>
        <w:t>brochure de bienvenue</w:t>
      </w:r>
      <w:r w:rsidR="0016454E">
        <w:rPr>
          <w:rFonts w:eastAsia="Calibri" w:cstheme="minorHAnsi"/>
          <w:iCs/>
          <w:sz w:val="22"/>
          <w:szCs w:val="22"/>
        </w:rPr>
        <w:t> »</w:t>
      </w:r>
      <w:r w:rsidRPr="00CA5940">
        <w:rPr>
          <w:rFonts w:eastAsia="Calibri" w:cstheme="minorHAnsi"/>
          <w:iCs/>
          <w:sz w:val="22"/>
          <w:szCs w:val="22"/>
        </w:rPr>
        <w:t xml:space="preserve"> destinée aux nouveaux </w:t>
      </w:r>
      <w:r w:rsidR="0016454E">
        <w:rPr>
          <w:rFonts w:eastAsia="Calibri" w:cstheme="minorHAnsi"/>
          <w:iCs/>
          <w:sz w:val="22"/>
          <w:szCs w:val="22"/>
        </w:rPr>
        <w:t xml:space="preserve">Correspondants nationaux pour la </w:t>
      </w:r>
      <w:r w:rsidRPr="00CA5940">
        <w:rPr>
          <w:rFonts w:eastAsia="Calibri" w:cstheme="minorHAnsi"/>
          <w:iCs/>
          <w:sz w:val="22"/>
          <w:szCs w:val="22"/>
        </w:rPr>
        <w:t xml:space="preserve">CESP des gouvernements et des ONG est </w:t>
      </w:r>
      <w:r w:rsidR="00307E3D">
        <w:rPr>
          <w:rFonts w:eastAsia="Calibri" w:cstheme="minorHAnsi"/>
          <w:iCs/>
          <w:sz w:val="22"/>
          <w:szCs w:val="22"/>
        </w:rPr>
        <w:t xml:space="preserve">également </w:t>
      </w:r>
      <w:r w:rsidRPr="00CA5940">
        <w:rPr>
          <w:rFonts w:eastAsia="Calibri" w:cstheme="minorHAnsi"/>
          <w:iCs/>
          <w:sz w:val="22"/>
          <w:szCs w:val="22"/>
        </w:rPr>
        <w:t xml:space="preserve">disponible </w:t>
      </w:r>
      <w:r w:rsidR="00307E3D" w:rsidRPr="00CA5940">
        <w:rPr>
          <w:rFonts w:eastAsia="Calibri" w:cstheme="minorHAnsi"/>
          <w:iCs/>
          <w:sz w:val="22"/>
          <w:szCs w:val="22"/>
        </w:rPr>
        <w:t>dans les trois langues</w:t>
      </w:r>
      <w:r w:rsidR="00307E3D">
        <w:rPr>
          <w:rFonts w:eastAsia="Calibri" w:cstheme="minorHAnsi"/>
          <w:iCs/>
          <w:sz w:val="22"/>
          <w:szCs w:val="22"/>
        </w:rPr>
        <w:t>,</w:t>
      </w:r>
      <w:r w:rsidR="00307E3D" w:rsidRPr="00CA5940">
        <w:rPr>
          <w:rFonts w:eastAsia="Calibri" w:cstheme="minorHAnsi"/>
          <w:iCs/>
          <w:sz w:val="22"/>
          <w:szCs w:val="22"/>
        </w:rPr>
        <w:t xml:space="preserve"> en version imprimée </w:t>
      </w:r>
      <w:r w:rsidR="00307E3D">
        <w:rPr>
          <w:rFonts w:eastAsia="Calibri" w:cstheme="minorHAnsi"/>
          <w:iCs/>
          <w:sz w:val="22"/>
          <w:szCs w:val="22"/>
        </w:rPr>
        <w:t>et en ligne</w:t>
      </w:r>
      <w:r w:rsidRPr="00CA5940">
        <w:rPr>
          <w:rFonts w:eastAsia="Calibri" w:cstheme="minorHAnsi"/>
          <w:iCs/>
          <w:sz w:val="22"/>
          <w:szCs w:val="22"/>
        </w:rPr>
        <w:t xml:space="preserve">. Lorsqu'une </w:t>
      </w:r>
      <w:r w:rsidR="00307E3D">
        <w:rPr>
          <w:rFonts w:eastAsia="Calibri" w:cstheme="minorHAnsi"/>
          <w:iCs/>
          <w:sz w:val="22"/>
          <w:szCs w:val="22"/>
        </w:rPr>
        <w:t>P</w:t>
      </w:r>
      <w:r w:rsidRPr="00CA5940">
        <w:rPr>
          <w:rFonts w:eastAsia="Calibri" w:cstheme="minorHAnsi"/>
          <w:iCs/>
          <w:sz w:val="22"/>
          <w:szCs w:val="22"/>
        </w:rPr>
        <w:t xml:space="preserve">artie contractante informe le Secrétariat de l'arrivée d'un </w:t>
      </w:r>
      <w:r w:rsidR="001E5633" w:rsidRPr="00CA5940">
        <w:rPr>
          <w:rFonts w:eastAsia="Calibri" w:cstheme="minorHAnsi"/>
          <w:iCs/>
          <w:sz w:val="22"/>
          <w:szCs w:val="22"/>
        </w:rPr>
        <w:t xml:space="preserve">nouveau </w:t>
      </w:r>
      <w:r w:rsidR="00307E3D">
        <w:rPr>
          <w:rFonts w:eastAsia="Calibri" w:cstheme="minorHAnsi"/>
          <w:iCs/>
          <w:sz w:val="22"/>
          <w:szCs w:val="22"/>
        </w:rPr>
        <w:t xml:space="preserve">Correspondant national pour la </w:t>
      </w:r>
      <w:r w:rsidRPr="00CA5940">
        <w:rPr>
          <w:rFonts w:eastAsia="Calibri" w:cstheme="minorHAnsi"/>
          <w:iCs/>
          <w:sz w:val="22"/>
          <w:szCs w:val="22"/>
        </w:rPr>
        <w:t xml:space="preserve">CESP, </w:t>
      </w:r>
      <w:r w:rsidR="00307E3D">
        <w:rPr>
          <w:rFonts w:eastAsia="Calibri" w:cstheme="minorHAnsi"/>
          <w:iCs/>
          <w:sz w:val="22"/>
          <w:szCs w:val="22"/>
        </w:rPr>
        <w:t>la</w:t>
      </w:r>
      <w:r w:rsidRPr="00CA5940">
        <w:rPr>
          <w:rFonts w:eastAsia="Calibri" w:cstheme="minorHAnsi"/>
          <w:iCs/>
          <w:sz w:val="22"/>
          <w:szCs w:val="22"/>
        </w:rPr>
        <w:t xml:space="preserve"> brochure ainsi que des informations sur d'autres ressources </w:t>
      </w:r>
      <w:r w:rsidR="008665C2">
        <w:rPr>
          <w:rFonts w:eastAsia="Calibri" w:cstheme="minorHAnsi"/>
          <w:iCs/>
          <w:sz w:val="22"/>
          <w:szCs w:val="22"/>
        </w:rPr>
        <w:t xml:space="preserve">relatives à la </w:t>
      </w:r>
      <w:r w:rsidRPr="00CA5940">
        <w:rPr>
          <w:rFonts w:eastAsia="Calibri" w:cstheme="minorHAnsi"/>
          <w:iCs/>
          <w:sz w:val="22"/>
          <w:szCs w:val="22"/>
        </w:rPr>
        <w:t>CESP</w:t>
      </w:r>
      <w:r w:rsidR="008665C2">
        <w:rPr>
          <w:rFonts w:eastAsia="Calibri" w:cstheme="minorHAnsi"/>
          <w:iCs/>
          <w:sz w:val="22"/>
          <w:szCs w:val="22"/>
        </w:rPr>
        <w:t xml:space="preserve"> lui sont communiquées</w:t>
      </w:r>
      <w:r w:rsidRPr="00CA5940">
        <w:rPr>
          <w:rFonts w:eastAsia="Calibri" w:cstheme="minorHAnsi"/>
          <w:iCs/>
          <w:sz w:val="22"/>
          <w:szCs w:val="22"/>
        </w:rPr>
        <w:t xml:space="preserve">. </w:t>
      </w:r>
      <w:r w:rsidR="00F04D17">
        <w:rPr>
          <w:rFonts w:eastAsia="Calibri" w:cstheme="minorHAnsi"/>
          <w:iCs/>
          <w:sz w:val="22"/>
          <w:szCs w:val="22"/>
        </w:rPr>
        <w:t>Plusieurs</w:t>
      </w:r>
      <w:r w:rsidRPr="00CA5940">
        <w:rPr>
          <w:rFonts w:eastAsia="Calibri" w:cstheme="minorHAnsi"/>
          <w:iCs/>
          <w:sz w:val="22"/>
          <w:szCs w:val="22"/>
        </w:rPr>
        <w:t xml:space="preserve"> ressources numériques </w:t>
      </w:r>
      <w:r w:rsidR="00F04D17">
        <w:rPr>
          <w:rFonts w:eastAsia="Calibri" w:cstheme="minorHAnsi"/>
          <w:iCs/>
          <w:sz w:val="22"/>
          <w:szCs w:val="22"/>
        </w:rPr>
        <w:t>présentant de manière succincte le</w:t>
      </w:r>
      <w:r w:rsidRPr="00CA5940">
        <w:rPr>
          <w:rFonts w:eastAsia="Calibri" w:cstheme="minorHAnsi"/>
          <w:iCs/>
          <w:sz w:val="22"/>
          <w:szCs w:val="22"/>
        </w:rPr>
        <w:t xml:space="preserve"> </w:t>
      </w:r>
      <w:r w:rsidR="008665C2">
        <w:rPr>
          <w:rFonts w:eastAsia="Calibri" w:cstheme="minorHAnsi"/>
          <w:iCs/>
          <w:sz w:val="22"/>
          <w:szCs w:val="22"/>
        </w:rPr>
        <w:t>P</w:t>
      </w:r>
      <w:r w:rsidRPr="00CA5940">
        <w:rPr>
          <w:rFonts w:eastAsia="Calibri" w:cstheme="minorHAnsi"/>
          <w:iCs/>
          <w:sz w:val="22"/>
          <w:szCs w:val="22"/>
        </w:rPr>
        <w:t xml:space="preserve">rogramme de CESP et expliquant les différents éléments </w:t>
      </w:r>
      <w:r w:rsidR="008665C2">
        <w:rPr>
          <w:rFonts w:eastAsia="Calibri" w:cstheme="minorHAnsi"/>
          <w:iCs/>
          <w:sz w:val="22"/>
          <w:szCs w:val="22"/>
        </w:rPr>
        <w:t>qui le constituent</w:t>
      </w:r>
      <w:r w:rsidRPr="00CA5940">
        <w:rPr>
          <w:rFonts w:eastAsia="Calibri" w:cstheme="minorHAnsi"/>
          <w:iCs/>
          <w:sz w:val="22"/>
          <w:szCs w:val="22"/>
        </w:rPr>
        <w:t xml:space="preserve"> (communication, renforcement des capacités, éducation, participation et sensibilisation) </w:t>
      </w:r>
      <w:r w:rsidR="00F04D17">
        <w:rPr>
          <w:rFonts w:eastAsia="Calibri" w:cstheme="minorHAnsi"/>
          <w:iCs/>
          <w:sz w:val="22"/>
          <w:szCs w:val="22"/>
        </w:rPr>
        <w:t>s</w:t>
      </w:r>
      <w:r w:rsidRPr="00CA5940">
        <w:rPr>
          <w:rFonts w:eastAsia="Calibri" w:cstheme="minorHAnsi"/>
          <w:iCs/>
          <w:sz w:val="22"/>
          <w:szCs w:val="22"/>
        </w:rPr>
        <w:t xml:space="preserve">ont également </w:t>
      </w:r>
      <w:r w:rsidR="00F04D17">
        <w:rPr>
          <w:rFonts w:eastAsia="Calibri" w:cstheme="minorHAnsi"/>
          <w:iCs/>
          <w:sz w:val="22"/>
          <w:szCs w:val="22"/>
        </w:rPr>
        <w:t>disponibles</w:t>
      </w:r>
      <w:r w:rsidRPr="00CA5940">
        <w:rPr>
          <w:rFonts w:eastAsia="Calibri" w:cstheme="minorHAnsi"/>
          <w:iCs/>
          <w:sz w:val="22"/>
          <w:szCs w:val="22"/>
        </w:rPr>
        <w:t xml:space="preserve">. Une affiche, des infographies et des cartes pour les </w:t>
      </w:r>
      <w:r w:rsidR="008665C2">
        <w:rPr>
          <w:rFonts w:eastAsia="Calibri" w:cstheme="minorHAnsi"/>
          <w:iCs/>
          <w:sz w:val="22"/>
          <w:szCs w:val="22"/>
        </w:rPr>
        <w:t>réseaux</w:t>
      </w:r>
      <w:r w:rsidRPr="00CA5940">
        <w:rPr>
          <w:rFonts w:eastAsia="Calibri" w:cstheme="minorHAnsi"/>
          <w:iCs/>
          <w:sz w:val="22"/>
          <w:szCs w:val="22"/>
        </w:rPr>
        <w:t xml:space="preserve"> sociaux ont </w:t>
      </w:r>
      <w:r w:rsidR="00F04D17">
        <w:rPr>
          <w:rFonts w:eastAsia="Calibri" w:cstheme="minorHAnsi"/>
          <w:iCs/>
          <w:sz w:val="22"/>
          <w:szCs w:val="22"/>
        </w:rPr>
        <w:t>été mis en ligne</w:t>
      </w:r>
      <w:r w:rsidR="008665C2">
        <w:rPr>
          <w:rFonts w:eastAsia="Calibri" w:cstheme="minorHAnsi"/>
          <w:iCs/>
          <w:sz w:val="22"/>
          <w:szCs w:val="22"/>
        </w:rPr>
        <w:t xml:space="preserve"> </w:t>
      </w:r>
      <w:r w:rsidRPr="00CA5940">
        <w:rPr>
          <w:rFonts w:eastAsia="Calibri" w:cstheme="minorHAnsi"/>
          <w:iCs/>
          <w:sz w:val="22"/>
          <w:szCs w:val="22"/>
        </w:rPr>
        <w:t>sur le site web de la Convention et peuvent être téléchargées et personnalisées par les Parties contractantes et d'autres praticiens de la CESP.</w:t>
      </w:r>
      <w:r w:rsidRPr="00CA5940">
        <w:rPr>
          <w:rFonts w:eastAsia="Calibri" w:cstheme="minorHAnsi"/>
          <w:iCs/>
          <w:sz w:val="22"/>
          <w:szCs w:val="22"/>
        </w:rPr>
        <w:br/>
      </w:r>
    </w:p>
    <w:p w14:paraId="365426D1" w14:textId="1D89FB41" w:rsidR="00BA4ED6" w:rsidRPr="00CA5940" w:rsidRDefault="00BA4ED6" w:rsidP="008C4BA0">
      <w:pPr>
        <w:pStyle w:val="ListParagraph"/>
        <w:numPr>
          <w:ilvl w:val="0"/>
          <w:numId w:val="16"/>
        </w:numPr>
        <w:ind w:left="851" w:hanging="425"/>
        <w:rPr>
          <w:rFonts w:eastAsia="Calibri" w:cstheme="minorHAnsi"/>
          <w:iCs/>
          <w:sz w:val="22"/>
          <w:szCs w:val="22"/>
        </w:rPr>
      </w:pPr>
      <w:r w:rsidRPr="00CA5940">
        <w:rPr>
          <w:rFonts w:eastAsia="Calibri" w:cstheme="minorHAnsi"/>
          <w:iCs/>
          <w:sz w:val="22"/>
          <w:szCs w:val="22"/>
        </w:rPr>
        <w:t xml:space="preserve">Le Secrétariat continue </w:t>
      </w:r>
      <w:r w:rsidR="008665C2">
        <w:rPr>
          <w:rFonts w:eastAsia="Calibri" w:cstheme="minorHAnsi"/>
          <w:iCs/>
          <w:sz w:val="22"/>
          <w:szCs w:val="22"/>
        </w:rPr>
        <w:t>à</w:t>
      </w:r>
      <w:r w:rsidRPr="00CA5940">
        <w:rPr>
          <w:rFonts w:eastAsia="Calibri" w:cstheme="minorHAnsi"/>
          <w:iCs/>
          <w:sz w:val="22"/>
          <w:szCs w:val="22"/>
        </w:rPr>
        <w:t xml:space="preserve"> partager </w:t>
      </w:r>
      <w:r w:rsidR="003B3A0A" w:rsidRPr="00CA5940">
        <w:rPr>
          <w:rFonts w:eastAsia="Calibri" w:cstheme="minorHAnsi"/>
          <w:iCs/>
          <w:sz w:val="22"/>
          <w:szCs w:val="22"/>
        </w:rPr>
        <w:t xml:space="preserve">sur le site </w:t>
      </w:r>
      <w:r w:rsidR="003B3A0A">
        <w:rPr>
          <w:rFonts w:eastAsia="Calibri" w:cstheme="minorHAnsi"/>
          <w:iCs/>
          <w:sz w:val="22"/>
          <w:szCs w:val="22"/>
        </w:rPr>
        <w:t>w</w:t>
      </w:r>
      <w:r w:rsidR="003B3A0A" w:rsidRPr="00CA5940">
        <w:rPr>
          <w:rFonts w:eastAsia="Calibri" w:cstheme="minorHAnsi"/>
          <w:iCs/>
          <w:sz w:val="22"/>
          <w:szCs w:val="22"/>
        </w:rPr>
        <w:t>eb de la Convention</w:t>
      </w:r>
      <w:r w:rsidR="003B3A0A">
        <w:rPr>
          <w:rFonts w:eastAsia="Calibri" w:cstheme="minorHAnsi"/>
          <w:iCs/>
          <w:sz w:val="22"/>
          <w:szCs w:val="22"/>
        </w:rPr>
        <w:t> </w:t>
      </w:r>
      <w:r w:rsidRPr="00CA5940">
        <w:rPr>
          <w:rFonts w:eastAsia="Calibri" w:cstheme="minorHAnsi"/>
          <w:iCs/>
          <w:sz w:val="22"/>
          <w:szCs w:val="22"/>
        </w:rPr>
        <w:t xml:space="preserve">des </w:t>
      </w:r>
      <w:r w:rsidR="008665C2">
        <w:rPr>
          <w:rFonts w:eastAsia="Calibri" w:cstheme="minorHAnsi"/>
          <w:iCs/>
          <w:sz w:val="22"/>
          <w:szCs w:val="22"/>
        </w:rPr>
        <w:t xml:space="preserve">articles </w:t>
      </w:r>
      <w:r w:rsidRPr="00CA5940">
        <w:rPr>
          <w:rFonts w:eastAsia="Calibri" w:cstheme="minorHAnsi"/>
          <w:iCs/>
          <w:sz w:val="22"/>
          <w:szCs w:val="22"/>
        </w:rPr>
        <w:t xml:space="preserve">de CESP sur la conservation des zones humides ainsi que </w:t>
      </w:r>
      <w:r w:rsidR="003B3A0A">
        <w:rPr>
          <w:rFonts w:eastAsia="Calibri" w:cstheme="minorHAnsi"/>
          <w:iCs/>
          <w:sz w:val="22"/>
          <w:szCs w:val="22"/>
        </w:rPr>
        <w:t>sur l</w:t>
      </w:r>
      <w:r w:rsidRPr="00CA5940">
        <w:rPr>
          <w:rFonts w:eastAsia="Calibri" w:cstheme="minorHAnsi"/>
          <w:iCs/>
          <w:sz w:val="22"/>
          <w:szCs w:val="22"/>
        </w:rPr>
        <w:t>es activités de la Journée mondiale des zones humides</w:t>
      </w:r>
      <w:r w:rsidR="003B3A0A">
        <w:rPr>
          <w:rFonts w:eastAsia="Calibri" w:cstheme="minorHAnsi"/>
          <w:iCs/>
          <w:sz w:val="22"/>
          <w:szCs w:val="22"/>
        </w:rPr>
        <w:t xml:space="preserve">, </w:t>
      </w:r>
      <w:r w:rsidR="00EF5792">
        <w:rPr>
          <w:rFonts w:eastAsia="Calibri" w:cstheme="minorHAnsi"/>
          <w:iCs/>
          <w:sz w:val="22"/>
          <w:szCs w:val="22"/>
        </w:rPr>
        <w:t>mettant en lumière l</w:t>
      </w:r>
      <w:r w:rsidRPr="00CA5940">
        <w:rPr>
          <w:rFonts w:eastAsia="Calibri" w:cstheme="minorHAnsi"/>
          <w:iCs/>
          <w:sz w:val="22"/>
          <w:szCs w:val="22"/>
        </w:rPr>
        <w:t xml:space="preserve">es efforts </w:t>
      </w:r>
      <w:r w:rsidR="003B3A0A">
        <w:rPr>
          <w:rFonts w:eastAsia="Calibri" w:cstheme="minorHAnsi"/>
          <w:iCs/>
          <w:sz w:val="22"/>
          <w:szCs w:val="22"/>
        </w:rPr>
        <w:t>déployés par l</w:t>
      </w:r>
      <w:r w:rsidRPr="00CA5940">
        <w:rPr>
          <w:rFonts w:eastAsia="Calibri" w:cstheme="minorHAnsi"/>
          <w:iCs/>
          <w:sz w:val="22"/>
          <w:szCs w:val="22"/>
        </w:rPr>
        <w:t xml:space="preserve">es Parties contractantes. </w:t>
      </w:r>
      <w:r w:rsidR="003B3A0A">
        <w:rPr>
          <w:rFonts w:eastAsia="Calibri" w:cstheme="minorHAnsi"/>
          <w:iCs/>
          <w:sz w:val="22"/>
          <w:szCs w:val="22"/>
        </w:rPr>
        <w:t xml:space="preserve">Ces témoignages </w:t>
      </w:r>
      <w:r w:rsidR="00EF5792">
        <w:rPr>
          <w:rFonts w:eastAsia="Calibri" w:cstheme="minorHAnsi"/>
          <w:iCs/>
          <w:sz w:val="22"/>
          <w:szCs w:val="22"/>
        </w:rPr>
        <w:t xml:space="preserve">sont </w:t>
      </w:r>
      <w:r w:rsidR="003B3A0A">
        <w:rPr>
          <w:rFonts w:eastAsia="Calibri" w:cstheme="minorHAnsi"/>
          <w:iCs/>
          <w:sz w:val="22"/>
          <w:szCs w:val="22"/>
        </w:rPr>
        <w:t xml:space="preserve">souvent </w:t>
      </w:r>
      <w:r w:rsidR="00EF5792">
        <w:rPr>
          <w:rFonts w:eastAsia="Calibri" w:cstheme="minorHAnsi"/>
          <w:iCs/>
          <w:sz w:val="22"/>
          <w:szCs w:val="22"/>
        </w:rPr>
        <w:t xml:space="preserve">pris comme </w:t>
      </w:r>
      <w:r w:rsidRPr="00CA5940">
        <w:rPr>
          <w:rFonts w:eastAsia="Calibri" w:cstheme="minorHAnsi"/>
          <w:iCs/>
          <w:sz w:val="22"/>
          <w:szCs w:val="22"/>
        </w:rPr>
        <w:t xml:space="preserve">exemples dans les </w:t>
      </w:r>
      <w:r w:rsidR="003B3A0A">
        <w:rPr>
          <w:rFonts w:eastAsia="Calibri" w:cstheme="minorHAnsi"/>
          <w:iCs/>
          <w:sz w:val="22"/>
          <w:szCs w:val="22"/>
        </w:rPr>
        <w:t xml:space="preserve">éditoriaux </w:t>
      </w:r>
      <w:r w:rsidR="001E5633" w:rsidRPr="00CA5940">
        <w:rPr>
          <w:rFonts w:eastAsia="Calibri" w:cstheme="minorHAnsi"/>
          <w:iCs/>
          <w:sz w:val="22"/>
          <w:szCs w:val="22"/>
        </w:rPr>
        <w:t xml:space="preserve">rédigés </w:t>
      </w:r>
      <w:r w:rsidRPr="00CA5940">
        <w:rPr>
          <w:rFonts w:eastAsia="Calibri" w:cstheme="minorHAnsi"/>
          <w:iCs/>
          <w:sz w:val="22"/>
          <w:szCs w:val="22"/>
        </w:rPr>
        <w:t>par l</w:t>
      </w:r>
      <w:r w:rsidR="003B3A0A">
        <w:rPr>
          <w:rFonts w:eastAsia="Calibri" w:cstheme="minorHAnsi"/>
          <w:iCs/>
          <w:sz w:val="22"/>
          <w:szCs w:val="22"/>
        </w:rPr>
        <w:t>a</w:t>
      </w:r>
      <w:r w:rsidRPr="00CA5940">
        <w:rPr>
          <w:rFonts w:eastAsia="Calibri" w:cstheme="minorHAnsi"/>
          <w:iCs/>
          <w:sz w:val="22"/>
          <w:szCs w:val="22"/>
        </w:rPr>
        <w:t xml:space="preserve"> Secrétaire général</w:t>
      </w:r>
      <w:r w:rsidR="003B3A0A">
        <w:rPr>
          <w:rFonts w:eastAsia="Calibri" w:cstheme="minorHAnsi"/>
          <w:iCs/>
          <w:sz w:val="22"/>
          <w:szCs w:val="22"/>
        </w:rPr>
        <w:t>e</w:t>
      </w:r>
      <w:r w:rsidRPr="00CA5940">
        <w:rPr>
          <w:rFonts w:eastAsia="Calibri" w:cstheme="minorHAnsi"/>
          <w:iCs/>
          <w:sz w:val="22"/>
          <w:szCs w:val="22"/>
        </w:rPr>
        <w:t>.</w:t>
      </w:r>
      <w:r w:rsidRPr="00CA5940">
        <w:rPr>
          <w:rFonts w:eastAsia="Calibri" w:cstheme="minorHAnsi"/>
          <w:iCs/>
          <w:sz w:val="22"/>
          <w:szCs w:val="22"/>
        </w:rPr>
        <w:br/>
      </w:r>
    </w:p>
    <w:p w14:paraId="5561DF3D" w14:textId="21BB0510" w:rsidR="00BA4ED6" w:rsidRPr="000C33DF" w:rsidRDefault="003B3A0A" w:rsidP="008C4BA0">
      <w:pPr>
        <w:keepNext/>
        <w:ind w:firstLine="425"/>
        <w:rPr>
          <w:rFonts w:eastAsia="Calibri" w:cstheme="minorHAnsi"/>
          <w:i/>
          <w:iCs/>
          <w:sz w:val="22"/>
          <w:szCs w:val="22"/>
          <w:lang w:val="en-AU"/>
        </w:rPr>
      </w:pPr>
      <w:r>
        <w:rPr>
          <w:rFonts w:eastAsia="Calibri" w:cstheme="minorHAnsi"/>
          <w:i/>
          <w:iCs/>
          <w:sz w:val="22"/>
          <w:szCs w:val="22"/>
        </w:rPr>
        <w:t>But</w:t>
      </w:r>
      <w:r w:rsidR="00BA4ED6" w:rsidRPr="000C33DF">
        <w:rPr>
          <w:rFonts w:eastAsia="Calibri" w:cstheme="minorHAnsi"/>
          <w:i/>
          <w:iCs/>
          <w:sz w:val="22"/>
          <w:szCs w:val="22"/>
          <w:lang w:val="en-AU"/>
        </w:rPr>
        <w:t>f 4 - Renforcement des capacités</w:t>
      </w:r>
    </w:p>
    <w:p w14:paraId="26BE13A8" w14:textId="77777777" w:rsidR="00BA4ED6" w:rsidRPr="000C33DF" w:rsidRDefault="00BA4ED6" w:rsidP="008C4BA0">
      <w:pPr>
        <w:keepNext/>
        <w:rPr>
          <w:rFonts w:eastAsia="Calibri" w:cstheme="minorHAnsi"/>
          <w:sz w:val="22"/>
          <w:szCs w:val="22"/>
          <w:lang w:val="en-AU"/>
        </w:rPr>
      </w:pPr>
    </w:p>
    <w:p w14:paraId="6504EE78" w14:textId="00203718" w:rsidR="00BA4ED6" w:rsidRPr="00CA5940" w:rsidRDefault="3D6C2E5A" w:rsidP="008C4BA0">
      <w:pPr>
        <w:numPr>
          <w:ilvl w:val="0"/>
          <w:numId w:val="9"/>
        </w:numPr>
        <w:ind w:left="851" w:hanging="426"/>
        <w:contextualSpacing/>
        <w:rPr>
          <w:rFonts w:eastAsia="Calibri" w:cstheme="minorHAnsi"/>
          <w:sz w:val="22"/>
          <w:szCs w:val="22"/>
        </w:rPr>
      </w:pPr>
      <w:r w:rsidRPr="00CA5940">
        <w:rPr>
          <w:rFonts w:eastAsia="Calibri" w:cstheme="minorHAnsi"/>
          <w:sz w:val="22"/>
          <w:szCs w:val="22"/>
        </w:rPr>
        <w:t xml:space="preserve">Le Secrétariat a </w:t>
      </w:r>
      <w:r w:rsidR="00EF5792">
        <w:rPr>
          <w:rFonts w:eastAsia="Calibri" w:cstheme="minorHAnsi"/>
          <w:sz w:val="22"/>
          <w:szCs w:val="22"/>
        </w:rPr>
        <w:t xml:space="preserve">joué un </w:t>
      </w:r>
      <w:r w:rsidRPr="00CA5940">
        <w:rPr>
          <w:rFonts w:eastAsia="Calibri" w:cstheme="minorHAnsi"/>
          <w:sz w:val="22"/>
          <w:szCs w:val="22"/>
        </w:rPr>
        <w:t xml:space="preserve">rôle </w:t>
      </w:r>
      <w:r w:rsidR="00EF5792">
        <w:rPr>
          <w:rFonts w:eastAsia="Calibri" w:cstheme="minorHAnsi"/>
          <w:sz w:val="22"/>
          <w:szCs w:val="22"/>
        </w:rPr>
        <w:t xml:space="preserve">plus actif en matière </w:t>
      </w:r>
      <w:r w:rsidRPr="00CA5940">
        <w:rPr>
          <w:rFonts w:eastAsia="Calibri" w:cstheme="minorHAnsi"/>
          <w:sz w:val="22"/>
          <w:szCs w:val="22"/>
        </w:rPr>
        <w:t xml:space="preserve">d'appui au renforcement des capacités des Parties contractantes </w:t>
      </w:r>
      <w:r w:rsidR="00EF5792">
        <w:rPr>
          <w:rFonts w:eastAsia="Calibri" w:cstheme="minorHAnsi"/>
          <w:sz w:val="22"/>
          <w:szCs w:val="22"/>
        </w:rPr>
        <w:t xml:space="preserve">grâce à une vaste gamme de </w:t>
      </w:r>
      <w:r w:rsidRPr="00CA5940">
        <w:rPr>
          <w:rFonts w:eastAsia="Calibri" w:cstheme="minorHAnsi"/>
          <w:sz w:val="22"/>
          <w:szCs w:val="22"/>
        </w:rPr>
        <w:t xml:space="preserve">matériels, outils, activités de formation et </w:t>
      </w:r>
      <w:r w:rsidR="009D3993">
        <w:rPr>
          <w:rFonts w:eastAsia="Calibri" w:cstheme="minorHAnsi"/>
          <w:sz w:val="22"/>
          <w:szCs w:val="22"/>
        </w:rPr>
        <w:t>séminaires en ligne</w:t>
      </w:r>
      <w:r w:rsidRPr="00CA5940">
        <w:rPr>
          <w:rFonts w:eastAsia="Calibri" w:cstheme="minorHAnsi"/>
          <w:sz w:val="22"/>
          <w:szCs w:val="22"/>
        </w:rPr>
        <w:t xml:space="preserve"> Au cours de la période </w:t>
      </w:r>
      <w:r w:rsidR="00EF5792">
        <w:rPr>
          <w:rFonts w:eastAsia="Calibri" w:cstheme="minorHAnsi"/>
          <w:sz w:val="22"/>
          <w:szCs w:val="22"/>
        </w:rPr>
        <w:t>couverte par ce rapport</w:t>
      </w:r>
      <w:r w:rsidRPr="00CA5940">
        <w:rPr>
          <w:rFonts w:eastAsia="Calibri" w:cstheme="minorHAnsi"/>
          <w:sz w:val="22"/>
          <w:szCs w:val="22"/>
        </w:rPr>
        <w:t xml:space="preserve">, le Secrétariat a organisé les </w:t>
      </w:r>
      <w:r w:rsidR="009D3993">
        <w:rPr>
          <w:rFonts w:eastAsia="Calibri" w:cstheme="minorHAnsi"/>
          <w:sz w:val="22"/>
          <w:szCs w:val="22"/>
        </w:rPr>
        <w:t xml:space="preserve">séminaires </w:t>
      </w:r>
      <w:r w:rsidRPr="00CA5940">
        <w:rPr>
          <w:rFonts w:eastAsia="Calibri" w:cstheme="minorHAnsi"/>
          <w:sz w:val="22"/>
          <w:szCs w:val="22"/>
        </w:rPr>
        <w:t xml:space="preserve">suivants : </w:t>
      </w:r>
    </w:p>
    <w:p w14:paraId="71651DFC" w14:textId="7AA0FB67" w:rsidR="04E3F67F" w:rsidRPr="00CA5940" w:rsidRDefault="04E3F67F" w:rsidP="008C4BA0">
      <w:pPr>
        <w:ind w:left="851" w:hanging="426"/>
        <w:contextualSpacing/>
        <w:rPr>
          <w:rFonts w:eastAsia="Calibri" w:cstheme="minorHAnsi"/>
          <w:sz w:val="22"/>
          <w:szCs w:val="22"/>
        </w:rPr>
      </w:pPr>
    </w:p>
    <w:p w14:paraId="5B4CB6BD" w14:textId="41E8DF4A" w:rsidR="0A1CC94D" w:rsidRPr="00CA5940"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lang w:val="fr-FR"/>
        </w:rPr>
      </w:pPr>
      <w:r w:rsidRPr="00CA5940">
        <w:rPr>
          <w:rFonts w:asciiTheme="minorHAnsi" w:eastAsia="Aptos" w:hAnsiTheme="minorHAnsi" w:cstheme="minorHAnsi"/>
          <w:sz w:val="22"/>
          <w:szCs w:val="22"/>
          <w:lang w:val="fr-FR"/>
        </w:rPr>
        <w:t xml:space="preserve">Webinaire de formation : Préparation des </w:t>
      </w:r>
      <w:r w:rsidR="00EF5792">
        <w:rPr>
          <w:rFonts w:asciiTheme="minorHAnsi" w:eastAsia="Aptos" w:hAnsiTheme="minorHAnsi" w:cstheme="minorHAnsi"/>
          <w:sz w:val="22"/>
          <w:szCs w:val="22"/>
          <w:lang w:val="fr-FR"/>
        </w:rPr>
        <w:t>R</w:t>
      </w:r>
      <w:r w:rsidRPr="00CA5940">
        <w:rPr>
          <w:rFonts w:asciiTheme="minorHAnsi" w:eastAsia="Aptos" w:hAnsiTheme="minorHAnsi" w:cstheme="minorHAnsi"/>
          <w:sz w:val="22"/>
          <w:szCs w:val="22"/>
          <w:lang w:val="fr-FR"/>
        </w:rPr>
        <w:t>apports nationaux pour la COP15</w:t>
      </w:r>
    </w:p>
    <w:p w14:paraId="37E94A60" w14:textId="49F608AD" w:rsidR="0A1CC94D" w:rsidRPr="00CA5940"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lang w:val="fr-FR"/>
        </w:rPr>
      </w:pPr>
      <w:r w:rsidRPr="00CA5940">
        <w:rPr>
          <w:rFonts w:asciiTheme="minorHAnsi" w:eastAsia="Aptos" w:hAnsiTheme="minorHAnsi" w:cstheme="minorHAnsi"/>
          <w:sz w:val="22"/>
          <w:szCs w:val="22"/>
          <w:lang w:val="fr-FR"/>
        </w:rPr>
        <w:t xml:space="preserve">Webinaire pour les </w:t>
      </w:r>
      <w:r w:rsidR="00EF5792">
        <w:rPr>
          <w:rFonts w:asciiTheme="minorHAnsi" w:eastAsia="Aptos" w:hAnsiTheme="minorHAnsi" w:cstheme="minorHAnsi"/>
          <w:sz w:val="22"/>
          <w:szCs w:val="22"/>
          <w:lang w:val="fr-FR"/>
        </w:rPr>
        <w:t>C</w:t>
      </w:r>
      <w:r w:rsidRPr="00CA5940">
        <w:rPr>
          <w:rFonts w:asciiTheme="minorHAnsi" w:eastAsia="Aptos" w:hAnsiTheme="minorHAnsi" w:cstheme="minorHAnsi"/>
          <w:sz w:val="22"/>
          <w:szCs w:val="22"/>
          <w:lang w:val="fr-FR"/>
        </w:rPr>
        <w:t>orrespondants</w:t>
      </w:r>
      <w:r w:rsidR="00EF5792">
        <w:rPr>
          <w:rFonts w:asciiTheme="minorHAnsi" w:eastAsia="Aptos" w:hAnsiTheme="minorHAnsi" w:cstheme="minorHAnsi"/>
          <w:sz w:val="22"/>
          <w:szCs w:val="22"/>
          <w:lang w:val="fr-FR"/>
        </w:rPr>
        <w:t xml:space="preserve"> nationaux</w:t>
      </w:r>
      <w:r w:rsidRPr="00CA5940">
        <w:rPr>
          <w:rFonts w:asciiTheme="minorHAnsi" w:eastAsia="Aptos" w:hAnsiTheme="minorHAnsi" w:cstheme="minorHAnsi"/>
          <w:sz w:val="22"/>
          <w:szCs w:val="22"/>
          <w:lang w:val="fr-FR"/>
        </w:rPr>
        <w:t xml:space="preserve"> </w:t>
      </w:r>
      <w:r w:rsidR="0088614B">
        <w:rPr>
          <w:rFonts w:asciiTheme="minorHAnsi" w:eastAsia="Aptos" w:hAnsiTheme="minorHAnsi" w:cstheme="minorHAnsi"/>
          <w:sz w:val="22"/>
          <w:szCs w:val="22"/>
          <w:lang w:val="fr-FR"/>
        </w:rPr>
        <w:t xml:space="preserve">pour la </w:t>
      </w:r>
      <w:r w:rsidRPr="00CA5940">
        <w:rPr>
          <w:rFonts w:asciiTheme="minorHAnsi" w:eastAsia="Aptos" w:hAnsiTheme="minorHAnsi" w:cstheme="minorHAnsi"/>
          <w:sz w:val="22"/>
          <w:szCs w:val="22"/>
          <w:lang w:val="fr-FR"/>
        </w:rPr>
        <w:t xml:space="preserve">CESP </w:t>
      </w:r>
      <w:r w:rsidR="0088614B">
        <w:rPr>
          <w:rFonts w:asciiTheme="minorHAnsi" w:eastAsia="Aptos" w:hAnsiTheme="minorHAnsi" w:cstheme="minorHAnsi"/>
          <w:sz w:val="22"/>
          <w:szCs w:val="22"/>
          <w:lang w:val="fr-FR"/>
        </w:rPr>
        <w:t xml:space="preserve">sur </w:t>
      </w:r>
      <w:r w:rsidRPr="00CA5940">
        <w:rPr>
          <w:rFonts w:asciiTheme="minorHAnsi" w:eastAsia="Aptos" w:hAnsiTheme="minorHAnsi" w:cstheme="minorHAnsi"/>
          <w:sz w:val="22"/>
          <w:szCs w:val="22"/>
          <w:lang w:val="fr-FR"/>
        </w:rPr>
        <w:t>la conservation et l'utilisation rationnelle des zones humides</w:t>
      </w:r>
    </w:p>
    <w:p w14:paraId="7AD544EE" w14:textId="5618DF89" w:rsidR="0A1CC94D" w:rsidRPr="00CA5940"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lang w:val="fr-FR"/>
        </w:rPr>
      </w:pPr>
      <w:r w:rsidRPr="00CA5940">
        <w:rPr>
          <w:rFonts w:asciiTheme="minorHAnsi" w:eastAsia="Aptos" w:hAnsiTheme="minorHAnsi" w:cstheme="minorHAnsi"/>
          <w:sz w:val="22"/>
          <w:szCs w:val="22"/>
          <w:lang w:val="fr-FR"/>
        </w:rPr>
        <w:t>Observations terrestres des dommages causés aux écosystèmes en Ukraine</w:t>
      </w:r>
    </w:p>
    <w:p w14:paraId="5DA79725" w14:textId="1DB3A546" w:rsidR="0A1CC94D" w:rsidRPr="00CA5940"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lang w:val="fr-FR"/>
        </w:rPr>
      </w:pPr>
      <w:r w:rsidRPr="00CA5940">
        <w:rPr>
          <w:rFonts w:asciiTheme="minorHAnsi" w:eastAsia="Aptos" w:hAnsiTheme="minorHAnsi" w:cstheme="minorHAnsi"/>
          <w:sz w:val="22"/>
          <w:szCs w:val="22"/>
          <w:lang w:val="fr-FR"/>
        </w:rPr>
        <w:t>Webinaire : Intégrer les zones humides dans les stratégies et plans d'action nationaux pour la biodiversité (SPANB)</w:t>
      </w:r>
    </w:p>
    <w:p w14:paraId="3977A791" w14:textId="1C3F24D5" w:rsidR="0A1CC94D" w:rsidRPr="00CA5940"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lang w:val="fr-FR"/>
        </w:rPr>
      </w:pPr>
      <w:r w:rsidRPr="00CA5940">
        <w:rPr>
          <w:rFonts w:asciiTheme="minorHAnsi" w:eastAsia="Aptos" w:hAnsiTheme="minorHAnsi" w:cstheme="minorHAnsi"/>
          <w:sz w:val="22"/>
          <w:szCs w:val="22"/>
          <w:lang w:val="fr-FR"/>
        </w:rPr>
        <w:t xml:space="preserve">Webinaire de formation : Préparation de projets de résolution pour </w:t>
      </w:r>
      <w:r w:rsidR="007B188D">
        <w:rPr>
          <w:rFonts w:asciiTheme="minorHAnsi" w:eastAsia="Aptos" w:hAnsiTheme="minorHAnsi" w:cstheme="minorHAnsi"/>
          <w:sz w:val="22"/>
          <w:szCs w:val="22"/>
          <w:lang w:val="fr-FR"/>
        </w:rPr>
        <w:t xml:space="preserve">la </w:t>
      </w:r>
      <w:r w:rsidRPr="00CA5940">
        <w:rPr>
          <w:rFonts w:asciiTheme="minorHAnsi" w:eastAsia="Aptos" w:hAnsiTheme="minorHAnsi" w:cstheme="minorHAnsi"/>
          <w:sz w:val="22"/>
          <w:szCs w:val="22"/>
          <w:lang w:val="fr-FR"/>
        </w:rPr>
        <w:t>COP15</w:t>
      </w:r>
    </w:p>
    <w:p w14:paraId="60DA09AB" w14:textId="32F05025" w:rsidR="00AB5022" w:rsidRPr="00CA5940"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lang w:val="fr-FR"/>
        </w:rPr>
      </w:pPr>
      <w:r w:rsidRPr="00CA5940">
        <w:rPr>
          <w:rFonts w:asciiTheme="minorHAnsi" w:eastAsia="Aptos" w:hAnsiTheme="minorHAnsi" w:cstheme="minorHAnsi"/>
          <w:sz w:val="22"/>
          <w:szCs w:val="22"/>
          <w:lang w:val="fr-FR"/>
        </w:rPr>
        <w:t xml:space="preserve">Webinaire de formation : Comment protéger la faune sauvage de la grippe aviaire dans les sites du patrimoine mondial de l'UNESCO, les réserves de biosphère et les </w:t>
      </w:r>
      <w:r w:rsidR="00DD10FA">
        <w:rPr>
          <w:rFonts w:asciiTheme="minorHAnsi" w:eastAsia="Aptos" w:hAnsiTheme="minorHAnsi" w:cstheme="minorHAnsi"/>
          <w:sz w:val="22"/>
          <w:szCs w:val="22"/>
          <w:lang w:val="fr-FR"/>
        </w:rPr>
        <w:t>S</w:t>
      </w:r>
      <w:r w:rsidRPr="00CA5940">
        <w:rPr>
          <w:rFonts w:asciiTheme="minorHAnsi" w:eastAsia="Aptos" w:hAnsiTheme="minorHAnsi" w:cstheme="minorHAnsi"/>
          <w:sz w:val="22"/>
          <w:szCs w:val="22"/>
          <w:lang w:val="fr-FR"/>
        </w:rPr>
        <w:t xml:space="preserve">ites Ramsar </w:t>
      </w:r>
    </w:p>
    <w:p w14:paraId="2C98396F" w14:textId="6AE62433" w:rsidR="0A1CC94D" w:rsidRPr="00CA5940"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lang w:val="fr-FR"/>
        </w:rPr>
      </w:pPr>
      <w:r w:rsidRPr="00CA5940">
        <w:rPr>
          <w:rFonts w:asciiTheme="minorHAnsi" w:eastAsia="Aptos" w:hAnsiTheme="minorHAnsi" w:cstheme="minorHAnsi"/>
          <w:sz w:val="22"/>
          <w:szCs w:val="22"/>
          <w:lang w:val="fr-FR"/>
        </w:rPr>
        <w:t xml:space="preserve">Série de </w:t>
      </w:r>
      <w:r w:rsidR="00AB5022" w:rsidRPr="00CA5940">
        <w:rPr>
          <w:rFonts w:asciiTheme="minorHAnsi" w:eastAsia="Aptos" w:hAnsiTheme="minorHAnsi" w:cstheme="minorHAnsi"/>
          <w:sz w:val="22"/>
          <w:szCs w:val="22"/>
          <w:lang w:val="fr-FR"/>
        </w:rPr>
        <w:t xml:space="preserve">webinaires </w:t>
      </w:r>
      <w:r w:rsidR="008B3E89" w:rsidRPr="00CA5940">
        <w:rPr>
          <w:rFonts w:asciiTheme="minorHAnsi" w:eastAsia="Aptos" w:hAnsiTheme="minorHAnsi" w:cstheme="minorHAnsi"/>
          <w:sz w:val="22"/>
          <w:szCs w:val="22"/>
          <w:lang w:val="fr-FR"/>
        </w:rPr>
        <w:t>de la C</w:t>
      </w:r>
      <w:r w:rsidR="008B3E89">
        <w:rPr>
          <w:rFonts w:asciiTheme="minorHAnsi" w:eastAsia="Aptos" w:hAnsiTheme="minorHAnsi" w:cstheme="minorHAnsi"/>
          <w:sz w:val="22"/>
          <w:szCs w:val="22"/>
          <w:lang w:val="fr-FR"/>
        </w:rPr>
        <w:t>O</w:t>
      </w:r>
      <w:r w:rsidR="008B3E89" w:rsidRPr="00CA5940">
        <w:rPr>
          <w:rFonts w:asciiTheme="minorHAnsi" w:eastAsia="Aptos" w:hAnsiTheme="minorHAnsi" w:cstheme="minorHAnsi"/>
          <w:sz w:val="22"/>
          <w:szCs w:val="22"/>
          <w:lang w:val="fr-FR"/>
        </w:rPr>
        <w:t>P 15</w:t>
      </w:r>
      <w:r w:rsidR="008B3E89">
        <w:rPr>
          <w:rFonts w:asciiTheme="minorHAnsi" w:eastAsia="Aptos" w:hAnsiTheme="minorHAnsi" w:cstheme="minorHAnsi"/>
          <w:sz w:val="22"/>
          <w:szCs w:val="22"/>
          <w:lang w:val="fr-FR"/>
        </w:rPr>
        <w:t xml:space="preserve"> </w:t>
      </w:r>
      <w:r w:rsidR="00AB5022" w:rsidRPr="00CA5940">
        <w:rPr>
          <w:rFonts w:asciiTheme="minorHAnsi" w:eastAsia="Aptos" w:hAnsiTheme="minorHAnsi" w:cstheme="minorHAnsi"/>
          <w:sz w:val="22"/>
          <w:szCs w:val="22"/>
          <w:lang w:val="fr-FR"/>
        </w:rPr>
        <w:t xml:space="preserve">pour </w:t>
      </w:r>
      <w:r w:rsidRPr="00CA5940">
        <w:rPr>
          <w:rFonts w:asciiTheme="minorHAnsi" w:eastAsia="Aptos" w:hAnsiTheme="minorHAnsi" w:cstheme="minorHAnsi"/>
          <w:sz w:val="22"/>
          <w:szCs w:val="22"/>
          <w:lang w:val="fr-FR"/>
        </w:rPr>
        <w:t>les jeunes : Introduction à la Convention sur les zones humides et à la COP15</w:t>
      </w:r>
    </w:p>
    <w:p w14:paraId="0CE800BB" w14:textId="76701945" w:rsidR="0A1CC94D" w:rsidRPr="00CA5940"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lang w:val="fr-FR"/>
        </w:rPr>
      </w:pPr>
      <w:r w:rsidRPr="00CA5940">
        <w:rPr>
          <w:rFonts w:asciiTheme="minorHAnsi" w:eastAsia="Aptos" w:hAnsiTheme="minorHAnsi" w:cstheme="minorHAnsi"/>
          <w:sz w:val="22"/>
          <w:szCs w:val="22"/>
          <w:lang w:val="fr-FR"/>
        </w:rPr>
        <w:t xml:space="preserve">Série de </w:t>
      </w:r>
      <w:r w:rsidR="00AB5022" w:rsidRPr="00CA5940">
        <w:rPr>
          <w:rFonts w:asciiTheme="minorHAnsi" w:eastAsia="Aptos" w:hAnsiTheme="minorHAnsi" w:cstheme="minorHAnsi"/>
          <w:sz w:val="22"/>
          <w:szCs w:val="22"/>
          <w:lang w:val="fr-FR"/>
        </w:rPr>
        <w:t xml:space="preserve">webinaires </w:t>
      </w:r>
      <w:r w:rsidR="008B3E89" w:rsidRPr="00CA5940">
        <w:rPr>
          <w:rFonts w:asciiTheme="minorHAnsi" w:eastAsia="Aptos" w:hAnsiTheme="minorHAnsi" w:cstheme="minorHAnsi"/>
          <w:sz w:val="22"/>
          <w:szCs w:val="22"/>
          <w:lang w:val="fr-FR"/>
        </w:rPr>
        <w:t>de la C</w:t>
      </w:r>
      <w:r w:rsidR="008B3E89">
        <w:rPr>
          <w:rFonts w:asciiTheme="minorHAnsi" w:eastAsia="Aptos" w:hAnsiTheme="minorHAnsi" w:cstheme="minorHAnsi"/>
          <w:sz w:val="22"/>
          <w:szCs w:val="22"/>
          <w:lang w:val="fr-FR"/>
        </w:rPr>
        <w:t>O</w:t>
      </w:r>
      <w:r w:rsidR="008B3E89" w:rsidRPr="00CA5940">
        <w:rPr>
          <w:rFonts w:asciiTheme="minorHAnsi" w:eastAsia="Aptos" w:hAnsiTheme="minorHAnsi" w:cstheme="minorHAnsi"/>
          <w:sz w:val="22"/>
          <w:szCs w:val="22"/>
          <w:lang w:val="fr-FR"/>
        </w:rPr>
        <w:t>P 15</w:t>
      </w:r>
      <w:r w:rsidR="008B3E89">
        <w:rPr>
          <w:rFonts w:asciiTheme="minorHAnsi" w:eastAsia="Aptos" w:hAnsiTheme="minorHAnsi" w:cstheme="minorHAnsi"/>
          <w:sz w:val="22"/>
          <w:szCs w:val="22"/>
          <w:lang w:val="fr-FR"/>
        </w:rPr>
        <w:t xml:space="preserve"> </w:t>
      </w:r>
      <w:r w:rsidR="00AB5022" w:rsidRPr="00CA5940">
        <w:rPr>
          <w:rFonts w:asciiTheme="minorHAnsi" w:eastAsia="Aptos" w:hAnsiTheme="minorHAnsi" w:cstheme="minorHAnsi"/>
          <w:sz w:val="22"/>
          <w:szCs w:val="22"/>
          <w:lang w:val="fr-FR"/>
        </w:rPr>
        <w:t xml:space="preserve">pour </w:t>
      </w:r>
      <w:r w:rsidRPr="00CA5940">
        <w:rPr>
          <w:rFonts w:asciiTheme="minorHAnsi" w:eastAsia="Aptos" w:hAnsiTheme="minorHAnsi" w:cstheme="minorHAnsi"/>
          <w:sz w:val="22"/>
          <w:szCs w:val="22"/>
          <w:lang w:val="fr-FR"/>
        </w:rPr>
        <w:t xml:space="preserve">les jeunes : Autres </w:t>
      </w:r>
      <w:r w:rsidR="00AB5022" w:rsidRPr="00CA5940">
        <w:rPr>
          <w:rFonts w:asciiTheme="minorHAnsi" w:eastAsia="Aptos" w:hAnsiTheme="minorHAnsi" w:cstheme="minorHAnsi"/>
          <w:sz w:val="22"/>
          <w:szCs w:val="22"/>
          <w:lang w:val="fr-FR"/>
        </w:rPr>
        <w:t xml:space="preserve">mesures efficaces de conservation basées sur les zones </w:t>
      </w:r>
      <w:r w:rsidRPr="00CA5940">
        <w:rPr>
          <w:rFonts w:asciiTheme="minorHAnsi" w:eastAsia="Aptos" w:hAnsiTheme="minorHAnsi" w:cstheme="minorHAnsi"/>
          <w:sz w:val="22"/>
          <w:szCs w:val="22"/>
          <w:lang w:val="fr-FR"/>
        </w:rPr>
        <w:t>(OECM)</w:t>
      </w:r>
    </w:p>
    <w:p w14:paraId="1740A96E" w14:textId="1771B335" w:rsidR="04E3F67F" w:rsidRPr="00CA5940" w:rsidRDefault="0A1CC94D" w:rsidP="008C4BA0">
      <w:pPr>
        <w:pStyle w:val="paragraph"/>
        <w:numPr>
          <w:ilvl w:val="0"/>
          <w:numId w:val="18"/>
        </w:numPr>
        <w:spacing w:before="0" w:beforeAutospacing="0" w:after="0" w:afterAutospacing="0"/>
        <w:ind w:left="1276" w:hanging="425"/>
        <w:textAlignment w:val="baseline"/>
        <w:rPr>
          <w:rFonts w:asciiTheme="minorHAnsi" w:eastAsia="Aptos" w:hAnsiTheme="minorHAnsi" w:cstheme="minorHAnsi"/>
          <w:sz w:val="22"/>
          <w:szCs w:val="22"/>
          <w:lang w:val="fr-FR"/>
        </w:rPr>
      </w:pPr>
      <w:r w:rsidRPr="00CA5940">
        <w:rPr>
          <w:rFonts w:asciiTheme="minorHAnsi" w:eastAsia="Aptos" w:hAnsiTheme="minorHAnsi" w:cstheme="minorHAnsi"/>
          <w:sz w:val="22"/>
          <w:szCs w:val="22"/>
          <w:lang w:val="fr-FR"/>
        </w:rPr>
        <w:t xml:space="preserve">Série de </w:t>
      </w:r>
      <w:r w:rsidR="00AB5022" w:rsidRPr="00CA5940">
        <w:rPr>
          <w:rFonts w:asciiTheme="minorHAnsi" w:eastAsia="Aptos" w:hAnsiTheme="minorHAnsi" w:cstheme="minorHAnsi"/>
          <w:sz w:val="22"/>
          <w:szCs w:val="22"/>
          <w:lang w:val="fr-FR"/>
        </w:rPr>
        <w:t xml:space="preserve">webinaires </w:t>
      </w:r>
      <w:r w:rsidR="008B3E89" w:rsidRPr="00CA5940">
        <w:rPr>
          <w:rFonts w:asciiTheme="minorHAnsi" w:eastAsia="Aptos" w:hAnsiTheme="minorHAnsi" w:cstheme="minorHAnsi"/>
          <w:sz w:val="22"/>
          <w:szCs w:val="22"/>
          <w:lang w:val="fr-FR"/>
        </w:rPr>
        <w:t>de la C</w:t>
      </w:r>
      <w:r w:rsidR="008B3E89">
        <w:rPr>
          <w:rFonts w:asciiTheme="minorHAnsi" w:eastAsia="Aptos" w:hAnsiTheme="minorHAnsi" w:cstheme="minorHAnsi"/>
          <w:sz w:val="22"/>
          <w:szCs w:val="22"/>
          <w:lang w:val="fr-FR"/>
        </w:rPr>
        <w:t>O</w:t>
      </w:r>
      <w:r w:rsidR="008B3E89" w:rsidRPr="00CA5940">
        <w:rPr>
          <w:rFonts w:asciiTheme="minorHAnsi" w:eastAsia="Aptos" w:hAnsiTheme="minorHAnsi" w:cstheme="minorHAnsi"/>
          <w:sz w:val="22"/>
          <w:szCs w:val="22"/>
          <w:lang w:val="fr-FR"/>
        </w:rPr>
        <w:t>P 15</w:t>
      </w:r>
      <w:r w:rsidR="008B3E89">
        <w:rPr>
          <w:rFonts w:asciiTheme="minorHAnsi" w:eastAsia="Aptos" w:hAnsiTheme="minorHAnsi" w:cstheme="minorHAnsi"/>
          <w:sz w:val="22"/>
          <w:szCs w:val="22"/>
          <w:lang w:val="fr-FR"/>
        </w:rPr>
        <w:t xml:space="preserve"> </w:t>
      </w:r>
      <w:r w:rsidR="00AB5022" w:rsidRPr="00CA5940">
        <w:rPr>
          <w:rFonts w:asciiTheme="minorHAnsi" w:eastAsia="Aptos" w:hAnsiTheme="minorHAnsi" w:cstheme="minorHAnsi"/>
          <w:sz w:val="22"/>
          <w:szCs w:val="22"/>
          <w:lang w:val="fr-FR"/>
        </w:rPr>
        <w:t xml:space="preserve">pour </w:t>
      </w:r>
      <w:r w:rsidRPr="00CA5940">
        <w:rPr>
          <w:rFonts w:asciiTheme="minorHAnsi" w:eastAsia="Aptos" w:hAnsiTheme="minorHAnsi" w:cstheme="minorHAnsi"/>
          <w:sz w:val="22"/>
          <w:szCs w:val="22"/>
          <w:lang w:val="fr-FR"/>
        </w:rPr>
        <w:t xml:space="preserve">les jeunes : Innovations et </w:t>
      </w:r>
      <w:r w:rsidR="00AB5022" w:rsidRPr="00CA5940">
        <w:rPr>
          <w:rFonts w:asciiTheme="minorHAnsi" w:eastAsia="Aptos" w:hAnsiTheme="minorHAnsi" w:cstheme="minorHAnsi"/>
          <w:sz w:val="22"/>
          <w:szCs w:val="22"/>
          <w:lang w:val="fr-FR"/>
        </w:rPr>
        <w:t xml:space="preserve">approches technologiques </w:t>
      </w:r>
      <w:r w:rsidRPr="00CA5940">
        <w:rPr>
          <w:rFonts w:asciiTheme="minorHAnsi" w:eastAsia="Aptos" w:hAnsiTheme="minorHAnsi" w:cstheme="minorHAnsi"/>
          <w:sz w:val="22"/>
          <w:szCs w:val="22"/>
          <w:lang w:val="fr-FR"/>
        </w:rPr>
        <w:t xml:space="preserve">pour la </w:t>
      </w:r>
      <w:r w:rsidR="00AB5022" w:rsidRPr="00CA5940">
        <w:rPr>
          <w:rFonts w:asciiTheme="minorHAnsi" w:eastAsia="Aptos" w:hAnsiTheme="minorHAnsi" w:cstheme="minorHAnsi"/>
          <w:sz w:val="22"/>
          <w:szCs w:val="22"/>
          <w:lang w:val="fr-FR"/>
        </w:rPr>
        <w:t>restauration des zones humides</w:t>
      </w:r>
      <w:r w:rsidR="00DD10FA">
        <w:rPr>
          <w:rFonts w:asciiTheme="minorHAnsi" w:eastAsia="Aptos" w:hAnsiTheme="minorHAnsi" w:cstheme="minorHAnsi"/>
          <w:sz w:val="22"/>
          <w:szCs w:val="22"/>
          <w:lang w:val="fr-FR"/>
        </w:rPr>
        <w:t>,</w:t>
      </w:r>
      <w:r w:rsidR="00AB5022" w:rsidRPr="00CA5940">
        <w:rPr>
          <w:rFonts w:asciiTheme="minorHAnsi" w:eastAsia="Aptos" w:hAnsiTheme="minorHAnsi" w:cstheme="minorHAnsi"/>
          <w:sz w:val="22"/>
          <w:szCs w:val="22"/>
          <w:lang w:val="fr-FR"/>
        </w:rPr>
        <w:t xml:space="preserve"> et </w:t>
      </w:r>
      <w:r w:rsidRPr="00CA5940">
        <w:rPr>
          <w:rFonts w:asciiTheme="minorHAnsi" w:eastAsia="Aptos" w:hAnsiTheme="minorHAnsi" w:cstheme="minorHAnsi"/>
          <w:sz w:val="22"/>
          <w:szCs w:val="22"/>
          <w:lang w:val="fr-FR"/>
        </w:rPr>
        <w:t>connaissances traditionnelles et engagement communautaire dans la gestion des zones humides</w:t>
      </w:r>
    </w:p>
    <w:p w14:paraId="27BCE916" w14:textId="77777777" w:rsidR="00BA4ED6" w:rsidRPr="00CA5940" w:rsidRDefault="00BA4ED6" w:rsidP="008C4BA0">
      <w:pPr>
        <w:rPr>
          <w:rFonts w:eastAsia="Calibri" w:cstheme="minorHAnsi"/>
          <w:sz w:val="22"/>
          <w:szCs w:val="22"/>
        </w:rPr>
      </w:pPr>
    </w:p>
    <w:p w14:paraId="1546B40E" w14:textId="42894E61" w:rsidR="00BA4ED6" w:rsidRPr="00CA5940" w:rsidRDefault="3D6C2E5A" w:rsidP="008C4BA0">
      <w:pPr>
        <w:numPr>
          <w:ilvl w:val="0"/>
          <w:numId w:val="9"/>
        </w:numPr>
        <w:ind w:left="851" w:hanging="426"/>
        <w:contextualSpacing/>
        <w:rPr>
          <w:rFonts w:eastAsia="Calibri" w:cstheme="minorHAnsi"/>
          <w:sz w:val="22"/>
          <w:szCs w:val="22"/>
        </w:rPr>
      </w:pPr>
      <w:r w:rsidRPr="00CA5940">
        <w:rPr>
          <w:rFonts w:eastAsia="Calibri" w:cstheme="minorHAnsi"/>
          <w:sz w:val="22"/>
          <w:szCs w:val="22"/>
        </w:rPr>
        <w:t>Le Secrétariat a p</w:t>
      </w:r>
      <w:r w:rsidR="00DD10FA">
        <w:rPr>
          <w:rFonts w:eastAsia="Calibri" w:cstheme="minorHAnsi"/>
          <w:sz w:val="22"/>
          <w:szCs w:val="22"/>
        </w:rPr>
        <w:t>ublié</w:t>
      </w:r>
      <w:r w:rsidRPr="00CA5940">
        <w:rPr>
          <w:rFonts w:eastAsia="Calibri" w:cstheme="minorHAnsi"/>
          <w:sz w:val="22"/>
          <w:szCs w:val="22"/>
        </w:rPr>
        <w:t xml:space="preserve"> un certain nombre de </w:t>
      </w:r>
      <w:r w:rsidR="00DD10FA">
        <w:rPr>
          <w:rFonts w:eastAsia="Calibri" w:cstheme="minorHAnsi"/>
          <w:sz w:val="22"/>
          <w:szCs w:val="22"/>
        </w:rPr>
        <w:t>documents</w:t>
      </w:r>
      <w:r w:rsidRPr="00CA5940">
        <w:rPr>
          <w:rFonts w:eastAsia="Calibri" w:cstheme="minorHAnsi"/>
          <w:sz w:val="22"/>
          <w:szCs w:val="22"/>
        </w:rPr>
        <w:t xml:space="preserve"> qui ont été diffusés aux </w:t>
      </w:r>
      <w:r w:rsidR="00D26835">
        <w:rPr>
          <w:rFonts w:eastAsia="Calibri" w:cstheme="minorHAnsi"/>
          <w:sz w:val="22"/>
          <w:szCs w:val="22"/>
        </w:rPr>
        <w:t>P</w:t>
      </w:r>
      <w:r w:rsidRPr="00CA5940">
        <w:rPr>
          <w:rFonts w:eastAsia="Calibri" w:cstheme="minorHAnsi"/>
          <w:sz w:val="22"/>
          <w:szCs w:val="22"/>
        </w:rPr>
        <w:t xml:space="preserve">arties contractantes et à d'autres entités intéressées, et </w:t>
      </w:r>
      <w:r w:rsidR="00D26835">
        <w:rPr>
          <w:rFonts w:eastAsia="Calibri" w:cstheme="minorHAnsi"/>
          <w:sz w:val="22"/>
          <w:szCs w:val="22"/>
        </w:rPr>
        <w:t xml:space="preserve">il </w:t>
      </w:r>
      <w:r w:rsidRPr="00CA5940">
        <w:rPr>
          <w:rFonts w:eastAsia="Calibri" w:cstheme="minorHAnsi"/>
          <w:sz w:val="22"/>
          <w:szCs w:val="22"/>
        </w:rPr>
        <w:t xml:space="preserve">a produit </w:t>
      </w:r>
      <w:r w:rsidR="6D8F8BDE" w:rsidRPr="00CA5940">
        <w:rPr>
          <w:rFonts w:eastAsia="Calibri" w:cstheme="minorHAnsi"/>
          <w:sz w:val="22"/>
          <w:szCs w:val="22"/>
        </w:rPr>
        <w:t xml:space="preserve">60 </w:t>
      </w:r>
      <w:r w:rsidRPr="00CA5940">
        <w:rPr>
          <w:rFonts w:eastAsia="Calibri" w:cstheme="minorHAnsi"/>
          <w:sz w:val="22"/>
          <w:szCs w:val="22"/>
        </w:rPr>
        <w:t>vidéos sur différents sujets liés aux zones humides.</w:t>
      </w:r>
    </w:p>
    <w:p w14:paraId="1B90B1CE" w14:textId="77777777" w:rsidR="000A2E04" w:rsidRPr="00CA5940" w:rsidRDefault="000A2E04" w:rsidP="008C4BA0">
      <w:pPr>
        <w:ind w:left="426"/>
        <w:rPr>
          <w:rFonts w:eastAsiaTheme="majorEastAsia" w:cstheme="minorHAnsi"/>
          <w:sz w:val="22"/>
          <w:szCs w:val="22"/>
        </w:rPr>
      </w:pPr>
    </w:p>
    <w:p w14:paraId="78598C4D" w14:textId="6D62AE58" w:rsidR="000A2E04" w:rsidRPr="00CA5940" w:rsidRDefault="000A2E04" w:rsidP="000A2E04">
      <w:pPr>
        <w:numPr>
          <w:ilvl w:val="0"/>
          <w:numId w:val="9"/>
        </w:numPr>
        <w:ind w:left="851" w:hanging="426"/>
        <w:contextualSpacing/>
        <w:rPr>
          <w:rFonts w:eastAsia="Calibri" w:cstheme="minorHAnsi"/>
          <w:sz w:val="22"/>
          <w:szCs w:val="22"/>
        </w:rPr>
      </w:pPr>
      <w:r w:rsidRPr="00CA5940">
        <w:rPr>
          <w:rFonts w:eastAsia="Calibri" w:cstheme="minorHAnsi"/>
          <w:sz w:val="22"/>
          <w:szCs w:val="22"/>
        </w:rPr>
        <w:t xml:space="preserve">Les </w:t>
      </w:r>
      <w:r w:rsidR="00D26835">
        <w:rPr>
          <w:rFonts w:eastAsia="Calibri" w:cstheme="minorHAnsi"/>
          <w:sz w:val="22"/>
          <w:szCs w:val="22"/>
        </w:rPr>
        <w:t>I</w:t>
      </w:r>
      <w:r w:rsidRPr="00CA5940">
        <w:rPr>
          <w:rFonts w:eastAsia="Calibri" w:cstheme="minorHAnsi"/>
          <w:sz w:val="22"/>
          <w:szCs w:val="22"/>
        </w:rPr>
        <w:t>nitiatives régionales Ramsar (</w:t>
      </w:r>
      <w:r w:rsidR="00D26835">
        <w:rPr>
          <w:rFonts w:eastAsia="Calibri" w:cstheme="minorHAnsi"/>
          <w:sz w:val="22"/>
          <w:szCs w:val="22"/>
        </w:rPr>
        <w:t>I</w:t>
      </w:r>
      <w:r w:rsidRPr="00CA5940">
        <w:rPr>
          <w:rFonts w:eastAsia="Calibri" w:cstheme="minorHAnsi"/>
          <w:sz w:val="22"/>
          <w:szCs w:val="22"/>
        </w:rPr>
        <w:t>RR) ont continué à soutenir l</w:t>
      </w:r>
      <w:r w:rsidR="00D26835">
        <w:rPr>
          <w:rFonts w:eastAsia="Calibri" w:cstheme="minorHAnsi"/>
          <w:sz w:val="22"/>
          <w:szCs w:val="22"/>
        </w:rPr>
        <w:t xml:space="preserve">’application </w:t>
      </w:r>
      <w:r w:rsidRPr="00CA5940">
        <w:rPr>
          <w:rFonts w:eastAsia="Calibri" w:cstheme="minorHAnsi"/>
          <w:sz w:val="22"/>
          <w:szCs w:val="22"/>
        </w:rPr>
        <w:t xml:space="preserve">de la Convention </w:t>
      </w:r>
      <w:r w:rsidR="00D26835">
        <w:rPr>
          <w:rFonts w:eastAsia="Calibri" w:cstheme="minorHAnsi"/>
          <w:sz w:val="22"/>
          <w:szCs w:val="22"/>
        </w:rPr>
        <w:t>grâce à</w:t>
      </w:r>
      <w:r w:rsidRPr="00CA5940">
        <w:rPr>
          <w:rFonts w:eastAsia="Calibri" w:cstheme="minorHAnsi"/>
          <w:sz w:val="22"/>
          <w:szCs w:val="22"/>
        </w:rPr>
        <w:t xml:space="preserve"> diverses activités de CESP. De 2022 à 2024, </w:t>
      </w:r>
      <w:r w:rsidR="00D26835" w:rsidRPr="00CA5940">
        <w:rPr>
          <w:rFonts w:eastAsia="Calibri" w:cstheme="minorHAnsi"/>
          <w:sz w:val="22"/>
          <w:szCs w:val="22"/>
        </w:rPr>
        <w:t xml:space="preserve">des plans d'action de CESP </w:t>
      </w:r>
      <w:r w:rsidR="00D26835">
        <w:rPr>
          <w:rFonts w:eastAsia="Calibri" w:cstheme="minorHAnsi"/>
          <w:sz w:val="22"/>
          <w:szCs w:val="22"/>
        </w:rPr>
        <w:t xml:space="preserve">ont été </w:t>
      </w:r>
      <w:r w:rsidR="002C7ED8">
        <w:rPr>
          <w:rFonts w:eastAsia="Calibri" w:cstheme="minorHAnsi"/>
          <w:sz w:val="22"/>
          <w:szCs w:val="22"/>
        </w:rPr>
        <w:t xml:space="preserve">élaborés dans le cadre de </w:t>
      </w:r>
      <w:r w:rsidRPr="00CA5940">
        <w:rPr>
          <w:rFonts w:eastAsia="Calibri" w:cstheme="minorHAnsi"/>
          <w:sz w:val="22"/>
          <w:szCs w:val="22"/>
        </w:rPr>
        <w:t xml:space="preserve">plusieurs </w:t>
      </w:r>
      <w:r w:rsidR="00D26835">
        <w:rPr>
          <w:rFonts w:eastAsia="Calibri" w:cstheme="minorHAnsi"/>
          <w:sz w:val="22"/>
          <w:szCs w:val="22"/>
        </w:rPr>
        <w:t>I</w:t>
      </w:r>
      <w:r w:rsidRPr="00CA5940">
        <w:rPr>
          <w:rFonts w:eastAsia="Calibri" w:cstheme="minorHAnsi"/>
          <w:sz w:val="22"/>
          <w:szCs w:val="22"/>
        </w:rPr>
        <w:t>RR</w:t>
      </w:r>
      <w:r w:rsidR="002C7ED8">
        <w:rPr>
          <w:rFonts w:eastAsia="Calibri" w:cstheme="minorHAnsi"/>
          <w:sz w:val="22"/>
          <w:szCs w:val="22"/>
        </w:rPr>
        <w:t>,</w:t>
      </w:r>
      <w:r w:rsidRPr="00CA5940">
        <w:rPr>
          <w:rFonts w:eastAsia="Calibri" w:cstheme="minorHAnsi"/>
          <w:sz w:val="22"/>
          <w:szCs w:val="22"/>
        </w:rPr>
        <w:t xml:space="preserve"> </w:t>
      </w:r>
      <w:r w:rsidR="002C7ED8">
        <w:rPr>
          <w:rFonts w:eastAsia="Calibri" w:cstheme="minorHAnsi"/>
          <w:sz w:val="22"/>
          <w:szCs w:val="22"/>
        </w:rPr>
        <w:t>qui ont également</w:t>
      </w:r>
      <w:r w:rsidRPr="00CA5940">
        <w:rPr>
          <w:rFonts w:eastAsia="Calibri" w:cstheme="minorHAnsi"/>
          <w:sz w:val="22"/>
          <w:szCs w:val="22"/>
        </w:rPr>
        <w:t xml:space="preserve"> rendu compte de leur mise en œuvre. Les principales activités comprenaient des </w:t>
      </w:r>
      <w:r w:rsidR="002C7ED8">
        <w:rPr>
          <w:rFonts w:eastAsia="Calibri" w:cstheme="minorHAnsi"/>
          <w:sz w:val="22"/>
          <w:szCs w:val="22"/>
        </w:rPr>
        <w:t xml:space="preserve">manifestations </w:t>
      </w:r>
      <w:r w:rsidR="00DD10FA">
        <w:rPr>
          <w:rFonts w:eastAsia="Calibri" w:cstheme="minorHAnsi"/>
          <w:sz w:val="22"/>
          <w:szCs w:val="22"/>
        </w:rPr>
        <w:t xml:space="preserve">à l’occasion </w:t>
      </w:r>
      <w:r w:rsidRPr="00CA5940">
        <w:rPr>
          <w:rFonts w:eastAsia="Calibri" w:cstheme="minorHAnsi"/>
          <w:sz w:val="22"/>
          <w:szCs w:val="22"/>
        </w:rPr>
        <w:t xml:space="preserve">de la Journée mondiale des zones humides, des programmes de formation et de renforcement des capacités ciblant les gestionnaires de zones humides, et la production de matériel de communication. Des détails sont disponibles dans les </w:t>
      </w:r>
      <w:r w:rsidR="002C7ED8">
        <w:rPr>
          <w:rFonts w:eastAsia="Calibri" w:cstheme="minorHAnsi"/>
          <w:sz w:val="22"/>
          <w:szCs w:val="22"/>
        </w:rPr>
        <w:t>R</w:t>
      </w:r>
      <w:r w:rsidRPr="00CA5940">
        <w:rPr>
          <w:rFonts w:eastAsia="Calibri" w:cstheme="minorHAnsi"/>
          <w:sz w:val="22"/>
          <w:szCs w:val="22"/>
        </w:rPr>
        <w:t xml:space="preserve">apports annuels des </w:t>
      </w:r>
      <w:r w:rsidR="00D26835">
        <w:rPr>
          <w:rFonts w:eastAsia="Calibri" w:cstheme="minorHAnsi"/>
          <w:sz w:val="22"/>
          <w:szCs w:val="22"/>
        </w:rPr>
        <w:t>I</w:t>
      </w:r>
      <w:r w:rsidRPr="00CA5940">
        <w:rPr>
          <w:rFonts w:eastAsia="Calibri" w:cstheme="minorHAnsi"/>
          <w:sz w:val="22"/>
          <w:szCs w:val="22"/>
        </w:rPr>
        <w:t>RR.</w:t>
      </w:r>
    </w:p>
    <w:p w14:paraId="232240C1" w14:textId="77777777" w:rsidR="000A2E04" w:rsidRPr="00CA5940" w:rsidRDefault="000A2E04" w:rsidP="008C4BA0">
      <w:pPr>
        <w:ind w:left="426"/>
        <w:rPr>
          <w:rFonts w:eastAsiaTheme="majorEastAsia" w:cstheme="minorHAnsi"/>
          <w:sz w:val="22"/>
          <w:szCs w:val="22"/>
        </w:rPr>
      </w:pPr>
    </w:p>
    <w:p w14:paraId="0530B4A4" w14:textId="1FC4EDF2" w:rsidR="00BA4ED6" w:rsidRPr="00CA5940" w:rsidRDefault="002C7ED8" w:rsidP="008C4BA0">
      <w:pPr>
        <w:ind w:left="426"/>
        <w:rPr>
          <w:rFonts w:eastAsia="Calibri" w:cstheme="minorHAnsi"/>
          <w:i/>
          <w:sz w:val="22"/>
          <w:szCs w:val="22"/>
        </w:rPr>
      </w:pPr>
      <w:r>
        <w:rPr>
          <w:rFonts w:eastAsia="Calibri" w:cstheme="minorHAnsi"/>
          <w:i/>
          <w:sz w:val="22"/>
          <w:szCs w:val="22"/>
        </w:rPr>
        <w:t>But</w:t>
      </w:r>
      <w:r w:rsidR="00BA4ED6" w:rsidRPr="00CA5940">
        <w:rPr>
          <w:rFonts w:eastAsia="Calibri" w:cstheme="minorHAnsi"/>
          <w:i/>
          <w:sz w:val="22"/>
          <w:szCs w:val="22"/>
        </w:rPr>
        <w:t xml:space="preserve"> 5 - Participation de multiples </w:t>
      </w:r>
      <w:r w:rsidR="000E60FC">
        <w:rPr>
          <w:rFonts w:eastAsia="Calibri" w:cstheme="minorHAnsi"/>
          <w:i/>
          <w:sz w:val="22"/>
          <w:szCs w:val="22"/>
        </w:rPr>
        <w:t>acteurs</w:t>
      </w:r>
    </w:p>
    <w:p w14:paraId="6B7029D7" w14:textId="77777777" w:rsidR="00BA4ED6" w:rsidRPr="00CA5940" w:rsidRDefault="00BA4ED6" w:rsidP="008C4BA0">
      <w:pPr>
        <w:rPr>
          <w:rFonts w:eastAsia="Calibri" w:cstheme="minorHAnsi"/>
          <w:sz w:val="22"/>
          <w:szCs w:val="22"/>
        </w:rPr>
      </w:pPr>
    </w:p>
    <w:p w14:paraId="49020628" w14:textId="72962F98" w:rsidR="00BA4ED6" w:rsidRPr="00CA5940" w:rsidRDefault="00BA4ED6" w:rsidP="008C4BA0">
      <w:pPr>
        <w:numPr>
          <w:ilvl w:val="0"/>
          <w:numId w:val="9"/>
        </w:numPr>
        <w:ind w:left="851" w:hanging="425"/>
        <w:contextualSpacing/>
        <w:rPr>
          <w:rFonts w:eastAsia="Calibri" w:cstheme="minorHAnsi"/>
          <w:sz w:val="22"/>
          <w:szCs w:val="22"/>
        </w:rPr>
      </w:pPr>
      <w:r w:rsidRPr="00CA5940">
        <w:rPr>
          <w:rFonts w:eastAsia="Calibri" w:cstheme="minorHAnsi"/>
          <w:sz w:val="22"/>
          <w:szCs w:val="22"/>
        </w:rPr>
        <w:t xml:space="preserve">Les organisations internationales partenaires (OIP) ont continué à jouer un rôle important </w:t>
      </w:r>
      <w:r w:rsidR="00DD10FA">
        <w:rPr>
          <w:rFonts w:eastAsia="Calibri" w:cstheme="minorHAnsi"/>
          <w:sz w:val="22"/>
          <w:szCs w:val="22"/>
        </w:rPr>
        <w:t xml:space="preserve">visant à promouvoir </w:t>
      </w:r>
      <w:r w:rsidRPr="00CA5940">
        <w:rPr>
          <w:rFonts w:eastAsia="Calibri" w:cstheme="minorHAnsi"/>
          <w:sz w:val="22"/>
          <w:szCs w:val="22"/>
        </w:rPr>
        <w:t xml:space="preserve">la sensibilisation et l'engagement des personnes dans la conservation et l'utilisation rationnelle des zones humides </w:t>
      </w:r>
      <w:r w:rsidR="000E60FC">
        <w:rPr>
          <w:rFonts w:eastAsia="Calibri" w:cstheme="minorHAnsi"/>
          <w:sz w:val="22"/>
          <w:szCs w:val="22"/>
        </w:rPr>
        <w:t xml:space="preserve">en participant à des </w:t>
      </w:r>
      <w:r w:rsidRPr="00CA5940">
        <w:rPr>
          <w:rFonts w:eastAsia="Calibri" w:cstheme="minorHAnsi"/>
          <w:sz w:val="22"/>
          <w:szCs w:val="22"/>
        </w:rPr>
        <w:t xml:space="preserve">activités conjointes et individuelles. </w:t>
      </w:r>
      <w:r w:rsidR="0039213E">
        <w:rPr>
          <w:rFonts w:eastAsia="Calibri" w:cstheme="minorHAnsi"/>
          <w:sz w:val="22"/>
          <w:szCs w:val="22"/>
        </w:rPr>
        <w:t>Au nombre des</w:t>
      </w:r>
      <w:r w:rsidRPr="00CA5940">
        <w:rPr>
          <w:rFonts w:eastAsia="Calibri" w:cstheme="minorHAnsi"/>
          <w:sz w:val="22"/>
          <w:szCs w:val="22"/>
        </w:rPr>
        <w:t xml:space="preserve"> OIP</w:t>
      </w:r>
      <w:r w:rsidR="0039213E">
        <w:rPr>
          <w:rFonts w:eastAsia="Calibri" w:cstheme="minorHAnsi"/>
          <w:sz w:val="22"/>
          <w:szCs w:val="22"/>
        </w:rPr>
        <w:t>, on peut citer</w:t>
      </w:r>
      <w:r w:rsidRPr="00CA5940">
        <w:rPr>
          <w:rFonts w:eastAsia="Calibri" w:cstheme="minorHAnsi"/>
          <w:sz w:val="22"/>
          <w:szCs w:val="22"/>
        </w:rPr>
        <w:t xml:space="preserve"> Birdlife International, l'UICN, l</w:t>
      </w:r>
      <w:r w:rsidR="002615AA" w:rsidRPr="00CA5940">
        <w:rPr>
          <w:rFonts w:eastAsia="Calibri" w:cstheme="minorHAnsi"/>
          <w:sz w:val="22"/>
          <w:szCs w:val="22"/>
        </w:rPr>
        <w:t xml:space="preserve">'Institut international de gestion de l'eau, </w:t>
      </w:r>
      <w:r w:rsidRPr="00CA5940">
        <w:rPr>
          <w:rFonts w:eastAsia="Calibri" w:cstheme="minorHAnsi"/>
          <w:sz w:val="22"/>
          <w:szCs w:val="22"/>
        </w:rPr>
        <w:t>Wetlands International,</w:t>
      </w:r>
      <w:r w:rsidR="0039213E">
        <w:rPr>
          <w:rFonts w:eastAsia="Calibri" w:cstheme="minorHAnsi"/>
          <w:sz w:val="22"/>
          <w:szCs w:val="22"/>
        </w:rPr>
        <w:t xml:space="preserve"> le</w:t>
      </w:r>
      <w:r w:rsidRPr="00CA5940">
        <w:rPr>
          <w:rFonts w:eastAsia="Calibri" w:cstheme="minorHAnsi"/>
          <w:sz w:val="22"/>
          <w:szCs w:val="22"/>
        </w:rPr>
        <w:t xml:space="preserve"> Wildfowl </w:t>
      </w:r>
      <w:r w:rsidR="002615AA" w:rsidRPr="00CA5940">
        <w:rPr>
          <w:rFonts w:eastAsia="Calibri" w:cstheme="minorHAnsi"/>
          <w:sz w:val="22"/>
          <w:szCs w:val="22"/>
        </w:rPr>
        <w:t xml:space="preserve">&amp; </w:t>
      </w:r>
      <w:r w:rsidRPr="00CA5940">
        <w:rPr>
          <w:rFonts w:eastAsia="Calibri" w:cstheme="minorHAnsi"/>
          <w:sz w:val="22"/>
          <w:szCs w:val="22"/>
        </w:rPr>
        <w:t xml:space="preserve">Wetlands Trust et le WWF.  </w:t>
      </w:r>
      <w:r w:rsidR="001F7622" w:rsidRPr="00CA5940">
        <w:rPr>
          <w:rFonts w:eastAsia="Calibri" w:cstheme="minorHAnsi"/>
          <w:sz w:val="22"/>
          <w:szCs w:val="22"/>
        </w:rPr>
        <w:t xml:space="preserve">Les responsables de la communication des OIP </w:t>
      </w:r>
      <w:r w:rsidR="0039213E">
        <w:rPr>
          <w:rFonts w:eastAsia="Calibri" w:cstheme="minorHAnsi"/>
          <w:sz w:val="22"/>
          <w:szCs w:val="22"/>
        </w:rPr>
        <w:t xml:space="preserve">rencontrent </w:t>
      </w:r>
      <w:r w:rsidR="001F7622" w:rsidRPr="00CA5940">
        <w:rPr>
          <w:rFonts w:eastAsia="Calibri" w:cstheme="minorHAnsi"/>
          <w:sz w:val="22"/>
          <w:szCs w:val="22"/>
        </w:rPr>
        <w:t xml:space="preserve">régulièrement </w:t>
      </w:r>
      <w:r w:rsidR="0039213E">
        <w:rPr>
          <w:rFonts w:eastAsia="Calibri" w:cstheme="minorHAnsi"/>
          <w:sz w:val="22"/>
          <w:szCs w:val="22"/>
        </w:rPr>
        <w:t>des membres du</w:t>
      </w:r>
      <w:r w:rsidR="00D360B8" w:rsidRPr="00CA5940">
        <w:rPr>
          <w:rFonts w:eastAsia="Calibri" w:cstheme="minorHAnsi"/>
          <w:sz w:val="22"/>
          <w:szCs w:val="22"/>
        </w:rPr>
        <w:t xml:space="preserve"> Secrétariat </w:t>
      </w:r>
      <w:r w:rsidR="001F7622" w:rsidRPr="00CA5940">
        <w:rPr>
          <w:rFonts w:eastAsia="Calibri" w:cstheme="minorHAnsi"/>
          <w:sz w:val="22"/>
          <w:szCs w:val="22"/>
        </w:rPr>
        <w:t xml:space="preserve">pour </w:t>
      </w:r>
      <w:r w:rsidR="002418A0" w:rsidRPr="00CA5940">
        <w:rPr>
          <w:rFonts w:eastAsia="Calibri" w:cstheme="minorHAnsi"/>
          <w:sz w:val="22"/>
          <w:szCs w:val="22"/>
        </w:rPr>
        <w:t>discuter de</w:t>
      </w:r>
      <w:r w:rsidR="000E60FC">
        <w:rPr>
          <w:rFonts w:eastAsia="Calibri" w:cstheme="minorHAnsi"/>
          <w:sz w:val="22"/>
          <w:szCs w:val="22"/>
        </w:rPr>
        <w:t xml:space="preserve"> leur</w:t>
      </w:r>
      <w:r w:rsidR="002418A0" w:rsidRPr="00CA5940">
        <w:rPr>
          <w:rFonts w:eastAsia="Calibri" w:cstheme="minorHAnsi"/>
          <w:sz w:val="22"/>
          <w:szCs w:val="22"/>
        </w:rPr>
        <w:t xml:space="preserve">s plans et activités de CESP respectifs et </w:t>
      </w:r>
      <w:r w:rsidR="000E60FC">
        <w:rPr>
          <w:rFonts w:eastAsia="Calibri" w:cstheme="minorHAnsi"/>
          <w:sz w:val="22"/>
          <w:szCs w:val="22"/>
        </w:rPr>
        <w:t xml:space="preserve">trouver </w:t>
      </w:r>
      <w:r w:rsidR="002418A0" w:rsidRPr="00CA5940">
        <w:rPr>
          <w:rFonts w:eastAsia="Calibri" w:cstheme="minorHAnsi"/>
          <w:sz w:val="22"/>
          <w:szCs w:val="22"/>
        </w:rPr>
        <w:t xml:space="preserve">des synergies. </w:t>
      </w:r>
    </w:p>
    <w:p w14:paraId="6DB2F97B" w14:textId="77777777" w:rsidR="00BA4ED6" w:rsidRPr="00CA5940" w:rsidRDefault="00BA4ED6" w:rsidP="003F148A">
      <w:pPr>
        <w:ind w:left="851" w:hanging="425"/>
        <w:rPr>
          <w:rFonts w:eastAsia="Calibri" w:cstheme="minorHAnsi"/>
          <w:sz w:val="22"/>
          <w:szCs w:val="22"/>
        </w:rPr>
      </w:pPr>
    </w:p>
    <w:p w14:paraId="0619D26E" w14:textId="723413D5" w:rsidR="00BA4ED6" w:rsidRPr="00CA5940" w:rsidRDefault="00BA4ED6" w:rsidP="003F148A">
      <w:pPr>
        <w:numPr>
          <w:ilvl w:val="0"/>
          <w:numId w:val="9"/>
        </w:numPr>
        <w:ind w:left="851" w:hanging="425"/>
        <w:rPr>
          <w:rFonts w:eastAsia="Calibri" w:cstheme="minorHAnsi"/>
          <w:sz w:val="22"/>
          <w:szCs w:val="22"/>
        </w:rPr>
      </w:pPr>
      <w:r w:rsidRPr="00CA5940">
        <w:rPr>
          <w:rFonts w:eastAsia="Calibri" w:cstheme="minorHAnsi"/>
          <w:sz w:val="22"/>
          <w:szCs w:val="22"/>
        </w:rPr>
        <w:t>Au cours de la période couverte par le rapport</w:t>
      </w:r>
      <w:r w:rsidR="002615AA" w:rsidRPr="00CA5940">
        <w:rPr>
          <w:rFonts w:eastAsia="Calibri" w:cstheme="minorHAnsi"/>
          <w:sz w:val="22"/>
          <w:szCs w:val="22"/>
        </w:rPr>
        <w:t xml:space="preserve">, </w:t>
      </w:r>
      <w:r w:rsidR="0039213E">
        <w:rPr>
          <w:rFonts w:eastAsia="Calibri" w:cstheme="minorHAnsi"/>
          <w:sz w:val="22"/>
          <w:szCs w:val="22"/>
        </w:rPr>
        <w:t xml:space="preserve">le Secrétariat a reçu </w:t>
      </w:r>
      <w:r w:rsidRPr="00CA5940">
        <w:rPr>
          <w:rFonts w:eastAsia="Calibri" w:cstheme="minorHAnsi"/>
          <w:sz w:val="22"/>
          <w:szCs w:val="22"/>
        </w:rPr>
        <w:t xml:space="preserve">des nominations pour le </w:t>
      </w:r>
      <w:r w:rsidR="00431933">
        <w:rPr>
          <w:rFonts w:eastAsia="Calibri" w:cstheme="minorHAnsi"/>
          <w:sz w:val="22"/>
          <w:szCs w:val="22"/>
        </w:rPr>
        <w:t>label Ville des Zones Humides accréditées</w:t>
      </w:r>
      <w:r w:rsidR="0039213E">
        <w:rPr>
          <w:rFonts w:eastAsia="Calibri" w:cstheme="minorHAnsi"/>
          <w:sz w:val="22"/>
          <w:szCs w:val="22"/>
        </w:rPr>
        <w:t> ;</w:t>
      </w:r>
      <w:r w:rsidRPr="00CA5940">
        <w:rPr>
          <w:rFonts w:eastAsia="Calibri" w:cstheme="minorHAnsi"/>
          <w:sz w:val="22"/>
          <w:szCs w:val="22"/>
        </w:rPr>
        <w:t xml:space="preserve"> </w:t>
      </w:r>
      <w:r w:rsidR="00431933" w:rsidRPr="00431933">
        <w:rPr>
          <w:rFonts w:eastAsia="Calibri" w:cstheme="minorHAnsi"/>
          <w:sz w:val="22"/>
          <w:szCs w:val="22"/>
        </w:rPr>
        <w:t xml:space="preserve">31 Villes des zones humides </w:t>
      </w:r>
      <w:r w:rsidR="00431933">
        <w:rPr>
          <w:rFonts w:eastAsia="Calibri" w:cstheme="minorHAnsi"/>
          <w:sz w:val="22"/>
          <w:szCs w:val="22"/>
        </w:rPr>
        <w:t xml:space="preserve">seront </w:t>
      </w:r>
      <w:r w:rsidR="00431933" w:rsidRPr="00431933">
        <w:rPr>
          <w:rFonts w:eastAsia="Calibri" w:cstheme="minorHAnsi"/>
          <w:sz w:val="22"/>
          <w:szCs w:val="22"/>
        </w:rPr>
        <w:t xml:space="preserve">nouvellement accréditées </w:t>
      </w:r>
      <w:r w:rsidRPr="00CA5940">
        <w:rPr>
          <w:rFonts w:eastAsia="Calibri" w:cstheme="minorHAnsi"/>
          <w:sz w:val="22"/>
          <w:szCs w:val="22"/>
        </w:rPr>
        <w:t>lors de la COP15. Le programme a été bien accueilli</w:t>
      </w:r>
      <w:r w:rsidR="0039213E">
        <w:rPr>
          <w:rFonts w:eastAsia="Calibri" w:cstheme="minorHAnsi"/>
          <w:sz w:val="22"/>
          <w:szCs w:val="22"/>
        </w:rPr>
        <w:t xml:space="preserve"> au niveau </w:t>
      </w:r>
      <w:r w:rsidRPr="00CA5940">
        <w:rPr>
          <w:rFonts w:eastAsia="Calibri" w:cstheme="minorHAnsi"/>
          <w:sz w:val="22"/>
          <w:szCs w:val="22"/>
        </w:rPr>
        <w:t>international</w:t>
      </w:r>
      <w:r w:rsidR="0039213E">
        <w:rPr>
          <w:rFonts w:eastAsia="Calibri" w:cstheme="minorHAnsi"/>
          <w:sz w:val="22"/>
          <w:szCs w:val="22"/>
        </w:rPr>
        <w:t xml:space="preserve"> avec</w:t>
      </w:r>
      <w:r w:rsidRPr="00CA5940">
        <w:rPr>
          <w:rFonts w:eastAsia="Calibri" w:cstheme="minorHAnsi"/>
          <w:sz w:val="22"/>
          <w:szCs w:val="22"/>
        </w:rPr>
        <w:t xml:space="preserve"> l'engagement </w:t>
      </w:r>
      <w:r w:rsidR="002615AA" w:rsidRPr="00CA5940">
        <w:rPr>
          <w:rFonts w:eastAsia="Calibri" w:cstheme="minorHAnsi"/>
          <w:sz w:val="22"/>
          <w:szCs w:val="22"/>
        </w:rPr>
        <w:t xml:space="preserve">de </w:t>
      </w:r>
      <w:r w:rsidRPr="00CA5940">
        <w:rPr>
          <w:rFonts w:eastAsia="Calibri" w:cstheme="minorHAnsi"/>
          <w:sz w:val="22"/>
          <w:szCs w:val="22"/>
        </w:rPr>
        <w:t xml:space="preserve">nombreuses </w:t>
      </w:r>
      <w:r w:rsidR="00431933">
        <w:rPr>
          <w:rFonts w:eastAsia="Calibri" w:cstheme="minorHAnsi"/>
          <w:sz w:val="22"/>
          <w:szCs w:val="22"/>
        </w:rPr>
        <w:t>P</w:t>
      </w:r>
      <w:r w:rsidRPr="00CA5940">
        <w:rPr>
          <w:rFonts w:eastAsia="Calibri" w:cstheme="minorHAnsi"/>
          <w:sz w:val="22"/>
          <w:szCs w:val="22"/>
        </w:rPr>
        <w:t>arties contract</w:t>
      </w:r>
      <w:r w:rsidR="002615AA" w:rsidRPr="00CA5940">
        <w:rPr>
          <w:rFonts w:eastAsia="Calibri" w:cstheme="minorHAnsi"/>
          <w:sz w:val="22"/>
          <w:szCs w:val="22"/>
        </w:rPr>
        <w:t>antes</w:t>
      </w:r>
      <w:r w:rsidR="00CD354C">
        <w:rPr>
          <w:rFonts w:eastAsia="Calibri" w:cstheme="minorHAnsi"/>
          <w:sz w:val="22"/>
          <w:szCs w:val="22"/>
        </w:rPr>
        <w:t xml:space="preserve">, </w:t>
      </w:r>
      <w:r w:rsidR="0039213E">
        <w:rPr>
          <w:rFonts w:eastAsia="Calibri" w:cstheme="minorHAnsi"/>
          <w:sz w:val="22"/>
          <w:szCs w:val="22"/>
        </w:rPr>
        <w:t xml:space="preserve">améliorant ainsi </w:t>
      </w:r>
      <w:r w:rsidR="00CD354C">
        <w:rPr>
          <w:rFonts w:eastAsia="Calibri" w:cstheme="minorHAnsi"/>
          <w:sz w:val="22"/>
          <w:szCs w:val="22"/>
        </w:rPr>
        <w:t xml:space="preserve">le </w:t>
      </w:r>
      <w:r w:rsidRPr="00CA5940">
        <w:rPr>
          <w:rFonts w:eastAsia="Calibri" w:cstheme="minorHAnsi"/>
          <w:sz w:val="22"/>
          <w:szCs w:val="22"/>
        </w:rPr>
        <w:t xml:space="preserve">profil de la </w:t>
      </w:r>
      <w:r w:rsidR="00CD354C">
        <w:rPr>
          <w:rFonts w:eastAsia="Calibri" w:cstheme="minorHAnsi"/>
          <w:sz w:val="22"/>
          <w:szCs w:val="22"/>
        </w:rPr>
        <w:t>C</w:t>
      </w:r>
      <w:r w:rsidRPr="00CA5940">
        <w:rPr>
          <w:rFonts w:eastAsia="Calibri" w:cstheme="minorHAnsi"/>
          <w:sz w:val="22"/>
          <w:szCs w:val="22"/>
        </w:rPr>
        <w:t>onventio</w:t>
      </w:r>
      <w:r w:rsidR="00CD354C">
        <w:rPr>
          <w:rFonts w:eastAsia="Calibri" w:cstheme="minorHAnsi"/>
          <w:sz w:val="22"/>
          <w:szCs w:val="22"/>
        </w:rPr>
        <w:t xml:space="preserve">n </w:t>
      </w:r>
      <w:r w:rsidRPr="00CA5940">
        <w:rPr>
          <w:rFonts w:eastAsia="Calibri" w:cstheme="minorHAnsi"/>
          <w:sz w:val="22"/>
          <w:szCs w:val="22"/>
        </w:rPr>
        <w:t xml:space="preserve">dans les nombreuses villes candidates. Les villes retenues seront reconnues lors de la COP15, et un événement parallèle </w:t>
      </w:r>
      <w:r w:rsidR="00CD354C">
        <w:rPr>
          <w:rFonts w:eastAsia="Calibri" w:cstheme="minorHAnsi"/>
          <w:sz w:val="22"/>
          <w:szCs w:val="22"/>
        </w:rPr>
        <w:t>sera</w:t>
      </w:r>
      <w:r w:rsidRPr="00CA5940">
        <w:rPr>
          <w:rFonts w:eastAsia="Calibri" w:cstheme="minorHAnsi"/>
          <w:sz w:val="22"/>
          <w:szCs w:val="22"/>
        </w:rPr>
        <w:t xml:space="preserve"> organisé pour partager les </w:t>
      </w:r>
      <w:r w:rsidR="002615AA" w:rsidRPr="00CA5940">
        <w:rPr>
          <w:rFonts w:eastAsia="Calibri" w:cstheme="minorHAnsi"/>
          <w:sz w:val="22"/>
          <w:szCs w:val="22"/>
        </w:rPr>
        <w:t xml:space="preserve">résultats </w:t>
      </w:r>
      <w:r w:rsidRPr="00CA5940">
        <w:rPr>
          <w:rFonts w:eastAsia="Calibri" w:cstheme="minorHAnsi"/>
          <w:sz w:val="22"/>
          <w:szCs w:val="22"/>
        </w:rPr>
        <w:t xml:space="preserve">et les meilleures pratiques </w:t>
      </w:r>
      <w:r w:rsidR="002615AA" w:rsidRPr="00CA5940">
        <w:rPr>
          <w:rFonts w:eastAsia="Calibri" w:cstheme="minorHAnsi"/>
          <w:sz w:val="22"/>
          <w:szCs w:val="22"/>
        </w:rPr>
        <w:t xml:space="preserve">des </w:t>
      </w:r>
      <w:r w:rsidRPr="00CA5940">
        <w:rPr>
          <w:rFonts w:eastAsia="Calibri" w:cstheme="minorHAnsi"/>
          <w:sz w:val="22"/>
          <w:szCs w:val="22"/>
        </w:rPr>
        <w:t xml:space="preserve">villes </w:t>
      </w:r>
      <w:r w:rsidR="00CD354C">
        <w:rPr>
          <w:rFonts w:eastAsia="Calibri" w:cstheme="minorHAnsi"/>
          <w:sz w:val="22"/>
          <w:szCs w:val="22"/>
        </w:rPr>
        <w:t xml:space="preserve">ayant obtenu le label des Villes </w:t>
      </w:r>
      <w:r w:rsidRPr="00CA5940">
        <w:rPr>
          <w:rFonts w:eastAsia="Calibri" w:cstheme="minorHAnsi"/>
          <w:sz w:val="22"/>
          <w:szCs w:val="22"/>
        </w:rPr>
        <w:t>accréditées.</w:t>
      </w:r>
    </w:p>
    <w:p w14:paraId="154A80B3" w14:textId="77777777" w:rsidR="0024348A" w:rsidRPr="00CA5940" w:rsidRDefault="0024348A" w:rsidP="003F148A">
      <w:pPr>
        <w:pStyle w:val="ListParagraph"/>
        <w:ind w:left="851" w:hanging="425"/>
        <w:rPr>
          <w:rFonts w:eastAsia="Calibri" w:cstheme="minorHAnsi"/>
          <w:sz w:val="22"/>
          <w:szCs w:val="22"/>
        </w:rPr>
      </w:pPr>
    </w:p>
    <w:p w14:paraId="0918BE55" w14:textId="701B1129" w:rsidR="0024348A" w:rsidRPr="00CA5940" w:rsidRDefault="00633972" w:rsidP="003F148A">
      <w:pPr>
        <w:numPr>
          <w:ilvl w:val="0"/>
          <w:numId w:val="9"/>
        </w:numPr>
        <w:ind w:left="851" w:hanging="425"/>
        <w:rPr>
          <w:rFonts w:eastAsia="Calibri" w:cstheme="minorHAnsi"/>
          <w:sz w:val="22"/>
          <w:szCs w:val="22"/>
        </w:rPr>
      </w:pPr>
      <w:r w:rsidRPr="00CA5940">
        <w:rPr>
          <w:rFonts w:eastAsia="Calibri" w:cstheme="minorHAnsi"/>
          <w:sz w:val="22"/>
          <w:szCs w:val="22"/>
        </w:rPr>
        <w:t xml:space="preserve">Le Secrétariat </w:t>
      </w:r>
      <w:r w:rsidR="000E673B" w:rsidRPr="00CA5940">
        <w:rPr>
          <w:rFonts w:eastAsia="Calibri" w:cstheme="minorHAnsi"/>
          <w:sz w:val="22"/>
          <w:szCs w:val="22"/>
        </w:rPr>
        <w:t xml:space="preserve">s'est engagé </w:t>
      </w:r>
      <w:r w:rsidRPr="00CA5940">
        <w:rPr>
          <w:rFonts w:eastAsia="Calibri" w:cstheme="minorHAnsi"/>
          <w:sz w:val="22"/>
          <w:szCs w:val="22"/>
        </w:rPr>
        <w:t xml:space="preserve">avec les autres </w:t>
      </w:r>
      <w:r w:rsidR="002615AA" w:rsidRPr="00CA5940">
        <w:rPr>
          <w:rFonts w:eastAsia="Calibri" w:cstheme="minorHAnsi"/>
          <w:sz w:val="22"/>
          <w:szCs w:val="22"/>
        </w:rPr>
        <w:t xml:space="preserve">Conventions relatives à la biodiversité </w:t>
      </w:r>
      <w:r w:rsidR="00CD354C">
        <w:rPr>
          <w:rFonts w:eastAsia="Calibri" w:cstheme="minorHAnsi"/>
          <w:sz w:val="22"/>
          <w:szCs w:val="22"/>
        </w:rPr>
        <w:t xml:space="preserve">dans le but de trouver </w:t>
      </w:r>
      <w:r w:rsidR="00783088" w:rsidRPr="00CA5940">
        <w:rPr>
          <w:rFonts w:eastAsia="Calibri" w:cstheme="minorHAnsi"/>
          <w:sz w:val="22"/>
          <w:szCs w:val="22"/>
        </w:rPr>
        <w:t xml:space="preserve">des synergies </w:t>
      </w:r>
      <w:r w:rsidR="0039213E">
        <w:rPr>
          <w:rFonts w:eastAsia="Calibri" w:cstheme="minorHAnsi"/>
          <w:sz w:val="22"/>
          <w:szCs w:val="22"/>
        </w:rPr>
        <w:t>en matière d</w:t>
      </w:r>
      <w:r w:rsidR="00783088" w:rsidRPr="00CA5940">
        <w:rPr>
          <w:rFonts w:eastAsia="Calibri" w:cstheme="minorHAnsi"/>
          <w:sz w:val="22"/>
          <w:szCs w:val="22"/>
        </w:rPr>
        <w:t xml:space="preserve">'éducation et </w:t>
      </w:r>
      <w:r w:rsidR="0039213E">
        <w:rPr>
          <w:rFonts w:eastAsia="Calibri" w:cstheme="minorHAnsi"/>
          <w:sz w:val="22"/>
          <w:szCs w:val="22"/>
        </w:rPr>
        <w:t>d’</w:t>
      </w:r>
      <w:r w:rsidR="00783088" w:rsidRPr="00CA5940">
        <w:rPr>
          <w:rFonts w:eastAsia="Calibri" w:cstheme="minorHAnsi"/>
          <w:sz w:val="22"/>
          <w:szCs w:val="22"/>
        </w:rPr>
        <w:t xml:space="preserve">engagement de </w:t>
      </w:r>
      <w:r w:rsidR="00A628CD" w:rsidRPr="00CA5940">
        <w:rPr>
          <w:rFonts w:eastAsia="Calibri" w:cstheme="minorHAnsi"/>
          <w:sz w:val="22"/>
          <w:szCs w:val="22"/>
        </w:rPr>
        <w:t>di</w:t>
      </w:r>
      <w:r w:rsidR="00AA3B79">
        <w:rPr>
          <w:rFonts w:eastAsia="Calibri" w:cstheme="minorHAnsi"/>
          <w:sz w:val="22"/>
          <w:szCs w:val="22"/>
        </w:rPr>
        <w:t>vers</w:t>
      </w:r>
      <w:r w:rsidR="00A628CD" w:rsidRPr="00CA5940">
        <w:rPr>
          <w:rFonts w:eastAsia="Calibri" w:cstheme="minorHAnsi"/>
          <w:sz w:val="22"/>
          <w:szCs w:val="22"/>
        </w:rPr>
        <w:t xml:space="preserve"> groupes d'acteurs et </w:t>
      </w:r>
      <w:r w:rsidR="0039213E">
        <w:rPr>
          <w:rFonts w:eastAsia="Calibri" w:cstheme="minorHAnsi"/>
          <w:sz w:val="22"/>
          <w:szCs w:val="22"/>
        </w:rPr>
        <w:t xml:space="preserve">du grand </w:t>
      </w:r>
      <w:r w:rsidR="00A628CD" w:rsidRPr="00CA5940">
        <w:rPr>
          <w:rFonts w:eastAsia="Calibri" w:cstheme="minorHAnsi"/>
          <w:sz w:val="22"/>
          <w:szCs w:val="22"/>
        </w:rPr>
        <w:t xml:space="preserve">public </w:t>
      </w:r>
      <w:r w:rsidR="00B50914" w:rsidRPr="00CA5940">
        <w:rPr>
          <w:rFonts w:eastAsia="Calibri" w:cstheme="minorHAnsi"/>
          <w:sz w:val="22"/>
          <w:szCs w:val="22"/>
        </w:rPr>
        <w:t xml:space="preserve">dans la conservation et l'utilisation rationnelle des zones humides. </w:t>
      </w:r>
      <w:r w:rsidR="00AA3B79">
        <w:rPr>
          <w:rFonts w:eastAsia="Calibri" w:cstheme="minorHAnsi"/>
          <w:sz w:val="22"/>
          <w:szCs w:val="22"/>
        </w:rPr>
        <w:t>Plusieur</w:t>
      </w:r>
      <w:r w:rsidR="00AA3B79" w:rsidRPr="00CA5940">
        <w:rPr>
          <w:rFonts w:eastAsia="Calibri" w:cstheme="minorHAnsi"/>
          <w:sz w:val="22"/>
          <w:szCs w:val="22"/>
        </w:rPr>
        <w:t>s</w:t>
      </w:r>
      <w:r w:rsidR="00DE3B8B" w:rsidRPr="00CA5940">
        <w:rPr>
          <w:rFonts w:eastAsia="Calibri" w:cstheme="minorHAnsi"/>
          <w:sz w:val="22"/>
          <w:szCs w:val="22"/>
        </w:rPr>
        <w:t xml:space="preserve"> </w:t>
      </w:r>
      <w:r w:rsidR="00AA3B79">
        <w:rPr>
          <w:rFonts w:eastAsia="Calibri" w:cstheme="minorHAnsi"/>
          <w:sz w:val="22"/>
          <w:szCs w:val="22"/>
        </w:rPr>
        <w:t xml:space="preserve">activités </w:t>
      </w:r>
      <w:r w:rsidR="00DE3B8B" w:rsidRPr="00CA5940">
        <w:rPr>
          <w:rFonts w:eastAsia="Calibri" w:cstheme="minorHAnsi"/>
          <w:sz w:val="22"/>
          <w:szCs w:val="22"/>
        </w:rPr>
        <w:t>ont été mises en œuvre</w:t>
      </w:r>
      <w:r w:rsidR="00A46EA3">
        <w:rPr>
          <w:rFonts w:eastAsia="Calibri" w:cstheme="minorHAnsi"/>
          <w:sz w:val="22"/>
          <w:szCs w:val="22"/>
        </w:rPr>
        <w:t xml:space="preserve"> conjointement</w:t>
      </w:r>
      <w:r w:rsidR="00AA3B79">
        <w:rPr>
          <w:rFonts w:eastAsia="Calibri" w:cstheme="minorHAnsi"/>
          <w:sz w:val="22"/>
          <w:szCs w:val="22"/>
        </w:rPr>
        <w:t> :</w:t>
      </w:r>
      <w:r w:rsidR="00DE3B8B" w:rsidRPr="00CA5940">
        <w:rPr>
          <w:rFonts w:eastAsia="Calibri" w:cstheme="minorHAnsi"/>
          <w:sz w:val="22"/>
          <w:szCs w:val="22"/>
        </w:rPr>
        <w:t xml:space="preserve"> déclarations, participation à des événements </w:t>
      </w:r>
      <w:r w:rsidR="003B7A58" w:rsidRPr="00CA5940">
        <w:rPr>
          <w:rFonts w:eastAsia="Calibri" w:cstheme="minorHAnsi"/>
          <w:sz w:val="22"/>
          <w:szCs w:val="22"/>
        </w:rPr>
        <w:t xml:space="preserve">et </w:t>
      </w:r>
      <w:r w:rsidR="006B10A3" w:rsidRPr="00CA5940">
        <w:rPr>
          <w:rFonts w:eastAsia="Calibri" w:cstheme="minorHAnsi"/>
          <w:sz w:val="22"/>
          <w:szCs w:val="22"/>
        </w:rPr>
        <w:t xml:space="preserve">engagement dans </w:t>
      </w:r>
      <w:r w:rsidR="00E95B94" w:rsidRPr="00CA5940">
        <w:rPr>
          <w:rFonts w:eastAsia="Calibri" w:cstheme="minorHAnsi"/>
          <w:sz w:val="22"/>
          <w:szCs w:val="22"/>
        </w:rPr>
        <w:t xml:space="preserve">les </w:t>
      </w:r>
      <w:r w:rsidR="00A46EA3">
        <w:rPr>
          <w:rFonts w:eastAsia="Calibri" w:cstheme="minorHAnsi"/>
          <w:sz w:val="22"/>
          <w:szCs w:val="22"/>
        </w:rPr>
        <w:t xml:space="preserve">réseaux </w:t>
      </w:r>
      <w:r w:rsidR="00E95B94" w:rsidRPr="00CA5940">
        <w:rPr>
          <w:rFonts w:eastAsia="Calibri" w:cstheme="minorHAnsi"/>
          <w:sz w:val="22"/>
          <w:szCs w:val="22"/>
        </w:rPr>
        <w:t>sociaux</w:t>
      </w:r>
      <w:r w:rsidR="00DE3B8B" w:rsidRPr="00CA5940">
        <w:rPr>
          <w:rFonts w:eastAsia="Calibri" w:cstheme="minorHAnsi"/>
          <w:sz w:val="22"/>
          <w:szCs w:val="22"/>
        </w:rPr>
        <w:t>, souvent à l'occasion de</w:t>
      </w:r>
      <w:r w:rsidR="0039213E">
        <w:rPr>
          <w:rFonts w:eastAsia="Calibri" w:cstheme="minorHAnsi"/>
          <w:sz w:val="22"/>
          <w:szCs w:val="22"/>
        </w:rPr>
        <w:t>s</w:t>
      </w:r>
      <w:r w:rsidR="00DE3B8B" w:rsidRPr="00CA5940">
        <w:rPr>
          <w:rFonts w:eastAsia="Calibri" w:cstheme="minorHAnsi"/>
          <w:sz w:val="22"/>
          <w:szCs w:val="22"/>
        </w:rPr>
        <w:t xml:space="preserve"> journées internationales. </w:t>
      </w:r>
    </w:p>
    <w:p w14:paraId="27AA8B6C" w14:textId="77777777" w:rsidR="00BA4ED6" w:rsidRPr="00CA5940" w:rsidRDefault="00BA4ED6" w:rsidP="008C4BA0">
      <w:pPr>
        <w:rPr>
          <w:rFonts w:eastAsia="Calibri" w:cstheme="minorHAnsi"/>
          <w:sz w:val="22"/>
          <w:szCs w:val="22"/>
        </w:rPr>
      </w:pPr>
    </w:p>
    <w:p w14:paraId="54B37052" w14:textId="6E35039E" w:rsidR="00BA4ED6" w:rsidRPr="00CA5940" w:rsidRDefault="00A46EA3" w:rsidP="008C4BA0">
      <w:pPr>
        <w:keepNext/>
        <w:ind w:firstLine="360"/>
        <w:rPr>
          <w:rFonts w:eastAsia="Calibri" w:cstheme="minorHAnsi"/>
          <w:i/>
          <w:sz w:val="22"/>
          <w:szCs w:val="22"/>
        </w:rPr>
      </w:pPr>
      <w:r>
        <w:rPr>
          <w:rFonts w:eastAsia="Calibri" w:cstheme="minorHAnsi"/>
          <w:i/>
          <w:sz w:val="22"/>
          <w:szCs w:val="22"/>
        </w:rPr>
        <w:t xml:space="preserve">But </w:t>
      </w:r>
      <w:r w:rsidR="00BA4ED6" w:rsidRPr="00CA5940">
        <w:rPr>
          <w:rFonts w:eastAsia="Calibri" w:cstheme="minorHAnsi"/>
          <w:i/>
          <w:sz w:val="22"/>
          <w:szCs w:val="22"/>
        </w:rPr>
        <w:t>6 - Programmes et campagnes de promotion des zones humides</w:t>
      </w:r>
    </w:p>
    <w:p w14:paraId="02E8DB93" w14:textId="77777777" w:rsidR="00BA4ED6" w:rsidRPr="00CA5940" w:rsidRDefault="00BA4ED6" w:rsidP="008C4BA0">
      <w:pPr>
        <w:keepNext/>
        <w:rPr>
          <w:rFonts w:eastAsia="Calibri" w:cstheme="minorHAnsi"/>
          <w:sz w:val="22"/>
          <w:szCs w:val="22"/>
        </w:rPr>
      </w:pPr>
    </w:p>
    <w:p w14:paraId="3A3C4B74" w14:textId="1A54899D" w:rsidR="00BA4ED6" w:rsidRPr="00CA5940" w:rsidRDefault="00BA4ED6" w:rsidP="008C4BA0">
      <w:pPr>
        <w:numPr>
          <w:ilvl w:val="0"/>
          <w:numId w:val="6"/>
        </w:numPr>
        <w:ind w:left="851" w:hanging="425"/>
        <w:contextualSpacing/>
        <w:rPr>
          <w:rFonts w:eastAsia="Times New Roman" w:cstheme="minorHAnsi"/>
          <w:sz w:val="22"/>
          <w:szCs w:val="22"/>
        </w:rPr>
      </w:pPr>
      <w:r w:rsidRPr="00CA5940">
        <w:rPr>
          <w:rFonts w:eastAsia="Times New Roman" w:cstheme="minorHAnsi"/>
          <w:sz w:val="22"/>
          <w:szCs w:val="22"/>
        </w:rPr>
        <w:t xml:space="preserve">Les célébrations de la Journée mondiale des zones humides continuent d'attirer l'attention sur des questions importantes relatives aux zones humides. Les thèmes abordés au cours de la période couverte par le rapport </w:t>
      </w:r>
      <w:r w:rsidR="00592652" w:rsidRPr="00CA5940">
        <w:rPr>
          <w:rFonts w:eastAsia="Times New Roman" w:cstheme="minorHAnsi"/>
          <w:sz w:val="22"/>
          <w:szCs w:val="22"/>
        </w:rPr>
        <w:t xml:space="preserve">sont les suivants </w:t>
      </w:r>
      <w:r w:rsidR="003B7A58" w:rsidRPr="00CA5940">
        <w:rPr>
          <w:rFonts w:eastAsia="Times New Roman" w:cstheme="minorHAnsi"/>
          <w:sz w:val="22"/>
          <w:szCs w:val="22"/>
        </w:rPr>
        <w:t xml:space="preserve">: </w:t>
      </w:r>
      <w:r w:rsidR="00D01E8B">
        <w:rPr>
          <w:rFonts w:eastAsia="Times New Roman" w:cstheme="minorHAnsi"/>
          <w:sz w:val="22"/>
          <w:szCs w:val="22"/>
        </w:rPr>
        <w:t>« </w:t>
      </w:r>
      <w:r w:rsidRPr="00CA5940">
        <w:rPr>
          <w:rFonts w:eastAsia="Times New Roman" w:cstheme="minorHAnsi"/>
          <w:sz w:val="22"/>
          <w:szCs w:val="22"/>
        </w:rPr>
        <w:t xml:space="preserve">Il </w:t>
      </w:r>
      <w:r w:rsidR="003B7A58" w:rsidRPr="00CA5940">
        <w:rPr>
          <w:rFonts w:eastAsia="Times New Roman" w:cstheme="minorHAnsi"/>
          <w:sz w:val="22"/>
          <w:szCs w:val="22"/>
        </w:rPr>
        <w:t>est</w:t>
      </w:r>
      <w:r w:rsidRPr="00CA5940">
        <w:rPr>
          <w:rFonts w:eastAsia="Times New Roman" w:cstheme="minorHAnsi"/>
          <w:sz w:val="22"/>
          <w:szCs w:val="22"/>
        </w:rPr>
        <w:t xml:space="preserve"> temps de restaurer les zones humides</w:t>
      </w:r>
      <w:r w:rsidR="00D01E8B">
        <w:rPr>
          <w:rFonts w:eastAsia="Times New Roman" w:cstheme="minorHAnsi"/>
          <w:sz w:val="22"/>
          <w:szCs w:val="22"/>
        </w:rPr>
        <w:t> »</w:t>
      </w:r>
      <w:r w:rsidR="003B7A58" w:rsidRPr="00CA5940">
        <w:rPr>
          <w:rFonts w:eastAsia="Times New Roman" w:cstheme="minorHAnsi"/>
          <w:sz w:val="22"/>
          <w:szCs w:val="22"/>
        </w:rPr>
        <w:t xml:space="preserve"> </w:t>
      </w:r>
      <w:r w:rsidRPr="00CA5940">
        <w:rPr>
          <w:rFonts w:eastAsia="Times New Roman" w:cstheme="minorHAnsi"/>
          <w:sz w:val="22"/>
          <w:szCs w:val="22"/>
        </w:rPr>
        <w:t xml:space="preserve">(2023), </w:t>
      </w:r>
      <w:r w:rsidR="00D01E8B">
        <w:rPr>
          <w:rFonts w:eastAsia="Times New Roman" w:cstheme="minorHAnsi"/>
          <w:sz w:val="22"/>
          <w:szCs w:val="22"/>
        </w:rPr>
        <w:t>« </w:t>
      </w:r>
      <w:r w:rsidR="008E51B7">
        <w:rPr>
          <w:rFonts w:eastAsia="Times New Roman" w:cstheme="minorHAnsi"/>
          <w:sz w:val="22"/>
          <w:szCs w:val="22"/>
        </w:rPr>
        <w:t>Z</w:t>
      </w:r>
      <w:r w:rsidRPr="00CA5940">
        <w:rPr>
          <w:rFonts w:eastAsia="Times New Roman" w:cstheme="minorHAnsi"/>
          <w:sz w:val="22"/>
          <w:szCs w:val="22"/>
        </w:rPr>
        <w:t>ones humides et bien-être humain</w:t>
      </w:r>
      <w:r w:rsidR="00D01E8B">
        <w:rPr>
          <w:rFonts w:eastAsia="Times New Roman" w:cstheme="minorHAnsi"/>
          <w:sz w:val="22"/>
          <w:szCs w:val="22"/>
        </w:rPr>
        <w:t> »</w:t>
      </w:r>
      <w:r w:rsidR="003B7A58" w:rsidRPr="00CA5940">
        <w:rPr>
          <w:rFonts w:eastAsia="Times New Roman" w:cstheme="minorHAnsi"/>
          <w:sz w:val="22"/>
          <w:szCs w:val="22"/>
        </w:rPr>
        <w:t xml:space="preserve"> </w:t>
      </w:r>
      <w:r w:rsidRPr="00CA5940">
        <w:rPr>
          <w:rFonts w:eastAsia="Times New Roman" w:cstheme="minorHAnsi"/>
          <w:sz w:val="22"/>
          <w:szCs w:val="22"/>
        </w:rPr>
        <w:t>(2024</w:t>
      </w:r>
      <w:r w:rsidR="003B7A58" w:rsidRPr="00CA5940">
        <w:rPr>
          <w:rFonts w:eastAsia="Times New Roman" w:cstheme="minorHAnsi"/>
          <w:sz w:val="22"/>
          <w:szCs w:val="22"/>
        </w:rPr>
        <w:t xml:space="preserve">), et </w:t>
      </w:r>
      <w:r w:rsidR="00D01E8B">
        <w:rPr>
          <w:rFonts w:eastAsia="Times New Roman" w:cstheme="minorHAnsi"/>
          <w:sz w:val="22"/>
          <w:szCs w:val="22"/>
        </w:rPr>
        <w:t>« </w:t>
      </w:r>
      <w:r w:rsidR="008E51B7" w:rsidRPr="008E51B7">
        <w:rPr>
          <w:rFonts w:eastAsia="Times New Roman" w:cstheme="minorHAnsi"/>
          <w:sz w:val="22"/>
          <w:szCs w:val="22"/>
        </w:rPr>
        <w:t>Protéger les zones humides pour notre avenir commun</w:t>
      </w:r>
      <w:r w:rsidR="00D01E8B">
        <w:rPr>
          <w:rFonts w:eastAsia="Times New Roman" w:cstheme="minorHAnsi"/>
          <w:sz w:val="22"/>
          <w:szCs w:val="22"/>
        </w:rPr>
        <w:t> »</w:t>
      </w:r>
      <w:r w:rsidR="003B7A58" w:rsidRPr="00CA5940">
        <w:rPr>
          <w:rFonts w:eastAsia="Times New Roman" w:cstheme="minorHAnsi"/>
          <w:sz w:val="22"/>
          <w:szCs w:val="22"/>
        </w:rPr>
        <w:t xml:space="preserve"> </w:t>
      </w:r>
      <w:r w:rsidRPr="00CA5940">
        <w:rPr>
          <w:rFonts w:eastAsia="Times New Roman" w:cstheme="minorHAnsi"/>
          <w:sz w:val="22"/>
          <w:szCs w:val="22"/>
        </w:rPr>
        <w:t>(2025).</w:t>
      </w:r>
    </w:p>
    <w:p w14:paraId="36276BB3" w14:textId="77777777" w:rsidR="00BA4ED6" w:rsidRPr="00CA5940" w:rsidRDefault="00BA4ED6" w:rsidP="008C4BA0">
      <w:pPr>
        <w:rPr>
          <w:rFonts w:eastAsia="Times New Roman" w:cstheme="minorHAnsi"/>
          <w:sz w:val="22"/>
          <w:szCs w:val="22"/>
        </w:rPr>
      </w:pPr>
    </w:p>
    <w:p w14:paraId="7B88CD92" w14:textId="2DC03AE7" w:rsidR="00BA4ED6" w:rsidRPr="00CA5940" w:rsidRDefault="00BA4ED6" w:rsidP="008C4BA0">
      <w:pPr>
        <w:numPr>
          <w:ilvl w:val="0"/>
          <w:numId w:val="6"/>
        </w:numPr>
        <w:ind w:left="851" w:hanging="425"/>
        <w:contextualSpacing/>
        <w:rPr>
          <w:rFonts w:eastAsia="Times New Roman"/>
          <w:sz w:val="22"/>
          <w:szCs w:val="22"/>
        </w:rPr>
      </w:pPr>
      <w:r w:rsidRPr="00CA5940">
        <w:rPr>
          <w:rFonts w:eastAsia="Times New Roman"/>
          <w:sz w:val="22"/>
          <w:szCs w:val="22"/>
        </w:rPr>
        <w:t xml:space="preserve">Le site web de la Journée mondiale des zones humides a </w:t>
      </w:r>
      <w:r w:rsidR="008E51B7">
        <w:rPr>
          <w:rFonts w:eastAsia="Times New Roman"/>
          <w:sz w:val="22"/>
          <w:szCs w:val="22"/>
        </w:rPr>
        <w:t xml:space="preserve">affiché </w:t>
      </w:r>
      <w:r w:rsidRPr="00CA5940">
        <w:rPr>
          <w:rFonts w:eastAsia="Times New Roman"/>
          <w:sz w:val="22"/>
          <w:szCs w:val="22"/>
        </w:rPr>
        <w:t xml:space="preserve">90 000 </w:t>
      </w:r>
      <w:r w:rsidR="008E51B7">
        <w:rPr>
          <w:rFonts w:eastAsia="Times New Roman"/>
          <w:sz w:val="22"/>
          <w:szCs w:val="22"/>
        </w:rPr>
        <w:t xml:space="preserve">visites </w:t>
      </w:r>
      <w:r w:rsidRPr="00CA5940">
        <w:rPr>
          <w:rFonts w:eastAsia="Times New Roman"/>
          <w:sz w:val="22"/>
          <w:szCs w:val="22"/>
        </w:rPr>
        <w:t>en 2025</w:t>
      </w:r>
      <w:r w:rsidR="003B7A58" w:rsidRPr="00CA5940">
        <w:rPr>
          <w:rFonts w:eastAsia="Times New Roman"/>
          <w:sz w:val="22"/>
          <w:szCs w:val="22"/>
        </w:rPr>
        <w:t xml:space="preserve">, soit </w:t>
      </w:r>
      <w:r w:rsidRPr="00CA5940">
        <w:rPr>
          <w:rFonts w:eastAsia="Times New Roman"/>
          <w:sz w:val="22"/>
          <w:szCs w:val="22"/>
        </w:rPr>
        <w:t xml:space="preserve">une augmentation par </w:t>
      </w:r>
      <w:r w:rsidR="003F148A" w:rsidRPr="00CA5940">
        <w:rPr>
          <w:rFonts w:eastAsia="Times New Roman"/>
          <w:sz w:val="22"/>
          <w:szCs w:val="22"/>
        </w:rPr>
        <w:t xml:space="preserve">rapport aux quelque </w:t>
      </w:r>
      <w:r w:rsidRPr="00CA5940">
        <w:rPr>
          <w:rFonts w:eastAsia="Times New Roman"/>
          <w:sz w:val="22"/>
          <w:szCs w:val="22"/>
        </w:rPr>
        <w:t xml:space="preserve">75 000 visites </w:t>
      </w:r>
      <w:r w:rsidR="003F148A" w:rsidRPr="00CA5940">
        <w:rPr>
          <w:rFonts w:eastAsia="Times New Roman"/>
          <w:sz w:val="22"/>
          <w:szCs w:val="22"/>
        </w:rPr>
        <w:t xml:space="preserve">en </w:t>
      </w:r>
      <w:r w:rsidRPr="00CA5940">
        <w:rPr>
          <w:rFonts w:eastAsia="Times New Roman"/>
          <w:sz w:val="22"/>
          <w:szCs w:val="22"/>
        </w:rPr>
        <w:t xml:space="preserve">2024 et 2023. Il convient de féliciter les Parties pour les efforts qu'elles ont déployés afin de </w:t>
      </w:r>
      <w:r w:rsidR="00D400C0">
        <w:rPr>
          <w:rFonts w:eastAsia="Times New Roman"/>
          <w:sz w:val="22"/>
          <w:szCs w:val="22"/>
        </w:rPr>
        <w:t xml:space="preserve">promouvoir </w:t>
      </w:r>
      <w:r w:rsidRPr="00CA5940">
        <w:rPr>
          <w:rFonts w:eastAsia="Times New Roman"/>
          <w:sz w:val="22"/>
          <w:szCs w:val="22"/>
        </w:rPr>
        <w:t>le profil de la Convention</w:t>
      </w:r>
      <w:r w:rsidR="00AA3B79">
        <w:rPr>
          <w:rFonts w:eastAsia="Times New Roman"/>
          <w:sz w:val="22"/>
          <w:szCs w:val="22"/>
        </w:rPr>
        <w:t xml:space="preserve"> en organisant</w:t>
      </w:r>
      <w:r w:rsidR="00D400C0">
        <w:rPr>
          <w:rFonts w:eastAsia="Times New Roman"/>
          <w:sz w:val="22"/>
          <w:szCs w:val="22"/>
        </w:rPr>
        <w:t xml:space="preserve"> </w:t>
      </w:r>
      <w:r w:rsidRPr="00CA5940">
        <w:rPr>
          <w:rFonts w:eastAsia="Times New Roman"/>
          <w:sz w:val="22"/>
          <w:szCs w:val="22"/>
        </w:rPr>
        <w:t xml:space="preserve">de nombreux événements </w:t>
      </w:r>
      <w:r w:rsidR="00D400C0">
        <w:rPr>
          <w:rFonts w:eastAsia="Times New Roman"/>
          <w:sz w:val="22"/>
          <w:szCs w:val="22"/>
        </w:rPr>
        <w:t>couronnés de succès</w:t>
      </w:r>
      <w:r w:rsidRPr="00CA5940">
        <w:rPr>
          <w:rFonts w:eastAsia="Times New Roman"/>
          <w:sz w:val="22"/>
          <w:szCs w:val="22"/>
        </w:rPr>
        <w:t>.</w:t>
      </w:r>
    </w:p>
    <w:p w14:paraId="4A434197" w14:textId="77777777" w:rsidR="00BA4ED6" w:rsidRPr="00CA5940" w:rsidRDefault="00BA4ED6" w:rsidP="008C4BA0">
      <w:pPr>
        <w:rPr>
          <w:rFonts w:eastAsia="Times New Roman" w:cstheme="minorHAnsi"/>
          <w:sz w:val="22"/>
          <w:szCs w:val="22"/>
        </w:rPr>
      </w:pPr>
    </w:p>
    <w:p w14:paraId="113818E6" w14:textId="295C3443" w:rsidR="00BA4ED6" w:rsidRPr="00CA5940" w:rsidRDefault="00D400C0" w:rsidP="008C4BA0">
      <w:pPr>
        <w:numPr>
          <w:ilvl w:val="0"/>
          <w:numId w:val="6"/>
        </w:numPr>
        <w:ind w:left="851" w:hanging="425"/>
        <w:contextualSpacing/>
        <w:rPr>
          <w:rFonts w:eastAsia="Times New Roman" w:cstheme="minorHAnsi"/>
          <w:sz w:val="22"/>
          <w:szCs w:val="22"/>
        </w:rPr>
      </w:pPr>
      <w:r>
        <w:rPr>
          <w:rFonts w:eastAsia="Times New Roman" w:cstheme="minorHAnsi"/>
          <w:sz w:val="22"/>
          <w:szCs w:val="22"/>
        </w:rPr>
        <w:t xml:space="preserve">Quatre-vingt-cinq pour cent </w:t>
      </w:r>
      <w:r w:rsidR="00BA4ED6" w:rsidRPr="00CA5940">
        <w:rPr>
          <w:rFonts w:eastAsia="Times New Roman" w:cstheme="minorHAnsi"/>
          <w:sz w:val="22"/>
          <w:szCs w:val="22"/>
        </w:rPr>
        <w:t xml:space="preserve">des </w:t>
      </w:r>
      <w:r w:rsidR="003B7A58" w:rsidRPr="00CA5940">
        <w:rPr>
          <w:rFonts w:eastAsia="Times New Roman" w:cstheme="minorHAnsi"/>
          <w:sz w:val="22"/>
          <w:szCs w:val="22"/>
        </w:rPr>
        <w:t xml:space="preserve">Parties contractantes ayant soumis un rapport ont organisé des </w:t>
      </w:r>
      <w:r w:rsidR="00BA4ED6" w:rsidRPr="00CA5940">
        <w:rPr>
          <w:rFonts w:eastAsia="Times New Roman" w:cstheme="minorHAnsi"/>
          <w:sz w:val="22"/>
          <w:szCs w:val="22"/>
        </w:rPr>
        <w:t>activités dans le cadre de la Journée mondiale des zones humides au cours de la période couverte par le rapport</w:t>
      </w:r>
      <w:r w:rsidR="00AA3B79">
        <w:rPr>
          <w:rFonts w:eastAsia="Times New Roman" w:cstheme="minorHAnsi"/>
          <w:sz w:val="22"/>
          <w:szCs w:val="22"/>
        </w:rPr>
        <w:t> ;</w:t>
      </w:r>
      <w:r w:rsidR="00BA4ED6" w:rsidRPr="00CA5940">
        <w:rPr>
          <w:rFonts w:eastAsia="Times New Roman" w:cstheme="minorHAnsi"/>
          <w:sz w:val="22"/>
          <w:szCs w:val="22"/>
        </w:rPr>
        <w:t xml:space="preserve"> </w:t>
      </w:r>
      <w:r w:rsidR="00AB0318" w:rsidRPr="00CA5940">
        <w:rPr>
          <w:rFonts w:eastAsia="Times New Roman" w:cstheme="minorHAnsi"/>
          <w:sz w:val="22"/>
          <w:szCs w:val="22"/>
        </w:rPr>
        <w:t xml:space="preserve">1 948 événements ont été signalés dans 72 pays et plus de 5 000 articles en ligne ont mentionné le </w:t>
      </w:r>
      <w:r w:rsidR="00BA4ED6" w:rsidRPr="00CA5940">
        <w:rPr>
          <w:rFonts w:eastAsia="Times New Roman" w:cstheme="minorHAnsi"/>
          <w:sz w:val="22"/>
          <w:szCs w:val="22"/>
        </w:rPr>
        <w:t xml:space="preserve">site web de la </w:t>
      </w:r>
      <w:r w:rsidR="00AB0318" w:rsidRPr="00CA5940">
        <w:rPr>
          <w:rFonts w:eastAsia="Times New Roman" w:cstheme="minorHAnsi"/>
          <w:sz w:val="22"/>
          <w:szCs w:val="22"/>
        </w:rPr>
        <w:t xml:space="preserve">campagne </w:t>
      </w:r>
      <w:r w:rsidR="0033596D">
        <w:rPr>
          <w:rFonts w:eastAsia="Times New Roman" w:cstheme="minorHAnsi"/>
          <w:sz w:val="22"/>
          <w:szCs w:val="22"/>
        </w:rPr>
        <w:t xml:space="preserve">en faveur </w:t>
      </w:r>
      <w:r w:rsidR="00AB0318" w:rsidRPr="00CA5940">
        <w:rPr>
          <w:rFonts w:eastAsia="Times New Roman" w:cstheme="minorHAnsi"/>
          <w:sz w:val="22"/>
          <w:szCs w:val="22"/>
        </w:rPr>
        <w:t xml:space="preserve">de la </w:t>
      </w:r>
      <w:r w:rsidR="00BA4ED6" w:rsidRPr="00CA5940">
        <w:rPr>
          <w:rFonts w:eastAsia="Times New Roman" w:cstheme="minorHAnsi"/>
          <w:sz w:val="22"/>
          <w:szCs w:val="22"/>
        </w:rPr>
        <w:t>Journée des zones humides.</w:t>
      </w:r>
    </w:p>
    <w:p w14:paraId="301FD745" w14:textId="77777777" w:rsidR="00BA4ED6" w:rsidRPr="00CA5940" w:rsidRDefault="00BA4ED6" w:rsidP="008C4BA0">
      <w:pPr>
        <w:rPr>
          <w:rFonts w:eastAsia="Times New Roman" w:cstheme="minorHAnsi"/>
          <w:sz w:val="22"/>
          <w:szCs w:val="22"/>
        </w:rPr>
      </w:pPr>
    </w:p>
    <w:p w14:paraId="50922FE2" w14:textId="1FE870B4" w:rsidR="00BA4ED6" w:rsidRPr="00CA5940" w:rsidRDefault="00BA4ED6" w:rsidP="008C4BA0">
      <w:pPr>
        <w:pStyle w:val="ListParagraph"/>
        <w:numPr>
          <w:ilvl w:val="0"/>
          <w:numId w:val="11"/>
        </w:numPr>
        <w:ind w:left="851" w:hanging="425"/>
        <w:rPr>
          <w:rFonts w:eastAsiaTheme="minorEastAsia" w:cstheme="minorHAnsi"/>
          <w:sz w:val="22"/>
          <w:szCs w:val="22"/>
        </w:rPr>
      </w:pPr>
      <w:r w:rsidRPr="00CA5940">
        <w:rPr>
          <w:rFonts w:cstheme="minorHAnsi"/>
          <w:sz w:val="22"/>
          <w:szCs w:val="22"/>
        </w:rPr>
        <w:t xml:space="preserve">Le </w:t>
      </w:r>
      <w:r w:rsidR="003B7A58" w:rsidRPr="00CA5940">
        <w:rPr>
          <w:rFonts w:cstheme="minorHAnsi"/>
          <w:sz w:val="22"/>
          <w:szCs w:val="22"/>
        </w:rPr>
        <w:t>nombre d'</w:t>
      </w:r>
      <w:r w:rsidRPr="00CA5940">
        <w:rPr>
          <w:rFonts w:cstheme="minorHAnsi"/>
          <w:sz w:val="22"/>
          <w:szCs w:val="22"/>
        </w:rPr>
        <w:t xml:space="preserve">événements </w:t>
      </w:r>
      <w:r w:rsidR="00AA3B79">
        <w:rPr>
          <w:rFonts w:cstheme="minorHAnsi"/>
          <w:sz w:val="22"/>
          <w:szCs w:val="22"/>
        </w:rPr>
        <w:t>inscrits</w:t>
      </w:r>
      <w:r w:rsidRPr="00CA5940">
        <w:rPr>
          <w:rFonts w:cstheme="minorHAnsi"/>
          <w:sz w:val="22"/>
          <w:szCs w:val="22"/>
        </w:rPr>
        <w:t xml:space="preserve"> sur la carte des événements au cours de la période couverte par le rapport </w:t>
      </w:r>
      <w:r w:rsidR="0033596D">
        <w:rPr>
          <w:rFonts w:cstheme="minorHAnsi"/>
          <w:sz w:val="22"/>
          <w:szCs w:val="22"/>
        </w:rPr>
        <w:t>se décline comme suit</w:t>
      </w:r>
      <w:r w:rsidRPr="00CA5940">
        <w:rPr>
          <w:rFonts w:cstheme="minorHAnsi"/>
          <w:sz w:val="22"/>
          <w:szCs w:val="22"/>
        </w:rPr>
        <w:t xml:space="preserve"> :</w:t>
      </w:r>
    </w:p>
    <w:p w14:paraId="1343C553" w14:textId="57A5B970" w:rsidR="00BA4ED6" w:rsidRPr="000C33DF" w:rsidRDefault="00BA4ED6" w:rsidP="003F148A">
      <w:pPr>
        <w:pStyle w:val="ListParagraph"/>
        <w:numPr>
          <w:ilvl w:val="0"/>
          <w:numId w:val="24"/>
        </w:numPr>
        <w:ind w:left="1276" w:hanging="425"/>
        <w:rPr>
          <w:rFonts w:cstheme="minorHAnsi"/>
          <w:sz w:val="22"/>
          <w:szCs w:val="22"/>
          <w:lang w:val="en-AU"/>
        </w:rPr>
      </w:pPr>
      <w:r w:rsidRPr="000C33DF">
        <w:rPr>
          <w:rFonts w:cstheme="minorHAnsi"/>
          <w:sz w:val="22"/>
          <w:szCs w:val="22"/>
          <w:lang w:val="en-AU"/>
        </w:rPr>
        <w:t>1 9</w:t>
      </w:r>
      <w:r w:rsidR="00EC5C46">
        <w:rPr>
          <w:rFonts w:cstheme="minorHAnsi"/>
          <w:sz w:val="22"/>
          <w:szCs w:val="22"/>
          <w:lang w:val="en-AU"/>
        </w:rPr>
        <w:t>75</w:t>
      </w:r>
      <w:r w:rsidRPr="000C33DF">
        <w:rPr>
          <w:rFonts w:cstheme="minorHAnsi"/>
          <w:sz w:val="22"/>
          <w:szCs w:val="22"/>
          <w:lang w:val="en-AU"/>
        </w:rPr>
        <w:t xml:space="preserve"> événements dans </w:t>
      </w:r>
      <w:r w:rsidR="00EC5C46">
        <w:rPr>
          <w:rFonts w:cstheme="minorHAnsi"/>
          <w:sz w:val="22"/>
          <w:szCs w:val="22"/>
          <w:lang w:val="en-AU"/>
        </w:rPr>
        <w:t>80</w:t>
      </w:r>
      <w:r w:rsidRPr="000C33DF">
        <w:rPr>
          <w:rFonts w:cstheme="minorHAnsi"/>
          <w:sz w:val="22"/>
          <w:szCs w:val="22"/>
          <w:lang w:val="en-AU"/>
        </w:rPr>
        <w:t xml:space="preserve"> pays en </w:t>
      </w:r>
      <w:r w:rsidRPr="00AA3B79">
        <w:rPr>
          <w:rFonts w:cstheme="minorHAnsi"/>
          <w:sz w:val="22"/>
          <w:szCs w:val="22"/>
        </w:rPr>
        <w:t>2025</w:t>
      </w:r>
      <w:r w:rsidRPr="000C33DF">
        <w:rPr>
          <w:rFonts w:cstheme="minorHAnsi"/>
          <w:sz w:val="22"/>
          <w:szCs w:val="22"/>
          <w:lang w:val="en-AU"/>
        </w:rPr>
        <w:t xml:space="preserve"> </w:t>
      </w:r>
      <w:r w:rsidR="003B7A58">
        <w:rPr>
          <w:rFonts w:cstheme="minorHAnsi"/>
          <w:sz w:val="22"/>
          <w:szCs w:val="22"/>
          <w:lang w:val="en-AU"/>
        </w:rPr>
        <w:t>;</w:t>
      </w:r>
    </w:p>
    <w:p w14:paraId="29F5BAEC" w14:textId="6F24E07B" w:rsidR="00BA4ED6" w:rsidRPr="000C33DF" w:rsidRDefault="00BA4ED6" w:rsidP="003F148A">
      <w:pPr>
        <w:pStyle w:val="ListParagraph"/>
        <w:numPr>
          <w:ilvl w:val="0"/>
          <w:numId w:val="24"/>
        </w:numPr>
        <w:ind w:left="1276" w:hanging="425"/>
        <w:rPr>
          <w:rFonts w:cstheme="minorHAnsi"/>
          <w:sz w:val="22"/>
          <w:szCs w:val="22"/>
          <w:lang w:val="en-AU"/>
        </w:rPr>
      </w:pPr>
      <w:r w:rsidRPr="000C33DF">
        <w:rPr>
          <w:rFonts w:cstheme="minorHAnsi"/>
          <w:sz w:val="22"/>
          <w:szCs w:val="22"/>
          <w:lang w:val="en-AU"/>
        </w:rPr>
        <w:t xml:space="preserve">1 570 événements dans 81 pays en 2024 </w:t>
      </w:r>
      <w:r w:rsidR="003B7A58">
        <w:rPr>
          <w:rFonts w:cstheme="minorHAnsi"/>
          <w:sz w:val="22"/>
          <w:szCs w:val="22"/>
          <w:lang w:val="en-AU"/>
        </w:rPr>
        <w:t>;</w:t>
      </w:r>
    </w:p>
    <w:p w14:paraId="5310CB4C" w14:textId="0962E871" w:rsidR="00BA4ED6" w:rsidRPr="000C33DF" w:rsidRDefault="00BA4ED6" w:rsidP="003F148A">
      <w:pPr>
        <w:pStyle w:val="ListParagraph"/>
        <w:numPr>
          <w:ilvl w:val="0"/>
          <w:numId w:val="24"/>
        </w:numPr>
        <w:ind w:left="1276" w:hanging="425"/>
        <w:rPr>
          <w:rFonts w:cstheme="minorHAnsi"/>
          <w:sz w:val="22"/>
          <w:szCs w:val="22"/>
          <w:lang w:val="en-AU"/>
        </w:rPr>
      </w:pPr>
      <w:r w:rsidRPr="000C33DF">
        <w:rPr>
          <w:rFonts w:cstheme="minorHAnsi"/>
          <w:sz w:val="22"/>
          <w:szCs w:val="22"/>
          <w:lang w:val="en-AU"/>
        </w:rPr>
        <w:t xml:space="preserve">1 817 événements dans 78 pays en 2023 </w:t>
      </w:r>
      <w:r w:rsidR="003B7A58">
        <w:rPr>
          <w:rFonts w:cstheme="minorHAnsi"/>
          <w:sz w:val="22"/>
          <w:szCs w:val="22"/>
          <w:lang w:val="en-AU"/>
        </w:rPr>
        <w:t>;</w:t>
      </w:r>
    </w:p>
    <w:p w14:paraId="4653FB1A" w14:textId="534FCAAD" w:rsidR="00BA4ED6" w:rsidRPr="000C33DF" w:rsidRDefault="00BA4ED6" w:rsidP="003F148A">
      <w:pPr>
        <w:pStyle w:val="ListParagraph"/>
        <w:numPr>
          <w:ilvl w:val="0"/>
          <w:numId w:val="24"/>
        </w:numPr>
        <w:ind w:left="1276" w:hanging="425"/>
        <w:rPr>
          <w:rFonts w:cstheme="minorHAnsi"/>
          <w:sz w:val="22"/>
          <w:szCs w:val="22"/>
          <w:lang w:val="en-AU"/>
        </w:rPr>
      </w:pPr>
      <w:r w:rsidRPr="000C33DF">
        <w:rPr>
          <w:rFonts w:cstheme="minorHAnsi"/>
          <w:sz w:val="22"/>
          <w:szCs w:val="22"/>
          <w:lang w:val="en-AU"/>
        </w:rPr>
        <w:t>1 591 événements dans 86 pays en 2022</w:t>
      </w:r>
      <w:r w:rsidR="003B7A58">
        <w:rPr>
          <w:rFonts w:cstheme="minorHAnsi"/>
          <w:sz w:val="22"/>
          <w:szCs w:val="22"/>
          <w:lang w:val="en-AU"/>
        </w:rPr>
        <w:t>.</w:t>
      </w:r>
    </w:p>
    <w:p w14:paraId="1ED4DBC8" w14:textId="77777777" w:rsidR="00BA4ED6" w:rsidRPr="000C33DF" w:rsidRDefault="00BA4ED6" w:rsidP="008C4BA0">
      <w:pPr>
        <w:rPr>
          <w:rFonts w:cstheme="minorHAnsi"/>
          <w:sz w:val="22"/>
          <w:szCs w:val="22"/>
          <w:lang w:val="en-AU"/>
        </w:rPr>
      </w:pPr>
    </w:p>
    <w:p w14:paraId="67003822" w14:textId="2D9E2CDC" w:rsidR="00BA4ED6" w:rsidRPr="00CA5940" w:rsidRDefault="00BA4ED6" w:rsidP="008C4BA0">
      <w:pPr>
        <w:pStyle w:val="ListParagraph"/>
        <w:numPr>
          <w:ilvl w:val="0"/>
          <w:numId w:val="13"/>
        </w:numPr>
        <w:ind w:left="851" w:hanging="425"/>
        <w:rPr>
          <w:rFonts w:eastAsia="Times New Roman"/>
          <w:sz w:val="22"/>
          <w:szCs w:val="22"/>
        </w:rPr>
      </w:pPr>
      <w:r w:rsidRPr="00CA5940">
        <w:rPr>
          <w:rFonts w:eastAsia="Times New Roman"/>
          <w:sz w:val="22"/>
          <w:szCs w:val="22"/>
        </w:rPr>
        <w:t xml:space="preserve">Le Secrétariat continue </w:t>
      </w:r>
      <w:r w:rsidR="0033596D">
        <w:rPr>
          <w:rFonts w:eastAsia="Times New Roman"/>
          <w:sz w:val="22"/>
          <w:szCs w:val="22"/>
        </w:rPr>
        <w:t xml:space="preserve">à </w:t>
      </w:r>
      <w:r w:rsidR="00957C3A">
        <w:rPr>
          <w:rFonts w:eastAsia="Times New Roman"/>
          <w:sz w:val="22"/>
          <w:szCs w:val="22"/>
        </w:rPr>
        <w:t xml:space="preserve">être très présent </w:t>
      </w:r>
      <w:r w:rsidR="0033596D">
        <w:rPr>
          <w:rFonts w:eastAsia="Times New Roman"/>
          <w:sz w:val="22"/>
          <w:szCs w:val="22"/>
        </w:rPr>
        <w:t xml:space="preserve">sur les réseaux </w:t>
      </w:r>
      <w:r w:rsidRPr="00CA5940">
        <w:rPr>
          <w:rFonts w:eastAsia="Times New Roman"/>
          <w:sz w:val="22"/>
          <w:szCs w:val="22"/>
        </w:rPr>
        <w:t xml:space="preserve">sociaux (X, Bluesky, LinkedIn, Facebook et Instagram).  De 2023 à 2025, la campagne </w:t>
      </w:r>
      <w:r w:rsidR="0033596D">
        <w:rPr>
          <w:rFonts w:eastAsia="Times New Roman"/>
          <w:sz w:val="22"/>
          <w:szCs w:val="22"/>
        </w:rPr>
        <w:t xml:space="preserve">en faveur </w:t>
      </w:r>
      <w:r w:rsidRPr="00CA5940">
        <w:rPr>
          <w:rFonts w:eastAsia="Times New Roman"/>
          <w:sz w:val="22"/>
          <w:szCs w:val="22"/>
        </w:rPr>
        <w:t xml:space="preserve">de la Journée mondiale des zones humides </w:t>
      </w:r>
      <w:r w:rsidR="0033596D">
        <w:rPr>
          <w:rFonts w:eastAsia="Times New Roman"/>
          <w:sz w:val="22"/>
          <w:szCs w:val="22"/>
        </w:rPr>
        <w:t xml:space="preserve">s’est </w:t>
      </w:r>
      <w:r w:rsidRPr="00CA5940">
        <w:rPr>
          <w:rFonts w:eastAsia="Times New Roman"/>
          <w:sz w:val="22"/>
          <w:szCs w:val="22"/>
        </w:rPr>
        <w:t xml:space="preserve">stratégiquement </w:t>
      </w:r>
      <w:r w:rsidR="0033596D">
        <w:rPr>
          <w:rFonts w:eastAsia="Times New Roman"/>
          <w:sz w:val="22"/>
          <w:szCs w:val="22"/>
        </w:rPr>
        <w:t xml:space="preserve">déroulée </w:t>
      </w:r>
      <w:r w:rsidRPr="00CA5940">
        <w:rPr>
          <w:rFonts w:eastAsia="Times New Roman"/>
          <w:sz w:val="22"/>
          <w:szCs w:val="22"/>
        </w:rPr>
        <w:t xml:space="preserve">sur </w:t>
      </w:r>
      <w:r w:rsidR="0033596D">
        <w:rPr>
          <w:rFonts w:eastAsia="Times New Roman"/>
          <w:sz w:val="22"/>
          <w:szCs w:val="22"/>
        </w:rPr>
        <w:t>réseaux</w:t>
      </w:r>
      <w:r w:rsidRPr="00CA5940">
        <w:rPr>
          <w:rFonts w:eastAsia="Times New Roman"/>
          <w:sz w:val="22"/>
          <w:szCs w:val="22"/>
        </w:rPr>
        <w:t xml:space="preserve"> sociaux, remportant un succès remarquable. En 2023, elle a atteint 3,13 milliards d'utilisateurs potentiels, </w:t>
      </w:r>
      <w:r w:rsidR="003B7A58" w:rsidRPr="00CA5940">
        <w:rPr>
          <w:rFonts w:eastAsia="Times New Roman"/>
          <w:sz w:val="22"/>
          <w:szCs w:val="22"/>
        </w:rPr>
        <w:t xml:space="preserve">en </w:t>
      </w:r>
      <w:r w:rsidRPr="00CA5940">
        <w:rPr>
          <w:rFonts w:eastAsia="Times New Roman"/>
          <w:sz w:val="22"/>
          <w:szCs w:val="22"/>
        </w:rPr>
        <w:t>2024, 2,5 milliards</w:t>
      </w:r>
      <w:r w:rsidR="00957C3A">
        <w:rPr>
          <w:rFonts w:eastAsia="Times New Roman"/>
          <w:sz w:val="22"/>
          <w:szCs w:val="22"/>
        </w:rPr>
        <w:t>,</w:t>
      </w:r>
      <w:r w:rsidRPr="00CA5940">
        <w:rPr>
          <w:rFonts w:eastAsia="Times New Roman"/>
          <w:sz w:val="22"/>
          <w:szCs w:val="22"/>
        </w:rPr>
        <w:t xml:space="preserve"> et en 2025, </w:t>
      </w:r>
      <w:r w:rsidR="00957C3A">
        <w:rPr>
          <w:rFonts w:eastAsia="Times New Roman"/>
          <w:sz w:val="22"/>
          <w:szCs w:val="22"/>
        </w:rPr>
        <w:t>l</w:t>
      </w:r>
      <w:r w:rsidRPr="00CA5940">
        <w:rPr>
          <w:rFonts w:eastAsia="Times New Roman"/>
          <w:sz w:val="22"/>
          <w:szCs w:val="22"/>
        </w:rPr>
        <w:t xml:space="preserve">e nombre </w:t>
      </w:r>
      <w:r w:rsidR="00957C3A">
        <w:rPr>
          <w:rFonts w:eastAsia="Times New Roman"/>
          <w:sz w:val="22"/>
          <w:szCs w:val="22"/>
        </w:rPr>
        <w:t xml:space="preserve">d’utilisateurs potentiels </w:t>
      </w:r>
      <w:r w:rsidRPr="00CA5940">
        <w:rPr>
          <w:rFonts w:eastAsia="Times New Roman"/>
          <w:sz w:val="22"/>
          <w:szCs w:val="22"/>
        </w:rPr>
        <w:t xml:space="preserve">a bondi </w:t>
      </w:r>
      <w:r w:rsidR="006047D6">
        <w:rPr>
          <w:rFonts w:eastAsia="Times New Roman"/>
          <w:sz w:val="22"/>
          <w:szCs w:val="22"/>
        </w:rPr>
        <w:t>pour atteindre</w:t>
      </w:r>
      <w:r w:rsidRPr="00CA5940">
        <w:rPr>
          <w:rFonts w:eastAsia="Times New Roman"/>
          <w:sz w:val="22"/>
          <w:szCs w:val="22"/>
        </w:rPr>
        <w:t xml:space="preserve"> 6,72 milliards</w:t>
      </w:r>
      <w:r w:rsidR="003F148A">
        <w:rPr>
          <w:rStyle w:val="FootnoteReference"/>
          <w:rFonts w:eastAsia="Times New Roman"/>
          <w:sz w:val="22"/>
          <w:szCs w:val="22"/>
          <w:lang w:val="en-GB"/>
        </w:rPr>
        <w:footnoteReference w:id="4"/>
      </w:r>
      <w:r w:rsidRPr="00CA5940">
        <w:rPr>
          <w:rFonts w:eastAsia="Times New Roman"/>
          <w:sz w:val="22"/>
          <w:szCs w:val="22"/>
        </w:rPr>
        <w:t xml:space="preserve"> , ce qui a considérablement accru la sensibilisation et l'engagement </w:t>
      </w:r>
      <w:r w:rsidR="0033596D">
        <w:rPr>
          <w:rFonts w:eastAsia="Times New Roman"/>
          <w:sz w:val="22"/>
          <w:szCs w:val="22"/>
        </w:rPr>
        <w:t xml:space="preserve">dans cette </w:t>
      </w:r>
      <w:r w:rsidRPr="00CA5940">
        <w:rPr>
          <w:rFonts w:eastAsia="Times New Roman"/>
          <w:sz w:val="22"/>
          <w:szCs w:val="22"/>
        </w:rPr>
        <w:t xml:space="preserve">campagne. </w:t>
      </w:r>
      <w:r w:rsidR="0033596D">
        <w:rPr>
          <w:rFonts w:eastAsia="Times New Roman"/>
          <w:sz w:val="22"/>
          <w:szCs w:val="22"/>
        </w:rPr>
        <w:t>Par ailleur</w:t>
      </w:r>
      <w:r w:rsidR="006047D6">
        <w:rPr>
          <w:rFonts w:eastAsia="Times New Roman"/>
          <w:sz w:val="22"/>
          <w:szCs w:val="22"/>
        </w:rPr>
        <w:t>s</w:t>
      </w:r>
      <w:r w:rsidRPr="00CA5940">
        <w:rPr>
          <w:rFonts w:eastAsia="Times New Roman"/>
          <w:sz w:val="22"/>
          <w:szCs w:val="22"/>
        </w:rPr>
        <w:t xml:space="preserve">, le </w:t>
      </w:r>
      <w:r w:rsidR="003B7A58" w:rsidRPr="00CA5940">
        <w:rPr>
          <w:rFonts w:eastAsia="Times New Roman"/>
          <w:sz w:val="22"/>
          <w:szCs w:val="22"/>
        </w:rPr>
        <w:t xml:space="preserve">2 </w:t>
      </w:r>
      <w:r w:rsidRPr="00CA5940">
        <w:rPr>
          <w:rFonts w:eastAsia="Times New Roman"/>
          <w:sz w:val="22"/>
          <w:szCs w:val="22"/>
        </w:rPr>
        <w:t xml:space="preserve">février </w:t>
      </w:r>
      <w:r w:rsidR="003B7A58" w:rsidRPr="00CA5940">
        <w:rPr>
          <w:rFonts w:eastAsia="Times New Roman"/>
          <w:sz w:val="22"/>
          <w:szCs w:val="22"/>
        </w:rPr>
        <w:t>2025</w:t>
      </w:r>
      <w:r w:rsidRPr="00CA5940">
        <w:rPr>
          <w:rFonts w:eastAsia="Times New Roman"/>
          <w:sz w:val="22"/>
          <w:szCs w:val="22"/>
        </w:rPr>
        <w:t>, la Journée mondiale des zones humides</w:t>
      </w:r>
      <w:r w:rsidR="00957C3A">
        <w:rPr>
          <w:rFonts w:eastAsia="Times New Roman"/>
          <w:sz w:val="22"/>
          <w:szCs w:val="22"/>
        </w:rPr>
        <w:t>,</w:t>
      </w:r>
      <w:r w:rsidRPr="00CA5940">
        <w:rPr>
          <w:rFonts w:eastAsia="Times New Roman"/>
          <w:sz w:val="22"/>
          <w:szCs w:val="22"/>
        </w:rPr>
        <w:t xml:space="preserve"> </w:t>
      </w:r>
      <w:r w:rsidR="00957C3A">
        <w:rPr>
          <w:rFonts w:eastAsia="Times New Roman"/>
          <w:sz w:val="22"/>
          <w:szCs w:val="22"/>
        </w:rPr>
        <w:t>a battu des records</w:t>
      </w:r>
      <w:r w:rsidRPr="00CA5940">
        <w:rPr>
          <w:rFonts w:eastAsia="Times New Roman"/>
          <w:sz w:val="22"/>
          <w:szCs w:val="22"/>
        </w:rPr>
        <w:t xml:space="preserve"> </w:t>
      </w:r>
      <w:r w:rsidR="00957C3A">
        <w:rPr>
          <w:rFonts w:eastAsia="Times New Roman"/>
          <w:sz w:val="22"/>
          <w:szCs w:val="22"/>
        </w:rPr>
        <w:t xml:space="preserve">de visibilité </w:t>
      </w:r>
      <w:r w:rsidRPr="00CA5940">
        <w:rPr>
          <w:rFonts w:eastAsia="Times New Roman"/>
          <w:sz w:val="22"/>
          <w:szCs w:val="22"/>
        </w:rPr>
        <w:t xml:space="preserve">sur </w:t>
      </w:r>
      <w:r w:rsidR="006047D6">
        <w:rPr>
          <w:rFonts w:eastAsia="Times New Roman"/>
          <w:sz w:val="22"/>
          <w:szCs w:val="22"/>
        </w:rPr>
        <w:t xml:space="preserve">certaines </w:t>
      </w:r>
      <w:r w:rsidRPr="00CA5940">
        <w:rPr>
          <w:rFonts w:eastAsia="Times New Roman"/>
          <w:sz w:val="22"/>
          <w:szCs w:val="22"/>
        </w:rPr>
        <w:t xml:space="preserve">plateformes </w:t>
      </w:r>
      <w:r w:rsidR="003B7A58" w:rsidRPr="00CA5940">
        <w:rPr>
          <w:rFonts w:eastAsia="Times New Roman"/>
          <w:sz w:val="22"/>
          <w:szCs w:val="22"/>
        </w:rPr>
        <w:t xml:space="preserve">telles que </w:t>
      </w:r>
      <w:r w:rsidRPr="00CA5940">
        <w:rPr>
          <w:rFonts w:eastAsia="Times New Roman"/>
          <w:sz w:val="22"/>
          <w:szCs w:val="22"/>
        </w:rPr>
        <w:t>X et Instagram.</w:t>
      </w:r>
    </w:p>
    <w:p w14:paraId="0E765E33" w14:textId="77777777" w:rsidR="00BA4ED6" w:rsidRPr="00CA5940" w:rsidRDefault="00BA4ED6" w:rsidP="008C4BA0">
      <w:pPr>
        <w:pStyle w:val="ListParagraph"/>
        <w:ind w:left="851"/>
        <w:rPr>
          <w:rFonts w:eastAsia="Times New Roman" w:cstheme="minorHAnsi"/>
          <w:sz w:val="22"/>
          <w:szCs w:val="22"/>
        </w:rPr>
      </w:pPr>
    </w:p>
    <w:p w14:paraId="6E0888F1" w14:textId="7A5C37A4" w:rsidR="00BA4ED6" w:rsidRPr="00CA5940" w:rsidRDefault="00BA4ED6" w:rsidP="00957C3A">
      <w:pPr>
        <w:pStyle w:val="ListParagraph"/>
        <w:numPr>
          <w:ilvl w:val="0"/>
          <w:numId w:val="13"/>
        </w:numPr>
        <w:ind w:hanging="294"/>
        <w:rPr>
          <w:rFonts w:eastAsia="Times New Roman" w:cstheme="minorHAnsi"/>
          <w:sz w:val="22"/>
          <w:szCs w:val="22"/>
        </w:rPr>
      </w:pPr>
      <w:r w:rsidRPr="00CA5940">
        <w:rPr>
          <w:rFonts w:eastAsia="Times New Roman" w:cstheme="minorHAnsi"/>
          <w:sz w:val="22"/>
          <w:szCs w:val="22"/>
        </w:rPr>
        <w:t xml:space="preserve">Danone continue </w:t>
      </w:r>
      <w:r w:rsidR="006047D6">
        <w:rPr>
          <w:rFonts w:eastAsia="Times New Roman" w:cstheme="minorHAnsi"/>
          <w:sz w:val="22"/>
          <w:szCs w:val="22"/>
        </w:rPr>
        <w:t xml:space="preserve">à </w:t>
      </w:r>
      <w:r w:rsidRPr="00CA5940">
        <w:rPr>
          <w:rFonts w:eastAsia="Times New Roman" w:cstheme="minorHAnsi"/>
          <w:sz w:val="22"/>
          <w:szCs w:val="22"/>
        </w:rPr>
        <w:t xml:space="preserve">soutenir financièrement </w:t>
      </w:r>
      <w:r w:rsidR="00E736D6" w:rsidRPr="00CA5940">
        <w:rPr>
          <w:rFonts w:eastAsia="Times New Roman" w:cstheme="minorHAnsi"/>
          <w:sz w:val="22"/>
          <w:szCs w:val="22"/>
        </w:rPr>
        <w:t xml:space="preserve">la campagne </w:t>
      </w:r>
      <w:r w:rsidR="006047D6">
        <w:rPr>
          <w:rFonts w:eastAsia="Times New Roman" w:cstheme="minorHAnsi"/>
          <w:sz w:val="22"/>
          <w:szCs w:val="22"/>
        </w:rPr>
        <w:t xml:space="preserve">en faveur </w:t>
      </w:r>
      <w:r w:rsidR="00E736D6" w:rsidRPr="00CA5940">
        <w:rPr>
          <w:rFonts w:eastAsia="Times New Roman" w:cstheme="minorHAnsi"/>
          <w:sz w:val="22"/>
          <w:szCs w:val="22"/>
        </w:rPr>
        <w:t xml:space="preserve">de </w:t>
      </w:r>
      <w:r w:rsidRPr="00CA5940">
        <w:rPr>
          <w:rFonts w:eastAsia="Times New Roman" w:cstheme="minorHAnsi"/>
          <w:sz w:val="22"/>
          <w:szCs w:val="22"/>
        </w:rPr>
        <w:t>la Journée mondiale des zones humides.</w:t>
      </w:r>
    </w:p>
    <w:p w14:paraId="587A6B27" w14:textId="77777777" w:rsidR="00BA4ED6" w:rsidRPr="00CA5940" w:rsidRDefault="00BA4ED6" w:rsidP="008C4BA0">
      <w:pPr>
        <w:rPr>
          <w:rFonts w:eastAsia="Calibri" w:cstheme="minorHAnsi"/>
          <w:sz w:val="22"/>
          <w:szCs w:val="22"/>
        </w:rPr>
      </w:pPr>
    </w:p>
    <w:p w14:paraId="6B6D9CB2" w14:textId="35AA5B32" w:rsidR="00BA4ED6" w:rsidRPr="001D5F2D" w:rsidRDefault="001D5F2D" w:rsidP="001D5F2D">
      <w:pPr>
        <w:numPr>
          <w:ilvl w:val="0"/>
          <w:numId w:val="13"/>
        </w:numPr>
        <w:contextualSpacing/>
        <w:rPr>
          <w:rFonts w:eastAsia="Calibri" w:cstheme="minorHAnsi"/>
          <w:sz w:val="22"/>
          <w:szCs w:val="22"/>
        </w:rPr>
      </w:pPr>
      <w:r>
        <w:rPr>
          <w:rFonts w:eastAsia="Calibri" w:cstheme="minorHAnsi"/>
          <w:sz w:val="22"/>
          <w:szCs w:val="22"/>
        </w:rPr>
        <w:t xml:space="preserve">Ramsar a lancé un appel à candidatures </w:t>
      </w:r>
      <w:r w:rsidR="00BA4ED6" w:rsidRPr="00CA5940">
        <w:rPr>
          <w:rFonts w:eastAsia="Calibri" w:cstheme="minorHAnsi"/>
          <w:sz w:val="22"/>
          <w:szCs w:val="22"/>
        </w:rPr>
        <w:t xml:space="preserve">pour les </w:t>
      </w:r>
      <w:r w:rsidRPr="001D5F2D">
        <w:rPr>
          <w:rFonts w:eastAsia="Calibri" w:cstheme="minorHAnsi"/>
          <w:sz w:val="22"/>
          <w:szCs w:val="22"/>
        </w:rPr>
        <w:t>prix Ramsar</w:t>
      </w:r>
      <w:r>
        <w:rPr>
          <w:rFonts w:eastAsia="Calibri" w:cstheme="minorHAnsi"/>
          <w:sz w:val="22"/>
          <w:szCs w:val="22"/>
        </w:rPr>
        <w:t xml:space="preserve"> </w:t>
      </w:r>
      <w:r w:rsidRPr="001D5F2D">
        <w:rPr>
          <w:rFonts w:eastAsia="Calibri" w:cstheme="minorHAnsi"/>
          <w:sz w:val="22"/>
          <w:szCs w:val="22"/>
        </w:rPr>
        <w:t xml:space="preserve">de la conservation des zones humides </w:t>
      </w:r>
      <w:r w:rsidR="00BA4ED6" w:rsidRPr="001D5F2D">
        <w:rPr>
          <w:rFonts w:eastAsia="Calibri" w:cstheme="minorHAnsi"/>
          <w:sz w:val="22"/>
          <w:szCs w:val="22"/>
        </w:rPr>
        <w:t>qui seront décernés lors de la COP15</w:t>
      </w:r>
      <w:r w:rsidR="00957C3A">
        <w:rPr>
          <w:rFonts w:eastAsia="Calibri" w:cstheme="minorHAnsi"/>
          <w:sz w:val="22"/>
          <w:szCs w:val="22"/>
        </w:rPr>
        <w:t xml:space="preserve"> ; les prix Ramsar </w:t>
      </w:r>
      <w:r w:rsidR="00857ABD">
        <w:rPr>
          <w:rFonts w:eastAsia="Calibri" w:cstheme="minorHAnsi"/>
          <w:sz w:val="22"/>
          <w:szCs w:val="22"/>
        </w:rPr>
        <w:t xml:space="preserve">reconnaîtront les contributions et honoreront des </w:t>
      </w:r>
      <w:r w:rsidR="00BA4ED6" w:rsidRPr="001D5F2D">
        <w:rPr>
          <w:rFonts w:eastAsia="Calibri" w:cstheme="minorHAnsi"/>
          <w:sz w:val="22"/>
          <w:szCs w:val="22"/>
        </w:rPr>
        <w:t xml:space="preserve">individus du monde entier </w:t>
      </w:r>
      <w:r w:rsidR="00857ABD">
        <w:rPr>
          <w:rFonts w:eastAsia="Calibri" w:cstheme="minorHAnsi"/>
          <w:sz w:val="22"/>
          <w:szCs w:val="22"/>
        </w:rPr>
        <w:t xml:space="preserve">pour leur action en faveur de </w:t>
      </w:r>
      <w:r w:rsidR="00BA4ED6" w:rsidRPr="001D5F2D">
        <w:rPr>
          <w:rFonts w:eastAsia="Calibri" w:cstheme="minorHAnsi"/>
          <w:sz w:val="22"/>
          <w:szCs w:val="22"/>
        </w:rPr>
        <w:t xml:space="preserve">la conservation et l'utilisation rationnelle des zones humides. Le groupe Danone </w:t>
      </w:r>
      <w:r w:rsidR="00101FED">
        <w:rPr>
          <w:rFonts w:eastAsia="Calibri" w:cstheme="minorHAnsi"/>
          <w:sz w:val="22"/>
          <w:szCs w:val="22"/>
        </w:rPr>
        <w:t xml:space="preserve">décerne </w:t>
      </w:r>
      <w:r w:rsidR="00BA4ED6" w:rsidRPr="001D5F2D">
        <w:rPr>
          <w:rFonts w:eastAsia="Calibri" w:cstheme="minorHAnsi"/>
          <w:sz w:val="22"/>
          <w:szCs w:val="22"/>
        </w:rPr>
        <w:t xml:space="preserve">un </w:t>
      </w:r>
      <w:r w:rsidR="00857ABD">
        <w:rPr>
          <w:rFonts w:eastAsia="Calibri" w:cstheme="minorHAnsi"/>
          <w:sz w:val="22"/>
          <w:szCs w:val="22"/>
        </w:rPr>
        <w:t>P</w:t>
      </w:r>
      <w:r w:rsidR="00BA4ED6" w:rsidRPr="001D5F2D">
        <w:rPr>
          <w:rFonts w:eastAsia="Calibri" w:cstheme="minorHAnsi"/>
          <w:sz w:val="22"/>
          <w:szCs w:val="22"/>
        </w:rPr>
        <w:t>rix spécial Evian d</w:t>
      </w:r>
      <w:r w:rsidR="00101FED">
        <w:rPr>
          <w:rFonts w:eastAsia="Calibri" w:cstheme="minorHAnsi"/>
          <w:sz w:val="22"/>
          <w:szCs w:val="22"/>
        </w:rPr>
        <w:t>’un montant d</w:t>
      </w:r>
      <w:r w:rsidR="00BA4ED6" w:rsidRPr="001D5F2D">
        <w:rPr>
          <w:rFonts w:eastAsia="Calibri" w:cstheme="minorHAnsi"/>
          <w:sz w:val="22"/>
          <w:szCs w:val="22"/>
        </w:rPr>
        <w:t xml:space="preserve">e 10 000 USD aux lauréats de trois catégories </w:t>
      </w:r>
      <w:r w:rsidR="003B7A58" w:rsidRPr="001D5F2D">
        <w:rPr>
          <w:rFonts w:eastAsia="Calibri" w:cstheme="minorHAnsi"/>
          <w:sz w:val="22"/>
          <w:szCs w:val="22"/>
        </w:rPr>
        <w:t xml:space="preserve">: le </w:t>
      </w:r>
      <w:r w:rsidR="00BA4ED6" w:rsidRPr="001D5F2D">
        <w:rPr>
          <w:rFonts w:eastAsia="Calibri" w:cstheme="minorHAnsi"/>
          <w:sz w:val="22"/>
          <w:szCs w:val="22"/>
        </w:rPr>
        <w:t>prix Ramsar de la conservation des zones humides</w:t>
      </w:r>
      <w:r w:rsidR="00101FED">
        <w:rPr>
          <w:rFonts w:eastAsia="Calibri" w:cstheme="minorHAnsi"/>
          <w:sz w:val="22"/>
          <w:szCs w:val="22"/>
        </w:rPr>
        <w:t>, catégorie i</w:t>
      </w:r>
      <w:r w:rsidR="00BA4ED6" w:rsidRPr="001D5F2D">
        <w:rPr>
          <w:rFonts w:eastAsia="Calibri" w:cstheme="minorHAnsi"/>
          <w:sz w:val="22"/>
          <w:szCs w:val="22"/>
        </w:rPr>
        <w:t xml:space="preserve">nnovation, </w:t>
      </w:r>
      <w:r w:rsidR="003B7A58" w:rsidRPr="001D5F2D">
        <w:rPr>
          <w:rFonts w:eastAsia="Calibri" w:cstheme="minorHAnsi"/>
          <w:sz w:val="22"/>
          <w:szCs w:val="22"/>
        </w:rPr>
        <w:t xml:space="preserve">le </w:t>
      </w:r>
      <w:r w:rsidR="00BA4ED6" w:rsidRPr="001D5F2D">
        <w:rPr>
          <w:rFonts w:eastAsia="Calibri" w:cstheme="minorHAnsi"/>
          <w:sz w:val="22"/>
          <w:szCs w:val="22"/>
        </w:rPr>
        <w:t>prix Ramsar de la conservation des zones humides</w:t>
      </w:r>
      <w:r w:rsidR="00101FED">
        <w:rPr>
          <w:rFonts w:eastAsia="Calibri" w:cstheme="minorHAnsi"/>
          <w:sz w:val="22"/>
          <w:szCs w:val="22"/>
        </w:rPr>
        <w:t xml:space="preserve">, </w:t>
      </w:r>
      <w:r w:rsidR="00101FED" w:rsidRPr="00101FED">
        <w:rPr>
          <w:rFonts w:eastAsia="Calibri" w:cstheme="minorHAnsi"/>
          <w:sz w:val="22"/>
          <w:szCs w:val="22"/>
        </w:rPr>
        <w:t>catégorie Jeunes champions des zones humide</w:t>
      </w:r>
      <w:r w:rsidR="00957C3A">
        <w:rPr>
          <w:rFonts w:eastAsia="Calibri" w:cstheme="minorHAnsi"/>
          <w:sz w:val="22"/>
          <w:szCs w:val="22"/>
        </w:rPr>
        <w:t>,</w:t>
      </w:r>
      <w:r w:rsidR="00BA4ED6" w:rsidRPr="001D5F2D">
        <w:rPr>
          <w:rFonts w:eastAsia="Calibri" w:cstheme="minorHAnsi"/>
          <w:sz w:val="22"/>
          <w:szCs w:val="22"/>
        </w:rPr>
        <w:t xml:space="preserve"> et le prix Ramsar de la conservation et de l'utilisation rationnelle des zones humides par les p</w:t>
      </w:r>
      <w:r w:rsidR="00101FED">
        <w:rPr>
          <w:rFonts w:eastAsia="Calibri" w:cstheme="minorHAnsi"/>
          <w:sz w:val="22"/>
          <w:szCs w:val="22"/>
        </w:rPr>
        <w:t>euples</w:t>
      </w:r>
      <w:r w:rsidR="00BA4ED6" w:rsidRPr="001D5F2D">
        <w:rPr>
          <w:rFonts w:eastAsia="Calibri" w:cstheme="minorHAnsi"/>
          <w:sz w:val="22"/>
          <w:szCs w:val="22"/>
        </w:rPr>
        <w:t xml:space="preserve"> autochtones.</w:t>
      </w:r>
    </w:p>
    <w:p w14:paraId="67213739" w14:textId="77777777" w:rsidR="00BA4ED6" w:rsidRPr="00CA5940" w:rsidRDefault="00BA4ED6" w:rsidP="008C4BA0">
      <w:pPr>
        <w:rPr>
          <w:rFonts w:eastAsia="Times New Roman" w:cstheme="minorHAnsi"/>
          <w:sz w:val="22"/>
          <w:szCs w:val="22"/>
        </w:rPr>
      </w:pPr>
    </w:p>
    <w:p w14:paraId="03C4982E" w14:textId="4863091B" w:rsidR="00506B6B" w:rsidRPr="00CA5940" w:rsidRDefault="008A7E23" w:rsidP="008C4BA0">
      <w:pPr>
        <w:numPr>
          <w:ilvl w:val="0"/>
          <w:numId w:val="6"/>
        </w:numPr>
        <w:ind w:left="851" w:hanging="425"/>
        <w:contextualSpacing/>
        <w:rPr>
          <w:rFonts w:eastAsia="Calibri" w:cstheme="minorHAnsi"/>
          <w:sz w:val="22"/>
          <w:szCs w:val="22"/>
        </w:rPr>
      </w:pPr>
      <w:r>
        <w:rPr>
          <w:rFonts w:eastAsia="Aptos" w:cstheme="minorHAnsi"/>
          <w:sz w:val="22"/>
          <w:szCs w:val="22"/>
        </w:rPr>
        <w:t>Conscientes du</w:t>
      </w:r>
      <w:r w:rsidR="0F77DD5E" w:rsidRPr="00CA5940">
        <w:rPr>
          <w:rFonts w:eastAsia="Aptos" w:cstheme="minorHAnsi"/>
          <w:sz w:val="22"/>
          <w:szCs w:val="22"/>
        </w:rPr>
        <w:t xml:space="preserve"> rôle vital des femmes dans la gestion et la sauvegarde des ressources des zones humides, les Parties contractantes ont adopté la Résolution XIII.18 </w:t>
      </w:r>
      <w:r w:rsidR="009311E3" w:rsidRPr="009311E3">
        <w:rPr>
          <w:rFonts w:eastAsia="Aptos" w:cstheme="minorHAnsi"/>
          <w:i/>
          <w:iCs/>
          <w:sz w:val="22"/>
          <w:szCs w:val="22"/>
        </w:rPr>
        <w:t>Égalité entre les sexes dans le contexte des zones humides</w:t>
      </w:r>
      <w:r w:rsidR="009311E3" w:rsidRPr="009311E3">
        <w:rPr>
          <w:rFonts w:eastAsia="Aptos" w:cstheme="minorHAnsi"/>
          <w:sz w:val="22"/>
          <w:szCs w:val="22"/>
        </w:rPr>
        <w:t xml:space="preserve"> </w:t>
      </w:r>
      <w:r w:rsidR="0F77DD5E" w:rsidRPr="00CA5940">
        <w:rPr>
          <w:rFonts w:eastAsia="Aptos" w:cstheme="minorHAnsi"/>
          <w:sz w:val="22"/>
          <w:szCs w:val="22"/>
        </w:rPr>
        <w:t>en 2018, appelant à l'intégration d'une perspective</w:t>
      </w:r>
      <w:r w:rsidR="009311E3">
        <w:rPr>
          <w:rFonts w:eastAsia="Aptos" w:cstheme="minorHAnsi"/>
          <w:sz w:val="22"/>
          <w:szCs w:val="22"/>
        </w:rPr>
        <w:t xml:space="preserve"> tenant compte de l’égalité entre les sexes </w:t>
      </w:r>
      <w:r w:rsidR="0F77DD5E" w:rsidRPr="00CA5940">
        <w:rPr>
          <w:rFonts w:eastAsia="Aptos" w:cstheme="minorHAnsi"/>
          <w:sz w:val="22"/>
          <w:szCs w:val="22"/>
        </w:rPr>
        <w:t xml:space="preserve">dans les efforts de mise en œuvre. </w:t>
      </w:r>
      <w:r w:rsidR="009311E3">
        <w:rPr>
          <w:rFonts w:eastAsia="Aptos" w:cstheme="minorHAnsi"/>
          <w:sz w:val="22"/>
          <w:szCs w:val="22"/>
        </w:rPr>
        <w:t>Dans cette optique</w:t>
      </w:r>
      <w:r w:rsidR="0F77DD5E" w:rsidRPr="00CA5940">
        <w:rPr>
          <w:rFonts w:eastAsia="Aptos" w:cstheme="minorHAnsi"/>
          <w:sz w:val="22"/>
          <w:szCs w:val="22"/>
        </w:rPr>
        <w:t>, l'</w:t>
      </w:r>
      <w:r w:rsidR="003B7A58" w:rsidRPr="00CA5940">
        <w:rPr>
          <w:rFonts w:eastAsia="Aptos" w:cstheme="minorHAnsi"/>
          <w:sz w:val="22"/>
          <w:szCs w:val="22"/>
        </w:rPr>
        <w:t xml:space="preserve">initiative </w:t>
      </w:r>
      <w:r w:rsidR="009311E3">
        <w:rPr>
          <w:rFonts w:eastAsia="Aptos" w:cstheme="minorHAnsi"/>
          <w:sz w:val="22"/>
          <w:szCs w:val="22"/>
        </w:rPr>
        <w:t>« </w:t>
      </w:r>
      <w:r w:rsidR="009311E3" w:rsidRPr="009311E3">
        <w:rPr>
          <w:rFonts w:eastAsia="Aptos" w:cstheme="minorHAnsi"/>
          <w:sz w:val="22"/>
          <w:szCs w:val="22"/>
        </w:rPr>
        <w:t>Actrices du changement dans le monde des zones humides</w:t>
      </w:r>
      <w:r w:rsidR="009311E3">
        <w:rPr>
          <w:rFonts w:eastAsia="Aptos" w:cstheme="minorHAnsi"/>
          <w:sz w:val="22"/>
          <w:szCs w:val="22"/>
        </w:rPr>
        <w:t> »</w:t>
      </w:r>
      <w:r w:rsidR="009311E3" w:rsidRPr="009311E3">
        <w:rPr>
          <w:rFonts w:eastAsia="Aptos" w:cstheme="minorHAnsi"/>
          <w:sz w:val="22"/>
          <w:szCs w:val="22"/>
        </w:rPr>
        <w:t xml:space="preserve"> </w:t>
      </w:r>
      <w:r w:rsidR="0F77DD5E" w:rsidRPr="00CA5940">
        <w:rPr>
          <w:rFonts w:eastAsia="Aptos" w:cstheme="minorHAnsi"/>
          <w:sz w:val="22"/>
          <w:szCs w:val="22"/>
        </w:rPr>
        <w:t xml:space="preserve">a </w:t>
      </w:r>
      <w:r>
        <w:rPr>
          <w:rFonts w:eastAsia="Aptos" w:cstheme="minorHAnsi"/>
          <w:sz w:val="22"/>
          <w:szCs w:val="22"/>
        </w:rPr>
        <w:t xml:space="preserve">débuté </w:t>
      </w:r>
      <w:r w:rsidR="0F77DD5E" w:rsidRPr="00CA5940">
        <w:rPr>
          <w:rFonts w:eastAsia="Aptos" w:cstheme="minorHAnsi"/>
          <w:sz w:val="22"/>
          <w:szCs w:val="22"/>
        </w:rPr>
        <w:t xml:space="preserve">le </w:t>
      </w:r>
      <w:r w:rsidR="003B7A58" w:rsidRPr="00CA5940">
        <w:rPr>
          <w:rFonts w:eastAsia="Aptos" w:cstheme="minorHAnsi"/>
          <w:sz w:val="22"/>
          <w:szCs w:val="22"/>
        </w:rPr>
        <w:t xml:space="preserve">8 </w:t>
      </w:r>
      <w:r w:rsidR="0F77DD5E" w:rsidRPr="00CA5940">
        <w:rPr>
          <w:rFonts w:eastAsia="Aptos" w:cstheme="minorHAnsi"/>
          <w:sz w:val="22"/>
          <w:szCs w:val="22"/>
        </w:rPr>
        <w:t>mars 2024</w:t>
      </w:r>
      <w:r w:rsidR="009E138A">
        <w:rPr>
          <w:rFonts w:eastAsia="Aptos" w:cstheme="minorHAnsi"/>
          <w:sz w:val="22"/>
          <w:szCs w:val="22"/>
        </w:rPr>
        <w:t> ; il s’agit</w:t>
      </w:r>
      <w:r w:rsidR="0F77DD5E" w:rsidRPr="00CA5940">
        <w:rPr>
          <w:rFonts w:eastAsia="Aptos" w:cstheme="minorHAnsi"/>
          <w:sz w:val="22"/>
          <w:szCs w:val="22"/>
        </w:rPr>
        <w:t xml:space="preserve"> </w:t>
      </w:r>
      <w:r w:rsidR="009E138A">
        <w:rPr>
          <w:rFonts w:eastAsia="Aptos" w:cstheme="minorHAnsi"/>
          <w:sz w:val="22"/>
          <w:szCs w:val="22"/>
        </w:rPr>
        <w:t>d’</w:t>
      </w:r>
      <w:r w:rsidR="00201793">
        <w:rPr>
          <w:rFonts w:eastAsia="Aptos" w:cstheme="minorHAnsi"/>
          <w:sz w:val="22"/>
          <w:szCs w:val="22"/>
        </w:rPr>
        <w:t xml:space="preserve">une </w:t>
      </w:r>
      <w:r w:rsidR="0F77DD5E" w:rsidRPr="00CA5940">
        <w:rPr>
          <w:rFonts w:eastAsia="Aptos" w:cstheme="minorHAnsi"/>
          <w:sz w:val="22"/>
          <w:szCs w:val="22"/>
        </w:rPr>
        <w:t xml:space="preserve">campagne annuelle </w:t>
      </w:r>
      <w:r w:rsidR="00201793">
        <w:rPr>
          <w:rFonts w:eastAsia="Aptos" w:cstheme="minorHAnsi"/>
          <w:sz w:val="22"/>
          <w:szCs w:val="22"/>
        </w:rPr>
        <w:t xml:space="preserve">lancée à l’occasion </w:t>
      </w:r>
      <w:r w:rsidR="0F77DD5E" w:rsidRPr="00CA5940">
        <w:rPr>
          <w:rFonts w:eastAsia="Aptos" w:cstheme="minorHAnsi"/>
          <w:sz w:val="22"/>
          <w:szCs w:val="22"/>
        </w:rPr>
        <w:t>de la Journée internationale de</w:t>
      </w:r>
      <w:r>
        <w:rPr>
          <w:rFonts w:eastAsia="Aptos" w:cstheme="minorHAnsi"/>
          <w:sz w:val="22"/>
          <w:szCs w:val="22"/>
        </w:rPr>
        <w:t>s</w:t>
      </w:r>
      <w:r w:rsidR="0F77DD5E" w:rsidRPr="00CA5940">
        <w:rPr>
          <w:rFonts w:eastAsia="Aptos" w:cstheme="minorHAnsi"/>
          <w:sz w:val="22"/>
          <w:szCs w:val="22"/>
        </w:rPr>
        <w:t xml:space="preserve"> femme</w:t>
      </w:r>
      <w:r>
        <w:rPr>
          <w:rFonts w:eastAsia="Aptos" w:cstheme="minorHAnsi"/>
          <w:sz w:val="22"/>
          <w:szCs w:val="22"/>
        </w:rPr>
        <w:t>s</w:t>
      </w:r>
      <w:r w:rsidR="0F77DD5E" w:rsidRPr="00CA5940">
        <w:rPr>
          <w:rFonts w:eastAsia="Aptos" w:cstheme="minorHAnsi"/>
          <w:sz w:val="22"/>
          <w:szCs w:val="22"/>
        </w:rPr>
        <w:t xml:space="preserve"> </w:t>
      </w:r>
      <w:r w:rsidR="00201793">
        <w:rPr>
          <w:rFonts w:eastAsia="Aptos" w:cstheme="minorHAnsi"/>
          <w:sz w:val="22"/>
          <w:szCs w:val="22"/>
        </w:rPr>
        <w:t>r</w:t>
      </w:r>
      <w:r w:rsidR="00201793" w:rsidRPr="00201793">
        <w:rPr>
          <w:rFonts w:eastAsia="Aptos" w:cstheme="minorHAnsi"/>
          <w:sz w:val="22"/>
          <w:szCs w:val="22"/>
        </w:rPr>
        <w:t>e</w:t>
      </w:r>
      <w:r w:rsidR="009E138A">
        <w:rPr>
          <w:rFonts w:eastAsia="Aptos" w:cstheme="minorHAnsi"/>
          <w:sz w:val="22"/>
          <w:szCs w:val="22"/>
        </w:rPr>
        <w:t xml:space="preserve">ndant hommage aux femmes pour leurs </w:t>
      </w:r>
      <w:r w:rsidR="00201793" w:rsidRPr="00201793">
        <w:rPr>
          <w:rFonts w:eastAsia="Aptos" w:cstheme="minorHAnsi"/>
          <w:sz w:val="22"/>
          <w:szCs w:val="22"/>
        </w:rPr>
        <w:t>précieuses contributions dans la conservation des zones humides</w:t>
      </w:r>
      <w:r w:rsidR="0F77DD5E" w:rsidRPr="00CA5940">
        <w:rPr>
          <w:rFonts w:eastAsia="Aptos" w:cstheme="minorHAnsi"/>
          <w:sz w:val="22"/>
          <w:szCs w:val="22"/>
        </w:rPr>
        <w:t xml:space="preserve">. Cette initiative </w:t>
      </w:r>
      <w:r w:rsidR="009E138A">
        <w:rPr>
          <w:rFonts w:eastAsia="Aptos" w:cstheme="minorHAnsi"/>
          <w:sz w:val="22"/>
          <w:szCs w:val="22"/>
        </w:rPr>
        <w:t>salue les</w:t>
      </w:r>
      <w:r>
        <w:rPr>
          <w:rFonts w:eastAsia="Aptos" w:cstheme="minorHAnsi"/>
          <w:sz w:val="22"/>
          <w:szCs w:val="22"/>
        </w:rPr>
        <w:t xml:space="preserve"> </w:t>
      </w:r>
      <w:r w:rsidR="0F77DD5E" w:rsidRPr="00CA5940">
        <w:rPr>
          <w:rFonts w:eastAsia="Aptos" w:cstheme="minorHAnsi"/>
          <w:sz w:val="22"/>
          <w:szCs w:val="22"/>
        </w:rPr>
        <w:t xml:space="preserve">femmes </w:t>
      </w:r>
      <w:r>
        <w:rPr>
          <w:rFonts w:eastAsia="Aptos" w:cstheme="minorHAnsi"/>
          <w:sz w:val="22"/>
          <w:szCs w:val="22"/>
        </w:rPr>
        <w:t xml:space="preserve">cheffes de file </w:t>
      </w:r>
      <w:r w:rsidR="0F77DD5E" w:rsidRPr="00CA5940">
        <w:rPr>
          <w:rFonts w:eastAsia="Aptos" w:cstheme="minorHAnsi"/>
          <w:sz w:val="22"/>
          <w:szCs w:val="22"/>
        </w:rPr>
        <w:t xml:space="preserve">à tous les niveaux de la société, </w:t>
      </w:r>
      <w:r>
        <w:rPr>
          <w:rFonts w:eastAsia="Aptos" w:cstheme="minorHAnsi"/>
          <w:sz w:val="22"/>
          <w:szCs w:val="22"/>
        </w:rPr>
        <w:t xml:space="preserve">notamment </w:t>
      </w:r>
      <w:r w:rsidR="0F77DD5E" w:rsidRPr="00CA5940">
        <w:rPr>
          <w:rFonts w:eastAsia="Aptos" w:cstheme="minorHAnsi"/>
          <w:sz w:val="22"/>
          <w:szCs w:val="22"/>
        </w:rPr>
        <w:t xml:space="preserve">les jeunes et les femmes autochtones, </w:t>
      </w:r>
      <w:r w:rsidR="009E138A">
        <w:rPr>
          <w:rFonts w:eastAsia="Aptos" w:cstheme="minorHAnsi"/>
          <w:sz w:val="22"/>
          <w:szCs w:val="22"/>
        </w:rPr>
        <w:t xml:space="preserve">pour leur engagement </w:t>
      </w:r>
      <w:r w:rsidR="0F77DD5E" w:rsidRPr="00CA5940">
        <w:rPr>
          <w:rFonts w:eastAsia="Aptos" w:cstheme="minorHAnsi"/>
          <w:sz w:val="22"/>
          <w:szCs w:val="22"/>
        </w:rPr>
        <w:t xml:space="preserve">dans la conservation, l'utilisation durable et la restauration des zones humides. </w:t>
      </w:r>
    </w:p>
    <w:p w14:paraId="5D6F1AED" w14:textId="77777777" w:rsidR="00506B6B" w:rsidRPr="00CA5940" w:rsidRDefault="00506B6B" w:rsidP="008C4BA0">
      <w:pPr>
        <w:ind w:left="851"/>
        <w:contextualSpacing/>
        <w:rPr>
          <w:rFonts w:eastAsia="Calibri" w:cstheme="minorHAnsi"/>
          <w:sz w:val="22"/>
          <w:szCs w:val="22"/>
        </w:rPr>
      </w:pPr>
    </w:p>
    <w:p w14:paraId="27C74004" w14:textId="63717FD3" w:rsidR="00BA4ED6" w:rsidRPr="00CA5940" w:rsidRDefault="00BA4ED6" w:rsidP="008C4BA0">
      <w:pPr>
        <w:numPr>
          <w:ilvl w:val="0"/>
          <w:numId w:val="6"/>
        </w:numPr>
        <w:ind w:left="851" w:hanging="425"/>
        <w:contextualSpacing/>
        <w:rPr>
          <w:rFonts w:eastAsia="Calibri" w:cstheme="minorHAnsi"/>
          <w:sz w:val="22"/>
          <w:szCs w:val="22"/>
        </w:rPr>
      </w:pPr>
      <w:r w:rsidRPr="00CA5940">
        <w:rPr>
          <w:rFonts w:eastAsia="Calibri" w:cstheme="minorHAnsi"/>
          <w:sz w:val="22"/>
          <w:szCs w:val="22"/>
        </w:rPr>
        <w:lastRenderedPageBreak/>
        <w:t>D'autres campagnes, programmes et projets relatifs à la CESP</w:t>
      </w:r>
      <w:r w:rsidR="008A7E23">
        <w:rPr>
          <w:rFonts w:eastAsia="Calibri" w:cstheme="minorHAnsi"/>
          <w:sz w:val="22"/>
          <w:szCs w:val="22"/>
        </w:rPr>
        <w:t xml:space="preserve"> axée sur les </w:t>
      </w:r>
      <w:r w:rsidRPr="00CA5940">
        <w:rPr>
          <w:rFonts w:eastAsia="Calibri" w:cstheme="minorHAnsi"/>
          <w:sz w:val="22"/>
          <w:szCs w:val="22"/>
        </w:rPr>
        <w:t xml:space="preserve">zones humides </w:t>
      </w:r>
      <w:r w:rsidR="008255A5">
        <w:rPr>
          <w:rFonts w:eastAsia="Calibri" w:cstheme="minorHAnsi"/>
          <w:sz w:val="22"/>
          <w:szCs w:val="22"/>
        </w:rPr>
        <w:t xml:space="preserve">affichent </w:t>
      </w:r>
      <w:r w:rsidRPr="00CA5940">
        <w:rPr>
          <w:rFonts w:eastAsia="Calibri" w:cstheme="minorHAnsi"/>
          <w:sz w:val="22"/>
          <w:szCs w:val="22"/>
        </w:rPr>
        <w:t xml:space="preserve">une </w:t>
      </w:r>
      <w:r w:rsidR="008255A5">
        <w:rPr>
          <w:rFonts w:eastAsia="Calibri" w:cstheme="minorHAnsi"/>
          <w:sz w:val="22"/>
          <w:szCs w:val="22"/>
        </w:rPr>
        <w:t xml:space="preserve">forte </w:t>
      </w:r>
      <w:r w:rsidRPr="00CA5940">
        <w:rPr>
          <w:rFonts w:eastAsia="Calibri" w:cstheme="minorHAnsi"/>
          <w:sz w:val="22"/>
          <w:szCs w:val="22"/>
        </w:rPr>
        <w:t>activité, signalé</w:t>
      </w:r>
      <w:r w:rsidR="008255A5">
        <w:rPr>
          <w:rFonts w:eastAsia="Calibri" w:cstheme="minorHAnsi"/>
          <w:sz w:val="22"/>
          <w:szCs w:val="22"/>
        </w:rPr>
        <w:t xml:space="preserve">e par certains pays </w:t>
      </w:r>
      <w:r w:rsidRPr="00CA5940">
        <w:rPr>
          <w:rFonts w:eastAsia="Calibri" w:cstheme="minorHAnsi"/>
          <w:sz w:val="22"/>
          <w:szCs w:val="22"/>
        </w:rPr>
        <w:t xml:space="preserve">au cours de la période couverte par le rapport. </w:t>
      </w:r>
      <w:r w:rsidR="008255A5">
        <w:rPr>
          <w:rFonts w:eastAsia="Calibri" w:cstheme="minorHAnsi"/>
          <w:sz w:val="22"/>
          <w:szCs w:val="22"/>
        </w:rPr>
        <w:t xml:space="preserve">Elles ont été déployées pour </w:t>
      </w:r>
      <w:r w:rsidRPr="00CA5940">
        <w:rPr>
          <w:rFonts w:eastAsia="Calibri" w:cstheme="minorHAnsi"/>
          <w:sz w:val="22"/>
          <w:szCs w:val="22"/>
        </w:rPr>
        <w:t xml:space="preserve">célébrer d'autres journées internationales de l'environnement, telles que la Journée mondiale de l'environnement, la Journée mondiale de l'eau, la Journée mondiale des oiseaux migrateurs et la Journée internationale de la diversité biologique, </w:t>
      </w:r>
      <w:r w:rsidR="008255A5">
        <w:rPr>
          <w:rFonts w:eastAsia="Calibri" w:cstheme="minorHAnsi"/>
          <w:sz w:val="22"/>
          <w:szCs w:val="22"/>
        </w:rPr>
        <w:t xml:space="preserve">soutenant ainsi </w:t>
      </w:r>
      <w:r w:rsidRPr="00CA5940">
        <w:rPr>
          <w:rFonts w:eastAsia="Calibri" w:cstheme="minorHAnsi"/>
          <w:sz w:val="22"/>
          <w:szCs w:val="22"/>
        </w:rPr>
        <w:t xml:space="preserve">les campagnes </w:t>
      </w:r>
      <w:r w:rsidR="002A2298">
        <w:rPr>
          <w:rFonts w:eastAsia="Calibri" w:cstheme="minorHAnsi"/>
          <w:sz w:val="22"/>
          <w:szCs w:val="22"/>
        </w:rPr>
        <w:t xml:space="preserve">organisées au niveau </w:t>
      </w:r>
      <w:r w:rsidRPr="00CA5940">
        <w:rPr>
          <w:rFonts w:eastAsia="Calibri" w:cstheme="minorHAnsi"/>
          <w:sz w:val="22"/>
          <w:szCs w:val="22"/>
        </w:rPr>
        <w:t xml:space="preserve">mondial et </w:t>
      </w:r>
      <w:r w:rsidR="002A2298">
        <w:rPr>
          <w:rFonts w:eastAsia="Calibri" w:cstheme="minorHAnsi"/>
          <w:sz w:val="22"/>
          <w:szCs w:val="22"/>
        </w:rPr>
        <w:t xml:space="preserve">celles qui </w:t>
      </w:r>
      <w:r w:rsidR="008255A5">
        <w:rPr>
          <w:rFonts w:eastAsia="Calibri" w:cstheme="minorHAnsi"/>
          <w:sz w:val="22"/>
          <w:szCs w:val="22"/>
        </w:rPr>
        <w:t>attir</w:t>
      </w:r>
      <w:r w:rsidR="002A2298">
        <w:rPr>
          <w:rFonts w:eastAsia="Calibri" w:cstheme="minorHAnsi"/>
          <w:sz w:val="22"/>
          <w:szCs w:val="22"/>
        </w:rPr>
        <w:t>e</w:t>
      </w:r>
      <w:r w:rsidR="008255A5">
        <w:rPr>
          <w:rFonts w:eastAsia="Calibri" w:cstheme="minorHAnsi"/>
          <w:sz w:val="22"/>
          <w:szCs w:val="22"/>
        </w:rPr>
        <w:t xml:space="preserve">nt </w:t>
      </w:r>
      <w:r w:rsidRPr="00CA5940">
        <w:rPr>
          <w:rFonts w:eastAsia="Calibri" w:cstheme="minorHAnsi"/>
          <w:sz w:val="22"/>
          <w:szCs w:val="22"/>
        </w:rPr>
        <w:t xml:space="preserve">l'attention sur les </w:t>
      </w:r>
      <w:r w:rsidR="008255A5">
        <w:rPr>
          <w:rFonts w:eastAsia="Calibri" w:cstheme="minorHAnsi"/>
          <w:sz w:val="22"/>
          <w:szCs w:val="22"/>
        </w:rPr>
        <w:t>conditions</w:t>
      </w:r>
      <w:r w:rsidRPr="00CA5940">
        <w:rPr>
          <w:rFonts w:eastAsia="Calibri" w:cstheme="minorHAnsi"/>
          <w:sz w:val="22"/>
          <w:szCs w:val="22"/>
        </w:rPr>
        <w:t xml:space="preserve"> nationales et locales.</w:t>
      </w:r>
    </w:p>
    <w:p w14:paraId="21EF90AE" w14:textId="77777777" w:rsidR="00BA4ED6" w:rsidRPr="00CA5940" w:rsidRDefault="00BA4ED6" w:rsidP="008C4BA0">
      <w:pPr>
        <w:contextualSpacing/>
        <w:rPr>
          <w:rFonts w:eastAsia="Calibri" w:cstheme="minorHAnsi"/>
          <w:sz w:val="22"/>
          <w:szCs w:val="22"/>
        </w:rPr>
      </w:pPr>
    </w:p>
    <w:p w14:paraId="7E8E200D" w14:textId="20CE08F8" w:rsidR="00BA4ED6" w:rsidRPr="00CA5940" w:rsidRDefault="008255A5" w:rsidP="008C4BA0">
      <w:pPr>
        <w:ind w:left="426"/>
        <w:rPr>
          <w:rFonts w:eastAsia="Calibri" w:cstheme="minorHAnsi"/>
          <w:i/>
          <w:sz w:val="22"/>
          <w:szCs w:val="22"/>
        </w:rPr>
      </w:pPr>
      <w:r>
        <w:rPr>
          <w:rFonts w:eastAsia="Calibri" w:cstheme="minorHAnsi"/>
          <w:i/>
          <w:sz w:val="22"/>
          <w:szCs w:val="22"/>
        </w:rPr>
        <w:t>But</w:t>
      </w:r>
      <w:r w:rsidR="00BA4ED6" w:rsidRPr="00CA5940">
        <w:rPr>
          <w:rFonts w:eastAsia="Calibri" w:cstheme="minorHAnsi"/>
          <w:i/>
          <w:sz w:val="22"/>
          <w:szCs w:val="22"/>
        </w:rPr>
        <w:t xml:space="preserve"> 7 - Centres d'éducation aux zones humides</w:t>
      </w:r>
    </w:p>
    <w:p w14:paraId="2D707F72" w14:textId="77777777" w:rsidR="00BA4ED6" w:rsidRPr="00CA5940" w:rsidRDefault="00BA4ED6" w:rsidP="008C4BA0">
      <w:pPr>
        <w:rPr>
          <w:rFonts w:eastAsia="Calibri" w:cstheme="minorHAnsi"/>
          <w:sz w:val="22"/>
          <w:szCs w:val="22"/>
        </w:rPr>
      </w:pPr>
    </w:p>
    <w:p w14:paraId="4FD60178" w14:textId="6625A2D9" w:rsidR="00BA4ED6" w:rsidRPr="00CA5940" w:rsidRDefault="00BA4ED6" w:rsidP="008C4BA0">
      <w:pPr>
        <w:pStyle w:val="ListParagraph"/>
        <w:numPr>
          <w:ilvl w:val="0"/>
          <w:numId w:val="6"/>
        </w:numPr>
        <w:ind w:left="851" w:hanging="425"/>
        <w:rPr>
          <w:rFonts w:cstheme="minorHAnsi"/>
          <w:sz w:val="22"/>
          <w:szCs w:val="22"/>
        </w:rPr>
      </w:pPr>
      <w:r w:rsidRPr="00CA5940">
        <w:rPr>
          <w:rFonts w:cstheme="minorHAnsi"/>
          <w:sz w:val="22"/>
          <w:szCs w:val="22"/>
        </w:rPr>
        <w:t xml:space="preserve">Le réseau Wetlands Link International (WLI) est un mécanisme efficace </w:t>
      </w:r>
      <w:r w:rsidR="002A2298">
        <w:rPr>
          <w:rFonts w:cstheme="minorHAnsi"/>
          <w:sz w:val="22"/>
          <w:szCs w:val="22"/>
        </w:rPr>
        <w:t xml:space="preserve">tressant un lien entre </w:t>
      </w:r>
      <w:r w:rsidRPr="00CA5940">
        <w:rPr>
          <w:rFonts w:cstheme="minorHAnsi"/>
          <w:sz w:val="22"/>
          <w:szCs w:val="22"/>
        </w:rPr>
        <w:t xml:space="preserve">les </w:t>
      </w:r>
      <w:r w:rsidR="003B7A58" w:rsidRPr="00CA5940">
        <w:rPr>
          <w:rFonts w:cstheme="minorHAnsi"/>
          <w:sz w:val="22"/>
          <w:szCs w:val="22"/>
        </w:rPr>
        <w:t>centres d'</w:t>
      </w:r>
      <w:r w:rsidRPr="00CA5940">
        <w:rPr>
          <w:rFonts w:cstheme="minorHAnsi"/>
          <w:sz w:val="22"/>
          <w:szCs w:val="22"/>
        </w:rPr>
        <w:t xml:space="preserve">éducation aux zones humides et le partage d'expériences, de matériel et d'idées novatrices en matière d'éducation et d'engagement en faveur de la CESP. </w:t>
      </w:r>
      <w:r w:rsidR="00A037CD">
        <w:rPr>
          <w:rFonts w:cstheme="minorHAnsi"/>
          <w:sz w:val="22"/>
          <w:szCs w:val="22"/>
        </w:rPr>
        <w:t xml:space="preserve">Le programme </w:t>
      </w:r>
      <w:r w:rsidRPr="00CA5940">
        <w:rPr>
          <w:rFonts w:cstheme="minorHAnsi"/>
          <w:sz w:val="22"/>
          <w:szCs w:val="22"/>
        </w:rPr>
        <w:t xml:space="preserve">WLI compte plus de 350 </w:t>
      </w:r>
      <w:r w:rsidR="003B7A58" w:rsidRPr="00CA5940">
        <w:rPr>
          <w:rFonts w:cstheme="minorHAnsi"/>
          <w:sz w:val="22"/>
          <w:szCs w:val="22"/>
        </w:rPr>
        <w:t xml:space="preserve">centres </w:t>
      </w:r>
      <w:r w:rsidRPr="00CA5940">
        <w:rPr>
          <w:rFonts w:cstheme="minorHAnsi"/>
          <w:sz w:val="22"/>
          <w:szCs w:val="22"/>
        </w:rPr>
        <w:t xml:space="preserve">et plusieurs réseaux régionaux, </w:t>
      </w:r>
      <w:r w:rsidR="00A037CD">
        <w:rPr>
          <w:rFonts w:cstheme="minorHAnsi"/>
          <w:sz w:val="22"/>
          <w:szCs w:val="22"/>
        </w:rPr>
        <w:t xml:space="preserve">en particulier </w:t>
      </w:r>
      <w:r w:rsidRPr="00CA5940">
        <w:rPr>
          <w:rFonts w:cstheme="minorHAnsi"/>
          <w:sz w:val="22"/>
          <w:szCs w:val="22"/>
        </w:rPr>
        <w:t xml:space="preserve">dans la voie de migration de l'Atlantique Est (Migratory Birds for People) et le WLI Asie-Océanie, géré par le Centre régional Ramsar d'Asie de l'Est. </w:t>
      </w:r>
    </w:p>
    <w:p w14:paraId="60033641" w14:textId="77777777" w:rsidR="00BA4ED6" w:rsidRPr="00CA5940" w:rsidRDefault="00BA4ED6" w:rsidP="008C4BA0">
      <w:pPr>
        <w:pStyle w:val="ListParagraph"/>
        <w:ind w:left="851" w:hanging="425"/>
        <w:rPr>
          <w:rFonts w:cstheme="minorHAnsi"/>
          <w:sz w:val="22"/>
          <w:szCs w:val="22"/>
        </w:rPr>
      </w:pPr>
    </w:p>
    <w:p w14:paraId="586B3173" w14:textId="1E383E2D" w:rsidR="00BA4ED6" w:rsidRPr="00CA5940" w:rsidRDefault="00BA4ED6" w:rsidP="008C4BA0">
      <w:pPr>
        <w:pStyle w:val="ListParagraph"/>
        <w:numPr>
          <w:ilvl w:val="0"/>
          <w:numId w:val="6"/>
        </w:numPr>
        <w:ind w:left="851" w:hanging="425"/>
        <w:rPr>
          <w:rFonts w:cstheme="minorHAnsi"/>
          <w:sz w:val="22"/>
          <w:szCs w:val="22"/>
          <w:lang w:eastAsia="zh-CN"/>
        </w:rPr>
      </w:pPr>
      <w:r w:rsidRPr="00CA5940">
        <w:rPr>
          <w:rFonts w:cstheme="minorHAnsi"/>
          <w:sz w:val="22"/>
          <w:szCs w:val="22"/>
        </w:rPr>
        <w:t xml:space="preserve">Les centres d'éducation aux zones humides ont </w:t>
      </w:r>
      <w:r w:rsidR="002A2298">
        <w:rPr>
          <w:rFonts w:cstheme="minorHAnsi"/>
          <w:sz w:val="22"/>
          <w:szCs w:val="22"/>
        </w:rPr>
        <w:t xml:space="preserve">entrepris </w:t>
      </w:r>
      <w:r w:rsidR="00A44D8A">
        <w:rPr>
          <w:rFonts w:cstheme="minorHAnsi"/>
          <w:sz w:val="22"/>
          <w:szCs w:val="22"/>
        </w:rPr>
        <w:t>un</w:t>
      </w:r>
      <w:r w:rsidR="002A2298">
        <w:rPr>
          <w:rFonts w:cstheme="minorHAnsi"/>
          <w:sz w:val="22"/>
          <w:szCs w:val="22"/>
        </w:rPr>
        <w:t xml:space="preserve"> large éventail</w:t>
      </w:r>
      <w:r w:rsidRPr="00CA5940">
        <w:rPr>
          <w:rFonts w:cstheme="minorHAnsi"/>
          <w:sz w:val="22"/>
          <w:szCs w:val="22"/>
        </w:rPr>
        <w:t xml:space="preserve"> d'activités </w:t>
      </w:r>
      <w:r w:rsidR="00A44D8A">
        <w:rPr>
          <w:rFonts w:cstheme="minorHAnsi"/>
          <w:sz w:val="22"/>
          <w:szCs w:val="22"/>
        </w:rPr>
        <w:t xml:space="preserve">à l’occasion de la </w:t>
      </w:r>
      <w:r w:rsidRPr="00CA5940">
        <w:rPr>
          <w:rFonts w:cstheme="minorHAnsi"/>
          <w:sz w:val="22"/>
          <w:szCs w:val="22"/>
        </w:rPr>
        <w:t xml:space="preserve">Journée mondiale des zones humides et </w:t>
      </w:r>
      <w:r w:rsidR="002A2298">
        <w:rPr>
          <w:rFonts w:cstheme="minorHAnsi"/>
          <w:sz w:val="22"/>
          <w:szCs w:val="22"/>
        </w:rPr>
        <w:t>dans le but d’</w:t>
      </w:r>
      <w:r w:rsidRPr="00CA5940">
        <w:rPr>
          <w:rFonts w:cstheme="minorHAnsi"/>
          <w:sz w:val="22"/>
          <w:szCs w:val="22"/>
        </w:rPr>
        <w:t xml:space="preserve">impliquer leurs communautés locales. </w:t>
      </w:r>
      <w:r w:rsidR="00A44D8A">
        <w:rPr>
          <w:rFonts w:cstheme="minorHAnsi"/>
          <w:sz w:val="22"/>
          <w:szCs w:val="22"/>
        </w:rPr>
        <w:t>C</w:t>
      </w:r>
      <w:r w:rsidRPr="00CA5940">
        <w:rPr>
          <w:rFonts w:cstheme="minorHAnsi"/>
          <w:sz w:val="22"/>
          <w:szCs w:val="22"/>
        </w:rPr>
        <w:t xml:space="preserve">es événements ont </w:t>
      </w:r>
      <w:r w:rsidR="002A2298">
        <w:rPr>
          <w:rFonts w:cstheme="minorHAnsi"/>
          <w:sz w:val="22"/>
          <w:szCs w:val="22"/>
        </w:rPr>
        <w:t xml:space="preserve">généralement </w:t>
      </w:r>
      <w:r w:rsidRPr="00CA5940">
        <w:rPr>
          <w:rFonts w:cstheme="minorHAnsi"/>
          <w:sz w:val="22"/>
          <w:szCs w:val="22"/>
        </w:rPr>
        <w:t xml:space="preserve">été </w:t>
      </w:r>
      <w:r w:rsidR="00A44D8A">
        <w:rPr>
          <w:rFonts w:cstheme="minorHAnsi"/>
          <w:sz w:val="22"/>
          <w:szCs w:val="22"/>
        </w:rPr>
        <w:t xml:space="preserve">décrits en détail et </w:t>
      </w:r>
      <w:r w:rsidRPr="00CA5940">
        <w:rPr>
          <w:rFonts w:cstheme="minorHAnsi"/>
          <w:sz w:val="22"/>
          <w:szCs w:val="22"/>
        </w:rPr>
        <w:t xml:space="preserve">téléchargés </w:t>
      </w:r>
      <w:r w:rsidR="00A44D8A">
        <w:rPr>
          <w:rFonts w:cstheme="minorHAnsi"/>
          <w:sz w:val="22"/>
          <w:szCs w:val="22"/>
        </w:rPr>
        <w:t xml:space="preserve">par le Secrétariat </w:t>
      </w:r>
      <w:r w:rsidRPr="00CA5940">
        <w:rPr>
          <w:rFonts w:cstheme="minorHAnsi"/>
          <w:sz w:val="22"/>
          <w:szCs w:val="22"/>
        </w:rPr>
        <w:t xml:space="preserve">sur la carte en ligne et le registre des événements de la Journée mondiale des zones humides. </w:t>
      </w:r>
      <w:r w:rsidR="00A44D8A">
        <w:rPr>
          <w:rFonts w:cstheme="minorHAnsi"/>
          <w:sz w:val="22"/>
          <w:szCs w:val="22"/>
        </w:rPr>
        <w:t>L</w:t>
      </w:r>
      <w:r w:rsidRPr="00CA5940">
        <w:rPr>
          <w:rFonts w:cstheme="minorHAnsi"/>
          <w:sz w:val="22"/>
          <w:szCs w:val="22"/>
        </w:rPr>
        <w:t xml:space="preserve">a Journée mondiale des oiseaux migrateurs </w:t>
      </w:r>
      <w:r w:rsidR="00A44D8A">
        <w:rPr>
          <w:rFonts w:cstheme="minorHAnsi"/>
          <w:sz w:val="22"/>
          <w:szCs w:val="22"/>
        </w:rPr>
        <w:t>a également été célébré</w:t>
      </w:r>
      <w:r w:rsidR="002A2298">
        <w:rPr>
          <w:rFonts w:cstheme="minorHAnsi"/>
          <w:sz w:val="22"/>
          <w:szCs w:val="22"/>
        </w:rPr>
        <w:t>e</w:t>
      </w:r>
      <w:r w:rsidR="00A44D8A">
        <w:rPr>
          <w:rFonts w:cstheme="minorHAnsi"/>
          <w:sz w:val="22"/>
          <w:szCs w:val="22"/>
        </w:rPr>
        <w:t xml:space="preserve"> </w:t>
      </w:r>
      <w:r w:rsidR="00FC5E5F" w:rsidRPr="00CA5940">
        <w:rPr>
          <w:rFonts w:cstheme="minorHAnsi"/>
          <w:sz w:val="22"/>
          <w:szCs w:val="22"/>
        </w:rPr>
        <w:t>en organisant des activités scolaires</w:t>
      </w:r>
      <w:r w:rsidR="00FC5E5F">
        <w:rPr>
          <w:rFonts w:cstheme="minorHAnsi"/>
          <w:sz w:val="22"/>
          <w:szCs w:val="22"/>
        </w:rPr>
        <w:t xml:space="preserve"> sur </w:t>
      </w:r>
      <w:r w:rsidR="00A44D8A">
        <w:rPr>
          <w:rFonts w:cstheme="minorHAnsi"/>
          <w:sz w:val="22"/>
          <w:szCs w:val="22"/>
        </w:rPr>
        <w:t xml:space="preserve">le réseau </w:t>
      </w:r>
      <w:r w:rsidR="00A44D8A" w:rsidRPr="00CA5940">
        <w:rPr>
          <w:rFonts w:cstheme="minorHAnsi"/>
          <w:sz w:val="22"/>
          <w:szCs w:val="22"/>
        </w:rPr>
        <w:t>WLI</w:t>
      </w:r>
      <w:r w:rsidR="002A2298">
        <w:rPr>
          <w:rFonts w:cstheme="minorHAnsi"/>
          <w:sz w:val="22"/>
          <w:szCs w:val="22"/>
        </w:rPr>
        <w:t>,</w:t>
      </w:r>
      <w:r w:rsidR="00A44D8A" w:rsidRPr="00CA5940">
        <w:rPr>
          <w:rFonts w:cstheme="minorHAnsi"/>
          <w:sz w:val="22"/>
          <w:szCs w:val="22"/>
        </w:rPr>
        <w:t xml:space="preserve"> </w:t>
      </w:r>
      <w:r w:rsidRPr="00CA5940">
        <w:rPr>
          <w:rFonts w:cstheme="minorHAnsi"/>
          <w:sz w:val="22"/>
          <w:szCs w:val="22"/>
        </w:rPr>
        <w:t xml:space="preserve">en </w:t>
      </w:r>
      <w:r w:rsidR="00A44D8A">
        <w:rPr>
          <w:rFonts w:cstheme="minorHAnsi"/>
          <w:sz w:val="22"/>
          <w:szCs w:val="22"/>
        </w:rPr>
        <w:t xml:space="preserve">collaboration avec </w:t>
      </w:r>
      <w:r w:rsidRPr="00CA5940">
        <w:rPr>
          <w:rFonts w:cstheme="minorHAnsi"/>
          <w:sz w:val="22"/>
          <w:szCs w:val="22"/>
        </w:rPr>
        <w:t>des sites locaux.</w:t>
      </w:r>
    </w:p>
    <w:p w14:paraId="2354EA1C" w14:textId="77777777" w:rsidR="00BA4ED6" w:rsidRPr="00CA5940" w:rsidRDefault="00BA4ED6" w:rsidP="008C4BA0">
      <w:pPr>
        <w:rPr>
          <w:rFonts w:eastAsia="Calibri" w:cstheme="minorHAnsi"/>
          <w:sz w:val="22"/>
          <w:szCs w:val="22"/>
        </w:rPr>
      </w:pPr>
    </w:p>
    <w:p w14:paraId="0BA60C24" w14:textId="239D68AB" w:rsidR="00BA4ED6" w:rsidRPr="000C33DF" w:rsidRDefault="00FC5E5F" w:rsidP="008C4BA0">
      <w:pPr>
        <w:ind w:left="426"/>
        <w:rPr>
          <w:rFonts w:eastAsia="Calibri" w:cstheme="minorHAnsi"/>
          <w:i/>
          <w:iCs/>
          <w:sz w:val="22"/>
          <w:szCs w:val="22"/>
          <w:lang w:val="en-AU"/>
        </w:rPr>
      </w:pPr>
      <w:r>
        <w:rPr>
          <w:rFonts w:eastAsia="Calibri" w:cstheme="minorHAnsi"/>
          <w:i/>
          <w:iCs/>
          <w:sz w:val="22"/>
          <w:szCs w:val="22"/>
        </w:rPr>
        <w:t>But</w:t>
      </w:r>
      <w:r w:rsidR="46A7D735" w:rsidRPr="000C33DF">
        <w:rPr>
          <w:rFonts w:eastAsia="Calibri" w:cstheme="minorHAnsi"/>
          <w:i/>
          <w:iCs/>
          <w:sz w:val="22"/>
          <w:szCs w:val="22"/>
          <w:lang w:val="en-AU"/>
        </w:rPr>
        <w:t xml:space="preserve"> 8 - Matériel pédagogique</w:t>
      </w:r>
    </w:p>
    <w:p w14:paraId="7C2C7DFE" w14:textId="77777777" w:rsidR="00BA4ED6" w:rsidRPr="000C33DF" w:rsidRDefault="00BA4ED6" w:rsidP="008C4BA0">
      <w:pPr>
        <w:rPr>
          <w:rFonts w:eastAsia="Calibri" w:cstheme="minorHAnsi"/>
          <w:sz w:val="22"/>
          <w:szCs w:val="22"/>
          <w:lang w:val="en-AU"/>
        </w:rPr>
      </w:pPr>
    </w:p>
    <w:p w14:paraId="51EA6CF6" w14:textId="6AB9504C" w:rsidR="00BA4ED6" w:rsidRPr="00CA5940" w:rsidRDefault="008F1C16" w:rsidP="008C4BA0">
      <w:pPr>
        <w:numPr>
          <w:ilvl w:val="0"/>
          <w:numId w:val="9"/>
        </w:numPr>
        <w:ind w:left="851" w:hanging="425"/>
        <w:contextualSpacing/>
        <w:rPr>
          <w:rFonts w:eastAsia="Calibri" w:cstheme="minorHAnsi"/>
          <w:sz w:val="22"/>
          <w:szCs w:val="22"/>
        </w:rPr>
      </w:pPr>
      <w:r>
        <w:rPr>
          <w:rFonts w:eastAsia="Calibri" w:cstheme="minorHAnsi"/>
          <w:sz w:val="22"/>
          <w:szCs w:val="22"/>
        </w:rPr>
        <w:t>Au nombre des</w:t>
      </w:r>
      <w:r w:rsidR="46A7D735" w:rsidRPr="00CA5940">
        <w:rPr>
          <w:rFonts w:eastAsia="Calibri" w:cstheme="minorHAnsi"/>
          <w:sz w:val="22"/>
          <w:szCs w:val="22"/>
        </w:rPr>
        <w:t xml:space="preserve"> </w:t>
      </w:r>
      <w:r>
        <w:rPr>
          <w:rFonts w:eastAsia="Calibri" w:cstheme="minorHAnsi"/>
          <w:sz w:val="22"/>
          <w:szCs w:val="22"/>
        </w:rPr>
        <w:t xml:space="preserve">supports pédagogiques </w:t>
      </w:r>
      <w:r w:rsidR="46A7D735" w:rsidRPr="00CA5940">
        <w:rPr>
          <w:rFonts w:eastAsia="Calibri" w:cstheme="minorHAnsi"/>
          <w:sz w:val="22"/>
          <w:szCs w:val="22"/>
        </w:rPr>
        <w:t xml:space="preserve">lancés au cours de la période </w:t>
      </w:r>
      <w:r>
        <w:rPr>
          <w:rFonts w:eastAsia="Calibri" w:cstheme="minorHAnsi"/>
          <w:sz w:val="22"/>
          <w:szCs w:val="22"/>
        </w:rPr>
        <w:t xml:space="preserve">couverte par le rapport, on peut </w:t>
      </w:r>
      <w:r w:rsidR="002A2298">
        <w:rPr>
          <w:rFonts w:eastAsia="Calibri" w:cstheme="minorHAnsi"/>
          <w:sz w:val="22"/>
          <w:szCs w:val="22"/>
        </w:rPr>
        <w:t>citer</w:t>
      </w:r>
      <w:r w:rsidR="46A7D735" w:rsidRPr="00CA5940">
        <w:rPr>
          <w:rFonts w:eastAsia="Calibri" w:cstheme="minorHAnsi"/>
          <w:sz w:val="22"/>
          <w:szCs w:val="22"/>
        </w:rPr>
        <w:t xml:space="preserve"> :</w:t>
      </w:r>
    </w:p>
    <w:p w14:paraId="7DDA83AA" w14:textId="222259B0" w:rsidR="073551A4" w:rsidRPr="00CA5940" w:rsidRDefault="073551A4" w:rsidP="008C4BA0">
      <w:pPr>
        <w:contextualSpacing/>
        <w:rPr>
          <w:rFonts w:eastAsiaTheme="majorEastAsia" w:cstheme="minorHAnsi"/>
        </w:rPr>
      </w:pPr>
    </w:p>
    <w:p w14:paraId="587E5E7E" w14:textId="3880E9C3" w:rsidR="00BA4ED6" w:rsidRPr="00CA5940" w:rsidRDefault="024AC443" w:rsidP="008C4BA0">
      <w:pPr>
        <w:numPr>
          <w:ilvl w:val="1"/>
          <w:numId w:val="20"/>
        </w:numPr>
        <w:ind w:left="1276" w:hanging="425"/>
        <w:rPr>
          <w:rFonts w:eastAsia="Times New Roman" w:cstheme="minorHAnsi"/>
          <w:color w:val="000000"/>
          <w:sz w:val="22"/>
          <w:szCs w:val="22"/>
        </w:rPr>
      </w:pPr>
      <w:r w:rsidRPr="00CA5940">
        <w:rPr>
          <w:rFonts w:eastAsia="Times New Roman" w:cstheme="minorHAnsi"/>
          <w:color w:val="000000"/>
          <w:sz w:val="22"/>
          <w:szCs w:val="22"/>
        </w:rPr>
        <w:t>Dans le cadre du mécanisme de soutien à l'</w:t>
      </w:r>
      <w:r w:rsidR="00C2262F">
        <w:rPr>
          <w:rFonts w:eastAsia="Times New Roman" w:cstheme="minorHAnsi"/>
          <w:color w:val="000000"/>
          <w:sz w:val="22"/>
          <w:szCs w:val="22"/>
        </w:rPr>
        <w:t>I</w:t>
      </w:r>
      <w:r w:rsidR="00FF4379" w:rsidRPr="00CA5940">
        <w:rPr>
          <w:rFonts w:eastAsia="Times New Roman" w:cstheme="minorHAnsi"/>
          <w:color w:val="000000"/>
          <w:sz w:val="22"/>
          <w:szCs w:val="22"/>
        </w:rPr>
        <w:t xml:space="preserve">nventaire national des zones humides </w:t>
      </w:r>
      <w:r w:rsidR="00A4286E" w:rsidRPr="00CA5940">
        <w:rPr>
          <w:rFonts w:eastAsia="Times New Roman" w:cstheme="minorHAnsi"/>
          <w:color w:val="000000"/>
          <w:sz w:val="22"/>
          <w:szCs w:val="22"/>
        </w:rPr>
        <w:t>(INZ</w:t>
      </w:r>
      <w:r w:rsidR="00B556A1">
        <w:rPr>
          <w:rFonts w:eastAsia="Times New Roman" w:cstheme="minorHAnsi"/>
          <w:color w:val="000000"/>
          <w:sz w:val="22"/>
          <w:szCs w:val="22"/>
        </w:rPr>
        <w:t>H</w:t>
      </w:r>
      <w:r w:rsidRPr="00CA5940">
        <w:rPr>
          <w:rFonts w:eastAsia="Times New Roman" w:cstheme="minorHAnsi"/>
          <w:color w:val="000000"/>
          <w:sz w:val="22"/>
          <w:szCs w:val="22"/>
        </w:rPr>
        <w:t xml:space="preserve">), un cours d'auto-apprentissage en ligne a été </w:t>
      </w:r>
      <w:r w:rsidR="00C2262F">
        <w:rPr>
          <w:rFonts w:eastAsia="Times New Roman" w:cstheme="minorHAnsi"/>
          <w:color w:val="000000"/>
          <w:sz w:val="22"/>
          <w:szCs w:val="22"/>
        </w:rPr>
        <w:t>élaboré, en reprenant</w:t>
      </w:r>
      <w:r w:rsidRPr="00CA5940">
        <w:rPr>
          <w:rFonts w:eastAsia="Times New Roman" w:cstheme="minorHAnsi"/>
          <w:color w:val="000000"/>
          <w:sz w:val="22"/>
          <w:szCs w:val="22"/>
        </w:rPr>
        <w:t xml:space="preserve"> le contenu des ateliers en p</w:t>
      </w:r>
      <w:r w:rsidR="00C2262F">
        <w:rPr>
          <w:rFonts w:eastAsia="Times New Roman" w:cstheme="minorHAnsi"/>
          <w:color w:val="000000"/>
          <w:sz w:val="22"/>
          <w:szCs w:val="22"/>
        </w:rPr>
        <w:t xml:space="preserve">résentiel </w:t>
      </w:r>
      <w:r w:rsidRPr="00CA5940">
        <w:rPr>
          <w:rFonts w:eastAsia="Times New Roman" w:cstheme="minorHAnsi"/>
          <w:color w:val="000000"/>
          <w:sz w:val="22"/>
          <w:szCs w:val="22"/>
        </w:rPr>
        <w:t xml:space="preserve">du </w:t>
      </w:r>
      <w:r w:rsidR="00254CF2">
        <w:rPr>
          <w:rFonts w:eastAsia="Times New Roman" w:cstheme="minorHAnsi"/>
          <w:color w:val="000000"/>
          <w:sz w:val="22"/>
          <w:szCs w:val="22"/>
        </w:rPr>
        <w:t>M</w:t>
      </w:r>
      <w:r w:rsidRPr="00CA5940">
        <w:rPr>
          <w:rFonts w:eastAsia="Times New Roman" w:cstheme="minorHAnsi"/>
          <w:color w:val="000000"/>
          <w:sz w:val="22"/>
          <w:szCs w:val="22"/>
        </w:rPr>
        <w:t xml:space="preserve">odule 1. Ce cours est disponible sur </w:t>
      </w:r>
      <w:r w:rsidR="00A4286E" w:rsidRPr="00CA5940">
        <w:rPr>
          <w:rFonts w:eastAsia="Times New Roman" w:cstheme="minorHAnsi"/>
          <w:color w:val="000000"/>
          <w:sz w:val="22"/>
          <w:szCs w:val="22"/>
        </w:rPr>
        <w:t xml:space="preserve">la plateforme </w:t>
      </w:r>
      <w:r w:rsidRPr="00CA5940">
        <w:rPr>
          <w:rFonts w:eastAsia="Times New Roman" w:cstheme="minorHAnsi"/>
          <w:color w:val="000000"/>
          <w:sz w:val="22"/>
          <w:szCs w:val="22"/>
        </w:rPr>
        <w:t>InforMEA</w:t>
      </w:r>
      <w:r w:rsidR="00A4286E" w:rsidRPr="00FF4379">
        <w:rPr>
          <w:rFonts w:eastAsia="Times New Roman"/>
          <w:color w:val="000000"/>
          <w:vertAlign w:val="superscript"/>
        </w:rPr>
        <w:footnoteReference w:id="5"/>
      </w:r>
      <w:r w:rsidRPr="00CA5940">
        <w:rPr>
          <w:rFonts w:eastAsia="Times New Roman" w:cstheme="minorHAnsi"/>
          <w:color w:val="000000"/>
          <w:sz w:val="22"/>
          <w:szCs w:val="22"/>
        </w:rPr>
        <w:t xml:space="preserve"> . Il vise à guider les autorités nationales </w:t>
      </w:r>
      <w:r w:rsidR="00B556A1">
        <w:rPr>
          <w:rFonts w:eastAsia="Times New Roman" w:cstheme="minorHAnsi"/>
          <w:color w:val="000000"/>
          <w:sz w:val="22"/>
          <w:szCs w:val="22"/>
        </w:rPr>
        <w:t xml:space="preserve">lors de </w:t>
      </w:r>
      <w:r w:rsidRPr="00CA5940">
        <w:rPr>
          <w:rFonts w:eastAsia="Times New Roman" w:cstheme="minorHAnsi"/>
          <w:color w:val="000000"/>
          <w:sz w:val="22"/>
          <w:szCs w:val="22"/>
        </w:rPr>
        <w:t xml:space="preserve">l'élaboration d'un processus solide </w:t>
      </w:r>
      <w:r w:rsidR="00B556A1">
        <w:rPr>
          <w:rFonts w:eastAsia="Times New Roman" w:cstheme="minorHAnsi"/>
          <w:color w:val="000000"/>
          <w:sz w:val="22"/>
          <w:szCs w:val="22"/>
        </w:rPr>
        <w:t>d’INZH</w:t>
      </w:r>
      <w:r w:rsidRPr="00CA5940">
        <w:rPr>
          <w:rFonts w:eastAsia="Times New Roman" w:cstheme="minorHAnsi"/>
          <w:color w:val="000000"/>
          <w:sz w:val="22"/>
          <w:szCs w:val="22"/>
        </w:rPr>
        <w:t xml:space="preserve">, </w:t>
      </w:r>
      <w:r w:rsidR="00B556A1">
        <w:rPr>
          <w:rFonts w:eastAsia="Times New Roman" w:cstheme="minorHAnsi"/>
          <w:color w:val="000000"/>
          <w:sz w:val="22"/>
          <w:szCs w:val="22"/>
        </w:rPr>
        <w:t xml:space="preserve">comprenant </w:t>
      </w:r>
      <w:r w:rsidRPr="00CA5940">
        <w:rPr>
          <w:rFonts w:eastAsia="Times New Roman" w:cstheme="minorHAnsi"/>
          <w:color w:val="000000"/>
          <w:sz w:val="22"/>
          <w:szCs w:val="22"/>
        </w:rPr>
        <w:t xml:space="preserve">la collecte et la gestion des données, et une approche </w:t>
      </w:r>
      <w:r w:rsidR="00B556A1">
        <w:rPr>
          <w:rFonts w:eastAsia="Times New Roman" w:cstheme="minorHAnsi"/>
          <w:color w:val="000000"/>
          <w:sz w:val="22"/>
          <w:szCs w:val="22"/>
        </w:rPr>
        <w:t xml:space="preserve">selon laquelle le recueil de </w:t>
      </w:r>
      <w:r w:rsidRPr="00CA5940">
        <w:rPr>
          <w:rFonts w:eastAsia="Times New Roman" w:cstheme="minorHAnsi"/>
          <w:color w:val="000000"/>
          <w:sz w:val="22"/>
          <w:szCs w:val="22"/>
        </w:rPr>
        <w:t xml:space="preserve">données </w:t>
      </w:r>
      <w:r w:rsidR="00B556A1">
        <w:rPr>
          <w:rFonts w:eastAsia="Times New Roman" w:cstheme="minorHAnsi"/>
          <w:color w:val="000000"/>
          <w:sz w:val="22"/>
          <w:szCs w:val="22"/>
        </w:rPr>
        <w:t xml:space="preserve">est </w:t>
      </w:r>
      <w:r w:rsidRPr="00CA5940">
        <w:rPr>
          <w:rFonts w:eastAsia="Times New Roman" w:cstheme="minorHAnsi"/>
          <w:color w:val="000000"/>
          <w:sz w:val="22"/>
          <w:szCs w:val="22"/>
        </w:rPr>
        <w:t xml:space="preserve">orienté vers l'action avec des liens politiques appropriés, </w:t>
      </w:r>
      <w:r w:rsidR="00B556A1">
        <w:rPr>
          <w:rFonts w:eastAsia="Times New Roman" w:cstheme="minorHAnsi"/>
          <w:color w:val="000000"/>
          <w:sz w:val="22"/>
          <w:szCs w:val="22"/>
        </w:rPr>
        <w:t xml:space="preserve">compte tenu des </w:t>
      </w:r>
      <w:r w:rsidR="00FF4379" w:rsidRPr="00CA5940">
        <w:rPr>
          <w:rFonts w:eastAsia="Times New Roman" w:cstheme="minorHAnsi"/>
          <w:color w:val="000000"/>
          <w:sz w:val="22"/>
          <w:szCs w:val="22"/>
        </w:rPr>
        <w:t>objectifs globaux d'</w:t>
      </w:r>
      <w:r w:rsidRPr="00CA5940">
        <w:rPr>
          <w:rFonts w:eastAsia="Times New Roman" w:cstheme="minorHAnsi"/>
          <w:color w:val="000000"/>
          <w:sz w:val="22"/>
          <w:szCs w:val="22"/>
        </w:rPr>
        <w:t>autres AME.</w:t>
      </w:r>
    </w:p>
    <w:p w14:paraId="7FC4EEFE" w14:textId="2AFEA894" w:rsidR="00BA4ED6" w:rsidRPr="00CA5940" w:rsidRDefault="00BA4ED6" w:rsidP="008C4BA0">
      <w:pPr>
        <w:ind w:left="1276"/>
        <w:rPr>
          <w:rFonts w:eastAsia="Times New Roman" w:cstheme="minorHAnsi"/>
          <w:color w:val="000000"/>
          <w:sz w:val="22"/>
          <w:szCs w:val="22"/>
        </w:rPr>
      </w:pPr>
    </w:p>
    <w:p w14:paraId="093BC5C3" w14:textId="3A3F0AD0" w:rsidR="00BA4ED6" w:rsidRPr="00CA5940" w:rsidRDefault="024AC443" w:rsidP="008C4BA0">
      <w:pPr>
        <w:numPr>
          <w:ilvl w:val="1"/>
          <w:numId w:val="20"/>
        </w:numPr>
        <w:ind w:left="1276" w:hanging="425"/>
        <w:rPr>
          <w:rFonts w:eastAsia="Times New Roman" w:cstheme="minorHAnsi"/>
          <w:color w:val="000000"/>
          <w:sz w:val="22"/>
          <w:szCs w:val="22"/>
        </w:rPr>
      </w:pPr>
      <w:r w:rsidRPr="00CA5940">
        <w:rPr>
          <w:rFonts w:eastAsia="Times New Roman" w:cstheme="minorHAnsi"/>
          <w:color w:val="000000"/>
          <w:sz w:val="22"/>
          <w:szCs w:val="22"/>
        </w:rPr>
        <w:t>Un kit d'</w:t>
      </w:r>
      <w:r w:rsidR="00A4286E" w:rsidRPr="00CA5940">
        <w:rPr>
          <w:rFonts w:eastAsia="Times New Roman" w:cstheme="minorHAnsi"/>
          <w:color w:val="000000"/>
          <w:sz w:val="22"/>
          <w:szCs w:val="22"/>
        </w:rPr>
        <w:t xml:space="preserve">initiation </w:t>
      </w:r>
      <w:r w:rsidR="00B556A1">
        <w:rPr>
          <w:rFonts w:eastAsia="Times New Roman" w:cstheme="minorHAnsi"/>
          <w:color w:val="000000"/>
          <w:sz w:val="22"/>
          <w:szCs w:val="22"/>
        </w:rPr>
        <w:t>à l’usage d</w:t>
      </w:r>
      <w:r w:rsidRPr="00CA5940">
        <w:rPr>
          <w:rFonts w:eastAsia="Times New Roman" w:cstheme="minorHAnsi"/>
          <w:color w:val="000000"/>
          <w:sz w:val="22"/>
          <w:szCs w:val="22"/>
        </w:rPr>
        <w:t xml:space="preserve">es nouveaux </w:t>
      </w:r>
      <w:r w:rsidR="00B556A1">
        <w:rPr>
          <w:rFonts w:eastAsia="Times New Roman" w:cstheme="minorHAnsi"/>
          <w:color w:val="000000"/>
          <w:sz w:val="22"/>
          <w:szCs w:val="22"/>
        </w:rPr>
        <w:t xml:space="preserve">Correspondants nationaux </w:t>
      </w:r>
      <w:r w:rsidRPr="00CA5940">
        <w:rPr>
          <w:rFonts w:eastAsia="Times New Roman" w:cstheme="minorHAnsi"/>
          <w:color w:val="000000"/>
          <w:sz w:val="22"/>
          <w:szCs w:val="22"/>
        </w:rPr>
        <w:t xml:space="preserve">a été élaboré au cours de la période triennale. Il comprend un message de bienvenue, une infographie et un espace web dédié </w:t>
      </w:r>
      <w:r w:rsidR="00CE4DA9">
        <w:rPr>
          <w:rFonts w:eastAsia="Times New Roman" w:cstheme="minorHAnsi"/>
          <w:color w:val="000000"/>
          <w:sz w:val="22"/>
          <w:szCs w:val="22"/>
        </w:rPr>
        <w:t xml:space="preserve">regroupant </w:t>
      </w:r>
      <w:r w:rsidRPr="00CA5940">
        <w:rPr>
          <w:rFonts w:eastAsia="Times New Roman" w:cstheme="minorHAnsi"/>
          <w:color w:val="000000"/>
          <w:sz w:val="22"/>
          <w:szCs w:val="22"/>
        </w:rPr>
        <w:t xml:space="preserve">toutes les informations sur les responsabilités et les tâches liées à la </w:t>
      </w:r>
      <w:r w:rsidR="00A4286E" w:rsidRPr="00CA5940">
        <w:rPr>
          <w:rFonts w:eastAsia="Times New Roman" w:cstheme="minorHAnsi"/>
          <w:color w:val="000000"/>
          <w:sz w:val="22"/>
          <w:szCs w:val="22"/>
        </w:rPr>
        <w:t>fonction</w:t>
      </w:r>
      <w:r w:rsidRPr="00CA5940">
        <w:rPr>
          <w:rFonts w:eastAsia="Times New Roman" w:cstheme="minorHAnsi"/>
          <w:color w:val="000000"/>
          <w:sz w:val="22"/>
          <w:szCs w:val="22"/>
        </w:rPr>
        <w:t>.</w:t>
      </w:r>
    </w:p>
    <w:p w14:paraId="0B4D7F72" w14:textId="028F90F1" w:rsidR="00192D48" w:rsidRPr="00CA5940" w:rsidRDefault="00192D48" w:rsidP="008C4BA0">
      <w:pPr>
        <w:ind w:left="1276" w:hanging="425"/>
        <w:rPr>
          <w:rFonts w:eastAsia="Calibri" w:cstheme="minorHAnsi"/>
          <w:sz w:val="22"/>
          <w:szCs w:val="22"/>
          <w:highlight w:val="cyan"/>
        </w:rPr>
      </w:pPr>
    </w:p>
    <w:p w14:paraId="3D6EFC42" w14:textId="5B3F1862" w:rsidR="00BA4ED6" w:rsidRPr="00CA5940" w:rsidRDefault="00CE4DA9" w:rsidP="008C4BA0">
      <w:pPr>
        <w:keepNext/>
        <w:ind w:left="425"/>
        <w:rPr>
          <w:rFonts w:eastAsiaTheme="minorEastAsia" w:cstheme="minorHAnsi"/>
          <w:i/>
          <w:iCs/>
          <w:color w:val="000000"/>
          <w:sz w:val="22"/>
          <w:szCs w:val="22"/>
        </w:rPr>
      </w:pPr>
      <w:r>
        <w:rPr>
          <w:rFonts w:cstheme="minorHAnsi"/>
          <w:i/>
          <w:iCs/>
          <w:color w:val="000000"/>
          <w:sz w:val="22"/>
          <w:szCs w:val="22"/>
        </w:rPr>
        <w:t xml:space="preserve">But </w:t>
      </w:r>
      <w:r w:rsidR="00BA4ED6" w:rsidRPr="00CA5940">
        <w:rPr>
          <w:rFonts w:cstheme="minorHAnsi"/>
          <w:i/>
          <w:iCs/>
          <w:color w:val="000000"/>
          <w:sz w:val="22"/>
          <w:szCs w:val="22"/>
        </w:rPr>
        <w:t xml:space="preserve">9 </w:t>
      </w:r>
      <w:r w:rsidR="00D04FD7">
        <w:rPr>
          <w:rFonts w:cstheme="minorHAnsi"/>
          <w:i/>
          <w:iCs/>
          <w:color w:val="000000"/>
          <w:sz w:val="22"/>
          <w:szCs w:val="22"/>
        </w:rPr>
        <w:t>–</w:t>
      </w:r>
      <w:r w:rsidR="00BA4ED6" w:rsidRPr="00CA5940">
        <w:rPr>
          <w:rFonts w:cstheme="minorHAnsi"/>
          <w:i/>
          <w:iCs/>
          <w:color w:val="000000"/>
          <w:sz w:val="22"/>
          <w:szCs w:val="22"/>
        </w:rPr>
        <w:t xml:space="preserve"> </w:t>
      </w:r>
      <w:r w:rsidR="00D04FD7">
        <w:rPr>
          <w:rFonts w:cstheme="minorHAnsi"/>
          <w:i/>
          <w:iCs/>
          <w:color w:val="000000"/>
          <w:sz w:val="22"/>
          <w:szCs w:val="22"/>
        </w:rPr>
        <w:t xml:space="preserve">Élaboration </w:t>
      </w:r>
      <w:r w:rsidR="00BA4ED6" w:rsidRPr="00CA5940">
        <w:rPr>
          <w:rFonts w:cstheme="minorHAnsi"/>
          <w:i/>
          <w:iCs/>
          <w:color w:val="000000"/>
          <w:sz w:val="22"/>
          <w:szCs w:val="22"/>
        </w:rPr>
        <w:t xml:space="preserve">et communication du matériel </w:t>
      </w:r>
      <w:r w:rsidR="00D04FD7">
        <w:rPr>
          <w:rFonts w:cstheme="minorHAnsi"/>
          <w:i/>
          <w:iCs/>
          <w:color w:val="000000"/>
          <w:sz w:val="22"/>
          <w:szCs w:val="22"/>
        </w:rPr>
        <w:t xml:space="preserve">fourni par le </w:t>
      </w:r>
      <w:r w:rsidR="00BA4ED6" w:rsidRPr="00CA5940">
        <w:rPr>
          <w:rFonts w:cstheme="minorHAnsi"/>
          <w:i/>
          <w:iCs/>
          <w:color w:val="000000"/>
          <w:sz w:val="22"/>
          <w:szCs w:val="22"/>
        </w:rPr>
        <w:t>GEST</w:t>
      </w:r>
    </w:p>
    <w:p w14:paraId="65D031E9" w14:textId="77777777" w:rsidR="00BA4ED6" w:rsidRPr="00CA5940" w:rsidRDefault="00BA4ED6" w:rsidP="008C4BA0">
      <w:pPr>
        <w:keepNext/>
        <w:ind w:left="425"/>
        <w:rPr>
          <w:rFonts w:cstheme="minorHAnsi"/>
          <w:color w:val="000000"/>
          <w:sz w:val="22"/>
          <w:szCs w:val="22"/>
        </w:rPr>
      </w:pPr>
    </w:p>
    <w:p w14:paraId="7F17B1D9" w14:textId="5CC451F5" w:rsidR="00BA4ED6" w:rsidRPr="00CA5940" w:rsidRDefault="00BA4ED6" w:rsidP="008C4BA0">
      <w:pPr>
        <w:numPr>
          <w:ilvl w:val="0"/>
          <w:numId w:val="14"/>
        </w:numPr>
        <w:tabs>
          <w:tab w:val="clear" w:pos="720"/>
        </w:tabs>
        <w:ind w:left="851" w:hanging="425"/>
        <w:rPr>
          <w:rFonts w:eastAsia="Times New Roman" w:cstheme="minorHAnsi"/>
          <w:color w:val="000000"/>
          <w:sz w:val="22"/>
          <w:szCs w:val="22"/>
        </w:rPr>
      </w:pPr>
      <w:r w:rsidRPr="00CA5940">
        <w:rPr>
          <w:rFonts w:eastAsia="Times New Roman" w:cstheme="minorHAnsi"/>
          <w:color w:val="000000"/>
          <w:sz w:val="22"/>
          <w:szCs w:val="22"/>
        </w:rPr>
        <w:t xml:space="preserve">Au cours de la période </w:t>
      </w:r>
      <w:r w:rsidR="00D04FD7">
        <w:rPr>
          <w:rFonts w:eastAsia="Times New Roman" w:cstheme="minorHAnsi"/>
          <w:color w:val="000000"/>
          <w:sz w:val="22"/>
          <w:szCs w:val="22"/>
        </w:rPr>
        <w:t xml:space="preserve">couverte </w:t>
      </w:r>
      <w:r w:rsidR="009B67E9">
        <w:rPr>
          <w:rFonts w:eastAsia="Times New Roman" w:cstheme="minorHAnsi"/>
          <w:color w:val="000000"/>
          <w:sz w:val="22"/>
          <w:szCs w:val="22"/>
        </w:rPr>
        <w:t>par le rapport</w:t>
      </w:r>
      <w:r w:rsidRPr="00CA5940">
        <w:rPr>
          <w:rFonts w:eastAsia="Times New Roman" w:cstheme="minorHAnsi"/>
          <w:color w:val="000000"/>
          <w:sz w:val="22"/>
          <w:szCs w:val="22"/>
        </w:rPr>
        <w:t>, le Groupe d'évaluation scientifique et technique (GEST) a finalisé les résultats suivants, conformément aux demandes des Parties contractantes, comme indiqué dans son plan de travail :</w:t>
      </w:r>
    </w:p>
    <w:p w14:paraId="5F7ADD20" w14:textId="3FE54934" w:rsidR="00183774" w:rsidRPr="00CA5940" w:rsidRDefault="00183774" w:rsidP="008C4BA0">
      <w:pPr>
        <w:numPr>
          <w:ilvl w:val="1"/>
          <w:numId w:val="20"/>
        </w:numPr>
        <w:ind w:left="1276" w:hanging="425"/>
        <w:rPr>
          <w:rFonts w:eastAsia="Times New Roman" w:cstheme="minorHAnsi"/>
          <w:color w:val="000000"/>
          <w:sz w:val="22"/>
          <w:szCs w:val="22"/>
        </w:rPr>
      </w:pPr>
      <w:r w:rsidRPr="00CA5940">
        <w:rPr>
          <w:rFonts w:eastAsia="Times New Roman" w:cstheme="minorHAnsi"/>
          <w:color w:val="000000"/>
          <w:sz w:val="22"/>
          <w:szCs w:val="22"/>
        </w:rPr>
        <w:lastRenderedPageBreak/>
        <w:t xml:space="preserve">Orientations </w:t>
      </w:r>
      <w:r w:rsidR="0038734C">
        <w:rPr>
          <w:rFonts w:eastAsia="Times New Roman" w:cstheme="minorHAnsi"/>
          <w:color w:val="000000"/>
          <w:sz w:val="22"/>
          <w:szCs w:val="22"/>
        </w:rPr>
        <w:t xml:space="preserve">actualisées </w:t>
      </w:r>
      <w:r w:rsidRPr="00CA5940">
        <w:rPr>
          <w:rFonts w:eastAsia="Times New Roman" w:cstheme="minorHAnsi"/>
          <w:color w:val="000000"/>
          <w:sz w:val="22"/>
          <w:szCs w:val="22"/>
        </w:rPr>
        <w:t xml:space="preserve">sur l'application des Critères 6 et 9 </w:t>
      </w:r>
      <w:r w:rsidR="002E7C6B" w:rsidRPr="00CA5940">
        <w:rPr>
          <w:rFonts w:eastAsia="Times New Roman" w:cstheme="minorHAnsi"/>
          <w:color w:val="000000"/>
          <w:sz w:val="22"/>
          <w:szCs w:val="22"/>
        </w:rPr>
        <w:t>(</w:t>
      </w:r>
      <w:r w:rsidR="000B21A9" w:rsidRPr="00CA5940">
        <w:rPr>
          <w:rFonts w:eastAsia="Times New Roman" w:cstheme="minorHAnsi"/>
          <w:color w:val="000000"/>
          <w:sz w:val="22"/>
          <w:szCs w:val="22"/>
        </w:rPr>
        <w:t xml:space="preserve">dans les annexes </w:t>
      </w:r>
      <w:r w:rsidR="002C663E" w:rsidRPr="00CA5940">
        <w:rPr>
          <w:rFonts w:eastAsia="Times New Roman" w:cstheme="minorHAnsi"/>
          <w:color w:val="000000"/>
          <w:sz w:val="22"/>
          <w:szCs w:val="22"/>
        </w:rPr>
        <w:t xml:space="preserve">3 </w:t>
      </w:r>
      <w:r w:rsidR="000B21A9" w:rsidRPr="00CA5940">
        <w:rPr>
          <w:rFonts w:eastAsia="Times New Roman" w:cstheme="minorHAnsi"/>
          <w:color w:val="000000"/>
          <w:sz w:val="22"/>
          <w:szCs w:val="22"/>
        </w:rPr>
        <w:t xml:space="preserve">et </w:t>
      </w:r>
      <w:r w:rsidR="002C663E" w:rsidRPr="00CA5940">
        <w:rPr>
          <w:rFonts w:eastAsia="Times New Roman" w:cstheme="minorHAnsi"/>
          <w:color w:val="000000"/>
          <w:sz w:val="22"/>
          <w:szCs w:val="22"/>
        </w:rPr>
        <w:t xml:space="preserve">4 </w:t>
      </w:r>
      <w:r w:rsidR="000B21A9" w:rsidRPr="00CA5940">
        <w:rPr>
          <w:rFonts w:eastAsia="Times New Roman" w:cstheme="minorHAnsi"/>
          <w:color w:val="000000"/>
          <w:sz w:val="22"/>
          <w:szCs w:val="22"/>
        </w:rPr>
        <w:t xml:space="preserve">du document </w:t>
      </w:r>
      <w:r w:rsidR="00CE0CA8" w:rsidRPr="00CA5940">
        <w:rPr>
          <w:rFonts w:eastAsia="Times New Roman" w:cstheme="minorHAnsi"/>
          <w:color w:val="000000"/>
          <w:sz w:val="22"/>
          <w:szCs w:val="22"/>
        </w:rPr>
        <w:t xml:space="preserve">SC63 Doc.19, et </w:t>
      </w:r>
      <w:r w:rsidR="000B21A9" w:rsidRPr="00CA5940">
        <w:rPr>
          <w:rFonts w:eastAsia="Times New Roman" w:cstheme="minorHAnsi"/>
          <w:color w:val="000000"/>
          <w:sz w:val="22"/>
          <w:szCs w:val="22"/>
        </w:rPr>
        <w:t xml:space="preserve">dans le document </w:t>
      </w:r>
      <w:r w:rsidR="00800CDB" w:rsidRPr="00CA5940">
        <w:rPr>
          <w:rFonts w:eastAsia="Times New Roman" w:cstheme="minorHAnsi"/>
          <w:color w:val="000000"/>
          <w:sz w:val="22"/>
          <w:szCs w:val="22"/>
        </w:rPr>
        <w:t>COP15 Doc.23.12)</w:t>
      </w:r>
      <w:r w:rsidR="001C5B41" w:rsidRPr="00CA5940">
        <w:rPr>
          <w:rFonts w:eastAsia="Times New Roman" w:cstheme="minorHAnsi"/>
          <w:color w:val="000000"/>
          <w:sz w:val="22"/>
          <w:szCs w:val="22"/>
        </w:rPr>
        <w:t xml:space="preserve">, </w:t>
      </w:r>
      <w:r w:rsidR="0038734C">
        <w:rPr>
          <w:rFonts w:eastAsia="Times New Roman" w:cstheme="minorHAnsi"/>
          <w:color w:val="000000"/>
          <w:sz w:val="22"/>
          <w:szCs w:val="22"/>
        </w:rPr>
        <w:t xml:space="preserve">notamment </w:t>
      </w:r>
      <w:r w:rsidR="001C5B41" w:rsidRPr="00CA5940">
        <w:rPr>
          <w:rFonts w:eastAsia="Times New Roman" w:cstheme="minorHAnsi"/>
          <w:color w:val="000000"/>
          <w:sz w:val="22"/>
          <w:szCs w:val="22"/>
        </w:rPr>
        <w:t xml:space="preserve">orientations sur </w:t>
      </w:r>
      <w:r w:rsidR="0038734C">
        <w:rPr>
          <w:rFonts w:eastAsia="Times New Roman" w:cstheme="minorHAnsi"/>
          <w:color w:val="000000"/>
          <w:sz w:val="22"/>
          <w:szCs w:val="22"/>
        </w:rPr>
        <w:t>l’utilisation d’</w:t>
      </w:r>
      <w:r w:rsidR="001C5B41" w:rsidRPr="00CA5940">
        <w:rPr>
          <w:rFonts w:eastAsia="Times New Roman" w:cstheme="minorHAnsi"/>
          <w:color w:val="000000"/>
          <w:sz w:val="22"/>
          <w:szCs w:val="22"/>
        </w:rPr>
        <w:t>estimations de population alternatives dans le cadre du Critère 6 (</w:t>
      </w:r>
      <w:r w:rsidR="000B21A9" w:rsidRPr="00CA5940">
        <w:rPr>
          <w:rFonts w:eastAsia="Times New Roman" w:cstheme="minorHAnsi"/>
          <w:color w:val="000000"/>
          <w:sz w:val="22"/>
          <w:szCs w:val="22"/>
        </w:rPr>
        <w:t>dans l'</w:t>
      </w:r>
      <w:r w:rsidR="001C5B41" w:rsidRPr="00CA5940">
        <w:rPr>
          <w:rFonts w:eastAsia="Times New Roman" w:cstheme="minorHAnsi"/>
          <w:color w:val="000000"/>
          <w:sz w:val="22"/>
          <w:szCs w:val="22"/>
        </w:rPr>
        <w:t xml:space="preserve">annexe 2 </w:t>
      </w:r>
      <w:r w:rsidR="000B21A9" w:rsidRPr="00CA5940">
        <w:rPr>
          <w:rFonts w:eastAsia="Times New Roman" w:cstheme="minorHAnsi"/>
          <w:color w:val="000000"/>
          <w:sz w:val="22"/>
          <w:szCs w:val="22"/>
        </w:rPr>
        <w:t xml:space="preserve">du document </w:t>
      </w:r>
      <w:r w:rsidR="001C5B41" w:rsidRPr="00CA5940">
        <w:rPr>
          <w:rFonts w:eastAsia="Times New Roman" w:cstheme="minorHAnsi"/>
          <w:color w:val="000000"/>
          <w:sz w:val="22"/>
          <w:szCs w:val="22"/>
        </w:rPr>
        <w:t>SC64 Doc.18)</w:t>
      </w:r>
      <w:r w:rsidR="00FA629C" w:rsidRPr="00CA5940">
        <w:rPr>
          <w:rFonts w:eastAsia="Times New Roman" w:cstheme="minorHAnsi"/>
          <w:color w:val="000000"/>
          <w:sz w:val="22"/>
          <w:szCs w:val="22"/>
        </w:rPr>
        <w:t xml:space="preserve">. </w:t>
      </w:r>
    </w:p>
    <w:p w14:paraId="0781FE5A" w14:textId="278F61BA" w:rsidR="00183774" w:rsidRPr="00CA5940" w:rsidRDefault="00183774" w:rsidP="008C4BA0">
      <w:pPr>
        <w:numPr>
          <w:ilvl w:val="1"/>
          <w:numId w:val="20"/>
        </w:numPr>
        <w:ind w:left="1276" w:hanging="425"/>
        <w:rPr>
          <w:rFonts w:eastAsia="Times New Roman" w:cstheme="minorHAnsi"/>
          <w:color w:val="000000"/>
          <w:sz w:val="22"/>
          <w:szCs w:val="22"/>
        </w:rPr>
      </w:pPr>
      <w:r w:rsidRPr="00CA5940">
        <w:rPr>
          <w:rFonts w:eastAsia="Times New Roman" w:cstheme="minorHAnsi"/>
          <w:color w:val="000000"/>
          <w:sz w:val="22"/>
          <w:szCs w:val="22"/>
        </w:rPr>
        <w:t xml:space="preserve">Proposition technique pour un </w:t>
      </w:r>
      <w:r w:rsidR="0038734C" w:rsidRPr="0038734C">
        <w:rPr>
          <w:rFonts w:eastAsia="Times New Roman" w:cstheme="minorHAnsi"/>
          <w:color w:val="000000"/>
          <w:sz w:val="22"/>
          <w:szCs w:val="22"/>
        </w:rPr>
        <w:t>Partenariat mondial pour les estimations des oiseaux d’eau</w:t>
      </w:r>
      <w:r w:rsidRPr="00CA5940">
        <w:rPr>
          <w:rFonts w:eastAsia="Times New Roman" w:cstheme="minorHAnsi"/>
          <w:color w:val="000000"/>
          <w:sz w:val="22"/>
          <w:szCs w:val="22"/>
        </w:rPr>
        <w:t xml:space="preserve"> et préparation du WPE2027 </w:t>
      </w:r>
      <w:r w:rsidR="00A830B2" w:rsidRPr="00CA5940">
        <w:rPr>
          <w:rFonts w:eastAsia="Times New Roman" w:cstheme="minorHAnsi"/>
          <w:color w:val="000000"/>
          <w:sz w:val="22"/>
          <w:szCs w:val="22"/>
        </w:rPr>
        <w:t>(</w:t>
      </w:r>
      <w:r w:rsidR="0038734C">
        <w:rPr>
          <w:rFonts w:eastAsia="Times New Roman" w:cstheme="minorHAnsi"/>
          <w:color w:val="000000"/>
          <w:sz w:val="22"/>
          <w:szCs w:val="22"/>
        </w:rPr>
        <w:t>à l’</w:t>
      </w:r>
      <w:r w:rsidR="002C663E" w:rsidRPr="00CA5940">
        <w:rPr>
          <w:rFonts w:eastAsia="Times New Roman" w:cstheme="minorHAnsi"/>
          <w:color w:val="000000"/>
          <w:sz w:val="22"/>
          <w:szCs w:val="22"/>
        </w:rPr>
        <w:t xml:space="preserve">annexe 5 </w:t>
      </w:r>
      <w:r w:rsidR="000B21A9" w:rsidRPr="00CA5940">
        <w:rPr>
          <w:rFonts w:eastAsia="Times New Roman" w:cstheme="minorHAnsi"/>
          <w:color w:val="000000"/>
          <w:sz w:val="22"/>
          <w:szCs w:val="22"/>
        </w:rPr>
        <w:t xml:space="preserve">du document </w:t>
      </w:r>
      <w:r w:rsidR="002C663E" w:rsidRPr="00CA5940">
        <w:rPr>
          <w:rFonts w:eastAsia="Times New Roman" w:cstheme="minorHAnsi"/>
          <w:color w:val="000000"/>
          <w:sz w:val="22"/>
          <w:szCs w:val="22"/>
        </w:rPr>
        <w:t xml:space="preserve">SC63 Doc.19, </w:t>
      </w:r>
      <w:r w:rsidR="000B21A9" w:rsidRPr="00CA5940">
        <w:rPr>
          <w:rFonts w:eastAsia="Times New Roman" w:cstheme="minorHAnsi"/>
          <w:color w:val="000000"/>
          <w:sz w:val="22"/>
          <w:szCs w:val="22"/>
        </w:rPr>
        <w:t xml:space="preserve">au document </w:t>
      </w:r>
      <w:r w:rsidR="00A830B2" w:rsidRPr="00CA5940">
        <w:rPr>
          <w:rFonts w:eastAsia="Times New Roman" w:cstheme="minorHAnsi"/>
          <w:color w:val="000000"/>
          <w:sz w:val="22"/>
          <w:szCs w:val="22"/>
        </w:rPr>
        <w:t xml:space="preserve">SC63 Doc.20, et </w:t>
      </w:r>
      <w:r w:rsidR="000B21A9" w:rsidRPr="00CA5940">
        <w:rPr>
          <w:rFonts w:eastAsia="Times New Roman" w:cstheme="minorHAnsi"/>
          <w:color w:val="000000"/>
          <w:sz w:val="22"/>
          <w:szCs w:val="22"/>
        </w:rPr>
        <w:t xml:space="preserve">au document </w:t>
      </w:r>
      <w:r w:rsidR="00A830B2" w:rsidRPr="00CA5940">
        <w:rPr>
          <w:rFonts w:eastAsia="Times New Roman" w:cstheme="minorHAnsi"/>
          <w:color w:val="000000"/>
          <w:sz w:val="22"/>
          <w:szCs w:val="22"/>
        </w:rPr>
        <w:t>COP15 Doc.23.11)</w:t>
      </w:r>
      <w:r w:rsidR="00FA629C" w:rsidRPr="00CA5940">
        <w:rPr>
          <w:rFonts w:eastAsia="Times New Roman" w:cstheme="minorHAnsi"/>
          <w:color w:val="000000"/>
          <w:sz w:val="22"/>
          <w:szCs w:val="22"/>
        </w:rPr>
        <w:t>.</w:t>
      </w:r>
    </w:p>
    <w:p w14:paraId="37EC3914" w14:textId="451E9EB1" w:rsidR="00183774" w:rsidRPr="00CA5940" w:rsidRDefault="00BB25CC" w:rsidP="008C4BA0">
      <w:pPr>
        <w:numPr>
          <w:ilvl w:val="1"/>
          <w:numId w:val="20"/>
        </w:numPr>
        <w:ind w:left="1276" w:hanging="425"/>
        <w:rPr>
          <w:rFonts w:eastAsia="Times New Roman" w:cstheme="minorHAnsi"/>
          <w:color w:val="000000"/>
          <w:sz w:val="22"/>
          <w:szCs w:val="22"/>
        </w:rPr>
      </w:pPr>
      <w:r>
        <w:rPr>
          <w:rFonts w:eastAsia="Times New Roman" w:cstheme="minorHAnsi"/>
          <w:color w:val="000000"/>
          <w:sz w:val="22"/>
          <w:szCs w:val="22"/>
        </w:rPr>
        <w:t xml:space="preserve">Note d’orientation </w:t>
      </w:r>
      <w:r w:rsidR="00C74445" w:rsidRPr="00CA5940">
        <w:rPr>
          <w:rFonts w:eastAsia="Times New Roman" w:cstheme="minorHAnsi"/>
          <w:color w:val="000000"/>
          <w:sz w:val="22"/>
          <w:szCs w:val="22"/>
        </w:rPr>
        <w:t xml:space="preserve">7 </w:t>
      </w:r>
      <w:r w:rsidR="00183774" w:rsidRPr="00CA5940">
        <w:rPr>
          <w:rFonts w:eastAsia="Times New Roman" w:cstheme="minorHAnsi"/>
          <w:color w:val="000000"/>
          <w:sz w:val="22"/>
          <w:szCs w:val="22"/>
        </w:rPr>
        <w:t>sur les petites zones humides, soulignant leur valeur écologique et la nécessité d'une surveillance et d'une protection ciblées</w:t>
      </w:r>
      <w:r w:rsidR="00FA629C" w:rsidRPr="00CA5940">
        <w:rPr>
          <w:rFonts w:eastAsia="Times New Roman" w:cstheme="minorHAnsi"/>
          <w:color w:val="000000"/>
          <w:sz w:val="22"/>
          <w:szCs w:val="22"/>
        </w:rPr>
        <w:t>.</w:t>
      </w:r>
    </w:p>
    <w:p w14:paraId="41E8DE2E" w14:textId="28E95644" w:rsidR="00183774" w:rsidRPr="00CA5940" w:rsidRDefault="00183774" w:rsidP="008C4BA0">
      <w:pPr>
        <w:numPr>
          <w:ilvl w:val="1"/>
          <w:numId w:val="20"/>
        </w:numPr>
        <w:ind w:left="1276" w:hanging="425"/>
        <w:rPr>
          <w:rFonts w:eastAsia="Times New Roman" w:cstheme="minorHAnsi"/>
          <w:color w:val="000000"/>
          <w:sz w:val="22"/>
          <w:szCs w:val="22"/>
        </w:rPr>
      </w:pPr>
      <w:r w:rsidRPr="00CA5940">
        <w:rPr>
          <w:rFonts w:eastAsia="Times New Roman" w:cstheme="minorHAnsi"/>
          <w:color w:val="000000"/>
          <w:sz w:val="22"/>
          <w:szCs w:val="22"/>
        </w:rPr>
        <w:t xml:space="preserve">Note d'information </w:t>
      </w:r>
      <w:r w:rsidR="00072855" w:rsidRPr="00CA5940">
        <w:rPr>
          <w:rFonts w:eastAsia="Times New Roman" w:cstheme="minorHAnsi"/>
          <w:color w:val="000000"/>
          <w:sz w:val="22"/>
          <w:szCs w:val="22"/>
        </w:rPr>
        <w:t xml:space="preserve">13 </w:t>
      </w:r>
      <w:r w:rsidRPr="00CA5940">
        <w:rPr>
          <w:rFonts w:eastAsia="Times New Roman" w:cstheme="minorHAnsi"/>
          <w:color w:val="000000"/>
          <w:sz w:val="22"/>
          <w:szCs w:val="22"/>
        </w:rPr>
        <w:t>sur les zones humides en tant qu'</w:t>
      </w:r>
      <w:r w:rsidR="000B21A9" w:rsidRPr="00CA5940">
        <w:rPr>
          <w:rFonts w:eastAsia="Times New Roman" w:cstheme="minorHAnsi"/>
          <w:color w:val="000000"/>
          <w:sz w:val="22"/>
          <w:szCs w:val="22"/>
        </w:rPr>
        <w:t xml:space="preserve">autres mesures de conservation </w:t>
      </w:r>
      <w:r w:rsidR="00BB25CC">
        <w:rPr>
          <w:rFonts w:eastAsia="Times New Roman" w:cstheme="minorHAnsi"/>
          <w:color w:val="000000"/>
          <w:sz w:val="22"/>
          <w:szCs w:val="22"/>
        </w:rPr>
        <w:t xml:space="preserve">efficaces </w:t>
      </w:r>
      <w:r w:rsidR="00983011">
        <w:rPr>
          <w:rFonts w:eastAsia="Times New Roman" w:cstheme="minorHAnsi"/>
          <w:color w:val="000000"/>
          <w:sz w:val="22"/>
          <w:szCs w:val="22"/>
        </w:rPr>
        <w:t xml:space="preserve">par </w:t>
      </w:r>
      <w:r w:rsidR="000B21A9" w:rsidRPr="00CA5940">
        <w:rPr>
          <w:rFonts w:eastAsia="Times New Roman" w:cstheme="minorHAnsi"/>
          <w:color w:val="000000"/>
          <w:sz w:val="22"/>
          <w:szCs w:val="22"/>
        </w:rPr>
        <w:t xml:space="preserve">zone </w:t>
      </w:r>
      <w:r w:rsidRPr="00CA5940">
        <w:rPr>
          <w:rFonts w:eastAsia="Times New Roman" w:cstheme="minorHAnsi"/>
          <w:color w:val="000000"/>
          <w:sz w:val="22"/>
          <w:szCs w:val="22"/>
        </w:rPr>
        <w:t>(</w:t>
      </w:r>
      <w:r w:rsidR="00983011">
        <w:rPr>
          <w:rFonts w:eastAsia="Times New Roman" w:cstheme="minorHAnsi"/>
          <w:color w:val="000000"/>
          <w:sz w:val="22"/>
          <w:szCs w:val="22"/>
        </w:rPr>
        <w:t>AMCE</w:t>
      </w:r>
      <w:r w:rsidRPr="00CA5940">
        <w:rPr>
          <w:rFonts w:eastAsia="Times New Roman" w:cstheme="minorHAnsi"/>
          <w:color w:val="000000"/>
          <w:sz w:val="22"/>
          <w:szCs w:val="22"/>
        </w:rPr>
        <w:t>)</w:t>
      </w:r>
      <w:r w:rsidR="00983011">
        <w:rPr>
          <w:rFonts w:eastAsia="Times New Roman" w:cstheme="minorHAnsi"/>
          <w:color w:val="000000"/>
          <w:sz w:val="22"/>
          <w:szCs w:val="22"/>
        </w:rPr>
        <w:t>.</w:t>
      </w:r>
    </w:p>
    <w:p w14:paraId="62C5F928" w14:textId="71F91040" w:rsidR="00183774" w:rsidRPr="00CA5940" w:rsidRDefault="00183774" w:rsidP="008C4BA0">
      <w:pPr>
        <w:numPr>
          <w:ilvl w:val="1"/>
          <w:numId w:val="20"/>
        </w:numPr>
        <w:ind w:left="1276" w:hanging="425"/>
        <w:rPr>
          <w:rFonts w:eastAsia="Times New Roman" w:cstheme="minorHAnsi"/>
          <w:color w:val="000000"/>
          <w:sz w:val="22"/>
          <w:szCs w:val="22"/>
        </w:rPr>
      </w:pPr>
      <w:r w:rsidRPr="00CA5940">
        <w:rPr>
          <w:rFonts w:eastAsia="Times New Roman" w:cstheme="minorHAnsi"/>
          <w:color w:val="000000"/>
          <w:sz w:val="22"/>
          <w:szCs w:val="22"/>
        </w:rPr>
        <w:t xml:space="preserve">Rapport technique </w:t>
      </w:r>
      <w:r w:rsidR="00072855" w:rsidRPr="00CA5940">
        <w:rPr>
          <w:rFonts w:eastAsia="Times New Roman" w:cstheme="minorHAnsi"/>
          <w:color w:val="000000"/>
          <w:sz w:val="22"/>
          <w:szCs w:val="22"/>
        </w:rPr>
        <w:t xml:space="preserve">12 </w:t>
      </w:r>
      <w:r w:rsidRPr="00CA5940">
        <w:rPr>
          <w:rFonts w:eastAsia="Times New Roman" w:cstheme="minorHAnsi"/>
          <w:color w:val="000000"/>
          <w:sz w:val="22"/>
          <w:szCs w:val="22"/>
        </w:rPr>
        <w:t>et document d'information sur l'intégration des zones humides dans les stratégies et plans d'action nationaux en matière de biodiversité.</w:t>
      </w:r>
    </w:p>
    <w:p w14:paraId="5C44FC12" w14:textId="1FC37843" w:rsidR="00072855" w:rsidRPr="00CA5940" w:rsidRDefault="00072855" w:rsidP="008C4BA0">
      <w:pPr>
        <w:numPr>
          <w:ilvl w:val="1"/>
          <w:numId w:val="20"/>
        </w:numPr>
        <w:ind w:left="1276" w:hanging="425"/>
        <w:rPr>
          <w:rFonts w:eastAsia="Times New Roman" w:cstheme="minorHAnsi"/>
          <w:color w:val="000000"/>
          <w:sz w:val="22"/>
          <w:szCs w:val="22"/>
        </w:rPr>
      </w:pPr>
      <w:r w:rsidRPr="00CA5940">
        <w:rPr>
          <w:rFonts w:eastAsia="Times New Roman" w:cstheme="minorHAnsi"/>
          <w:color w:val="000000"/>
          <w:sz w:val="22"/>
          <w:szCs w:val="22"/>
        </w:rPr>
        <w:t xml:space="preserve">Le </w:t>
      </w:r>
      <w:r w:rsidR="00983011">
        <w:rPr>
          <w:rFonts w:eastAsia="Times New Roman" w:cstheme="minorHAnsi"/>
          <w:color w:val="000000"/>
          <w:sz w:val="22"/>
          <w:szCs w:val="22"/>
        </w:rPr>
        <w:t>R</w:t>
      </w:r>
      <w:r w:rsidRPr="00CA5940">
        <w:rPr>
          <w:rFonts w:eastAsia="Times New Roman" w:cstheme="minorHAnsi"/>
          <w:color w:val="000000"/>
          <w:sz w:val="22"/>
          <w:szCs w:val="22"/>
        </w:rPr>
        <w:t>apport technique 13 fournit des orientations sur la cartographie des zones humides pour les évaluations du carbone</w:t>
      </w:r>
      <w:r w:rsidR="00983011">
        <w:rPr>
          <w:rFonts w:eastAsia="Times New Roman" w:cstheme="minorHAnsi"/>
          <w:color w:val="000000"/>
          <w:sz w:val="22"/>
          <w:szCs w:val="22"/>
        </w:rPr>
        <w:t>.</w:t>
      </w:r>
      <w:r w:rsidRPr="00CA5940">
        <w:rPr>
          <w:rFonts w:eastAsia="Times New Roman" w:cstheme="minorHAnsi"/>
          <w:color w:val="000000"/>
          <w:sz w:val="22"/>
          <w:szCs w:val="22"/>
        </w:rPr>
        <w:t xml:space="preserve"> </w:t>
      </w:r>
    </w:p>
    <w:p w14:paraId="5FF46CFD" w14:textId="563EBBDA" w:rsidR="00183774" w:rsidRPr="00CA5940" w:rsidRDefault="00183774" w:rsidP="008C4BA0">
      <w:pPr>
        <w:numPr>
          <w:ilvl w:val="1"/>
          <w:numId w:val="20"/>
        </w:numPr>
        <w:ind w:left="1276" w:hanging="425"/>
        <w:rPr>
          <w:rFonts w:eastAsia="Times New Roman" w:cstheme="minorHAnsi"/>
          <w:color w:val="000000"/>
          <w:sz w:val="22"/>
          <w:szCs w:val="22"/>
        </w:rPr>
      </w:pPr>
      <w:r w:rsidRPr="00CA5940">
        <w:rPr>
          <w:rFonts w:eastAsia="Times New Roman" w:cstheme="minorHAnsi"/>
          <w:color w:val="000000"/>
          <w:sz w:val="22"/>
          <w:szCs w:val="22"/>
        </w:rPr>
        <w:t xml:space="preserve">Méthodologie pour les futures Perspectives mondiales </w:t>
      </w:r>
      <w:r w:rsidR="00844A6C">
        <w:rPr>
          <w:rFonts w:eastAsia="Times New Roman" w:cstheme="minorHAnsi"/>
          <w:color w:val="000000"/>
          <w:sz w:val="22"/>
          <w:szCs w:val="22"/>
        </w:rPr>
        <w:t>des</w:t>
      </w:r>
      <w:r w:rsidRPr="00CA5940">
        <w:rPr>
          <w:rFonts w:eastAsia="Times New Roman" w:cstheme="minorHAnsi"/>
          <w:color w:val="000000"/>
          <w:sz w:val="22"/>
          <w:szCs w:val="22"/>
        </w:rPr>
        <w:t xml:space="preserve"> zones humides </w:t>
      </w:r>
      <w:r w:rsidR="00D82A6A" w:rsidRPr="00CA5940">
        <w:rPr>
          <w:rFonts w:eastAsia="Times New Roman" w:cstheme="minorHAnsi"/>
          <w:color w:val="000000"/>
          <w:sz w:val="22"/>
          <w:szCs w:val="22"/>
        </w:rPr>
        <w:t>(</w:t>
      </w:r>
      <w:r w:rsidR="000B21A9" w:rsidRPr="00CA5940">
        <w:rPr>
          <w:rFonts w:eastAsia="Times New Roman" w:cstheme="minorHAnsi"/>
          <w:color w:val="000000"/>
          <w:sz w:val="22"/>
          <w:szCs w:val="22"/>
        </w:rPr>
        <w:t>dans l'</w:t>
      </w:r>
      <w:r w:rsidR="00D82A6A" w:rsidRPr="00CA5940">
        <w:rPr>
          <w:rFonts w:eastAsia="Times New Roman" w:cstheme="minorHAnsi"/>
          <w:color w:val="000000"/>
          <w:sz w:val="22"/>
          <w:szCs w:val="22"/>
        </w:rPr>
        <w:t xml:space="preserve">annexe </w:t>
      </w:r>
      <w:r w:rsidR="00350DAD" w:rsidRPr="00CA5940">
        <w:rPr>
          <w:rFonts w:eastAsia="Times New Roman" w:cstheme="minorHAnsi"/>
          <w:color w:val="000000"/>
          <w:sz w:val="22"/>
          <w:szCs w:val="22"/>
        </w:rPr>
        <w:t xml:space="preserve">4 </w:t>
      </w:r>
      <w:r w:rsidR="000B21A9" w:rsidRPr="00CA5940">
        <w:rPr>
          <w:rFonts w:eastAsia="Times New Roman" w:cstheme="minorHAnsi"/>
          <w:color w:val="000000"/>
          <w:sz w:val="22"/>
          <w:szCs w:val="22"/>
        </w:rPr>
        <w:t xml:space="preserve">du document </w:t>
      </w:r>
      <w:r w:rsidR="00350DAD" w:rsidRPr="00CA5940">
        <w:rPr>
          <w:rFonts w:eastAsia="Times New Roman" w:cstheme="minorHAnsi"/>
          <w:color w:val="000000"/>
          <w:sz w:val="22"/>
          <w:szCs w:val="22"/>
        </w:rPr>
        <w:t xml:space="preserve">SC64 </w:t>
      </w:r>
      <w:r w:rsidR="00AB39B9" w:rsidRPr="00CA5940">
        <w:rPr>
          <w:rFonts w:eastAsia="Times New Roman" w:cstheme="minorHAnsi"/>
          <w:color w:val="000000"/>
          <w:sz w:val="22"/>
          <w:szCs w:val="22"/>
        </w:rPr>
        <w:t>Doc.</w:t>
      </w:r>
      <w:r w:rsidR="00350DAD" w:rsidRPr="00CA5940">
        <w:rPr>
          <w:rFonts w:eastAsia="Times New Roman" w:cstheme="minorHAnsi"/>
          <w:color w:val="000000"/>
          <w:sz w:val="22"/>
          <w:szCs w:val="22"/>
        </w:rPr>
        <w:t>18</w:t>
      </w:r>
      <w:r w:rsidR="00AB39B9" w:rsidRPr="00CA5940">
        <w:rPr>
          <w:rFonts w:eastAsia="Times New Roman" w:cstheme="minorHAnsi"/>
          <w:color w:val="000000"/>
          <w:sz w:val="22"/>
          <w:szCs w:val="22"/>
        </w:rPr>
        <w:t>)</w:t>
      </w:r>
      <w:r w:rsidRPr="00CA5940">
        <w:rPr>
          <w:rFonts w:eastAsia="Times New Roman" w:cstheme="minorHAnsi"/>
          <w:color w:val="000000"/>
          <w:sz w:val="22"/>
          <w:szCs w:val="22"/>
        </w:rPr>
        <w:t>.</w:t>
      </w:r>
    </w:p>
    <w:p w14:paraId="1E9F1901" w14:textId="5E174138" w:rsidR="00183774" w:rsidRPr="00CA5940" w:rsidRDefault="00844A6C" w:rsidP="008C4BA0">
      <w:pPr>
        <w:numPr>
          <w:ilvl w:val="1"/>
          <w:numId w:val="20"/>
        </w:numPr>
        <w:ind w:left="1276" w:hanging="425"/>
        <w:rPr>
          <w:rFonts w:eastAsia="Times New Roman" w:cstheme="minorHAnsi"/>
          <w:color w:val="000000"/>
          <w:sz w:val="22"/>
          <w:szCs w:val="22"/>
        </w:rPr>
      </w:pPr>
      <w:r>
        <w:rPr>
          <w:rFonts w:eastAsia="Times New Roman" w:cstheme="minorHAnsi"/>
          <w:color w:val="000000"/>
          <w:sz w:val="22"/>
          <w:szCs w:val="22"/>
        </w:rPr>
        <w:t>Portée de l’e</w:t>
      </w:r>
      <w:r w:rsidR="00183774" w:rsidRPr="00CA5940">
        <w:rPr>
          <w:rFonts w:eastAsia="Times New Roman" w:cstheme="minorHAnsi"/>
          <w:color w:val="000000"/>
          <w:sz w:val="22"/>
          <w:szCs w:val="22"/>
        </w:rPr>
        <w:t xml:space="preserve">xamen des cadres juridiques et politiques </w:t>
      </w:r>
      <w:r w:rsidR="00350DAD" w:rsidRPr="00CA5940">
        <w:rPr>
          <w:rFonts w:eastAsia="Times New Roman" w:cstheme="minorHAnsi"/>
          <w:color w:val="000000"/>
          <w:sz w:val="22"/>
          <w:szCs w:val="22"/>
        </w:rPr>
        <w:t>(</w:t>
      </w:r>
      <w:r w:rsidR="000B21A9" w:rsidRPr="00CA5940">
        <w:rPr>
          <w:rFonts w:eastAsia="Times New Roman" w:cstheme="minorHAnsi"/>
          <w:color w:val="000000"/>
          <w:sz w:val="22"/>
          <w:szCs w:val="22"/>
        </w:rPr>
        <w:t>dans l'</w:t>
      </w:r>
      <w:r w:rsidR="00350DAD" w:rsidRPr="00CA5940">
        <w:rPr>
          <w:rFonts w:eastAsia="Times New Roman" w:cstheme="minorHAnsi"/>
          <w:color w:val="000000"/>
          <w:sz w:val="22"/>
          <w:szCs w:val="22"/>
        </w:rPr>
        <w:t xml:space="preserve">annexe 3 </w:t>
      </w:r>
      <w:r w:rsidR="000B21A9" w:rsidRPr="00CA5940">
        <w:rPr>
          <w:rFonts w:eastAsia="Times New Roman" w:cstheme="minorHAnsi"/>
          <w:color w:val="000000"/>
          <w:sz w:val="22"/>
          <w:szCs w:val="22"/>
        </w:rPr>
        <w:t xml:space="preserve">du document </w:t>
      </w:r>
      <w:r w:rsidR="00350DAD" w:rsidRPr="00CA5940">
        <w:rPr>
          <w:rFonts w:eastAsia="Times New Roman" w:cstheme="minorHAnsi"/>
          <w:color w:val="000000"/>
          <w:sz w:val="22"/>
          <w:szCs w:val="22"/>
        </w:rPr>
        <w:t>SC64 Doc.18)</w:t>
      </w:r>
      <w:r w:rsidR="00183774" w:rsidRPr="00CA5940">
        <w:rPr>
          <w:rFonts w:eastAsia="Times New Roman" w:cstheme="minorHAnsi"/>
          <w:color w:val="000000"/>
          <w:sz w:val="22"/>
          <w:szCs w:val="22"/>
        </w:rPr>
        <w:t>.</w:t>
      </w:r>
    </w:p>
    <w:p w14:paraId="22F9BF8E" w14:textId="351FC04E" w:rsidR="0008645C" w:rsidRPr="00CA5940" w:rsidRDefault="0008645C" w:rsidP="008C4BA0">
      <w:pPr>
        <w:numPr>
          <w:ilvl w:val="1"/>
          <w:numId w:val="20"/>
        </w:numPr>
        <w:ind w:left="1276" w:hanging="425"/>
        <w:rPr>
          <w:rFonts w:eastAsia="Times New Roman" w:cstheme="minorHAnsi"/>
          <w:color w:val="000000"/>
          <w:sz w:val="22"/>
          <w:szCs w:val="22"/>
        </w:rPr>
      </w:pPr>
      <w:r w:rsidRPr="00CA5940">
        <w:rPr>
          <w:rFonts w:eastAsia="Times New Roman" w:cstheme="minorHAnsi"/>
          <w:color w:val="000000"/>
          <w:sz w:val="22"/>
          <w:szCs w:val="22"/>
        </w:rPr>
        <w:t xml:space="preserve">Soumission de la Convention sur les zones humides à la 6e session du Groupe ad hoc technique </w:t>
      </w:r>
      <w:r w:rsidR="000B21A9" w:rsidRPr="00CA5940">
        <w:rPr>
          <w:rFonts w:eastAsia="Times New Roman" w:cstheme="minorHAnsi"/>
          <w:color w:val="000000"/>
          <w:sz w:val="22"/>
          <w:szCs w:val="22"/>
        </w:rPr>
        <w:t>et d'</w:t>
      </w:r>
      <w:r w:rsidRPr="00CA5940">
        <w:rPr>
          <w:rFonts w:eastAsia="Times New Roman" w:cstheme="minorHAnsi"/>
          <w:color w:val="000000"/>
          <w:sz w:val="22"/>
          <w:szCs w:val="22"/>
        </w:rPr>
        <w:t xml:space="preserve">experts sur les indicateurs de la prise en compte effective des zones humides dans le cadre </w:t>
      </w:r>
      <w:r w:rsidR="000B21A9" w:rsidRPr="00CA5940">
        <w:rPr>
          <w:rFonts w:eastAsia="Times New Roman" w:cstheme="minorHAnsi"/>
          <w:color w:val="000000"/>
          <w:sz w:val="22"/>
          <w:szCs w:val="22"/>
        </w:rPr>
        <w:t xml:space="preserve">de suivi du Cadre mondial </w:t>
      </w:r>
      <w:r w:rsidR="00C519A3">
        <w:rPr>
          <w:rFonts w:eastAsia="Times New Roman" w:cstheme="minorHAnsi"/>
          <w:color w:val="000000"/>
          <w:sz w:val="22"/>
          <w:szCs w:val="22"/>
        </w:rPr>
        <w:t>de</w:t>
      </w:r>
      <w:r w:rsidR="000B21A9" w:rsidRPr="00CA5940">
        <w:rPr>
          <w:rFonts w:eastAsia="Times New Roman" w:cstheme="minorHAnsi"/>
          <w:color w:val="000000"/>
          <w:sz w:val="22"/>
          <w:szCs w:val="22"/>
        </w:rPr>
        <w:t xml:space="preserve"> la biodiversité </w:t>
      </w:r>
      <w:r w:rsidR="00C519A3">
        <w:rPr>
          <w:rFonts w:eastAsia="Times New Roman" w:cstheme="minorHAnsi"/>
          <w:color w:val="000000"/>
          <w:sz w:val="22"/>
          <w:szCs w:val="22"/>
        </w:rPr>
        <w:t xml:space="preserve">de </w:t>
      </w:r>
      <w:r w:rsidR="000B21A9" w:rsidRPr="00CA5940">
        <w:rPr>
          <w:rFonts w:eastAsia="Times New Roman" w:cstheme="minorHAnsi"/>
          <w:color w:val="000000"/>
          <w:sz w:val="22"/>
          <w:szCs w:val="22"/>
        </w:rPr>
        <w:t xml:space="preserve">Kunming-Montréal </w:t>
      </w:r>
      <w:r w:rsidRPr="00CA5940">
        <w:rPr>
          <w:rFonts w:eastAsia="Times New Roman" w:cstheme="minorHAnsi"/>
          <w:color w:val="000000"/>
          <w:sz w:val="22"/>
          <w:szCs w:val="22"/>
        </w:rPr>
        <w:t>(</w:t>
      </w:r>
      <w:r w:rsidR="000B21A9" w:rsidRPr="00CA5940">
        <w:rPr>
          <w:rFonts w:eastAsia="Times New Roman" w:cstheme="minorHAnsi"/>
          <w:color w:val="000000"/>
          <w:sz w:val="22"/>
          <w:szCs w:val="22"/>
        </w:rPr>
        <w:t xml:space="preserve">dans le document d'information </w:t>
      </w:r>
      <w:r w:rsidRPr="00CA5940">
        <w:rPr>
          <w:rFonts w:eastAsia="Times New Roman" w:cstheme="minorHAnsi"/>
          <w:color w:val="000000"/>
          <w:sz w:val="22"/>
          <w:szCs w:val="22"/>
        </w:rPr>
        <w:t>SC63 Inf.3).</w:t>
      </w:r>
    </w:p>
    <w:p w14:paraId="01B53310" w14:textId="4E46A54E" w:rsidR="003D545F" w:rsidRPr="00CA5940" w:rsidRDefault="009E6D74" w:rsidP="008C4BA0">
      <w:pPr>
        <w:numPr>
          <w:ilvl w:val="1"/>
          <w:numId w:val="20"/>
        </w:numPr>
        <w:ind w:left="1276" w:hanging="425"/>
        <w:rPr>
          <w:rFonts w:eastAsia="Times New Roman" w:cstheme="minorHAnsi"/>
          <w:color w:val="000000"/>
          <w:sz w:val="22"/>
          <w:szCs w:val="22"/>
        </w:rPr>
      </w:pPr>
      <w:r w:rsidRPr="00CA5940">
        <w:rPr>
          <w:rFonts w:eastAsia="Times New Roman" w:cstheme="minorHAnsi"/>
          <w:color w:val="000000"/>
          <w:sz w:val="22"/>
          <w:szCs w:val="22"/>
        </w:rPr>
        <w:t xml:space="preserve">Cours de formation conjoint en ligne : </w:t>
      </w:r>
      <w:r w:rsidR="00C519A3">
        <w:rPr>
          <w:rFonts w:eastAsia="Times New Roman" w:cstheme="minorHAnsi"/>
          <w:color w:val="000000"/>
          <w:sz w:val="22"/>
          <w:szCs w:val="22"/>
        </w:rPr>
        <w:t xml:space="preserve">Wetlands </w:t>
      </w:r>
      <w:r w:rsidRPr="00CA5940">
        <w:rPr>
          <w:rFonts w:eastAsia="Times New Roman" w:cstheme="minorHAnsi"/>
          <w:color w:val="000000"/>
          <w:sz w:val="22"/>
          <w:szCs w:val="22"/>
        </w:rPr>
        <w:t>and agriculture - Pathways to sustainability (</w:t>
      </w:r>
      <w:r w:rsidR="000B21A9" w:rsidRPr="00CA5940">
        <w:rPr>
          <w:rFonts w:eastAsia="Times New Roman" w:cstheme="minorHAnsi"/>
          <w:color w:val="000000"/>
          <w:sz w:val="22"/>
          <w:szCs w:val="22"/>
        </w:rPr>
        <w:t>dans l'</w:t>
      </w:r>
      <w:r w:rsidRPr="00CA5940">
        <w:rPr>
          <w:rFonts w:eastAsia="Times New Roman" w:cstheme="minorHAnsi"/>
          <w:color w:val="000000"/>
          <w:sz w:val="22"/>
          <w:szCs w:val="22"/>
        </w:rPr>
        <w:t xml:space="preserve">Académie </w:t>
      </w:r>
      <w:r w:rsidR="00C519A3">
        <w:rPr>
          <w:rFonts w:eastAsia="Times New Roman" w:cstheme="minorHAnsi"/>
          <w:color w:val="000000"/>
          <w:sz w:val="22"/>
          <w:szCs w:val="22"/>
        </w:rPr>
        <w:t xml:space="preserve">numérique </w:t>
      </w:r>
      <w:r w:rsidRPr="00CA5940">
        <w:rPr>
          <w:rFonts w:eastAsia="Times New Roman" w:cstheme="minorHAnsi"/>
          <w:color w:val="000000"/>
          <w:sz w:val="22"/>
          <w:szCs w:val="22"/>
        </w:rPr>
        <w:t>de la FAO).</w:t>
      </w:r>
    </w:p>
    <w:p w14:paraId="6E34B949" w14:textId="77777777" w:rsidR="00183774" w:rsidRPr="00CA5940" w:rsidRDefault="00183774" w:rsidP="008C4BA0">
      <w:pPr>
        <w:rPr>
          <w:rFonts w:eastAsia="Times New Roman" w:cstheme="minorHAnsi"/>
          <w:color w:val="000000"/>
          <w:sz w:val="22"/>
          <w:szCs w:val="22"/>
          <w:highlight w:val="yellow"/>
        </w:rPr>
      </w:pPr>
    </w:p>
    <w:p w14:paraId="6EAA8ACF" w14:textId="3A186236" w:rsidR="00BC2E1D" w:rsidRPr="000C33DF" w:rsidRDefault="00BC2E1D" w:rsidP="008C4BA0">
      <w:pPr>
        <w:pStyle w:val="ListParagraph"/>
        <w:numPr>
          <w:ilvl w:val="0"/>
          <w:numId w:val="6"/>
        </w:numPr>
        <w:ind w:left="851" w:hanging="425"/>
        <w:rPr>
          <w:rFonts w:eastAsia="Times New Roman" w:cstheme="minorHAnsi"/>
          <w:color w:val="000000"/>
          <w:sz w:val="22"/>
          <w:szCs w:val="22"/>
          <w:lang w:val="en-GB"/>
        </w:rPr>
      </w:pPr>
      <w:r w:rsidRPr="00CA5940">
        <w:rPr>
          <w:rFonts w:eastAsia="Times New Roman" w:cstheme="minorHAnsi"/>
          <w:color w:val="000000"/>
          <w:sz w:val="22"/>
          <w:szCs w:val="22"/>
        </w:rPr>
        <w:t xml:space="preserve">Plusieurs résultats du </w:t>
      </w:r>
      <w:r w:rsidRPr="00CA5940">
        <w:rPr>
          <w:rFonts w:cstheme="minorHAnsi"/>
          <w:sz w:val="22"/>
          <w:szCs w:val="22"/>
        </w:rPr>
        <w:t xml:space="preserve">GEST </w:t>
      </w:r>
      <w:r w:rsidR="000B21A9" w:rsidRPr="00CA5940">
        <w:rPr>
          <w:rFonts w:eastAsia="Times New Roman" w:cstheme="minorHAnsi"/>
          <w:color w:val="000000"/>
          <w:sz w:val="22"/>
          <w:szCs w:val="22"/>
        </w:rPr>
        <w:t xml:space="preserve">seront finalisés </w:t>
      </w:r>
      <w:r w:rsidRPr="00CA5940">
        <w:rPr>
          <w:rFonts w:eastAsia="Times New Roman" w:cstheme="minorHAnsi"/>
          <w:color w:val="000000"/>
          <w:sz w:val="22"/>
          <w:szCs w:val="22"/>
        </w:rPr>
        <w:t xml:space="preserve">et publiés au cours de la période précédant la COP15. </w:t>
      </w:r>
      <w:r w:rsidRPr="000C33DF">
        <w:rPr>
          <w:rFonts w:eastAsia="Times New Roman" w:cstheme="minorHAnsi"/>
          <w:color w:val="000000"/>
          <w:sz w:val="22"/>
          <w:szCs w:val="22"/>
          <w:lang w:val="en-GB"/>
        </w:rPr>
        <w:t xml:space="preserve">Il s'agit notamment de </w:t>
      </w:r>
      <w:r w:rsidR="00AF3B64">
        <w:rPr>
          <w:rFonts w:eastAsia="Times New Roman" w:cstheme="minorHAnsi"/>
          <w:color w:val="000000"/>
          <w:sz w:val="22"/>
          <w:szCs w:val="22"/>
          <w:lang w:val="en-GB"/>
        </w:rPr>
        <w:t>:</w:t>
      </w:r>
    </w:p>
    <w:p w14:paraId="1F9C132C" w14:textId="7B8ADB1A" w:rsidR="00BC2E1D" w:rsidRPr="00CA5940" w:rsidRDefault="00BC2E1D" w:rsidP="008C4BA0">
      <w:pPr>
        <w:numPr>
          <w:ilvl w:val="1"/>
          <w:numId w:val="23"/>
        </w:numPr>
        <w:rPr>
          <w:rFonts w:eastAsia="Times New Roman" w:cstheme="minorHAnsi"/>
          <w:color w:val="000000"/>
          <w:sz w:val="22"/>
          <w:szCs w:val="22"/>
        </w:rPr>
      </w:pPr>
      <w:r w:rsidRPr="00CA5940">
        <w:rPr>
          <w:rFonts w:eastAsia="Times New Roman" w:cstheme="minorHAnsi"/>
          <w:color w:val="000000"/>
          <w:sz w:val="22"/>
          <w:szCs w:val="22"/>
        </w:rPr>
        <w:t xml:space="preserve">Perspectives mondiales des zones humides : Édition spéciale 2025, qui fournira une perspective économique sur la perte et la dégradation des zones humides, les besoins </w:t>
      </w:r>
      <w:r w:rsidR="00B03748">
        <w:rPr>
          <w:rFonts w:eastAsia="Times New Roman" w:cstheme="minorHAnsi"/>
          <w:color w:val="000000"/>
          <w:sz w:val="22"/>
          <w:szCs w:val="22"/>
        </w:rPr>
        <w:t xml:space="preserve">en matière </w:t>
      </w:r>
      <w:r w:rsidRPr="00CA5940">
        <w:rPr>
          <w:rFonts w:eastAsia="Times New Roman" w:cstheme="minorHAnsi"/>
          <w:color w:val="000000"/>
          <w:sz w:val="22"/>
          <w:szCs w:val="22"/>
        </w:rPr>
        <w:t>d'investissement et les réponses politiques.</w:t>
      </w:r>
    </w:p>
    <w:p w14:paraId="41984F15" w14:textId="68E916A7" w:rsidR="00BC2E1D" w:rsidRPr="00066E2E" w:rsidRDefault="00BC2E1D" w:rsidP="00066E2E">
      <w:pPr>
        <w:numPr>
          <w:ilvl w:val="1"/>
          <w:numId w:val="23"/>
        </w:numPr>
        <w:rPr>
          <w:rFonts w:eastAsia="Times New Roman" w:cstheme="minorHAnsi"/>
          <w:color w:val="000000"/>
          <w:sz w:val="22"/>
          <w:szCs w:val="22"/>
        </w:rPr>
      </w:pPr>
      <w:r w:rsidRPr="00CA5940">
        <w:rPr>
          <w:rFonts w:eastAsia="Times New Roman" w:cstheme="minorHAnsi"/>
          <w:color w:val="000000"/>
          <w:sz w:val="22"/>
          <w:szCs w:val="22"/>
        </w:rPr>
        <w:t>Rapport technique et note d'information sur le changement climatique et les zones humides (</w:t>
      </w:r>
      <w:r w:rsidR="00406994" w:rsidRPr="00CA5940">
        <w:rPr>
          <w:rFonts w:eastAsia="Times New Roman" w:cstheme="minorHAnsi"/>
          <w:color w:val="000000"/>
          <w:sz w:val="22"/>
          <w:szCs w:val="22"/>
        </w:rPr>
        <w:t xml:space="preserve">tâches </w:t>
      </w:r>
      <w:r w:rsidRPr="00CA5940">
        <w:rPr>
          <w:rFonts w:eastAsia="Times New Roman" w:cstheme="minorHAnsi"/>
          <w:color w:val="000000"/>
          <w:sz w:val="22"/>
          <w:szCs w:val="22"/>
        </w:rPr>
        <w:t xml:space="preserve">3.1 et 3.2), </w:t>
      </w:r>
      <w:r w:rsidR="00B03748">
        <w:rPr>
          <w:rFonts w:eastAsia="Times New Roman" w:cstheme="minorHAnsi"/>
          <w:color w:val="000000"/>
          <w:sz w:val="22"/>
          <w:szCs w:val="22"/>
        </w:rPr>
        <w:t>compilant</w:t>
      </w:r>
      <w:r w:rsidR="00B03748" w:rsidRPr="00B03748">
        <w:rPr>
          <w:rFonts w:eastAsia="Times New Roman" w:cstheme="minorHAnsi"/>
          <w:color w:val="000000"/>
          <w:sz w:val="22"/>
          <w:szCs w:val="22"/>
        </w:rPr>
        <w:t xml:space="preserve"> </w:t>
      </w:r>
      <w:r w:rsidR="00B03748">
        <w:rPr>
          <w:rFonts w:eastAsia="Times New Roman" w:cstheme="minorHAnsi"/>
          <w:color w:val="000000"/>
          <w:sz w:val="22"/>
          <w:szCs w:val="22"/>
        </w:rPr>
        <w:t xml:space="preserve">des </w:t>
      </w:r>
      <w:r w:rsidR="00B03748" w:rsidRPr="00B03748">
        <w:rPr>
          <w:rFonts w:eastAsia="Times New Roman" w:cstheme="minorHAnsi"/>
          <w:color w:val="000000"/>
          <w:sz w:val="22"/>
          <w:szCs w:val="22"/>
        </w:rPr>
        <w:t>informations actualisées sur les effets</w:t>
      </w:r>
      <w:r w:rsidR="00066E2E">
        <w:rPr>
          <w:rFonts w:eastAsia="Times New Roman" w:cstheme="minorHAnsi"/>
          <w:color w:val="000000"/>
          <w:sz w:val="22"/>
          <w:szCs w:val="22"/>
        </w:rPr>
        <w:t xml:space="preserve"> </w:t>
      </w:r>
      <w:r w:rsidR="00B03748" w:rsidRPr="00066E2E">
        <w:rPr>
          <w:rFonts w:eastAsia="Times New Roman" w:cstheme="minorHAnsi"/>
          <w:color w:val="000000"/>
          <w:sz w:val="22"/>
          <w:szCs w:val="22"/>
        </w:rPr>
        <w:t>actuels et prévus du changement climatique sur les zones humides de la planète et sur les réponses à y apporter</w:t>
      </w:r>
      <w:r w:rsidRPr="00066E2E">
        <w:rPr>
          <w:rFonts w:eastAsia="Times New Roman" w:cstheme="minorHAnsi"/>
          <w:color w:val="000000"/>
          <w:sz w:val="22"/>
          <w:szCs w:val="22"/>
        </w:rPr>
        <w:t xml:space="preserve"> dans les différentes régions et types de zones humides. </w:t>
      </w:r>
    </w:p>
    <w:p w14:paraId="0B1EB924" w14:textId="473B8D7B" w:rsidR="00BC2E1D" w:rsidRPr="00CA5940" w:rsidRDefault="00BC2E1D" w:rsidP="008C4BA0">
      <w:pPr>
        <w:numPr>
          <w:ilvl w:val="1"/>
          <w:numId w:val="23"/>
        </w:numPr>
        <w:rPr>
          <w:rFonts w:eastAsia="Times New Roman" w:cstheme="minorHAnsi"/>
          <w:color w:val="000000"/>
          <w:sz w:val="22"/>
          <w:szCs w:val="22"/>
        </w:rPr>
      </w:pPr>
      <w:r w:rsidRPr="00CA5940">
        <w:rPr>
          <w:rFonts w:eastAsia="Times New Roman" w:cstheme="minorHAnsi"/>
          <w:color w:val="000000"/>
          <w:sz w:val="22"/>
          <w:szCs w:val="22"/>
        </w:rPr>
        <w:t xml:space="preserve">Rapport technique et note d'information sur les zones humides et l'agriculture (tâche 3.3), axés sur la restauration et l'utilisation rationnelle </w:t>
      </w:r>
      <w:r w:rsidR="00210C32">
        <w:rPr>
          <w:rFonts w:eastAsia="Times New Roman" w:cstheme="minorHAnsi"/>
          <w:color w:val="000000"/>
          <w:sz w:val="22"/>
          <w:szCs w:val="22"/>
        </w:rPr>
        <w:t>su sein des</w:t>
      </w:r>
      <w:r w:rsidRPr="00CA5940">
        <w:rPr>
          <w:rFonts w:eastAsia="Times New Roman" w:cstheme="minorHAnsi"/>
          <w:color w:val="000000"/>
          <w:sz w:val="22"/>
          <w:szCs w:val="22"/>
        </w:rPr>
        <w:t xml:space="preserve"> paysages agricoles, élaborés en partenariat avec l'</w:t>
      </w:r>
      <w:r w:rsidR="00406994" w:rsidRPr="00CA5940">
        <w:rPr>
          <w:rFonts w:eastAsia="Times New Roman" w:cstheme="minorHAnsi"/>
          <w:color w:val="000000"/>
          <w:sz w:val="22"/>
          <w:szCs w:val="22"/>
        </w:rPr>
        <w:t xml:space="preserve">Organisation des Nations </w:t>
      </w:r>
      <w:r w:rsidR="00AF3B64">
        <w:rPr>
          <w:rFonts w:eastAsia="Times New Roman" w:cstheme="minorHAnsi"/>
          <w:color w:val="000000"/>
          <w:sz w:val="22"/>
          <w:szCs w:val="22"/>
        </w:rPr>
        <w:t>U</w:t>
      </w:r>
      <w:r w:rsidR="00406994" w:rsidRPr="00CA5940">
        <w:rPr>
          <w:rFonts w:eastAsia="Times New Roman" w:cstheme="minorHAnsi"/>
          <w:color w:val="000000"/>
          <w:sz w:val="22"/>
          <w:szCs w:val="22"/>
        </w:rPr>
        <w:t>nies pour l'alimentation et l'agriculture (FAO)</w:t>
      </w:r>
      <w:r w:rsidRPr="00CA5940">
        <w:rPr>
          <w:rFonts w:eastAsia="Times New Roman" w:cstheme="minorHAnsi"/>
          <w:color w:val="000000"/>
          <w:sz w:val="22"/>
          <w:szCs w:val="22"/>
        </w:rPr>
        <w:t xml:space="preserve">. </w:t>
      </w:r>
    </w:p>
    <w:p w14:paraId="77933C1E" w14:textId="0AC01533" w:rsidR="00BA4ED6" w:rsidRPr="00CA5940" w:rsidRDefault="00BC2E1D" w:rsidP="008C4BA0">
      <w:pPr>
        <w:numPr>
          <w:ilvl w:val="1"/>
          <w:numId w:val="23"/>
        </w:numPr>
        <w:rPr>
          <w:rFonts w:eastAsia="Times New Roman" w:cstheme="minorHAnsi"/>
          <w:color w:val="000000"/>
          <w:sz w:val="22"/>
          <w:szCs w:val="22"/>
        </w:rPr>
      </w:pPr>
      <w:r w:rsidRPr="00CA5940">
        <w:rPr>
          <w:rFonts w:eastAsia="Times New Roman" w:cstheme="minorHAnsi"/>
          <w:color w:val="000000"/>
          <w:sz w:val="22"/>
          <w:szCs w:val="22"/>
        </w:rPr>
        <w:t>Note d'information sur l'intégration des zones humides dans les stratégies nationales de développement durable (tâche 4.3), visant à soutenir l'alignement cohérent des politiques au niveau national.</w:t>
      </w:r>
    </w:p>
    <w:p w14:paraId="6106EED1" w14:textId="77777777" w:rsidR="00BA4ED6" w:rsidRPr="00CA5940" w:rsidRDefault="00BA4ED6" w:rsidP="008C4BA0">
      <w:pPr>
        <w:rPr>
          <w:rFonts w:eastAsia="Times New Roman" w:cstheme="minorHAnsi"/>
          <w:color w:val="000000"/>
          <w:sz w:val="22"/>
          <w:szCs w:val="22"/>
        </w:rPr>
      </w:pPr>
    </w:p>
    <w:p w14:paraId="4A057D53" w14:textId="52AF7BE7" w:rsidR="00A478EA" w:rsidRPr="00CA5940" w:rsidRDefault="00406994" w:rsidP="008C4BA0">
      <w:pPr>
        <w:pStyle w:val="BodyText"/>
        <w:widowControl/>
        <w:ind w:left="425" w:hanging="425"/>
        <w:rPr>
          <w:rFonts w:asciiTheme="minorHAnsi" w:hAnsiTheme="minorHAnsi" w:cstheme="minorHAnsi"/>
          <w:lang w:val="fr-FR"/>
        </w:rPr>
      </w:pPr>
      <w:r w:rsidRPr="00CA5940">
        <w:rPr>
          <w:rFonts w:asciiTheme="minorHAnsi" w:hAnsiTheme="minorHAnsi" w:cstheme="minorHAnsi"/>
          <w:lang w:val="fr-FR"/>
        </w:rPr>
        <w:t>15.</w:t>
      </w:r>
      <w:r w:rsidRPr="00CA5940">
        <w:rPr>
          <w:rFonts w:asciiTheme="minorHAnsi" w:hAnsiTheme="minorHAnsi" w:cstheme="minorHAnsi"/>
          <w:lang w:val="fr-FR"/>
        </w:rPr>
        <w:tab/>
      </w:r>
      <w:r w:rsidR="00B45B26" w:rsidRPr="00CA5940">
        <w:rPr>
          <w:rFonts w:asciiTheme="minorHAnsi" w:hAnsiTheme="minorHAnsi" w:cstheme="minorHAnsi"/>
          <w:lang w:val="fr-FR"/>
        </w:rPr>
        <w:t xml:space="preserve">Le Secrétariat </w:t>
      </w:r>
      <w:r w:rsidR="00903735" w:rsidRPr="00CA5940">
        <w:rPr>
          <w:rFonts w:asciiTheme="minorHAnsi" w:hAnsiTheme="minorHAnsi" w:cstheme="minorHAnsi"/>
          <w:lang w:val="fr-FR"/>
        </w:rPr>
        <w:t xml:space="preserve">se </w:t>
      </w:r>
      <w:r w:rsidR="00210C32">
        <w:rPr>
          <w:rFonts w:asciiTheme="minorHAnsi" w:hAnsiTheme="minorHAnsi" w:cstheme="minorHAnsi"/>
          <w:lang w:val="fr-FR"/>
        </w:rPr>
        <w:t xml:space="preserve">félicite de l’occasion qui lui est donné </w:t>
      </w:r>
      <w:r w:rsidR="00903735" w:rsidRPr="00CA5940">
        <w:rPr>
          <w:rFonts w:asciiTheme="minorHAnsi" w:hAnsiTheme="minorHAnsi" w:cstheme="minorHAnsi"/>
          <w:lang w:val="fr-FR"/>
        </w:rPr>
        <w:t xml:space="preserve">de soutenir les Parties contractantes dans la poursuite de la mise en œuvre </w:t>
      </w:r>
      <w:r w:rsidR="00210C32">
        <w:rPr>
          <w:rFonts w:asciiTheme="minorHAnsi" w:hAnsiTheme="minorHAnsi" w:cstheme="minorHAnsi"/>
          <w:lang w:val="fr-FR"/>
        </w:rPr>
        <w:t xml:space="preserve">des activités </w:t>
      </w:r>
      <w:r w:rsidR="00903735" w:rsidRPr="00CA5940">
        <w:rPr>
          <w:rFonts w:asciiTheme="minorHAnsi" w:hAnsiTheme="minorHAnsi" w:cstheme="minorHAnsi"/>
          <w:lang w:val="fr-FR"/>
        </w:rPr>
        <w:t xml:space="preserve">de CESP </w:t>
      </w:r>
      <w:r w:rsidR="00B2026E" w:rsidRPr="00CA5940">
        <w:rPr>
          <w:rFonts w:asciiTheme="minorHAnsi" w:hAnsiTheme="minorHAnsi" w:cstheme="minorHAnsi"/>
          <w:lang w:val="fr-FR"/>
        </w:rPr>
        <w:t>au cours de la prochaine période triennale, conformément au projet de résolution sur</w:t>
      </w:r>
      <w:r w:rsidR="00210C32">
        <w:rPr>
          <w:rFonts w:asciiTheme="minorHAnsi" w:hAnsiTheme="minorHAnsi" w:cstheme="minorHAnsi"/>
          <w:lang w:val="fr-FR"/>
        </w:rPr>
        <w:t xml:space="preserve"> les activités de</w:t>
      </w:r>
      <w:r w:rsidR="00B2026E" w:rsidRPr="00CA5940">
        <w:rPr>
          <w:rFonts w:asciiTheme="minorHAnsi" w:hAnsiTheme="minorHAnsi" w:cstheme="minorHAnsi"/>
          <w:lang w:val="fr-FR"/>
        </w:rPr>
        <w:t xml:space="preserve"> CESP qui sera examiné et adopté par la COP15. </w:t>
      </w:r>
    </w:p>
    <w:sectPr w:rsidR="00A478EA" w:rsidRPr="00CA5940" w:rsidSect="004C6F51">
      <w:footerReference w:type="default" r:id="rId12"/>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0CB89" w14:textId="77777777" w:rsidR="006A3C87" w:rsidRDefault="006A3C87" w:rsidP="00625BC9">
      <w:r>
        <w:separator/>
      </w:r>
    </w:p>
  </w:endnote>
  <w:endnote w:type="continuationSeparator" w:id="0">
    <w:p w14:paraId="4D09C0B3" w14:textId="77777777" w:rsidR="006A3C87" w:rsidRDefault="006A3C87" w:rsidP="00625BC9">
      <w:r>
        <w:continuationSeparator/>
      </w:r>
    </w:p>
  </w:endnote>
  <w:endnote w:type="continuationNotice" w:id="1">
    <w:p w14:paraId="4B05F824" w14:textId="77777777" w:rsidR="006A3C87" w:rsidRDefault="006A3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A5A6" w14:textId="15F1BBE7" w:rsidR="00F30A19" w:rsidRPr="00F30A19" w:rsidRDefault="00716389">
    <w:pPr>
      <w:pStyle w:val="Footer"/>
      <w:rPr>
        <w:sz w:val="20"/>
        <w:szCs w:val="20"/>
        <w:lang w:val="en-GB"/>
      </w:rPr>
    </w:pPr>
    <w:r>
      <w:rPr>
        <w:sz w:val="20"/>
        <w:szCs w:val="20"/>
        <w:lang w:val="en-GB"/>
      </w:rPr>
      <w:t xml:space="preserve">COP15 </w:t>
    </w:r>
    <w:r w:rsidR="00F30A19" w:rsidRPr="00F30A19">
      <w:rPr>
        <w:sz w:val="20"/>
        <w:szCs w:val="20"/>
        <w:lang w:val="en-GB"/>
      </w:rPr>
      <w:t>Doc.</w:t>
    </w:r>
    <w:r>
      <w:rPr>
        <w:sz w:val="20"/>
        <w:szCs w:val="20"/>
        <w:lang w:val="en-GB"/>
      </w:rPr>
      <w:t>10</w:t>
    </w:r>
    <w:r w:rsidR="00F30A19" w:rsidRPr="00F30A19">
      <w:rPr>
        <w:sz w:val="20"/>
        <w:szCs w:val="20"/>
        <w:lang w:val="en-GB"/>
      </w:rPr>
      <w:tab/>
    </w:r>
    <w:r w:rsidR="00F30A19" w:rsidRPr="00F30A19">
      <w:rPr>
        <w:sz w:val="20"/>
        <w:szCs w:val="20"/>
        <w:lang w:val="en-GB"/>
      </w:rPr>
      <w:tab/>
    </w:r>
    <w:r w:rsidR="00F30A19" w:rsidRPr="00F30A19">
      <w:rPr>
        <w:sz w:val="20"/>
        <w:szCs w:val="20"/>
        <w:lang w:val="en-GB"/>
      </w:rPr>
      <w:fldChar w:fldCharType="begin"/>
    </w:r>
    <w:r w:rsidR="00F30A19" w:rsidRPr="00F30A19">
      <w:rPr>
        <w:sz w:val="20"/>
        <w:szCs w:val="20"/>
        <w:lang w:val="en-GB"/>
      </w:rPr>
      <w:instrText xml:space="preserve"> PAGE   \* MERGEFORMAT </w:instrText>
    </w:r>
    <w:r w:rsidR="00F30A19" w:rsidRPr="00F30A19">
      <w:rPr>
        <w:sz w:val="20"/>
        <w:szCs w:val="20"/>
        <w:lang w:val="en-GB"/>
      </w:rPr>
      <w:fldChar w:fldCharType="separate"/>
    </w:r>
    <w:r w:rsidR="004F78DE">
      <w:rPr>
        <w:noProof/>
        <w:sz w:val="20"/>
        <w:szCs w:val="20"/>
        <w:lang w:val="en-GB"/>
      </w:rPr>
      <w:t>2</w:t>
    </w:r>
    <w:r w:rsidR="00F30A19" w:rsidRPr="00F30A19">
      <w:rPr>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4E3E7" w14:textId="77777777" w:rsidR="006A3C87" w:rsidRDefault="006A3C87" w:rsidP="00625BC9">
      <w:r>
        <w:separator/>
      </w:r>
    </w:p>
  </w:footnote>
  <w:footnote w:type="continuationSeparator" w:id="0">
    <w:p w14:paraId="2A4B15B2" w14:textId="77777777" w:rsidR="006A3C87" w:rsidRDefault="006A3C87" w:rsidP="00625BC9">
      <w:r>
        <w:continuationSeparator/>
      </w:r>
    </w:p>
  </w:footnote>
  <w:footnote w:type="continuationNotice" w:id="1">
    <w:p w14:paraId="2413BA34" w14:textId="77777777" w:rsidR="006A3C87" w:rsidRDefault="006A3C87"/>
  </w:footnote>
  <w:footnote w:id="2">
    <w:p w14:paraId="0DEF112F" w14:textId="3F179F99" w:rsidR="0078526B" w:rsidRPr="00CA5940" w:rsidRDefault="0078526B">
      <w:pPr>
        <w:pStyle w:val="FootnoteText"/>
      </w:pPr>
      <w:r>
        <w:rPr>
          <w:rStyle w:val="FootnoteReference"/>
        </w:rPr>
        <w:footnoteRef/>
      </w:r>
      <w:r w:rsidRPr="00CA5940">
        <w:t xml:space="preserve"> Voir le document COP15 Doc.23.6 à l'adresse </w:t>
      </w:r>
      <w:hyperlink r:id="rId1" w:history="1">
        <w:r w:rsidR="00EC5C46" w:rsidRPr="0006376F">
          <w:rPr>
            <w:rStyle w:val="Hyperlink"/>
          </w:rPr>
          <w:t>https://www.ramsar.org/fr/document/cop15-doc236-communication-renforcement-des-capacites-education-sensibilisation-et</w:t>
        </w:r>
      </w:hyperlink>
      <w:r w:rsidRPr="00CA5940">
        <w:t>.</w:t>
      </w:r>
    </w:p>
  </w:footnote>
  <w:footnote w:id="3">
    <w:p w14:paraId="348AACB9" w14:textId="4A5282B8" w:rsidR="001E5633" w:rsidRPr="00CA5940" w:rsidRDefault="001E5633">
      <w:pPr>
        <w:pStyle w:val="FootnoteText"/>
      </w:pPr>
      <w:r>
        <w:rPr>
          <w:rStyle w:val="FootnoteReference"/>
        </w:rPr>
        <w:footnoteRef/>
      </w:r>
      <w:r w:rsidR="00A02660">
        <w:t xml:space="preserve">Voir : </w:t>
      </w:r>
      <w:hyperlink r:id="rId2" w:history="1">
        <w:r w:rsidR="0016454E" w:rsidRPr="006206D1">
          <w:rPr>
            <w:rStyle w:val="Hyperlink"/>
          </w:rPr>
          <w:t>https://www.ramsar.org/fr/document/manuel-6-lhumanite-et-les-zones-humides-programme-de-cesp-de-la-convention-sur-les-zones</w:t>
        </w:r>
      </w:hyperlink>
      <w:r w:rsidRPr="00CA5940">
        <w:t xml:space="preserve">. </w:t>
      </w:r>
    </w:p>
  </w:footnote>
  <w:footnote w:id="4">
    <w:p w14:paraId="61570069" w14:textId="7A66D38E" w:rsidR="003F148A" w:rsidRPr="00CA5940" w:rsidRDefault="003F148A">
      <w:pPr>
        <w:pStyle w:val="FootnoteText"/>
      </w:pPr>
      <w:r w:rsidRPr="003F148A">
        <w:rPr>
          <w:rStyle w:val="FootnoteReference"/>
        </w:rPr>
        <w:footnoteRef/>
      </w:r>
      <w:r w:rsidRPr="00CA5940">
        <w:t xml:space="preserve"> Données provenant de Meltwater analytics.</w:t>
      </w:r>
    </w:p>
  </w:footnote>
  <w:footnote w:id="5">
    <w:p w14:paraId="6AA153A6" w14:textId="49B84147" w:rsidR="00A4286E" w:rsidRPr="00CA5940" w:rsidRDefault="00A4286E">
      <w:pPr>
        <w:pStyle w:val="FootnoteText"/>
      </w:pPr>
      <w:r w:rsidRPr="00A4286E">
        <w:rPr>
          <w:rStyle w:val="FootnoteReference"/>
        </w:rPr>
        <w:footnoteRef/>
      </w:r>
      <w:r w:rsidRPr="00CA5940">
        <w:t xml:space="preserve"> Voir </w:t>
      </w:r>
      <w:r w:rsidRPr="00CA5940">
        <w:rPr>
          <w:rFonts w:eastAsiaTheme="majorEastAsia" w:cstheme="minorHAnsi"/>
        </w:rPr>
        <w:t xml:space="preserve">: </w:t>
      </w:r>
      <w:hyperlink r:id="rId3">
        <w:r w:rsidR="00D47B12" w:rsidRPr="00D47B12">
          <w:rPr>
            <w:rStyle w:val="Hyperlink"/>
            <w:rFonts w:eastAsiaTheme="majorEastAsia" w:cstheme="minorHAnsi"/>
          </w:rPr>
          <w:t>https://elearning.informea.org/</w:t>
        </w:r>
      </w:hyperlink>
      <w:r w:rsidRPr="00CA594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691"/>
    <w:multiLevelType w:val="multilevel"/>
    <w:tmpl w:val="20D6F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67718"/>
    <w:multiLevelType w:val="hybridMultilevel"/>
    <w:tmpl w:val="6FD25A9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469EA"/>
    <w:multiLevelType w:val="multilevel"/>
    <w:tmpl w:val="EC8EC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A28C1"/>
    <w:multiLevelType w:val="multilevel"/>
    <w:tmpl w:val="E5522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A4154"/>
    <w:multiLevelType w:val="hybridMultilevel"/>
    <w:tmpl w:val="028C3786"/>
    <w:lvl w:ilvl="0" w:tplc="0C090003">
      <w:start w:val="1"/>
      <w:numFmt w:val="bullet"/>
      <w:lvlText w:val="o"/>
      <w:lvlJc w:val="left"/>
      <w:pPr>
        <w:ind w:left="1440" w:hanging="360"/>
      </w:pPr>
      <w:rPr>
        <w:rFonts w:ascii="Courier New" w:hAnsi="Courier New" w:cs="Courier New" w:hint="default"/>
      </w:rPr>
    </w:lvl>
    <w:lvl w:ilvl="1" w:tplc="CD083844">
      <w:start w:val="1"/>
      <w:numFmt w:val="bullet"/>
      <w:lvlText w:val="o"/>
      <w:lvlJc w:val="left"/>
      <w:pPr>
        <w:ind w:left="2160" w:hanging="360"/>
      </w:pPr>
      <w:rPr>
        <w:rFonts w:ascii="Courier New" w:hAnsi="Courier New" w:cs="Times New Roman" w:hint="default"/>
      </w:rPr>
    </w:lvl>
    <w:lvl w:ilvl="2" w:tplc="E94470F0">
      <w:start w:val="1"/>
      <w:numFmt w:val="bullet"/>
      <w:lvlText w:val=""/>
      <w:lvlJc w:val="left"/>
      <w:pPr>
        <w:ind w:left="2880" w:hanging="360"/>
      </w:pPr>
      <w:rPr>
        <w:rFonts w:ascii="Wingdings" w:hAnsi="Wingdings" w:hint="default"/>
      </w:rPr>
    </w:lvl>
    <w:lvl w:ilvl="3" w:tplc="2E167E04">
      <w:start w:val="1"/>
      <w:numFmt w:val="bullet"/>
      <w:lvlText w:val=""/>
      <w:lvlJc w:val="left"/>
      <w:pPr>
        <w:ind w:left="3600" w:hanging="360"/>
      </w:pPr>
      <w:rPr>
        <w:rFonts w:ascii="Symbol" w:hAnsi="Symbol" w:hint="default"/>
      </w:rPr>
    </w:lvl>
    <w:lvl w:ilvl="4" w:tplc="D2A4702A">
      <w:start w:val="1"/>
      <w:numFmt w:val="bullet"/>
      <w:lvlText w:val="o"/>
      <w:lvlJc w:val="left"/>
      <w:pPr>
        <w:ind w:left="4320" w:hanging="360"/>
      </w:pPr>
      <w:rPr>
        <w:rFonts w:ascii="Courier New" w:hAnsi="Courier New" w:cs="Times New Roman" w:hint="default"/>
      </w:rPr>
    </w:lvl>
    <w:lvl w:ilvl="5" w:tplc="68F893EC">
      <w:start w:val="1"/>
      <w:numFmt w:val="bullet"/>
      <w:lvlText w:val=""/>
      <w:lvlJc w:val="left"/>
      <w:pPr>
        <w:ind w:left="5040" w:hanging="360"/>
      </w:pPr>
      <w:rPr>
        <w:rFonts w:ascii="Wingdings" w:hAnsi="Wingdings" w:hint="default"/>
      </w:rPr>
    </w:lvl>
    <w:lvl w:ilvl="6" w:tplc="4BC09478">
      <w:start w:val="1"/>
      <w:numFmt w:val="bullet"/>
      <w:lvlText w:val=""/>
      <w:lvlJc w:val="left"/>
      <w:pPr>
        <w:ind w:left="5760" w:hanging="360"/>
      </w:pPr>
      <w:rPr>
        <w:rFonts w:ascii="Symbol" w:hAnsi="Symbol" w:hint="default"/>
      </w:rPr>
    </w:lvl>
    <w:lvl w:ilvl="7" w:tplc="2C6C7D4A">
      <w:start w:val="1"/>
      <w:numFmt w:val="bullet"/>
      <w:lvlText w:val="o"/>
      <w:lvlJc w:val="left"/>
      <w:pPr>
        <w:ind w:left="6480" w:hanging="360"/>
      </w:pPr>
      <w:rPr>
        <w:rFonts w:ascii="Courier New" w:hAnsi="Courier New" w:cs="Times New Roman" w:hint="default"/>
      </w:rPr>
    </w:lvl>
    <w:lvl w:ilvl="8" w:tplc="20604AE0">
      <w:start w:val="1"/>
      <w:numFmt w:val="bullet"/>
      <w:lvlText w:val=""/>
      <w:lvlJc w:val="left"/>
      <w:pPr>
        <w:ind w:left="7200" w:hanging="360"/>
      </w:pPr>
      <w:rPr>
        <w:rFonts w:ascii="Wingdings" w:hAnsi="Wingdings" w:hint="default"/>
      </w:rPr>
    </w:lvl>
  </w:abstractNum>
  <w:abstractNum w:abstractNumId="5" w15:restartNumberingAfterBreak="0">
    <w:nsid w:val="3022374E"/>
    <w:multiLevelType w:val="hybridMultilevel"/>
    <w:tmpl w:val="C10A451C"/>
    <w:lvl w:ilvl="0" w:tplc="08090003">
      <w:start w:val="1"/>
      <w:numFmt w:val="bullet"/>
      <w:lvlText w:val="o"/>
      <w:lvlJc w:val="left"/>
      <w:pPr>
        <w:ind w:left="1545" w:hanging="360"/>
      </w:pPr>
      <w:rPr>
        <w:rFonts w:ascii="Courier New" w:hAnsi="Courier New" w:cs="Courier New" w:hint="default"/>
      </w:rPr>
    </w:lvl>
    <w:lvl w:ilvl="1" w:tplc="08090003">
      <w:start w:val="1"/>
      <w:numFmt w:val="bullet"/>
      <w:lvlText w:val="o"/>
      <w:lvlJc w:val="left"/>
      <w:pPr>
        <w:ind w:left="2265" w:hanging="360"/>
      </w:pPr>
      <w:rPr>
        <w:rFonts w:ascii="Courier New" w:hAnsi="Courier New" w:cs="Courier New" w:hint="default"/>
      </w:rPr>
    </w:lvl>
    <w:lvl w:ilvl="2" w:tplc="08090005">
      <w:start w:val="1"/>
      <w:numFmt w:val="bullet"/>
      <w:lvlText w:val=""/>
      <w:lvlJc w:val="left"/>
      <w:pPr>
        <w:ind w:left="2985" w:hanging="360"/>
      </w:pPr>
      <w:rPr>
        <w:rFonts w:ascii="Wingdings" w:hAnsi="Wingdings" w:hint="default"/>
      </w:rPr>
    </w:lvl>
    <w:lvl w:ilvl="3" w:tplc="08090001">
      <w:start w:val="1"/>
      <w:numFmt w:val="bullet"/>
      <w:lvlText w:val=""/>
      <w:lvlJc w:val="left"/>
      <w:pPr>
        <w:ind w:left="3705" w:hanging="360"/>
      </w:pPr>
      <w:rPr>
        <w:rFonts w:ascii="Symbol" w:hAnsi="Symbol" w:hint="default"/>
      </w:rPr>
    </w:lvl>
    <w:lvl w:ilvl="4" w:tplc="08090003">
      <w:start w:val="1"/>
      <w:numFmt w:val="bullet"/>
      <w:lvlText w:val="o"/>
      <w:lvlJc w:val="left"/>
      <w:pPr>
        <w:ind w:left="4425" w:hanging="360"/>
      </w:pPr>
      <w:rPr>
        <w:rFonts w:ascii="Courier New" w:hAnsi="Courier New" w:cs="Courier New" w:hint="default"/>
      </w:rPr>
    </w:lvl>
    <w:lvl w:ilvl="5" w:tplc="08090005">
      <w:start w:val="1"/>
      <w:numFmt w:val="bullet"/>
      <w:lvlText w:val=""/>
      <w:lvlJc w:val="left"/>
      <w:pPr>
        <w:ind w:left="5145" w:hanging="360"/>
      </w:pPr>
      <w:rPr>
        <w:rFonts w:ascii="Wingdings" w:hAnsi="Wingdings" w:hint="default"/>
      </w:rPr>
    </w:lvl>
    <w:lvl w:ilvl="6" w:tplc="08090001">
      <w:start w:val="1"/>
      <w:numFmt w:val="bullet"/>
      <w:lvlText w:val=""/>
      <w:lvlJc w:val="left"/>
      <w:pPr>
        <w:ind w:left="5865" w:hanging="360"/>
      </w:pPr>
      <w:rPr>
        <w:rFonts w:ascii="Symbol" w:hAnsi="Symbol" w:hint="default"/>
      </w:rPr>
    </w:lvl>
    <w:lvl w:ilvl="7" w:tplc="08090003">
      <w:start w:val="1"/>
      <w:numFmt w:val="bullet"/>
      <w:lvlText w:val="o"/>
      <w:lvlJc w:val="left"/>
      <w:pPr>
        <w:ind w:left="6585" w:hanging="360"/>
      </w:pPr>
      <w:rPr>
        <w:rFonts w:ascii="Courier New" w:hAnsi="Courier New" w:cs="Courier New" w:hint="default"/>
      </w:rPr>
    </w:lvl>
    <w:lvl w:ilvl="8" w:tplc="08090005">
      <w:start w:val="1"/>
      <w:numFmt w:val="bullet"/>
      <w:lvlText w:val=""/>
      <w:lvlJc w:val="left"/>
      <w:pPr>
        <w:ind w:left="7305" w:hanging="360"/>
      </w:pPr>
      <w:rPr>
        <w:rFonts w:ascii="Wingdings" w:hAnsi="Wingdings" w:hint="default"/>
      </w:rPr>
    </w:lvl>
  </w:abstractNum>
  <w:abstractNum w:abstractNumId="6" w15:restartNumberingAfterBreak="0">
    <w:nsid w:val="314571EB"/>
    <w:multiLevelType w:val="hybridMultilevel"/>
    <w:tmpl w:val="EDD46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643280"/>
    <w:multiLevelType w:val="hybridMultilevel"/>
    <w:tmpl w:val="4E7A2296"/>
    <w:lvl w:ilvl="0" w:tplc="3DA2FFE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87328F"/>
    <w:multiLevelType w:val="hybridMultilevel"/>
    <w:tmpl w:val="8530FF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DBF7AA9"/>
    <w:multiLevelType w:val="hybridMultilevel"/>
    <w:tmpl w:val="726E7D98"/>
    <w:lvl w:ilvl="0" w:tplc="1800FDF8">
      <w:start w:val="1"/>
      <w:numFmt w:val="bullet"/>
      <w:lvlText w:val="­"/>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10" w15:restartNumberingAfterBreak="0">
    <w:nsid w:val="4BAC562D"/>
    <w:multiLevelType w:val="hybridMultilevel"/>
    <w:tmpl w:val="A23C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16290"/>
    <w:multiLevelType w:val="hybridMultilevel"/>
    <w:tmpl w:val="0CC67E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1137D54"/>
    <w:multiLevelType w:val="multilevel"/>
    <w:tmpl w:val="BCE4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973524"/>
    <w:multiLevelType w:val="multilevel"/>
    <w:tmpl w:val="63009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936D19"/>
    <w:multiLevelType w:val="hybridMultilevel"/>
    <w:tmpl w:val="69DC7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DD7BB5"/>
    <w:multiLevelType w:val="hybridMultilevel"/>
    <w:tmpl w:val="CA99F6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DC34E9D"/>
    <w:multiLevelType w:val="hybridMultilevel"/>
    <w:tmpl w:val="274CE592"/>
    <w:lvl w:ilvl="0" w:tplc="1800FDF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859F5"/>
    <w:multiLevelType w:val="hybridMultilevel"/>
    <w:tmpl w:val="BA0AC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3D253F"/>
    <w:multiLevelType w:val="hybridMultilevel"/>
    <w:tmpl w:val="1E18E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2134A11"/>
    <w:multiLevelType w:val="hybridMultilevel"/>
    <w:tmpl w:val="5980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91524DD"/>
    <w:multiLevelType w:val="hybridMultilevel"/>
    <w:tmpl w:val="DCC653A0"/>
    <w:lvl w:ilvl="0" w:tplc="1800FDF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E51AC9"/>
    <w:multiLevelType w:val="hybridMultilevel"/>
    <w:tmpl w:val="DC2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CDF3988"/>
    <w:multiLevelType w:val="hybridMultilevel"/>
    <w:tmpl w:val="87C6493E"/>
    <w:lvl w:ilvl="0" w:tplc="1800FDF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83F06"/>
    <w:multiLevelType w:val="hybridMultilevel"/>
    <w:tmpl w:val="9DAE9C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06971295">
    <w:abstractNumId w:val="12"/>
  </w:num>
  <w:num w:numId="2" w16cid:durableId="492377364">
    <w:abstractNumId w:val="15"/>
  </w:num>
  <w:num w:numId="3" w16cid:durableId="343899644">
    <w:abstractNumId w:val="8"/>
  </w:num>
  <w:num w:numId="4" w16cid:durableId="1131902828">
    <w:abstractNumId w:val="0"/>
  </w:num>
  <w:num w:numId="5" w16cid:durableId="265239112">
    <w:abstractNumId w:val="17"/>
  </w:num>
  <w:num w:numId="6" w16cid:durableId="33359904">
    <w:abstractNumId w:val="21"/>
  </w:num>
  <w:num w:numId="7" w16cid:durableId="1008098092">
    <w:abstractNumId w:val="1"/>
  </w:num>
  <w:num w:numId="8" w16cid:durableId="111632763">
    <w:abstractNumId w:val="18"/>
  </w:num>
  <w:num w:numId="9" w16cid:durableId="1484616514">
    <w:abstractNumId w:val="19"/>
  </w:num>
  <w:num w:numId="10" w16cid:durableId="1165779261">
    <w:abstractNumId w:val="5"/>
  </w:num>
  <w:num w:numId="11" w16cid:durableId="307393636">
    <w:abstractNumId w:val="14"/>
  </w:num>
  <w:num w:numId="12" w16cid:durableId="641275710">
    <w:abstractNumId w:val="4"/>
  </w:num>
  <w:num w:numId="13" w16cid:durableId="485098313">
    <w:abstractNumId w:val="6"/>
  </w:num>
  <w:num w:numId="14" w16cid:durableId="1745948485">
    <w:abstractNumId w:val="2"/>
  </w:num>
  <w:num w:numId="15" w16cid:durableId="673067681">
    <w:abstractNumId w:val="7"/>
  </w:num>
  <w:num w:numId="16" w16cid:durableId="677973024">
    <w:abstractNumId w:val="11"/>
  </w:num>
  <w:num w:numId="17" w16cid:durableId="1214998549">
    <w:abstractNumId w:val="10"/>
  </w:num>
  <w:num w:numId="18" w16cid:durableId="1688364361">
    <w:abstractNumId w:val="16"/>
  </w:num>
  <w:num w:numId="19" w16cid:durableId="2124811605">
    <w:abstractNumId w:val="23"/>
  </w:num>
  <w:num w:numId="20" w16cid:durableId="1421566756">
    <w:abstractNumId w:val="13"/>
  </w:num>
  <w:num w:numId="21" w16cid:durableId="959842747">
    <w:abstractNumId w:val="22"/>
  </w:num>
  <w:num w:numId="22" w16cid:durableId="471794493">
    <w:abstractNumId w:val="20"/>
  </w:num>
  <w:num w:numId="23" w16cid:durableId="708847427">
    <w:abstractNumId w:val="3"/>
  </w:num>
  <w:num w:numId="24" w16cid:durableId="86734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59"/>
    <w:rsid w:val="00004DC2"/>
    <w:rsid w:val="00036D0D"/>
    <w:rsid w:val="00045D24"/>
    <w:rsid w:val="00051285"/>
    <w:rsid w:val="0005564C"/>
    <w:rsid w:val="00060C4A"/>
    <w:rsid w:val="000622AE"/>
    <w:rsid w:val="00064AFF"/>
    <w:rsid w:val="00066E2E"/>
    <w:rsid w:val="00067251"/>
    <w:rsid w:val="00072855"/>
    <w:rsid w:val="0007775B"/>
    <w:rsid w:val="0008115E"/>
    <w:rsid w:val="00081C50"/>
    <w:rsid w:val="00084559"/>
    <w:rsid w:val="0008645C"/>
    <w:rsid w:val="000936A1"/>
    <w:rsid w:val="00093973"/>
    <w:rsid w:val="000A06BF"/>
    <w:rsid w:val="000A2E04"/>
    <w:rsid w:val="000A3859"/>
    <w:rsid w:val="000B21A9"/>
    <w:rsid w:val="000B5F82"/>
    <w:rsid w:val="000B7726"/>
    <w:rsid w:val="000C33DF"/>
    <w:rsid w:val="000C7AC5"/>
    <w:rsid w:val="000D2774"/>
    <w:rsid w:val="000D37C4"/>
    <w:rsid w:val="000D4A00"/>
    <w:rsid w:val="000D7A79"/>
    <w:rsid w:val="000E5A83"/>
    <w:rsid w:val="000E60FC"/>
    <w:rsid w:val="000E673B"/>
    <w:rsid w:val="000F6080"/>
    <w:rsid w:val="000F6321"/>
    <w:rsid w:val="000F7788"/>
    <w:rsid w:val="00101FED"/>
    <w:rsid w:val="0010449F"/>
    <w:rsid w:val="00117256"/>
    <w:rsid w:val="00122850"/>
    <w:rsid w:val="001233A8"/>
    <w:rsid w:val="00123AB5"/>
    <w:rsid w:val="0012477A"/>
    <w:rsid w:val="0012659B"/>
    <w:rsid w:val="00134557"/>
    <w:rsid w:val="00136F3E"/>
    <w:rsid w:val="00152E04"/>
    <w:rsid w:val="00154176"/>
    <w:rsid w:val="0016196D"/>
    <w:rsid w:val="00162A57"/>
    <w:rsid w:val="0016454E"/>
    <w:rsid w:val="00170A86"/>
    <w:rsid w:val="0017696B"/>
    <w:rsid w:val="0018276E"/>
    <w:rsid w:val="00183774"/>
    <w:rsid w:val="00184915"/>
    <w:rsid w:val="00192D48"/>
    <w:rsid w:val="001B2E6A"/>
    <w:rsid w:val="001C5B41"/>
    <w:rsid w:val="001C6B84"/>
    <w:rsid w:val="001D15DC"/>
    <w:rsid w:val="001D5F2D"/>
    <w:rsid w:val="001D7990"/>
    <w:rsid w:val="001E33CB"/>
    <w:rsid w:val="001E3990"/>
    <w:rsid w:val="001E5633"/>
    <w:rsid w:val="001F137C"/>
    <w:rsid w:val="001F27DB"/>
    <w:rsid w:val="001F31B3"/>
    <w:rsid w:val="001F4D6D"/>
    <w:rsid w:val="001F7622"/>
    <w:rsid w:val="00201793"/>
    <w:rsid w:val="00205856"/>
    <w:rsid w:val="00210C32"/>
    <w:rsid w:val="00212F6D"/>
    <w:rsid w:val="00224380"/>
    <w:rsid w:val="002350A3"/>
    <w:rsid w:val="00241353"/>
    <w:rsid w:val="002418A0"/>
    <w:rsid w:val="0024348A"/>
    <w:rsid w:val="00243C78"/>
    <w:rsid w:val="0024560C"/>
    <w:rsid w:val="00254CF2"/>
    <w:rsid w:val="00260431"/>
    <w:rsid w:val="002615AA"/>
    <w:rsid w:val="00263657"/>
    <w:rsid w:val="002716E1"/>
    <w:rsid w:val="00280F18"/>
    <w:rsid w:val="00281422"/>
    <w:rsid w:val="00283A44"/>
    <w:rsid w:val="00284D58"/>
    <w:rsid w:val="00285728"/>
    <w:rsid w:val="00297488"/>
    <w:rsid w:val="002A1523"/>
    <w:rsid w:val="002A2298"/>
    <w:rsid w:val="002A2903"/>
    <w:rsid w:val="002A373E"/>
    <w:rsid w:val="002B57D1"/>
    <w:rsid w:val="002C2EB3"/>
    <w:rsid w:val="002C663E"/>
    <w:rsid w:val="002C7ED8"/>
    <w:rsid w:val="002D2385"/>
    <w:rsid w:val="002E0BAE"/>
    <w:rsid w:val="002E140E"/>
    <w:rsid w:val="002E346A"/>
    <w:rsid w:val="002E48D0"/>
    <w:rsid w:val="002E7C6B"/>
    <w:rsid w:val="00301F7A"/>
    <w:rsid w:val="0030364B"/>
    <w:rsid w:val="00307E3D"/>
    <w:rsid w:val="00326AF0"/>
    <w:rsid w:val="0032701F"/>
    <w:rsid w:val="0033596D"/>
    <w:rsid w:val="00350DAD"/>
    <w:rsid w:val="00351428"/>
    <w:rsid w:val="003524AF"/>
    <w:rsid w:val="00370E5A"/>
    <w:rsid w:val="0038734C"/>
    <w:rsid w:val="00387D9D"/>
    <w:rsid w:val="0039213E"/>
    <w:rsid w:val="003933A7"/>
    <w:rsid w:val="003A22B1"/>
    <w:rsid w:val="003A36D9"/>
    <w:rsid w:val="003B07E8"/>
    <w:rsid w:val="003B2814"/>
    <w:rsid w:val="003B3A0A"/>
    <w:rsid w:val="003B7A58"/>
    <w:rsid w:val="003C24F3"/>
    <w:rsid w:val="003D1795"/>
    <w:rsid w:val="003D545F"/>
    <w:rsid w:val="003E1209"/>
    <w:rsid w:val="003E2BB2"/>
    <w:rsid w:val="003E312A"/>
    <w:rsid w:val="003F148A"/>
    <w:rsid w:val="003F3008"/>
    <w:rsid w:val="00406994"/>
    <w:rsid w:val="004152C6"/>
    <w:rsid w:val="00420140"/>
    <w:rsid w:val="00421B36"/>
    <w:rsid w:val="0042433A"/>
    <w:rsid w:val="00431933"/>
    <w:rsid w:val="004506F9"/>
    <w:rsid w:val="0045536E"/>
    <w:rsid w:val="0045796B"/>
    <w:rsid w:val="004953A8"/>
    <w:rsid w:val="004A478A"/>
    <w:rsid w:val="004A716E"/>
    <w:rsid w:val="004B2531"/>
    <w:rsid w:val="004C6D06"/>
    <w:rsid w:val="004C6F51"/>
    <w:rsid w:val="004D781E"/>
    <w:rsid w:val="004E3621"/>
    <w:rsid w:val="004E3BCE"/>
    <w:rsid w:val="004F78DE"/>
    <w:rsid w:val="00504939"/>
    <w:rsid w:val="00506B6B"/>
    <w:rsid w:val="005073C9"/>
    <w:rsid w:val="005462C6"/>
    <w:rsid w:val="00555AF4"/>
    <w:rsid w:val="00555F37"/>
    <w:rsid w:val="00556BB3"/>
    <w:rsid w:val="0056053B"/>
    <w:rsid w:val="0056657A"/>
    <w:rsid w:val="00567E6C"/>
    <w:rsid w:val="0057448B"/>
    <w:rsid w:val="00582A42"/>
    <w:rsid w:val="00584DB6"/>
    <w:rsid w:val="00587330"/>
    <w:rsid w:val="00592652"/>
    <w:rsid w:val="005A3945"/>
    <w:rsid w:val="005B3BB5"/>
    <w:rsid w:val="005B4A54"/>
    <w:rsid w:val="005B7172"/>
    <w:rsid w:val="005C07F0"/>
    <w:rsid w:val="005C625F"/>
    <w:rsid w:val="005C76DF"/>
    <w:rsid w:val="005D28E4"/>
    <w:rsid w:val="005D7093"/>
    <w:rsid w:val="005F4FF0"/>
    <w:rsid w:val="006047D6"/>
    <w:rsid w:val="006140A1"/>
    <w:rsid w:val="00622E56"/>
    <w:rsid w:val="00625BC9"/>
    <w:rsid w:val="00632FA7"/>
    <w:rsid w:val="00633916"/>
    <w:rsid w:val="00633972"/>
    <w:rsid w:val="006352BF"/>
    <w:rsid w:val="00641E7A"/>
    <w:rsid w:val="00655DDD"/>
    <w:rsid w:val="006609C8"/>
    <w:rsid w:val="00661765"/>
    <w:rsid w:val="00665642"/>
    <w:rsid w:val="00690EA9"/>
    <w:rsid w:val="006970AA"/>
    <w:rsid w:val="006A3C87"/>
    <w:rsid w:val="006B10A3"/>
    <w:rsid w:val="006B1A5E"/>
    <w:rsid w:val="006B57AA"/>
    <w:rsid w:val="006C00D6"/>
    <w:rsid w:val="006C325A"/>
    <w:rsid w:val="006C4071"/>
    <w:rsid w:val="006C63FD"/>
    <w:rsid w:val="006D258C"/>
    <w:rsid w:val="006D31FA"/>
    <w:rsid w:val="006E52A1"/>
    <w:rsid w:val="006E5AFB"/>
    <w:rsid w:val="006E7F67"/>
    <w:rsid w:val="006F1736"/>
    <w:rsid w:val="006F325C"/>
    <w:rsid w:val="006F68A2"/>
    <w:rsid w:val="007019A4"/>
    <w:rsid w:val="00705CC9"/>
    <w:rsid w:val="00716389"/>
    <w:rsid w:val="00726B76"/>
    <w:rsid w:val="00733EA4"/>
    <w:rsid w:val="00735FAE"/>
    <w:rsid w:val="00757614"/>
    <w:rsid w:val="00783088"/>
    <w:rsid w:val="0078526B"/>
    <w:rsid w:val="007901EF"/>
    <w:rsid w:val="007958AC"/>
    <w:rsid w:val="007A0848"/>
    <w:rsid w:val="007A3914"/>
    <w:rsid w:val="007B188D"/>
    <w:rsid w:val="007B2256"/>
    <w:rsid w:val="007C5894"/>
    <w:rsid w:val="007C7E32"/>
    <w:rsid w:val="007D3E40"/>
    <w:rsid w:val="00800CDB"/>
    <w:rsid w:val="008066F5"/>
    <w:rsid w:val="00810A5C"/>
    <w:rsid w:val="008118C7"/>
    <w:rsid w:val="00817CDF"/>
    <w:rsid w:val="008214D7"/>
    <w:rsid w:val="00821B1B"/>
    <w:rsid w:val="008255A5"/>
    <w:rsid w:val="00833908"/>
    <w:rsid w:val="00836F1C"/>
    <w:rsid w:val="00844A6C"/>
    <w:rsid w:val="00857ABD"/>
    <w:rsid w:val="00861504"/>
    <w:rsid w:val="00862F1A"/>
    <w:rsid w:val="008665C2"/>
    <w:rsid w:val="0088614B"/>
    <w:rsid w:val="00895681"/>
    <w:rsid w:val="008A262F"/>
    <w:rsid w:val="008A7E23"/>
    <w:rsid w:val="008AD305"/>
    <w:rsid w:val="008B3E89"/>
    <w:rsid w:val="008B580C"/>
    <w:rsid w:val="008C19CD"/>
    <w:rsid w:val="008C4BA0"/>
    <w:rsid w:val="008E1824"/>
    <w:rsid w:val="008E51B7"/>
    <w:rsid w:val="008F1C16"/>
    <w:rsid w:val="008F53C8"/>
    <w:rsid w:val="008F5A82"/>
    <w:rsid w:val="008F7AAB"/>
    <w:rsid w:val="0090050E"/>
    <w:rsid w:val="00903735"/>
    <w:rsid w:val="00903E82"/>
    <w:rsid w:val="00910EED"/>
    <w:rsid w:val="00917441"/>
    <w:rsid w:val="00920027"/>
    <w:rsid w:val="00927C3D"/>
    <w:rsid w:val="009311E3"/>
    <w:rsid w:val="00936D7C"/>
    <w:rsid w:val="00940388"/>
    <w:rsid w:val="00942B7B"/>
    <w:rsid w:val="00943301"/>
    <w:rsid w:val="0094483C"/>
    <w:rsid w:val="00952196"/>
    <w:rsid w:val="009550DF"/>
    <w:rsid w:val="00957C3A"/>
    <w:rsid w:val="0097047A"/>
    <w:rsid w:val="00983011"/>
    <w:rsid w:val="0098389C"/>
    <w:rsid w:val="00983A36"/>
    <w:rsid w:val="00995B4B"/>
    <w:rsid w:val="0099786B"/>
    <w:rsid w:val="00997DD1"/>
    <w:rsid w:val="009B67E9"/>
    <w:rsid w:val="009C2849"/>
    <w:rsid w:val="009C2B9F"/>
    <w:rsid w:val="009C47AE"/>
    <w:rsid w:val="009C4C83"/>
    <w:rsid w:val="009D3993"/>
    <w:rsid w:val="009E138A"/>
    <w:rsid w:val="009E6D74"/>
    <w:rsid w:val="00A00D22"/>
    <w:rsid w:val="00A02660"/>
    <w:rsid w:val="00A02B73"/>
    <w:rsid w:val="00A037CD"/>
    <w:rsid w:val="00A060A6"/>
    <w:rsid w:val="00A2072F"/>
    <w:rsid w:val="00A278FF"/>
    <w:rsid w:val="00A32D44"/>
    <w:rsid w:val="00A371EB"/>
    <w:rsid w:val="00A4286E"/>
    <w:rsid w:val="00A42A5F"/>
    <w:rsid w:val="00A44D8A"/>
    <w:rsid w:val="00A46EA3"/>
    <w:rsid w:val="00A478EA"/>
    <w:rsid w:val="00A5731F"/>
    <w:rsid w:val="00A628CD"/>
    <w:rsid w:val="00A71629"/>
    <w:rsid w:val="00A73304"/>
    <w:rsid w:val="00A830B2"/>
    <w:rsid w:val="00A83243"/>
    <w:rsid w:val="00A84F9F"/>
    <w:rsid w:val="00A85B0C"/>
    <w:rsid w:val="00A94DB5"/>
    <w:rsid w:val="00AA15E7"/>
    <w:rsid w:val="00AA3B79"/>
    <w:rsid w:val="00AA3D19"/>
    <w:rsid w:val="00AA4314"/>
    <w:rsid w:val="00AB0318"/>
    <w:rsid w:val="00AB21A6"/>
    <w:rsid w:val="00AB39B9"/>
    <w:rsid w:val="00AB5022"/>
    <w:rsid w:val="00AC6CA2"/>
    <w:rsid w:val="00AD1599"/>
    <w:rsid w:val="00AE0D9E"/>
    <w:rsid w:val="00AE77F0"/>
    <w:rsid w:val="00AF15CB"/>
    <w:rsid w:val="00AF221F"/>
    <w:rsid w:val="00AF3B64"/>
    <w:rsid w:val="00B03748"/>
    <w:rsid w:val="00B05AAC"/>
    <w:rsid w:val="00B05CAA"/>
    <w:rsid w:val="00B2026E"/>
    <w:rsid w:val="00B2670A"/>
    <w:rsid w:val="00B34AAF"/>
    <w:rsid w:val="00B45B26"/>
    <w:rsid w:val="00B50914"/>
    <w:rsid w:val="00B556A1"/>
    <w:rsid w:val="00B56627"/>
    <w:rsid w:val="00B83188"/>
    <w:rsid w:val="00B901A4"/>
    <w:rsid w:val="00BA3D70"/>
    <w:rsid w:val="00BA4D2B"/>
    <w:rsid w:val="00BA4ED6"/>
    <w:rsid w:val="00BB24AA"/>
    <w:rsid w:val="00BB25CC"/>
    <w:rsid w:val="00BC0553"/>
    <w:rsid w:val="00BC2E1D"/>
    <w:rsid w:val="00BC6FD2"/>
    <w:rsid w:val="00BD4D33"/>
    <w:rsid w:val="00BD67C3"/>
    <w:rsid w:val="00BF67CC"/>
    <w:rsid w:val="00C10CF7"/>
    <w:rsid w:val="00C2220F"/>
    <w:rsid w:val="00C2262F"/>
    <w:rsid w:val="00C341F5"/>
    <w:rsid w:val="00C519A3"/>
    <w:rsid w:val="00C51DFF"/>
    <w:rsid w:val="00C55A68"/>
    <w:rsid w:val="00C74445"/>
    <w:rsid w:val="00C84363"/>
    <w:rsid w:val="00C97F39"/>
    <w:rsid w:val="00CA5940"/>
    <w:rsid w:val="00CA6181"/>
    <w:rsid w:val="00CB3B0F"/>
    <w:rsid w:val="00CB5EF5"/>
    <w:rsid w:val="00CB75FF"/>
    <w:rsid w:val="00CC3243"/>
    <w:rsid w:val="00CD354C"/>
    <w:rsid w:val="00CE0CA8"/>
    <w:rsid w:val="00CE4DA9"/>
    <w:rsid w:val="00CE4FA5"/>
    <w:rsid w:val="00CE68B1"/>
    <w:rsid w:val="00CF389D"/>
    <w:rsid w:val="00CF5664"/>
    <w:rsid w:val="00D0197C"/>
    <w:rsid w:val="00D01E8B"/>
    <w:rsid w:val="00D03AA9"/>
    <w:rsid w:val="00D03C2C"/>
    <w:rsid w:val="00D04FD7"/>
    <w:rsid w:val="00D06DB5"/>
    <w:rsid w:val="00D07033"/>
    <w:rsid w:val="00D10668"/>
    <w:rsid w:val="00D1530D"/>
    <w:rsid w:val="00D20FFD"/>
    <w:rsid w:val="00D26835"/>
    <w:rsid w:val="00D30534"/>
    <w:rsid w:val="00D314D7"/>
    <w:rsid w:val="00D35080"/>
    <w:rsid w:val="00D360B8"/>
    <w:rsid w:val="00D400C0"/>
    <w:rsid w:val="00D47B12"/>
    <w:rsid w:val="00D5649B"/>
    <w:rsid w:val="00D667AE"/>
    <w:rsid w:val="00D66CE1"/>
    <w:rsid w:val="00D7154A"/>
    <w:rsid w:val="00D741C5"/>
    <w:rsid w:val="00D74D54"/>
    <w:rsid w:val="00D75B5E"/>
    <w:rsid w:val="00D767E0"/>
    <w:rsid w:val="00D80CDB"/>
    <w:rsid w:val="00D82A6A"/>
    <w:rsid w:val="00D87909"/>
    <w:rsid w:val="00D95D6C"/>
    <w:rsid w:val="00DA0CC9"/>
    <w:rsid w:val="00DB656F"/>
    <w:rsid w:val="00DB669E"/>
    <w:rsid w:val="00DD0AE8"/>
    <w:rsid w:val="00DD10FA"/>
    <w:rsid w:val="00DD5506"/>
    <w:rsid w:val="00DE19D7"/>
    <w:rsid w:val="00DE3B8B"/>
    <w:rsid w:val="00DE58DB"/>
    <w:rsid w:val="00DF607A"/>
    <w:rsid w:val="00E04E86"/>
    <w:rsid w:val="00E06051"/>
    <w:rsid w:val="00E200E9"/>
    <w:rsid w:val="00E32EE6"/>
    <w:rsid w:val="00E33F55"/>
    <w:rsid w:val="00E45FED"/>
    <w:rsid w:val="00E46FCC"/>
    <w:rsid w:val="00E5150A"/>
    <w:rsid w:val="00E57377"/>
    <w:rsid w:val="00E600B4"/>
    <w:rsid w:val="00E736D6"/>
    <w:rsid w:val="00E7631F"/>
    <w:rsid w:val="00E9087C"/>
    <w:rsid w:val="00E91521"/>
    <w:rsid w:val="00E91524"/>
    <w:rsid w:val="00E92195"/>
    <w:rsid w:val="00E95B94"/>
    <w:rsid w:val="00EA2816"/>
    <w:rsid w:val="00EB7615"/>
    <w:rsid w:val="00EC0627"/>
    <w:rsid w:val="00EC5C46"/>
    <w:rsid w:val="00EC76C9"/>
    <w:rsid w:val="00ED4922"/>
    <w:rsid w:val="00EE341A"/>
    <w:rsid w:val="00EF5792"/>
    <w:rsid w:val="00F04D17"/>
    <w:rsid w:val="00F14350"/>
    <w:rsid w:val="00F15ACC"/>
    <w:rsid w:val="00F16573"/>
    <w:rsid w:val="00F30A19"/>
    <w:rsid w:val="00F30EF9"/>
    <w:rsid w:val="00F440D2"/>
    <w:rsid w:val="00F4726F"/>
    <w:rsid w:val="00F53533"/>
    <w:rsid w:val="00F70733"/>
    <w:rsid w:val="00F728B1"/>
    <w:rsid w:val="00F808A2"/>
    <w:rsid w:val="00F926DD"/>
    <w:rsid w:val="00F93ED0"/>
    <w:rsid w:val="00F96A7F"/>
    <w:rsid w:val="00FA6005"/>
    <w:rsid w:val="00FA629C"/>
    <w:rsid w:val="00FB13B4"/>
    <w:rsid w:val="00FC5E5F"/>
    <w:rsid w:val="00FD13E4"/>
    <w:rsid w:val="00FF4379"/>
    <w:rsid w:val="00FF43FD"/>
    <w:rsid w:val="00FF6444"/>
    <w:rsid w:val="023442BF"/>
    <w:rsid w:val="024AC443"/>
    <w:rsid w:val="02B3FF32"/>
    <w:rsid w:val="03C8A3BA"/>
    <w:rsid w:val="042F4389"/>
    <w:rsid w:val="0436074E"/>
    <w:rsid w:val="04570C82"/>
    <w:rsid w:val="04E3F67F"/>
    <w:rsid w:val="055442E7"/>
    <w:rsid w:val="073551A4"/>
    <w:rsid w:val="082E3B5C"/>
    <w:rsid w:val="09A411E3"/>
    <w:rsid w:val="0A1CC94D"/>
    <w:rsid w:val="0A48B884"/>
    <w:rsid w:val="0B41F815"/>
    <w:rsid w:val="0B90AE30"/>
    <w:rsid w:val="0C80A27E"/>
    <w:rsid w:val="0CFD157F"/>
    <w:rsid w:val="0D74E0A1"/>
    <w:rsid w:val="0F77DD5E"/>
    <w:rsid w:val="0FA3414C"/>
    <w:rsid w:val="11D75128"/>
    <w:rsid w:val="12053631"/>
    <w:rsid w:val="1254DD3E"/>
    <w:rsid w:val="12C35A47"/>
    <w:rsid w:val="1419CF9D"/>
    <w:rsid w:val="15B65AD8"/>
    <w:rsid w:val="16BDB3B6"/>
    <w:rsid w:val="1830133E"/>
    <w:rsid w:val="1B23FB44"/>
    <w:rsid w:val="1BB75CB2"/>
    <w:rsid w:val="1CA67BD7"/>
    <w:rsid w:val="1EE7C689"/>
    <w:rsid w:val="1FF1AB49"/>
    <w:rsid w:val="22B95475"/>
    <w:rsid w:val="2364873B"/>
    <w:rsid w:val="246F4E3A"/>
    <w:rsid w:val="24F81A24"/>
    <w:rsid w:val="25A0DF09"/>
    <w:rsid w:val="25F2B01F"/>
    <w:rsid w:val="2722D920"/>
    <w:rsid w:val="2743C8F1"/>
    <w:rsid w:val="28666EFD"/>
    <w:rsid w:val="28B25769"/>
    <w:rsid w:val="2D95BC4C"/>
    <w:rsid w:val="2F4F15D5"/>
    <w:rsid w:val="30D9A1DF"/>
    <w:rsid w:val="3106DFA7"/>
    <w:rsid w:val="3196DAAF"/>
    <w:rsid w:val="333E7D20"/>
    <w:rsid w:val="33C18117"/>
    <w:rsid w:val="34055C6F"/>
    <w:rsid w:val="3514F4C2"/>
    <w:rsid w:val="35EDC318"/>
    <w:rsid w:val="37847736"/>
    <w:rsid w:val="37FC126D"/>
    <w:rsid w:val="3D6C2E5A"/>
    <w:rsid w:val="3DC537F7"/>
    <w:rsid w:val="3EAB5F3B"/>
    <w:rsid w:val="3F2B3203"/>
    <w:rsid w:val="400EFAC8"/>
    <w:rsid w:val="40355701"/>
    <w:rsid w:val="403AB2B2"/>
    <w:rsid w:val="409F374F"/>
    <w:rsid w:val="41828561"/>
    <w:rsid w:val="4278B846"/>
    <w:rsid w:val="439A2EC6"/>
    <w:rsid w:val="43F7BF63"/>
    <w:rsid w:val="44D9B070"/>
    <w:rsid w:val="450E54DD"/>
    <w:rsid w:val="46A7D735"/>
    <w:rsid w:val="46BAAFB3"/>
    <w:rsid w:val="4845D55C"/>
    <w:rsid w:val="49065031"/>
    <w:rsid w:val="49728D6E"/>
    <w:rsid w:val="4AE57CB4"/>
    <w:rsid w:val="4B2D05D3"/>
    <w:rsid w:val="4CE21935"/>
    <w:rsid w:val="4D2A494E"/>
    <w:rsid w:val="4E1F63D6"/>
    <w:rsid w:val="4F8E001C"/>
    <w:rsid w:val="52CCA4D6"/>
    <w:rsid w:val="537A3CE1"/>
    <w:rsid w:val="5417A0A4"/>
    <w:rsid w:val="55449520"/>
    <w:rsid w:val="55C7A15A"/>
    <w:rsid w:val="56024DE8"/>
    <w:rsid w:val="582D7A18"/>
    <w:rsid w:val="587BC33B"/>
    <w:rsid w:val="58984D20"/>
    <w:rsid w:val="59EF3665"/>
    <w:rsid w:val="5B014E55"/>
    <w:rsid w:val="5B4AB532"/>
    <w:rsid w:val="5E828BDF"/>
    <w:rsid w:val="60BDF5EE"/>
    <w:rsid w:val="6110F04C"/>
    <w:rsid w:val="65A753BC"/>
    <w:rsid w:val="6613FAB9"/>
    <w:rsid w:val="6835F4FF"/>
    <w:rsid w:val="69411795"/>
    <w:rsid w:val="69BDE708"/>
    <w:rsid w:val="69C2107D"/>
    <w:rsid w:val="6AC89E6C"/>
    <w:rsid w:val="6CBB339D"/>
    <w:rsid w:val="6D8F8BDE"/>
    <w:rsid w:val="6F46DF1D"/>
    <w:rsid w:val="70738430"/>
    <w:rsid w:val="709BE4A5"/>
    <w:rsid w:val="7210A698"/>
    <w:rsid w:val="727824C0"/>
    <w:rsid w:val="7521D3F6"/>
    <w:rsid w:val="75E2C0F3"/>
    <w:rsid w:val="76719152"/>
    <w:rsid w:val="76E8BBCE"/>
    <w:rsid w:val="79BA5C7F"/>
    <w:rsid w:val="79C44FF6"/>
    <w:rsid w:val="79EA8A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E6FD"/>
  <w14:defaultImageDpi w14:val="32767"/>
  <w15:chartTrackingRefBased/>
  <w15:docId w15:val="{FCBD96EB-8626-4CE6-8873-D476ADC9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AC5"/>
    <w:pPr>
      <w:spacing w:before="100" w:beforeAutospacing="1" w:after="100" w:afterAutospacing="1"/>
    </w:pPr>
    <w:rPr>
      <w:rFonts w:ascii="Times New Roman" w:eastAsia="Times New Roman" w:hAnsi="Times New Roman" w:cs="Times New Roman"/>
      <w:lang w:val="fr-CA" w:eastAsia="fr-CA"/>
    </w:rPr>
  </w:style>
  <w:style w:type="table" w:styleId="TableGrid">
    <w:name w:val="Table Grid"/>
    <w:basedOn w:val="TableNormal"/>
    <w:uiPriority w:val="59"/>
    <w:rsid w:val="00CF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32D44"/>
    <w:pPr>
      <w:autoSpaceDE w:val="0"/>
      <w:autoSpaceDN w:val="0"/>
      <w:adjustRightInd w:val="0"/>
    </w:pPr>
    <w:rPr>
      <w:rFonts w:ascii="Calibri" w:hAnsi="Calibri" w:cs="Calibri"/>
      <w:color w:val="000000"/>
      <w:lang w:val="fr-CA"/>
    </w:rPr>
  </w:style>
  <w:style w:type="character" w:styleId="CommentReference">
    <w:name w:val="annotation reference"/>
    <w:basedOn w:val="DefaultParagraphFont"/>
    <w:uiPriority w:val="99"/>
    <w:semiHidden/>
    <w:unhideWhenUsed/>
    <w:rsid w:val="003E2BB2"/>
    <w:rPr>
      <w:sz w:val="16"/>
      <w:szCs w:val="16"/>
    </w:rPr>
  </w:style>
  <w:style w:type="paragraph" w:styleId="CommentText">
    <w:name w:val="annotation text"/>
    <w:basedOn w:val="Normal"/>
    <w:link w:val="CommentTextChar"/>
    <w:uiPriority w:val="99"/>
    <w:unhideWhenUsed/>
    <w:rsid w:val="003E2BB2"/>
    <w:rPr>
      <w:sz w:val="20"/>
      <w:szCs w:val="20"/>
    </w:rPr>
  </w:style>
  <w:style w:type="character" w:customStyle="1" w:styleId="CommentTextChar">
    <w:name w:val="Comment Text Char"/>
    <w:basedOn w:val="DefaultParagraphFont"/>
    <w:link w:val="CommentText"/>
    <w:uiPriority w:val="99"/>
    <w:rsid w:val="003E2BB2"/>
    <w:rPr>
      <w:sz w:val="20"/>
      <w:szCs w:val="20"/>
    </w:rPr>
  </w:style>
  <w:style w:type="paragraph" w:styleId="CommentSubject">
    <w:name w:val="annotation subject"/>
    <w:basedOn w:val="CommentText"/>
    <w:next w:val="CommentText"/>
    <w:link w:val="CommentSubjectChar"/>
    <w:uiPriority w:val="99"/>
    <w:semiHidden/>
    <w:unhideWhenUsed/>
    <w:rsid w:val="003E2BB2"/>
    <w:rPr>
      <w:b/>
      <w:bCs/>
    </w:rPr>
  </w:style>
  <w:style w:type="character" w:customStyle="1" w:styleId="CommentSubjectChar">
    <w:name w:val="Comment Subject Char"/>
    <w:basedOn w:val="CommentTextChar"/>
    <w:link w:val="CommentSubject"/>
    <w:uiPriority w:val="99"/>
    <w:semiHidden/>
    <w:rsid w:val="003E2BB2"/>
    <w:rPr>
      <w:b/>
      <w:bCs/>
      <w:sz w:val="20"/>
      <w:szCs w:val="20"/>
    </w:rPr>
  </w:style>
  <w:style w:type="paragraph" w:styleId="BalloonText">
    <w:name w:val="Balloon Text"/>
    <w:basedOn w:val="Normal"/>
    <w:link w:val="BalloonTextChar"/>
    <w:uiPriority w:val="99"/>
    <w:semiHidden/>
    <w:unhideWhenUsed/>
    <w:rsid w:val="003E2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B2"/>
    <w:rPr>
      <w:rFonts w:ascii="Segoe UI" w:hAnsi="Segoe UI" w:cs="Segoe UI"/>
      <w:sz w:val="18"/>
      <w:szCs w:val="18"/>
    </w:rPr>
  </w:style>
  <w:style w:type="character" w:styleId="Hyperlink">
    <w:name w:val="Hyperlink"/>
    <w:basedOn w:val="DefaultParagraphFont"/>
    <w:uiPriority w:val="99"/>
    <w:unhideWhenUsed/>
    <w:rsid w:val="00582A42"/>
    <w:rPr>
      <w:color w:val="0000FF"/>
      <w:u w:val="single"/>
    </w:rPr>
  </w:style>
  <w:style w:type="character" w:styleId="FollowedHyperlink">
    <w:name w:val="FollowedHyperlink"/>
    <w:basedOn w:val="DefaultParagraphFont"/>
    <w:uiPriority w:val="99"/>
    <w:semiHidden/>
    <w:unhideWhenUsed/>
    <w:rsid w:val="006C4071"/>
    <w:rPr>
      <w:color w:val="954F72" w:themeColor="followedHyperlink"/>
      <w:u w:val="single"/>
    </w:rPr>
  </w:style>
  <w:style w:type="paragraph" w:styleId="FootnoteText">
    <w:name w:val="footnote text"/>
    <w:basedOn w:val="Normal"/>
    <w:link w:val="FootnoteTextChar"/>
    <w:uiPriority w:val="99"/>
    <w:semiHidden/>
    <w:unhideWhenUsed/>
    <w:rsid w:val="00625BC9"/>
    <w:rPr>
      <w:sz w:val="20"/>
      <w:szCs w:val="20"/>
    </w:rPr>
  </w:style>
  <w:style w:type="character" w:customStyle="1" w:styleId="FootnoteTextChar">
    <w:name w:val="Footnote Text Char"/>
    <w:basedOn w:val="DefaultParagraphFont"/>
    <w:link w:val="FootnoteText"/>
    <w:uiPriority w:val="99"/>
    <w:semiHidden/>
    <w:rsid w:val="00625BC9"/>
    <w:rPr>
      <w:sz w:val="20"/>
      <w:szCs w:val="20"/>
    </w:rPr>
  </w:style>
  <w:style w:type="character" w:styleId="FootnoteReference">
    <w:name w:val="footnote reference"/>
    <w:basedOn w:val="DefaultParagraphFont"/>
    <w:uiPriority w:val="99"/>
    <w:semiHidden/>
    <w:unhideWhenUsed/>
    <w:rsid w:val="00625BC9"/>
    <w:rPr>
      <w:vertAlign w:val="superscript"/>
    </w:rPr>
  </w:style>
  <w:style w:type="paragraph" w:styleId="Header">
    <w:name w:val="header"/>
    <w:basedOn w:val="Normal"/>
    <w:link w:val="HeaderChar"/>
    <w:uiPriority w:val="99"/>
    <w:unhideWhenUsed/>
    <w:rsid w:val="00F30A19"/>
    <w:pPr>
      <w:tabs>
        <w:tab w:val="center" w:pos="4513"/>
        <w:tab w:val="right" w:pos="9026"/>
      </w:tabs>
    </w:pPr>
  </w:style>
  <w:style w:type="character" w:customStyle="1" w:styleId="HeaderChar">
    <w:name w:val="Header Char"/>
    <w:basedOn w:val="DefaultParagraphFont"/>
    <w:link w:val="Header"/>
    <w:uiPriority w:val="99"/>
    <w:rsid w:val="00F30A19"/>
  </w:style>
  <w:style w:type="paragraph" w:styleId="Footer">
    <w:name w:val="footer"/>
    <w:basedOn w:val="Normal"/>
    <w:link w:val="FooterChar"/>
    <w:uiPriority w:val="99"/>
    <w:unhideWhenUsed/>
    <w:rsid w:val="00F30A19"/>
    <w:pPr>
      <w:tabs>
        <w:tab w:val="center" w:pos="4513"/>
        <w:tab w:val="right" w:pos="9026"/>
      </w:tabs>
    </w:pPr>
  </w:style>
  <w:style w:type="character" w:customStyle="1" w:styleId="FooterChar">
    <w:name w:val="Footer Char"/>
    <w:basedOn w:val="DefaultParagraphFont"/>
    <w:link w:val="Footer"/>
    <w:uiPriority w:val="99"/>
    <w:rsid w:val="00F30A19"/>
  </w:style>
  <w:style w:type="paragraph" w:styleId="BodyText">
    <w:name w:val="Body Text"/>
    <w:basedOn w:val="Normal"/>
    <w:link w:val="BodyTextChar"/>
    <w:uiPriority w:val="1"/>
    <w:unhideWhenUsed/>
    <w:qFormat/>
    <w:rsid w:val="00326AF0"/>
    <w:pPr>
      <w:widowControl w:val="0"/>
      <w:ind w:left="544" w:hanging="424"/>
    </w:pPr>
    <w:rPr>
      <w:rFonts w:ascii="Calibri" w:eastAsia="Calibri" w:hAnsi="Calibri"/>
      <w:sz w:val="22"/>
      <w:szCs w:val="22"/>
      <w:lang w:val="en-US"/>
    </w:rPr>
  </w:style>
  <w:style w:type="character" w:customStyle="1" w:styleId="BodyTextChar">
    <w:name w:val="Body Text Char"/>
    <w:basedOn w:val="DefaultParagraphFont"/>
    <w:link w:val="BodyText"/>
    <w:uiPriority w:val="1"/>
    <w:rsid w:val="00326AF0"/>
    <w:rPr>
      <w:rFonts w:ascii="Calibri" w:eastAsia="Calibri" w:hAnsi="Calibri"/>
      <w:sz w:val="22"/>
      <w:szCs w:val="22"/>
      <w:lang w:val="en-US"/>
    </w:rPr>
  </w:style>
  <w:style w:type="paragraph" w:styleId="NoSpacing">
    <w:name w:val="No Spacing"/>
    <w:uiPriority w:val="1"/>
    <w:qFormat/>
    <w:rsid w:val="00326AF0"/>
    <w:pPr>
      <w:ind w:left="425" w:hanging="425"/>
    </w:pPr>
    <w:rPr>
      <w:rFonts w:ascii="Calibri" w:eastAsia="Calibri" w:hAnsi="Calibri" w:cs="Times New Roman"/>
      <w:sz w:val="22"/>
      <w:szCs w:val="22"/>
      <w:lang w:val="en-GB"/>
    </w:rPr>
  </w:style>
  <w:style w:type="character" w:customStyle="1" w:styleId="ListParagraphChar">
    <w:name w:val="List Paragraph Char"/>
    <w:basedOn w:val="DefaultParagraphFont"/>
    <w:link w:val="ListParagraph"/>
    <w:uiPriority w:val="34"/>
    <w:locked/>
    <w:rsid w:val="00326AF0"/>
  </w:style>
  <w:style w:type="paragraph" w:styleId="ListParagraph">
    <w:name w:val="List Paragraph"/>
    <w:basedOn w:val="Normal"/>
    <w:link w:val="ListParagraphChar"/>
    <w:uiPriority w:val="34"/>
    <w:qFormat/>
    <w:rsid w:val="00326AF0"/>
    <w:pPr>
      <w:ind w:left="720"/>
      <w:contextualSpacing/>
    </w:pPr>
  </w:style>
  <w:style w:type="paragraph" w:customStyle="1" w:styleId="paragraph">
    <w:name w:val="paragraph"/>
    <w:basedOn w:val="Normal"/>
    <w:uiPriority w:val="99"/>
    <w:semiHidden/>
    <w:rsid w:val="00326AF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326AF0"/>
  </w:style>
  <w:style w:type="character" w:customStyle="1" w:styleId="eop">
    <w:name w:val="eop"/>
    <w:basedOn w:val="DefaultParagraphFont"/>
    <w:rsid w:val="00326AF0"/>
  </w:style>
  <w:style w:type="character" w:customStyle="1" w:styleId="findhit">
    <w:name w:val="findhit"/>
    <w:basedOn w:val="DefaultParagraphFont"/>
    <w:rsid w:val="00326AF0"/>
  </w:style>
  <w:style w:type="paragraph" w:styleId="Revision">
    <w:name w:val="Revision"/>
    <w:hidden/>
    <w:uiPriority w:val="99"/>
    <w:semiHidden/>
    <w:rsid w:val="0057448B"/>
  </w:style>
  <w:style w:type="character" w:styleId="UnresolvedMention">
    <w:name w:val="Unresolved Mention"/>
    <w:basedOn w:val="DefaultParagraphFont"/>
    <w:uiPriority w:val="99"/>
    <w:semiHidden/>
    <w:unhideWhenUsed/>
    <w:rsid w:val="001E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63402">
      <w:bodyDiv w:val="1"/>
      <w:marLeft w:val="0"/>
      <w:marRight w:val="0"/>
      <w:marTop w:val="0"/>
      <w:marBottom w:val="0"/>
      <w:divBdr>
        <w:top w:val="none" w:sz="0" w:space="0" w:color="auto"/>
        <w:left w:val="none" w:sz="0" w:space="0" w:color="auto"/>
        <w:bottom w:val="none" w:sz="0" w:space="0" w:color="auto"/>
        <w:right w:val="none" w:sz="0" w:space="0" w:color="auto"/>
      </w:divBdr>
      <w:divsChild>
        <w:div w:id="1384871831">
          <w:marLeft w:val="0"/>
          <w:marRight w:val="0"/>
          <w:marTop w:val="0"/>
          <w:marBottom w:val="0"/>
          <w:divBdr>
            <w:top w:val="none" w:sz="0" w:space="0" w:color="auto"/>
            <w:left w:val="none" w:sz="0" w:space="0" w:color="auto"/>
            <w:bottom w:val="none" w:sz="0" w:space="0" w:color="auto"/>
            <w:right w:val="none" w:sz="0" w:space="0" w:color="auto"/>
          </w:divBdr>
          <w:divsChild>
            <w:div w:id="1082875315">
              <w:marLeft w:val="0"/>
              <w:marRight w:val="0"/>
              <w:marTop w:val="0"/>
              <w:marBottom w:val="0"/>
              <w:divBdr>
                <w:top w:val="none" w:sz="0" w:space="0" w:color="auto"/>
                <w:left w:val="none" w:sz="0" w:space="0" w:color="auto"/>
                <w:bottom w:val="none" w:sz="0" w:space="0" w:color="auto"/>
                <w:right w:val="none" w:sz="0" w:space="0" w:color="auto"/>
              </w:divBdr>
              <w:divsChild>
                <w:div w:id="3114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5027">
      <w:bodyDiv w:val="1"/>
      <w:marLeft w:val="0"/>
      <w:marRight w:val="0"/>
      <w:marTop w:val="0"/>
      <w:marBottom w:val="0"/>
      <w:divBdr>
        <w:top w:val="none" w:sz="0" w:space="0" w:color="auto"/>
        <w:left w:val="none" w:sz="0" w:space="0" w:color="auto"/>
        <w:bottom w:val="none" w:sz="0" w:space="0" w:color="auto"/>
        <w:right w:val="none" w:sz="0" w:space="0" w:color="auto"/>
      </w:divBdr>
    </w:div>
    <w:div w:id="237324081">
      <w:bodyDiv w:val="1"/>
      <w:marLeft w:val="0"/>
      <w:marRight w:val="0"/>
      <w:marTop w:val="0"/>
      <w:marBottom w:val="0"/>
      <w:divBdr>
        <w:top w:val="none" w:sz="0" w:space="0" w:color="auto"/>
        <w:left w:val="none" w:sz="0" w:space="0" w:color="auto"/>
        <w:bottom w:val="none" w:sz="0" w:space="0" w:color="auto"/>
        <w:right w:val="none" w:sz="0" w:space="0" w:color="auto"/>
      </w:divBdr>
      <w:divsChild>
        <w:div w:id="275596797">
          <w:marLeft w:val="0"/>
          <w:marRight w:val="0"/>
          <w:marTop w:val="0"/>
          <w:marBottom w:val="0"/>
          <w:divBdr>
            <w:top w:val="none" w:sz="0" w:space="0" w:color="auto"/>
            <w:left w:val="none" w:sz="0" w:space="0" w:color="auto"/>
            <w:bottom w:val="none" w:sz="0" w:space="0" w:color="auto"/>
            <w:right w:val="none" w:sz="0" w:space="0" w:color="auto"/>
          </w:divBdr>
          <w:divsChild>
            <w:div w:id="832792126">
              <w:marLeft w:val="0"/>
              <w:marRight w:val="0"/>
              <w:marTop w:val="0"/>
              <w:marBottom w:val="0"/>
              <w:divBdr>
                <w:top w:val="none" w:sz="0" w:space="0" w:color="auto"/>
                <w:left w:val="none" w:sz="0" w:space="0" w:color="auto"/>
                <w:bottom w:val="none" w:sz="0" w:space="0" w:color="auto"/>
                <w:right w:val="none" w:sz="0" w:space="0" w:color="auto"/>
              </w:divBdr>
              <w:divsChild>
                <w:div w:id="7965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1561">
      <w:bodyDiv w:val="1"/>
      <w:marLeft w:val="0"/>
      <w:marRight w:val="0"/>
      <w:marTop w:val="0"/>
      <w:marBottom w:val="0"/>
      <w:divBdr>
        <w:top w:val="none" w:sz="0" w:space="0" w:color="auto"/>
        <w:left w:val="none" w:sz="0" w:space="0" w:color="auto"/>
        <w:bottom w:val="none" w:sz="0" w:space="0" w:color="auto"/>
        <w:right w:val="none" w:sz="0" w:space="0" w:color="auto"/>
      </w:divBdr>
    </w:div>
    <w:div w:id="416481593">
      <w:bodyDiv w:val="1"/>
      <w:marLeft w:val="0"/>
      <w:marRight w:val="0"/>
      <w:marTop w:val="0"/>
      <w:marBottom w:val="0"/>
      <w:divBdr>
        <w:top w:val="none" w:sz="0" w:space="0" w:color="auto"/>
        <w:left w:val="none" w:sz="0" w:space="0" w:color="auto"/>
        <w:bottom w:val="none" w:sz="0" w:space="0" w:color="auto"/>
        <w:right w:val="none" w:sz="0" w:space="0" w:color="auto"/>
      </w:divBdr>
    </w:div>
    <w:div w:id="802430704">
      <w:bodyDiv w:val="1"/>
      <w:marLeft w:val="0"/>
      <w:marRight w:val="0"/>
      <w:marTop w:val="0"/>
      <w:marBottom w:val="0"/>
      <w:divBdr>
        <w:top w:val="none" w:sz="0" w:space="0" w:color="auto"/>
        <w:left w:val="none" w:sz="0" w:space="0" w:color="auto"/>
        <w:bottom w:val="none" w:sz="0" w:space="0" w:color="auto"/>
        <w:right w:val="none" w:sz="0" w:space="0" w:color="auto"/>
      </w:divBdr>
      <w:divsChild>
        <w:div w:id="165823888">
          <w:marLeft w:val="0"/>
          <w:marRight w:val="0"/>
          <w:marTop w:val="0"/>
          <w:marBottom w:val="0"/>
          <w:divBdr>
            <w:top w:val="none" w:sz="0" w:space="0" w:color="auto"/>
            <w:left w:val="none" w:sz="0" w:space="0" w:color="auto"/>
            <w:bottom w:val="none" w:sz="0" w:space="0" w:color="auto"/>
            <w:right w:val="none" w:sz="0" w:space="0" w:color="auto"/>
          </w:divBdr>
          <w:divsChild>
            <w:div w:id="174224085">
              <w:marLeft w:val="0"/>
              <w:marRight w:val="0"/>
              <w:marTop w:val="0"/>
              <w:marBottom w:val="0"/>
              <w:divBdr>
                <w:top w:val="none" w:sz="0" w:space="0" w:color="auto"/>
                <w:left w:val="none" w:sz="0" w:space="0" w:color="auto"/>
                <w:bottom w:val="none" w:sz="0" w:space="0" w:color="auto"/>
                <w:right w:val="none" w:sz="0" w:space="0" w:color="auto"/>
              </w:divBdr>
              <w:divsChild>
                <w:div w:id="736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4940">
      <w:bodyDiv w:val="1"/>
      <w:marLeft w:val="0"/>
      <w:marRight w:val="0"/>
      <w:marTop w:val="0"/>
      <w:marBottom w:val="0"/>
      <w:divBdr>
        <w:top w:val="none" w:sz="0" w:space="0" w:color="auto"/>
        <w:left w:val="none" w:sz="0" w:space="0" w:color="auto"/>
        <w:bottom w:val="none" w:sz="0" w:space="0" w:color="auto"/>
        <w:right w:val="none" w:sz="0" w:space="0" w:color="auto"/>
      </w:divBdr>
      <w:divsChild>
        <w:div w:id="1385133933">
          <w:marLeft w:val="0"/>
          <w:marRight w:val="0"/>
          <w:marTop w:val="0"/>
          <w:marBottom w:val="0"/>
          <w:divBdr>
            <w:top w:val="none" w:sz="0" w:space="0" w:color="auto"/>
            <w:left w:val="none" w:sz="0" w:space="0" w:color="auto"/>
            <w:bottom w:val="none" w:sz="0" w:space="0" w:color="auto"/>
            <w:right w:val="none" w:sz="0" w:space="0" w:color="auto"/>
          </w:divBdr>
          <w:divsChild>
            <w:div w:id="604265123">
              <w:marLeft w:val="0"/>
              <w:marRight w:val="0"/>
              <w:marTop w:val="0"/>
              <w:marBottom w:val="0"/>
              <w:divBdr>
                <w:top w:val="none" w:sz="0" w:space="0" w:color="auto"/>
                <w:left w:val="none" w:sz="0" w:space="0" w:color="auto"/>
                <w:bottom w:val="none" w:sz="0" w:space="0" w:color="auto"/>
                <w:right w:val="none" w:sz="0" w:space="0" w:color="auto"/>
              </w:divBdr>
              <w:divsChild>
                <w:div w:id="17865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7410">
      <w:bodyDiv w:val="1"/>
      <w:marLeft w:val="0"/>
      <w:marRight w:val="0"/>
      <w:marTop w:val="0"/>
      <w:marBottom w:val="0"/>
      <w:divBdr>
        <w:top w:val="none" w:sz="0" w:space="0" w:color="auto"/>
        <w:left w:val="none" w:sz="0" w:space="0" w:color="auto"/>
        <w:bottom w:val="none" w:sz="0" w:space="0" w:color="auto"/>
        <w:right w:val="none" w:sz="0" w:space="0" w:color="auto"/>
      </w:divBdr>
      <w:divsChild>
        <w:div w:id="29038498">
          <w:marLeft w:val="0"/>
          <w:marRight w:val="0"/>
          <w:marTop w:val="0"/>
          <w:marBottom w:val="0"/>
          <w:divBdr>
            <w:top w:val="none" w:sz="0" w:space="0" w:color="auto"/>
            <w:left w:val="none" w:sz="0" w:space="0" w:color="auto"/>
            <w:bottom w:val="none" w:sz="0" w:space="0" w:color="auto"/>
            <w:right w:val="none" w:sz="0" w:space="0" w:color="auto"/>
          </w:divBdr>
          <w:divsChild>
            <w:div w:id="972440080">
              <w:marLeft w:val="0"/>
              <w:marRight w:val="0"/>
              <w:marTop w:val="0"/>
              <w:marBottom w:val="0"/>
              <w:divBdr>
                <w:top w:val="none" w:sz="0" w:space="0" w:color="auto"/>
                <w:left w:val="none" w:sz="0" w:space="0" w:color="auto"/>
                <w:bottom w:val="none" w:sz="0" w:space="0" w:color="auto"/>
                <w:right w:val="none" w:sz="0" w:space="0" w:color="auto"/>
              </w:divBdr>
              <w:divsChild>
                <w:div w:id="5491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1172">
      <w:bodyDiv w:val="1"/>
      <w:marLeft w:val="0"/>
      <w:marRight w:val="0"/>
      <w:marTop w:val="0"/>
      <w:marBottom w:val="0"/>
      <w:divBdr>
        <w:top w:val="none" w:sz="0" w:space="0" w:color="auto"/>
        <w:left w:val="none" w:sz="0" w:space="0" w:color="auto"/>
        <w:bottom w:val="none" w:sz="0" w:space="0" w:color="auto"/>
        <w:right w:val="none" w:sz="0" w:space="0" w:color="auto"/>
      </w:divBdr>
    </w:div>
    <w:div w:id="1381055382">
      <w:bodyDiv w:val="1"/>
      <w:marLeft w:val="0"/>
      <w:marRight w:val="0"/>
      <w:marTop w:val="0"/>
      <w:marBottom w:val="0"/>
      <w:divBdr>
        <w:top w:val="none" w:sz="0" w:space="0" w:color="auto"/>
        <w:left w:val="none" w:sz="0" w:space="0" w:color="auto"/>
        <w:bottom w:val="none" w:sz="0" w:space="0" w:color="auto"/>
        <w:right w:val="none" w:sz="0" w:space="0" w:color="auto"/>
      </w:divBdr>
      <w:divsChild>
        <w:div w:id="729304512">
          <w:marLeft w:val="0"/>
          <w:marRight w:val="0"/>
          <w:marTop w:val="0"/>
          <w:marBottom w:val="0"/>
          <w:divBdr>
            <w:top w:val="none" w:sz="0" w:space="0" w:color="auto"/>
            <w:left w:val="none" w:sz="0" w:space="0" w:color="auto"/>
            <w:bottom w:val="none" w:sz="0" w:space="0" w:color="auto"/>
            <w:right w:val="none" w:sz="0" w:space="0" w:color="auto"/>
          </w:divBdr>
          <w:divsChild>
            <w:div w:id="331178809">
              <w:marLeft w:val="0"/>
              <w:marRight w:val="0"/>
              <w:marTop w:val="0"/>
              <w:marBottom w:val="0"/>
              <w:divBdr>
                <w:top w:val="none" w:sz="0" w:space="0" w:color="auto"/>
                <w:left w:val="none" w:sz="0" w:space="0" w:color="auto"/>
                <w:bottom w:val="none" w:sz="0" w:space="0" w:color="auto"/>
                <w:right w:val="none" w:sz="0" w:space="0" w:color="auto"/>
              </w:divBdr>
              <w:divsChild>
                <w:div w:id="17674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3462">
      <w:bodyDiv w:val="1"/>
      <w:marLeft w:val="0"/>
      <w:marRight w:val="0"/>
      <w:marTop w:val="0"/>
      <w:marBottom w:val="0"/>
      <w:divBdr>
        <w:top w:val="none" w:sz="0" w:space="0" w:color="auto"/>
        <w:left w:val="none" w:sz="0" w:space="0" w:color="auto"/>
        <w:bottom w:val="none" w:sz="0" w:space="0" w:color="auto"/>
        <w:right w:val="none" w:sz="0" w:space="0" w:color="auto"/>
      </w:divBdr>
      <w:divsChild>
        <w:div w:id="406536078">
          <w:marLeft w:val="0"/>
          <w:marRight w:val="0"/>
          <w:marTop w:val="0"/>
          <w:marBottom w:val="0"/>
          <w:divBdr>
            <w:top w:val="none" w:sz="0" w:space="0" w:color="auto"/>
            <w:left w:val="none" w:sz="0" w:space="0" w:color="auto"/>
            <w:bottom w:val="none" w:sz="0" w:space="0" w:color="auto"/>
            <w:right w:val="none" w:sz="0" w:space="0" w:color="auto"/>
          </w:divBdr>
          <w:divsChild>
            <w:div w:id="1567035727">
              <w:marLeft w:val="0"/>
              <w:marRight w:val="0"/>
              <w:marTop w:val="0"/>
              <w:marBottom w:val="0"/>
              <w:divBdr>
                <w:top w:val="none" w:sz="0" w:space="0" w:color="auto"/>
                <w:left w:val="none" w:sz="0" w:space="0" w:color="auto"/>
                <w:bottom w:val="none" w:sz="0" w:space="0" w:color="auto"/>
                <w:right w:val="none" w:sz="0" w:space="0" w:color="auto"/>
              </w:divBdr>
              <w:divsChild>
                <w:div w:id="817453852">
                  <w:marLeft w:val="0"/>
                  <w:marRight w:val="0"/>
                  <w:marTop w:val="0"/>
                  <w:marBottom w:val="0"/>
                  <w:divBdr>
                    <w:top w:val="none" w:sz="0" w:space="0" w:color="auto"/>
                    <w:left w:val="none" w:sz="0" w:space="0" w:color="auto"/>
                    <w:bottom w:val="none" w:sz="0" w:space="0" w:color="auto"/>
                    <w:right w:val="none" w:sz="0" w:space="0" w:color="auto"/>
                  </w:divBdr>
                  <w:divsChild>
                    <w:div w:id="8502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1664">
      <w:bodyDiv w:val="1"/>
      <w:marLeft w:val="0"/>
      <w:marRight w:val="0"/>
      <w:marTop w:val="0"/>
      <w:marBottom w:val="0"/>
      <w:divBdr>
        <w:top w:val="none" w:sz="0" w:space="0" w:color="auto"/>
        <w:left w:val="none" w:sz="0" w:space="0" w:color="auto"/>
        <w:bottom w:val="none" w:sz="0" w:space="0" w:color="auto"/>
        <w:right w:val="none" w:sz="0" w:space="0" w:color="auto"/>
      </w:divBdr>
    </w:div>
    <w:div w:id="1649096077">
      <w:bodyDiv w:val="1"/>
      <w:marLeft w:val="0"/>
      <w:marRight w:val="0"/>
      <w:marTop w:val="0"/>
      <w:marBottom w:val="0"/>
      <w:divBdr>
        <w:top w:val="none" w:sz="0" w:space="0" w:color="auto"/>
        <w:left w:val="none" w:sz="0" w:space="0" w:color="auto"/>
        <w:bottom w:val="none" w:sz="0" w:space="0" w:color="auto"/>
        <w:right w:val="none" w:sz="0" w:space="0" w:color="auto"/>
      </w:divBdr>
    </w:div>
    <w:div w:id="1851291609">
      <w:bodyDiv w:val="1"/>
      <w:marLeft w:val="0"/>
      <w:marRight w:val="0"/>
      <w:marTop w:val="0"/>
      <w:marBottom w:val="0"/>
      <w:divBdr>
        <w:top w:val="none" w:sz="0" w:space="0" w:color="auto"/>
        <w:left w:val="none" w:sz="0" w:space="0" w:color="auto"/>
        <w:bottom w:val="none" w:sz="0" w:space="0" w:color="auto"/>
        <w:right w:val="none" w:sz="0" w:space="0" w:color="auto"/>
      </w:divBdr>
      <w:divsChild>
        <w:div w:id="163013985">
          <w:marLeft w:val="0"/>
          <w:marRight w:val="0"/>
          <w:marTop w:val="0"/>
          <w:marBottom w:val="0"/>
          <w:divBdr>
            <w:top w:val="none" w:sz="0" w:space="0" w:color="auto"/>
            <w:left w:val="none" w:sz="0" w:space="0" w:color="auto"/>
            <w:bottom w:val="none" w:sz="0" w:space="0" w:color="auto"/>
            <w:right w:val="none" w:sz="0" w:space="0" w:color="auto"/>
          </w:divBdr>
          <w:divsChild>
            <w:div w:id="330989540">
              <w:marLeft w:val="0"/>
              <w:marRight w:val="0"/>
              <w:marTop w:val="0"/>
              <w:marBottom w:val="0"/>
              <w:divBdr>
                <w:top w:val="none" w:sz="0" w:space="0" w:color="auto"/>
                <w:left w:val="none" w:sz="0" w:space="0" w:color="auto"/>
                <w:bottom w:val="none" w:sz="0" w:space="0" w:color="auto"/>
                <w:right w:val="none" w:sz="0" w:space="0" w:color="auto"/>
              </w:divBdr>
              <w:divsChild>
                <w:div w:id="17188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1850">
      <w:bodyDiv w:val="1"/>
      <w:marLeft w:val="0"/>
      <w:marRight w:val="0"/>
      <w:marTop w:val="0"/>
      <w:marBottom w:val="0"/>
      <w:divBdr>
        <w:top w:val="none" w:sz="0" w:space="0" w:color="auto"/>
        <w:left w:val="none" w:sz="0" w:space="0" w:color="auto"/>
        <w:bottom w:val="none" w:sz="0" w:space="0" w:color="auto"/>
        <w:right w:val="none" w:sz="0" w:space="0" w:color="auto"/>
      </w:divBdr>
    </w:div>
    <w:div w:id="1967349396">
      <w:bodyDiv w:val="1"/>
      <w:marLeft w:val="0"/>
      <w:marRight w:val="0"/>
      <w:marTop w:val="0"/>
      <w:marBottom w:val="0"/>
      <w:divBdr>
        <w:top w:val="none" w:sz="0" w:space="0" w:color="auto"/>
        <w:left w:val="none" w:sz="0" w:space="0" w:color="auto"/>
        <w:bottom w:val="none" w:sz="0" w:space="0" w:color="auto"/>
        <w:right w:val="none" w:sz="0" w:space="0" w:color="auto"/>
      </w:divBdr>
    </w:div>
    <w:div w:id="1973362551">
      <w:bodyDiv w:val="1"/>
      <w:marLeft w:val="0"/>
      <w:marRight w:val="0"/>
      <w:marTop w:val="0"/>
      <w:marBottom w:val="0"/>
      <w:divBdr>
        <w:top w:val="none" w:sz="0" w:space="0" w:color="auto"/>
        <w:left w:val="none" w:sz="0" w:space="0" w:color="auto"/>
        <w:bottom w:val="none" w:sz="0" w:space="0" w:color="auto"/>
        <w:right w:val="none" w:sz="0" w:space="0" w:color="auto"/>
      </w:divBdr>
      <w:divsChild>
        <w:div w:id="1407533991">
          <w:marLeft w:val="0"/>
          <w:marRight w:val="0"/>
          <w:marTop w:val="0"/>
          <w:marBottom w:val="0"/>
          <w:divBdr>
            <w:top w:val="none" w:sz="0" w:space="0" w:color="auto"/>
            <w:left w:val="none" w:sz="0" w:space="0" w:color="auto"/>
            <w:bottom w:val="none" w:sz="0" w:space="0" w:color="auto"/>
            <w:right w:val="none" w:sz="0" w:space="0" w:color="auto"/>
          </w:divBdr>
          <w:divsChild>
            <w:div w:id="914359895">
              <w:marLeft w:val="0"/>
              <w:marRight w:val="0"/>
              <w:marTop w:val="0"/>
              <w:marBottom w:val="0"/>
              <w:divBdr>
                <w:top w:val="none" w:sz="0" w:space="0" w:color="auto"/>
                <w:left w:val="none" w:sz="0" w:space="0" w:color="auto"/>
                <w:bottom w:val="none" w:sz="0" w:space="0" w:color="auto"/>
                <w:right w:val="none" w:sz="0" w:space="0" w:color="auto"/>
              </w:divBdr>
              <w:divsChild>
                <w:div w:id="1844934435">
                  <w:marLeft w:val="0"/>
                  <w:marRight w:val="0"/>
                  <w:marTop w:val="0"/>
                  <w:marBottom w:val="0"/>
                  <w:divBdr>
                    <w:top w:val="none" w:sz="0" w:space="0" w:color="auto"/>
                    <w:left w:val="none" w:sz="0" w:space="0" w:color="auto"/>
                    <w:bottom w:val="none" w:sz="0" w:space="0" w:color="auto"/>
                    <w:right w:val="none" w:sz="0" w:space="0" w:color="auto"/>
                  </w:divBdr>
                  <w:divsChild>
                    <w:div w:id="15868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learning.informea.org/" TargetMode="External"/><Relationship Id="rId2" Type="http://schemas.openxmlformats.org/officeDocument/2006/relationships/hyperlink" Target="https://www.ramsar.org/fr/document/manuel-6-lhumanite-et-les-zones-humides-programme-de-cesp-de-la-convention-sur-les-zones" TargetMode="External"/><Relationship Id="rId1" Type="http://schemas.openxmlformats.org/officeDocument/2006/relationships/hyperlink" Target="https://www.ramsar.org/fr/document/cop15-doc236-communication-renforcement-des-capacites-education-sensibilisation-e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4" ma:contentTypeDescription="Create a new document." ma:contentTypeScope="" ma:versionID="2055849121a78828b203c376bcc0979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ac13e0d67ac5406e1a12fcdbd3791b94"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Props1.xml><?xml version="1.0" encoding="utf-8"?>
<ds:datastoreItem xmlns:ds="http://schemas.openxmlformats.org/officeDocument/2006/customXml" ds:itemID="{313079A7-6DEE-487B-AADB-CC669B83CA9C}">
  <ds:schemaRefs>
    <ds:schemaRef ds:uri="http://schemas.microsoft.com/sharepoint/v3/contenttype/forms"/>
  </ds:schemaRefs>
</ds:datastoreItem>
</file>

<file path=customXml/itemProps2.xml><?xml version="1.0" encoding="utf-8"?>
<ds:datastoreItem xmlns:ds="http://schemas.openxmlformats.org/officeDocument/2006/customXml" ds:itemID="{8EBF93CF-950B-4852-825C-3621BAB04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49DD6-8786-4204-8A04-635486510D01}">
  <ds:schemaRefs>
    <ds:schemaRef ds:uri="http://schemas.openxmlformats.org/officeDocument/2006/bibliography"/>
  </ds:schemaRefs>
</ds:datastoreItem>
</file>

<file path=customXml/itemProps4.xml><?xml version="1.0" encoding="utf-8"?>
<ds:datastoreItem xmlns:ds="http://schemas.openxmlformats.org/officeDocument/2006/customXml" ds:itemID="{6EA2A107-DB5F-4F3F-9E04-194389CA2722}">
  <ds:schemaRefs>
    <ds:schemaRef ds:uri="http://schemas.microsoft.com/office/2006/metadata/properties"/>
    <ds:schemaRef ds:uri="http://schemas.microsoft.com/office/infopath/2007/PartnerControls"/>
    <ds:schemaRef ds:uri="8c0b6b05-eb82-4bda-97e8-cd82d0d6b45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3708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docId:F607FC68998A19443B07F45768546430</cp:keywords>
  <dc:description/>
  <cp:lastModifiedBy>BRACE Poppy</cp:lastModifiedBy>
  <cp:revision>5</cp:revision>
  <cp:lastPrinted>2025-04-15T18:10:00Z</cp:lastPrinted>
  <dcterms:created xsi:type="dcterms:W3CDTF">2025-04-17T15:13:00Z</dcterms:created>
  <dcterms:modified xsi:type="dcterms:W3CDTF">2025-04-23T14:21:00Z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