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E"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noProof/>
          <w:lang w:val="en-US"/>
        </w:rPr>
        <w:drawing>
          <wp:anchor distT="0" distB="0" distL="114300" distR="114300" simplePos="0" relativeHeight="251658240" behindDoc="0" locked="0" layoutInCell="1" allowOverlap="1" wp14:anchorId="7ADB7EDE" wp14:editId="519EFD37">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B4888"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lang w:val="en-US"/>
        </w:rPr>
        <w:t>15th meeting of the Conference of the Contracting Parties</w:t>
      </w:r>
    </w:p>
    <w:p w14:paraId="214A41D4"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lang w:val="en-US"/>
        </w:rPr>
        <w:t>to the Convention on Wetlands</w:t>
      </w:r>
    </w:p>
    <w:p w14:paraId="38CC333D" w14:textId="77777777" w:rsidR="009550DF" w:rsidRPr="000C33DF" w:rsidRDefault="009550DF" w:rsidP="008C4BA0">
      <w:pPr>
        <w:jc w:val="center"/>
        <w:outlineLvl w:val="0"/>
        <w:rPr>
          <w:rFonts w:eastAsia="Times New Roman" w:cstheme="minorHAnsi"/>
          <w:b/>
          <w:bCs/>
          <w:lang w:val="en-US"/>
        </w:rPr>
      </w:pPr>
    </w:p>
    <w:p w14:paraId="0CD6811B"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lang w:val="en-US"/>
        </w:rPr>
        <w:t>“Protecting wetlands for our common future”</w:t>
      </w:r>
    </w:p>
    <w:p w14:paraId="1C23A966"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lang w:val="en-US"/>
        </w:rPr>
        <w:t>Victoria Falls, Zimbabwe, 23-31 July 2025</w:t>
      </w:r>
    </w:p>
    <w:p w14:paraId="1F267790" w14:textId="77777777" w:rsidR="009550DF" w:rsidRPr="000C33DF" w:rsidRDefault="009550DF" w:rsidP="008C4BA0">
      <w:pPr>
        <w:jc w:val="center"/>
        <w:outlineLvl w:val="0"/>
        <w:rPr>
          <w:rFonts w:eastAsia="Times New Roman" w:cstheme="minorHAnsi"/>
          <w:b/>
          <w:bCs/>
          <w:lang w:val="en-US"/>
        </w:rPr>
      </w:pPr>
    </w:p>
    <w:p w14:paraId="21C58A0F" w14:textId="77777777" w:rsidR="009550DF" w:rsidRPr="000C33DF" w:rsidRDefault="009550DF" w:rsidP="008C4BA0">
      <w:pPr>
        <w:jc w:val="center"/>
        <w:outlineLvl w:val="0"/>
        <w:rPr>
          <w:rFonts w:eastAsia="Times New Roman" w:cstheme="minorHAnsi"/>
          <w:b/>
          <w:bCs/>
          <w:lang w:val="en-US"/>
        </w:rPr>
      </w:pPr>
    </w:p>
    <w:p w14:paraId="324E2483" w14:textId="77777777" w:rsidR="009550DF" w:rsidRPr="000C33DF" w:rsidRDefault="009550DF" w:rsidP="008C4BA0">
      <w:pPr>
        <w:jc w:val="center"/>
        <w:outlineLvl w:val="0"/>
        <w:rPr>
          <w:rFonts w:eastAsia="Times New Roman" w:cstheme="minorHAnsi"/>
          <w:b/>
          <w:bCs/>
          <w:lang w:val="en-US"/>
        </w:rPr>
      </w:pPr>
    </w:p>
    <w:p w14:paraId="1C6919D7" w14:textId="76F98973" w:rsidR="006C4071" w:rsidRPr="000C33DF" w:rsidRDefault="00BA4D2B" w:rsidP="008C4BA0">
      <w:pPr>
        <w:jc w:val="right"/>
        <w:rPr>
          <w:rFonts w:cstheme="minorHAnsi"/>
          <w:b/>
          <w:sz w:val="28"/>
          <w:szCs w:val="28"/>
          <w:lang w:val="en-US"/>
        </w:rPr>
      </w:pPr>
      <w:r w:rsidRPr="000C33DF">
        <w:rPr>
          <w:rFonts w:cstheme="minorHAnsi"/>
          <w:b/>
          <w:sz w:val="28"/>
          <w:szCs w:val="28"/>
          <w:lang w:val="en-US"/>
        </w:rPr>
        <w:t>COP15</w:t>
      </w:r>
      <w:r w:rsidR="006C4071" w:rsidRPr="000C33DF">
        <w:rPr>
          <w:rFonts w:cstheme="minorHAnsi"/>
          <w:b/>
          <w:sz w:val="28"/>
          <w:szCs w:val="28"/>
          <w:lang w:val="en-US"/>
        </w:rPr>
        <w:t xml:space="preserve"> Doc.</w:t>
      </w:r>
      <w:r w:rsidR="00716389" w:rsidRPr="000C33DF">
        <w:rPr>
          <w:rFonts w:cstheme="minorHAnsi"/>
          <w:b/>
          <w:sz w:val="28"/>
          <w:szCs w:val="28"/>
          <w:lang w:val="en-US"/>
        </w:rPr>
        <w:t>10</w:t>
      </w:r>
    </w:p>
    <w:p w14:paraId="07111A5C" w14:textId="77777777" w:rsidR="006C4071" w:rsidRPr="000C33DF" w:rsidRDefault="006C4071" w:rsidP="008C4BA0">
      <w:pPr>
        <w:jc w:val="center"/>
        <w:rPr>
          <w:rFonts w:cstheme="minorHAnsi"/>
          <w:bCs/>
          <w:sz w:val="22"/>
          <w:szCs w:val="22"/>
          <w:lang w:val="en-US"/>
        </w:rPr>
      </w:pPr>
    </w:p>
    <w:p w14:paraId="71206A10" w14:textId="419FCB24" w:rsidR="00CF5664" w:rsidRPr="000C33DF" w:rsidRDefault="00CF5664" w:rsidP="008C4BA0">
      <w:pPr>
        <w:pStyle w:val="NormalWeb"/>
        <w:spacing w:before="0" w:beforeAutospacing="0" w:after="0" w:afterAutospacing="0"/>
        <w:jc w:val="center"/>
        <w:rPr>
          <w:rFonts w:asciiTheme="minorHAnsi" w:hAnsiTheme="minorHAnsi" w:cstheme="minorHAnsi"/>
          <w:sz w:val="22"/>
          <w:szCs w:val="22"/>
          <w:lang w:val="en-US"/>
        </w:rPr>
      </w:pPr>
    </w:p>
    <w:p w14:paraId="581372D7" w14:textId="356A043F" w:rsidR="006C4071" w:rsidRPr="000C33DF" w:rsidRDefault="001D15DC" w:rsidP="008C4BA0">
      <w:pPr>
        <w:pStyle w:val="NormalWeb"/>
        <w:spacing w:before="0" w:beforeAutospacing="0" w:after="0" w:afterAutospacing="0"/>
        <w:jc w:val="center"/>
        <w:rPr>
          <w:rFonts w:asciiTheme="minorHAnsi" w:hAnsiTheme="minorHAnsi" w:cstheme="minorHAnsi"/>
          <w:b/>
          <w:bCs/>
          <w:sz w:val="28"/>
          <w:szCs w:val="28"/>
          <w:lang w:val="en-GB"/>
        </w:rPr>
      </w:pPr>
      <w:r w:rsidRPr="000C33DF">
        <w:rPr>
          <w:rFonts w:asciiTheme="minorHAnsi" w:hAnsiTheme="minorHAnsi" w:cstheme="minorHAnsi"/>
          <w:b/>
          <w:bCs/>
          <w:color w:val="000000"/>
          <w:sz w:val="28"/>
          <w:szCs w:val="28"/>
          <w:lang w:val="en-GB"/>
        </w:rPr>
        <w:t xml:space="preserve">Report </w:t>
      </w:r>
      <w:r w:rsidR="000C33DF" w:rsidRPr="000C33DF">
        <w:rPr>
          <w:rFonts w:asciiTheme="minorHAnsi" w:hAnsiTheme="minorHAnsi" w:cstheme="minorHAnsi"/>
          <w:b/>
          <w:bCs/>
          <w:color w:val="000000"/>
          <w:sz w:val="28"/>
          <w:szCs w:val="28"/>
          <w:lang w:val="en-GB"/>
        </w:rPr>
        <w:t xml:space="preserve">of the Chair of the CEPA Oversight Panel </w:t>
      </w:r>
      <w:r w:rsidRPr="000C33DF">
        <w:rPr>
          <w:rFonts w:asciiTheme="minorHAnsi" w:hAnsiTheme="minorHAnsi" w:cstheme="minorHAnsi"/>
          <w:b/>
          <w:bCs/>
          <w:color w:val="000000"/>
          <w:sz w:val="28"/>
          <w:szCs w:val="28"/>
          <w:lang w:val="en-GB"/>
        </w:rPr>
        <w:t>on implementation of the CEPA Programme 2016-2024</w:t>
      </w:r>
    </w:p>
    <w:p w14:paraId="1A78CC29" w14:textId="77777777" w:rsidR="002B57D1" w:rsidRPr="000C33DF" w:rsidRDefault="002B57D1" w:rsidP="008C4BA0">
      <w:pPr>
        <w:pStyle w:val="NormalWeb"/>
        <w:spacing w:before="0" w:beforeAutospacing="0" w:after="0" w:afterAutospacing="0"/>
        <w:jc w:val="center"/>
        <w:rPr>
          <w:rFonts w:asciiTheme="minorHAnsi" w:hAnsiTheme="minorHAnsi" w:cstheme="minorHAnsi"/>
          <w:b/>
          <w:bCs/>
          <w:sz w:val="2"/>
          <w:szCs w:val="2"/>
          <w:lang w:val="en-US"/>
        </w:rPr>
      </w:pPr>
    </w:p>
    <w:p w14:paraId="4BDCA521" w14:textId="77777777" w:rsidR="006C4071" w:rsidRPr="004A13F4" w:rsidRDefault="006C4071" w:rsidP="008C4BA0">
      <w:pPr>
        <w:rPr>
          <w:rFonts w:eastAsia="Times New Roman" w:cstheme="minorHAnsi"/>
          <w:b/>
          <w:bCs/>
          <w:sz w:val="22"/>
          <w:szCs w:val="22"/>
          <w:lang w:val="en-US" w:eastAsia="fr-CA"/>
        </w:rPr>
      </w:pPr>
    </w:p>
    <w:p w14:paraId="2547147E" w14:textId="77777777" w:rsidR="006C4071" w:rsidRPr="004A13F4" w:rsidRDefault="006C4071" w:rsidP="008C4BA0">
      <w:pPr>
        <w:rPr>
          <w:rFonts w:eastAsia="Times New Roman" w:cstheme="minorHAnsi"/>
          <w:b/>
          <w:bCs/>
          <w:sz w:val="22"/>
          <w:szCs w:val="22"/>
          <w:lang w:val="en-US" w:eastAsia="fr-CA"/>
        </w:rPr>
      </w:pPr>
    </w:p>
    <w:p w14:paraId="2CC5741A" w14:textId="77777777" w:rsidR="00DD5506" w:rsidRPr="000C33DF" w:rsidRDefault="00DD5506" w:rsidP="008C4BA0">
      <w:pPr>
        <w:autoSpaceDE w:val="0"/>
        <w:autoSpaceDN w:val="0"/>
        <w:adjustRightInd w:val="0"/>
        <w:rPr>
          <w:rFonts w:cstheme="minorHAnsi"/>
          <w:b/>
          <w:sz w:val="22"/>
          <w:szCs w:val="22"/>
          <w:lang w:val="en-GB"/>
        </w:rPr>
      </w:pPr>
      <w:r w:rsidRPr="000C33DF">
        <w:rPr>
          <w:rFonts w:cstheme="minorHAnsi"/>
          <w:b/>
          <w:sz w:val="22"/>
          <w:szCs w:val="22"/>
          <w:lang w:val="en-GB"/>
        </w:rPr>
        <w:t>Summary</w:t>
      </w:r>
    </w:p>
    <w:p w14:paraId="2E03CF6E" w14:textId="77777777" w:rsidR="00DD5506" w:rsidRPr="000C33DF" w:rsidRDefault="00DD5506" w:rsidP="008C4BA0">
      <w:pPr>
        <w:pStyle w:val="BodyText"/>
        <w:widowControl/>
        <w:ind w:left="425" w:hanging="425"/>
        <w:rPr>
          <w:rFonts w:asciiTheme="minorHAnsi" w:hAnsiTheme="minorHAnsi" w:cstheme="minorHAnsi"/>
        </w:rPr>
      </w:pPr>
    </w:p>
    <w:p w14:paraId="63397B76" w14:textId="0819F410" w:rsidR="00DD5506" w:rsidRPr="000C33DF" w:rsidRDefault="00DD5506" w:rsidP="008C4BA0">
      <w:pPr>
        <w:pStyle w:val="BodyText"/>
        <w:widowControl/>
        <w:ind w:left="425" w:hanging="425"/>
        <w:rPr>
          <w:rFonts w:asciiTheme="minorHAnsi" w:hAnsiTheme="minorHAnsi" w:cstheme="minorHAnsi"/>
          <w:lang w:val="en-AU"/>
        </w:rPr>
      </w:pPr>
      <w:r w:rsidRPr="000C33DF">
        <w:rPr>
          <w:rFonts w:asciiTheme="minorHAnsi" w:hAnsiTheme="minorHAnsi" w:cstheme="minorHAnsi"/>
        </w:rPr>
        <w:t>1.</w:t>
      </w:r>
      <w:r w:rsidRPr="000C33DF">
        <w:rPr>
          <w:rFonts w:asciiTheme="minorHAnsi" w:hAnsiTheme="minorHAnsi" w:cstheme="minorHAnsi"/>
        </w:rPr>
        <w:tab/>
        <w:t>This</w:t>
      </w:r>
      <w:r w:rsidRPr="000C33DF">
        <w:rPr>
          <w:rFonts w:asciiTheme="minorHAnsi" w:hAnsiTheme="minorHAnsi" w:cstheme="minorHAnsi"/>
          <w:lang w:val="en-AU"/>
        </w:rPr>
        <w:t xml:space="preserve"> </w:t>
      </w:r>
      <w:r w:rsidR="003933A7" w:rsidRPr="000C33DF">
        <w:rPr>
          <w:rFonts w:asciiTheme="minorHAnsi" w:hAnsiTheme="minorHAnsi" w:cstheme="minorHAnsi"/>
          <w:lang w:val="en-AU"/>
        </w:rPr>
        <w:t>report</w:t>
      </w:r>
      <w:r w:rsidRPr="000C33DF">
        <w:rPr>
          <w:rFonts w:asciiTheme="minorHAnsi" w:hAnsiTheme="minorHAnsi" w:cstheme="minorHAnsi"/>
          <w:lang w:val="en-AU"/>
        </w:rPr>
        <w:t xml:space="preserve"> provides </w:t>
      </w:r>
      <w:r w:rsidR="0007775B" w:rsidRPr="000C33DF">
        <w:rPr>
          <w:rFonts w:asciiTheme="minorHAnsi" w:hAnsiTheme="minorHAnsi" w:cstheme="minorHAnsi"/>
          <w:lang w:val="en-AU"/>
        </w:rPr>
        <w:t>an overview</w:t>
      </w:r>
      <w:r w:rsidRPr="000C33DF">
        <w:rPr>
          <w:rFonts w:asciiTheme="minorHAnsi" w:hAnsiTheme="minorHAnsi" w:cstheme="minorHAnsi"/>
          <w:lang w:val="en-AU"/>
        </w:rPr>
        <w:t xml:space="preserve"> of progress in implementing the </w:t>
      </w:r>
      <w:r w:rsidRPr="000C33DF">
        <w:rPr>
          <w:rFonts w:asciiTheme="minorHAnsi" w:hAnsiTheme="minorHAnsi" w:cstheme="minorHAnsi"/>
        </w:rPr>
        <w:t>Programme on communication, capacity building, education, participation and awareness (</w:t>
      </w:r>
      <w:r w:rsidRPr="000C33DF">
        <w:rPr>
          <w:rFonts w:asciiTheme="minorHAnsi" w:hAnsiTheme="minorHAnsi" w:cstheme="minorHAnsi"/>
          <w:lang w:val="en-AU"/>
        </w:rPr>
        <w:t xml:space="preserve">CEPA) </w:t>
      </w:r>
      <w:r w:rsidR="003C24F3">
        <w:rPr>
          <w:rFonts w:asciiTheme="minorHAnsi" w:hAnsiTheme="minorHAnsi" w:cstheme="minorHAnsi"/>
          <w:lang w:val="en-AU"/>
        </w:rPr>
        <w:t>from</w:t>
      </w:r>
      <w:r w:rsidRPr="000C33DF">
        <w:rPr>
          <w:rFonts w:asciiTheme="minorHAnsi" w:hAnsiTheme="minorHAnsi" w:cstheme="minorHAnsi"/>
          <w:lang w:val="en-AU"/>
        </w:rPr>
        <w:t xml:space="preserve"> 20</w:t>
      </w:r>
      <w:r w:rsidR="0007775B" w:rsidRPr="000C33DF">
        <w:rPr>
          <w:rFonts w:asciiTheme="minorHAnsi" w:hAnsiTheme="minorHAnsi" w:cstheme="minorHAnsi"/>
          <w:lang w:val="en-AU"/>
        </w:rPr>
        <w:t>22</w:t>
      </w:r>
      <w:r w:rsidR="003C24F3">
        <w:rPr>
          <w:rFonts w:asciiTheme="minorHAnsi" w:hAnsiTheme="minorHAnsi" w:cstheme="minorHAnsi"/>
          <w:lang w:val="en-AU"/>
        </w:rPr>
        <w:t xml:space="preserve"> to </w:t>
      </w:r>
      <w:r w:rsidR="00C97F39">
        <w:rPr>
          <w:rFonts w:asciiTheme="minorHAnsi" w:hAnsiTheme="minorHAnsi" w:cstheme="minorHAnsi"/>
          <w:lang w:val="en-AU"/>
        </w:rPr>
        <w:t xml:space="preserve">March </w:t>
      </w:r>
      <w:r w:rsidRPr="000C33DF">
        <w:rPr>
          <w:rFonts w:asciiTheme="minorHAnsi" w:hAnsiTheme="minorHAnsi" w:cstheme="minorHAnsi"/>
          <w:lang w:val="en-AU"/>
        </w:rPr>
        <w:t>202</w:t>
      </w:r>
      <w:r w:rsidR="00C97F39">
        <w:rPr>
          <w:rFonts w:asciiTheme="minorHAnsi" w:hAnsiTheme="minorHAnsi" w:cstheme="minorHAnsi"/>
          <w:lang w:val="en-AU"/>
        </w:rPr>
        <w:t>5</w:t>
      </w:r>
      <w:r w:rsidRPr="000C33DF">
        <w:rPr>
          <w:rFonts w:asciiTheme="minorHAnsi" w:hAnsiTheme="minorHAnsi" w:cstheme="minorHAnsi"/>
          <w:lang w:val="en-AU"/>
        </w:rPr>
        <w:t>.</w:t>
      </w:r>
    </w:p>
    <w:p w14:paraId="2F42492A" w14:textId="77777777" w:rsidR="00DD5506" w:rsidRPr="000C33DF" w:rsidRDefault="00DD5506" w:rsidP="008C4BA0">
      <w:pPr>
        <w:pStyle w:val="BodyText"/>
        <w:widowControl/>
        <w:ind w:left="425" w:hanging="425"/>
        <w:rPr>
          <w:rFonts w:asciiTheme="minorHAnsi" w:hAnsiTheme="minorHAnsi" w:cstheme="minorHAnsi"/>
          <w:lang w:val="en-AU"/>
        </w:rPr>
      </w:pPr>
    </w:p>
    <w:p w14:paraId="1CFDAE4C" w14:textId="039BE08D" w:rsidR="00DD5506" w:rsidRPr="000C33DF" w:rsidRDefault="00DD5506" w:rsidP="008C4BA0">
      <w:pPr>
        <w:pStyle w:val="BodyText"/>
        <w:widowControl/>
        <w:ind w:left="425" w:hanging="425"/>
        <w:rPr>
          <w:rFonts w:asciiTheme="minorHAnsi" w:hAnsiTheme="minorHAnsi" w:cstheme="minorHAnsi"/>
          <w:lang w:val="en-AU"/>
        </w:rPr>
      </w:pPr>
      <w:r w:rsidRPr="000C33DF">
        <w:rPr>
          <w:rFonts w:asciiTheme="minorHAnsi" w:hAnsiTheme="minorHAnsi" w:cstheme="minorHAnsi"/>
          <w:lang w:val="en-AU"/>
        </w:rPr>
        <w:t>2.</w:t>
      </w:r>
      <w:r w:rsidRPr="000C33DF">
        <w:rPr>
          <w:rFonts w:asciiTheme="minorHAnsi" w:hAnsiTheme="minorHAnsi" w:cstheme="minorHAnsi"/>
          <w:lang w:val="en-AU"/>
        </w:rPr>
        <w:tab/>
        <w:t xml:space="preserve">During the </w:t>
      </w:r>
      <w:r w:rsidR="000C33DF" w:rsidRPr="000C33DF">
        <w:rPr>
          <w:rFonts w:asciiTheme="minorHAnsi" w:hAnsiTheme="minorHAnsi" w:cstheme="minorHAnsi"/>
          <w:lang w:val="en-AU"/>
        </w:rPr>
        <w:t>2022-</w:t>
      </w:r>
      <w:r w:rsidR="00C97F39" w:rsidRPr="000C33DF">
        <w:rPr>
          <w:rFonts w:asciiTheme="minorHAnsi" w:hAnsiTheme="minorHAnsi" w:cstheme="minorHAnsi"/>
          <w:lang w:val="en-AU"/>
        </w:rPr>
        <w:t>202</w:t>
      </w:r>
      <w:r w:rsidR="00C97F39">
        <w:rPr>
          <w:rFonts w:asciiTheme="minorHAnsi" w:hAnsiTheme="minorHAnsi" w:cstheme="minorHAnsi"/>
          <w:lang w:val="en-AU"/>
        </w:rPr>
        <w:t xml:space="preserve">5 </w:t>
      </w:r>
      <w:r w:rsidRPr="000C33DF">
        <w:rPr>
          <w:rFonts w:asciiTheme="minorHAnsi" w:hAnsiTheme="minorHAnsi" w:cstheme="minorHAnsi"/>
          <w:lang w:val="en-AU"/>
        </w:rPr>
        <w:t>reporting period, activit</w:t>
      </w:r>
      <w:r w:rsidR="000A2E04">
        <w:rPr>
          <w:rFonts w:asciiTheme="minorHAnsi" w:hAnsiTheme="minorHAnsi" w:cstheme="minorHAnsi"/>
          <w:lang w:val="en-AU"/>
        </w:rPr>
        <w:t xml:space="preserve">ies were </w:t>
      </w:r>
      <w:r w:rsidRPr="000C33DF">
        <w:rPr>
          <w:rFonts w:asciiTheme="minorHAnsi" w:hAnsiTheme="minorHAnsi" w:cstheme="minorHAnsi"/>
          <w:lang w:val="en-AU"/>
        </w:rPr>
        <w:t xml:space="preserve">undertaken against the nine goals of the CEPA Programme, with achievements in increasing visibility and awareness of wetlands, support and capacity building for site managers, engaging new stakeholders, leveraging World Wetlands Day and other campaigns, and </w:t>
      </w:r>
      <w:r w:rsidR="00067251" w:rsidRPr="000C33DF">
        <w:rPr>
          <w:rFonts w:asciiTheme="minorHAnsi" w:hAnsiTheme="minorHAnsi" w:cstheme="minorHAnsi"/>
          <w:lang w:val="en-AU"/>
        </w:rPr>
        <w:t xml:space="preserve">increasing the </w:t>
      </w:r>
      <w:r w:rsidRPr="000C33DF">
        <w:rPr>
          <w:rFonts w:asciiTheme="minorHAnsi" w:hAnsiTheme="minorHAnsi" w:cstheme="minorHAnsi"/>
          <w:lang w:val="en-AU"/>
        </w:rPr>
        <w:t>availability of a variety of promotional and educational materials.</w:t>
      </w:r>
    </w:p>
    <w:p w14:paraId="4B144B83" w14:textId="77777777" w:rsidR="00DD5506" w:rsidRPr="000C33DF" w:rsidRDefault="00DD5506" w:rsidP="008C4BA0">
      <w:pPr>
        <w:pStyle w:val="BodyText"/>
        <w:widowControl/>
        <w:ind w:left="425" w:hanging="425"/>
        <w:rPr>
          <w:rFonts w:asciiTheme="minorHAnsi" w:hAnsiTheme="minorHAnsi" w:cstheme="minorHAnsi"/>
        </w:rPr>
      </w:pPr>
    </w:p>
    <w:p w14:paraId="12557231" w14:textId="0E48C42E" w:rsidR="00DD5506" w:rsidRPr="000C33DF" w:rsidRDefault="00DD5506" w:rsidP="008C4BA0">
      <w:pPr>
        <w:pStyle w:val="BodyText"/>
        <w:widowControl/>
        <w:ind w:left="425" w:hanging="425"/>
        <w:rPr>
          <w:rFonts w:asciiTheme="minorHAnsi" w:hAnsiTheme="minorHAnsi" w:cstheme="minorHAnsi"/>
          <w:lang w:val="en-GB"/>
        </w:rPr>
      </w:pPr>
      <w:r w:rsidRPr="000C33DF">
        <w:rPr>
          <w:rFonts w:asciiTheme="minorHAnsi" w:hAnsiTheme="minorHAnsi" w:cstheme="minorHAnsi"/>
        </w:rPr>
        <w:t>3.</w:t>
      </w:r>
      <w:r w:rsidRPr="000C33DF">
        <w:rPr>
          <w:rFonts w:asciiTheme="minorHAnsi" w:hAnsiTheme="minorHAnsi" w:cstheme="minorHAnsi"/>
        </w:rPr>
        <w:tab/>
      </w:r>
      <w:r w:rsidR="004953A8" w:rsidRPr="000C33DF">
        <w:rPr>
          <w:rFonts w:asciiTheme="minorHAnsi" w:eastAsia="Times New Roman" w:hAnsiTheme="minorHAnsi" w:cstheme="minorHAnsi"/>
          <w:lang w:eastAsia="fr-CA"/>
        </w:rPr>
        <w:t xml:space="preserve">As instructed by the Standing Committee in </w:t>
      </w:r>
      <w:r w:rsidR="004953A8" w:rsidRPr="000C33DF">
        <w:rPr>
          <w:rFonts w:asciiTheme="minorHAnsi" w:hAnsiTheme="minorHAnsi" w:cstheme="minorHAnsi"/>
          <w:lang w:val="en-GB"/>
        </w:rPr>
        <w:t>Decision SC63-24, the Secretariat has prepared a draft resolution</w:t>
      </w:r>
      <w:r w:rsidR="0078526B">
        <w:rPr>
          <w:rStyle w:val="FootnoteReference"/>
          <w:rFonts w:asciiTheme="minorHAnsi" w:hAnsiTheme="minorHAnsi" w:cstheme="minorHAnsi"/>
          <w:lang w:val="en-GB"/>
        </w:rPr>
        <w:footnoteReference w:id="2"/>
      </w:r>
      <w:r w:rsidR="004953A8" w:rsidRPr="000C33DF">
        <w:rPr>
          <w:rFonts w:asciiTheme="minorHAnsi" w:hAnsiTheme="minorHAnsi" w:cstheme="minorHAnsi"/>
          <w:lang w:val="en-GB"/>
        </w:rPr>
        <w:t xml:space="preserve"> </w:t>
      </w:r>
      <w:r w:rsidR="0094483C">
        <w:rPr>
          <w:rFonts w:asciiTheme="minorHAnsi" w:hAnsiTheme="minorHAnsi" w:cstheme="minorHAnsi"/>
          <w:lang w:val="en-GB"/>
        </w:rPr>
        <w:t xml:space="preserve">for consideration at COP15 </w:t>
      </w:r>
      <w:r w:rsidR="004953A8" w:rsidRPr="000C33DF">
        <w:rPr>
          <w:rFonts w:asciiTheme="minorHAnsi" w:hAnsiTheme="minorHAnsi" w:cstheme="minorHAnsi"/>
          <w:lang w:val="en-GB"/>
        </w:rPr>
        <w:t xml:space="preserve">reflecting the consolidation of Recommendations and Resolutions on CEPA approved through Decision SC63-22, and the views of the Standing Committee on the process and timeline for nominating the Panel for the 2025-2028 triennium. </w:t>
      </w:r>
    </w:p>
    <w:p w14:paraId="26C41436" w14:textId="77777777" w:rsidR="00BA4ED6" w:rsidRPr="000C33DF" w:rsidRDefault="00BA4ED6" w:rsidP="008C4BA0">
      <w:pPr>
        <w:pStyle w:val="BodyText"/>
        <w:widowControl/>
        <w:ind w:left="425" w:hanging="425"/>
        <w:rPr>
          <w:rFonts w:asciiTheme="minorHAnsi" w:hAnsiTheme="minorHAnsi" w:cstheme="minorHAnsi"/>
          <w:lang w:val="en-GB"/>
        </w:rPr>
      </w:pPr>
    </w:p>
    <w:p w14:paraId="456549B6" w14:textId="0AD841DE" w:rsidR="00BA4ED6" w:rsidRPr="000C33DF" w:rsidRDefault="00BA4ED6" w:rsidP="008C4BA0">
      <w:pPr>
        <w:autoSpaceDE w:val="0"/>
        <w:autoSpaceDN w:val="0"/>
        <w:adjustRightInd w:val="0"/>
        <w:rPr>
          <w:rFonts w:cstheme="minorHAnsi"/>
          <w:b/>
          <w:sz w:val="22"/>
          <w:szCs w:val="22"/>
          <w:lang w:val="en-GB"/>
        </w:rPr>
      </w:pPr>
      <w:r w:rsidRPr="000C33DF">
        <w:rPr>
          <w:rFonts w:cstheme="minorHAnsi"/>
          <w:b/>
          <w:sz w:val="22"/>
          <w:szCs w:val="22"/>
          <w:lang w:val="en-GB"/>
        </w:rPr>
        <w:t>CEPA achievements during 2022-2025</w:t>
      </w:r>
    </w:p>
    <w:p w14:paraId="59C9A927" w14:textId="77777777" w:rsidR="00BA4ED6" w:rsidRPr="000C33DF" w:rsidRDefault="00BA4ED6" w:rsidP="008C4BA0">
      <w:pPr>
        <w:pStyle w:val="BodyText"/>
        <w:widowControl/>
        <w:ind w:left="425" w:hanging="425"/>
        <w:rPr>
          <w:rFonts w:asciiTheme="minorHAnsi" w:hAnsiTheme="minorHAnsi" w:cstheme="minorHAnsi"/>
        </w:rPr>
      </w:pPr>
    </w:p>
    <w:p w14:paraId="286B156F" w14:textId="204648EF" w:rsidR="00BA4ED6" w:rsidRPr="000C33DF" w:rsidRDefault="00BA4ED6" w:rsidP="008C4BA0">
      <w:pPr>
        <w:pStyle w:val="BodyText"/>
        <w:widowControl/>
        <w:ind w:left="425" w:hanging="425"/>
        <w:rPr>
          <w:rFonts w:asciiTheme="minorHAnsi" w:hAnsiTheme="minorHAnsi" w:cstheme="minorHAnsi"/>
          <w:lang w:val="en-AU"/>
        </w:rPr>
      </w:pPr>
      <w:r w:rsidRPr="000C33DF">
        <w:rPr>
          <w:rFonts w:asciiTheme="minorHAnsi" w:hAnsiTheme="minorHAnsi" w:cstheme="minorHAnsi"/>
        </w:rPr>
        <w:t>12.</w:t>
      </w:r>
      <w:r w:rsidRPr="000C33DF">
        <w:rPr>
          <w:rFonts w:asciiTheme="minorHAnsi" w:hAnsiTheme="minorHAnsi" w:cstheme="minorHAnsi"/>
        </w:rPr>
        <w:tab/>
        <w:t>The</w:t>
      </w:r>
      <w:r w:rsidRPr="000C33DF">
        <w:rPr>
          <w:rFonts w:asciiTheme="minorHAnsi" w:hAnsiTheme="minorHAnsi" w:cstheme="minorHAnsi"/>
          <w:lang w:val="en-AU"/>
        </w:rPr>
        <w:t xml:space="preserve"> following review of progress in implementing the CEPA Programme draws on an analysis of Contracting Parties’ National Reports to </w:t>
      </w:r>
      <w:r w:rsidR="00D35080">
        <w:rPr>
          <w:rFonts w:asciiTheme="minorHAnsi" w:hAnsiTheme="minorHAnsi" w:cstheme="minorHAnsi"/>
          <w:lang w:val="en-AU"/>
        </w:rPr>
        <w:t>the 15th meeting of the Conference of the Contracting Parties (</w:t>
      </w:r>
      <w:r w:rsidRPr="000C33DF">
        <w:rPr>
          <w:rFonts w:asciiTheme="minorHAnsi" w:hAnsiTheme="minorHAnsi" w:cstheme="minorHAnsi"/>
          <w:lang w:val="en-AU"/>
        </w:rPr>
        <w:t>COP15</w:t>
      </w:r>
      <w:r w:rsidR="00D35080">
        <w:rPr>
          <w:rFonts w:asciiTheme="minorHAnsi" w:hAnsiTheme="minorHAnsi" w:cstheme="minorHAnsi"/>
          <w:lang w:val="en-AU"/>
        </w:rPr>
        <w:t>)</w:t>
      </w:r>
      <w:r w:rsidR="00B34AAF" w:rsidRPr="000C33DF">
        <w:rPr>
          <w:rFonts w:asciiTheme="minorHAnsi" w:hAnsiTheme="minorHAnsi" w:cstheme="minorHAnsi"/>
          <w:lang w:val="en-AU"/>
        </w:rPr>
        <w:t>, actions and activities undertaken by the Secretariat</w:t>
      </w:r>
      <w:r w:rsidRPr="000C33DF">
        <w:rPr>
          <w:rFonts w:asciiTheme="minorHAnsi" w:hAnsiTheme="minorHAnsi" w:cstheme="minorHAnsi"/>
          <w:lang w:val="en-AU"/>
        </w:rPr>
        <w:t xml:space="preserve"> and information provided to the Secretariat from stakeholders supporting the CEPA Programme.</w:t>
      </w:r>
    </w:p>
    <w:p w14:paraId="2F221C1E" w14:textId="77777777" w:rsidR="00BA4ED6" w:rsidRPr="000C33DF" w:rsidRDefault="00BA4ED6" w:rsidP="008C4BA0">
      <w:pPr>
        <w:pStyle w:val="BodyText"/>
        <w:widowControl/>
        <w:ind w:left="425" w:hanging="425"/>
        <w:rPr>
          <w:rFonts w:asciiTheme="minorHAnsi" w:hAnsiTheme="minorHAnsi" w:cstheme="minorHAnsi"/>
          <w:lang w:val="en-AU"/>
        </w:rPr>
      </w:pPr>
    </w:p>
    <w:p w14:paraId="4A9D67BD" w14:textId="77777777" w:rsidR="00BA4ED6" w:rsidRPr="000C33DF" w:rsidRDefault="00BA4ED6" w:rsidP="008C4BA0">
      <w:pPr>
        <w:pStyle w:val="BodyText"/>
        <w:widowControl/>
        <w:ind w:left="425" w:hanging="425"/>
        <w:rPr>
          <w:rFonts w:asciiTheme="minorHAnsi" w:hAnsiTheme="minorHAnsi" w:cstheme="minorHAnsi"/>
          <w:lang w:val="en-AU"/>
        </w:rPr>
      </w:pPr>
      <w:r w:rsidRPr="000C33DF">
        <w:rPr>
          <w:rFonts w:asciiTheme="minorHAnsi" w:hAnsiTheme="minorHAnsi" w:cstheme="minorHAnsi"/>
          <w:lang w:val="en-AU"/>
        </w:rPr>
        <w:t>13.</w:t>
      </w:r>
      <w:r w:rsidRPr="000C33DF">
        <w:rPr>
          <w:rFonts w:asciiTheme="minorHAnsi" w:hAnsiTheme="minorHAnsi" w:cstheme="minorHAnsi"/>
          <w:lang w:val="en-AU"/>
        </w:rPr>
        <w:tab/>
        <w:t>The National Reports provide the following information on the implementation of the CEPA Programme:</w:t>
      </w:r>
    </w:p>
    <w:p w14:paraId="13A1AA62" w14:textId="77777777" w:rsidR="00BA4ED6" w:rsidRPr="000C33DF" w:rsidRDefault="00BA4ED6" w:rsidP="008C4BA0">
      <w:pPr>
        <w:pStyle w:val="BodyText"/>
        <w:widowControl/>
        <w:tabs>
          <w:tab w:val="left" w:pos="544"/>
        </w:tabs>
        <w:ind w:left="425" w:hanging="425"/>
        <w:rPr>
          <w:rFonts w:asciiTheme="minorHAnsi" w:hAnsiTheme="minorHAnsi" w:cstheme="minorHAnsi"/>
          <w:lang w:val="en-AU"/>
        </w:rPr>
      </w:pPr>
    </w:p>
    <w:p w14:paraId="3C123A95" w14:textId="7A700A0F" w:rsidR="00BA4ED6" w:rsidRPr="000C33DF" w:rsidRDefault="00BA4ED6" w:rsidP="008C4BA0">
      <w:pPr>
        <w:numPr>
          <w:ilvl w:val="0"/>
          <w:numId w:val="6"/>
        </w:numPr>
        <w:ind w:left="851" w:hanging="425"/>
        <w:contextualSpacing/>
        <w:rPr>
          <w:rFonts w:eastAsia="Calibri" w:cstheme="minorHAnsi"/>
          <w:sz w:val="22"/>
          <w:szCs w:val="22"/>
          <w:lang w:val="en-AU"/>
        </w:rPr>
      </w:pPr>
      <w:r w:rsidRPr="000C33DF">
        <w:rPr>
          <w:rFonts w:eastAsia="Calibri" w:cstheme="minorHAnsi"/>
          <w:sz w:val="22"/>
          <w:szCs w:val="22"/>
          <w:lang w:val="en-AU"/>
        </w:rPr>
        <w:t>Action plans for wetland CEPA are in place in 32% of</w:t>
      </w:r>
      <w:r w:rsidR="1BB75CB2" w:rsidRPr="000C33DF">
        <w:rPr>
          <w:rFonts w:eastAsia="Calibri" w:cstheme="minorHAnsi"/>
          <w:sz w:val="22"/>
          <w:szCs w:val="22"/>
          <w:lang w:val="en-AU"/>
        </w:rPr>
        <w:t xml:space="preserve"> reporting</w:t>
      </w:r>
      <w:r w:rsidRPr="000C33DF">
        <w:rPr>
          <w:rFonts w:eastAsia="Calibri" w:cstheme="minorHAnsi"/>
          <w:sz w:val="22"/>
          <w:szCs w:val="22"/>
          <w:lang w:val="en-AU"/>
        </w:rPr>
        <w:t xml:space="preserve"> Contracting Parties</w:t>
      </w:r>
      <w:r w:rsidR="6CBB339D" w:rsidRPr="000C33DF">
        <w:rPr>
          <w:rFonts w:eastAsia="Calibri" w:cstheme="minorHAnsi"/>
          <w:sz w:val="22"/>
          <w:szCs w:val="22"/>
          <w:lang w:val="en-AU"/>
        </w:rPr>
        <w:t>, down from 35%</w:t>
      </w:r>
      <w:r w:rsidRPr="000C33DF">
        <w:rPr>
          <w:rFonts w:eastAsia="Calibri" w:cstheme="minorHAnsi"/>
          <w:sz w:val="22"/>
          <w:szCs w:val="22"/>
          <w:lang w:val="en-AU"/>
        </w:rPr>
        <w:t xml:space="preserve"> at COP14. CEPA implementation at the national level w</w:t>
      </w:r>
      <w:r w:rsidR="4CE21935" w:rsidRPr="000C33DF">
        <w:rPr>
          <w:rFonts w:eastAsia="Calibri" w:cstheme="minorHAnsi"/>
          <w:sz w:val="22"/>
          <w:szCs w:val="22"/>
          <w:lang w:val="en-AU"/>
        </w:rPr>
        <w:t>ill</w:t>
      </w:r>
      <w:r w:rsidRPr="000C33DF">
        <w:rPr>
          <w:rFonts w:eastAsia="Calibri" w:cstheme="minorHAnsi"/>
          <w:sz w:val="22"/>
          <w:szCs w:val="22"/>
          <w:lang w:val="en-AU"/>
        </w:rPr>
        <w:t xml:space="preserve"> be enhanced if more Contracting Parties develop CEPA action plans.  </w:t>
      </w:r>
    </w:p>
    <w:p w14:paraId="225E3CD3" w14:textId="77777777" w:rsidR="00BA4ED6" w:rsidRPr="000C33DF" w:rsidRDefault="00BA4ED6" w:rsidP="008C4BA0">
      <w:pPr>
        <w:rPr>
          <w:rFonts w:eastAsia="Calibri" w:cstheme="minorHAnsi"/>
          <w:sz w:val="22"/>
          <w:szCs w:val="22"/>
          <w:lang w:val="en-AU"/>
        </w:rPr>
      </w:pPr>
    </w:p>
    <w:p w14:paraId="14502433" w14:textId="03E7A409" w:rsidR="00BA4ED6" w:rsidRPr="000C33DF" w:rsidRDefault="00BA4ED6" w:rsidP="008C4BA0">
      <w:pPr>
        <w:numPr>
          <w:ilvl w:val="0"/>
          <w:numId w:val="6"/>
        </w:numPr>
        <w:ind w:left="851" w:hanging="425"/>
        <w:contextualSpacing/>
        <w:rPr>
          <w:rFonts w:eastAsia="Calibri" w:cstheme="minorHAnsi"/>
          <w:sz w:val="22"/>
          <w:szCs w:val="22"/>
          <w:lang w:val="en-AU"/>
        </w:rPr>
      </w:pPr>
      <w:r w:rsidRPr="000C33DF">
        <w:rPr>
          <w:rFonts w:eastAsia="Calibri" w:cstheme="minorHAnsi"/>
          <w:sz w:val="22"/>
          <w:szCs w:val="22"/>
          <w:lang w:val="en-AU"/>
        </w:rPr>
        <w:lastRenderedPageBreak/>
        <w:t xml:space="preserve">Communication mechanisms </w:t>
      </w:r>
      <w:r w:rsidR="00DA0CC9">
        <w:rPr>
          <w:rFonts w:eastAsia="Calibri" w:cstheme="minorHAnsi"/>
          <w:sz w:val="22"/>
          <w:szCs w:val="22"/>
          <w:lang w:val="en-AU"/>
        </w:rPr>
        <w:t xml:space="preserve">are </w:t>
      </w:r>
      <w:r w:rsidRPr="000C33DF">
        <w:rPr>
          <w:rFonts w:eastAsia="Calibri" w:cstheme="minorHAnsi"/>
          <w:sz w:val="22"/>
          <w:szCs w:val="22"/>
          <w:lang w:val="en-AU"/>
        </w:rPr>
        <w:t>in place to share Convention guidance and information with site managers, focal points of other multilateral environmental agreements (MEAs) and other ministries, departments and agencies</w:t>
      </w:r>
      <w:r w:rsidR="00DA0CC9">
        <w:rPr>
          <w:rFonts w:eastAsia="Calibri" w:cstheme="minorHAnsi"/>
          <w:sz w:val="22"/>
          <w:szCs w:val="22"/>
          <w:lang w:val="en-AU"/>
        </w:rPr>
        <w:t xml:space="preserve">: in </w:t>
      </w:r>
      <w:r w:rsidRPr="000C33DF">
        <w:rPr>
          <w:rFonts w:cstheme="minorHAnsi"/>
          <w:sz w:val="22"/>
          <w:szCs w:val="22"/>
          <w:lang w:val="en-AU"/>
        </w:rPr>
        <w:t xml:space="preserve">62% </w:t>
      </w:r>
      <w:r w:rsidR="00DA0CC9">
        <w:rPr>
          <w:rFonts w:cstheme="minorHAnsi"/>
          <w:sz w:val="22"/>
          <w:szCs w:val="22"/>
          <w:lang w:val="en-AU"/>
        </w:rPr>
        <w:t xml:space="preserve">of reporting Contracting Parties </w:t>
      </w:r>
      <w:r w:rsidRPr="000C33DF">
        <w:rPr>
          <w:rFonts w:cstheme="minorHAnsi"/>
          <w:sz w:val="22"/>
          <w:szCs w:val="22"/>
          <w:lang w:val="en-AU"/>
        </w:rPr>
        <w:t xml:space="preserve">for Ramsar site managers; </w:t>
      </w:r>
      <w:r w:rsidR="00DA0CC9">
        <w:rPr>
          <w:rFonts w:cstheme="minorHAnsi"/>
          <w:sz w:val="22"/>
          <w:szCs w:val="22"/>
          <w:lang w:val="en-AU"/>
        </w:rPr>
        <w:t xml:space="preserve">in </w:t>
      </w:r>
      <w:r w:rsidRPr="000C33DF">
        <w:rPr>
          <w:rFonts w:cstheme="minorHAnsi"/>
          <w:sz w:val="22"/>
          <w:szCs w:val="22"/>
          <w:lang w:val="en-AU"/>
        </w:rPr>
        <w:t xml:space="preserve">49% </w:t>
      </w:r>
      <w:r w:rsidR="00DA0CC9">
        <w:rPr>
          <w:rFonts w:cstheme="minorHAnsi"/>
          <w:sz w:val="22"/>
          <w:szCs w:val="22"/>
          <w:lang w:val="en-AU"/>
        </w:rPr>
        <w:t xml:space="preserve">of reporting Parties </w:t>
      </w:r>
      <w:r w:rsidRPr="000C33DF">
        <w:rPr>
          <w:rFonts w:cstheme="minorHAnsi"/>
          <w:sz w:val="22"/>
          <w:szCs w:val="22"/>
          <w:lang w:val="en-AU"/>
        </w:rPr>
        <w:t xml:space="preserve">for </w:t>
      </w:r>
      <w:r w:rsidRPr="000C33DF">
        <w:rPr>
          <w:rFonts w:cstheme="minorHAnsi"/>
          <w:sz w:val="22"/>
          <w:szCs w:val="22"/>
          <w:lang w:val="en-GB"/>
        </w:rPr>
        <w:t>MEA national focal points</w:t>
      </w:r>
      <w:r w:rsidR="00DA0CC9">
        <w:rPr>
          <w:rFonts w:cstheme="minorHAnsi"/>
          <w:sz w:val="22"/>
          <w:szCs w:val="22"/>
          <w:lang w:val="en-GB"/>
        </w:rPr>
        <w:t>;</w:t>
      </w:r>
      <w:r w:rsidRPr="000C33DF">
        <w:rPr>
          <w:rFonts w:cstheme="minorHAnsi"/>
          <w:sz w:val="22"/>
          <w:szCs w:val="22"/>
          <w:lang w:val="en-GB"/>
        </w:rPr>
        <w:t xml:space="preserve"> and </w:t>
      </w:r>
      <w:r w:rsidR="00DA0CC9">
        <w:rPr>
          <w:rFonts w:cstheme="minorHAnsi"/>
          <w:sz w:val="22"/>
          <w:szCs w:val="22"/>
          <w:lang w:val="en-GB"/>
        </w:rPr>
        <w:t xml:space="preserve">in </w:t>
      </w:r>
      <w:r w:rsidRPr="000C33DF">
        <w:rPr>
          <w:rFonts w:cstheme="minorHAnsi"/>
          <w:sz w:val="22"/>
          <w:szCs w:val="22"/>
          <w:lang w:val="en-GB"/>
        </w:rPr>
        <w:t xml:space="preserve">50% </w:t>
      </w:r>
      <w:r w:rsidR="00DA0CC9">
        <w:rPr>
          <w:rFonts w:cstheme="minorHAnsi"/>
          <w:sz w:val="22"/>
          <w:szCs w:val="22"/>
          <w:lang w:val="en-AU"/>
        </w:rPr>
        <w:t xml:space="preserve">of reporting Parties </w:t>
      </w:r>
      <w:r w:rsidRPr="000C33DF">
        <w:rPr>
          <w:rFonts w:cstheme="minorHAnsi"/>
          <w:sz w:val="22"/>
          <w:szCs w:val="22"/>
          <w:lang w:val="en-GB"/>
        </w:rPr>
        <w:t>for other ministries, departments and agencie</w:t>
      </w:r>
      <w:r w:rsidR="003B2814" w:rsidRPr="000C33DF">
        <w:rPr>
          <w:rFonts w:cstheme="minorHAnsi"/>
          <w:sz w:val="22"/>
          <w:szCs w:val="22"/>
          <w:lang w:val="en-GB"/>
        </w:rPr>
        <w:t>s</w:t>
      </w:r>
      <w:r w:rsidRPr="000C33DF">
        <w:rPr>
          <w:rFonts w:eastAsia="Calibri" w:cstheme="minorHAnsi"/>
          <w:sz w:val="22"/>
          <w:szCs w:val="22"/>
          <w:lang w:val="en-AU"/>
        </w:rPr>
        <w:t>. Th</w:t>
      </w:r>
      <w:r w:rsidR="76719152" w:rsidRPr="000C33DF">
        <w:rPr>
          <w:rFonts w:eastAsia="Calibri" w:cstheme="minorHAnsi"/>
          <w:sz w:val="22"/>
          <w:szCs w:val="22"/>
          <w:lang w:val="en-AU"/>
        </w:rPr>
        <w:t>ese</w:t>
      </w:r>
      <w:r w:rsidRPr="000C33DF">
        <w:rPr>
          <w:rFonts w:eastAsia="Calibri" w:cstheme="minorHAnsi"/>
          <w:sz w:val="22"/>
          <w:szCs w:val="22"/>
          <w:lang w:val="en-AU"/>
        </w:rPr>
        <w:t xml:space="preserve"> figure</w:t>
      </w:r>
      <w:r w:rsidR="7521D3F6" w:rsidRPr="000C33DF">
        <w:rPr>
          <w:rFonts w:eastAsia="Calibri" w:cstheme="minorHAnsi"/>
          <w:sz w:val="22"/>
          <w:szCs w:val="22"/>
          <w:lang w:val="en-AU"/>
        </w:rPr>
        <w:t>s</w:t>
      </w:r>
      <w:r w:rsidRPr="000C33DF">
        <w:rPr>
          <w:rFonts w:eastAsia="Calibri" w:cstheme="minorHAnsi"/>
          <w:sz w:val="22"/>
          <w:szCs w:val="22"/>
          <w:lang w:val="en-AU"/>
        </w:rPr>
        <w:t>, while slightly improved from COP14, remain concerning,</w:t>
      </w:r>
      <w:r w:rsidR="34055C6F" w:rsidRPr="000C33DF">
        <w:rPr>
          <w:rFonts w:eastAsia="Calibri" w:cstheme="minorHAnsi"/>
          <w:sz w:val="22"/>
          <w:szCs w:val="22"/>
          <w:lang w:val="en-AU"/>
        </w:rPr>
        <w:t xml:space="preserve"> as </w:t>
      </w:r>
      <w:r w:rsidR="28666EFD" w:rsidRPr="000C33DF">
        <w:rPr>
          <w:rFonts w:eastAsia="Calibri" w:cstheme="minorHAnsi"/>
          <w:sz w:val="22"/>
          <w:szCs w:val="22"/>
          <w:lang w:val="en-AU"/>
        </w:rPr>
        <w:t>communication</w:t>
      </w:r>
      <w:r w:rsidRPr="000C33DF">
        <w:rPr>
          <w:rFonts w:eastAsia="Calibri" w:cstheme="minorHAnsi"/>
          <w:sz w:val="22"/>
          <w:szCs w:val="22"/>
          <w:lang w:val="en-AU"/>
        </w:rPr>
        <w:t xml:space="preserve"> mechanisms are critical to support site managers in their management of wetlands of international importance and to engage relevant ministries and agencies in understanding and implementing the Convention.</w:t>
      </w:r>
    </w:p>
    <w:p w14:paraId="61897F2F" w14:textId="77777777" w:rsidR="00BA4ED6" w:rsidRPr="000C33DF" w:rsidRDefault="00BA4ED6" w:rsidP="008C4BA0">
      <w:pPr>
        <w:rPr>
          <w:rFonts w:eastAsia="Calibri" w:cstheme="minorHAnsi"/>
          <w:sz w:val="22"/>
          <w:szCs w:val="22"/>
          <w:lang w:val="en-AU"/>
        </w:rPr>
      </w:pPr>
    </w:p>
    <w:p w14:paraId="72E112ED" w14:textId="688C9AF9" w:rsidR="00BA4ED6" w:rsidRPr="000C33DF" w:rsidRDefault="537A3CE1" w:rsidP="008C4BA0">
      <w:pPr>
        <w:numPr>
          <w:ilvl w:val="0"/>
          <w:numId w:val="6"/>
        </w:numPr>
        <w:ind w:left="851" w:hanging="425"/>
        <w:contextualSpacing/>
        <w:rPr>
          <w:rFonts w:eastAsia="Calibri" w:cstheme="minorHAnsi"/>
          <w:sz w:val="22"/>
          <w:szCs w:val="22"/>
          <w:lang w:val="en-AU"/>
        </w:rPr>
      </w:pPr>
      <w:r w:rsidRPr="000C33DF">
        <w:rPr>
          <w:rFonts w:eastAsia="Calibri" w:cstheme="minorHAnsi"/>
          <w:sz w:val="22"/>
          <w:szCs w:val="22"/>
          <w:lang w:val="en-AU"/>
        </w:rPr>
        <w:t xml:space="preserve">Fifty-two </w:t>
      </w:r>
      <w:r w:rsidR="2F4F15D5" w:rsidRPr="000C33DF">
        <w:rPr>
          <w:rFonts w:eastAsia="Calibri" w:cstheme="minorHAnsi"/>
          <w:sz w:val="22"/>
          <w:szCs w:val="22"/>
          <w:lang w:val="en-AU"/>
        </w:rPr>
        <w:t>C</w:t>
      </w:r>
      <w:r w:rsidRPr="000C33DF">
        <w:rPr>
          <w:rFonts w:eastAsia="Calibri" w:cstheme="minorHAnsi"/>
          <w:sz w:val="22"/>
          <w:szCs w:val="22"/>
          <w:lang w:val="en-AU"/>
        </w:rPr>
        <w:t>ontracting Parties</w:t>
      </w:r>
      <w:r w:rsidR="00DA0CC9">
        <w:rPr>
          <w:rFonts w:eastAsia="Calibri" w:cstheme="minorHAnsi"/>
          <w:sz w:val="22"/>
          <w:szCs w:val="22"/>
          <w:lang w:val="en-AU"/>
        </w:rPr>
        <w:t>,</w:t>
      </w:r>
      <w:r w:rsidRPr="000C33DF">
        <w:rPr>
          <w:rFonts w:eastAsia="Calibri" w:cstheme="minorHAnsi"/>
          <w:sz w:val="22"/>
          <w:szCs w:val="22"/>
          <w:lang w:val="en-AU"/>
        </w:rPr>
        <w:t xml:space="preserve"> </w:t>
      </w:r>
      <w:r w:rsidR="6F46DF1D" w:rsidRPr="000C33DF">
        <w:rPr>
          <w:rFonts w:eastAsia="Calibri" w:cstheme="minorHAnsi"/>
          <w:sz w:val="22"/>
          <w:szCs w:val="22"/>
          <w:lang w:val="en-AU"/>
        </w:rPr>
        <w:t>representing 46% of reporting Parties</w:t>
      </w:r>
      <w:r w:rsidR="00DA0CC9">
        <w:rPr>
          <w:rFonts w:eastAsia="Calibri" w:cstheme="minorHAnsi"/>
          <w:sz w:val="22"/>
          <w:szCs w:val="22"/>
          <w:lang w:val="en-AU"/>
        </w:rPr>
        <w:t>,</w:t>
      </w:r>
      <w:r w:rsidR="6F46DF1D" w:rsidRPr="000C33DF">
        <w:rPr>
          <w:rFonts w:eastAsia="Calibri" w:cstheme="minorHAnsi"/>
          <w:sz w:val="22"/>
          <w:szCs w:val="22"/>
          <w:lang w:val="en-AU"/>
        </w:rPr>
        <w:t xml:space="preserve"> </w:t>
      </w:r>
      <w:r w:rsidR="2364873B" w:rsidRPr="000C33DF">
        <w:rPr>
          <w:rFonts w:eastAsia="Calibri" w:cstheme="minorHAnsi"/>
          <w:sz w:val="22"/>
          <w:szCs w:val="22"/>
          <w:lang w:val="en-AU"/>
        </w:rPr>
        <w:t>indicate</w:t>
      </w:r>
      <w:r w:rsidRPr="000C33DF">
        <w:rPr>
          <w:rFonts w:eastAsia="Calibri" w:cstheme="minorHAnsi"/>
          <w:sz w:val="22"/>
          <w:szCs w:val="22"/>
          <w:lang w:val="en-AU"/>
        </w:rPr>
        <w:t xml:space="preserve"> that they have a National Ramsar Committee or an operational cross-sectoral body equivalent in place. </w:t>
      </w:r>
      <w:r w:rsidR="1B23FB44" w:rsidRPr="000C33DF">
        <w:rPr>
          <w:rFonts w:eastAsia="Calibri" w:cstheme="minorHAnsi"/>
          <w:sz w:val="22"/>
          <w:szCs w:val="22"/>
          <w:lang w:val="en-AU"/>
        </w:rPr>
        <w:t>Eight</w:t>
      </w:r>
      <w:r w:rsidRPr="000C33DF">
        <w:rPr>
          <w:rFonts w:eastAsia="Calibri" w:cstheme="minorHAnsi"/>
          <w:sz w:val="22"/>
          <w:szCs w:val="22"/>
          <w:lang w:val="en-AU"/>
        </w:rPr>
        <w:t xml:space="preserve"> Parties have National Ramsar Committees partially in place</w:t>
      </w:r>
      <w:r w:rsidR="00DA0CC9">
        <w:rPr>
          <w:rFonts w:eastAsia="Calibri" w:cstheme="minorHAnsi"/>
          <w:sz w:val="22"/>
          <w:szCs w:val="22"/>
          <w:lang w:val="en-AU"/>
        </w:rPr>
        <w:t>,</w:t>
      </w:r>
      <w:r w:rsidRPr="000C33DF">
        <w:rPr>
          <w:rFonts w:eastAsia="Calibri" w:cstheme="minorHAnsi"/>
          <w:sz w:val="22"/>
          <w:szCs w:val="22"/>
          <w:lang w:val="en-AU"/>
        </w:rPr>
        <w:t xml:space="preserve"> with </w:t>
      </w:r>
      <w:r w:rsidR="55449520" w:rsidRPr="000C33DF">
        <w:rPr>
          <w:rFonts w:eastAsia="Calibri" w:cstheme="minorHAnsi"/>
          <w:sz w:val="22"/>
          <w:szCs w:val="22"/>
          <w:lang w:val="en-AU"/>
        </w:rPr>
        <w:t>13</w:t>
      </w:r>
      <w:r w:rsidRPr="000C33DF">
        <w:rPr>
          <w:rFonts w:eastAsia="Calibri" w:cstheme="minorHAnsi"/>
          <w:sz w:val="22"/>
          <w:szCs w:val="22"/>
          <w:lang w:val="en-AU"/>
        </w:rPr>
        <w:t xml:space="preserve"> planning to establish committees. </w:t>
      </w:r>
      <w:r w:rsidR="00BA4ED6" w:rsidRPr="000C33DF">
        <w:rPr>
          <w:rFonts w:eastAsia="Calibri" w:cstheme="minorHAnsi"/>
          <w:sz w:val="22"/>
          <w:szCs w:val="22"/>
          <w:lang w:val="en-AU"/>
        </w:rPr>
        <w:t xml:space="preserve">These committees are an important tool to integrate wetland conservation and wise use into national policy considerations and ensure </w:t>
      </w:r>
      <w:r w:rsidR="00DA0CC9">
        <w:rPr>
          <w:rFonts w:eastAsia="Calibri" w:cstheme="minorHAnsi"/>
          <w:sz w:val="22"/>
          <w:szCs w:val="22"/>
          <w:lang w:val="en-AU"/>
        </w:rPr>
        <w:t xml:space="preserve">that </w:t>
      </w:r>
      <w:r w:rsidR="00BA4ED6" w:rsidRPr="000C33DF">
        <w:rPr>
          <w:rFonts w:eastAsia="Calibri" w:cstheme="minorHAnsi"/>
          <w:sz w:val="22"/>
          <w:szCs w:val="22"/>
          <w:lang w:val="en-AU"/>
        </w:rPr>
        <w:t xml:space="preserve">decision-making takes account of the ecological services provided by wetlands. In particular, Targets 1 and 13 of the </w:t>
      </w:r>
      <w:r w:rsidR="00DA0CC9">
        <w:rPr>
          <w:rFonts w:eastAsia="Calibri" w:cstheme="minorHAnsi"/>
          <w:sz w:val="22"/>
          <w:szCs w:val="22"/>
          <w:lang w:val="en-AU"/>
        </w:rPr>
        <w:t xml:space="preserve">Fourth </w:t>
      </w:r>
      <w:r w:rsidR="00BA4ED6" w:rsidRPr="000C33DF">
        <w:rPr>
          <w:rFonts w:eastAsia="Calibri" w:cstheme="minorHAnsi"/>
          <w:sz w:val="22"/>
          <w:szCs w:val="22"/>
          <w:lang w:val="en-AU"/>
        </w:rPr>
        <w:t>Strategic Plan encourage Contracting Parties to feature wetland benefits in national/local policies and plans relating to key sectors, and to enhance the sustainability of key sectors when they affect wetlands.</w:t>
      </w:r>
    </w:p>
    <w:p w14:paraId="42F05F21" w14:textId="017E7F09" w:rsidR="4845D55C" w:rsidRPr="000C33DF" w:rsidRDefault="4845D55C" w:rsidP="008C4BA0">
      <w:pPr>
        <w:contextualSpacing/>
        <w:rPr>
          <w:rFonts w:eastAsia="Calibri" w:cstheme="minorHAnsi"/>
          <w:lang w:val="en-AU"/>
        </w:rPr>
      </w:pPr>
    </w:p>
    <w:p w14:paraId="7048430C" w14:textId="6576EBFA" w:rsidR="082E3B5C" w:rsidRPr="000C33DF" w:rsidRDefault="00064022" w:rsidP="008C4BA0">
      <w:pPr>
        <w:pStyle w:val="ListParagraph"/>
        <w:numPr>
          <w:ilvl w:val="0"/>
          <w:numId w:val="6"/>
        </w:numPr>
        <w:ind w:left="851" w:hanging="425"/>
        <w:rPr>
          <w:rFonts w:eastAsia="Calibri" w:cstheme="minorHAnsi"/>
          <w:sz w:val="22"/>
          <w:szCs w:val="22"/>
          <w:lang w:val="en-AU"/>
        </w:rPr>
      </w:pPr>
      <w:r>
        <w:rPr>
          <w:rFonts w:eastAsia="Calibri" w:cstheme="minorHAnsi"/>
          <w:sz w:val="22"/>
          <w:szCs w:val="22"/>
          <w:lang w:val="en-AU"/>
        </w:rPr>
        <w:t>Eighty-eight</w:t>
      </w:r>
      <w:r w:rsidR="49065031" w:rsidRPr="000C33DF">
        <w:rPr>
          <w:rFonts w:eastAsia="Calibri" w:cstheme="minorHAnsi"/>
          <w:sz w:val="22"/>
          <w:szCs w:val="22"/>
          <w:lang w:val="en-AU"/>
        </w:rPr>
        <w:t xml:space="preserve"> percent of reporting </w:t>
      </w:r>
      <w:r w:rsidR="3106DFA7" w:rsidRPr="000C33DF">
        <w:rPr>
          <w:rFonts w:eastAsia="Calibri" w:cstheme="minorHAnsi"/>
          <w:sz w:val="22"/>
          <w:szCs w:val="22"/>
          <w:lang w:val="en-AU"/>
        </w:rPr>
        <w:t>C</w:t>
      </w:r>
      <w:r w:rsidR="49065031" w:rsidRPr="000C33DF">
        <w:rPr>
          <w:rFonts w:eastAsia="Calibri" w:cstheme="minorHAnsi"/>
          <w:sz w:val="22"/>
          <w:szCs w:val="22"/>
          <w:lang w:val="en-AU"/>
        </w:rPr>
        <w:t xml:space="preserve">ontracting Parties organized branded World Wetlands Day events and activities </w:t>
      </w:r>
      <w:r w:rsidR="4D2A494E" w:rsidRPr="000C33DF">
        <w:rPr>
          <w:rFonts w:eastAsia="Calibri" w:cstheme="minorHAnsi"/>
          <w:sz w:val="22"/>
          <w:szCs w:val="22"/>
          <w:lang w:val="en-AU"/>
        </w:rPr>
        <w:t>during</w:t>
      </w:r>
      <w:r w:rsidR="49065031" w:rsidRPr="000C33DF">
        <w:rPr>
          <w:rFonts w:eastAsia="Calibri" w:cstheme="minorHAnsi"/>
          <w:sz w:val="22"/>
          <w:szCs w:val="22"/>
          <w:lang w:val="en-AU"/>
        </w:rPr>
        <w:t xml:space="preserve"> the reporting period. </w:t>
      </w:r>
      <w:r w:rsidR="0436074E" w:rsidRPr="000C33DF">
        <w:rPr>
          <w:rFonts w:eastAsia="Calibri" w:cstheme="minorHAnsi"/>
          <w:sz w:val="22"/>
          <w:szCs w:val="22"/>
          <w:lang w:val="en-AU"/>
        </w:rPr>
        <w:t xml:space="preserve">This figure has </w:t>
      </w:r>
      <w:r>
        <w:rPr>
          <w:rFonts w:eastAsia="Calibri" w:cstheme="minorHAnsi"/>
          <w:sz w:val="22"/>
          <w:szCs w:val="22"/>
          <w:lang w:val="en-AU"/>
        </w:rPr>
        <w:t>de</w:t>
      </w:r>
      <w:r w:rsidR="0436074E" w:rsidRPr="000C33DF">
        <w:rPr>
          <w:rFonts w:eastAsia="Calibri" w:cstheme="minorHAnsi"/>
          <w:sz w:val="22"/>
          <w:szCs w:val="22"/>
          <w:lang w:val="en-AU"/>
        </w:rPr>
        <w:t xml:space="preserve">creased from </w:t>
      </w:r>
      <w:r w:rsidR="00821B1B">
        <w:rPr>
          <w:rFonts w:eastAsia="Calibri" w:cstheme="minorHAnsi"/>
          <w:sz w:val="22"/>
          <w:szCs w:val="22"/>
          <w:lang w:val="en-AU"/>
        </w:rPr>
        <w:t xml:space="preserve">the </w:t>
      </w:r>
      <w:r>
        <w:rPr>
          <w:rFonts w:eastAsia="Calibri" w:cstheme="minorHAnsi"/>
          <w:sz w:val="22"/>
          <w:szCs w:val="22"/>
          <w:lang w:val="en-AU"/>
        </w:rPr>
        <w:t>91</w:t>
      </w:r>
      <w:r w:rsidR="0436074E" w:rsidRPr="000C33DF">
        <w:rPr>
          <w:rFonts w:eastAsia="Calibri" w:cstheme="minorHAnsi"/>
          <w:sz w:val="22"/>
          <w:szCs w:val="22"/>
          <w:lang w:val="en-AU"/>
        </w:rPr>
        <w:t>% reported at COP14.</w:t>
      </w:r>
      <w:r w:rsidR="3514F4C2" w:rsidRPr="000C33DF">
        <w:rPr>
          <w:rFonts w:eastAsia="Calibri" w:cstheme="minorHAnsi"/>
          <w:sz w:val="22"/>
          <w:szCs w:val="22"/>
          <w:lang w:val="en-AU"/>
        </w:rPr>
        <w:t xml:space="preserve"> </w:t>
      </w:r>
      <w:r w:rsidRPr="00064022">
        <w:rPr>
          <w:rFonts w:eastAsia="Calibri" w:cstheme="minorHAnsi"/>
          <w:sz w:val="22"/>
          <w:szCs w:val="22"/>
          <w:lang w:val="en-AU"/>
        </w:rPr>
        <w:t xml:space="preserve">While there is a slight decrease in reporting Contracting Parties, </w:t>
      </w:r>
      <w:r w:rsidR="25F2B01F" w:rsidRPr="000C33DF">
        <w:rPr>
          <w:rFonts w:eastAsia="Calibri" w:cstheme="minorHAnsi"/>
          <w:sz w:val="22"/>
          <w:szCs w:val="22"/>
          <w:lang w:val="en-AU"/>
        </w:rPr>
        <w:t>World Wetlands Day continues to provide an excellent platform for Parties to r</w:t>
      </w:r>
      <w:r w:rsidR="3196DAAF" w:rsidRPr="000C33DF">
        <w:rPr>
          <w:rFonts w:eastAsia="Calibri" w:cstheme="minorHAnsi"/>
          <w:sz w:val="22"/>
          <w:szCs w:val="22"/>
          <w:lang w:val="en-AU"/>
        </w:rPr>
        <w:t>aise</w:t>
      </w:r>
      <w:r w:rsidR="25F2B01F" w:rsidRPr="000C33DF">
        <w:rPr>
          <w:rFonts w:eastAsia="Calibri" w:cstheme="minorHAnsi"/>
          <w:sz w:val="22"/>
          <w:szCs w:val="22"/>
          <w:lang w:val="en-AU"/>
        </w:rPr>
        <w:t xml:space="preserve"> visibility and awareness for the conservation and wise use of wetlands. </w:t>
      </w:r>
    </w:p>
    <w:p w14:paraId="083A5584" w14:textId="426C9611" w:rsidR="4845D55C" w:rsidRPr="00064022" w:rsidRDefault="4845D55C" w:rsidP="008C4BA0">
      <w:pPr>
        <w:ind w:left="851" w:hanging="425"/>
        <w:contextualSpacing/>
        <w:rPr>
          <w:rFonts w:eastAsia="Calibri" w:cstheme="minorHAnsi"/>
          <w:lang w:val="en-GB"/>
        </w:rPr>
      </w:pPr>
    </w:p>
    <w:p w14:paraId="5BCA476E" w14:textId="3D3EEC42" w:rsidR="3DC537F7" w:rsidRPr="000C33DF" w:rsidRDefault="3DC537F7" w:rsidP="008C4BA0">
      <w:pPr>
        <w:pStyle w:val="ListParagraph"/>
        <w:numPr>
          <w:ilvl w:val="0"/>
          <w:numId w:val="6"/>
        </w:numPr>
        <w:ind w:left="851" w:hanging="425"/>
        <w:rPr>
          <w:rFonts w:eastAsia="Calibri" w:cstheme="minorHAnsi"/>
          <w:sz w:val="22"/>
          <w:szCs w:val="22"/>
          <w:lang w:val="en-AU"/>
        </w:rPr>
      </w:pPr>
      <w:r w:rsidRPr="000C33DF">
        <w:rPr>
          <w:rFonts w:eastAsia="Calibri" w:cstheme="minorHAnsi"/>
          <w:sz w:val="22"/>
          <w:szCs w:val="22"/>
          <w:lang w:val="en-AU"/>
        </w:rPr>
        <w:t>Seventy-four percent of Contracting Parties reported sharing information about a country's wetlands through channels such as publications</w:t>
      </w:r>
      <w:r w:rsidR="5E828BDF" w:rsidRPr="000C33DF">
        <w:rPr>
          <w:rFonts w:eastAsia="Calibri" w:cstheme="minorHAnsi"/>
          <w:sz w:val="22"/>
          <w:szCs w:val="22"/>
          <w:lang w:val="en-AU"/>
        </w:rPr>
        <w:t xml:space="preserve"> and</w:t>
      </w:r>
      <w:r w:rsidRPr="000C33DF">
        <w:rPr>
          <w:rFonts w:eastAsia="Calibri" w:cstheme="minorHAnsi"/>
          <w:sz w:val="22"/>
          <w:szCs w:val="22"/>
          <w:lang w:val="en-AU"/>
        </w:rPr>
        <w:t xml:space="preserve"> websites</w:t>
      </w:r>
      <w:r w:rsidR="1FF1AB49" w:rsidRPr="000C33DF">
        <w:rPr>
          <w:rFonts w:eastAsia="Calibri" w:cstheme="minorHAnsi"/>
          <w:sz w:val="22"/>
          <w:szCs w:val="22"/>
          <w:lang w:val="en-AU"/>
        </w:rPr>
        <w:t xml:space="preserve">. This percentage is down from 86% reported at COP14. This decrease is concerning </w:t>
      </w:r>
      <w:r w:rsidR="0CFD157F" w:rsidRPr="000C33DF">
        <w:rPr>
          <w:rFonts w:eastAsia="Calibri" w:cstheme="minorHAnsi"/>
          <w:sz w:val="22"/>
          <w:szCs w:val="22"/>
          <w:lang w:val="en-AU"/>
        </w:rPr>
        <w:t xml:space="preserve">as the actions of Parties to raise visibility and awareness of </w:t>
      </w:r>
      <w:r w:rsidR="00821B1B">
        <w:rPr>
          <w:rFonts w:eastAsia="Calibri" w:cstheme="minorHAnsi"/>
          <w:sz w:val="22"/>
          <w:szCs w:val="22"/>
          <w:lang w:val="en-AU"/>
        </w:rPr>
        <w:t>their</w:t>
      </w:r>
      <w:r w:rsidR="00821B1B" w:rsidRPr="000C33DF">
        <w:rPr>
          <w:rFonts w:eastAsia="Calibri" w:cstheme="minorHAnsi"/>
          <w:sz w:val="22"/>
          <w:szCs w:val="22"/>
          <w:lang w:val="en-AU"/>
        </w:rPr>
        <w:t xml:space="preserve"> </w:t>
      </w:r>
      <w:r w:rsidR="0CFD157F" w:rsidRPr="000C33DF">
        <w:rPr>
          <w:rFonts w:eastAsia="Calibri" w:cstheme="minorHAnsi"/>
          <w:sz w:val="22"/>
          <w:szCs w:val="22"/>
          <w:lang w:val="en-AU"/>
        </w:rPr>
        <w:t>wetlands at the national level is important in implementin</w:t>
      </w:r>
      <w:r w:rsidR="727824C0" w:rsidRPr="000C33DF">
        <w:rPr>
          <w:rFonts w:eastAsia="Calibri" w:cstheme="minorHAnsi"/>
          <w:sz w:val="22"/>
          <w:szCs w:val="22"/>
          <w:lang w:val="en-AU"/>
        </w:rPr>
        <w:t>g actions for the</w:t>
      </w:r>
      <w:r w:rsidR="00821B1B">
        <w:rPr>
          <w:rFonts w:eastAsia="Calibri" w:cstheme="minorHAnsi"/>
          <w:sz w:val="22"/>
          <w:szCs w:val="22"/>
          <w:lang w:val="en-AU"/>
        </w:rPr>
        <w:t>ir</w:t>
      </w:r>
      <w:r w:rsidR="727824C0" w:rsidRPr="000C33DF">
        <w:rPr>
          <w:rFonts w:eastAsia="Calibri" w:cstheme="minorHAnsi"/>
          <w:sz w:val="22"/>
          <w:szCs w:val="22"/>
          <w:lang w:val="en-AU"/>
        </w:rPr>
        <w:t xml:space="preserve"> conservation and wise use. </w:t>
      </w:r>
    </w:p>
    <w:p w14:paraId="3F9FFAAB" w14:textId="77777777" w:rsidR="00BA4ED6" w:rsidRPr="000C33DF" w:rsidRDefault="00BA4ED6" w:rsidP="008C4BA0">
      <w:pPr>
        <w:pStyle w:val="BodyText"/>
        <w:widowControl/>
        <w:tabs>
          <w:tab w:val="left" w:pos="544"/>
        </w:tabs>
        <w:ind w:left="0" w:firstLine="0"/>
        <w:rPr>
          <w:rFonts w:asciiTheme="minorHAnsi" w:hAnsiTheme="minorHAnsi" w:cstheme="minorHAnsi"/>
          <w:lang w:val="en-AU"/>
        </w:rPr>
      </w:pPr>
    </w:p>
    <w:p w14:paraId="7760539A" w14:textId="71463056" w:rsidR="00BA4ED6" w:rsidRPr="000C33DF" w:rsidRDefault="00BA4ED6" w:rsidP="008C4BA0">
      <w:pPr>
        <w:pStyle w:val="BodyText"/>
        <w:widowControl/>
        <w:ind w:left="425" w:hanging="425"/>
        <w:rPr>
          <w:rFonts w:asciiTheme="minorHAnsi" w:hAnsiTheme="minorHAnsi" w:cstheme="minorHAnsi"/>
          <w:lang w:val="en-AU"/>
        </w:rPr>
      </w:pPr>
      <w:r w:rsidRPr="000C33DF">
        <w:rPr>
          <w:rFonts w:asciiTheme="minorHAnsi" w:hAnsiTheme="minorHAnsi" w:cstheme="minorHAnsi"/>
          <w:lang w:val="en-AU"/>
        </w:rPr>
        <w:t>14.</w:t>
      </w:r>
      <w:r w:rsidRPr="000C33DF">
        <w:rPr>
          <w:rFonts w:asciiTheme="minorHAnsi" w:hAnsiTheme="minorHAnsi" w:cstheme="minorHAnsi"/>
          <w:lang w:val="en-AU"/>
        </w:rPr>
        <w:tab/>
        <w:t>For the nine Goals of the CEPA Programme 2016-2024, the following actions and accomplishments are noted for the reporting period.</w:t>
      </w:r>
    </w:p>
    <w:p w14:paraId="457420D9" w14:textId="77777777" w:rsidR="00BA4ED6" w:rsidRPr="000C33DF" w:rsidRDefault="00BA4ED6" w:rsidP="008C4BA0">
      <w:pPr>
        <w:pStyle w:val="BodyText"/>
        <w:widowControl/>
        <w:tabs>
          <w:tab w:val="left" w:pos="544"/>
        </w:tabs>
        <w:ind w:left="425" w:hanging="425"/>
        <w:rPr>
          <w:rFonts w:asciiTheme="minorHAnsi" w:hAnsiTheme="minorHAnsi" w:cstheme="minorHAnsi"/>
          <w:lang w:val="en-AU"/>
        </w:rPr>
      </w:pPr>
    </w:p>
    <w:p w14:paraId="131CFFDF" w14:textId="77777777" w:rsidR="00BA4ED6" w:rsidRPr="000C33DF" w:rsidRDefault="00BA4ED6" w:rsidP="008C4BA0">
      <w:pPr>
        <w:ind w:firstLine="425"/>
        <w:rPr>
          <w:rFonts w:eastAsia="Calibri" w:cstheme="minorHAnsi"/>
          <w:i/>
          <w:sz w:val="22"/>
          <w:szCs w:val="22"/>
          <w:lang w:val="en-AU"/>
        </w:rPr>
      </w:pPr>
      <w:r w:rsidRPr="000C33DF">
        <w:rPr>
          <w:rFonts w:eastAsia="Calibri" w:cstheme="minorHAnsi"/>
          <w:i/>
          <w:sz w:val="22"/>
          <w:szCs w:val="22"/>
          <w:lang w:val="en-AU"/>
        </w:rPr>
        <w:t>Goal 1 – Leadership, institutional mechanisms and network support</w:t>
      </w:r>
    </w:p>
    <w:p w14:paraId="5A90DC16" w14:textId="77777777" w:rsidR="00BA4ED6" w:rsidRPr="000C33DF" w:rsidRDefault="00BA4ED6" w:rsidP="008C4BA0">
      <w:pPr>
        <w:rPr>
          <w:rFonts w:eastAsia="Calibri" w:cstheme="minorHAnsi"/>
          <w:sz w:val="22"/>
          <w:szCs w:val="22"/>
          <w:lang w:val="en-AU"/>
        </w:rPr>
      </w:pPr>
    </w:p>
    <w:p w14:paraId="02581C2D" w14:textId="31FA77B8" w:rsidR="00BA4ED6" w:rsidRPr="000C33DF" w:rsidRDefault="00BA4ED6" w:rsidP="008C4BA0">
      <w:pPr>
        <w:numPr>
          <w:ilvl w:val="0"/>
          <w:numId w:val="6"/>
        </w:numPr>
        <w:ind w:left="851" w:hanging="426"/>
        <w:contextualSpacing/>
        <w:rPr>
          <w:rFonts w:eastAsia="Calibri" w:cstheme="minorHAnsi"/>
          <w:sz w:val="22"/>
          <w:szCs w:val="22"/>
          <w:lang w:val="en-AU"/>
        </w:rPr>
      </w:pPr>
      <w:r w:rsidRPr="000C33DF">
        <w:rPr>
          <w:rFonts w:eastAsia="Calibri" w:cstheme="minorHAnsi"/>
          <w:sz w:val="22"/>
          <w:szCs w:val="22"/>
          <w:lang w:val="en-AU"/>
        </w:rPr>
        <w:t xml:space="preserve">The designation of National Government CEPA Focal Points and NGO CEPA Focal Points is critical for providing CEPA leadership at the national level. One-hundred and forty-nine Contracting Parties have designated National Government CEPA Focal Points and 112 have designated NGO CEPA Focal Points. </w:t>
      </w:r>
    </w:p>
    <w:p w14:paraId="73A55A91" w14:textId="77777777" w:rsidR="00DE19D7" w:rsidRPr="000C33DF" w:rsidRDefault="00DE19D7" w:rsidP="008C4BA0">
      <w:pPr>
        <w:ind w:left="851"/>
        <w:contextualSpacing/>
        <w:rPr>
          <w:rFonts w:eastAsia="Calibri" w:cstheme="minorHAnsi"/>
          <w:sz w:val="22"/>
          <w:szCs w:val="22"/>
          <w:lang w:val="en-AU"/>
        </w:rPr>
      </w:pPr>
    </w:p>
    <w:p w14:paraId="1B04E307" w14:textId="53E213C0" w:rsidR="00BA4ED6" w:rsidRPr="000C33DF" w:rsidRDefault="00BA4ED6" w:rsidP="008C4BA0">
      <w:pPr>
        <w:numPr>
          <w:ilvl w:val="0"/>
          <w:numId w:val="6"/>
        </w:numPr>
        <w:ind w:left="851" w:hanging="426"/>
        <w:contextualSpacing/>
        <w:rPr>
          <w:rFonts w:eastAsia="Calibri" w:cstheme="minorHAnsi"/>
          <w:sz w:val="22"/>
          <w:szCs w:val="22"/>
          <w:lang w:val="en-AU"/>
        </w:rPr>
      </w:pPr>
      <w:r w:rsidRPr="000C33DF">
        <w:rPr>
          <w:rFonts w:eastAsia="Calibri" w:cstheme="minorHAnsi"/>
          <w:sz w:val="22"/>
          <w:szCs w:val="22"/>
          <w:lang w:val="en-AU"/>
        </w:rPr>
        <w:t xml:space="preserve">The Secretariat maintains a CEPA Focal Point mailing list with </w:t>
      </w:r>
      <w:r w:rsidR="002350A3" w:rsidRPr="000C33DF">
        <w:rPr>
          <w:rFonts w:eastAsia="Calibri" w:cstheme="minorHAnsi"/>
          <w:sz w:val="22"/>
          <w:szCs w:val="22"/>
          <w:lang w:val="en-AU"/>
        </w:rPr>
        <w:t>1</w:t>
      </w:r>
      <w:r w:rsidR="00093973">
        <w:rPr>
          <w:rFonts w:eastAsia="Calibri" w:cstheme="minorHAnsi"/>
          <w:sz w:val="22"/>
          <w:szCs w:val="22"/>
          <w:lang w:val="en-AU"/>
        </w:rPr>
        <w:t>,</w:t>
      </w:r>
      <w:r w:rsidR="002350A3" w:rsidRPr="000C33DF">
        <w:rPr>
          <w:rFonts w:eastAsia="Calibri" w:cstheme="minorHAnsi"/>
          <w:sz w:val="22"/>
          <w:szCs w:val="22"/>
          <w:lang w:val="en-AU"/>
        </w:rPr>
        <w:t>271</w:t>
      </w:r>
      <w:r w:rsidRPr="000C33DF">
        <w:rPr>
          <w:rFonts w:eastAsia="Calibri" w:cstheme="minorHAnsi"/>
          <w:sz w:val="22"/>
          <w:szCs w:val="22"/>
          <w:lang w:val="en-AU"/>
        </w:rPr>
        <w:t xml:space="preserve"> individuals. This list is </w:t>
      </w:r>
      <w:r w:rsidR="00592652" w:rsidRPr="000C33DF">
        <w:rPr>
          <w:rFonts w:eastAsia="Calibri" w:cstheme="minorHAnsi"/>
          <w:sz w:val="22"/>
          <w:szCs w:val="22"/>
          <w:lang w:val="en-AU"/>
        </w:rPr>
        <w:t>used</w:t>
      </w:r>
      <w:r w:rsidRPr="000C33DF">
        <w:rPr>
          <w:rFonts w:eastAsia="Calibri" w:cstheme="minorHAnsi"/>
          <w:sz w:val="22"/>
          <w:szCs w:val="22"/>
          <w:lang w:val="en-AU"/>
        </w:rPr>
        <w:t xml:space="preserve"> to disseminate relevant CEPA information to Contracting Parties and stakeholder groups. </w:t>
      </w:r>
    </w:p>
    <w:p w14:paraId="6D8B1AA1" w14:textId="77777777" w:rsidR="004D781E" w:rsidRPr="000C33DF" w:rsidRDefault="004D781E" w:rsidP="008C4BA0">
      <w:pPr>
        <w:contextualSpacing/>
        <w:rPr>
          <w:rFonts w:eastAsia="Calibri" w:cstheme="minorHAnsi"/>
          <w:sz w:val="22"/>
          <w:szCs w:val="22"/>
          <w:lang w:val="en-AU"/>
        </w:rPr>
      </w:pPr>
    </w:p>
    <w:p w14:paraId="382915B3" w14:textId="674C80BF" w:rsidR="00FF43FD" w:rsidRPr="000C33DF" w:rsidRDefault="00FF43FD" w:rsidP="008C4BA0">
      <w:pPr>
        <w:numPr>
          <w:ilvl w:val="0"/>
          <w:numId w:val="6"/>
        </w:numPr>
        <w:ind w:left="851" w:hanging="426"/>
        <w:contextualSpacing/>
        <w:rPr>
          <w:rFonts w:eastAsia="Calibri" w:cstheme="minorHAnsi"/>
          <w:sz w:val="22"/>
          <w:szCs w:val="22"/>
          <w:lang w:val="en-AU"/>
        </w:rPr>
      </w:pPr>
      <w:r w:rsidRPr="000C33DF">
        <w:rPr>
          <w:rFonts w:eastAsia="Calibri" w:cstheme="minorHAnsi"/>
          <w:sz w:val="22"/>
          <w:szCs w:val="22"/>
          <w:lang w:val="en-AU"/>
        </w:rPr>
        <w:t>The</w:t>
      </w:r>
      <w:r w:rsidR="00555AF4" w:rsidRPr="000C33DF">
        <w:rPr>
          <w:rFonts w:eastAsia="Calibri" w:cstheme="minorHAnsi"/>
          <w:sz w:val="22"/>
          <w:szCs w:val="22"/>
          <w:lang w:val="en-AU"/>
        </w:rPr>
        <w:t xml:space="preserve"> Secretary General has been highly active in using </w:t>
      </w:r>
      <w:r w:rsidR="008F53C8" w:rsidRPr="000C33DF">
        <w:rPr>
          <w:rFonts w:eastAsia="Calibri" w:cstheme="minorHAnsi"/>
          <w:sz w:val="22"/>
          <w:szCs w:val="22"/>
          <w:lang w:val="en-AU"/>
        </w:rPr>
        <w:t xml:space="preserve">elements of the CEPA Programme to raise the visibility of wetlands and the Convention. She has </w:t>
      </w:r>
      <w:r w:rsidR="0024560C" w:rsidRPr="000C33DF">
        <w:rPr>
          <w:rFonts w:eastAsia="Calibri" w:cstheme="minorHAnsi"/>
          <w:sz w:val="22"/>
          <w:szCs w:val="22"/>
          <w:lang w:val="en-AU"/>
        </w:rPr>
        <w:t xml:space="preserve">leveraged her leadership position to engage and mobilize government officials, civil society leaders and youth </w:t>
      </w:r>
      <w:r w:rsidR="006C325A" w:rsidRPr="000C33DF">
        <w:rPr>
          <w:rFonts w:eastAsia="Calibri" w:cstheme="minorHAnsi"/>
          <w:sz w:val="22"/>
          <w:szCs w:val="22"/>
          <w:lang w:val="en-AU"/>
        </w:rPr>
        <w:t xml:space="preserve">to take positive actions for wetlands. </w:t>
      </w:r>
    </w:p>
    <w:p w14:paraId="67FF49E5" w14:textId="77777777" w:rsidR="004D781E" w:rsidRPr="000C33DF" w:rsidRDefault="004D781E" w:rsidP="008C4BA0">
      <w:pPr>
        <w:contextualSpacing/>
        <w:rPr>
          <w:rFonts w:eastAsia="Calibri" w:cstheme="minorHAnsi"/>
          <w:sz w:val="22"/>
          <w:szCs w:val="22"/>
          <w:lang w:val="en-AU"/>
        </w:rPr>
      </w:pPr>
    </w:p>
    <w:p w14:paraId="2CADC5D6" w14:textId="6611D7A7" w:rsidR="00BA4ED6" w:rsidRPr="000C33DF" w:rsidRDefault="00BA4ED6" w:rsidP="008C4BA0">
      <w:pPr>
        <w:numPr>
          <w:ilvl w:val="0"/>
          <w:numId w:val="6"/>
        </w:numPr>
        <w:ind w:left="851" w:hanging="426"/>
        <w:contextualSpacing/>
        <w:rPr>
          <w:rFonts w:eastAsia="Calibri" w:cstheme="minorHAnsi"/>
          <w:sz w:val="22"/>
          <w:szCs w:val="22"/>
          <w:lang w:val="en-AU"/>
        </w:rPr>
      </w:pPr>
      <w:r w:rsidRPr="000C33DF">
        <w:rPr>
          <w:rFonts w:eastAsia="Calibri" w:cstheme="minorHAnsi"/>
          <w:sz w:val="22"/>
          <w:szCs w:val="22"/>
          <w:lang w:val="en-AU"/>
        </w:rPr>
        <w:lastRenderedPageBreak/>
        <w:t>The Secretariat seeks relationships with organizations that can advance the Convention’s CEPA aims. A key mechanism for engaging and communicating with these organizations is the “Flotilla”</w:t>
      </w:r>
      <w:r w:rsidR="00093973">
        <w:rPr>
          <w:rFonts w:eastAsia="Calibri" w:cstheme="minorHAnsi"/>
          <w:sz w:val="22"/>
          <w:szCs w:val="22"/>
          <w:lang w:val="en-AU"/>
        </w:rPr>
        <w:t>,</w:t>
      </w:r>
      <w:r w:rsidRPr="000C33DF">
        <w:rPr>
          <w:rFonts w:eastAsia="Calibri" w:cstheme="minorHAnsi"/>
          <w:sz w:val="22"/>
          <w:szCs w:val="22"/>
          <w:lang w:val="en-AU"/>
        </w:rPr>
        <w:t xml:space="preserve"> a network of environmental organizations </w:t>
      </w:r>
      <w:r w:rsidR="00093973">
        <w:rPr>
          <w:rFonts w:eastAsia="Calibri" w:cstheme="minorHAnsi"/>
          <w:sz w:val="22"/>
          <w:szCs w:val="22"/>
          <w:lang w:val="en-AU"/>
        </w:rPr>
        <w:t xml:space="preserve">which </w:t>
      </w:r>
      <w:r w:rsidRPr="000C33DF">
        <w:rPr>
          <w:rFonts w:eastAsia="Calibri" w:cstheme="minorHAnsi"/>
          <w:sz w:val="22"/>
          <w:szCs w:val="22"/>
          <w:lang w:val="en-AU"/>
        </w:rPr>
        <w:t xml:space="preserve">helps disseminate </w:t>
      </w:r>
      <w:r w:rsidR="00592652" w:rsidRPr="000C33DF">
        <w:rPr>
          <w:rFonts w:eastAsia="Calibri" w:cstheme="minorHAnsi"/>
          <w:sz w:val="22"/>
          <w:szCs w:val="22"/>
          <w:lang w:val="en-AU"/>
        </w:rPr>
        <w:t>communication</w:t>
      </w:r>
      <w:r w:rsidRPr="000C33DF">
        <w:rPr>
          <w:rFonts w:eastAsia="Calibri" w:cstheme="minorHAnsi"/>
          <w:sz w:val="22"/>
          <w:szCs w:val="22"/>
          <w:lang w:val="en-AU"/>
        </w:rPr>
        <w:t xml:space="preserve"> and campaign information to diverse stakeholder groups.  </w:t>
      </w:r>
    </w:p>
    <w:p w14:paraId="7FA5DCD1" w14:textId="77777777" w:rsidR="00BA4ED6" w:rsidRPr="000C33DF" w:rsidRDefault="00BA4ED6" w:rsidP="008C4BA0">
      <w:pPr>
        <w:rPr>
          <w:rFonts w:eastAsia="Calibri" w:cstheme="minorHAnsi"/>
          <w:sz w:val="22"/>
          <w:szCs w:val="22"/>
          <w:lang w:val="en-AU"/>
        </w:rPr>
      </w:pPr>
    </w:p>
    <w:p w14:paraId="19154BA8" w14:textId="77777777" w:rsidR="00BA4ED6" w:rsidRPr="000C33DF" w:rsidRDefault="00BA4ED6" w:rsidP="008C4BA0">
      <w:pPr>
        <w:ind w:left="426"/>
        <w:rPr>
          <w:rFonts w:eastAsia="Calibri" w:cstheme="minorHAnsi"/>
          <w:i/>
          <w:sz w:val="22"/>
          <w:szCs w:val="22"/>
          <w:lang w:val="en-AU"/>
        </w:rPr>
      </w:pPr>
      <w:r w:rsidRPr="000C33DF">
        <w:rPr>
          <w:rFonts w:eastAsia="Calibri" w:cstheme="minorHAnsi"/>
          <w:i/>
          <w:sz w:val="22"/>
          <w:szCs w:val="22"/>
          <w:lang w:val="en-AU"/>
        </w:rPr>
        <w:t>Goal 2 – Integration of CEPA into Convention activities</w:t>
      </w:r>
    </w:p>
    <w:p w14:paraId="6104225A" w14:textId="77777777" w:rsidR="00BA4ED6" w:rsidRPr="000C33DF" w:rsidRDefault="00BA4ED6" w:rsidP="008C4BA0">
      <w:pPr>
        <w:rPr>
          <w:rFonts w:eastAsia="Calibri" w:cstheme="minorHAnsi"/>
          <w:sz w:val="22"/>
          <w:szCs w:val="22"/>
          <w:lang w:val="en-AU"/>
        </w:rPr>
      </w:pPr>
    </w:p>
    <w:p w14:paraId="76A6CAFB" w14:textId="2CB93EFE" w:rsidR="00BA4ED6" w:rsidRPr="000C33DF" w:rsidRDefault="00BA4ED6" w:rsidP="008C4BA0">
      <w:pPr>
        <w:numPr>
          <w:ilvl w:val="0"/>
          <w:numId w:val="8"/>
        </w:numPr>
        <w:ind w:left="851" w:hanging="425"/>
        <w:contextualSpacing/>
        <w:rPr>
          <w:rFonts w:eastAsia="Calibri" w:cstheme="minorHAnsi"/>
          <w:sz w:val="22"/>
          <w:szCs w:val="22"/>
          <w:lang w:val="en-AU"/>
        </w:rPr>
      </w:pPr>
      <w:r w:rsidRPr="000C33DF">
        <w:rPr>
          <w:rFonts w:eastAsia="Calibri" w:cstheme="minorHAnsi"/>
          <w:sz w:val="22"/>
          <w:szCs w:val="22"/>
          <w:lang w:val="en-AU"/>
        </w:rPr>
        <w:t xml:space="preserve">Subsidiary </w:t>
      </w:r>
      <w:r w:rsidR="00093973">
        <w:rPr>
          <w:rFonts w:eastAsia="Calibri" w:cstheme="minorHAnsi"/>
          <w:sz w:val="22"/>
          <w:szCs w:val="22"/>
          <w:lang w:val="en-AU"/>
        </w:rPr>
        <w:t>b</w:t>
      </w:r>
      <w:r w:rsidR="00093973" w:rsidRPr="000C33DF">
        <w:rPr>
          <w:rFonts w:eastAsia="Calibri" w:cstheme="minorHAnsi"/>
          <w:sz w:val="22"/>
          <w:szCs w:val="22"/>
          <w:lang w:val="en-AU"/>
        </w:rPr>
        <w:t xml:space="preserve">odies </w:t>
      </w:r>
      <w:r w:rsidRPr="000C33DF">
        <w:rPr>
          <w:rFonts w:eastAsia="Calibri" w:cstheme="minorHAnsi"/>
          <w:sz w:val="22"/>
          <w:szCs w:val="22"/>
          <w:lang w:val="en-AU"/>
        </w:rPr>
        <w:t>of the Convention</w:t>
      </w:r>
      <w:r w:rsidR="00093973">
        <w:rPr>
          <w:rFonts w:eastAsia="Calibri" w:cstheme="minorHAnsi"/>
          <w:sz w:val="22"/>
          <w:szCs w:val="22"/>
          <w:lang w:val="en-AU"/>
        </w:rPr>
        <w:t xml:space="preserve"> </w:t>
      </w:r>
      <w:r w:rsidRPr="000C33DF">
        <w:rPr>
          <w:rFonts w:eastAsia="Calibri" w:cstheme="minorHAnsi"/>
          <w:sz w:val="22"/>
          <w:szCs w:val="22"/>
          <w:lang w:val="en-AU"/>
        </w:rPr>
        <w:t>have sought the guidance and expertise of the CEPA Oversight Panel</w:t>
      </w:r>
      <w:r w:rsidR="00093973">
        <w:rPr>
          <w:rFonts w:eastAsia="Calibri" w:cstheme="minorHAnsi"/>
          <w:sz w:val="22"/>
          <w:szCs w:val="22"/>
          <w:lang w:val="en-AU"/>
        </w:rPr>
        <w:t>,</w:t>
      </w:r>
      <w:r w:rsidR="00093973" w:rsidRPr="000C33DF">
        <w:rPr>
          <w:rFonts w:eastAsia="Calibri" w:cstheme="minorHAnsi"/>
          <w:sz w:val="22"/>
          <w:szCs w:val="22"/>
          <w:lang w:val="en-AU"/>
        </w:rPr>
        <w:t xml:space="preserve"> including the Standing Committee</w:t>
      </w:r>
      <w:r w:rsidRPr="000C33DF">
        <w:rPr>
          <w:rFonts w:eastAsia="Calibri" w:cstheme="minorHAnsi"/>
          <w:sz w:val="22"/>
          <w:szCs w:val="22"/>
          <w:lang w:val="en-AU"/>
        </w:rPr>
        <w:t xml:space="preserve"> </w:t>
      </w:r>
      <w:r w:rsidR="00093973">
        <w:rPr>
          <w:rFonts w:eastAsia="Calibri" w:cstheme="minorHAnsi"/>
          <w:sz w:val="22"/>
          <w:szCs w:val="22"/>
          <w:lang w:val="en-AU"/>
        </w:rPr>
        <w:t>which has drawn</w:t>
      </w:r>
      <w:r w:rsidRPr="000C33DF">
        <w:rPr>
          <w:rFonts w:eastAsia="Calibri" w:cstheme="minorHAnsi"/>
          <w:sz w:val="22"/>
          <w:szCs w:val="22"/>
          <w:lang w:val="en-AU"/>
        </w:rPr>
        <w:t xml:space="preserve"> on the expertise of the Panel on the benefits, risks and costs of updating the Convention logo</w:t>
      </w:r>
      <w:r w:rsidR="00093973">
        <w:rPr>
          <w:rFonts w:eastAsia="Calibri" w:cstheme="minorHAnsi"/>
          <w:sz w:val="22"/>
          <w:szCs w:val="22"/>
          <w:lang w:val="en-AU"/>
        </w:rPr>
        <w:t>,</w:t>
      </w:r>
      <w:r w:rsidRPr="000C33DF">
        <w:rPr>
          <w:rFonts w:eastAsia="Calibri" w:cstheme="minorHAnsi"/>
          <w:sz w:val="22"/>
          <w:szCs w:val="22"/>
          <w:lang w:val="en-AU"/>
        </w:rPr>
        <w:t xml:space="preserve"> and the S</w:t>
      </w:r>
      <w:r w:rsidR="00093973">
        <w:rPr>
          <w:rFonts w:eastAsia="Calibri" w:cstheme="minorHAnsi"/>
          <w:sz w:val="22"/>
          <w:szCs w:val="22"/>
          <w:lang w:val="en-AU"/>
        </w:rPr>
        <w:t>cientific and Technical Review Panel (S</w:t>
      </w:r>
      <w:r w:rsidRPr="000C33DF">
        <w:rPr>
          <w:rFonts w:eastAsia="Calibri" w:cstheme="minorHAnsi"/>
          <w:sz w:val="22"/>
          <w:szCs w:val="22"/>
          <w:lang w:val="en-AU"/>
        </w:rPr>
        <w:t>TRP</w:t>
      </w:r>
      <w:r w:rsidR="00093973">
        <w:rPr>
          <w:rFonts w:eastAsia="Calibri" w:cstheme="minorHAnsi"/>
          <w:sz w:val="22"/>
          <w:szCs w:val="22"/>
          <w:lang w:val="en-AU"/>
        </w:rPr>
        <w:t>)</w:t>
      </w:r>
      <w:r w:rsidRPr="000C33DF">
        <w:rPr>
          <w:rFonts w:eastAsia="Calibri" w:cstheme="minorHAnsi"/>
          <w:sz w:val="22"/>
          <w:szCs w:val="22"/>
          <w:lang w:val="en-AU"/>
        </w:rPr>
        <w:t xml:space="preserve"> </w:t>
      </w:r>
      <w:r w:rsidR="00051285">
        <w:rPr>
          <w:rFonts w:eastAsia="Calibri" w:cstheme="minorHAnsi"/>
          <w:sz w:val="22"/>
          <w:szCs w:val="22"/>
          <w:lang w:val="en-AU"/>
        </w:rPr>
        <w:t>which has sought</w:t>
      </w:r>
      <w:r w:rsidR="00051285" w:rsidRPr="000C33DF">
        <w:rPr>
          <w:rFonts w:eastAsia="Calibri" w:cstheme="minorHAnsi"/>
          <w:sz w:val="22"/>
          <w:szCs w:val="22"/>
          <w:lang w:val="en-AU"/>
        </w:rPr>
        <w:t xml:space="preserve"> </w:t>
      </w:r>
      <w:r w:rsidRPr="000C33DF">
        <w:rPr>
          <w:rFonts w:eastAsia="Calibri" w:cstheme="minorHAnsi"/>
          <w:sz w:val="22"/>
          <w:szCs w:val="22"/>
          <w:lang w:val="en-AU"/>
        </w:rPr>
        <w:t xml:space="preserve">guidance on the preparation and dissemination of STRP products. </w:t>
      </w:r>
      <w:r w:rsidR="00592652" w:rsidRPr="000C33DF">
        <w:rPr>
          <w:rFonts w:eastAsia="Calibri" w:cstheme="minorHAnsi"/>
          <w:sz w:val="22"/>
          <w:szCs w:val="22"/>
          <w:lang w:val="en-AU"/>
        </w:rPr>
        <w:t>Additionally</w:t>
      </w:r>
      <w:r w:rsidRPr="000C33DF">
        <w:rPr>
          <w:rFonts w:eastAsia="Calibri" w:cstheme="minorHAnsi"/>
          <w:sz w:val="22"/>
          <w:szCs w:val="22"/>
          <w:lang w:val="en-AU"/>
        </w:rPr>
        <w:t xml:space="preserve">, the CEPA Oversight Panel has been asked to provide expertise in reviewing </w:t>
      </w:r>
      <w:r w:rsidR="00A73304" w:rsidRPr="000C33DF">
        <w:rPr>
          <w:rFonts w:eastAsia="Calibri" w:cstheme="minorHAnsi"/>
          <w:sz w:val="22"/>
          <w:szCs w:val="22"/>
          <w:lang w:val="en-AU"/>
        </w:rPr>
        <w:t>and</w:t>
      </w:r>
      <w:r w:rsidRPr="000C33DF">
        <w:rPr>
          <w:rFonts w:eastAsia="Calibri" w:cstheme="minorHAnsi"/>
          <w:sz w:val="22"/>
          <w:szCs w:val="22"/>
          <w:lang w:val="en-AU"/>
        </w:rPr>
        <w:t xml:space="preserve"> analysing </w:t>
      </w:r>
      <w:r w:rsidRPr="000C33DF">
        <w:rPr>
          <w:rFonts w:cstheme="minorHAnsi"/>
          <w:sz w:val="22"/>
          <w:szCs w:val="22"/>
          <w:lang w:val="en-GB"/>
        </w:rPr>
        <w:t>the progress of developing and implementing wetland education programmes based on National Reports</w:t>
      </w:r>
      <w:r w:rsidR="005A3945" w:rsidRPr="000C33DF">
        <w:rPr>
          <w:rFonts w:cstheme="minorHAnsi"/>
          <w:sz w:val="22"/>
          <w:szCs w:val="22"/>
          <w:lang w:val="en-GB"/>
        </w:rPr>
        <w:t>.</w:t>
      </w:r>
    </w:p>
    <w:p w14:paraId="3CAF06B0" w14:textId="77777777" w:rsidR="001E33CB" w:rsidRPr="000C33DF" w:rsidRDefault="001E33CB" w:rsidP="008C4BA0">
      <w:pPr>
        <w:ind w:left="851" w:hanging="425"/>
        <w:contextualSpacing/>
        <w:rPr>
          <w:rFonts w:cstheme="minorHAnsi"/>
          <w:sz w:val="22"/>
          <w:szCs w:val="22"/>
          <w:lang w:val="en-GB"/>
        </w:rPr>
      </w:pPr>
    </w:p>
    <w:p w14:paraId="20E278AB" w14:textId="1B565787" w:rsidR="001E33CB" w:rsidRPr="000C33DF" w:rsidRDefault="003A36D9" w:rsidP="008C4BA0">
      <w:pPr>
        <w:pStyle w:val="ListParagraph"/>
        <w:numPr>
          <w:ilvl w:val="0"/>
          <w:numId w:val="17"/>
        </w:numPr>
        <w:ind w:left="851" w:hanging="425"/>
        <w:rPr>
          <w:rFonts w:eastAsia="Calibri" w:cstheme="minorHAnsi"/>
          <w:sz w:val="22"/>
          <w:szCs w:val="22"/>
          <w:lang w:val="en-AU"/>
        </w:rPr>
      </w:pPr>
      <w:r w:rsidRPr="000C33DF">
        <w:rPr>
          <w:rFonts w:eastAsia="Calibri" w:cstheme="minorHAnsi"/>
          <w:sz w:val="22"/>
          <w:szCs w:val="22"/>
          <w:lang w:val="en-AU"/>
        </w:rPr>
        <w:t>Recognizing that</w:t>
      </w:r>
      <w:r w:rsidR="00D35080">
        <w:rPr>
          <w:rFonts w:eastAsia="Calibri" w:cstheme="minorHAnsi"/>
          <w:sz w:val="22"/>
          <w:szCs w:val="22"/>
          <w:lang w:val="en-AU"/>
        </w:rPr>
        <w:t>,</w:t>
      </w:r>
      <w:r w:rsidRPr="000C33DF">
        <w:rPr>
          <w:rFonts w:eastAsia="Calibri" w:cstheme="minorHAnsi"/>
          <w:sz w:val="22"/>
          <w:szCs w:val="22"/>
          <w:lang w:val="en-AU"/>
        </w:rPr>
        <w:t xml:space="preserve"> for some</w:t>
      </w:r>
      <w:r w:rsidR="00D35080">
        <w:rPr>
          <w:rFonts w:eastAsia="Calibri" w:cstheme="minorHAnsi"/>
          <w:sz w:val="22"/>
          <w:szCs w:val="22"/>
          <w:lang w:val="en-AU"/>
        </w:rPr>
        <w:t>,</w:t>
      </w:r>
      <w:r w:rsidRPr="000C33DF">
        <w:rPr>
          <w:rFonts w:eastAsia="Calibri" w:cstheme="minorHAnsi"/>
          <w:sz w:val="22"/>
          <w:szCs w:val="22"/>
          <w:lang w:val="en-AU"/>
        </w:rPr>
        <w:t xml:space="preserve"> the name “CEPA” is difficult to understand</w:t>
      </w:r>
      <w:r w:rsidR="00B56627" w:rsidRPr="000C33DF">
        <w:rPr>
          <w:rFonts w:eastAsia="Calibri" w:cstheme="minorHAnsi"/>
          <w:sz w:val="22"/>
          <w:szCs w:val="22"/>
          <w:lang w:val="en-AU"/>
        </w:rPr>
        <w:t xml:space="preserve"> and lacks relevance</w:t>
      </w:r>
      <w:r w:rsidR="00D35080">
        <w:rPr>
          <w:rFonts w:eastAsia="Calibri" w:cstheme="minorHAnsi"/>
          <w:sz w:val="22"/>
          <w:szCs w:val="22"/>
          <w:lang w:val="en-AU"/>
        </w:rPr>
        <w:t>,</w:t>
      </w:r>
      <w:r w:rsidR="00B56627" w:rsidRPr="000C33DF">
        <w:rPr>
          <w:rFonts w:eastAsia="Calibri" w:cstheme="minorHAnsi"/>
          <w:sz w:val="22"/>
          <w:szCs w:val="22"/>
          <w:lang w:val="en-AU"/>
        </w:rPr>
        <w:t xml:space="preserve"> and that referring to the programme differently </w:t>
      </w:r>
      <w:r w:rsidR="002A373E" w:rsidRPr="000C33DF">
        <w:rPr>
          <w:rFonts w:eastAsia="Calibri" w:cstheme="minorHAnsi"/>
          <w:sz w:val="22"/>
          <w:szCs w:val="22"/>
          <w:lang w:val="en-AU"/>
        </w:rPr>
        <w:t>could have benefits, the CEPA Oversight Panel has proposed</w:t>
      </w:r>
      <w:r w:rsidR="002A1523" w:rsidRPr="000C33DF">
        <w:rPr>
          <w:rFonts w:eastAsia="Calibri" w:cstheme="minorHAnsi"/>
          <w:sz w:val="22"/>
          <w:szCs w:val="22"/>
          <w:lang w:val="en-AU"/>
        </w:rPr>
        <w:t xml:space="preserve"> referring to CEPA as the “People and Wetlands” programme</w:t>
      </w:r>
      <w:r w:rsidR="00E7631F" w:rsidRPr="000C33DF">
        <w:rPr>
          <w:rFonts w:eastAsia="Calibri" w:cstheme="minorHAnsi"/>
          <w:sz w:val="22"/>
          <w:szCs w:val="22"/>
          <w:lang w:val="en-AU"/>
        </w:rPr>
        <w:t xml:space="preserve">. This new language was endorsed by </w:t>
      </w:r>
      <w:r w:rsidR="00D35080">
        <w:rPr>
          <w:rFonts w:eastAsia="Calibri" w:cstheme="minorHAnsi"/>
          <w:sz w:val="22"/>
          <w:szCs w:val="22"/>
          <w:lang w:val="en-AU"/>
        </w:rPr>
        <w:t>the Standing Committee at its 64th meeting (</w:t>
      </w:r>
      <w:r w:rsidR="00E7631F" w:rsidRPr="000C33DF">
        <w:rPr>
          <w:rFonts w:eastAsia="Calibri" w:cstheme="minorHAnsi"/>
          <w:sz w:val="22"/>
          <w:szCs w:val="22"/>
          <w:lang w:val="en-AU"/>
        </w:rPr>
        <w:t>SC64</w:t>
      </w:r>
      <w:r w:rsidR="00D35080">
        <w:rPr>
          <w:rFonts w:eastAsia="Calibri" w:cstheme="minorHAnsi"/>
          <w:sz w:val="22"/>
          <w:szCs w:val="22"/>
          <w:lang w:val="en-AU"/>
        </w:rPr>
        <w:t>)</w:t>
      </w:r>
      <w:r w:rsidR="00E7631F" w:rsidRPr="000C33DF">
        <w:rPr>
          <w:rFonts w:eastAsia="Calibri" w:cstheme="minorHAnsi"/>
          <w:sz w:val="22"/>
          <w:szCs w:val="22"/>
          <w:lang w:val="en-AU"/>
        </w:rPr>
        <w:t xml:space="preserve"> and has been included in the draft resolution on CEPA </w:t>
      </w:r>
      <w:r w:rsidR="00051285">
        <w:rPr>
          <w:rFonts w:eastAsia="Calibri" w:cstheme="minorHAnsi"/>
          <w:sz w:val="22"/>
          <w:szCs w:val="22"/>
          <w:lang w:val="en-AU"/>
        </w:rPr>
        <w:t xml:space="preserve">for consideration </w:t>
      </w:r>
      <w:r w:rsidR="00D35080">
        <w:rPr>
          <w:rFonts w:eastAsia="Calibri" w:cstheme="minorHAnsi"/>
          <w:sz w:val="22"/>
          <w:szCs w:val="22"/>
          <w:lang w:val="en-AU"/>
        </w:rPr>
        <w:t>at</w:t>
      </w:r>
      <w:r w:rsidR="00D35080" w:rsidRPr="000C33DF">
        <w:rPr>
          <w:rFonts w:eastAsia="Calibri" w:cstheme="minorHAnsi"/>
          <w:sz w:val="22"/>
          <w:szCs w:val="22"/>
          <w:lang w:val="en-AU"/>
        </w:rPr>
        <w:t xml:space="preserve"> </w:t>
      </w:r>
      <w:r w:rsidR="00E7631F" w:rsidRPr="000C33DF">
        <w:rPr>
          <w:rFonts w:eastAsia="Calibri" w:cstheme="minorHAnsi"/>
          <w:sz w:val="22"/>
          <w:szCs w:val="22"/>
          <w:lang w:val="en-AU"/>
        </w:rPr>
        <w:t xml:space="preserve">COP15. </w:t>
      </w:r>
    </w:p>
    <w:p w14:paraId="4BB8DECD" w14:textId="77777777" w:rsidR="00895681" w:rsidRPr="000C33DF" w:rsidRDefault="00895681" w:rsidP="008C4BA0">
      <w:pPr>
        <w:ind w:left="851" w:hanging="425"/>
        <w:contextualSpacing/>
        <w:rPr>
          <w:rFonts w:eastAsia="Calibri" w:cstheme="minorHAnsi"/>
          <w:sz w:val="22"/>
          <w:szCs w:val="22"/>
          <w:lang w:val="en-AU"/>
        </w:rPr>
      </w:pPr>
    </w:p>
    <w:p w14:paraId="015950EC" w14:textId="42A8040D" w:rsidR="00BA4ED6" w:rsidRPr="000C33DF" w:rsidRDefault="00BA4ED6" w:rsidP="008C4BA0">
      <w:pPr>
        <w:numPr>
          <w:ilvl w:val="0"/>
          <w:numId w:val="8"/>
        </w:numPr>
        <w:ind w:left="851" w:hanging="425"/>
        <w:contextualSpacing/>
        <w:rPr>
          <w:rFonts w:eastAsia="Calibri" w:cstheme="minorHAnsi"/>
          <w:sz w:val="22"/>
          <w:szCs w:val="22"/>
          <w:lang w:val="en-AU"/>
        </w:rPr>
      </w:pPr>
      <w:r w:rsidRPr="000C33DF">
        <w:rPr>
          <w:rFonts w:eastAsia="Calibri" w:cstheme="minorHAnsi"/>
          <w:sz w:val="22"/>
          <w:szCs w:val="22"/>
          <w:lang w:val="en-AU"/>
        </w:rPr>
        <w:t xml:space="preserve">The </w:t>
      </w:r>
      <w:r w:rsidR="00D35080">
        <w:rPr>
          <w:rFonts w:eastAsia="Calibri" w:cstheme="minorHAnsi"/>
          <w:sz w:val="22"/>
          <w:szCs w:val="22"/>
          <w:lang w:val="en-AU"/>
        </w:rPr>
        <w:t>draft r</w:t>
      </w:r>
      <w:r w:rsidRPr="000C33DF">
        <w:rPr>
          <w:rFonts w:eastAsia="Calibri" w:cstheme="minorHAnsi"/>
          <w:sz w:val="22"/>
          <w:szCs w:val="22"/>
          <w:lang w:val="en-AU"/>
        </w:rPr>
        <w:t xml:space="preserve">esolution </w:t>
      </w:r>
      <w:r w:rsidR="00D35080">
        <w:rPr>
          <w:rFonts w:eastAsia="Calibri" w:cstheme="minorHAnsi"/>
          <w:sz w:val="22"/>
          <w:szCs w:val="22"/>
          <w:lang w:val="en-AU"/>
        </w:rPr>
        <w:t xml:space="preserve">on CEPA </w:t>
      </w:r>
      <w:r w:rsidRPr="000C33DF">
        <w:rPr>
          <w:rFonts w:eastAsia="Calibri" w:cstheme="minorHAnsi"/>
          <w:sz w:val="22"/>
          <w:szCs w:val="22"/>
          <w:lang w:val="en-AU"/>
        </w:rPr>
        <w:t xml:space="preserve">encourages Contracting Parties to develop and implement CEPA action plans. </w:t>
      </w:r>
      <w:r w:rsidR="00D35080">
        <w:rPr>
          <w:rFonts w:eastAsia="Calibri" w:cstheme="minorHAnsi"/>
          <w:sz w:val="22"/>
          <w:szCs w:val="22"/>
          <w:lang w:val="en-AU"/>
        </w:rPr>
        <w:t>As noted above, N</w:t>
      </w:r>
      <w:r w:rsidR="00D35080" w:rsidRPr="000C33DF">
        <w:rPr>
          <w:rFonts w:eastAsia="Calibri" w:cstheme="minorHAnsi"/>
          <w:sz w:val="22"/>
          <w:szCs w:val="22"/>
          <w:lang w:val="en-AU"/>
        </w:rPr>
        <w:t xml:space="preserve">ational </w:t>
      </w:r>
      <w:r w:rsidR="00D35080">
        <w:rPr>
          <w:rFonts w:eastAsia="Calibri" w:cstheme="minorHAnsi"/>
          <w:sz w:val="22"/>
          <w:szCs w:val="22"/>
          <w:lang w:val="en-AU"/>
        </w:rPr>
        <w:t>R</w:t>
      </w:r>
      <w:r w:rsidRPr="000C33DF">
        <w:rPr>
          <w:rFonts w:eastAsia="Calibri" w:cstheme="minorHAnsi"/>
          <w:sz w:val="22"/>
          <w:szCs w:val="22"/>
          <w:lang w:val="en-AU"/>
        </w:rPr>
        <w:t xml:space="preserve">eports </w:t>
      </w:r>
      <w:r w:rsidR="00D35080">
        <w:rPr>
          <w:rFonts w:eastAsia="Calibri" w:cstheme="minorHAnsi"/>
          <w:sz w:val="22"/>
          <w:szCs w:val="22"/>
          <w:lang w:val="en-AU"/>
        </w:rPr>
        <w:t xml:space="preserve">to COP15 </w:t>
      </w:r>
      <w:r w:rsidRPr="000C33DF">
        <w:rPr>
          <w:rFonts w:eastAsia="Calibri" w:cstheme="minorHAnsi"/>
          <w:sz w:val="22"/>
          <w:szCs w:val="22"/>
          <w:lang w:val="en-AU"/>
        </w:rPr>
        <w:t>indicate that only 32% of Contracting Parties have CEPA action plans</w:t>
      </w:r>
      <w:r w:rsidR="00D35080">
        <w:rPr>
          <w:rFonts w:eastAsia="Calibri" w:cstheme="minorHAnsi"/>
          <w:sz w:val="22"/>
          <w:szCs w:val="22"/>
          <w:lang w:val="en-AU"/>
        </w:rPr>
        <w:t>, and</w:t>
      </w:r>
      <w:r w:rsidR="00D35080" w:rsidRPr="000C33DF">
        <w:rPr>
          <w:rFonts w:eastAsia="Calibri" w:cstheme="minorHAnsi"/>
          <w:sz w:val="22"/>
          <w:szCs w:val="22"/>
          <w:lang w:val="en-AU"/>
        </w:rPr>
        <w:t xml:space="preserve"> </w:t>
      </w:r>
      <w:r w:rsidRPr="000C33DF">
        <w:rPr>
          <w:rFonts w:eastAsia="Calibri" w:cstheme="minorHAnsi"/>
          <w:sz w:val="22"/>
          <w:szCs w:val="22"/>
          <w:lang w:val="en-AU"/>
        </w:rPr>
        <w:t xml:space="preserve">CEPA implementation would benefit from more Parties having </w:t>
      </w:r>
      <w:r w:rsidR="00051285">
        <w:rPr>
          <w:rFonts w:eastAsia="Calibri" w:cstheme="minorHAnsi"/>
          <w:sz w:val="22"/>
          <w:szCs w:val="22"/>
          <w:lang w:val="en-AU"/>
        </w:rPr>
        <w:t>them</w:t>
      </w:r>
      <w:r w:rsidRPr="000C33DF">
        <w:rPr>
          <w:rFonts w:eastAsia="Calibri" w:cstheme="minorHAnsi"/>
          <w:sz w:val="22"/>
          <w:szCs w:val="22"/>
          <w:lang w:val="en-AU"/>
        </w:rPr>
        <w:t xml:space="preserve">. </w:t>
      </w:r>
    </w:p>
    <w:p w14:paraId="4F23D090" w14:textId="77777777" w:rsidR="00BA4ED6" w:rsidRPr="000C33DF" w:rsidRDefault="00BA4ED6" w:rsidP="008C4BA0">
      <w:pPr>
        <w:rPr>
          <w:rFonts w:eastAsia="Calibri" w:cstheme="minorHAnsi"/>
          <w:sz w:val="22"/>
          <w:szCs w:val="22"/>
          <w:lang w:val="en-AU"/>
        </w:rPr>
      </w:pPr>
    </w:p>
    <w:p w14:paraId="57F87FEE" w14:textId="3BCD9BC7" w:rsidR="00BA4ED6" w:rsidRPr="000C33DF" w:rsidRDefault="00BA4ED6" w:rsidP="008C4BA0">
      <w:pPr>
        <w:ind w:left="426"/>
        <w:rPr>
          <w:rFonts w:eastAsia="Calibri" w:cstheme="minorHAnsi"/>
          <w:i/>
          <w:sz w:val="22"/>
          <w:szCs w:val="22"/>
          <w:lang w:val="en-AU"/>
        </w:rPr>
      </w:pPr>
      <w:r w:rsidRPr="000C33DF">
        <w:rPr>
          <w:rFonts w:eastAsia="Calibri" w:cstheme="minorHAnsi"/>
          <w:i/>
          <w:sz w:val="22"/>
          <w:szCs w:val="22"/>
          <w:lang w:val="en-AU"/>
        </w:rPr>
        <w:t xml:space="preserve">Goal 3 – Support to implementors of wise use principles </w:t>
      </w:r>
    </w:p>
    <w:p w14:paraId="7350C50B" w14:textId="77777777" w:rsidR="00BA4ED6" w:rsidRPr="000C33DF" w:rsidRDefault="00BA4ED6" w:rsidP="008C4BA0">
      <w:pPr>
        <w:pStyle w:val="ListParagraph"/>
        <w:ind w:left="1146"/>
        <w:rPr>
          <w:rFonts w:eastAsia="Calibri" w:cstheme="minorHAnsi"/>
          <w:i/>
          <w:sz w:val="22"/>
          <w:szCs w:val="22"/>
          <w:lang w:val="en-AU"/>
        </w:rPr>
      </w:pPr>
    </w:p>
    <w:p w14:paraId="7CA4334C" w14:textId="135BF682" w:rsidR="00BA4ED6" w:rsidRPr="000C33DF" w:rsidRDefault="00BA4ED6" w:rsidP="008C4BA0">
      <w:pPr>
        <w:pStyle w:val="ListParagraph"/>
        <w:numPr>
          <w:ilvl w:val="0"/>
          <w:numId w:val="16"/>
        </w:numPr>
        <w:ind w:left="851" w:hanging="425"/>
        <w:rPr>
          <w:rFonts w:eastAsia="Calibri" w:cstheme="minorHAnsi"/>
          <w:iCs/>
          <w:sz w:val="22"/>
          <w:szCs w:val="22"/>
          <w:lang w:val="en-AU"/>
        </w:rPr>
      </w:pPr>
      <w:r w:rsidRPr="000C33DF">
        <w:rPr>
          <w:rFonts w:eastAsia="Calibri" w:cstheme="minorHAnsi"/>
          <w:iCs/>
          <w:sz w:val="22"/>
          <w:szCs w:val="22"/>
          <w:lang w:val="en-AU"/>
        </w:rPr>
        <w:t>A number of CEPA resources have been developed and updated</w:t>
      </w:r>
      <w:r w:rsidR="00952196" w:rsidRPr="000C33DF">
        <w:rPr>
          <w:rFonts w:eastAsia="Calibri" w:cstheme="minorHAnsi"/>
          <w:iCs/>
          <w:sz w:val="22"/>
          <w:szCs w:val="22"/>
          <w:lang w:val="en-AU"/>
        </w:rPr>
        <w:t xml:space="preserve"> to support implementation</w:t>
      </w:r>
      <w:r w:rsidRPr="000C33DF">
        <w:rPr>
          <w:rFonts w:eastAsia="Calibri" w:cstheme="minorHAnsi"/>
          <w:iCs/>
          <w:sz w:val="22"/>
          <w:szCs w:val="22"/>
          <w:lang w:val="en-AU"/>
        </w:rPr>
        <w:t xml:space="preserve">. Notably, the CEPA handbook has been revised and published on the </w:t>
      </w:r>
      <w:r w:rsidR="00F14350">
        <w:rPr>
          <w:rFonts w:eastAsia="Calibri" w:cstheme="minorHAnsi"/>
          <w:iCs/>
          <w:sz w:val="22"/>
          <w:szCs w:val="22"/>
          <w:lang w:val="en-AU"/>
        </w:rPr>
        <w:t xml:space="preserve">Convention </w:t>
      </w:r>
      <w:r w:rsidRPr="000C33DF">
        <w:rPr>
          <w:rFonts w:eastAsia="Calibri" w:cstheme="minorHAnsi"/>
          <w:iCs/>
          <w:sz w:val="22"/>
          <w:szCs w:val="22"/>
          <w:lang w:val="en-AU"/>
        </w:rPr>
        <w:t>website by the Secretariat</w:t>
      </w:r>
      <w:r w:rsidR="001E5633">
        <w:rPr>
          <w:rStyle w:val="FootnoteReference"/>
          <w:rFonts w:eastAsia="Calibri" w:cstheme="minorHAnsi"/>
          <w:iCs/>
          <w:sz w:val="22"/>
          <w:szCs w:val="22"/>
          <w:lang w:val="en-AU"/>
        </w:rPr>
        <w:footnoteReference w:id="3"/>
      </w:r>
      <w:r w:rsidRPr="000C33DF">
        <w:rPr>
          <w:rFonts w:eastAsia="Calibri" w:cstheme="minorHAnsi"/>
          <w:iCs/>
          <w:sz w:val="22"/>
          <w:szCs w:val="22"/>
          <w:lang w:val="en-AU"/>
        </w:rPr>
        <w:t xml:space="preserve">. The revised handbook provides actionable guidance for CEPA Focal Points and practitioners. A “welcome brochure” for new CEPA government and NGO Focal Points has been developed and is available on the website in the three languages both online and in print format. When the Secretariat is notified by a Contracting Party of a </w:t>
      </w:r>
      <w:r w:rsidR="001E5633">
        <w:rPr>
          <w:rFonts w:eastAsia="Calibri" w:cstheme="minorHAnsi"/>
          <w:iCs/>
          <w:sz w:val="22"/>
          <w:szCs w:val="22"/>
          <w:lang w:val="en-AU"/>
        </w:rPr>
        <w:t>new</w:t>
      </w:r>
      <w:r w:rsidRPr="000C33DF">
        <w:rPr>
          <w:rFonts w:eastAsia="Calibri" w:cstheme="minorHAnsi"/>
          <w:iCs/>
          <w:sz w:val="22"/>
          <w:szCs w:val="22"/>
          <w:lang w:val="en-AU"/>
        </w:rPr>
        <w:t xml:space="preserve"> CEPA Focal Point, the new Focal Point</w:t>
      </w:r>
      <w:r w:rsidR="00F4726F" w:rsidRPr="000C33DF">
        <w:rPr>
          <w:rFonts w:eastAsia="Calibri" w:cstheme="minorHAnsi"/>
          <w:iCs/>
          <w:sz w:val="22"/>
          <w:szCs w:val="22"/>
          <w:lang w:val="en-AU"/>
        </w:rPr>
        <w:t xml:space="preserve"> </w:t>
      </w:r>
      <w:r w:rsidRPr="000C33DF">
        <w:rPr>
          <w:rFonts w:eastAsia="Calibri" w:cstheme="minorHAnsi"/>
          <w:iCs/>
          <w:sz w:val="22"/>
          <w:szCs w:val="22"/>
          <w:lang w:val="en-AU"/>
        </w:rPr>
        <w:t>receive</w:t>
      </w:r>
      <w:r w:rsidR="00F4726F" w:rsidRPr="000C33DF">
        <w:rPr>
          <w:rFonts w:eastAsia="Calibri" w:cstheme="minorHAnsi"/>
          <w:iCs/>
          <w:sz w:val="22"/>
          <w:szCs w:val="22"/>
          <w:lang w:val="en-AU"/>
        </w:rPr>
        <w:t>s</w:t>
      </w:r>
      <w:r w:rsidRPr="000C33DF">
        <w:rPr>
          <w:rFonts w:eastAsia="Calibri" w:cstheme="minorHAnsi"/>
          <w:iCs/>
          <w:sz w:val="22"/>
          <w:szCs w:val="22"/>
          <w:lang w:val="en-AU"/>
        </w:rPr>
        <w:t xml:space="preserve"> this brochure along with information about other CEPA resources. A suite of digital assets that provide an overview of the CEPA Programme and explain the different CEPA elements (communication, capacity building, education, participation and awareness) have also been developed. A poster, infographics and social media cards are accessible on the Convention website and can be downloaded and customized by Contracting Parties and other CEPA practitioners.</w:t>
      </w:r>
      <w:r w:rsidRPr="000C33DF">
        <w:rPr>
          <w:rFonts w:eastAsia="Calibri" w:cstheme="minorHAnsi"/>
          <w:iCs/>
          <w:sz w:val="22"/>
          <w:szCs w:val="22"/>
          <w:lang w:val="en-AU"/>
        </w:rPr>
        <w:br/>
      </w:r>
    </w:p>
    <w:p w14:paraId="365426D1" w14:textId="4A0C9B76" w:rsidR="00BA4ED6" w:rsidRPr="000C33DF" w:rsidRDefault="00BA4ED6" w:rsidP="008C4BA0">
      <w:pPr>
        <w:pStyle w:val="ListParagraph"/>
        <w:numPr>
          <w:ilvl w:val="0"/>
          <w:numId w:val="16"/>
        </w:numPr>
        <w:ind w:left="851" w:hanging="425"/>
        <w:rPr>
          <w:rFonts w:eastAsia="Calibri" w:cstheme="minorHAnsi"/>
          <w:iCs/>
          <w:sz w:val="22"/>
          <w:szCs w:val="22"/>
          <w:lang w:val="en-AU"/>
        </w:rPr>
      </w:pPr>
      <w:r w:rsidRPr="000C33DF">
        <w:rPr>
          <w:rFonts w:eastAsia="Calibri" w:cstheme="minorHAnsi"/>
          <w:iCs/>
          <w:sz w:val="22"/>
          <w:szCs w:val="22"/>
          <w:lang w:val="en-AU"/>
        </w:rPr>
        <w:t xml:space="preserve">The Secretariat continues to share CEPA stories on wetland conservation as well as World Wetlands Day activities by publishing them on the Convention website, showcasing impactful efforts from Contracting Parties. Many of these stories serve as key examples in </w:t>
      </w:r>
      <w:r w:rsidR="001E5633">
        <w:rPr>
          <w:rFonts w:eastAsia="Calibri" w:cstheme="minorHAnsi"/>
          <w:iCs/>
          <w:sz w:val="22"/>
          <w:szCs w:val="22"/>
          <w:lang w:val="en-AU"/>
        </w:rPr>
        <w:t>“</w:t>
      </w:r>
      <w:r w:rsidRPr="000C33DF">
        <w:rPr>
          <w:rFonts w:eastAsia="Calibri" w:cstheme="minorHAnsi"/>
          <w:iCs/>
          <w:sz w:val="22"/>
          <w:szCs w:val="22"/>
          <w:lang w:val="en-AU"/>
        </w:rPr>
        <w:t>op-ed</w:t>
      </w:r>
      <w:r w:rsidR="001E5633">
        <w:rPr>
          <w:rFonts w:eastAsia="Calibri" w:cstheme="minorHAnsi"/>
          <w:iCs/>
          <w:sz w:val="22"/>
          <w:szCs w:val="22"/>
          <w:lang w:val="en-AU"/>
        </w:rPr>
        <w:t xml:space="preserve">” articles written </w:t>
      </w:r>
      <w:r w:rsidRPr="000C33DF">
        <w:rPr>
          <w:rFonts w:eastAsia="Calibri" w:cstheme="minorHAnsi"/>
          <w:iCs/>
          <w:sz w:val="22"/>
          <w:szCs w:val="22"/>
          <w:lang w:val="en-AU"/>
        </w:rPr>
        <w:t>by the Secretary General.</w:t>
      </w:r>
      <w:r w:rsidRPr="000C33DF">
        <w:rPr>
          <w:rFonts w:eastAsia="Calibri" w:cstheme="minorHAnsi"/>
          <w:iCs/>
          <w:sz w:val="22"/>
          <w:szCs w:val="22"/>
          <w:lang w:val="en-AU"/>
        </w:rPr>
        <w:br/>
      </w:r>
    </w:p>
    <w:p w14:paraId="5561DF3D" w14:textId="52B7D5C9" w:rsidR="00BA4ED6" w:rsidRPr="000C33DF" w:rsidRDefault="00BA4ED6" w:rsidP="008C4BA0">
      <w:pPr>
        <w:keepNext/>
        <w:ind w:firstLine="425"/>
        <w:rPr>
          <w:rFonts w:eastAsia="Calibri" w:cstheme="minorHAnsi"/>
          <w:i/>
          <w:iCs/>
          <w:sz w:val="22"/>
          <w:szCs w:val="22"/>
          <w:lang w:val="en-AU"/>
        </w:rPr>
      </w:pPr>
      <w:r w:rsidRPr="000C33DF">
        <w:rPr>
          <w:rFonts w:eastAsia="Calibri" w:cstheme="minorHAnsi"/>
          <w:i/>
          <w:iCs/>
          <w:sz w:val="22"/>
          <w:szCs w:val="22"/>
          <w:lang w:val="en-AU"/>
        </w:rPr>
        <w:lastRenderedPageBreak/>
        <w:t>Goal 4 – Capacity</w:t>
      </w:r>
      <w:r w:rsidR="001E5633">
        <w:rPr>
          <w:rFonts w:eastAsia="Calibri" w:cstheme="minorHAnsi"/>
          <w:i/>
          <w:iCs/>
          <w:sz w:val="22"/>
          <w:szCs w:val="22"/>
          <w:lang w:val="en-AU"/>
        </w:rPr>
        <w:t xml:space="preserve"> </w:t>
      </w:r>
      <w:r w:rsidRPr="000C33DF">
        <w:rPr>
          <w:rFonts w:eastAsia="Calibri" w:cstheme="minorHAnsi"/>
          <w:i/>
          <w:iCs/>
          <w:sz w:val="22"/>
          <w:szCs w:val="22"/>
          <w:lang w:val="en-AU"/>
        </w:rPr>
        <w:t>building</w:t>
      </w:r>
    </w:p>
    <w:p w14:paraId="26BE13A8" w14:textId="77777777" w:rsidR="00BA4ED6" w:rsidRPr="000C33DF" w:rsidRDefault="00BA4ED6" w:rsidP="008C4BA0">
      <w:pPr>
        <w:keepNext/>
        <w:rPr>
          <w:rFonts w:eastAsia="Calibri" w:cstheme="minorHAnsi"/>
          <w:sz w:val="22"/>
          <w:szCs w:val="22"/>
          <w:lang w:val="en-AU"/>
        </w:rPr>
      </w:pPr>
    </w:p>
    <w:p w14:paraId="6504EE78" w14:textId="60B4ED95" w:rsidR="00BA4ED6" w:rsidRPr="000C33DF" w:rsidRDefault="3D6C2E5A" w:rsidP="008C4BA0">
      <w:pPr>
        <w:numPr>
          <w:ilvl w:val="0"/>
          <w:numId w:val="9"/>
        </w:numPr>
        <w:ind w:left="851" w:hanging="426"/>
        <w:contextualSpacing/>
        <w:rPr>
          <w:rFonts w:eastAsia="Calibri" w:cstheme="minorHAnsi"/>
          <w:sz w:val="22"/>
          <w:szCs w:val="22"/>
          <w:lang w:val="en-AU"/>
        </w:rPr>
      </w:pPr>
      <w:r w:rsidRPr="000C33DF">
        <w:rPr>
          <w:rFonts w:eastAsia="Calibri" w:cstheme="minorHAnsi"/>
          <w:sz w:val="22"/>
          <w:szCs w:val="22"/>
          <w:lang w:val="en-AU"/>
        </w:rPr>
        <w:t>The Secretariat strengthened its role in providing support to strengthen the capacity of individual Contracting Parties through the provision of a variety of materials, tools, training</w:t>
      </w:r>
      <w:r w:rsidR="00F14350">
        <w:rPr>
          <w:rFonts w:eastAsia="Calibri" w:cstheme="minorHAnsi"/>
          <w:sz w:val="22"/>
          <w:szCs w:val="22"/>
          <w:lang w:val="en-AU"/>
        </w:rPr>
        <w:t xml:space="preserve"> activitie</w:t>
      </w:r>
      <w:r w:rsidRPr="000C33DF">
        <w:rPr>
          <w:rFonts w:eastAsia="Calibri" w:cstheme="minorHAnsi"/>
          <w:sz w:val="22"/>
          <w:szCs w:val="22"/>
          <w:lang w:val="en-AU"/>
        </w:rPr>
        <w:t xml:space="preserve">s and webinars. During the reporting period, the Secretariat organized the following webinars: </w:t>
      </w:r>
    </w:p>
    <w:p w14:paraId="71651DFC" w14:textId="7AA0FB67" w:rsidR="04E3F67F" w:rsidRPr="000C33DF" w:rsidRDefault="04E3F67F" w:rsidP="008C4BA0">
      <w:pPr>
        <w:ind w:left="851" w:hanging="426"/>
        <w:contextualSpacing/>
        <w:rPr>
          <w:rFonts w:eastAsia="Calibri" w:cstheme="minorHAnsi"/>
          <w:sz w:val="22"/>
          <w:szCs w:val="22"/>
          <w:lang w:val="en-AU"/>
        </w:rPr>
      </w:pPr>
    </w:p>
    <w:p w14:paraId="5B4CB6BD" w14:textId="13AACB06"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 xml:space="preserve">Training </w:t>
      </w:r>
      <w:r w:rsidR="00AB5022">
        <w:rPr>
          <w:rFonts w:asciiTheme="minorHAnsi" w:eastAsia="Aptos" w:hAnsiTheme="minorHAnsi" w:cstheme="minorHAnsi"/>
          <w:sz w:val="22"/>
          <w:szCs w:val="22"/>
        </w:rPr>
        <w:t>w</w:t>
      </w:r>
      <w:r w:rsidRPr="001E5633">
        <w:rPr>
          <w:rFonts w:asciiTheme="minorHAnsi" w:eastAsia="Aptos" w:hAnsiTheme="minorHAnsi" w:cstheme="minorHAnsi"/>
          <w:sz w:val="22"/>
          <w:szCs w:val="22"/>
        </w:rPr>
        <w:t>ebinar: Preparation of National Reports to COP15</w:t>
      </w:r>
    </w:p>
    <w:p w14:paraId="37E94A60" w14:textId="53B3398C"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 xml:space="preserve">Webinar for CEPA Focal Points for the </w:t>
      </w:r>
      <w:r w:rsidR="00AB5022">
        <w:rPr>
          <w:rFonts w:asciiTheme="minorHAnsi" w:eastAsia="Aptos" w:hAnsiTheme="minorHAnsi" w:cstheme="minorHAnsi"/>
          <w:sz w:val="22"/>
          <w:szCs w:val="22"/>
        </w:rPr>
        <w:t>c</w:t>
      </w:r>
      <w:r w:rsidRPr="001E5633">
        <w:rPr>
          <w:rFonts w:asciiTheme="minorHAnsi" w:eastAsia="Aptos" w:hAnsiTheme="minorHAnsi" w:cstheme="minorHAnsi"/>
          <w:sz w:val="22"/>
          <w:szCs w:val="22"/>
        </w:rPr>
        <w:t xml:space="preserve">onservation and </w:t>
      </w:r>
      <w:r w:rsidR="00AB5022">
        <w:rPr>
          <w:rFonts w:asciiTheme="minorHAnsi" w:eastAsia="Aptos" w:hAnsiTheme="minorHAnsi" w:cstheme="minorHAnsi"/>
          <w:sz w:val="22"/>
          <w:szCs w:val="22"/>
        </w:rPr>
        <w:t>w</w:t>
      </w:r>
      <w:r w:rsidRPr="001E5633">
        <w:rPr>
          <w:rFonts w:asciiTheme="minorHAnsi" w:eastAsia="Aptos" w:hAnsiTheme="minorHAnsi" w:cstheme="minorHAnsi"/>
          <w:sz w:val="22"/>
          <w:szCs w:val="22"/>
        </w:rPr>
        <w:t xml:space="preserve">ise </w:t>
      </w:r>
      <w:r w:rsidR="00AB5022">
        <w:rPr>
          <w:rFonts w:asciiTheme="minorHAnsi" w:eastAsia="Aptos" w:hAnsiTheme="minorHAnsi" w:cstheme="minorHAnsi"/>
          <w:sz w:val="22"/>
          <w:szCs w:val="22"/>
        </w:rPr>
        <w:t>u</w:t>
      </w:r>
      <w:r w:rsidRPr="001E5633">
        <w:rPr>
          <w:rFonts w:asciiTheme="minorHAnsi" w:eastAsia="Aptos" w:hAnsiTheme="minorHAnsi" w:cstheme="minorHAnsi"/>
          <w:sz w:val="22"/>
          <w:szCs w:val="22"/>
        </w:rPr>
        <w:t xml:space="preserve">se of </w:t>
      </w:r>
      <w:r w:rsidR="00AB5022">
        <w:rPr>
          <w:rFonts w:asciiTheme="minorHAnsi" w:eastAsia="Aptos" w:hAnsiTheme="minorHAnsi" w:cstheme="minorHAnsi"/>
          <w:sz w:val="22"/>
          <w:szCs w:val="22"/>
        </w:rPr>
        <w:t>w</w:t>
      </w:r>
      <w:r w:rsidRPr="001E5633">
        <w:rPr>
          <w:rFonts w:asciiTheme="minorHAnsi" w:eastAsia="Aptos" w:hAnsiTheme="minorHAnsi" w:cstheme="minorHAnsi"/>
          <w:sz w:val="22"/>
          <w:szCs w:val="22"/>
        </w:rPr>
        <w:t>etlands</w:t>
      </w:r>
    </w:p>
    <w:p w14:paraId="7AD544EE" w14:textId="5618DF89"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Earth observations of ecosystems damage in Ukraine</w:t>
      </w:r>
    </w:p>
    <w:p w14:paraId="5DA79725" w14:textId="1DB3A546"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 xml:space="preserve">Webinar: Integrating </w:t>
      </w:r>
      <w:r w:rsidR="00AB5022">
        <w:rPr>
          <w:rFonts w:asciiTheme="minorHAnsi" w:eastAsia="Aptos" w:hAnsiTheme="minorHAnsi" w:cstheme="minorHAnsi"/>
          <w:sz w:val="22"/>
          <w:szCs w:val="22"/>
        </w:rPr>
        <w:t>w</w:t>
      </w:r>
      <w:r w:rsidRPr="001E5633">
        <w:rPr>
          <w:rFonts w:asciiTheme="minorHAnsi" w:eastAsia="Aptos" w:hAnsiTheme="minorHAnsi" w:cstheme="minorHAnsi"/>
          <w:sz w:val="22"/>
          <w:szCs w:val="22"/>
        </w:rPr>
        <w:t>etlands into National Biodiversity Strategies and Action Plans (NBSAPs)</w:t>
      </w:r>
    </w:p>
    <w:p w14:paraId="3977A791" w14:textId="0F191812"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Training Webinar: Preparation of draft resolutions for COP15</w:t>
      </w:r>
    </w:p>
    <w:p w14:paraId="60DA09AB" w14:textId="753A092E" w:rsidR="00AB5022"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AB5022">
        <w:rPr>
          <w:rFonts w:asciiTheme="minorHAnsi" w:eastAsia="Aptos" w:hAnsiTheme="minorHAnsi" w:cstheme="minorHAnsi"/>
          <w:sz w:val="22"/>
          <w:szCs w:val="22"/>
        </w:rPr>
        <w:t xml:space="preserve">Training Webinar: How to protect wildlife from avian flu in UNESCO World Heritage sites, Biosphere Reserves and Ramsar </w:t>
      </w:r>
      <w:r w:rsidR="00AB5022">
        <w:rPr>
          <w:rFonts w:asciiTheme="minorHAnsi" w:eastAsia="Aptos" w:hAnsiTheme="minorHAnsi" w:cstheme="minorHAnsi"/>
          <w:sz w:val="22"/>
          <w:szCs w:val="22"/>
        </w:rPr>
        <w:t>S</w:t>
      </w:r>
      <w:r w:rsidRPr="00AB5022">
        <w:rPr>
          <w:rFonts w:asciiTheme="minorHAnsi" w:eastAsia="Aptos" w:hAnsiTheme="minorHAnsi" w:cstheme="minorHAnsi"/>
          <w:sz w:val="22"/>
          <w:szCs w:val="22"/>
        </w:rPr>
        <w:t>ites</w:t>
      </w:r>
    </w:p>
    <w:p w14:paraId="2C98396F" w14:textId="4E7F0EB7" w:rsidR="0A1CC94D" w:rsidRPr="00AB5022"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AB5022">
        <w:rPr>
          <w:rFonts w:asciiTheme="minorHAnsi" w:eastAsia="Aptos" w:hAnsiTheme="minorHAnsi" w:cstheme="minorHAnsi"/>
          <w:sz w:val="22"/>
          <w:szCs w:val="22"/>
        </w:rPr>
        <w:t xml:space="preserve">COP 15 Youth </w:t>
      </w:r>
      <w:r w:rsidR="00AB5022">
        <w:rPr>
          <w:rFonts w:asciiTheme="minorHAnsi" w:eastAsia="Aptos" w:hAnsiTheme="minorHAnsi" w:cstheme="minorHAnsi"/>
          <w:sz w:val="22"/>
          <w:szCs w:val="22"/>
        </w:rPr>
        <w:t>w</w:t>
      </w:r>
      <w:r w:rsidR="00AB5022" w:rsidRPr="00AB5022">
        <w:rPr>
          <w:rFonts w:asciiTheme="minorHAnsi" w:eastAsia="Aptos" w:hAnsiTheme="minorHAnsi" w:cstheme="minorHAnsi"/>
          <w:sz w:val="22"/>
          <w:szCs w:val="22"/>
        </w:rPr>
        <w:t xml:space="preserve">ebinar </w:t>
      </w:r>
      <w:r w:rsidRPr="00AB5022">
        <w:rPr>
          <w:rFonts w:asciiTheme="minorHAnsi" w:eastAsia="Aptos" w:hAnsiTheme="minorHAnsi" w:cstheme="minorHAnsi"/>
          <w:sz w:val="22"/>
          <w:szCs w:val="22"/>
        </w:rPr>
        <w:t>series: Introduction to the Convention on Wetlands and COP15</w:t>
      </w:r>
    </w:p>
    <w:p w14:paraId="0CE800BB" w14:textId="670A686F" w:rsidR="0A1CC94D"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 xml:space="preserve">COP 15 Youth </w:t>
      </w:r>
      <w:r w:rsidR="00AB5022">
        <w:rPr>
          <w:rFonts w:asciiTheme="minorHAnsi" w:eastAsia="Aptos" w:hAnsiTheme="minorHAnsi" w:cstheme="minorHAnsi"/>
          <w:sz w:val="22"/>
          <w:szCs w:val="22"/>
        </w:rPr>
        <w:t>w</w:t>
      </w:r>
      <w:r w:rsidR="00AB5022" w:rsidRPr="001E5633">
        <w:rPr>
          <w:rFonts w:asciiTheme="minorHAnsi" w:eastAsia="Aptos" w:hAnsiTheme="minorHAnsi" w:cstheme="minorHAnsi"/>
          <w:sz w:val="22"/>
          <w:szCs w:val="22"/>
        </w:rPr>
        <w:t xml:space="preserve">ebinar </w:t>
      </w:r>
      <w:r w:rsidRPr="001E5633">
        <w:rPr>
          <w:rFonts w:asciiTheme="minorHAnsi" w:eastAsia="Aptos" w:hAnsiTheme="minorHAnsi" w:cstheme="minorHAnsi"/>
          <w:sz w:val="22"/>
          <w:szCs w:val="22"/>
        </w:rPr>
        <w:t xml:space="preserve">series: Other </w:t>
      </w:r>
      <w:r w:rsidR="00AB5022">
        <w:rPr>
          <w:rFonts w:asciiTheme="minorHAnsi" w:eastAsia="Aptos" w:hAnsiTheme="minorHAnsi" w:cstheme="minorHAnsi"/>
          <w:sz w:val="22"/>
          <w:szCs w:val="22"/>
        </w:rPr>
        <w:t>e</w:t>
      </w:r>
      <w:r w:rsidR="00AB5022" w:rsidRPr="001E5633">
        <w:rPr>
          <w:rFonts w:asciiTheme="minorHAnsi" w:eastAsia="Aptos" w:hAnsiTheme="minorHAnsi" w:cstheme="minorHAnsi"/>
          <w:sz w:val="22"/>
          <w:szCs w:val="22"/>
        </w:rPr>
        <w:t xml:space="preserve">ffective </w:t>
      </w:r>
      <w:r w:rsidR="00AB5022">
        <w:rPr>
          <w:rFonts w:asciiTheme="minorHAnsi" w:eastAsia="Aptos" w:hAnsiTheme="minorHAnsi" w:cstheme="minorHAnsi"/>
          <w:sz w:val="22"/>
          <w:szCs w:val="22"/>
        </w:rPr>
        <w:t>a</w:t>
      </w:r>
      <w:r w:rsidR="00AB5022" w:rsidRPr="001E5633">
        <w:rPr>
          <w:rFonts w:asciiTheme="minorHAnsi" w:eastAsia="Aptos" w:hAnsiTheme="minorHAnsi" w:cstheme="minorHAnsi"/>
          <w:sz w:val="22"/>
          <w:szCs w:val="22"/>
        </w:rPr>
        <w:t>rea</w:t>
      </w:r>
      <w:r w:rsidRPr="001E5633">
        <w:rPr>
          <w:rFonts w:asciiTheme="minorHAnsi" w:eastAsia="Aptos" w:hAnsiTheme="minorHAnsi" w:cstheme="minorHAnsi"/>
          <w:sz w:val="22"/>
          <w:szCs w:val="22"/>
        </w:rPr>
        <w:t>-</w:t>
      </w:r>
      <w:r w:rsidR="00AB5022">
        <w:rPr>
          <w:rFonts w:asciiTheme="minorHAnsi" w:eastAsia="Aptos" w:hAnsiTheme="minorHAnsi" w:cstheme="minorHAnsi"/>
          <w:sz w:val="22"/>
          <w:szCs w:val="22"/>
        </w:rPr>
        <w:t>b</w:t>
      </w:r>
      <w:r w:rsidR="00AB5022" w:rsidRPr="001E5633">
        <w:rPr>
          <w:rFonts w:asciiTheme="minorHAnsi" w:eastAsia="Aptos" w:hAnsiTheme="minorHAnsi" w:cstheme="minorHAnsi"/>
          <w:sz w:val="22"/>
          <w:szCs w:val="22"/>
        </w:rPr>
        <w:t xml:space="preserve">ased </w:t>
      </w:r>
      <w:r w:rsidR="00AB5022">
        <w:rPr>
          <w:rFonts w:asciiTheme="minorHAnsi" w:eastAsia="Aptos" w:hAnsiTheme="minorHAnsi" w:cstheme="minorHAnsi"/>
          <w:sz w:val="22"/>
          <w:szCs w:val="22"/>
        </w:rPr>
        <w:t>c</w:t>
      </w:r>
      <w:r w:rsidR="00AB5022" w:rsidRPr="001E5633">
        <w:rPr>
          <w:rFonts w:asciiTheme="minorHAnsi" w:eastAsia="Aptos" w:hAnsiTheme="minorHAnsi" w:cstheme="minorHAnsi"/>
          <w:sz w:val="22"/>
          <w:szCs w:val="22"/>
        </w:rPr>
        <w:t xml:space="preserve">onservation </w:t>
      </w:r>
      <w:r w:rsidR="00AB5022">
        <w:rPr>
          <w:rFonts w:asciiTheme="minorHAnsi" w:eastAsia="Aptos" w:hAnsiTheme="minorHAnsi" w:cstheme="minorHAnsi"/>
          <w:sz w:val="22"/>
          <w:szCs w:val="22"/>
        </w:rPr>
        <w:t>m</w:t>
      </w:r>
      <w:r w:rsidR="00AB5022" w:rsidRPr="001E5633">
        <w:rPr>
          <w:rFonts w:asciiTheme="minorHAnsi" w:eastAsia="Aptos" w:hAnsiTheme="minorHAnsi" w:cstheme="minorHAnsi"/>
          <w:sz w:val="22"/>
          <w:szCs w:val="22"/>
        </w:rPr>
        <w:t xml:space="preserve">easures </w:t>
      </w:r>
      <w:r w:rsidRPr="001E5633">
        <w:rPr>
          <w:rFonts w:asciiTheme="minorHAnsi" w:eastAsia="Aptos" w:hAnsiTheme="minorHAnsi" w:cstheme="minorHAnsi"/>
          <w:sz w:val="22"/>
          <w:szCs w:val="22"/>
        </w:rPr>
        <w:t>(OECMs)</w:t>
      </w:r>
    </w:p>
    <w:p w14:paraId="1740A96E" w14:textId="60FAEE88" w:rsidR="04E3F67F" w:rsidRPr="001E5633"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rPr>
      </w:pPr>
      <w:r w:rsidRPr="001E5633">
        <w:rPr>
          <w:rFonts w:asciiTheme="minorHAnsi" w:eastAsia="Aptos" w:hAnsiTheme="minorHAnsi" w:cstheme="minorHAnsi"/>
          <w:sz w:val="22"/>
          <w:szCs w:val="22"/>
        </w:rPr>
        <w:t xml:space="preserve">COP 15 Youth </w:t>
      </w:r>
      <w:r w:rsidR="00AB5022">
        <w:rPr>
          <w:rFonts w:asciiTheme="minorHAnsi" w:eastAsia="Aptos" w:hAnsiTheme="minorHAnsi" w:cstheme="minorHAnsi"/>
          <w:sz w:val="22"/>
          <w:szCs w:val="22"/>
        </w:rPr>
        <w:t>w</w:t>
      </w:r>
      <w:r w:rsidR="00AB5022" w:rsidRPr="001E5633">
        <w:rPr>
          <w:rFonts w:asciiTheme="minorHAnsi" w:eastAsia="Aptos" w:hAnsiTheme="minorHAnsi" w:cstheme="minorHAnsi"/>
          <w:sz w:val="22"/>
          <w:szCs w:val="22"/>
        </w:rPr>
        <w:t xml:space="preserve">ebinar </w:t>
      </w:r>
      <w:r w:rsidRPr="001E5633">
        <w:rPr>
          <w:rFonts w:asciiTheme="minorHAnsi" w:eastAsia="Aptos" w:hAnsiTheme="minorHAnsi" w:cstheme="minorHAnsi"/>
          <w:sz w:val="22"/>
          <w:szCs w:val="22"/>
        </w:rPr>
        <w:t xml:space="preserve">series: Innovations and </w:t>
      </w:r>
      <w:r w:rsidR="00AB5022">
        <w:rPr>
          <w:rFonts w:asciiTheme="minorHAnsi" w:eastAsia="Aptos" w:hAnsiTheme="minorHAnsi" w:cstheme="minorHAnsi"/>
          <w:sz w:val="22"/>
          <w:szCs w:val="22"/>
        </w:rPr>
        <w:t>t</w:t>
      </w:r>
      <w:r w:rsidR="00AB5022" w:rsidRPr="001E5633">
        <w:rPr>
          <w:rFonts w:asciiTheme="minorHAnsi" w:eastAsia="Aptos" w:hAnsiTheme="minorHAnsi" w:cstheme="minorHAnsi"/>
          <w:sz w:val="22"/>
          <w:szCs w:val="22"/>
        </w:rPr>
        <w:t xml:space="preserve">echnology </w:t>
      </w:r>
      <w:r w:rsidR="00AB5022">
        <w:rPr>
          <w:rFonts w:asciiTheme="minorHAnsi" w:eastAsia="Aptos" w:hAnsiTheme="minorHAnsi" w:cstheme="minorHAnsi"/>
          <w:sz w:val="22"/>
          <w:szCs w:val="22"/>
        </w:rPr>
        <w:t>a</w:t>
      </w:r>
      <w:r w:rsidR="00AB5022" w:rsidRPr="001E5633">
        <w:rPr>
          <w:rFonts w:asciiTheme="minorHAnsi" w:eastAsia="Aptos" w:hAnsiTheme="minorHAnsi" w:cstheme="minorHAnsi"/>
          <w:sz w:val="22"/>
          <w:szCs w:val="22"/>
        </w:rPr>
        <w:t xml:space="preserve">pproaches </w:t>
      </w:r>
      <w:r w:rsidRPr="001E5633">
        <w:rPr>
          <w:rFonts w:asciiTheme="minorHAnsi" w:eastAsia="Aptos" w:hAnsiTheme="minorHAnsi" w:cstheme="minorHAnsi"/>
          <w:sz w:val="22"/>
          <w:szCs w:val="22"/>
        </w:rPr>
        <w:t xml:space="preserve">for </w:t>
      </w:r>
      <w:r w:rsidR="00AB5022">
        <w:rPr>
          <w:rFonts w:asciiTheme="minorHAnsi" w:eastAsia="Aptos" w:hAnsiTheme="minorHAnsi" w:cstheme="minorHAnsi"/>
          <w:sz w:val="22"/>
          <w:szCs w:val="22"/>
        </w:rPr>
        <w:t>w</w:t>
      </w:r>
      <w:r w:rsidR="00AB5022" w:rsidRPr="001E5633">
        <w:rPr>
          <w:rFonts w:asciiTheme="minorHAnsi" w:eastAsia="Aptos" w:hAnsiTheme="minorHAnsi" w:cstheme="minorHAnsi"/>
          <w:sz w:val="22"/>
          <w:szCs w:val="22"/>
        </w:rPr>
        <w:t xml:space="preserve">etland </w:t>
      </w:r>
      <w:r w:rsidR="00AB5022">
        <w:rPr>
          <w:rFonts w:asciiTheme="minorHAnsi" w:eastAsia="Aptos" w:hAnsiTheme="minorHAnsi" w:cstheme="minorHAnsi"/>
          <w:sz w:val="22"/>
          <w:szCs w:val="22"/>
        </w:rPr>
        <w:t>r</w:t>
      </w:r>
      <w:r w:rsidR="00AB5022" w:rsidRPr="001E5633">
        <w:rPr>
          <w:rFonts w:asciiTheme="minorHAnsi" w:eastAsia="Aptos" w:hAnsiTheme="minorHAnsi" w:cstheme="minorHAnsi"/>
          <w:sz w:val="22"/>
          <w:szCs w:val="22"/>
        </w:rPr>
        <w:t xml:space="preserve">estoration </w:t>
      </w:r>
      <w:r w:rsidR="00AB5022">
        <w:rPr>
          <w:rFonts w:asciiTheme="minorHAnsi" w:eastAsia="Aptos" w:hAnsiTheme="minorHAnsi" w:cstheme="minorHAnsi"/>
          <w:sz w:val="22"/>
          <w:szCs w:val="22"/>
        </w:rPr>
        <w:t>and</w:t>
      </w:r>
      <w:r w:rsidR="00AB5022" w:rsidRPr="001E5633">
        <w:rPr>
          <w:rFonts w:asciiTheme="minorHAnsi" w:eastAsia="Aptos" w:hAnsiTheme="minorHAnsi" w:cstheme="minorHAnsi"/>
          <w:sz w:val="22"/>
          <w:szCs w:val="22"/>
        </w:rPr>
        <w:t xml:space="preserve"> </w:t>
      </w:r>
      <w:r w:rsidR="00AB5022">
        <w:rPr>
          <w:rFonts w:asciiTheme="minorHAnsi" w:eastAsia="Aptos" w:hAnsiTheme="minorHAnsi" w:cstheme="minorHAnsi"/>
          <w:sz w:val="22"/>
          <w:szCs w:val="22"/>
        </w:rPr>
        <w:t>t</w:t>
      </w:r>
      <w:r w:rsidRPr="001E5633">
        <w:rPr>
          <w:rFonts w:asciiTheme="minorHAnsi" w:eastAsia="Aptos" w:hAnsiTheme="minorHAnsi" w:cstheme="minorHAnsi"/>
          <w:sz w:val="22"/>
          <w:szCs w:val="22"/>
        </w:rPr>
        <w:t xml:space="preserve">raditional </w:t>
      </w:r>
      <w:r w:rsidR="00AB5022">
        <w:rPr>
          <w:rFonts w:asciiTheme="minorHAnsi" w:eastAsia="Aptos" w:hAnsiTheme="minorHAnsi" w:cstheme="minorHAnsi"/>
          <w:sz w:val="22"/>
          <w:szCs w:val="22"/>
        </w:rPr>
        <w:t>k</w:t>
      </w:r>
      <w:r w:rsidRPr="001E5633">
        <w:rPr>
          <w:rFonts w:asciiTheme="minorHAnsi" w:eastAsia="Aptos" w:hAnsiTheme="minorHAnsi" w:cstheme="minorHAnsi"/>
          <w:sz w:val="22"/>
          <w:szCs w:val="22"/>
        </w:rPr>
        <w:t xml:space="preserve">nowledge and </w:t>
      </w:r>
      <w:r w:rsidR="00AB5022">
        <w:rPr>
          <w:rFonts w:asciiTheme="minorHAnsi" w:eastAsia="Aptos" w:hAnsiTheme="minorHAnsi" w:cstheme="minorHAnsi"/>
          <w:sz w:val="22"/>
          <w:szCs w:val="22"/>
        </w:rPr>
        <w:t>c</w:t>
      </w:r>
      <w:r w:rsidRPr="001E5633">
        <w:rPr>
          <w:rFonts w:asciiTheme="minorHAnsi" w:eastAsia="Aptos" w:hAnsiTheme="minorHAnsi" w:cstheme="minorHAnsi"/>
          <w:sz w:val="22"/>
          <w:szCs w:val="22"/>
        </w:rPr>
        <w:t xml:space="preserve">ommunity </w:t>
      </w:r>
      <w:r w:rsidR="00AB5022">
        <w:rPr>
          <w:rFonts w:asciiTheme="minorHAnsi" w:eastAsia="Aptos" w:hAnsiTheme="minorHAnsi" w:cstheme="minorHAnsi"/>
          <w:sz w:val="22"/>
          <w:szCs w:val="22"/>
        </w:rPr>
        <w:t>e</w:t>
      </w:r>
      <w:r w:rsidRPr="001E5633">
        <w:rPr>
          <w:rFonts w:asciiTheme="minorHAnsi" w:eastAsia="Aptos" w:hAnsiTheme="minorHAnsi" w:cstheme="minorHAnsi"/>
          <w:sz w:val="22"/>
          <w:szCs w:val="22"/>
        </w:rPr>
        <w:t xml:space="preserve">ngagement in </w:t>
      </w:r>
      <w:r w:rsidR="00AB5022">
        <w:rPr>
          <w:rFonts w:asciiTheme="minorHAnsi" w:eastAsia="Aptos" w:hAnsiTheme="minorHAnsi" w:cstheme="minorHAnsi"/>
          <w:sz w:val="22"/>
          <w:szCs w:val="22"/>
        </w:rPr>
        <w:t>w</w:t>
      </w:r>
      <w:r w:rsidRPr="001E5633">
        <w:rPr>
          <w:rFonts w:asciiTheme="minorHAnsi" w:eastAsia="Aptos" w:hAnsiTheme="minorHAnsi" w:cstheme="minorHAnsi"/>
          <w:sz w:val="22"/>
          <w:szCs w:val="22"/>
        </w:rPr>
        <w:t xml:space="preserve">etland </w:t>
      </w:r>
      <w:r w:rsidR="00AB5022">
        <w:rPr>
          <w:rFonts w:asciiTheme="minorHAnsi" w:eastAsia="Aptos" w:hAnsiTheme="minorHAnsi" w:cstheme="minorHAnsi"/>
          <w:sz w:val="22"/>
          <w:szCs w:val="22"/>
        </w:rPr>
        <w:t>m</w:t>
      </w:r>
      <w:r w:rsidRPr="001E5633">
        <w:rPr>
          <w:rFonts w:asciiTheme="minorHAnsi" w:eastAsia="Aptos" w:hAnsiTheme="minorHAnsi" w:cstheme="minorHAnsi"/>
          <w:sz w:val="22"/>
          <w:szCs w:val="22"/>
        </w:rPr>
        <w:t>anagement</w:t>
      </w:r>
    </w:p>
    <w:p w14:paraId="27BCE916" w14:textId="77777777" w:rsidR="00BA4ED6" w:rsidRPr="000C33DF" w:rsidRDefault="00BA4ED6" w:rsidP="008C4BA0">
      <w:pPr>
        <w:rPr>
          <w:rFonts w:eastAsia="Calibri" w:cstheme="minorHAnsi"/>
          <w:sz w:val="22"/>
          <w:szCs w:val="22"/>
          <w:lang w:val="en-AU"/>
        </w:rPr>
      </w:pPr>
    </w:p>
    <w:p w14:paraId="1546B40E" w14:textId="180B66AA" w:rsidR="00BA4ED6" w:rsidRPr="000C33DF" w:rsidRDefault="3D6C2E5A" w:rsidP="008C4BA0">
      <w:pPr>
        <w:numPr>
          <w:ilvl w:val="0"/>
          <w:numId w:val="9"/>
        </w:numPr>
        <w:ind w:left="851" w:hanging="426"/>
        <w:contextualSpacing/>
        <w:rPr>
          <w:rFonts w:eastAsia="Calibri" w:cstheme="minorHAnsi"/>
          <w:sz w:val="22"/>
          <w:szCs w:val="22"/>
          <w:lang w:val="en-AU"/>
        </w:rPr>
      </w:pPr>
      <w:r w:rsidRPr="000C33DF">
        <w:rPr>
          <w:rFonts w:eastAsia="Calibri" w:cstheme="minorHAnsi"/>
          <w:sz w:val="22"/>
          <w:szCs w:val="22"/>
          <w:lang w:val="en-AU"/>
        </w:rPr>
        <w:t xml:space="preserve">The Secretariat produced a number of publications which were disseminated to Contracting Parties and other interested entities, and produced </w:t>
      </w:r>
      <w:r w:rsidR="6D8F8BDE" w:rsidRPr="000C33DF">
        <w:rPr>
          <w:rFonts w:eastAsia="Calibri" w:cstheme="minorHAnsi"/>
          <w:sz w:val="22"/>
          <w:szCs w:val="22"/>
          <w:lang w:val="en-AU"/>
        </w:rPr>
        <w:t>60</w:t>
      </w:r>
      <w:r w:rsidRPr="000C33DF">
        <w:rPr>
          <w:rFonts w:eastAsia="Calibri" w:cstheme="minorHAnsi"/>
          <w:sz w:val="22"/>
          <w:szCs w:val="22"/>
          <w:lang w:val="en-AU"/>
        </w:rPr>
        <w:t xml:space="preserve"> videos on different wetland-related topics.</w:t>
      </w:r>
    </w:p>
    <w:p w14:paraId="1B90B1CE" w14:textId="77777777" w:rsidR="000A2E04" w:rsidRDefault="000A2E04" w:rsidP="008C4BA0">
      <w:pPr>
        <w:ind w:left="426"/>
        <w:rPr>
          <w:rFonts w:eastAsiaTheme="majorEastAsia" w:cstheme="minorHAnsi"/>
          <w:sz w:val="22"/>
          <w:szCs w:val="22"/>
          <w:lang w:val="en-AU"/>
        </w:rPr>
      </w:pPr>
    </w:p>
    <w:p w14:paraId="78598C4D" w14:textId="05D0DFA1" w:rsidR="000A2E04" w:rsidRPr="000A2E04" w:rsidRDefault="000A2E04" w:rsidP="000A2E04">
      <w:pPr>
        <w:numPr>
          <w:ilvl w:val="0"/>
          <w:numId w:val="9"/>
        </w:numPr>
        <w:ind w:left="851" w:hanging="426"/>
        <w:contextualSpacing/>
        <w:rPr>
          <w:rFonts w:eastAsia="Calibri" w:cstheme="minorHAnsi"/>
          <w:sz w:val="22"/>
          <w:szCs w:val="22"/>
          <w:lang w:val="en-AU"/>
        </w:rPr>
      </w:pPr>
      <w:r w:rsidRPr="000A2E04">
        <w:rPr>
          <w:rFonts w:eastAsia="Calibri" w:cstheme="minorHAnsi"/>
          <w:sz w:val="22"/>
          <w:szCs w:val="22"/>
          <w:lang w:val="en-AU"/>
        </w:rPr>
        <w:t>Ramsar Regional Initiatives (RRIs) continued to support the implementation of the Convention through various CEPA activities. From 2022 to 2024 several RRIs developed CEPA action plans and reported on their implementation. Key activities included World Wetlands Day events, training and capacity-building programmes targeting wetland managers, and the production of communication materials. Details are available in the RRI annual reports.</w:t>
      </w:r>
    </w:p>
    <w:p w14:paraId="232240C1" w14:textId="77777777" w:rsidR="000A2E04" w:rsidRDefault="000A2E04" w:rsidP="008C4BA0">
      <w:pPr>
        <w:ind w:left="426"/>
        <w:rPr>
          <w:rFonts w:eastAsiaTheme="majorEastAsia" w:cstheme="minorHAnsi"/>
          <w:sz w:val="22"/>
          <w:szCs w:val="22"/>
          <w:lang w:val="en-AU"/>
        </w:rPr>
      </w:pPr>
    </w:p>
    <w:p w14:paraId="0530B4A4" w14:textId="1E685219" w:rsidR="00BA4ED6" w:rsidRPr="000C33DF" w:rsidRDefault="00BA4ED6" w:rsidP="008C4BA0">
      <w:pPr>
        <w:ind w:left="426"/>
        <w:rPr>
          <w:rFonts w:eastAsia="Calibri" w:cstheme="minorHAnsi"/>
          <w:i/>
          <w:sz w:val="22"/>
          <w:szCs w:val="22"/>
          <w:lang w:val="en-AU"/>
        </w:rPr>
      </w:pPr>
      <w:r w:rsidRPr="000C33DF">
        <w:rPr>
          <w:rFonts w:eastAsia="Calibri" w:cstheme="minorHAnsi"/>
          <w:i/>
          <w:sz w:val="22"/>
          <w:szCs w:val="22"/>
          <w:lang w:val="en-AU"/>
        </w:rPr>
        <w:t>Goal 5 – Multi-stakeholder participation</w:t>
      </w:r>
    </w:p>
    <w:p w14:paraId="6B7029D7" w14:textId="77777777" w:rsidR="00BA4ED6" w:rsidRPr="000C33DF" w:rsidRDefault="00BA4ED6" w:rsidP="008C4BA0">
      <w:pPr>
        <w:rPr>
          <w:rFonts w:eastAsia="Calibri" w:cstheme="minorHAnsi"/>
          <w:sz w:val="22"/>
          <w:szCs w:val="22"/>
          <w:lang w:val="en-AU"/>
        </w:rPr>
      </w:pPr>
    </w:p>
    <w:p w14:paraId="49020628" w14:textId="4A4BC784" w:rsidR="00BA4ED6" w:rsidRPr="000C33DF" w:rsidRDefault="00F14350" w:rsidP="008C4BA0">
      <w:pPr>
        <w:numPr>
          <w:ilvl w:val="0"/>
          <w:numId w:val="9"/>
        </w:numPr>
        <w:ind w:left="851" w:hanging="425"/>
        <w:contextualSpacing/>
        <w:rPr>
          <w:rFonts w:eastAsia="Calibri" w:cstheme="minorHAnsi"/>
          <w:sz w:val="22"/>
          <w:szCs w:val="22"/>
          <w:lang w:val="en-AU"/>
        </w:rPr>
      </w:pPr>
      <w:r>
        <w:rPr>
          <w:rFonts w:eastAsia="Calibri" w:cstheme="minorHAnsi"/>
          <w:sz w:val="22"/>
          <w:szCs w:val="22"/>
          <w:lang w:val="en-AU"/>
        </w:rPr>
        <w:t xml:space="preserve">The </w:t>
      </w:r>
      <w:r w:rsidR="00BA4ED6" w:rsidRPr="000C33DF">
        <w:rPr>
          <w:rFonts w:eastAsia="Calibri" w:cstheme="minorHAnsi"/>
          <w:sz w:val="22"/>
          <w:szCs w:val="22"/>
          <w:lang w:val="en-AU"/>
        </w:rPr>
        <w:t xml:space="preserve">International Organization Partners (IOPs) continued to play an important role in promoting awareness and engagement of people in wetland conservation and wise use through joint and individual activities. The IOPs include Birdlife International, IUCN, </w:t>
      </w:r>
      <w:r w:rsidR="002615AA">
        <w:rPr>
          <w:rFonts w:eastAsia="Calibri" w:cstheme="minorHAnsi"/>
          <w:sz w:val="22"/>
          <w:szCs w:val="22"/>
          <w:lang w:val="en-AU"/>
        </w:rPr>
        <w:t xml:space="preserve">the International Water Management Institute, </w:t>
      </w:r>
      <w:r w:rsidR="00BA4ED6" w:rsidRPr="000C33DF">
        <w:rPr>
          <w:rFonts w:eastAsia="Calibri" w:cstheme="minorHAnsi"/>
          <w:sz w:val="22"/>
          <w:szCs w:val="22"/>
          <w:lang w:val="en-AU"/>
        </w:rPr>
        <w:t xml:space="preserve">Wetlands International, Wildfowl </w:t>
      </w:r>
      <w:r w:rsidR="002615AA">
        <w:rPr>
          <w:rFonts w:eastAsia="Calibri" w:cstheme="minorHAnsi"/>
          <w:sz w:val="22"/>
          <w:szCs w:val="22"/>
          <w:lang w:val="en-AU"/>
        </w:rPr>
        <w:t>&amp;</w:t>
      </w:r>
      <w:r w:rsidR="002615AA" w:rsidRPr="000C33DF">
        <w:rPr>
          <w:rFonts w:eastAsia="Calibri" w:cstheme="minorHAnsi"/>
          <w:sz w:val="22"/>
          <w:szCs w:val="22"/>
          <w:lang w:val="en-AU"/>
        </w:rPr>
        <w:t xml:space="preserve"> </w:t>
      </w:r>
      <w:r w:rsidR="00BA4ED6" w:rsidRPr="000C33DF">
        <w:rPr>
          <w:rFonts w:eastAsia="Calibri" w:cstheme="minorHAnsi"/>
          <w:sz w:val="22"/>
          <w:szCs w:val="22"/>
          <w:lang w:val="en-AU"/>
        </w:rPr>
        <w:t xml:space="preserve">Wetlands Trust and WWF.  </w:t>
      </w:r>
      <w:r w:rsidR="001F7622" w:rsidRPr="000C33DF">
        <w:rPr>
          <w:rFonts w:eastAsia="Calibri" w:cstheme="minorHAnsi"/>
          <w:sz w:val="22"/>
          <w:szCs w:val="22"/>
          <w:lang w:val="en-AU"/>
        </w:rPr>
        <w:t>The communication leads for the IOPs meet regularly</w:t>
      </w:r>
      <w:r w:rsidR="00D360B8" w:rsidRPr="000C33DF">
        <w:rPr>
          <w:rFonts w:eastAsia="Calibri" w:cstheme="minorHAnsi"/>
          <w:sz w:val="22"/>
          <w:szCs w:val="22"/>
          <w:lang w:val="en-AU"/>
        </w:rPr>
        <w:t xml:space="preserve"> with the Secretariat</w:t>
      </w:r>
      <w:r w:rsidR="001F7622" w:rsidRPr="000C33DF">
        <w:rPr>
          <w:rFonts w:eastAsia="Calibri" w:cstheme="minorHAnsi"/>
          <w:sz w:val="22"/>
          <w:szCs w:val="22"/>
          <w:lang w:val="en-AU"/>
        </w:rPr>
        <w:t xml:space="preserve"> to </w:t>
      </w:r>
      <w:r w:rsidR="002418A0" w:rsidRPr="000C33DF">
        <w:rPr>
          <w:rFonts w:eastAsia="Calibri" w:cstheme="minorHAnsi"/>
          <w:sz w:val="22"/>
          <w:szCs w:val="22"/>
          <w:lang w:val="en-AU"/>
        </w:rPr>
        <w:t xml:space="preserve">discuss respective CEPA plans and activities and realize synergies. </w:t>
      </w:r>
    </w:p>
    <w:p w14:paraId="6DB2F97B" w14:textId="77777777" w:rsidR="00BA4ED6" w:rsidRPr="000C33DF" w:rsidRDefault="00BA4ED6" w:rsidP="003F148A">
      <w:pPr>
        <w:ind w:left="851" w:hanging="425"/>
        <w:rPr>
          <w:rFonts w:eastAsia="Calibri" w:cstheme="minorHAnsi"/>
          <w:sz w:val="22"/>
          <w:szCs w:val="22"/>
          <w:lang w:val="en-AU"/>
        </w:rPr>
      </w:pPr>
    </w:p>
    <w:p w14:paraId="0619D26E" w14:textId="4FB076CE" w:rsidR="00BA4ED6" w:rsidRPr="000C33DF" w:rsidRDefault="00BA4ED6" w:rsidP="003F148A">
      <w:pPr>
        <w:numPr>
          <w:ilvl w:val="0"/>
          <w:numId w:val="9"/>
        </w:numPr>
        <w:ind w:left="851" w:hanging="425"/>
        <w:rPr>
          <w:rFonts w:eastAsia="Calibri" w:cstheme="minorHAnsi"/>
          <w:sz w:val="22"/>
          <w:szCs w:val="22"/>
          <w:lang w:val="en-AU"/>
        </w:rPr>
      </w:pPr>
      <w:r w:rsidRPr="000C33DF">
        <w:rPr>
          <w:rFonts w:eastAsia="Calibri" w:cstheme="minorHAnsi"/>
          <w:sz w:val="22"/>
          <w:szCs w:val="22"/>
          <w:lang w:val="en-AU"/>
        </w:rPr>
        <w:t>During the reporting period</w:t>
      </w:r>
      <w:r w:rsidR="002615AA">
        <w:rPr>
          <w:rFonts w:eastAsia="Calibri" w:cstheme="minorHAnsi"/>
          <w:sz w:val="22"/>
          <w:szCs w:val="22"/>
          <w:lang w:val="en-AU"/>
        </w:rPr>
        <w:t>,</w:t>
      </w:r>
      <w:r w:rsidRPr="000C33DF">
        <w:rPr>
          <w:rFonts w:eastAsia="Calibri" w:cstheme="minorHAnsi"/>
          <w:sz w:val="22"/>
          <w:szCs w:val="22"/>
          <w:lang w:val="en-AU"/>
        </w:rPr>
        <w:t xml:space="preserve"> nominations for the Wetland City Accreditation scheme were received, with 31 new cities being designated with the status at COP15. The scheme has been well received with a broad international response, engagement </w:t>
      </w:r>
      <w:r w:rsidR="002615AA">
        <w:rPr>
          <w:rFonts w:eastAsia="Calibri" w:cstheme="minorHAnsi"/>
          <w:sz w:val="22"/>
          <w:szCs w:val="22"/>
          <w:lang w:val="en-AU"/>
        </w:rPr>
        <w:t xml:space="preserve">of </w:t>
      </w:r>
      <w:r w:rsidRPr="000C33DF">
        <w:rPr>
          <w:rFonts w:eastAsia="Calibri" w:cstheme="minorHAnsi"/>
          <w:sz w:val="22"/>
          <w:szCs w:val="22"/>
          <w:lang w:val="en-AU"/>
        </w:rPr>
        <w:t xml:space="preserve">many </w:t>
      </w:r>
      <w:r w:rsidR="002615AA">
        <w:rPr>
          <w:rFonts w:eastAsia="Calibri" w:cstheme="minorHAnsi"/>
          <w:sz w:val="22"/>
          <w:szCs w:val="22"/>
          <w:lang w:val="en-AU"/>
        </w:rPr>
        <w:t>Contracting P</w:t>
      </w:r>
      <w:r w:rsidRPr="000C33DF">
        <w:rPr>
          <w:rFonts w:eastAsia="Calibri" w:cstheme="minorHAnsi"/>
          <w:sz w:val="22"/>
          <w:szCs w:val="22"/>
          <w:lang w:val="en-AU"/>
        </w:rPr>
        <w:t xml:space="preserve">arties, and the profile of the Convention </w:t>
      </w:r>
      <w:r w:rsidR="002615AA">
        <w:rPr>
          <w:rFonts w:eastAsia="Calibri" w:cstheme="minorHAnsi"/>
          <w:sz w:val="22"/>
          <w:szCs w:val="22"/>
          <w:lang w:val="en-AU"/>
        </w:rPr>
        <w:t>raised</w:t>
      </w:r>
      <w:r w:rsidR="002615AA" w:rsidRPr="000C33DF">
        <w:rPr>
          <w:rFonts w:eastAsia="Calibri" w:cstheme="minorHAnsi"/>
          <w:sz w:val="22"/>
          <w:szCs w:val="22"/>
          <w:lang w:val="en-AU"/>
        </w:rPr>
        <w:t xml:space="preserve"> </w:t>
      </w:r>
      <w:r w:rsidRPr="000C33DF">
        <w:rPr>
          <w:rFonts w:eastAsia="Calibri" w:cstheme="minorHAnsi"/>
          <w:sz w:val="22"/>
          <w:szCs w:val="22"/>
          <w:lang w:val="en-AU"/>
        </w:rPr>
        <w:t>across the many nominating cities. Successful cities will be acknowledged at COP15</w:t>
      </w:r>
      <w:r w:rsidR="00F14350">
        <w:rPr>
          <w:rFonts w:eastAsia="Calibri" w:cstheme="minorHAnsi"/>
          <w:sz w:val="22"/>
          <w:szCs w:val="22"/>
          <w:lang w:val="en-AU"/>
        </w:rPr>
        <w:t>,</w:t>
      </w:r>
      <w:r w:rsidRPr="000C33DF">
        <w:rPr>
          <w:rFonts w:eastAsia="Calibri" w:cstheme="minorHAnsi"/>
          <w:sz w:val="22"/>
          <w:szCs w:val="22"/>
          <w:lang w:val="en-AU"/>
        </w:rPr>
        <w:t xml:space="preserve"> and a side event to share </w:t>
      </w:r>
      <w:r w:rsidR="002615AA">
        <w:rPr>
          <w:rFonts w:eastAsia="Calibri" w:cstheme="minorHAnsi"/>
          <w:sz w:val="22"/>
          <w:szCs w:val="22"/>
          <w:lang w:val="en-AU"/>
        </w:rPr>
        <w:t>findings</w:t>
      </w:r>
      <w:r w:rsidR="002615AA" w:rsidRPr="000C33DF">
        <w:rPr>
          <w:rFonts w:eastAsia="Calibri" w:cstheme="minorHAnsi"/>
          <w:sz w:val="22"/>
          <w:szCs w:val="22"/>
          <w:lang w:val="en-AU"/>
        </w:rPr>
        <w:t xml:space="preserve"> </w:t>
      </w:r>
      <w:r w:rsidRPr="000C33DF">
        <w:rPr>
          <w:rFonts w:eastAsia="Calibri" w:cstheme="minorHAnsi"/>
          <w:sz w:val="22"/>
          <w:szCs w:val="22"/>
          <w:lang w:val="en-AU"/>
        </w:rPr>
        <w:t xml:space="preserve">and best practices </w:t>
      </w:r>
      <w:r w:rsidR="002615AA">
        <w:rPr>
          <w:rFonts w:eastAsia="Calibri" w:cstheme="minorHAnsi"/>
          <w:sz w:val="22"/>
          <w:szCs w:val="22"/>
          <w:lang w:val="en-AU"/>
        </w:rPr>
        <w:t>of</w:t>
      </w:r>
      <w:r w:rsidR="002615AA" w:rsidRPr="000C33DF">
        <w:rPr>
          <w:rFonts w:eastAsia="Calibri" w:cstheme="minorHAnsi"/>
          <w:sz w:val="22"/>
          <w:szCs w:val="22"/>
          <w:lang w:val="en-AU"/>
        </w:rPr>
        <w:t xml:space="preserve"> </w:t>
      </w:r>
      <w:r w:rsidRPr="000C33DF">
        <w:rPr>
          <w:rFonts w:eastAsia="Calibri" w:cstheme="minorHAnsi"/>
          <w:sz w:val="22"/>
          <w:szCs w:val="22"/>
          <w:lang w:val="en-AU"/>
        </w:rPr>
        <w:t>accredited cities has been organized.</w:t>
      </w:r>
    </w:p>
    <w:p w14:paraId="154A80B3" w14:textId="77777777" w:rsidR="0024348A" w:rsidRPr="000C33DF" w:rsidRDefault="0024348A" w:rsidP="003F148A">
      <w:pPr>
        <w:pStyle w:val="ListParagraph"/>
        <w:ind w:left="851" w:hanging="425"/>
        <w:rPr>
          <w:rFonts w:eastAsia="Calibri" w:cstheme="minorHAnsi"/>
          <w:sz w:val="22"/>
          <w:szCs w:val="22"/>
          <w:lang w:val="en-AU"/>
        </w:rPr>
      </w:pPr>
    </w:p>
    <w:p w14:paraId="0918BE55" w14:textId="17758C65" w:rsidR="0024348A" w:rsidRPr="000C33DF" w:rsidRDefault="00633972" w:rsidP="003F148A">
      <w:pPr>
        <w:numPr>
          <w:ilvl w:val="0"/>
          <w:numId w:val="9"/>
        </w:numPr>
        <w:ind w:left="851" w:hanging="425"/>
        <w:rPr>
          <w:rFonts w:eastAsia="Calibri" w:cstheme="minorHAnsi"/>
          <w:sz w:val="22"/>
          <w:szCs w:val="22"/>
          <w:lang w:val="en-AU"/>
        </w:rPr>
      </w:pPr>
      <w:r w:rsidRPr="000C33DF">
        <w:rPr>
          <w:rFonts w:eastAsia="Calibri" w:cstheme="minorHAnsi"/>
          <w:sz w:val="22"/>
          <w:szCs w:val="22"/>
          <w:lang w:val="en-AU"/>
        </w:rPr>
        <w:t>The Secretariat has engage</w:t>
      </w:r>
      <w:r w:rsidR="000E673B" w:rsidRPr="000C33DF">
        <w:rPr>
          <w:rFonts w:eastAsia="Calibri" w:cstheme="minorHAnsi"/>
          <w:sz w:val="22"/>
          <w:szCs w:val="22"/>
          <w:lang w:val="en-AU"/>
        </w:rPr>
        <w:t>d</w:t>
      </w:r>
      <w:r w:rsidRPr="000C33DF">
        <w:rPr>
          <w:rFonts w:eastAsia="Calibri" w:cstheme="minorHAnsi"/>
          <w:sz w:val="22"/>
          <w:szCs w:val="22"/>
          <w:lang w:val="en-AU"/>
        </w:rPr>
        <w:t xml:space="preserve"> with the other </w:t>
      </w:r>
      <w:r w:rsidR="002615AA">
        <w:rPr>
          <w:rFonts w:eastAsia="Calibri" w:cstheme="minorHAnsi"/>
          <w:sz w:val="22"/>
          <w:szCs w:val="22"/>
          <w:lang w:val="en-AU"/>
        </w:rPr>
        <w:t>biodiversity-related Conventions</w:t>
      </w:r>
      <w:r w:rsidRPr="000C33DF">
        <w:rPr>
          <w:rFonts w:eastAsia="Calibri" w:cstheme="minorHAnsi"/>
          <w:sz w:val="22"/>
          <w:szCs w:val="22"/>
          <w:lang w:val="en-AU"/>
        </w:rPr>
        <w:t xml:space="preserve"> </w:t>
      </w:r>
      <w:r w:rsidR="000E673B" w:rsidRPr="000C33DF">
        <w:rPr>
          <w:rFonts w:eastAsia="Calibri" w:cstheme="minorHAnsi"/>
          <w:sz w:val="22"/>
          <w:szCs w:val="22"/>
          <w:lang w:val="en-AU"/>
        </w:rPr>
        <w:t xml:space="preserve">to </w:t>
      </w:r>
      <w:r w:rsidR="00783088" w:rsidRPr="000C33DF">
        <w:rPr>
          <w:rFonts w:eastAsia="Calibri" w:cstheme="minorHAnsi"/>
          <w:sz w:val="22"/>
          <w:szCs w:val="22"/>
          <w:lang w:val="en-AU"/>
        </w:rPr>
        <w:t>realize synergies</w:t>
      </w:r>
      <w:r w:rsidR="00EE341A" w:rsidRPr="000C33DF">
        <w:rPr>
          <w:rFonts w:eastAsia="Calibri" w:cstheme="minorHAnsi"/>
          <w:sz w:val="22"/>
          <w:szCs w:val="22"/>
          <w:lang w:val="en-AU"/>
        </w:rPr>
        <w:t xml:space="preserve"> </w:t>
      </w:r>
      <w:r w:rsidR="00783088" w:rsidRPr="000C33DF">
        <w:rPr>
          <w:rFonts w:eastAsia="Calibri" w:cstheme="minorHAnsi"/>
          <w:sz w:val="22"/>
          <w:szCs w:val="22"/>
          <w:lang w:val="en-AU"/>
        </w:rPr>
        <w:t xml:space="preserve">in educating and engaging </w:t>
      </w:r>
      <w:r w:rsidR="00A628CD" w:rsidRPr="000C33DF">
        <w:rPr>
          <w:rFonts w:eastAsia="Calibri" w:cstheme="minorHAnsi"/>
          <w:sz w:val="22"/>
          <w:szCs w:val="22"/>
          <w:lang w:val="en-AU"/>
        </w:rPr>
        <w:t>different stakeholder groups and audiences</w:t>
      </w:r>
      <w:r w:rsidR="00B50914" w:rsidRPr="000C33DF">
        <w:rPr>
          <w:rFonts w:eastAsia="Calibri" w:cstheme="minorHAnsi"/>
          <w:sz w:val="22"/>
          <w:szCs w:val="22"/>
          <w:lang w:val="en-AU"/>
        </w:rPr>
        <w:t xml:space="preserve"> in wetland </w:t>
      </w:r>
      <w:r w:rsidR="00B50914" w:rsidRPr="000C33DF">
        <w:rPr>
          <w:rFonts w:eastAsia="Calibri" w:cstheme="minorHAnsi"/>
          <w:sz w:val="22"/>
          <w:szCs w:val="22"/>
          <w:lang w:val="en-AU"/>
        </w:rPr>
        <w:lastRenderedPageBreak/>
        <w:t>conservation and wise use. J</w:t>
      </w:r>
      <w:r w:rsidR="00DE3B8B" w:rsidRPr="000C33DF">
        <w:rPr>
          <w:rFonts w:eastAsia="Calibri" w:cstheme="minorHAnsi"/>
          <w:sz w:val="22"/>
          <w:szCs w:val="22"/>
          <w:lang w:val="en-AU"/>
        </w:rPr>
        <w:t>oint activities including statements, participation in events</w:t>
      </w:r>
      <w:r w:rsidR="003B7A58">
        <w:rPr>
          <w:rFonts w:eastAsia="Calibri" w:cstheme="minorHAnsi"/>
          <w:sz w:val="22"/>
          <w:szCs w:val="22"/>
          <w:lang w:val="en-AU"/>
        </w:rPr>
        <w:t xml:space="preserve"> and</w:t>
      </w:r>
      <w:r w:rsidR="00DE3B8B" w:rsidRPr="000C33DF">
        <w:rPr>
          <w:rFonts w:eastAsia="Calibri" w:cstheme="minorHAnsi"/>
          <w:sz w:val="22"/>
          <w:szCs w:val="22"/>
          <w:lang w:val="en-AU"/>
        </w:rPr>
        <w:t xml:space="preserve"> </w:t>
      </w:r>
      <w:r w:rsidR="00E95B94" w:rsidRPr="000C33DF">
        <w:rPr>
          <w:rFonts w:eastAsia="Calibri" w:cstheme="minorHAnsi"/>
          <w:sz w:val="22"/>
          <w:szCs w:val="22"/>
          <w:lang w:val="en-AU"/>
        </w:rPr>
        <w:t xml:space="preserve">social media </w:t>
      </w:r>
      <w:r w:rsidR="006B10A3" w:rsidRPr="000C33DF">
        <w:rPr>
          <w:rFonts w:eastAsia="Calibri" w:cstheme="minorHAnsi"/>
          <w:sz w:val="22"/>
          <w:szCs w:val="22"/>
          <w:lang w:val="en-AU"/>
        </w:rPr>
        <w:t>engagement</w:t>
      </w:r>
      <w:r w:rsidR="00DE3B8B" w:rsidRPr="000C33DF">
        <w:rPr>
          <w:rFonts w:eastAsia="Calibri" w:cstheme="minorHAnsi"/>
          <w:sz w:val="22"/>
          <w:szCs w:val="22"/>
          <w:lang w:val="en-AU"/>
        </w:rPr>
        <w:t>, often around international days, have been</w:t>
      </w:r>
      <w:r w:rsidR="00D20FFD" w:rsidRPr="000C33DF">
        <w:rPr>
          <w:rFonts w:eastAsia="Calibri" w:cstheme="minorHAnsi"/>
          <w:sz w:val="22"/>
          <w:szCs w:val="22"/>
          <w:lang w:val="en-AU"/>
        </w:rPr>
        <w:t xml:space="preserve"> </w:t>
      </w:r>
      <w:r w:rsidR="00DE3B8B" w:rsidRPr="000C33DF">
        <w:rPr>
          <w:rFonts w:eastAsia="Calibri" w:cstheme="minorHAnsi"/>
          <w:sz w:val="22"/>
          <w:szCs w:val="22"/>
          <w:lang w:val="en-AU"/>
        </w:rPr>
        <w:t xml:space="preserve">implemented. </w:t>
      </w:r>
    </w:p>
    <w:p w14:paraId="27AA8B6C" w14:textId="77777777" w:rsidR="00BA4ED6" w:rsidRPr="000C33DF" w:rsidRDefault="00BA4ED6" w:rsidP="008C4BA0">
      <w:pPr>
        <w:rPr>
          <w:rFonts w:eastAsia="Calibri" w:cstheme="minorHAnsi"/>
          <w:sz w:val="22"/>
          <w:szCs w:val="22"/>
          <w:lang w:val="en-AU"/>
        </w:rPr>
      </w:pPr>
    </w:p>
    <w:p w14:paraId="54B37052" w14:textId="77777777" w:rsidR="00BA4ED6" w:rsidRPr="000C33DF" w:rsidRDefault="00BA4ED6" w:rsidP="008C4BA0">
      <w:pPr>
        <w:keepNext/>
        <w:ind w:firstLine="360"/>
        <w:rPr>
          <w:rFonts w:eastAsia="Calibri" w:cstheme="minorHAnsi"/>
          <w:i/>
          <w:sz w:val="22"/>
          <w:szCs w:val="22"/>
          <w:lang w:val="en-AU"/>
        </w:rPr>
      </w:pPr>
      <w:r w:rsidRPr="000C33DF">
        <w:rPr>
          <w:rFonts w:eastAsia="Calibri" w:cstheme="minorHAnsi"/>
          <w:i/>
          <w:sz w:val="22"/>
          <w:szCs w:val="22"/>
          <w:lang w:val="en-AU"/>
        </w:rPr>
        <w:t>Goal 6 – Programmes and campaigns to promote wetlands</w:t>
      </w:r>
    </w:p>
    <w:p w14:paraId="02E8DB93" w14:textId="77777777" w:rsidR="00BA4ED6" w:rsidRPr="000C33DF" w:rsidRDefault="00BA4ED6" w:rsidP="008C4BA0">
      <w:pPr>
        <w:keepNext/>
        <w:rPr>
          <w:rFonts w:eastAsia="Calibri" w:cstheme="minorHAnsi"/>
          <w:sz w:val="22"/>
          <w:szCs w:val="22"/>
          <w:lang w:val="en-AU"/>
        </w:rPr>
      </w:pPr>
    </w:p>
    <w:p w14:paraId="3A3C4B74" w14:textId="6C533F90" w:rsidR="00BA4ED6" w:rsidRPr="000C33DF" w:rsidRDefault="00BA4ED6" w:rsidP="008C4BA0">
      <w:pPr>
        <w:numPr>
          <w:ilvl w:val="0"/>
          <w:numId w:val="6"/>
        </w:numPr>
        <w:ind w:left="851" w:hanging="425"/>
        <w:contextualSpacing/>
        <w:rPr>
          <w:rFonts w:eastAsia="Times New Roman" w:cstheme="minorHAnsi"/>
          <w:sz w:val="22"/>
          <w:szCs w:val="22"/>
          <w:lang w:val="en-AU"/>
        </w:rPr>
      </w:pPr>
      <w:r w:rsidRPr="000C33DF">
        <w:rPr>
          <w:rFonts w:eastAsia="Times New Roman" w:cstheme="minorHAnsi"/>
          <w:sz w:val="22"/>
          <w:szCs w:val="22"/>
          <w:lang w:val="en-AU"/>
        </w:rPr>
        <w:t xml:space="preserve">World Wetlands Day celebrations continue to focus attention on important wetland issues. Themes during the reporting period </w:t>
      </w:r>
      <w:r w:rsidR="00592652" w:rsidRPr="000C33DF">
        <w:rPr>
          <w:rFonts w:eastAsia="Times New Roman" w:cstheme="minorHAnsi"/>
          <w:sz w:val="22"/>
          <w:szCs w:val="22"/>
          <w:lang w:val="en-AU"/>
        </w:rPr>
        <w:t>included</w:t>
      </w:r>
      <w:r w:rsidR="003B7A58">
        <w:rPr>
          <w:rFonts w:eastAsia="Times New Roman" w:cstheme="minorHAnsi"/>
          <w:sz w:val="22"/>
          <w:szCs w:val="22"/>
          <w:lang w:val="en-AU"/>
        </w:rPr>
        <w:t>:</w:t>
      </w:r>
      <w:r w:rsidR="00592652" w:rsidRPr="000C33DF">
        <w:rPr>
          <w:rFonts w:eastAsia="Times New Roman" w:cstheme="minorHAnsi"/>
          <w:sz w:val="22"/>
          <w:szCs w:val="22"/>
          <w:lang w:val="en-AU"/>
        </w:rPr>
        <w:t xml:space="preserve"> </w:t>
      </w:r>
      <w:r w:rsidR="003B7A58">
        <w:rPr>
          <w:rFonts w:eastAsia="Times New Roman" w:cstheme="minorHAnsi"/>
          <w:sz w:val="22"/>
          <w:szCs w:val="22"/>
          <w:lang w:val="en-AU"/>
        </w:rPr>
        <w:t>“</w:t>
      </w:r>
      <w:r w:rsidRPr="000C33DF">
        <w:rPr>
          <w:rFonts w:eastAsia="Times New Roman" w:cstheme="minorHAnsi"/>
          <w:sz w:val="22"/>
          <w:szCs w:val="22"/>
          <w:lang w:val="en-AU"/>
        </w:rPr>
        <w:t>It</w:t>
      </w:r>
      <w:r w:rsidR="003B7A58">
        <w:rPr>
          <w:rFonts w:eastAsia="Times New Roman" w:cstheme="minorHAnsi"/>
          <w:sz w:val="22"/>
          <w:szCs w:val="22"/>
          <w:lang w:val="en-AU"/>
        </w:rPr>
        <w:t>’</w:t>
      </w:r>
      <w:r w:rsidRPr="000C33DF">
        <w:rPr>
          <w:rFonts w:eastAsia="Times New Roman" w:cstheme="minorHAnsi"/>
          <w:sz w:val="22"/>
          <w:szCs w:val="22"/>
          <w:lang w:val="en-AU"/>
        </w:rPr>
        <w:t>s time for wetlands restoration</w:t>
      </w:r>
      <w:r w:rsidR="003B7A58">
        <w:rPr>
          <w:rFonts w:eastAsia="Times New Roman" w:cstheme="minorHAnsi"/>
          <w:sz w:val="22"/>
          <w:szCs w:val="22"/>
          <w:lang w:val="en-AU"/>
        </w:rPr>
        <w:t>”</w:t>
      </w:r>
      <w:r w:rsidRPr="000C33DF">
        <w:rPr>
          <w:rFonts w:eastAsia="Times New Roman" w:cstheme="minorHAnsi"/>
          <w:sz w:val="22"/>
          <w:szCs w:val="22"/>
          <w:lang w:val="en-AU"/>
        </w:rPr>
        <w:t xml:space="preserve"> (2023), </w:t>
      </w:r>
      <w:r w:rsidR="003B7A58">
        <w:rPr>
          <w:rFonts w:eastAsia="Times New Roman" w:cstheme="minorHAnsi"/>
          <w:sz w:val="22"/>
          <w:szCs w:val="22"/>
          <w:lang w:val="en-AU"/>
        </w:rPr>
        <w:t>“</w:t>
      </w:r>
      <w:r w:rsidRPr="000C33DF">
        <w:rPr>
          <w:rFonts w:eastAsia="Times New Roman" w:cstheme="minorHAnsi"/>
          <w:sz w:val="22"/>
          <w:szCs w:val="22"/>
          <w:lang w:val="en-AU"/>
        </w:rPr>
        <w:t xml:space="preserve">Wetlands and </w:t>
      </w:r>
      <w:r w:rsidR="003B7A58">
        <w:rPr>
          <w:rFonts w:eastAsia="Times New Roman" w:cstheme="minorHAnsi"/>
          <w:sz w:val="22"/>
          <w:szCs w:val="22"/>
          <w:lang w:val="en-AU"/>
        </w:rPr>
        <w:t>h</w:t>
      </w:r>
      <w:r w:rsidRPr="000C33DF">
        <w:rPr>
          <w:rFonts w:eastAsia="Times New Roman" w:cstheme="minorHAnsi"/>
          <w:sz w:val="22"/>
          <w:szCs w:val="22"/>
          <w:lang w:val="en-AU"/>
        </w:rPr>
        <w:t xml:space="preserve">uman </w:t>
      </w:r>
      <w:r w:rsidR="003B7A58">
        <w:rPr>
          <w:rFonts w:eastAsia="Times New Roman" w:cstheme="minorHAnsi"/>
          <w:sz w:val="22"/>
          <w:szCs w:val="22"/>
          <w:lang w:val="en-AU"/>
        </w:rPr>
        <w:t>w</w:t>
      </w:r>
      <w:r w:rsidRPr="000C33DF">
        <w:rPr>
          <w:rFonts w:eastAsia="Times New Roman" w:cstheme="minorHAnsi"/>
          <w:sz w:val="22"/>
          <w:szCs w:val="22"/>
          <w:lang w:val="en-AU"/>
        </w:rPr>
        <w:t>ellbeing</w:t>
      </w:r>
      <w:r w:rsidR="003B7A58">
        <w:rPr>
          <w:rFonts w:eastAsia="Times New Roman" w:cstheme="minorHAnsi"/>
          <w:sz w:val="22"/>
          <w:szCs w:val="22"/>
          <w:lang w:val="en-AU"/>
        </w:rPr>
        <w:t>”</w:t>
      </w:r>
      <w:r w:rsidRPr="000C33DF">
        <w:rPr>
          <w:rFonts w:eastAsia="Times New Roman" w:cstheme="minorHAnsi"/>
          <w:sz w:val="22"/>
          <w:szCs w:val="22"/>
          <w:lang w:val="en-AU"/>
        </w:rPr>
        <w:t xml:space="preserve"> (2024), </w:t>
      </w:r>
      <w:r w:rsidR="003B7A58">
        <w:rPr>
          <w:rFonts w:eastAsia="Times New Roman" w:cstheme="minorHAnsi"/>
          <w:sz w:val="22"/>
          <w:szCs w:val="22"/>
          <w:lang w:val="en-AU"/>
        </w:rPr>
        <w:t>and “</w:t>
      </w:r>
      <w:r w:rsidRPr="000C33DF">
        <w:rPr>
          <w:rFonts w:eastAsia="Times New Roman" w:cstheme="minorHAnsi"/>
          <w:sz w:val="22"/>
          <w:szCs w:val="22"/>
          <w:lang w:val="en-AU"/>
        </w:rPr>
        <w:t xml:space="preserve">Protecting </w:t>
      </w:r>
      <w:r w:rsidR="003B7A58">
        <w:rPr>
          <w:rFonts w:eastAsia="Times New Roman" w:cstheme="minorHAnsi"/>
          <w:sz w:val="22"/>
          <w:szCs w:val="22"/>
          <w:lang w:val="en-AU"/>
        </w:rPr>
        <w:t>w</w:t>
      </w:r>
      <w:r w:rsidRPr="000C33DF">
        <w:rPr>
          <w:rFonts w:eastAsia="Times New Roman" w:cstheme="minorHAnsi"/>
          <w:sz w:val="22"/>
          <w:szCs w:val="22"/>
          <w:lang w:val="en-AU"/>
        </w:rPr>
        <w:t xml:space="preserve">etlands for </w:t>
      </w:r>
      <w:r w:rsidR="003B7A58">
        <w:rPr>
          <w:rFonts w:eastAsia="Times New Roman" w:cstheme="minorHAnsi"/>
          <w:sz w:val="22"/>
          <w:szCs w:val="22"/>
          <w:lang w:val="en-AU"/>
        </w:rPr>
        <w:t>o</w:t>
      </w:r>
      <w:r w:rsidRPr="000C33DF">
        <w:rPr>
          <w:rFonts w:eastAsia="Times New Roman" w:cstheme="minorHAnsi"/>
          <w:sz w:val="22"/>
          <w:szCs w:val="22"/>
          <w:lang w:val="en-AU"/>
        </w:rPr>
        <w:t xml:space="preserve">ur </w:t>
      </w:r>
      <w:r w:rsidR="003B7A58">
        <w:rPr>
          <w:rFonts w:eastAsia="Times New Roman" w:cstheme="minorHAnsi"/>
          <w:sz w:val="22"/>
          <w:szCs w:val="22"/>
          <w:lang w:val="en-AU"/>
        </w:rPr>
        <w:t>c</w:t>
      </w:r>
      <w:r w:rsidRPr="000C33DF">
        <w:rPr>
          <w:rFonts w:eastAsia="Times New Roman" w:cstheme="minorHAnsi"/>
          <w:sz w:val="22"/>
          <w:szCs w:val="22"/>
          <w:lang w:val="en-AU"/>
        </w:rPr>
        <w:t xml:space="preserve">ommon </w:t>
      </w:r>
      <w:r w:rsidR="003B7A58">
        <w:rPr>
          <w:rFonts w:eastAsia="Times New Roman" w:cstheme="minorHAnsi"/>
          <w:sz w:val="22"/>
          <w:szCs w:val="22"/>
          <w:lang w:val="en-AU"/>
        </w:rPr>
        <w:t>f</w:t>
      </w:r>
      <w:r w:rsidRPr="000C33DF">
        <w:rPr>
          <w:rFonts w:eastAsia="Times New Roman" w:cstheme="minorHAnsi"/>
          <w:sz w:val="22"/>
          <w:szCs w:val="22"/>
          <w:lang w:val="en-AU"/>
        </w:rPr>
        <w:t>uture</w:t>
      </w:r>
      <w:r w:rsidR="003B7A58">
        <w:rPr>
          <w:rFonts w:eastAsia="Times New Roman" w:cstheme="minorHAnsi"/>
          <w:sz w:val="22"/>
          <w:szCs w:val="22"/>
          <w:lang w:val="en-AU"/>
        </w:rPr>
        <w:t>”</w:t>
      </w:r>
      <w:r w:rsidRPr="000C33DF">
        <w:rPr>
          <w:rFonts w:eastAsia="Times New Roman" w:cstheme="minorHAnsi"/>
          <w:sz w:val="22"/>
          <w:szCs w:val="22"/>
          <w:lang w:val="en-AU"/>
        </w:rPr>
        <w:t xml:space="preserve"> (2025).</w:t>
      </w:r>
    </w:p>
    <w:p w14:paraId="36276BB3" w14:textId="77777777" w:rsidR="00BA4ED6" w:rsidRPr="000C33DF" w:rsidRDefault="00BA4ED6" w:rsidP="008C4BA0">
      <w:pPr>
        <w:rPr>
          <w:rFonts w:eastAsia="Times New Roman" w:cstheme="minorHAnsi"/>
          <w:sz w:val="22"/>
          <w:szCs w:val="22"/>
          <w:lang w:val="en-AU"/>
        </w:rPr>
      </w:pPr>
    </w:p>
    <w:p w14:paraId="7B88CD92" w14:textId="79A87707" w:rsidR="00BA4ED6" w:rsidRPr="000C33DF" w:rsidRDefault="00BA4ED6" w:rsidP="008C4BA0">
      <w:pPr>
        <w:numPr>
          <w:ilvl w:val="0"/>
          <w:numId w:val="6"/>
        </w:numPr>
        <w:ind w:left="851" w:hanging="425"/>
        <w:contextualSpacing/>
        <w:rPr>
          <w:rFonts w:eastAsia="Times New Roman"/>
          <w:sz w:val="22"/>
          <w:szCs w:val="22"/>
          <w:lang w:val="en-AU"/>
        </w:rPr>
      </w:pPr>
      <w:r w:rsidRPr="04570C82">
        <w:rPr>
          <w:rFonts w:eastAsia="Times New Roman"/>
          <w:sz w:val="22"/>
          <w:szCs w:val="22"/>
          <w:lang w:val="en-AU"/>
        </w:rPr>
        <w:t>The number of visits to the World Wetlands Day website was 90,000 in 2025</w:t>
      </w:r>
      <w:r w:rsidR="003B7A58" w:rsidRPr="04570C82">
        <w:rPr>
          <w:rFonts w:eastAsia="Times New Roman"/>
          <w:sz w:val="22"/>
          <w:szCs w:val="22"/>
          <w:lang w:val="en-AU"/>
        </w:rPr>
        <w:t>,</w:t>
      </w:r>
      <w:r w:rsidRPr="04570C82">
        <w:rPr>
          <w:rFonts w:eastAsia="Times New Roman"/>
          <w:sz w:val="22"/>
          <w:szCs w:val="22"/>
          <w:lang w:val="en-AU"/>
        </w:rPr>
        <w:t xml:space="preserve"> an increase </w:t>
      </w:r>
      <w:r w:rsidR="003F148A">
        <w:rPr>
          <w:rFonts w:eastAsia="Times New Roman"/>
          <w:sz w:val="22"/>
          <w:szCs w:val="22"/>
          <w:lang w:val="en-AU"/>
        </w:rPr>
        <w:t>from around</w:t>
      </w:r>
      <w:r w:rsidR="003F148A" w:rsidRPr="04570C82">
        <w:rPr>
          <w:rFonts w:eastAsia="Times New Roman"/>
          <w:sz w:val="22"/>
          <w:szCs w:val="22"/>
          <w:lang w:val="en-AU"/>
        </w:rPr>
        <w:t xml:space="preserve"> </w:t>
      </w:r>
      <w:r w:rsidRPr="04570C82">
        <w:rPr>
          <w:rFonts w:eastAsia="Times New Roman"/>
          <w:sz w:val="22"/>
          <w:szCs w:val="22"/>
          <w:lang w:val="en-AU"/>
        </w:rPr>
        <w:t xml:space="preserve">75,000 </w:t>
      </w:r>
      <w:r w:rsidR="003F148A">
        <w:rPr>
          <w:rFonts w:eastAsia="Times New Roman"/>
          <w:sz w:val="22"/>
          <w:szCs w:val="22"/>
          <w:lang w:val="en-AU"/>
        </w:rPr>
        <w:t xml:space="preserve">in </w:t>
      </w:r>
      <w:r w:rsidRPr="04570C82">
        <w:rPr>
          <w:rFonts w:eastAsia="Times New Roman"/>
          <w:sz w:val="22"/>
          <w:szCs w:val="22"/>
          <w:lang w:val="en-AU"/>
        </w:rPr>
        <w:t>2024 and 2023. Parties are to be congratulated on their efforts in lifting the profile of the Convention through these many successful events.</w:t>
      </w:r>
    </w:p>
    <w:p w14:paraId="4A434197" w14:textId="77777777" w:rsidR="00BA4ED6" w:rsidRPr="000C33DF" w:rsidRDefault="00BA4ED6" w:rsidP="008C4BA0">
      <w:pPr>
        <w:rPr>
          <w:rFonts w:eastAsia="Times New Roman" w:cstheme="minorHAnsi"/>
          <w:sz w:val="22"/>
          <w:szCs w:val="22"/>
          <w:lang w:val="en-AU"/>
        </w:rPr>
      </w:pPr>
    </w:p>
    <w:p w14:paraId="113818E6" w14:textId="6EBF36C4" w:rsidR="00BA4ED6" w:rsidRPr="000C33DF" w:rsidRDefault="00BA4ED6" w:rsidP="008C4BA0">
      <w:pPr>
        <w:numPr>
          <w:ilvl w:val="0"/>
          <w:numId w:val="6"/>
        </w:numPr>
        <w:ind w:left="851" w:hanging="425"/>
        <w:contextualSpacing/>
        <w:rPr>
          <w:rFonts w:eastAsia="Times New Roman" w:cstheme="minorHAnsi"/>
          <w:sz w:val="22"/>
          <w:szCs w:val="22"/>
          <w:lang w:val="en-AU"/>
        </w:rPr>
      </w:pPr>
      <w:r w:rsidRPr="000C33DF">
        <w:rPr>
          <w:rFonts w:eastAsia="Times New Roman" w:cstheme="minorHAnsi"/>
          <w:sz w:val="22"/>
          <w:szCs w:val="22"/>
          <w:lang w:val="en-AU"/>
        </w:rPr>
        <w:t xml:space="preserve">85% of </w:t>
      </w:r>
      <w:r w:rsidR="003B7A58">
        <w:rPr>
          <w:rFonts w:eastAsia="Times New Roman" w:cstheme="minorHAnsi"/>
          <w:sz w:val="22"/>
          <w:szCs w:val="22"/>
          <w:lang w:val="en-AU"/>
        </w:rPr>
        <w:t>reporting Contracting Parties</w:t>
      </w:r>
      <w:r w:rsidR="003B7A58" w:rsidRPr="000C33DF">
        <w:rPr>
          <w:rFonts w:eastAsia="Times New Roman" w:cstheme="minorHAnsi"/>
          <w:sz w:val="22"/>
          <w:szCs w:val="22"/>
          <w:lang w:val="en-AU"/>
        </w:rPr>
        <w:t xml:space="preserve"> </w:t>
      </w:r>
      <w:r w:rsidR="003B7A58">
        <w:rPr>
          <w:rFonts w:eastAsia="Times New Roman" w:cstheme="minorHAnsi"/>
          <w:sz w:val="22"/>
          <w:szCs w:val="22"/>
          <w:lang w:val="en-AU"/>
        </w:rPr>
        <w:t>held</w:t>
      </w:r>
      <w:r w:rsidRPr="000C33DF">
        <w:rPr>
          <w:rFonts w:eastAsia="Times New Roman" w:cstheme="minorHAnsi"/>
          <w:sz w:val="22"/>
          <w:szCs w:val="22"/>
          <w:lang w:val="en-AU"/>
        </w:rPr>
        <w:t xml:space="preserve"> World Wetlands Day activities during the reporting period. </w:t>
      </w:r>
      <w:r w:rsidR="00AB0318" w:rsidRPr="000C33DF">
        <w:rPr>
          <w:rFonts w:eastAsia="Times New Roman" w:cstheme="minorHAnsi"/>
          <w:sz w:val="22"/>
          <w:szCs w:val="22"/>
          <w:lang w:val="en-AU"/>
        </w:rPr>
        <w:t xml:space="preserve">1,948 registered events </w:t>
      </w:r>
      <w:r w:rsidR="00AB0318">
        <w:rPr>
          <w:rFonts w:eastAsia="Times New Roman" w:cstheme="minorHAnsi"/>
          <w:sz w:val="22"/>
          <w:szCs w:val="22"/>
          <w:lang w:val="en-AU"/>
        </w:rPr>
        <w:t xml:space="preserve">reported </w:t>
      </w:r>
      <w:r w:rsidR="00AB0318" w:rsidRPr="000C33DF">
        <w:rPr>
          <w:rFonts w:eastAsia="Times New Roman" w:cstheme="minorHAnsi"/>
          <w:sz w:val="22"/>
          <w:szCs w:val="22"/>
          <w:lang w:val="en-AU"/>
        </w:rPr>
        <w:t>from 72 countries and more than 5</w:t>
      </w:r>
      <w:r w:rsidR="00AB0318">
        <w:rPr>
          <w:rFonts w:eastAsia="Times New Roman" w:cstheme="minorHAnsi"/>
          <w:sz w:val="22"/>
          <w:szCs w:val="22"/>
          <w:lang w:val="en-AU"/>
        </w:rPr>
        <w:t>,</w:t>
      </w:r>
      <w:r w:rsidR="00AB0318" w:rsidRPr="000C33DF">
        <w:rPr>
          <w:rFonts w:eastAsia="Times New Roman" w:cstheme="minorHAnsi"/>
          <w:sz w:val="22"/>
          <w:szCs w:val="22"/>
          <w:lang w:val="en-AU"/>
        </w:rPr>
        <w:t xml:space="preserve">000 online articles mentioning the campaign </w:t>
      </w:r>
      <w:r w:rsidRPr="000C33DF">
        <w:rPr>
          <w:rFonts w:eastAsia="Times New Roman" w:cstheme="minorHAnsi"/>
          <w:sz w:val="22"/>
          <w:szCs w:val="22"/>
          <w:lang w:val="en-AU"/>
        </w:rPr>
        <w:t>Wetlands Day website.</w:t>
      </w:r>
    </w:p>
    <w:p w14:paraId="301FD745" w14:textId="77777777" w:rsidR="00BA4ED6" w:rsidRPr="000C33DF" w:rsidRDefault="00BA4ED6" w:rsidP="008C4BA0">
      <w:pPr>
        <w:rPr>
          <w:rFonts w:eastAsia="Times New Roman" w:cstheme="minorHAnsi"/>
          <w:sz w:val="22"/>
          <w:szCs w:val="22"/>
          <w:lang w:val="en-AU"/>
        </w:rPr>
      </w:pPr>
    </w:p>
    <w:p w14:paraId="50922FE2" w14:textId="29FD08E5" w:rsidR="00BA4ED6" w:rsidRPr="000C33DF" w:rsidRDefault="00BA4ED6" w:rsidP="008C4BA0">
      <w:pPr>
        <w:pStyle w:val="ListParagraph"/>
        <w:numPr>
          <w:ilvl w:val="0"/>
          <w:numId w:val="11"/>
        </w:numPr>
        <w:ind w:left="851" w:hanging="425"/>
        <w:rPr>
          <w:rFonts w:eastAsiaTheme="minorEastAsia" w:cstheme="minorHAnsi"/>
          <w:sz w:val="22"/>
          <w:szCs w:val="22"/>
          <w:lang w:val="en-AU"/>
        </w:rPr>
      </w:pPr>
      <w:r w:rsidRPr="000C33DF">
        <w:rPr>
          <w:rFonts w:cstheme="minorHAnsi"/>
          <w:sz w:val="22"/>
          <w:szCs w:val="22"/>
          <w:lang w:val="en-AU"/>
        </w:rPr>
        <w:t>The number</w:t>
      </w:r>
      <w:r w:rsidR="003B7A58">
        <w:rPr>
          <w:rFonts w:cstheme="minorHAnsi"/>
          <w:sz w:val="22"/>
          <w:szCs w:val="22"/>
          <w:lang w:val="en-AU"/>
        </w:rPr>
        <w:t>s</w:t>
      </w:r>
      <w:r w:rsidRPr="000C33DF">
        <w:rPr>
          <w:rFonts w:cstheme="minorHAnsi"/>
          <w:sz w:val="22"/>
          <w:szCs w:val="22"/>
          <w:lang w:val="en-AU"/>
        </w:rPr>
        <w:t xml:space="preserve"> of events registered on the map of events across the reporting period are as follows:</w:t>
      </w:r>
    </w:p>
    <w:p w14:paraId="1343C553" w14:textId="39A15EA7" w:rsidR="00BA4ED6" w:rsidRPr="000C33DF" w:rsidRDefault="00BA4ED6" w:rsidP="003F148A">
      <w:pPr>
        <w:pStyle w:val="ListParagraph"/>
        <w:numPr>
          <w:ilvl w:val="0"/>
          <w:numId w:val="24"/>
        </w:numPr>
        <w:ind w:left="1276" w:hanging="425"/>
        <w:rPr>
          <w:rFonts w:cstheme="minorHAnsi"/>
          <w:sz w:val="22"/>
          <w:szCs w:val="22"/>
          <w:lang w:val="en-AU"/>
        </w:rPr>
      </w:pPr>
      <w:r w:rsidRPr="004A13F4">
        <w:rPr>
          <w:rFonts w:cstheme="minorHAnsi"/>
          <w:sz w:val="22"/>
          <w:szCs w:val="22"/>
          <w:lang w:val="en-AU"/>
        </w:rPr>
        <w:t>1,</w:t>
      </w:r>
      <w:r w:rsidR="00AF65D1" w:rsidRPr="004A13F4">
        <w:rPr>
          <w:rFonts w:cstheme="minorHAnsi"/>
          <w:sz w:val="22"/>
          <w:szCs w:val="22"/>
          <w:lang w:val="en-AU"/>
        </w:rPr>
        <w:t xml:space="preserve">975 </w:t>
      </w:r>
      <w:r w:rsidRPr="004A13F4">
        <w:rPr>
          <w:rFonts w:cstheme="minorHAnsi"/>
          <w:sz w:val="22"/>
          <w:szCs w:val="22"/>
          <w:lang w:val="en-AU"/>
        </w:rPr>
        <w:t xml:space="preserve">events in </w:t>
      </w:r>
      <w:r w:rsidR="00AF65D1" w:rsidRPr="004A13F4">
        <w:rPr>
          <w:rFonts w:cstheme="minorHAnsi"/>
          <w:sz w:val="22"/>
          <w:szCs w:val="22"/>
          <w:lang w:val="en-AU"/>
        </w:rPr>
        <w:t xml:space="preserve">80 </w:t>
      </w:r>
      <w:r w:rsidRPr="004A13F4">
        <w:rPr>
          <w:rFonts w:cstheme="minorHAnsi"/>
          <w:sz w:val="22"/>
          <w:szCs w:val="22"/>
          <w:lang w:val="en-AU"/>
        </w:rPr>
        <w:t>countries</w:t>
      </w:r>
      <w:r w:rsidRPr="000C33DF">
        <w:rPr>
          <w:rFonts w:cstheme="minorHAnsi"/>
          <w:sz w:val="22"/>
          <w:szCs w:val="22"/>
          <w:lang w:val="en-AU"/>
        </w:rPr>
        <w:t xml:space="preserve"> in 2025</w:t>
      </w:r>
      <w:r w:rsidR="003B7A58">
        <w:rPr>
          <w:rFonts w:cstheme="minorHAnsi"/>
          <w:sz w:val="22"/>
          <w:szCs w:val="22"/>
          <w:lang w:val="en-AU"/>
        </w:rPr>
        <w:t>;</w:t>
      </w:r>
    </w:p>
    <w:p w14:paraId="29F5BAEC" w14:textId="6F24E07B"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1,570 events in 81 countries in 2024</w:t>
      </w:r>
      <w:r w:rsidR="003B7A58">
        <w:rPr>
          <w:rFonts w:cstheme="minorHAnsi"/>
          <w:sz w:val="22"/>
          <w:szCs w:val="22"/>
          <w:lang w:val="en-AU"/>
        </w:rPr>
        <w:t>;</w:t>
      </w:r>
    </w:p>
    <w:p w14:paraId="5310CB4C" w14:textId="0962E871"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1,817 events in 78 countries in 2023</w:t>
      </w:r>
      <w:r w:rsidR="003B7A58">
        <w:rPr>
          <w:rFonts w:cstheme="minorHAnsi"/>
          <w:sz w:val="22"/>
          <w:szCs w:val="22"/>
          <w:lang w:val="en-AU"/>
        </w:rPr>
        <w:t>;</w:t>
      </w:r>
    </w:p>
    <w:p w14:paraId="4653FB1A" w14:textId="534FCAAD"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1,591 events in 86 countries in 2022</w:t>
      </w:r>
      <w:r w:rsidR="003B7A58">
        <w:rPr>
          <w:rFonts w:cstheme="minorHAnsi"/>
          <w:sz w:val="22"/>
          <w:szCs w:val="22"/>
          <w:lang w:val="en-AU"/>
        </w:rPr>
        <w:t>.</w:t>
      </w:r>
    </w:p>
    <w:p w14:paraId="1ED4DBC8" w14:textId="77777777" w:rsidR="00BA4ED6" w:rsidRPr="000C33DF" w:rsidRDefault="00BA4ED6" w:rsidP="008C4BA0">
      <w:pPr>
        <w:rPr>
          <w:rFonts w:cstheme="minorHAnsi"/>
          <w:sz w:val="22"/>
          <w:szCs w:val="22"/>
          <w:lang w:val="en-AU"/>
        </w:rPr>
      </w:pPr>
    </w:p>
    <w:p w14:paraId="67003822" w14:textId="348A94B4" w:rsidR="00BA4ED6" w:rsidRPr="000C33DF" w:rsidRDefault="00BA4ED6" w:rsidP="008C4BA0">
      <w:pPr>
        <w:pStyle w:val="ListParagraph"/>
        <w:numPr>
          <w:ilvl w:val="0"/>
          <w:numId w:val="13"/>
        </w:numPr>
        <w:ind w:left="851" w:hanging="425"/>
        <w:rPr>
          <w:rFonts w:eastAsia="Times New Roman"/>
          <w:sz w:val="22"/>
          <w:szCs w:val="22"/>
          <w:lang w:val="en-GB"/>
        </w:rPr>
      </w:pPr>
      <w:r w:rsidRPr="04570C82">
        <w:rPr>
          <w:rFonts w:eastAsia="Times New Roman"/>
          <w:sz w:val="22"/>
          <w:szCs w:val="22"/>
          <w:lang w:val="en-GB"/>
        </w:rPr>
        <w:t xml:space="preserve">The Secretariat continues to enhance its communications outreach through social media (X, Bluesky, LinkedIn, Facebook and Instagram).  From 2023 to 2025, the World Wetlands Day campaign was strategically executed across social media platforms, achieving remarkable success. In 2023, it reached 3.13 billion potential users, </w:t>
      </w:r>
      <w:r w:rsidR="003B7A58" w:rsidRPr="04570C82">
        <w:rPr>
          <w:rFonts w:eastAsia="Times New Roman"/>
          <w:sz w:val="22"/>
          <w:szCs w:val="22"/>
          <w:lang w:val="en-GB"/>
        </w:rPr>
        <w:t xml:space="preserve">in </w:t>
      </w:r>
      <w:r w:rsidRPr="04570C82">
        <w:rPr>
          <w:rFonts w:eastAsia="Times New Roman"/>
          <w:sz w:val="22"/>
          <w:szCs w:val="22"/>
          <w:lang w:val="en-GB"/>
        </w:rPr>
        <w:t>2024, it reached 2.5 billion potential users and in 2025, this number surged to 6.72 billion</w:t>
      </w:r>
      <w:r w:rsidR="003F148A">
        <w:rPr>
          <w:rStyle w:val="FootnoteReference"/>
          <w:rFonts w:eastAsia="Times New Roman"/>
          <w:sz w:val="22"/>
          <w:szCs w:val="22"/>
          <w:lang w:val="en-GB"/>
        </w:rPr>
        <w:footnoteReference w:id="4"/>
      </w:r>
      <w:r w:rsidRPr="04570C82">
        <w:rPr>
          <w:rFonts w:eastAsia="Times New Roman"/>
          <w:sz w:val="22"/>
          <w:szCs w:val="22"/>
          <w:lang w:val="en-GB"/>
        </w:rPr>
        <w:t xml:space="preserve">, significantly expanding awareness and engagement with the campaign. Additionally, on </w:t>
      </w:r>
      <w:r w:rsidR="003B7A58" w:rsidRPr="04570C82">
        <w:rPr>
          <w:rFonts w:eastAsia="Times New Roman"/>
          <w:sz w:val="22"/>
          <w:szCs w:val="22"/>
          <w:lang w:val="en-GB"/>
        </w:rPr>
        <w:t xml:space="preserve">2 </w:t>
      </w:r>
      <w:r w:rsidRPr="04570C82">
        <w:rPr>
          <w:rFonts w:eastAsia="Times New Roman"/>
          <w:sz w:val="22"/>
          <w:szCs w:val="22"/>
          <w:lang w:val="en-GB"/>
        </w:rPr>
        <w:t>February</w:t>
      </w:r>
      <w:r w:rsidR="003B7A58" w:rsidRPr="04570C82">
        <w:rPr>
          <w:rFonts w:eastAsia="Times New Roman"/>
          <w:sz w:val="22"/>
          <w:szCs w:val="22"/>
          <w:lang w:val="en-GB"/>
        </w:rPr>
        <w:t xml:space="preserve"> 2025</w:t>
      </w:r>
      <w:r w:rsidRPr="04570C82">
        <w:rPr>
          <w:rFonts w:eastAsia="Times New Roman"/>
          <w:sz w:val="22"/>
          <w:szCs w:val="22"/>
          <w:lang w:val="en-GB"/>
        </w:rPr>
        <w:t xml:space="preserve">, World Wetlands Day trended across platforms </w:t>
      </w:r>
      <w:r w:rsidR="003B7A58" w:rsidRPr="04570C82">
        <w:rPr>
          <w:rFonts w:eastAsia="Times New Roman"/>
          <w:sz w:val="22"/>
          <w:szCs w:val="22"/>
          <w:lang w:val="en-GB"/>
        </w:rPr>
        <w:t xml:space="preserve">including </w:t>
      </w:r>
      <w:r w:rsidRPr="04570C82">
        <w:rPr>
          <w:rFonts w:eastAsia="Times New Roman"/>
          <w:sz w:val="22"/>
          <w:szCs w:val="22"/>
          <w:lang w:val="en-GB"/>
        </w:rPr>
        <w:t>X and Instagram, generating visibility.</w:t>
      </w:r>
    </w:p>
    <w:p w14:paraId="0E765E33" w14:textId="77777777" w:rsidR="00BA4ED6" w:rsidRPr="000C33DF" w:rsidRDefault="00BA4ED6" w:rsidP="008C4BA0">
      <w:pPr>
        <w:pStyle w:val="ListParagraph"/>
        <w:ind w:left="851"/>
        <w:rPr>
          <w:rFonts w:eastAsia="Times New Roman" w:cstheme="minorHAnsi"/>
          <w:sz w:val="22"/>
          <w:szCs w:val="22"/>
          <w:lang w:val="en-GB"/>
        </w:rPr>
      </w:pPr>
    </w:p>
    <w:p w14:paraId="6E0888F1" w14:textId="258C682F" w:rsidR="00BA4ED6" w:rsidRPr="000C33DF" w:rsidRDefault="00BA4ED6" w:rsidP="008C4BA0">
      <w:pPr>
        <w:pStyle w:val="ListParagraph"/>
        <w:numPr>
          <w:ilvl w:val="0"/>
          <w:numId w:val="13"/>
        </w:numPr>
        <w:ind w:left="851" w:hanging="425"/>
        <w:rPr>
          <w:rFonts w:eastAsia="Times New Roman" w:cstheme="minorHAnsi"/>
          <w:sz w:val="22"/>
          <w:szCs w:val="22"/>
          <w:lang w:val="en-GB"/>
        </w:rPr>
      </w:pPr>
      <w:r w:rsidRPr="000C33DF">
        <w:rPr>
          <w:rFonts w:eastAsia="Times New Roman" w:cstheme="minorHAnsi"/>
          <w:sz w:val="22"/>
          <w:szCs w:val="22"/>
          <w:lang w:val="en-GB"/>
        </w:rPr>
        <w:t xml:space="preserve">Danone continues to provide funding support for </w:t>
      </w:r>
      <w:r w:rsidR="00E736D6" w:rsidRPr="000C33DF">
        <w:rPr>
          <w:rFonts w:eastAsia="Times New Roman" w:cstheme="minorHAnsi"/>
          <w:sz w:val="22"/>
          <w:szCs w:val="22"/>
          <w:lang w:val="en-GB"/>
        </w:rPr>
        <w:t xml:space="preserve">the development of the </w:t>
      </w:r>
      <w:r w:rsidRPr="000C33DF">
        <w:rPr>
          <w:rFonts w:eastAsia="Times New Roman" w:cstheme="minorHAnsi"/>
          <w:sz w:val="22"/>
          <w:szCs w:val="22"/>
          <w:lang w:val="en-GB"/>
        </w:rPr>
        <w:t>World Wetlands Day</w:t>
      </w:r>
      <w:r w:rsidR="00E736D6" w:rsidRPr="000C33DF">
        <w:rPr>
          <w:rFonts w:eastAsia="Times New Roman" w:cstheme="minorHAnsi"/>
          <w:sz w:val="22"/>
          <w:szCs w:val="22"/>
          <w:lang w:val="en-GB"/>
        </w:rPr>
        <w:t xml:space="preserve"> campaign</w:t>
      </w:r>
      <w:r w:rsidRPr="000C33DF">
        <w:rPr>
          <w:rFonts w:eastAsia="Times New Roman" w:cstheme="minorHAnsi"/>
          <w:sz w:val="22"/>
          <w:szCs w:val="22"/>
          <w:lang w:val="en-GB"/>
        </w:rPr>
        <w:t>.</w:t>
      </w:r>
    </w:p>
    <w:p w14:paraId="587A6B27" w14:textId="77777777" w:rsidR="00BA4ED6" w:rsidRPr="000C33DF" w:rsidRDefault="00BA4ED6" w:rsidP="008C4BA0">
      <w:pPr>
        <w:rPr>
          <w:rFonts w:eastAsia="Calibri" w:cstheme="minorHAnsi"/>
          <w:sz w:val="22"/>
          <w:szCs w:val="22"/>
          <w:lang w:val="en-AU"/>
        </w:rPr>
      </w:pPr>
    </w:p>
    <w:p w14:paraId="6B6D9CB2" w14:textId="6D9E769E" w:rsidR="00BA4ED6" w:rsidRPr="000C33DF" w:rsidRDefault="00BA4ED6" w:rsidP="008C4BA0">
      <w:pPr>
        <w:numPr>
          <w:ilvl w:val="0"/>
          <w:numId w:val="13"/>
        </w:numPr>
        <w:ind w:left="851" w:hanging="425"/>
        <w:contextualSpacing/>
        <w:rPr>
          <w:rFonts w:eastAsia="Calibri" w:cstheme="minorHAnsi"/>
          <w:sz w:val="22"/>
          <w:szCs w:val="22"/>
          <w:lang w:val="en-AU"/>
        </w:rPr>
      </w:pPr>
      <w:r w:rsidRPr="000C33DF">
        <w:rPr>
          <w:rFonts w:eastAsia="Calibri" w:cstheme="minorHAnsi"/>
          <w:sz w:val="22"/>
          <w:szCs w:val="22"/>
          <w:lang w:val="en-AU"/>
        </w:rPr>
        <w:t>Nominations were sought for the Ramsar Wetland Conservation Awards which will be presented at COP15 to recognize and honour the achievements of individuals</w:t>
      </w:r>
      <w:r w:rsidR="004B2531" w:rsidRPr="000C33DF">
        <w:rPr>
          <w:rFonts w:eastAsia="Calibri" w:cstheme="minorHAnsi"/>
          <w:sz w:val="22"/>
          <w:szCs w:val="22"/>
          <w:lang w:val="en-AU"/>
        </w:rPr>
        <w:t xml:space="preserve"> </w:t>
      </w:r>
      <w:r w:rsidRPr="000C33DF">
        <w:rPr>
          <w:rFonts w:eastAsia="Calibri" w:cstheme="minorHAnsi"/>
          <w:sz w:val="22"/>
          <w:szCs w:val="22"/>
          <w:lang w:val="en-AU"/>
        </w:rPr>
        <w:t xml:space="preserve">around the world for the conservation and wise use of wetlands. The Danone Group </w:t>
      </w:r>
      <w:r w:rsidR="007A0848" w:rsidRPr="000C33DF">
        <w:rPr>
          <w:rFonts w:eastAsia="Calibri" w:cstheme="minorHAnsi"/>
          <w:sz w:val="22"/>
          <w:szCs w:val="22"/>
          <w:lang w:val="en-AU"/>
        </w:rPr>
        <w:t>provides</w:t>
      </w:r>
      <w:r w:rsidRPr="000C33DF">
        <w:rPr>
          <w:rFonts w:eastAsia="Calibri" w:cstheme="minorHAnsi"/>
          <w:sz w:val="22"/>
          <w:szCs w:val="22"/>
          <w:lang w:val="en-AU"/>
        </w:rPr>
        <w:t xml:space="preserve"> an Evian Special Prize of USD 10,000 to the recipients of the three categories</w:t>
      </w:r>
      <w:r w:rsidR="003B7A58">
        <w:rPr>
          <w:rFonts w:eastAsia="Calibri" w:cstheme="minorHAnsi"/>
          <w:sz w:val="22"/>
          <w:szCs w:val="22"/>
          <w:lang w:val="en-AU"/>
        </w:rPr>
        <w:t>:</w:t>
      </w:r>
      <w:r w:rsidR="003B7A58" w:rsidRPr="000C33DF">
        <w:rPr>
          <w:rFonts w:eastAsia="Calibri" w:cstheme="minorHAnsi"/>
          <w:sz w:val="22"/>
          <w:szCs w:val="22"/>
          <w:lang w:val="en-AU"/>
        </w:rPr>
        <w:t xml:space="preserve"> </w:t>
      </w:r>
      <w:r w:rsidR="003B7A58">
        <w:rPr>
          <w:rFonts w:eastAsia="Calibri" w:cstheme="minorHAnsi"/>
          <w:sz w:val="22"/>
          <w:szCs w:val="22"/>
          <w:lang w:val="en-AU"/>
        </w:rPr>
        <w:t>t</w:t>
      </w:r>
      <w:r w:rsidR="003B7A58" w:rsidRPr="000C33DF">
        <w:rPr>
          <w:rFonts w:eastAsia="Calibri" w:cstheme="minorHAnsi"/>
          <w:sz w:val="22"/>
          <w:szCs w:val="22"/>
          <w:lang w:val="en-AU"/>
        </w:rPr>
        <w:t xml:space="preserve">he </w:t>
      </w:r>
      <w:r w:rsidRPr="000C33DF">
        <w:rPr>
          <w:rFonts w:eastAsia="Calibri" w:cstheme="minorHAnsi"/>
          <w:sz w:val="22"/>
          <w:szCs w:val="22"/>
          <w:lang w:val="en-AU"/>
        </w:rPr>
        <w:t xml:space="preserve">Ramsar Wetland Conservation Award for Innovation, </w:t>
      </w:r>
      <w:r w:rsidR="003B7A58">
        <w:rPr>
          <w:rFonts w:eastAsia="Calibri" w:cstheme="minorHAnsi"/>
          <w:sz w:val="22"/>
          <w:szCs w:val="22"/>
          <w:lang w:val="en-AU"/>
        </w:rPr>
        <w:t xml:space="preserve">the </w:t>
      </w:r>
      <w:r w:rsidRPr="000C33DF">
        <w:rPr>
          <w:rFonts w:eastAsia="Calibri" w:cstheme="minorHAnsi"/>
          <w:sz w:val="22"/>
          <w:szCs w:val="22"/>
          <w:lang w:val="en-AU"/>
        </w:rPr>
        <w:t>Ramsar Wetland Conservation Award for Young Wetland Champions</w:t>
      </w:r>
      <w:r w:rsidR="003B7A58">
        <w:rPr>
          <w:rFonts w:eastAsia="Calibri" w:cstheme="minorHAnsi"/>
          <w:sz w:val="22"/>
          <w:szCs w:val="22"/>
          <w:lang w:val="en-AU"/>
        </w:rPr>
        <w:t>,</w:t>
      </w:r>
      <w:r w:rsidRPr="000C33DF">
        <w:rPr>
          <w:rFonts w:eastAsia="Calibri" w:cstheme="minorHAnsi"/>
          <w:sz w:val="22"/>
          <w:szCs w:val="22"/>
          <w:lang w:val="en-AU"/>
        </w:rPr>
        <w:t xml:space="preserve"> and </w:t>
      </w:r>
      <w:r w:rsidR="003B7A58">
        <w:rPr>
          <w:rFonts w:eastAsia="Calibri" w:cstheme="minorHAnsi"/>
          <w:sz w:val="22"/>
          <w:szCs w:val="22"/>
          <w:lang w:val="en-AU"/>
        </w:rPr>
        <w:t xml:space="preserve">the </w:t>
      </w:r>
      <w:r w:rsidRPr="000C33DF">
        <w:rPr>
          <w:rFonts w:eastAsia="Calibri" w:cstheme="minorHAnsi"/>
          <w:sz w:val="22"/>
          <w:szCs w:val="22"/>
          <w:lang w:val="en-AU"/>
        </w:rPr>
        <w:t>Ramsar Wetland Indigenous Peoples Conservation and Wise Use Award.</w:t>
      </w:r>
    </w:p>
    <w:p w14:paraId="67213739" w14:textId="77777777" w:rsidR="00BA4ED6" w:rsidRPr="000C33DF" w:rsidRDefault="00BA4ED6" w:rsidP="008C4BA0">
      <w:pPr>
        <w:rPr>
          <w:rFonts w:eastAsia="Times New Roman" w:cstheme="minorHAnsi"/>
          <w:sz w:val="22"/>
          <w:szCs w:val="22"/>
          <w:lang w:val="en-AU"/>
        </w:rPr>
      </w:pPr>
    </w:p>
    <w:p w14:paraId="03C4982E" w14:textId="20D27B4F" w:rsidR="00506B6B" w:rsidRPr="000C33DF" w:rsidRDefault="0F77DD5E" w:rsidP="008C4BA0">
      <w:pPr>
        <w:numPr>
          <w:ilvl w:val="0"/>
          <w:numId w:val="6"/>
        </w:numPr>
        <w:ind w:left="851" w:hanging="425"/>
        <w:contextualSpacing/>
        <w:rPr>
          <w:rFonts w:eastAsia="Calibri" w:cstheme="minorHAnsi"/>
          <w:sz w:val="22"/>
          <w:szCs w:val="22"/>
          <w:lang w:val="en-AU"/>
        </w:rPr>
      </w:pPr>
      <w:r w:rsidRPr="000C33DF">
        <w:rPr>
          <w:rFonts w:eastAsia="Aptos" w:cstheme="minorHAnsi"/>
          <w:sz w:val="22"/>
          <w:szCs w:val="22"/>
          <w:lang w:val="en-AU"/>
        </w:rPr>
        <w:t xml:space="preserve">Recognizing the vital role of women in managing and safeguarding wetland resources, the Contracting Parties adopted Resolution XIII.18 on </w:t>
      </w:r>
      <w:r w:rsidRPr="003B7A58">
        <w:rPr>
          <w:rFonts w:eastAsia="Aptos" w:cstheme="minorHAnsi"/>
          <w:i/>
          <w:iCs/>
          <w:sz w:val="22"/>
          <w:szCs w:val="22"/>
          <w:lang w:val="en-AU"/>
        </w:rPr>
        <w:t xml:space="preserve">Gender and </w:t>
      </w:r>
      <w:r w:rsidR="003B7A58" w:rsidRPr="003B7A58">
        <w:rPr>
          <w:rFonts w:eastAsia="Aptos" w:cstheme="minorHAnsi"/>
          <w:i/>
          <w:iCs/>
          <w:sz w:val="22"/>
          <w:szCs w:val="22"/>
          <w:lang w:val="en-AU"/>
        </w:rPr>
        <w:t>wetlands</w:t>
      </w:r>
      <w:r w:rsidR="003B7A58" w:rsidRPr="000C33DF">
        <w:rPr>
          <w:rFonts w:eastAsia="Aptos" w:cstheme="minorHAnsi"/>
          <w:sz w:val="22"/>
          <w:szCs w:val="22"/>
          <w:lang w:val="en-AU"/>
        </w:rPr>
        <w:t xml:space="preserve"> </w:t>
      </w:r>
      <w:r w:rsidRPr="000C33DF">
        <w:rPr>
          <w:rFonts w:eastAsia="Aptos" w:cstheme="minorHAnsi"/>
          <w:sz w:val="22"/>
          <w:szCs w:val="22"/>
          <w:lang w:val="en-AU"/>
        </w:rPr>
        <w:t xml:space="preserve">in 2018, calling for the integration of a gender perspective in implementation efforts. To advance this commitment, the </w:t>
      </w:r>
      <w:r w:rsidR="003B7A58">
        <w:rPr>
          <w:rFonts w:eastAsia="Aptos" w:cstheme="minorHAnsi"/>
          <w:sz w:val="22"/>
          <w:szCs w:val="22"/>
          <w:lang w:val="en-AU"/>
        </w:rPr>
        <w:t>“</w:t>
      </w:r>
      <w:r w:rsidRPr="000C33DF">
        <w:rPr>
          <w:rFonts w:eastAsia="Aptos" w:cstheme="minorHAnsi"/>
          <w:sz w:val="22"/>
          <w:szCs w:val="22"/>
          <w:lang w:val="en-AU"/>
        </w:rPr>
        <w:t>Women Changemakers in the World of Wetlands</w:t>
      </w:r>
      <w:r w:rsidR="003B7A58">
        <w:rPr>
          <w:rFonts w:eastAsia="Aptos" w:cstheme="minorHAnsi"/>
          <w:sz w:val="22"/>
          <w:szCs w:val="22"/>
          <w:lang w:val="en-AU"/>
        </w:rPr>
        <w:t>” initiative</w:t>
      </w:r>
      <w:r w:rsidRPr="000C33DF">
        <w:rPr>
          <w:rFonts w:eastAsia="Aptos" w:cstheme="minorHAnsi"/>
          <w:sz w:val="22"/>
          <w:szCs w:val="22"/>
          <w:lang w:val="en-AU"/>
        </w:rPr>
        <w:t xml:space="preserve"> was </w:t>
      </w:r>
      <w:r w:rsidRPr="000C33DF">
        <w:rPr>
          <w:rFonts w:eastAsia="Aptos" w:cstheme="minorHAnsi"/>
          <w:sz w:val="22"/>
          <w:szCs w:val="22"/>
          <w:lang w:val="en-AU"/>
        </w:rPr>
        <w:lastRenderedPageBreak/>
        <w:t>launched on</w:t>
      </w:r>
      <w:r w:rsidR="003B7A58">
        <w:rPr>
          <w:rFonts w:eastAsia="Aptos" w:cstheme="minorHAnsi"/>
          <w:sz w:val="22"/>
          <w:szCs w:val="22"/>
          <w:lang w:val="en-AU"/>
        </w:rPr>
        <w:t xml:space="preserve"> 8</w:t>
      </w:r>
      <w:r w:rsidRPr="000C33DF">
        <w:rPr>
          <w:rFonts w:eastAsia="Aptos" w:cstheme="minorHAnsi"/>
          <w:sz w:val="22"/>
          <w:szCs w:val="22"/>
          <w:lang w:val="en-AU"/>
        </w:rPr>
        <w:t xml:space="preserve"> March 2024, as an annual International Women’s Day campaign to raise awareness of </w:t>
      </w:r>
      <w:r w:rsidR="003B7A58" w:rsidRPr="000C33DF">
        <w:rPr>
          <w:rFonts w:eastAsia="Aptos" w:cstheme="minorHAnsi"/>
          <w:sz w:val="22"/>
          <w:szCs w:val="22"/>
          <w:lang w:val="en-AU"/>
        </w:rPr>
        <w:t>women</w:t>
      </w:r>
      <w:r w:rsidR="003B7A58">
        <w:rPr>
          <w:rFonts w:eastAsia="Aptos" w:cstheme="minorHAnsi"/>
          <w:sz w:val="22"/>
          <w:szCs w:val="22"/>
          <w:lang w:val="en-AU"/>
        </w:rPr>
        <w:t>’</w:t>
      </w:r>
      <w:r w:rsidR="003B7A58" w:rsidRPr="000C33DF">
        <w:rPr>
          <w:rFonts w:eastAsia="Aptos" w:cstheme="minorHAnsi"/>
          <w:sz w:val="22"/>
          <w:szCs w:val="22"/>
          <w:lang w:val="en-AU"/>
        </w:rPr>
        <w:t xml:space="preserve">s </w:t>
      </w:r>
      <w:r w:rsidRPr="000C33DF">
        <w:rPr>
          <w:rFonts w:eastAsia="Aptos" w:cstheme="minorHAnsi"/>
          <w:sz w:val="22"/>
          <w:szCs w:val="22"/>
          <w:lang w:val="en-AU"/>
        </w:rPr>
        <w:t xml:space="preserve">contributions to wetland conservation. This initiative recognizes women leaders at all levels of society, including youth and Indigenous women, who are actively engaged in wetland conservation, sustainable use, and restoration. </w:t>
      </w:r>
    </w:p>
    <w:p w14:paraId="5D6F1AED" w14:textId="77777777" w:rsidR="00506B6B" w:rsidRPr="000C33DF" w:rsidRDefault="00506B6B" w:rsidP="008C4BA0">
      <w:pPr>
        <w:ind w:left="851"/>
        <w:contextualSpacing/>
        <w:rPr>
          <w:rFonts w:eastAsia="Calibri" w:cstheme="minorHAnsi"/>
          <w:sz w:val="22"/>
          <w:szCs w:val="22"/>
          <w:lang w:val="en-AU"/>
        </w:rPr>
      </w:pPr>
    </w:p>
    <w:p w14:paraId="27C74004" w14:textId="6D664C0B" w:rsidR="00BA4ED6" w:rsidRPr="000C33DF" w:rsidRDefault="00BA4ED6" w:rsidP="008C4BA0">
      <w:pPr>
        <w:numPr>
          <w:ilvl w:val="0"/>
          <w:numId w:val="6"/>
        </w:numPr>
        <w:ind w:left="851" w:hanging="425"/>
        <w:contextualSpacing/>
        <w:rPr>
          <w:rFonts w:eastAsia="Calibri" w:cstheme="minorHAnsi"/>
          <w:sz w:val="22"/>
          <w:szCs w:val="22"/>
          <w:lang w:val="en-AU"/>
        </w:rPr>
      </w:pPr>
      <w:r w:rsidRPr="000C33DF">
        <w:rPr>
          <w:rFonts w:eastAsia="Calibri" w:cstheme="minorHAnsi"/>
          <w:sz w:val="22"/>
          <w:szCs w:val="22"/>
          <w:lang w:val="en-AU"/>
        </w:rPr>
        <w:t>There has been widespread activity on other campaigns, programmes and projects relating to wetland CEPA, with countries reporting such initiatives over the reporting period. These have included celebrating other environmental international days such as World Environment Day, World Water Day, World Migratory Bird Day and the International Day for Biological Diversity, to support global campaigns and draw attention to national and local situations.</w:t>
      </w:r>
    </w:p>
    <w:p w14:paraId="21EF90AE" w14:textId="77777777" w:rsidR="00BA4ED6" w:rsidRPr="000C33DF" w:rsidRDefault="00BA4ED6" w:rsidP="008C4BA0">
      <w:pPr>
        <w:contextualSpacing/>
        <w:rPr>
          <w:rFonts w:eastAsia="Calibri" w:cstheme="minorHAnsi"/>
          <w:sz w:val="22"/>
          <w:szCs w:val="22"/>
          <w:lang w:val="en-AU"/>
        </w:rPr>
      </w:pPr>
    </w:p>
    <w:p w14:paraId="7E8E200D" w14:textId="77777777" w:rsidR="00BA4ED6" w:rsidRPr="000C33DF" w:rsidRDefault="00BA4ED6" w:rsidP="008C4BA0">
      <w:pPr>
        <w:ind w:left="426"/>
        <w:rPr>
          <w:rFonts w:eastAsia="Calibri" w:cstheme="minorHAnsi"/>
          <w:i/>
          <w:sz w:val="22"/>
          <w:szCs w:val="22"/>
          <w:lang w:val="en-AU"/>
        </w:rPr>
      </w:pPr>
      <w:r w:rsidRPr="000C33DF">
        <w:rPr>
          <w:rFonts w:eastAsia="Calibri" w:cstheme="minorHAnsi"/>
          <w:i/>
          <w:sz w:val="22"/>
          <w:szCs w:val="22"/>
          <w:lang w:val="en-AU"/>
        </w:rPr>
        <w:t>Goal 7 – Wetland education centres</w:t>
      </w:r>
    </w:p>
    <w:p w14:paraId="2D707F72" w14:textId="77777777" w:rsidR="00BA4ED6" w:rsidRPr="000C33DF" w:rsidRDefault="00BA4ED6" w:rsidP="008C4BA0">
      <w:pPr>
        <w:rPr>
          <w:rFonts w:eastAsia="Calibri" w:cstheme="minorHAnsi"/>
          <w:sz w:val="22"/>
          <w:szCs w:val="22"/>
          <w:lang w:val="en-AU"/>
        </w:rPr>
      </w:pPr>
    </w:p>
    <w:p w14:paraId="4FD60178" w14:textId="7C1F2732" w:rsidR="00BA4ED6" w:rsidRPr="000C33DF" w:rsidRDefault="00BA4ED6" w:rsidP="008C4BA0">
      <w:pPr>
        <w:pStyle w:val="ListParagraph"/>
        <w:numPr>
          <w:ilvl w:val="0"/>
          <w:numId w:val="6"/>
        </w:numPr>
        <w:ind w:left="851" w:hanging="425"/>
        <w:rPr>
          <w:rFonts w:cstheme="minorHAnsi"/>
          <w:sz w:val="22"/>
          <w:szCs w:val="22"/>
          <w:lang w:val="en-AU"/>
        </w:rPr>
      </w:pPr>
      <w:r w:rsidRPr="000C33DF">
        <w:rPr>
          <w:rFonts w:cstheme="minorHAnsi"/>
          <w:sz w:val="22"/>
          <w:szCs w:val="22"/>
          <w:lang w:val="en-AU"/>
        </w:rPr>
        <w:t xml:space="preserve">The Wetlands Link International (WLI) </w:t>
      </w:r>
      <w:r w:rsidRPr="000C33DF">
        <w:rPr>
          <w:rFonts w:cstheme="minorHAnsi"/>
          <w:sz w:val="22"/>
          <w:szCs w:val="22"/>
          <w:lang w:val="en"/>
        </w:rPr>
        <w:t xml:space="preserve">network is an effective mechanism to link wetland education </w:t>
      </w:r>
      <w:r w:rsidR="003B7A58" w:rsidRPr="000C33DF">
        <w:rPr>
          <w:rFonts w:cstheme="minorHAnsi"/>
          <w:sz w:val="22"/>
          <w:szCs w:val="22"/>
          <w:lang w:val="en"/>
        </w:rPr>
        <w:t>cent</w:t>
      </w:r>
      <w:r w:rsidR="003B7A58">
        <w:rPr>
          <w:rFonts w:cstheme="minorHAnsi"/>
          <w:sz w:val="22"/>
          <w:szCs w:val="22"/>
          <w:lang w:val="en"/>
        </w:rPr>
        <w:t>re</w:t>
      </w:r>
      <w:r w:rsidR="003B7A58" w:rsidRPr="000C33DF">
        <w:rPr>
          <w:rFonts w:cstheme="minorHAnsi"/>
          <w:sz w:val="22"/>
          <w:szCs w:val="22"/>
          <w:lang w:val="en"/>
        </w:rPr>
        <w:t xml:space="preserve">s </w:t>
      </w:r>
      <w:r w:rsidRPr="000C33DF">
        <w:rPr>
          <w:rFonts w:cstheme="minorHAnsi"/>
          <w:sz w:val="22"/>
          <w:szCs w:val="22"/>
          <w:lang w:val="en"/>
        </w:rPr>
        <w:t xml:space="preserve">and provide an opportunity for sharing experiences, materials and innovative education and engagement ideas in support of CEPA. WLI has over 350 member </w:t>
      </w:r>
      <w:r w:rsidR="003B7A58" w:rsidRPr="000C33DF">
        <w:rPr>
          <w:rFonts w:cstheme="minorHAnsi"/>
          <w:sz w:val="22"/>
          <w:szCs w:val="22"/>
          <w:lang w:val="en"/>
        </w:rPr>
        <w:t>cent</w:t>
      </w:r>
      <w:r w:rsidR="003B7A58">
        <w:rPr>
          <w:rFonts w:cstheme="minorHAnsi"/>
          <w:sz w:val="22"/>
          <w:szCs w:val="22"/>
          <w:lang w:val="en"/>
        </w:rPr>
        <w:t>re</w:t>
      </w:r>
      <w:r w:rsidR="003B7A58" w:rsidRPr="000C33DF">
        <w:rPr>
          <w:rFonts w:cstheme="minorHAnsi"/>
          <w:sz w:val="22"/>
          <w:szCs w:val="22"/>
          <w:lang w:val="en"/>
        </w:rPr>
        <w:t xml:space="preserve">s </w:t>
      </w:r>
      <w:r w:rsidRPr="000C33DF">
        <w:rPr>
          <w:rFonts w:cstheme="minorHAnsi"/>
          <w:sz w:val="22"/>
          <w:szCs w:val="22"/>
          <w:lang w:val="en"/>
        </w:rPr>
        <w:t xml:space="preserve">and has established several regional networks, including in the East Atlantic Flyway (Migratory Birds for People) and the WLI Asia-Oceania, run through the Ramsar Regional Centre East Asia. </w:t>
      </w:r>
    </w:p>
    <w:p w14:paraId="60033641" w14:textId="77777777" w:rsidR="00BA4ED6" w:rsidRPr="000C33DF" w:rsidRDefault="00BA4ED6" w:rsidP="008C4BA0">
      <w:pPr>
        <w:pStyle w:val="ListParagraph"/>
        <w:ind w:left="851" w:hanging="425"/>
        <w:rPr>
          <w:rFonts w:cstheme="minorHAnsi"/>
          <w:sz w:val="22"/>
          <w:szCs w:val="22"/>
          <w:lang w:val="en-AU"/>
        </w:rPr>
      </w:pPr>
    </w:p>
    <w:p w14:paraId="586B3173" w14:textId="2C1B14E8" w:rsidR="00BA4ED6" w:rsidRPr="000C33DF" w:rsidRDefault="00BA4ED6" w:rsidP="008C4BA0">
      <w:pPr>
        <w:pStyle w:val="ListParagraph"/>
        <w:numPr>
          <w:ilvl w:val="0"/>
          <w:numId w:val="6"/>
        </w:numPr>
        <w:ind w:left="851" w:hanging="425"/>
        <w:rPr>
          <w:rFonts w:cstheme="minorHAnsi"/>
          <w:sz w:val="22"/>
          <w:szCs w:val="22"/>
          <w:lang w:val="en-GB" w:eastAsia="zh-CN"/>
        </w:rPr>
      </w:pPr>
      <w:r w:rsidRPr="000C33DF">
        <w:rPr>
          <w:rFonts w:cstheme="minorHAnsi"/>
          <w:sz w:val="22"/>
          <w:szCs w:val="22"/>
          <w:lang w:val="en-AU"/>
        </w:rPr>
        <w:t>Wetland education centres undertook a variety of World Wetlands Day and other activities to engage their local communities. Details of many of these events were uploaded to the Secretariat’s World Wetlands Day online map and register of events. WLI also celebrated the World Migratory Birds Day theme through work with local sites and school activities.</w:t>
      </w:r>
    </w:p>
    <w:p w14:paraId="2354EA1C" w14:textId="77777777" w:rsidR="00BA4ED6" w:rsidRPr="000C33DF" w:rsidRDefault="00BA4ED6" w:rsidP="008C4BA0">
      <w:pPr>
        <w:rPr>
          <w:rFonts w:eastAsia="Calibri" w:cstheme="minorHAnsi"/>
          <w:sz w:val="22"/>
          <w:szCs w:val="22"/>
          <w:lang w:val="en-AU"/>
        </w:rPr>
      </w:pPr>
    </w:p>
    <w:p w14:paraId="0BA60C24" w14:textId="144946F4" w:rsidR="00BA4ED6" w:rsidRPr="000C33DF" w:rsidRDefault="46A7D735" w:rsidP="008C4BA0">
      <w:pPr>
        <w:ind w:left="426"/>
        <w:rPr>
          <w:rFonts w:eastAsia="Calibri" w:cstheme="minorHAnsi"/>
          <w:i/>
          <w:iCs/>
          <w:sz w:val="22"/>
          <w:szCs w:val="22"/>
          <w:lang w:val="en-AU"/>
        </w:rPr>
      </w:pPr>
      <w:r w:rsidRPr="000C33DF">
        <w:rPr>
          <w:rFonts w:eastAsia="Calibri" w:cstheme="minorHAnsi"/>
          <w:i/>
          <w:iCs/>
          <w:sz w:val="22"/>
          <w:szCs w:val="22"/>
          <w:lang w:val="en-AU"/>
        </w:rPr>
        <w:t>Goal 8 – Education materials</w:t>
      </w:r>
    </w:p>
    <w:p w14:paraId="7C2C7DFE" w14:textId="77777777" w:rsidR="00BA4ED6" w:rsidRPr="000C33DF" w:rsidRDefault="00BA4ED6" w:rsidP="008C4BA0">
      <w:pPr>
        <w:rPr>
          <w:rFonts w:eastAsia="Calibri" w:cstheme="minorHAnsi"/>
          <w:sz w:val="22"/>
          <w:szCs w:val="22"/>
          <w:lang w:val="en-AU"/>
        </w:rPr>
      </w:pPr>
    </w:p>
    <w:p w14:paraId="51EA6CF6" w14:textId="232DC1F4" w:rsidR="00BA4ED6" w:rsidRPr="000C33DF" w:rsidRDefault="000B21A9" w:rsidP="008C4BA0">
      <w:pPr>
        <w:numPr>
          <w:ilvl w:val="0"/>
          <w:numId w:val="9"/>
        </w:numPr>
        <w:ind w:left="851" w:hanging="425"/>
        <w:contextualSpacing/>
        <w:rPr>
          <w:rFonts w:eastAsia="Calibri" w:cstheme="minorHAnsi"/>
          <w:sz w:val="22"/>
          <w:szCs w:val="22"/>
          <w:lang w:val="en-AU"/>
        </w:rPr>
      </w:pPr>
      <w:r>
        <w:rPr>
          <w:rFonts w:eastAsia="Calibri" w:cstheme="minorHAnsi"/>
          <w:sz w:val="22"/>
          <w:szCs w:val="22"/>
          <w:lang w:val="en-AU"/>
        </w:rPr>
        <w:t>Materials</w:t>
      </w:r>
      <w:r w:rsidR="46A7D735" w:rsidRPr="000C33DF">
        <w:rPr>
          <w:rFonts w:eastAsia="Calibri" w:cstheme="minorHAnsi"/>
          <w:sz w:val="22"/>
          <w:szCs w:val="22"/>
          <w:lang w:val="en-AU"/>
        </w:rPr>
        <w:t xml:space="preserve"> launched during the reporting period included:</w:t>
      </w:r>
    </w:p>
    <w:p w14:paraId="7DDA83AA" w14:textId="222259B0" w:rsidR="073551A4" w:rsidRPr="000C33DF" w:rsidRDefault="073551A4" w:rsidP="008C4BA0">
      <w:pPr>
        <w:contextualSpacing/>
        <w:rPr>
          <w:rFonts w:eastAsiaTheme="majorEastAsia" w:cstheme="minorHAnsi"/>
          <w:lang w:val="en-AU"/>
        </w:rPr>
      </w:pPr>
    </w:p>
    <w:p w14:paraId="587E5E7E" w14:textId="617BFC91" w:rsidR="00BA4ED6" w:rsidRPr="000B21A9" w:rsidRDefault="024AC443" w:rsidP="008C4BA0">
      <w:pPr>
        <w:numPr>
          <w:ilvl w:val="1"/>
          <w:numId w:val="20"/>
        </w:numPr>
        <w:ind w:left="1276" w:hanging="425"/>
        <w:rPr>
          <w:rFonts w:eastAsia="Times New Roman" w:cstheme="minorHAnsi"/>
          <w:color w:val="000000"/>
          <w:sz w:val="22"/>
          <w:szCs w:val="22"/>
          <w:lang w:val="en-AU"/>
        </w:rPr>
      </w:pPr>
      <w:r w:rsidRPr="000B21A9">
        <w:rPr>
          <w:rFonts w:eastAsia="Times New Roman" w:cstheme="minorHAnsi"/>
          <w:color w:val="000000"/>
          <w:sz w:val="22"/>
          <w:szCs w:val="22"/>
          <w:lang w:val="en-AU"/>
        </w:rPr>
        <w:t xml:space="preserve">As part of the </w:t>
      </w:r>
      <w:r w:rsidR="00FF4379">
        <w:rPr>
          <w:rFonts w:eastAsia="Times New Roman" w:cstheme="minorHAnsi"/>
          <w:color w:val="000000"/>
          <w:sz w:val="22"/>
          <w:szCs w:val="22"/>
          <w:lang w:val="en-AU"/>
        </w:rPr>
        <w:t>n</w:t>
      </w:r>
      <w:r w:rsidR="00FF4379" w:rsidRPr="000B21A9">
        <w:rPr>
          <w:rFonts w:eastAsia="Times New Roman" w:cstheme="minorHAnsi"/>
          <w:color w:val="000000"/>
          <w:sz w:val="22"/>
          <w:szCs w:val="22"/>
          <w:lang w:val="en-AU"/>
        </w:rPr>
        <w:t xml:space="preserve">ational </w:t>
      </w:r>
      <w:r w:rsidR="00FF4379">
        <w:rPr>
          <w:rFonts w:eastAsia="Times New Roman" w:cstheme="minorHAnsi"/>
          <w:color w:val="000000"/>
          <w:sz w:val="22"/>
          <w:szCs w:val="22"/>
          <w:lang w:val="en-AU"/>
        </w:rPr>
        <w:t>w</w:t>
      </w:r>
      <w:r w:rsidR="00FF4379" w:rsidRPr="000B21A9">
        <w:rPr>
          <w:rFonts w:eastAsia="Times New Roman" w:cstheme="minorHAnsi"/>
          <w:color w:val="000000"/>
          <w:sz w:val="22"/>
          <w:szCs w:val="22"/>
          <w:lang w:val="en-AU"/>
        </w:rPr>
        <w:t xml:space="preserve">etland </w:t>
      </w:r>
      <w:r w:rsidR="00FF4379">
        <w:rPr>
          <w:rFonts w:eastAsia="Times New Roman" w:cstheme="minorHAnsi"/>
          <w:color w:val="000000"/>
          <w:sz w:val="22"/>
          <w:szCs w:val="22"/>
          <w:lang w:val="en-AU"/>
        </w:rPr>
        <w:t>i</w:t>
      </w:r>
      <w:r w:rsidR="00FF4379" w:rsidRPr="000B21A9">
        <w:rPr>
          <w:rFonts w:eastAsia="Times New Roman" w:cstheme="minorHAnsi"/>
          <w:color w:val="000000"/>
          <w:sz w:val="22"/>
          <w:szCs w:val="22"/>
          <w:lang w:val="en-AU"/>
        </w:rPr>
        <w:t xml:space="preserve">nventory </w:t>
      </w:r>
      <w:r w:rsidR="00A4286E" w:rsidRPr="000B21A9">
        <w:rPr>
          <w:rFonts w:eastAsia="Times New Roman" w:cstheme="minorHAnsi"/>
          <w:color w:val="000000"/>
          <w:sz w:val="22"/>
          <w:szCs w:val="22"/>
          <w:lang w:val="en-AU"/>
        </w:rPr>
        <w:t xml:space="preserve">(NWI) </w:t>
      </w:r>
      <w:r w:rsidRPr="000B21A9">
        <w:rPr>
          <w:rFonts w:eastAsia="Times New Roman" w:cstheme="minorHAnsi"/>
          <w:color w:val="000000"/>
          <w:sz w:val="22"/>
          <w:szCs w:val="22"/>
          <w:lang w:val="en-AU"/>
        </w:rPr>
        <w:t xml:space="preserve">support mechanism, an online self-paced e-learning course has been developed with the content of the Module 1 in-person workshops. The course is available at </w:t>
      </w:r>
      <w:r w:rsidR="00A4286E" w:rsidRPr="000B21A9">
        <w:rPr>
          <w:rFonts w:eastAsia="Times New Roman" w:cstheme="minorHAnsi"/>
          <w:color w:val="000000"/>
          <w:sz w:val="22"/>
          <w:szCs w:val="22"/>
          <w:lang w:val="en-AU"/>
        </w:rPr>
        <w:t xml:space="preserve">the </w:t>
      </w:r>
      <w:r w:rsidRPr="000B21A9">
        <w:rPr>
          <w:rFonts w:eastAsia="Times New Roman" w:cstheme="minorHAnsi"/>
          <w:color w:val="000000"/>
          <w:sz w:val="22"/>
          <w:szCs w:val="22"/>
          <w:lang w:val="en-AU"/>
        </w:rPr>
        <w:t>InforMEA</w:t>
      </w:r>
      <w:r w:rsidR="00A4286E" w:rsidRPr="000B21A9">
        <w:rPr>
          <w:rFonts w:eastAsia="Times New Roman" w:cstheme="minorHAnsi"/>
          <w:color w:val="000000"/>
          <w:sz w:val="22"/>
          <w:szCs w:val="22"/>
          <w:lang w:val="en-AU"/>
        </w:rPr>
        <w:t xml:space="preserve"> platform</w:t>
      </w:r>
      <w:r w:rsidR="00A4286E" w:rsidRPr="00FF4379">
        <w:rPr>
          <w:rFonts w:eastAsia="Times New Roman"/>
          <w:color w:val="000000"/>
          <w:vertAlign w:val="superscript"/>
        </w:rPr>
        <w:footnoteReference w:id="5"/>
      </w:r>
      <w:r w:rsidRPr="000B21A9">
        <w:rPr>
          <w:rFonts w:eastAsia="Times New Roman" w:cstheme="minorHAnsi"/>
          <w:color w:val="000000"/>
          <w:sz w:val="22"/>
          <w:szCs w:val="22"/>
          <w:lang w:val="en-AU"/>
        </w:rPr>
        <w:t xml:space="preserve">. It aims to guide national authorities in elaborating a robust NWI development process, including collection and management of data, and an action-oriented data-flow approach with appropriate policy linkages, including with </w:t>
      </w:r>
      <w:r w:rsidR="00FF4379">
        <w:rPr>
          <w:rFonts w:eastAsia="Times New Roman" w:cstheme="minorHAnsi"/>
          <w:color w:val="000000"/>
          <w:sz w:val="22"/>
          <w:szCs w:val="22"/>
          <w:lang w:val="en-AU"/>
        </w:rPr>
        <w:t xml:space="preserve">the </w:t>
      </w:r>
      <w:r w:rsidR="00FF4379" w:rsidRPr="000B21A9">
        <w:rPr>
          <w:rFonts w:eastAsia="Times New Roman" w:cstheme="minorHAnsi"/>
          <w:color w:val="000000"/>
          <w:sz w:val="22"/>
          <w:szCs w:val="22"/>
          <w:lang w:val="en-AU"/>
        </w:rPr>
        <w:t xml:space="preserve">global goals </w:t>
      </w:r>
      <w:r w:rsidR="00FF4379">
        <w:rPr>
          <w:rFonts w:eastAsia="Times New Roman" w:cstheme="minorHAnsi"/>
          <w:color w:val="000000"/>
          <w:sz w:val="22"/>
          <w:szCs w:val="22"/>
          <w:lang w:val="en-AU"/>
        </w:rPr>
        <w:t xml:space="preserve">of </w:t>
      </w:r>
      <w:r w:rsidRPr="000B21A9">
        <w:rPr>
          <w:rFonts w:eastAsia="Times New Roman" w:cstheme="minorHAnsi"/>
          <w:color w:val="000000"/>
          <w:sz w:val="22"/>
          <w:szCs w:val="22"/>
          <w:lang w:val="en-AU"/>
        </w:rPr>
        <w:t>other MEAs.</w:t>
      </w:r>
    </w:p>
    <w:p w14:paraId="7FC4EEFE" w14:textId="2AFEA894" w:rsidR="00BA4ED6" w:rsidRPr="000B21A9" w:rsidRDefault="00BA4ED6" w:rsidP="008C4BA0">
      <w:pPr>
        <w:ind w:left="1276"/>
        <w:rPr>
          <w:rFonts w:eastAsia="Times New Roman" w:cstheme="minorHAnsi"/>
          <w:color w:val="000000"/>
          <w:sz w:val="22"/>
          <w:szCs w:val="22"/>
          <w:lang w:val="en-AU"/>
        </w:rPr>
      </w:pPr>
    </w:p>
    <w:p w14:paraId="093BC5C3" w14:textId="0121F2CA" w:rsidR="00BA4ED6" w:rsidRPr="000B21A9" w:rsidRDefault="024AC443" w:rsidP="008C4BA0">
      <w:pPr>
        <w:numPr>
          <w:ilvl w:val="1"/>
          <w:numId w:val="20"/>
        </w:numPr>
        <w:ind w:left="1276" w:hanging="425"/>
        <w:rPr>
          <w:rFonts w:eastAsia="Times New Roman" w:cstheme="minorHAnsi"/>
          <w:color w:val="000000"/>
          <w:sz w:val="22"/>
          <w:szCs w:val="22"/>
          <w:lang w:val="en-AU"/>
        </w:rPr>
      </w:pPr>
      <w:r w:rsidRPr="000B21A9">
        <w:rPr>
          <w:rFonts w:eastAsia="Times New Roman" w:cstheme="minorHAnsi"/>
          <w:color w:val="000000"/>
          <w:sz w:val="22"/>
          <w:szCs w:val="22"/>
          <w:lang w:val="en-AU"/>
        </w:rPr>
        <w:t xml:space="preserve">An </w:t>
      </w:r>
      <w:r w:rsidR="00A4286E" w:rsidRPr="000B21A9">
        <w:rPr>
          <w:rFonts w:eastAsia="Times New Roman" w:cstheme="minorHAnsi"/>
          <w:color w:val="000000"/>
          <w:sz w:val="22"/>
          <w:szCs w:val="22"/>
          <w:lang w:val="en-AU"/>
        </w:rPr>
        <w:t xml:space="preserve">induction </w:t>
      </w:r>
      <w:r w:rsidRPr="000B21A9">
        <w:rPr>
          <w:rFonts w:eastAsia="Times New Roman" w:cstheme="minorHAnsi"/>
          <w:color w:val="000000"/>
          <w:sz w:val="22"/>
          <w:szCs w:val="22"/>
          <w:lang w:val="en-AU"/>
        </w:rPr>
        <w:t xml:space="preserve">package for new National Focal Points was developed during the triennium, which includes a welcome message, an infographic and a dedicated website space with all the information on the responsibilities and tasks of </w:t>
      </w:r>
      <w:r w:rsidR="00A4286E" w:rsidRPr="000B21A9">
        <w:rPr>
          <w:rFonts w:eastAsia="Times New Roman" w:cstheme="minorHAnsi"/>
          <w:color w:val="000000"/>
          <w:sz w:val="22"/>
          <w:szCs w:val="22"/>
          <w:lang w:val="en-AU"/>
        </w:rPr>
        <w:t>the role</w:t>
      </w:r>
      <w:r w:rsidRPr="000B21A9">
        <w:rPr>
          <w:rFonts w:eastAsia="Times New Roman" w:cstheme="minorHAnsi"/>
          <w:color w:val="000000"/>
          <w:sz w:val="22"/>
          <w:szCs w:val="22"/>
          <w:lang w:val="en-AU"/>
        </w:rPr>
        <w:t>.</w:t>
      </w:r>
    </w:p>
    <w:p w14:paraId="0B4D7F72" w14:textId="028F90F1" w:rsidR="00192D48" w:rsidRPr="000C33DF" w:rsidRDefault="00192D48" w:rsidP="008C4BA0">
      <w:pPr>
        <w:ind w:left="1276" w:hanging="425"/>
        <w:rPr>
          <w:rFonts w:eastAsia="Calibri" w:cstheme="minorHAnsi"/>
          <w:sz w:val="22"/>
          <w:szCs w:val="22"/>
          <w:highlight w:val="cyan"/>
          <w:lang w:val="en-AU"/>
        </w:rPr>
      </w:pPr>
    </w:p>
    <w:p w14:paraId="3D6EFC42" w14:textId="77777777" w:rsidR="00BA4ED6" w:rsidRPr="000C33DF" w:rsidRDefault="00BA4ED6" w:rsidP="008C4BA0">
      <w:pPr>
        <w:keepNext/>
        <w:ind w:left="425"/>
        <w:rPr>
          <w:rFonts w:eastAsiaTheme="minorEastAsia" w:cstheme="minorHAnsi"/>
          <w:i/>
          <w:iCs/>
          <w:color w:val="000000"/>
          <w:sz w:val="22"/>
          <w:szCs w:val="22"/>
          <w:lang w:val="en-AU"/>
        </w:rPr>
      </w:pPr>
      <w:r w:rsidRPr="000C33DF">
        <w:rPr>
          <w:rFonts w:cstheme="minorHAnsi"/>
          <w:i/>
          <w:iCs/>
          <w:color w:val="000000"/>
          <w:sz w:val="22"/>
          <w:szCs w:val="22"/>
          <w:lang w:val="en-AU"/>
        </w:rPr>
        <w:t>Goal 9 – Development and communication of STRP materials</w:t>
      </w:r>
    </w:p>
    <w:p w14:paraId="65D031E9" w14:textId="77777777" w:rsidR="00BA4ED6" w:rsidRPr="000C33DF" w:rsidRDefault="00BA4ED6" w:rsidP="008C4BA0">
      <w:pPr>
        <w:keepNext/>
        <w:ind w:left="425"/>
        <w:rPr>
          <w:rFonts w:cstheme="minorHAnsi"/>
          <w:color w:val="000000"/>
          <w:sz w:val="22"/>
          <w:szCs w:val="22"/>
          <w:lang w:val="en-US"/>
        </w:rPr>
      </w:pPr>
    </w:p>
    <w:p w14:paraId="7F17B1D9" w14:textId="3CF1A21B" w:rsidR="00BA4ED6" w:rsidRPr="000C33DF" w:rsidRDefault="00BA4ED6" w:rsidP="008C4BA0">
      <w:pPr>
        <w:numPr>
          <w:ilvl w:val="0"/>
          <w:numId w:val="14"/>
        </w:numPr>
        <w:tabs>
          <w:tab w:val="clear" w:pos="720"/>
        </w:tabs>
        <w:ind w:left="851" w:hanging="425"/>
        <w:rPr>
          <w:rFonts w:eastAsia="Times New Roman" w:cstheme="minorHAnsi"/>
          <w:color w:val="000000"/>
          <w:sz w:val="22"/>
          <w:szCs w:val="22"/>
          <w:lang w:val="en-GB"/>
        </w:rPr>
      </w:pPr>
      <w:r w:rsidRPr="000C33DF">
        <w:rPr>
          <w:rFonts w:eastAsia="Times New Roman" w:cstheme="minorHAnsi"/>
          <w:color w:val="000000"/>
          <w:sz w:val="22"/>
          <w:szCs w:val="22"/>
          <w:lang w:val="en-AU"/>
        </w:rPr>
        <w:t>During the reporting period the Scientific and Technical Review Panel (STRP) finalized the following outputs, pursuant to the requests of Contracting Parties, as reflected in its work plan:</w:t>
      </w:r>
    </w:p>
    <w:p w14:paraId="5F7ADD20" w14:textId="736F965E" w:rsidR="00183774" w:rsidRPr="000C33DF" w:rsidRDefault="000B21A9"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Finali</w:t>
      </w:r>
      <w:r>
        <w:rPr>
          <w:rFonts w:eastAsia="Times New Roman" w:cstheme="minorHAnsi"/>
          <w:color w:val="000000"/>
          <w:sz w:val="22"/>
          <w:szCs w:val="22"/>
          <w:lang w:val="en-AU"/>
        </w:rPr>
        <w:t>z</w:t>
      </w:r>
      <w:r w:rsidRPr="000C33DF">
        <w:rPr>
          <w:rFonts w:eastAsia="Times New Roman" w:cstheme="minorHAnsi"/>
          <w:color w:val="000000"/>
          <w:sz w:val="22"/>
          <w:szCs w:val="22"/>
          <w:lang w:val="en-AU"/>
        </w:rPr>
        <w:t xml:space="preserve">ed </w:t>
      </w:r>
      <w:r w:rsidR="00183774" w:rsidRPr="000C33DF">
        <w:rPr>
          <w:rFonts w:eastAsia="Times New Roman" w:cstheme="minorHAnsi"/>
          <w:color w:val="000000"/>
          <w:sz w:val="22"/>
          <w:szCs w:val="22"/>
          <w:lang w:val="en-AU"/>
        </w:rPr>
        <w:t>guidance on the application of Criteria 6 and 9</w:t>
      </w:r>
      <w:r w:rsidR="002E7C6B" w:rsidRPr="000C33DF">
        <w:rPr>
          <w:rFonts w:eastAsia="Times New Roman" w:cstheme="minorHAnsi"/>
          <w:color w:val="000000"/>
          <w:sz w:val="22"/>
          <w:szCs w:val="22"/>
          <w:lang w:val="en-AU"/>
        </w:rPr>
        <w:t xml:space="preserve"> (</w:t>
      </w:r>
      <w:r>
        <w:rPr>
          <w:rFonts w:eastAsia="Times New Roman" w:cstheme="minorHAnsi"/>
          <w:color w:val="000000"/>
          <w:sz w:val="22"/>
          <w:szCs w:val="22"/>
          <w:lang w:val="en-AU"/>
        </w:rPr>
        <w:t xml:space="preserve">in </w:t>
      </w:r>
      <w:r w:rsidR="00CE0CA8" w:rsidRPr="000C33DF">
        <w:rPr>
          <w:rFonts w:eastAsia="Times New Roman" w:cstheme="minorHAnsi"/>
          <w:color w:val="000000"/>
          <w:sz w:val="22"/>
          <w:szCs w:val="22"/>
          <w:lang w:val="en-AU"/>
        </w:rPr>
        <w:t>Annex</w:t>
      </w:r>
      <w:r>
        <w:rPr>
          <w:rFonts w:eastAsia="Times New Roman" w:cstheme="minorHAnsi"/>
          <w:color w:val="000000"/>
          <w:sz w:val="22"/>
          <w:szCs w:val="22"/>
          <w:lang w:val="en-AU"/>
        </w:rPr>
        <w:t>es</w:t>
      </w:r>
      <w:r w:rsidR="00CE0CA8" w:rsidRPr="000C33DF">
        <w:rPr>
          <w:rFonts w:eastAsia="Times New Roman" w:cstheme="minorHAnsi"/>
          <w:color w:val="000000"/>
          <w:sz w:val="22"/>
          <w:szCs w:val="22"/>
          <w:lang w:val="en-AU"/>
        </w:rPr>
        <w:t xml:space="preserve"> </w:t>
      </w:r>
      <w:r w:rsidR="002C663E" w:rsidRPr="000C33DF">
        <w:rPr>
          <w:rFonts w:eastAsia="Times New Roman" w:cstheme="minorHAnsi"/>
          <w:color w:val="000000"/>
          <w:sz w:val="22"/>
          <w:szCs w:val="22"/>
          <w:lang w:val="en-AU"/>
        </w:rPr>
        <w:t xml:space="preserve">3 </w:t>
      </w:r>
      <w:r>
        <w:rPr>
          <w:rFonts w:eastAsia="Times New Roman" w:cstheme="minorHAnsi"/>
          <w:color w:val="000000"/>
          <w:sz w:val="22"/>
          <w:szCs w:val="22"/>
          <w:lang w:val="en-AU"/>
        </w:rPr>
        <w:t>and</w:t>
      </w:r>
      <w:r w:rsidRPr="000C33DF">
        <w:rPr>
          <w:rFonts w:eastAsia="Times New Roman" w:cstheme="minorHAnsi"/>
          <w:color w:val="000000"/>
          <w:sz w:val="22"/>
          <w:szCs w:val="22"/>
          <w:lang w:val="en-AU"/>
        </w:rPr>
        <w:t xml:space="preserve"> </w:t>
      </w:r>
      <w:r w:rsidR="002C663E" w:rsidRPr="000C33DF">
        <w:rPr>
          <w:rFonts w:eastAsia="Times New Roman" w:cstheme="minorHAnsi"/>
          <w:color w:val="000000"/>
          <w:sz w:val="22"/>
          <w:szCs w:val="22"/>
          <w:lang w:val="en-AU"/>
        </w:rPr>
        <w:t xml:space="preserve">4 </w:t>
      </w:r>
      <w:r>
        <w:rPr>
          <w:rFonts w:eastAsia="Times New Roman" w:cstheme="minorHAnsi"/>
          <w:color w:val="000000"/>
          <w:sz w:val="22"/>
          <w:szCs w:val="22"/>
          <w:lang w:val="en-AU"/>
        </w:rPr>
        <w:t xml:space="preserve">of document </w:t>
      </w:r>
      <w:r w:rsidR="00CE0CA8" w:rsidRPr="000C33DF">
        <w:rPr>
          <w:rFonts w:eastAsia="Times New Roman" w:cstheme="minorHAnsi"/>
          <w:color w:val="000000"/>
          <w:sz w:val="22"/>
          <w:szCs w:val="22"/>
          <w:lang w:val="en-AU"/>
        </w:rPr>
        <w:t>SC63 Doc.19</w:t>
      </w:r>
      <w:r>
        <w:rPr>
          <w:rFonts w:eastAsia="Times New Roman" w:cstheme="minorHAnsi"/>
          <w:color w:val="000000"/>
          <w:sz w:val="22"/>
          <w:szCs w:val="22"/>
          <w:lang w:val="en-AU"/>
        </w:rPr>
        <w:t>,</w:t>
      </w:r>
      <w:r w:rsidR="00CE0CA8" w:rsidRPr="000C33DF">
        <w:rPr>
          <w:rFonts w:eastAsia="Times New Roman" w:cstheme="minorHAnsi"/>
          <w:color w:val="000000"/>
          <w:sz w:val="22"/>
          <w:szCs w:val="22"/>
          <w:lang w:val="en-AU"/>
        </w:rPr>
        <w:t xml:space="preserve"> and </w:t>
      </w:r>
      <w:r>
        <w:rPr>
          <w:rFonts w:eastAsia="Times New Roman" w:cstheme="minorHAnsi"/>
          <w:color w:val="000000"/>
          <w:sz w:val="22"/>
          <w:szCs w:val="22"/>
          <w:lang w:val="en-AU"/>
        </w:rPr>
        <w:t xml:space="preserve">in document </w:t>
      </w:r>
      <w:r w:rsidR="00800CDB" w:rsidRPr="000C33DF">
        <w:rPr>
          <w:rFonts w:eastAsia="Times New Roman" w:cstheme="minorHAnsi"/>
          <w:color w:val="000000"/>
          <w:sz w:val="22"/>
          <w:szCs w:val="22"/>
          <w:lang w:val="en-AU"/>
        </w:rPr>
        <w:t>COP15 Doc.23.12)</w:t>
      </w:r>
      <w:r w:rsidR="001C5B41" w:rsidRPr="000C33DF">
        <w:rPr>
          <w:rFonts w:eastAsia="Times New Roman" w:cstheme="minorHAnsi"/>
          <w:color w:val="000000"/>
          <w:sz w:val="22"/>
          <w:szCs w:val="22"/>
          <w:lang w:val="en-AU"/>
        </w:rPr>
        <w:t xml:space="preserve">, including guidance on </w:t>
      </w:r>
      <w:r w:rsidR="001C5B41" w:rsidRPr="000C33DF">
        <w:rPr>
          <w:rFonts w:eastAsia="Times New Roman" w:cstheme="minorHAnsi"/>
          <w:color w:val="000000"/>
          <w:sz w:val="22"/>
          <w:szCs w:val="22"/>
          <w:lang w:val="en-AU"/>
        </w:rPr>
        <w:lastRenderedPageBreak/>
        <w:t>using alternative population estimates under Criterion 6 (</w:t>
      </w:r>
      <w:r>
        <w:rPr>
          <w:rFonts w:eastAsia="Times New Roman" w:cstheme="minorHAnsi"/>
          <w:color w:val="000000"/>
          <w:sz w:val="22"/>
          <w:szCs w:val="22"/>
          <w:lang w:val="en-AU"/>
        </w:rPr>
        <w:t xml:space="preserve">in </w:t>
      </w:r>
      <w:r w:rsidR="001C5B41" w:rsidRPr="000C33DF">
        <w:rPr>
          <w:rFonts w:eastAsia="Times New Roman" w:cstheme="minorHAnsi"/>
          <w:color w:val="000000"/>
          <w:sz w:val="22"/>
          <w:szCs w:val="22"/>
          <w:lang w:val="en-AU"/>
        </w:rPr>
        <w:t xml:space="preserve">Annex 2 </w:t>
      </w:r>
      <w:r>
        <w:rPr>
          <w:rFonts w:eastAsia="Times New Roman" w:cstheme="minorHAnsi"/>
          <w:color w:val="000000"/>
          <w:sz w:val="22"/>
          <w:szCs w:val="22"/>
          <w:lang w:val="en-AU"/>
        </w:rPr>
        <w:t xml:space="preserve">of document </w:t>
      </w:r>
      <w:r w:rsidR="001C5B41" w:rsidRPr="000C33DF">
        <w:rPr>
          <w:rFonts w:eastAsia="Times New Roman" w:cstheme="minorHAnsi"/>
          <w:color w:val="000000"/>
          <w:sz w:val="22"/>
          <w:szCs w:val="22"/>
          <w:lang w:val="en-AU"/>
        </w:rPr>
        <w:t>SC64 Doc.18)</w:t>
      </w:r>
      <w:r w:rsidR="00FA629C" w:rsidRPr="000C33DF">
        <w:rPr>
          <w:rFonts w:eastAsia="Times New Roman" w:cstheme="minorHAnsi"/>
          <w:color w:val="000000"/>
          <w:sz w:val="22"/>
          <w:szCs w:val="22"/>
          <w:lang w:val="en-AU"/>
        </w:rPr>
        <w:t xml:space="preserve">. </w:t>
      </w:r>
    </w:p>
    <w:p w14:paraId="0781FE5A" w14:textId="63F9EB15" w:rsidR="00183774" w:rsidRPr="000C33DF" w:rsidRDefault="001837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Technical proposal for a global waterbird assessment partnership and preparation for WPE2027</w:t>
      </w:r>
      <w:r w:rsidR="00A830B2" w:rsidRPr="000C33DF">
        <w:rPr>
          <w:rFonts w:eastAsia="Times New Roman" w:cstheme="minorHAnsi"/>
          <w:color w:val="000000"/>
          <w:sz w:val="22"/>
          <w:szCs w:val="22"/>
          <w:lang w:val="en-AU"/>
        </w:rPr>
        <w:t xml:space="preserve"> (</w:t>
      </w:r>
      <w:r w:rsidR="000B21A9">
        <w:rPr>
          <w:rFonts w:eastAsia="Times New Roman" w:cstheme="minorHAnsi"/>
          <w:color w:val="000000"/>
          <w:sz w:val="22"/>
          <w:szCs w:val="22"/>
          <w:lang w:val="en-AU"/>
        </w:rPr>
        <w:t xml:space="preserve">in </w:t>
      </w:r>
      <w:r w:rsidR="002C663E" w:rsidRPr="000C33DF">
        <w:rPr>
          <w:rFonts w:eastAsia="Times New Roman" w:cstheme="minorHAnsi"/>
          <w:color w:val="000000"/>
          <w:sz w:val="22"/>
          <w:szCs w:val="22"/>
          <w:lang w:val="en-AU"/>
        </w:rPr>
        <w:t xml:space="preserve">Annex 5 </w:t>
      </w:r>
      <w:r w:rsidR="000B21A9">
        <w:rPr>
          <w:rFonts w:eastAsia="Times New Roman" w:cstheme="minorHAnsi"/>
          <w:color w:val="000000"/>
          <w:sz w:val="22"/>
          <w:szCs w:val="22"/>
          <w:lang w:val="en-AU"/>
        </w:rPr>
        <w:t xml:space="preserve">of document </w:t>
      </w:r>
      <w:r w:rsidR="002C663E" w:rsidRPr="000C33DF">
        <w:rPr>
          <w:rFonts w:eastAsia="Times New Roman" w:cstheme="minorHAnsi"/>
          <w:color w:val="000000"/>
          <w:sz w:val="22"/>
          <w:szCs w:val="22"/>
          <w:lang w:val="en-AU"/>
        </w:rPr>
        <w:t xml:space="preserve">SC63 Doc.19, </w:t>
      </w:r>
      <w:r w:rsidR="000B21A9">
        <w:rPr>
          <w:rFonts w:eastAsia="Times New Roman" w:cstheme="minorHAnsi"/>
          <w:color w:val="000000"/>
          <w:sz w:val="22"/>
          <w:szCs w:val="22"/>
          <w:lang w:val="en-AU"/>
        </w:rPr>
        <w:t xml:space="preserve">in document </w:t>
      </w:r>
      <w:r w:rsidR="00A830B2" w:rsidRPr="000C33DF">
        <w:rPr>
          <w:rFonts w:eastAsia="Times New Roman" w:cstheme="minorHAnsi"/>
          <w:color w:val="000000"/>
          <w:sz w:val="22"/>
          <w:szCs w:val="22"/>
          <w:lang w:val="en-AU"/>
        </w:rPr>
        <w:t>SC63 Doc.20</w:t>
      </w:r>
      <w:r w:rsidR="002C663E" w:rsidRPr="000C33DF">
        <w:rPr>
          <w:rFonts w:eastAsia="Times New Roman" w:cstheme="minorHAnsi"/>
          <w:color w:val="000000"/>
          <w:sz w:val="22"/>
          <w:szCs w:val="22"/>
          <w:lang w:val="en-AU"/>
        </w:rPr>
        <w:t>,</w:t>
      </w:r>
      <w:r w:rsidR="00A830B2" w:rsidRPr="000C33DF">
        <w:rPr>
          <w:rFonts w:eastAsia="Times New Roman" w:cstheme="minorHAnsi"/>
          <w:color w:val="000000"/>
          <w:sz w:val="22"/>
          <w:szCs w:val="22"/>
          <w:lang w:val="en-AU"/>
        </w:rPr>
        <w:t xml:space="preserve"> and </w:t>
      </w:r>
      <w:r w:rsidR="000B21A9">
        <w:rPr>
          <w:rFonts w:eastAsia="Times New Roman" w:cstheme="minorHAnsi"/>
          <w:color w:val="000000"/>
          <w:sz w:val="22"/>
          <w:szCs w:val="22"/>
          <w:lang w:val="en-AU"/>
        </w:rPr>
        <w:t xml:space="preserve">in document </w:t>
      </w:r>
      <w:r w:rsidR="00A830B2" w:rsidRPr="000C33DF">
        <w:rPr>
          <w:rFonts w:eastAsia="Times New Roman" w:cstheme="minorHAnsi"/>
          <w:color w:val="000000"/>
          <w:sz w:val="22"/>
          <w:szCs w:val="22"/>
          <w:lang w:val="en-AU"/>
        </w:rPr>
        <w:t>COP15 Doc.23.11)</w:t>
      </w:r>
      <w:r w:rsidR="00FA629C" w:rsidRPr="000C33DF">
        <w:rPr>
          <w:rFonts w:eastAsia="Times New Roman" w:cstheme="minorHAnsi"/>
          <w:color w:val="000000"/>
          <w:sz w:val="22"/>
          <w:szCs w:val="22"/>
          <w:lang w:val="en-AU"/>
        </w:rPr>
        <w:t>.</w:t>
      </w:r>
    </w:p>
    <w:p w14:paraId="37EC3914" w14:textId="4CA1D8D7" w:rsidR="00183774" w:rsidRPr="000C33DF" w:rsidRDefault="001837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Policy </w:t>
      </w:r>
      <w:r w:rsidR="00C74445" w:rsidRPr="000C33DF">
        <w:rPr>
          <w:rFonts w:eastAsia="Times New Roman" w:cstheme="minorHAnsi"/>
          <w:color w:val="000000"/>
          <w:sz w:val="22"/>
          <w:szCs w:val="22"/>
          <w:lang w:val="en-AU"/>
        </w:rPr>
        <w:t>B</w:t>
      </w:r>
      <w:r w:rsidRPr="000C33DF">
        <w:rPr>
          <w:rFonts w:eastAsia="Times New Roman" w:cstheme="minorHAnsi"/>
          <w:color w:val="000000"/>
          <w:sz w:val="22"/>
          <w:szCs w:val="22"/>
          <w:lang w:val="en-AU"/>
        </w:rPr>
        <w:t xml:space="preserve">rief </w:t>
      </w:r>
      <w:r w:rsidR="00C74445" w:rsidRPr="000C33DF">
        <w:rPr>
          <w:rFonts w:eastAsia="Times New Roman" w:cstheme="minorHAnsi"/>
          <w:color w:val="000000"/>
          <w:sz w:val="22"/>
          <w:szCs w:val="22"/>
          <w:lang w:val="en-AU"/>
        </w:rPr>
        <w:t xml:space="preserve">7 </w:t>
      </w:r>
      <w:r w:rsidRPr="000C33DF">
        <w:rPr>
          <w:rFonts w:eastAsia="Times New Roman" w:cstheme="minorHAnsi"/>
          <w:color w:val="000000"/>
          <w:sz w:val="22"/>
          <w:szCs w:val="22"/>
          <w:lang w:val="en-AU"/>
        </w:rPr>
        <w:t>on small wetlands, highlighting their ecological value and need for targeted monitoring and protection</w:t>
      </w:r>
      <w:r w:rsidR="00FA629C" w:rsidRPr="000C33DF">
        <w:rPr>
          <w:rFonts w:eastAsia="Times New Roman" w:cstheme="minorHAnsi"/>
          <w:color w:val="000000"/>
          <w:sz w:val="22"/>
          <w:szCs w:val="22"/>
          <w:lang w:val="en-AU"/>
        </w:rPr>
        <w:t>.</w:t>
      </w:r>
    </w:p>
    <w:p w14:paraId="41E8DE2E" w14:textId="402F8029" w:rsidR="00183774" w:rsidRPr="000C33DF" w:rsidRDefault="001837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Briefing </w:t>
      </w:r>
      <w:r w:rsidR="00072855" w:rsidRPr="000C33DF">
        <w:rPr>
          <w:rFonts w:eastAsia="Times New Roman" w:cstheme="minorHAnsi"/>
          <w:color w:val="000000"/>
          <w:sz w:val="22"/>
          <w:szCs w:val="22"/>
          <w:lang w:val="en-AU"/>
        </w:rPr>
        <w:t>N</w:t>
      </w:r>
      <w:r w:rsidRPr="000C33DF">
        <w:rPr>
          <w:rFonts w:eastAsia="Times New Roman" w:cstheme="minorHAnsi"/>
          <w:color w:val="000000"/>
          <w:sz w:val="22"/>
          <w:szCs w:val="22"/>
          <w:lang w:val="en-AU"/>
        </w:rPr>
        <w:t xml:space="preserve">ote </w:t>
      </w:r>
      <w:r w:rsidR="00072855" w:rsidRPr="000C33DF">
        <w:rPr>
          <w:rFonts w:eastAsia="Times New Roman" w:cstheme="minorHAnsi"/>
          <w:color w:val="000000"/>
          <w:sz w:val="22"/>
          <w:szCs w:val="22"/>
          <w:lang w:val="en-AU"/>
        </w:rPr>
        <w:t xml:space="preserve">13 </w:t>
      </w:r>
      <w:r w:rsidRPr="000C33DF">
        <w:rPr>
          <w:rFonts w:eastAsia="Times New Roman" w:cstheme="minorHAnsi"/>
          <w:color w:val="000000"/>
          <w:sz w:val="22"/>
          <w:szCs w:val="22"/>
          <w:lang w:val="en-AU"/>
        </w:rPr>
        <w:t xml:space="preserve">on wetlands as </w:t>
      </w:r>
      <w:r w:rsidR="000B21A9">
        <w:rPr>
          <w:rFonts w:eastAsia="Times New Roman" w:cstheme="minorHAnsi"/>
          <w:color w:val="000000"/>
          <w:sz w:val="22"/>
          <w:szCs w:val="22"/>
          <w:lang w:val="en-AU"/>
        </w:rPr>
        <w:t>o</w:t>
      </w:r>
      <w:r w:rsidR="000B21A9" w:rsidRPr="000C33DF">
        <w:rPr>
          <w:rFonts w:eastAsia="Times New Roman" w:cstheme="minorHAnsi"/>
          <w:color w:val="000000"/>
          <w:sz w:val="22"/>
          <w:szCs w:val="22"/>
          <w:lang w:val="en-AU"/>
        </w:rPr>
        <w:t xml:space="preserve">ther </w:t>
      </w:r>
      <w:r w:rsidR="000B21A9">
        <w:rPr>
          <w:rFonts w:eastAsia="Times New Roman" w:cstheme="minorHAnsi"/>
          <w:color w:val="000000"/>
          <w:sz w:val="22"/>
          <w:szCs w:val="22"/>
          <w:lang w:val="en-AU"/>
        </w:rPr>
        <w:t>e</w:t>
      </w:r>
      <w:r w:rsidR="000B21A9" w:rsidRPr="000C33DF">
        <w:rPr>
          <w:rFonts w:eastAsia="Times New Roman" w:cstheme="minorHAnsi"/>
          <w:color w:val="000000"/>
          <w:sz w:val="22"/>
          <w:szCs w:val="22"/>
          <w:lang w:val="en-AU"/>
        </w:rPr>
        <w:t xml:space="preserve">ffective </w:t>
      </w:r>
      <w:r w:rsidR="000B21A9">
        <w:rPr>
          <w:rFonts w:eastAsia="Times New Roman" w:cstheme="minorHAnsi"/>
          <w:color w:val="000000"/>
          <w:sz w:val="22"/>
          <w:szCs w:val="22"/>
          <w:lang w:val="en-AU"/>
        </w:rPr>
        <w:t>a</w:t>
      </w:r>
      <w:r w:rsidR="000B21A9" w:rsidRPr="000C33DF">
        <w:rPr>
          <w:rFonts w:eastAsia="Times New Roman" w:cstheme="minorHAnsi"/>
          <w:color w:val="000000"/>
          <w:sz w:val="22"/>
          <w:szCs w:val="22"/>
          <w:lang w:val="en-AU"/>
        </w:rPr>
        <w:t>rea</w:t>
      </w:r>
      <w:r w:rsidRPr="000C33DF">
        <w:rPr>
          <w:rFonts w:eastAsia="Times New Roman" w:cstheme="minorHAnsi"/>
          <w:color w:val="000000"/>
          <w:sz w:val="22"/>
          <w:szCs w:val="22"/>
          <w:lang w:val="en-AU"/>
        </w:rPr>
        <w:t>-</w:t>
      </w:r>
      <w:r w:rsidR="000B21A9">
        <w:rPr>
          <w:rFonts w:eastAsia="Times New Roman" w:cstheme="minorHAnsi"/>
          <w:color w:val="000000"/>
          <w:sz w:val="22"/>
          <w:szCs w:val="22"/>
          <w:lang w:val="en-AU"/>
        </w:rPr>
        <w:t>b</w:t>
      </w:r>
      <w:r w:rsidR="000B21A9" w:rsidRPr="000C33DF">
        <w:rPr>
          <w:rFonts w:eastAsia="Times New Roman" w:cstheme="minorHAnsi"/>
          <w:color w:val="000000"/>
          <w:sz w:val="22"/>
          <w:szCs w:val="22"/>
          <w:lang w:val="en-AU"/>
        </w:rPr>
        <w:t xml:space="preserve">ased </w:t>
      </w:r>
      <w:r w:rsidR="000B21A9">
        <w:rPr>
          <w:rFonts w:eastAsia="Times New Roman" w:cstheme="minorHAnsi"/>
          <w:color w:val="000000"/>
          <w:sz w:val="22"/>
          <w:szCs w:val="22"/>
          <w:lang w:val="en-AU"/>
        </w:rPr>
        <w:t>c</w:t>
      </w:r>
      <w:r w:rsidR="000B21A9" w:rsidRPr="000C33DF">
        <w:rPr>
          <w:rFonts w:eastAsia="Times New Roman" w:cstheme="minorHAnsi"/>
          <w:color w:val="000000"/>
          <w:sz w:val="22"/>
          <w:szCs w:val="22"/>
          <w:lang w:val="en-AU"/>
        </w:rPr>
        <w:t xml:space="preserve">onservation </w:t>
      </w:r>
      <w:r w:rsidR="000B21A9">
        <w:rPr>
          <w:rFonts w:eastAsia="Times New Roman" w:cstheme="minorHAnsi"/>
          <w:color w:val="000000"/>
          <w:sz w:val="22"/>
          <w:szCs w:val="22"/>
          <w:lang w:val="en-AU"/>
        </w:rPr>
        <w:t>m</w:t>
      </w:r>
      <w:r w:rsidR="000B21A9" w:rsidRPr="000C33DF">
        <w:rPr>
          <w:rFonts w:eastAsia="Times New Roman" w:cstheme="minorHAnsi"/>
          <w:color w:val="000000"/>
          <w:sz w:val="22"/>
          <w:szCs w:val="22"/>
          <w:lang w:val="en-AU"/>
        </w:rPr>
        <w:t xml:space="preserve">easures </w:t>
      </w:r>
      <w:r w:rsidRPr="000C33DF">
        <w:rPr>
          <w:rFonts w:eastAsia="Times New Roman" w:cstheme="minorHAnsi"/>
          <w:color w:val="000000"/>
          <w:sz w:val="22"/>
          <w:szCs w:val="22"/>
          <w:lang w:val="en-AU"/>
        </w:rPr>
        <w:t>(OECMs)</w:t>
      </w:r>
      <w:r w:rsidR="00FA629C" w:rsidRPr="000C33DF">
        <w:rPr>
          <w:rFonts w:eastAsia="Times New Roman" w:cstheme="minorHAnsi"/>
          <w:color w:val="000000"/>
          <w:sz w:val="22"/>
          <w:szCs w:val="22"/>
          <w:lang w:val="en-AU"/>
        </w:rPr>
        <w:t>.</w:t>
      </w:r>
      <w:r w:rsidRPr="000C33DF">
        <w:rPr>
          <w:rFonts w:eastAsia="Times New Roman" w:cstheme="minorHAnsi"/>
          <w:color w:val="000000"/>
          <w:sz w:val="22"/>
          <w:szCs w:val="22"/>
          <w:lang w:val="en-AU"/>
        </w:rPr>
        <w:t xml:space="preserve"> </w:t>
      </w:r>
    </w:p>
    <w:p w14:paraId="62C5F928" w14:textId="71F91040" w:rsidR="00183774" w:rsidRPr="000C33DF" w:rsidRDefault="001837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Technical </w:t>
      </w:r>
      <w:r w:rsidR="00072855" w:rsidRPr="000C33DF">
        <w:rPr>
          <w:rFonts w:eastAsia="Times New Roman" w:cstheme="minorHAnsi"/>
          <w:color w:val="000000"/>
          <w:sz w:val="22"/>
          <w:szCs w:val="22"/>
          <w:lang w:val="en-AU"/>
        </w:rPr>
        <w:t>R</w:t>
      </w:r>
      <w:r w:rsidRPr="000C33DF">
        <w:rPr>
          <w:rFonts w:eastAsia="Times New Roman" w:cstheme="minorHAnsi"/>
          <w:color w:val="000000"/>
          <w:sz w:val="22"/>
          <w:szCs w:val="22"/>
          <w:lang w:val="en-AU"/>
        </w:rPr>
        <w:t xml:space="preserve">eport </w:t>
      </w:r>
      <w:r w:rsidR="00072855" w:rsidRPr="000C33DF">
        <w:rPr>
          <w:rFonts w:eastAsia="Times New Roman" w:cstheme="minorHAnsi"/>
          <w:color w:val="000000"/>
          <w:sz w:val="22"/>
          <w:szCs w:val="22"/>
          <w:lang w:val="en-AU"/>
        </w:rPr>
        <w:t xml:space="preserve">12 </w:t>
      </w:r>
      <w:r w:rsidRPr="000C33DF">
        <w:rPr>
          <w:rFonts w:eastAsia="Times New Roman" w:cstheme="minorHAnsi"/>
          <w:color w:val="000000"/>
          <w:sz w:val="22"/>
          <w:szCs w:val="22"/>
          <w:lang w:val="en-AU"/>
        </w:rPr>
        <w:t>and briefing paper on integrating wetlands into national biodiversity strategies and action plans.</w:t>
      </w:r>
    </w:p>
    <w:p w14:paraId="5C44FC12" w14:textId="7CA0DC34" w:rsidR="00072855" w:rsidRPr="000C33DF" w:rsidRDefault="00072855"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Technical Report 13 providing guidance on wetland mapping for carbon assessments; </w:t>
      </w:r>
    </w:p>
    <w:p w14:paraId="5FF46CFD" w14:textId="15498E2A" w:rsidR="00183774" w:rsidRPr="000C33DF" w:rsidRDefault="001837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Methodology for future Global Wetland Outlooks </w:t>
      </w:r>
      <w:r w:rsidR="00D82A6A" w:rsidRPr="000C33DF">
        <w:rPr>
          <w:rFonts w:eastAsia="Times New Roman" w:cstheme="minorHAnsi"/>
          <w:color w:val="000000"/>
          <w:sz w:val="22"/>
          <w:szCs w:val="22"/>
          <w:lang w:val="en-AU"/>
        </w:rPr>
        <w:t>(</w:t>
      </w:r>
      <w:r w:rsidR="000B21A9">
        <w:rPr>
          <w:rFonts w:eastAsia="Times New Roman" w:cstheme="minorHAnsi"/>
          <w:color w:val="000000"/>
          <w:sz w:val="22"/>
          <w:szCs w:val="22"/>
          <w:lang w:val="en-AU"/>
        </w:rPr>
        <w:t xml:space="preserve">in </w:t>
      </w:r>
      <w:r w:rsidR="00D82A6A" w:rsidRPr="000C33DF">
        <w:rPr>
          <w:rFonts w:eastAsia="Times New Roman" w:cstheme="minorHAnsi"/>
          <w:color w:val="000000"/>
          <w:sz w:val="22"/>
          <w:szCs w:val="22"/>
          <w:lang w:val="en-AU"/>
        </w:rPr>
        <w:t>Annex</w:t>
      </w:r>
      <w:r w:rsidR="00AB39B9" w:rsidRPr="000C33DF">
        <w:rPr>
          <w:rFonts w:eastAsia="Times New Roman" w:cstheme="minorHAnsi"/>
          <w:color w:val="000000"/>
          <w:sz w:val="22"/>
          <w:szCs w:val="22"/>
          <w:lang w:val="en-AU"/>
        </w:rPr>
        <w:t xml:space="preserve"> </w:t>
      </w:r>
      <w:r w:rsidR="00350DAD" w:rsidRPr="000C33DF">
        <w:rPr>
          <w:rFonts w:eastAsia="Times New Roman" w:cstheme="minorHAnsi"/>
          <w:color w:val="000000"/>
          <w:sz w:val="22"/>
          <w:szCs w:val="22"/>
          <w:lang w:val="en-AU"/>
        </w:rPr>
        <w:t xml:space="preserve">4 </w:t>
      </w:r>
      <w:r w:rsidR="000B21A9">
        <w:rPr>
          <w:rFonts w:eastAsia="Times New Roman" w:cstheme="minorHAnsi"/>
          <w:color w:val="000000"/>
          <w:sz w:val="22"/>
          <w:szCs w:val="22"/>
          <w:lang w:val="en-AU"/>
        </w:rPr>
        <w:t xml:space="preserve">of document </w:t>
      </w:r>
      <w:r w:rsidR="00AB39B9" w:rsidRPr="000C33DF">
        <w:rPr>
          <w:rFonts w:eastAsia="Times New Roman" w:cstheme="minorHAnsi"/>
          <w:color w:val="000000"/>
          <w:sz w:val="22"/>
          <w:szCs w:val="22"/>
          <w:lang w:val="en-AU"/>
        </w:rPr>
        <w:t>SC6</w:t>
      </w:r>
      <w:r w:rsidR="00350DAD" w:rsidRPr="000C33DF">
        <w:rPr>
          <w:rFonts w:eastAsia="Times New Roman" w:cstheme="minorHAnsi"/>
          <w:color w:val="000000"/>
          <w:sz w:val="22"/>
          <w:szCs w:val="22"/>
          <w:lang w:val="en-AU"/>
        </w:rPr>
        <w:t>4</w:t>
      </w:r>
      <w:r w:rsidR="00AB39B9" w:rsidRPr="000C33DF">
        <w:rPr>
          <w:rFonts w:eastAsia="Times New Roman" w:cstheme="minorHAnsi"/>
          <w:color w:val="000000"/>
          <w:sz w:val="22"/>
          <w:szCs w:val="22"/>
          <w:lang w:val="en-AU"/>
        </w:rPr>
        <w:t xml:space="preserve"> Doc.1</w:t>
      </w:r>
      <w:r w:rsidR="00350DAD" w:rsidRPr="000C33DF">
        <w:rPr>
          <w:rFonts w:eastAsia="Times New Roman" w:cstheme="minorHAnsi"/>
          <w:color w:val="000000"/>
          <w:sz w:val="22"/>
          <w:szCs w:val="22"/>
          <w:lang w:val="en-AU"/>
        </w:rPr>
        <w:t>8</w:t>
      </w:r>
      <w:r w:rsidR="00AB39B9" w:rsidRPr="000C33DF">
        <w:rPr>
          <w:rFonts w:eastAsia="Times New Roman" w:cstheme="minorHAnsi"/>
          <w:color w:val="000000"/>
          <w:sz w:val="22"/>
          <w:szCs w:val="22"/>
          <w:lang w:val="en-AU"/>
        </w:rPr>
        <w:t>)</w:t>
      </w:r>
      <w:r w:rsidRPr="000C33DF">
        <w:rPr>
          <w:rFonts w:eastAsia="Times New Roman" w:cstheme="minorHAnsi"/>
          <w:color w:val="000000"/>
          <w:sz w:val="22"/>
          <w:szCs w:val="22"/>
          <w:lang w:val="en-AU"/>
        </w:rPr>
        <w:t>.</w:t>
      </w:r>
    </w:p>
    <w:p w14:paraId="1E9F1901" w14:textId="2AF3021D" w:rsidR="00183774" w:rsidRPr="000C33DF" w:rsidRDefault="00D82A6A"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S</w:t>
      </w:r>
      <w:r w:rsidR="00183774" w:rsidRPr="000C33DF">
        <w:rPr>
          <w:rFonts w:eastAsia="Times New Roman" w:cstheme="minorHAnsi"/>
          <w:color w:val="000000"/>
          <w:sz w:val="22"/>
          <w:szCs w:val="22"/>
          <w:lang w:val="en-AU"/>
        </w:rPr>
        <w:t>coping review of legal and policy frameworks</w:t>
      </w:r>
      <w:r w:rsidR="00350DAD" w:rsidRPr="000C33DF">
        <w:rPr>
          <w:rFonts w:eastAsia="Times New Roman" w:cstheme="minorHAnsi"/>
          <w:color w:val="000000"/>
          <w:sz w:val="22"/>
          <w:szCs w:val="22"/>
          <w:lang w:val="en-AU"/>
        </w:rPr>
        <w:t xml:space="preserve"> (</w:t>
      </w:r>
      <w:r w:rsidR="000B21A9">
        <w:rPr>
          <w:rFonts w:eastAsia="Times New Roman" w:cstheme="minorHAnsi"/>
          <w:color w:val="000000"/>
          <w:sz w:val="22"/>
          <w:szCs w:val="22"/>
          <w:lang w:val="en-AU"/>
        </w:rPr>
        <w:t xml:space="preserve">in </w:t>
      </w:r>
      <w:r w:rsidR="00350DAD" w:rsidRPr="000C33DF">
        <w:rPr>
          <w:rFonts w:eastAsia="Times New Roman" w:cstheme="minorHAnsi"/>
          <w:color w:val="000000"/>
          <w:sz w:val="22"/>
          <w:szCs w:val="22"/>
          <w:lang w:val="en-AU"/>
        </w:rPr>
        <w:t xml:space="preserve">Annex 3 </w:t>
      </w:r>
      <w:r w:rsidR="000B21A9">
        <w:rPr>
          <w:rFonts w:eastAsia="Times New Roman" w:cstheme="minorHAnsi"/>
          <w:color w:val="000000"/>
          <w:sz w:val="22"/>
          <w:szCs w:val="22"/>
          <w:lang w:val="en-AU"/>
        </w:rPr>
        <w:t xml:space="preserve">of document </w:t>
      </w:r>
      <w:r w:rsidR="00350DAD" w:rsidRPr="000C33DF">
        <w:rPr>
          <w:rFonts w:eastAsia="Times New Roman" w:cstheme="minorHAnsi"/>
          <w:color w:val="000000"/>
          <w:sz w:val="22"/>
          <w:szCs w:val="22"/>
          <w:lang w:val="en-AU"/>
        </w:rPr>
        <w:t>SC64 Doc.18)</w:t>
      </w:r>
      <w:r w:rsidR="00183774" w:rsidRPr="000C33DF">
        <w:rPr>
          <w:rFonts w:eastAsia="Times New Roman" w:cstheme="minorHAnsi"/>
          <w:color w:val="000000"/>
          <w:sz w:val="22"/>
          <w:szCs w:val="22"/>
          <w:lang w:val="en-AU"/>
        </w:rPr>
        <w:t>.</w:t>
      </w:r>
    </w:p>
    <w:p w14:paraId="22F9BF8E" w14:textId="4EA99AA0" w:rsidR="0008645C" w:rsidRPr="000C33DF" w:rsidRDefault="0008645C"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 xml:space="preserve">Submission from the Convention on Wetlands to the 6th meeting of the Ad Hoc Technical </w:t>
      </w:r>
      <w:r w:rsidR="000B21A9">
        <w:rPr>
          <w:rFonts w:eastAsia="Times New Roman" w:cstheme="minorHAnsi"/>
          <w:color w:val="000000"/>
          <w:sz w:val="22"/>
          <w:szCs w:val="22"/>
          <w:lang w:val="en-AU"/>
        </w:rPr>
        <w:t xml:space="preserve">and </w:t>
      </w:r>
      <w:r w:rsidRPr="000C33DF">
        <w:rPr>
          <w:rFonts w:eastAsia="Times New Roman" w:cstheme="minorHAnsi"/>
          <w:color w:val="000000"/>
          <w:sz w:val="22"/>
          <w:szCs w:val="22"/>
          <w:lang w:val="en-AU"/>
        </w:rPr>
        <w:t xml:space="preserve">Expert Group on Indicators on the effective consideration of wetlands in the </w:t>
      </w:r>
      <w:r w:rsidR="000B21A9" w:rsidRPr="000C33DF">
        <w:rPr>
          <w:rFonts w:eastAsia="Times New Roman" w:cstheme="minorHAnsi"/>
          <w:color w:val="000000"/>
          <w:sz w:val="22"/>
          <w:szCs w:val="22"/>
          <w:lang w:val="en-AU"/>
        </w:rPr>
        <w:t xml:space="preserve">Monitoring Framework </w:t>
      </w:r>
      <w:r w:rsidR="000B21A9">
        <w:rPr>
          <w:rFonts w:eastAsia="Times New Roman" w:cstheme="minorHAnsi"/>
          <w:color w:val="000000"/>
          <w:sz w:val="22"/>
          <w:szCs w:val="22"/>
          <w:lang w:val="en-AU"/>
        </w:rPr>
        <w:t xml:space="preserve">of the Kunming-Montreal Global Biodiversity Framework </w:t>
      </w:r>
      <w:r w:rsidRPr="000C33DF">
        <w:rPr>
          <w:rFonts w:eastAsia="Times New Roman" w:cstheme="minorHAnsi"/>
          <w:color w:val="000000"/>
          <w:sz w:val="22"/>
          <w:szCs w:val="22"/>
          <w:lang w:val="en-AU"/>
        </w:rPr>
        <w:t>(</w:t>
      </w:r>
      <w:r w:rsidR="000B21A9">
        <w:rPr>
          <w:rFonts w:eastAsia="Times New Roman" w:cstheme="minorHAnsi"/>
          <w:color w:val="000000"/>
          <w:sz w:val="22"/>
          <w:szCs w:val="22"/>
          <w:lang w:val="en-AU"/>
        </w:rPr>
        <w:t xml:space="preserve">in information document </w:t>
      </w:r>
      <w:r w:rsidRPr="000C33DF">
        <w:rPr>
          <w:rFonts w:eastAsia="Times New Roman" w:cstheme="minorHAnsi"/>
          <w:color w:val="000000"/>
          <w:sz w:val="22"/>
          <w:szCs w:val="22"/>
          <w:lang w:val="en-AU"/>
        </w:rPr>
        <w:t>SC63 Inf.3).</w:t>
      </w:r>
    </w:p>
    <w:p w14:paraId="01B53310" w14:textId="2E33F723" w:rsidR="003D545F" w:rsidRPr="000C33DF" w:rsidRDefault="009E6D74" w:rsidP="008C4BA0">
      <w:pPr>
        <w:numPr>
          <w:ilvl w:val="1"/>
          <w:numId w:val="20"/>
        </w:numPr>
        <w:ind w:left="1276" w:hanging="425"/>
        <w:rPr>
          <w:rFonts w:eastAsia="Times New Roman" w:cstheme="minorHAnsi"/>
          <w:color w:val="000000"/>
          <w:sz w:val="22"/>
          <w:szCs w:val="22"/>
          <w:lang w:val="en-AU"/>
        </w:rPr>
      </w:pPr>
      <w:r w:rsidRPr="000C33DF">
        <w:rPr>
          <w:rFonts w:eastAsia="Times New Roman" w:cstheme="minorHAnsi"/>
          <w:color w:val="000000"/>
          <w:sz w:val="22"/>
          <w:szCs w:val="22"/>
          <w:lang w:val="en-AU"/>
        </w:rPr>
        <w:t>Joint online training course: Wetlands and agriculture - Pathways to sustainability (</w:t>
      </w:r>
      <w:r w:rsidR="000B21A9">
        <w:rPr>
          <w:rFonts w:eastAsia="Times New Roman" w:cstheme="minorHAnsi"/>
          <w:color w:val="000000"/>
          <w:sz w:val="22"/>
          <w:szCs w:val="22"/>
          <w:lang w:val="en-AU"/>
        </w:rPr>
        <w:t xml:space="preserve">in the </w:t>
      </w:r>
      <w:r w:rsidRPr="000C33DF">
        <w:rPr>
          <w:rFonts w:eastAsia="Times New Roman" w:cstheme="minorHAnsi"/>
          <w:color w:val="000000"/>
          <w:sz w:val="22"/>
          <w:szCs w:val="22"/>
          <w:lang w:val="en-AU"/>
        </w:rPr>
        <w:t>FAO elearning Academy).</w:t>
      </w:r>
    </w:p>
    <w:p w14:paraId="6E34B949" w14:textId="77777777" w:rsidR="00183774" w:rsidRPr="000C33DF" w:rsidRDefault="00183774" w:rsidP="008C4BA0">
      <w:pPr>
        <w:rPr>
          <w:rFonts w:eastAsia="Times New Roman" w:cstheme="minorHAnsi"/>
          <w:color w:val="000000"/>
          <w:sz w:val="22"/>
          <w:szCs w:val="22"/>
          <w:highlight w:val="yellow"/>
          <w:lang w:val="en-GB"/>
        </w:rPr>
      </w:pPr>
    </w:p>
    <w:p w14:paraId="6EAA8ACF" w14:textId="2189D1AC" w:rsidR="00BC2E1D" w:rsidRPr="000C33DF" w:rsidRDefault="00BC2E1D" w:rsidP="008C4BA0">
      <w:pPr>
        <w:pStyle w:val="ListParagraph"/>
        <w:numPr>
          <w:ilvl w:val="0"/>
          <w:numId w:val="6"/>
        </w:numPr>
        <w:ind w:left="851" w:hanging="425"/>
        <w:rPr>
          <w:rFonts w:eastAsia="Times New Roman" w:cstheme="minorHAnsi"/>
          <w:color w:val="000000"/>
          <w:sz w:val="22"/>
          <w:szCs w:val="22"/>
          <w:lang w:val="en-GB"/>
        </w:rPr>
      </w:pPr>
      <w:r w:rsidRPr="000C33DF">
        <w:rPr>
          <w:rFonts w:eastAsia="Times New Roman" w:cstheme="minorHAnsi"/>
          <w:color w:val="000000"/>
          <w:sz w:val="22"/>
          <w:szCs w:val="22"/>
          <w:lang w:val="en-GB"/>
        </w:rPr>
        <w:t xml:space="preserve">Several </w:t>
      </w:r>
      <w:r w:rsidRPr="000C33DF">
        <w:rPr>
          <w:rFonts w:cstheme="minorHAnsi"/>
          <w:sz w:val="22"/>
          <w:szCs w:val="22"/>
          <w:lang w:val="en"/>
        </w:rPr>
        <w:t>STRP</w:t>
      </w:r>
      <w:r w:rsidRPr="000C33DF">
        <w:rPr>
          <w:rFonts w:eastAsia="Times New Roman" w:cstheme="minorHAnsi"/>
          <w:color w:val="000000"/>
          <w:sz w:val="22"/>
          <w:szCs w:val="22"/>
          <w:lang w:val="en-GB"/>
        </w:rPr>
        <w:t xml:space="preserve"> outputs will be </w:t>
      </w:r>
      <w:r w:rsidR="000B21A9" w:rsidRPr="000C33DF">
        <w:rPr>
          <w:rFonts w:eastAsia="Times New Roman" w:cstheme="minorHAnsi"/>
          <w:color w:val="000000"/>
          <w:sz w:val="22"/>
          <w:szCs w:val="22"/>
          <w:lang w:val="en-GB"/>
        </w:rPr>
        <w:t>finali</w:t>
      </w:r>
      <w:r w:rsidR="000B21A9">
        <w:rPr>
          <w:rFonts w:eastAsia="Times New Roman" w:cstheme="minorHAnsi"/>
          <w:color w:val="000000"/>
          <w:sz w:val="22"/>
          <w:szCs w:val="22"/>
          <w:lang w:val="en-GB"/>
        </w:rPr>
        <w:t>z</w:t>
      </w:r>
      <w:r w:rsidR="000B21A9" w:rsidRPr="000C33DF">
        <w:rPr>
          <w:rFonts w:eastAsia="Times New Roman" w:cstheme="minorHAnsi"/>
          <w:color w:val="000000"/>
          <w:sz w:val="22"/>
          <w:szCs w:val="22"/>
          <w:lang w:val="en-GB"/>
        </w:rPr>
        <w:t xml:space="preserve">ed </w:t>
      </w:r>
      <w:r w:rsidRPr="000C33DF">
        <w:rPr>
          <w:rFonts w:eastAsia="Times New Roman" w:cstheme="minorHAnsi"/>
          <w:color w:val="000000"/>
          <w:sz w:val="22"/>
          <w:szCs w:val="22"/>
          <w:lang w:val="en-GB"/>
        </w:rPr>
        <w:t xml:space="preserve">and published in the period leading up to COP15. These include: </w:t>
      </w:r>
    </w:p>
    <w:p w14:paraId="1F9C132C" w14:textId="163AE8B1" w:rsidR="00BC2E1D" w:rsidRPr="000C33DF" w:rsidRDefault="00BC2E1D" w:rsidP="008C4BA0">
      <w:pPr>
        <w:numPr>
          <w:ilvl w:val="1"/>
          <w:numId w:val="23"/>
        </w:numPr>
        <w:rPr>
          <w:rFonts w:eastAsia="Times New Roman" w:cstheme="minorHAnsi"/>
          <w:color w:val="000000"/>
          <w:sz w:val="22"/>
          <w:szCs w:val="22"/>
          <w:lang w:val="en-AU"/>
        </w:rPr>
      </w:pPr>
      <w:r w:rsidRPr="000C33DF">
        <w:rPr>
          <w:rFonts w:eastAsia="Times New Roman" w:cstheme="minorHAnsi"/>
          <w:color w:val="000000"/>
          <w:sz w:val="22"/>
          <w:szCs w:val="22"/>
          <w:lang w:val="en-AU"/>
        </w:rPr>
        <w:t>Global Wetland Outlook: Special Edition 2025, which will provide an economic perspective on wetland loss and degradation, investment needs and policy responses.</w:t>
      </w:r>
    </w:p>
    <w:p w14:paraId="41984F15" w14:textId="793FD4C5" w:rsidR="00BC2E1D" w:rsidRPr="000C33DF" w:rsidRDefault="004E3BCE" w:rsidP="008C4BA0">
      <w:pPr>
        <w:numPr>
          <w:ilvl w:val="1"/>
          <w:numId w:val="23"/>
        </w:numPr>
        <w:rPr>
          <w:rFonts w:eastAsia="Times New Roman" w:cstheme="minorHAnsi"/>
          <w:color w:val="000000"/>
          <w:sz w:val="22"/>
          <w:szCs w:val="22"/>
          <w:lang w:val="en-AU"/>
        </w:rPr>
      </w:pPr>
      <w:r w:rsidRPr="000C33DF">
        <w:rPr>
          <w:rFonts w:eastAsia="Times New Roman" w:cstheme="minorHAnsi"/>
          <w:color w:val="000000"/>
          <w:sz w:val="22"/>
          <w:szCs w:val="22"/>
          <w:lang w:val="en-AU"/>
        </w:rPr>
        <w:t>T</w:t>
      </w:r>
      <w:r w:rsidR="00BC2E1D" w:rsidRPr="000C33DF">
        <w:rPr>
          <w:rFonts w:eastAsia="Times New Roman" w:cstheme="minorHAnsi"/>
          <w:color w:val="000000"/>
          <w:sz w:val="22"/>
          <w:szCs w:val="22"/>
          <w:lang w:val="en-AU"/>
        </w:rPr>
        <w:t>echnical report and briefing note on climate change and wetlands (Task</w:t>
      </w:r>
      <w:r w:rsidR="00406994">
        <w:rPr>
          <w:rFonts w:eastAsia="Times New Roman" w:cstheme="minorHAnsi"/>
          <w:color w:val="000000"/>
          <w:sz w:val="22"/>
          <w:szCs w:val="22"/>
          <w:lang w:val="en-AU"/>
        </w:rPr>
        <w:t>s</w:t>
      </w:r>
      <w:r w:rsidR="00BC2E1D" w:rsidRPr="000C33DF">
        <w:rPr>
          <w:rFonts w:eastAsia="Times New Roman" w:cstheme="minorHAnsi"/>
          <w:color w:val="000000"/>
          <w:sz w:val="22"/>
          <w:szCs w:val="22"/>
          <w:lang w:val="en-AU"/>
        </w:rPr>
        <w:t xml:space="preserve"> 3.1 and 3.2), which compile updated information on the current and projected impacts of climate change on the world's wetlands, and responses across regions and wetland types. </w:t>
      </w:r>
    </w:p>
    <w:p w14:paraId="0B1EB924" w14:textId="2621C409" w:rsidR="00BC2E1D" w:rsidRPr="000C33DF" w:rsidRDefault="004E3BCE" w:rsidP="008C4BA0">
      <w:pPr>
        <w:numPr>
          <w:ilvl w:val="1"/>
          <w:numId w:val="23"/>
        </w:numPr>
        <w:rPr>
          <w:rFonts w:eastAsia="Times New Roman" w:cstheme="minorHAnsi"/>
          <w:color w:val="000000"/>
          <w:sz w:val="22"/>
          <w:szCs w:val="22"/>
          <w:lang w:val="en-AU"/>
        </w:rPr>
      </w:pPr>
      <w:r w:rsidRPr="000C33DF">
        <w:rPr>
          <w:rFonts w:eastAsia="Times New Roman" w:cstheme="minorHAnsi"/>
          <w:color w:val="000000"/>
          <w:sz w:val="22"/>
          <w:szCs w:val="22"/>
          <w:lang w:val="en-AU"/>
        </w:rPr>
        <w:t>T</w:t>
      </w:r>
      <w:r w:rsidR="00BC2E1D" w:rsidRPr="000C33DF">
        <w:rPr>
          <w:rFonts w:eastAsia="Times New Roman" w:cstheme="minorHAnsi"/>
          <w:color w:val="000000"/>
          <w:sz w:val="22"/>
          <w:szCs w:val="22"/>
          <w:lang w:val="en-AU"/>
        </w:rPr>
        <w:t xml:space="preserve">echnical report and policy brief on wetlands and agriculture (Task 3.3), focusing on restoration and wise use in agricultural landscapes, developed in partnership with </w:t>
      </w:r>
      <w:r w:rsidR="00406994">
        <w:rPr>
          <w:rFonts w:eastAsia="Times New Roman" w:cstheme="minorHAnsi"/>
          <w:color w:val="000000"/>
          <w:sz w:val="22"/>
          <w:szCs w:val="22"/>
          <w:lang w:val="en-AU"/>
        </w:rPr>
        <w:t xml:space="preserve">the UN </w:t>
      </w:r>
      <w:r w:rsidR="00BC2E1D" w:rsidRPr="000C33DF">
        <w:rPr>
          <w:rFonts w:eastAsia="Times New Roman" w:cstheme="minorHAnsi"/>
          <w:color w:val="000000"/>
          <w:sz w:val="22"/>
          <w:szCs w:val="22"/>
          <w:lang w:val="en-AU"/>
        </w:rPr>
        <w:t>F</w:t>
      </w:r>
      <w:r w:rsidR="00406994">
        <w:rPr>
          <w:rFonts w:eastAsia="Times New Roman" w:cstheme="minorHAnsi"/>
          <w:color w:val="000000"/>
          <w:sz w:val="22"/>
          <w:szCs w:val="22"/>
          <w:lang w:val="en-AU"/>
        </w:rPr>
        <w:t xml:space="preserve">ood and </w:t>
      </w:r>
      <w:r w:rsidR="00BC2E1D" w:rsidRPr="000C33DF">
        <w:rPr>
          <w:rFonts w:eastAsia="Times New Roman" w:cstheme="minorHAnsi"/>
          <w:color w:val="000000"/>
          <w:sz w:val="22"/>
          <w:szCs w:val="22"/>
          <w:lang w:val="en-AU"/>
        </w:rPr>
        <w:t>A</w:t>
      </w:r>
      <w:r w:rsidR="00406994">
        <w:rPr>
          <w:rFonts w:eastAsia="Times New Roman" w:cstheme="minorHAnsi"/>
          <w:color w:val="000000"/>
          <w:sz w:val="22"/>
          <w:szCs w:val="22"/>
          <w:lang w:val="en-AU"/>
        </w:rPr>
        <w:t xml:space="preserve">griculture </w:t>
      </w:r>
      <w:r w:rsidR="00BC2E1D" w:rsidRPr="000C33DF">
        <w:rPr>
          <w:rFonts w:eastAsia="Times New Roman" w:cstheme="minorHAnsi"/>
          <w:color w:val="000000"/>
          <w:sz w:val="22"/>
          <w:szCs w:val="22"/>
          <w:lang w:val="en-AU"/>
        </w:rPr>
        <w:t>O</w:t>
      </w:r>
      <w:r w:rsidR="00406994">
        <w:rPr>
          <w:rFonts w:eastAsia="Times New Roman" w:cstheme="minorHAnsi"/>
          <w:color w:val="000000"/>
          <w:sz w:val="22"/>
          <w:szCs w:val="22"/>
          <w:lang w:val="en-AU"/>
        </w:rPr>
        <w:t>rganization (FAO)</w:t>
      </w:r>
      <w:r w:rsidR="00BC2E1D" w:rsidRPr="000C33DF">
        <w:rPr>
          <w:rFonts w:eastAsia="Times New Roman" w:cstheme="minorHAnsi"/>
          <w:color w:val="000000"/>
          <w:sz w:val="22"/>
          <w:szCs w:val="22"/>
          <w:lang w:val="en-AU"/>
        </w:rPr>
        <w:t xml:space="preserve">. </w:t>
      </w:r>
    </w:p>
    <w:p w14:paraId="77933C1E" w14:textId="0AC01533" w:rsidR="00BA4ED6" w:rsidRPr="000C33DF" w:rsidRDefault="004E3BCE" w:rsidP="008C4BA0">
      <w:pPr>
        <w:numPr>
          <w:ilvl w:val="1"/>
          <w:numId w:val="23"/>
        </w:numPr>
        <w:rPr>
          <w:rFonts w:eastAsia="Times New Roman" w:cstheme="minorHAnsi"/>
          <w:color w:val="000000"/>
          <w:sz w:val="22"/>
          <w:szCs w:val="22"/>
          <w:lang w:val="en-AU"/>
        </w:rPr>
      </w:pPr>
      <w:r w:rsidRPr="000C33DF">
        <w:rPr>
          <w:rFonts w:eastAsia="Times New Roman" w:cstheme="minorHAnsi"/>
          <w:color w:val="000000"/>
          <w:sz w:val="22"/>
          <w:szCs w:val="22"/>
          <w:lang w:val="en-AU"/>
        </w:rPr>
        <w:t>B</w:t>
      </w:r>
      <w:r w:rsidR="00BC2E1D" w:rsidRPr="000C33DF">
        <w:rPr>
          <w:rFonts w:eastAsia="Times New Roman" w:cstheme="minorHAnsi"/>
          <w:color w:val="000000"/>
          <w:sz w:val="22"/>
          <w:szCs w:val="22"/>
          <w:lang w:val="en-AU"/>
        </w:rPr>
        <w:t>riefing note on integrating wetlands into national sustainable development strategies (Task 4.3), aimed at supporting coherent policy alignment at the national level.</w:t>
      </w:r>
    </w:p>
    <w:p w14:paraId="6106EED1" w14:textId="77777777" w:rsidR="00BA4ED6" w:rsidRPr="000C33DF" w:rsidRDefault="00BA4ED6" w:rsidP="008C4BA0">
      <w:pPr>
        <w:rPr>
          <w:rFonts w:eastAsia="Times New Roman" w:cstheme="minorHAnsi"/>
          <w:color w:val="000000"/>
          <w:sz w:val="22"/>
          <w:szCs w:val="22"/>
          <w:lang w:val="en-GB"/>
        </w:rPr>
      </w:pPr>
    </w:p>
    <w:p w14:paraId="4A057D53" w14:textId="7B29A6E1" w:rsidR="00A478EA" w:rsidRPr="00406994" w:rsidRDefault="00406994" w:rsidP="008C4BA0">
      <w:pPr>
        <w:pStyle w:val="BodyText"/>
        <w:widowControl/>
        <w:ind w:left="425" w:hanging="425"/>
        <w:rPr>
          <w:rFonts w:asciiTheme="minorHAnsi" w:hAnsiTheme="minorHAnsi" w:cstheme="minorHAnsi"/>
          <w:lang w:val="en-AU"/>
        </w:rPr>
      </w:pPr>
      <w:r>
        <w:rPr>
          <w:rFonts w:asciiTheme="minorHAnsi" w:hAnsiTheme="minorHAnsi" w:cstheme="minorHAnsi"/>
          <w:lang w:val="en-AU"/>
        </w:rPr>
        <w:t>15.</w:t>
      </w:r>
      <w:r>
        <w:rPr>
          <w:rFonts w:asciiTheme="minorHAnsi" w:hAnsiTheme="minorHAnsi" w:cstheme="minorHAnsi"/>
          <w:lang w:val="en-AU"/>
        </w:rPr>
        <w:tab/>
      </w:r>
      <w:r w:rsidR="00B45B26" w:rsidRPr="00406994">
        <w:rPr>
          <w:rFonts w:asciiTheme="minorHAnsi" w:hAnsiTheme="minorHAnsi" w:cstheme="minorHAnsi"/>
          <w:lang w:val="en-AU"/>
        </w:rPr>
        <w:t xml:space="preserve">The Secretariat </w:t>
      </w:r>
      <w:r w:rsidR="00903735" w:rsidRPr="00406994">
        <w:rPr>
          <w:rFonts w:asciiTheme="minorHAnsi" w:hAnsiTheme="minorHAnsi" w:cstheme="minorHAnsi"/>
          <w:lang w:val="en-AU"/>
        </w:rPr>
        <w:t>welcomes the opportunity to support contracting Parties in the further implementation of CEPA</w:t>
      </w:r>
      <w:r w:rsidR="00B2026E" w:rsidRPr="00406994">
        <w:rPr>
          <w:rFonts w:asciiTheme="minorHAnsi" w:hAnsiTheme="minorHAnsi" w:cstheme="minorHAnsi"/>
          <w:lang w:val="en-AU"/>
        </w:rPr>
        <w:t xml:space="preserve"> during the next triennium as instructed by the draft resolution on CEPA to be considered and adopted by COP15. </w:t>
      </w:r>
    </w:p>
    <w:sectPr w:rsidR="00A478EA" w:rsidRPr="00406994" w:rsidSect="004C6F51">
      <w:footerReference w:type="defaul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4259" w14:textId="77777777" w:rsidR="00E04E86" w:rsidRDefault="00E04E86" w:rsidP="00625BC9">
      <w:r>
        <w:separator/>
      </w:r>
    </w:p>
  </w:endnote>
  <w:endnote w:type="continuationSeparator" w:id="0">
    <w:p w14:paraId="149EB3E1" w14:textId="77777777" w:rsidR="00E04E86" w:rsidRDefault="00E04E86" w:rsidP="00625BC9">
      <w:r>
        <w:continuationSeparator/>
      </w:r>
    </w:p>
  </w:endnote>
  <w:endnote w:type="continuationNotice" w:id="1">
    <w:p w14:paraId="48DCFF66" w14:textId="77777777" w:rsidR="00E04E86" w:rsidRDefault="00E0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5A6" w14:textId="15F1BBE7" w:rsidR="00F30A19" w:rsidRPr="00F30A19" w:rsidRDefault="00716389">
    <w:pPr>
      <w:pStyle w:val="Footer"/>
      <w:rPr>
        <w:sz w:val="20"/>
        <w:szCs w:val="20"/>
        <w:lang w:val="en-GB"/>
      </w:rPr>
    </w:pPr>
    <w:r>
      <w:rPr>
        <w:sz w:val="20"/>
        <w:szCs w:val="20"/>
        <w:lang w:val="en-GB"/>
      </w:rPr>
      <w:t>COP15</w:t>
    </w:r>
    <w:r w:rsidR="00F30A19" w:rsidRPr="00F30A19">
      <w:rPr>
        <w:sz w:val="20"/>
        <w:szCs w:val="20"/>
        <w:lang w:val="en-GB"/>
      </w:rPr>
      <w:t xml:space="preserve"> Doc.</w:t>
    </w:r>
    <w:r>
      <w:rPr>
        <w:sz w:val="20"/>
        <w:szCs w:val="20"/>
        <w:lang w:val="en-GB"/>
      </w:rPr>
      <w:t>10</w:t>
    </w:r>
    <w:r w:rsidR="00F30A19" w:rsidRPr="00F30A19">
      <w:rPr>
        <w:sz w:val="20"/>
        <w:szCs w:val="20"/>
        <w:lang w:val="en-GB"/>
      </w:rPr>
      <w:tab/>
    </w:r>
    <w:r w:rsidR="00F30A19" w:rsidRPr="00F30A19">
      <w:rPr>
        <w:sz w:val="20"/>
        <w:szCs w:val="20"/>
        <w:lang w:val="en-GB"/>
      </w:rPr>
      <w:tab/>
    </w:r>
    <w:r w:rsidR="00F30A19" w:rsidRPr="00F30A19">
      <w:rPr>
        <w:sz w:val="20"/>
        <w:szCs w:val="20"/>
        <w:lang w:val="en-GB"/>
      </w:rPr>
      <w:fldChar w:fldCharType="begin"/>
    </w:r>
    <w:r w:rsidR="00F30A19" w:rsidRPr="00F30A19">
      <w:rPr>
        <w:sz w:val="20"/>
        <w:szCs w:val="20"/>
        <w:lang w:val="en-GB"/>
      </w:rPr>
      <w:instrText xml:space="preserve"> PAGE   \* MERGEFORMAT </w:instrText>
    </w:r>
    <w:r w:rsidR="00F30A19" w:rsidRPr="00F30A19">
      <w:rPr>
        <w:sz w:val="20"/>
        <w:szCs w:val="20"/>
        <w:lang w:val="en-GB"/>
      </w:rPr>
      <w:fldChar w:fldCharType="separate"/>
    </w:r>
    <w:r w:rsidR="004F78DE">
      <w:rPr>
        <w:noProof/>
        <w:sz w:val="20"/>
        <w:szCs w:val="20"/>
        <w:lang w:val="en-GB"/>
      </w:rPr>
      <w:t>2</w:t>
    </w:r>
    <w:r w:rsidR="00F30A19" w:rsidRPr="00F30A19">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6477" w14:textId="77777777" w:rsidR="00E04E86" w:rsidRDefault="00E04E86" w:rsidP="00625BC9">
      <w:r>
        <w:separator/>
      </w:r>
    </w:p>
  </w:footnote>
  <w:footnote w:type="continuationSeparator" w:id="0">
    <w:p w14:paraId="26EB57CB" w14:textId="77777777" w:rsidR="00E04E86" w:rsidRDefault="00E04E86" w:rsidP="00625BC9">
      <w:r>
        <w:continuationSeparator/>
      </w:r>
    </w:p>
  </w:footnote>
  <w:footnote w:type="continuationNotice" w:id="1">
    <w:p w14:paraId="1B8C1E25" w14:textId="77777777" w:rsidR="00E04E86" w:rsidRDefault="00E04E86"/>
  </w:footnote>
  <w:footnote w:id="2">
    <w:p w14:paraId="0DEF112F" w14:textId="3A6CB50E" w:rsidR="0078526B" w:rsidRPr="0078526B" w:rsidRDefault="0078526B">
      <w:pPr>
        <w:pStyle w:val="FootnoteText"/>
        <w:rPr>
          <w:lang w:val="en-GB"/>
        </w:rPr>
      </w:pPr>
      <w:r>
        <w:rPr>
          <w:rStyle w:val="FootnoteReference"/>
        </w:rPr>
        <w:footnoteRef/>
      </w:r>
      <w:r w:rsidRPr="0078526B">
        <w:rPr>
          <w:lang w:val="en-GB"/>
        </w:rPr>
        <w:t xml:space="preserve"> </w:t>
      </w:r>
      <w:r>
        <w:rPr>
          <w:lang w:val="en-GB"/>
        </w:rPr>
        <w:t>See document COP15 Doc.</w:t>
      </w:r>
      <w:r w:rsidRPr="0078526B">
        <w:rPr>
          <w:lang w:val="en-GB"/>
        </w:rPr>
        <w:t>23.6</w:t>
      </w:r>
      <w:r>
        <w:rPr>
          <w:lang w:val="en-GB"/>
        </w:rPr>
        <w:t xml:space="preserve"> at </w:t>
      </w:r>
      <w:hyperlink r:id="rId1" w:history="1">
        <w:r w:rsidR="00051285" w:rsidRPr="00575DFB">
          <w:rPr>
            <w:rStyle w:val="Hyperlink"/>
            <w:lang w:val="en-GB"/>
          </w:rPr>
          <w:t>https://www.ramsar.org/document/cop15-doc236-communication-capacity-building-education-participation-awareness-cepa-draft</w:t>
        </w:r>
      </w:hyperlink>
      <w:r>
        <w:rPr>
          <w:lang w:val="en-GB"/>
        </w:rPr>
        <w:t>.</w:t>
      </w:r>
    </w:p>
  </w:footnote>
  <w:footnote w:id="3">
    <w:p w14:paraId="348AACB9" w14:textId="08AFAF24" w:rsidR="001E5633" w:rsidRPr="001E5633" w:rsidRDefault="001E5633">
      <w:pPr>
        <w:pStyle w:val="FootnoteText"/>
        <w:rPr>
          <w:lang w:val="en-GB"/>
        </w:rPr>
      </w:pPr>
      <w:r>
        <w:rPr>
          <w:rStyle w:val="FootnoteReference"/>
        </w:rPr>
        <w:footnoteRef/>
      </w:r>
      <w:r w:rsidRPr="001E5633">
        <w:rPr>
          <w:lang w:val="en-GB"/>
        </w:rPr>
        <w:t xml:space="preserve"> </w:t>
      </w:r>
      <w:r>
        <w:rPr>
          <w:lang w:val="en-GB"/>
        </w:rPr>
        <w:t>See</w:t>
      </w:r>
      <w:r w:rsidR="004A13F4">
        <w:rPr>
          <w:lang w:val="en-GB"/>
        </w:rPr>
        <w:t xml:space="preserve"> </w:t>
      </w:r>
      <w:hyperlink r:id="rId2" w:history="1">
        <w:r w:rsidR="004A13F4" w:rsidRPr="0006376F">
          <w:rPr>
            <w:rStyle w:val="Hyperlink"/>
            <w:lang w:val="en-GB"/>
          </w:rPr>
          <w:t>https://www.ramsar.org/document/handbook-6-people-wetlands-convention-wetlands-cepa-programme</w:t>
        </w:r>
      </w:hyperlink>
      <w:r>
        <w:rPr>
          <w:lang w:val="en-GB"/>
        </w:rPr>
        <w:t xml:space="preserve">. </w:t>
      </w:r>
    </w:p>
  </w:footnote>
  <w:footnote w:id="4">
    <w:p w14:paraId="61570069" w14:textId="7A66D38E" w:rsidR="003F148A" w:rsidRPr="003F148A" w:rsidRDefault="003F148A">
      <w:pPr>
        <w:pStyle w:val="FootnoteText"/>
        <w:rPr>
          <w:lang w:val="en-GB"/>
        </w:rPr>
      </w:pPr>
      <w:r w:rsidRPr="003F148A">
        <w:rPr>
          <w:rStyle w:val="FootnoteReference"/>
        </w:rPr>
        <w:footnoteRef/>
      </w:r>
      <w:r w:rsidRPr="003F148A">
        <w:rPr>
          <w:lang w:val="en-GB"/>
        </w:rPr>
        <w:t xml:space="preserve"> Data sourced from Meltwater analytics.</w:t>
      </w:r>
    </w:p>
  </w:footnote>
  <w:footnote w:id="5">
    <w:p w14:paraId="6AA153A6" w14:textId="61C17BE0" w:rsidR="00A4286E" w:rsidRPr="00A4286E" w:rsidRDefault="00A4286E">
      <w:pPr>
        <w:pStyle w:val="FootnoteText"/>
        <w:rPr>
          <w:lang w:val="en-GB"/>
        </w:rPr>
      </w:pPr>
      <w:r w:rsidRPr="00A4286E">
        <w:rPr>
          <w:rStyle w:val="FootnoteReference"/>
        </w:rPr>
        <w:footnoteRef/>
      </w:r>
      <w:r w:rsidRPr="00A4286E">
        <w:rPr>
          <w:lang w:val="en-GB"/>
        </w:rPr>
        <w:t xml:space="preserve"> See </w:t>
      </w:r>
      <w:r w:rsidRPr="00A4286E">
        <w:rPr>
          <w:rFonts w:eastAsiaTheme="majorEastAsia" w:cstheme="minorHAnsi"/>
          <w:lang w:val="en-AU"/>
        </w:rPr>
        <w:t xml:space="preserve">: </w:t>
      </w:r>
      <w:hyperlink r:id="rId3">
        <w:r w:rsidRPr="00A4286E">
          <w:rPr>
            <w:rStyle w:val="Hyperlink"/>
            <w:rFonts w:eastAsiaTheme="majorEastAsia" w:cstheme="minorHAnsi"/>
            <w:lang w:val="en-AU"/>
          </w:rPr>
          <w:t>https://elearning.informea.org/</w:t>
        </w:r>
      </w:hyperlink>
      <w:r w:rsidRPr="00A4286E">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718"/>
    <w:multiLevelType w:val="hybridMultilevel"/>
    <w:tmpl w:val="6FD25A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A28C1"/>
    <w:multiLevelType w:val="multilevel"/>
    <w:tmpl w:val="E5522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A4154"/>
    <w:multiLevelType w:val="hybridMultilevel"/>
    <w:tmpl w:val="028C3786"/>
    <w:lvl w:ilvl="0" w:tplc="0C090003">
      <w:start w:val="1"/>
      <w:numFmt w:val="bullet"/>
      <w:lvlText w:val="o"/>
      <w:lvlJc w:val="left"/>
      <w:pPr>
        <w:ind w:left="1440" w:hanging="360"/>
      </w:pPr>
      <w:rPr>
        <w:rFonts w:ascii="Courier New" w:hAnsi="Courier New" w:cs="Courier New" w:hint="default"/>
      </w:rPr>
    </w:lvl>
    <w:lvl w:ilvl="1" w:tplc="CD083844">
      <w:start w:val="1"/>
      <w:numFmt w:val="bullet"/>
      <w:lvlText w:val="o"/>
      <w:lvlJc w:val="left"/>
      <w:pPr>
        <w:ind w:left="2160" w:hanging="360"/>
      </w:pPr>
      <w:rPr>
        <w:rFonts w:ascii="Courier New" w:hAnsi="Courier New" w:cs="Times New Roman" w:hint="default"/>
      </w:rPr>
    </w:lvl>
    <w:lvl w:ilvl="2" w:tplc="E94470F0">
      <w:start w:val="1"/>
      <w:numFmt w:val="bullet"/>
      <w:lvlText w:val=""/>
      <w:lvlJc w:val="left"/>
      <w:pPr>
        <w:ind w:left="2880" w:hanging="360"/>
      </w:pPr>
      <w:rPr>
        <w:rFonts w:ascii="Wingdings" w:hAnsi="Wingdings" w:hint="default"/>
      </w:rPr>
    </w:lvl>
    <w:lvl w:ilvl="3" w:tplc="2E167E04">
      <w:start w:val="1"/>
      <w:numFmt w:val="bullet"/>
      <w:lvlText w:val=""/>
      <w:lvlJc w:val="left"/>
      <w:pPr>
        <w:ind w:left="3600" w:hanging="360"/>
      </w:pPr>
      <w:rPr>
        <w:rFonts w:ascii="Symbol" w:hAnsi="Symbol" w:hint="default"/>
      </w:rPr>
    </w:lvl>
    <w:lvl w:ilvl="4" w:tplc="D2A4702A">
      <w:start w:val="1"/>
      <w:numFmt w:val="bullet"/>
      <w:lvlText w:val="o"/>
      <w:lvlJc w:val="left"/>
      <w:pPr>
        <w:ind w:left="4320" w:hanging="360"/>
      </w:pPr>
      <w:rPr>
        <w:rFonts w:ascii="Courier New" w:hAnsi="Courier New" w:cs="Times New Roman" w:hint="default"/>
      </w:rPr>
    </w:lvl>
    <w:lvl w:ilvl="5" w:tplc="68F893EC">
      <w:start w:val="1"/>
      <w:numFmt w:val="bullet"/>
      <w:lvlText w:val=""/>
      <w:lvlJc w:val="left"/>
      <w:pPr>
        <w:ind w:left="5040" w:hanging="360"/>
      </w:pPr>
      <w:rPr>
        <w:rFonts w:ascii="Wingdings" w:hAnsi="Wingdings" w:hint="default"/>
      </w:rPr>
    </w:lvl>
    <w:lvl w:ilvl="6" w:tplc="4BC09478">
      <w:start w:val="1"/>
      <w:numFmt w:val="bullet"/>
      <w:lvlText w:val=""/>
      <w:lvlJc w:val="left"/>
      <w:pPr>
        <w:ind w:left="5760" w:hanging="360"/>
      </w:pPr>
      <w:rPr>
        <w:rFonts w:ascii="Symbol" w:hAnsi="Symbol" w:hint="default"/>
      </w:rPr>
    </w:lvl>
    <w:lvl w:ilvl="7" w:tplc="2C6C7D4A">
      <w:start w:val="1"/>
      <w:numFmt w:val="bullet"/>
      <w:lvlText w:val="o"/>
      <w:lvlJc w:val="left"/>
      <w:pPr>
        <w:ind w:left="6480" w:hanging="360"/>
      </w:pPr>
      <w:rPr>
        <w:rFonts w:ascii="Courier New" w:hAnsi="Courier New" w:cs="Times New Roman" w:hint="default"/>
      </w:rPr>
    </w:lvl>
    <w:lvl w:ilvl="8" w:tplc="20604AE0">
      <w:start w:val="1"/>
      <w:numFmt w:val="bullet"/>
      <w:lvlText w:val=""/>
      <w:lvlJc w:val="left"/>
      <w:pPr>
        <w:ind w:left="7200" w:hanging="360"/>
      </w:pPr>
      <w:rPr>
        <w:rFonts w:ascii="Wingdings" w:hAnsi="Wingdings" w:hint="default"/>
      </w:rPr>
    </w:lvl>
  </w:abstractNum>
  <w:abstractNum w:abstractNumId="5" w15:restartNumberingAfterBreak="0">
    <w:nsid w:val="3022374E"/>
    <w:multiLevelType w:val="hybridMultilevel"/>
    <w:tmpl w:val="C10A451C"/>
    <w:lvl w:ilvl="0" w:tplc="08090003">
      <w:start w:val="1"/>
      <w:numFmt w:val="bullet"/>
      <w:lvlText w:val="o"/>
      <w:lvlJc w:val="left"/>
      <w:pPr>
        <w:ind w:left="1545" w:hanging="360"/>
      </w:pPr>
      <w:rPr>
        <w:rFonts w:ascii="Courier New" w:hAnsi="Courier New" w:cs="Courier New" w:hint="default"/>
      </w:rPr>
    </w:lvl>
    <w:lvl w:ilvl="1" w:tplc="08090003">
      <w:start w:val="1"/>
      <w:numFmt w:val="bullet"/>
      <w:lvlText w:val="o"/>
      <w:lvlJc w:val="left"/>
      <w:pPr>
        <w:ind w:left="2265" w:hanging="360"/>
      </w:pPr>
      <w:rPr>
        <w:rFonts w:ascii="Courier New" w:hAnsi="Courier New" w:cs="Courier New" w:hint="default"/>
      </w:rPr>
    </w:lvl>
    <w:lvl w:ilvl="2" w:tplc="08090005">
      <w:start w:val="1"/>
      <w:numFmt w:val="bullet"/>
      <w:lvlText w:val=""/>
      <w:lvlJc w:val="left"/>
      <w:pPr>
        <w:ind w:left="2985" w:hanging="360"/>
      </w:pPr>
      <w:rPr>
        <w:rFonts w:ascii="Wingdings" w:hAnsi="Wingdings" w:hint="default"/>
      </w:rPr>
    </w:lvl>
    <w:lvl w:ilvl="3" w:tplc="08090001">
      <w:start w:val="1"/>
      <w:numFmt w:val="bullet"/>
      <w:lvlText w:val=""/>
      <w:lvlJc w:val="left"/>
      <w:pPr>
        <w:ind w:left="3705" w:hanging="360"/>
      </w:pPr>
      <w:rPr>
        <w:rFonts w:ascii="Symbol" w:hAnsi="Symbol" w:hint="default"/>
      </w:rPr>
    </w:lvl>
    <w:lvl w:ilvl="4" w:tplc="08090003">
      <w:start w:val="1"/>
      <w:numFmt w:val="bullet"/>
      <w:lvlText w:val="o"/>
      <w:lvlJc w:val="left"/>
      <w:pPr>
        <w:ind w:left="4425" w:hanging="360"/>
      </w:pPr>
      <w:rPr>
        <w:rFonts w:ascii="Courier New" w:hAnsi="Courier New" w:cs="Courier New" w:hint="default"/>
      </w:rPr>
    </w:lvl>
    <w:lvl w:ilvl="5" w:tplc="08090005">
      <w:start w:val="1"/>
      <w:numFmt w:val="bullet"/>
      <w:lvlText w:val=""/>
      <w:lvlJc w:val="left"/>
      <w:pPr>
        <w:ind w:left="5145" w:hanging="360"/>
      </w:pPr>
      <w:rPr>
        <w:rFonts w:ascii="Wingdings" w:hAnsi="Wingdings" w:hint="default"/>
      </w:rPr>
    </w:lvl>
    <w:lvl w:ilvl="6" w:tplc="08090001">
      <w:start w:val="1"/>
      <w:numFmt w:val="bullet"/>
      <w:lvlText w:val=""/>
      <w:lvlJc w:val="left"/>
      <w:pPr>
        <w:ind w:left="5865" w:hanging="360"/>
      </w:pPr>
      <w:rPr>
        <w:rFonts w:ascii="Symbol" w:hAnsi="Symbol" w:hint="default"/>
      </w:rPr>
    </w:lvl>
    <w:lvl w:ilvl="7" w:tplc="08090003">
      <w:start w:val="1"/>
      <w:numFmt w:val="bullet"/>
      <w:lvlText w:val="o"/>
      <w:lvlJc w:val="left"/>
      <w:pPr>
        <w:ind w:left="6585" w:hanging="360"/>
      </w:pPr>
      <w:rPr>
        <w:rFonts w:ascii="Courier New" w:hAnsi="Courier New" w:cs="Courier New" w:hint="default"/>
      </w:rPr>
    </w:lvl>
    <w:lvl w:ilvl="8" w:tplc="08090005">
      <w:start w:val="1"/>
      <w:numFmt w:val="bullet"/>
      <w:lvlText w:val=""/>
      <w:lvlJc w:val="left"/>
      <w:pPr>
        <w:ind w:left="7305" w:hanging="360"/>
      </w:pPr>
      <w:rPr>
        <w:rFonts w:ascii="Wingdings" w:hAnsi="Wingdings" w:hint="default"/>
      </w:rPr>
    </w:lvl>
  </w:abstractNum>
  <w:abstractNum w:abstractNumId="6" w15:restartNumberingAfterBreak="0">
    <w:nsid w:val="314571EB"/>
    <w:multiLevelType w:val="hybridMultilevel"/>
    <w:tmpl w:val="EDD46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643280"/>
    <w:multiLevelType w:val="hybridMultilevel"/>
    <w:tmpl w:val="4E7A2296"/>
    <w:lvl w:ilvl="0" w:tplc="3DA2FF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87328F"/>
    <w:multiLevelType w:val="hybridMultilevel"/>
    <w:tmpl w:val="8530FF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DBF7AA9"/>
    <w:multiLevelType w:val="hybridMultilevel"/>
    <w:tmpl w:val="726E7D98"/>
    <w:lvl w:ilvl="0" w:tplc="1800FDF8">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4BAC562D"/>
    <w:multiLevelType w:val="hybridMultilevel"/>
    <w:tmpl w:val="A23C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16290"/>
    <w:multiLevelType w:val="hybridMultilevel"/>
    <w:tmpl w:val="0CC67E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73524"/>
    <w:multiLevelType w:val="multilevel"/>
    <w:tmpl w:val="6300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36D19"/>
    <w:multiLevelType w:val="hybridMultilevel"/>
    <w:tmpl w:val="69DC7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DD7BB5"/>
    <w:multiLevelType w:val="hybridMultilevel"/>
    <w:tmpl w:val="CA99F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C34E9D"/>
    <w:multiLevelType w:val="hybridMultilevel"/>
    <w:tmpl w:val="274CE592"/>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859F5"/>
    <w:multiLevelType w:val="hybridMultilevel"/>
    <w:tmpl w:val="BA0A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1524DD"/>
    <w:multiLevelType w:val="hybridMultilevel"/>
    <w:tmpl w:val="DCC653A0"/>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DF3988"/>
    <w:multiLevelType w:val="hybridMultilevel"/>
    <w:tmpl w:val="87C6493E"/>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83F06"/>
    <w:multiLevelType w:val="hybridMultilevel"/>
    <w:tmpl w:val="9DAE9C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06971295">
    <w:abstractNumId w:val="12"/>
  </w:num>
  <w:num w:numId="2" w16cid:durableId="492377364">
    <w:abstractNumId w:val="15"/>
  </w:num>
  <w:num w:numId="3" w16cid:durableId="343899644">
    <w:abstractNumId w:val="8"/>
  </w:num>
  <w:num w:numId="4" w16cid:durableId="1131902828">
    <w:abstractNumId w:val="0"/>
  </w:num>
  <w:num w:numId="5" w16cid:durableId="265239112">
    <w:abstractNumId w:val="17"/>
  </w:num>
  <w:num w:numId="6" w16cid:durableId="33359904">
    <w:abstractNumId w:val="21"/>
  </w:num>
  <w:num w:numId="7" w16cid:durableId="1008098092">
    <w:abstractNumId w:val="1"/>
  </w:num>
  <w:num w:numId="8" w16cid:durableId="111632763">
    <w:abstractNumId w:val="18"/>
  </w:num>
  <w:num w:numId="9" w16cid:durableId="1484616514">
    <w:abstractNumId w:val="19"/>
  </w:num>
  <w:num w:numId="10" w16cid:durableId="1165779261">
    <w:abstractNumId w:val="5"/>
  </w:num>
  <w:num w:numId="11" w16cid:durableId="307393636">
    <w:abstractNumId w:val="14"/>
  </w:num>
  <w:num w:numId="12" w16cid:durableId="641275710">
    <w:abstractNumId w:val="4"/>
  </w:num>
  <w:num w:numId="13" w16cid:durableId="485098313">
    <w:abstractNumId w:val="6"/>
  </w:num>
  <w:num w:numId="14" w16cid:durableId="1745948485">
    <w:abstractNumId w:val="2"/>
  </w:num>
  <w:num w:numId="15" w16cid:durableId="673067681">
    <w:abstractNumId w:val="7"/>
  </w:num>
  <w:num w:numId="16" w16cid:durableId="677973024">
    <w:abstractNumId w:val="11"/>
  </w:num>
  <w:num w:numId="17" w16cid:durableId="1214998549">
    <w:abstractNumId w:val="10"/>
  </w:num>
  <w:num w:numId="18" w16cid:durableId="1688364361">
    <w:abstractNumId w:val="16"/>
  </w:num>
  <w:num w:numId="19" w16cid:durableId="2124811605">
    <w:abstractNumId w:val="23"/>
  </w:num>
  <w:num w:numId="20" w16cid:durableId="1421566756">
    <w:abstractNumId w:val="13"/>
  </w:num>
  <w:num w:numId="21" w16cid:durableId="959842747">
    <w:abstractNumId w:val="22"/>
  </w:num>
  <w:num w:numId="22" w16cid:durableId="471794493">
    <w:abstractNumId w:val="20"/>
  </w:num>
  <w:num w:numId="23" w16cid:durableId="708847427">
    <w:abstractNumId w:val="3"/>
  </w:num>
  <w:num w:numId="24" w16cid:durableId="86734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04DC2"/>
    <w:rsid w:val="00036D0D"/>
    <w:rsid w:val="00045D24"/>
    <w:rsid w:val="00051285"/>
    <w:rsid w:val="0005564C"/>
    <w:rsid w:val="00060C4A"/>
    <w:rsid w:val="000622AE"/>
    <w:rsid w:val="00064022"/>
    <w:rsid w:val="00064AFF"/>
    <w:rsid w:val="00067251"/>
    <w:rsid w:val="00072855"/>
    <w:rsid w:val="0007775B"/>
    <w:rsid w:val="0008115E"/>
    <w:rsid w:val="00081C50"/>
    <w:rsid w:val="00084559"/>
    <w:rsid w:val="0008645C"/>
    <w:rsid w:val="000936A1"/>
    <w:rsid w:val="00093973"/>
    <w:rsid w:val="000A06BF"/>
    <w:rsid w:val="000A2E04"/>
    <w:rsid w:val="000A3859"/>
    <w:rsid w:val="000B21A9"/>
    <w:rsid w:val="000B5F82"/>
    <w:rsid w:val="000B7726"/>
    <w:rsid w:val="000C33DF"/>
    <w:rsid w:val="000C7AC5"/>
    <w:rsid w:val="000D37C4"/>
    <w:rsid w:val="000D7A79"/>
    <w:rsid w:val="000E5A83"/>
    <w:rsid w:val="000E673B"/>
    <w:rsid w:val="000F6080"/>
    <w:rsid w:val="000F6321"/>
    <w:rsid w:val="000F7788"/>
    <w:rsid w:val="00117256"/>
    <w:rsid w:val="00122850"/>
    <w:rsid w:val="001233A8"/>
    <w:rsid w:val="00123AB5"/>
    <w:rsid w:val="0012477A"/>
    <w:rsid w:val="0012659B"/>
    <w:rsid w:val="00134557"/>
    <w:rsid w:val="00136F3E"/>
    <w:rsid w:val="00152E04"/>
    <w:rsid w:val="00154176"/>
    <w:rsid w:val="001557B8"/>
    <w:rsid w:val="0016196D"/>
    <w:rsid w:val="00162A57"/>
    <w:rsid w:val="00170A86"/>
    <w:rsid w:val="0017696B"/>
    <w:rsid w:val="0018276E"/>
    <w:rsid w:val="00183774"/>
    <w:rsid w:val="00184915"/>
    <w:rsid w:val="00192D48"/>
    <w:rsid w:val="001C5B41"/>
    <w:rsid w:val="001C6B84"/>
    <w:rsid w:val="001D15DC"/>
    <w:rsid w:val="001D7990"/>
    <w:rsid w:val="001E33CB"/>
    <w:rsid w:val="001E3990"/>
    <w:rsid w:val="001E5633"/>
    <w:rsid w:val="001F137C"/>
    <w:rsid w:val="001F27DB"/>
    <w:rsid w:val="001F31B3"/>
    <w:rsid w:val="001F4D6D"/>
    <w:rsid w:val="001F7622"/>
    <w:rsid w:val="00224380"/>
    <w:rsid w:val="002350A3"/>
    <w:rsid w:val="00241353"/>
    <w:rsid w:val="002418A0"/>
    <w:rsid w:val="0024348A"/>
    <w:rsid w:val="00243C78"/>
    <w:rsid w:val="0024560C"/>
    <w:rsid w:val="00260431"/>
    <w:rsid w:val="002615AA"/>
    <w:rsid w:val="00263657"/>
    <w:rsid w:val="002716E1"/>
    <w:rsid w:val="00280F18"/>
    <w:rsid w:val="00281422"/>
    <w:rsid w:val="00284D58"/>
    <w:rsid w:val="00285728"/>
    <w:rsid w:val="00297488"/>
    <w:rsid w:val="002A1523"/>
    <w:rsid w:val="002A2903"/>
    <w:rsid w:val="002A373E"/>
    <w:rsid w:val="002B57D1"/>
    <w:rsid w:val="002C2EB3"/>
    <w:rsid w:val="002C663E"/>
    <w:rsid w:val="002D2385"/>
    <w:rsid w:val="002E0BAE"/>
    <w:rsid w:val="002E140E"/>
    <w:rsid w:val="002E346A"/>
    <w:rsid w:val="002E48D0"/>
    <w:rsid w:val="002E7C6B"/>
    <w:rsid w:val="0030364B"/>
    <w:rsid w:val="00326AF0"/>
    <w:rsid w:val="00350DAD"/>
    <w:rsid w:val="00351428"/>
    <w:rsid w:val="003524AF"/>
    <w:rsid w:val="00387D9D"/>
    <w:rsid w:val="003933A7"/>
    <w:rsid w:val="003A22B1"/>
    <w:rsid w:val="003A36D9"/>
    <w:rsid w:val="003B07E8"/>
    <w:rsid w:val="003B2814"/>
    <w:rsid w:val="003B7A58"/>
    <w:rsid w:val="003C24F3"/>
    <w:rsid w:val="003D1795"/>
    <w:rsid w:val="003D545F"/>
    <w:rsid w:val="003E1209"/>
    <w:rsid w:val="003E2BB2"/>
    <w:rsid w:val="003E312A"/>
    <w:rsid w:val="003F148A"/>
    <w:rsid w:val="003F3008"/>
    <w:rsid w:val="00406994"/>
    <w:rsid w:val="004152C6"/>
    <w:rsid w:val="00420140"/>
    <w:rsid w:val="00421B36"/>
    <w:rsid w:val="0042433A"/>
    <w:rsid w:val="0045536E"/>
    <w:rsid w:val="004953A8"/>
    <w:rsid w:val="004A13F4"/>
    <w:rsid w:val="004A716E"/>
    <w:rsid w:val="004B2531"/>
    <w:rsid w:val="004C6D06"/>
    <w:rsid w:val="004C6F51"/>
    <w:rsid w:val="004D781E"/>
    <w:rsid w:val="004E3621"/>
    <w:rsid w:val="004E3BCE"/>
    <w:rsid w:val="004F78DE"/>
    <w:rsid w:val="00504939"/>
    <w:rsid w:val="00506B6B"/>
    <w:rsid w:val="005073C9"/>
    <w:rsid w:val="005462C6"/>
    <w:rsid w:val="00555AF4"/>
    <w:rsid w:val="00555F37"/>
    <w:rsid w:val="00556BB3"/>
    <w:rsid w:val="0056053B"/>
    <w:rsid w:val="0056657A"/>
    <w:rsid w:val="00567E6C"/>
    <w:rsid w:val="0057448B"/>
    <w:rsid w:val="00582A42"/>
    <w:rsid w:val="00584DB6"/>
    <w:rsid w:val="00587330"/>
    <w:rsid w:val="00592652"/>
    <w:rsid w:val="005A3945"/>
    <w:rsid w:val="005B4A54"/>
    <w:rsid w:val="005B7172"/>
    <w:rsid w:val="005C07F0"/>
    <w:rsid w:val="005C625F"/>
    <w:rsid w:val="005C76DF"/>
    <w:rsid w:val="005D28E4"/>
    <w:rsid w:val="005D7093"/>
    <w:rsid w:val="005F4FF0"/>
    <w:rsid w:val="006140A1"/>
    <w:rsid w:val="00622E56"/>
    <w:rsid w:val="00625BC9"/>
    <w:rsid w:val="00632FA7"/>
    <w:rsid w:val="00633972"/>
    <w:rsid w:val="00641E7A"/>
    <w:rsid w:val="00655DDD"/>
    <w:rsid w:val="006B10A3"/>
    <w:rsid w:val="006B1A5E"/>
    <w:rsid w:val="006B57AA"/>
    <w:rsid w:val="006C00D6"/>
    <w:rsid w:val="006C325A"/>
    <w:rsid w:val="006C4071"/>
    <w:rsid w:val="006C63FD"/>
    <w:rsid w:val="006D31FA"/>
    <w:rsid w:val="006E52A1"/>
    <w:rsid w:val="006E5AFB"/>
    <w:rsid w:val="006E7F67"/>
    <w:rsid w:val="006F1736"/>
    <w:rsid w:val="006F325C"/>
    <w:rsid w:val="007019A4"/>
    <w:rsid w:val="00705CC9"/>
    <w:rsid w:val="00716389"/>
    <w:rsid w:val="00726B76"/>
    <w:rsid w:val="00733EA4"/>
    <w:rsid w:val="00735FAE"/>
    <w:rsid w:val="00757614"/>
    <w:rsid w:val="00783088"/>
    <w:rsid w:val="0078526B"/>
    <w:rsid w:val="007901EF"/>
    <w:rsid w:val="007958AC"/>
    <w:rsid w:val="007A0848"/>
    <w:rsid w:val="007A3914"/>
    <w:rsid w:val="007B2256"/>
    <w:rsid w:val="007C5894"/>
    <w:rsid w:val="007C7E32"/>
    <w:rsid w:val="007D3E40"/>
    <w:rsid w:val="00800CDB"/>
    <w:rsid w:val="008066F5"/>
    <w:rsid w:val="00810A5C"/>
    <w:rsid w:val="008118C7"/>
    <w:rsid w:val="00817CDF"/>
    <w:rsid w:val="008214D7"/>
    <w:rsid w:val="00821B1B"/>
    <w:rsid w:val="00836F1C"/>
    <w:rsid w:val="00861504"/>
    <w:rsid w:val="00862F1A"/>
    <w:rsid w:val="00895681"/>
    <w:rsid w:val="008A262F"/>
    <w:rsid w:val="008AD305"/>
    <w:rsid w:val="008B580C"/>
    <w:rsid w:val="008C19CD"/>
    <w:rsid w:val="008C4BA0"/>
    <w:rsid w:val="008E1824"/>
    <w:rsid w:val="008F53C8"/>
    <w:rsid w:val="008F5A82"/>
    <w:rsid w:val="008F7AAB"/>
    <w:rsid w:val="0090050E"/>
    <w:rsid w:val="00903735"/>
    <w:rsid w:val="00910EED"/>
    <w:rsid w:val="00917441"/>
    <w:rsid w:val="00920027"/>
    <w:rsid w:val="00927C3D"/>
    <w:rsid w:val="00936D7C"/>
    <w:rsid w:val="00940388"/>
    <w:rsid w:val="00942B7B"/>
    <w:rsid w:val="00943301"/>
    <w:rsid w:val="0094483C"/>
    <w:rsid w:val="00952196"/>
    <w:rsid w:val="009550DF"/>
    <w:rsid w:val="0097047A"/>
    <w:rsid w:val="0098389C"/>
    <w:rsid w:val="00983A36"/>
    <w:rsid w:val="00995B4B"/>
    <w:rsid w:val="0099786B"/>
    <w:rsid w:val="009C2849"/>
    <w:rsid w:val="009C2B9F"/>
    <w:rsid w:val="009C47AE"/>
    <w:rsid w:val="009C4C83"/>
    <w:rsid w:val="009E6D74"/>
    <w:rsid w:val="00A00D22"/>
    <w:rsid w:val="00A02B73"/>
    <w:rsid w:val="00A060A6"/>
    <w:rsid w:val="00A2072F"/>
    <w:rsid w:val="00A278FF"/>
    <w:rsid w:val="00A32D44"/>
    <w:rsid w:val="00A371EB"/>
    <w:rsid w:val="00A4286E"/>
    <w:rsid w:val="00A42A5F"/>
    <w:rsid w:val="00A478EA"/>
    <w:rsid w:val="00A5731F"/>
    <w:rsid w:val="00A628CD"/>
    <w:rsid w:val="00A71629"/>
    <w:rsid w:val="00A73304"/>
    <w:rsid w:val="00A830B2"/>
    <w:rsid w:val="00A83243"/>
    <w:rsid w:val="00A84F9F"/>
    <w:rsid w:val="00A85B0C"/>
    <w:rsid w:val="00A94DB5"/>
    <w:rsid w:val="00AA3D19"/>
    <w:rsid w:val="00AB0318"/>
    <w:rsid w:val="00AB21A6"/>
    <w:rsid w:val="00AB39B9"/>
    <w:rsid w:val="00AB5022"/>
    <w:rsid w:val="00AC6CA2"/>
    <w:rsid w:val="00AD1599"/>
    <w:rsid w:val="00AE0D9E"/>
    <w:rsid w:val="00AE77F0"/>
    <w:rsid w:val="00AF15CB"/>
    <w:rsid w:val="00AF65D1"/>
    <w:rsid w:val="00B05AAC"/>
    <w:rsid w:val="00B2026E"/>
    <w:rsid w:val="00B2670A"/>
    <w:rsid w:val="00B34AAF"/>
    <w:rsid w:val="00B45B26"/>
    <w:rsid w:val="00B50914"/>
    <w:rsid w:val="00B56627"/>
    <w:rsid w:val="00B83188"/>
    <w:rsid w:val="00B901A4"/>
    <w:rsid w:val="00BA4D2B"/>
    <w:rsid w:val="00BA4ED6"/>
    <w:rsid w:val="00BB24AA"/>
    <w:rsid w:val="00BC0553"/>
    <w:rsid w:val="00BC2E1D"/>
    <w:rsid w:val="00BC6FD2"/>
    <w:rsid w:val="00BD67C3"/>
    <w:rsid w:val="00BF67CC"/>
    <w:rsid w:val="00C10CF7"/>
    <w:rsid w:val="00C341F5"/>
    <w:rsid w:val="00C51DFF"/>
    <w:rsid w:val="00C55A68"/>
    <w:rsid w:val="00C74445"/>
    <w:rsid w:val="00C84363"/>
    <w:rsid w:val="00C97F39"/>
    <w:rsid w:val="00CA6181"/>
    <w:rsid w:val="00CB3B0F"/>
    <w:rsid w:val="00CB5EF5"/>
    <w:rsid w:val="00CB75FF"/>
    <w:rsid w:val="00CC3243"/>
    <w:rsid w:val="00CE0CA8"/>
    <w:rsid w:val="00CE4FA5"/>
    <w:rsid w:val="00CE68B1"/>
    <w:rsid w:val="00CF389D"/>
    <w:rsid w:val="00CF5664"/>
    <w:rsid w:val="00D03AA9"/>
    <w:rsid w:val="00D03C2C"/>
    <w:rsid w:val="00D07033"/>
    <w:rsid w:val="00D10668"/>
    <w:rsid w:val="00D20FFD"/>
    <w:rsid w:val="00D30534"/>
    <w:rsid w:val="00D314D7"/>
    <w:rsid w:val="00D35080"/>
    <w:rsid w:val="00D360B8"/>
    <w:rsid w:val="00D5649B"/>
    <w:rsid w:val="00D667AE"/>
    <w:rsid w:val="00D66CE1"/>
    <w:rsid w:val="00D7154A"/>
    <w:rsid w:val="00D741C5"/>
    <w:rsid w:val="00D74D54"/>
    <w:rsid w:val="00D75B5E"/>
    <w:rsid w:val="00D767E0"/>
    <w:rsid w:val="00D82A6A"/>
    <w:rsid w:val="00D87909"/>
    <w:rsid w:val="00D95D6C"/>
    <w:rsid w:val="00DA0CC9"/>
    <w:rsid w:val="00DB669E"/>
    <w:rsid w:val="00DD0AE8"/>
    <w:rsid w:val="00DD5506"/>
    <w:rsid w:val="00DE19D7"/>
    <w:rsid w:val="00DE3B8B"/>
    <w:rsid w:val="00DE58DB"/>
    <w:rsid w:val="00DF607A"/>
    <w:rsid w:val="00E04E86"/>
    <w:rsid w:val="00E06051"/>
    <w:rsid w:val="00E200E9"/>
    <w:rsid w:val="00E32EE6"/>
    <w:rsid w:val="00E33F55"/>
    <w:rsid w:val="00E45FED"/>
    <w:rsid w:val="00E46FCC"/>
    <w:rsid w:val="00E5150A"/>
    <w:rsid w:val="00E57377"/>
    <w:rsid w:val="00E600B4"/>
    <w:rsid w:val="00E736D6"/>
    <w:rsid w:val="00E7631F"/>
    <w:rsid w:val="00E9087C"/>
    <w:rsid w:val="00E91521"/>
    <w:rsid w:val="00E91524"/>
    <w:rsid w:val="00E92195"/>
    <w:rsid w:val="00E95B94"/>
    <w:rsid w:val="00EA2816"/>
    <w:rsid w:val="00EB7615"/>
    <w:rsid w:val="00EC0627"/>
    <w:rsid w:val="00EC76C9"/>
    <w:rsid w:val="00ED4922"/>
    <w:rsid w:val="00EE341A"/>
    <w:rsid w:val="00F14350"/>
    <w:rsid w:val="00F15ACC"/>
    <w:rsid w:val="00F16573"/>
    <w:rsid w:val="00F30A19"/>
    <w:rsid w:val="00F30EF9"/>
    <w:rsid w:val="00F440D2"/>
    <w:rsid w:val="00F4726F"/>
    <w:rsid w:val="00F70733"/>
    <w:rsid w:val="00F728B1"/>
    <w:rsid w:val="00F808A2"/>
    <w:rsid w:val="00F926DD"/>
    <w:rsid w:val="00F93ED0"/>
    <w:rsid w:val="00F96A7F"/>
    <w:rsid w:val="00FA6005"/>
    <w:rsid w:val="00FA629C"/>
    <w:rsid w:val="00FB13B4"/>
    <w:rsid w:val="00FD13E4"/>
    <w:rsid w:val="00FF4379"/>
    <w:rsid w:val="00FF43FD"/>
    <w:rsid w:val="023442BF"/>
    <w:rsid w:val="024AC443"/>
    <w:rsid w:val="02B3FF32"/>
    <w:rsid w:val="03C8A3BA"/>
    <w:rsid w:val="042F4389"/>
    <w:rsid w:val="0436074E"/>
    <w:rsid w:val="04570C82"/>
    <w:rsid w:val="04E3F67F"/>
    <w:rsid w:val="055442E7"/>
    <w:rsid w:val="073551A4"/>
    <w:rsid w:val="082E3B5C"/>
    <w:rsid w:val="09A411E3"/>
    <w:rsid w:val="0A1CC94D"/>
    <w:rsid w:val="0A48B884"/>
    <w:rsid w:val="0B41F815"/>
    <w:rsid w:val="0B90AE30"/>
    <w:rsid w:val="0C80A27E"/>
    <w:rsid w:val="0CFD157F"/>
    <w:rsid w:val="0D74E0A1"/>
    <w:rsid w:val="0F77DD5E"/>
    <w:rsid w:val="0FA3414C"/>
    <w:rsid w:val="11D75128"/>
    <w:rsid w:val="12053631"/>
    <w:rsid w:val="1254DD3E"/>
    <w:rsid w:val="12C35A47"/>
    <w:rsid w:val="1419CF9D"/>
    <w:rsid w:val="15B65AD8"/>
    <w:rsid w:val="16BDB3B6"/>
    <w:rsid w:val="1830133E"/>
    <w:rsid w:val="1B23FB44"/>
    <w:rsid w:val="1BB75CB2"/>
    <w:rsid w:val="1CA67BD7"/>
    <w:rsid w:val="1EE7C689"/>
    <w:rsid w:val="1FF1AB49"/>
    <w:rsid w:val="22B95475"/>
    <w:rsid w:val="2364873B"/>
    <w:rsid w:val="246F4E3A"/>
    <w:rsid w:val="24F81A24"/>
    <w:rsid w:val="25A0DF09"/>
    <w:rsid w:val="25F2B01F"/>
    <w:rsid w:val="2722D920"/>
    <w:rsid w:val="2743C8F1"/>
    <w:rsid w:val="28666EFD"/>
    <w:rsid w:val="28B25769"/>
    <w:rsid w:val="2D95BC4C"/>
    <w:rsid w:val="2F4F15D5"/>
    <w:rsid w:val="30D9A1DF"/>
    <w:rsid w:val="3106DFA7"/>
    <w:rsid w:val="3196DAAF"/>
    <w:rsid w:val="333E7D20"/>
    <w:rsid w:val="33C18117"/>
    <w:rsid w:val="34055C6F"/>
    <w:rsid w:val="3514F4C2"/>
    <w:rsid w:val="35EDC318"/>
    <w:rsid w:val="37847736"/>
    <w:rsid w:val="37FC126D"/>
    <w:rsid w:val="3D6C2E5A"/>
    <w:rsid w:val="3DC537F7"/>
    <w:rsid w:val="3EAB5F3B"/>
    <w:rsid w:val="3F2B3203"/>
    <w:rsid w:val="400EFAC8"/>
    <w:rsid w:val="40355701"/>
    <w:rsid w:val="403AB2B2"/>
    <w:rsid w:val="409F374F"/>
    <w:rsid w:val="41828561"/>
    <w:rsid w:val="4278B846"/>
    <w:rsid w:val="439A2EC6"/>
    <w:rsid w:val="43F7BF63"/>
    <w:rsid w:val="44D9B070"/>
    <w:rsid w:val="450E54DD"/>
    <w:rsid w:val="46A7D735"/>
    <w:rsid w:val="46BAAFB3"/>
    <w:rsid w:val="4845D55C"/>
    <w:rsid w:val="49065031"/>
    <w:rsid w:val="49728D6E"/>
    <w:rsid w:val="4AE57CB4"/>
    <w:rsid w:val="4B2D05D3"/>
    <w:rsid w:val="4CE21935"/>
    <w:rsid w:val="4D2A494E"/>
    <w:rsid w:val="4E1F63D6"/>
    <w:rsid w:val="4F8E001C"/>
    <w:rsid w:val="52CCA4D6"/>
    <w:rsid w:val="537A3CE1"/>
    <w:rsid w:val="5417A0A4"/>
    <w:rsid w:val="55449520"/>
    <w:rsid w:val="55C7A15A"/>
    <w:rsid w:val="56024DE8"/>
    <w:rsid w:val="582D7A18"/>
    <w:rsid w:val="587BC33B"/>
    <w:rsid w:val="58984D20"/>
    <w:rsid w:val="59EF3665"/>
    <w:rsid w:val="5B014E55"/>
    <w:rsid w:val="5B4AB532"/>
    <w:rsid w:val="5E828BDF"/>
    <w:rsid w:val="60BDF5EE"/>
    <w:rsid w:val="6110F04C"/>
    <w:rsid w:val="65A753BC"/>
    <w:rsid w:val="6613FAB9"/>
    <w:rsid w:val="6835F4FF"/>
    <w:rsid w:val="69411795"/>
    <w:rsid w:val="69BDE708"/>
    <w:rsid w:val="69C2107D"/>
    <w:rsid w:val="6AC89E6C"/>
    <w:rsid w:val="6CBB339D"/>
    <w:rsid w:val="6D8F8BDE"/>
    <w:rsid w:val="6F46DF1D"/>
    <w:rsid w:val="70738430"/>
    <w:rsid w:val="709BE4A5"/>
    <w:rsid w:val="7210A698"/>
    <w:rsid w:val="727824C0"/>
    <w:rsid w:val="7521D3F6"/>
    <w:rsid w:val="75E2C0F3"/>
    <w:rsid w:val="76719152"/>
    <w:rsid w:val="76E8BBCE"/>
    <w:rsid w:val="79BA5C7F"/>
    <w:rsid w:val="79C44FF6"/>
    <w:rsid w:val="79EA8A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6FD"/>
  <w14:defaultImageDpi w14:val="32767"/>
  <w15:chartTrackingRefBased/>
  <w15:docId w15:val="{FCBD96EB-8626-4CE6-8873-D476ADC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uiPriority w:val="5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2D44"/>
    <w:pPr>
      <w:autoSpaceDE w:val="0"/>
      <w:autoSpaceDN w:val="0"/>
      <w:adjustRightInd w:val="0"/>
    </w:pPr>
    <w:rPr>
      <w:rFonts w:ascii="Calibri" w:hAnsi="Calibri" w:cs="Calibri"/>
      <w:color w:val="000000"/>
      <w:lang w:val="fr-CA"/>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unhideWhenUsed/>
    <w:rsid w:val="003E2BB2"/>
    <w:rPr>
      <w:sz w:val="20"/>
      <w:szCs w:val="20"/>
    </w:rPr>
  </w:style>
  <w:style w:type="character" w:customStyle="1" w:styleId="CommentTextChar">
    <w:name w:val="Comment Text Char"/>
    <w:basedOn w:val="DefaultParagraphFont"/>
    <w:link w:val="CommentText"/>
    <w:uiPriority w:val="99"/>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paragraph" w:styleId="BodyText">
    <w:name w:val="Body Text"/>
    <w:basedOn w:val="Normal"/>
    <w:link w:val="BodyTextChar"/>
    <w:uiPriority w:val="1"/>
    <w:unhideWhenUsed/>
    <w:qFormat/>
    <w:rsid w:val="00326AF0"/>
    <w:pPr>
      <w:widowControl w:val="0"/>
      <w:ind w:left="544" w:hanging="424"/>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326AF0"/>
    <w:rPr>
      <w:rFonts w:ascii="Calibri" w:eastAsia="Calibri" w:hAnsi="Calibri"/>
      <w:sz w:val="22"/>
      <w:szCs w:val="22"/>
      <w:lang w:val="en-US"/>
    </w:rPr>
  </w:style>
  <w:style w:type="paragraph" w:styleId="NoSpacing">
    <w:name w:val="No Spacing"/>
    <w:uiPriority w:val="1"/>
    <w:qFormat/>
    <w:rsid w:val="00326AF0"/>
    <w:pPr>
      <w:ind w:left="425" w:hanging="425"/>
    </w:pPr>
    <w:rPr>
      <w:rFonts w:ascii="Calibri" w:eastAsia="Calibri" w:hAnsi="Calibri" w:cs="Times New Roman"/>
      <w:sz w:val="22"/>
      <w:szCs w:val="22"/>
      <w:lang w:val="en-GB"/>
    </w:rPr>
  </w:style>
  <w:style w:type="character" w:customStyle="1" w:styleId="ListParagraphChar">
    <w:name w:val="List Paragraph Char"/>
    <w:basedOn w:val="DefaultParagraphFont"/>
    <w:link w:val="ListParagraph"/>
    <w:uiPriority w:val="34"/>
    <w:locked/>
    <w:rsid w:val="00326AF0"/>
  </w:style>
  <w:style w:type="paragraph" w:styleId="ListParagraph">
    <w:name w:val="List Paragraph"/>
    <w:basedOn w:val="Normal"/>
    <w:link w:val="ListParagraphChar"/>
    <w:uiPriority w:val="34"/>
    <w:qFormat/>
    <w:rsid w:val="00326AF0"/>
    <w:pPr>
      <w:ind w:left="720"/>
      <w:contextualSpacing/>
    </w:pPr>
  </w:style>
  <w:style w:type="paragraph" w:customStyle="1" w:styleId="paragraph">
    <w:name w:val="paragraph"/>
    <w:basedOn w:val="Normal"/>
    <w:uiPriority w:val="99"/>
    <w:semiHidden/>
    <w:rsid w:val="00326AF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26AF0"/>
  </w:style>
  <w:style w:type="character" w:customStyle="1" w:styleId="eop">
    <w:name w:val="eop"/>
    <w:basedOn w:val="DefaultParagraphFont"/>
    <w:rsid w:val="00326AF0"/>
  </w:style>
  <w:style w:type="character" w:customStyle="1" w:styleId="findhit">
    <w:name w:val="findhit"/>
    <w:basedOn w:val="DefaultParagraphFont"/>
    <w:rsid w:val="00326AF0"/>
  </w:style>
  <w:style w:type="paragraph" w:styleId="Revision">
    <w:name w:val="Revision"/>
    <w:hidden/>
    <w:uiPriority w:val="99"/>
    <w:semiHidden/>
    <w:rsid w:val="0057448B"/>
  </w:style>
  <w:style w:type="character" w:styleId="UnresolvedMention">
    <w:name w:val="Unresolved Mention"/>
    <w:basedOn w:val="DefaultParagraphFont"/>
    <w:uiPriority w:val="99"/>
    <w:semiHidden/>
    <w:unhideWhenUsed/>
    <w:rsid w:val="001E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3402">
      <w:bodyDiv w:val="1"/>
      <w:marLeft w:val="0"/>
      <w:marRight w:val="0"/>
      <w:marTop w:val="0"/>
      <w:marBottom w:val="0"/>
      <w:divBdr>
        <w:top w:val="none" w:sz="0" w:space="0" w:color="auto"/>
        <w:left w:val="none" w:sz="0" w:space="0" w:color="auto"/>
        <w:bottom w:val="none" w:sz="0" w:space="0" w:color="auto"/>
        <w:right w:val="none" w:sz="0" w:space="0" w:color="auto"/>
      </w:divBdr>
      <w:divsChild>
        <w:div w:id="1384871831">
          <w:marLeft w:val="0"/>
          <w:marRight w:val="0"/>
          <w:marTop w:val="0"/>
          <w:marBottom w:val="0"/>
          <w:divBdr>
            <w:top w:val="none" w:sz="0" w:space="0" w:color="auto"/>
            <w:left w:val="none" w:sz="0" w:space="0" w:color="auto"/>
            <w:bottom w:val="none" w:sz="0" w:space="0" w:color="auto"/>
            <w:right w:val="none" w:sz="0" w:space="0" w:color="auto"/>
          </w:divBdr>
          <w:divsChild>
            <w:div w:id="1082875315">
              <w:marLeft w:val="0"/>
              <w:marRight w:val="0"/>
              <w:marTop w:val="0"/>
              <w:marBottom w:val="0"/>
              <w:divBdr>
                <w:top w:val="none" w:sz="0" w:space="0" w:color="auto"/>
                <w:left w:val="none" w:sz="0" w:space="0" w:color="auto"/>
                <w:bottom w:val="none" w:sz="0" w:space="0" w:color="auto"/>
                <w:right w:val="none" w:sz="0" w:space="0" w:color="auto"/>
              </w:divBdr>
              <w:divsChild>
                <w:div w:id="311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027">
      <w:bodyDiv w:val="1"/>
      <w:marLeft w:val="0"/>
      <w:marRight w:val="0"/>
      <w:marTop w:val="0"/>
      <w:marBottom w:val="0"/>
      <w:divBdr>
        <w:top w:val="none" w:sz="0" w:space="0" w:color="auto"/>
        <w:left w:val="none" w:sz="0" w:space="0" w:color="auto"/>
        <w:bottom w:val="none" w:sz="0" w:space="0" w:color="auto"/>
        <w:right w:val="none" w:sz="0" w:space="0" w:color="auto"/>
      </w:divBdr>
    </w:div>
    <w:div w:id="237324081">
      <w:bodyDiv w:val="1"/>
      <w:marLeft w:val="0"/>
      <w:marRight w:val="0"/>
      <w:marTop w:val="0"/>
      <w:marBottom w:val="0"/>
      <w:divBdr>
        <w:top w:val="none" w:sz="0" w:space="0" w:color="auto"/>
        <w:left w:val="none" w:sz="0" w:space="0" w:color="auto"/>
        <w:bottom w:val="none" w:sz="0" w:space="0" w:color="auto"/>
        <w:right w:val="none" w:sz="0" w:space="0" w:color="auto"/>
      </w:divBdr>
      <w:divsChild>
        <w:div w:id="275596797">
          <w:marLeft w:val="0"/>
          <w:marRight w:val="0"/>
          <w:marTop w:val="0"/>
          <w:marBottom w:val="0"/>
          <w:divBdr>
            <w:top w:val="none" w:sz="0" w:space="0" w:color="auto"/>
            <w:left w:val="none" w:sz="0" w:space="0" w:color="auto"/>
            <w:bottom w:val="none" w:sz="0" w:space="0" w:color="auto"/>
            <w:right w:val="none" w:sz="0" w:space="0" w:color="auto"/>
          </w:divBdr>
          <w:divsChild>
            <w:div w:id="832792126">
              <w:marLeft w:val="0"/>
              <w:marRight w:val="0"/>
              <w:marTop w:val="0"/>
              <w:marBottom w:val="0"/>
              <w:divBdr>
                <w:top w:val="none" w:sz="0" w:space="0" w:color="auto"/>
                <w:left w:val="none" w:sz="0" w:space="0" w:color="auto"/>
                <w:bottom w:val="none" w:sz="0" w:space="0" w:color="auto"/>
                <w:right w:val="none" w:sz="0" w:space="0" w:color="auto"/>
              </w:divBdr>
              <w:divsChild>
                <w:div w:id="79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561">
      <w:bodyDiv w:val="1"/>
      <w:marLeft w:val="0"/>
      <w:marRight w:val="0"/>
      <w:marTop w:val="0"/>
      <w:marBottom w:val="0"/>
      <w:divBdr>
        <w:top w:val="none" w:sz="0" w:space="0" w:color="auto"/>
        <w:left w:val="none" w:sz="0" w:space="0" w:color="auto"/>
        <w:bottom w:val="none" w:sz="0" w:space="0" w:color="auto"/>
        <w:right w:val="none" w:sz="0" w:space="0" w:color="auto"/>
      </w:divBdr>
    </w:div>
    <w:div w:id="416481593">
      <w:bodyDiv w:val="1"/>
      <w:marLeft w:val="0"/>
      <w:marRight w:val="0"/>
      <w:marTop w:val="0"/>
      <w:marBottom w:val="0"/>
      <w:divBdr>
        <w:top w:val="none" w:sz="0" w:space="0" w:color="auto"/>
        <w:left w:val="none" w:sz="0" w:space="0" w:color="auto"/>
        <w:bottom w:val="none" w:sz="0" w:space="0" w:color="auto"/>
        <w:right w:val="none" w:sz="0" w:space="0" w:color="auto"/>
      </w:divBdr>
    </w:div>
    <w:div w:id="802430704">
      <w:bodyDiv w:val="1"/>
      <w:marLeft w:val="0"/>
      <w:marRight w:val="0"/>
      <w:marTop w:val="0"/>
      <w:marBottom w:val="0"/>
      <w:divBdr>
        <w:top w:val="none" w:sz="0" w:space="0" w:color="auto"/>
        <w:left w:val="none" w:sz="0" w:space="0" w:color="auto"/>
        <w:bottom w:val="none" w:sz="0" w:space="0" w:color="auto"/>
        <w:right w:val="none" w:sz="0" w:space="0" w:color="auto"/>
      </w:divBdr>
      <w:divsChild>
        <w:div w:id="165823888">
          <w:marLeft w:val="0"/>
          <w:marRight w:val="0"/>
          <w:marTop w:val="0"/>
          <w:marBottom w:val="0"/>
          <w:divBdr>
            <w:top w:val="none" w:sz="0" w:space="0" w:color="auto"/>
            <w:left w:val="none" w:sz="0" w:space="0" w:color="auto"/>
            <w:bottom w:val="none" w:sz="0" w:space="0" w:color="auto"/>
            <w:right w:val="none" w:sz="0" w:space="0" w:color="auto"/>
          </w:divBdr>
          <w:divsChild>
            <w:div w:id="174224085">
              <w:marLeft w:val="0"/>
              <w:marRight w:val="0"/>
              <w:marTop w:val="0"/>
              <w:marBottom w:val="0"/>
              <w:divBdr>
                <w:top w:val="none" w:sz="0" w:space="0" w:color="auto"/>
                <w:left w:val="none" w:sz="0" w:space="0" w:color="auto"/>
                <w:bottom w:val="none" w:sz="0" w:space="0" w:color="auto"/>
                <w:right w:val="none" w:sz="0" w:space="0" w:color="auto"/>
              </w:divBdr>
              <w:divsChild>
                <w:div w:id="736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940">
      <w:bodyDiv w:val="1"/>
      <w:marLeft w:val="0"/>
      <w:marRight w:val="0"/>
      <w:marTop w:val="0"/>
      <w:marBottom w:val="0"/>
      <w:divBdr>
        <w:top w:val="none" w:sz="0" w:space="0" w:color="auto"/>
        <w:left w:val="none" w:sz="0" w:space="0" w:color="auto"/>
        <w:bottom w:val="none" w:sz="0" w:space="0" w:color="auto"/>
        <w:right w:val="none" w:sz="0" w:space="0" w:color="auto"/>
      </w:divBdr>
      <w:divsChild>
        <w:div w:id="1385133933">
          <w:marLeft w:val="0"/>
          <w:marRight w:val="0"/>
          <w:marTop w:val="0"/>
          <w:marBottom w:val="0"/>
          <w:divBdr>
            <w:top w:val="none" w:sz="0" w:space="0" w:color="auto"/>
            <w:left w:val="none" w:sz="0" w:space="0" w:color="auto"/>
            <w:bottom w:val="none" w:sz="0" w:space="0" w:color="auto"/>
            <w:right w:val="none" w:sz="0" w:space="0" w:color="auto"/>
          </w:divBdr>
          <w:divsChild>
            <w:div w:id="604265123">
              <w:marLeft w:val="0"/>
              <w:marRight w:val="0"/>
              <w:marTop w:val="0"/>
              <w:marBottom w:val="0"/>
              <w:divBdr>
                <w:top w:val="none" w:sz="0" w:space="0" w:color="auto"/>
                <w:left w:val="none" w:sz="0" w:space="0" w:color="auto"/>
                <w:bottom w:val="none" w:sz="0" w:space="0" w:color="auto"/>
                <w:right w:val="none" w:sz="0" w:space="0" w:color="auto"/>
              </w:divBdr>
              <w:divsChild>
                <w:div w:id="1786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410">
      <w:bodyDiv w:val="1"/>
      <w:marLeft w:val="0"/>
      <w:marRight w:val="0"/>
      <w:marTop w:val="0"/>
      <w:marBottom w:val="0"/>
      <w:divBdr>
        <w:top w:val="none" w:sz="0" w:space="0" w:color="auto"/>
        <w:left w:val="none" w:sz="0" w:space="0" w:color="auto"/>
        <w:bottom w:val="none" w:sz="0" w:space="0" w:color="auto"/>
        <w:right w:val="none" w:sz="0" w:space="0" w:color="auto"/>
      </w:divBdr>
      <w:divsChild>
        <w:div w:id="29038498">
          <w:marLeft w:val="0"/>
          <w:marRight w:val="0"/>
          <w:marTop w:val="0"/>
          <w:marBottom w:val="0"/>
          <w:divBdr>
            <w:top w:val="none" w:sz="0" w:space="0" w:color="auto"/>
            <w:left w:val="none" w:sz="0" w:space="0" w:color="auto"/>
            <w:bottom w:val="none" w:sz="0" w:space="0" w:color="auto"/>
            <w:right w:val="none" w:sz="0" w:space="0" w:color="auto"/>
          </w:divBdr>
          <w:divsChild>
            <w:div w:id="972440080">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1172">
      <w:bodyDiv w:val="1"/>
      <w:marLeft w:val="0"/>
      <w:marRight w:val="0"/>
      <w:marTop w:val="0"/>
      <w:marBottom w:val="0"/>
      <w:divBdr>
        <w:top w:val="none" w:sz="0" w:space="0" w:color="auto"/>
        <w:left w:val="none" w:sz="0" w:space="0" w:color="auto"/>
        <w:bottom w:val="none" w:sz="0" w:space="0" w:color="auto"/>
        <w:right w:val="none" w:sz="0" w:space="0" w:color="auto"/>
      </w:divBdr>
    </w:div>
    <w:div w:id="1381055382">
      <w:bodyDiv w:val="1"/>
      <w:marLeft w:val="0"/>
      <w:marRight w:val="0"/>
      <w:marTop w:val="0"/>
      <w:marBottom w:val="0"/>
      <w:divBdr>
        <w:top w:val="none" w:sz="0" w:space="0" w:color="auto"/>
        <w:left w:val="none" w:sz="0" w:space="0" w:color="auto"/>
        <w:bottom w:val="none" w:sz="0" w:space="0" w:color="auto"/>
        <w:right w:val="none" w:sz="0" w:space="0" w:color="auto"/>
      </w:divBdr>
      <w:divsChild>
        <w:div w:id="729304512">
          <w:marLeft w:val="0"/>
          <w:marRight w:val="0"/>
          <w:marTop w:val="0"/>
          <w:marBottom w:val="0"/>
          <w:divBdr>
            <w:top w:val="none" w:sz="0" w:space="0" w:color="auto"/>
            <w:left w:val="none" w:sz="0" w:space="0" w:color="auto"/>
            <w:bottom w:val="none" w:sz="0" w:space="0" w:color="auto"/>
            <w:right w:val="none" w:sz="0" w:space="0" w:color="auto"/>
          </w:divBdr>
          <w:divsChild>
            <w:div w:id="331178809">
              <w:marLeft w:val="0"/>
              <w:marRight w:val="0"/>
              <w:marTop w:val="0"/>
              <w:marBottom w:val="0"/>
              <w:divBdr>
                <w:top w:val="none" w:sz="0" w:space="0" w:color="auto"/>
                <w:left w:val="none" w:sz="0" w:space="0" w:color="auto"/>
                <w:bottom w:val="none" w:sz="0" w:space="0" w:color="auto"/>
                <w:right w:val="none" w:sz="0" w:space="0" w:color="auto"/>
              </w:divBdr>
              <w:divsChild>
                <w:div w:id="1767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3462">
      <w:bodyDiv w:val="1"/>
      <w:marLeft w:val="0"/>
      <w:marRight w:val="0"/>
      <w:marTop w:val="0"/>
      <w:marBottom w:val="0"/>
      <w:divBdr>
        <w:top w:val="none" w:sz="0" w:space="0" w:color="auto"/>
        <w:left w:val="none" w:sz="0" w:space="0" w:color="auto"/>
        <w:bottom w:val="none" w:sz="0" w:space="0" w:color="auto"/>
        <w:right w:val="none" w:sz="0" w:space="0" w:color="auto"/>
      </w:divBdr>
      <w:divsChild>
        <w:div w:id="406536078">
          <w:marLeft w:val="0"/>
          <w:marRight w:val="0"/>
          <w:marTop w:val="0"/>
          <w:marBottom w:val="0"/>
          <w:divBdr>
            <w:top w:val="none" w:sz="0" w:space="0" w:color="auto"/>
            <w:left w:val="none" w:sz="0" w:space="0" w:color="auto"/>
            <w:bottom w:val="none" w:sz="0" w:space="0" w:color="auto"/>
            <w:right w:val="none" w:sz="0" w:space="0" w:color="auto"/>
          </w:divBdr>
          <w:divsChild>
            <w:div w:id="1567035727">
              <w:marLeft w:val="0"/>
              <w:marRight w:val="0"/>
              <w:marTop w:val="0"/>
              <w:marBottom w:val="0"/>
              <w:divBdr>
                <w:top w:val="none" w:sz="0" w:space="0" w:color="auto"/>
                <w:left w:val="none" w:sz="0" w:space="0" w:color="auto"/>
                <w:bottom w:val="none" w:sz="0" w:space="0" w:color="auto"/>
                <w:right w:val="none" w:sz="0" w:space="0" w:color="auto"/>
              </w:divBdr>
              <w:divsChild>
                <w:div w:id="817453852">
                  <w:marLeft w:val="0"/>
                  <w:marRight w:val="0"/>
                  <w:marTop w:val="0"/>
                  <w:marBottom w:val="0"/>
                  <w:divBdr>
                    <w:top w:val="none" w:sz="0" w:space="0" w:color="auto"/>
                    <w:left w:val="none" w:sz="0" w:space="0" w:color="auto"/>
                    <w:bottom w:val="none" w:sz="0" w:space="0" w:color="auto"/>
                    <w:right w:val="none" w:sz="0" w:space="0" w:color="auto"/>
                  </w:divBdr>
                  <w:divsChild>
                    <w:div w:id="8502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1664">
      <w:bodyDiv w:val="1"/>
      <w:marLeft w:val="0"/>
      <w:marRight w:val="0"/>
      <w:marTop w:val="0"/>
      <w:marBottom w:val="0"/>
      <w:divBdr>
        <w:top w:val="none" w:sz="0" w:space="0" w:color="auto"/>
        <w:left w:val="none" w:sz="0" w:space="0" w:color="auto"/>
        <w:bottom w:val="none" w:sz="0" w:space="0" w:color="auto"/>
        <w:right w:val="none" w:sz="0" w:space="0" w:color="auto"/>
      </w:divBdr>
    </w:div>
    <w:div w:id="1649096077">
      <w:bodyDiv w:val="1"/>
      <w:marLeft w:val="0"/>
      <w:marRight w:val="0"/>
      <w:marTop w:val="0"/>
      <w:marBottom w:val="0"/>
      <w:divBdr>
        <w:top w:val="none" w:sz="0" w:space="0" w:color="auto"/>
        <w:left w:val="none" w:sz="0" w:space="0" w:color="auto"/>
        <w:bottom w:val="none" w:sz="0" w:space="0" w:color="auto"/>
        <w:right w:val="none" w:sz="0" w:space="0" w:color="auto"/>
      </w:divBdr>
    </w:div>
    <w:div w:id="1851291609">
      <w:bodyDiv w:val="1"/>
      <w:marLeft w:val="0"/>
      <w:marRight w:val="0"/>
      <w:marTop w:val="0"/>
      <w:marBottom w:val="0"/>
      <w:divBdr>
        <w:top w:val="none" w:sz="0" w:space="0" w:color="auto"/>
        <w:left w:val="none" w:sz="0" w:space="0" w:color="auto"/>
        <w:bottom w:val="none" w:sz="0" w:space="0" w:color="auto"/>
        <w:right w:val="none" w:sz="0" w:space="0" w:color="auto"/>
      </w:divBdr>
      <w:divsChild>
        <w:div w:id="163013985">
          <w:marLeft w:val="0"/>
          <w:marRight w:val="0"/>
          <w:marTop w:val="0"/>
          <w:marBottom w:val="0"/>
          <w:divBdr>
            <w:top w:val="none" w:sz="0" w:space="0" w:color="auto"/>
            <w:left w:val="none" w:sz="0" w:space="0" w:color="auto"/>
            <w:bottom w:val="none" w:sz="0" w:space="0" w:color="auto"/>
            <w:right w:val="none" w:sz="0" w:space="0" w:color="auto"/>
          </w:divBdr>
          <w:divsChild>
            <w:div w:id="330989540">
              <w:marLeft w:val="0"/>
              <w:marRight w:val="0"/>
              <w:marTop w:val="0"/>
              <w:marBottom w:val="0"/>
              <w:divBdr>
                <w:top w:val="none" w:sz="0" w:space="0" w:color="auto"/>
                <w:left w:val="none" w:sz="0" w:space="0" w:color="auto"/>
                <w:bottom w:val="none" w:sz="0" w:space="0" w:color="auto"/>
                <w:right w:val="none" w:sz="0" w:space="0" w:color="auto"/>
              </w:divBdr>
              <w:divsChild>
                <w:div w:id="1718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1850">
      <w:bodyDiv w:val="1"/>
      <w:marLeft w:val="0"/>
      <w:marRight w:val="0"/>
      <w:marTop w:val="0"/>
      <w:marBottom w:val="0"/>
      <w:divBdr>
        <w:top w:val="none" w:sz="0" w:space="0" w:color="auto"/>
        <w:left w:val="none" w:sz="0" w:space="0" w:color="auto"/>
        <w:bottom w:val="none" w:sz="0" w:space="0" w:color="auto"/>
        <w:right w:val="none" w:sz="0" w:space="0" w:color="auto"/>
      </w:divBdr>
    </w:div>
    <w:div w:id="1967349396">
      <w:bodyDiv w:val="1"/>
      <w:marLeft w:val="0"/>
      <w:marRight w:val="0"/>
      <w:marTop w:val="0"/>
      <w:marBottom w:val="0"/>
      <w:divBdr>
        <w:top w:val="none" w:sz="0" w:space="0" w:color="auto"/>
        <w:left w:val="none" w:sz="0" w:space="0" w:color="auto"/>
        <w:bottom w:val="none" w:sz="0" w:space="0" w:color="auto"/>
        <w:right w:val="none" w:sz="0" w:space="0" w:color="auto"/>
      </w:divBdr>
    </w:div>
    <w:div w:id="1973362551">
      <w:bodyDiv w:val="1"/>
      <w:marLeft w:val="0"/>
      <w:marRight w:val="0"/>
      <w:marTop w:val="0"/>
      <w:marBottom w:val="0"/>
      <w:divBdr>
        <w:top w:val="none" w:sz="0" w:space="0" w:color="auto"/>
        <w:left w:val="none" w:sz="0" w:space="0" w:color="auto"/>
        <w:bottom w:val="none" w:sz="0" w:space="0" w:color="auto"/>
        <w:right w:val="none" w:sz="0" w:space="0" w:color="auto"/>
      </w:divBdr>
      <w:divsChild>
        <w:div w:id="1407533991">
          <w:marLeft w:val="0"/>
          <w:marRight w:val="0"/>
          <w:marTop w:val="0"/>
          <w:marBottom w:val="0"/>
          <w:divBdr>
            <w:top w:val="none" w:sz="0" w:space="0" w:color="auto"/>
            <w:left w:val="none" w:sz="0" w:space="0" w:color="auto"/>
            <w:bottom w:val="none" w:sz="0" w:space="0" w:color="auto"/>
            <w:right w:val="none" w:sz="0" w:space="0" w:color="auto"/>
          </w:divBdr>
          <w:divsChild>
            <w:div w:id="914359895">
              <w:marLeft w:val="0"/>
              <w:marRight w:val="0"/>
              <w:marTop w:val="0"/>
              <w:marBottom w:val="0"/>
              <w:divBdr>
                <w:top w:val="none" w:sz="0" w:space="0" w:color="auto"/>
                <w:left w:val="none" w:sz="0" w:space="0" w:color="auto"/>
                <w:bottom w:val="none" w:sz="0" w:space="0" w:color="auto"/>
                <w:right w:val="none" w:sz="0" w:space="0" w:color="auto"/>
              </w:divBdr>
              <w:divsChild>
                <w:div w:id="1844934435">
                  <w:marLeft w:val="0"/>
                  <w:marRight w:val="0"/>
                  <w:marTop w:val="0"/>
                  <w:marBottom w:val="0"/>
                  <w:divBdr>
                    <w:top w:val="none" w:sz="0" w:space="0" w:color="auto"/>
                    <w:left w:val="none" w:sz="0" w:space="0" w:color="auto"/>
                    <w:bottom w:val="none" w:sz="0" w:space="0" w:color="auto"/>
                    <w:right w:val="none" w:sz="0" w:space="0" w:color="auto"/>
                  </w:divBdr>
                  <w:divsChild>
                    <w:div w:id="1586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earning.informea.org/" TargetMode="External"/><Relationship Id="rId2" Type="http://schemas.openxmlformats.org/officeDocument/2006/relationships/hyperlink" Target="https://www.ramsar.org/document/handbook-6-people-wetlands-convention-wetlands-cepa-programme" TargetMode="External"/><Relationship Id="rId1" Type="http://schemas.openxmlformats.org/officeDocument/2006/relationships/hyperlink" Target="https://www.ramsar.org/document/cop15-doc236-communication-capacity-building-education-participation-awareness-cepa-draf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4" ma:contentTypeDescription="Create a new document." ma:contentTypeScope="" ma:versionID="2055849121a78828b203c376bcc0979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ac13e0d67ac5406e1a12fcdbd3791b9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2A107-DB5F-4F3F-9E04-194389CA2722}">
  <ds:schemaRefs>
    <ds:schemaRef ds:uri="http://schemas.microsoft.com/office/2006/metadata/properties"/>
    <ds:schemaRef ds:uri="http://schemas.microsoft.com/office/2006/documentManagement/types"/>
    <ds:schemaRef ds:uri="8c0b6b05-eb82-4bda-97e8-cd82d0d6b453"/>
    <ds:schemaRef ds:uri="http://schemas.openxmlformats.org/package/2006/metadata/core-properties"/>
    <ds:schemaRef ds:uri="aedd258d-19a7-41ba-8260-b0918f25313d"/>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A249DD6-8786-4204-8A04-635486510D01}">
  <ds:schemaRefs>
    <ds:schemaRef ds:uri="http://schemas.openxmlformats.org/officeDocument/2006/bibliography"/>
  </ds:schemaRefs>
</ds:datastoreItem>
</file>

<file path=customXml/itemProps3.xml><?xml version="1.0" encoding="utf-8"?>
<ds:datastoreItem xmlns:ds="http://schemas.openxmlformats.org/officeDocument/2006/customXml" ds:itemID="{8EBF93CF-950B-4852-825C-3621BAB0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079A7-6DEE-487B-AADB-CC669B83C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2025-04-08T05:55:00Z</cp:lastPrinted>
  <dcterms:created xsi:type="dcterms:W3CDTF">2025-04-15T14:58:00Z</dcterms:created>
  <dcterms:modified xsi:type="dcterms:W3CDTF">2025-04-23T14:48:00Z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