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2FCCF3DB"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 xml:space="preserve">CONVENTION </w:t>
      </w:r>
      <w:r w:rsidR="00A739B2" w:rsidRPr="00A739B2">
        <w:rPr>
          <w:bCs/>
          <w:lang w:val="fr-FR"/>
        </w:rPr>
        <w:t>SUR LES ZONES H</w:t>
      </w:r>
      <w:r w:rsidR="00A739B2">
        <w:rPr>
          <w:bCs/>
          <w:lang w:val="fr-FR"/>
        </w:rPr>
        <w:t>UMIDES</w:t>
      </w:r>
    </w:p>
    <w:p w14:paraId="47D2C2BE" w14:textId="22A2A26C"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6</w:t>
      </w:r>
      <w:r w:rsidR="0084601B" w:rsidRPr="00A739B2">
        <w:rPr>
          <w:bCs/>
          <w:lang w:val="fr-FR"/>
        </w:rPr>
        <w:t>4</w:t>
      </w:r>
      <w:r w:rsidR="00A739B2" w:rsidRPr="00A739B2">
        <w:rPr>
          <w:bCs/>
          <w:vertAlign w:val="superscript"/>
          <w:lang w:val="fr-FR"/>
        </w:rPr>
        <w:t>e</w:t>
      </w:r>
      <w:r w:rsidRPr="00A739B2">
        <w:rPr>
          <w:bCs/>
          <w:lang w:val="fr-FR"/>
        </w:rPr>
        <w:t xml:space="preserve"> </w:t>
      </w:r>
      <w:r w:rsidR="00A739B2" w:rsidRPr="00A739B2">
        <w:rPr>
          <w:bCs/>
          <w:lang w:val="fr-FR"/>
        </w:rPr>
        <w:t>Réunion du Comité permanent</w:t>
      </w:r>
    </w:p>
    <w:p w14:paraId="7B85DB9F" w14:textId="707F6806" w:rsidR="00814ACF" w:rsidRPr="00A739B2" w:rsidRDefault="00814ACF" w:rsidP="00A302C8">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fr-FR"/>
        </w:rPr>
      </w:pPr>
      <w:r w:rsidRPr="00A739B2">
        <w:rPr>
          <w:bCs/>
          <w:lang w:val="fr-FR"/>
        </w:rPr>
        <w:t>Gland, S</w:t>
      </w:r>
      <w:r w:rsidR="00A739B2" w:rsidRPr="00A739B2">
        <w:rPr>
          <w:bCs/>
          <w:lang w:val="fr-FR"/>
        </w:rPr>
        <w:t>uisse</w:t>
      </w:r>
      <w:r w:rsidRPr="00A739B2">
        <w:rPr>
          <w:bCs/>
          <w:lang w:val="fr-FR"/>
        </w:rPr>
        <w:t xml:space="preserve">, </w:t>
      </w:r>
      <w:r w:rsidR="0084601B" w:rsidRPr="00A739B2">
        <w:rPr>
          <w:bCs/>
          <w:lang w:val="fr-FR"/>
        </w:rPr>
        <w:t>20</w:t>
      </w:r>
      <w:r w:rsidR="00A739B2" w:rsidRPr="00A739B2">
        <w:rPr>
          <w:bCs/>
          <w:lang w:val="fr-FR"/>
        </w:rPr>
        <w:t xml:space="preserve"> au </w:t>
      </w:r>
      <w:r w:rsidR="0084601B" w:rsidRPr="00A739B2">
        <w:rPr>
          <w:bCs/>
          <w:lang w:val="fr-FR"/>
        </w:rPr>
        <w:t>24</w:t>
      </w:r>
      <w:r w:rsidRPr="00A739B2">
        <w:rPr>
          <w:bCs/>
          <w:lang w:val="fr-FR"/>
        </w:rPr>
        <w:t xml:space="preserve"> </w:t>
      </w:r>
      <w:r w:rsidR="00A739B2">
        <w:rPr>
          <w:bCs/>
          <w:lang w:val="fr-FR"/>
        </w:rPr>
        <w:t>janvier</w:t>
      </w:r>
      <w:r w:rsidR="00975023" w:rsidRPr="00A739B2">
        <w:rPr>
          <w:bCs/>
          <w:lang w:val="fr-FR"/>
        </w:rPr>
        <w:t xml:space="preserve"> 202</w:t>
      </w:r>
      <w:r w:rsidR="0084601B" w:rsidRPr="00A739B2">
        <w:rPr>
          <w:bCs/>
          <w:lang w:val="fr-FR"/>
        </w:rPr>
        <w:t>5</w:t>
      </w:r>
    </w:p>
    <w:p w14:paraId="18B91B93" w14:textId="77777777" w:rsidR="00135706" w:rsidRPr="00A739B2" w:rsidRDefault="00135706" w:rsidP="00A302C8">
      <w:pPr>
        <w:spacing w:after="0" w:line="240" w:lineRule="auto"/>
        <w:rPr>
          <w:rFonts w:cstheme="minorHAnsi"/>
          <w:b/>
          <w:sz w:val="28"/>
          <w:szCs w:val="28"/>
          <w:lang w:val="fr-FR"/>
        </w:rPr>
      </w:pPr>
    </w:p>
    <w:p w14:paraId="2F59DBFC" w14:textId="77777777" w:rsidR="00814ACF" w:rsidRPr="00132B8C" w:rsidRDefault="00814ACF" w:rsidP="00A302C8">
      <w:pPr>
        <w:spacing w:after="0" w:line="240" w:lineRule="auto"/>
        <w:jc w:val="center"/>
        <w:rPr>
          <w:rFonts w:cstheme="minorHAnsi"/>
          <w:b/>
          <w:sz w:val="28"/>
          <w:szCs w:val="28"/>
          <w:lang w:val="fr-FR"/>
        </w:rPr>
      </w:pPr>
    </w:p>
    <w:p w14:paraId="78ED6E8A" w14:textId="0B66E167"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Décisions de la 6</w:t>
      </w:r>
      <w:r w:rsidR="006A2DD7">
        <w:rPr>
          <w:rFonts w:cstheme="minorHAnsi"/>
          <w:b/>
          <w:sz w:val="28"/>
          <w:szCs w:val="28"/>
          <w:lang w:val="fr-FR"/>
        </w:rPr>
        <w:t>4</w:t>
      </w:r>
      <w:r>
        <w:rPr>
          <w:rFonts w:cstheme="minorHAnsi"/>
          <w:b/>
          <w:sz w:val="28"/>
          <w:szCs w:val="28"/>
          <w:vertAlign w:val="superscript"/>
          <w:lang w:val="fr-FR"/>
        </w:rPr>
        <w:t xml:space="preserve">e </w:t>
      </w:r>
      <w:r>
        <w:rPr>
          <w:rFonts w:cstheme="minorHAnsi"/>
          <w:b/>
          <w:sz w:val="28"/>
          <w:szCs w:val="28"/>
          <w:lang w:val="fr-FR"/>
        </w:rPr>
        <w:t>Réunion</w:t>
      </w:r>
    </w:p>
    <w:p w14:paraId="20494FDE" w14:textId="22B34B4C" w:rsidR="00814ACF" w:rsidRPr="00A739B2" w:rsidRDefault="00A73489" w:rsidP="00A302C8">
      <w:pPr>
        <w:spacing w:after="0" w:line="240" w:lineRule="auto"/>
        <w:jc w:val="center"/>
        <w:rPr>
          <w:rFonts w:cstheme="minorHAnsi"/>
          <w:b/>
          <w:sz w:val="28"/>
          <w:szCs w:val="28"/>
          <w:lang w:val="fr-FR"/>
        </w:rPr>
      </w:pPr>
      <w:r>
        <w:rPr>
          <w:rFonts w:cstheme="minorHAnsi"/>
          <w:b/>
          <w:sz w:val="28"/>
          <w:szCs w:val="28"/>
          <w:lang w:val="fr-FR"/>
        </w:rPr>
        <w:t>du Comité permanent</w:t>
      </w:r>
    </w:p>
    <w:p w14:paraId="2A4F478B" w14:textId="77777777" w:rsidR="00814ACF" w:rsidRPr="00EE2435" w:rsidRDefault="00814ACF" w:rsidP="00EE2435">
      <w:pPr>
        <w:spacing w:after="0" w:line="240" w:lineRule="auto"/>
        <w:rPr>
          <w:rFonts w:cstheme="minorHAnsi"/>
          <w:b/>
          <w:lang w:val="fr-FR"/>
        </w:rPr>
      </w:pPr>
    </w:p>
    <w:p w14:paraId="50D567FE" w14:textId="77777777" w:rsidR="00135706" w:rsidRPr="00EE2435" w:rsidRDefault="00135706" w:rsidP="00A302C8">
      <w:pPr>
        <w:spacing w:after="0" w:line="240" w:lineRule="auto"/>
        <w:outlineLvl w:val="0"/>
        <w:rPr>
          <w:rFonts w:cstheme="minorHAnsi"/>
          <w:b/>
          <w:lang w:val="fr-FR"/>
        </w:rPr>
      </w:pPr>
    </w:p>
    <w:p w14:paraId="045DB966" w14:textId="066FC347" w:rsidR="005A4B27" w:rsidRPr="00A739B2" w:rsidRDefault="00A739B2"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739B2">
        <w:rPr>
          <w:rFonts w:cstheme="minorHAnsi"/>
          <w:bCs/>
          <w:lang w:val="fr-FR"/>
        </w:rPr>
        <w:t xml:space="preserve">Point </w:t>
      </w:r>
      <w:r>
        <w:rPr>
          <w:rFonts w:cstheme="minorHAnsi"/>
          <w:bCs/>
          <w:lang w:val="fr-FR"/>
        </w:rPr>
        <w:t>2</w:t>
      </w:r>
      <w:r w:rsidRPr="00A739B2">
        <w:rPr>
          <w:rFonts w:cstheme="minorHAnsi"/>
          <w:bCs/>
          <w:lang w:val="fr-FR"/>
        </w:rPr>
        <w:t xml:space="preserve"> de l’ordre du jour</w:t>
      </w:r>
      <w:r w:rsidR="005F6ED3">
        <w:rPr>
          <w:rFonts w:cstheme="minorHAnsi"/>
          <w:bCs/>
          <w:lang w:val="fr-FR"/>
        </w:rPr>
        <w:t> </w:t>
      </w:r>
      <w:r w:rsidR="005A4B27" w:rsidRPr="00A739B2">
        <w:rPr>
          <w:rFonts w:cstheme="minorHAnsi"/>
          <w:bCs/>
          <w:lang w:val="fr-FR"/>
        </w:rPr>
        <w:t xml:space="preserve">: </w:t>
      </w:r>
      <w:r w:rsidRPr="00A739B2">
        <w:rPr>
          <w:rFonts w:cstheme="minorHAnsi"/>
          <w:bCs/>
          <w:lang w:val="fr-FR"/>
        </w:rPr>
        <w:t>Adoption de l’ordre du jour provisoire</w:t>
      </w:r>
    </w:p>
    <w:p w14:paraId="5590E23C" w14:textId="77777777" w:rsidR="00B35D10" w:rsidRPr="003A04DC" w:rsidRDefault="00B35D10" w:rsidP="00A302C8">
      <w:pPr>
        <w:spacing w:after="0" w:line="240" w:lineRule="auto"/>
        <w:rPr>
          <w:rFonts w:cstheme="minorHAnsi"/>
          <w:lang w:val="fr-FR"/>
        </w:rPr>
      </w:pPr>
    </w:p>
    <w:p w14:paraId="26F26CC8" w14:textId="2AC7ECC3" w:rsidR="005F4C17" w:rsidRPr="003A04DC" w:rsidRDefault="00464088" w:rsidP="00A302C8">
      <w:pPr>
        <w:spacing w:after="0" w:line="240" w:lineRule="auto"/>
        <w:rPr>
          <w:lang w:val="fr-FR"/>
        </w:rPr>
      </w:pPr>
      <w:r w:rsidRPr="003A04DC">
        <w:rPr>
          <w:rFonts w:cstheme="minorHAnsi"/>
          <w:b/>
          <w:lang w:val="fr-FR"/>
        </w:rPr>
        <w:t>D</w:t>
      </w:r>
      <w:r w:rsidR="005F6ED3" w:rsidRPr="003A04DC">
        <w:rPr>
          <w:rFonts w:cstheme="minorHAnsi"/>
          <w:b/>
          <w:lang w:val="fr-FR"/>
        </w:rPr>
        <w:t>é</w:t>
      </w:r>
      <w:r w:rsidRPr="003A04DC">
        <w:rPr>
          <w:rFonts w:cstheme="minorHAnsi"/>
          <w:b/>
          <w:lang w:val="fr-FR"/>
        </w:rPr>
        <w:t>cision SC6</w:t>
      </w:r>
      <w:r w:rsidR="0084601B" w:rsidRPr="003A04DC">
        <w:rPr>
          <w:rFonts w:cstheme="minorHAnsi"/>
          <w:b/>
          <w:lang w:val="fr-FR"/>
        </w:rPr>
        <w:t>4</w:t>
      </w:r>
      <w:r w:rsidR="0017411A" w:rsidRPr="003A04DC">
        <w:rPr>
          <w:rFonts w:cstheme="minorHAnsi"/>
          <w:b/>
          <w:lang w:val="fr-FR"/>
        </w:rPr>
        <w:t>-01</w:t>
      </w:r>
      <w:r w:rsidR="003A04DC">
        <w:rPr>
          <w:rFonts w:cstheme="minorHAnsi"/>
          <w:b/>
          <w:lang w:val="fr-FR"/>
        </w:rPr>
        <w:t xml:space="preserve"> </w:t>
      </w:r>
      <w:r w:rsidR="0017411A" w:rsidRPr="003A04DC">
        <w:rPr>
          <w:rFonts w:cstheme="minorHAnsi"/>
          <w:b/>
          <w:lang w:val="fr-FR"/>
        </w:rPr>
        <w:t xml:space="preserve">: </w:t>
      </w:r>
      <w:r w:rsidR="005D3F25">
        <w:rPr>
          <w:rFonts w:cstheme="minorHAnsi"/>
          <w:b/>
          <w:lang w:val="fr-FR"/>
        </w:rPr>
        <w:t xml:space="preserve">Le Comité permanent adopte l’ordre du jour provisoire </w:t>
      </w:r>
      <w:r w:rsidR="006A5FEF">
        <w:rPr>
          <w:rFonts w:cstheme="minorHAnsi"/>
          <w:b/>
          <w:lang w:val="fr-FR"/>
        </w:rPr>
        <w:t>figurant</w:t>
      </w:r>
      <w:r w:rsidR="005D3F25">
        <w:rPr>
          <w:rFonts w:cstheme="minorHAnsi"/>
          <w:b/>
          <w:lang w:val="fr-FR"/>
        </w:rPr>
        <w:t xml:space="preserve"> dans le document </w:t>
      </w:r>
      <w:r w:rsidR="00231C29" w:rsidRPr="003A04DC">
        <w:rPr>
          <w:rFonts w:cstheme="minorHAnsi"/>
          <w:b/>
          <w:lang w:val="fr-FR"/>
        </w:rPr>
        <w:t>SC64 Doc.</w:t>
      </w:r>
      <w:r w:rsidR="00DC0511" w:rsidRPr="003A04DC">
        <w:rPr>
          <w:rFonts w:cstheme="minorHAnsi"/>
          <w:b/>
          <w:lang w:val="fr-FR"/>
        </w:rPr>
        <w:t>2</w:t>
      </w:r>
      <w:r w:rsidR="00231C29" w:rsidRPr="003A04DC">
        <w:rPr>
          <w:rFonts w:cstheme="minorHAnsi"/>
          <w:b/>
          <w:lang w:val="fr-FR"/>
        </w:rPr>
        <w:t xml:space="preserve"> </w:t>
      </w:r>
      <w:r w:rsidR="0014221A" w:rsidRPr="003A04DC">
        <w:rPr>
          <w:rFonts w:cstheme="minorHAnsi"/>
          <w:b/>
          <w:lang w:val="fr-FR"/>
        </w:rPr>
        <w:t>Rev.1</w:t>
      </w:r>
      <w:r w:rsidR="005D3F25">
        <w:rPr>
          <w:rFonts w:cstheme="minorHAnsi"/>
          <w:b/>
          <w:lang w:val="fr-FR"/>
        </w:rPr>
        <w:t xml:space="preserve">, tel qu’il a été </w:t>
      </w:r>
      <w:r w:rsidR="006A5FEF">
        <w:rPr>
          <w:rFonts w:cstheme="minorHAnsi"/>
          <w:b/>
          <w:lang w:val="fr-FR"/>
        </w:rPr>
        <w:t>modifié</w:t>
      </w:r>
      <w:r w:rsidR="005D3F25">
        <w:rPr>
          <w:rFonts w:cstheme="minorHAnsi"/>
          <w:b/>
          <w:lang w:val="fr-FR"/>
        </w:rPr>
        <w:t>.</w:t>
      </w:r>
    </w:p>
    <w:p w14:paraId="12FD1027" w14:textId="77777777" w:rsidR="0017411A" w:rsidRPr="003A04DC" w:rsidRDefault="0017411A" w:rsidP="00A302C8">
      <w:pPr>
        <w:tabs>
          <w:tab w:val="left" w:pos="720"/>
          <w:tab w:val="center" w:pos="4680"/>
        </w:tabs>
        <w:spacing w:after="0" w:line="240" w:lineRule="auto"/>
        <w:contextualSpacing/>
        <w:rPr>
          <w:rFonts w:cstheme="minorHAnsi"/>
          <w:lang w:val="fr-FR"/>
        </w:rPr>
      </w:pPr>
    </w:p>
    <w:p w14:paraId="1161549B" w14:textId="3E24F383"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3 de l’ordre du jour : Adoption du programme de travail provisoire</w:t>
      </w:r>
    </w:p>
    <w:p w14:paraId="608C2DF1" w14:textId="06B782EB" w:rsidR="005F4C17" w:rsidRPr="003A04DC" w:rsidRDefault="005F4C17" w:rsidP="00A302C8">
      <w:pPr>
        <w:spacing w:after="0" w:line="240" w:lineRule="auto"/>
        <w:rPr>
          <w:lang w:val="fr-FR"/>
        </w:rPr>
      </w:pPr>
    </w:p>
    <w:p w14:paraId="289110D7" w14:textId="4003D742" w:rsidR="005F4C17" w:rsidRPr="003A04DC" w:rsidRDefault="003A04DC" w:rsidP="00A302C8">
      <w:pPr>
        <w:spacing w:after="0" w:line="240" w:lineRule="auto"/>
        <w:rPr>
          <w:lang w:val="fr-FR"/>
        </w:rPr>
      </w:pPr>
      <w:r w:rsidRPr="003A04DC">
        <w:rPr>
          <w:rFonts w:cstheme="minorHAnsi"/>
          <w:b/>
          <w:lang w:val="fr-FR"/>
        </w:rPr>
        <w:t>Décision</w:t>
      </w:r>
      <w:r w:rsidR="005F4C17" w:rsidRPr="003A04DC">
        <w:rPr>
          <w:rFonts w:cstheme="minorHAnsi"/>
          <w:b/>
          <w:lang w:val="fr-FR"/>
        </w:rPr>
        <w:t xml:space="preserve"> SC</w:t>
      </w:r>
      <w:r w:rsidR="00464088" w:rsidRPr="003A04DC">
        <w:rPr>
          <w:rFonts w:cstheme="minorHAnsi"/>
          <w:b/>
          <w:lang w:val="fr-FR"/>
        </w:rPr>
        <w:t>6</w:t>
      </w:r>
      <w:r w:rsidR="0084601B" w:rsidRPr="003A04DC">
        <w:rPr>
          <w:rFonts w:cstheme="minorHAnsi"/>
          <w:b/>
          <w:lang w:val="fr-FR"/>
        </w:rPr>
        <w:t>4</w:t>
      </w:r>
      <w:r w:rsidR="005F4C17" w:rsidRPr="003A04DC">
        <w:rPr>
          <w:rFonts w:cstheme="minorHAnsi"/>
          <w:b/>
          <w:lang w:val="fr-FR"/>
        </w:rPr>
        <w:t>-02</w:t>
      </w:r>
      <w:r>
        <w:rPr>
          <w:rFonts w:cstheme="minorHAnsi"/>
          <w:b/>
          <w:lang w:val="fr-FR"/>
        </w:rPr>
        <w:t xml:space="preserve"> </w:t>
      </w:r>
      <w:r w:rsidR="005F4C17" w:rsidRPr="003A04DC">
        <w:rPr>
          <w:rFonts w:cstheme="minorHAnsi"/>
          <w:b/>
          <w:lang w:val="fr-FR"/>
        </w:rPr>
        <w:t xml:space="preserve">: </w:t>
      </w:r>
      <w:r w:rsidR="005D3F25">
        <w:rPr>
          <w:rFonts w:cstheme="minorHAnsi"/>
          <w:b/>
          <w:lang w:val="fr-FR"/>
        </w:rPr>
        <w:t xml:space="preserve">Le Comité permanent adopte le programme de travail provisoire </w:t>
      </w:r>
      <w:r w:rsidR="00132B8C">
        <w:rPr>
          <w:rFonts w:cstheme="minorHAnsi"/>
          <w:b/>
          <w:lang w:val="fr-FR"/>
        </w:rPr>
        <w:t>figurant</w:t>
      </w:r>
      <w:r w:rsidR="005D3F25">
        <w:rPr>
          <w:rFonts w:cstheme="minorHAnsi"/>
          <w:b/>
          <w:lang w:val="fr-FR"/>
        </w:rPr>
        <w:t xml:space="preserve"> dans le </w:t>
      </w:r>
      <w:r w:rsidR="005F4C17" w:rsidRPr="003A04DC">
        <w:rPr>
          <w:rFonts w:cstheme="minorHAnsi"/>
          <w:b/>
          <w:lang w:val="fr-FR"/>
        </w:rPr>
        <w:t xml:space="preserve">document </w:t>
      </w:r>
      <w:r w:rsidR="004017C8" w:rsidRPr="003A04DC">
        <w:rPr>
          <w:rFonts w:cstheme="minorHAnsi"/>
          <w:b/>
          <w:lang w:val="fr-FR"/>
        </w:rPr>
        <w:t>SC64 Doc.3</w:t>
      </w:r>
      <w:r w:rsidR="0014221A" w:rsidRPr="003A04DC">
        <w:rPr>
          <w:rFonts w:cstheme="minorHAnsi"/>
          <w:b/>
          <w:lang w:val="fr-FR"/>
        </w:rPr>
        <w:t xml:space="preserve"> Rev.1</w:t>
      </w:r>
      <w:r w:rsidR="004017C8" w:rsidRPr="003A04DC">
        <w:rPr>
          <w:rFonts w:cstheme="minorHAnsi"/>
          <w:b/>
          <w:lang w:val="fr-FR"/>
        </w:rPr>
        <w:t>.</w:t>
      </w:r>
    </w:p>
    <w:p w14:paraId="088BBE94" w14:textId="77777777" w:rsidR="0024341A" w:rsidRPr="003A04DC" w:rsidRDefault="0024341A" w:rsidP="00A302C8">
      <w:pPr>
        <w:tabs>
          <w:tab w:val="left" w:pos="720"/>
          <w:tab w:val="center" w:pos="4680"/>
        </w:tabs>
        <w:spacing w:after="0" w:line="240" w:lineRule="auto"/>
        <w:rPr>
          <w:rFonts w:cstheme="minorHAnsi"/>
          <w:bCs/>
          <w:lang w:val="fr-FR"/>
        </w:rPr>
      </w:pPr>
    </w:p>
    <w:p w14:paraId="741AECEF" w14:textId="7B18F33A" w:rsidR="0024341A"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4 de l’ordre du jour : </w:t>
      </w:r>
      <w:r w:rsidR="0024341A" w:rsidRPr="003A04DC">
        <w:rPr>
          <w:rFonts w:cstheme="minorHAnsi"/>
          <w:bCs/>
          <w:lang w:val="fr-FR"/>
        </w:rPr>
        <w:t xml:space="preserve">Admission </w:t>
      </w:r>
      <w:r w:rsidRPr="003A04DC">
        <w:rPr>
          <w:rFonts w:cstheme="minorHAnsi"/>
          <w:bCs/>
          <w:lang w:val="fr-FR"/>
        </w:rPr>
        <w:t>des</w:t>
      </w:r>
      <w:r w:rsidR="0024341A" w:rsidRPr="003A04DC">
        <w:rPr>
          <w:rFonts w:cstheme="minorHAnsi"/>
          <w:bCs/>
          <w:lang w:val="fr-FR"/>
        </w:rPr>
        <w:t xml:space="preserve"> observ</w:t>
      </w:r>
      <w:r w:rsidRPr="003A04DC">
        <w:rPr>
          <w:rFonts w:cstheme="minorHAnsi"/>
          <w:bCs/>
          <w:lang w:val="fr-FR"/>
        </w:rPr>
        <w:t>ateurs</w:t>
      </w:r>
    </w:p>
    <w:p w14:paraId="7E1FD3F9" w14:textId="77777777" w:rsidR="00C0227B" w:rsidRPr="003A04DC" w:rsidRDefault="00C0227B" w:rsidP="00A302C8">
      <w:pPr>
        <w:spacing w:after="0" w:line="240" w:lineRule="auto"/>
        <w:ind w:left="567" w:hanging="567"/>
        <w:rPr>
          <w:rFonts w:eastAsia="Calibri" w:cstheme="minorHAnsi"/>
          <w:bCs/>
          <w:lang w:val="fr-FR"/>
        </w:rPr>
      </w:pPr>
    </w:p>
    <w:p w14:paraId="6C9C1AF7" w14:textId="775BC58C" w:rsidR="0067283F" w:rsidRPr="003A04DC" w:rsidRDefault="003A04DC" w:rsidP="00A302C8">
      <w:pPr>
        <w:spacing w:after="0" w:line="240" w:lineRule="auto"/>
        <w:contextualSpacing/>
        <w:rPr>
          <w:lang w:val="fr-FR"/>
        </w:rPr>
      </w:pPr>
      <w:r w:rsidRPr="003A04DC">
        <w:rPr>
          <w:rFonts w:cstheme="minorHAnsi"/>
          <w:b/>
          <w:lang w:val="fr-FR"/>
        </w:rPr>
        <w:t>Décision</w:t>
      </w:r>
      <w:r w:rsidR="0067283F" w:rsidRPr="003A04DC">
        <w:rPr>
          <w:rFonts w:cstheme="minorHAnsi"/>
          <w:b/>
          <w:lang w:val="fr-FR"/>
        </w:rPr>
        <w:t xml:space="preserve"> SC64-03</w:t>
      </w:r>
      <w:r>
        <w:rPr>
          <w:rFonts w:cstheme="minorHAnsi"/>
          <w:b/>
          <w:lang w:val="fr-FR"/>
        </w:rPr>
        <w:t xml:space="preserve"> </w:t>
      </w:r>
      <w:r w:rsidR="0067283F" w:rsidRPr="003A04DC">
        <w:rPr>
          <w:rFonts w:cstheme="minorHAnsi"/>
          <w:b/>
          <w:lang w:val="fr-FR"/>
        </w:rPr>
        <w:t xml:space="preserve">: </w:t>
      </w:r>
      <w:r w:rsidR="00405D3F">
        <w:rPr>
          <w:rFonts w:cstheme="minorHAnsi"/>
          <w:b/>
          <w:lang w:val="fr-FR"/>
        </w:rPr>
        <w:t>Le Comité permanent admet en qualité d’observateurs :</w:t>
      </w:r>
    </w:p>
    <w:p w14:paraId="6A09AD63" w14:textId="77777777" w:rsidR="0067283F" w:rsidRPr="003A04DC" w:rsidRDefault="0067283F" w:rsidP="00A302C8">
      <w:pPr>
        <w:spacing w:after="0" w:line="240" w:lineRule="auto"/>
        <w:ind w:left="567" w:hanging="567"/>
        <w:rPr>
          <w:rFonts w:eastAsia="Calibri" w:cstheme="minorHAnsi"/>
          <w:b/>
          <w:lang w:val="fr-FR"/>
        </w:rPr>
      </w:pPr>
    </w:p>
    <w:p w14:paraId="1CC2CA5C" w14:textId="3EA55D13" w:rsidR="0014221A" w:rsidRPr="003A04DC" w:rsidRDefault="00405D3F" w:rsidP="00A302C8">
      <w:pPr>
        <w:spacing w:after="0" w:line="240" w:lineRule="auto"/>
        <w:rPr>
          <w:rFonts w:eastAsia="Calibri" w:cstheme="minorHAnsi"/>
          <w:b/>
          <w:lang w:val="fr-FR"/>
        </w:rPr>
      </w:pPr>
      <w:r>
        <w:rPr>
          <w:rFonts w:eastAsia="Calibri" w:cstheme="minorHAnsi"/>
          <w:b/>
          <w:lang w:val="fr-FR"/>
        </w:rPr>
        <w:t>Les États non Parties à la Convention :</w:t>
      </w:r>
    </w:p>
    <w:p w14:paraId="289F6BCF"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Arabie saoudite</w:t>
      </w:r>
    </w:p>
    <w:p w14:paraId="06F7AA69"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Guyana</w:t>
      </w:r>
    </w:p>
    <w:p w14:paraId="66513930" w14:textId="77777777" w:rsidR="00405D3F" w:rsidRPr="003A04DC" w:rsidRDefault="00405D3F" w:rsidP="00A302C8">
      <w:pPr>
        <w:pStyle w:val="ListParagraph"/>
        <w:numPr>
          <w:ilvl w:val="0"/>
          <w:numId w:val="18"/>
        </w:numPr>
        <w:spacing w:after="0" w:line="240" w:lineRule="auto"/>
        <w:ind w:left="426" w:hanging="425"/>
        <w:rPr>
          <w:rFonts w:eastAsia="Calibri" w:cstheme="minorHAnsi"/>
          <w:b/>
          <w:lang w:val="fr-FR"/>
        </w:rPr>
      </w:pPr>
      <w:r>
        <w:rPr>
          <w:rFonts w:eastAsia="Calibri" w:cstheme="minorHAnsi"/>
          <w:b/>
          <w:lang w:val="fr-FR"/>
        </w:rPr>
        <w:t>Saint-Siège</w:t>
      </w:r>
    </w:p>
    <w:p w14:paraId="59C63827" w14:textId="77777777" w:rsidR="0014221A" w:rsidRPr="003A04DC" w:rsidRDefault="0014221A" w:rsidP="00A302C8">
      <w:pPr>
        <w:spacing w:after="0" w:line="240" w:lineRule="auto"/>
        <w:rPr>
          <w:rFonts w:eastAsia="Calibri" w:cstheme="minorHAnsi"/>
          <w:b/>
          <w:lang w:val="fr-FR"/>
        </w:rPr>
      </w:pPr>
    </w:p>
    <w:p w14:paraId="60525E12" w14:textId="68AAF96C" w:rsidR="00054337" w:rsidRPr="003A04DC" w:rsidRDefault="009A5D8F" w:rsidP="00A302C8">
      <w:pPr>
        <w:spacing w:after="0" w:line="240" w:lineRule="auto"/>
        <w:rPr>
          <w:rFonts w:eastAsia="Calibri" w:cstheme="minorHAnsi"/>
          <w:b/>
          <w:lang w:val="fr-FR"/>
        </w:rPr>
      </w:pPr>
      <w:r>
        <w:rPr>
          <w:rFonts w:eastAsia="Calibri" w:cstheme="minorHAnsi"/>
          <w:b/>
          <w:lang w:val="fr-FR"/>
        </w:rPr>
        <w:t>Les o</w:t>
      </w:r>
      <w:r w:rsidR="002F584E">
        <w:rPr>
          <w:rFonts w:eastAsia="Calibri" w:cstheme="minorHAnsi"/>
          <w:b/>
          <w:lang w:val="fr-FR"/>
        </w:rPr>
        <w:t xml:space="preserve">rganes ou organismes </w:t>
      </w:r>
      <w:r>
        <w:rPr>
          <w:rFonts w:eastAsia="Calibri" w:cstheme="minorHAnsi"/>
          <w:b/>
          <w:lang w:val="fr-FR"/>
        </w:rPr>
        <w:t>aspirant</w:t>
      </w:r>
      <w:r w:rsidR="00900150">
        <w:rPr>
          <w:rFonts w:eastAsia="Calibri" w:cstheme="minorHAnsi"/>
          <w:b/>
          <w:lang w:val="fr-FR"/>
        </w:rPr>
        <w:t xml:space="preserve"> à </w:t>
      </w:r>
      <w:r>
        <w:rPr>
          <w:rFonts w:eastAsia="Calibri" w:cstheme="minorHAnsi"/>
          <w:b/>
          <w:lang w:val="fr-FR"/>
        </w:rPr>
        <w:t>devenir observateurs</w:t>
      </w:r>
      <w:r w:rsidR="00900150">
        <w:rPr>
          <w:rFonts w:eastAsia="Calibri" w:cstheme="minorHAnsi"/>
          <w:b/>
          <w:lang w:val="fr-FR"/>
        </w:rPr>
        <w:t xml:space="preserve"> et qui </w:t>
      </w:r>
      <w:r w:rsidR="00495AB5">
        <w:rPr>
          <w:rFonts w:eastAsia="Calibri" w:cstheme="minorHAnsi"/>
          <w:b/>
          <w:lang w:val="fr-FR"/>
        </w:rPr>
        <w:t>remplissent</w:t>
      </w:r>
      <w:r w:rsidR="00900150">
        <w:rPr>
          <w:rFonts w:eastAsia="Calibri" w:cstheme="minorHAnsi"/>
          <w:b/>
          <w:lang w:val="fr-FR"/>
        </w:rPr>
        <w:t xml:space="preserve"> les critères :</w:t>
      </w:r>
    </w:p>
    <w:p w14:paraId="4C006B07" w14:textId="77777777" w:rsidR="00054337" w:rsidRPr="003A04DC" w:rsidRDefault="00054337" w:rsidP="00A302C8">
      <w:pPr>
        <w:pStyle w:val="ListParagraph"/>
        <w:numPr>
          <w:ilvl w:val="0"/>
          <w:numId w:val="18"/>
        </w:numPr>
        <w:spacing w:after="0" w:line="240" w:lineRule="auto"/>
        <w:ind w:left="426" w:hanging="425"/>
        <w:rPr>
          <w:rFonts w:eastAsia="Calibri" w:cstheme="minorHAnsi"/>
          <w:b/>
          <w:lang w:val="fr-FR"/>
        </w:rPr>
      </w:pPr>
      <w:r w:rsidRPr="003A04DC">
        <w:rPr>
          <w:rFonts w:eastAsia="Calibri" w:cstheme="minorHAnsi"/>
          <w:b/>
          <w:lang w:val="fr-FR"/>
        </w:rPr>
        <w:t>Arcus reflexus</w:t>
      </w:r>
    </w:p>
    <w:p w14:paraId="7C87E4F1" w14:textId="7449BDB9" w:rsidR="00EF0CFD" w:rsidRPr="00132B8C" w:rsidRDefault="00054337" w:rsidP="00A302C8">
      <w:pPr>
        <w:pStyle w:val="ListParagraph"/>
        <w:numPr>
          <w:ilvl w:val="0"/>
          <w:numId w:val="18"/>
        </w:numPr>
        <w:spacing w:after="0" w:line="240" w:lineRule="auto"/>
        <w:ind w:left="426" w:hanging="425"/>
        <w:rPr>
          <w:rFonts w:eastAsia="Calibri" w:cstheme="minorHAnsi"/>
          <w:b/>
          <w:lang w:val="en-US"/>
        </w:rPr>
      </w:pPr>
      <w:r w:rsidRPr="00132B8C">
        <w:rPr>
          <w:rFonts w:eastAsia="Calibri" w:cstheme="minorHAnsi"/>
          <w:b/>
          <w:lang w:val="en-US"/>
        </w:rPr>
        <w:t>Environment and Food Foundation (E2F)</w:t>
      </w:r>
    </w:p>
    <w:p w14:paraId="4DC7A77B" w14:textId="77777777" w:rsidR="00054337" w:rsidRPr="00132B8C" w:rsidRDefault="00054337" w:rsidP="00A302C8">
      <w:pPr>
        <w:pStyle w:val="ListParagraph"/>
        <w:spacing w:after="0" w:line="240" w:lineRule="auto"/>
        <w:ind w:left="1494"/>
        <w:rPr>
          <w:rFonts w:eastAsia="Calibri" w:cstheme="minorHAnsi"/>
          <w:bCs/>
          <w:lang w:val="en-US"/>
        </w:rPr>
      </w:pPr>
    </w:p>
    <w:p w14:paraId="6B5DC3D8" w14:textId="10BC4F49" w:rsidR="0079631C"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Point 5 de l’ordre du jour : Rapport du Comité exécutif et du Président du Comité permanent</w:t>
      </w:r>
    </w:p>
    <w:p w14:paraId="12902BEA" w14:textId="77777777" w:rsidR="0079631C" w:rsidRPr="003A04DC" w:rsidRDefault="0079631C" w:rsidP="00A302C8">
      <w:pPr>
        <w:spacing w:after="0" w:line="240" w:lineRule="auto"/>
        <w:ind w:left="567" w:hanging="567"/>
        <w:rPr>
          <w:rFonts w:eastAsia="Calibri" w:cstheme="minorHAnsi"/>
          <w:bCs/>
          <w:lang w:val="fr-FR"/>
        </w:rPr>
      </w:pPr>
    </w:p>
    <w:p w14:paraId="3FF16B20" w14:textId="1C702BDE" w:rsidR="0079631C"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79631C" w:rsidRPr="003A04DC">
        <w:rPr>
          <w:rFonts w:cstheme="minorHAnsi"/>
          <w:b/>
          <w:lang w:val="fr-FR"/>
        </w:rPr>
        <w:t xml:space="preserve"> SC</w:t>
      </w:r>
      <w:r w:rsidR="00E66F99" w:rsidRPr="003A04DC">
        <w:rPr>
          <w:rFonts w:cstheme="minorHAnsi"/>
          <w:b/>
          <w:lang w:val="fr-FR"/>
        </w:rPr>
        <w:t>6</w:t>
      </w:r>
      <w:r w:rsidR="00925D0C" w:rsidRPr="003A04DC">
        <w:rPr>
          <w:rFonts w:cstheme="minorHAnsi"/>
          <w:b/>
          <w:lang w:val="fr-FR"/>
        </w:rPr>
        <w:t>4</w:t>
      </w:r>
      <w:r w:rsidR="0079631C" w:rsidRPr="003A04DC">
        <w:rPr>
          <w:rFonts w:cstheme="minorHAnsi"/>
          <w:b/>
          <w:lang w:val="fr-FR"/>
        </w:rPr>
        <w:t>-</w:t>
      </w:r>
      <w:r w:rsidR="00E22824" w:rsidRPr="003A04DC">
        <w:rPr>
          <w:rFonts w:cstheme="minorHAnsi"/>
          <w:b/>
          <w:lang w:val="fr-FR"/>
        </w:rPr>
        <w:t>04</w:t>
      </w:r>
      <w:r>
        <w:rPr>
          <w:rFonts w:cstheme="minorHAnsi"/>
          <w:b/>
          <w:lang w:val="fr-FR"/>
        </w:rPr>
        <w:t xml:space="preserve"> </w:t>
      </w:r>
      <w:r w:rsidR="00F03D5B" w:rsidRPr="003A04DC">
        <w:rPr>
          <w:rFonts w:cstheme="minorHAnsi"/>
          <w:b/>
          <w:lang w:val="fr-FR"/>
        </w:rPr>
        <w:t xml:space="preserve">: </w:t>
      </w:r>
      <w:r w:rsidR="00900150">
        <w:rPr>
          <w:rFonts w:cstheme="minorHAnsi"/>
          <w:b/>
          <w:lang w:val="fr-FR"/>
        </w:rPr>
        <w:t xml:space="preserve">Le Comité permanent prend note du Rapport du Comité exécutif et du Président du Comité permanent publié dans le </w:t>
      </w:r>
      <w:r w:rsidR="007F459E" w:rsidRPr="003A04DC">
        <w:rPr>
          <w:rFonts w:cstheme="minorHAnsi"/>
          <w:b/>
          <w:lang w:val="fr-FR"/>
        </w:rPr>
        <w:t>document</w:t>
      </w:r>
      <w:r w:rsidR="00BD2132" w:rsidRPr="003A04DC">
        <w:rPr>
          <w:lang w:val="fr-FR"/>
        </w:rPr>
        <w:t xml:space="preserve"> </w:t>
      </w:r>
      <w:r w:rsidR="00BD2132" w:rsidRPr="003A04DC">
        <w:rPr>
          <w:rFonts w:cstheme="minorHAnsi"/>
          <w:b/>
          <w:lang w:val="fr-FR"/>
        </w:rPr>
        <w:t>SC64 Doc.5</w:t>
      </w:r>
      <w:r w:rsidR="0067283F" w:rsidRPr="003A04DC">
        <w:rPr>
          <w:rFonts w:cstheme="minorHAnsi"/>
          <w:b/>
          <w:lang w:val="fr-FR"/>
        </w:rPr>
        <w:t>.</w:t>
      </w:r>
    </w:p>
    <w:p w14:paraId="4DCDA6F9" w14:textId="76C1DE48" w:rsidR="00F03D5B" w:rsidRPr="003A04DC" w:rsidRDefault="00F03D5B" w:rsidP="00A302C8">
      <w:pPr>
        <w:spacing w:after="0" w:line="240" w:lineRule="auto"/>
        <w:contextualSpacing/>
        <w:rPr>
          <w:rFonts w:cstheme="minorHAnsi"/>
          <w:b/>
          <w:lang w:val="fr-FR"/>
        </w:rPr>
      </w:pPr>
    </w:p>
    <w:p w14:paraId="2B168679" w14:textId="579FFBC8" w:rsidR="00F03D5B"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6 de l’ordre du jour : </w:t>
      </w:r>
      <w:r w:rsidR="00F03D5B" w:rsidRPr="003A04DC">
        <w:rPr>
          <w:rFonts w:cstheme="minorHAnsi"/>
          <w:bCs/>
          <w:lang w:val="fr-FR"/>
        </w:rPr>
        <w:t>R</w:t>
      </w:r>
      <w:r w:rsidRPr="003A04DC">
        <w:rPr>
          <w:rFonts w:cstheme="minorHAnsi"/>
          <w:bCs/>
          <w:lang w:val="fr-FR"/>
        </w:rPr>
        <w:t>ap</w:t>
      </w:r>
      <w:r w:rsidR="00F03D5B" w:rsidRPr="003A04DC">
        <w:rPr>
          <w:rFonts w:cstheme="minorHAnsi"/>
          <w:bCs/>
          <w:lang w:val="fr-FR"/>
        </w:rPr>
        <w:t xml:space="preserve">port </w:t>
      </w:r>
      <w:r w:rsidRPr="003A04DC">
        <w:rPr>
          <w:rFonts w:cstheme="minorHAnsi"/>
          <w:bCs/>
          <w:lang w:val="fr-FR"/>
        </w:rPr>
        <w:t>de la</w:t>
      </w:r>
      <w:r w:rsidR="00F03D5B" w:rsidRPr="003A04DC">
        <w:rPr>
          <w:rFonts w:cstheme="minorHAnsi"/>
          <w:bCs/>
          <w:lang w:val="fr-FR"/>
        </w:rPr>
        <w:t xml:space="preserve"> </w:t>
      </w:r>
      <w:r w:rsidR="00F03D5B" w:rsidRPr="003A04DC">
        <w:rPr>
          <w:bCs/>
          <w:lang w:val="fr-FR"/>
        </w:rPr>
        <w:t>Secr</w:t>
      </w:r>
      <w:r w:rsidRPr="003A04DC">
        <w:rPr>
          <w:bCs/>
          <w:lang w:val="fr-FR"/>
        </w:rPr>
        <w:t>é</w:t>
      </w:r>
      <w:r w:rsidR="00F03D5B" w:rsidRPr="003A04DC">
        <w:rPr>
          <w:bCs/>
          <w:lang w:val="fr-FR"/>
        </w:rPr>
        <w:t>ta</w:t>
      </w:r>
      <w:r w:rsidRPr="003A04DC">
        <w:rPr>
          <w:bCs/>
          <w:lang w:val="fr-FR"/>
        </w:rPr>
        <w:t>ire</w:t>
      </w:r>
      <w:r w:rsidR="00F03D5B" w:rsidRPr="003A04DC">
        <w:rPr>
          <w:bCs/>
          <w:lang w:val="fr-FR"/>
        </w:rPr>
        <w:t xml:space="preserve"> </w:t>
      </w:r>
      <w:r w:rsidRPr="003A04DC">
        <w:rPr>
          <w:bCs/>
          <w:lang w:val="fr-FR"/>
        </w:rPr>
        <w:t>générale</w:t>
      </w:r>
    </w:p>
    <w:p w14:paraId="4DF5B21C" w14:textId="77777777" w:rsidR="00F03D5B" w:rsidRPr="003A04DC" w:rsidRDefault="00F03D5B" w:rsidP="00A302C8">
      <w:pPr>
        <w:spacing w:after="0" w:line="240" w:lineRule="auto"/>
        <w:ind w:left="567" w:hanging="567"/>
        <w:rPr>
          <w:rFonts w:eastAsia="Calibri" w:cstheme="minorHAnsi"/>
          <w:bCs/>
          <w:lang w:val="fr-FR"/>
        </w:rPr>
      </w:pPr>
    </w:p>
    <w:p w14:paraId="07C8B408" w14:textId="5939F80C" w:rsidR="00E66F99"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E66F99" w:rsidRPr="003A04DC">
        <w:rPr>
          <w:rFonts w:cstheme="minorHAnsi"/>
          <w:b/>
          <w:lang w:val="fr-FR"/>
        </w:rPr>
        <w:t xml:space="preserve"> SC6</w:t>
      </w:r>
      <w:r w:rsidR="00925D0C" w:rsidRPr="003A04DC">
        <w:rPr>
          <w:rFonts w:cstheme="minorHAnsi"/>
          <w:b/>
          <w:lang w:val="fr-FR"/>
        </w:rPr>
        <w:t>4</w:t>
      </w:r>
      <w:r w:rsidR="00E66F99" w:rsidRPr="003A04DC">
        <w:rPr>
          <w:rFonts w:cstheme="minorHAnsi"/>
          <w:b/>
          <w:lang w:val="fr-FR"/>
        </w:rPr>
        <w:t>-</w:t>
      </w:r>
      <w:r w:rsidR="0084194C" w:rsidRPr="003A04DC">
        <w:rPr>
          <w:rFonts w:cstheme="minorHAnsi"/>
          <w:b/>
          <w:lang w:val="fr-FR"/>
        </w:rPr>
        <w:t>05</w:t>
      </w:r>
      <w:r>
        <w:rPr>
          <w:rFonts w:cstheme="minorHAnsi"/>
          <w:b/>
          <w:lang w:val="fr-FR"/>
        </w:rPr>
        <w:t xml:space="preserve"> </w:t>
      </w:r>
      <w:r w:rsidR="00E66F99" w:rsidRPr="003A04DC">
        <w:rPr>
          <w:rFonts w:cstheme="minorHAnsi"/>
          <w:b/>
          <w:lang w:val="fr-FR"/>
        </w:rPr>
        <w:t xml:space="preserve">: </w:t>
      </w:r>
      <w:r w:rsidR="00B53C60">
        <w:rPr>
          <w:rFonts w:cstheme="minorHAnsi"/>
          <w:b/>
          <w:lang w:val="fr-FR"/>
        </w:rPr>
        <w:t xml:space="preserve">Le Comité permanent prend note du rapport de la Secrétaire générale </w:t>
      </w:r>
      <w:r w:rsidR="00C10172">
        <w:rPr>
          <w:rFonts w:cstheme="minorHAnsi"/>
          <w:b/>
          <w:lang w:val="fr-FR"/>
        </w:rPr>
        <w:t>figurant</w:t>
      </w:r>
      <w:r w:rsidR="00B53C60">
        <w:rPr>
          <w:rFonts w:cstheme="minorHAnsi"/>
          <w:b/>
          <w:lang w:val="fr-FR"/>
        </w:rPr>
        <w:t xml:space="preserve"> dans le </w:t>
      </w:r>
      <w:r w:rsidR="007A76AB" w:rsidRPr="003A04DC">
        <w:rPr>
          <w:rFonts w:cstheme="minorHAnsi"/>
          <w:b/>
          <w:lang w:val="fr-FR"/>
        </w:rPr>
        <w:t xml:space="preserve">document </w:t>
      </w:r>
      <w:r w:rsidR="001921B0" w:rsidRPr="003A04DC">
        <w:rPr>
          <w:rFonts w:cstheme="minorHAnsi"/>
          <w:b/>
          <w:lang w:val="fr-FR"/>
        </w:rPr>
        <w:t>SC64 Doc.6.</w:t>
      </w:r>
    </w:p>
    <w:p w14:paraId="5B4CE5AD" w14:textId="67213FA4" w:rsidR="00AA35A1" w:rsidRPr="003A04DC" w:rsidRDefault="00AA35A1" w:rsidP="00A302C8">
      <w:pPr>
        <w:spacing w:after="0" w:line="240" w:lineRule="auto"/>
        <w:rPr>
          <w:rFonts w:cstheme="minorHAnsi"/>
          <w:bCs/>
          <w:lang w:val="fr-FR"/>
        </w:rPr>
      </w:pPr>
    </w:p>
    <w:p w14:paraId="7B404E54" w14:textId="04FDB92F" w:rsidR="001921B0" w:rsidRPr="003A04DC"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A04DC">
        <w:rPr>
          <w:rFonts w:cstheme="minorHAnsi"/>
          <w:bCs/>
          <w:lang w:val="fr-FR"/>
        </w:rPr>
        <w:t xml:space="preserve">Point 7.1 de l’ordre du jour : </w:t>
      </w:r>
      <w:r w:rsidR="004E7434" w:rsidRPr="003A04DC">
        <w:rPr>
          <w:rFonts w:cstheme="minorHAnsi"/>
          <w:bCs/>
          <w:lang w:val="fr-FR"/>
        </w:rPr>
        <w:t>R</w:t>
      </w:r>
      <w:r w:rsidRPr="003A04DC">
        <w:rPr>
          <w:rFonts w:cstheme="minorHAnsi"/>
          <w:bCs/>
          <w:lang w:val="fr-FR"/>
        </w:rPr>
        <w:t>ap</w:t>
      </w:r>
      <w:r w:rsidR="004E7434" w:rsidRPr="003A04DC">
        <w:rPr>
          <w:rFonts w:cstheme="minorHAnsi"/>
          <w:bCs/>
          <w:lang w:val="fr-FR"/>
        </w:rPr>
        <w:t xml:space="preserve">port </w:t>
      </w:r>
      <w:r w:rsidRPr="003A04DC">
        <w:rPr>
          <w:rFonts w:cstheme="minorHAnsi"/>
          <w:bCs/>
          <w:lang w:val="fr-FR"/>
        </w:rPr>
        <w:t>du</w:t>
      </w:r>
      <w:r w:rsidR="004E7434" w:rsidRPr="003A04DC">
        <w:rPr>
          <w:rFonts w:cstheme="minorHAnsi"/>
          <w:bCs/>
          <w:lang w:val="fr-FR"/>
        </w:rPr>
        <w:t xml:space="preserve"> </w:t>
      </w:r>
      <w:r w:rsidRPr="003A04DC">
        <w:rPr>
          <w:rFonts w:cstheme="minorHAnsi"/>
          <w:bCs/>
          <w:lang w:val="fr-FR"/>
        </w:rPr>
        <w:t>Groupe de travail sur la gestion </w:t>
      </w:r>
      <w:r w:rsidR="004E7434" w:rsidRPr="003A04DC">
        <w:rPr>
          <w:rFonts w:cstheme="minorHAnsi"/>
          <w:bCs/>
          <w:lang w:val="fr-FR"/>
        </w:rPr>
        <w:t xml:space="preserve">: </w:t>
      </w:r>
      <w:r w:rsidRPr="003A04DC">
        <w:rPr>
          <w:rFonts w:cstheme="minorHAnsi"/>
          <w:bCs/>
          <w:lang w:val="fr-FR"/>
        </w:rPr>
        <w:t>Rapport sur les activités du Groupe de travail sur la gestion</w:t>
      </w:r>
    </w:p>
    <w:p w14:paraId="1870CA9E" w14:textId="55E765E9" w:rsidR="006E404B" w:rsidRPr="003A04DC" w:rsidRDefault="006E404B" w:rsidP="00A302C8">
      <w:pPr>
        <w:spacing w:after="0" w:line="240" w:lineRule="auto"/>
        <w:ind w:left="562" w:hanging="562"/>
        <w:rPr>
          <w:rFonts w:eastAsia="Calibri" w:cstheme="minorHAnsi"/>
          <w:bCs/>
          <w:lang w:val="fr-FR"/>
        </w:rPr>
      </w:pPr>
    </w:p>
    <w:p w14:paraId="7E955DB2" w14:textId="72395932" w:rsidR="00181263" w:rsidRPr="003A04DC" w:rsidRDefault="003A04DC" w:rsidP="00A302C8">
      <w:pPr>
        <w:spacing w:after="0" w:line="240" w:lineRule="auto"/>
        <w:contextualSpacing/>
        <w:rPr>
          <w:rFonts w:cstheme="minorHAnsi"/>
          <w:b/>
          <w:lang w:val="fr-FR"/>
        </w:rPr>
      </w:pPr>
      <w:r w:rsidRPr="003A04DC">
        <w:rPr>
          <w:rFonts w:cstheme="minorHAnsi"/>
          <w:b/>
          <w:lang w:val="fr-FR"/>
        </w:rPr>
        <w:t>Décision</w:t>
      </w:r>
      <w:r w:rsidR="00F42B33" w:rsidRPr="003A04DC">
        <w:rPr>
          <w:rFonts w:cstheme="minorHAnsi"/>
          <w:b/>
          <w:lang w:val="fr-FR"/>
        </w:rPr>
        <w:t xml:space="preserve"> SC64-06</w:t>
      </w:r>
      <w:r>
        <w:rPr>
          <w:rFonts w:cstheme="minorHAnsi"/>
          <w:b/>
          <w:lang w:val="fr-FR"/>
        </w:rPr>
        <w:t xml:space="preserve"> </w:t>
      </w:r>
      <w:r w:rsidR="00F42B33" w:rsidRPr="003A04DC">
        <w:rPr>
          <w:rFonts w:cstheme="minorHAnsi"/>
          <w:b/>
          <w:lang w:val="fr-FR"/>
        </w:rPr>
        <w:t xml:space="preserve">: </w:t>
      </w:r>
      <w:r w:rsidR="0030393F">
        <w:rPr>
          <w:rFonts w:cstheme="minorHAnsi"/>
          <w:b/>
          <w:lang w:val="fr-FR"/>
        </w:rPr>
        <w:t xml:space="preserve">Le Comité permanent prend note du rapport sur les activités du Groupe de travail sur la gestion tel qu’il figure dans le document </w:t>
      </w:r>
      <w:r w:rsidR="00F42B33" w:rsidRPr="003A04DC">
        <w:rPr>
          <w:rFonts w:cstheme="minorHAnsi"/>
          <w:b/>
          <w:lang w:val="fr-FR"/>
        </w:rPr>
        <w:t>SC64 Doc.7.1.</w:t>
      </w:r>
    </w:p>
    <w:p w14:paraId="120043F5" w14:textId="6923F107" w:rsidR="000B5744" w:rsidRPr="00132B8C" w:rsidRDefault="000B5744" w:rsidP="00A302C8">
      <w:pPr>
        <w:spacing w:after="0" w:line="240" w:lineRule="auto"/>
        <w:contextualSpacing/>
        <w:rPr>
          <w:rFonts w:cstheme="minorHAnsi"/>
          <w:b/>
          <w:lang w:val="fr-FR"/>
        </w:rPr>
      </w:pPr>
    </w:p>
    <w:p w14:paraId="4F5B47D1" w14:textId="257AEBB9" w:rsidR="00F47EAD" w:rsidRPr="004462D8" w:rsidRDefault="005F6ED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bookmarkStart w:id="0" w:name="_Hlk188360449"/>
      <w:r w:rsidRPr="004462D8">
        <w:rPr>
          <w:rFonts w:cstheme="minorHAnsi"/>
          <w:bCs/>
          <w:lang w:val="fr-FR"/>
        </w:rPr>
        <w:lastRenderedPageBreak/>
        <w:t>Point 11 de l’ordre du jour :</w:t>
      </w:r>
      <w:r w:rsidR="00F47EAD" w:rsidRPr="004462D8">
        <w:rPr>
          <w:rFonts w:cstheme="minorHAnsi"/>
          <w:bCs/>
          <w:lang w:val="fr-FR"/>
        </w:rPr>
        <w:t xml:space="preserve"> </w:t>
      </w:r>
      <w:r w:rsidRPr="004462D8">
        <w:rPr>
          <w:rFonts w:cstheme="minorHAnsi"/>
          <w:bCs/>
          <w:lang w:val="fr-FR"/>
        </w:rPr>
        <w:t>Rapport du Groupe de travail sur le Plan stratégique</w:t>
      </w:r>
    </w:p>
    <w:bookmarkEnd w:id="0"/>
    <w:p w14:paraId="134BC8BB" w14:textId="77777777" w:rsidR="003E584F" w:rsidRDefault="003E584F" w:rsidP="00A302C8">
      <w:pPr>
        <w:spacing w:after="0" w:line="240" w:lineRule="auto"/>
        <w:ind w:left="562" w:hanging="562"/>
        <w:rPr>
          <w:rFonts w:eastAsia="Calibri" w:cstheme="minorHAnsi"/>
          <w:bCs/>
          <w:lang w:val="fr-FR"/>
        </w:rPr>
      </w:pPr>
    </w:p>
    <w:p w14:paraId="578573CC" w14:textId="5AB6B3DA" w:rsidR="003E584F" w:rsidRPr="003E584F" w:rsidRDefault="003E584F" w:rsidP="00A302C8">
      <w:pPr>
        <w:spacing w:after="0" w:line="240" w:lineRule="auto"/>
        <w:rPr>
          <w:rFonts w:eastAsia="Calibri" w:cstheme="minorHAnsi"/>
          <w:b/>
          <w:lang w:val="fr-FR"/>
        </w:rPr>
      </w:pPr>
      <w:r w:rsidRPr="003E584F">
        <w:rPr>
          <w:rFonts w:eastAsia="Calibri" w:cstheme="minorHAnsi"/>
          <w:b/>
          <w:lang w:val="fr-FR"/>
        </w:rPr>
        <w:t>Décision SC64-07 : Le Comité permanent prend note du rapport du Groupe de travail sur le Plan stratégique.</w:t>
      </w:r>
    </w:p>
    <w:p w14:paraId="5B8B6C2F" w14:textId="77777777" w:rsidR="00AD7443" w:rsidRPr="00332667" w:rsidRDefault="00AD7443" w:rsidP="00A302C8">
      <w:pPr>
        <w:keepNext/>
        <w:spacing w:after="0" w:line="240" w:lineRule="auto"/>
        <w:rPr>
          <w:rFonts w:cstheme="minorHAnsi"/>
          <w:lang w:val="fr-FR"/>
        </w:rPr>
      </w:pPr>
    </w:p>
    <w:p w14:paraId="0EC220FE" w14:textId="48DA4DFE"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lang w:val="fr-FR"/>
        </w:rPr>
      </w:pPr>
      <w:r w:rsidRPr="00332667">
        <w:rPr>
          <w:rFonts w:cstheme="minorHAnsi"/>
          <w:bCs/>
          <w:lang w:val="fr-FR"/>
        </w:rPr>
        <w:t xml:space="preserve">Point 18 de l’ordre du jour : Rapport du Président du Groupe d’évaluation scientifique et technique </w:t>
      </w:r>
    </w:p>
    <w:p w14:paraId="7DDD2368" w14:textId="77777777" w:rsidR="00AD7443" w:rsidRPr="00332667" w:rsidRDefault="00AD7443" w:rsidP="00A302C8">
      <w:pPr>
        <w:spacing w:after="0" w:line="240" w:lineRule="auto"/>
        <w:rPr>
          <w:rFonts w:cstheme="minorHAnsi"/>
          <w:lang w:val="fr-FR"/>
        </w:rPr>
      </w:pPr>
    </w:p>
    <w:p w14:paraId="27A441D2" w14:textId="77777777" w:rsidR="00AD7443" w:rsidRPr="00332667" w:rsidRDefault="00AD7443" w:rsidP="00A302C8">
      <w:pPr>
        <w:spacing w:after="0" w:line="240" w:lineRule="auto"/>
        <w:rPr>
          <w:rFonts w:cstheme="minorHAnsi"/>
          <w:lang w:val="fr-FR"/>
        </w:rPr>
      </w:pPr>
      <w:r w:rsidRPr="00332667">
        <w:rPr>
          <w:rFonts w:cstheme="minorHAnsi"/>
          <w:b/>
          <w:lang w:val="fr-FR"/>
        </w:rPr>
        <w:t>Décision SC64-08 : Le Comité permanent prend note du Rapport du Président du Groupe d’évaluation scientifique et technique.</w:t>
      </w:r>
    </w:p>
    <w:p w14:paraId="637DE4A3" w14:textId="77777777" w:rsidR="00AD7443" w:rsidRPr="00332667" w:rsidRDefault="00AD7443" w:rsidP="00A302C8">
      <w:pPr>
        <w:spacing w:after="0" w:line="240" w:lineRule="auto"/>
        <w:rPr>
          <w:rFonts w:cstheme="minorHAnsi"/>
          <w:lang w:val="fr-FR"/>
        </w:rPr>
      </w:pPr>
    </w:p>
    <w:p w14:paraId="6FB928C3"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Point 19 de l’ordre du jour : Projet de résolution sur l’application future des aspects scientifiques</w:t>
      </w:r>
      <w:r>
        <w:rPr>
          <w:rFonts w:cstheme="minorHAnsi"/>
          <w:bCs/>
          <w:lang w:val="fr-FR"/>
        </w:rPr>
        <w:t xml:space="preserve"> </w:t>
      </w:r>
      <w:r w:rsidRPr="00332667">
        <w:rPr>
          <w:rFonts w:cstheme="minorHAnsi"/>
          <w:bCs/>
          <w:lang w:val="fr-FR"/>
        </w:rPr>
        <w:t>et techniques de la Convention, pour 2026-2028</w:t>
      </w:r>
    </w:p>
    <w:p w14:paraId="263C18A2" w14:textId="77777777" w:rsidR="00AD7443" w:rsidRPr="00332667" w:rsidRDefault="00AD7443" w:rsidP="00A302C8">
      <w:pPr>
        <w:spacing w:after="0" w:line="240" w:lineRule="auto"/>
        <w:contextualSpacing/>
        <w:rPr>
          <w:rFonts w:cstheme="minorHAnsi"/>
          <w:b/>
          <w:lang w:val="fr-FR"/>
        </w:rPr>
      </w:pPr>
    </w:p>
    <w:p w14:paraId="6A89B5FF" w14:textId="1BCDA2FA" w:rsidR="00AD7443" w:rsidRPr="00332667" w:rsidRDefault="00AD7443" w:rsidP="00A302C8">
      <w:pPr>
        <w:spacing w:after="0" w:line="240" w:lineRule="auto"/>
        <w:contextualSpacing/>
        <w:rPr>
          <w:rFonts w:cstheme="minorHAnsi"/>
          <w:b/>
          <w:lang w:val="fr-FR"/>
        </w:rPr>
      </w:pPr>
      <w:r w:rsidRPr="00332667">
        <w:rPr>
          <w:rFonts w:cstheme="minorHAnsi"/>
          <w:b/>
          <w:lang w:val="fr-FR"/>
        </w:rPr>
        <w:t xml:space="preserve">Décision SC64-09 : </w:t>
      </w:r>
      <w:r>
        <w:rPr>
          <w:rFonts w:cstheme="minorHAnsi"/>
          <w:b/>
          <w:lang w:val="fr-FR"/>
        </w:rPr>
        <w:t xml:space="preserve">Le Comité permanent donne instruction au Secrétariat de soumettre le projet de résolution contenu dans le document </w:t>
      </w:r>
      <w:r w:rsidRPr="00332667">
        <w:rPr>
          <w:rFonts w:cstheme="minorHAnsi"/>
          <w:b/>
          <w:lang w:val="fr-FR"/>
        </w:rPr>
        <w:t xml:space="preserve">SC64 Doc.19 </w:t>
      </w:r>
      <w:r>
        <w:rPr>
          <w:rFonts w:cstheme="minorHAnsi"/>
          <w:b/>
          <w:lang w:val="fr-FR"/>
        </w:rPr>
        <w:t xml:space="preserve">sur l’application future des aspects scientifiques et techniques de la Convention pour </w:t>
      </w:r>
      <w:r w:rsidRPr="00332667">
        <w:rPr>
          <w:rFonts w:cstheme="minorHAnsi"/>
          <w:b/>
          <w:lang w:val="fr-FR"/>
        </w:rPr>
        <w:t xml:space="preserve">2026 - 2028 </w:t>
      </w:r>
      <w:r>
        <w:rPr>
          <w:rFonts w:cstheme="minorHAnsi"/>
          <w:b/>
          <w:lang w:val="fr-FR"/>
        </w:rPr>
        <w:t xml:space="preserve">à la </w:t>
      </w:r>
      <w:r w:rsidRPr="00332667">
        <w:rPr>
          <w:rFonts w:cstheme="minorHAnsi"/>
          <w:b/>
          <w:lang w:val="fr-FR"/>
        </w:rPr>
        <w:t>COP15</w:t>
      </w:r>
      <w:r w:rsidR="00EA0814">
        <w:rPr>
          <w:rFonts w:cstheme="minorHAnsi"/>
          <w:b/>
          <w:lang w:val="fr-FR"/>
        </w:rPr>
        <w:t>,</w:t>
      </w:r>
      <w:r w:rsidRPr="00332667">
        <w:rPr>
          <w:rFonts w:cstheme="minorHAnsi"/>
          <w:b/>
          <w:lang w:val="fr-FR"/>
        </w:rPr>
        <w:t xml:space="preserve"> </w:t>
      </w:r>
      <w:r>
        <w:rPr>
          <w:rFonts w:cstheme="minorHAnsi"/>
          <w:b/>
          <w:lang w:val="fr-FR"/>
        </w:rPr>
        <w:t xml:space="preserve">pour examen, </w:t>
      </w:r>
      <w:r w:rsidR="00AD6CD2">
        <w:rPr>
          <w:rFonts w:cstheme="minorHAnsi"/>
          <w:b/>
          <w:lang w:val="fr-FR"/>
        </w:rPr>
        <w:t>modifié</w:t>
      </w:r>
      <w:r>
        <w:rPr>
          <w:rFonts w:cstheme="minorHAnsi"/>
          <w:b/>
          <w:lang w:val="fr-FR"/>
        </w:rPr>
        <w:t xml:space="preserve"> pour tenir compte des </w:t>
      </w:r>
      <w:r w:rsidR="00AD6CD2">
        <w:rPr>
          <w:rFonts w:cstheme="minorHAnsi"/>
          <w:b/>
          <w:lang w:val="fr-FR"/>
        </w:rPr>
        <w:t>observations</w:t>
      </w:r>
      <w:r>
        <w:rPr>
          <w:rFonts w:cstheme="minorHAnsi"/>
          <w:b/>
          <w:lang w:val="fr-FR"/>
        </w:rPr>
        <w:t xml:space="preserve"> du Comité.</w:t>
      </w:r>
    </w:p>
    <w:p w14:paraId="4017EBDA" w14:textId="77777777" w:rsidR="00AD7443" w:rsidRPr="00332667" w:rsidRDefault="00AD7443" w:rsidP="00A302C8">
      <w:pPr>
        <w:spacing w:after="0" w:line="240" w:lineRule="auto"/>
        <w:contextualSpacing/>
        <w:rPr>
          <w:rFonts w:cstheme="minorHAnsi"/>
          <w:b/>
          <w:lang w:val="fr-FR"/>
        </w:rPr>
      </w:pPr>
    </w:p>
    <w:p w14:paraId="70BFD978" w14:textId="77777777" w:rsidR="00AD7443" w:rsidRPr="00332667"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32667">
        <w:rPr>
          <w:rFonts w:cstheme="minorHAnsi"/>
          <w:bCs/>
          <w:lang w:val="fr-FR"/>
        </w:rPr>
        <w:t xml:space="preserve">Point 20 de l’ordre du jour : </w:t>
      </w:r>
      <w:r w:rsidRPr="00332667">
        <w:rPr>
          <w:rFonts w:cstheme="minorHAnsi"/>
          <w:lang w:val="fr-FR"/>
        </w:rPr>
        <w:t xml:space="preserve">Projet de résolution sur la création du </w:t>
      </w:r>
      <w:bookmarkStart w:id="1" w:name="_Hlk188448919"/>
      <w:r w:rsidRPr="00332667">
        <w:rPr>
          <w:rFonts w:cstheme="minorHAnsi"/>
          <w:lang w:val="fr-FR"/>
        </w:rPr>
        <w:t>Partenariat pour les estimations</w:t>
      </w:r>
      <w:r>
        <w:rPr>
          <w:rFonts w:cstheme="minorHAnsi"/>
          <w:lang w:val="fr-FR"/>
        </w:rPr>
        <w:t xml:space="preserve"> d</w:t>
      </w:r>
      <w:r w:rsidRPr="00332667">
        <w:rPr>
          <w:rFonts w:cstheme="minorHAnsi"/>
          <w:lang w:val="fr-FR"/>
        </w:rPr>
        <w:t>es populations d’oiseaux d'eau</w:t>
      </w:r>
      <w:bookmarkEnd w:id="1"/>
      <w:r w:rsidRPr="00332667">
        <w:rPr>
          <w:rFonts w:cstheme="minorHAnsi"/>
          <w:lang w:val="fr-FR"/>
        </w:rPr>
        <w:t xml:space="preserve"> et la publication de l'édition 2027 du rapport Waterbird Population Estimates (WPE2027)</w:t>
      </w:r>
    </w:p>
    <w:p w14:paraId="2241C738" w14:textId="77777777" w:rsidR="00AD7443" w:rsidRPr="00251C7D" w:rsidRDefault="00AD7443" w:rsidP="00A302C8">
      <w:pPr>
        <w:spacing w:after="0" w:line="240" w:lineRule="auto"/>
        <w:ind w:left="720" w:hanging="720"/>
        <w:rPr>
          <w:rFonts w:cstheme="minorHAnsi"/>
          <w:color w:val="000000"/>
          <w:lang w:val="fr-FR"/>
        </w:rPr>
      </w:pPr>
    </w:p>
    <w:p w14:paraId="50847D1E" w14:textId="0700046B" w:rsidR="00AD7443" w:rsidRPr="00251C7D" w:rsidRDefault="00AD7443" w:rsidP="00A302C8">
      <w:pPr>
        <w:spacing w:after="0" w:line="240" w:lineRule="auto"/>
        <w:contextualSpacing/>
        <w:rPr>
          <w:rFonts w:eastAsia="SimSun" w:cstheme="minorHAnsi"/>
          <w:b/>
          <w:iCs/>
          <w:lang w:val="fr-FR" w:eastAsia="zh-CN"/>
        </w:rPr>
      </w:pPr>
      <w:r w:rsidRPr="00251C7D">
        <w:rPr>
          <w:rFonts w:cstheme="minorHAnsi"/>
          <w:b/>
          <w:iCs/>
          <w:lang w:val="fr-FR"/>
        </w:rPr>
        <w:t xml:space="preserve">Décision SC64-10 : </w:t>
      </w:r>
      <w:r>
        <w:rPr>
          <w:rFonts w:cstheme="minorHAnsi"/>
          <w:b/>
          <w:iCs/>
          <w:lang w:val="fr-FR"/>
        </w:rPr>
        <w:t xml:space="preserve">Le Comité permanent donne instruction au Secrétariat de soumettre le projet de résolution figurant dans le </w:t>
      </w:r>
      <w:r w:rsidRPr="00251C7D">
        <w:rPr>
          <w:rFonts w:eastAsia="Aptos" w:cstheme="minorHAnsi"/>
          <w:b/>
          <w:bCs/>
          <w:lang w:val="fr-FR"/>
        </w:rPr>
        <w:t xml:space="preserve">document SC64 Doc.20 </w:t>
      </w:r>
      <w:r>
        <w:rPr>
          <w:rFonts w:eastAsia="Aptos" w:cstheme="minorHAnsi"/>
          <w:b/>
          <w:bCs/>
          <w:lang w:val="fr-FR"/>
        </w:rPr>
        <w:t xml:space="preserve">à la </w:t>
      </w:r>
      <w:r w:rsidRPr="00251C7D">
        <w:rPr>
          <w:rFonts w:eastAsia="Aptos" w:cstheme="minorHAnsi"/>
          <w:b/>
          <w:bCs/>
          <w:lang w:val="fr-FR"/>
        </w:rPr>
        <w:t>COP15</w:t>
      </w:r>
      <w:r>
        <w:rPr>
          <w:rFonts w:eastAsia="Aptos" w:cstheme="minorHAnsi"/>
          <w:b/>
          <w:bCs/>
          <w:lang w:val="fr-FR"/>
        </w:rPr>
        <w:t xml:space="preserve">, 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 </w:t>
      </w:r>
    </w:p>
    <w:p w14:paraId="05C0D692" w14:textId="77777777" w:rsidR="00AD7443" w:rsidRPr="00251C7D" w:rsidRDefault="00AD7443" w:rsidP="00A302C8">
      <w:pPr>
        <w:spacing w:after="0" w:line="240" w:lineRule="auto"/>
        <w:contextualSpacing/>
        <w:rPr>
          <w:rFonts w:cstheme="minorHAnsi"/>
          <w:b/>
          <w:lang w:val="fr-FR"/>
        </w:rPr>
      </w:pPr>
    </w:p>
    <w:p w14:paraId="51F45D61" w14:textId="77777777" w:rsidR="00AD7443" w:rsidRPr="005D607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lang w:val="fr-FR"/>
        </w:rPr>
      </w:pPr>
      <w:r w:rsidRPr="005D607A">
        <w:rPr>
          <w:rFonts w:cstheme="minorHAnsi"/>
          <w:bCs/>
          <w:lang w:val="fr-FR"/>
        </w:rPr>
        <w:t xml:space="preserve">Point 21 de l’ordre du jour : </w:t>
      </w:r>
      <w:r w:rsidRPr="005D607A">
        <w:rPr>
          <w:rFonts w:cstheme="minorHAnsi"/>
          <w:lang w:val="fr-FR"/>
        </w:rPr>
        <w:t>Projet de résolution proposé sur l’application des Critères 6 et 9 aux</w:t>
      </w:r>
      <w:r>
        <w:rPr>
          <w:rFonts w:cstheme="minorHAnsi"/>
          <w:lang w:val="fr-FR"/>
        </w:rPr>
        <w:t xml:space="preserve"> </w:t>
      </w:r>
      <w:r w:rsidRPr="005D607A">
        <w:rPr>
          <w:rFonts w:cstheme="minorHAnsi"/>
          <w:lang w:val="fr-FR"/>
        </w:rPr>
        <w:t>zones humides d’importance internationale, nouvelles et existantes</w:t>
      </w:r>
    </w:p>
    <w:p w14:paraId="6596AFEF" w14:textId="77777777" w:rsidR="00AD7443" w:rsidRPr="00C25ECC" w:rsidRDefault="00AD7443" w:rsidP="00A302C8">
      <w:pPr>
        <w:spacing w:after="0" w:line="240" w:lineRule="auto"/>
        <w:ind w:left="720" w:hanging="720"/>
        <w:rPr>
          <w:rFonts w:cstheme="minorHAnsi"/>
          <w:lang w:val="fr-FR"/>
        </w:rPr>
      </w:pPr>
    </w:p>
    <w:p w14:paraId="60E842C2" w14:textId="3AF1FEE7" w:rsidR="00AD7443" w:rsidRPr="00C25ECC" w:rsidRDefault="00AD7443" w:rsidP="00A302C8">
      <w:pPr>
        <w:spacing w:after="0" w:line="240" w:lineRule="auto"/>
        <w:contextualSpacing/>
        <w:rPr>
          <w:rFonts w:eastAsia="Aptos" w:cstheme="minorHAnsi"/>
          <w:b/>
          <w:bCs/>
          <w:lang w:val="fr-FR"/>
        </w:rPr>
      </w:pPr>
      <w:r w:rsidRPr="00C25ECC">
        <w:rPr>
          <w:rFonts w:cstheme="minorHAnsi"/>
          <w:b/>
          <w:iCs/>
          <w:lang w:val="fr-FR"/>
        </w:rPr>
        <w:t xml:space="preserve">Décision SC64-11 : </w:t>
      </w:r>
      <w:r>
        <w:rPr>
          <w:rFonts w:cstheme="minorHAnsi"/>
          <w:b/>
          <w:iCs/>
          <w:lang w:val="fr-FR"/>
        </w:rPr>
        <w:t xml:space="preserve">Le Comité permanent donne instruction au Secrétariat de soumettre le projet de résolution figurant dans le </w:t>
      </w:r>
      <w:r w:rsidRPr="00C25ECC">
        <w:rPr>
          <w:rFonts w:eastAsia="Aptos" w:cstheme="minorHAnsi"/>
          <w:b/>
          <w:bCs/>
          <w:lang w:val="fr-FR"/>
        </w:rPr>
        <w:t xml:space="preserve">document SC64 Doc.21 </w:t>
      </w:r>
      <w:r>
        <w:rPr>
          <w:rFonts w:eastAsia="Aptos" w:cstheme="minorHAnsi"/>
          <w:b/>
          <w:bCs/>
          <w:lang w:val="fr-FR"/>
        </w:rPr>
        <w:t xml:space="preserve">sur l’application des </w:t>
      </w:r>
      <w:r w:rsidRPr="00F71983">
        <w:rPr>
          <w:rFonts w:eastAsia="Aptos" w:cstheme="minorHAnsi"/>
          <w:b/>
          <w:bCs/>
          <w:lang w:val="fr-FR"/>
        </w:rPr>
        <w:t xml:space="preserve">Critères 6 </w:t>
      </w:r>
      <w:r>
        <w:rPr>
          <w:rFonts w:eastAsia="Aptos" w:cstheme="minorHAnsi"/>
          <w:b/>
          <w:bCs/>
          <w:lang w:val="fr-FR"/>
        </w:rPr>
        <w:t>et</w:t>
      </w:r>
      <w:r w:rsidRPr="00F71983">
        <w:rPr>
          <w:rFonts w:eastAsia="Aptos" w:cstheme="minorHAnsi"/>
          <w:b/>
          <w:bCs/>
          <w:lang w:val="fr-FR"/>
        </w:rPr>
        <w:t xml:space="preserve"> 9 aux zones humides d’importance internationale, nouvelles et existantes</w:t>
      </w:r>
      <w:r w:rsidR="000F1F63">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à la </w:t>
      </w:r>
      <w:r w:rsidRPr="00C25ECC">
        <w:rPr>
          <w:rFonts w:eastAsia="Aptos" w:cstheme="minorHAnsi"/>
          <w:b/>
          <w:bCs/>
          <w:lang w:val="fr-FR"/>
        </w:rPr>
        <w:t>COP15</w:t>
      </w:r>
      <w:r w:rsidR="00EA0814">
        <w:rPr>
          <w:rFonts w:eastAsia="Aptos" w:cstheme="minorHAnsi"/>
          <w:b/>
          <w:bCs/>
          <w:lang w:val="fr-FR"/>
        </w:rPr>
        <w:t>,</w:t>
      </w:r>
      <w:r w:rsidRPr="00C25ECC">
        <w:rPr>
          <w:rFonts w:eastAsia="Aptos" w:cstheme="minorHAnsi"/>
          <w:b/>
          <w:bCs/>
          <w:lang w:val="fr-FR"/>
        </w:rPr>
        <w:t xml:space="preserve"> </w:t>
      </w:r>
      <w:r>
        <w:rPr>
          <w:rFonts w:eastAsia="Aptos" w:cstheme="minorHAnsi"/>
          <w:b/>
          <w:bCs/>
          <w:lang w:val="fr-FR"/>
        </w:rPr>
        <w:t xml:space="preserve">pour examen, </w:t>
      </w:r>
      <w:r w:rsidR="00AD6CD2">
        <w:rPr>
          <w:rFonts w:eastAsia="Aptos" w:cstheme="minorHAnsi"/>
          <w:b/>
          <w:bCs/>
          <w:lang w:val="fr-FR"/>
        </w:rPr>
        <w:t>modifié</w:t>
      </w:r>
      <w:r>
        <w:rPr>
          <w:rFonts w:eastAsia="Aptos" w:cstheme="minorHAnsi"/>
          <w:b/>
          <w:bCs/>
          <w:lang w:val="fr-FR"/>
        </w:rPr>
        <w:t xml:space="preserve"> </w:t>
      </w:r>
      <w:r w:rsidR="00AD6CD2">
        <w:rPr>
          <w:rFonts w:eastAsia="Aptos" w:cstheme="minorHAnsi"/>
          <w:b/>
          <w:bCs/>
          <w:lang w:val="fr-FR"/>
        </w:rPr>
        <w:t>pour</w:t>
      </w:r>
      <w:r>
        <w:rPr>
          <w:rFonts w:eastAsia="Aptos" w:cstheme="minorHAnsi"/>
          <w:b/>
          <w:bCs/>
          <w:lang w:val="fr-FR"/>
        </w:rPr>
        <w:t xml:space="preserve"> tenir compte des </w:t>
      </w:r>
      <w:r w:rsidR="00AD6CD2">
        <w:rPr>
          <w:rFonts w:eastAsia="Aptos" w:cstheme="minorHAnsi"/>
          <w:b/>
          <w:bCs/>
          <w:lang w:val="fr-FR"/>
        </w:rPr>
        <w:t>observations</w:t>
      </w:r>
      <w:r>
        <w:rPr>
          <w:rFonts w:eastAsia="Aptos" w:cstheme="minorHAnsi"/>
          <w:b/>
          <w:bCs/>
          <w:lang w:val="fr-FR"/>
        </w:rPr>
        <w:t xml:space="preserve"> du Comité.</w:t>
      </w:r>
    </w:p>
    <w:p w14:paraId="4955EBA3" w14:textId="77777777" w:rsidR="00AD7443" w:rsidRPr="007238F1" w:rsidRDefault="00AD7443" w:rsidP="00A302C8">
      <w:pPr>
        <w:spacing w:after="0" w:line="240" w:lineRule="auto"/>
        <w:contextualSpacing/>
        <w:rPr>
          <w:rFonts w:cstheme="minorHAnsi"/>
          <w:b/>
          <w:lang w:val="fr-FR"/>
        </w:rPr>
      </w:pPr>
    </w:p>
    <w:p w14:paraId="0B8E3F3F" w14:textId="77777777" w:rsidR="00AD7443" w:rsidRPr="0086063E"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063E">
        <w:rPr>
          <w:rFonts w:cstheme="minorHAnsi"/>
          <w:bCs/>
          <w:lang w:val="fr-FR"/>
        </w:rPr>
        <w:t>Point 13 de l’ordre du jour : Rôles et responsabilités du Comité permanent</w:t>
      </w:r>
    </w:p>
    <w:p w14:paraId="6E9B8DD8" w14:textId="77777777" w:rsidR="00AD7443" w:rsidRPr="007238F1" w:rsidRDefault="00AD7443" w:rsidP="00A302C8">
      <w:pPr>
        <w:spacing w:after="0" w:line="240" w:lineRule="auto"/>
        <w:ind w:left="567" w:hanging="567"/>
        <w:rPr>
          <w:rFonts w:eastAsia="Calibri" w:cstheme="minorHAnsi"/>
          <w:bCs/>
          <w:lang w:val="fr-FR"/>
        </w:rPr>
      </w:pPr>
    </w:p>
    <w:p w14:paraId="609D95F2" w14:textId="7777777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 xml:space="preserve">Décision SC64-12 : </w:t>
      </w:r>
      <w:r>
        <w:rPr>
          <w:rFonts w:cstheme="minorHAnsi"/>
          <w:b/>
          <w:lang w:val="fr-FR"/>
        </w:rPr>
        <w:t>Le Comité permanent :</w:t>
      </w:r>
    </w:p>
    <w:p w14:paraId="188E5622" w14:textId="70CCB297"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w:t>
      </w:r>
      <w:r w:rsidRPr="006E72D3">
        <w:rPr>
          <w:rFonts w:cstheme="minorHAnsi"/>
          <w:b/>
          <w:lang w:val="fr-FR"/>
        </w:rPr>
        <w:tab/>
      </w:r>
      <w:r>
        <w:rPr>
          <w:rFonts w:cstheme="minorHAnsi"/>
          <w:b/>
          <w:lang w:val="fr-FR"/>
        </w:rPr>
        <w:t xml:space="preserve">donne instruction au Secrétariat de soumettre le projet de résolution figurant dans le </w:t>
      </w:r>
      <w:r w:rsidRPr="006E72D3">
        <w:rPr>
          <w:rFonts w:cstheme="minorHAnsi"/>
          <w:b/>
          <w:lang w:val="fr-FR"/>
        </w:rPr>
        <w:t xml:space="preserve">document SC64 Doc.13 </w:t>
      </w:r>
      <w:r>
        <w:rPr>
          <w:rFonts w:cstheme="minorHAnsi"/>
          <w:b/>
          <w:lang w:val="fr-FR"/>
        </w:rPr>
        <w:t xml:space="preserve">intitulé </w:t>
      </w:r>
      <w:r w:rsidRPr="00241541">
        <w:rPr>
          <w:rFonts w:cstheme="minorHAnsi"/>
          <w:b/>
          <w:lang w:val="fr-FR"/>
        </w:rPr>
        <w:t>Rôle, responsabilités et composition du Comité permanent et répartition régionale des pays dans le cadre de la Convention sur les zones humides</w:t>
      </w:r>
      <w:r>
        <w:rPr>
          <w:rFonts w:cstheme="minorHAnsi"/>
          <w:b/>
          <w:lang w:val="fr-FR"/>
        </w:rPr>
        <w:t>, à la COP15</w:t>
      </w:r>
      <w:r w:rsidR="00EA0814">
        <w:rPr>
          <w:rFonts w:cstheme="minorHAnsi"/>
          <w:b/>
          <w:lang w:val="fr-FR"/>
        </w:rPr>
        <w:t>,</w:t>
      </w:r>
      <w:r>
        <w:rPr>
          <w:rFonts w:cstheme="minorHAnsi"/>
          <w:b/>
          <w:lang w:val="fr-FR"/>
        </w:rPr>
        <w:t xml:space="preserve"> pour examen, </w:t>
      </w:r>
      <w:r w:rsidR="00AD6CD2">
        <w:rPr>
          <w:rFonts w:eastAsia="Aptos" w:cstheme="minorHAnsi"/>
          <w:b/>
          <w:bCs/>
          <w:lang w:val="fr-FR"/>
        </w:rPr>
        <w:t>modifié pour tenir compte des observations du Comité</w:t>
      </w:r>
      <w:r w:rsidR="00AD6CD2">
        <w:rPr>
          <w:rFonts w:cstheme="minorHAnsi"/>
          <w:b/>
          <w:lang w:val="fr-FR"/>
        </w:rPr>
        <w:t xml:space="preserve"> </w:t>
      </w:r>
      <w:r w:rsidR="00016428" w:rsidRPr="00EE4E07">
        <w:rPr>
          <w:rFonts w:cstheme="minorHAnsi"/>
          <w:b/>
          <w:lang w:val="fr-FR"/>
        </w:rPr>
        <w:t>; et</w:t>
      </w:r>
      <w:r w:rsidRPr="00EE4E07">
        <w:rPr>
          <w:rFonts w:cstheme="minorHAnsi"/>
          <w:b/>
          <w:lang w:val="fr-FR"/>
        </w:rPr>
        <w:t xml:space="preserve"> </w:t>
      </w:r>
    </w:p>
    <w:p w14:paraId="278B1B70" w14:textId="77777777" w:rsidR="00AD7443" w:rsidRPr="006E72D3" w:rsidRDefault="00AD7443" w:rsidP="00A302C8">
      <w:pPr>
        <w:spacing w:after="0" w:line="240" w:lineRule="auto"/>
        <w:contextualSpacing/>
        <w:rPr>
          <w:rFonts w:cstheme="minorHAnsi"/>
          <w:b/>
          <w:lang w:val="fr-FR"/>
        </w:rPr>
      </w:pPr>
    </w:p>
    <w:p w14:paraId="1EA85D4C" w14:textId="6CE5B363" w:rsidR="00AD7443" w:rsidRPr="006E72D3" w:rsidRDefault="00AD7443" w:rsidP="00A302C8">
      <w:pPr>
        <w:spacing w:after="0" w:line="240" w:lineRule="auto"/>
        <w:ind w:left="567" w:hanging="567"/>
        <w:contextualSpacing/>
        <w:rPr>
          <w:rFonts w:cstheme="minorHAnsi"/>
          <w:b/>
          <w:lang w:val="fr-FR"/>
        </w:rPr>
      </w:pPr>
      <w:r w:rsidRPr="006E72D3">
        <w:rPr>
          <w:rFonts w:cstheme="minorHAnsi"/>
          <w:b/>
          <w:lang w:val="fr-FR"/>
        </w:rPr>
        <w:t>ii)</w:t>
      </w:r>
      <w:r w:rsidRPr="006E72D3">
        <w:rPr>
          <w:rFonts w:cstheme="minorHAnsi"/>
          <w:b/>
          <w:lang w:val="fr-FR"/>
        </w:rPr>
        <w:tab/>
      </w:r>
      <w:r>
        <w:rPr>
          <w:rFonts w:cstheme="minorHAnsi"/>
          <w:b/>
          <w:lang w:val="fr-FR"/>
        </w:rPr>
        <w:t xml:space="preserve">confirme que le paragraphe 6 de l’annexe 1 et le paragraphe 5 de l’annexe 3 du projet de résolution remplacent les Décisions en attente mentionnées dans le document </w:t>
      </w:r>
      <w:r w:rsidRPr="006E72D3">
        <w:rPr>
          <w:rFonts w:cstheme="minorHAnsi"/>
          <w:b/>
          <w:lang w:val="fr-FR"/>
        </w:rPr>
        <w:t xml:space="preserve">SC64 Doc.8, </w:t>
      </w:r>
      <w:r>
        <w:rPr>
          <w:rFonts w:cstheme="minorHAnsi"/>
          <w:b/>
          <w:lang w:val="fr-FR"/>
        </w:rPr>
        <w:t xml:space="preserve">qui peuvent être considérées comme « mises en œuvre » et supprimées de la liste </w:t>
      </w:r>
      <w:r w:rsidR="00016428">
        <w:rPr>
          <w:rFonts w:cstheme="minorHAnsi"/>
          <w:b/>
          <w:lang w:val="fr-FR"/>
        </w:rPr>
        <w:t>d</w:t>
      </w:r>
      <w:r>
        <w:rPr>
          <w:rFonts w:cstheme="minorHAnsi"/>
          <w:b/>
          <w:lang w:val="fr-FR"/>
        </w:rPr>
        <w:t xml:space="preserve">es Décisions « en attente » conformément à la Décision </w:t>
      </w:r>
      <w:r w:rsidRPr="006E72D3">
        <w:rPr>
          <w:rFonts w:cstheme="minorHAnsi"/>
          <w:b/>
          <w:lang w:val="fr-FR"/>
        </w:rPr>
        <w:t>SC63-18.</w:t>
      </w:r>
    </w:p>
    <w:p w14:paraId="3C0FFCA2" w14:textId="77777777" w:rsidR="00AD7443" w:rsidRPr="007238F1" w:rsidRDefault="00AD7443" w:rsidP="00A302C8">
      <w:pPr>
        <w:spacing w:after="0" w:line="240" w:lineRule="auto"/>
        <w:contextualSpacing/>
        <w:rPr>
          <w:rFonts w:cstheme="minorHAnsi"/>
          <w:b/>
          <w:lang w:val="fr-FR"/>
        </w:rPr>
      </w:pPr>
    </w:p>
    <w:p w14:paraId="4C5BAC64" w14:textId="77777777" w:rsidR="00AD7443" w:rsidRPr="005D607A" w:rsidRDefault="00AD7443" w:rsidP="002D612E">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D607A">
        <w:rPr>
          <w:rFonts w:cstheme="minorHAnsi"/>
          <w:bCs/>
          <w:lang w:val="fr-FR"/>
        </w:rPr>
        <w:lastRenderedPageBreak/>
        <w:t xml:space="preserve">Point 8 de l’ordre du jour : Rapport du Secrétariat sur la mise en œuvre des décisions du Comité permanent  </w:t>
      </w:r>
    </w:p>
    <w:p w14:paraId="73A21AC0" w14:textId="77777777" w:rsidR="00AD7443" w:rsidRPr="003A00F0" w:rsidRDefault="00AD7443" w:rsidP="002D612E">
      <w:pPr>
        <w:keepNext/>
        <w:spacing w:after="0" w:line="240" w:lineRule="auto"/>
        <w:contextualSpacing/>
        <w:rPr>
          <w:rFonts w:cstheme="minorHAnsi"/>
          <w:bCs/>
          <w:lang w:val="fr-FR"/>
        </w:rPr>
      </w:pPr>
    </w:p>
    <w:p w14:paraId="2CE92346" w14:textId="50AC2706" w:rsidR="00AD7443" w:rsidRPr="003A00F0" w:rsidRDefault="00AD7443" w:rsidP="00A302C8">
      <w:pPr>
        <w:spacing w:after="0" w:line="240" w:lineRule="auto"/>
        <w:contextualSpacing/>
        <w:rPr>
          <w:rFonts w:cstheme="minorHAnsi"/>
          <w:b/>
          <w:lang w:val="fr-FR"/>
        </w:rPr>
      </w:pPr>
      <w:r w:rsidRPr="003A00F0">
        <w:rPr>
          <w:rFonts w:cstheme="minorHAnsi"/>
          <w:b/>
          <w:lang w:val="fr-FR"/>
        </w:rPr>
        <w:t xml:space="preserve">Décision SC64-13 : </w:t>
      </w:r>
      <w:r>
        <w:rPr>
          <w:rFonts w:cstheme="minorHAnsi"/>
          <w:b/>
          <w:lang w:val="fr-FR"/>
        </w:rPr>
        <w:t xml:space="preserve">Le Comité permanent prend note du rapport et donne instruction au Secrétariat d’inviter les membres du Comité permanent à </w:t>
      </w:r>
      <w:r w:rsidR="00016428">
        <w:rPr>
          <w:rFonts w:cstheme="minorHAnsi"/>
          <w:b/>
          <w:lang w:val="fr-FR"/>
        </w:rPr>
        <w:t>faire</w:t>
      </w:r>
      <w:r>
        <w:rPr>
          <w:rFonts w:cstheme="minorHAnsi"/>
          <w:b/>
          <w:lang w:val="fr-FR"/>
        </w:rPr>
        <w:t xml:space="preserve"> des suggestions sur les mesures visant à </w:t>
      </w:r>
      <w:r w:rsidR="00016428">
        <w:rPr>
          <w:rFonts w:cstheme="minorHAnsi"/>
          <w:b/>
          <w:lang w:val="fr-FR"/>
        </w:rPr>
        <w:t>clore</w:t>
      </w:r>
      <w:r>
        <w:rPr>
          <w:rFonts w:cstheme="minorHAnsi"/>
          <w:b/>
          <w:lang w:val="fr-FR"/>
        </w:rPr>
        <w:t xml:space="preserve"> les Décisions en attente, et d’inclure ces suggestions dans le rapport du Secrétariat sur les Décisions en attente qui sera présenté à la 67</w:t>
      </w:r>
      <w:r w:rsidRPr="00E0017D">
        <w:rPr>
          <w:rFonts w:cstheme="minorHAnsi"/>
          <w:b/>
          <w:vertAlign w:val="superscript"/>
          <w:lang w:val="fr-FR"/>
        </w:rPr>
        <w:t>e</w:t>
      </w:r>
      <w:r>
        <w:rPr>
          <w:rFonts w:cstheme="minorHAnsi"/>
          <w:b/>
          <w:lang w:val="fr-FR"/>
        </w:rPr>
        <w:t> Réunion du Comité permanent</w:t>
      </w:r>
      <w:r w:rsidR="00016428">
        <w:rPr>
          <w:rFonts w:cstheme="minorHAnsi"/>
          <w:b/>
          <w:lang w:val="fr-FR"/>
        </w:rPr>
        <w:t xml:space="preserve"> (SC67)</w:t>
      </w:r>
      <w:r>
        <w:rPr>
          <w:rFonts w:cstheme="minorHAnsi"/>
          <w:b/>
          <w:lang w:val="fr-FR"/>
        </w:rPr>
        <w:t>.</w:t>
      </w:r>
    </w:p>
    <w:p w14:paraId="62D6E9A3" w14:textId="77777777" w:rsidR="00AD7443" w:rsidRPr="00AD7443" w:rsidRDefault="00AD7443" w:rsidP="00A302C8">
      <w:pPr>
        <w:spacing w:after="0" w:line="240" w:lineRule="auto"/>
        <w:ind w:left="567" w:hanging="567"/>
        <w:rPr>
          <w:rFonts w:cstheme="minorHAnsi"/>
          <w:bCs/>
          <w:lang w:val="fr-FR"/>
        </w:rPr>
      </w:pPr>
    </w:p>
    <w:p w14:paraId="69CDEB61"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16 de l’ordre du jour : Rapport du Groupe de travail sur la jeunesse</w:t>
      </w:r>
    </w:p>
    <w:p w14:paraId="368C1E44" w14:textId="77777777" w:rsidR="00AD7443" w:rsidRPr="00AD7443" w:rsidRDefault="00AD7443" w:rsidP="00A302C8">
      <w:pPr>
        <w:spacing w:after="0" w:line="240" w:lineRule="auto"/>
        <w:ind w:left="567" w:hanging="567"/>
        <w:rPr>
          <w:rFonts w:cstheme="minorHAnsi"/>
          <w:bCs/>
          <w:lang w:val="fr-FR"/>
        </w:rPr>
      </w:pPr>
    </w:p>
    <w:p w14:paraId="3871D844" w14:textId="77777777" w:rsidR="00AD7443" w:rsidRPr="00AD7443" w:rsidRDefault="00AD7443" w:rsidP="00A302C8">
      <w:pPr>
        <w:spacing w:after="0" w:line="240" w:lineRule="auto"/>
        <w:contextualSpacing/>
        <w:rPr>
          <w:b/>
          <w:lang w:val="fr-FR"/>
        </w:rPr>
      </w:pPr>
      <w:r w:rsidRPr="00AD7443">
        <w:rPr>
          <w:b/>
          <w:lang w:val="fr-FR"/>
        </w:rPr>
        <w:t>Décision SC64-14 : Le Comité permanent prend note de l’état d’avancement des travaux du Groupe de travail sur la jeunesse tels que présentés dans le document SC64 Doc.16.</w:t>
      </w:r>
    </w:p>
    <w:p w14:paraId="1FEA2099" w14:textId="77777777" w:rsidR="00AD7443" w:rsidRPr="00D75166" w:rsidRDefault="00AD7443" w:rsidP="00A302C8">
      <w:pPr>
        <w:spacing w:after="0" w:line="240" w:lineRule="auto"/>
        <w:contextualSpacing/>
        <w:rPr>
          <w:rFonts w:ascii="Calibri" w:hAnsi="Calibri" w:cs="Calibri"/>
          <w:bCs/>
          <w:lang w:val="fr-FR"/>
        </w:rPr>
      </w:pPr>
    </w:p>
    <w:p w14:paraId="73F1616D" w14:textId="5D79F33C"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12 de l’ordre du jour : Rapport </w:t>
      </w:r>
      <w:bookmarkStart w:id="2" w:name="_Hlk188536627"/>
      <w:r w:rsidRPr="00D75166">
        <w:rPr>
          <w:rFonts w:ascii="Calibri" w:hAnsi="Calibri" w:cs="Calibri"/>
          <w:bCs/>
          <w:lang w:val="fr-FR"/>
        </w:rPr>
        <w:t>du Groupe de travail sur le renforcement institutionnel</w:t>
      </w:r>
      <w:bookmarkEnd w:id="2"/>
    </w:p>
    <w:p w14:paraId="78E1503A" w14:textId="77777777" w:rsidR="00AD7443" w:rsidRPr="00D75166" w:rsidRDefault="00AD7443" w:rsidP="00A302C8">
      <w:pPr>
        <w:spacing w:after="0" w:line="240" w:lineRule="auto"/>
        <w:ind w:left="567" w:hanging="567"/>
        <w:rPr>
          <w:rFonts w:ascii="Calibri" w:hAnsi="Calibri" w:cs="Calibri"/>
          <w:lang w:val="fr-FR"/>
        </w:rPr>
      </w:pPr>
    </w:p>
    <w:p w14:paraId="76CFB821" w14:textId="77EC406A" w:rsidR="00AD7443" w:rsidRPr="00D75166" w:rsidRDefault="00AD7443" w:rsidP="00A302C8">
      <w:pPr>
        <w:spacing w:after="0" w:line="240" w:lineRule="auto"/>
        <w:contextualSpacing/>
        <w:rPr>
          <w:rFonts w:ascii="Calibri" w:eastAsia="Aptos" w:hAnsi="Calibri" w:cs="Calibri"/>
          <w:b/>
          <w:bCs/>
          <w:lang w:val="fr-FR"/>
        </w:rPr>
      </w:pPr>
      <w:r w:rsidRPr="00D75166">
        <w:rPr>
          <w:rFonts w:ascii="Calibri" w:hAnsi="Calibri" w:cs="Calibri"/>
          <w:b/>
          <w:iCs/>
          <w:lang w:val="fr-FR"/>
        </w:rPr>
        <w:t>Décision SC64-15 :</w:t>
      </w:r>
      <w:r w:rsidRPr="00D75166">
        <w:rPr>
          <w:rFonts w:ascii="Calibri" w:hAnsi="Calibri" w:cs="Calibri"/>
          <w:b/>
          <w:bCs/>
          <w:lang w:val="fr-FR"/>
        </w:rPr>
        <w:t xml:space="preserve"> </w:t>
      </w:r>
      <w:bookmarkStart w:id="3" w:name="_Hlk187212009"/>
      <w:r w:rsidRPr="00D75166">
        <w:rPr>
          <w:rFonts w:ascii="Calibri" w:hAnsi="Calibri" w:cs="Calibri"/>
          <w:b/>
          <w:bCs/>
          <w:lang w:val="fr-FR"/>
        </w:rPr>
        <w:t xml:space="preserve">Le Comité permanent prend note du Rapport du Groupe de travail sur le renforcement institutionnel </w:t>
      </w:r>
      <w:bookmarkEnd w:id="3"/>
      <w:r w:rsidRPr="00D75166">
        <w:rPr>
          <w:rFonts w:ascii="Calibri" w:hAnsi="Calibri" w:cs="Calibri"/>
          <w:b/>
          <w:bCs/>
          <w:lang w:val="fr-FR"/>
        </w:rPr>
        <w:t>et</w:t>
      </w:r>
      <w:r w:rsidRPr="00D75166">
        <w:rPr>
          <w:rFonts w:ascii="Calibri" w:eastAsia="Aptos" w:hAnsi="Calibri" w:cs="Calibri"/>
          <w:lang w:val="fr-FR"/>
        </w:rPr>
        <w:t xml:space="preserve"> </w:t>
      </w:r>
      <w:r w:rsidRPr="00D75166">
        <w:rPr>
          <w:rFonts w:ascii="Calibri" w:eastAsia="Aptos" w:hAnsi="Calibri" w:cs="Calibri"/>
          <w:b/>
          <w:bCs/>
          <w:lang w:val="fr-FR"/>
        </w:rPr>
        <w:t>donne instruction au Secrétariat de soumettre</w:t>
      </w:r>
      <w:r w:rsidR="00F01F98" w:rsidRPr="00D75166">
        <w:rPr>
          <w:rFonts w:ascii="Calibri" w:eastAsia="Aptos" w:hAnsi="Calibri" w:cs="Calibri"/>
          <w:b/>
          <w:bCs/>
          <w:lang w:val="fr-FR"/>
        </w:rPr>
        <w:t xml:space="preserve"> à la COP15</w:t>
      </w:r>
      <w:r w:rsidR="00EA0814">
        <w:rPr>
          <w:rFonts w:ascii="Calibri" w:eastAsia="Aptos" w:hAnsi="Calibri" w:cs="Calibri"/>
          <w:b/>
          <w:bCs/>
          <w:lang w:val="fr-FR"/>
        </w:rPr>
        <w:t>,</w:t>
      </w:r>
      <w:r w:rsidR="00F01F98" w:rsidRPr="00D75166">
        <w:rPr>
          <w:rFonts w:ascii="Calibri" w:eastAsia="Aptos" w:hAnsi="Calibri" w:cs="Calibri"/>
          <w:b/>
          <w:bCs/>
          <w:lang w:val="fr-FR"/>
        </w:rPr>
        <w:t xml:space="preserve"> pour examen, </w:t>
      </w:r>
      <w:r w:rsidRPr="00D75166">
        <w:rPr>
          <w:rFonts w:ascii="Calibri" w:eastAsia="Aptos" w:hAnsi="Calibri" w:cs="Calibri"/>
          <w:b/>
          <w:bCs/>
          <w:lang w:val="fr-FR"/>
        </w:rPr>
        <w:t>le projet de résolution</w:t>
      </w:r>
      <w:r w:rsidR="00F01F98" w:rsidRPr="00F01F98">
        <w:rPr>
          <w:rFonts w:ascii="Calibri" w:eastAsia="Aptos" w:hAnsi="Calibri" w:cs="Calibri"/>
          <w:b/>
          <w:bCs/>
          <w:lang w:val="fr-FR"/>
        </w:rPr>
        <w:t xml:space="preserve"> </w:t>
      </w:r>
      <w:r w:rsidR="00F01F98" w:rsidRPr="00D75166">
        <w:rPr>
          <w:rFonts w:ascii="Calibri" w:eastAsia="Aptos" w:hAnsi="Calibri" w:cs="Calibri"/>
          <w:b/>
          <w:bCs/>
          <w:lang w:val="fr-FR"/>
        </w:rPr>
        <w:t>sur le renforcement institutionnel</w:t>
      </w:r>
      <w:r w:rsidRPr="00D75166">
        <w:rPr>
          <w:rFonts w:ascii="Calibri" w:eastAsia="Aptos" w:hAnsi="Calibri" w:cs="Calibri"/>
          <w:b/>
          <w:bCs/>
          <w:lang w:val="fr-FR"/>
        </w:rPr>
        <w:t xml:space="preserve"> contenu dans le document SC64.12</w:t>
      </w:r>
      <w:r w:rsidR="00F01F98">
        <w:rPr>
          <w:rFonts w:ascii="Calibri" w:eastAsia="Aptos" w:hAnsi="Calibri" w:cs="Calibri"/>
          <w:b/>
          <w:bCs/>
          <w:lang w:val="fr-FR"/>
        </w:rPr>
        <w:t xml:space="preserve">, </w:t>
      </w:r>
      <w:r w:rsidR="00E5506C">
        <w:rPr>
          <w:rFonts w:ascii="Calibri" w:eastAsia="Aptos" w:hAnsi="Calibri" w:cs="Calibri"/>
          <w:b/>
          <w:bCs/>
          <w:lang w:val="fr-FR"/>
        </w:rPr>
        <w:t>modifié</w:t>
      </w:r>
      <w:r w:rsidRPr="00D75166">
        <w:rPr>
          <w:rFonts w:ascii="Calibri" w:eastAsia="Aptos" w:hAnsi="Calibri" w:cs="Calibri"/>
          <w:b/>
          <w:bCs/>
          <w:lang w:val="fr-FR"/>
        </w:rPr>
        <w:t xml:space="preserve"> pour tenir compte des </w:t>
      </w:r>
      <w:r w:rsidR="00E5506C">
        <w:rPr>
          <w:rFonts w:ascii="Calibri" w:eastAsia="Aptos" w:hAnsi="Calibri" w:cs="Calibri"/>
          <w:b/>
          <w:bCs/>
          <w:lang w:val="fr-FR"/>
        </w:rPr>
        <w:t>observations</w:t>
      </w:r>
      <w:r w:rsidRPr="00D75166">
        <w:rPr>
          <w:rFonts w:ascii="Calibri" w:eastAsia="Aptos" w:hAnsi="Calibri" w:cs="Calibri"/>
          <w:b/>
          <w:bCs/>
          <w:lang w:val="fr-FR"/>
        </w:rPr>
        <w:t xml:space="preserve"> du Comité</w:t>
      </w:r>
      <w:r w:rsidR="00E5506C">
        <w:rPr>
          <w:rFonts w:ascii="Calibri" w:eastAsia="Aptos" w:hAnsi="Calibri" w:cs="Calibri"/>
          <w:b/>
          <w:bCs/>
          <w:lang w:val="fr-FR"/>
        </w:rPr>
        <w:t>.</w:t>
      </w:r>
    </w:p>
    <w:p w14:paraId="19D7BBF5" w14:textId="77777777" w:rsidR="00AD7443" w:rsidRPr="00D75166" w:rsidRDefault="00AD7443" w:rsidP="00A302C8">
      <w:pPr>
        <w:spacing w:after="0" w:line="240" w:lineRule="auto"/>
        <w:contextualSpacing/>
        <w:rPr>
          <w:rFonts w:ascii="Calibri" w:eastAsia="Aptos" w:hAnsi="Calibri" w:cs="Calibri"/>
          <w:b/>
          <w:bCs/>
          <w:lang w:val="fr-FR"/>
        </w:rPr>
      </w:pPr>
    </w:p>
    <w:p w14:paraId="0CBEFFF1" w14:textId="77777777" w:rsidR="00F61978" w:rsidRPr="00E5506C" w:rsidRDefault="00AD7443"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bCs/>
          <w:lang w:val="fr-FR"/>
        </w:rPr>
        <w:t xml:space="preserve">Point 15.1 de l’ordre du jour : </w:t>
      </w:r>
      <w:r w:rsidR="00F61978" w:rsidRPr="00E5506C">
        <w:rPr>
          <w:rFonts w:ascii="Calibri" w:hAnsi="Calibri" w:cs="Calibri"/>
          <w:bCs/>
          <w:lang w:val="fr-FR"/>
        </w:rPr>
        <w:t>Communication, renforcement des capacités, éducation,</w:t>
      </w:r>
    </w:p>
    <w:p w14:paraId="04526420" w14:textId="677B721F" w:rsidR="00AD7443" w:rsidRPr="00E5506C" w:rsidRDefault="00F61978" w:rsidP="00F6197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E5506C">
        <w:rPr>
          <w:rFonts w:ascii="Calibri" w:hAnsi="Calibri" w:cs="Calibri"/>
          <w:bCs/>
          <w:lang w:val="fr-FR"/>
        </w:rPr>
        <w:t xml:space="preserve">sensibilisation et participation (CESP) : </w:t>
      </w:r>
      <w:r w:rsidR="00AD7443" w:rsidRPr="00E5506C">
        <w:rPr>
          <w:rFonts w:ascii="Calibri" w:hAnsi="Calibri" w:cs="Calibri"/>
          <w:lang w:val="fr-FR"/>
        </w:rPr>
        <w:t>Rapport du Président du Groupe de surveillance des activités de CESP</w:t>
      </w:r>
    </w:p>
    <w:p w14:paraId="31806494" w14:textId="77777777" w:rsidR="00AD7443" w:rsidRPr="00D75166" w:rsidRDefault="00AD7443" w:rsidP="00A302C8">
      <w:pPr>
        <w:spacing w:after="0" w:line="240" w:lineRule="auto"/>
        <w:ind w:left="720" w:hanging="720"/>
        <w:rPr>
          <w:rFonts w:ascii="Calibri" w:hAnsi="Calibri" w:cs="Calibri"/>
          <w:lang w:val="fr-FR"/>
        </w:rPr>
      </w:pPr>
    </w:p>
    <w:p w14:paraId="259F4A13" w14:textId="77777777" w:rsidR="00AD7443" w:rsidRPr="00D75166" w:rsidRDefault="00AD7443" w:rsidP="00A302C8">
      <w:pPr>
        <w:spacing w:after="0" w:line="240" w:lineRule="auto"/>
        <w:rPr>
          <w:rFonts w:ascii="Calibri" w:eastAsia="SimSun" w:hAnsi="Calibri" w:cs="Calibri"/>
          <w:b/>
          <w:iCs/>
          <w:lang w:val="fr-FR"/>
        </w:rPr>
      </w:pPr>
      <w:r w:rsidRPr="00D75166">
        <w:rPr>
          <w:rFonts w:ascii="Calibri" w:hAnsi="Calibri" w:cs="Calibri"/>
          <w:b/>
          <w:lang w:val="fr-FR"/>
        </w:rPr>
        <w:t>Décision SC64-16 : Le Comité permanent prend note du Rapport du Groupe de surveillance des activités de CESP figurant dans le document SC64 Doc.15.1.</w:t>
      </w:r>
    </w:p>
    <w:p w14:paraId="6AE9793E" w14:textId="77777777" w:rsidR="00AD7443" w:rsidRPr="00D75166" w:rsidRDefault="00AD7443" w:rsidP="00A302C8">
      <w:pPr>
        <w:spacing w:after="0" w:line="240" w:lineRule="auto"/>
        <w:rPr>
          <w:rFonts w:ascii="Calibri" w:eastAsia="SimSun" w:hAnsi="Calibri" w:cs="Calibri"/>
          <w:b/>
          <w:iCs/>
          <w:lang w:val="fr-FR" w:eastAsia="zh-CN"/>
        </w:rPr>
      </w:pPr>
    </w:p>
    <w:p w14:paraId="5A45375C" w14:textId="77777777" w:rsidR="00525039" w:rsidRPr="0056121F" w:rsidRDefault="00AD7443"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 xml:space="preserve">Point 15.2 de l'ordre du jour : </w:t>
      </w:r>
      <w:r w:rsidR="00525039" w:rsidRPr="0056121F">
        <w:rPr>
          <w:rFonts w:ascii="Calibri" w:hAnsi="Calibri" w:cs="Calibri"/>
          <w:bCs/>
          <w:lang w:val="fr-FR"/>
        </w:rPr>
        <w:t>Communication, renforcement des capacités, éducation,</w:t>
      </w:r>
    </w:p>
    <w:p w14:paraId="19DD1E29" w14:textId="2C69A1C9" w:rsidR="00AD7443" w:rsidRPr="00D75166" w:rsidRDefault="00525039" w:rsidP="00525039">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56121F">
        <w:rPr>
          <w:rFonts w:ascii="Calibri" w:hAnsi="Calibri" w:cs="Calibri"/>
          <w:bCs/>
          <w:lang w:val="fr-FR"/>
        </w:rPr>
        <w:t xml:space="preserve">sensibilisation et participation (CESP) : </w:t>
      </w:r>
      <w:r w:rsidR="00AD7443" w:rsidRPr="00D75166">
        <w:rPr>
          <w:rFonts w:ascii="Calibri" w:hAnsi="Calibri" w:cs="Calibri"/>
          <w:lang w:val="fr-FR"/>
        </w:rPr>
        <w:t>Projet de résolution sur la CESP</w:t>
      </w:r>
    </w:p>
    <w:p w14:paraId="7A7E4382" w14:textId="77777777" w:rsidR="00AD7443" w:rsidRPr="00D75166" w:rsidRDefault="00AD7443" w:rsidP="00A302C8">
      <w:pPr>
        <w:spacing w:after="0" w:line="240" w:lineRule="auto"/>
        <w:ind w:left="720" w:hanging="720"/>
        <w:rPr>
          <w:rFonts w:ascii="Calibri" w:hAnsi="Calibri" w:cs="Calibri"/>
          <w:lang w:val="fr-FR"/>
        </w:rPr>
      </w:pPr>
    </w:p>
    <w:p w14:paraId="58F0DD38" w14:textId="3D702290" w:rsidR="00AD7443" w:rsidRPr="00D75166" w:rsidRDefault="00AD7443" w:rsidP="00A302C8">
      <w:pPr>
        <w:spacing w:after="0" w:line="240" w:lineRule="auto"/>
        <w:contextualSpacing/>
        <w:rPr>
          <w:rFonts w:ascii="Calibri" w:hAnsi="Calibri" w:cs="Calibri"/>
          <w:lang w:val="fr-FR"/>
        </w:rPr>
      </w:pPr>
      <w:r w:rsidRPr="00D75166">
        <w:rPr>
          <w:rFonts w:ascii="Calibri" w:hAnsi="Calibri" w:cs="Calibri"/>
          <w:b/>
          <w:lang w:val="fr-FR"/>
        </w:rPr>
        <w:t xml:space="preserve">Décision SC64-17 : Le Comité permanent donne instruction au Secrétariat de soumettre le projet de résolution contenu dans le document SC64 Doc.15.2 </w:t>
      </w:r>
      <w:r w:rsidR="00F85CC8">
        <w:rPr>
          <w:rFonts w:ascii="Calibri" w:hAnsi="Calibri" w:cs="Calibri"/>
          <w:b/>
          <w:lang w:val="fr-FR"/>
        </w:rPr>
        <w:t>intitulé</w:t>
      </w:r>
      <w:r w:rsidRPr="00D75166">
        <w:rPr>
          <w:rFonts w:ascii="Calibri" w:hAnsi="Calibri" w:cs="Calibri"/>
          <w:b/>
          <w:lang w:val="fr-FR"/>
        </w:rPr>
        <w:t xml:space="preserve"> </w:t>
      </w:r>
      <w:r w:rsidR="00A435D2" w:rsidRPr="00A435D2">
        <w:rPr>
          <w:rFonts w:ascii="Calibri" w:hAnsi="Calibri" w:cs="Calibri"/>
          <w:b/>
          <w:lang w:val="fr-FR"/>
        </w:rPr>
        <w:t>Communication, renforcement des capacités, éducation, sensibilisation et participation</w:t>
      </w:r>
      <w:r w:rsidRPr="00D75166">
        <w:rPr>
          <w:rFonts w:ascii="Calibri" w:hAnsi="Calibri" w:cs="Calibri"/>
          <w:b/>
          <w:lang w:val="fr-FR"/>
        </w:rPr>
        <w:t xml:space="preserve"> (CESP)</w:t>
      </w:r>
      <w:r w:rsidRPr="00D75166">
        <w:rPr>
          <w:rFonts w:ascii="Calibri" w:hAnsi="Calibri" w:cs="Calibri"/>
          <w:i/>
          <w:lang w:val="fr-FR"/>
        </w:rPr>
        <w:t xml:space="preserve"> </w:t>
      </w:r>
      <w:r w:rsidRPr="00D75166">
        <w:rPr>
          <w:rFonts w:ascii="Calibri" w:hAnsi="Calibri" w:cs="Calibri"/>
          <w:b/>
          <w:lang w:val="fr-FR"/>
        </w:rPr>
        <w:t>à la COP15</w:t>
      </w:r>
      <w:r w:rsidR="00EA0814">
        <w:rPr>
          <w:rFonts w:ascii="Calibri" w:hAnsi="Calibri" w:cs="Calibri"/>
          <w:b/>
          <w:lang w:val="fr-FR"/>
        </w:rPr>
        <w:t>,</w:t>
      </w:r>
      <w:r w:rsidRPr="00D75166">
        <w:rPr>
          <w:rFonts w:ascii="Calibri" w:hAnsi="Calibri" w:cs="Calibri"/>
          <w:b/>
          <w:lang w:val="fr-FR"/>
        </w:rPr>
        <w:t xml:space="preserve"> pour examen,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 du</w:t>
      </w:r>
      <w:r w:rsidRPr="00D75166">
        <w:rPr>
          <w:rFonts w:ascii="Calibri" w:hAnsi="Calibri" w:cs="Calibri"/>
          <w:b/>
          <w:lang w:val="fr-FR"/>
        </w:rPr>
        <w:t xml:space="preserve"> Comité.</w:t>
      </w:r>
    </w:p>
    <w:p w14:paraId="2B638516" w14:textId="77777777" w:rsidR="00AD7443" w:rsidRPr="00D75166" w:rsidRDefault="00AD7443" w:rsidP="00A302C8">
      <w:pPr>
        <w:spacing w:after="0" w:line="240" w:lineRule="auto"/>
        <w:contextualSpacing/>
        <w:rPr>
          <w:rFonts w:ascii="Calibri" w:hAnsi="Calibri" w:cs="Calibri"/>
          <w:bCs/>
          <w:lang w:val="fr-FR"/>
        </w:rPr>
      </w:pPr>
    </w:p>
    <w:p w14:paraId="23F56B5F"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14 de l'ordre du jour : Renforcer la visibilité de la Convention et les synergies avec d’autres accords multilatéraux sur l’environnement et d’autres institutions internationales</w:t>
      </w:r>
    </w:p>
    <w:p w14:paraId="7DE20EB3" w14:textId="2D4D8407" w:rsidR="00AD7443" w:rsidRPr="00D75166" w:rsidRDefault="00AD7443" w:rsidP="00A302C8">
      <w:pPr>
        <w:spacing w:after="0" w:line="240" w:lineRule="auto"/>
        <w:ind w:left="720" w:hanging="720"/>
        <w:rPr>
          <w:rFonts w:ascii="Calibri" w:hAnsi="Calibri" w:cs="Calibri"/>
          <w:lang w:val="fr-FR"/>
        </w:rPr>
      </w:pPr>
    </w:p>
    <w:p w14:paraId="645AF36B" w14:textId="7E75F595" w:rsidR="00AD7443" w:rsidRDefault="00AD7443" w:rsidP="00A302C8">
      <w:pPr>
        <w:spacing w:after="0" w:line="240" w:lineRule="auto"/>
        <w:contextualSpacing/>
        <w:rPr>
          <w:rFonts w:ascii="Calibri" w:hAnsi="Calibri" w:cs="Calibri"/>
          <w:b/>
          <w:lang w:val="fr-FR"/>
        </w:rPr>
      </w:pPr>
      <w:r w:rsidRPr="00F629D7">
        <w:rPr>
          <w:rFonts w:ascii="Calibri" w:hAnsi="Calibri" w:cs="Calibri"/>
          <w:b/>
          <w:lang w:val="fr-FR"/>
        </w:rPr>
        <w:t xml:space="preserve">Décision SC64-18 : </w:t>
      </w:r>
      <w:r w:rsidR="00F629D7" w:rsidRPr="00F629D7">
        <w:rPr>
          <w:rFonts w:ascii="Calibri" w:hAnsi="Calibri" w:cs="Calibri"/>
          <w:b/>
          <w:lang w:val="fr-FR"/>
        </w:rPr>
        <w:t>L</w:t>
      </w:r>
      <w:r w:rsidRPr="00F629D7">
        <w:rPr>
          <w:rFonts w:ascii="Calibri" w:hAnsi="Calibri" w:cs="Calibri"/>
          <w:b/>
          <w:lang w:val="fr-FR"/>
        </w:rPr>
        <w:t>e Comité permanent</w:t>
      </w:r>
      <w:r w:rsidR="00F629D7">
        <w:rPr>
          <w:rFonts w:ascii="Calibri" w:hAnsi="Calibri" w:cs="Calibri"/>
          <w:b/>
          <w:lang w:val="fr-FR"/>
        </w:rPr>
        <w:t> :</w:t>
      </w:r>
    </w:p>
    <w:p w14:paraId="4328A416" w14:textId="77777777" w:rsidR="00F629D7" w:rsidRPr="00F629D7" w:rsidRDefault="00F629D7" w:rsidP="00A302C8">
      <w:pPr>
        <w:spacing w:after="0" w:line="240" w:lineRule="auto"/>
        <w:contextualSpacing/>
        <w:rPr>
          <w:rFonts w:ascii="Calibri" w:eastAsia="SimSun" w:hAnsi="Calibri" w:cs="Calibri"/>
          <w:b/>
          <w:bCs/>
          <w:lang w:val="fr-FR"/>
        </w:rPr>
      </w:pPr>
    </w:p>
    <w:p w14:paraId="10393C98" w14:textId="24147E3E" w:rsidR="00AD7443" w:rsidRPr="00F629D7" w:rsidRDefault="00F629D7" w:rsidP="00F629D7">
      <w:pPr>
        <w:pStyle w:val="ListParagraph"/>
        <w:numPr>
          <w:ilvl w:val="0"/>
          <w:numId w:val="20"/>
        </w:numPr>
        <w:spacing w:after="0" w:line="240" w:lineRule="auto"/>
        <w:ind w:left="567" w:hanging="567"/>
        <w:rPr>
          <w:rFonts w:ascii="Calibri" w:eastAsia="SimSun" w:hAnsi="Calibri" w:cs="Calibri"/>
          <w:b/>
          <w:iCs/>
          <w:lang w:val="fr-FR"/>
        </w:rPr>
      </w:pPr>
      <w:r w:rsidRPr="00F629D7">
        <w:rPr>
          <w:rFonts w:ascii="Calibri" w:hAnsi="Calibri" w:cs="Calibri"/>
          <w:b/>
          <w:lang w:val="fr-FR"/>
        </w:rPr>
        <w:t>p</w:t>
      </w:r>
      <w:r w:rsidR="00AD7443" w:rsidRPr="00F629D7">
        <w:rPr>
          <w:rFonts w:ascii="Calibri" w:hAnsi="Calibri" w:cs="Calibri"/>
          <w:b/>
          <w:lang w:val="fr-FR"/>
        </w:rPr>
        <w:t>rend note des progrès réalisés depuis la 63</w:t>
      </w:r>
      <w:r w:rsidR="00AD7443" w:rsidRPr="00F629D7">
        <w:rPr>
          <w:rFonts w:ascii="Calibri" w:hAnsi="Calibri" w:cs="Calibri"/>
          <w:b/>
          <w:vertAlign w:val="superscript"/>
          <w:lang w:val="fr-FR"/>
        </w:rPr>
        <w:t>e</w:t>
      </w:r>
      <w:r w:rsidR="00AD7443" w:rsidRPr="00F629D7">
        <w:rPr>
          <w:rFonts w:ascii="Calibri" w:hAnsi="Calibri" w:cs="Calibri"/>
          <w:b/>
          <w:lang w:val="fr-FR"/>
        </w:rPr>
        <w:t xml:space="preserve"> Réunion du Comité permanent en ce qui concerne la mise en œuvre de la Résolution XIV.6, </w:t>
      </w:r>
      <w:r w:rsidR="00AD7443" w:rsidRPr="00F629D7">
        <w:rPr>
          <w:rFonts w:ascii="Calibri" w:hAnsi="Calibri" w:cs="Calibri"/>
          <w:b/>
          <w:i/>
          <w:lang w:val="fr-FR"/>
        </w:rPr>
        <w:t>Renforcer la visibilité de la Convention et les synergies avec d’autres accords multilatéraux sur l’environnement et institutions internationales</w:t>
      </w:r>
      <w:r w:rsidR="00AD7443" w:rsidRPr="00F629D7">
        <w:rPr>
          <w:rFonts w:ascii="Calibri" w:hAnsi="Calibri" w:cs="Calibri"/>
          <w:b/>
          <w:lang w:val="fr-FR"/>
        </w:rPr>
        <w:t xml:space="preserve"> ;</w:t>
      </w:r>
      <w:r>
        <w:rPr>
          <w:rFonts w:ascii="Calibri" w:hAnsi="Calibri" w:cs="Calibri"/>
          <w:b/>
          <w:lang w:val="fr-FR"/>
        </w:rPr>
        <w:t xml:space="preserve"> </w:t>
      </w:r>
      <w:r w:rsidRPr="0056121F">
        <w:rPr>
          <w:rFonts w:ascii="Calibri" w:hAnsi="Calibri" w:cs="Calibri"/>
          <w:b/>
          <w:lang w:val="fr-FR"/>
        </w:rPr>
        <w:t>et</w:t>
      </w:r>
    </w:p>
    <w:p w14:paraId="2F2B2B08" w14:textId="77777777" w:rsidR="00F629D7" w:rsidRPr="00F629D7" w:rsidRDefault="00F629D7" w:rsidP="00F629D7">
      <w:pPr>
        <w:pStyle w:val="ListParagraph"/>
        <w:spacing w:after="0" w:line="240" w:lineRule="auto"/>
        <w:ind w:left="567"/>
        <w:rPr>
          <w:rFonts w:ascii="Calibri" w:eastAsia="SimSun" w:hAnsi="Calibri" w:cs="Calibri"/>
          <w:b/>
          <w:iCs/>
          <w:lang w:val="fr-FR"/>
        </w:rPr>
      </w:pPr>
    </w:p>
    <w:p w14:paraId="7ED65C32" w14:textId="681AE6D8" w:rsidR="00AD7443" w:rsidRPr="00F23597" w:rsidRDefault="00F629D7" w:rsidP="00A302C8">
      <w:pPr>
        <w:pStyle w:val="ListParagraph"/>
        <w:numPr>
          <w:ilvl w:val="0"/>
          <w:numId w:val="20"/>
        </w:numPr>
        <w:spacing w:after="0" w:line="240" w:lineRule="auto"/>
        <w:ind w:left="567" w:hanging="567"/>
        <w:rPr>
          <w:rFonts w:ascii="Calibri" w:eastAsia="SimSun" w:hAnsi="Calibri" w:cs="Calibri"/>
          <w:b/>
          <w:iCs/>
          <w:lang w:val="fr-FR"/>
        </w:rPr>
      </w:pPr>
      <w:r>
        <w:rPr>
          <w:rFonts w:ascii="Calibri" w:hAnsi="Calibri" w:cs="Calibri"/>
          <w:b/>
          <w:lang w:val="fr-FR"/>
        </w:rPr>
        <w:t>d</w:t>
      </w:r>
      <w:r w:rsidR="00AD7443" w:rsidRPr="00D75166">
        <w:rPr>
          <w:rFonts w:ascii="Calibri" w:hAnsi="Calibri" w:cs="Calibri"/>
          <w:b/>
          <w:lang w:val="fr-FR"/>
        </w:rPr>
        <w:t>onne instruction au Secrétariat de soumettre</w:t>
      </w:r>
      <w:r w:rsidR="00EA0814" w:rsidRPr="00EA0814">
        <w:rPr>
          <w:rFonts w:ascii="Calibri" w:hAnsi="Calibri" w:cs="Calibri"/>
          <w:b/>
          <w:lang w:val="fr-FR"/>
        </w:rPr>
        <w:t xml:space="preserve"> </w:t>
      </w:r>
      <w:r w:rsidR="00EA0814" w:rsidRPr="00D75166">
        <w:rPr>
          <w:rFonts w:ascii="Calibri" w:hAnsi="Calibri" w:cs="Calibri"/>
          <w:b/>
          <w:lang w:val="fr-FR"/>
        </w:rPr>
        <w:t>à la COP15</w:t>
      </w:r>
      <w:r w:rsidR="00EA0814">
        <w:rPr>
          <w:rFonts w:ascii="Calibri" w:hAnsi="Calibri" w:cs="Calibri"/>
          <w:b/>
          <w:lang w:val="fr-FR"/>
        </w:rPr>
        <w:t>,</w:t>
      </w:r>
      <w:r w:rsidR="00EA0814" w:rsidRPr="00D75166">
        <w:rPr>
          <w:rFonts w:ascii="Calibri" w:hAnsi="Calibri" w:cs="Calibri"/>
          <w:b/>
          <w:lang w:val="fr-FR"/>
        </w:rPr>
        <w:t xml:space="preserve"> pour examen, </w:t>
      </w:r>
      <w:r w:rsidR="00AD7443" w:rsidRPr="00D75166">
        <w:rPr>
          <w:rFonts w:ascii="Calibri" w:hAnsi="Calibri" w:cs="Calibri"/>
          <w:b/>
          <w:lang w:val="fr-FR"/>
        </w:rPr>
        <w:t xml:space="preserve">le projet de résolution contenu dans le document SC64 Doc.14 sur le </w:t>
      </w:r>
      <w:r>
        <w:rPr>
          <w:rFonts w:ascii="Calibri" w:hAnsi="Calibri" w:cs="Calibri"/>
          <w:b/>
          <w:lang w:val="fr-FR"/>
        </w:rPr>
        <w:t>R</w:t>
      </w:r>
      <w:r w:rsidR="00AD7443" w:rsidRPr="00D75166">
        <w:rPr>
          <w:rFonts w:ascii="Calibri" w:hAnsi="Calibri" w:cs="Calibri"/>
          <w:b/>
          <w:lang w:val="fr-FR"/>
        </w:rPr>
        <w:t>enforcement de la visibilité de la Convention et des synergies en partenariat avec d’autres accords multilatéraux sur l’environnement et institutions internationales</w:t>
      </w:r>
      <w:r>
        <w:rPr>
          <w:rFonts w:ascii="Calibri" w:hAnsi="Calibri" w:cs="Calibri"/>
          <w:b/>
          <w:lang w:val="fr-FR"/>
        </w:rPr>
        <w:t>,</w:t>
      </w:r>
      <w:r w:rsidR="00AD7443" w:rsidRPr="00D75166">
        <w:rPr>
          <w:rFonts w:ascii="Calibri" w:hAnsi="Calibri" w:cs="Calibri"/>
          <w:b/>
          <w:lang w:val="fr-FR"/>
        </w:rPr>
        <w:t xml:space="preserve"> </w:t>
      </w:r>
      <w:r w:rsidR="00AD6CD2">
        <w:rPr>
          <w:rFonts w:eastAsia="Aptos" w:cstheme="minorHAnsi"/>
          <w:b/>
          <w:bCs/>
          <w:lang w:val="fr-FR"/>
        </w:rPr>
        <w:t>modifié pour tenir compte des observations du Comité</w:t>
      </w:r>
      <w:r w:rsidR="00AD7443" w:rsidRPr="00D75166">
        <w:rPr>
          <w:rFonts w:ascii="Calibri" w:hAnsi="Calibri" w:cs="Calibri"/>
          <w:b/>
          <w:lang w:val="fr-FR"/>
        </w:rPr>
        <w:t>.</w:t>
      </w:r>
    </w:p>
    <w:p w14:paraId="40B2105D" w14:textId="77777777" w:rsidR="00F23597" w:rsidRPr="00F23597" w:rsidRDefault="00F23597" w:rsidP="00F23597">
      <w:pPr>
        <w:spacing w:after="0" w:line="240" w:lineRule="auto"/>
        <w:rPr>
          <w:rFonts w:ascii="Calibri" w:eastAsia="SimSun" w:hAnsi="Calibri" w:cs="Calibri"/>
          <w:b/>
          <w:iCs/>
          <w:lang w:val="fr-FR"/>
        </w:rPr>
      </w:pPr>
    </w:p>
    <w:p w14:paraId="78022F53"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10 de l'ordre du jour : Problèmes urgents d’utilisation rationnelle des zones humides devant recevoir une attention accrue : mise à jour concernant les inventaires des zones humides</w:t>
      </w:r>
    </w:p>
    <w:p w14:paraId="13DCB28D" w14:textId="77777777" w:rsidR="00AD7443" w:rsidRPr="00D75166" w:rsidRDefault="00AD7443" w:rsidP="00A302C8">
      <w:pPr>
        <w:spacing w:after="0" w:line="240" w:lineRule="auto"/>
        <w:contextualSpacing/>
        <w:rPr>
          <w:rFonts w:ascii="Calibri" w:hAnsi="Calibri" w:cs="Calibri"/>
          <w:bCs/>
          <w:lang w:val="fr-FR"/>
        </w:rPr>
      </w:pPr>
    </w:p>
    <w:p w14:paraId="14BA8632" w14:textId="77777777" w:rsidR="00AD7443" w:rsidRDefault="00AD7443" w:rsidP="00A302C8">
      <w:pPr>
        <w:keepNext/>
        <w:spacing w:after="0" w:line="240" w:lineRule="auto"/>
        <w:contextualSpacing/>
        <w:rPr>
          <w:rFonts w:ascii="Calibri" w:hAnsi="Calibri" w:cs="Calibri"/>
          <w:b/>
          <w:lang w:val="fr-FR"/>
        </w:rPr>
      </w:pPr>
      <w:r w:rsidRPr="00D75166">
        <w:rPr>
          <w:rFonts w:ascii="Calibri" w:hAnsi="Calibri" w:cs="Calibri"/>
          <w:b/>
          <w:lang w:val="fr-FR"/>
        </w:rPr>
        <w:t>Décision SC64-19 : Le Comité permanent :</w:t>
      </w:r>
    </w:p>
    <w:p w14:paraId="4DAAC57D" w14:textId="77777777" w:rsidR="003B46E5" w:rsidRPr="00D75166" w:rsidRDefault="003B46E5" w:rsidP="00A302C8">
      <w:pPr>
        <w:keepNext/>
        <w:spacing w:after="0" w:line="240" w:lineRule="auto"/>
        <w:contextualSpacing/>
        <w:rPr>
          <w:rFonts w:ascii="Calibri" w:hAnsi="Calibri" w:cs="Calibri"/>
          <w:b/>
          <w:lang w:val="fr-FR"/>
        </w:rPr>
      </w:pPr>
    </w:p>
    <w:p w14:paraId="52BADDC4" w14:textId="1C00815F" w:rsidR="00AD7443" w:rsidRPr="003B46E5" w:rsidRDefault="00AD7443" w:rsidP="003B46E5">
      <w:pPr>
        <w:pStyle w:val="ListParagraph"/>
        <w:numPr>
          <w:ilvl w:val="0"/>
          <w:numId w:val="22"/>
        </w:numPr>
        <w:spacing w:after="0" w:line="240" w:lineRule="auto"/>
        <w:rPr>
          <w:rFonts w:ascii="Calibri" w:hAnsi="Calibri" w:cs="Calibri"/>
          <w:b/>
          <w:lang w:val="fr-FR"/>
        </w:rPr>
      </w:pPr>
      <w:r w:rsidRPr="003B46E5">
        <w:rPr>
          <w:rFonts w:ascii="Calibri" w:hAnsi="Calibri" w:cs="Calibri"/>
          <w:b/>
          <w:lang w:val="fr-FR"/>
        </w:rPr>
        <w:t>prend note des progrès accomplis par le Secrétariat pour fournir un mécanisme d’appui aux Parties contractantes en ce qui concerne la réalisation de leurs inventaires nationaux des zones humides ;</w:t>
      </w:r>
      <w:r w:rsidR="003B46E5">
        <w:rPr>
          <w:rFonts w:ascii="Calibri" w:hAnsi="Calibri" w:cs="Calibri"/>
          <w:b/>
          <w:lang w:val="fr-FR"/>
        </w:rPr>
        <w:t xml:space="preserve"> </w:t>
      </w:r>
      <w:r w:rsidR="003B46E5" w:rsidRPr="0056121F">
        <w:rPr>
          <w:rFonts w:ascii="Calibri" w:hAnsi="Calibri" w:cs="Calibri"/>
          <w:b/>
          <w:lang w:val="fr-FR"/>
        </w:rPr>
        <w:t>et</w:t>
      </w:r>
    </w:p>
    <w:p w14:paraId="11900FA0" w14:textId="77777777" w:rsidR="003B46E5" w:rsidRPr="003B46E5" w:rsidRDefault="003B46E5" w:rsidP="003B46E5">
      <w:pPr>
        <w:pStyle w:val="ListParagraph"/>
        <w:spacing w:after="0" w:line="240" w:lineRule="auto"/>
        <w:rPr>
          <w:rFonts w:ascii="Calibri" w:hAnsi="Calibri" w:cs="Calibri"/>
          <w:b/>
          <w:lang w:val="fr-FR"/>
        </w:rPr>
      </w:pPr>
    </w:p>
    <w:p w14:paraId="65DA8B7B" w14:textId="47586945" w:rsidR="00AD7443" w:rsidRPr="003B46E5" w:rsidRDefault="003B46E5" w:rsidP="003B46E5">
      <w:pPr>
        <w:pStyle w:val="ListParagraph"/>
        <w:numPr>
          <w:ilvl w:val="0"/>
          <w:numId w:val="22"/>
        </w:numPr>
        <w:spacing w:after="0" w:line="240" w:lineRule="auto"/>
        <w:rPr>
          <w:rFonts w:ascii="Calibri" w:hAnsi="Calibri" w:cs="Calibri"/>
          <w:b/>
          <w:lang w:val="fr-FR"/>
        </w:rPr>
      </w:pPr>
      <w:r>
        <w:rPr>
          <w:rFonts w:ascii="Calibri" w:hAnsi="Calibri" w:cs="Calibri"/>
          <w:b/>
          <w:lang w:val="fr-FR"/>
        </w:rPr>
        <w:t>d</w:t>
      </w:r>
      <w:r w:rsidR="00AD7443" w:rsidRPr="003B46E5">
        <w:rPr>
          <w:rFonts w:ascii="Calibri" w:hAnsi="Calibri" w:cs="Calibri"/>
          <w:b/>
          <w:lang w:val="fr-FR"/>
        </w:rPr>
        <w:t>emande au Secrétariat de continuer à développer le mécanisme d’appui à la réalisation des inventaires nationaux des zones humides, en mobilisant des ressources et des partenariats afin de proposer des formations plus poussées et un meilleur appui technique.</w:t>
      </w:r>
    </w:p>
    <w:p w14:paraId="0C25E160" w14:textId="77777777" w:rsidR="00AD7443" w:rsidRPr="00D75166" w:rsidRDefault="00AD7443" w:rsidP="00A302C8">
      <w:pPr>
        <w:spacing w:after="0" w:line="240" w:lineRule="auto"/>
        <w:ind w:left="720" w:hanging="720"/>
        <w:contextualSpacing/>
        <w:rPr>
          <w:rFonts w:ascii="Calibri" w:hAnsi="Calibri" w:cs="Calibri"/>
          <w:b/>
          <w:lang w:val="fr-FR"/>
        </w:rPr>
      </w:pPr>
    </w:p>
    <w:p w14:paraId="2443E4BC"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22.3 de l'ordre du jour : Projet de résolution sur les prix Ramsar pour la conservation des zones humides</w:t>
      </w:r>
    </w:p>
    <w:p w14:paraId="4D3469D7" w14:textId="77777777" w:rsidR="00AD7443" w:rsidRPr="00D75166" w:rsidRDefault="00AD7443" w:rsidP="00A302C8">
      <w:pPr>
        <w:spacing w:after="0" w:line="240" w:lineRule="auto"/>
        <w:contextualSpacing/>
        <w:rPr>
          <w:rFonts w:ascii="Calibri" w:hAnsi="Calibri" w:cs="Calibri"/>
          <w:bCs/>
          <w:lang w:val="fr-FR"/>
        </w:rPr>
      </w:pPr>
    </w:p>
    <w:p w14:paraId="6ECD3153" w14:textId="77777777" w:rsidR="00AD7443" w:rsidRPr="00D75166" w:rsidRDefault="00AD7443" w:rsidP="00A302C8">
      <w:pPr>
        <w:spacing w:after="0" w:line="240" w:lineRule="auto"/>
        <w:contextualSpacing/>
        <w:rPr>
          <w:rFonts w:ascii="Calibri" w:hAnsi="Calibri" w:cs="Calibri"/>
          <w:b/>
          <w:lang w:val="fr-FR"/>
        </w:rPr>
      </w:pPr>
      <w:r w:rsidRPr="00D75166">
        <w:rPr>
          <w:rFonts w:ascii="Calibri" w:hAnsi="Calibri" w:cs="Calibri"/>
          <w:b/>
          <w:lang w:val="fr-FR"/>
        </w:rPr>
        <w:t>Décision SC64-20 : Le Comité permanent décide de ne pas soumettre le projet de résolution figurant dans le document SC64 Doc.22.3 pour examen par la Conférence des Parties contractantes.</w:t>
      </w:r>
    </w:p>
    <w:p w14:paraId="50EA1D49" w14:textId="77777777" w:rsidR="00AD7443" w:rsidRPr="00D75166" w:rsidRDefault="00AD7443" w:rsidP="00A302C8">
      <w:pPr>
        <w:spacing w:after="0" w:line="240" w:lineRule="auto"/>
        <w:ind w:left="720" w:hanging="720"/>
        <w:contextualSpacing/>
        <w:rPr>
          <w:rFonts w:ascii="Calibri" w:hAnsi="Calibri" w:cs="Calibri"/>
          <w:b/>
          <w:lang w:val="fr-FR"/>
        </w:rPr>
      </w:pPr>
    </w:p>
    <w:p w14:paraId="40725528"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17 de l'ordre du jour : Plan de travail du Secrétariat pour 2025</w:t>
      </w:r>
    </w:p>
    <w:p w14:paraId="3D844157" w14:textId="77777777" w:rsidR="00AD7443" w:rsidRPr="00D75166" w:rsidRDefault="00AD7443" w:rsidP="00A302C8">
      <w:pPr>
        <w:tabs>
          <w:tab w:val="left" w:pos="0"/>
        </w:tabs>
        <w:spacing w:after="0" w:line="240" w:lineRule="auto"/>
        <w:contextualSpacing/>
        <w:rPr>
          <w:rFonts w:ascii="Calibri" w:hAnsi="Calibri" w:cs="Calibri"/>
          <w:b/>
          <w:iCs/>
          <w:lang w:val="fr-FR"/>
        </w:rPr>
      </w:pPr>
    </w:p>
    <w:p w14:paraId="15CB7189" w14:textId="07F9A90B" w:rsidR="00AD7443" w:rsidRPr="00D75166" w:rsidRDefault="00AD7443" w:rsidP="00A302C8">
      <w:pPr>
        <w:tabs>
          <w:tab w:val="left" w:pos="0"/>
        </w:tabs>
        <w:spacing w:after="0" w:line="240" w:lineRule="auto"/>
        <w:contextualSpacing/>
        <w:rPr>
          <w:rFonts w:ascii="Calibri" w:hAnsi="Calibri" w:cs="Calibri"/>
          <w:b/>
          <w:iCs/>
          <w:lang w:val="fr-FR"/>
        </w:rPr>
      </w:pPr>
      <w:r w:rsidRPr="00D75166">
        <w:rPr>
          <w:rFonts w:ascii="Calibri" w:hAnsi="Calibri" w:cs="Calibri"/>
          <w:b/>
          <w:lang w:val="fr-FR"/>
        </w:rPr>
        <w:t>Décision SC64-21 : Le Comité permanent prend note de la version intégrée du Plan annuel du Secrétariat pour 2025, présenté dans le document SC64 Doc.17, et l’approuve.</w:t>
      </w:r>
    </w:p>
    <w:p w14:paraId="38CF60D3" w14:textId="77777777" w:rsidR="00AD7443" w:rsidRPr="00D75166" w:rsidRDefault="00AD7443" w:rsidP="00A302C8">
      <w:pPr>
        <w:spacing w:after="0" w:line="240" w:lineRule="auto"/>
        <w:ind w:left="720" w:hanging="720"/>
        <w:contextualSpacing/>
        <w:rPr>
          <w:rFonts w:ascii="Calibri" w:hAnsi="Calibri" w:cs="Calibri"/>
          <w:b/>
          <w:lang w:val="fr-FR"/>
        </w:rPr>
      </w:pPr>
    </w:p>
    <w:p w14:paraId="06C24025"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23 de l'ordre du jour : Projet de résolution sur les Initiatives régionales Ramsar 2025-2028</w:t>
      </w:r>
    </w:p>
    <w:p w14:paraId="5FD69D83" w14:textId="77777777" w:rsidR="00AD7443" w:rsidRPr="00D75166" w:rsidRDefault="00AD7443" w:rsidP="00A302C8">
      <w:pPr>
        <w:spacing w:after="0" w:line="240" w:lineRule="auto"/>
        <w:rPr>
          <w:rFonts w:ascii="Calibri" w:hAnsi="Calibri" w:cs="Calibri"/>
          <w:lang w:val="fr-FR"/>
        </w:rPr>
      </w:pPr>
    </w:p>
    <w:p w14:paraId="47659FC7" w14:textId="6C1A8FC8" w:rsidR="00AD7443" w:rsidRPr="00D75166" w:rsidRDefault="00AD7443" w:rsidP="00A302C8">
      <w:pPr>
        <w:spacing w:after="0" w:line="240" w:lineRule="auto"/>
        <w:contextualSpacing/>
        <w:rPr>
          <w:rFonts w:ascii="Calibri" w:hAnsi="Calibri" w:cs="Calibri"/>
          <w:b/>
          <w:iCs/>
          <w:lang w:val="fr-FR"/>
        </w:rPr>
      </w:pPr>
      <w:r w:rsidRPr="00D75166">
        <w:rPr>
          <w:rFonts w:ascii="Calibri" w:hAnsi="Calibri" w:cs="Calibri"/>
          <w:b/>
          <w:lang w:val="fr-FR"/>
        </w:rPr>
        <w:t xml:space="preserve">Décision SC64-22 : Le Comité permanent donne instruction au Secrétariat de soumettre </w:t>
      </w:r>
      <w:r w:rsidR="0025236F" w:rsidRPr="00D75166">
        <w:rPr>
          <w:rFonts w:ascii="Calibri" w:hAnsi="Calibri" w:cs="Calibri"/>
          <w:b/>
          <w:lang w:val="fr-FR"/>
        </w:rPr>
        <w:t>à la COP15</w:t>
      </w:r>
      <w:r w:rsidR="0025236F">
        <w:rPr>
          <w:rFonts w:ascii="Calibri" w:hAnsi="Calibri" w:cs="Calibri"/>
          <w:b/>
          <w:lang w:val="fr-FR"/>
        </w:rPr>
        <w:t>,</w:t>
      </w:r>
      <w:r w:rsidR="0025236F" w:rsidRPr="00D75166">
        <w:rPr>
          <w:rFonts w:ascii="Calibri" w:hAnsi="Calibri" w:cs="Calibri"/>
          <w:b/>
          <w:lang w:val="fr-FR"/>
        </w:rPr>
        <w:t xml:space="preserve"> pour examen, </w:t>
      </w:r>
      <w:r w:rsidRPr="00D75166">
        <w:rPr>
          <w:rFonts w:ascii="Calibri" w:hAnsi="Calibri" w:cs="Calibri"/>
          <w:b/>
          <w:lang w:val="fr-FR"/>
        </w:rPr>
        <w:t xml:space="preserve">le projet de résolution contenu dans le document SC64 Doc.23 sur les </w:t>
      </w:r>
      <w:r w:rsidR="00120AAD">
        <w:rPr>
          <w:rFonts w:ascii="Calibri" w:hAnsi="Calibri" w:cs="Calibri"/>
          <w:b/>
          <w:lang w:val="fr-FR"/>
        </w:rPr>
        <w:t>I</w:t>
      </w:r>
      <w:r w:rsidRPr="00D75166">
        <w:rPr>
          <w:rFonts w:ascii="Calibri" w:hAnsi="Calibri" w:cs="Calibri"/>
          <w:b/>
          <w:lang w:val="fr-FR"/>
        </w:rPr>
        <w:t>nitiatives régionales Ramsar 2025-2028</w:t>
      </w:r>
      <w:r w:rsidR="00120AAD">
        <w:rPr>
          <w:rFonts w:ascii="Calibri" w:hAnsi="Calibri" w:cs="Calibri"/>
          <w:b/>
          <w:lang w:val="fr-FR"/>
        </w:rPr>
        <w:t>,</w:t>
      </w:r>
      <w:r w:rsidRPr="00D75166">
        <w:rPr>
          <w:rFonts w:ascii="Calibri" w:hAnsi="Calibri" w:cs="Calibri"/>
          <w:b/>
          <w:lang w:val="fr-FR"/>
        </w:rPr>
        <w:t xml:space="preserve"> </w:t>
      </w:r>
      <w:r w:rsidR="0056121F">
        <w:rPr>
          <w:rFonts w:ascii="Calibri" w:hAnsi="Calibri" w:cs="Calibri"/>
          <w:b/>
          <w:lang w:val="fr-FR"/>
        </w:rPr>
        <w:t>modifié</w:t>
      </w:r>
      <w:r w:rsidRPr="00D75166">
        <w:rPr>
          <w:rFonts w:ascii="Calibri" w:hAnsi="Calibri" w:cs="Calibri"/>
          <w:b/>
          <w:lang w:val="fr-FR"/>
        </w:rPr>
        <w:t xml:space="preserve"> pour tenir compte des </w:t>
      </w:r>
      <w:r w:rsidR="0056121F">
        <w:rPr>
          <w:rFonts w:ascii="Calibri" w:hAnsi="Calibri" w:cs="Calibri"/>
          <w:b/>
          <w:lang w:val="fr-FR"/>
        </w:rPr>
        <w:t>observations</w:t>
      </w:r>
      <w:r w:rsidR="00120AAD">
        <w:rPr>
          <w:rFonts w:ascii="Calibri" w:hAnsi="Calibri" w:cs="Calibri"/>
          <w:b/>
          <w:lang w:val="fr-FR"/>
        </w:rPr>
        <w:t xml:space="preserve"> du</w:t>
      </w:r>
      <w:r w:rsidRPr="00D75166">
        <w:rPr>
          <w:rFonts w:ascii="Calibri" w:hAnsi="Calibri" w:cs="Calibri"/>
          <w:b/>
          <w:lang w:val="fr-FR"/>
        </w:rPr>
        <w:t xml:space="preserve"> Comité. </w:t>
      </w:r>
    </w:p>
    <w:p w14:paraId="20AF726E" w14:textId="77777777" w:rsidR="00AD7443" w:rsidRPr="00D75166" w:rsidRDefault="00AD7443" w:rsidP="00A302C8">
      <w:pPr>
        <w:spacing w:after="0" w:line="240" w:lineRule="auto"/>
        <w:ind w:left="720" w:hanging="720"/>
        <w:contextualSpacing/>
        <w:rPr>
          <w:rFonts w:ascii="Calibri" w:hAnsi="Calibri" w:cs="Calibri"/>
          <w:b/>
          <w:lang w:val="fr-FR"/>
        </w:rPr>
      </w:pPr>
    </w:p>
    <w:p w14:paraId="05C5B756" w14:textId="77777777" w:rsidR="00AD7443" w:rsidRPr="00D75166"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ascii="Calibri" w:hAnsi="Calibri" w:cs="Calibri"/>
          <w:bCs/>
          <w:lang w:val="fr-FR"/>
        </w:rPr>
      </w:pPr>
      <w:r w:rsidRPr="00D75166">
        <w:rPr>
          <w:rFonts w:ascii="Calibri" w:hAnsi="Calibri" w:cs="Calibri"/>
          <w:lang w:val="fr-FR"/>
        </w:rPr>
        <w:t>Point 22.1 de l'ordre du jour : Rapport du Sous-groupe sur la COP15</w:t>
      </w:r>
    </w:p>
    <w:p w14:paraId="72EDD7E9" w14:textId="77777777" w:rsidR="00AD7443" w:rsidRDefault="00AD7443" w:rsidP="00A302C8">
      <w:pPr>
        <w:spacing w:after="0" w:line="240" w:lineRule="auto"/>
        <w:ind w:left="720" w:hanging="720"/>
        <w:rPr>
          <w:rFonts w:ascii="Calibri" w:hAnsi="Calibri" w:cs="Calibri"/>
          <w:lang w:val="fr-FR"/>
        </w:rPr>
      </w:pPr>
    </w:p>
    <w:p w14:paraId="2980ED32" w14:textId="6BCEE7BC" w:rsidR="00AD7443" w:rsidRDefault="00AD7443" w:rsidP="00A302C8">
      <w:pPr>
        <w:spacing w:after="0" w:line="240" w:lineRule="auto"/>
        <w:contextualSpacing/>
        <w:rPr>
          <w:rFonts w:ascii="Calibri" w:hAnsi="Calibri" w:cs="Calibri"/>
          <w:b/>
          <w:lang w:val="fr-FR"/>
        </w:rPr>
      </w:pPr>
      <w:r w:rsidRPr="00DA2410">
        <w:rPr>
          <w:rFonts w:ascii="Calibri" w:hAnsi="Calibri" w:cs="Calibri"/>
          <w:b/>
          <w:lang w:val="fr-FR"/>
        </w:rPr>
        <w:t xml:space="preserve">Décision SC64-23 : Le Comité permanent prend note de </w:t>
      </w:r>
      <w:r w:rsidR="00FF433A">
        <w:rPr>
          <w:rFonts w:ascii="Calibri" w:hAnsi="Calibri" w:cs="Calibri"/>
          <w:b/>
          <w:lang w:val="fr-FR"/>
        </w:rPr>
        <w:t>l’exposé du Zimbabwe sur les</w:t>
      </w:r>
      <w:r w:rsidRPr="00DA2410">
        <w:rPr>
          <w:rFonts w:ascii="Calibri" w:hAnsi="Calibri" w:cs="Calibri"/>
          <w:b/>
          <w:lang w:val="fr-FR"/>
        </w:rPr>
        <w:t xml:space="preserve"> préparatifs de la COP15.</w:t>
      </w:r>
    </w:p>
    <w:p w14:paraId="18C1477A" w14:textId="77777777" w:rsidR="00AD7443" w:rsidRPr="00AD7443" w:rsidRDefault="00AD7443" w:rsidP="00A302C8">
      <w:pPr>
        <w:spacing w:after="0" w:line="240" w:lineRule="auto"/>
        <w:contextualSpacing/>
        <w:rPr>
          <w:rFonts w:cstheme="minorHAnsi"/>
          <w:b/>
          <w:lang w:val="fr-FR"/>
        </w:rPr>
      </w:pPr>
    </w:p>
    <w:p w14:paraId="49DFD974" w14:textId="3C3E43CE"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7.2 de l’ordre du jour : </w:t>
      </w:r>
      <w:r w:rsidR="00FD5C52" w:rsidRPr="00FD5C52">
        <w:rPr>
          <w:lang w:val="fr-FR"/>
        </w:rPr>
        <w:t>Rapport du Groupe de travail sur la gestion:</w:t>
      </w:r>
      <w:r w:rsidR="00FD5C52">
        <w:rPr>
          <w:lang w:val="fr-FR"/>
        </w:rPr>
        <w:t xml:space="preserve"> </w:t>
      </w:r>
      <w:r w:rsidRPr="00FD5C52">
        <w:rPr>
          <w:lang w:val="fr-FR"/>
        </w:rPr>
        <w:t>Rapport sur la procédure de recrutement d’un/e nouveau/elle Secrétaire général/e</w:t>
      </w:r>
    </w:p>
    <w:p w14:paraId="2EC2F993" w14:textId="77777777" w:rsidR="00AD7443" w:rsidRPr="00AD7443" w:rsidRDefault="00AD7443" w:rsidP="00A302C8">
      <w:pPr>
        <w:spacing w:after="0" w:line="240" w:lineRule="auto"/>
        <w:contextualSpacing/>
        <w:rPr>
          <w:rFonts w:cstheme="minorHAnsi"/>
          <w:b/>
          <w:lang w:val="fr-FR"/>
        </w:rPr>
      </w:pPr>
    </w:p>
    <w:p w14:paraId="08ED48FC" w14:textId="099F1488" w:rsidR="00AD7443" w:rsidRPr="00AD7443" w:rsidRDefault="00AD7443" w:rsidP="00A302C8">
      <w:pPr>
        <w:spacing w:after="0" w:line="240" w:lineRule="auto"/>
        <w:rPr>
          <w:b/>
          <w:bCs/>
          <w:lang w:val="fr-FR"/>
        </w:rPr>
      </w:pPr>
      <w:r w:rsidRPr="00AD7443">
        <w:rPr>
          <w:b/>
          <w:lang w:val="fr-FR"/>
        </w:rPr>
        <w:t>Décision SC64-24 : Le Comité permanent donne instruction au Secrétariat de soumettre entre crochets</w:t>
      </w:r>
      <w:r w:rsidR="00111BA3">
        <w:rPr>
          <w:b/>
          <w:lang w:val="fr-FR"/>
        </w:rPr>
        <w:t>,</w:t>
      </w:r>
      <w:r w:rsidRPr="00AD7443">
        <w:rPr>
          <w:b/>
          <w:lang w:val="fr-FR"/>
        </w:rPr>
        <w:t xml:space="preserve"> </w:t>
      </w:r>
      <w:r w:rsidR="00111BA3" w:rsidRPr="00AD7443">
        <w:rPr>
          <w:b/>
          <w:lang w:val="fr-FR"/>
        </w:rPr>
        <w:t>à la COP15 pour examen</w:t>
      </w:r>
      <w:r w:rsidR="00111BA3">
        <w:rPr>
          <w:b/>
          <w:lang w:val="fr-FR"/>
        </w:rPr>
        <w:t>,</w:t>
      </w:r>
      <w:r w:rsidR="00111BA3" w:rsidRPr="00AD7443">
        <w:rPr>
          <w:b/>
          <w:lang w:val="fr-FR"/>
        </w:rPr>
        <w:t xml:space="preserve"> </w:t>
      </w:r>
      <w:r w:rsidRPr="00AD7443">
        <w:rPr>
          <w:b/>
          <w:lang w:val="fr-FR"/>
        </w:rPr>
        <w:t xml:space="preserve">le projet de résolution sur </w:t>
      </w:r>
      <w:r w:rsidR="00111BA3">
        <w:rPr>
          <w:b/>
          <w:lang w:val="fr-FR"/>
        </w:rPr>
        <w:t>la procédure</w:t>
      </w:r>
      <w:r w:rsidRPr="00AD7443">
        <w:rPr>
          <w:b/>
          <w:lang w:val="fr-FR"/>
        </w:rPr>
        <w:t xml:space="preserve"> de recrutement d’un/e nouveau/elle Secrétaire général/e, figurant à l’annexe 1 du document SC64 Doc.7.2. </w:t>
      </w:r>
    </w:p>
    <w:p w14:paraId="12159117" w14:textId="77777777" w:rsidR="00AD7443" w:rsidRPr="00AD7443" w:rsidRDefault="00AD7443" w:rsidP="00A302C8">
      <w:pPr>
        <w:spacing w:after="0" w:line="240" w:lineRule="auto"/>
        <w:contextualSpacing/>
        <w:rPr>
          <w:rFonts w:cstheme="minorHAnsi"/>
          <w:b/>
          <w:lang w:val="fr-FR"/>
        </w:rPr>
      </w:pPr>
    </w:p>
    <w:p w14:paraId="606BD2E8" w14:textId="77777777" w:rsidR="00AD7443" w:rsidRPr="00AD7443" w:rsidRDefault="00AD7443" w:rsidP="00F2359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lastRenderedPageBreak/>
        <w:t>Point 25 de l’ordre du jour : Projet de résolution sur l’état des sites de la Liste des zones humides d’importance internationale</w:t>
      </w:r>
    </w:p>
    <w:p w14:paraId="794B251E" w14:textId="77777777" w:rsidR="00AD7443" w:rsidRPr="00AD7443" w:rsidRDefault="00AD7443" w:rsidP="00F23597">
      <w:pPr>
        <w:keepNext/>
        <w:spacing w:after="0" w:line="240" w:lineRule="auto"/>
        <w:contextualSpacing/>
        <w:rPr>
          <w:rFonts w:cstheme="minorHAnsi"/>
          <w:b/>
          <w:iCs/>
          <w:lang w:val="fr-FR"/>
        </w:rPr>
      </w:pPr>
    </w:p>
    <w:p w14:paraId="52DBDDAB" w14:textId="0F201FE9" w:rsidR="00AD7443" w:rsidRPr="00AD7443" w:rsidRDefault="00AD7443" w:rsidP="00A302C8">
      <w:pPr>
        <w:spacing w:after="0" w:line="240" w:lineRule="auto"/>
        <w:contextualSpacing/>
        <w:rPr>
          <w:rFonts w:eastAsia="Aptos" w:cstheme="minorHAnsi"/>
          <w:b/>
          <w:bCs/>
          <w:lang w:val="fr-FR"/>
        </w:rPr>
      </w:pPr>
      <w:r w:rsidRPr="00AD7443">
        <w:rPr>
          <w:b/>
          <w:lang w:val="fr-FR"/>
        </w:rPr>
        <w:t xml:space="preserve">Décision SC64-25 : Le Comité permanent donne instruction au Secrétariat de soumettre </w:t>
      </w:r>
      <w:r w:rsidR="006139F3" w:rsidRPr="00AD7443">
        <w:rPr>
          <w:b/>
          <w:lang w:val="fr-FR"/>
        </w:rPr>
        <w:t>à la COP15 pour examen</w:t>
      </w:r>
      <w:r w:rsidR="006139F3">
        <w:rPr>
          <w:b/>
          <w:lang w:val="fr-FR"/>
        </w:rPr>
        <w:t>,</w:t>
      </w:r>
      <w:r w:rsidR="006139F3" w:rsidRPr="00AD7443">
        <w:rPr>
          <w:b/>
          <w:lang w:val="fr-FR"/>
        </w:rPr>
        <w:t xml:space="preserve"> </w:t>
      </w:r>
      <w:r w:rsidRPr="00AD7443">
        <w:rPr>
          <w:b/>
          <w:lang w:val="fr-FR"/>
        </w:rPr>
        <w:t>le projet de résolution figurant dans le document SC64 Doc.25 sur l’état des sites de la Liste des zones humides d’importance internationale.</w:t>
      </w:r>
    </w:p>
    <w:p w14:paraId="57D3C701" w14:textId="77777777" w:rsidR="00AD7443" w:rsidRPr="00AD7443" w:rsidRDefault="00AD7443" w:rsidP="00A302C8">
      <w:pPr>
        <w:spacing w:after="0" w:line="240" w:lineRule="auto"/>
        <w:contextualSpacing/>
        <w:rPr>
          <w:rFonts w:cstheme="minorHAnsi"/>
          <w:bCs/>
          <w:lang w:val="fr-FR"/>
        </w:rPr>
      </w:pPr>
    </w:p>
    <w:p w14:paraId="7286620D"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27 de l’ordre du jour : Rapport du Secrétariat sur les propositions visant à renforcer le processus d’inscription des sites sur la Liste des zones humides d’importance internationale</w:t>
      </w:r>
    </w:p>
    <w:p w14:paraId="63C42922" w14:textId="77777777" w:rsidR="00AD7443" w:rsidRPr="00AD7443" w:rsidRDefault="00AD7443" w:rsidP="00A302C8">
      <w:pPr>
        <w:spacing w:after="0" w:line="240" w:lineRule="auto"/>
        <w:contextualSpacing/>
        <w:rPr>
          <w:lang w:val="fr-FR"/>
        </w:rPr>
      </w:pPr>
    </w:p>
    <w:p w14:paraId="776ADEFB" w14:textId="1E6E16D3" w:rsidR="00AD7443" w:rsidRPr="00AD7443" w:rsidRDefault="00AD7443" w:rsidP="00A302C8">
      <w:pPr>
        <w:spacing w:after="0" w:line="240" w:lineRule="auto"/>
        <w:rPr>
          <w:rFonts w:cstheme="minorHAnsi"/>
          <w:b/>
          <w:lang w:val="fr-FR"/>
        </w:rPr>
      </w:pPr>
      <w:r w:rsidRPr="00AD7443">
        <w:rPr>
          <w:b/>
          <w:lang w:val="fr-FR"/>
        </w:rPr>
        <w:t xml:space="preserve">Décision SC64-26 : Le Comité permanent prend note du rapport, décide que les Parties </w:t>
      </w:r>
      <w:r w:rsidR="00F10D92" w:rsidRPr="00362303">
        <w:rPr>
          <w:b/>
          <w:lang w:val="fr-FR"/>
        </w:rPr>
        <w:t xml:space="preserve">contractantes </w:t>
      </w:r>
      <w:r w:rsidRPr="00362303">
        <w:rPr>
          <w:b/>
          <w:lang w:val="fr-FR"/>
        </w:rPr>
        <w:t>i</w:t>
      </w:r>
      <w:r w:rsidRPr="00AD7443">
        <w:rPr>
          <w:b/>
          <w:lang w:val="fr-FR"/>
        </w:rPr>
        <w:t>ntéressées poursuivront leurs travaux durant la prochaine période triennale et donne instruction au Secrétariat de présenter à la 67</w:t>
      </w:r>
      <w:r w:rsidRPr="00AD7443">
        <w:rPr>
          <w:b/>
          <w:vertAlign w:val="superscript"/>
          <w:lang w:val="fr-FR"/>
        </w:rPr>
        <w:t>e</w:t>
      </w:r>
      <w:r w:rsidRPr="00AD7443">
        <w:rPr>
          <w:b/>
          <w:lang w:val="fr-FR"/>
        </w:rPr>
        <w:t xml:space="preserve"> réunion du Comité permanent un rapport mis à jour reflétant de nouvelles suggestions des Parties </w:t>
      </w:r>
      <w:r w:rsidR="00F10D92">
        <w:rPr>
          <w:b/>
          <w:lang w:val="fr-FR"/>
        </w:rPr>
        <w:t xml:space="preserve">contractantes </w:t>
      </w:r>
      <w:r w:rsidRPr="00AD7443">
        <w:rPr>
          <w:b/>
          <w:lang w:val="fr-FR"/>
        </w:rPr>
        <w:t>sur le renforcement du processus d’inscription d’un site sur la Liste des zones humides d’importance internationale, afin que le Comité permanent envisage toute autre action.</w:t>
      </w:r>
    </w:p>
    <w:p w14:paraId="05BEF80C" w14:textId="77777777" w:rsidR="00AD7443" w:rsidRPr="00AD7443" w:rsidRDefault="00AD7443" w:rsidP="00A302C8">
      <w:pPr>
        <w:spacing w:after="0" w:line="240" w:lineRule="auto"/>
        <w:ind w:left="567" w:hanging="567"/>
        <w:contextualSpacing/>
        <w:rPr>
          <w:lang w:val="fr-FR"/>
        </w:rPr>
      </w:pPr>
    </w:p>
    <w:p w14:paraId="1EC6B93E" w14:textId="22890E01"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29.12 de l’ordre du jour : </w:t>
      </w:r>
      <w:r w:rsidR="00404E27" w:rsidRPr="00362303">
        <w:rPr>
          <w:lang w:val="fr-FR"/>
        </w:rPr>
        <w:t>Proposition de projet de résolution sur l’évaluation de la vulnérabilité des zones humides</w:t>
      </w:r>
    </w:p>
    <w:p w14:paraId="7FDF7B41" w14:textId="77777777" w:rsidR="00AD7443" w:rsidRPr="00AD7443" w:rsidRDefault="00AD7443" w:rsidP="00A302C8">
      <w:pPr>
        <w:spacing w:after="0" w:line="240" w:lineRule="auto"/>
        <w:contextualSpacing/>
        <w:rPr>
          <w:rFonts w:cstheme="minorHAnsi"/>
          <w:bCs/>
          <w:lang w:val="fr-FR"/>
        </w:rPr>
      </w:pPr>
    </w:p>
    <w:p w14:paraId="3B887BBA" w14:textId="7E553347" w:rsidR="00AD7443" w:rsidRPr="00AD7443" w:rsidRDefault="00AD7443" w:rsidP="00A302C8">
      <w:pPr>
        <w:spacing w:after="0" w:line="240" w:lineRule="auto"/>
        <w:contextualSpacing/>
        <w:rPr>
          <w:b/>
          <w:lang w:val="fr-FR"/>
        </w:rPr>
      </w:pPr>
      <w:r w:rsidRPr="00AD7443">
        <w:rPr>
          <w:b/>
          <w:lang w:val="fr-FR"/>
        </w:rPr>
        <w:t>Décision SC64-27 : Le Comité permanent charge le Secrétariat de soumettre</w:t>
      </w:r>
      <w:r w:rsidR="00404E27">
        <w:rPr>
          <w:b/>
          <w:lang w:val="fr-FR"/>
        </w:rPr>
        <w:t xml:space="preserve"> à la COP15 pour examen,</w:t>
      </w:r>
      <w:r w:rsidRPr="00AD7443">
        <w:rPr>
          <w:b/>
          <w:lang w:val="fr-FR"/>
        </w:rPr>
        <w:t xml:space="preserve"> le projet de résolution figurant dans le document SC64 Doc.29.12 Rev.2 sur l'évaluation de la vulnérabilité des zones humides, </w:t>
      </w:r>
      <w:r w:rsidR="00404E27">
        <w:rPr>
          <w:b/>
          <w:lang w:val="fr-FR"/>
        </w:rPr>
        <w:t>modifié pour tenir compte des</w:t>
      </w:r>
      <w:r w:rsidRPr="00AD7443">
        <w:rPr>
          <w:b/>
          <w:lang w:val="fr-FR"/>
        </w:rPr>
        <w:t xml:space="preserve"> observations du Comité.</w:t>
      </w:r>
    </w:p>
    <w:p w14:paraId="7DFF6602" w14:textId="77777777" w:rsidR="00AD7443" w:rsidRPr="00AD7443" w:rsidRDefault="00AD7443" w:rsidP="00A302C8">
      <w:pPr>
        <w:spacing w:after="0" w:line="240" w:lineRule="auto"/>
        <w:contextualSpacing/>
        <w:rPr>
          <w:rFonts w:cstheme="minorHAnsi"/>
          <w:bCs/>
          <w:lang w:val="fr-FR"/>
        </w:rPr>
      </w:pPr>
    </w:p>
    <w:p w14:paraId="49F959F4" w14:textId="6E4B91CF"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29.3 de l’ordre du jour : </w:t>
      </w:r>
      <w:r w:rsidR="009C1F39" w:rsidRPr="00362303">
        <w:rPr>
          <w:lang w:val="fr-FR"/>
        </w:rPr>
        <w:t>Proposition de projet de résolution sur le renforcement des actions nationales pour la conservation et la restauration de la voie de migration Asie de l’Est-Australasie</w:t>
      </w:r>
    </w:p>
    <w:p w14:paraId="27137BFA" w14:textId="77777777" w:rsidR="00AD7443" w:rsidRPr="00AD7443" w:rsidRDefault="00AD7443" w:rsidP="00A302C8">
      <w:pPr>
        <w:spacing w:after="0" w:line="240" w:lineRule="auto"/>
        <w:contextualSpacing/>
        <w:rPr>
          <w:rFonts w:cstheme="minorHAnsi"/>
          <w:bCs/>
          <w:lang w:val="fr-FR"/>
        </w:rPr>
      </w:pPr>
    </w:p>
    <w:p w14:paraId="3187F864" w14:textId="10F4DCE6" w:rsidR="00AD7443" w:rsidRPr="00AD7443" w:rsidRDefault="00AD7443" w:rsidP="00A302C8">
      <w:pPr>
        <w:spacing w:after="0" w:line="240" w:lineRule="auto"/>
        <w:contextualSpacing/>
        <w:rPr>
          <w:b/>
          <w:lang w:val="fr-FR"/>
        </w:rPr>
      </w:pPr>
      <w:r w:rsidRPr="00AD7443">
        <w:rPr>
          <w:b/>
          <w:lang w:val="fr-FR"/>
        </w:rPr>
        <w:t>Décision SC64-28 : Le Comité permanent charge le Secrétariat de soumettre</w:t>
      </w:r>
      <w:r w:rsidR="009C1F39" w:rsidRPr="009C1F39">
        <w:rPr>
          <w:b/>
          <w:lang w:val="fr-FR"/>
        </w:rPr>
        <w:t xml:space="preserve"> </w:t>
      </w:r>
      <w:r w:rsidR="009C1F39" w:rsidRPr="00AD7443">
        <w:rPr>
          <w:b/>
          <w:lang w:val="fr-FR"/>
        </w:rPr>
        <w:t>à la COP15</w:t>
      </w:r>
      <w:r w:rsidR="009C1F39">
        <w:rPr>
          <w:b/>
          <w:lang w:val="fr-FR"/>
        </w:rPr>
        <w:t xml:space="preserve"> pour examen,</w:t>
      </w:r>
      <w:r w:rsidRPr="00AD7443">
        <w:rPr>
          <w:b/>
          <w:lang w:val="fr-FR"/>
        </w:rPr>
        <w:t xml:space="preserve"> le projet de résolution figurant dans le document SC64 Doc.29.3 Rev.1 sur le renforcement des actions nationales pour la conservation et la restauration des voies de migration</w:t>
      </w:r>
      <w:r w:rsidR="00600CB6">
        <w:rPr>
          <w:b/>
          <w:lang w:val="fr-FR"/>
        </w:rPr>
        <w:t xml:space="preserve"> des oiseaux d’eau</w:t>
      </w:r>
      <w:r w:rsidRPr="00AD7443">
        <w:rPr>
          <w:b/>
          <w:lang w:val="fr-FR"/>
        </w:rPr>
        <w:t xml:space="preserve">, </w:t>
      </w:r>
      <w:r w:rsidR="00600CB6">
        <w:rPr>
          <w:b/>
          <w:lang w:val="fr-FR"/>
        </w:rPr>
        <w:t xml:space="preserve">modifié pour tenir compte des </w:t>
      </w:r>
      <w:r w:rsidRPr="00AD7443">
        <w:rPr>
          <w:b/>
          <w:lang w:val="fr-FR"/>
        </w:rPr>
        <w:t>observations du Comité.</w:t>
      </w:r>
    </w:p>
    <w:p w14:paraId="7076A5E2" w14:textId="77777777" w:rsidR="008A6AC2" w:rsidRPr="00AD7443" w:rsidRDefault="008A6AC2" w:rsidP="00A302C8">
      <w:pPr>
        <w:spacing w:after="0" w:line="240" w:lineRule="auto"/>
        <w:ind w:left="567" w:hanging="567"/>
        <w:rPr>
          <w:lang w:val="fr-FR"/>
        </w:rPr>
      </w:pPr>
    </w:p>
    <w:p w14:paraId="16C85E73" w14:textId="4AEB4563"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AD7443">
        <w:rPr>
          <w:lang w:val="fr-FR"/>
        </w:rPr>
        <w:t xml:space="preserve">Point 29.10 de l’ordre du jour : </w:t>
      </w:r>
      <w:r w:rsidR="008A6AC2" w:rsidRPr="00362303">
        <w:rPr>
          <w:lang w:val="fr-FR"/>
        </w:rPr>
        <w:t>Proposition de projet de résolution sur la reconnaissance des dauphins de rivière comme des espèces clés pour la conservation et l’utilisation durable des zones humides d’Amérique du Sud et d’Asie</w:t>
      </w:r>
    </w:p>
    <w:p w14:paraId="0A163D7F" w14:textId="77777777" w:rsidR="00AD7443" w:rsidRPr="00AD7443" w:rsidRDefault="00AD7443" w:rsidP="00A302C8">
      <w:pPr>
        <w:spacing w:after="0" w:line="240" w:lineRule="auto"/>
        <w:ind w:left="720" w:hanging="720"/>
        <w:rPr>
          <w:bCs/>
          <w:lang w:val="fr-FR"/>
        </w:rPr>
      </w:pPr>
    </w:p>
    <w:p w14:paraId="1241E990" w14:textId="4CA5B1F5" w:rsidR="00AD7443" w:rsidRDefault="00AD7443" w:rsidP="00A302C8">
      <w:pPr>
        <w:spacing w:after="0" w:line="240" w:lineRule="auto"/>
        <w:rPr>
          <w:b/>
          <w:lang w:val="fr-FR"/>
        </w:rPr>
      </w:pPr>
      <w:r w:rsidRPr="00AD7443">
        <w:rPr>
          <w:b/>
          <w:lang w:val="fr-FR"/>
        </w:rPr>
        <w:t>Décision SC64-29 : Le Comité permanent charge le Secrétariat de soumettre</w:t>
      </w:r>
      <w:r w:rsidR="00FF6877" w:rsidRPr="00FF6877">
        <w:rPr>
          <w:b/>
          <w:lang w:val="fr-FR"/>
        </w:rPr>
        <w:t xml:space="preserve"> </w:t>
      </w:r>
      <w:r w:rsidR="00FF6877" w:rsidRPr="00AD7443">
        <w:rPr>
          <w:b/>
          <w:lang w:val="fr-FR"/>
        </w:rPr>
        <w:t>à la COP15</w:t>
      </w:r>
      <w:r w:rsidR="00FF6877">
        <w:rPr>
          <w:b/>
          <w:lang w:val="fr-FR"/>
        </w:rPr>
        <w:t xml:space="preserve"> pour examen,</w:t>
      </w:r>
      <w:r w:rsidRPr="00AD7443">
        <w:rPr>
          <w:b/>
          <w:lang w:val="fr-FR"/>
        </w:rPr>
        <w:t xml:space="preserve"> le projet de résolution figurant dans le document SC64 Doc.29.10 Rev.1 sur </w:t>
      </w:r>
      <w:r w:rsidR="00FF6877">
        <w:rPr>
          <w:b/>
          <w:lang w:val="fr-FR"/>
        </w:rPr>
        <w:t xml:space="preserve">le </w:t>
      </w:r>
      <w:r w:rsidR="00FF6877" w:rsidRPr="00FF6877">
        <w:rPr>
          <w:b/>
          <w:lang w:val="fr-FR"/>
        </w:rPr>
        <w:t>projet de résolution sur la reconnaissance des dauphins de rivière comme des espèces clés pour la conservation et l’utilisation durable des zones humides d’Amérique du Sud et d’Asie</w:t>
      </w:r>
      <w:r w:rsidRPr="00AD7443">
        <w:rPr>
          <w:b/>
          <w:lang w:val="fr-FR"/>
        </w:rPr>
        <w:t xml:space="preserve">, </w:t>
      </w:r>
      <w:r w:rsidR="00FF6877">
        <w:rPr>
          <w:b/>
          <w:lang w:val="fr-FR"/>
        </w:rPr>
        <w:t>modifié pour tenir compte des</w:t>
      </w:r>
      <w:r w:rsidRPr="00AD7443">
        <w:rPr>
          <w:b/>
          <w:lang w:val="fr-FR"/>
        </w:rPr>
        <w:t xml:space="preserve"> observations du Comité.</w:t>
      </w:r>
    </w:p>
    <w:p w14:paraId="58087E68" w14:textId="77777777" w:rsidR="00AD7443" w:rsidRPr="00EB209A" w:rsidRDefault="00AD7443" w:rsidP="00A302C8">
      <w:pPr>
        <w:keepNext/>
        <w:spacing w:after="0" w:line="240" w:lineRule="auto"/>
        <w:rPr>
          <w:rFonts w:cstheme="minorHAnsi"/>
          <w:lang w:val="fr-FR"/>
        </w:rPr>
      </w:pPr>
    </w:p>
    <w:p w14:paraId="58E6414F" w14:textId="5C94B60E"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Point 11 de l’ordre du jour : Rapport du Groupe de travail sur le Plan stratégique</w:t>
      </w:r>
    </w:p>
    <w:p w14:paraId="69130E7C" w14:textId="77777777" w:rsidR="00AD7443" w:rsidRPr="00EB209A" w:rsidRDefault="00AD7443" w:rsidP="00A302C8">
      <w:pPr>
        <w:spacing w:after="0" w:line="240" w:lineRule="auto"/>
        <w:rPr>
          <w:rFonts w:eastAsia="Calibri" w:cstheme="minorHAnsi"/>
          <w:bCs/>
          <w:lang w:val="fr-FR"/>
        </w:rPr>
      </w:pPr>
    </w:p>
    <w:p w14:paraId="1B1F936D" w14:textId="77777777" w:rsidR="00AD7443" w:rsidRDefault="00AD7443" w:rsidP="00A302C8">
      <w:pPr>
        <w:spacing w:after="0" w:line="240" w:lineRule="auto"/>
        <w:rPr>
          <w:rFonts w:cstheme="minorHAnsi"/>
          <w:b/>
          <w:lang w:val="fr-FR"/>
        </w:rPr>
      </w:pPr>
      <w:r w:rsidRPr="00EB209A">
        <w:rPr>
          <w:rFonts w:cstheme="minorHAnsi"/>
          <w:b/>
          <w:lang w:val="fr-FR"/>
        </w:rPr>
        <w:t>Décision SC64-30 : Le Comité permanent</w:t>
      </w:r>
      <w:r>
        <w:rPr>
          <w:rFonts w:cstheme="minorHAnsi"/>
          <w:b/>
          <w:lang w:val="fr-FR"/>
        </w:rPr>
        <w:t> :</w:t>
      </w:r>
    </w:p>
    <w:p w14:paraId="2FF9D0A4" w14:textId="77777777" w:rsidR="00C07C24" w:rsidRDefault="00C07C24" w:rsidP="00A302C8">
      <w:pPr>
        <w:spacing w:after="0" w:line="240" w:lineRule="auto"/>
        <w:rPr>
          <w:rFonts w:cstheme="minorHAnsi"/>
          <w:b/>
          <w:lang w:val="fr-FR"/>
        </w:rPr>
      </w:pPr>
    </w:p>
    <w:p w14:paraId="2567710D" w14:textId="4BB37D12" w:rsidR="00AD7443" w:rsidRPr="00C07C24" w:rsidRDefault="00C07C24" w:rsidP="00BA4F7E">
      <w:pPr>
        <w:tabs>
          <w:tab w:val="left" w:pos="567"/>
        </w:tabs>
        <w:spacing w:after="0" w:line="240" w:lineRule="auto"/>
        <w:ind w:left="567" w:hanging="567"/>
        <w:rPr>
          <w:rFonts w:cstheme="minorHAnsi"/>
          <w:b/>
          <w:lang w:val="fr-FR"/>
        </w:rPr>
      </w:pPr>
      <w:r w:rsidRPr="00C07C24">
        <w:rPr>
          <w:rFonts w:cstheme="minorHAnsi"/>
          <w:b/>
          <w:lang w:val="fr-FR"/>
        </w:rPr>
        <w:t>i)</w:t>
      </w:r>
      <w:r>
        <w:rPr>
          <w:rFonts w:cstheme="minorHAnsi"/>
          <w:b/>
          <w:lang w:val="fr-FR"/>
        </w:rPr>
        <w:tab/>
      </w:r>
      <w:r w:rsidR="00AD7443" w:rsidRPr="00C07C24">
        <w:rPr>
          <w:rFonts w:cstheme="minorHAnsi"/>
          <w:b/>
          <w:lang w:val="fr-FR"/>
        </w:rPr>
        <w:t>prend note du rapport du Groupe de travail sur le Plan stratégique qui figure dans le document SC64 Doc.11 ;</w:t>
      </w:r>
    </w:p>
    <w:p w14:paraId="4F080A02" w14:textId="77777777" w:rsidR="00C07C24" w:rsidRPr="00C07C24" w:rsidRDefault="00C07C24" w:rsidP="00C07C24">
      <w:pPr>
        <w:rPr>
          <w:lang w:val="fr-FR"/>
        </w:rPr>
      </w:pPr>
    </w:p>
    <w:p w14:paraId="0C68B8E5" w14:textId="27858F0F" w:rsidR="00AD7443" w:rsidRPr="00BA4F7E" w:rsidRDefault="00BA4F7E" w:rsidP="00BA4F7E">
      <w:pPr>
        <w:tabs>
          <w:tab w:val="left" w:pos="567"/>
        </w:tabs>
        <w:spacing w:after="0" w:line="240" w:lineRule="auto"/>
        <w:ind w:left="567" w:hanging="567"/>
        <w:rPr>
          <w:rFonts w:cstheme="minorHAnsi"/>
          <w:b/>
          <w:lang w:val="fr-FR"/>
        </w:rPr>
      </w:pPr>
      <w:r w:rsidRPr="00BA4F7E">
        <w:rPr>
          <w:rFonts w:cstheme="minorHAnsi"/>
          <w:b/>
          <w:lang w:val="fr-FR"/>
        </w:rPr>
        <w:lastRenderedPageBreak/>
        <w:t>ii)</w:t>
      </w:r>
      <w:r>
        <w:rPr>
          <w:rFonts w:cstheme="minorHAnsi"/>
          <w:b/>
          <w:lang w:val="fr-FR"/>
        </w:rPr>
        <w:tab/>
      </w:r>
      <w:r w:rsidR="00AD7443" w:rsidRPr="00BA4F7E">
        <w:rPr>
          <w:rFonts w:cstheme="minorHAnsi"/>
          <w:b/>
          <w:lang w:val="fr-FR"/>
        </w:rPr>
        <w:t>invite les Parties intéressées à soumettre leurs amendements au document SC64 Doc.11, par écrit, au Secrétariat</w:t>
      </w:r>
      <w:r>
        <w:rPr>
          <w:rFonts w:cstheme="minorHAnsi"/>
          <w:b/>
          <w:lang w:val="fr-FR"/>
        </w:rPr>
        <w:t>,</w:t>
      </w:r>
      <w:r w:rsidR="00AD7443" w:rsidRPr="00BA4F7E">
        <w:rPr>
          <w:rFonts w:cstheme="minorHAnsi"/>
          <w:b/>
          <w:lang w:val="fr-FR"/>
        </w:rPr>
        <w:t xml:space="preserve"> avant 13.00 CET, le 24 janvier ;</w:t>
      </w:r>
    </w:p>
    <w:p w14:paraId="6960C79D" w14:textId="77777777" w:rsidR="00BA4F7E" w:rsidRPr="00BA4F7E" w:rsidRDefault="00BA4F7E" w:rsidP="00BA4F7E">
      <w:pPr>
        <w:ind w:left="567" w:hanging="567"/>
        <w:rPr>
          <w:lang w:val="fr-FR"/>
        </w:rPr>
      </w:pPr>
    </w:p>
    <w:p w14:paraId="2889F35F" w14:textId="71BCF064" w:rsidR="00AD7443" w:rsidRPr="00CD079F" w:rsidRDefault="00CD079F" w:rsidP="00CD079F">
      <w:pPr>
        <w:tabs>
          <w:tab w:val="left" w:pos="567"/>
        </w:tabs>
        <w:spacing w:after="0" w:line="240" w:lineRule="auto"/>
        <w:ind w:left="567" w:hanging="567"/>
        <w:rPr>
          <w:rFonts w:eastAsia="Calibri" w:cstheme="minorHAnsi"/>
          <w:b/>
          <w:bCs/>
          <w:lang w:val="fr-FR"/>
        </w:rPr>
      </w:pPr>
      <w:r w:rsidRPr="00CD079F">
        <w:rPr>
          <w:rFonts w:eastAsia="Calibri" w:cstheme="minorHAnsi"/>
          <w:b/>
          <w:bCs/>
          <w:lang w:val="fr-FR"/>
        </w:rPr>
        <w:t>iii)</w:t>
      </w:r>
      <w:r>
        <w:rPr>
          <w:rFonts w:eastAsia="Calibri" w:cstheme="minorHAnsi"/>
          <w:b/>
          <w:bCs/>
          <w:lang w:val="fr-FR"/>
        </w:rPr>
        <w:tab/>
      </w:r>
      <w:r w:rsidR="00AD7443" w:rsidRPr="00CD079F">
        <w:rPr>
          <w:rFonts w:eastAsia="Calibri" w:cstheme="minorHAnsi"/>
          <w:b/>
          <w:bCs/>
          <w:lang w:val="fr-FR"/>
        </w:rPr>
        <w:t>demande aux Coprésidents du Groupe de travail sur le Plan stratégique, avec les commentaires reçus par le Secrétariat, de préparer un document révisé comprenant</w:t>
      </w:r>
      <w:r w:rsidR="00AD7443" w:rsidRPr="00CD079F">
        <w:rPr>
          <w:lang w:val="fr-FR"/>
        </w:rPr>
        <w:t xml:space="preserve"> </w:t>
      </w:r>
      <w:r w:rsidR="00AD7443" w:rsidRPr="00CD079F">
        <w:rPr>
          <w:rFonts w:eastAsia="Calibri" w:cstheme="minorHAnsi"/>
          <w:b/>
          <w:bCs/>
          <w:lang w:val="fr-FR"/>
        </w:rPr>
        <w:t>tout nouvel amendement entre crochets ; et</w:t>
      </w:r>
    </w:p>
    <w:p w14:paraId="66D10777" w14:textId="77777777" w:rsidR="00CD079F" w:rsidRPr="00CD079F" w:rsidRDefault="00CD079F" w:rsidP="00CD079F">
      <w:pPr>
        <w:ind w:left="567" w:hanging="567"/>
        <w:rPr>
          <w:lang w:val="fr-FR"/>
        </w:rPr>
      </w:pPr>
    </w:p>
    <w:p w14:paraId="4F4A569B" w14:textId="77777777" w:rsidR="00AD7443" w:rsidRPr="00EB209A" w:rsidRDefault="00AD7443" w:rsidP="00A302C8">
      <w:pPr>
        <w:tabs>
          <w:tab w:val="left" w:pos="567"/>
        </w:tabs>
        <w:spacing w:after="0" w:line="240" w:lineRule="auto"/>
        <w:ind w:left="567" w:hanging="567"/>
        <w:rPr>
          <w:rFonts w:cstheme="minorHAnsi"/>
          <w:b/>
          <w:lang w:val="fr-FR"/>
        </w:rPr>
      </w:pPr>
      <w:r>
        <w:rPr>
          <w:rFonts w:eastAsia="Calibri" w:cstheme="minorHAnsi"/>
          <w:b/>
          <w:bCs/>
          <w:lang w:val="fr-FR"/>
        </w:rPr>
        <w:t>iv)</w:t>
      </w:r>
      <w:r w:rsidRPr="00B90F0F">
        <w:rPr>
          <w:rFonts w:eastAsia="Calibri" w:cstheme="minorHAnsi"/>
          <w:b/>
          <w:bCs/>
          <w:lang w:val="fr-FR"/>
        </w:rPr>
        <w:tab/>
      </w:r>
      <w:r>
        <w:rPr>
          <w:rFonts w:eastAsia="Calibri" w:cstheme="minorHAnsi"/>
          <w:b/>
          <w:bCs/>
          <w:lang w:val="fr-FR"/>
        </w:rPr>
        <w:t>donne instruction au</w:t>
      </w:r>
      <w:r w:rsidRPr="00B90F0F">
        <w:rPr>
          <w:rFonts w:eastAsia="Calibri" w:cstheme="minorHAnsi"/>
          <w:b/>
          <w:bCs/>
          <w:lang w:val="fr-FR"/>
        </w:rPr>
        <w:t xml:space="preserve"> Secrétariat </w:t>
      </w:r>
      <w:r>
        <w:rPr>
          <w:rFonts w:eastAsia="Calibri" w:cstheme="minorHAnsi"/>
          <w:b/>
          <w:bCs/>
          <w:lang w:val="fr-FR"/>
        </w:rPr>
        <w:t>de publier le document révisé sur le site Web de la Convention et de le communiquer à la</w:t>
      </w:r>
      <w:r w:rsidRPr="00B90F0F">
        <w:rPr>
          <w:rFonts w:eastAsia="Calibri" w:cstheme="minorHAnsi"/>
          <w:b/>
          <w:bCs/>
          <w:lang w:val="fr-FR"/>
        </w:rPr>
        <w:t xml:space="preserve"> COP15 </w:t>
      </w:r>
      <w:r>
        <w:rPr>
          <w:rFonts w:cstheme="minorHAnsi"/>
          <w:b/>
          <w:lang w:val="fr-FR"/>
        </w:rPr>
        <w:t xml:space="preserve">pour examen. </w:t>
      </w:r>
      <w:r w:rsidRPr="00EB209A">
        <w:rPr>
          <w:rFonts w:cstheme="minorHAnsi"/>
          <w:b/>
          <w:lang w:val="fr-FR"/>
        </w:rPr>
        <w:t xml:space="preserve"> </w:t>
      </w:r>
    </w:p>
    <w:p w14:paraId="29415DCA" w14:textId="77777777" w:rsidR="00AD7443" w:rsidRPr="00EB209A" w:rsidRDefault="00AD7443" w:rsidP="00A302C8">
      <w:pPr>
        <w:spacing w:after="0" w:line="240" w:lineRule="auto"/>
        <w:ind w:left="567" w:hanging="567"/>
        <w:rPr>
          <w:rFonts w:cstheme="minorHAnsi"/>
          <w:bCs/>
          <w:lang w:val="fr-FR"/>
        </w:rPr>
      </w:pPr>
    </w:p>
    <w:p w14:paraId="4BB7C814" w14:textId="05171712" w:rsidR="00AD7443" w:rsidRPr="00EB209A"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B209A">
        <w:rPr>
          <w:rFonts w:cstheme="minorHAnsi"/>
          <w:bCs/>
          <w:lang w:val="fr-FR"/>
        </w:rPr>
        <w:t xml:space="preserve">Point 26 de l’ordre du jour : Rapport du Groupe de travail sur la mise à jour des </w:t>
      </w:r>
      <w:r w:rsidRPr="00362303">
        <w:rPr>
          <w:rFonts w:cstheme="minorHAnsi"/>
          <w:bCs/>
          <w:lang w:val="fr-FR"/>
        </w:rPr>
        <w:t>FDR</w:t>
      </w:r>
    </w:p>
    <w:p w14:paraId="625A3C66" w14:textId="77777777" w:rsidR="00AD7443" w:rsidRPr="001660E8" w:rsidRDefault="00AD7443" w:rsidP="00A302C8">
      <w:pPr>
        <w:spacing w:after="0" w:line="240" w:lineRule="auto"/>
        <w:contextualSpacing/>
        <w:rPr>
          <w:rFonts w:cstheme="minorHAnsi"/>
          <w:bCs/>
          <w:lang w:val="fr-FR"/>
        </w:rPr>
      </w:pPr>
    </w:p>
    <w:p w14:paraId="3ACC06A6" w14:textId="77777777" w:rsidR="00AD7443" w:rsidRDefault="00AD7443" w:rsidP="00A302C8">
      <w:pPr>
        <w:spacing w:after="0" w:line="240" w:lineRule="auto"/>
        <w:rPr>
          <w:rFonts w:cstheme="minorHAnsi"/>
          <w:b/>
          <w:lang w:val="fr-FR"/>
        </w:rPr>
      </w:pPr>
      <w:r w:rsidRPr="001660E8">
        <w:rPr>
          <w:rFonts w:cstheme="minorHAnsi"/>
          <w:b/>
          <w:lang w:val="fr-FR"/>
        </w:rPr>
        <w:t>Décision SC64-31 : Le Comité permanent :</w:t>
      </w:r>
    </w:p>
    <w:p w14:paraId="543B3411" w14:textId="77777777" w:rsidR="00973E1E" w:rsidRPr="001660E8" w:rsidRDefault="00973E1E" w:rsidP="00A302C8">
      <w:pPr>
        <w:spacing w:after="0" w:line="240" w:lineRule="auto"/>
        <w:rPr>
          <w:rFonts w:cstheme="minorHAnsi"/>
          <w:b/>
          <w:lang w:val="fr-FR"/>
        </w:rPr>
      </w:pPr>
    </w:p>
    <w:p w14:paraId="4027CFDE" w14:textId="7E4954A7" w:rsidR="00AD7443" w:rsidRDefault="00AD7443" w:rsidP="00A302C8">
      <w:pPr>
        <w:spacing w:after="0" w:line="240" w:lineRule="auto"/>
        <w:ind w:left="567" w:hanging="567"/>
        <w:rPr>
          <w:rFonts w:cstheme="minorHAnsi"/>
          <w:b/>
          <w:lang w:val="fr-FR"/>
        </w:rPr>
      </w:pPr>
      <w:r w:rsidRPr="001660E8">
        <w:rPr>
          <w:rFonts w:cstheme="minorHAnsi"/>
          <w:b/>
          <w:lang w:val="fr-FR"/>
        </w:rPr>
        <w:t>i</w:t>
      </w:r>
      <w:r>
        <w:rPr>
          <w:rFonts w:cstheme="minorHAnsi"/>
          <w:b/>
          <w:lang w:val="fr-FR"/>
        </w:rPr>
        <w:t>)</w:t>
      </w:r>
      <w:r w:rsidRPr="001660E8">
        <w:rPr>
          <w:rFonts w:cstheme="minorHAnsi"/>
          <w:b/>
          <w:lang w:val="fr-FR"/>
        </w:rPr>
        <w:tab/>
      </w:r>
      <w:r>
        <w:rPr>
          <w:rFonts w:cstheme="minorHAnsi"/>
          <w:b/>
          <w:lang w:val="fr-FR"/>
        </w:rPr>
        <w:t>prend note du rapport de situation sur les travaux du Groupe de travail sur la mise à jour des Fiches descriptives Ramsar (FDR), établi à la 63</w:t>
      </w:r>
      <w:r w:rsidRPr="009E408A">
        <w:rPr>
          <w:rFonts w:cstheme="minorHAnsi"/>
          <w:b/>
          <w:vertAlign w:val="superscript"/>
          <w:lang w:val="fr-FR"/>
        </w:rPr>
        <w:t>e</w:t>
      </w:r>
      <w:r>
        <w:rPr>
          <w:rFonts w:cstheme="minorHAnsi"/>
          <w:b/>
          <w:lang w:val="fr-FR"/>
        </w:rPr>
        <w:t> Réunion du Comité permanent ;</w:t>
      </w:r>
      <w:r w:rsidR="00973E1E">
        <w:rPr>
          <w:rFonts w:cstheme="minorHAnsi"/>
          <w:b/>
          <w:lang w:val="fr-FR"/>
        </w:rPr>
        <w:t xml:space="preserve"> </w:t>
      </w:r>
    </w:p>
    <w:p w14:paraId="110F5A7E" w14:textId="77777777" w:rsidR="00973E1E" w:rsidRPr="001660E8" w:rsidRDefault="00973E1E" w:rsidP="00A302C8">
      <w:pPr>
        <w:spacing w:after="0" w:line="240" w:lineRule="auto"/>
        <w:ind w:left="567" w:hanging="567"/>
        <w:rPr>
          <w:rFonts w:cstheme="minorHAnsi"/>
          <w:b/>
          <w:lang w:val="fr-FR"/>
        </w:rPr>
      </w:pPr>
    </w:p>
    <w:p w14:paraId="23E48754" w14:textId="276AA351" w:rsidR="00973E1E" w:rsidRPr="00362303" w:rsidRDefault="00973E1E" w:rsidP="00973E1E">
      <w:pPr>
        <w:spacing w:after="0" w:line="240" w:lineRule="auto"/>
        <w:ind w:left="567" w:hanging="567"/>
        <w:rPr>
          <w:rFonts w:cstheme="minorHAnsi"/>
          <w:b/>
          <w:lang w:val="fr-FR"/>
        </w:rPr>
      </w:pPr>
      <w:r w:rsidRPr="00973E1E">
        <w:rPr>
          <w:rFonts w:cstheme="minorHAnsi"/>
          <w:b/>
          <w:lang w:val="fr-FR"/>
        </w:rPr>
        <w:t>ii)</w:t>
      </w:r>
      <w:r>
        <w:rPr>
          <w:rFonts w:cstheme="minorHAnsi"/>
          <w:b/>
          <w:lang w:val="fr-FR"/>
        </w:rPr>
        <w:tab/>
      </w:r>
      <w:r w:rsidR="00AD7443" w:rsidRPr="00973E1E">
        <w:rPr>
          <w:rFonts w:cstheme="minorHAnsi"/>
          <w:b/>
          <w:lang w:val="fr-FR"/>
        </w:rPr>
        <w:t>donne instruction au Secrétariat de mettre à jour ses procédures opérationnelles normalisées pour l’examen des FDR, en tenant compte des commentaires des membres du Groupe de travail, comme indiqué dans les paragraphes 12 et 13</w:t>
      </w:r>
      <w:r>
        <w:rPr>
          <w:rFonts w:cstheme="minorHAnsi"/>
          <w:b/>
          <w:color w:val="FF0000"/>
          <w:lang w:val="fr-FR"/>
        </w:rPr>
        <w:t xml:space="preserve"> </w:t>
      </w:r>
      <w:r w:rsidRPr="00362303">
        <w:rPr>
          <w:rFonts w:cstheme="minorHAnsi"/>
          <w:b/>
          <w:lang w:val="fr-FR"/>
        </w:rPr>
        <w:t>du document SC64 Doc.26 Rev.2</w:t>
      </w:r>
      <w:r w:rsidR="00AD7443" w:rsidRPr="00362303">
        <w:rPr>
          <w:rFonts w:cstheme="minorHAnsi"/>
          <w:b/>
          <w:lang w:val="fr-FR"/>
        </w:rPr>
        <w:t> ;</w:t>
      </w:r>
    </w:p>
    <w:p w14:paraId="525E4F04" w14:textId="4823E3BC" w:rsidR="00AD7443" w:rsidRPr="00362303" w:rsidRDefault="00AD7443" w:rsidP="00973E1E">
      <w:pPr>
        <w:ind w:left="567" w:hanging="567"/>
        <w:rPr>
          <w:lang w:val="fr-FR"/>
        </w:rPr>
      </w:pPr>
      <w:r w:rsidRPr="00362303">
        <w:rPr>
          <w:lang w:val="fr-FR"/>
        </w:rPr>
        <w:t xml:space="preserve"> </w:t>
      </w:r>
    </w:p>
    <w:p w14:paraId="1813EFD4" w14:textId="6AF78559" w:rsidR="00973E1E" w:rsidRPr="00973E1E" w:rsidRDefault="00973E1E" w:rsidP="00973E1E">
      <w:pPr>
        <w:spacing w:after="0" w:line="240" w:lineRule="auto"/>
        <w:ind w:left="567" w:hanging="567"/>
        <w:rPr>
          <w:rFonts w:cstheme="minorHAnsi"/>
          <w:b/>
          <w:lang w:val="fr-FR"/>
        </w:rPr>
      </w:pPr>
      <w:r w:rsidRPr="00973E1E">
        <w:rPr>
          <w:rFonts w:cstheme="minorHAnsi"/>
          <w:b/>
          <w:lang w:val="fr-FR"/>
        </w:rPr>
        <w:t>iii)</w:t>
      </w:r>
      <w:r>
        <w:rPr>
          <w:rFonts w:cstheme="minorHAnsi"/>
          <w:b/>
          <w:lang w:val="fr-FR"/>
        </w:rPr>
        <w:tab/>
      </w:r>
      <w:r w:rsidR="00AD7443" w:rsidRPr="00973E1E">
        <w:rPr>
          <w:rFonts w:cstheme="minorHAnsi"/>
          <w:b/>
          <w:lang w:val="fr-FR"/>
        </w:rPr>
        <w:t>donne instruction au Secrétariat d’élaborer un mécanisme de notification des Parties contractantes concernant les étapes importantes du processus de mise à jour des FDR, comme indiqué dans les paragraphes 16 et 17 du document SC64 Doc.26 Rev.2 ; et</w:t>
      </w:r>
    </w:p>
    <w:p w14:paraId="070A1E5B" w14:textId="2D3CFF1E" w:rsidR="00AD7443" w:rsidRPr="00973E1E" w:rsidRDefault="00AD7443" w:rsidP="00973E1E">
      <w:pPr>
        <w:ind w:left="567" w:hanging="567"/>
        <w:rPr>
          <w:lang w:val="fr-FR"/>
        </w:rPr>
      </w:pPr>
      <w:r w:rsidRPr="00973E1E">
        <w:rPr>
          <w:lang w:val="fr-FR"/>
        </w:rPr>
        <w:t xml:space="preserve"> </w:t>
      </w:r>
    </w:p>
    <w:p w14:paraId="2A3B2AA1" w14:textId="5FB4FB46" w:rsidR="00AD7443" w:rsidRPr="001660E8" w:rsidRDefault="00AD7443" w:rsidP="00A302C8">
      <w:pPr>
        <w:spacing w:after="0" w:line="240" w:lineRule="auto"/>
        <w:ind w:left="567" w:hanging="567"/>
        <w:rPr>
          <w:rFonts w:cstheme="minorHAnsi"/>
          <w:b/>
          <w:lang w:val="fr-FR"/>
        </w:rPr>
      </w:pPr>
      <w:r w:rsidRPr="001660E8">
        <w:rPr>
          <w:rFonts w:cstheme="minorHAnsi"/>
          <w:b/>
          <w:lang w:val="fr-FR"/>
        </w:rPr>
        <w:t>iv</w:t>
      </w:r>
      <w:r>
        <w:rPr>
          <w:rFonts w:cstheme="minorHAnsi"/>
          <w:b/>
          <w:lang w:val="fr-FR"/>
        </w:rPr>
        <w:t>)</w:t>
      </w:r>
      <w:r w:rsidRPr="001660E8">
        <w:rPr>
          <w:rFonts w:cstheme="minorHAnsi"/>
          <w:b/>
          <w:lang w:val="fr-FR"/>
        </w:rPr>
        <w:tab/>
        <w:t xml:space="preserve">donne instruction au Secrétariat </w:t>
      </w:r>
      <w:r>
        <w:rPr>
          <w:rFonts w:cstheme="minorHAnsi"/>
          <w:b/>
          <w:lang w:val="fr-FR"/>
        </w:rPr>
        <w:t xml:space="preserve">de soumettre </w:t>
      </w:r>
      <w:r w:rsidR="00973E1E">
        <w:rPr>
          <w:rFonts w:cstheme="minorHAnsi"/>
          <w:b/>
          <w:lang w:val="fr-FR"/>
        </w:rPr>
        <w:t xml:space="preserve">à la COP15, pour examen, </w:t>
      </w:r>
      <w:r>
        <w:rPr>
          <w:rFonts w:cstheme="minorHAnsi"/>
          <w:b/>
          <w:lang w:val="fr-FR"/>
        </w:rPr>
        <w:t xml:space="preserve">le projet de résolution qui figure dans le document </w:t>
      </w:r>
      <w:r w:rsidRPr="001660E8">
        <w:rPr>
          <w:rFonts w:cstheme="minorHAnsi"/>
          <w:b/>
          <w:lang w:val="fr-FR"/>
        </w:rPr>
        <w:t xml:space="preserve">SC64 Doc.26 Rev.2 </w:t>
      </w:r>
      <w:r>
        <w:rPr>
          <w:rFonts w:cstheme="minorHAnsi"/>
          <w:b/>
          <w:lang w:val="fr-FR"/>
        </w:rPr>
        <w:t>sur la mise à jour des FDR, avec tous les amendements proposés entre crochets.</w:t>
      </w:r>
    </w:p>
    <w:p w14:paraId="3ADF245A" w14:textId="77777777" w:rsidR="00AD7443" w:rsidRPr="00973E2C" w:rsidRDefault="00AD7443" w:rsidP="00A302C8">
      <w:pPr>
        <w:spacing w:after="0" w:line="240" w:lineRule="auto"/>
        <w:contextualSpacing/>
        <w:rPr>
          <w:rFonts w:cstheme="minorHAnsi"/>
          <w:bCs/>
          <w:lang w:val="fr-FR"/>
        </w:rPr>
      </w:pPr>
    </w:p>
    <w:p w14:paraId="1D825D93" w14:textId="52290D5C" w:rsidR="00AD7443" w:rsidRPr="00862ECE"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t xml:space="preserve">Point 29.4 de l’ordre du jour : </w:t>
      </w:r>
      <w:r w:rsidR="00A10DCF" w:rsidRPr="00362303">
        <w:rPr>
          <w:lang w:val="fr-FR"/>
        </w:rPr>
        <w:t>Proposition de projet de résolution sur la promotion de l’intégration des technologies d’avant-garde et des connaissances écologiques traditionnelles dans la conservation, la restauration, la gestion et l’utilisation rationnelle des zones humides</w:t>
      </w:r>
    </w:p>
    <w:p w14:paraId="03B7A627" w14:textId="77777777" w:rsidR="00AD7443" w:rsidRPr="00362303" w:rsidRDefault="00AD7443" w:rsidP="00A302C8">
      <w:pPr>
        <w:spacing w:after="0" w:line="240" w:lineRule="auto"/>
        <w:ind w:left="567" w:hanging="567"/>
        <w:rPr>
          <w:lang w:val="fr-FR"/>
        </w:rPr>
      </w:pPr>
    </w:p>
    <w:p w14:paraId="376DE8EE" w14:textId="6B16E19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SC64-32 : </w:t>
      </w:r>
      <w:bookmarkStart w:id="4" w:name="_Hlk187213681"/>
      <w:r w:rsidRPr="009E408A">
        <w:rPr>
          <w:rFonts w:cstheme="minorHAnsi"/>
          <w:b/>
          <w:lang w:val="fr-FR"/>
        </w:rPr>
        <w:t xml:space="preserve">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EA0814">
        <w:rPr>
          <w:rFonts w:cstheme="minorHAnsi"/>
          <w:b/>
          <w:lang w:val="fr-FR"/>
        </w:rPr>
        <w:t>,</w:t>
      </w:r>
      <w:r w:rsidR="009C1F39">
        <w:rPr>
          <w:rFonts w:cstheme="minorHAnsi"/>
          <w:b/>
          <w:lang w:val="fr-FR"/>
        </w:rPr>
        <w:t xml:space="preserve"> pour examen,</w:t>
      </w:r>
      <w:r w:rsidR="00011D36">
        <w:rPr>
          <w:rFonts w:cstheme="minorHAnsi"/>
          <w:b/>
          <w:lang w:val="fr-FR"/>
        </w:rPr>
        <w:t xml:space="preserve"> </w:t>
      </w:r>
      <w:r>
        <w:rPr>
          <w:rFonts w:cstheme="minorHAnsi"/>
          <w:b/>
          <w:lang w:val="fr-FR"/>
        </w:rPr>
        <w:t xml:space="preserve">le projet de résolution figurant dans le </w:t>
      </w:r>
      <w:r w:rsidRPr="009E408A">
        <w:rPr>
          <w:rFonts w:cstheme="minorHAnsi"/>
          <w:b/>
          <w:lang w:val="fr-FR"/>
        </w:rPr>
        <w:t xml:space="preserve">document SC64 Doc.29.4 Rev.2 </w:t>
      </w:r>
      <w:r>
        <w:rPr>
          <w:rFonts w:cstheme="minorHAnsi"/>
          <w:b/>
          <w:lang w:val="fr-FR"/>
        </w:rPr>
        <w:t>sur la promotion de l’intégration de nouvelles technologies et de connaissances traditionnelles dans la conservation, la restauration, la gestion et l’utilisation rationnelle des zones humides</w:t>
      </w:r>
      <w:r w:rsidR="009C1F39">
        <w:rPr>
          <w:rFonts w:cstheme="minorHAnsi"/>
          <w:b/>
          <w:lang w:val="fr-FR"/>
        </w:rPr>
        <w:t>,</w:t>
      </w:r>
      <w:r>
        <w:rPr>
          <w:rFonts w:cstheme="minorHAnsi"/>
          <w:b/>
          <w:lang w:val="fr-FR"/>
        </w:rPr>
        <w:t xml:space="preserve"> </w:t>
      </w:r>
      <w:r w:rsidR="009C1F39">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bookmarkEnd w:id="4"/>
    </w:p>
    <w:p w14:paraId="0E8DC63C" w14:textId="77777777" w:rsidR="00AD7443" w:rsidRPr="009E408A" w:rsidRDefault="00AD7443" w:rsidP="00A302C8">
      <w:pPr>
        <w:spacing w:after="0" w:line="240" w:lineRule="auto"/>
        <w:rPr>
          <w:lang w:val="fr-FR"/>
        </w:rPr>
      </w:pPr>
    </w:p>
    <w:p w14:paraId="66591768" w14:textId="77777777" w:rsidR="00011D36" w:rsidRPr="00362303" w:rsidRDefault="00AD7443"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9E408A">
        <w:rPr>
          <w:rFonts w:cstheme="minorHAnsi"/>
          <w:bCs/>
          <w:lang w:val="fr-FR"/>
        </w:rPr>
        <w:t xml:space="preserve">Point 29.5 de l’ordre du jour : </w:t>
      </w:r>
      <w:bookmarkStart w:id="5" w:name="_Hlk189232555"/>
      <w:r w:rsidR="00011D36" w:rsidRPr="00362303">
        <w:rPr>
          <w:rFonts w:cstheme="minorHAnsi"/>
          <w:bCs/>
          <w:lang w:val="fr-FR"/>
        </w:rPr>
        <w:t>Projet de résolution proposé sur la conservation équitable et</w:t>
      </w:r>
    </w:p>
    <w:p w14:paraId="6FFAA21E" w14:textId="16CAFA89" w:rsidR="00AD7443" w:rsidRPr="00362303" w:rsidRDefault="00011D36" w:rsidP="00011D36">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rFonts w:cstheme="minorHAnsi"/>
          <w:bCs/>
          <w:lang w:val="fr-FR"/>
        </w:rPr>
        <w:t>efficace des zones humides en tant qu’aires protégées et autres mesures de conservation efficaces par zone (AMCE)</w:t>
      </w:r>
      <w:bookmarkEnd w:id="5"/>
    </w:p>
    <w:p w14:paraId="649D3A77" w14:textId="77777777" w:rsidR="00AD7443" w:rsidRPr="009E408A" w:rsidRDefault="00AD7443" w:rsidP="00A302C8">
      <w:pPr>
        <w:spacing w:after="0" w:line="240" w:lineRule="auto"/>
        <w:ind w:left="567" w:hanging="567"/>
        <w:rPr>
          <w:lang w:val="fr-FR"/>
        </w:rPr>
      </w:pPr>
    </w:p>
    <w:p w14:paraId="7ED8C88F" w14:textId="05A7D084" w:rsidR="00AD7443" w:rsidRPr="009E408A" w:rsidRDefault="00AD7443" w:rsidP="00A302C8">
      <w:pPr>
        <w:spacing w:after="0" w:line="240" w:lineRule="auto"/>
        <w:rPr>
          <w:rFonts w:cstheme="minorHAnsi"/>
          <w:b/>
          <w:lang w:val="fr-FR"/>
        </w:rPr>
      </w:pPr>
      <w:r w:rsidRPr="009E408A">
        <w:rPr>
          <w:rFonts w:cstheme="minorHAnsi"/>
          <w:b/>
          <w:lang w:val="fr-FR"/>
        </w:rPr>
        <w:t xml:space="preserve">Décision SC64-33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 xml:space="preserve">à la </w:t>
      </w:r>
      <w:r w:rsidR="009C1F39" w:rsidRPr="009E408A">
        <w:rPr>
          <w:rFonts w:cstheme="minorHAnsi"/>
          <w:b/>
          <w:lang w:val="fr-FR"/>
        </w:rPr>
        <w:t>COP15</w:t>
      </w:r>
      <w:r w:rsidR="00011D36">
        <w:rPr>
          <w:rFonts w:cstheme="minorHAnsi"/>
          <w:b/>
          <w:lang w:val="fr-FR"/>
        </w:rPr>
        <w:t>,</w:t>
      </w:r>
      <w:r w:rsidR="009C1F39" w:rsidRPr="009E408A">
        <w:rPr>
          <w:rFonts w:cstheme="minorHAnsi"/>
          <w:b/>
          <w:lang w:val="fr-FR"/>
        </w:rPr>
        <w:t xml:space="preserve"> </w:t>
      </w:r>
      <w:r w:rsidR="009C1F39">
        <w:rPr>
          <w:rFonts w:cstheme="minorHAnsi"/>
          <w:b/>
          <w:lang w:val="fr-FR"/>
        </w:rPr>
        <w:t>pour examen,</w:t>
      </w:r>
      <w:r>
        <w:rPr>
          <w:rFonts w:cstheme="minorHAnsi"/>
          <w:b/>
          <w:lang w:val="fr-FR"/>
        </w:rPr>
        <w:t xml:space="preserve"> le projet de résolution figurant dans le </w:t>
      </w:r>
      <w:r w:rsidRPr="009E408A">
        <w:rPr>
          <w:rFonts w:cstheme="minorHAnsi"/>
          <w:b/>
          <w:lang w:val="fr-FR"/>
        </w:rPr>
        <w:t xml:space="preserve">document SC64 Doc.29.5 Rev.1 </w:t>
      </w:r>
      <w:r w:rsidRPr="008E6239">
        <w:rPr>
          <w:rFonts w:cstheme="minorHAnsi"/>
          <w:b/>
          <w:lang w:val="fr-FR"/>
        </w:rPr>
        <w:t xml:space="preserve">sur la </w:t>
      </w:r>
      <w:r>
        <w:rPr>
          <w:rFonts w:cstheme="minorHAnsi"/>
          <w:b/>
          <w:lang w:val="fr-FR"/>
        </w:rPr>
        <w:t>r</w:t>
      </w:r>
      <w:r w:rsidRPr="008E6239">
        <w:rPr>
          <w:rFonts w:cstheme="minorHAnsi"/>
          <w:b/>
          <w:lang w:val="fr-FR"/>
        </w:rPr>
        <w:t xml:space="preserve">éalisation d’une gouvernance équitable et d’une conservation efficace des zones humides en tant </w:t>
      </w:r>
      <w:r w:rsidRPr="008E6239">
        <w:rPr>
          <w:rFonts w:cstheme="minorHAnsi"/>
          <w:b/>
          <w:lang w:val="fr-FR"/>
        </w:rPr>
        <w:lastRenderedPageBreak/>
        <w:t>qu’aires protégées et autres mesures de conservation efficaces par zone</w:t>
      </w:r>
      <w:r>
        <w:rPr>
          <w:rFonts w:cstheme="minorHAnsi"/>
          <w:b/>
          <w:lang w:val="fr-FR"/>
        </w:rPr>
        <w:t xml:space="preserve">, </w:t>
      </w:r>
      <w:r w:rsidR="00011D36">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 </w:t>
      </w:r>
    </w:p>
    <w:p w14:paraId="5D931447" w14:textId="77777777" w:rsidR="00AD7443" w:rsidRPr="009E408A" w:rsidRDefault="00AD7443" w:rsidP="00A302C8">
      <w:pPr>
        <w:spacing w:after="0" w:line="240" w:lineRule="auto"/>
        <w:ind w:left="720" w:hanging="720"/>
        <w:rPr>
          <w:lang w:val="fr-FR"/>
        </w:rPr>
      </w:pPr>
    </w:p>
    <w:p w14:paraId="580813EF" w14:textId="77777777" w:rsidR="007534E1" w:rsidRPr="00362303" w:rsidRDefault="00AD7443" w:rsidP="007534E1">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9E408A">
        <w:rPr>
          <w:rFonts w:cstheme="minorHAnsi"/>
          <w:bCs/>
          <w:lang w:val="fr-FR"/>
        </w:rPr>
        <w:t xml:space="preserve">Point 29.2 de l’ordre du jour : </w:t>
      </w:r>
      <w:r w:rsidR="007534E1" w:rsidRPr="00362303">
        <w:rPr>
          <w:lang w:val="fr-FR"/>
        </w:rPr>
        <w:t>Proposition de projet de résolution sur la restauration des</w:t>
      </w:r>
    </w:p>
    <w:p w14:paraId="6E7DCB38" w14:textId="043B3B88" w:rsidR="00AD7443" w:rsidRPr="00362303" w:rsidRDefault="007534E1" w:rsidP="007534E1">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62303">
        <w:rPr>
          <w:lang w:val="fr-FR"/>
        </w:rPr>
        <w:t>écosystèmes d’eau douce dégradés afin de préserver les caractéristiques écologiques, la biodiversité et les services écosystémiques [et le Défi de l’eau douce]</w:t>
      </w:r>
    </w:p>
    <w:p w14:paraId="6DF88153" w14:textId="77777777" w:rsidR="00AD7443" w:rsidRPr="00BD32DC" w:rsidRDefault="00AD7443" w:rsidP="00A302C8">
      <w:pPr>
        <w:spacing w:after="0" w:line="240" w:lineRule="auto"/>
        <w:ind w:left="567" w:hanging="567"/>
        <w:rPr>
          <w:lang w:val="fr-FR"/>
        </w:rPr>
      </w:pPr>
    </w:p>
    <w:p w14:paraId="71862E2F" w14:textId="58F79C2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SC64-34 : Le Comité permanent donne instruction au Secrétariat </w:t>
      </w:r>
      <w:r>
        <w:rPr>
          <w:rFonts w:cstheme="minorHAnsi"/>
          <w:b/>
          <w:lang w:val="fr-FR"/>
        </w:rPr>
        <w:t>de soumettre</w:t>
      </w:r>
      <w:r w:rsidR="009C1F39">
        <w:rPr>
          <w:rFonts w:cstheme="minorHAnsi"/>
          <w:b/>
          <w:lang w:val="fr-FR"/>
        </w:rPr>
        <w:t xml:space="preserve"> à la COP15</w:t>
      </w:r>
      <w:r w:rsidR="007534E1">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 xml:space="preserve">document SC64 Doc.29.2 Rev.1 </w:t>
      </w:r>
      <w:r>
        <w:rPr>
          <w:rFonts w:cstheme="minorHAnsi"/>
          <w:b/>
          <w:lang w:val="fr-FR"/>
        </w:rPr>
        <w:t xml:space="preserve">sur la restauration des écosystèmes d’eau douce dégradés afin de préserver les caractéristiques écologiques, la biodiversité et les services écosystémiques, </w:t>
      </w:r>
      <w:r w:rsidR="007534E1">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43A6A39B" w14:textId="77777777" w:rsidR="00AD7443" w:rsidRPr="00BD32DC" w:rsidRDefault="00AD7443" w:rsidP="00A302C8">
      <w:pPr>
        <w:spacing w:after="0" w:line="240" w:lineRule="auto"/>
        <w:rPr>
          <w:rFonts w:eastAsia="Aptos" w:cstheme="minorHAnsi"/>
          <w:b/>
          <w:lang w:val="fr-FR"/>
        </w:rPr>
      </w:pPr>
    </w:p>
    <w:p w14:paraId="6ADF45C0" w14:textId="6D99DB4A"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Point 29.8 de l’ordre du jour : Réalisation du potentiel et intégration de la jeunesse : favoriser la mobilisation des jeunes et la longévité de la Convention sur les zones humides</w:t>
      </w:r>
    </w:p>
    <w:p w14:paraId="4DF0A0F8" w14:textId="77777777" w:rsidR="00AD7443" w:rsidRPr="00BD32DC" w:rsidRDefault="00AD7443" w:rsidP="00A302C8">
      <w:pPr>
        <w:spacing w:after="0" w:line="240" w:lineRule="auto"/>
        <w:ind w:left="567" w:hanging="567"/>
        <w:rPr>
          <w:lang w:val="fr-FR"/>
        </w:rPr>
      </w:pPr>
    </w:p>
    <w:p w14:paraId="235C3086" w14:textId="495BD965" w:rsidR="00AD7443" w:rsidRPr="00BD32DC" w:rsidRDefault="00AD7443" w:rsidP="00A302C8">
      <w:pPr>
        <w:spacing w:after="0" w:line="240" w:lineRule="auto"/>
        <w:rPr>
          <w:rFonts w:cstheme="minorHAnsi"/>
          <w:b/>
          <w:lang w:val="fr-FR"/>
        </w:rPr>
      </w:pPr>
      <w:r w:rsidRPr="00BD32DC">
        <w:rPr>
          <w:rFonts w:cstheme="minorHAnsi"/>
          <w:b/>
          <w:lang w:val="fr-FR"/>
        </w:rPr>
        <w:t>Décision SC64-35</w:t>
      </w:r>
      <w:r>
        <w:rPr>
          <w:rFonts w:cstheme="minorHAnsi"/>
          <w:b/>
          <w:lang w:val="fr-FR"/>
        </w:rPr>
        <w:t> </w:t>
      </w:r>
      <w:r w:rsidRPr="00BD32DC">
        <w:rPr>
          <w:rFonts w:cstheme="minorHAnsi"/>
          <w:b/>
          <w:lang w:val="fr-FR"/>
        </w:rPr>
        <w:t xml:space="preserve">: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4B4AAC">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BD32DC">
        <w:rPr>
          <w:rFonts w:cstheme="minorHAnsi"/>
          <w:b/>
          <w:lang w:val="fr-FR"/>
        </w:rPr>
        <w:t>document SC64 Doc.29.</w:t>
      </w:r>
      <w:r w:rsidR="008639E9">
        <w:rPr>
          <w:rFonts w:cstheme="minorHAnsi"/>
          <w:b/>
          <w:lang w:val="fr-FR"/>
        </w:rPr>
        <w:t>8</w:t>
      </w:r>
      <w:r w:rsidRPr="00BD32DC">
        <w:rPr>
          <w:rFonts w:cstheme="minorHAnsi"/>
          <w:b/>
          <w:lang w:val="fr-FR"/>
        </w:rPr>
        <w:t xml:space="preserve"> Rev.1 </w:t>
      </w:r>
      <w:r>
        <w:rPr>
          <w:rFonts w:cstheme="minorHAnsi"/>
          <w:b/>
          <w:lang w:val="fr-FR"/>
        </w:rPr>
        <w:t xml:space="preserve">sur la réalisation du potentiel et l’intégration de la jeunesse : favoriser la mobilisation des jeunes et la longévité de la Convention sur les zones humides, </w:t>
      </w:r>
      <w:r w:rsidR="004B4AAC">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22BE43C5" w14:textId="77777777" w:rsidR="00AD7443" w:rsidRPr="00BD32DC" w:rsidRDefault="00AD7443" w:rsidP="00A302C8">
      <w:pPr>
        <w:spacing w:after="0" w:line="240" w:lineRule="auto"/>
        <w:rPr>
          <w:rFonts w:eastAsia="Aptos" w:cstheme="minorHAnsi"/>
          <w:b/>
          <w:lang w:val="fr-FR"/>
        </w:rPr>
      </w:pPr>
    </w:p>
    <w:p w14:paraId="783AB428" w14:textId="703751AD"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 xml:space="preserve">Point 29.1 de l’ordre du jour : </w:t>
      </w:r>
      <w:r w:rsidR="00A208CF" w:rsidRPr="00DF7C10">
        <w:rPr>
          <w:lang w:val="fr-FR"/>
        </w:rPr>
        <w:t>Proposition de projet de résolution sur le renforcement de l’action en matière de culture et de zones humides</w:t>
      </w:r>
    </w:p>
    <w:p w14:paraId="629AA59F" w14:textId="77777777" w:rsidR="00AD7443" w:rsidRPr="00BD32DC" w:rsidRDefault="00AD7443" w:rsidP="00A302C8">
      <w:pPr>
        <w:spacing w:after="0" w:line="240" w:lineRule="auto"/>
        <w:ind w:left="567" w:hanging="567"/>
        <w:rPr>
          <w:lang w:val="fr-FR"/>
        </w:rPr>
      </w:pPr>
    </w:p>
    <w:p w14:paraId="61D0B467" w14:textId="65323174"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SC64-36 : Le Comité permanent donne instruction au Secrétariat </w:t>
      </w:r>
      <w:r>
        <w:rPr>
          <w:rFonts w:cstheme="minorHAnsi"/>
          <w:b/>
          <w:lang w:val="fr-FR"/>
        </w:rPr>
        <w:t xml:space="preserve">de soumettre </w:t>
      </w:r>
      <w:r w:rsidR="00A208CF">
        <w:rPr>
          <w:rFonts w:cstheme="minorHAnsi"/>
          <w:b/>
          <w:lang w:val="fr-FR"/>
        </w:rPr>
        <w:t xml:space="preserve">à la COP15, pour examen, </w:t>
      </w:r>
      <w:r>
        <w:rPr>
          <w:rFonts w:cstheme="minorHAnsi"/>
          <w:b/>
          <w:lang w:val="fr-FR"/>
        </w:rPr>
        <w:t xml:space="preserve">le projet de résolution du </w:t>
      </w:r>
      <w:r w:rsidRPr="00BD32DC">
        <w:rPr>
          <w:rFonts w:cstheme="minorHAnsi"/>
          <w:b/>
          <w:lang w:val="fr-FR"/>
        </w:rPr>
        <w:t xml:space="preserve">document SC64 Doc.29.1 Rev.1 </w:t>
      </w:r>
      <w:r>
        <w:rPr>
          <w:rFonts w:cstheme="minorHAnsi"/>
          <w:b/>
          <w:lang w:val="fr-FR"/>
        </w:rPr>
        <w:t>sur le renforcement de l’action en matière de culture et de zones humides.</w:t>
      </w:r>
    </w:p>
    <w:p w14:paraId="1EA5C5FC" w14:textId="77777777" w:rsidR="00AD7443" w:rsidRPr="00BD32DC" w:rsidRDefault="00AD7443" w:rsidP="00A302C8">
      <w:pPr>
        <w:spacing w:after="0" w:line="240" w:lineRule="auto"/>
        <w:rPr>
          <w:rFonts w:eastAsia="Aptos" w:cstheme="minorHAnsi"/>
          <w:b/>
          <w:lang w:val="fr-FR"/>
        </w:rPr>
      </w:pPr>
    </w:p>
    <w:p w14:paraId="58A923F8" w14:textId="1B652B84" w:rsidR="00AD7443" w:rsidRPr="00BD32DC"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BD32DC">
        <w:rPr>
          <w:rFonts w:cstheme="minorHAnsi"/>
          <w:bCs/>
          <w:lang w:val="fr-FR"/>
        </w:rPr>
        <w:t xml:space="preserve">Point 29.9 de l’ordre du jour : </w:t>
      </w:r>
      <w:r w:rsidR="00A208CF" w:rsidRPr="00DF7C10">
        <w:rPr>
          <w:lang w:val="fr-FR"/>
        </w:rPr>
        <w:t>Proposition de projet de résolution sur la promotion des modes de vie durables au service de l’utilisation rationnelle des zones humides</w:t>
      </w:r>
    </w:p>
    <w:p w14:paraId="4607E55B" w14:textId="77777777" w:rsidR="00AD7443" w:rsidRPr="00BD32DC" w:rsidRDefault="00AD7443" w:rsidP="00A302C8">
      <w:pPr>
        <w:spacing w:after="0" w:line="240" w:lineRule="auto"/>
        <w:ind w:left="567" w:hanging="567"/>
        <w:rPr>
          <w:lang w:val="fr-FR"/>
        </w:rPr>
      </w:pPr>
    </w:p>
    <w:p w14:paraId="37F6C0C8" w14:textId="6BACD893" w:rsidR="00AD7443" w:rsidRPr="00BD32DC" w:rsidRDefault="00AD7443" w:rsidP="00A302C8">
      <w:pPr>
        <w:spacing w:after="0" w:line="240" w:lineRule="auto"/>
        <w:rPr>
          <w:rFonts w:cstheme="minorHAnsi"/>
          <w:b/>
          <w:lang w:val="fr-FR"/>
        </w:rPr>
      </w:pPr>
      <w:r w:rsidRPr="00BD32DC">
        <w:rPr>
          <w:rFonts w:cstheme="minorHAnsi"/>
          <w:b/>
          <w:lang w:val="fr-FR"/>
        </w:rPr>
        <w:t xml:space="preserve">Décision SC64-37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document </w:t>
      </w:r>
      <w:r w:rsidRPr="00BD32DC">
        <w:rPr>
          <w:rFonts w:cstheme="minorHAnsi"/>
          <w:b/>
          <w:lang w:val="fr-FR"/>
        </w:rPr>
        <w:t>SC64 Doc.29.</w:t>
      </w:r>
      <w:r w:rsidR="008639E9">
        <w:rPr>
          <w:rFonts w:cstheme="minorHAnsi"/>
          <w:b/>
          <w:lang w:val="fr-FR"/>
        </w:rPr>
        <w:t>9</w:t>
      </w:r>
      <w:r w:rsidRPr="00BD32DC">
        <w:rPr>
          <w:rFonts w:cstheme="minorHAnsi"/>
          <w:b/>
          <w:lang w:val="fr-FR"/>
        </w:rPr>
        <w:t xml:space="preserve"> Rev.1 </w:t>
      </w:r>
      <w:r>
        <w:rPr>
          <w:rFonts w:cstheme="minorHAnsi"/>
          <w:b/>
          <w:lang w:val="fr-FR"/>
        </w:rPr>
        <w:t xml:space="preserve">sur la promotion des modes de vie durables au service de l’utilisation rationnelle des zones humides,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104E81A4" w14:textId="77777777" w:rsidR="00AD7443" w:rsidRPr="00973E2C" w:rsidRDefault="00AD7443" w:rsidP="00A302C8">
      <w:pPr>
        <w:spacing w:after="0" w:line="240" w:lineRule="auto"/>
        <w:rPr>
          <w:rFonts w:eastAsia="Aptos" w:cstheme="minorHAnsi"/>
          <w:b/>
          <w:lang w:val="fr-FR"/>
        </w:rPr>
      </w:pPr>
    </w:p>
    <w:p w14:paraId="2ED020E9" w14:textId="26CB2065" w:rsidR="00AD7443" w:rsidRPr="00DF7C10"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862ECE">
        <w:rPr>
          <w:rFonts w:cstheme="minorHAnsi"/>
          <w:bCs/>
          <w:lang w:val="fr-FR"/>
        </w:rPr>
        <w:t xml:space="preserve">Point 29.11 de l’ordre du jour : </w:t>
      </w:r>
      <w:r w:rsidR="00A208CF" w:rsidRPr="00DF7C10">
        <w:rPr>
          <w:rFonts w:cstheme="minorHAnsi"/>
          <w:bCs/>
          <w:lang w:val="fr-FR"/>
        </w:rPr>
        <w:t>Projet de résolution proposé sur l’éducation et la participation comme piliers de la gestion des zones humides urbaines et périurbaines</w:t>
      </w:r>
    </w:p>
    <w:p w14:paraId="3753901A" w14:textId="77777777" w:rsidR="00AD7443" w:rsidRPr="00D03619" w:rsidRDefault="00AD7443" w:rsidP="00A302C8">
      <w:pPr>
        <w:spacing w:after="0" w:line="240" w:lineRule="auto"/>
        <w:ind w:left="567" w:hanging="567"/>
        <w:rPr>
          <w:lang w:val="fr-FR"/>
        </w:rPr>
      </w:pPr>
    </w:p>
    <w:p w14:paraId="1BCC05D9" w14:textId="50EC9E12" w:rsidR="00AD7443" w:rsidRDefault="00AD7443" w:rsidP="00A302C8">
      <w:pPr>
        <w:spacing w:after="0" w:line="240" w:lineRule="auto"/>
        <w:rPr>
          <w:rFonts w:cstheme="minorHAnsi"/>
          <w:b/>
          <w:lang w:val="fr-FR"/>
        </w:rPr>
      </w:pPr>
      <w:r w:rsidRPr="00D03619">
        <w:rPr>
          <w:rFonts w:cstheme="minorHAnsi"/>
          <w:b/>
          <w:lang w:val="fr-FR"/>
        </w:rPr>
        <w:t xml:space="preserve">Décision SC64-38 : Le Comité permanent donne instruction au Secrétariat </w:t>
      </w:r>
      <w:r>
        <w:rPr>
          <w:rFonts w:cstheme="minorHAnsi"/>
          <w:b/>
          <w:lang w:val="fr-FR"/>
        </w:rPr>
        <w:t>de soumettre</w:t>
      </w:r>
      <w:r w:rsidR="009C1F39" w:rsidRPr="009C1F39">
        <w:rPr>
          <w:rFonts w:cstheme="minorHAnsi"/>
          <w:b/>
          <w:lang w:val="fr-FR"/>
        </w:rPr>
        <w:t xml:space="preserve"> </w:t>
      </w:r>
      <w:r w:rsidR="009C1F39">
        <w:rPr>
          <w:rFonts w:cstheme="minorHAnsi"/>
          <w:b/>
          <w:lang w:val="fr-FR"/>
        </w:rPr>
        <w:t>à la COP15</w:t>
      </w:r>
      <w:r w:rsidR="00A208CF">
        <w:rPr>
          <w:rFonts w:cstheme="minorHAnsi"/>
          <w:b/>
          <w:lang w:val="fr-FR"/>
        </w:rPr>
        <w:t>,</w:t>
      </w:r>
      <w:r w:rsidR="009C1F39">
        <w:rPr>
          <w:rFonts w:cstheme="minorHAnsi"/>
          <w:b/>
          <w:lang w:val="fr-FR"/>
        </w:rPr>
        <w:t xml:space="preserve"> pour examen,</w:t>
      </w:r>
      <w:r>
        <w:rPr>
          <w:rFonts w:cstheme="minorHAnsi"/>
          <w:b/>
          <w:lang w:val="fr-FR"/>
        </w:rPr>
        <w:t xml:space="preserve"> le projet de résolution figurant dans le </w:t>
      </w:r>
      <w:r w:rsidRPr="00D03619">
        <w:rPr>
          <w:rFonts w:cstheme="minorHAnsi"/>
          <w:b/>
          <w:lang w:val="fr-FR"/>
        </w:rPr>
        <w:t xml:space="preserve">document SC64 Doc.29.11 Rev.1 </w:t>
      </w:r>
      <w:r>
        <w:rPr>
          <w:rFonts w:cstheme="minorHAnsi"/>
          <w:b/>
          <w:lang w:val="fr-FR"/>
        </w:rPr>
        <w:t xml:space="preserve">sur l’éducation et la participation comme piliers de la gestion des zones humides urbaines et périurbaines, </w:t>
      </w:r>
      <w:r w:rsidR="00A208CF">
        <w:rPr>
          <w:rFonts w:cstheme="minorHAnsi"/>
          <w:b/>
          <w:lang w:val="fr-FR"/>
        </w:rPr>
        <w:t>modifié</w:t>
      </w:r>
      <w:r>
        <w:rPr>
          <w:rFonts w:cstheme="minorHAnsi"/>
          <w:b/>
          <w:lang w:val="fr-FR"/>
        </w:rPr>
        <w:t xml:space="preserve"> pour tenir compte des </w:t>
      </w:r>
      <w:r w:rsidR="009C1F39">
        <w:rPr>
          <w:rFonts w:cstheme="minorHAnsi"/>
          <w:b/>
          <w:lang w:val="fr-FR"/>
        </w:rPr>
        <w:t>observations</w:t>
      </w:r>
      <w:r>
        <w:rPr>
          <w:rFonts w:cstheme="minorHAnsi"/>
          <w:b/>
          <w:lang w:val="fr-FR"/>
        </w:rPr>
        <w:t xml:space="preserve"> du Comité.</w:t>
      </w:r>
    </w:p>
    <w:p w14:paraId="47B16C5C" w14:textId="77777777" w:rsidR="00AD7443" w:rsidRPr="00AD7443" w:rsidRDefault="00AD7443" w:rsidP="00A302C8">
      <w:pPr>
        <w:keepNext/>
        <w:spacing w:after="0" w:line="240" w:lineRule="auto"/>
        <w:rPr>
          <w:rFonts w:cstheme="minorHAnsi"/>
          <w:lang w:val="fr-FR"/>
        </w:rPr>
      </w:pPr>
    </w:p>
    <w:p w14:paraId="7C96EC98" w14:textId="2D750B0D"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9 de l’ordre du jour : Questions financières et budgétaires</w:t>
      </w:r>
    </w:p>
    <w:p w14:paraId="4D6C6FC9" w14:textId="77777777" w:rsidR="00AD7443" w:rsidRPr="00AD7443" w:rsidRDefault="00AD7443" w:rsidP="00A302C8">
      <w:pPr>
        <w:spacing w:after="0" w:line="240" w:lineRule="auto"/>
        <w:ind w:left="567" w:hanging="567"/>
        <w:rPr>
          <w:rFonts w:eastAsia="Calibri" w:cstheme="minorHAnsi"/>
          <w:bCs/>
          <w:lang w:val="fr-FR"/>
        </w:rPr>
      </w:pPr>
    </w:p>
    <w:p w14:paraId="54094377" w14:textId="77777777" w:rsidR="00AD7443" w:rsidRDefault="00AD7443" w:rsidP="00A302C8">
      <w:pPr>
        <w:spacing w:after="0" w:line="240" w:lineRule="auto"/>
        <w:rPr>
          <w:b/>
          <w:bCs/>
          <w:lang w:val="fr-FR"/>
        </w:rPr>
      </w:pPr>
      <w:r w:rsidRPr="00AD7443">
        <w:rPr>
          <w:b/>
          <w:bCs/>
          <w:lang w:val="fr-FR"/>
        </w:rPr>
        <w:t>Décision SC64-39 :</w:t>
      </w:r>
      <w:r w:rsidRPr="00AD7443">
        <w:rPr>
          <w:b/>
          <w:lang w:val="fr-FR"/>
        </w:rPr>
        <w:t xml:space="preserve"> </w:t>
      </w:r>
      <w:r w:rsidRPr="00AD7443">
        <w:rPr>
          <w:b/>
          <w:bCs/>
          <w:lang w:val="fr-FR"/>
        </w:rPr>
        <w:t>Le Comité permanent :</w:t>
      </w:r>
    </w:p>
    <w:p w14:paraId="252BC8E5" w14:textId="77777777" w:rsidR="0071175F" w:rsidRPr="00AD7443" w:rsidRDefault="0071175F" w:rsidP="00A302C8">
      <w:pPr>
        <w:spacing w:after="0" w:line="240" w:lineRule="auto"/>
        <w:rPr>
          <w:rFonts w:cstheme="minorHAnsi"/>
          <w:b/>
          <w:lang w:val="fr-FR"/>
        </w:rPr>
      </w:pPr>
    </w:p>
    <w:p w14:paraId="026E1715" w14:textId="4E46669C" w:rsidR="00AD7443" w:rsidRPr="00AD7443" w:rsidRDefault="0071175F" w:rsidP="00A302C8">
      <w:pPr>
        <w:spacing w:after="0" w:line="240" w:lineRule="auto"/>
        <w:ind w:left="567" w:hanging="567"/>
        <w:rPr>
          <w:rFonts w:cstheme="minorHAnsi"/>
          <w:b/>
          <w:lang w:val="fr-FR"/>
        </w:rPr>
      </w:pPr>
      <w:r>
        <w:rPr>
          <w:b/>
          <w:lang w:val="fr-FR"/>
        </w:rPr>
        <w:t>i)</w:t>
      </w:r>
      <w:r w:rsidR="00AD7443" w:rsidRPr="00AD7443">
        <w:rPr>
          <w:b/>
          <w:lang w:val="fr-FR"/>
        </w:rPr>
        <w:tab/>
        <w:t>prend note des estimations provisoires des résultats du budget administratif pour 2024 ;</w:t>
      </w:r>
    </w:p>
    <w:p w14:paraId="19C266F9" w14:textId="77777777" w:rsidR="0071175F" w:rsidRDefault="0071175F" w:rsidP="00A302C8">
      <w:pPr>
        <w:spacing w:after="0" w:line="240" w:lineRule="auto"/>
        <w:ind w:left="567" w:hanging="567"/>
        <w:rPr>
          <w:b/>
          <w:lang w:val="fr-FR"/>
        </w:rPr>
      </w:pPr>
    </w:p>
    <w:p w14:paraId="547834DA" w14:textId="301B135B"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note des estimations provisoires de l’état des soldes du budget non administratif et des contributions volontaires pour 2024 ; </w:t>
      </w:r>
      <w:r w:rsidRPr="00AD7443">
        <w:rPr>
          <w:b/>
          <w:lang w:val="fr-FR"/>
        </w:rPr>
        <w:tab/>
      </w:r>
    </w:p>
    <w:p w14:paraId="4316BFFA" w14:textId="77777777" w:rsidR="0071175F" w:rsidRDefault="0071175F" w:rsidP="00A302C8">
      <w:pPr>
        <w:spacing w:after="0" w:line="240" w:lineRule="auto"/>
        <w:ind w:left="567" w:hanging="567"/>
        <w:rPr>
          <w:b/>
          <w:lang w:val="fr-FR"/>
        </w:rPr>
      </w:pPr>
    </w:p>
    <w:p w14:paraId="22908031" w14:textId="4EDCF4D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prend note du report estimé des fonds pré-engagés et non dépensés, d’un montant de 1 120 000 CHF pour 2024 et 2025, tel que présenté sous la colonne C du tableau figurant à l’annexe 1 du rapport du Sous-groupe sur les finances compris dans le</w:t>
      </w:r>
      <w:r w:rsidR="0071175F">
        <w:rPr>
          <w:b/>
          <w:lang w:val="fr-FR"/>
        </w:rPr>
        <w:t xml:space="preserve"> </w:t>
      </w:r>
      <w:r w:rsidRPr="00AD7443">
        <w:rPr>
          <w:b/>
          <w:bCs/>
          <w:lang w:val="fr-FR"/>
        </w:rPr>
        <w:t>document</w:t>
      </w:r>
      <w:r w:rsidR="0071175F">
        <w:rPr>
          <w:b/>
          <w:bCs/>
          <w:lang w:val="fr-FR"/>
        </w:rPr>
        <w:t xml:space="preserve"> </w:t>
      </w:r>
      <w:r w:rsidRPr="00AD7443">
        <w:rPr>
          <w:b/>
          <w:bCs/>
          <w:lang w:val="fr-FR"/>
        </w:rPr>
        <w:t>SC64 Com.2 ;</w:t>
      </w:r>
    </w:p>
    <w:p w14:paraId="6DBBE599" w14:textId="77777777" w:rsidR="0071175F" w:rsidRDefault="0071175F" w:rsidP="00A302C8">
      <w:pPr>
        <w:spacing w:after="0" w:line="240" w:lineRule="auto"/>
        <w:ind w:left="567" w:hanging="567"/>
        <w:rPr>
          <w:b/>
          <w:lang w:val="fr-FR"/>
        </w:rPr>
      </w:pPr>
    </w:p>
    <w:p w14:paraId="1C929EFC" w14:textId="282A8850" w:rsidR="00AD7443" w:rsidRPr="00AD7443" w:rsidRDefault="00AD7443" w:rsidP="00A302C8">
      <w:pPr>
        <w:spacing w:after="0" w:line="240" w:lineRule="auto"/>
        <w:ind w:left="567" w:hanging="567"/>
        <w:rPr>
          <w:rFonts w:cstheme="minorHAnsi"/>
          <w:b/>
          <w:lang w:val="fr-FR"/>
        </w:rPr>
      </w:pPr>
      <w:r w:rsidRPr="00AD7443">
        <w:rPr>
          <w:b/>
          <w:lang w:val="fr-FR"/>
        </w:rPr>
        <w:t>iv</w:t>
      </w:r>
      <w:r w:rsidR="0071175F">
        <w:rPr>
          <w:b/>
          <w:lang w:val="fr-FR"/>
        </w:rPr>
        <w:t>)</w:t>
      </w:r>
      <w:r w:rsidRPr="00AD7443">
        <w:rPr>
          <w:b/>
          <w:lang w:val="fr-FR"/>
        </w:rPr>
        <w:tab/>
        <w:t xml:space="preserve">approuve l’utilisation temporaire de fonds de réserve comme prêt pour augmenter le financement volontaire de l’appui aux délégués parrainés pour la COP15, comme décrit aux paragraphes 13, 14 et 20 du document SC64 Doc.9.1 et dans le tableau 1 du </w:t>
      </w:r>
      <w:r w:rsidRPr="00AD7443">
        <w:rPr>
          <w:b/>
          <w:bCs/>
          <w:lang w:val="fr-FR"/>
        </w:rPr>
        <w:t>document</w:t>
      </w:r>
      <w:r w:rsidR="0071175F">
        <w:rPr>
          <w:b/>
          <w:bCs/>
          <w:lang w:val="fr-FR"/>
        </w:rPr>
        <w:t xml:space="preserve"> </w:t>
      </w:r>
      <w:r w:rsidRPr="00AD7443">
        <w:rPr>
          <w:b/>
          <w:bCs/>
          <w:lang w:val="fr-FR"/>
        </w:rPr>
        <w:t>SC64 Com.2</w:t>
      </w:r>
      <w:r w:rsidRPr="00AD7443">
        <w:rPr>
          <w:b/>
          <w:lang w:val="fr-FR"/>
        </w:rPr>
        <w:t>, pour un montant maximum de 486 000 CHF ; et</w:t>
      </w:r>
    </w:p>
    <w:p w14:paraId="05CA701E" w14:textId="77777777" w:rsidR="0071175F" w:rsidRDefault="0071175F" w:rsidP="00A302C8">
      <w:pPr>
        <w:spacing w:after="0" w:line="240" w:lineRule="auto"/>
        <w:ind w:left="567" w:hanging="567"/>
        <w:rPr>
          <w:b/>
          <w:lang w:val="fr-FR"/>
        </w:rPr>
      </w:pPr>
    </w:p>
    <w:p w14:paraId="3FE9F274" w14:textId="20F8022D" w:rsidR="00AD7443" w:rsidRPr="00AD7443" w:rsidRDefault="00AD7443" w:rsidP="00A302C8">
      <w:pPr>
        <w:spacing w:after="0" w:line="240" w:lineRule="auto"/>
        <w:ind w:left="567" w:hanging="567"/>
        <w:rPr>
          <w:rFonts w:cstheme="minorHAnsi"/>
          <w:b/>
          <w:lang w:val="fr-FR"/>
        </w:rPr>
      </w:pPr>
      <w:r w:rsidRPr="00AD7443">
        <w:rPr>
          <w:b/>
          <w:lang w:val="fr-FR"/>
        </w:rPr>
        <w:t>v</w:t>
      </w:r>
      <w:r w:rsidR="0071175F">
        <w:rPr>
          <w:b/>
          <w:lang w:val="fr-FR"/>
        </w:rPr>
        <w:t>)</w:t>
      </w:r>
      <w:r w:rsidRPr="00AD7443">
        <w:rPr>
          <w:b/>
          <w:lang w:val="fr-FR"/>
        </w:rPr>
        <w:tab/>
        <w:t xml:space="preserve">prend note de l’estimation des soldes excédentaires dont une synthèse figure dans le tableau 1 du rapport du Sous-groupe sur les finances figurant dans le document SC64 Com.2. </w:t>
      </w:r>
    </w:p>
    <w:p w14:paraId="0D071BDE" w14:textId="77777777" w:rsidR="00AD7443" w:rsidRPr="00AD7443" w:rsidRDefault="00AD7443" w:rsidP="00A302C8">
      <w:pPr>
        <w:spacing w:after="0" w:line="240" w:lineRule="auto"/>
        <w:rPr>
          <w:rFonts w:cstheme="minorHAnsi"/>
          <w:b/>
          <w:lang w:val="fr-FR"/>
        </w:rPr>
      </w:pPr>
    </w:p>
    <w:p w14:paraId="64C4D150" w14:textId="77777777" w:rsidR="00AD7443" w:rsidRDefault="00AD7443" w:rsidP="00A302C8">
      <w:pPr>
        <w:spacing w:after="0" w:line="240" w:lineRule="auto"/>
        <w:rPr>
          <w:b/>
          <w:lang w:val="fr-FR"/>
        </w:rPr>
      </w:pPr>
      <w:r w:rsidRPr="00AD7443">
        <w:rPr>
          <w:b/>
          <w:lang w:val="fr-FR"/>
        </w:rPr>
        <w:t>Décision SC64-40 : Le Comité permanent :</w:t>
      </w:r>
    </w:p>
    <w:p w14:paraId="0A6439FE" w14:textId="77777777" w:rsidR="0071175F" w:rsidRPr="00AD7443" w:rsidRDefault="0071175F" w:rsidP="00A302C8">
      <w:pPr>
        <w:spacing w:after="0" w:line="240" w:lineRule="auto"/>
        <w:rPr>
          <w:rFonts w:cstheme="minorHAnsi"/>
          <w:b/>
          <w:lang w:val="fr-FR"/>
        </w:rPr>
      </w:pPr>
    </w:p>
    <w:p w14:paraId="6D9ED6B5" w14:textId="5001FAA2" w:rsidR="00AD7443" w:rsidRPr="00AD7443" w:rsidRDefault="00AD7443" w:rsidP="00A302C8">
      <w:pPr>
        <w:spacing w:after="0" w:line="240" w:lineRule="auto"/>
        <w:ind w:left="567" w:hanging="567"/>
        <w:rPr>
          <w:rFonts w:cstheme="minorHAnsi"/>
          <w:b/>
          <w:lang w:val="fr-FR"/>
        </w:rPr>
      </w:pPr>
      <w:r w:rsidRPr="00AD7443">
        <w:rPr>
          <w:b/>
          <w:lang w:val="fr-FR"/>
        </w:rPr>
        <w:t>i</w:t>
      </w:r>
      <w:r w:rsidR="0071175F">
        <w:rPr>
          <w:b/>
          <w:lang w:val="fr-FR"/>
        </w:rPr>
        <w:t>)</w:t>
      </w:r>
      <w:r w:rsidRPr="00AD7443">
        <w:rPr>
          <w:b/>
          <w:lang w:val="fr-FR"/>
        </w:rPr>
        <w:tab/>
        <w:t xml:space="preserve">prend note de l’état des contributions annuelles au 31 décembre 2024 ; </w:t>
      </w:r>
    </w:p>
    <w:p w14:paraId="0FB2DFAD" w14:textId="77777777" w:rsidR="0071175F" w:rsidRDefault="0071175F" w:rsidP="00A302C8">
      <w:pPr>
        <w:spacing w:after="0" w:line="240" w:lineRule="auto"/>
        <w:ind w:left="567" w:hanging="567"/>
        <w:rPr>
          <w:b/>
          <w:lang w:val="fr-FR"/>
        </w:rPr>
      </w:pPr>
    </w:p>
    <w:p w14:paraId="019FC622" w14:textId="25AF11B0" w:rsidR="00AD7443" w:rsidRPr="00AD7443" w:rsidRDefault="00AD7443" w:rsidP="00A302C8">
      <w:pPr>
        <w:spacing w:after="0" w:line="240" w:lineRule="auto"/>
        <w:ind w:left="567" w:hanging="567"/>
        <w:rPr>
          <w:rFonts w:cstheme="minorHAnsi"/>
          <w:b/>
          <w:lang w:val="fr-FR"/>
        </w:rPr>
      </w:pPr>
      <w:r w:rsidRPr="00AD7443">
        <w:rPr>
          <w:b/>
          <w:lang w:val="fr-FR"/>
        </w:rPr>
        <w:t>ii</w:t>
      </w:r>
      <w:r w:rsidR="0071175F">
        <w:rPr>
          <w:b/>
          <w:lang w:val="fr-FR"/>
        </w:rPr>
        <w:t>)</w:t>
      </w:r>
      <w:r w:rsidRPr="00AD7443">
        <w:rPr>
          <w:b/>
          <w:lang w:val="fr-FR"/>
        </w:rPr>
        <w:tab/>
        <w:t xml:space="preserve">prend acte de l’état des contributions annuelles </w:t>
      </w:r>
      <w:r w:rsidR="009225B7">
        <w:rPr>
          <w:b/>
          <w:lang w:val="fr-FR"/>
        </w:rPr>
        <w:t>obligatoires</w:t>
      </w:r>
      <w:r w:rsidRPr="00AD7443">
        <w:rPr>
          <w:b/>
          <w:lang w:val="fr-FR"/>
        </w:rPr>
        <w:t xml:space="preserve"> au 31 décembre 2024 dans le cadre du processus d’audit ; </w:t>
      </w:r>
    </w:p>
    <w:p w14:paraId="7A9BAECA" w14:textId="77777777" w:rsidR="0071175F" w:rsidRDefault="0071175F" w:rsidP="00A302C8">
      <w:pPr>
        <w:spacing w:after="0" w:line="240" w:lineRule="auto"/>
        <w:ind w:left="567" w:hanging="567"/>
        <w:rPr>
          <w:b/>
          <w:lang w:val="fr-FR"/>
        </w:rPr>
      </w:pPr>
    </w:p>
    <w:p w14:paraId="6980BAE0" w14:textId="0FF455E2" w:rsidR="00AD7443" w:rsidRPr="00AD7443" w:rsidRDefault="00AD7443" w:rsidP="00A302C8">
      <w:pPr>
        <w:spacing w:after="0" w:line="240" w:lineRule="auto"/>
        <w:ind w:left="567" w:hanging="567"/>
        <w:rPr>
          <w:rFonts w:cstheme="minorHAnsi"/>
          <w:b/>
          <w:lang w:val="fr-FR"/>
        </w:rPr>
      </w:pPr>
      <w:r w:rsidRPr="00AD7443">
        <w:rPr>
          <w:b/>
          <w:lang w:val="fr-FR"/>
        </w:rPr>
        <w:t>iii</w:t>
      </w:r>
      <w:r w:rsidR="0071175F">
        <w:rPr>
          <w:b/>
          <w:lang w:val="fr-FR"/>
        </w:rPr>
        <w:t>)</w:t>
      </w:r>
      <w:r w:rsidRPr="00AD7443">
        <w:rPr>
          <w:b/>
          <w:lang w:val="fr-FR"/>
        </w:rPr>
        <w:tab/>
        <w:t xml:space="preserve">prend note des mesures énumérées aux paragraphes 14, 16, 17 et 18 du document SC64 Doc.9.2 Rev.1 en vue de continuer d’encourager </w:t>
      </w:r>
      <w:r w:rsidR="009225B7">
        <w:rPr>
          <w:b/>
          <w:lang w:val="fr-FR"/>
        </w:rPr>
        <w:t>les Parties contractantes à verser leurs</w:t>
      </w:r>
      <w:r w:rsidRPr="00AD7443">
        <w:rPr>
          <w:b/>
          <w:lang w:val="fr-FR"/>
        </w:rPr>
        <w:t xml:space="preserve"> contributions annuelles</w:t>
      </w:r>
      <w:r w:rsidR="009225B7">
        <w:rPr>
          <w:b/>
          <w:lang w:val="fr-FR"/>
        </w:rPr>
        <w:t> </w:t>
      </w:r>
      <w:r w:rsidRPr="00AD7443">
        <w:rPr>
          <w:b/>
          <w:lang w:val="fr-FR"/>
        </w:rPr>
        <w:t>; et</w:t>
      </w:r>
    </w:p>
    <w:p w14:paraId="6C3B1645" w14:textId="77777777" w:rsidR="0071175F" w:rsidRDefault="0071175F" w:rsidP="00A302C8">
      <w:pPr>
        <w:spacing w:after="0" w:line="240" w:lineRule="auto"/>
        <w:ind w:left="567" w:hanging="567"/>
        <w:rPr>
          <w:b/>
          <w:lang w:val="fr-FR"/>
        </w:rPr>
      </w:pPr>
    </w:p>
    <w:p w14:paraId="0A8E09E2" w14:textId="609DF669" w:rsidR="00AD7443" w:rsidRPr="00AD7443" w:rsidRDefault="00AD7443" w:rsidP="00A302C8">
      <w:pPr>
        <w:spacing w:after="0" w:line="240" w:lineRule="auto"/>
        <w:ind w:left="567" w:hanging="567"/>
        <w:rPr>
          <w:rFonts w:cstheme="minorHAnsi"/>
          <w:b/>
          <w:lang w:val="fr-FR"/>
        </w:rPr>
      </w:pPr>
      <w:r w:rsidRPr="00AD7443">
        <w:rPr>
          <w:b/>
          <w:lang w:val="fr-FR"/>
        </w:rPr>
        <w:t>iv</w:t>
      </w:r>
      <w:r w:rsidR="0071175F">
        <w:rPr>
          <w:b/>
          <w:lang w:val="fr-FR"/>
        </w:rPr>
        <w:t>)</w:t>
      </w:r>
      <w:r w:rsidRPr="00AD7443">
        <w:rPr>
          <w:b/>
          <w:lang w:val="fr-FR"/>
        </w:rPr>
        <w:tab/>
        <w:t>prend note de l’état actuel des contributions versées par les Parties contractantes de la région Afrique décrites au paragraphe 19 du document SC64 Doc.9.2 Rev.1.</w:t>
      </w:r>
    </w:p>
    <w:p w14:paraId="061DCE44" w14:textId="77777777" w:rsidR="00AD7443" w:rsidRPr="00AD7443" w:rsidRDefault="00AD7443" w:rsidP="00A302C8">
      <w:pPr>
        <w:spacing w:after="0" w:line="240" w:lineRule="auto"/>
        <w:rPr>
          <w:rFonts w:cstheme="minorHAnsi"/>
          <w:b/>
          <w:lang w:val="fr-FR"/>
        </w:rPr>
      </w:pPr>
    </w:p>
    <w:p w14:paraId="407EABCB" w14:textId="77777777" w:rsidR="00AD7443" w:rsidRDefault="00AD7443" w:rsidP="00A302C8">
      <w:pPr>
        <w:spacing w:after="0" w:line="240" w:lineRule="auto"/>
        <w:rPr>
          <w:b/>
          <w:lang w:val="fr-FR"/>
        </w:rPr>
      </w:pPr>
      <w:r w:rsidRPr="00AD7443">
        <w:rPr>
          <w:b/>
          <w:lang w:val="fr-FR"/>
        </w:rPr>
        <w:t>Décision SC64-41 : Le Comité permanent :</w:t>
      </w:r>
    </w:p>
    <w:p w14:paraId="3A19FEB4" w14:textId="77777777" w:rsidR="009225B7" w:rsidRPr="00AD7443" w:rsidRDefault="009225B7" w:rsidP="00A302C8">
      <w:pPr>
        <w:spacing w:after="0" w:line="240" w:lineRule="auto"/>
        <w:rPr>
          <w:rFonts w:cstheme="minorHAnsi"/>
          <w:b/>
          <w:lang w:val="fr-FR"/>
        </w:rPr>
      </w:pPr>
    </w:p>
    <w:p w14:paraId="56916136" w14:textId="33381952" w:rsidR="00AD7443" w:rsidRPr="00AD7443" w:rsidRDefault="00AD7443" w:rsidP="00A302C8">
      <w:pPr>
        <w:spacing w:after="0" w:line="240" w:lineRule="auto"/>
        <w:ind w:left="567" w:hanging="567"/>
        <w:rPr>
          <w:rFonts w:cstheme="minorHAnsi"/>
          <w:b/>
          <w:lang w:val="fr-FR"/>
        </w:rPr>
      </w:pPr>
      <w:r w:rsidRPr="00AD7443">
        <w:rPr>
          <w:b/>
          <w:lang w:val="fr-FR"/>
        </w:rPr>
        <w:t>i</w:t>
      </w:r>
      <w:r w:rsidR="009225B7">
        <w:rPr>
          <w:b/>
          <w:lang w:val="fr-FR"/>
        </w:rPr>
        <w:t>)</w:t>
      </w:r>
      <w:r w:rsidRPr="00AD7443">
        <w:rPr>
          <w:b/>
          <w:lang w:val="fr-FR"/>
        </w:rPr>
        <w:tab/>
        <w:t xml:space="preserve">prend note du contenu du document SC64 Doc.9.3 Rev.1 ; </w:t>
      </w:r>
    </w:p>
    <w:p w14:paraId="684CE15E" w14:textId="77777777" w:rsidR="0071175F" w:rsidRDefault="0071175F" w:rsidP="00A302C8">
      <w:pPr>
        <w:spacing w:after="0" w:line="240" w:lineRule="auto"/>
        <w:ind w:left="567" w:hanging="567"/>
        <w:rPr>
          <w:b/>
          <w:lang w:val="fr-FR"/>
        </w:rPr>
      </w:pPr>
    </w:p>
    <w:p w14:paraId="224B45FC" w14:textId="770D6940" w:rsidR="00AD7443" w:rsidRPr="00AD7443" w:rsidRDefault="00AD7443" w:rsidP="00A302C8">
      <w:pPr>
        <w:spacing w:after="0" w:line="240" w:lineRule="auto"/>
        <w:ind w:left="567" w:hanging="567"/>
        <w:rPr>
          <w:rFonts w:cstheme="minorHAnsi"/>
          <w:b/>
          <w:lang w:val="fr-FR"/>
        </w:rPr>
      </w:pPr>
      <w:r w:rsidRPr="00AD7443">
        <w:rPr>
          <w:b/>
          <w:lang w:val="fr-FR"/>
        </w:rPr>
        <w:t>ii</w:t>
      </w:r>
      <w:r w:rsidR="009225B7">
        <w:rPr>
          <w:b/>
          <w:lang w:val="fr-FR"/>
        </w:rPr>
        <w:t>)</w:t>
      </w:r>
      <w:r w:rsidRPr="00AD7443">
        <w:rPr>
          <w:b/>
          <w:lang w:val="fr-FR"/>
        </w:rPr>
        <w:tab/>
        <w:t>charge le Secrétariat de présenter les scénarios suivants à la 15</w:t>
      </w:r>
      <w:r w:rsidRPr="00AD7443">
        <w:rPr>
          <w:b/>
          <w:vertAlign w:val="superscript"/>
          <w:lang w:val="fr-FR"/>
        </w:rPr>
        <w:t>e</w:t>
      </w:r>
      <w:r w:rsidRPr="00AD7443">
        <w:rPr>
          <w:b/>
          <w:lang w:val="fr-FR"/>
        </w:rPr>
        <w:t> session de la Conférence des Parties :</w:t>
      </w:r>
    </w:p>
    <w:p w14:paraId="3CC8A791"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0 % d’augmentation nominale par rapport au budget 2023-2025, tel qu’il figure à l’annexe 2 du document SC64 Com.2 ;</w:t>
      </w:r>
    </w:p>
    <w:p w14:paraId="78D14967" w14:textId="0ED0726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4,1 % d’augmentation nominale par rapport au budget 2023-2025, tel qu’il figure à l’annexe 3 du document SC64 Com.2 ;</w:t>
      </w:r>
    </w:p>
    <w:p w14:paraId="0FF9EB8F"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9,6 % d’augmentation nominale par rapport au budget 2023-2025, soit le Scénario A décrit à l'annexe 1 du document SC64 Doc.9.3 Rev.1 ;</w:t>
      </w:r>
    </w:p>
    <w:p w14:paraId="01CE793C" w14:textId="77777777" w:rsidR="00AD7443" w:rsidRPr="00AD7443" w:rsidRDefault="00AD7443" w:rsidP="00A302C8">
      <w:pPr>
        <w:pStyle w:val="ListParagraph"/>
        <w:numPr>
          <w:ilvl w:val="0"/>
          <w:numId w:val="21"/>
        </w:numPr>
        <w:spacing w:after="0" w:line="240" w:lineRule="auto"/>
        <w:ind w:left="993" w:hanging="426"/>
        <w:rPr>
          <w:rFonts w:cstheme="minorHAnsi"/>
          <w:b/>
          <w:lang w:val="fr-FR"/>
        </w:rPr>
      </w:pPr>
      <w:r w:rsidRPr="00AD7443">
        <w:rPr>
          <w:b/>
          <w:lang w:val="fr-FR"/>
        </w:rPr>
        <w:t>Scénario à 11,3 % d’augmentation nominale par rapport au budget 2023-2025, soit le Scénario B décrit à l'annexe 1 du document SC64 Doc.9.3 Rev.1 ;</w:t>
      </w:r>
    </w:p>
    <w:p w14:paraId="7B703ABD" w14:textId="77777777" w:rsidR="0071175F" w:rsidRDefault="0071175F" w:rsidP="00A302C8">
      <w:pPr>
        <w:spacing w:after="0" w:line="240" w:lineRule="auto"/>
        <w:ind w:left="567" w:hanging="567"/>
        <w:rPr>
          <w:b/>
          <w:lang w:val="fr-FR"/>
        </w:rPr>
      </w:pPr>
    </w:p>
    <w:p w14:paraId="690DB3AF" w14:textId="0525502B" w:rsidR="00AD7443" w:rsidRPr="00AD7443" w:rsidRDefault="00AD7443" w:rsidP="00A302C8">
      <w:pPr>
        <w:spacing w:after="0" w:line="240" w:lineRule="auto"/>
        <w:ind w:left="567" w:hanging="567"/>
        <w:rPr>
          <w:rFonts w:cstheme="minorHAnsi"/>
          <w:b/>
          <w:lang w:val="fr-FR"/>
        </w:rPr>
      </w:pPr>
      <w:r w:rsidRPr="00AD7443">
        <w:rPr>
          <w:b/>
          <w:lang w:val="fr-FR"/>
        </w:rPr>
        <w:t>iii</w:t>
      </w:r>
      <w:r w:rsidR="009225B7">
        <w:rPr>
          <w:b/>
          <w:lang w:val="fr-FR"/>
        </w:rPr>
        <w:t>)</w:t>
      </w:r>
      <w:r w:rsidRPr="00AD7443">
        <w:rPr>
          <w:b/>
          <w:lang w:val="fr-FR"/>
        </w:rPr>
        <w:tab/>
        <w:t>demande au Secrétariat de préparer une analyse narrative et quantitative expliquant les coûts et les avantages respectifs, ainsi que les implications politiques de chaque scénario (par exemple, une analyse SWOT) ; et</w:t>
      </w:r>
    </w:p>
    <w:p w14:paraId="277D21C3" w14:textId="77777777" w:rsidR="0071175F" w:rsidRDefault="0071175F" w:rsidP="00A302C8">
      <w:pPr>
        <w:spacing w:after="0" w:line="240" w:lineRule="auto"/>
        <w:ind w:left="567" w:hanging="567"/>
        <w:rPr>
          <w:b/>
          <w:lang w:val="fr-FR"/>
        </w:rPr>
      </w:pPr>
    </w:p>
    <w:p w14:paraId="4DB325F4" w14:textId="1B8A6624" w:rsidR="00AD7443" w:rsidRPr="00AD7443" w:rsidRDefault="00AD7443" w:rsidP="00A302C8">
      <w:pPr>
        <w:spacing w:after="0" w:line="240" w:lineRule="auto"/>
        <w:ind w:left="567" w:hanging="567"/>
        <w:rPr>
          <w:rFonts w:cstheme="minorHAnsi"/>
          <w:b/>
          <w:lang w:val="fr-FR"/>
        </w:rPr>
      </w:pPr>
      <w:r w:rsidRPr="00AD7443">
        <w:rPr>
          <w:b/>
          <w:lang w:val="fr-FR"/>
        </w:rPr>
        <w:lastRenderedPageBreak/>
        <w:t>iv.</w:t>
      </w:r>
      <w:r w:rsidRPr="00AD7443">
        <w:rPr>
          <w:b/>
          <w:lang w:val="fr-FR"/>
        </w:rPr>
        <w:tab/>
        <w:t xml:space="preserve">approuve le projet de résolution sur les questions financières et budgétaires qui doit être soumis à l’examen de la COP15, tel qu’il est présenté en annexe 4 du rapport du Sous-groupe sur les finances figurant dans le document SC64 Com.2. </w:t>
      </w:r>
    </w:p>
    <w:p w14:paraId="6CC3E944" w14:textId="77777777" w:rsidR="00AD7443" w:rsidRPr="00AD7443" w:rsidRDefault="00AD7443" w:rsidP="00A302C8">
      <w:pPr>
        <w:spacing w:after="0" w:line="240" w:lineRule="auto"/>
        <w:rPr>
          <w:rFonts w:cstheme="minorHAnsi"/>
          <w:b/>
          <w:lang w:val="fr-FR"/>
        </w:rPr>
      </w:pPr>
    </w:p>
    <w:p w14:paraId="3F06CB7B" w14:textId="09900C03" w:rsidR="00AD7443" w:rsidRPr="00AD7443" w:rsidRDefault="00AD7443" w:rsidP="002D612E">
      <w:pPr>
        <w:spacing w:after="0" w:line="240" w:lineRule="auto"/>
        <w:rPr>
          <w:rFonts w:cstheme="minorHAnsi"/>
          <w:b/>
          <w:lang w:val="fr-FR"/>
        </w:rPr>
      </w:pPr>
      <w:r w:rsidRPr="00AD7443">
        <w:rPr>
          <w:b/>
          <w:lang w:val="fr-FR"/>
        </w:rPr>
        <w:t xml:space="preserve">Décision SC64-42 : Le Comité permanent prend note des incidences administratives et financières prévues des projets de résolutions </w:t>
      </w:r>
      <w:r w:rsidR="00EA0814">
        <w:rPr>
          <w:b/>
          <w:lang w:val="fr-FR"/>
        </w:rPr>
        <w:t>présentés</w:t>
      </w:r>
      <w:r w:rsidRPr="00AD7443">
        <w:rPr>
          <w:b/>
          <w:lang w:val="fr-FR"/>
        </w:rPr>
        <w:t xml:space="preserve"> au Comité permanent, lesquelles seront révisées sur la base des projets de résolutions </w:t>
      </w:r>
      <w:r w:rsidR="009225B7">
        <w:rPr>
          <w:b/>
          <w:lang w:val="fr-FR"/>
        </w:rPr>
        <w:t>soumis</w:t>
      </w:r>
      <w:r w:rsidRPr="00AD7443">
        <w:rPr>
          <w:b/>
          <w:lang w:val="fr-FR"/>
        </w:rPr>
        <w:t xml:space="preserve"> pour examen à la COP15.</w:t>
      </w:r>
    </w:p>
    <w:p w14:paraId="02B9020F" w14:textId="77777777" w:rsidR="00AD7443" w:rsidRPr="00AD7443" w:rsidRDefault="00AD7443" w:rsidP="00A302C8">
      <w:pPr>
        <w:spacing w:after="0" w:line="240" w:lineRule="auto"/>
        <w:rPr>
          <w:rFonts w:eastAsia="Calibri" w:cstheme="minorHAnsi"/>
          <w:bCs/>
          <w:lang w:val="fr-FR"/>
        </w:rPr>
      </w:pPr>
    </w:p>
    <w:p w14:paraId="0E909ACC" w14:textId="7F13F393" w:rsidR="00AD7443" w:rsidRPr="00905C49"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 xml:space="preserve">Point 24 de l’ordre du jour : </w:t>
      </w:r>
      <w:r w:rsidR="00905C49" w:rsidRPr="00905C49">
        <w:rPr>
          <w:lang w:val="fr-FR"/>
        </w:rPr>
        <w:t>Rapport des Coprésidents du Comité consultatif indépendant sur le label Ville des Zones Humides</w:t>
      </w:r>
    </w:p>
    <w:p w14:paraId="7DC8A066" w14:textId="77777777" w:rsidR="00AD7443" w:rsidRPr="00AD7443" w:rsidRDefault="00AD7443" w:rsidP="00A302C8">
      <w:pPr>
        <w:spacing w:after="0" w:line="240" w:lineRule="auto"/>
        <w:ind w:left="567" w:hanging="567"/>
        <w:rPr>
          <w:rFonts w:cstheme="minorHAnsi"/>
          <w:bCs/>
          <w:lang w:val="fr-FR"/>
        </w:rPr>
      </w:pPr>
    </w:p>
    <w:p w14:paraId="14BE5567" w14:textId="77777777" w:rsidR="00AD7443" w:rsidRDefault="00AD7443" w:rsidP="00A302C8">
      <w:pPr>
        <w:spacing w:after="0" w:line="240" w:lineRule="auto"/>
        <w:rPr>
          <w:b/>
          <w:lang w:val="fr-FR"/>
        </w:rPr>
      </w:pPr>
      <w:r w:rsidRPr="00AD7443">
        <w:rPr>
          <w:b/>
          <w:lang w:val="fr-FR"/>
        </w:rPr>
        <w:t>Décision SC64-43 : Le Comité permanent :</w:t>
      </w:r>
    </w:p>
    <w:p w14:paraId="27B54E73" w14:textId="77777777" w:rsidR="00905C49" w:rsidRPr="00AD7443" w:rsidRDefault="00905C49" w:rsidP="00A302C8">
      <w:pPr>
        <w:spacing w:after="0" w:line="240" w:lineRule="auto"/>
        <w:rPr>
          <w:rFonts w:cstheme="minorHAnsi"/>
          <w:b/>
          <w:iCs/>
          <w:lang w:val="fr-FR"/>
        </w:rPr>
      </w:pPr>
    </w:p>
    <w:p w14:paraId="64DF1D11" w14:textId="37F38484" w:rsidR="00AD7443" w:rsidRPr="00905C49" w:rsidRDefault="00905C49" w:rsidP="00905C49">
      <w:pPr>
        <w:spacing w:after="0" w:line="240" w:lineRule="auto"/>
        <w:ind w:left="567" w:hanging="567"/>
        <w:rPr>
          <w:b/>
          <w:lang w:val="fr-FR"/>
        </w:rPr>
      </w:pPr>
      <w:r w:rsidRPr="00905C49">
        <w:rPr>
          <w:b/>
          <w:lang w:val="fr-FR"/>
        </w:rPr>
        <w:t>i</w:t>
      </w:r>
      <w:r>
        <w:rPr>
          <w:b/>
          <w:lang w:val="fr-FR"/>
        </w:rPr>
        <w:t>)</w:t>
      </w:r>
      <w:r>
        <w:rPr>
          <w:b/>
          <w:lang w:val="fr-FR"/>
        </w:rPr>
        <w:tab/>
      </w:r>
      <w:r w:rsidR="00AD7443" w:rsidRPr="00905C49">
        <w:rPr>
          <w:b/>
          <w:lang w:val="fr-FR"/>
        </w:rPr>
        <w:t xml:space="preserve">prend note du processus d’évaluation des candidatures nouvelles et renouvelées au label Ville des Zones </w:t>
      </w:r>
      <w:r>
        <w:rPr>
          <w:b/>
          <w:lang w:val="fr-FR"/>
        </w:rPr>
        <w:t>H</w:t>
      </w:r>
      <w:r w:rsidR="00AD7443" w:rsidRPr="00905C49">
        <w:rPr>
          <w:b/>
          <w:lang w:val="fr-FR"/>
        </w:rPr>
        <w:t>umides, présenté dans le présent rapport ; et</w:t>
      </w:r>
    </w:p>
    <w:p w14:paraId="23EFD74A" w14:textId="77777777" w:rsidR="00905C49" w:rsidRPr="00905C49" w:rsidRDefault="00905C49" w:rsidP="00905C49">
      <w:pPr>
        <w:ind w:left="567" w:hanging="567"/>
        <w:rPr>
          <w:rFonts w:cstheme="minorHAnsi"/>
          <w:iCs/>
          <w:lang w:val="fr-FR"/>
        </w:rPr>
      </w:pPr>
    </w:p>
    <w:p w14:paraId="5E6B0E69" w14:textId="3268B6B1" w:rsidR="00AD7443" w:rsidRDefault="00AD7443" w:rsidP="00A302C8">
      <w:pPr>
        <w:spacing w:after="0" w:line="240" w:lineRule="auto"/>
        <w:ind w:left="567" w:hanging="567"/>
        <w:rPr>
          <w:b/>
          <w:lang w:val="fr-FR"/>
        </w:rPr>
      </w:pPr>
      <w:r w:rsidRPr="00AD7443">
        <w:rPr>
          <w:b/>
          <w:lang w:val="fr-FR"/>
        </w:rPr>
        <w:t>ii</w:t>
      </w:r>
      <w:r w:rsidR="00905C49">
        <w:rPr>
          <w:b/>
          <w:lang w:val="fr-FR"/>
        </w:rPr>
        <w:t>)</w:t>
      </w:r>
      <w:r w:rsidRPr="00AD7443">
        <w:rPr>
          <w:b/>
          <w:lang w:val="fr-FR"/>
        </w:rPr>
        <w:t xml:space="preserve"> </w:t>
      </w:r>
      <w:r w:rsidRPr="00AD7443">
        <w:rPr>
          <w:b/>
          <w:lang w:val="fr-FR"/>
        </w:rPr>
        <w:tab/>
        <w:t xml:space="preserve">prend note des nouvelles villes bénéficiant du label Ville des Zones </w:t>
      </w:r>
      <w:r w:rsidR="00905C49">
        <w:rPr>
          <w:b/>
          <w:lang w:val="fr-FR"/>
        </w:rPr>
        <w:t>H</w:t>
      </w:r>
      <w:r w:rsidRPr="00AD7443">
        <w:rPr>
          <w:b/>
          <w:lang w:val="fr-FR"/>
        </w:rPr>
        <w:t xml:space="preserve">umides et des villes dont </w:t>
      </w:r>
      <w:r w:rsidR="00905C49">
        <w:rPr>
          <w:b/>
          <w:lang w:val="fr-FR"/>
        </w:rPr>
        <w:t>le label</w:t>
      </w:r>
      <w:r w:rsidRPr="00AD7443">
        <w:rPr>
          <w:b/>
          <w:lang w:val="fr-FR"/>
        </w:rPr>
        <w:t xml:space="preserve"> a été renouvelé, comme suit :</w:t>
      </w:r>
    </w:p>
    <w:p w14:paraId="261F5DEB" w14:textId="77777777" w:rsidR="00905C49" w:rsidRPr="00AD7443" w:rsidRDefault="00905C49" w:rsidP="00A302C8">
      <w:pPr>
        <w:spacing w:after="0" w:line="240" w:lineRule="auto"/>
        <w:ind w:left="567" w:hanging="567"/>
        <w:rPr>
          <w:rFonts w:cstheme="minorHAnsi"/>
          <w:b/>
          <w:iCs/>
          <w:lang w:val="fr-FR"/>
        </w:rPr>
      </w:pPr>
    </w:p>
    <w:p w14:paraId="4C14A7F0" w14:textId="41AA69FC" w:rsidR="00AD7443" w:rsidRPr="00AD7443" w:rsidRDefault="00AD7443" w:rsidP="00A302C8">
      <w:pPr>
        <w:spacing w:after="0" w:line="240" w:lineRule="auto"/>
        <w:ind w:left="567"/>
        <w:rPr>
          <w:rFonts w:cstheme="minorHAnsi"/>
          <w:b/>
          <w:iCs/>
          <w:lang w:val="fr-FR"/>
        </w:rPr>
      </w:pPr>
      <w:r w:rsidRPr="00AD7443">
        <w:rPr>
          <w:b/>
          <w:lang w:val="fr-FR"/>
        </w:rPr>
        <w:t xml:space="preserve">Nouvelles villes bénéficiant du label Ville des Zones </w:t>
      </w:r>
      <w:r w:rsidR="00905C49">
        <w:rPr>
          <w:b/>
          <w:lang w:val="fr-FR"/>
        </w:rPr>
        <w:t>H</w:t>
      </w:r>
      <w:r w:rsidRPr="00AD7443">
        <w:rPr>
          <w:b/>
          <w:lang w:val="fr-FR"/>
        </w:rPr>
        <w:t>umides :</w:t>
      </w:r>
    </w:p>
    <w:p w14:paraId="4F7B7B34" w14:textId="77777777" w:rsidR="00AD7443" w:rsidRPr="00AD7443" w:rsidRDefault="00AD7443" w:rsidP="00A302C8">
      <w:pPr>
        <w:spacing w:after="0" w:line="240" w:lineRule="auto"/>
        <w:ind w:left="993"/>
        <w:rPr>
          <w:rFonts w:cstheme="minorHAnsi"/>
          <w:b/>
          <w:iCs/>
          <w:lang w:val="fr-FR"/>
        </w:rPr>
      </w:pPr>
      <w:r w:rsidRPr="00AD7443">
        <w:rPr>
          <w:b/>
          <w:lang w:val="fr-FR"/>
        </w:rPr>
        <w:t>Argentine : Trelew</w:t>
      </w:r>
    </w:p>
    <w:p w14:paraId="4F324BA3" w14:textId="77777777" w:rsidR="00AD7443" w:rsidRPr="00AD7443" w:rsidRDefault="00AD7443" w:rsidP="00A302C8">
      <w:pPr>
        <w:spacing w:after="0" w:line="240" w:lineRule="auto"/>
        <w:ind w:left="993"/>
        <w:rPr>
          <w:rFonts w:cstheme="minorHAnsi"/>
          <w:b/>
          <w:iCs/>
          <w:lang w:val="fr-FR"/>
        </w:rPr>
      </w:pPr>
      <w:r w:rsidRPr="00AD7443">
        <w:rPr>
          <w:b/>
          <w:lang w:val="fr-FR"/>
        </w:rPr>
        <w:t>Belgique : Malines</w:t>
      </w:r>
    </w:p>
    <w:p w14:paraId="578C8C92" w14:textId="77777777" w:rsidR="00AD7443" w:rsidRPr="00AD7443" w:rsidRDefault="00AD7443" w:rsidP="00A302C8">
      <w:pPr>
        <w:spacing w:after="0" w:line="240" w:lineRule="auto"/>
        <w:ind w:left="993"/>
        <w:rPr>
          <w:rFonts w:cstheme="minorHAnsi"/>
          <w:b/>
          <w:iCs/>
          <w:lang w:val="fr-FR"/>
        </w:rPr>
      </w:pPr>
      <w:r w:rsidRPr="00AD7443">
        <w:rPr>
          <w:b/>
          <w:lang w:val="fr-FR"/>
        </w:rPr>
        <w:t>Botswana : Kasane-Kazungula, Shakawe</w:t>
      </w:r>
    </w:p>
    <w:p w14:paraId="45F9AD82" w14:textId="77777777" w:rsidR="00AD7443" w:rsidRPr="00AD7443" w:rsidRDefault="00AD7443" w:rsidP="00A302C8">
      <w:pPr>
        <w:spacing w:after="0" w:line="240" w:lineRule="auto"/>
        <w:ind w:left="993"/>
        <w:rPr>
          <w:rFonts w:cstheme="minorHAnsi"/>
          <w:b/>
          <w:iCs/>
          <w:lang w:val="fr-FR"/>
        </w:rPr>
      </w:pPr>
      <w:r w:rsidRPr="00AD7443">
        <w:rPr>
          <w:b/>
          <w:lang w:val="fr-FR"/>
        </w:rPr>
        <w:t>Chili : Valdivia</w:t>
      </w:r>
    </w:p>
    <w:p w14:paraId="1682205B" w14:textId="77777777" w:rsidR="00AD7443" w:rsidRPr="00AD7443" w:rsidRDefault="00AD7443" w:rsidP="00A302C8">
      <w:pPr>
        <w:spacing w:after="0" w:line="240" w:lineRule="auto"/>
        <w:ind w:left="993"/>
        <w:rPr>
          <w:rFonts w:cstheme="minorHAnsi"/>
          <w:b/>
          <w:iCs/>
          <w:lang w:val="fr-FR"/>
        </w:rPr>
      </w:pPr>
      <w:r w:rsidRPr="00AD7443">
        <w:rPr>
          <w:b/>
          <w:lang w:val="fr-FR"/>
        </w:rPr>
        <w:t>Chine : Chongming, Dali, Fuzhou, Hangzhou, Jiujiang, Lhasa, Suzhou, Wenzhou, Yueyang</w:t>
      </w:r>
    </w:p>
    <w:p w14:paraId="19200B84" w14:textId="77777777" w:rsidR="00AD7443" w:rsidRPr="00AD7443" w:rsidRDefault="00AD7443" w:rsidP="00A302C8">
      <w:pPr>
        <w:spacing w:after="0" w:line="240" w:lineRule="auto"/>
        <w:ind w:left="993"/>
        <w:rPr>
          <w:rFonts w:cstheme="minorHAnsi"/>
          <w:b/>
          <w:iCs/>
          <w:lang w:val="fr-FR"/>
        </w:rPr>
      </w:pPr>
      <w:r w:rsidRPr="00AD7443">
        <w:rPr>
          <w:b/>
          <w:lang w:val="fr-FR"/>
        </w:rPr>
        <w:t>France : Abbeville, Arles, Hampigny</w:t>
      </w:r>
    </w:p>
    <w:p w14:paraId="7D66933A" w14:textId="77777777" w:rsidR="00AD7443" w:rsidRPr="00AD7443" w:rsidRDefault="00AD7443" w:rsidP="00A302C8">
      <w:pPr>
        <w:spacing w:after="0" w:line="240" w:lineRule="auto"/>
        <w:ind w:left="993"/>
        <w:rPr>
          <w:rFonts w:cstheme="minorHAnsi"/>
          <w:b/>
          <w:iCs/>
          <w:lang w:val="fr-FR"/>
        </w:rPr>
      </w:pPr>
      <w:r w:rsidRPr="00AD7443">
        <w:rPr>
          <w:b/>
          <w:lang w:val="fr-FR"/>
        </w:rPr>
        <w:t>Inde : Indore, Udaipur</w:t>
      </w:r>
    </w:p>
    <w:p w14:paraId="632B14D3" w14:textId="77777777" w:rsidR="00AD7443" w:rsidRPr="00AD7443" w:rsidRDefault="00AD7443" w:rsidP="00A302C8">
      <w:pPr>
        <w:spacing w:after="0" w:line="240" w:lineRule="auto"/>
        <w:ind w:left="993"/>
        <w:rPr>
          <w:rFonts w:cstheme="minorHAnsi"/>
          <w:b/>
          <w:iCs/>
          <w:lang w:val="fr-FR"/>
        </w:rPr>
      </w:pPr>
      <w:r w:rsidRPr="00AD7443">
        <w:rPr>
          <w:b/>
          <w:lang w:val="fr-FR"/>
        </w:rPr>
        <w:t>Iran (République islamique d’) : Babol, Bandar Kiashar, Gandoman</w:t>
      </w:r>
    </w:p>
    <w:p w14:paraId="06CACD21" w14:textId="3A09FF8E" w:rsidR="00AD7443" w:rsidRPr="00AD7443" w:rsidRDefault="00AD7443" w:rsidP="00A302C8">
      <w:pPr>
        <w:spacing w:after="0" w:line="240" w:lineRule="auto"/>
        <w:ind w:left="993"/>
        <w:rPr>
          <w:rFonts w:cstheme="minorHAnsi"/>
          <w:b/>
          <w:iCs/>
          <w:lang w:val="fr-FR"/>
        </w:rPr>
      </w:pPr>
      <w:r w:rsidRPr="00AD7443">
        <w:rPr>
          <w:b/>
          <w:lang w:val="fr-FR"/>
        </w:rPr>
        <w:t>Japon : Nagoya</w:t>
      </w:r>
    </w:p>
    <w:p w14:paraId="2D2C22BD" w14:textId="77777777" w:rsidR="00AD7443" w:rsidRPr="00AD7443" w:rsidRDefault="00AD7443" w:rsidP="00A302C8">
      <w:pPr>
        <w:spacing w:after="0" w:line="240" w:lineRule="auto"/>
        <w:ind w:left="993"/>
        <w:rPr>
          <w:rFonts w:cstheme="minorHAnsi"/>
          <w:b/>
          <w:iCs/>
          <w:lang w:val="fr-FR"/>
        </w:rPr>
      </w:pPr>
      <w:r w:rsidRPr="00AD7443">
        <w:rPr>
          <w:b/>
          <w:lang w:val="fr-FR"/>
        </w:rPr>
        <w:t>Maroc : Mehdia</w:t>
      </w:r>
    </w:p>
    <w:p w14:paraId="113D6589" w14:textId="2C9DC2C7" w:rsidR="00AD7443" w:rsidRPr="00AD7443" w:rsidRDefault="00AD7443" w:rsidP="00A302C8">
      <w:pPr>
        <w:spacing w:after="0" w:line="240" w:lineRule="auto"/>
        <w:ind w:left="993"/>
        <w:rPr>
          <w:rFonts w:cstheme="minorHAnsi"/>
          <w:b/>
          <w:iCs/>
          <w:lang w:val="fr-FR"/>
        </w:rPr>
      </w:pPr>
      <w:r w:rsidRPr="00AD7443">
        <w:rPr>
          <w:b/>
          <w:lang w:val="fr-FR"/>
        </w:rPr>
        <w:t>Philippines : Balanga</w:t>
      </w:r>
    </w:p>
    <w:p w14:paraId="7B6CE712" w14:textId="77777777" w:rsidR="00AD7443" w:rsidRPr="00AD7443" w:rsidRDefault="00AD7443" w:rsidP="00A302C8">
      <w:pPr>
        <w:spacing w:after="0" w:line="240" w:lineRule="auto"/>
        <w:ind w:left="993"/>
        <w:rPr>
          <w:rFonts w:cstheme="minorHAnsi"/>
          <w:b/>
          <w:iCs/>
          <w:lang w:val="fr-FR"/>
        </w:rPr>
      </w:pPr>
      <w:r w:rsidRPr="00AD7443">
        <w:rPr>
          <w:b/>
          <w:lang w:val="fr-FR"/>
        </w:rPr>
        <w:t>Pologne : Poznan</w:t>
      </w:r>
    </w:p>
    <w:p w14:paraId="1BE9A77C"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Gimhae, Mungyeong</w:t>
      </w:r>
    </w:p>
    <w:p w14:paraId="6DCB02F5" w14:textId="77777777" w:rsidR="00AD7443" w:rsidRPr="00AD7443" w:rsidRDefault="00AD7443" w:rsidP="00A302C8">
      <w:pPr>
        <w:spacing w:after="0" w:line="240" w:lineRule="auto"/>
        <w:ind w:left="993"/>
        <w:rPr>
          <w:rFonts w:cstheme="minorHAnsi"/>
          <w:b/>
          <w:iCs/>
          <w:lang w:val="fr-FR"/>
        </w:rPr>
      </w:pPr>
      <w:r w:rsidRPr="00AD7443">
        <w:rPr>
          <w:b/>
          <w:lang w:val="fr-FR"/>
        </w:rPr>
        <w:t>Serbie : Novi Sad</w:t>
      </w:r>
    </w:p>
    <w:p w14:paraId="203D52B6" w14:textId="77777777" w:rsidR="00AD7443" w:rsidRPr="00AD7443" w:rsidRDefault="00AD7443" w:rsidP="00A302C8">
      <w:pPr>
        <w:spacing w:after="0" w:line="240" w:lineRule="auto"/>
        <w:ind w:left="993"/>
        <w:rPr>
          <w:rFonts w:cstheme="minorHAnsi"/>
          <w:b/>
          <w:iCs/>
          <w:lang w:val="fr-FR"/>
        </w:rPr>
      </w:pPr>
      <w:r w:rsidRPr="00AD7443">
        <w:rPr>
          <w:b/>
          <w:lang w:val="fr-FR"/>
        </w:rPr>
        <w:t>Suisse : Canton de Genève</w:t>
      </w:r>
    </w:p>
    <w:p w14:paraId="6B9AE48F" w14:textId="77777777" w:rsidR="00AD7443" w:rsidRDefault="00AD7443" w:rsidP="00A302C8">
      <w:pPr>
        <w:spacing w:after="0" w:line="240" w:lineRule="auto"/>
        <w:ind w:left="993"/>
        <w:rPr>
          <w:b/>
          <w:lang w:val="fr-FR"/>
        </w:rPr>
      </w:pPr>
      <w:r w:rsidRPr="00AD7443">
        <w:rPr>
          <w:b/>
          <w:lang w:val="fr-FR"/>
        </w:rPr>
        <w:t>Zimbabwe : Victoria Falls</w:t>
      </w:r>
    </w:p>
    <w:p w14:paraId="0BFE25DD" w14:textId="77777777" w:rsidR="00905C49" w:rsidRPr="00AD7443" w:rsidRDefault="00905C49" w:rsidP="00A302C8">
      <w:pPr>
        <w:spacing w:after="0" w:line="240" w:lineRule="auto"/>
        <w:ind w:left="993"/>
        <w:rPr>
          <w:rFonts w:cstheme="minorHAnsi"/>
          <w:b/>
          <w:iCs/>
          <w:lang w:val="fr-FR"/>
        </w:rPr>
      </w:pPr>
    </w:p>
    <w:p w14:paraId="303F36FD" w14:textId="58C5AC1D" w:rsidR="00AD7443" w:rsidRPr="00AD7443" w:rsidRDefault="00AD7443" w:rsidP="00A302C8">
      <w:pPr>
        <w:spacing w:after="0" w:line="240" w:lineRule="auto"/>
        <w:ind w:left="567"/>
        <w:rPr>
          <w:rFonts w:cstheme="minorHAnsi"/>
          <w:b/>
          <w:iCs/>
          <w:lang w:val="fr-FR"/>
        </w:rPr>
      </w:pPr>
      <w:r w:rsidRPr="00AD7443">
        <w:rPr>
          <w:b/>
          <w:lang w:val="fr-FR"/>
        </w:rPr>
        <w:t xml:space="preserve">Villes dont </w:t>
      </w:r>
      <w:r w:rsidR="00905C49">
        <w:rPr>
          <w:b/>
          <w:lang w:val="fr-FR"/>
        </w:rPr>
        <w:t>le label</w:t>
      </w:r>
      <w:r w:rsidRPr="00AD7443">
        <w:rPr>
          <w:b/>
          <w:lang w:val="fr-FR"/>
        </w:rPr>
        <w:t xml:space="preserve"> a été renouvelé :</w:t>
      </w:r>
    </w:p>
    <w:p w14:paraId="042D5743" w14:textId="77777777" w:rsidR="00AD7443" w:rsidRPr="00AD7443" w:rsidRDefault="00AD7443" w:rsidP="00A302C8">
      <w:pPr>
        <w:spacing w:after="0" w:line="240" w:lineRule="auto"/>
        <w:ind w:left="993"/>
        <w:rPr>
          <w:rFonts w:cstheme="minorHAnsi"/>
          <w:b/>
          <w:iCs/>
          <w:lang w:val="fr-FR"/>
        </w:rPr>
      </w:pPr>
      <w:r w:rsidRPr="00AD7443">
        <w:rPr>
          <w:b/>
          <w:lang w:val="fr-FR"/>
        </w:rPr>
        <w:t>Chine : Changde, Changshu, Dongying, Haikou, Harbin, Yinchuan</w:t>
      </w:r>
    </w:p>
    <w:p w14:paraId="5A796687" w14:textId="77777777" w:rsidR="00AD7443" w:rsidRPr="00AD7443" w:rsidRDefault="00AD7443" w:rsidP="00A302C8">
      <w:pPr>
        <w:spacing w:after="0" w:line="240" w:lineRule="auto"/>
        <w:ind w:left="993"/>
        <w:rPr>
          <w:rFonts w:cstheme="minorHAnsi"/>
          <w:b/>
          <w:iCs/>
          <w:lang w:val="fr-FR"/>
        </w:rPr>
      </w:pPr>
      <w:r w:rsidRPr="00AD7443">
        <w:rPr>
          <w:b/>
          <w:lang w:val="fr-FR"/>
        </w:rPr>
        <w:t>France : Amiens, Courteranges, Pont-Audemer, Saint-Omer</w:t>
      </w:r>
    </w:p>
    <w:p w14:paraId="7E5F23ED" w14:textId="77777777" w:rsidR="00AD7443" w:rsidRPr="00AD7443" w:rsidRDefault="00AD7443" w:rsidP="00A302C8">
      <w:pPr>
        <w:spacing w:after="0" w:line="240" w:lineRule="auto"/>
        <w:ind w:left="993"/>
        <w:rPr>
          <w:rFonts w:cstheme="minorHAnsi"/>
          <w:b/>
          <w:iCs/>
          <w:lang w:val="fr-FR"/>
        </w:rPr>
      </w:pPr>
      <w:r w:rsidRPr="00AD7443">
        <w:rPr>
          <w:b/>
          <w:lang w:val="fr-FR"/>
        </w:rPr>
        <w:t>Hongrie : Tata</w:t>
      </w:r>
    </w:p>
    <w:p w14:paraId="22F247F7" w14:textId="77777777" w:rsidR="00AD7443" w:rsidRPr="00AD7443" w:rsidRDefault="00AD7443" w:rsidP="00A302C8">
      <w:pPr>
        <w:spacing w:after="0" w:line="240" w:lineRule="auto"/>
        <w:ind w:left="993"/>
        <w:rPr>
          <w:rFonts w:cstheme="minorHAnsi"/>
          <w:b/>
          <w:iCs/>
          <w:lang w:val="fr-FR"/>
        </w:rPr>
      </w:pPr>
      <w:r w:rsidRPr="00AD7443">
        <w:rPr>
          <w:b/>
          <w:lang w:val="fr-FR"/>
        </w:rPr>
        <w:t>Madagascar : Mitsinjo</w:t>
      </w:r>
    </w:p>
    <w:p w14:paraId="43BF94CA" w14:textId="77777777" w:rsidR="00AD7443" w:rsidRPr="00AD7443" w:rsidRDefault="00AD7443" w:rsidP="00A302C8">
      <w:pPr>
        <w:spacing w:after="0" w:line="240" w:lineRule="auto"/>
        <w:ind w:left="993"/>
        <w:rPr>
          <w:rFonts w:cstheme="minorHAnsi"/>
          <w:b/>
          <w:iCs/>
          <w:lang w:val="fr-FR"/>
        </w:rPr>
      </w:pPr>
      <w:r w:rsidRPr="00AD7443">
        <w:rPr>
          <w:b/>
          <w:lang w:val="fr-FR"/>
        </w:rPr>
        <w:t>République de Corée : Changnyeong, Inje, Jeju, Suncheon</w:t>
      </w:r>
    </w:p>
    <w:p w14:paraId="27BBDCDB" w14:textId="77777777" w:rsidR="00AD7443" w:rsidRPr="005E5D2B" w:rsidRDefault="00AD7443" w:rsidP="00A302C8">
      <w:pPr>
        <w:spacing w:after="0" w:line="240" w:lineRule="auto"/>
        <w:ind w:left="993"/>
        <w:rPr>
          <w:rFonts w:cstheme="minorHAnsi"/>
          <w:b/>
          <w:iCs/>
          <w:lang w:val="es-ES"/>
        </w:rPr>
      </w:pPr>
      <w:r w:rsidRPr="005E5D2B">
        <w:rPr>
          <w:b/>
          <w:lang w:val="es-ES"/>
        </w:rPr>
        <w:t>Sri Lanka : Colombo</w:t>
      </w:r>
    </w:p>
    <w:p w14:paraId="6D147E5F" w14:textId="77777777" w:rsidR="00AD7443" w:rsidRPr="005E5D2B" w:rsidRDefault="00AD7443" w:rsidP="00A302C8">
      <w:pPr>
        <w:spacing w:after="0" w:line="240" w:lineRule="auto"/>
        <w:ind w:left="993"/>
        <w:rPr>
          <w:rFonts w:cstheme="minorHAnsi"/>
          <w:b/>
          <w:iCs/>
          <w:lang w:val="es-ES"/>
        </w:rPr>
      </w:pPr>
      <w:r w:rsidRPr="005E5D2B">
        <w:rPr>
          <w:b/>
          <w:lang w:val="es-ES"/>
        </w:rPr>
        <w:t>Tunisie : Ghar El Melh</w:t>
      </w:r>
    </w:p>
    <w:p w14:paraId="4640E0EC" w14:textId="77777777" w:rsidR="00AD7443" w:rsidRPr="006B4FFE" w:rsidRDefault="00AD7443" w:rsidP="00A302C8">
      <w:pPr>
        <w:spacing w:after="0" w:line="240" w:lineRule="auto"/>
        <w:rPr>
          <w:rFonts w:cstheme="minorHAnsi"/>
          <w:b/>
          <w:iCs/>
          <w:lang w:val="es-ES"/>
        </w:rPr>
      </w:pPr>
    </w:p>
    <w:p w14:paraId="4201927A"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28 de l’ordre du jour : Mise à jour du Secrétariat sur l’application de la Résolution XIV.20</w:t>
      </w:r>
    </w:p>
    <w:p w14:paraId="37340695" w14:textId="77777777" w:rsidR="00AD7443" w:rsidRPr="00AD7443" w:rsidRDefault="00AD7443" w:rsidP="00A302C8">
      <w:pPr>
        <w:spacing w:after="0" w:line="240" w:lineRule="auto"/>
        <w:ind w:left="567" w:hanging="567"/>
        <w:rPr>
          <w:rFonts w:cstheme="minorHAnsi"/>
          <w:bCs/>
          <w:lang w:val="fr-FR"/>
        </w:rPr>
      </w:pPr>
    </w:p>
    <w:p w14:paraId="61ED5765" w14:textId="23E8DDD3" w:rsidR="00AD7443" w:rsidRDefault="00AD7443" w:rsidP="00A302C8">
      <w:pPr>
        <w:spacing w:after="0" w:line="240" w:lineRule="auto"/>
        <w:rPr>
          <w:b/>
          <w:lang w:val="fr-FR"/>
        </w:rPr>
      </w:pPr>
      <w:r w:rsidRPr="00AD7443">
        <w:rPr>
          <w:b/>
          <w:lang w:val="fr-FR"/>
        </w:rPr>
        <w:t>Décision SC64-44 : Le Comité permanent prend note de</w:t>
      </w:r>
      <w:r w:rsidR="0019157D">
        <w:rPr>
          <w:b/>
          <w:lang w:val="fr-FR"/>
        </w:rPr>
        <w:t>s informations</w:t>
      </w:r>
      <w:r w:rsidRPr="00AD7443">
        <w:rPr>
          <w:b/>
          <w:lang w:val="fr-FR"/>
        </w:rPr>
        <w:t xml:space="preserve"> du Secrétariat sur l’application de la Résolution XIV.20</w:t>
      </w:r>
      <w:r w:rsidR="0019157D">
        <w:rPr>
          <w:b/>
          <w:lang w:val="fr-FR"/>
        </w:rPr>
        <w:t>,</w:t>
      </w:r>
      <w:r w:rsidRPr="00AD7443">
        <w:rPr>
          <w:b/>
          <w:lang w:val="fr-FR"/>
        </w:rPr>
        <w:t xml:space="preserve"> </w:t>
      </w:r>
      <w:r w:rsidR="0019157D" w:rsidRPr="0019157D">
        <w:rPr>
          <w:b/>
          <w:i/>
          <w:iCs/>
          <w:lang w:val="fr-FR"/>
        </w:rPr>
        <w:t xml:space="preserve">La réponse de la Convention de Ramsar à l’urgence </w:t>
      </w:r>
      <w:r w:rsidR="0019157D" w:rsidRPr="0019157D">
        <w:rPr>
          <w:b/>
          <w:i/>
          <w:iCs/>
          <w:lang w:val="fr-FR"/>
        </w:rPr>
        <w:lastRenderedPageBreak/>
        <w:t>environnementale en Ukraine liée aux dommages causés aux zones humides d’importance internationale du pays (Sites Ramsar) à la suite de l’agression de la Fédération de Russie</w:t>
      </w:r>
      <w:r w:rsidRPr="00AD7443">
        <w:rPr>
          <w:b/>
          <w:lang w:val="fr-FR"/>
        </w:rPr>
        <w:t>.</w:t>
      </w:r>
    </w:p>
    <w:p w14:paraId="0E72D15F" w14:textId="77777777" w:rsidR="0019157D" w:rsidRPr="00AD7443" w:rsidRDefault="0019157D" w:rsidP="00A302C8">
      <w:pPr>
        <w:spacing w:after="0" w:line="240" w:lineRule="auto"/>
        <w:rPr>
          <w:rFonts w:cstheme="minorHAnsi"/>
          <w:b/>
          <w:iCs/>
          <w:lang w:val="fr-FR"/>
        </w:rPr>
      </w:pPr>
    </w:p>
    <w:p w14:paraId="693EB2A7" w14:textId="6A265FE2"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30 de l’ordre du jour : Dates et lieu de la 65</w:t>
      </w:r>
      <w:r w:rsidRPr="00AD7443">
        <w:rPr>
          <w:vertAlign w:val="superscript"/>
          <w:lang w:val="fr-FR"/>
        </w:rPr>
        <w:t>e</w:t>
      </w:r>
      <w:r w:rsidRPr="00AD7443">
        <w:rPr>
          <w:lang w:val="fr-FR"/>
        </w:rPr>
        <w:t xml:space="preserve"> et de la 66</w:t>
      </w:r>
      <w:r w:rsidRPr="00AD7443">
        <w:rPr>
          <w:vertAlign w:val="superscript"/>
          <w:lang w:val="fr-FR"/>
        </w:rPr>
        <w:t>e</w:t>
      </w:r>
      <w:r w:rsidRPr="00AD7443">
        <w:rPr>
          <w:lang w:val="fr-FR"/>
        </w:rPr>
        <w:t> </w:t>
      </w:r>
      <w:r w:rsidR="0019157D">
        <w:rPr>
          <w:lang w:val="fr-FR"/>
        </w:rPr>
        <w:t>R</w:t>
      </w:r>
      <w:r w:rsidRPr="00AD7443">
        <w:rPr>
          <w:lang w:val="fr-FR"/>
        </w:rPr>
        <w:t>éunions du Comité permanent</w:t>
      </w:r>
    </w:p>
    <w:p w14:paraId="39C9DAA9" w14:textId="77777777" w:rsidR="00AD7443" w:rsidRPr="00AD7443" w:rsidRDefault="00AD7443" w:rsidP="00A302C8">
      <w:pPr>
        <w:spacing w:after="0" w:line="240" w:lineRule="auto"/>
        <w:ind w:left="567" w:hanging="567"/>
        <w:rPr>
          <w:rFonts w:cstheme="minorHAnsi"/>
          <w:bCs/>
          <w:lang w:val="fr-FR"/>
        </w:rPr>
      </w:pPr>
    </w:p>
    <w:p w14:paraId="0FD6484F" w14:textId="42B4F106" w:rsidR="00AD7443" w:rsidRPr="00AD7443" w:rsidRDefault="00AD7443" w:rsidP="00A302C8">
      <w:pPr>
        <w:spacing w:after="0" w:line="240" w:lineRule="auto"/>
        <w:rPr>
          <w:rFonts w:cstheme="minorHAnsi"/>
          <w:b/>
          <w:iCs/>
          <w:lang w:val="fr-FR"/>
        </w:rPr>
      </w:pPr>
      <w:r w:rsidRPr="00AD7443">
        <w:rPr>
          <w:b/>
          <w:lang w:val="fr-FR"/>
        </w:rPr>
        <w:t xml:space="preserve">Décision SC64-45 : Le Comité permanent décide de tenir </w:t>
      </w:r>
      <w:r w:rsidR="0019157D">
        <w:rPr>
          <w:b/>
          <w:lang w:val="fr-FR"/>
        </w:rPr>
        <w:t>s</w:t>
      </w:r>
      <w:r w:rsidRPr="00AD7443">
        <w:rPr>
          <w:b/>
          <w:lang w:val="fr-FR"/>
        </w:rPr>
        <w:t>a 65</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23 juillet 2025 et </w:t>
      </w:r>
      <w:r w:rsidR="0019157D">
        <w:rPr>
          <w:b/>
          <w:lang w:val="fr-FR"/>
        </w:rPr>
        <w:t>s</w:t>
      </w:r>
      <w:r w:rsidRPr="00AD7443">
        <w:rPr>
          <w:b/>
          <w:lang w:val="fr-FR"/>
        </w:rPr>
        <w:t>a 66</w:t>
      </w:r>
      <w:r w:rsidRPr="00AD7443">
        <w:rPr>
          <w:b/>
          <w:vertAlign w:val="superscript"/>
          <w:lang w:val="fr-FR"/>
        </w:rPr>
        <w:t>e</w:t>
      </w:r>
      <w:r w:rsidRPr="00AD7443">
        <w:rPr>
          <w:b/>
          <w:lang w:val="fr-FR"/>
        </w:rPr>
        <w:t> </w:t>
      </w:r>
      <w:r w:rsidR="0019157D">
        <w:rPr>
          <w:b/>
          <w:lang w:val="fr-FR"/>
        </w:rPr>
        <w:t>R</w:t>
      </w:r>
      <w:r w:rsidRPr="00AD7443">
        <w:rPr>
          <w:b/>
          <w:lang w:val="fr-FR"/>
        </w:rPr>
        <w:t xml:space="preserve">éunion le 31 juillet 2025. </w:t>
      </w:r>
      <w:r w:rsidR="0019157D">
        <w:rPr>
          <w:b/>
          <w:lang w:val="fr-FR"/>
        </w:rPr>
        <w:t>Toutes</w:t>
      </w:r>
      <w:r w:rsidRPr="00AD7443">
        <w:rPr>
          <w:b/>
          <w:lang w:val="fr-FR"/>
        </w:rPr>
        <w:t xml:space="preserve"> deux se tiendront à Victoria Falls, Zimbabwe.</w:t>
      </w:r>
    </w:p>
    <w:p w14:paraId="4DC9BAE0" w14:textId="77777777" w:rsidR="00AD7443" w:rsidRPr="00AD7443" w:rsidRDefault="00AD7443" w:rsidP="00A302C8">
      <w:pPr>
        <w:spacing w:after="0" w:line="240" w:lineRule="auto"/>
        <w:ind w:left="567" w:hanging="567"/>
        <w:rPr>
          <w:rFonts w:cstheme="minorHAnsi"/>
          <w:bCs/>
          <w:lang w:val="fr-FR"/>
        </w:rPr>
      </w:pPr>
    </w:p>
    <w:p w14:paraId="4F12F75E" w14:textId="77777777" w:rsidR="00AD7443" w:rsidRPr="00AD7443" w:rsidRDefault="00AD7443" w:rsidP="00A302C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AD7443">
        <w:rPr>
          <w:lang w:val="fr-FR"/>
        </w:rPr>
        <w:t>Point 32 de l’ordre du jour : Divers</w:t>
      </w:r>
    </w:p>
    <w:p w14:paraId="5595517F" w14:textId="77777777" w:rsidR="00AD7443" w:rsidRPr="00AD7443" w:rsidRDefault="00AD7443" w:rsidP="00A302C8">
      <w:pPr>
        <w:spacing w:after="0" w:line="240" w:lineRule="auto"/>
        <w:rPr>
          <w:rFonts w:cstheme="minorHAnsi"/>
          <w:b/>
          <w:iCs/>
          <w:lang w:val="fr-FR"/>
        </w:rPr>
      </w:pPr>
    </w:p>
    <w:p w14:paraId="21011B06" w14:textId="36E3870F" w:rsidR="00AD7443" w:rsidRPr="000707C6" w:rsidRDefault="00AD7443" w:rsidP="000707C6">
      <w:pPr>
        <w:spacing w:after="0" w:line="240" w:lineRule="auto"/>
        <w:rPr>
          <w:rFonts w:cstheme="minorHAnsi"/>
          <w:b/>
          <w:iCs/>
          <w:lang w:val="fr-FR"/>
        </w:rPr>
      </w:pPr>
      <w:r w:rsidRPr="00AD7443">
        <w:rPr>
          <w:b/>
          <w:lang w:val="fr-FR"/>
        </w:rPr>
        <w:t xml:space="preserve">Décision SC64-46 : Le Comité permanent donne instruction au Secrétariat de publier la proposition </w:t>
      </w:r>
      <w:r w:rsidR="00530E6F">
        <w:rPr>
          <w:b/>
          <w:lang w:val="fr-FR"/>
        </w:rPr>
        <w:t>concernant</w:t>
      </w:r>
      <w:r w:rsidRPr="00AD7443">
        <w:rPr>
          <w:b/>
          <w:lang w:val="fr-FR"/>
        </w:rPr>
        <w:t xml:space="preserve"> l’amendement du Règlement intérieur comme document non officiel, d</w:t>
      </w:r>
      <w:r w:rsidR="00530E6F">
        <w:rPr>
          <w:b/>
          <w:lang w:val="fr-FR"/>
        </w:rPr>
        <w:t>’informer toutes les</w:t>
      </w:r>
      <w:r w:rsidRPr="00AD7443">
        <w:rPr>
          <w:b/>
          <w:lang w:val="fr-FR"/>
        </w:rPr>
        <w:t xml:space="preserve"> Parties et de les inviter à faire part de leurs observations.</w:t>
      </w:r>
    </w:p>
    <w:sectPr w:rsidR="00AD7443" w:rsidRPr="000707C6" w:rsidSect="00F03D5B">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AE81" w14:textId="77777777" w:rsidR="007E7BAA" w:rsidRDefault="007E7BAA" w:rsidP="0021462B">
      <w:pPr>
        <w:spacing w:after="0" w:line="240" w:lineRule="auto"/>
      </w:pPr>
      <w:r>
        <w:separator/>
      </w:r>
    </w:p>
  </w:endnote>
  <w:endnote w:type="continuationSeparator" w:id="0">
    <w:p w14:paraId="0DFDB13A" w14:textId="77777777" w:rsidR="007E7BAA" w:rsidRDefault="007E7BAA" w:rsidP="0021462B">
      <w:pPr>
        <w:spacing w:after="0" w:line="240" w:lineRule="auto"/>
      </w:pPr>
      <w:r>
        <w:continuationSeparator/>
      </w:r>
    </w:p>
  </w:endnote>
  <w:endnote w:type="continuationNotice" w:id="1">
    <w:p w14:paraId="787358CF" w14:textId="77777777" w:rsidR="007E7BAA" w:rsidRDefault="007E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47443BD1"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w:t>
    </w:r>
    <w:r w:rsidR="00083F16" w:rsidRPr="00571C5A">
      <w:rPr>
        <w:sz w:val="20"/>
        <w:szCs w:val="20"/>
        <w:lang w:val="fr-CH"/>
      </w:rPr>
      <w:t>Décisions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2BC5C" w14:textId="77777777" w:rsidR="007E7BAA" w:rsidRDefault="007E7BAA" w:rsidP="0021462B">
      <w:pPr>
        <w:spacing w:after="0" w:line="240" w:lineRule="auto"/>
      </w:pPr>
      <w:r>
        <w:separator/>
      </w:r>
    </w:p>
  </w:footnote>
  <w:footnote w:type="continuationSeparator" w:id="0">
    <w:p w14:paraId="084368BD" w14:textId="77777777" w:rsidR="007E7BAA" w:rsidRDefault="007E7BAA" w:rsidP="0021462B">
      <w:pPr>
        <w:spacing w:after="0" w:line="240" w:lineRule="auto"/>
      </w:pPr>
      <w:r>
        <w:continuationSeparator/>
      </w:r>
    </w:p>
  </w:footnote>
  <w:footnote w:type="continuationNotice" w:id="1">
    <w:p w14:paraId="6708181A" w14:textId="77777777" w:rsidR="007E7BAA" w:rsidRDefault="007E7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0D2C7730"/>
    <w:multiLevelType w:val="hybridMultilevel"/>
    <w:tmpl w:val="04EE608E"/>
    <w:lvl w:ilvl="0" w:tplc="06E4AB0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134A320C"/>
    <w:multiLevelType w:val="hybridMultilevel"/>
    <w:tmpl w:val="EA488C26"/>
    <w:lvl w:ilvl="0" w:tplc="057EEE46">
      <w:start w:val="1"/>
      <w:numFmt w:val="lowerRoman"/>
      <w:lvlText w:val="%1)"/>
      <w:lvlJc w:val="left"/>
      <w:pPr>
        <w:ind w:left="1080" w:hanging="72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650BC2"/>
    <w:multiLevelType w:val="hybridMultilevel"/>
    <w:tmpl w:val="D4A6A2BE"/>
    <w:lvl w:ilvl="0" w:tplc="5CAEED3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9"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AB40CE"/>
    <w:multiLevelType w:val="hybridMultilevel"/>
    <w:tmpl w:val="7A5825AE"/>
    <w:lvl w:ilvl="0" w:tplc="4926AF1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92E41"/>
    <w:multiLevelType w:val="hybridMultilevel"/>
    <w:tmpl w:val="56EE3F76"/>
    <w:lvl w:ilvl="0" w:tplc="057EEE46">
      <w:start w:val="1"/>
      <w:numFmt w:val="lowerRoman"/>
      <w:lvlText w:val="%1)"/>
      <w:lvlJc w:val="left"/>
      <w:pPr>
        <w:ind w:left="720" w:hanging="360"/>
      </w:pPr>
      <w:rPr>
        <w:rFonts w:ascii="Calibri" w:eastAsiaTheme="minorHAnsi" w:hAnsi="Calibri" w:cs="Calibri"/>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9"/>
  </w:num>
  <w:num w:numId="2" w16cid:durableId="1968004820">
    <w:abstractNumId w:val="12"/>
  </w:num>
  <w:num w:numId="3" w16cid:durableId="1754085589">
    <w:abstractNumId w:val="10"/>
  </w:num>
  <w:num w:numId="4" w16cid:durableId="1615942864">
    <w:abstractNumId w:val="0"/>
  </w:num>
  <w:num w:numId="5" w16cid:durableId="1198350406">
    <w:abstractNumId w:val="20"/>
  </w:num>
  <w:num w:numId="6" w16cid:durableId="753624296">
    <w:abstractNumId w:val="22"/>
  </w:num>
  <w:num w:numId="7" w16cid:durableId="1872066363">
    <w:abstractNumId w:val="15"/>
  </w:num>
  <w:num w:numId="8" w16cid:durableId="1703357674">
    <w:abstractNumId w:val="15"/>
  </w:num>
  <w:num w:numId="9" w16cid:durableId="142696298">
    <w:abstractNumId w:val="21"/>
  </w:num>
  <w:num w:numId="10" w16cid:durableId="545410482">
    <w:abstractNumId w:val="18"/>
  </w:num>
  <w:num w:numId="11" w16cid:durableId="1170022567">
    <w:abstractNumId w:val="1"/>
  </w:num>
  <w:num w:numId="12" w16cid:durableId="116728870">
    <w:abstractNumId w:val="2"/>
  </w:num>
  <w:num w:numId="13" w16cid:durableId="338393910">
    <w:abstractNumId w:val="8"/>
  </w:num>
  <w:num w:numId="14" w16cid:durableId="1125732709">
    <w:abstractNumId w:val="16"/>
  </w:num>
  <w:num w:numId="15" w16cid:durableId="461071523">
    <w:abstractNumId w:val="17"/>
  </w:num>
  <w:num w:numId="16" w16cid:durableId="748767433">
    <w:abstractNumId w:val="4"/>
  </w:num>
  <w:num w:numId="17" w16cid:durableId="1969167508">
    <w:abstractNumId w:val="9"/>
  </w:num>
  <w:num w:numId="18" w16cid:durableId="736441763">
    <w:abstractNumId w:val="23"/>
  </w:num>
  <w:num w:numId="19" w16cid:durableId="521020284">
    <w:abstractNumId w:val="14"/>
  </w:num>
  <w:num w:numId="20" w16cid:durableId="543714467">
    <w:abstractNumId w:val="5"/>
  </w:num>
  <w:num w:numId="21" w16cid:durableId="1810050388">
    <w:abstractNumId w:val="7"/>
  </w:num>
  <w:num w:numId="22" w16cid:durableId="1098597578">
    <w:abstractNumId w:val="13"/>
  </w:num>
  <w:num w:numId="23" w16cid:durableId="822695615">
    <w:abstractNumId w:val="6"/>
  </w:num>
  <w:num w:numId="24" w16cid:durableId="456611451">
    <w:abstractNumId w:val="3"/>
  </w:num>
  <w:num w:numId="25" w16cid:durableId="77248080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1D36"/>
    <w:rsid w:val="000142BE"/>
    <w:rsid w:val="00015DBE"/>
    <w:rsid w:val="00016428"/>
    <w:rsid w:val="0002754A"/>
    <w:rsid w:val="00033DBB"/>
    <w:rsid w:val="00035341"/>
    <w:rsid w:val="0003654E"/>
    <w:rsid w:val="00037E1E"/>
    <w:rsid w:val="00040BFC"/>
    <w:rsid w:val="00041D60"/>
    <w:rsid w:val="00043ED1"/>
    <w:rsid w:val="00046FF0"/>
    <w:rsid w:val="0004723F"/>
    <w:rsid w:val="00051460"/>
    <w:rsid w:val="00051BE0"/>
    <w:rsid w:val="00052163"/>
    <w:rsid w:val="000523B2"/>
    <w:rsid w:val="00052A2A"/>
    <w:rsid w:val="00054337"/>
    <w:rsid w:val="000569B7"/>
    <w:rsid w:val="00065BF8"/>
    <w:rsid w:val="00065D01"/>
    <w:rsid w:val="00067B29"/>
    <w:rsid w:val="000707C6"/>
    <w:rsid w:val="000732FB"/>
    <w:rsid w:val="00075ACA"/>
    <w:rsid w:val="0008003D"/>
    <w:rsid w:val="0008257D"/>
    <w:rsid w:val="00083F16"/>
    <w:rsid w:val="00084737"/>
    <w:rsid w:val="00086DB6"/>
    <w:rsid w:val="00093E6F"/>
    <w:rsid w:val="00094BD4"/>
    <w:rsid w:val="00095D7A"/>
    <w:rsid w:val="00096C8C"/>
    <w:rsid w:val="000A5475"/>
    <w:rsid w:val="000A5B19"/>
    <w:rsid w:val="000A7322"/>
    <w:rsid w:val="000A739B"/>
    <w:rsid w:val="000B5097"/>
    <w:rsid w:val="000B5744"/>
    <w:rsid w:val="000C10BB"/>
    <w:rsid w:val="000C31CF"/>
    <w:rsid w:val="000C6501"/>
    <w:rsid w:val="000C794A"/>
    <w:rsid w:val="000D1722"/>
    <w:rsid w:val="000D4719"/>
    <w:rsid w:val="000D6619"/>
    <w:rsid w:val="000E0629"/>
    <w:rsid w:val="000E0A2A"/>
    <w:rsid w:val="000E0A38"/>
    <w:rsid w:val="000E0D43"/>
    <w:rsid w:val="000E1B66"/>
    <w:rsid w:val="000E1F64"/>
    <w:rsid w:val="000E2268"/>
    <w:rsid w:val="000E621C"/>
    <w:rsid w:val="000F08CF"/>
    <w:rsid w:val="000F0DA6"/>
    <w:rsid w:val="000F1F63"/>
    <w:rsid w:val="000F6A3D"/>
    <w:rsid w:val="000F768E"/>
    <w:rsid w:val="000F7874"/>
    <w:rsid w:val="000F7F76"/>
    <w:rsid w:val="00103CC5"/>
    <w:rsid w:val="001048C0"/>
    <w:rsid w:val="00105953"/>
    <w:rsid w:val="0010689C"/>
    <w:rsid w:val="00107E83"/>
    <w:rsid w:val="00111AE4"/>
    <w:rsid w:val="00111BA3"/>
    <w:rsid w:val="00111E9F"/>
    <w:rsid w:val="0011266F"/>
    <w:rsid w:val="001131DC"/>
    <w:rsid w:val="00113818"/>
    <w:rsid w:val="00120AAD"/>
    <w:rsid w:val="00121238"/>
    <w:rsid w:val="00121C24"/>
    <w:rsid w:val="00125D77"/>
    <w:rsid w:val="001266DB"/>
    <w:rsid w:val="00130E47"/>
    <w:rsid w:val="00131D19"/>
    <w:rsid w:val="00132B8C"/>
    <w:rsid w:val="00135706"/>
    <w:rsid w:val="00135C9D"/>
    <w:rsid w:val="00141FBB"/>
    <w:rsid w:val="0014221A"/>
    <w:rsid w:val="001436BD"/>
    <w:rsid w:val="00143961"/>
    <w:rsid w:val="0014634B"/>
    <w:rsid w:val="001508BF"/>
    <w:rsid w:val="001515FC"/>
    <w:rsid w:val="00151765"/>
    <w:rsid w:val="001522AD"/>
    <w:rsid w:val="00152DA6"/>
    <w:rsid w:val="0015615C"/>
    <w:rsid w:val="00156509"/>
    <w:rsid w:val="00163ED4"/>
    <w:rsid w:val="00171731"/>
    <w:rsid w:val="0017223F"/>
    <w:rsid w:val="0017411A"/>
    <w:rsid w:val="001754A6"/>
    <w:rsid w:val="00181263"/>
    <w:rsid w:val="00181E71"/>
    <w:rsid w:val="001833DC"/>
    <w:rsid w:val="00185088"/>
    <w:rsid w:val="001868C3"/>
    <w:rsid w:val="00186C2A"/>
    <w:rsid w:val="0019157D"/>
    <w:rsid w:val="001921B0"/>
    <w:rsid w:val="00194CAC"/>
    <w:rsid w:val="00197D9D"/>
    <w:rsid w:val="001A0231"/>
    <w:rsid w:val="001A1050"/>
    <w:rsid w:val="001A10DC"/>
    <w:rsid w:val="001A1A5D"/>
    <w:rsid w:val="001A38D1"/>
    <w:rsid w:val="001A6274"/>
    <w:rsid w:val="001A7E24"/>
    <w:rsid w:val="001B1CCF"/>
    <w:rsid w:val="001B6B1A"/>
    <w:rsid w:val="001C1DBE"/>
    <w:rsid w:val="001C24DC"/>
    <w:rsid w:val="001C25CD"/>
    <w:rsid w:val="001C643C"/>
    <w:rsid w:val="001C67B1"/>
    <w:rsid w:val="001C70EF"/>
    <w:rsid w:val="001D07DD"/>
    <w:rsid w:val="001D129D"/>
    <w:rsid w:val="001D1935"/>
    <w:rsid w:val="001D1B28"/>
    <w:rsid w:val="001D7A2A"/>
    <w:rsid w:val="001E185F"/>
    <w:rsid w:val="001E31B7"/>
    <w:rsid w:val="001E7082"/>
    <w:rsid w:val="001E7F06"/>
    <w:rsid w:val="001F0F3A"/>
    <w:rsid w:val="001F2EA4"/>
    <w:rsid w:val="001F461D"/>
    <w:rsid w:val="0020322B"/>
    <w:rsid w:val="002035A8"/>
    <w:rsid w:val="00203F18"/>
    <w:rsid w:val="00204321"/>
    <w:rsid w:val="0020647A"/>
    <w:rsid w:val="00211A0E"/>
    <w:rsid w:val="00212BA9"/>
    <w:rsid w:val="00213A8D"/>
    <w:rsid w:val="0021462B"/>
    <w:rsid w:val="00217B9E"/>
    <w:rsid w:val="00220911"/>
    <w:rsid w:val="00221343"/>
    <w:rsid w:val="002242D5"/>
    <w:rsid w:val="00230E2A"/>
    <w:rsid w:val="00231C29"/>
    <w:rsid w:val="00234087"/>
    <w:rsid w:val="00234A2B"/>
    <w:rsid w:val="00242978"/>
    <w:rsid w:val="0024341A"/>
    <w:rsid w:val="002452E7"/>
    <w:rsid w:val="00250708"/>
    <w:rsid w:val="0025236F"/>
    <w:rsid w:val="00253263"/>
    <w:rsid w:val="0025494A"/>
    <w:rsid w:val="002566E0"/>
    <w:rsid w:val="00260CB8"/>
    <w:rsid w:val="002612B3"/>
    <w:rsid w:val="002620FA"/>
    <w:rsid w:val="002623E8"/>
    <w:rsid w:val="002642A3"/>
    <w:rsid w:val="002671A8"/>
    <w:rsid w:val="002676BB"/>
    <w:rsid w:val="00276E19"/>
    <w:rsid w:val="00277224"/>
    <w:rsid w:val="00277425"/>
    <w:rsid w:val="002813FB"/>
    <w:rsid w:val="00282E54"/>
    <w:rsid w:val="002833B3"/>
    <w:rsid w:val="00285EBF"/>
    <w:rsid w:val="002870F8"/>
    <w:rsid w:val="00290674"/>
    <w:rsid w:val="00292A6F"/>
    <w:rsid w:val="00294A7E"/>
    <w:rsid w:val="0029655A"/>
    <w:rsid w:val="002A1752"/>
    <w:rsid w:val="002A609F"/>
    <w:rsid w:val="002A7BA4"/>
    <w:rsid w:val="002B1C9D"/>
    <w:rsid w:val="002B333B"/>
    <w:rsid w:val="002B3B51"/>
    <w:rsid w:val="002B506E"/>
    <w:rsid w:val="002B5D8A"/>
    <w:rsid w:val="002C1614"/>
    <w:rsid w:val="002C18F1"/>
    <w:rsid w:val="002C1D8B"/>
    <w:rsid w:val="002C46E8"/>
    <w:rsid w:val="002C5337"/>
    <w:rsid w:val="002D1710"/>
    <w:rsid w:val="002D1A0A"/>
    <w:rsid w:val="002D3C07"/>
    <w:rsid w:val="002D4184"/>
    <w:rsid w:val="002D612E"/>
    <w:rsid w:val="002D70BA"/>
    <w:rsid w:val="002E18AD"/>
    <w:rsid w:val="002E3F8A"/>
    <w:rsid w:val="002E7E09"/>
    <w:rsid w:val="002F1149"/>
    <w:rsid w:val="002F140C"/>
    <w:rsid w:val="002F3870"/>
    <w:rsid w:val="002F584E"/>
    <w:rsid w:val="00300945"/>
    <w:rsid w:val="003016BC"/>
    <w:rsid w:val="00303762"/>
    <w:rsid w:val="0030393F"/>
    <w:rsid w:val="00304F3C"/>
    <w:rsid w:val="00306B82"/>
    <w:rsid w:val="00307696"/>
    <w:rsid w:val="003105BD"/>
    <w:rsid w:val="003110EB"/>
    <w:rsid w:val="00311209"/>
    <w:rsid w:val="00311AE1"/>
    <w:rsid w:val="00311EA4"/>
    <w:rsid w:val="00316FB0"/>
    <w:rsid w:val="00322841"/>
    <w:rsid w:val="00322898"/>
    <w:rsid w:val="0032300E"/>
    <w:rsid w:val="00324094"/>
    <w:rsid w:val="0032759D"/>
    <w:rsid w:val="00327F5B"/>
    <w:rsid w:val="0033087B"/>
    <w:rsid w:val="003323C2"/>
    <w:rsid w:val="0033629D"/>
    <w:rsid w:val="003365A5"/>
    <w:rsid w:val="0033696B"/>
    <w:rsid w:val="003370DB"/>
    <w:rsid w:val="00337250"/>
    <w:rsid w:val="0034026E"/>
    <w:rsid w:val="00342FC3"/>
    <w:rsid w:val="00344658"/>
    <w:rsid w:val="00347A93"/>
    <w:rsid w:val="00347B02"/>
    <w:rsid w:val="003509F5"/>
    <w:rsid w:val="00354752"/>
    <w:rsid w:val="00357F37"/>
    <w:rsid w:val="00360D78"/>
    <w:rsid w:val="00362303"/>
    <w:rsid w:val="00362D32"/>
    <w:rsid w:val="00363EAD"/>
    <w:rsid w:val="003649DD"/>
    <w:rsid w:val="003664F9"/>
    <w:rsid w:val="00366660"/>
    <w:rsid w:val="003666D6"/>
    <w:rsid w:val="00367A4B"/>
    <w:rsid w:val="00370B73"/>
    <w:rsid w:val="003713EF"/>
    <w:rsid w:val="0037198A"/>
    <w:rsid w:val="0037435C"/>
    <w:rsid w:val="00374368"/>
    <w:rsid w:val="00376AEA"/>
    <w:rsid w:val="00387A1D"/>
    <w:rsid w:val="003900EF"/>
    <w:rsid w:val="00396ADF"/>
    <w:rsid w:val="003A04DC"/>
    <w:rsid w:val="003A26AF"/>
    <w:rsid w:val="003B2460"/>
    <w:rsid w:val="003B3F49"/>
    <w:rsid w:val="003B46E5"/>
    <w:rsid w:val="003B4912"/>
    <w:rsid w:val="003B515C"/>
    <w:rsid w:val="003B546F"/>
    <w:rsid w:val="003B6C18"/>
    <w:rsid w:val="003B7781"/>
    <w:rsid w:val="003B7CD2"/>
    <w:rsid w:val="003C0E3F"/>
    <w:rsid w:val="003C2124"/>
    <w:rsid w:val="003C32B7"/>
    <w:rsid w:val="003C35C9"/>
    <w:rsid w:val="003C4862"/>
    <w:rsid w:val="003D4A6C"/>
    <w:rsid w:val="003D5D1A"/>
    <w:rsid w:val="003D67D9"/>
    <w:rsid w:val="003E218D"/>
    <w:rsid w:val="003E494E"/>
    <w:rsid w:val="003E51E2"/>
    <w:rsid w:val="003E584F"/>
    <w:rsid w:val="003E6857"/>
    <w:rsid w:val="003F0774"/>
    <w:rsid w:val="003F38B7"/>
    <w:rsid w:val="003F6F4D"/>
    <w:rsid w:val="003F7799"/>
    <w:rsid w:val="00400D96"/>
    <w:rsid w:val="004017C8"/>
    <w:rsid w:val="00403150"/>
    <w:rsid w:val="00403D87"/>
    <w:rsid w:val="00404E27"/>
    <w:rsid w:val="00405D3F"/>
    <w:rsid w:val="00407078"/>
    <w:rsid w:val="00407B51"/>
    <w:rsid w:val="0041000E"/>
    <w:rsid w:val="004107FC"/>
    <w:rsid w:val="00414485"/>
    <w:rsid w:val="00415885"/>
    <w:rsid w:val="00416BFE"/>
    <w:rsid w:val="004254D7"/>
    <w:rsid w:val="004262A9"/>
    <w:rsid w:val="004275A2"/>
    <w:rsid w:val="00427B3E"/>
    <w:rsid w:val="00430514"/>
    <w:rsid w:val="00434D8C"/>
    <w:rsid w:val="00440B38"/>
    <w:rsid w:val="00440C36"/>
    <w:rsid w:val="00442449"/>
    <w:rsid w:val="00444A7F"/>
    <w:rsid w:val="004462D8"/>
    <w:rsid w:val="00446B26"/>
    <w:rsid w:val="00451620"/>
    <w:rsid w:val="0045164E"/>
    <w:rsid w:val="00451F3B"/>
    <w:rsid w:val="0045457C"/>
    <w:rsid w:val="00456B09"/>
    <w:rsid w:val="0046089C"/>
    <w:rsid w:val="004608D6"/>
    <w:rsid w:val="00461318"/>
    <w:rsid w:val="0046198F"/>
    <w:rsid w:val="00464088"/>
    <w:rsid w:val="00465064"/>
    <w:rsid w:val="0046661F"/>
    <w:rsid w:val="00467C04"/>
    <w:rsid w:val="00472A66"/>
    <w:rsid w:val="00472E52"/>
    <w:rsid w:val="00477A22"/>
    <w:rsid w:val="004809B9"/>
    <w:rsid w:val="00480A12"/>
    <w:rsid w:val="004843A4"/>
    <w:rsid w:val="00485C03"/>
    <w:rsid w:val="00485F41"/>
    <w:rsid w:val="00486AD0"/>
    <w:rsid w:val="004872A3"/>
    <w:rsid w:val="004949B5"/>
    <w:rsid w:val="00495AB5"/>
    <w:rsid w:val="004A3EEF"/>
    <w:rsid w:val="004A4BCD"/>
    <w:rsid w:val="004A6446"/>
    <w:rsid w:val="004A6E99"/>
    <w:rsid w:val="004A701D"/>
    <w:rsid w:val="004A7DCC"/>
    <w:rsid w:val="004B12AA"/>
    <w:rsid w:val="004B16FF"/>
    <w:rsid w:val="004B4AAC"/>
    <w:rsid w:val="004C2E9B"/>
    <w:rsid w:val="004C533C"/>
    <w:rsid w:val="004C70BA"/>
    <w:rsid w:val="004D20C6"/>
    <w:rsid w:val="004D446C"/>
    <w:rsid w:val="004E28BD"/>
    <w:rsid w:val="004E2C70"/>
    <w:rsid w:val="004E7434"/>
    <w:rsid w:val="004E7B4B"/>
    <w:rsid w:val="004F28C1"/>
    <w:rsid w:val="005022A4"/>
    <w:rsid w:val="005027FA"/>
    <w:rsid w:val="00510438"/>
    <w:rsid w:val="0051126F"/>
    <w:rsid w:val="0051620D"/>
    <w:rsid w:val="0052232C"/>
    <w:rsid w:val="00525039"/>
    <w:rsid w:val="005256D3"/>
    <w:rsid w:val="00526C01"/>
    <w:rsid w:val="00530E6F"/>
    <w:rsid w:val="0053562B"/>
    <w:rsid w:val="0053592E"/>
    <w:rsid w:val="00536E31"/>
    <w:rsid w:val="00536F33"/>
    <w:rsid w:val="00541CF4"/>
    <w:rsid w:val="00541DD8"/>
    <w:rsid w:val="00543BF9"/>
    <w:rsid w:val="00544A64"/>
    <w:rsid w:val="00545098"/>
    <w:rsid w:val="00545238"/>
    <w:rsid w:val="0054557E"/>
    <w:rsid w:val="0054586E"/>
    <w:rsid w:val="0054722F"/>
    <w:rsid w:val="005502D7"/>
    <w:rsid w:val="00550CBA"/>
    <w:rsid w:val="005539BC"/>
    <w:rsid w:val="00554312"/>
    <w:rsid w:val="00554838"/>
    <w:rsid w:val="00557E77"/>
    <w:rsid w:val="0056121F"/>
    <w:rsid w:val="00561F98"/>
    <w:rsid w:val="00570FBB"/>
    <w:rsid w:val="00571C5A"/>
    <w:rsid w:val="00581487"/>
    <w:rsid w:val="00583A38"/>
    <w:rsid w:val="00584154"/>
    <w:rsid w:val="00584301"/>
    <w:rsid w:val="00585877"/>
    <w:rsid w:val="0058654F"/>
    <w:rsid w:val="00593027"/>
    <w:rsid w:val="005936F1"/>
    <w:rsid w:val="005A3934"/>
    <w:rsid w:val="005A3D2D"/>
    <w:rsid w:val="005A4B27"/>
    <w:rsid w:val="005B0AC0"/>
    <w:rsid w:val="005B4766"/>
    <w:rsid w:val="005B476B"/>
    <w:rsid w:val="005B48FF"/>
    <w:rsid w:val="005B6980"/>
    <w:rsid w:val="005B73D2"/>
    <w:rsid w:val="005C32B7"/>
    <w:rsid w:val="005C3E7C"/>
    <w:rsid w:val="005C4477"/>
    <w:rsid w:val="005C4D95"/>
    <w:rsid w:val="005C54B8"/>
    <w:rsid w:val="005D1FDD"/>
    <w:rsid w:val="005D3F25"/>
    <w:rsid w:val="005D5335"/>
    <w:rsid w:val="005D685F"/>
    <w:rsid w:val="005E1A58"/>
    <w:rsid w:val="005E33B1"/>
    <w:rsid w:val="005E38DF"/>
    <w:rsid w:val="005E445C"/>
    <w:rsid w:val="005E529E"/>
    <w:rsid w:val="005E61C6"/>
    <w:rsid w:val="005E7477"/>
    <w:rsid w:val="005E74E4"/>
    <w:rsid w:val="005E7BFA"/>
    <w:rsid w:val="005F045E"/>
    <w:rsid w:val="005F0EC2"/>
    <w:rsid w:val="005F36E0"/>
    <w:rsid w:val="005F4C17"/>
    <w:rsid w:val="005F5C73"/>
    <w:rsid w:val="005F6C5C"/>
    <w:rsid w:val="005F6ED3"/>
    <w:rsid w:val="005F747C"/>
    <w:rsid w:val="005F74A2"/>
    <w:rsid w:val="006008CB"/>
    <w:rsid w:val="00600CB6"/>
    <w:rsid w:val="00601B54"/>
    <w:rsid w:val="0061113C"/>
    <w:rsid w:val="006139F3"/>
    <w:rsid w:val="006173AB"/>
    <w:rsid w:val="006208DD"/>
    <w:rsid w:val="006211E5"/>
    <w:rsid w:val="00624F00"/>
    <w:rsid w:val="00625167"/>
    <w:rsid w:val="0062665F"/>
    <w:rsid w:val="00626E03"/>
    <w:rsid w:val="00630910"/>
    <w:rsid w:val="00632426"/>
    <w:rsid w:val="00633E8E"/>
    <w:rsid w:val="006346F9"/>
    <w:rsid w:val="0064056B"/>
    <w:rsid w:val="0064112B"/>
    <w:rsid w:val="00641266"/>
    <w:rsid w:val="006423ED"/>
    <w:rsid w:val="00642437"/>
    <w:rsid w:val="00645566"/>
    <w:rsid w:val="006457B7"/>
    <w:rsid w:val="00646B04"/>
    <w:rsid w:val="006473D9"/>
    <w:rsid w:val="00650E38"/>
    <w:rsid w:val="006523E7"/>
    <w:rsid w:val="00655353"/>
    <w:rsid w:val="0065637A"/>
    <w:rsid w:val="006601CE"/>
    <w:rsid w:val="00663908"/>
    <w:rsid w:val="0066515D"/>
    <w:rsid w:val="006666D2"/>
    <w:rsid w:val="00666C2B"/>
    <w:rsid w:val="00667D01"/>
    <w:rsid w:val="0067112E"/>
    <w:rsid w:val="0067283F"/>
    <w:rsid w:val="00673887"/>
    <w:rsid w:val="00675BFB"/>
    <w:rsid w:val="0067774E"/>
    <w:rsid w:val="00681557"/>
    <w:rsid w:val="00681CD9"/>
    <w:rsid w:val="0068291E"/>
    <w:rsid w:val="00683D21"/>
    <w:rsid w:val="00694026"/>
    <w:rsid w:val="00696420"/>
    <w:rsid w:val="00696FB5"/>
    <w:rsid w:val="006A020D"/>
    <w:rsid w:val="006A157B"/>
    <w:rsid w:val="006A2DD7"/>
    <w:rsid w:val="006A359C"/>
    <w:rsid w:val="006A46EA"/>
    <w:rsid w:val="006A4CDA"/>
    <w:rsid w:val="006A5FEF"/>
    <w:rsid w:val="006A7A89"/>
    <w:rsid w:val="006B2DAB"/>
    <w:rsid w:val="006B3103"/>
    <w:rsid w:val="006B3DD2"/>
    <w:rsid w:val="006B5E80"/>
    <w:rsid w:val="006B761D"/>
    <w:rsid w:val="006C022D"/>
    <w:rsid w:val="006C49DA"/>
    <w:rsid w:val="006C73E4"/>
    <w:rsid w:val="006D5D94"/>
    <w:rsid w:val="006D6493"/>
    <w:rsid w:val="006E404B"/>
    <w:rsid w:val="006E58F3"/>
    <w:rsid w:val="006E63D3"/>
    <w:rsid w:val="006F0FDF"/>
    <w:rsid w:val="006F13FE"/>
    <w:rsid w:val="006F28D9"/>
    <w:rsid w:val="006F5E92"/>
    <w:rsid w:val="006F7ABD"/>
    <w:rsid w:val="006F7D86"/>
    <w:rsid w:val="0070207A"/>
    <w:rsid w:val="00706669"/>
    <w:rsid w:val="00711678"/>
    <w:rsid w:val="0071175F"/>
    <w:rsid w:val="00711B81"/>
    <w:rsid w:val="0071279C"/>
    <w:rsid w:val="0071438F"/>
    <w:rsid w:val="00721469"/>
    <w:rsid w:val="0072363D"/>
    <w:rsid w:val="00723F6C"/>
    <w:rsid w:val="00727649"/>
    <w:rsid w:val="00727880"/>
    <w:rsid w:val="00727C91"/>
    <w:rsid w:val="00730545"/>
    <w:rsid w:val="00730620"/>
    <w:rsid w:val="00732F94"/>
    <w:rsid w:val="00736898"/>
    <w:rsid w:val="0073724A"/>
    <w:rsid w:val="00740FE4"/>
    <w:rsid w:val="007439FE"/>
    <w:rsid w:val="007460D1"/>
    <w:rsid w:val="00747705"/>
    <w:rsid w:val="00752F75"/>
    <w:rsid w:val="007534E1"/>
    <w:rsid w:val="00753EB2"/>
    <w:rsid w:val="00754241"/>
    <w:rsid w:val="007546F8"/>
    <w:rsid w:val="007564EF"/>
    <w:rsid w:val="00756832"/>
    <w:rsid w:val="00757EF8"/>
    <w:rsid w:val="0076043D"/>
    <w:rsid w:val="0076130E"/>
    <w:rsid w:val="007616A3"/>
    <w:rsid w:val="00763F6D"/>
    <w:rsid w:val="00764A77"/>
    <w:rsid w:val="00764D6F"/>
    <w:rsid w:val="007669F5"/>
    <w:rsid w:val="00773549"/>
    <w:rsid w:val="00775347"/>
    <w:rsid w:val="00781BED"/>
    <w:rsid w:val="00783E5D"/>
    <w:rsid w:val="0078588B"/>
    <w:rsid w:val="00786D39"/>
    <w:rsid w:val="00791D18"/>
    <w:rsid w:val="0079208E"/>
    <w:rsid w:val="007925D9"/>
    <w:rsid w:val="00793277"/>
    <w:rsid w:val="00793C93"/>
    <w:rsid w:val="00794303"/>
    <w:rsid w:val="0079473B"/>
    <w:rsid w:val="0079631C"/>
    <w:rsid w:val="0079632E"/>
    <w:rsid w:val="007976F2"/>
    <w:rsid w:val="007A0A3F"/>
    <w:rsid w:val="007A4532"/>
    <w:rsid w:val="007A6591"/>
    <w:rsid w:val="007A6C25"/>
    <w:rsid w:val="007A6FBF"/>
    <w:rsid w:val="007A76AB"/>
    <w:rsid w:val="007B2155"/>
    <w:rsid w:val="007B268C"/>
    <w:rsid w:val="007B277C"/>
    <w:rsid w:val="007B5DFF"/>
    <w:rsid w:val="007C03F0"/>
    <w:rsid w:val="007C643D"/>
    <w:rsid w:val="007C7939"/>
    <w:rsid w:val="007C7F2E"/>
    <w:rsid w:val="007D30A0"/>
    <w:rsid w:val="007D520E"/>
    <w:rsid w:val="007D7EA7"/>
    <w:rsid w:val="007E32E0"/>
    <w:rsid w:val="007E570B"/>
    <w:rsid w:val="007E6F58"/>
    <w:rsid w:val="007E7A7B"/>
    <w:rsid w:val="007E7BAA"/>
    <w:rsid w:val="007F3137"/>
    <w:rsid w:val="007F424B"/>
    <w:rsid w:val="007F459E"/>
    <w:rsid w:val="007F4952"/>
    <w:rsid w:val="007F62E3"/>
    <w:rsid w:val="007F68DF"/>
    <w:rsid w:val="00802746"/>
    <w:rsid w:val="00807496"/>
    <w:rsid w:val="00812C2E"/>
    <w:rsid w:val="00814ACF"/>
    <w:rsid w:val="0081547F"/>
    <w:rsid w:val="008156F0"/>
    <w:rsid w:val="00816177"/>
    <w:rsid w:val="0081712D"/>
    <w:rsid w:val="00817228"/>
    <w:rsid w:val="008179A1"/>
    <w:rsid w:val="008206CE"/>
    <w:rsid w:val="0082283E"/>
    <w:rsid w:val="00826B9A"/>
    <w:rsid w:val="00827B8B"/>
    <w:rsid w:val="00831663"/>
    <w:rsid w:val="0083600D"/>
    <w:rsid w:val="00836C35"/>
    <w:rsid w:val="008410FE"/>
    <w:rsid w:val="0084194C"/>
    <w:rsid w:val="00843341"/>
    <w:rsid w:val="0084601B"/>
    <w:rsid w:val="00846B31"/>
    <w:rsid w:val="008534DA"/>
    <w:rsid w:val="00853B55"/>
    <w:rsid w:val="0085514E"/>
    <w:rsid w:val="00856157"/>
    <w:rsid w:val="008615C1"/>
    <w:rsid w:val="00862F03"/>
    <w:rsid w:val="008639E9"/>
    <w:rsid w:val="0087432B"/>
    <w:rsid w:val="00875446"/>
    <w:rsid w:val="008804A8"/>
    <w:rsid w:val="00880BA8"/>
    <w:rsid w:val="00881410"/>
    <w:rsid w:val="00882E05"/>
    <w:rsid w:val="00885C6D"/>
    <w:rsid w:val="008906B6"/>
    <w:rsid w:val="00890A37"/>
    <w:rsid w:val="00890CDF"/>
    <w:rsid w:val="008910F9"/>
    <w:rsid w:val="00892653"/>
    <w:rsid w:val="0089482D"/>
    <w:rsid w:val="00895030"/>
    <w:rsid w:val="0089568C"/>
    <w:rsid w:val="008960C0"/>
    <w:rsid w:val="008977CD"/>
    <w:rsid w:val="008A2242"/>
    <w:rsid w:val="008A26B7"/>
    <w:rsid w:val="008A44DC"/>
    <w:rsid w:val="008A50F6"/>
    <w:rsid w:val="008A618F"/>
    <w:rsid w:val="008A6AC2"/>
    <w:rsid w:val="008A6B33"/>
    <w:rsid w:val="008B0C8F"/>
    <w:rsid w:val="008B3E75"/>
    <w:rsid w:val="008B6CF3"/>
    <w:rsid w:val="008C05E9"/>
    <w:rsid w:val="008C1127"/>
    <w:rsid w:val="008C2486"/>
    <w:rsid w:val="008C3387"/>
    <w:rsid w:val="008D116B"/>
    <w:rsid w:val="008D319A"/>
    <w:rsid w:val="008D3BAC"/>
    <w:rsid w:val="008E1D05"/>
    <w:rsid w:val="008E2CB2"/>
    <w:rsid w:val="008E35E3"/>
    <w:rsid w:val="008E6292"/>
    <w:rsid w:val="008F000D"/>
    <w:rsid w:val="00900150"/>
    <w:rsid w:val="00905C21"/>
    <w:rsid w:val="00905C49"/>
    <w:rsid w:val="0090658E"/>
    <w:rsid w:val="00906E1C"/>
    <w:rsid w:val="00911C74"/>
    <w:rsid w:val="00914011"/>
    <w:rsid w:val="0091457A"/>
    <w:rsid w:val="00916B9A"/>
    <w:rsid w:val="00916F9F"/>
    <w:rsid w:val="009201B0"/>
    <w:rsid w:val="00921422"/>
    <w:rsid w:val="00921EC8"/>
    <w:rsid w:val="009224C3"/>
    <w:rsid w:val="009225B7"/>
    <w:rsid w:val="00925D0C"/>
    <w:rsid w:val="00925E93"/>
    <w:rsid w:val="009306B4"/>
    <w:rsid w:val="00933D94"/>
    <w:rsid w:val="0093422F"/>
    <w:rsid w:val="009369AE"/>
    <w:rsid w:val="00936E54"/>
    <w:rsid w:val="00936F96"/>
    <w:rsid w:val="00937387"/>
    <w:rsid w:val="00940F43"/>
    <w:rsid w:val="009428CB"/>
    <w:rsid w:val="0094347C"/>
    <w:rsid w:val="00943A94"/>
    <w:rsid w:val="00944CBE"/>
    <w:rsid w:val="00951730"/>
    <w:rsid w:val="009549BE"/>
    <w:rsid w:val="009550D6"/>
    <w:rsid w:val="00955177"/>
    <w:rsid w:val="009554EF"/>
    <w:rsid w:val="009556B3"/>
    <w:rsid w:val="00956EFE"/>
    <w:rsid w:val="00957E07"/>
    <w:rsid w:val="009643B7"/>
    <w:rsid w:val="00965639"/>
    <w:rsid w:val="00971290"/>
    <w:rsid w:val="0097189E"/>
    <w:rsid w:val="009723D0"/>
    <w:rsid w:val="00972A87"/>
    <w:rsid w:val="00973E1E"/>
    <w:rsid w:val="00974532"/>
    <w:rsid w:val="00975023"/>
    <w:rsid w:val="00976B31"/>
    <w:rsid w:val="00981090"/>
    <w:rsid w:val="00982132"/>
    <w:rsid w:val="00983642"/>
    <w:rsid w:val="00983CB4"/>
    <w:rsid w:val="00985357"/>
    <w:rsid w:val="00987BD7"/>
    <w:rsid w:val="00987CC9"/>
    <w:rsid w:val="00991DC1"/>
    <w:rsid w:val="00995FCE"/>
    <w:rsid w:val="009A0A9D"/>
    <w:rsid w:val="009A2763"/>
    <w:rsid w:val="009A49AE"/>
    <w:rsid w:val="009A4AEA"/>
    <w:rsid w:val="009A5D8F"/>
    <w:rsid w:val="009A67C8"/>
    <w:rsid w:val="009A6EDB"/>
    <w:rsid w:val="009B0705"/>
    <w:rsid w:val="009B6872"/>
    <w:rsid w:val="009C0D80"/>
    <w:rsid w:val="009C1F39"/>
    <w:rsid w:val="009C33E8"/>
    <w:rsid w:val="009C4483"/>
    <w:rsid w:val="009C5EC5"/>
    <w:rsid w:val="009C6DA8"/>
    <w:rsid w:val="009D015E"/>
    <w:rsid w:val="009D3396"/>
    <w:rsid w:val="009D41B6"/>
    <w:rsid w:val="009E2D92"/>
    <w:rsid w:val="009E3AF4"/>
    <w:rsid w:val="009E7260"/>
    <w:rsid w:val="009F3964"/>
    <w:rsid w:val="00A05014"/>
    <w:rsid w:val="00A10DCF"/>
    <w:rsid w:val="00A12156"/>
    <w:rsid w:val="00A143F1"/>
    <w:rsid w:val="00A208CF"/>
    <w:rsid w:val="00A20D3D"/>
    <w:rsid w:val="00A21C0C"/>
    <w:rsid w:val="00A250BF"/>
    <w:rsid w:val="00A302C8"/>
    <w:rsid w:val="00A304EB"/>
    <w:rsid w:val="00A32A27"/>
    <w:rsid w:val="00A331E3"/>
    <w:rsid w:val="00A3543C"/>
    <w:rsid w:val="00A35D1B"/>
    <w:rsid w:val="00A369C9"/>
    <w:rsid w:val="00A4219F"/>
    <w:rsid w:val="00A422BF"/>
    <w:rsid w:val="00A435D2"/>
    <w:rsid w:val="00A43745"/>
    <w:rsid w:val="00A44EDD"/>
    <w:rsid w:val="00A45007"/>
    <w:rsid w:val="00A45FEE"/>
    <w:rsid w:val="00A47A1A"/>
    <w:rsid w:val="00A54897"/>
    <w:rsid w:val="00A56B91"/>
    <w:rsid w:val="00A63509"/>
    <w:rsid w:val="00A70884"/>
    <w:rsid w:val="00A73489"/>
    <w:rsid w:val="00A738DC"/>
    <w:rsid w:val="00A739B2"/>
    <w:rsid w:val="00A75729"/>
    <w:rsid w:val="00A77C37"/>
    <w:rsid w:val="00A802BF"/>
    <w:rsid w:val="00A84B04"/>
    <w:rsid w:val="00A86EA6"/>
    <w:rsid w:val="00A900FF"/>
    <w:rsid w:val="00A93866"/>
    <w:rsid w:val="00A94017"/>
    <w:rsid w:val="00A97DC2"/>
    <w:rsid w:val="00AA0BA4"/>
    <w:rsid w:val="00AA199E"/>
    <w:rsid w:val="00AA1F12"/>
    <w:rsid w:val="00AA35A1"/>
    <w:rsid w:val="00AA3626"/>
    <w:rsid w:val="00AA771D"/>
    <w:rsid w:val="00AA7FAF"/>
    <w:rsid w:val="00AB1DEB"/>
    <w:rsid w:val="00AB4C99"/>
    <w:rsid w:val="00AB525F"/>
    <w:rsid w:val="00AB5292"/>
    <w:rsid w:val="00AB5C7C"/>
    <w:rsid w:val="00AC339C"/>
    <w:rsid w:val="00AC363F"/>
    <w:rsid w:val="00AC5202"/>
    <w:rsid w:val="00AC5ED7"/>
    <w:rsid w:val="00AC7C77"/>
    <w:rsid w:val="00AD14BC"/>
    <w:rsid w:val="00AD3594"/>
    <w:rsid w:val="00AD3C22"/>
    <w:rsid w:val="00AD3D63"/>
    <w:rsid w:val="00AD4450"/>
    <w:rsid w:val="00AD4C02"/>
    <w:rsid w:val="00AD6CD2"/>
    <w:rsid w:val="00AD7443"/>
    <w:rsid w:val="00AD793E"/>
    <w:rsid w:val="00AE3625"/>
    <w:rsid w:val="00AE3FE0"/>
    <w:rsid w:val="00AE5174"/>
    <w:rsid w:val="00AE707B"/>
    <w:rsid w:val="00AF56F5"/>
    <w:rsid w:val="00AF7228"/>
    <w:rsid w:val="00B049EF"/>
    <w:rsid w:val="00B07936"/>
    <w:rsid w:val="00B07E7E"/>
    <w:rsid w:val="00B10A55"/>
    <w:rsid w:val="00B22928"/>
    <w:rsid w:val="00B23453"/>
    <w:rsid w:val="00B27962"/>
    <w:rsid w:val="00B27D50"/>
    <w:rsid w:val="00B3294C"/>
    <w:rsid w:val="00B3428F"/>
    <w:rsid w:val="00B3442E"/>
    <w:rsid w:val="00B35D10"/>
    <w:rsid w:val="00B3611F"/>
    <w:rsid w:val="00B37586"/>
    <w:rsid w:val="00B442CA"/>
    <w:rsid w:val="00B44EF2"/>
    <w:rsid w:val="00B45E87"/>
    <w:rsid w:val="00B46C13"/>
    <w:rsid w:val="00B46C71"/>
    <w:rsid w:val="00B475AA"/>
    <w:rsid w:val="00B47721"/>
    <w:rsid w:val="00B47B59"/>
    <w:rsid w:val="00B52919"/>
    <w:rsid w:val="00B53C60"/>
    <w:rsid w:val="00B57327"/>
    <w:rsid w:val="00B60302"/>
    <w:rsid w:val="00B60857"/>
    <w:rsid w:val="00B6181E"/>
    <w:rsid w:val="00B62467"/>
    <w:rsid w:val="00B6476E"/>
    <w:rsid w:val="00B647D9"/>
    <w:rsid w:val="00B67628"/>
    <w:rsid w:val="00B67F62"/>
    <w:rsid w:val="00B70D29"/>
    <w:rsid w:val="00B74128"/>
    <w:rsid w:val="00B750EA"/>
    <w:rsid w:val="00B76D18"/>
    <w:rsid w:val="00B77951"/>
    <w:rsid w:val="00B80455"/>
    <w:rsid w:val="00B83816"/>
    <w:rsid w:val="00B83FB6"/>
    <w:rsid w:val="00B956D8"/>
    <w:rsid w:val="00B96116"/>
    <w:rsid w:val="00B97795"/>
    <w:rsid w:val="00BA0294"/>
    <w:rsid w:val="00BA060F"/>
    <w:rsid w:val="00BA1D83"/>
    <w:rsid w:val="00BA4F7E"/>
    <w:rsid w:val="00BA7AAC"/>
    <w:rsid w:val="00BB135B"/>
    <w:rsid w:val="00BB41CA"/>
    <w:rsid w:val="00BB542E"/>
    <w:rsid w:val="00BC0019"/>
    <w:rsid w:val="00BC304E"/>
    <w:rsid w:val="00BC4803"/>
    <w:rsid w:val="00BC5FF3"/>
    <w:rsid w:val="00BD2132"/>
    <w:rsid w:val="00BD300C"/>
    <w:rsid w:val="00BD74E2"/>
    <w:rsid w:val="00BE2067"/>
    <w:rsid w:val="00BE2ABC"/>
    <w:rsid w:val="00BE4B7B"/>
    <w:rsid w:val="00BE68E8"/>
    <w:rsid w:val="00BF06D5"/>
    <w:rsid w:val="00BF31D7"/>
    <w:rsid w:val="00BF3973"/>
    <w:rsid w:val="00BF68CC"/>
    <w:rsid w:val="00BF73AC"/>
    <w:rsid w:val="00C00A3C"/>
    <w:rsid w:val="00C0227B"/>
    <w:rsid w:val="00C03FA9"/>
    <w:rsid w:val="00C04BED"/>
    <w:rsid w:val="00C05D05"/>
    <w:rsid w:val="00C07C24"/>
    <w:rsid w:val="00C10172"/>
    <w:rsid w:val="00C115B5"/>
    <w:rsid w:val="00C1221D"/>
    <w:rsid w:val="00C21FDF"/>
    <w:rsid w:val="00C25313"/>
    <w:rsid w:val="00C27F80"/>
    <w:rsid w:val="00C4021C"/>
    <w:rsid w:val="00C40D5F"/>
    <w:rsid w:val="00C44F01"/>
    <w:rsid w:val="00C4663A"/>
    <w:rsid w:val="00C47E86"/>
    <w:rsid w:val="00C50B38"/>
    <w:rsid w:val="00C5140E"/>
    <w:rsid w:val="00C56683"/>
    <w:rsid w:val="00C602BE"/>
    <w:rsid w:val="00C611B3"/>
    <w:rsid w:val="00C61D13"/>
    <w:rsid w:val="00C640AB"/>
    <w:rsid w:val="00C6445D"/>
    <w:rsid w:val="00C64C2B"/>
    <w:rsid w:val="00C7115C"/>
    <w:rsid w:val="00C72980"/>
    <w:rsid w:val="00C73282"/>
    <w:rsid w:val="00C805C4"/>
    <w:rsid w:val="00C80F17"/>
    <w:rsid w:val="00C83314"/>
    <w:rsid w:val="00C84AC7"/>
    <w:rsid w:val="00C85153"/>
    <w:rsid w:val="00C85B0C"/>
    <w:rsid w:val="00C86147"/>
    <w:rsid w:val="00C92D16"/>
    <w:rsid w:val="00C951F9"/>
    <w:rsid w:val="00CA2333"/>
    <w:rsid w:val="00CA36D1"/>
    <w:rsid w:val="00CA3BDB"/>
    <w:rsid w:val="00CB01B6"/>
    <w:rsid w:val="00CB09A0"/>
    <w:rsid w:val="00CB42CB"/>
    <w:rsid w:val="00CB693C"/>
    <w:rsid w:val="00CC2C93"/>
    <w:rsid w:val="00CC30D5"/>
    <w:rsid w:val="00CC3C70"/>
    <w:rsid w:val="00CC4223"/>
    <w:rsid w:val="00CC4566"/>
    <w:rsid w:val="00CC5A8D"/>
    <w:rsid w:val="00CC6DB5"/>
    <w:rsid w:val="00CD079F"/>
    <w:rsid w:val="00CD55B3"/>
    <w:rsid w:val="00CD5D60"/>
    <w:rsid w:val="00CD75A1"/>
    <w:rsid w:val="00CD7716"/>
    <w:rsid w:val="00CE0DF7"/>
    <w:rsid w:val="00CE2FE7"/>
    <w:rsid w:val="00CE3C87"/>
    <w:rsid w:val="00CF0FE8"/>
    <w:rsid w:val="00CF14A8"/>
    <w:rsid w:val="00CF2AC4"/>
    <w:rsid w:val="00CF30CB"/>
    <w:rsid w:val="00D00BBD"/>
    <w:rsid w:val="00D026C7"/>
    <w:rsid w:val="00D02BB2"/>
    <w:rsid w:val="00D1035F"/>
    <w:rsid w:val="00D1174B"/>
    <w:rsid w:val="00D11DE0"/>
    <w:rsid w:val="00D1200F"/>
    <w:rsid w:val="00D138DF"/>
    <w:rsid w:val="00D15167"/>
    <w:rsid w:val="00D163CF"/>
    <w:rsid w:val="00D16E1A"/>
    <w:rsid w:val="00D17FE6"/>
    <w:rsid w:val="00D20B2A"/>
    <w:rsid w:val="00D21B99"/>
    <w:rsid w:val="00D22178"/>
    <w:rsid w:val="00D27869"/>
    <w:rsid w:val="00D315D4"/>
    <w:rsid w:val="00D33687"/>
    <w:rsid w:val="00D349A5"/>
    <w:rsid w:val="00D35B8B"/>
    <w:rsid w:val="00D3697A"/>
    <w:rsid w:val="00D37F6E"/>
    <w:rsid w:val="00D43D3C"/>
    <w:rsid w:val="00D4704A"/>
    <w:rsid w:val="00D47231"/>
    <w:rsid w:val="00D53CD2"/>
    <w:rsid w:val="00D54BF6"/>
    <w:rsid w:val="00D62485"/>
    <w:rsid w:val="00D62E1F"/>
    <w:rsid w:val="00D6377B"/>
    <w:rsid w:val="00D6398B"/>
    <w:rsid w:val="00D66AE8"/>
    <w:rsid w:val="00D672E5"/>
    <w:rsid w:val="00D71B9D"/>
    <w:rsid w:val="00D72801"/>
    <w:rsid w:val="00D7464E"/>
    <w:rsid w:val="00D74B30"/>
    <w:rsid w:val="00D7656B"/>
    <w:rsid w:val="00D77582"/>
    <w:rsid w:val="00D849BB"/>
    <w:rsid w:val="00D84F77"/>
    <w:rsid w:val="00D85097"/>
    <w:rsid w:val="00D85E10"/>
    <w:rsid w:val="00D869EF"/>
    <w:rsid w:val="00D900B1"/>
    <w:rsid w:val="00D929E6"/>
    <w:rsid w:val="00D92C88"/>
    <w:rsid w:val="00D93E9F"/>
    <w:rsid w:val="00D9475E"/>
    <w:rsid w:val="00D97D42"/>
    <w:rsid w:val="00DA1A52"/>
    <w:rsid w:val="00DA2204"/>
    <w:rsid w:val="00DA3496"/>
    <w:rsid w:val="00DA7386"/>
    <w:rsid w:val="00DB5E67"/>
    <w:rsid w:val="00DB6324"/>
    <w:rsid w:val="00DC0511"/>
    <w:rsid w:val="00DC148E"/>
    <w:rsid w:val="00DC2687"/>
    <w:rsid w:val="00DC26BD"/>
    <w:rsid w:val="00DC338C"/>
    <w:rsid w:val="00DC6E49"/>
    <w:rsid w:val="00DD4B32"/>
    <w:rsid w:val="00DD5334"/>
    <w:rsid w:val="00DD6CB6"/>
    <w:rsid w:val="00DE0587"/>
    <w:rsid w:val="00DE252E"/>
    <w:rsid w:val="00DE3186"/>
    <w:rsid w:val="00DE5211"/>
    <w:rsid w:val="00DE66F9"/>
    <w:rsid w:val="00DF020D"/>
    <w:rsid w:val="00DF1517"/>
    <w:rsid w:val="00DF7C10"/>
    <w:rsid w:val="00DF7D6D"/>
    <w:rsid w:val="00E00E75"/>
    <w:rsid w:val="00E02F47"/>
    <w:rsid w:val="00E031BF"/>
    <w:rsid w:val="00E05C9A"/>
    <w:rsid w:val="00E12D8E"/>
    <w:rsid w:val="00E1336F"/>
    <w:rsid w:val="00E14261"/>
    <w:rsid w:val="00E16D7A"/>
    <w:rsid w:val="00E17E60"/>
    <w:rsid w:val="00E21EC0"/>
    <w:rsid w:val="00E22824"/>
    <w:rsid w:val="00E22DAF"/>
    <w:rsid w:val="00E2616F"/>
    <w:rsid w:val="00E320B1"/>
    <w:rsid w:val="00E35DC5"/>
    <w:rsid w:val="00E35FC4"/>
    <w:rsid w:val="00E378D8"/>
    <w:rsid w:val="00E37D85"/>
    <w:rsid w:val="00E44898"/>
    <w:rsid w:val="00E45C1A"/>
    <w:rsid w:val="00E460D8"/>
    <w:rsid w:val="00E46676"/>
    <w:rsid w:val="00E50E09"/>
    <w:rsid w:val="00E51A55"/>
    <w:rsid w:val="00E5506C"/>
    <w:rsid w:val="00E57C18"/>
    <w:rsid w:val="00E64244"/>
    <w:rsid w:val="00E6583E"/>
    <w:rsid w:val="00E66F99"/>
    <w:rsid w:val="00E6749D"/>
    <w:rsid w:val="00E70BFC"/>
    <w:rsid w:val="00E71F05"/>
    <w:rsid w:val="00E72EC4"/>
    <w:rsid w:val="00E7497C"/>
    <w:rsid w:val="00E76065"/>
    <w:rsid w:val="00E76DCA"/>
    <w:rsid w:val="00E828ED"/>
    <w:rsid w:val="00E83019"/>
    <w:rsid w:val="00E8306B"/>
    <w:rsid w:val="00E83928"/>
    <w:rsid w:val="00E85DF1"/>
    <w:rsid w:val="00E86582"/>
    <w:rsid w:val="00E8665D"/>
    <w:rsid w:val="00E873E4"/>
    <w:rsid w:val="00E875D4"/>
    <w:rsid w:val="00E90605"/>
    <w:rsid w:val="00E938CA"/>
    <w:rsid w:val="00E956AE"/>
    <w:rsid w:val="00E9610A"/>
    <w:rsid w:val="00EA0814"/>
    <w:rsid w:val="00EA0885"/>
    <w:rsid w:val="00EB1BD8"/>
    <w:rsid w:val="00EB256D"/>
    <w:rsid w:val="00EB42C7"/>
    <w:rsid w:val="00EB4EF2"/>
    <w:rsid w:val="00EB5383"/>
    <w:rsid w:val="00EB65F3"/>
    <w:rsid w:val="00EB67D8"/>
    <w:rsid w:val="00EC1815"/>
    <w:rsid w:val="00EC2032"/>
    <w:rsid w:val="00EC300B"/>
    <w:rsid w:val="00EC4582"/>
    <w:rsid w:val="00EC46D8"/>
    <w:rsid w:val="00EC7E69"/>
    <w:rsid w:val="00ED22B7"/>
    <w:rsid w:val="00ED267A"/>
    <w:rsid w:val="00ED2E5D"/>
    <w:rsid w:val="00ED63DB"/>
    <w:rsid w:val="00EE2435"/>
    <w:rsid w:val="00EE4CE0"/>
    <w:rsid w:val="00EE4E07"/>
    <w:rsid w:val="00EE7105"/>
    <w:rsid w:val="00EE7554"/>
    <w:rsid w:val="00EE7E71"/>
    <w:rsid w:val="00EF0CFD"/>
    <w:rsid w:val="00F00092"/>
    <w:rsid w:val="00F009F3"/>
    <w:rsid w:val="00F01F98"/>
    <w:rsid w:val="00F03D5B"/>
    <w:rsid w:val="00F057FC"/>
    <w:rsid w:val="00F07D0D"/>
    <w:rsid w:val="00F10D92"/>
    <w:rsid w:val="00F14AC3"/>
    <w:rsid w:val="00F20BB8"/>
    <w:rsid w:val="00F22277"/>
    <w:rsid w:val="00F22DC9"/>
    <w:rsid w:val="00F23597"/>
    <w:rsid w:val="00F32938"/>
    <w:rsid w:val="00F42B33"/>
    <w:rsid w:val="00F42EE5"/>
    <w:rsid w:val="00F43279"/>
    <w:rsid w:val="00F4437B"/>
    <w:rsid w:val="00F4575F"/>
    <w:rsid w:val="00F47EAD"/>
    <w:rsid w:val="00F530AD"/>
    <w:rsid w:val="00F565FC"/>
    <w:rsid w:val="00F57D90"/>
    <w:rsid w:val="00F605B6"/>
    <w:rsid w:val="00F61978"/>
    <w:rsid w:val="00F629D7"/>
    <w:rsid w:val="00F63433"/>
    <w:rsid w:val="00F64011"/>
    <w:rsid w:val="00F708A3"/>
    <w:rsid w:val="00F73806"/>
    <w:rsid w:val="00F75BF1"/>
    <w:rsid w:val="00F822F6"/>
    <w:rsid w:val="00F85AA4"/>
    <w:rsid w:val="00F85CC8"/>
    <w:rsid w:val="00F92602"/>
    <w:rsid w:val="00F930E5"/>
    <w:rsid w:val="00F945BA"/>
    <w:rsid w:val="00F975C8"/>
    <w:rsid w:val="00FA16BF"/>
    <w:rsid w:val="00FA6993"/>
    <w:rsid w:val="00FB1621"/>
    <w:rsid w:val="00FB1B6A"/>
    <w:rsid w:val="00FB50C3"/>
    <w:rsid w:val="00FC0A33"/>
    <w:rsid w:val="00FC0D43"/>
    <w:rsid w:val="00FC0FB2"/>
    <w:rsid w:val="00FC75A4"/>
    <w:rsid w:val="00FC7B37"/>
    <w:rsid w:val="00FD294C"/>
    <w:rsid w:val="00FD3CC4"/>
    <w:rsid w:val="00FD5C52"/>
    <w:rsid w:val="00FD6179"/>
    <w:rsid w:val="00FD74FD"/>
    <w:rsid w:val="00FD7646"/>
    <w:rsid w:val="00FE0126"/>
    <w:rsid w:val="00FE0499"/>
    <w:rsid w:val="00FE2FC8"/>
    <w:rsid w:val="00FE43E4"/>
    <w:rsid w:val="00FE4641"/>
    <w:rsid w:val="00FE4B20"/>
    <w:rsid w:val="00FE517E"/>
    <w:rsid w:val="00FE5856"/>
    <w:rsid w:val="00FF433A"/>
    <w:rsid w:val="00FF6877"/>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57225872">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434595910">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2.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customXml/itemProps3.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B1341-9A43-4D56-A22D-27730D8BDC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3494</Words>
  <Characters>19916</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9</cp:revision>
  <cp:lastPrinted>2025-02-18T11:01:00Z</cp:lastPrinted>
  <dcterms:created xsi:type="dcterms:W3CDTF">2025-02-18T11:07:00Z</dcterms:created>
  <dcterms:modified xsi:type="dcterms:W3CDTF">2025-04-23T08:09:00Z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