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FB525" w14:textId="77777777" w:rsidR="00392508" w:rsidRPr="00C97F2B" w:rsidRDefault="00295C2B"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lang w:val="fr-FR"/>
        </w:rPr>
      </w:pPr>
      <w:r>
        <w:rPr>
          <w:rFonts w:ascii="Calibri" w:eastAsia="Calibri" w:hAnsi="Calibri" w:cs="Calibri"/>
          <w:sz w:val="22"/>
          <w:szCs w:val="22"/>
          <w:lang w:val="fr-FR"/>
        </w:rPr>
        <w:t>CONVENTION SUR LES ZONES HUMIDES</w:t>
      </w:r>
    </w:p>
    <w:p w14:paraId="1F351294" w14:textId="77777777" w:rsidR="00392508" w:rsidRPr="00C97F2B" w:rsidRDefault="00295C2B"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lang w:val="fr-FR"/>
        </w:rPr>
      </w:pPr>
      <w:r>
        <w:rPr>
          <w:rFonts w:ascii="Calibri" w:eastAsia="Calibri" w:hAnsi="Calibri" w:cs="Calibri"/>
          <w:sz w:val="22"/>
          <w:szCs w:val="22"/>
          <w:lang w:val="fr-FR"/>
        </w:rPr>
        <w:t>64</w:t>
      </w:r>
      <w:r>
        <w:rPr>
          <w:rFonts w:ascii="Calibri" w:eastAsia="Calibri" w:hAnsi="Calibri" w:cs="Calibri"/>
          <w:sz w:val="22"/>
          <w:szCs w:val="22"/>
          <w:vertAlign w:val="superscript"/>
          <w:lang w:val="fr-FR"/>
        </w:rPr>
        <w:t>e </w:t>
      </w:r>
      <w:r>
        <w:rPr>
          <w:rFonts w:ascii="Calibri" w:eastAsia="Calibri" w:hAnsi="Calibri" w:cs="Calibri"/>
          <w:sz w:val="22"/>
          <w:szCs w:val="22"/>
          <w:lang w:val="fr-FR"/>
        </w:rPr>
        <w:t>Réunion du Comité permanent</w:t>
      </w:r>
    </w:p>
    <w:p w14:paraId="52166BD7" w14:textId="77777777" w:rsidR="00392508" w:rsidRPr="00C97F2B" w:rsidRDefault="00295C2B"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lang w:val="fr-FR"/>
        </w:rPr>
      </w:pPr>
      <w:r>
        <w:rPr>
          <w:rFonts w:ascii="Calibri" w:eastAsia="Calibri" w:hAnsi="Calibri" w:cs="Calibri"/>
          <w:sz w:val="22"/>
          <w:szCs w:val="22"/>
          <w:lang w:val="fr-FR"/>
        </w:rPr>
        <w:t>Gland, Suisse, 20-24 janvier 2025</w:t>
      </w:r>
    </w:p>
    <w:p w14:paraId="4133FA29" w14:textId="77777777" w:rsidR="00392508" w:rsidRPr="00C97F2B" w:rsidRDefault="00392508" w:rsidP="00392508">
      <w:pPr>
        <w:jc w:val="right"/>
        <w:rPr>
          <w:rFonts w:ascii="Calibri" w:hAnsi="Calibri" w:cs="Calibri"/>
          <w:b/>
          <w:bCs/>
          <w:sz w:val="28"/>
          <w:szCs w:val="28"/>
          <w:lang w:val="fr-FR"/>
        </w:rPr>
      </w:pPr>
    </w:p>
    <w:p w14:paraId="0210D5AF" w14:textId="77777777" w:rsidR="00392508" w:rsidRPr="00C97F2B" w:rsidRDefault="00295C2B" w:rsidP="00392508">
      <w:pPr>
        <w:jc w:val="right"/>
        <w:rPr>
          <w:rFonts w:ascii="Calibri" w:hAnsi="Calibri" w:cs="Calibri"/>
          <w:b/>
          <w:bCs/>
          <w:sz w:val="28"/>
          <w:szCs w:val="28"/>
          <w:lang w:val="fr-FR"/>
        </w:rPr>
      </w:pPr>
      <w:r>
        <w:rPr>
          <w:rFonts w:ascii="Calibri" w:eastAsia="Calibri" w:hAnsi="Calibri" w:cs="Calibri"/>
          <w:b/>
          <w:bCs/>
          <w:sz w:val="28"/>
          <w:szCs w:val="28"/>
          <w:lang w:val="fr-FR"/>
        </w:rPr>
        <w:t>SC64 Doc.29.12</w:t>
      </w:r>
    </w:p>
    <w:p w14:paraId="5AE2456F" w14:textId="77777777" w:rsidR="00392508" w:rsidRPr="00C97F2B" w:rsidRDefault="00392508" w:rsidP="008E220A">
      <w:pPr>
        <w:jc w:val="center"/>
        <w:rPr>
          <w:rFonts w:ascii="Calibri" w:hAnsi="Calibri"/>
          <w:b/>
          <w:bCs/>
          <w:sz w:val="28"/>
          <w:szCs w:val="28"/>
          <w:lang w:val="fr-FR" w:eastAsia="en-US"/>
        </w:rPr>
      </w:pPr>
    </w:p>
    <w:p w14:paraId="358E8945" w14:textId="77777777" w:rsidR="00295C2B" w:rsidRDefault="00295C2B" w:rsidP="008E220A">
      <w:pPr>
        <w:jc w:val="center"/>
        <w:rPr>
          <w:rFonts w:ascii="Calibri" w:eastAsia="Calibri" w:hAnsi="Calibri"/>
          <w:b/>
          <w:bCs/>
          <w:sz w:val="28"/>
          <w:szCs w:val="28"/>
          <w:lang w:val="fr-FR" w:eastAsia="en-US"/>
        </w:rPr>
      </w:pPr>
      <w:r>
        <w:rPr>
          <w:rFonts w:ascii="Calibri" w:eastAsia="Calibri" w:hAnsi="Calibri"/>
          <w:b/>
          <w:bCs/>
          <w:sz w:val="28"/>
          <w:szCs w:val="28"/>
          <w:lang w:val="fr-FR" w:eastAsia="en-US"/>
        </w:rPr>
        <w:t xml:space="preserve">Proposition de projet de résolution sur </w:t>
      </w:r>
    </w:p>
    <w:p w14:paraId="3834F3A9" w14:textId="77777777" w:rsidR="008E220A" w:rsidRPr="00C97F2B" w:rsidRDefault="00295C2B" w:rsidP="008E220A">
      <w:pPr>
        <w:jc w:val="center"/>
        <w:rPr>
          <w:rFonts w:ascii="Calibri" w:hAnsi="Calibri"/>
          <w:b/>
          <w:bCs/>
          <w:sz w:val="28"/>
          <w:szCs w:val="28"/>
          <w:lang w:val="fr-FR" w:eastAsia="en-US"/>
        </w:rPr>
      </w:pPr>
      <w:r>
        <w:rPr>
          <w:rFonts w:ascii="Calibri" w:eastAsia="Calibri" w:hAnsi="Calibri"/>
          <w:b/>
          <w:bCs/>
          <w:sz w:val="28"/>
          <w:szCs w:val="28"/>
          <w:lang w:val="fr-FR" w:eastAsia="en-US"/>
        </w:rPr>
        <w:t>l</w:t>
      </w:r>
      <w:r w:rsidR="00C97F2B">
        <w:rPr>
          <w:rFonts w:ascii="Calibri" w:eastAsia="Calibri" w:hAnsi="Calibri"/>
          <w:b/>
          <w:bCs/>
          <w:sz w:val="28"/>
          <w:szCs w:val="28"/>
          <w:lang w:val="fr-FR" w:eastAsia="en-US"/>
        </w:rPr>
        <w:t>’</w:t>
      </w:r>
      <w:r>
        <w:rPr>
          <w:rFonts w:ascii="Calibri" w:eastAsia="Calibri" w:hAnsi="Calibri"/>
          <w:b/>
          <w:bCs/>
          <w:sz w:val="28"/>
          <w:szCs w:val="28"/>
          <w:lang w:val="fr-FR" w:eastAsia="en-US"/>
        </w:rPr>
        <w:t>évaluation de la vulnérabilité des zones humides</w:t>
      </w:r>
    </w:p>
    <w:p w14:paraId="62745AD5" w14:textId="77777777" w:rsidR="0091380A" w:rsidRPr="00C97F2B" w:rsidRDefault="0091380A" w:rsidP="00F77707">
      <w:pPr>
        <w:rPr>
          <w:rFonts w:ascii="Calibri" w:hAnsi="Calibri"/>
          <w:sz w:val="28"/>
          <w:szCs w:val="28"/>
          <w:lang w:val="fr-FR" w:eastAsia="en-US"/>
        </w:rPr>
      </w:pPr>
    </w:p>
    <w:p w14:paraId="24CD7F50" w14:textId="53D94532" w:rsidR="00000578" w:rsidRPr="00C97F2B" w:rsidRDefault="00295C2B" w:rsidP="00F77707">
      <w:pPr>
        <w:rPr>
          <w:rFonts w:ascii="Calibri" w:hAnsi="Calibri"/>
          <w:i/>
          <w:iCs/>
          <w:sz w:val="22"/>
          <w:szCs w:val="22"/>
          <w:lang w:val="fr-FR" w:eastAsia="en-US"/>
        </w:rPr>
      </w:pPr>
      <w:r w:rsidRPr="00D76ACA">
        <w:rPr>
          <w:rFonts w:ascii="Calibri" w:hAnsi="Calibri" w:cs="Calibri"/>
          <w:bCs/>
          <w:i/>
          <w:iCs/>
          <w:noProof/>
          <w:lang w:val="fr-FR"/>
        </w:rPr>
        <mc:AlternateContent>
          <mc:Choice Requires="wps">
            <w:drawing>
              <wp:anchor distT="45720" distB="45720" distL="114300" distR="114300" simplePos="0" relativeHeight="251659264" behindDoc="0" locked="0" layoutInCell="1" allowOverlap="1" wp14:anchorId="4453AFC6" wp14:editId="598B1EC3">
                <wp:simplePos x="0" y="0"/>
                <wp:positionH relativeFrom="column">
                  <wp:posOffset>0</wp:posOffset>
                </wp:positionH>
                <wp:positionV relativeFrom="paragraph">
                  <wp:posOffset>330835</wp:posOffset>
                </wp:positionV>
                <wp:extent cx="5820410" cy="853440"/>
                <wp:effectExtent l="0" t="0" r="27940" b="22860"/>
                <wp:wrapSquare wrapText="bothSides"/>
                <wp:docPr id="512069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853440"/>
                        </a:xfrm>
                        <a:prstGeom prst="rect">
                          <a:avLst/>
                        </a:prstGeom>
                        <a:solidFill>
                          <a:srgbClr val="FFFFFF"/>
                        </a:solidFill>
                        <a:ln w="9525">
                          <a:solidFill>
                            <a:srgbClr val="000000"/>
                          </a:solidFill>
                          <a:miter lim="800000"/>
                          <a:headEnd/>
                          <a:tailEnd/>
                        </a:ln>
                      </wps:spPr>
                      <wps:txbx>
                        <w:txbxContent>
                          <w:p w14:paraId="675CC43C" w14:textId="77777777" w:rsidR="00295C2B" w:rsidRPr="00C97F2B" w:rsidRDefault="00295C2B" w:rsidP="00392508">
                            <w:pPr>
                              <w:ind w:left="425" w:hanging="425"/>
                              <w:rPr>
                                <w:rFonts w:ascii="Calibri" w:hAnsi="Calibri" w:cs="Calibri"/>
                                <w:b/>
                                <w:sz w:val="22"/>
                                <w:szCs w:val="22"/>
                                <w:lang w:val="fr-FR"/>
                              </w:rPr>
                            </w:pPr>
                            <w:r>
                              <w:rPr>
                                <w:rFonts w:ascii="Calibri" w:eastAsia="Calibri" w:hAnsi="Calibri" w:cs="Calibri"/>
                                <w:b/>
                                <w:bCs/>
                                <w:sz w:val="22"/>
                                <w:szCs w:val="22"/>
                                <w:lang w:val="fr-FR"/>
                              </w:rPr>
                              <w:t>Mesures requises :</w:t>
                            </w:r>
                          </w:p>
                          <w:p w14:paraId="6CE1245C" w14:textId="77777777" w:rsidR="00295C2B" w:rsidRPr="00C97F2B" w:rsidRDefault="00295C2B" w:rsidP="00392508">
                            <w:pPr>
                              <w:ind w:left="425" w:hanging="425"/>
                              <w:rPr>
                                <w:rFonts w:ascii="Calibri" w:hAnsi="Calibri" w:cs="Calibri"/>
                                <w:b/>
                                <w:sz w:val="22"/>
                                <w:szCs w:val="22"/>
                                <w:lang w:val="fr-FR"/>
                              </w:rPr>
                            </w:pPr>
                          </w:p>
                          <w:p w14:paraId="143CD336" w14:textId="77777777" w:rsidR="00295C2B" w:rsidRPr="00C97F2B" w:rsidRDefault="00295C2B" w:rsidP="00392508">
                            <w:pPr>
                              <w:widowControl w:val="0"/>
                              <w:rPr>
                                <w:rFonts w:ascii="Calibri" w:hAnsi="Calibri" w:cs="Calibri"/>
                                <w:sz w:val="22"/>
                                <w:szCs w:val="22"/>
                                <w:lang w:val="fr-FR"/>
                              </w:rPr>
                            </w:pPr>
                            <w:r>
                              <w:rPr>
                                <w:rFonts w:ascii="Calibri" w:eastAsia="Calibri" w:hAnsi="Calibri" w:cs="Calibri"/>
                                <w:sz w:val="22"/>
                                <w:szCs w:val="22"/>
                                <w:lang w:val="fr-FR"/>
                              </w:rPr>
                              <w:t>Le Comité permanent est invité à examiner et à approuver le projet de résolution ci-joint pour examen par la Conférence des Parties contractantes à sa 15</w:t>
                            </w:r>
                            <w:r>
                              <w:rPr>
                                <w:rFonts w:ascii="Calibri" w:eastAsia="Calibri" w:hAnsi="Calibri" w:cs="Calibri"/>
                                <w:sz w:val="22"/>
                                <w:szCs w:val="22"/>
                                <w:vertAlign w:val="superscript"/>
                                <w:lang w:val="fr-FR"/>
                              </w:rPr>
                              <w:t>e </w:t>
                            </w:r>
                            <w:r>
                              <w:rPr>
                                <w:rFonts w:ascii="Calibri" w:eastAsia="Calibri" w:hAnsi="Calibri" w:cs="Calibri"/>
                                <w:sz w:val="22"/>
                                <w:szCs w:val="22"/>
                                <w:lang w:val="fr-FR"/>
                              </w:rPr>
                              <w:t>Session.</w:t>
                            </w:r>
                          </w:p>
                          <w:p w14:paraId="7C7F86C5" w14:textId="77777777" w:rsidR="00295C2B" w:rsidRPr="00C97F2B" w:rsidRDefault="00295C2B" w:rsidP="00392508">
                            <w:pPr>
                              <w:widowControl w:val="0"/>
                              <w:ind w:left="425" w:hanging="425"/>
                              <w:rPr>
                                <w:sz w:val="22"/>
                                <w:szCs w:val="22"/>
                                <w:lang w:val="fr-FR"/>
                              </w:rPr>
                            </w:pPr>
                          </w:p>
                          <w:p w14:paraId="436230B2" w14:textId="77777777" w:rsidR="00295C2B" w:rsidRPr="00C97F2B" w:rsidRDefault="00295C2B" w:rsidP="00392508">
                            <w:pPr>
                              <w:rPr>
                                <w:lang w:val="fr-FR"/>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4453AFC6" id="_x0000_t202" coordsize="21600,21600" o:spt="202" path="m,l,21600r21600,l21600,xe">
                <v:stroke joinstyle="miter"/>
                <v:path gradientshapeok="t" o:connecttype="rect"/>
              </v:shapetype>
              <v:shape id="Text Box 2" o:spid="_x0000_s1026" type="#_x0000_t202" style="position:absolute;margin-left:0;margin-top:26.05pt;width:458.3pt;height:6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">
                <v:textbox>
                  <w:txbxContent>
                    <w:p w14:paraId="675CC43C" w14:textId="77777777" w:rsidR="00295C2B" w:rsidRPr="00C97F2B" w:rsidRDefault="00295C2B" w:rsidP="00392508">
                      <w:pPr>
                        <w:ind w:left="425" w:hanging="425"/>
                        <w:rPr>
                          <w:rFonts w:ascii="Calibri" w:hAnsi="Calibri" w:cs="Calibri"/>
                          <w:b/>
                          <w:sz w:val="22"/>
                          <w:szCs w:val="22"/>
                          <w:lang w:val="fr-FR"/>
                        </w:rPr>
                      </w:pPr>
                      <w:r>
                        <w:rPr>
                          <w:rFonts w:ascii="Calibri" w:eastAsia="Calibri" w:hAnsi="Calibri" w:cs="Calibri"/>
                          <w:b/>
                          <w:bCs/>
                          <w:sz w:val="22"/>
                          <w:szCs w:val="22"/>
                          <w:lang w:val="fr-FR"/>
                        </w:rPr>
                        <w:t>Mesures requises :</w:t>
                      </w:r>
                    </w:p>
                    <w:p w14:paraId="6CE1245C" w14:textId="77777777" w:rsidR="00295C2B" w:rsidRPr="00C97F2B" w:rsidRDefault="00295C2B" w:rsidP="00392508">
                      <w:pPr>
                        <w:ind w:left="425" w:hanging="425"/>
                        <w:rPr>
                          <w:rFonts w:ascii="Calibri" w:hAnsi="Calibri" w:cs="Calibri"/>
                          <w:b/>
                          <w:sz w:val="22"/>
                          <w:szCs w:val="22"/>
                          <w:lang w:val="fr-FR"/>
                        </w:rPr>
                      </w:pPr>
                    </w:p>
                    <w:p w14:paraId="143CD336" w14:textId="77777777" w:rsidR="00295C2B" w:rsidRPr="00C97F2B" w:rsidRDefault="00295C2B" w:rsidP="00392508">
                      <w:pPr>
                        <w:widowControl w:val="0"/>
                        <w:rPr>
                          <w:rFonts w:ascii="Calibri" w:hAnsi="Calibri" w:cs="Calibri"/>
                          <w:sz w:val="22"/>
                          <w:szCs w:val="22"/>
                          <w:lang w:val="fr-FR"/>
                        </w:rPr>
                      </w:pPr>
                      <w:r>
                        <w:rPr>
                          <w:rFonts w:ascii="Calibri" w:eastAsia="Calibri" w:hAnsi="Calibri" w:cs="Calibri"/>
                          <w:sz w:val="22"/>
                          <w:szCs w:val="22"/>
                          <w:lang w:val="fr-FR"/>
                        </w:rPr>
                        <w:t>Le Comité permanent est invité à examiner et à approuver le projet de résolution ci-joint pour examen par la Conférence des Parties contractantes à sa 15</w:t>
                      </w:r>
                      <w:r>
                        <w:rPr>
                          <w:rFonts w:ascii="Calibri" w:eastAsia="Calibri" w:hAnsi="Calibri" w:cs="Calibri"/>
                          <w:sz w:val="22"/>
                          <w:szCs w:val="22"/>
                          <w:vertAlign w:val="superscript"/>
                          <w:lang w:val="fr-FR"/>
                        </w:rPr>
                        <w:t>e </w:t>
                      </w:r>
                      <w:r>
                        <w:rPr>
                          <w:rFonts w:ascii="Calibri" w:eastAsia="Calibri" w:hAnsi="Calibri" w:cs="Calibri"/>
                          <w:sz w:val="22"/>
                          <w:szCs w:val="22"/>
                          <w:lang w:val="fr-FR"/>
                        </w:rPr>
                        <w:t>Session.</w:t>
                      </w:r>
                    </w:p>
                    <w:p w14:paraId="7C7F86C5" w14:textId="77777777" w:rsidR="00295C2B" w:rsidRPr="00C97F2B" w:rsidRDefault="00295C2B" w:rsidP="00392508">
                      <w:pPr>
                        <w:widowControl w:val="0"/>
                        <w:ind w:left="425" w:hanging="425"/>
                        <w:rPr>
                          <w:sz w:val="22"/>
                          <w:szCs w:val="22"/>
                          <w:lang w:val="fr-FR"/>
                        </w:rPr>
                      </w:pPr>
                    </w:p>
                    <w:p w14:paraId="436230B2" w14:textId="77777777" w:rsidR="00295C2B" w:rsidRPr="00C97F2B" w:rsidRDefault="00295C2B" w:rsidP="00392508">
                      <w:pPr>
                        <w:rPr>
                          <w:lang w:val="fr-FR"/>
                        </w:rPr>
                      </w:pPr>
                    </w:p>
                  </w:txbxContent>
                </v:textbox>
                <w10:wrap type="square"/>
              </v:shape>
            </w:pict>
          </mc:Fallback>
        </mc:AlternateContent>
      </w:r>
      <w:r>
        <w:rPr>
          <w:rFonts w:ascii="Calibri" w:eastAsia="Calibri" w:hAnsi="Calibri"/>
          <w:i/>
          <w:iCs/>
          <w:sz w:val="22"/>
          <w:szCs w:val="22"/>
          <w:lang w:val="fr-FR" w:eastAsia="en-US"/>
        </w:rPr>
        <w:t>Soumis</w:t>
      </w:r>
      <w:r w:rsidR="00800EB5">
        <w:rPr>
          <w:rFonts w:ascii="Calibri" w:eastAsia="Calibri" w:hAnsi="Calibri"/>
          <w:i/>
          <w:iCs/>
          <w:sz w:val="22"/>
          <w:szCs w:val="22"/>
          <w:lang w:val="fr-FR" w:eastAsia="en-US"/>
        </w:rPr>
        <w:t>e</w:t>
      </w:r>
      <w:r>
        <w:rPr>
          <w:rFonts w:ascii="Calibri" w:eastAsia="Calibri" w:hAnsi="Calibri"/>
          <w:i/>
          <w:iCs/>
          <w:sz w:val="22"/>
          <w:szCs w:val="22"/>
          <w:lang w:val="fr-FR" w:eastAsia="en-US"/>
        </w:rPr>
        <w:t xml:space="preserve"> par la République de Corée</w:t>
      </w:r>
    </w:p>
    <w:p w14:paraId="7A99E30C" w14:textId="77777777" w:rsidR="008A1A91" w:rsidRDefault="008A1A91" w:rsidP="008A1A91">
      <w:pPr>
        <w:pStyle w:val="DRHeading1"/>
        <w:rPr>
          <w:rFonts w:eastAsia="Calibri"/>
          <w:b w:val="0"/>
          <w:bCs w:val="0"/>
          <w:i/>
          <w:iCs/>
          <w:lang w:val="fr-FR"/>
        </w:rPr>
      </w:pPr>
    </w:p>
    <w:p w14:paraId="30FD4689" w14:textId="77777777" w:rsidR="00800EB5" w:rsidRDefault="00800EB5" w:rsidP="008A1A91">
      <w:pPr>
        <w:pStyle w:val="DRHeading1"/>
        <w:rPr>
          <w:rFonts w:eastAsia="Calibri"/>
          <w:b w:val="0"/>
          <w:bCs w:val="0"/>
          <w:i/>
          <w:iCs/>
          <w:lang w:val="fr-FR"/>
        </w:rPr>
      </w:pPr>
    </w:p>
    <w:p w14:paraId="7CA82C08" w14:textId="77777777" w:rsidR="008A1A91" w:rsidRPr="008A1A91" w:rsidRDefault="008A1A91" w:rsidP="008A1A91">
      <w:pPr>
        <w:pStyle w:val="DRHeading1"/>
        <w:rPr>
          <w:b w:val="0"/>
          <w:bCs w:val="0"/>
          <w:i/>
          <w:iCs/>
          <w:lang w:val="fr-FR"/>
        </w:rPr>
      </w:pPr>
      <w:r>
        <w:rPr>
          <w:rFonts w:eastAsia="Calibri"/>
          <w:b w:val="0"/>
          <w:bCs w:val="0"/>
          <w:i/>
          <w:iCs/>
          <w:lang w:val="fr-FR"/>
        </w:rPr>
        <w:t>Note de couverture du Secrétariat</w:t>
      </w:r>
    </w:p>
    <w:p w14:paraId="5AAE25AB" w14:textId="77777777" w:rsidR="008A1A91" w:rsidRPr="008A1A91" w:rsidRDefault="008A1A91" w:rsidP="008A1A91">
      <w:pPr>
        <w:pStyle w:val="DRHeading1"/>
        <w:rPr>
          <w:b w:val="0"/>
          <w:bCs w:val="0"/>
          <w:i/>
          <w:iCs/>
          <w:lang w:val="fr-FR"/>
        </w:rPr>
      </w:pPr>
    </w:p>
    <w:p w14:paraId="65E7E736" w14:textId="77777777" w:rsidR="008A1A91" w:rsidRPr="008A1A91" w:rsidRDefault="008A1A91" w:rsidP="008A1A91">
      <w:pPr>
        <w:pStyle w:val="DRText"/>
        <w:rPr>
          <w:lang w:val="fr-FR"/>
        </w:rPr>
      </w:pPr>
      <w:r>
        <w:rPr>
          <w:rFonts w:eastAsia="Calibri"/>
          <w:lang w:val="fr-FR"/>
        </w:rPr>
        <w:t>Le projet de résolution présente une vue d</w:t>
      </w:r>
      <w:r w:rsidR="00F5485A">
        <w:rPr>
          <w:rFonts w:eastAsia="Calibri"/>
          <w:lang w:val="fr-FR"/>
        </w:rPr>
        <w:t>’</w:t>
      </w:r>
      <w:r>
        <w:rPr>
          <w:rFonts w:eastAsia="Calibri"/>
          <w:lang w:val="fr-FR"/>
        </w:rPr>
        <w:t>ensemble de l</w:t>
      </w:r>
      <w:r w:rsidR="00F5485A">
        <w:rPr>
          <w:rFonts w:eastAsia="Calibri"/>
          <w:lang w:val="fr-FR"/>
        </w:rPr>
        <w:t>’</w:t>
      </w:r>
      <w:r>
        <w:rPr>
          <w:rFonts w:eastAsia="Calibri"/>
          <w:lang w:val="fr-FR"/>
        </w:rPr>
        <w:t>Outil d</w:t>
      </w:r>
      <w:r w:rsidR="00F5485A">
        <w:rPr>
          <w:rFonts w:eastAsia="Calibri"/>
          <w:lang w:val="fr-FR"/>
        </w:rPr>
        <w:t>’</w:t>
      </w:r>
      <w:r>
        <w:rPr>
          <w:rFonts w:eastAsia="Calibri"/>
          <w:lang w:val="fr-FR"/>
        </w:rPr>
        <w:t xml:space="preserve">évaluation de la vulnérabilité des zones humides (WETVAT – </w:t>
      </w:r>
      <w:r w:rsidRPr="008A1A91">
        <w:rPr>
          <w:rFonts w:eastAsia="Calibri"/>
          <w:i/>
          <w:lang w:val="fr-FR"/>
        </w:rPr>
        <w:t>Wetland Vulnerability Assessment Tool</w:t>
      </w:r>
      <w:r>
        <w:rPr>
          <w:rFonts w:eastAsia="Calibri"/>
          <w:lang w:val="fr-FR"/>
        </w:rPr>
        <w:t>) élaboré par le Centre régional Ramsar – Asie de l</w:t>
      </w:r>
      <w:r w:rsidR="00F5485A">
        <w:rPr>
          <w:rFonts w:eastAsia="Calibri"/>
          <w:lang w:val="fr-FR"/>
        </w:rPr>
        <w:t>’</w:t>
      </w:r>
      <w:r>
        <w:rPr>
          <w:rFonts w:eastAsia="Calibri"/>
          <w:lang w:val="fr-FR"/>
        </w:rPr>
        <w:t>Est en collaboration avec des spécialistes et les gouvernements de la République de Corée et des Philippines. Il invite les Parties contractantes et les autres parties prenantes à utiliser cette approche pour l</w:t>
      </w:r>
      <w:r w:rsidR="00F5485A">
        <w:rPr>
          <w:rFonts w:eastAsia="Calibri"/>
          <w:lang w:val="fr-FR"/>
        </w:rPr>
        <w:t>’</w:t>
      </w:r>
      <w:r>
        <w:rPr>
          <w:rFonts w:eastAsia="Calibri"/>
          <w:lang w:val="fr-FR"/>
        </w:rPr>
        <w:t>évaluation et la gestion des zones humides.</w:t>
      </w:r>
    </w:p>
    <w:p w14:paraId="0C9DF782" w14:textId="77777777" w:rsidR="008A1A91" w:rsidRPr="008A1A91" w:rsidRDefault="008A1A91" w:rsidP="008A1A91">
      <w:pPr>
        <w:pStyle w:val="DRText"/>
        <w:rPr>
          <w:lang w:val="fr-FR"/>
        </w:rPr>
      </w:pPr>
    </w:p>
    <w:p w14:paraId="232CF77E" w14:textId="77777777" w:rsidR="008A1A91" w:rsidRPr="008A1A91" w:rsidRDefault="008A1A91" w:rsidP="008A1A91">
      <w:pPr>
        <w:pStyle w:val="DRText"/>
        <w:rPr>
          <w:lang w:val="fr-FR"/>
        </w:rPr>
      </w:pPr>
      <w:r>
        <w:rPr>
          <w:rFonts w:eastAsia="Calibri"/>
          <w:lang w:val="fr-FR"/>
        </w:rPr>
        <w:t>Le GEST a été invité à examiner le projet de résolution.</w:t>
      </w:r>
    </w:p>
    <w:p w14:paraId="0F1F5845" w14:textId="77777777" w:rsidR="00000578" w:rsidRPr="00C97F2B" w:rsidRDefault="00000578" w:rsidP="00F77707">
      <w:pPr>
        <w:rPr>
          <w:rFonts w:ascii="Calibri" w:hAnsi="Calibri"/>
          <w:sz w:val="22"/>
          <w:szCs w:val="22"/>
          <w:lang w:val="fr-FR" w:eastAsia="en-US"/>
        </w:rPr>
      </w:pPr>
    </w:p>
    <w:p w14:paraId="408A0B16" w14:textId="77777777" w:rsidR="00392508" w:rsidRPr="00C97F2B" w:rsidRDefault="00392508" w:rsidP="00F77707">
      <w:pPr>
        <w:rPr>
          <w:rFonts w:ascii="Calibri" w:hAnsi="Calibri"/>
          <w:sz w:val="22"/>
          <w:szCs w:val="22"/>
          <w:lang w:val="fr-FR" w:eastAsia="en-US"/>
        </w:rPr>
      </w:pPr>
    </w:p>
    <w:p w14:paraId="0AD8116E" w14:textId="77777777" w:rsidR="008A1A91" w:rsidRDefault="008A1A91">
      <w:pPr>
        <w:rPr>
          <w:rFonts w:ascii="Calibri" w:eastAsia="Calibri" w:hAnsi="Calibri"/>
          <w:b/>
          <w:bCs/>
          <w:sz w:val="22"/>
          <w:szCs w:val="22"/>
          <w:lang w:val="fr-FR" w:eastAsia="en-US"/>
        </w:rPr>
      </w:pPr>
      <w:r>
        <w:rPr>
          <w:rFonts w:eastAsia="Calibri"/>
          <w:lang w:val="fr-FR"/>
        </w:rPr>
        <w:br w:type="page"/>
      </w:r>
    </w:p>
    <w:p w14:paraId="1E21528C" w14:textId="77777777" w:rsidR="008E220A" w:rsidRPr="00C97F2B" w:rsidRDefault="00295C2B" w:rsidP="00392508">
      <w:pPr>
        <w:pStyle w:val="DRHeading1"/>
        <w:rPr>
          <w:lang w:val="fr-FR"/>
        </w:rPr>
      </w:pPr>
      <w:r>
        <w:rPr>
          <w:rFonts w:eastAsia="Calibri"/>
          <w:lang w:val="fr-FR"/>
        </w:rPr>
        <w:lastRenderedPageBreak/>
        <w:t xml:space="preserve">Introduction </w:t>
      </w:r>
    </w:p>
    <w:p w14:paraId="7F68976D" w14:textId="77777777" w:rsidR="008E220A" w:rsidRPr="00C97F2B" w:rsidRDefault="008E220A" w:rsidP="00392508">
      <w:pPr>
        <w:rPr>
          <w:rFonts w:ascii="Calibri" w:hAnsi="Calibri"/>
          <w:sz w:val="22"/>
          <w:szCs w:val="22"/>
          <w:lang w:val="fr-FR" w:eastAsia="en-US"/>
        </w:rPr>
      </w:pPr>
    </w:p>
    <w:p w14:paraId="6A86373E" w14:textId="77777777" w:rsidR="002F3AB3" w:rsidRPr="00C97F2B" w:rsidRDefault="00295C2B" w:rsidP="00392508">
      <w:pPr>
        <w:pStyle w:val="DRText"/>
        <w:rPr>
          <w:i/>
          <w:iCs/>
          <w:lang w:val="fr-FR"/>
        </w:rPr>
      </w:pPr>
      <w:r>
        <w:rPr>
          <w:rFonts w:eastAsia="Calibri"/>
          <w:i/>
          <w:iCs/>
          <w:lang w:val="fr-FR"/>
        </w:rPr>
        <w:t>Ce projet de résolution répond à la nécessité de garantir l</w:t>
      </w:r>
      <w:r w:rsidR="00C97F2B">
        <w:rPr>
          <w:rFonts w:eastAsia="Calibri"/>
          <w:i/>
          <w:iCs/>
          <w:lang w:val="fr-FR"/>
        </w:rPr>
        <w:t>’</w:t>
      </w:r>
      <w:r>
        <w:rPr>
          <w:rFonts w:eastAsia="Calibri"/>
          <w:i/>
          <w:iCs/>
          <w:lang w:val="fr-FR"/>
        </w:rPr>
        <w:t xml:space="preserve">utilisation rationnelle des zones humides et de reconnaître, évaluer et comprendre la vulnérabilité des zones humides à une multitude de menaces. </w:t>
      </w:r>
    </w:p>
    <w:p w14:paraId="3A022F19" w14:textId="77777777" w:rsidR="002F3AB3" w:rsidRPr="00C97F2B" w:rsidRDefault="002F3AB3" w:rsidP="00392508">
      <w:pPr>
        <w:pStyle w:val="DRText"/>
        <w:rPr>
          <w:i/>
          <w:iCs/>
          <w:lang w:val="fr-FR"/>
        </w:rPr>
      </w:pPr>
    </w:p>
    <w:p w14:paraId="00D5A94E" w14:textId="77777777" w:rsidR="00000578" w:rsidRPr="00295C2B" w:rsidRDefault="00295C2B" w:rsidP="00392508">
      <w:pPr>
        <w:pStyle w:val="DRText"/>
        <w:rPr>
          <w:i/>
          <w:iCs/>
          <w:lang w:val="fr-FR"/>
        </w:rPr>
      </w:pPr>
      <w:r>
        <w:rPr>
          <w:rFonts w:eastAsia="Calibri"/>
          <w:i/>
          <w:iCs/>
          <w:lang w:val="fr-FR"/>
        </w:rPr>
        <w:t>Le projet de résolution présente une vue d</w:t>
      </w:r>
      <w:r w:rsidR="00C97F2B">
        <w:rPr>
          <w:rFonts w:eastAsia="Calibri"/>
          <w:i/>
          <w:iCs/>
          <w:lang w:val="fr-FR"/>
        </w:rPr>
        <w:t>’</w:t>
      </w:r>
      <w:r>
        <w:rPr>
          <w:rFonts w:eastAsia="Calibri"/>
          <w:i/>
          <w:iCs/>
          <w:lang w:val="fr-FR"/>
        </w:rPr>
        <w:t>ensemble de l</w:t>
      </w:r>
      <w:r w:rsidR="00C97F2B">
        <w:rPr>
          <w:rFonts w:eastAsia="Calibri"/>
          <w:i/>
          <w:iCs/>
          <w:lang w:val="fr-FR"/>
        </w:rPr>
        <w:t>’</w:t>
      </w:r>
      <w:r>
        <w:rPr>
          <w:rFonts w:eastAsia="Calibri"/>
          <w:i/>
          <w:iCs/>
          <w:lang w:val="fr-FR"/>
        </w:rPr>
        <w:t>Outil d</w:t>
      </w:r>
      <w:r w:rsidR="00C97F2B">
        <w:rPr>
          <w:rFonts w:eastAsia="Calibri"/>
          <w:i/>
          <w:iCs/>
          <w:lang w:val="fr-FR"/>
        </w:rPr>
        <w:t>’</w:t>
      </w:r>
      <w:r>
        <w:rPr>
          <w:rFonts w:eastAsia="Calibri"/>
          <w:i/>
          <w:iCs/>
          <w:lang w:val="fr-FR"/>
        </w:rPr>
        <w:t>évaluation de la vulnérabilité des zones humides (W</w:t>
      </w:r>
      <w:r w:rsidR="00744350">
        <w:rPr>
          <w:rFonts w:eastAsia="Calibri"/>
          <w:i/>
          <w:iCs/>
          <w:lang w:val="fr-FR"/>
        </w:rPr>
        <w:t>et</w:t>
      </w:r>
      <w:r>
        <w:rPr>
          <w:rFonts w:eastAsia="Calibri"/>
          <w:i/>
          <w:iCs/>
          <w:lang w:val="fr-FR"/>
        </w:rPr>
        <w:t>VAT – Wetland Vulnerability Assessment Tool</w:t>
      </w:r>
      <w:r w:rsidRPr="00295C2B">
        <w:rPr>
          <w:rFonts w:eastAsia="Calibri"/>
          <w:i/>
          <w:lang w:val="fr-FR"/>
        </w:rPr>
        <w:t>) élaboré par le Centre régional Ramsar – Asie de l</w:t>
      </w:r>
      <w:r w:rsidR="00C97F2B" w:rsidRPr="00295C2B">
        <w:rPr>
          <w:rFonts w:eastAsia="Calibri"/>
          <w:i/>
          <w:lang w:val="fr-FR"/>
        </w:rPr>
        <w:t>’</w:t>
      </w:r>
      <w:r w:rsidRPr="00295C2B">
        <w:rPr>
          <w:rFonts w:eastAsia="Calibri"/>
          <w:i/>
          <w:lang w:val="fr-FR"/>
        </w:rPr>
        <w:t xml:space="preserve">Est en collaboration avec des spécialistes et les gouvernements de la République de Corée et des Philippines. </w:t>
      </w:r>
    </w:p>
    <w:p w14:paraId="1FCCB2EF" w14:textId="77777777" w:rsidR="00000578" w:rsidRPr="00C97F2B" w:rsidRDefault="00000578" w:rsidP="00392508">
      <w:pPr>
        <w:pStyle w:val="DRText"/>
        <w:rPr>
          <w:i/>
          <w:iCs/>
          <w:lang w:val="fr-FR"/>
        </w:rPr>
      </w:pPr>
    </w:p>
    <w:p w14:paraId="0AF94B01" w14:textId="77777777" w:rsidR="00A824F1" w:rsidRPr="00C97F2B" w:rsidRDefault="00295C2B" w:rsidP="00392508">
      <w:pPr>
        <w:pStyle w:val="DRText"/>
        <w:rPr>
          <w:i/>
          <w:iCs/>
          <w:lang w:val="fr-FR"/>
        </w:rPr>
      </w:pPr>
      <w:r>
        <w:rPr>
          <w:rFonts w:eastAsia="Calibri"/>
          <w:i/>
          <w:iCs/>
          <w:lang w:val="fr-FR"/>
        </w:rPr>
        <w:t>Le projet de résolution demande aux Parties contractantes de prendre note du W</w:t>
      </w:r>
      <w:r w:rsidR="00744350">
        <w:rPr>
          <w:rFonts w:eastAsia="Calibri"/>
          <w:i/>
          <w:iCs/>
          <w:lang w:val="fr-FR"/>
        </w:rPr>
        <w:t>et</w:t>
      </w:r>
      <w:r>
        <w:rPr>
          <w:rFonts w:eastAsia="Calibri"/>
          <w:i/>
          <w:iCs/>
          <w:lang w:val="fr-FR"/>
        </w:rPr>
        <w:t>VAT décrit en annexe et invite les Parties contractantes et les autres parties prenantes</w:t>
      </w:r>
      <w:r w:rsidR="00B03F3B">
        <w:rPr>
          <w:rFonts w:eastAsia="Calibri"/>
          <w:i/>
          <w:iCs/>
          <w:lang w:val="fr-FR"/>
        </w:rPr>
        <w:t xml:space="preserve"> à utiliser, à titre volontaire, </w:t>
      </w:r>
      <w:r>
        <w:rPr>
          <w:rFonts w:eastAsia="Calibri"/>
          <w:i/>
          <w:iCs/>
          <w:lang w:val="fr-FR"/>
        </w:rPr>
        <w:t>cette approche pour l</w:t>
      </w:r>
      <w:r w:rsidR="00C97F2B">
        <w:rPr>
          <w:rFonts w:eastAsia="Calibri"/>
          <w:i/>
          <w:iCs/>
          <w:lang w:val="fr-FR"/>
        </w:rPr>
        <w:t>’</w:t>
      </w:r>
      <w:r>
        <w:rPr>
          <w:rFonts w:eastAsia="Calibri"/>
          <w:i/>
          <w:iCs/>
          <w:lang w:val="fr-FR"/>
        </w:rPr>
        <w:t xml:space="preserve">évaluation et la gestion des zones humides. </w:t>
      </w:r>
    </w:p>
    <w:p w14:paraId="18BF0B9E" w14:textId="77777777" w:rsidR="00A824F1" w:rsidRPr="00C97F2B" w:rsidRDefault="00A824F1" w:rsidP="00392508">
      <w:pPr>
        <w:pStyle w:val="DRText"/>
        <w:rPr>
          <w:i/>
          <w:iCs/>
          <w:lang w:val="fr-FR"/>
        </w:rPr>
      </w:pPr>
    </w:p>
    <w:p w14:paraId="742D689A" w14:textId="77777777" w:rsidR="00000578" w:rsidRDefault="00295C2B" w:rsidP="00392508">
      <w:pPr>
        <w:pStyle w:val="DRText"/>
        <w:rPr>
          <w:rFonts w:eastAsia="Calibri"/>
          <w:i/>
          <w:iCs/>
          <w:lang w:val="fr-FR"/>
        </w:rPr>
      </w:pPr>
      <w:r>
        <w:rPr>
          <w:rFonts w:eastAsia="Calibri"/>
          <w:i/>
          <w:iCs/>
          <w:lang w:val="fr-FR"/>
        </w:rPr>
        <w:t>Les éléments techniques du W</w:t>
      </w:r>
      <w:r w:rsidR="00744350">
        <w:rPr>
          <w:rFonts w:eastAsia="Calibri"/>
          <w:i/>
          <w:iCs/>
          <w:lang w:val="fr-FR"/>
        </w:rPr>
        <w:t>et</w:t>
      </w:r>
      <w:r>
        <w:rPr>
          <w:rFonts w:eastAsia="Calibri"/>
          <w:i/>
          <w:iCs/>
          <w:lang w:val="fr-FR"/>
        </w:rPr>
        <w:t>VAT ont fait l</w:t>
      </w:r>
      <w:r w:rsidR="00C97F2B">
        <w:rPr>
          <w:rFonts w:eastAsia="Calibri"/>
          <w:i/>
          <w:iCs/>
          <w:lang w:val="fr-FR"/>
        </w:rPr>
        <w:t>’</w:t>
      </w:r>
      <w:r>
        <w:rPr>
          <w:rFonts w:eastAsia="Calibri"/>
          <w:i/>
          <w:iCs/>
          <w:lang w:val="fr-FR"/>
        </w:rPr>
        <w:t>objet d</w:t>
      </w:r>
      <w:r w:rsidR="00C97F2B">
        <w:rPr>
          <w:rFonts w:eastAsia="Calibri"/>
          <w:i/>
          <w:iCs/>
          <w:lang w:val="fr-FR"/>
        </w:rPr>
        <w:t>’</w:t>
      </w:r>
      <w:r>
        <w:rPr>
          <w:rFonts w:eastAsia="Calibri"/>
          <w:i/>
          <w:iCs/>
          <w:lang w:val="fr-FR"/>
        </w:rPr>
        <w:t>une consultation et d</w:t>
      </w:r>
      <w:r w:rsidR="00C97F2B">
        <w:rPr>
          <w:rFonts w:eastAsia="Calibri"/>
          <w:i/>
          <w:iCs/>
          <w:lang w:val="fr-FR"/>
        </w:rPr>
        <w:t>’</w:t>
      </w:r>
      <w:r>
        <w:rPr>
          <w:rFonts w:eastAsia="Calibri"/>
          <w:i/>
          <w:iCs/>
          <w:lang w:val="fr-FR"/>
        </w:rPr>
        <w:t>une évaluation auprès de gestionnaires de zones humides d</w:t>
      </w:r>
      <w:r w:rsidR="00C97F2B">
        <w:rPr>
          <w:rFonts w:eastAsia="Calibri"/>
          <w:i/>
          <w:iCs/>
          <w:lang w:val="fr-FR"/>
        </w:rPr>
        <w:t>’</w:t>
      </w:r>
      <w:r>
        <w:rPr>
          <w:rFonts w:eastAsia="Calibri"/>
          <w:i/>
          <w:iCs/>
          <w:lang w:val="fr-FR"/>
        </w:rPr>
        <w:t>Asie de l</w:t>
      </w:r>
      <w:r w:rsidR="00C97F2B">
        <w:rPr>
          <w:rFonts w:eastAsia="Calibri"/>
          <w:i/>
          <w:iCs/>
          <w:lang w:val="fr-FR"/>
        </w:rPr>
        <w:t>’</w:t>
      </w:r>
      <w:r>
        <w:rPr>
          <w:rFonts w:eastAsia="Calibri"/>
          <w:i/>
          <w:iCs/>
          <w:lang w:val="fr-FR"/>
        </w:rPr>
        <w:t>Est et d</w:t>
      </w:r>
      <w:r w:rsidR="00C97F2B">
        <w:rPr>
          <w:rFonts w:eastAsia="Calibri"/>
          <w:i/>
          <w:iCs/>
          <w:lang w:val="fr-FR"/>
        </w:rPr>
        <w:t>’</w:t>
      </w:r>
      <w:r>
        <w:rPr>
          <w:rFonts w:eastAsia="Calibri"/>
          <w:i/>
          <w:iCs/>
          <w:lang w:val="fr-FR"/>
        </w:rPr>
        <w:t>ailleurs.</w:t>
      </w:r>
    </w:p>
    <w:p w14:paraId="0D12C6FC" w14:textId="77777777" w:rsidR="005B71F9" w:rsidRDefault="005B71F9" w:rsidP="00392508">
      <w:pPr>
        <w:pStyle w:val="DRText"/>
        <w:rPr>
          <w:rFonts w:eastAsia="Calibri"/>
          <w:i/>
          <w:iCs/>
          <w:lang w:val="fr-FR"/>
        </w:rPr>
      </w:pPr>
    </w:p>
    <w:p w14:paraId="24686420" w14:textId="77777777" w:rsidR="005B71F9" w:rsidRPr="00C97F2B" w:rsidRDefault="005B71F9" w:rsidP="00392508">
      <w:pPr>
        <w:pStyle w:val="DRText"/>
        <w:rPr>
          <w:i/>
          <w:iCs/>
          <w:lang w:val="fr-FR"/>
        </w:rPr>
      </w:pPr>
      <w:r w:rsidRPr="005B71F9">
        <w:rPr>
          <w:i/>
          <w:iCs/>
          <w:lang w:val="fr-FR"/>
        </w:rPr>
        <w:t>Les figures de l</w:t>
      </w:r>
      <w:r w:rsidR="000B7558">
        <w:rPr>
          <w:i/>
          <w:iCs/>
          <w:lang w:val="fr-FR"/>
        </w:rPr>
        <w:t>’</w:t>
      </w:r>
      <w:r w:rsidRPr="005B71F9">
        <w:rPr>
          <w:i/>
          <w:iCs/>
          <w:lang w:val="fr-FR"/>
        </w:rPr>
        <w:t>annexe</w:t>
      </w:r>
      <w:r w:rsidR="000B7558">
        <w:rPr>
          <w:i/>
          <w:iCs/>
          <w:lang w:val="fr-FR"/>
        </w:rPr>
        <w:t> </w:t>
      </w:r>
      <w:r w:rsidRPr="005B71F9">
        <w:rPr>
          <w:i/>
          <w:iCs/>
          <w:lang w:val="fr-FR"/>
        </w:rPr>
        <w:t>1 comprennent des captures d</w:t>
      </w:r>
      <w:r w:rsidR="000B7558">
        <w:rPr>
          <w:i/>
          <w:iCs/>
          <w:lang w:val="fr-FR"/>
        </w:rPr>
        <w:t>’</w:t>
      </w:r>
      <w:r w:rsidRPr="005B71F9">
        <w:rPr>
          <w:i/>
          <w:iCs/>
          <w:lang w:val="fr-FR"/>
        </w:rPr>
        <w:t xml:space="preserve">écran des feuilles de </w:t>
      </w:r>
      <w:r>
        <w:rPr>
          <w:i/>
          <w:iCs/>
          <w:lang w:val="fr-FR"/>
        </w:rPr>
        <w:t>calcul</w:t>
      </w:r>
      <w:r w:rsidRPr="005B71F9">
        <w:rPr>
          <w:i/>
          <w:iCs/>
          <w:lang w:val="fr-FR"/>
        </w:rPr>
        <w:t xml:space="preserve"> WetVAT dans le but d</w:t>
      </w:r>
      <w:r w:rsidR="000B7558">
        <w:rPr>
          <w:i/>
          <w:iCs/>
          <w:lang w:val="fr-FR"/>
        </w:rPr>
        <w:t>’</w:t>
      </w:r>
      <w:r w:rsidRPr="005B71F9">
        <w:rPr>
          <w:i/>
          <w:iCs/>
          <w:lang w:val="fr-FR"/>
        </w:rPr>
        <w:t>illustrer la façon dont l</w:t>
      </w:r>
      <w:r w:rsidR="000B7558">
        <w:rPr>
          <w:i/>
          <w:iCs/>
          <w:lang w:val="fr-FR"/>
        </w:rPr>
        <w:t>’</w:t>
      </w:r>
      <w:r w:rsidRPr="005B71F9">
        <w:rPr>
          <w:i/>
          <w:iCs/>
          <w:lang w:val="fr-FR"/>
        </w:rPr>
        <w:t xml:space="preserve">outil apparaît, plutôt que pour la discussion. </w:t>
      </w:r>
      <w:r>
        <w:rPr>
          <w:i/>
          <w:iCs/>
          <w:lang w:val="fr-FR"/>
        </w:rPr>
        <w:t>Pour l’instant, l</w:t>
      </w:r>
      <w:r w:rsidRPr="005B71F9">
        <w:rPr>
          <w:i/>
          <w:iCs/>
          <w:lang w:val="fr-FR"/>
        </w:rPr>
        <w:t>a version initiale de l</w:t>
      </w:r>
      <w:r w:rsidR="000B7558">
        <w:rPr>
          <w:i/>
          <w:iCs/>
          <w:lang w:val="fr-FR"/>
        </w:rPr>
        <w:t>’</w:t>
      </w:r>
      <w:r w:rsidRPr="005B71F9">
        <w:rPr>
          <w:i/>
          <w:iCs/>
          <w:lang w:val="fr-FR"/>
        </w:rPr>
        <w:t xml:space="preserve">outil est disponible </w:t>
      </w:r>
      <w:r>
        <w:rPr>
          <w:i/>
          <w:iCs/>
          <w:lang w:val="fr-FR"/>
        </w:rPr>
        <w:t>uniquement en anglais. L</w:t>
      </w:r>
      <w:r w:rsidRPr="005B71F9">
        <w:rPr>
          <w:i/>
          <w:iCs/>
          <w:lang w:val="fr-FR"/>
        </w:rPr>
        <w:t xml:space="preserve">es versions française et espagnole seront disponibles pour la COP15 grâce à un lien inclus dans un guide </w:t>
      </w:r>
      <w:r>
        <w:rPr>
          <w:i/>
          <w:iCs/>
          <w:lang w:val="fr-FR"/>
        </w:rPr>
        <w:t xml:space="preserve">d’utilisation </w:t>
      </w:r>
      <w:r w:rsidRPr="005B71F9">
        <w:rPr>
          <w:i/>
          <w:iCs/>
          <w:lang w:val="fr-FR"/>
        </w:rPr>
        <w:t>séparé qui sera soumis en tant que document d</w:t>
      </w:r>
      <w:r w:rsidR="000B7558">
        <w:rPr>
          <w:i/>
          <w:iCs/>
          <w:lang w:val="fr-FR"/>
        </w:rPr>
        <w:t>’</w:t>
      </w:r>
      <w:r w:rsidRPr="005B71F9">
        <w:rPr>
          <w:i/>
          <w:iCs/>
          <w:lang w:val="fr-FR"/>
        </w:rPr>
        <w:t>information. Les détails de l</w:t>
      </w:r>
      <w:r w:rsidR="000B7558">
        <w:rPr>
          <w:i/>
          <w:iCs/>
          <w:lang w:val="fr-FR"/>
        </w:rPr>
        <w:t>’</w:t>
      </w:r>
      <w:r w:rsidRPr="005B71F9">
        <w:rPr>
          <w:i/>
          <w:iCs/>
          <w:lang w:val="fr-FR"/>
        </w:rPr>
        <w:t>outil pourr</w:t>
      </w:r>
      <w:r w:rsidR="0090008C">
        <w:rPr>
          <w:i/>
          <w:iCs/>
          <w:lang w:val="fr-FR"/>
        </w:rPr>
        <w:t>o</w:t>
      </w:r>
      <w:r w:rsidRPr="005B71F9">
        <w:rPr>
          <w:i/>
          <w:iCs/>
          <w:lang w:val="fr-FR"/>
        </w:rPr>
        <w:t xml:space="preserve">nt être améliorés au </w:t>
      </w:r>
      <w:r>
        <w:rPr>
          <w:i/>
          <w:iCs/>
          <w:lang w:val="fr-FR"/>
        </w:rPr>
        <w:t>cours</w:t>
      </w:r>
      <w:r w:rsidRPr="005B71F9">
        <w:rPr>
          <w:i/>
          <w:iCs/>
          <w:lang w:val="fr-FR"/>
        </w:rPr>
        <w:t xml:space="preserve"> du temps grâce au retour d</w:t>
      </w:r>
      <w:r w:rsidR="000B7558">
        <w:rPr>
          <w:i/>
          <w:iCs/>
          <w:lang w:val="fr-FR"/>
        </w:rPr>
        <w:t>’</w:t>
      </w:r>
      <w:r w:rsidR="0090008C">
        <w:rPr>
          <w:i/>
          <w:iCs/>
          <w:lang w:val="fr-FR"/>
        </w:rPr>
        <w:t>information d</w:t>
      </w:r>
      <w:r w:rsidRPr="005B71F9">
        <w:rPr>
          <w:i/>
          <w:iCs/>
          <w:lang w:val="fr-FR"/>
        </w:rPr>
        <w:t>es utilisateurs.</w:t>
      </w:r>
    </w:p>
    <w:p w14:paraId="53D5EA67" w14:textId="77777777" w:rsidR="00A824F1" w:rsidRPr="00C97F2B" w:rsidRDefault="00A824F1" w:rsidP="005B71F9">
      <w:pPr>
        <w:pStyle w:val="DRText"/>
        <w:jc w:val="center"/>
        <w:rPr>
          <w:i/>
          <w:iCs/>
          <w:lang w:val="fr-FR"/>
        </w:rPr>
      </w:pPr>
    </w:p>
    <w:p w14:paraId="508E55E5" w14:textId="77777777" w:rsidR="00A824F1" w:rsidRPr="00C97F2B" w:rsidRDefault="00295C2B" w:rsidP="00392508">
      <w:pPr>
        <w:pStyle w:val="DRText"/>
        <w:rPr>
          <w:i/>
          <w:iCs/>
          <w:lang w:val="fr-FR"/>
        </w:rPr>
      </w:pPr>
      <w:r>
        <w:rPr>
          <w:rFonts w:eastAsia="Calibri"/>
          <w:i/>
          <w:iCs/>
          <w:lang w:val="fr-FR"/>
        </w:rPr>
        <w:t>Ce projet de résolution n</w:t>
      </w:r>
      <w:r w:rsidR="00C97F2B">
        <w:rPr>
          <w:rFonts w:eastAsia="Calibri"/>
          <w:i/>
          <w:iCs/>
          <w:lang w:val="fr-FR"/>
        </w:rPr>
        <w:t>’</w:t>
      </w:r>
      <w:r>
        <w:rPr>
          <w:rFonts w:eastAsia="Calibri"/>
          <w:i/>
          <w:iCs/>
          <w:lang w:val="fr-FR"/>
        </w:rPr>
        <w:t>a aucune incidence financière sur le Secrétariat.</w:t>
      </w:r>
    </w:p>
    <w:p w14:paraId="7F822248" w14:textId="77777777" w:rsidR="00000578" w:rsidRPr="00C97F2B" w:rsidRDefault="00000578" w:rsidP="00F77707">
      <w:pPr>
        <w:rPr>
          <w:rFonts w:ascii="Calibri" w:hAnsi="Calibri"/>
          <w:sz w:val="22"/>
          <w:szCs w:val="22"/>
          <w:lang w:val="fr-FR" w:eastAsia="en-US"/>
        </w:rPr>
      </w:pPr>
    </w:p>
    <w:tbl>
      <w:tblPr>
        <w:tblStyle w:val="TableGrid"/>
        <w:tblW w:w="0" w:type="auto"/>
        <w:tblLook w:val="04A0" w:firstRow="1" w:lastRow="0" w:firstColumn="1" w:lastColumn="0" w:noHBand="0" w:noVBand="1"/>
      </w:tblPr>
      <w:tblGrid>
        <w:gridCol w:w="2263"/>
        <w:gridCol w:w="4395"/>
        <w:gridCol w:w="2353"/>
      </w:tblGrid>
      <w:tr w:rsidR="00DE479C" w14:paraId="70379FB5" w14:textId="77777777" w:rsidTr="006D7FDC">
        <w:tc>
          <w:tcPr>
            <w:tcW w:w="2263" w:type="dxa"/>
          </w:tcPr>
          <w:p w14:paraId="3E6A1A2B" w14:textId="77777777" w:rsidR="008E220A" w:rsidRPr="006312C0" w:rsidRDefault="00295C2B" w:rsidP="00F77707">
            <w:pPr>
              <w:rPr>
                <w:rFonts w:ascii="Calibri" w:hAnsi="Calibri"/>
                <w:sz w:val="22"/>
                <w:szCs w:val="22"/>
                <w:lang w:val="en-US" w:eastAsia="en-US"/>
              </w:rPr>
            </w:pPr>
            <w:r>
              <w:rPr>
                <w:rFonts w:ascii="Calibri" w:eastAsia="Calibri" w:hAnsi="Calibri"/>
                <w:sz w:val="22"/>
                <w:szCs w:val="22"/>
                <w:lang w:val="fr-FR" w:eastAsia="en-US"/>
              </w:rPr>
              <w:t>Paragraphes</w:t>
            </w:r>
          </w:p>
        </w:tc>
        <w:tc>
          <w:tcPr>
            <w:tcW w:w="4395" w:type="dxa"/>
          </w:tcPr>
          <w:p w14:paraId="077AC0C3" w14:textId="77777777" w:rsidR="008E220A" w:rsidRPr="006312C0" w:rsidRDefault="00295C2B" w:rsidP="00F77707">
            <w:pPr>
              <w:rPr>
                <w:rFonts w:ascii="Calibri" w:hAnsi="Calibri"/>
                <w:sz w:val="22"/>
                <w:szCs w:val="22"/>
                <w:lang w:val="en-US" w:eastAsia="en-US"/>
              </w:rPr>
            </w:pPr>
            <w:r>
              <w:rPr>
                <w:rFonts w:ascii="Calibri" w:eastAsia="Calibri" w:hAnsi="Calibri"/>
                <w:sz w:val="22"/>
                <w:szCs w:val="22"/>
                <w:lang w:val="fr-FR" w:eastAsia="en-US"/>
              </w:rPr>
              <w:t>Action</w:t>
            </w:r>
          </w:p>
        </w:tc>
        <w:tc>
          <w:tcPr>
            <w:tcW w:w="2353" w:type="dxa"/>
          </w:tcPr>
          <w:p w14:paraId="0B41A3DA" w14:textId="77777777" w:rsidR="008E220A" w:rsidRPr="006312C0" w:rsidRDefault="00295C2B" w:rsidP="00F77707">
            <w:pPr>
              <w:rPr>
                <w:rFonts w:ascii="Calibri" w:hAnsi="Calibri"/>
                <w:sz w:val="22"/>
                <w:szCs w:val="22"/>
                <w:lang w:val="en-US" w:eastAsia="en-US"/>
              </w:rPr>
            </w:pPr>
            <w:r>
              <w:rPr>
                <w:rFonts w:ascii="Calibri" w:eastAsia="Calibri" w:hAnsi="Calibri"/>
                <w:sz w:val="22"/>
                <w:szCs w:val="22"/>
                <w:lang w:val="fr-FR" w:eastAsia="en-US"/>
              </w:rPr>
              <w:t>Coût (CHF)</w:t>
            </w:r>
          </w:p>
        </w:tc>
      </w:tr>
      <w:tr w:rsidR="00DE479C" w14:paraId="3E9E6F91" w14:textId="77777777" w:rsidTr="006D7FDC">
        <w:tc>
          <w:tcPr>
            <w:tcW w:w="2263" w:type="dxa"/>
          </w:tcPr>
          <w:p w14:paraId="20F6E7D4" w14:textId="77777777" w:rsidR="008E220A" w:rsidRPr="006312C0" w:rsidRDefault="00295C2B" w:rsidP="00F77707">
            <w:pPr>
              <w:rPr>
                <w:rFonts w:ascii="Calibri" w:hAnsi="Calibri"/>
                <w:sz w:val="22"/>
                <w:szCs w:val="22"/>
                <w:lang w:val="en-US" w:eastAsia="en-US"/>
              </w:rPr>
            </w:pPr>
            <w:r>
              <w:rPr>
                <w:rFonts w:ascii="Calibri" w:eastAsia="Calibri" w:hAnsi="Calibri"/>
                <w:sz w:val="22"/>
                <w:szCs w:val="22"/>
                <w:lang w:val="fr-FR" w:eastAsia="en-US"/>
              </w:rPr>
              <w:t>Tous</w:t>
            </w:r>
          </w:p>
        </w:tc>
        <w:tc>
          <w:tcPr>
            <w:tcW w:w="4395" w:type="dxa"/>
          </w:tcPr>
          <w:p w14:paraId="3B287A45" w14:textId="77777777" w:rsidR="008E220A" w:rsidRPr="006312C0" w:rsidRDefault="00295C2B" w:rsidP="00F77707">
            <w:pPr>
              <w:rPr>
                <w:rFonts w:ascii="Calibri" w:hAnsi="Calibri"/>
                <w:sz w:val="22"/>
                <w:szCs w:val="22"/>
                <w:lang w:val="en-US" w:eastAsia="en-US"/>
              </w:rPr>
            </w:pPr>
            <w:r>
              <w:rPr>
                <w:rFonts w:ascii="Calibri" w:eastAsia="Calibri" w:hAnsi="Calibri"/>
                <w:sz w:val="22"/>
                <w:szCs w:val="22"/>
                <w:lang w:val="fr-FR" w:eastAsia="en-US"/>
              </w:rPr>
              <w:t>Aucun</w:t>
            </w:r>
            <w:r w:rsidR="00C97F2B">
              <w:rPr>
                <w:rFonts w:ascii="Calibri" w:eastAsia="Calibri" w:hAnsi="Calibri"/>
                <w:sz w:val="22"/>
                <w:szCs w:val="22"/>
                <w:lang w:val="fr-FR" w:eastAsia="en-US"/>
              </w:rPr>
              <w:t>e</w:t>
            </w:r>
          </w:p>
        </w:tc>
        <w:tc>
          <w:tcPr>
            <w:tcW w:w="2353" w:type="dxa"/>
          </w:tcPr>
          <w:p w14:paraId="1AE78322" w14:textId="77777777" w:rsidR="008E220A" w:rsidRPr="006312C0" w:rsidRDefault="00295C2B" w:rsidP="00F77707">
            <w:pPr>
              <w:rPr>
                <w:rFonts w:ascii="Calibri" w:hAnsi="Calibri"/>
                <w:sz w:val="22"/>
                <w:szCs w:val="22"/>
                <w:lang w:val="en-US" w:eastAsia="ko-KR"/>
              </w:rPr>
            </w:pPr>
            <w:r>
              <w:rPr>
                <w:rFonts w:ascii="Calibri" w:eastAsia="Calibri" w:hAnsi="Calibri"/>
                <w:sz w:val="22"/>
                <w:szCs w:val="22"/>
                <w:lang w:val="fr-FR" w:eastAsia="ko-KR"/>
              </w:rPr>
              <w:t>Aucun</w:t>
            </w:r>
          </w:p>
        </w:tc>
      </w:tr>
    </w:tbl>
    <w:p w14:paraId="5F2ADAB3" w14:textId="77777777" w:rsidR="008E220A" w:rsidRPr="006312C0" w:rsidRDefault="008E220A" w:rsidP="00F77707">
      <w:pPr>
        <w:rPr>
          <w:rFonts w:ascii="Calibri" w:hAnsi="Calibri"/>
          <w:sz w:val="22"/>
          <w:szCs w:val="22"/>
          <w:lang w:val="en-US" w:eastAsia="en-US"/>
        </w:rPr>
      </w:pPr>
    </w:p>
    <w:p w14:paraId="0A14FABE" w14:textId="77777777" w:rsidR="00AB55B8" w:rsidRDefault="00AB55B8" w:rsidP="00F77707">
      <w:pPr>
        <w:rPr>
          <w:rFonts w:ascii="Calibri" w:hAnsi="Calibri"/>
          <w:sz w:val="22"/>
          <w:szCs w:val="22"/>
          <w:lang w:val="en-US" w:eastAsia="en-US"/>
        </w:rPr>
      </w:pPr>
    </w:p>
    <w:p w14:paraId="61E40C36" w14:textId="77777777" w:rsidR="00000578" w:rsidRPr="00C97F2B" w:rsidRDefault="00295C2B" w:rsidP="00392508">
      <w:pPr>
        <w:pStyle w:val="DRHeading1"/>
        <w:rPr>
          <w:sz w:val="24"/>
          <w:szCs w:val="24"/>
          <w:lang w:val="fr-FR"/>
        </w:rPr>
      </w:pPr>
      <w:r>
        <w:rPr>
          <w:rFonts w:eastAsia="Calibri"/>
          <w:sz w:val="24"/>
          <w:szCs w:val="24"/>
          <w:lang w:val="fr-FR"/>
        </w:rPr>
        <w:t xml:space="preserve">Projet de résolution XV.x, </w:t>
      </w:r>
      <w:r w:rsidRPr="00C97F2B">
        <w:rPr>
          <w:rFonts w:eastAsia="Calibri"/>
          <w:bCs w:val="0"/>
          <w:i/>
          <w:iCs/>
          <w:sz w:val="24"/>
          <w:szCs w:val="24"/>
          <w:lang w:val="fr-FR"/>
        </w:rPr>
        <w:t>Évaluation de la vulnérabilité des zones humides</w:t>
      </w:r>
    </w:p>
    <w:p w14:paraId="04B54E82" w14:textId="77777777" w:rsidR="004C1845" w:rsidRPr="00C97F2B" w:rsidRDefault="004C1845" w:rsidP="008B1B5B">
      <w:pPr>
        <w:ind w:left="425" w:hanging="425"/>
        <w:rPr>
          <w:rFonts w:ascii="Calibri" w:hAnsi="Calibri"/>
          <w:sz w:val="22"/>
          <w:szCs w:val="22"/>
          <w:lang w:val="fr-FR"/>
        </w:rPr>
      </w:pPr>
    </w:p>
    <w:p w14:paraId="3A91915E" w14:textId="77777777" w:rsidR="00392508" w:rsidRPr="00C97F2B" w:rsidRDefault="00295C2B" w:rsidP="00392508">
      <w:pPr>
        <w:pStyle w:val="DRPara"/>
        <w:numPr>
          <w:ilvl w:val="0"/>
          <w:numId w:val="0"/>
        </w:numPr>
        <w:spacing w:after="0"/>
        <w:ind w:left="425" w:hanging="425"/>
        <w:rPr>
          <w:lang w:val="fr-FR"/>
        </w:rPr>
      </w:pPr>
      <w:r>
        <w:rPr>
          <w:rFonts w:eastAsia="Calibri"/>
          <w:lang w:val="fr-FR"/>
        </w:rPr>
        <w:t>1.</w:t>
      </w:r>
      <w:r>
        <w:rPr>
          <w:rFonts w:eastAsia="Calibri"/>
          <w:lang w:val="fr-FR"/>
        </w:rPr>
        <w:tab/>
        <w:t>RECONNAISSANT que le concept d</w:t>
      </w:r>
      <w:r w:rsidR="00C97F2B">
        <w:rPr>
          <w:rFonts w:eastAsia="Calibri"/>
          <w:lang w:val="fr-FR"/>
        </w:rPr>
        <w:t>’</w:t>
      </w:r>
      <w:r>
        <w:rPr>
          <w:rFonts w:eastAsia="Calibri"/>
          <w:lang w:val="fr-FR"/>
        </w:rPr>
        <w:t>utilisation rationnelle des zones humides, tel que décrit dans l</w:t>
      </w:r>
      <w:r w:rsidR="00C97F2B">
        <w:rPr>
          <w:rFonts w:eastAsia="Calibri"/>
          <w:lang w:val="fr-FR"/>
        </w:rPr>
        <w:t>’</w:t>
      </w:r>
      <w:r>
        <w:rPr>
          <w:rFonts w:eastAsia="Calibri"/>
          <w:lang w:val="fr-FR"/>
        </w:rPr>
        <w:t xml:space="preserve">annexe A à la Résolution IX.1, </w:t>
      </w:r>
      <w:r>
        <w:rPr>
          <w:rFonts w:eastAsia="Calibri"/>
          <w:i/>
          <w:iCs/>
          <w:lang w:val="fr-FR"/>
        </w:rPr>
        <w:t>Orientations scientifiques et techniques additionnelles pour appliquer le concept d</w:t>
      </w:r>
      <w:r w:rsidR="00C97F2B">
        <w:rPr>
          <w:rFonts w:eastAsia="Calibri"/>
          <w:i/>
          <w:iCs/>
          <w:lang w:val="fr-FR"/>
        </w:rPr>
        <w:t>’</w:t>
      </w:r>
      <w:r>
        <w:rPr>
          <w:rFonts w:eastAsia="Calibri"/>
          <w:i/>
          <w:iCs/>
          <w:lang w:val="fr-FR"/>
        </w:rPr>
        <w:t>utilisation rationnelle de Ramsar</w:t>
      </w:r>
      <w:r>
        <w:rPr>
          <w:rFonts w:eastAsia="Calibri"/>
          <w:lang w:val="fr-FR"/>
        </w:rPr>
        <w:t>, est au cœur des efforts de la Convention pour arrêter et inverser la tendance</w:t>
      </w:r>
      <w:r w:rsidR="00A73EEB">
        <w:rPr>
          <w:rFonts w:eastAsia="Calibri"/>
          <w:lang w:val="fr-FR"/>
        </w:rPr>
        <w:t xml:space="preserve"> </w:t>
      </w:r>
      <w:r>
        <w:rPr>
          <w:rFonts w:eastAsia="Calibri"/>
          <w:lang w:val="fr-FR"/>
        </w:rPr>
        <w:t>à la perte des zones humides ;</w:t>
      </w:r>
    </w:p>
    <w:p w14:paraId="7D828934" w14:textId="77777777" w:rsidR="00392508" w:rsidRPr="00C97F2B" w:rsidRDefault="00392508" w:rsidP="00392508">
      <w:pPr>
        <w:pStyle w:val="DRPara"/>
        <w:numPr>
          <w:ilvl w:val="0"/>
          <w:numId w:val="0"/>
        </w:numPr>
        <w:spacing w:after="0"/>
        <w:ind w:left="425" w:hanging="425"/>
        <w:rPr>
          <w:lang w:val="fr-FR"/>
        </w:rPr>
      </w:pPr>
    </w:p>
    <w:p w14:paraId="13D689BA" w14:textId="77777777" w:rsidR="00B0349D" w:rsidRPr="00C97F2B" w:rsidRDefault="00295C2B" w:rsidP="00392508">
      <w:pPr>
        <w:pStyle w:val="DRPara"/>
        <w:numPr>
          <w:ilvl w:val="0"/>
          <w:numId w:val="0"/>
        </w:numPr>
        <w:spacing w:after="0"/>
        <w:ind w:left="425" w:hanging="425"/>
        <w:rPr>
          <w:lang w:val="fr-FR"/>
        </w:rPr>
      </w:pPr>
      <w:r>
        <w:rPr>
          <w:rFonts w:eastAsia="Calibri"/>
          <w:lang w:val="fr-FR"/>
        </w:rPr>
        <w:t>2.</w:t>
      </w:r>
      <w:r>
        <w:rPr>
          <w:rFonts w:eastAsia="Calibri"/>
          <w:lang w:val="fr-FR"/>
        </w:rPr>
        <w:tab/>
        <w:t>RECONNAISSANT que l</w:t>
      </w:r>
      <w:r w:rsidR="00C97F2B">
        <w:rPr>
          <w:rFonts w:eastAsia="Calibri"/>
          <w:lang w:val="fr-FR"/>
        </w:rPr>
        <w:t>’</w:t>
      </w:r>
      <w:r>
        <w:rPr>
          <w:rFonts w:eastAsia="Calibri"/>
          <w:lang w:val="fr-FR"/>
        </w:rPr>
        <w:t>utilisation rationnelle des zones humides nécessite une compréhension approfondie des facteurs de changement afin de pouvoir s</w:t>
      </w:r>
      <w:r w:rsidR="00C97F2B">
        <w:rPr>
          <w:rFonts w:eastAsia="Calibri"/>
          <w:lang w:val="fr-FR"/>
        </w:rPr>
        <w:t>’</w:t>
      </w:r>
      <w:r>
        <w:rPr>
          <w:rFonts w:eastAsia="Calibri"/>
          <w:lang w:val="fr-FR"/>
        </w:rPr>
        <w:t>attaquer aux causes profondes de la perte et de la dégradation des zones humides (</w:t>
      </w:r>
      <w:r>
        <w:rPr>
          <w:rFonts w:eastAsia="Calibri"/>
          <w:i/>
          <w:iCs/>
          <w:lang w:val="fr-FR"/>
        </w:rPr>
        <w:t xml:space="preserve">Perspectives mondiales des zones humides, </w:t>
      </w:r>
      <w:r>
        <w:rPr>
          <w:rFonts w:eastAsia="Calibri"/>
          <w:lang w:val="fr-FR"/>
        </w:rPr>
        <w:t xml:space="preserve">2018) ; </w:t>
      </w:r>
    </w:p>
    <w:p w14:paraId="286E6589" w14:textId="77777777" w:rsidR="00392508" w:rsidRPr="00C97F2B" w:rsidRDefault="00392508" w:rsidP="00392508">
      <w:pPr>
        <w:pStyle w:val="DRPara"/>
        <w:numPr>
          <w:ilvl w:val="0"/>
          <w:numId w:val="0"/>
        </w:numPr>
        <w:spacing w:after="0"/>
        <w:ind w:left="425" w:hanging="425"/>
        <w:rPr>
          <w:lang w:val="fr-FR"/>
        </w:rPr>
      </w:pPr>
    </w:p>
    <w:p w14:paraId="2E39FEC1" w14:textId="77777777" w:rsidR="00B0349D" w:rsidRPr="00C97F2B" w:rsidRDefault="00295C2B" w:rsidP="00392508">
      <w:pPr>
        <w:pStyle w:val="DRPara"/>
        <w:numPr>
          <w:ilvl w:val="0"/>
          <w:numId w:val="0"/>
        </w:numPr>
        <w:spacing w:after="0"/>
        <w:ind w:left="425" w:hanging="425"/>
        <w:rPr>
          <w:rFonts w:eastAsia="FangSong"/>
          <w:lang w:val="fr-FR" w:eastAsia="zh-CN"/>
        </w:rPr>
      </w:pPr>
      <w:r>
        <w:rPr>
          <w:rFonts w:eastAsia="Calibri"/>
          <w:lang w:val="fr-FR"/>
        </w:rPr>
        <w:t>3.</w:t>
      </w:r>
      <w:r>
        <w:rPr>
          <w:rFonts w:eastAsia="Calibri"/>
          <w:lang w:val="fr-FR"/>
        </w:rPr>
        <w:tab/>
        <w:t>CONSCIENTE du fait qu</w:t>
      </w:r>
      <w:r w:rsidR="00C97F2B">
        <w:rPr>
          <w:rFonts w:eastAsia="Calibri"/>
          <w:lang w:val="fr-FR"/>
        </w:rPr>
        <w:t>’</w:t>
      </w:r>
      <w:r>
        <w:rPr>
          <w:rFonts w:eastAsia="Calibri"/>
          <w:lang w:val="fr-FR"/>
        </w:rPr>
        <w:t>à l</w:t>
      </w:r>
      <w:r w:rsidR="00C97F2B">
        <w:rPr>
          <w:rFonts w:eastAsia="Calibri"/>
          <w:lang w:val="fr-FR"/>
        </w:rPr>
        <w:t>’</w:t>
      </w:r>
      <w:r>
        <w:rPr>
          <w:rFonts w:eastAsia="Calibri"/>
          <w:lang w:val="fr-FR"/>
        </w:rPr>
        <w:t>échelle mondiale, les zones humides ont diminué de 35 % depuis 1970 et que la détérioration des zones humides continue d</w:t>
      </w:r>
      <w:r w:rsidR="00C97F2B">
        <w:rPr>
          <w:rFonts w:eastAsia="Calibri"/>
          <w:lang w:val="fr-FR"/>
        </w:rPr>
        <w:t>’</w:t>
      </w:r>
      <w:r>
        <w:rPr>
          <w:rFonts w:eastAsia="Calibri"/>
          <w:lang w:val="fr-FR"/>
        </w:rPr>
        <w:t>être</w:t>
      </w:r>
      <w:r w:rsidR="00C41EF1">
        <w:rPr>
          <w:rFonts w:eastAsia="Calibri"/>
          <w:lang w:val="fr-FR"/>
        </w:rPr>
        <w:t xml:space="preserve"> largement</w:t>
      </w:r>
      <w:r>
        <w:rPr>
          <w:rFonts w:eastAsia="Calibri"/>
          <w:lang w:val="fr-FR"/>
        </w:rPr>
        <w:t xml:space="preserve"> </w:t>
      </w:r>
      <w:r w:rsidR="00B03F3B">
        <w:rPr>
          <w:rFonts w:eastAsia="Calibri"/>
          <w:lang w:val="fr-FR"/>
        </w:rPr>
        <w:t>répandue</w:t>
      </w:r>
      <w:r>
        <w:rPr>
          <w:rFonts w:eastAsia="Calibri"/>
          <w:lang w:val="fr-FR"/>
        </w:rPr>
        <w:t xml:space="preserve"> (</w:t>
      </w:r>
      <w:r>
        <w:rPr>
          <w:rFonts w:eastAsia="Calibri"/>
          <w:i/>
          <w:iCs/>
          <w:lang w:val="fr-FR"/>
        </w:rPr>
        <w:t>Perspectives mondiales des zones humides : Édition spéciale</w:t>
      </w:r>
      <w:r>
        <w:rPr>
          <w:rFonts w:eastAsia="Calibri"/>
          <w:lang w:val="fr-FR"/>
        </w:rPr>
        <w:t>, 2021), et PRÉOCCUPÉE par le fait que cette tendance, si elle n</w:t>
      </w:r>
      <w:r w:rsidR="00C97F2B">
        <w:rPr>
          <w:rFonts w:eastAsia="Calibri"/>
          <w:lang w:val="fr-FR"/>
        </w:rPr>
        <w:t>’</w:t>
      </w:r>
      <w:r>
        <w:rPr>
          <w:rFonts w:eastAsia="Calibri"/>
          <w:lang w:val="fr-FR"/>
        </w:rPr>
        <w:t>est pas prise en compte de manière adéquate, affectera l</w:t>
      </w:r>
      <w:r w:rsidR="00C97F2B">
        <w:rPr>
          <w:rFonts w:eastAsia="Calibri"/>
          <w:lang w:val="fr-FR"/>
        </w:rPr>
        <w:t>’</w:t>
      </w:r>
      <w:r>
        <w:rPr>
          <w:rFonts w:eastAsia="Calibri"/>
          <w:lang w:val="fr-FR"/>
        </w:rPr>
        <w:t>atteinte des Objectifs de développement durable (ODD) des Nations Unies à l</w:t>
      </w:r>
      <w:r w:rsidR="00C97F2B">
        <w:rPr>
          <w:rFonts w:eastAsia="Calibri"/>
          <w:lang w:val="fr-FR"/>
        </w:rPr>
        <w:t>’</w:t>
      </w:r>
      <w:r>
        <w:rPr>
          <w:rFonts w:eastAsia="Calibri"/>
          <w:lang w:val="fr-FR"/>
        </w:rPr>
        <w:t>horizon 2030, l</w:t>
      </w:r>
      <w:r w:rsidR="00C97F2B">
        <w:rPr>
          <w:rFonts w:eastAsia="Calibri"/>
          <w:lang w:val="fr-FR"/>
        </w:rPr>
        <w:t>’</w:t>
      </w:r>
      <w:r>
        <w:rPr>
          <w:rFonts w:eastAsia="Calibri"/>
          <w:lang w:val="fr-FR"/>
        </w:rPr>
        <w:t>atténuation et l</w:t>
      </w:r>
      <w:r w:rsidR="00C97F2B">
        <w:rPr>
          <w:rFonts w:eastAsia="Calibri"/>
          <w:lang w:val="fr-FR"/>
        </w:rPr>
        <w:t>’</w:t>
      </w:r>
      <w:r>
        <w:rPr>
          <w:rFonts w:eastAsia="Calibri"/>
          <w:lang w:val="fr-FR"/>
        </w:rPr>
        <w:t>adaptation au changement climatique au titre de l</w:t>
      </w:r>
      <w:r w:rsidR="00C97F2B">
        <w:rPr>
          <w:rFonts w:eastAsia="Calibri"/>
          <w:lang w:val="fr-FR"/>
        </w:rPr>
        <w:t>’</w:t>
      </w:r>
      <w:r>
        <w:rPr>
          <w:rFonts w:eastAsia="Calibri"/>
          <w:lang w:val="fr-FR"/>
        </w:rPr>
        <w:t xml:space="preserve">Accord de Paris et de la Convention-cadre des Nations unies sur les changements climatiques, ainsi que la mise en </w:t>
      </w:r>
      <w:r>
        <w:rPr>
          <w:rFonts w:eastAsia="Calibri"/>
          <w:lang w:val="fr-FR"/>
        </w:rPr>
        <w:lastRenderedPageBreak/>
        <w:t>œuvre du Cadre mondial de la biodiversité de Kunming-Montréal adopté par la Convention sur la diversité biologique ;</w:t>
      </w:r>
    </w:p>
    <w:p w14:paraId="01EEFE9F" w14:textId="77777777" w:rsidR="00392508" w:rsidRPr="00C97F2B" w:rsidRDefault="00392508" w:rsidP="00392508">
      <w:pPr>
        <w:pStyle w:val="DRPara"/>
        <w:numPr>
          <w:ilvl w:val="0"/>
          <w:numId w:val="0"/>
        </w:numPr>
        <w:spacing w:after="0"/>
        <w:ind w:left="425" w:hanging="425"/>
        <w:rPr>
          <w:lang w:val="fr-FR"/>
        </w:rPr>
      </w:pPr>
    </w:p>
    <w:p w14:paraId="48AAB855" w14:textId="77777777" w:rsidR="005B05E9" w:rsidRPr="00C97F2B" w:rsidRDefault="00295C2B" w:rsidP="00392508">
      <w:pPr>
        <w:pStyle w:val="DRPara"/>
        <w:numPr>
          <w:ilvl w:val="0"/>
          <w:numId w:val="0"/>
        </w:numPr>
        <w:spacing w:after="0"/>
        <w:ind w:left="425" w:hanging="425"/>
        <w:rPr>
          <w:rFonts w:eastAsia="FangSong"/>
          <w:lang w:val="fr-FR" w:eastAsia="zh-CN"/>
        </w:rPr>
      </w:pPr>
      <w:r>
        <w:rPr>
          <w:rFonts w:eastAsia="Calibri"/>
          <w:lang w:val="fr-FR"/>
        </w:rPr>
        <w:t>4.</w:t>
      </w:r>
      <w:r>
        <w:rPr>
          <w:rFonts w:eastAsia="Calibri"/>
          <w:lang w:val="fr-FR"/>
        </w:rPr>
        <w:tab/>
        <w:t>CONSCIENTE de la nécessité d</w:t>
      </w:r>
      <w:r w:rsidR="00C97F2B">
        <w:rPr>
          <w:rFonts w:eastAsia="Calibri"/>
          <w:lang w:val="fr-FR"/>
        </w:rPr>
        <w:t>’</w:t>
      </w:r>
      <w:r>
        <w:rPr>
          <w:rFonts w:eastAsia="Calibri"/>
          <w:lang w:val="fr-FR"/>
        </w:rPr>
        <w:t>évaluer l</w:t>
      </w:r>
      <w:r w:rsidR="00C97F2B">
        <w:rPr>
          <w:rFonts w:eastAsia="Calibri"/>
          <w:lang w:val="fr-FR"/>
        </w:rPr>
        <w:t>’</w:t>
      </w:r>
      <w:r>
        <w:rPr>
          <w:rFonts w:eastAsia="Calibri"/>
          <w:lang w:val="fr-FR"/>
        </w:rPr>
        <w:t>état, les tendances et les menaces qui pèsent sur les zones humides, comme indiqué dans l</w:t>
      </w:r>
      <w:r w:rsidR="00C97F2B">
        <w:rPr>
          <w:rFonts w:eastAsia="Calibri"/>
          <w:lang w:val="fr-FR"/>
        </w:rPr>
        <w:t>’</w:t>
      </w:r>
      <w:r>
        <w:rPr>
          <w:rFonts w:eastAsia="Calibri"/>
          <w:lang w:val="fr-FR"/>
        </w:rPr>
        <w:t xml:space="preserve">annexe E de la Résolution IX.1, </w:t>
      </w:r>
      <w:r>
        <w:rPr>
          <w:rFonts w:eastAsia="Calibri"/>
          <w:i/>
          <w:iCs/>
          <w:lang w:val="fr-FR"/>
        </w:rPr>
        <w:t>Orientations scientifiques et techniques additionnelles pour appliquer le concept d</w:t>
      </w:r>
      <w:r w:rsidR="00C97F2B">
        <w:rPr>
          <w:rFonts w:eastAsia="Calibri"/>
          <w:i/>
          <w:iCs/>
          <w:lang w:val="fr-FR"/>
        </w:rPr>
        <w:t>’</w:t>
      </w:r>
      <w:r>
        <w:rPr>
          <w:rFonts w:eastAsia="Calibri"/>
          <w:i/>
          <w:iCs/>
          <w:lang w:val="fr-FR"/>
        </w:rPr>
        <w:t>utilisation rationnelle de Ramsar</w:t>
      </w:r>
      <w:r>
        <w:rPr>
          <w:rFonts w:eastAsia="Calibri"/>
          <w:lang w:val="fr-FR"/>
        </w:rPr>
        <w:t>, et dans le mandat confié au Groupe d</w:t>
      </w:r>
      <w:r w:rsidR="00C97F2B">
        <w:rPr>
          <w:rFonts w:eastAsia="Calibri"/>
          <w:lang w:val="fr-FR"/>
        </w:rPr>
        <w:t>’</w:t>
      </w:r>
      <w:r>
        <w:rPr>
          <w:rFonts w:eastAsia="Calibri"/>
          <w:lang w:val="fr-FR"/>
        </w:rPr>
        <w:t>évaluation scientifique et technique dans l</w:t>
      </w:r>
      <w:r w:rsidR="00C97F2B">
        <w:rPr>
          <w:rFonts w:eastAsia="Calibri"/>
          <w:lang w:val="fr-FR"/>
        </w:rPr>
        <w:t>’</w:t>
      </w:r>
      <w:r>
        <w:rPr>
          <w:rFonts w:eastAsia="Calibri"/>
          <w:lang w:val="fr-FR"/>
        </w:rPr>
        <w:t xml:space="preserve">annexe 2 de la Résolution XIII.8, </w:t>
      </w:r>
      <w:r>
        <w:rPr>
          <w:rFonts w:eastAsia="Calibri"/>
          <w:i/>
          <w:iCs/>
          <w:lang w:val="fr-FR"/>
        </w:rPr>
        <w:t>Application future des aspects scientifiques et techniques de la Convention pour 2019-2021</w:t>
      </w:r>
      <w:r>
        <w:rPr>
          <w:rFonts w:eastAsia="Calibri"/>
          <w:lang w:val="fr-FR"/>
        </w:rPr>
        <w:t>, qui souligne explicitement la nécessité de disposer de méthodologies et/ou d</w:t>
      </w:r>
      <w:r w:rsidR="00C97F2B">
        <w:rPr>
          <w:rFonts w:eastAsia="Calibri"/>
          <w:lang w:val="fr-FR"/>
        </w:rPr>
        <w:t>’</w:t>
      </w:r>
      <w:r>
        <w:rPr>
          <w:rFonts w:eastAsia="Calibri"/>
          <w:lang w:val="fr-FR"/>
        </w:rPr>
        <w:t>outils relatifs aux meilleures pratiques pour le suivi des zones humides d</w:t>
      </w:r>
      <w:r w:rsidR="00C97F2B">
        <w:rPr>
          <w:rFonts w:eastAsia="Calibri"/>
          <w:lang w:val="fr-FR"/>
        </w:rPr>
        <w:t>’</w:t>
      </w:r>
      <w:r>
        <w:rPr>
          <w:rFonts w:eastAsia="Calibri"/>
          <w:lang w:val="fr-FR"/>
        </w:rPr>
        <w:t>importance internationale ;</w:t>
      </w:r>
    </w:p>
    <w:p w14:paraId="586E72EA" w14:textId="77777777" w:rsidR="00392508" w:rsidRPr="00C97F2B" w:rsidRDefault="00392508" w:rsidP="00392508">
      <w:pPr>
        <w:pStyle w:val="DRPara"/>
        <w:numPr>
          <w:ilvl w:val="0"/>
          <w:numId w:val="0"/>
        </w:numPr>
        <w:spacing w:after="0"/>
        <w:ind w:left="425" w:hanging="425"/>
        <w:rPr>
          <w:lang w:val="fr-FR"/>
        </w:rPr>
      </w:pPr>
    </w:p>
    <w:p w14:paraId="203B6A47" w14:textId="77777777" w:rsidR="00853601" w:rsidRPr="00C97F2B" w:rsidRDefault="00295C2B" w:rsidP="00392508">
      <w:pPr>
        <w:pStyle w:val="DRPara"/>
        <w:numPr>
          <w:ilvl w:val="0"/>
          <w:numId w:val="0"/>
        </w:numPr>
        <w:spacing w:after="0"/>
        <w:ind w:left="425" w:hanging="425"/>
        <w:rPr>
          <w:lang w:val="fr-FR"/>
        </w:rPr>
      </w:pPr>
      <w:r>
        <w:rPr>
          <w:rFonts w:eastAsia="Calibri"/>
          <w:lang w:val="fr-FR"/>
        </w:rPr>
        <w:t>5.</w:t>
      </w:r>
      <w:r>
        <w:rPr>
          <w:rFonts w:eastAsia="Calibri"/>
          <w:lang w:val="fr-FR"/>
        </w:rPr>
        <w:tab/>
        <w:t>NOTANT qu</w:t>
      </w:r>
      <w:r w:rsidR="00C97F2B">
        <w:rPr>
          <w:rFonts w:eastAsia="Calibri"/>
          <w:lang w:val="fr-FR"/>
        </w:rPr>
        <w:t>’</w:t>
      </w:r>
      <w:r>
        <w:rPr>
          <w:rFonts w:eastAsia="Calibri"/>
          <w:lang w:val="fr-FR"/>
        </w:rPr>
        <w:t xml:space="preserve">une gestion efficace des zones humides, telle que décrite dans la Résolution XII.15, </w:t>
      </w:r>
      <w:r>
        <w:rPr>
          <w:rFonts w:eastAsia="Calibri"/>
          <w:i/>
          <w:iCs/>
          <w:lang w:val="fr-FR"/>
        </w:rPr>
        <w:t>Évaluation de l</w:t>
      </w:r>
      <w:r w:rsidR="00C97F2B">
        <w:rPr>
          <w:rFonts w:eastAsia="Calibri"/>
          <w:i/>
          <w:iCs/>
          <w:lang w:val="fr-FR"/>
        </w:rPr>
        <w:t>’</w:t>
      </w:r>
      <w:r>
        <w:rPr>
          <w:rFonts w:eastAsia="Calibri"/>
          <w:i/>
          <w:iCs/>
          <w:lang w:val="fr-FR"/>
        </w:rPr>
        <w:t>efficacité de la gestion des Sites Ramsar</w:t>
      </w:r>
      <w:r>
        <w:rPr>
          <w:rFonts w:eastAsia="Calibri"/>
          <w:lang w:val="fr-FR"/>
        </w:rPr>
        <w:t>, exige une compréhension et une évaluation des menaces qui pèsent sur les caractéristiques écologiques d</w:t>
      </w:r>
      <w:r w:rsidR="001D2F87">
        <w:rPr>
          <w:rFonts w:eastAsia="Calibri"/>
          <w:lang w:val="fr-FR"/>
        </w:rPr>
        <w:t>es</w:t>
      </w:r>
      <w:r>
        <w:rPr>
          <w:rFonts w:eastAsia="Calibri"/>
          <w:lang w:val="fr-FR"/>
        </w:rPr>
        <w:t xml:space="preserve"> site</w:t>
      </w:r>
      <w:r w:rsidR="001D2F87">
        <w:rPr>
          <w:rFonts w:eastAsia="Calibri"/>
          <w:lang w:val="fr-FR"/>
        </w:rPr>
        <w:t>s</w:t>
      </w:r>
      <w:r>
        <w:rPr>
          <w:rFonts w:eastAsia="Calibri"/>
          <w:lang w:val="fr-FR"/>
        </w:rPr>
        <w:t xml:space="preserve"> ; </w:t>
      </w:r>
    </w:p>
    <w:p w14:paraId="2268F585" w14:textId="77777777" w:rsidR="00392508" w:rsidRPr="00C97F2B" w:rsidRDefault="00392508" w:rsidP="00392508">
      <w:pPr>
        <w:pStyle w:val="DRPara"/>
        <w:numPr>
          <w:ilvl w:val="0"/>
          <w:numId w:val="0"/>
        </w:numPr>
        <w:spacing w:after="0"/>
        <w:ind w:left="425" w:hanging="425"/>
        <w:rPr>
          <w:lang w:val="fr-FR"/>
        </w:rPr>
      </w:pPr>
    </w:p>
    <w:p w14:paraId="2F9FACFC" w14:textId="77777777" w:rsidR="00853601" w:rsidRPr="00C97F2B" w:rsidRDefault="00295C2B" w:rsidP="00392508">
      <w:pPr>
        <w:pStyle w:val="DRPara"/>
        <w:numPr>
          <w:ilvl w:val="0"/>
          <w:numId w:val="0"/>
        </w:numPr>
        <w:spacing w:after="0"/>
        <w:ind w:left="425" w:hanging="425"/>
        <w:rPr>
          <w:lang w:val="fr-FR" w:eastAsia="ko-KR"/>
        </w:rPr>
      </w:pPr>
      <w:r>
        <w:rPr>
          <w:rFonts w:eastAsia="Calibri"/>
          <w:lang w:val="fr-FR"/>
        </w:rPr>
        <w:t>6.</w:t>
      </w:r>
      <w:r>
        <w:rPr>
          <w:rFonts w:eastAsia="Calibri"/>
          <w:lang w:val="fr-FR"/>
        </w:rPr>
        <w:tab/>
        <w:t xml:space="preserve">NOTANT EN OUTRE que la Résolution XI.8, </w:t>
      </w:r>
      <w:r>
        <w:rPr>
          <w:rFonts w:eastAsia="Calibri"/>
          <w:i/>
          <w:iCs/>
          <w:lang w:val="fr-FR"/>
        </w:rPr>
        <w:t>Simplifier les procédures de description des Sites Ramsar au moment de leur inscription et lors de mises à jour ultérieures,</w:t>
      </w:r>
      <w:r>
        <w:rPr>
          <w:rFonts w:eastAsia="Calibri"/>
          <w:lang w:val="fr-FR"/>
        </w:rPr>
        <w:t xml:space="preserve"> demande de veiller à ce qu</w:t>
      </w:r>
      <w:r w:rsidR="00C97F2B">
        <w:rPr>
          <w:rFonts w:eastAsia="Calibri"/>
          <w:lang w:val="fr-FR"/>
        </w:rPr>
        <w:t>’</w:t>
      </w:r>
      <w:r>
        <w:rPr>
          <w:rFonts w:eastAsia="Calibri"/>
          <w:lang w:val="fr-FR"/>
        </w:rPr>
        <w:t>une description complète des facteurs (réels et probables) qui affectent négativement les caractéristiques écologiques d</w:t>
      </w:r>
      <w:r w:rsidR="00C97F2B">
        <w:rPr>
          <w:rFonts w:eastAsia="Calibri"/>
          <w:lang w:val="fr-FR"/>
        </w:rPr>
        <w:t>’</w:t>
      </w:r>
      <w:r>
        <w:rPr>
          <w:rFonts w:eastAsia="Calibri"/>
          <w:lang w:val="fr-FR"/>
        </w:rPr>
        <w:t>un site soit fournie dans la Fiche descriptive Ramsar d</w:t>
      </w:r>
      <w:r w:rsidR="00C97F2B">
        <w:rPr>
          <w:rFonts w:eastAsia="Calibri"/>
          <w:lang w:val="fr-FR"/>
        </w:rPr>
        <w:t>’</w:t>
      </w:r>
      <w:r>
        <w:rPr>
          <w:rFonts w:eastAsia="Calibri"/>
          <w:lang w:val="fr-FR"/>
        </w:rPr>
        <w:t>une zone humide d</w:t>
      </w:r>
      <w:r w:rsidR="00C97F2B">
        <w:rPr>
          <w:rFonts w:eastAsia="Calibri"/>
          <w:lang w:val="fr-FR"/>
        </w:rPr>
        <w:t>’</w:t>
      </w:r>
      <w:r>
        <w:rPr>
          <w:rFonts w:eastAsia="Calibri"/>
          <w:lang w:val="fr-FR"/>
        </w:rPr>
        <w:t>importance internationale ; et</w:t>
      </w:r>
    </w:p>
    <w:p w14:paraId="1BBC05D5" w14:textId="77777777" w:rsidR="00392508" w:rsidRPr="00C97F2B" w:rsidRDefault="00392508" w:rsidP="00392508">
      <w:pPr>
        <w:pStyle w:val="DRPara"/>
        <w:numPr>
          <w:ilvl w:val="0"/>
          <w:numId w:val="0"/>
        </w:numPr>
        <w:spacing w:after="0"/>
        <w:ind w:left="425" w:hanging="425"/>
        <w:rPr>
          <w:lang w:val="fr-FR"/>
        </w:rPr>
      </w:pPr>
    </w:p>
    <w:p w14:paraId="17387E65" w14:textId="77777777" w:rsidR="00853601" w:rsidRPr="00C97F2B" w:rsidRDefault="00295C2B" w:rsidP="00392508">
      <w:pPr>
        <w:pStyle w:val="DRPara"/>
        <w:numPr>
          <w:ilvl w:val="0"/>
          <w:numId w:val="0"/>
        </w:numPr>
        <w:spacing w:after="0"/>
        <w:ind w:left="425" w:hanging="425"/>
        <w:rPr>
          <w:lang w:val="fr-FR"/>
        </w:rPr>
      </w:pPr>
      <w:r>
        <w:rPr>
          <w:rFonts w:eastAsia="Calibri"/>
          <w:lang w:val="fr-FR"/>
        </w:rPr>
        <w:t>7.</w:t>
      </w:r>
      <w:r>
        <w:rPr>
          <w:rFonts w:eastAsia="Calibri"/>
          <w:lang w:val="fr-FR"/>
        </w:rPr>
        <w:tab/>
        <w:t>PRÉOCCUPÉE par le fait qu</w:t>
      </w:r>
      <w:r w:rsidR="00C97F2B">
        <w:rPr>
          <w:rFonts w:eastAsia="Calibri"/>
          <w:lang w:val="fr-FR"/>
        </w:rPr>
        <w:t>’</w:t>
      </w:r>
      <w:r>
        <w:rPr>
          <w:rFonts w:eastAsia="Calibri"/>
          <w:lang w:val="fr-FR"/>
        </w:rPr>
        <w:t>en l</w:t>
      </w:r>
      <w:r w:rsidR="00C97F2B">
        <w:rPr>
          <w:rFonts w:eastAsia="Calibri"/>
          <w:lang w:val="fr-FR"/>
        </w:rPr>
        <w:t>’</w:t>
      </w:r>
      <w:r>
        <w:rPr>
          <w:rFonts w:eastAsia="Calibri"/>
          <w:lang w:val="fr-FR"/>
        </w:rPr>
        <w:t>absence d</w:t>
      </w:r>
      <w:r w:rsidR="00C97F2B">
        <w:rPr>
          <w:rFonts w:eastAsia="Calibri"/>
          <w:lang w:val="fr-FR"/>
        </w:rPr>
        <w:t>’</w:t>
      </w:r>
      <w:r>
        <w:rPr>
          <w:rFonts w:eastAsia="Calibri"/>
          <w:lang w:val="fr-FR"/>
        </w:rPr>
        <w:t>une évaluation adéquate des facteurs de changement négatif, la vulnérabilité des zones humides, y compris des zones humides d</w:t>
      </w:r>
      <w:r w:rsidR="00C97F2B">
        <w:rPr>
          <w:rFonts w:eastAsia="Calibri"/>
          <w:lang w:val="fr-FR"/>
        </w:rPr>
        <w:t>’</w:t>
      </w:r>
      <w:r>
        <w:rPr>
          <w:rFonts w:eastAsia="Calibri"/>
          <w:lang w:val="fr-FR"/>
        </w:rPr>
        <w:t xml:space="preserve">importance internationale, à diverses menaces, se poursuivra ; </w:t>
      </w:r>
    </w:p>
    <w:p w14:paraId="6D559D24" w14:textId="77777777" w:rsidR="004C1845" w:rsidRPr="00C97F2B" w:rsidRDefault="004C1845" w:rsidP="00392508">
      <w:pPr>
        <w:ind w:left="425" w:hanging="425"/>
        <w:contextualSpacing/>
        <w:rPr>
          <w:rFonts w:ascii="Calibri" w:hAnsi="Calibri"/>
          <w:sz w:val="22"/>
          <w:szCs w:val="22"/>
          <w:lang w:val="fr-FR"/>
        </w:rPr>
      </w:pPr>
    </w:p>
    <w:p w14:paraId="087A4D9E" w14:textId="77777777" w:rsidR="004C1845" w:rsidRPr="00C97F2B" w:rsidRDefault="00295C2B" w:rsidP="00392508">
      <w:pPr>
        <w:ind w:left="425" w:hanging="425"/>
        <w:jc w:val="center"/>
        <w:rPr>
          <w:rFonts w:ascii="Calibri" w:hAnsi="Calibri"/>
          <w:sz w:val="22"/>
          <w:szCs w:val="22"/>
          <w:lang w:val="fr-FR"/>
        </w:rPr>
      </w:pPr>
      <w:r>
        <w:rPr>
          <w:rFonts w:ascii="Calibri" w:eastAsia="Calibri" w:hAnsi="Calibri"/>
          <w:sz w:val="22"/>
          <w:szCs w:val="22"/>
          <w:lang w:val="fr-FR"/>
        </w:rPr>
        <w:t>LA CONFÉRENCE DES PARTIES CONTRACTANTES</w:t>
      </w:r>
    </w:p>
    <w:p w14:paraId="57004A4A" w14:textId="77777777" w:rsidR="004C1845" w:rsidRPr="00C97F2B" w:rsidRDefault="004C1845" w:rsidP="00392508">
      <w:pPr>
        <w:ind w:left="425" w:hanging="425"/>
        <w:rPr>
          <w:rFonts w:ascii="Calibri" w:hAnsi="Calibri"/>
          <w:sz w:val="22"/>
          <w:szCs w:val="22"/>
          <w:lang w:val="fr-FR"/>
        </w:rPr>
      </w:pPr>
    </w:p>
    <w:p w14:paraId="412ED2F2" w14:textId="77777777" w:rsidR="00AF4D60" w:rsidRPr="00C97F2B" w:rsidRDefault="00295C2B" w:rsidP="00392508">
      <w:pPr>
        <w:pStyle w:val="DRPara"/>
        <w:numPr>
          <w:ilvl w:val="0"/>
          <w:numId w:val="0"/>
        </w:numPr>
        <w:spacing w:after="0"/>
        <w:ind w:left="425" w:hanging="425"/>
        <w:rPr>
          <w:lang w:val="fr-FR"/>
        </w:rPr>
      </w:pPr>
      <w:r>
        <w:rPr>
          <w:rFonts w:eastAsia="Calibri"/>
          <w:lang w:val="fr-FR"/>
        </w:rPr>
        <w:t>8.</w:t>
      </w:r>
      <w:r>
        <w:rPr>
          <w:rFonts w:eastAsia="Calibri"/>
          <w:lang w:val="fr-FR"/>
        </w:rPr>
        <w:tab/>
        <w:t>RECONNAÎT la nécessité d</w:t>
      </w:r>
      <w:r w:rsidR="00C97F2B">
        <w:rPr>
          <w:rFonts w:eastAsia="Calibri"/>
          <w:lang w:val="fr-FR"/>
        </w:rPr>
        <w:t>’</w:t>
      </w:r>
      <w:r>
        <w:rPr>
          <w:rFonts w:eastAsia="Calibri"/>
          <w:lang w:val="fr-FR"/>
        </w:rPr>
        <w:t>évaluer la vulnérabilité des zones humides à diverses menaces et divers facteurs de changement négatif des caractéristiques écologiques ;</w:t>
      </w:r>
    </w:p>
    <w:p w14:paraId="3C5F747E" w14:textId="77777777" w:rsidR="00392508" w:rsidRPr="00C97F2B" w:rsidRDefault="00392508" w:rsidP="00392508">
      <w:pPr>
        <w:pStyle w:val="DRPara"/>
        <w:numPr>
          <w:ilvl w:val="0"/>
          <w:numId w:val="0"/>
        </w:numPr>
        <w:spacing w:after="0"/>
        <w:ind w:left="425" w:hanging="425"/>
        <w:rPr>
          <w:lang w:val="fr-FR"/>
        </w:rPr>
      </w:pPr>
    </w:p>
    <w:p w14:paraId="3504D2CD" w14:textId="77777777" w:rsidR="00606B27" w:rsidRPr="00C97F2B" w:rsidRDefault="00295C2B" w:rsidP="00392508">
      <w:pPr>
        <w:pStyle w:val="DRPara"/>
        <w:numPr>
          <w:ilvl w:val="0"/>
          <w:numId w:val="0"/>
        </w:numPr>
        <w:spacing w:after="0"/>
        <w:ind w:left="425" w:hanging="425"/>
        <w:rPr>
          <w:lang w:val="fr-FR"/>
        </w:rPr>
      </w:pPr>
      <w:r>
        <w:rPr>
          <w:rFonts w:eastAsia="Calibri"/>
          <w:lang w:val="fr-FR"/>
        </w:rPr>
        <w:t>9.</w:t>
      </w:r>
      <w:r>
        <w:rPr>
          <w:rFonts w:eastAsia="Calibri"/>
          <w:lang w:val="fr-FR"/>
        </w:rPr>
        <w:tab/>
        <w:t>RÉAFFIRME la valeur à long terme de l</w:t>
      </w:r>
      <w:r w:rsidR="00C97F2B">
        <w:rPr>
          <w:rFonts w:eastAsia="Calibri"/>
          <w:lang w:val="fr-FR"/>
        </w:rPr>
        <w:t>’</w:t>
      </w:r>
      <w:r>
        <w:rPr>
          <w:rFonts w:eastAsia="Calibri"/>
          <w:lang w:val="fr-FR"/>
        </w:rPr>
        <w:t>adoption d</w:t>
      </w:r>
      <w:r w:rsidR="00C97F2B">
        <w:rPr>
          <w:rFonts w:eastAsia="Calibri"/>
          <w:lang w:val="fr-FR"/>
        </w:rPr>
        <w:t>’</w:t>
      </w:r>
      <w:r>
        <w:rPr>
          <w:rFonts w:eastAsia="Calibri"/>
          <w:lang w:val="fr-FR"/>
        </w:rPr>
        <w:t>une approche participative lors de l</w:t>
      </w:r>
      <w:r w:rsidR="00C97F2B">
        <w:rPr>
          <w:rFonts w:eastAsia="Calibri"/>
          <w:lang w:val="fr-FR"/>
        </w:rPr>
        <w:t>’</w:t>
      </w:r>
      <w:r>
        <w:rPr>
          <w:rFonts w:eastAsia="Calibri"/>
          <w:lang w:val="fr-FR"/>
        </w:rPr>
        <w:t>évaluation des menaces pesant sur les zones humides, y compris les zones humides d</w:t>
      </w:r>
      <w:r w:rsidR="00C97F2B">
        <w:rPr>
          <w:rFonts w:eastAsia="Calibri"/>
          <w:lang w:val="fr-FR"/>
        </w:rPr>
        <w:t>’</w:t>
      </w:r>
      <w:r>
        <w:rPr>
          <w:rFonts w:eastAsia="Calibri"/>
          <w:lang w:val="fr-FR"/>
        </w:rPr>
        <w:t>importance internationale ;</w:t>
      </w:r>
    </w:p>
    <w:p w14:paraId="1517D1D3" w14:textId="77777777" w:rsidR="00392508" w:rsidRPr="00C97F2B" w:rsidRDefault="00392508" w:rsidP="00392508">
      <w:pPr>
        <w:pStyle w:val="DRPara"/>
        <w:numPr>
          <w:ilvl w:val="0"/>
          <w:numId w:val="0"/>
        </w:numPr>
        <w:spacing w:after="0"/>
        <w:ind w:left="425" w:hanging="425"/>
        <w:rPr>
          <w:lang w:val="fr-FR"/>
        </w:rPr>
      </w:pPr>
    </w:p>
    <w:p w14:paraId="4DD94CD7" w14:textId="77777777" w:rsidR="00606B27" w:rsidRPr="00C97F2B" w:rsidRDefault="00295C2B" w:rsidP="00392508">
      <w:pPr>
        <w:pStyle w:val="DRPara"/>
        <w:numPr>
          <w:ilvl w:val="0"/>
          <w:numId w:val="0"/>
        </w:numPr>
        <w:spacing w:after="0"/>
        <w:ind w:left="425" w:hanging="425"/>
        <w:rPr>
          <w:lang w:val="fr-FR"/>
        </w:rPr>
      </w:pPr>
      <w:r>
        <w:rPr>
          <w:rFonts w:eastAsia="Calibri"/>
          <w:lang w:val="fr-FR"/>
        </w:rPr>
        <w:t>10.</w:t>
      </w:r>
      <w:r>
        <w:rPr>
          <w:rFonts w:eastAsia="Calibri"/>
          <w:lang w:val="fr-FR"/>
        </w:rPr>
        <w:tab/>
        <w:t>DEMANDE aux Parties contractantes, lorsqu</w:t>
      </w:r>
      <w:r w:rsidR="00C97F2B">
        <w:rPr>
          <w:rFonts w:eastAsia="Calibri"/>
          <w:lang w:val="fr-FR"/>
        </w:rPr>
        <w:t>’</w:t>
      </w:r>
      <w:r>
        <w:rPr>
          <w:rFonts w:eastAsia="Calibri"/>
          <w:lang w:val="fr-FR"/>
        </w:rPr>
        <w:t>elles suivent l</w:t>
      </w:r>
      <w:r w:rsidR="00C97F2B">
        <w:rPr>
          <w:rFonts w:eastAsia="Calibri"/>
          <w:lang w:val="fr-FR"/>
        </w:rPr>
        <w:t>’</w:t>
      </w:r>
      <w:r>
        <w:rPr>
          <w:rFonts w:eastAsia="Calibri"/>
          <w:lang w:val="fr-FR"/>
        </w:rPr>
        <w:t>état des zones humides d</w:t>
      </w:r>
      <w:r w:rsidR="00C97F2B">
        <w:rPr>
          <w:rFonts w:eastAsia="Calibri"/>
          <w:lang w:val="fr-FR"/>
        </w:rPr>
        <w:t>’</w:t>
      </w:r>
      <w:r>
        <w:rPr>
          <w:rFonts w:eastAsia="Calibri"/>
          <w:lang w:val="fr-FR"/>
        </w:rPr>
        <w:t>importance internationale et d</w:t>
      </w:r>
      <w:r w:rsidR="00C97F2B">
        <w:rPr>
          <w:rFonts w:eastAsia="Calibri"/>
          <w:lang w:val="fr-FR"/>
        </w:rPr>
        <w:t>’</w:t>
      </w:r>
      <w:r>
        <w:rPr>
          <w:rFonts w:eastAsia="Calibri"/>
          <w:lang w:val="fr-FR"/>
        </w:rPr>
        <w:t xml:space="preserve">autres zones humides, de veiller à ce que ces évaluations comprennent non seulement des éléments biologiques et hydrologiques, mais tiennent également compte de la vulnérabilité des caractéristiques écologiques des zones humides à diverses menaces ; </w:t>
      </w:r>
    </w:p>
    <w:p w14:paraId="2465AEFF" w14:textId="77777777" w:rsidR="00392508" w:rsidRPr="00C97F2B" w:rsidRDefault="00392508" w:rsidP="00392508">
      <w:pPr>
        <w:pStyle w:val="DRPara"/>
        <w:numPr>
          <w:ilvl w:val="0"/>
          <w:numId w:val="0"/>
        </w:numPr>
        <w:spacing w:after="0"/>
        <w:ind w:left="425" w:hanging="425"/>
        <w:rPr>
          <w:lang w:val="fr-FR"/>
        </w:rPr>
      </w:pPr>
    </w:p>
    <w:p w14:paraId="6BF72CC6" w14:textId="77777777" w:rsidR="005E59C5" w:rsidRPr="00C97F2B" w:rsidRDefault="00295C2B" w:rsidP="00392508">
      <w:pPr>
        <w:pStyle w:val="DRPara"/>
        <w:numPr>
          <w:ilvl w:val="0"/>
          <w:numId w:val="0"/>
        </w:numPr>
        <w:spacing w:after="0"/>
        <w:ind w:left="425" w:hanging="425"/>
        <w:rPr>
          <w:lang w:val="fr-FR"/>
        </w:rPr>
      </w:pPr>
      <w:r>
        <w:rPr>
          <w:rFonts w:eastAsia="Calibri"/>
          <w:lang w:val="fr-FR"/>
        </w:rPr>
        <w:t>11.</w:t>
      </w:r>
      <w:r>
        <w:rPr>
          <w:rFonts w:eastAsia="Calibri"/>
          <w:lang w:val="fr-FR"/>
        </w:rPr>
        <w:tab/>
        <w:t>PREND NOTE de l</w:t>
      </w:r>
      <w:r w:rsidR="00C97F2B">
        <w:rPr>
          <w:rFonts w:eastAsia="Calibri"/>
          <w:lang w:val="fr-FR"/>
        </w:rPr>
        <w:t>’</w:t>
      </w:r>
      <w:r>
        <w:rPr>
          <w:rFonts w:eastAsia="Calibri"/>
          <w:lang w:val="fr-FR"/>
        </w:rPr>
        <w:t>outil d</w:t>
      </w:r>
      <w:r w:rsidR="00C97F2B">
        <w:rPr>
          <w:rFonts w:eastAsia="Calibri"/>
          <w:lang w:val="fr-FR"/>
        </w:rPr>
        <w:t>’</w:t>
      </w:r>
      <w:r>
        <w:rPr>
          <w:rFonts w:eastAsia="Calibri"/>
          <w:lang w:val="fr-FR"/>
        </w:rPr>
        <w:t>évaluation de la vulnérabilité des zones humides (W</w:t>
      </w:r>
      <w:r w:rsidR="00744350">
        <w:rPr>
          <w:rFonts w:eastAsia="Calibri"/>
          <w:lang w:val="fr-FR"/>
        </w:rPr>
        <w:t>et</w:t>
      </w:r>
      <w:r>
        <w:rPr>
          <w:rFonts w:eastAsia="Calibri"/>
          <w:lang w:val="fr-FR"/>
        </w:rPr>
        <w:t>VAT) décrit à l</w:t>
      </w:r>
      <w:r w:rsidR="00C97F2B">
        <w:rPr>
          <w:rFonts w:eastAsia="Calibri"/>
          <w:lang w:val="fr-FR"/>
        </w:rPr>
        <w:t>’</w:t>
      </w:r>
      <w:r>
        <w:rPr>
          <w:rFonts w:eastAsia="Calibri"/>
          <w:lang w:val="fr-FR"/>
        </w:rPr>
        <w:t>annexe 1 de la présente Résolution ; et ENCOURAGE les Parties contractantes à envisager, le cas échéant, d</w:t>
      </w:r>
      <w:r w:rsidR="00C97F2B">
        <w:rPr>
          <w:rFonts w:eastAsia="Calibri"/>
          <w:lang w:val="fr-FR"/>
        </w:rPr>
        <w:t>’</w:t>
      </w:r>
      <w:r>
        <w:rPr>
          <w:rFonts w:eastAsia="Calibri"/>
          <w:lang w:val="fr-FR"/>
        </w:rPr>
        <w:t>utiliser cette approche pour évaluer la vulnérabilité des zones humides, en particulier en lien avec l</w:t>
      </w:r>
      <w:r w:rsidR="00C97F2B">
        <w:rPr>
          <w:rFonts w:eastAsia="Calibri"/>
          <w:lang w:val="fr-FR"/>
        </w:rPr>
        <w:t>’</w:t>
      </w:r>
      <w:r>
        <w:rPr>
          <w:rFonts w:eastAsia="Calibri"/>
          <w:lang w:val="fr-FR"/>
        </w:rPr>
        <w:t xml:space="preserve">Article 3.2 de la Convention ; </w:t>
      </w:r>
    </w:p>
    <w:p w14:paraId="047D945B" w14:textId="77777777" w:rsidR="00392508" w:rsidRPr="00C97F2B" w:rsidRDefault="00392508" w:rsidP="00392508">
      <w:pPr>
        <w:pStyle w:val="DRPara"/>
        <w:numPr>
          <w:ilvl w:val="0"/>
          <w:numId w:val="0"/>
        </w:numPr>
        <w:spacing w:after="0"/>
        <w:ind w:left="425" w:hanging="425"/>
        <w:rPr>
          <w:lang w:val="fr-FR"/>
        </w:rPr>
      </w:pPr>
    </w:p>
    <w:p w14:paraId="60B1143D" w14:textId="77777777" w:rsidR="003B1501" w:rsidRPr="00C97F2B" w:rsidRDefault="00295C2B" w:rsidP="00392508">
      <w:pPr>
        <w:pStyle w:val="DRPara"/>
        <w:numPr>
          <w:ilvl w:val="0"/>
          <w:numId w:val="0"/>
        </w:numPr>
        <w:spacing w:after="0"/>
        <w:ind w:left="425" w:hanging="425"/>
        <w:rPr>
          <w:lang w:val="fr-FR"/>
        </w:rPr>
      </w:pPr>
      <w:r>
        <w:rPr>
          <w:rFonts w:eastAsia="Calibri"/>
          <w:lang w:val="fr-FR"/>
        </w:rPr>
        <w:t>12.</w:t>
      </w:r>
      <w:r>
        <w:rPr>
          <w:rFonts w:eastAsia="Calibri"/>
          <w:lang w:val="fr-FR"/>
        </w:rPr>
        <w:tab/>
        <w:t>ENCOURAGE EN OUTRE les Parties contractantes, dans le cadre de l</w:t>
      </w:r>
      <w:r w:rsidR="00C97F2B">
        <w:rPr>
          <w:rFonts w:eastAsia="Calibri"/>
          <w:lang w:val="fr-FR"/>
        </w:rPr>
        <w:t>’</w:t>
      </w:r>
      <w:r>
        <w:rPr>
          <w:rFonts w:eastAsia="Calibri"/>
          <w:lang w:val="fr-FR"/>
        </w:rPr>
        <w:t>approche décrite à l</w:t>
      </w:r>
      <w:r w:rsidR="00C97F2B">
        <w:rPr>
          <w:rFonts w:eastAsia="Calibri"/>
          <w:lang w:val="fr-FR"/>
        </w:rPr>
        <w:t>’</w:t>
      </w:r>
      <w:r>
        <w:rPr>
          <w:rFonts w:eastAsia="Calibri"/>
          <w:lang w:val="fr-FR"/>
        </w:rPr>
        <w:t>annexe 1 ou d</w:t>
      </w:r>
      <w:r w:rsidR="00C97F2B">
        <w:rPr>
          <w:rFonts w:eastAsia="Calibri"/>
          <w:lang w:val="fr-FR"/>
        </w:rPr>
        <w:t>’</w:t>
      </w:r>
      <w:r>
        <w:rPr>
          <w:rFonts w:eastAsia="Calibri"/>
          <w:lang w:val="fr-FR"/>
        </w:rPr>
        <w:t>autres approches similaires, à adopter des principes de gestion adaptative qui permettent une collecte continue de données, un examen périodique et une évaluation itérative au fur et à mesure que de nouvelles informations sont disponibles, améliorant ainsi l</w:t>
      </w:r>
      <w:r w:rsidR="00C97F2B">
        <w:rPr>
          <w:rFonts w:eastAsia="Calibri"/>
          <w:lang w:val="fr-FR"/>
        </w:rPr>
        <w:t>’</w:t>
      </w:r>
      <w:r>
        <w:rPr>
          <w:rFonts w:eastAsia="Calibri"/>
          <w:lang w:val="fr-FR"/>
        </w:rPr>
        <w:t>efficacité de la réponse aux menaces émergentes et aux lacunes en matière de connaissances ;</w:t>
      </w:r>
    </w:p>
    <w:p w14:paraId="0462564F" w14:textId="77777777" w:rsidR="00392508" w:rsidRPr="00C97F2B" w:rsidRDefault="00392508" w:rsidP="00392508">
      <w:pPr>
        <w:pStyle w:val="DRPara"/>
        <w:numPr>
          <w:ilvl w:val="0"/>
          <w:numId w:val="0"/>
        </w:numPr>
        <w:spacing w:after="0"/>
        <w:ind w:left="425" w:hanging="425"/>
        <w:rPr>
          <w:lang w:val="fr-FR"/>
        </w:rPr>
      </w:pPr>
    </w:p>
    <w:p w14:paraId="4B95C8A0" w14:textId="77777777" w:rsidR="005E59C5" w:rsidRPr="00C97F2B" w:rsidRDefault="00295C2B" w:rsidP="00392508">
      <w:pPr>
        <w:pStyle w:val="DRPara"/>
        <w:numPr>
          <w:ilvl w:val="0"/>
          <w:numId w:val="0"/>
        </w:numPr>
        <w:spacing w:after="0"/>
        <w:ind w:left="425" w:hanging="425"/>
        <w:rPr>
          <w:rFonts w:cstheme="majorHAnsi"/>
          <w:iCs/>
          <w:lang w:val="fr-FR"/>
        </w:rPr>
      </w:pPr>
      <w:r>
        <w:rPr>
          <w:rFonts w:eastAsia="Calibri"/>
          <w:lang w:val="fr-FR"/>
        </w:rPr>
        <w:t>13.</w:t>
      </w:r>
      <w:r>
        <w:rPr>
          <w:rFonts w:eastAsia="Calibri"/>
          <w:lang w:val="fr-FR"/>
        </w:rPr>
        <w:tab/>
        <w:t>ENCOURAGE ÉGALEMENT les Parties contractantes, le cas échéant, à utiliser l</w:t>
      </w:r>
      <w:r w:rsidR="00C97F2B">
        <w:rPr>
          <w:rFonts w:eastAsia="Calibri"/>
          <w:lang w:val="fr-FR"/>
        </w:rPr>
        <w:t>’</w:t>
      </w:r>
      <w:r>
        <w:rPr>
          <w:rFonts w:eastAsia="Calibri"/>
          <w:lang w:val="fr-FR"/>
        </w:rPr>
        <w:t>approche décrite à l</w:t>
      </w:r>
      <w:r w:rsidR="00C97F2B">
        <w:rPr>
          <w:rFonts w:eastAsia="Calibri"/>
          <w:lang w:val="fr-FR"/>
        </w:rPr>
        <w:t>’</w:t>
      </w:r>
      <w:r>
        <w:rPr>
          <w:rFonts w:eastAsia="Calibri"/>
          <w:lang w:val="fr-FR"/>
        </w:rPr>
        <w:t>annexe 1 ou d</w:t>
      </w:r>
      <w:r w:rsidR="00C97F2B">
        <w:rPr>
          <w:rFonts w:eastAsia="Calibri"/>
          <w:lang w:val="fr-FR"/>
        </w:rPr>
        <w:t>’</w:t>
      </w:r>
      <w:r>
        <w:rPr>
          <w:rFonts w:eastAsia="Calibri"/>
          <w:lang w:val="fr-FR"/>
        </w:rPr>
        <w:t>autres approches pertinentes pour évaluer la vulnérabilité des zones humides, lorsqu</w:t>
      </w:r>
      <w:r w:rsidR="00C97F2B">
        <w:rPr>
          <w:rFonts w:eastAsia="Calibri"/>
          <w:lang w:val="fr-FR"/>
        </w:rPr>
        <w:t>’</w:t>
      </w:r>
      <w:r>
        <w:rPr>
          <w:rFonts w:eastAsia="Calibri"/>
          <w:lang w:val="fr-FR"/>
        </w:rPr>
        <w:t>elles décrivent l</w:t>
      </w:r>
      <w:r w:rsidR="00C97F2B">
        <w:rPr>
          <w:rFonts w:eastAsia="Calibri"/>
          <w:lang w:val="fr-FR"/>
        </w:rPr>
        <w:t>’</w:t>
      </w:r>
      <w:r>
        <w:rPr>
          <w:rFonts w:eastAsia="Calibri"/>
          <w:lang w:val="fr-FR"/>
        </w:rPr>
        <w:t>état des sites inscrits sur la Liste des zones humides d</w:t>
      </w:r>
      <w:r w:rsidR="00C97F2B">
        <w:rPr>
          <w:rFonts w:eastAsia="Calibri"/>
          <w:lang w:val="fr-FR"/>
        </w:rPr>
        <w:t>’</w:t>
      </w:r>
      <w:r>
        <w:rPr>
          <w:rFonts w:eastAsia="Calibri"/>
          <w:lang w:val="fr-FR"/>
        </w:rPr>
        <w:t>importance internationale dans leurs Rapports nationaux et l</w:t>
      </w:r>
      <w:r w:rsidR="004063EE">
        <w:rPr>
          <w:rFonts w:eastAsia="Calibri"/>
          <w:lang w:val="fr-FR"/>
        </w:rPr>
        <w:t>eurs Fiches descriptives Ramsar ;</w:t>
      </w:r>
    </w:p>
    <w:p w14:paraId="4C3E773E" w14:textId="77777777" w:rsidR="00392508" w:rsidRPr="00C97F2B" w:rsidRDefault="00392508" w:rsidP="00392508">
      <w:pPr>
        <w:pStyle w:val="DRPara"/>
        <w:numPr>
          <w:ilvl w:val="0"/>
          <w:numId w:val="0"/>
        </w:numPr>
        <w:spacing w:after="0"/>
        <w:ind w:left="425" w:hanging="425"/>
        <w:rPr>
          <w:lang w:val="fr-FR"/>
        </w:rPr>
      </w:pPr>
    </w:p>
    <w:p w14:paraId="13716C8E" w14:textId="77777777" w:rsidR="00C64FAA" w:rsidRPr="00C97F2B" w:rsidRDefault="00295C2B" w:rsidP="00392508">
      <w:pPr>
        <w:pStyle w:val="DRPara"/>
        <w:numPr>
          <w:ilvl w:val="0"/>
          <w:numId w:val="0"/>
        </w:numPr>
        <w:spacing w:after="0"/>
        <w:ind w:left="425" w:hanging="425"/>
        <w:rPr>
          <w:lang w:val="fr-FR"/>
        </w:rPr>
      </w:pPr>
      <w:r>
        <w:rPr>
          <w:rFonts w:eastAsia="Calibri"/>
          <w:lang w:val="fr-FR"/>
        </w:rPr>
        <w:t>14.</w:t>
      </w:r>
      <w:r>
        <w:rPr>
          <w:rFonts w:eastAsia="Calibri"/>
          <w:lang w:val="fr-FR"/>
        </w:rPr>
        <w:tab/>
        <w:t>INVITE les Parties contractantes à allouer des ressources, lorsqu</w:t>
      </w:r>
      <w:r w:rsidR="00C97F2B">
        <w:rPr>
          <w:rFonts w:eastAsia="Calibri"/>
          <w:lang w:val="fr-FR"/>
        </w:rPr>
        <w:t>’</w:t>
      </w:r>
      <w:r>
        <w:rPr>
          <w:rFonts w:eastAsia="Calibri"/>
          <w:lang w:val="fr-FR"/>
        </w:rPr>
        <w:t>elles sont disponibles, ou à rechercher des partenariats avec les initiatives régionales Ramsar et les organisations internationales pertinentes afin de faciliter la formation, les ateliers et le partage des ressources visant à renforcer les capacités techniques d</w:t>
      </w:r>
      <w:r w:rsidR="00C97F2B">
        <w:rPr>
          <w:rFonts w:eastAsia="Calibri"/>
          <w:lang w:val="fr-FR"/>
        </w:rPr>
        <w:t>’</w:t>
      </w:r>
      <w:r>
        <w:rPr>
          <w:rFonts w:eastAsia="Calibri"/>
          <w:lang w:val="fr-FR"/>
        </w:rPr>
        <w:t>évaluation et de traitement des vulnérabilités des zones humides ;</w:t>
      </w:r>
    </w:p>
    <w:p w14:paraId="015E2DB3" w14:textId="77777777" w:rsidR="00392508" w:rsidRPr="00C97F2B" w:rsidRDefault="00392508" w:rsidP="00392508">
      <w:pPr>
        <w:pStyle w:val="DRPara"/>
        <w:numPr>
          <w:ilvl w:val="0"/>
          <w:numId w:val="0"/>
        </w:numPr>
        <w:spacing w:after="0"/>
        <w:ind w:left="425" w:hanging="425"/>
        <w:rPr>
          <w:lang w:val="fr-FR"/>
        </w:rPr>
      </w:pPr>
    </w:p>
    <w:p w14:paraId="150BE2A7" w14:textId="77777777" w:rsidR="00921C29" w:rsidRPr="00C97F2B" w:rsidRDefault="00295C2B" w:rsidP="00392508">
      <w:pPr>
        <w:pStyle w:val="DRPara"/>
        <w:numPr>
          <w:ilvl w:val="0"/>
          <w:numId w:val="0"/>
        </w:numPr>
        <w:spacing w:after="0"/>
        <w:ind w:left="425" w:hanging="425"/>
        <w:rPr>
          <w:lang w:val="fr-FR"/>
        </w:rPr>
      </w:pPr>
      <w:r>
        <w:rPr>
          <w:rFonts w:eastAsia="Calibri"/>
          <w:lang w:val="fr-FR" w:eastAsia="en-US"/>
        </w:rPr>
        <w:t>15.</w:t>
      </w:r>
      <w:r>
        <w:rPr>
          <w:rFonts w:eastAsia="Calibri"/>
          <w:lang w:val="fr-FR" w:eastAsia="en-US"/>
        </w:rPr>
        <w:tab/>
        <w:t>CONFIRME que cette résolution ne crée pas d</w:t>
      </w:r>
      <w:r w:rsidR="00C97F2B">
        <w:rPr>
          <w:rFonts w:eastAsia="Calibri"/>
          <w:lang w:val="fr-FR" w:eastAsia="en-US"/>
        </w:rPr>
        <w:t>’</w:t>
      </w:r>
      <w:r>
        <w:rPr>
          <w:rFonts w:eastAsia="Calibri"/>
          <w:lang w:val="fr-FR" w:eastAsia="en-US"/>
        </w:rPr>
        <w:t>obligations supplémentaires en matière de rapports pour les Parties, ni d</w:t>
      </w:r>
      <w:r w:rsidR="00C97F2B">
        <w:rPr>
          <w:rFonts w:eastAsia="Calibri"/>
          <w:lang w:val="fr-FR" w:eastAsia="en-US"/>
        </w:rPr>
        <w:t>’</w:t>
      </w:r>
      <w:r>
        <w:rPr>
          <w:rFonts w:eastAsia="Calibri"/>
          <w:lang w:val="fr-FR" w:eastAsia="en-US"/>
        </w:rPr>
        <w:t>implications financières pour le Secrétariat ; et</w:t>
      </w:r>
    </w:p>
    <w:p w14:paraId="0402E41C" w14:textId="77777777" w:rsidR="00392508" w:rsidRPr="00C97F2B" w:rsidRDefault="00392508" w:rsidP="00392508">
      <w:pPr>
        <w:pStyle w:val="DRPara"/>
        <w:numPr>
          <w:ilvl w:val="0"/>
          <w:numId w:val="0"/>
        </w:numPr>
        <w:spacing w:after="0"/>
        <w:ind w:left="425" w:hanging="425"/>
        <w:rPr>
          <w:b/>
          <w:bCs/>
          <w:lang w:val="fr-FR" w:eastAsia="en-US"/>
        </w:rPr>
      </w:pPr>
    </w:p>
    <w:p w14:paraId="7DF5B111" w14:textId="77777777" w:rsidR="00392508" w:rsidRPr="00C97F2B" w:rsidRDefault="00295C2B" w:rsidP="00392508">
      <w:pPr>
        <w:pStyle w:val="DRPara"/>
        <w:numPr>
          <w:ilvl w:val="0"/>
          <w:numId w:val="0"/>
        </w:numPr>
        <w:spacing w:after="0"/>
        <w:ind w:left="425" w:hanging="425"/>
        <w:rPr>
          <w:lang w:val="fr-FR"/>
        </w:rPr>
      </w:pPr>
      <w:r>
        <w:rPr>
          <w:rFonts w:eastAsia="Calibri"/>
          <w:lang w:val="fr-FR" w:eastAsia="en-US"/>
        </w:rPr>
        <w:t>16.</w:t>
      </w:r>
      <w:r>
        <w:rPr>
          <w:rFonts w:eastAsia="Calibri"/>
          <w:lang w:val="fr-FR" w:eastAsia="en-US"/>
        </w:rPr>
        <w:tab/>
        <w:t>REMERCIE le Centre régional Ramsar – Asie de l</w:t>
      </w:r>
      <w:r w:rsidR="00C97F2B">
        <w:rPr>
          <w:rFonts w:eastAsia="Calibri"/>
          <w:lang w:val="fr-FR" w:eastAsia="en-US"/>
        </w:rPr>
        <w:t>’</w:t>
      </w:r>
      <w:r>
        <w:rPr>
          <w:rFonts w:eastAsia="Calibri"/>
          <w:lang w:val="fr-FR" w:eastAsia="en-US"/>
        </w:rPr>
        <w:t>Est pour son parrainage et son organisation qui ont jeté les bases du W</w:t>
      </w:r>
      <w:r w:rsidR="00744350">
        <w:rPr>
          <w:rFonts w:eastAsia="Calibri"/>
          <w:lang w:val="fr-FR" w:eastAsia="en-US"/>
        </w:rPr>
        <w:t>et</w:t>
      </w:r>
      <w:r>
        <w:rPr>
          <w:rFonts w:eastAsia="Calibri"/>
          <w:lang w:val="fr-FR" w:eastAsia="en-US"/>
        </w:rPr>
        <w:t>VAT.</w:t>
      </w:r>
    </w:p>
    <w:p w14:paraId="5596C5C9" w14:textId="77777777" w:rsidR="006312C0" w:rsidRPr="00C97F2B" w:rsidRDefault="00295C2B" w:rsidP="00392508">
      <w:pPr>
        <w:pStyle w:val="DRPara"/>
        <w:numPr>
          <w:ilvl w:val="0"/>
          <w:numId w:val="0"/>
        </w:numPr>
        <w:spacing w:after="0"/>
        <w:ind w:left="425" w:hanging="425"/>
        <w:rPr>
          <w:b/>
          <w:bCs/>
          <w:lang w:val="fr-FR" w:eastAsia="en-US"/>
        </w:rPr>
      </w:pPr>
      <w:r w:rsidRPr="00C97F2B">
        <w:rPr>
          <w:lang w:val="fr-FR"/>
        </w:rPr>
        <w:br w:type="page"/>
      </w:r>
    </w:p>
    <w:p w14:paraId="142E81C5" w14:textId="77777777" w:rsidR="00744140" w:rsidRPr="00C97F2B" w:rsidRDefault="00295C2B" w:rsidP="0069547C">
      <w:pPr>
        <w:pStyle w:val="DRHeading1"/>
        <w:rPr>
          <w:sz w:val="24"/>
          <w:szCs w:val="24"/>
          <w:lang w:val="fr-FR"/>
        </w:rPr>
      </w:pPr>
      <w:r>
        <w:rPr>
          <w:rFonts w:eastAsia="Calibri"/>
          <w:sz w:val="24"/>
          <w:szCs w:val="24"/>
          <w:lang w:val="fr-FR"/>
        </w:rPr>
        <w:t>Annexe 1</w:t>
      </w:r>
    </w:p>
    <w:p w14:paraId="57351C8F" w14:textId="77777777" w:rsidR="006312C0" w:rsidRPr="00C97F2B" w:rsidRDefault="00295C2B" w:rsidP="006312C0">
      <w:pPr>
        <w:pStyle w:val="DRHeading1"/>
        <w:rPr>
          <w:sz w:val="24"/>
          <w:szCs w:val="24"/>
          <w:lang w:val="fr-FR"/>
        </w:rPr>
      </w:pPr>
      <w:r>
        <w:rPr>
          <w:rFonts w:eastAsia="Calibri"/>
          <w:sz w:val="24"/>
          <w:szCs w:val="24"/>
          <w:lang w:val="fr-FR"/>
        </w:rPr>
        <w:t>Vue d</w:t>
      </w:r>
      <w:r w:rsidR="00C97F2B">
        <w:rPr>
          <w:rFonts w:eastAsia="Calibri"/>
          <w:sz w:val="24"/>
          <w:szCs w:val="24"/>
          <w:lang w:val="fr-FR"/>
        </w:rPr>
        <w:t>’</w:t>
      </w:r>
      <w:r>
        <w:rPr>
          <w:rFonts w:eastAsia="Calibri"/>
          <w:sz w:val="24"/>
          <w:szCs w:val="24"/>
          <w:lang w:val="fr-FR"/>
        </w:rPr>
        <w:t>ensemble de l</w:t>
      </w:r>
      <w:r w:rsidR="00C97F2B">
        <w:rPr>
          <w:rFonts w:eastAsia="Calibri"/>
          <w:sz w:val="24"/>
          <w:szCs w:val="24"/>
          <w:lang w:val="fr-FR"/>
        </w:rPr>
        <w:t>’</w:t>
      </w:r>
      <w:r>
        <w:rPr>
          <w:rFonts w:eastAsia="Calibri"/>
          <w:sz w:val="24"/>
          <w:szCs w:val="24"/>
          <w:lang w:val="fr-FR"/>
        </w:rPr>
        <w:t>outil d</w:t>
      </w:r>
      <w:r w:rsidR="00C97F2B">
        <w:rPr>
          <w:rFonts w:eastAsia="Calibri"/>
          <w:sz w:val="24"/>
          <w:szCs w:val="24"/>
          <w:lang w:val="fr-FR"/>
        </w:rPr>
        <w:t>’</w:t>
      </w:r>
      <w:r>
        <w:rPr>
          <w:rFonts w:eastAsia="Calibri"/>
          <w:sz w:val="24"/>
          <w:szCs w:val="24"/>
          <w:lang w:val="fr-FR"/>
        </w:rPr>
        <w:t>évaluation de la vulnérabilité des zones humides (W</w:t>
      </w:r>
      <w:r w:rsidR="00744350">
        <w:rPr>
          <w:rFonts w:eastAsia="Calibri"/>
          <w:sz w:val="24"/>
          <w:szCs w:val="24"/>
          <w:lang w:val="fr-FR"/>
        </w:rPr>
        <w:t>et</w:t>
      </w:r>
      <w:r>
        <w:rPr>
          <w:rFonts w:eastAsia="Calibri"/>
          <w:sz w:val="24"/>
          <w:szCs w:val="24"/>
          <w:lang w:val="fr-FR"/>
        </w:rPr>
        <w:t>VAT)</w:t>
      </w:r>
    </w:p>
    <w:p w14:paraId="2B958A6B" w14:textId="77777777" w:rsidR="006312C0" w:rsidRPr="00C97F2B" w:rsidRDefault="006312C0">
      <w:pPr>
        <w:rPr>
          <w:rFonts w:ascii="Calibri" w:hAnsi="Calibri" w:cs="Calibri"/>
          <w:sz w:val="22"/>
          <w:szCs w:val="22"/>
          <w:lang w:val="fr-FR"/>
        </w:rPr>
      </w:pPr>
    </w:p>
    <w:p w14:paraId="22EBF700" w14:textId="77777777" w:rsidR="001C3173" w:rsidRPr="00C97F2B" w:rsidRDefault="00295C2B" w:rsidP="00154B49">
      <w:pPr>
        <w:pStyle w:val="AnnexH1"/>
        <w:rPr>
          <w:lang w:val="fr-FR"/>
        </w:rPr>
      </w:pPr>
      <w:r>
        <w:rPr>
          <w:rFonts w:eastAsia="Calibri"/>
          <w:lang w:val="fr-FR"/>
        </w:rPr>
        <w:t xml:space="preserve">Introduction </w:t>
      </w:r>
    </w:p>
    <w:p w14:paraId="516F8374" w14:textId="77777777" w:rsidR="009C1347" w:rsidRPr="00C97F2B" w:rsidRDefault="00295C2B" w:rsidP="00392508">
      <w:pPr>
        <w:pStyle w:val="AnnexText"/>
        <w:numPr>
          <w:ilvl w:val="0"/>
          <w:numId w:val="0"/>
        </w:numPr>
        <w:spacing w:after="0"/>
        <w:ind w:left="425" w:hanging="425"/>
        <w:rPr>
          <w:lang w:val="fr-FR"/>
        </w:rPr>
      </w:pPr>
      <w:r>
        <w:rPr>
          <w:rFonts w:eastAsia="Calibri"/>
          <w:bCs/>
          <w:lang w:val="fr-FR"/>
        </w:rPr>
        <w:t>1.</w:t>
      </w:r>
      <w:r>
        <w:rPr>
          <w:rFonts w:eastAsia="Calibri"/>
          <w:bCs/>
          <w:lang w:val="fr-FR"/>
        </w:rPr>
        <w:tab/>
        <w:t>Partout dans le monde, les zones humides sont vulnérables car elles sont exposées à diverses pressions. Dans certains endroits, ces pressions et ces impacts potentiels sont bien documentés et sont traités avec succès. Toutefois, dans d</w:t>
      </w:r>
      <w:r w:rsidR="00C97F2B">
        <w:rPr>
          <w:rFonts w:eastAsia="Calibri"/>
          <w:bCs/>
          <w:lang w:val="fr-FR"/>
        </w:rPr>
        <w:t>’</w:t>
      </w:r>
      <w:r>
        <w:rPr>
          <w:rFonts w:eastAsia="Calibri"/>
          <w:bCs/>
          <w:lang w:val="fr-FR"/>
        </w:rPr>
        <w:t xml:space="preserve">autres lieux, le manque de données, de ressources et de méthodes empêche de mener des évaluations approfondies de la vulnérabilité. Cela est particulièrement le cas dans les zones humides </w:t>
      </w:r>
      <w:r w:rsidR="007B6187">
        <w:rPr>
          <w:rFonts w:eastAsia="Calibri"/>
          <w:bCs/>
          <w:lang w:val="fr-FR"/>
        </w:rPr>
        <w:t>isolées</w:t>
      </w:r>
      <w:r>
        <w:rPr>
          <w:rFonts w:eastAsia="Calibri"/>
          <w:bCs/>
          <w:lang w:val="fr-FR"/>
        </w:rPr>
        <w:t xml:space="preserve"> ou celles dont les ressources</w:t>
      </w:r>
      <w:r w:rsidR="00D1594B">
        <w:rPr>
          <w:rFonts w:eastAsia="Calibri"/>
          <w:bCs/>
          <w:lang w:val="fr-FR"/>
        </w:rPr>
        <w:t xml:space="preserve"> en matière</w:t>
      </w:r>
      <w:r>
        <w:rPr>
          <w:rFonts w:eastAsia="Calibri"/>
          <w:bCs/>
          <w:lang w:val="fr-FR"/>
        </w:rPr>
        <w:t xml:space="preserve"> de gestion sont limitées. </w:t>
      </w:r>
    </w:p>
    <w:p w14:paraId="3E12EBC8" w14:textId="77777777" w:rsidR="00392508" w:rsidRPr="00C97F2B" w:rsidRDefault="00392508" w:rsidP="00392508">
      <w:pPr>
        <w:pStyle w:val="AnnexText"/>
        <w:numPr>
          <w:ilvl w:val="0"/>
          <w:numId w:val="0"/>
        </w:numPr>
        <w:spacing w:after="0"/>
        <w:ind w:left="425" w:hanging="425"/>
        <w:rPr>
          <w:lang w:val="fr-FR"/>
        </w:rPr>
      </w:pPr>
    </w:p>
    <w:p w14:paraId="76EC2E0C" w14:textId="77777777" w:rsidR="009C1347" w:rsidRPr="00C97F2B" w:rsidRDefault="00295C2B" w:rsidP="00392508">
      <w:pPr>
        <w:pStyle w:val="AnnexText"/>
        <w:numPr>
          <w:ilvl w:val="0"/>
          <w:numId w:val="0"/>
        </w:numPr>
        <w:spacing w:after="0"/>
        <w:ind w:left="425" w:hanging="425"/>
        <w:rPr>
          <w:lang w:val="fr-FR"/>
        </w:rPr>
      </w:pPr>
      <w:r>
        <w:rPr>
          <w:rFonts w:eastAsia="Calibri"/>
          <w:bCs/>
          <w:lang w:val="fr-FR"/>
        </w:rPr>
        <w:t>2.</w:t>
      </w:r>
      <w:r>
        <w:rPr>
          <w:rFonts w:eastAsia="Calibri"/>
          <w:bCs/>
          <w:lang w:val="fr-FR"/>
        </w:rPr>
        <w:tab/>
        <w:t>L</w:t>
      </w:r>
      <w:r w:rsidR="00C97F2B">
        <w:rPr>
          <w:rFonts w:eastAsia="Calibri"/>
          <w:bCs/>
          <w:lang w:val="fr-FR"/>
        </w:rPr>
        <w:t>’</w:t>
      </w:r>
      <w:r>
        <w:rPr>
          <w:rFonts w:eastAsia="Calibri"/>
          <w:bCs/>
          <w:lang w:val="fr-FR"/>
        </w:rPr>
        <w:t>évaluation des menaces qui pèsent sur les zones humides est souvent réalisée dans le cadre de l</w:t>
      </w:r>
      <w:r w:rsidR="00C97F2B">
        <w:rPr>
          <w:rFonts w:eastAsia="Calibri"/>
          <w:bCs/>
          <w:lang w:val="fr-FR"/>
        </w:rPr>
        <w:t>’</w:t>
      </w:r>
      <w:r>
        <w:rPr>
          <w:rFonts w:eastAsia="Calibri"/>
          <w:bCs/>
          <w:lang w:val="fr-FR"/>
        </w:rPr>
        <w:t>analyse de l</w:t>
      </w:r>
      <w:r w:rsidR="00C97F2B">
        <w:rPr>
          <w:rFonts w:eastAsia="Calibri"/>
          <w:bCs/>
          <w:lang w:val="fr-FR"/>
        </w:rPr>
        <w:t>’</w:t>
      </w:r>
      <w:r w:rsidR="00A77ED6">
        <w:rPr>
          <w:rFonts w:eastAsia="Calibri"/>
          <w:bCs/>
          <w:lang w:val="fr-FR"/>
        </w:rPr>
        <w:t>impact environnemental de</w:t>
      </w:r>
      <w:r>
        <w:rPr>
          <w:rFonts w:eastAsia="Calibri"/>
          <w:bCs/>
          <w:lang w:val="fr-FR"/>
        </w:rPr>
        <w:t xml:space="preserve"> projets de développement ou en tant qu</w:t>
      </w:r>
      <w:r w:rsidR="00C97F2B">
        <w:rPr>
          <w:rFonts w:eastAsia="Calibri"/>
          <w:bCs/>
          <w:lang w:val="fr-FR"/>
        </w:rPr>
        <w:t>’</w:t>
      </w:r>
      <w:r>
        <w:rPr>
          <w:rFonts w:eastAsia="Calibri"/>
          <w:bCs/>
          <w:lang w:val="fr-FR"/>
        </w:rPr>
        <w:t>élément du plan de gestion des sites, en particulier pour les zones humides d</w:t>
      </w:r>
      <w:r w:rsidR="00C97F2B">
        <w:rPr>
          <w:rFonts w:eastAsia="Calibri"/>
          <w:bCs/>
          <w:lang w:val="fr-FR"/>
        </w:rPr>
        <w:t>’</w:t>
      </w:r>
      <w:r>
        <w:rPr>
          <w:rFonts w:eastAsia="Calibri"/>
          <w:bCs/>
          <w:lang w:val="fr-FR"/>
        </w:rPr>
        <w:t>importance internationale. Toutefois, dans de nombreux cas, les méthodes d</w:t>
      </w:r>
      <w:r w:rsidR="00C97F2B">
        <w:rPr>
          <w:rFonts w:eastAsia="Calibri"/>
          <w:bCs/>
          <w:lang w:val="fr-FR"/>
        </w:rPr>
        <w:t>’</w:t>
      </w:r>
      <w:r>
        <w:rPr>
          <w:rFonts w:eastAsia="Calibri"/>
          <w:bCs/>
          <w:lang w:val="fr-FR"/>
        </w:rPr>
        <w:t xml:space="preserve">évaluation ont été définies dans les pays industrialisés et sont mal adaptées aux conditions des pays moins développés où les connaissances sur les zones humides sont souvent moins complètes et les ressources plus limitées. </w:t>
      </w:r>
      <w:r w:rsidR="00D1594B">
        <w:rPr>
          <w:rFonts w:eastAsia="Calibri"/>
          <w:bCs/>
          <w:lang w:val="fr-FR"/>
        </w:rPr>
        <w:t>Il est courant pour de nombreuses zones humides que</w:t>
      </w:r>
      <w:r>
        <w:rPr>
          <w:rFonts w:eastAsia="Calibri"/>
          <w:bCs/>
          <w:lang w:val="fr-FR"/>
        </w:rPr>
        <w:t xml:space="preserve"> les données nécessaires à une évaluation détaillée n</w:t>
      </w:r>
      <w:r w:rsidR="00C97F2B">
        <w:rPr>
          <w:rFonts w:eastAsia="Calibri"/>
          <w:bCs/>
          <w:lang w:val="fr-FR"/>
        </w:rPr>
        <w:t>’</w:t>
      </w:r>
      <w:r>
        <w:rPr>
          <w:rFonts w:eastAsia="Calibri"/>
          <w:bCs/>
          <w:lang w:val="fr-FR"/>
        </w:rPr>
        <w:t>existent pas et, par conséquent, peu d</w:t>
      </w:r>
      <w:r w:rsidR="00C97F2B">
        <w:rPr>
          <w:rFonts w:eastAsia="Calibri"/>
          <w:bCs/>
          <w:lang w:val="fr-FR"/>
        </w:rPr>
        <w:t>’</w:t>
      </w:r>
      <w:r>
        <w:rPr>
          <w:rFonts w:eastAsia="Calibri"/>
          <w:bCs/>
          <w:lang w:val="fr-FR"/>
        </w:rPr>
        <w:t>évaluations de la vulnérabilité ont été réalisées. En outre, les communautés qui dépendent le plus des zones humides sont souvent celles qui n</w:t>
      </w:r>
      <w:r w:rsidR="00C97F2B">
        <w:rPr>
          <w:rFonts w:eastAsia="Calibri"/>
          <w:bCs/>
          <w:lang w:val="fr-FR"/>
        </w:rPr>
        <w:t>’</w:t>
      </w:r>
      <w:r>
        <w:rPr>
          <w:rFonts w:eastAsia="Calibri"/>
          <w:bCs/>
          <w:lang w:val="fr-FR"/>
        </w:rPr>
        <w:t xml:space="preserve">ont pas les ressources nécessaires pour réaliser une évaluation formelle. </w:t>
      </w:r>
    </w:p>
    <w:p w14:paraId="5DAF6CC2" w14:textId="77777777" w:rsidR="00392508" w:rsidRPr="00C97F2B" w:rsidRDefault="00392508" w:rsidP="00392508">
      <w:pPr>
        <w:pStyle w:val="AnnexText"/>
        <w:numPr>
          <w:ilvl w:val="0"/>
          <w:numId w:val="0"/>
        </w:numPr>
        <w:spacing w:after="0"/>
        <w:ind w:left="425" w:hanging="425"/>
        <w:rPr>
          <w:lang w:val="fr-FR"/>
        </w:rPr>
      </w:pPr>
    </w:p>
    <w:p w14:paraId="2DEC259F" w14:textId="77777777" w:rsidR="009C1347" w:rsidRPr="00C97F2B" w:rsidRDefault="00295C2B" w:rsidP="00392508">
      <w:pPr>
        <w:pStyle w:val="AnnexText"/>
        <w:numPr>
          <w:ilvl w:val="0"/>
          <w:numId w:val="0"/>
        </w:numPr>
        <w:spacing w:after="0"/>
        <w:ind w:left="425" w:hanging="425"/>
        <w:rPr>
          <w:lang w:val="fr-FR"/>
        </w:rPr>
      </w:pPr>
      <w:r>
        <w:rPr>
          <w:rFonts w:eastAsia="Calibri"/>
          <w:bCs/>
          <w:lang w:val="fr-FR"/>
        </w:rPr>
        <w:t>3.</w:t>
      </w:r>
      <w:r>
        <w:rPr>
          <w:rFonts w:eastAsia="Calibri"/>
          <w:bCs/>
          <w:lang w:val="fr-FR"/>
        </w:rPr>
        <w:tab/>
        <w:t xml:space="preserve">Une initiative conjointe de la Convention sur les zones humides et du WWF, conçue pour favoriser la coopération régionale </w:t>
      </w:r>
      <w:r w:rsidR="00D1594B">
        <w:rPr>
          <w:rFonts w:eastAsia="Calibri"/>
          <w:bCs/>
          <w:lang w:val="fr-FR"/>
        </w:rPr>
        <w:t>en matière de</w:t>
      </w:r>
      <w:r>
        <w:rPr>
          <w:rFonts w:eastAsia="Calibri"/>
          <w:bCs/>
          <w:lang w:val="fr-FR"/>
        </w:rPr>
        <w:t xml:space="preserve"> conservation à long terme des zones humides, a recommandé le développement d</w:t>
      </w:r>
      <w:r w:rsidR="00C97F2B">
        <w:rPr>
          <w:rFonts w:eastAsia="Calibri"/>
          <w:bCs/>
          <w:lang w:val="fr-FR"/>
        </w:rPr>
        <w:t>’</w:t>
      </w:r>
      <w:r>
        <w:rPr>
          <w:rFonts w:eastAsia="Calibri"/>
          <w:bCs/>
          <w:lang w:val="fr-FR"/>
        </w:rPr>
        <w:t>outils pour faciliter le suivi et l</w:t>
      </w:r>
      <w:r w:rsidR="00C97F2B">
        <w:rPr>
          <w:rFonts w:eastAsia="Calibri"/>
          <w:bCs/>
          <w:lang w:val="fr-FR"/>
        </w:rPr>
        <w:t>’</w:t>
      </w:r>
      <w:r>
        <w:rPr>
          <w:rFonts w:eastAsia="Calibri"/>
          <w:bCs/>
          <w:lang w:val="fr-FR"/>
        </w:rPr>
        <w:t>évaluation du changement climatique et d</w:t>
      </w:r>
      <w:r w:rsidR="00C97F2B">
        <w:rPr>
          <w:rFonts w:eastAsia="Calibri"/>
          <w:bCs/>
          <w:lang w:val="fr-FR"/>
        </w:rPr>
        <w:t>’</w:t>
      </w:r>
      <w:r>
        <w:rPr>
          <w:rFonts w:eastAsia="Calibri"/>
          <w:bCs/>
          <w:lang w:val="fr-FR"/>
        </w:rPr>
        <w:t>autres impacts sur les zones humides d</w:t>
      </w:r>
      <w:r w:rsidR="00C97F2B">
        <w:rPr>
          <w:rFonts w:eastAsia="Calibri"/>
          <w:bCs/>
          <w:lang w:val="fr-FR"/>
        </w:rPr>
        <w:t>’</w:t>
      </w:r>
      <w:r>
        <w:rPr>
          <w:rFonts w:eastAsia="Calibri"/>
          <w:bCs/>
          <w:lang w:val="fr-FR"/>
        </w:rPr>
        <w:t>importance internationale et d</w:t>
      </w:r>
      <w:r w:rsidR="00C97F2B">
        <w:rPr>
          <w:rFonts w:eastAsia="Calibri"/>
          <w:bCs/>
          <w:lang w:val="fr-FR"/>
        </w:rPr>
        <w:t>’</w:t>
      </w:r>
      <w:r>
        <w:rPr>
          <w:rFonts w:eastAsia="Calibri"/>
          <w:bCs/>
          <w:lang w:val="fr-FR"/>
        </w:rPr>
        <w:t>autres sites de zones humides</w:t>
      </w:r>
      <w:r>
        <w:rPr>
          <w:rStyle w:val="FootnoteReference"/>
        </w:rPr>
        <w:footnoteReference w:id="1"/>
      </w:r>
      <w:r>
        <w:rPr>
          <w:rFonts w:eastAsia="Calibri"/>
          <w:bCs/>
          <w:lang w:val="fr-FR"/>
        </w:rPr>
        <w:t>. En conséquence, le programme Asia Pro-Eco de l</w:t>
      </w:r>
      <w:r w:rsidR="00C97F2B">
        <w:rPr>
          <w:rFonts w:eastAsia="Calibri"/>
          <w:bCs/>
          <w:lang w:val="fr-FR"/>
        </w:rPr>
        <w:t>’</w:t>
      </w:r>
      <w:r>
        <w:rPr>
          <w:rFonts w:eastAsia="Calibri"/>
          <w:bCs/>
          <w:lang w:val="fr-FR"/>
        </w:rPr>
        <w:t>UE a financé le développement d</w:t>
      </w:r>
      <w:r w:rsidR="00C97F2B">
        <w:rPr>
          <w:rFonts w:eastAsia="Calibri"/>
          <w:bCs/>
          <w:lang w:val="fr-FR"/>
        </w:rPr>
        <w:t>’</w:t>
      </w:r>
      <w:r>
        <w:rPr>
          <w:rFonts w:eastAsia="Calibri"/>
          <w:bCs/>
          <w:lang w:val="fr-FR"/>
        </w:rPr>
        <w:t>un ensemble de méthodes d</w:t>
      </w:r>
      <w:r w:rsidR="00C97F2B">
        <w:rPr>
          <w:rFonts w:eastAsia="Calibri"/>
          <w:bCs/>
          <w:lang w:val="fr-FR"/>
        </w:rPr>
        <w:t>’</w:t>
      </w:r>
      <w:r>
        <w:rPr>
          <w:rFonts w:eastAsia="Calibri"/>
          <w:bCs/>
          <w:lang w:val="fr-FR"/>
        </w:rPr>
        <w:t>inventaire et d</w:t>
      </w:r>
      <w:r w:rsidR="00C97F2B">
        <w:rPr>
          <w:rFonts w:eastAsia="Calibri"/>
          <w:bCs/>
          <w:lang w:val="fr-FR"/>
        </w:rPr>
        <w:t>’</w:t>
      </w:r>
      <w:r>
        <w:rPr>
          <w:rFonts w:eastAsia="Calibri"/>
          <w:bCs/>
          <w:lang w:val="fr-FR"/>
        </w:rPr>
        <w:t>évaluation pour les zones humides du Grand Himalaya</w:t>
      </w:r>
      <w:r>
        <w:rPr>
          <w:rStyle w:val="FootnoteReference"/>
        </w:rPr>
        <w:footnoteReference w:id="2"/>
      </w:r>
      <w:r>
        <w:rPr>
          <w:rFonts w:eastAsia="Calibri"/>
          <w:bCs/>
          <w:lang w:val="fr-FR"/>
        </w:rPr>
        <w:t>. Une première méthode d</w:t>
      </w:r>
      <w:r w:rsidR="00C97F2B">
        <w:rPr>
          <w:rFonts w:eastAsia="Calibri"/>
          <w:bCs/>
          <w:lang w:val="fr-FR"/>
        </w:rPr>
        <w:t>’</w:t>
      </w:r>
      <w:r>
        <w:rPr>
          <w:rFonts w:eastAsia="Calibri"/>
          <w:bCs/>
          <w:lang w:val="fr-FR"/>
        </w:rPr>
        <w:t>évaluation de la vulnérabilité a été développée pour les zones humides d</w:t>
      </w:r>
      <w:r w:rsidR="00C97F2B">
        <w:rPr>
          <w:rFonts w:eastAsia="Calibri"/>
          <w:bCs/>
          <w:lang w:val="fr-FR"/>
        </w:rPr>
        <w:t>’</w:t>
      </w:r>
      <w:r>
        <w:rPr>
          <w:rFonts w:eastAsia="Calibri"/>
          <w:bCs/>
          <w:lang w:val="fr-FR"/>
        </w:rPr>
        <w:t>altitude dans la région de l</w:t>
      </w:r>
      <w:r w:rsidR="00C97F2B">
        <w:rPr>
          <w:rFonts w:eastAsia="Calibri"/>
          <w:bCs/>
          <w:lang w:val="fr-FR"/>
        </w:rPr>
        <w:t>’</w:t>
      </w:r>
      <w:r>
        <w:rPr>
          <w:rFonts w:eastAsia="Calibri"/>
          <w:bCs/>
          <w:lang w:val="fr-FR"/>
        </w:rPr>
        <w:t xml:space="preserve">Himalaya et a été testée sur des sites </w:t>
      </w:r>
      <w:r w:rsidR="00D1594B">
        <w:rPr>
          <w:rFonts w:eastAsia="Calibri"/>
          <w:bCs/>
          <w:lang w:val="fr-FR"/>
        </w:rPr>
        <w:t>isolés</w:t>
      </w:r>
      <w:r>
        <w:rPr>
          <w:rFonts w:eastAsia="Calibri"/>
          <w:bCs/>
          <w:lang w:val="fr-FR"/>
        </w:rPr>
        <w:t xml:space="preserve"> et non </w:t>
      </w:r>
      <w:r w:rsidR="00D1594B">
        <w:rPr>
          <w:rFonts w:eastAsia="Calibri"/>
          <w:bCs/>
          <w:lang w:val="fr-FR"/>
        </w:rPr>
        <w:t>isolés</w:t>
      </w:r>
      <w:r>
        <w:rPr>
          <w:rStyle w:val="FootnoteReference"/>
        </w:rPr>
        <w:footnoteReference w:id="3"/>
      </w:r>
      <w:r>
        <w:rPr>
          <w:rFonts w:eastAsia="Calibri"/>
          <w:bCs/>
          <w:lang w:val="fr-FR"/>
        </w:rPr>
        <w:t>. La méthode s</w:t>
      </w:r>
      <w:r w:rsidR="00C97F2B">
        <w:rPr>
          <w:rFonts w:eastAsia="Calibri"/>
          <w:bCs/>
          <w:lang w:val="fr-FR"/>
        </w:rPr>
        <w:t>’</w:t>
      </w:r>
      <w:r>
        <w:rPr>
          <w:rFonts w:eastAsia="Calibri"/>
          <w:bCs/>
          <w:lang w:val="fr-FR"/>
        </w:rPr>
        <w:t>appuie sur une évaluation antérieure des services écosystémiques fournis par une zone humide et des pressions auxquelles les zones humides sont confrontées</w:t>
      </w:r>
      <w:r>
        <w:rPr>
          <w:rStyle w:val="FootnoteReference"/>
        </w:rPr>
        <w:footnoteReference w:id="4"/>
      </w:r>
      <w:r>
        <w:rPr>
          <w:rFonts w:eastAsia="Calibri"/>
          <w:bCs/>
          <w:lang w:val="fr-FR"/>
        </w:rPr>
        <w:t xml:space="preserve">. </w:t>
      </w:r>
    </w:p>
    <w:p w14:paraId="576C01C1" w14:textId="77777777" w:rsidR="00392508" w:rsidRPr="00C97F2B" w:rsidRDefault="00392508" w:rsidP="00392508">
      <w:pPr>
        <w:pStyle w:val="AnnexText"/>
        <w:numPr>
          <w:ilvl w:val="0"/>
          <w:numId w:val="0"/>
        </w:numPr>
        <w:spacing w:after="0"/>
        <w:ind w:left="425" w:hanging="425"/>
        <w:rPr>
          <w:lang w:val="fr-FR"/>
        </w:rPr>
      </w:pPr>
    </w:p>
    <w:p w14:paraId="658C1D68" w14:textId="77777777" w:rsidR="009C1347" w:rsidRPr="00C97F2B" w:rsidRDefault="00295C2B" w:rsidP="00392508">
      <w:pPr>
        <w:pStyle w:val="AnnexH1"/>
        <w:spacing w:after="0"/>
        <w:rPr>
          <w:lang w:val="fr-FR"/>
        </w:rPr>
      </w:pPr>
      <w:bookmarkStart w:id="0" w:name="_Toc176348650"/>
      <w:r>
        <w:rPr>
          <w:rFonts w:eastAsia="Calibri"/>
          <w:lang w:val="fr-FR"/>
        </w:rPr>
        <w:t>Développement récent</w:t>
      </w:r>
      <w:bookmarkEnd w:id="0"/>
      <w:r>
        <w:rPr>
          <w:rFonts w:eastAsia="Calibri"/>
          <w:lang w:val="fr-FR"/>
        </w:rPr>
        <w:t xml:space="preserve"> de l</w:t>
      </w:r>
      <w:r w:rsidR="00C97F2B">
        <w:rPr>
          <w:rFonts w:eastAsia="Calibri"/>
          <w:lang w:val="fr-FR"/>
        </w:rPr>
        <w:t>’</w:t>
      </w:r>
      <w:r>
        <w:rPr>
          <w:rFonts w:eastAsia="Calibri"/>
          <w:lang w:val="fr-FR"/>
        </w:rPr>
        <w:t>outil d</w:t>
      </w:r>
      <w:r w:rsidR="00C97F2B">
        <w:rPr>
          <w:rFonts w:eastAsia="Calibri"/>
          <w:lang w:val="fr-FR"/>
        </w:rPr>
        <w:t>’</w:t>
      </w:r>
      <w:r>
        <w:rPr>
          <w:rFonts w:eastAsia="Calibri"/>
          <w:lang w:val="fr-FR"/>
        </w:rPr>
        <w:t>évaluation de la vulnérabilité des zones humides</w:t>
      </w:r>
    </w:p>
    <w:p w14:paraId="4B5105E2" w14:textId="77777777" w:rsidR="00392508" w:rsidRPr="00C97F2B" w:rsidRDefault="00392508" w:rsidP="00392508">
      <w:pPr>
        <w:pStyle w:val="AnnexH1"/>
        <w:spacing w:after="0"/>
        <w:rPr>
          <w:lang w:val="fr-FR"/>
        </w:rPr>
      </w:pPr>
    </w:p>
    <w:p w14:paraId="7E5B868A" w14:textId="77777777" w:rsidR="001A023B" w:rsidRPr="00C97F2B" w:rsidRDefault="00295C2B" w:rsidP="00392508">
      <w:pPr>
        <w:pStyle w:val="AnnexText"/>
        <w:numPr>
          <w:ilvl w:val="0"/>
          <w:numId w:val="0"/>
        </w:numPr>
        <w:spacing w:after="0"/>
        <w:ind w:left="425" w:hanging="425"/>
        <w:rPr>
          <w:lang w:val="fr-FR"/>
        </w:rPr>
      </w:pPr>
      <w:r>
        <w:rPr>
          <w:rFonts w:eastAsia="Calibri"/>
          <w:bCs/>
          <w:lang w:val="fr-FR"/>
        </w:rPr>
        <w:t>4.</w:t>
      </w:r>
      <w:r>
        <w:rPr>
          <w:rFonts w:eastAsia="Calibri"/>
          <w:bCs/>
          <w:lang w:val="fr-FR"/>
        </w:rPr>
        <w:tab/>
        <w:t>La méthode développée dans le cadre du travail sur les zones humides du Grand Himalaya a ensuite été améliorée pour être appliquée dans le domaine du Centre régional Ramsar – Asie de l</w:t>
      </w:r>
      <w:r w:rsidR="00C97F2B">
        <w:rPr>
          <w:rFonts w:eastAsia="Calibri"/>
          <w:bCs/>
          <w:lang w:val="fr-FR"/>
        </w:rPr>
        <w:t>’</w:t>
      </w:r>
      <w:r>
        <w:rPr>
          <w:rFonts w:eastAsia="Calibri"/>
          <w:bCs/>
          <w:lang w:val="fr-FR"/>
        </w:rPr>
        <w:t>Est (RRC-EA) et au-delà, et testée sur un plus grand nombre de sites dans la région. L</w:t>
      </w:r>
      <w:r w:rsidR="00C97F2B">
        <w:rPr>
          <w:rFonts w:eastAsia="Calibri"/>
          <w:bCs/>
          <w:lang w:val="fr-FR"/>
        </w:rPr>
        <w:t>’</w:t>
      </w:r>
      <w:r>
        <w:rPr>
          <w:rFonts w:eastAsia="Calibri"/>
          <w:bCs/>
          <w:lang w:val="fr-FR"/>
        </w:rPr>
        <w:t>outil d</w:t>
      </w:r>
      <w:r w:rsidR="00C97F2B">
        <w:rPr>
          <w:rFonts w:eastAsia="Calibri"/>
          <w:bCs/>
          <w:lang w:val="fr-FR"/>
        </w:rPr>
        <w:t>’</w:t>
      </w:r>
      <w:r>
        <w:rPr>
          <w:rFonts w:eastAsia="Calibri"/>
          <w:bCs/>
          <w:lang w:val="fr-FR"/>
        </w:rPr>
        <w:t>évaluation de la vulnérabilité des zones humides (W</w:t>
      </w:r>
      <w:r w:rsidR="00744350">
        <w:rPr>
          <w:rFonts w:eastAsia="Calibri"/>
          <w:bCs/>
          <w:lang w:val="fr-FR"/>
        </w:rPr>
        <w:t>et</w:t>
      </w:r>
      <w:r>
        <w:rPr>
          <w:rFonts w:eastAsia="Calibri"/>
          <w:bCs/>
          <w:lang w:val="fr-FR"/>
        </w:rPr>
        <w:t>VAT) qui en résulte est directement complémentaire d</w:t>
      </w:r>
      <w:r w:rsidR="00C97F2B">
        <w:rPr>
          <w:rFonts w:eastAsia="Calibri"/>
          <w:bCs/>
          <w:lang w:val="fr-FR"/>
        </w:rPr>
        <w:t>’</w:t>
      </w:r>
      <w:r>
        <w:rPr>
          <w:rFonts w:eastAsia="Calibri"/>
          <w:bCs/>
          <w:lang w:val="fr-FR"/>
        </w:rPr>
        <w:t xml:space="preserve">autres outils et approches volontaires </w:t>
      </w:r>
      <w:r w:rsidR="00D1594B">
        <w:rPr>
          <w:rFonts w:eastAsia="Calibri"/>
          <w:bCs/>
          <w:lang w:val="fr-FR"/>
        </w:rPr>
        <w:t xml:space="preserve">qui sont </w:t>
      </w:r>
      <w:r>
        <w:rPr>
          <w:rFonts w:eastAsia="Calibri"/>
          <w:bCs/>
          <w:lang w:val="fr-FR"/>
        </w:rPr>
        <w:t>à la disposition des gestionnaires de zones humides, tels que l</w:t>
      </w:r>
      <w:r w:rsidR="00C97F2B">
        <w:rPr>
          <w:rFonts w:eastAsia="Calibri"/>
          <w:bCs/>
          <w:lang w:val="fr-FR"/>
        </w:rPr>
        <w:t>’</w:t>
      </w:r>
      <w:r>
        <w:rPr>
          <w:rFonts w:eastAsia="Calibri"/>
          <w:bCs/>
          <w:lang w:val="fr-FR"/>
        </w:rPr>
        <w:t>Évaluation rapide des services écosystémiques des zones humides (RAWES)</w:t>
      </w:r>
      <w:r>
        <w:rPr>
          <w:rStyle w:val="FootnoteReference"/>
        </w:rPr>
        <w:footnoteReference w:id="5"/>
      </w:r>
      <w:r>
        <w:rPr>
          <w:rFonts w:eastAsia="Calibri"/>
          <w:bCs/>
          <w:lang w:val="fr-FR"/>
        </w:rPr>
        <w:t xml:space="preserve"> et l</w:t>
      </w:r>
      <w:r w:rsidR="00C97F2B">
        <w:rPr>
          <w:rFonts w:eastAsia="Calibri"/>
          <w:bCs/>
          <w:lang w:val="fr-FR"/>
        </w:rPr>
        <w:t>’</w:t>
      </w:r>
      <w:r>
        <w:rPr>
          <w:rFonts w:eastAsia="Calibri"/>
          <w:bCs/>
          <w:lang w:val="fr-FR"/>
        </w:rPr>
        <w:t>Outil de suivi de l</w:t>
      </w:r>
      <w:r w:rsidR="00C97F2B">
        <w:rPr>
          <w:rFonts w:eastAsia="Calibri"/>
          <w:bCs/>
          <w:lang w:val="fr-FR"/>
        </w:rPr>
        <w:t>’</w:t>
      </w:r>
      <w:r>
        <w:rPr>
          <w:rFonts w:eastAsia="Calibri"/>
          <w:bCs/>
          <w:lang w:val="fr-FR"/>
        </w:rPr>
        <w:t>efficacité de la gestion des sites Ramsar (R-METT)</w:t>
      </w:r>
      <w:r>
        <w:rPr>
          <w:rStyle w:val="FootnoteReference"/>
        </w:rPr>
        <w:footnoteReference w:id="6"/>
      </w:r>
      <w:r>
        <w:rPr>
          <w:rFonts w:eastAsia="Calibri"/>
          <w:bCs/>
          <w:lang w:val="fr-FR"/>
        </w:rPr>
        <w:t>. En outre, elle contribue à garantir que des études de l</w:t>
      </w:r>
      <w:r w:rsidR="00C97F2B">
        <w:rPr>
          <w:rFonts w:eastAsia="Calibri"/>
          <w:bCs/>
          <w:lang w:val="fr-FR"/>
        </w:rPr>
        <w:t>’</w:t>
      </w:r>
      <w:r>
        <w:rPr>
          <w:rFonts w:eastAsia="Calibri"/>
          <w:bCs/>
          <w:lang w:val="fr-FR"/>
        </w:rPr>
        <w:t xml:space="preserve">impact environnemental fiables sont entreprises et que des mesures sont </w:t>
      </w:r>
      <w:r w:rsidR="00A77ED6">
        <w:rPr>
          <w:rFonts w:eastAsia="Calibri"/>
          <w:bCs/>
          <w:lang w:val="fr-FR"/>
        </w:rPr>
        <w:t>définies</w:t>
      </w:r>
      <w:r>
        <w:rPr>
          <w:rFonts w:eastAsia="Calibri"/>
          <w:bCs/>
          <w:lang w:val="fr-FR"/>
        </w:rPr>
        <w:t xml:space="preserve"> pour réduire au minimum les impacts des projets sur les écosystèmes des zones humides et, par conséquent, pour protéger et maintenir les caractéristiques écologiques des zones humides, comme cela est encouragé dans la Résolution XIV.16</w:t>
      </w:r>
      <w:r>
        <w:rPr>
          <w:rStyle w:val="FootnoteReference"/>
        </w:rPr>
        <w:footnoteReference w:id="7"/>
      </w:r>
      <w:r>
        <w:rPr>
          <w:rFonts w:eastAsia="Calibri"/>
          <w:bCs/>
          <w:lang w:val="fr-FR"/>
        </w:rPr>
        <w:t xml:space="preserve">. </w:t>
      </w:r>
    </w:p>
    <w:p w14:paraId="18455B5D" w14:textId="77777777" w:rsidR="00392508" w:rsidRPr="00C97F2B" w:rsidRDefault="00392508" w:rsidP="00392508">
      <w:pPr>
        <w:pStyle w:val="AnnexText"/>
        <w:numPr>
          <w:ilvl w:val="0"/>
          <w:numId w:val="0"/>
        </w:numPr>
        <w:spacing w:after="0"/>
        <w:ind w:left="425" w:hanging="425"/>
        <w:rPr>
          <w:b/>
          <w:lang w:val="fr-FR"/>
        </w:rPr>
      </w:pPr>
    </w:p>
    <w:p w14:paraId="37CEC2BF" w14:textId="77777777" w:rsidR="001A023B" w:rsidRPr="00C97F2B" w:rsidRDefault="00295C2B" w:rsidP="00392508">
      <w:pPr>
        <w:pStyle w:val="AnnexText"/>
        <w:numPr>
          <w:ilvl w:val="0"/>
          <w:numId w:val="0"/>
        </w:numPr>
        <w:spacing w:after="0"/>
        <w:ind w:left="425" w:hanging="425"/>
        <w:rPr>
          <w:lang w:val="fr-FR"/>
        </w:rPr>
      </w:pPr>
      <w:r>
        <w:rPr>
          <w:rFonts w:eastAsia="Calibri"/>
          <w:bCs/>
          <w:lang w:val="fr-FR"/>
        </w:rPr>
        <w:t>5.</w:t>
      </w:r>
      <w:r>
        <w:rPr>
          <w:rFonts w:eastAsia="Calibri"/>
          <w:bCs/>
          <w:lang w:val="fr-FR"/>
        </w:rPr>
        <w:tab/>
        <w:t>W</w:t>
      </w:r>
      <w:r w:rsidR="00744350">
        <w:rPr>
          <w:rFonts w:eastAsia="Calibri"/>
          <w:bCs/>
          <w:lang w:val="fr-FR"/>
        </w:rPr>
        <w:t>et</w:t>
      </w:r>
      <w:r>
        <w:rPr>
          <w:rFonts w:eastAsia="Calibri"/>
          <w:bCs/>
          <w:lang w:val="fr-FR"/>
        </w:rPr>
        <w:t>VAT intègre l</w:t>
      </w:r>
      <w:r w:rsidR="00C97F2B">
        <w:rPr>
          <w:rFonts w:eastAsia="Calibri"/>
          <w:bCs/>
          <w:lang w:val="fr-FR"/>
        </w:rPr>
        <w:t>’</w:t>
      </w:r>
      <w:r>
        <w:rPr>
          <w:rFonts w:eastAsia="Calibri"/>
          <w:bCs/>
          <w:lang w:val="fr-FR"/>
        </w:rPr>
        <w:t>importance fondamentale des zones humides pour la conservation de la biodiversité et leur rôle dans la fourniture de services écosystémiques fondés sur cette biodiversité. La méthode décrite dans la présente annexe identifie séparément la biodiversité en tant que composante fondamental</w:t>
      </w:r>
      <w:r w:rsidR="00C97F2B">
        <w:rPr>
          <w:rFonts w:eastAsia="Calibri"/>
          <w:bCs/>
          <w:lang w:val="fr-FR"/>
        </w:rPr>
        <w:t>e</w:t>
      </w:r>
      <w:r>
        <w:rPr>
          <w:rFonts w:eastAsia="Calibri"/>
          <w:bCs/>
          <w:lang w:val="fr-FR"/>
        </w:rPr>
        <w:t xml:space="preserve"> des caractéristiques écologiques d</w:t>
      </w:r>
      <w:r w:rsidR="00C97F2B">
        <w:rPr>
          <w:rFonts w:eastAsia="Calibri"/>
          <w:bCs/>
          <w:lang w:val="fr-FR"/>
        </w:rPr>
        <w:t>’</w:t>
      </w:r>
      <w:r>
        <w:rPr>
          <w:rFonts w:eastAsia="Calibri"/>
          <w:bCs/>
          <w:lang w:val="fr-FR"/>
        </w:rPr>
        <w:t>une zone humide, mais intègre l</w:t>
      </w:r>
      <w:r w:rsidR="00C97F2B">
        <w:rPr>
          <w:rFonts w:eastAsia="Calibri"/>
          <w:bCs/>
          <w:lang w:val="fr-FR"/>
        </w:rPr>
        <w:t>’</w:t>
      </w:r>
      <w:r>
        <w:rPr>
          <w:rFonts w:eastAsia="Calibri"/>
          <w:bCs/>
          <w:lang w:val="fr-FR"/>
        </w:rPr>
        <w:t>importance des zones humides à la fois pour la conservation de la biodiversité et pour leur rôle dans la fourniture de services écosystémiques. Le terme « valeur » est utilisé pour couvrir ces deux éléments, puisque la Convention utilise ce terme pour indiquer à la fois l</w:t>
      </w:r>
      <w:r w:rsidR="00C97F2B">
        <w:rPr>
          <w:rFonts w:eastAsia="Calibri"/>
          <w:bCs/>
          <w:lang w:val="fr-FR"/>
        </w:rPr>
        <w:t>’</w:t>
      </w:r>
      <w:r>
        <w:rPr>
          <w:rFonts w:eastAsia="Calibri"/>
          <w:bCs/>
          <w:lang w:val="fr-FR"/>
        </w:rPr>
        <w:t>importance intrinsèque des zones humides pour la biodiversité et l</w:t>
      </w:r>
      <w:r w:rsidR="00C97F2B">
        <w:rPr>
          <w:rFonts w:eastAsia="Calibri"/>
          <w:bCs/>
          <w:lang w:val="fr-FR"/>
        </w:rPr>
        <w:t>’</w:t>
      </w:r>
      <w:r>
        <w:rPr>
          <w:rFonts w:eastAsia="Calibri"/>
          <w:bCs/>
          <w:lang w:val="fr-FR"/>
        </w:rPr>
        <w:t>importance des services écosystémiques pour les populations humaines.</w:t>
      </w:r>
    </w:p>
    <w:p w14:paraId="1211E990" w14:textId="77777777" w:rsidR="00392508" w:rsidRPr="00C97F2B" w:rsidRDefault="00392508" w:rsidP="00392508">
      <w:pPr>
        <w:pStyle w:val="AnnexText"/>
        <w:numPr>
          <w:ilvl w:val="0"/>
          <w:numId w:val="0"/>
        </w:numPr>
        <w:spacing w:after="0"/>
        <w:ind w:left="425" w:hanging="425"/>
        <w:rPr>
          <w:lang w:val="fr-FR"/>
        </w:rPr>
      </w:pPr>
    </w:p>
    <w:p w14:paraId="5439FA6D" w14:textId="77777777" w:rsidR="009C1347" w:rsidRPr="00C97F2B" w:rsidRDefault="00295C2B" w:rsidP="00392508">
      <w:pPr>
        <w:pStyle w:val="AnnexH1"/>
        <w:spacing w:after="0"/>
        <w:rPr>
          <w:lang w:val="fr-FR"/>
        </w:rPr>
      </w:pPr>
      <w:bookmarkStart w:id="1" w:name="_Toc176348651"/>
      <w:r>
        <w:rPr>
          <w:rFonts w:eastAsia="Calibri"/>
          <w:lang w:val="fr-FR"/>
        </w:rPr>
        <w:t>Objectif de l</w:t>
      </w:r>
      <w:r w:rsidR="00C97F2B">
        <w:rPr>
          <w:rFonts w:eastAsia="Calibri"/>
          <w:lang w:val="fr-FR"/>
        </w:rPr>
        <w:t>’</w:t>
      </w:r>
      <w:r>
        <w:rPr>
          <w:rFonts w:eastAsia="Calibri"/>
          <w:lang w:val="fr-FR"/>
        </w:rPr>
        <w:t>outil</w:t>
      </w:r>
      <w:bookmarkEnd w:id="1"/>
    </w:p>
    <w:p w14:paraId="4F48FB84" w14:textId="77777777" w:rsidR="00392508" w:rsidRPr="00C97F2B" w:rsidRDefault="00392508" w:rsidP="00392508">
      <w:pPr>
        <w:pStyle w:val="AnnexH1"/>
        <w:spacing w:after="0"/>
        <w:rPr>
          <w:lang w:val="fr-FR"/>
        </w:rPr>
      </w:pPr>
    </w:p>
    <w:p w14:paraId="3DE5E194" w14:textId="77777777" w:rsidR="009C1347" w:rsidRPr="00C97F2B" w:rsidRDefault="00295C2B" w:rsidP="00392508">
      <w:pPr>
        <w:pStyle w:val="AnnexText"/>
        <w:numPr>
          <w:ilvl w:val="0"/>
          <w:numId w:val="0"/>
        </w:numPr>
        <w:spacing w:after="0"/>
        <w:ind w:left="425" w:hanging="425"/>
        <w:rPr>
          <w:lang w:val="fr-FR"/>
        </w:rPr>
      </w:pPr>
      <w:r>
        <w:rPr>
          <w:rFonts w:eastAsia="Calibri"/>
          <w:bCs/>
          <w:lang w:val="fr-FR"/>
        </w:rPr>
        <w:t>6.</w:t>
      </w:r>
      <w:r>
        <w:rPr>
          <w:rFonts w:eastAsia="Calibri"/>
          <w:bCs/>
          <w:lang w:val="fr-FR"/>
        </w:rPr>
        <w:tab/>
        <w:t>Les zones humides sont vulnérables à un large éventail de menaces humaines et de changements environnementaux, notamment le surpâturage, la construction de barrages, la pollution, le drainage et le changement climatique. Par conséquent, si l</w:t>
      </w:r>
      <w:r w:rsidR="00C97F2B">
        <w:rPr>
          <w:rFonts w:eastAsia="Calibri"/>
          <w:bCs/>
          <w:lang w:val="fr-FR"/>
        </w:rPr>
        <w:t>’</w:t>
      </w:r>
      <w:r>
        <w:rPr>
          <w:rFonts w:eastAsia="Calibri"/>
          <w:bCs/>
          <w:lang w:val="fr-FR"/>
        </w:rPr>
        <w:t>on veut conserver les caractéristiques et les valeurs intrinsèques de ces zones humides, il est nécessaire d</w:t>
      </w:r>
      <w:r w:rsidR="00C97F2B">
        <w:rPr>
          <w:rFonts w:eastAsia="Calibri"/>
          <w:bCs/>
          <w:lang w:val="fr-FR"/>
        </w:rPr>
        <w:t>’</w:t>
      </w:r>
      <w:r>
        <w:rPr>
          <w:rFonts w:eastAsia="Calibri"/>
          <w:bCs/>
          <w:lang w:val="fr-FR"/>
        </w:rPr>
        <w:t>identifier, d</w:t>
      </w:r>
      <w:r w:rsidR="00C97F2B">
        <w:rPr>
          <w:rFonts w:eastAsia="Calibri"/>
          <w:bCs/>
          <w:lang w:val="fr-FR"/>
        </w:rPr>
        <w:t>’</w:t>
      </w:r>
      <w:r>
        <w:rPr>
          <w:rFonts w:eastAsia="Calibri"/>
          <w:bCs/>
          <w:lang w:val="fr-FR"/>
        </w:rPr>
        <w:t>évaluer et de gérer les menaces. W</w:t>
      </w:r>
      <w:r w:rsidR="00744350">
        <w:rPr>
          <w:rFonts w:eastAsia="Calibri"/>
          <w:bCs/>
          <w:lang w:val="fr-FR"/>
        </w:rPr>
        <w:t>et</w:t>
      </w:r>
      <w:r>
        <w:rPr>
          <w:rFonts w:eastAsia="Calibri"/>
          <w:bCs/>
          <w:lang w:val="fr-FR"/>
        </w:rPr>
        <w:t>VAT n</w:t>
      </w:r>
      <w:r w:rsidR="00C97F2B">
        <w:rPr>
          <w:rFonts w:eastAsia="Calibri"/>
          <w:bCs/>
          <w:lang w:val="fr-FR"/>
        </w:rPr>
        <w:t>’</w:t>
      </w:r>
      <w:r>
        <w:rPr>
          <w:rFonts w:eastAsia="Calibri"/>
          <w:bCs/>
          <w:lang w:val="fr-FR"/>
        </w:rPr>
        <w:t>aborde pas la dynamique naturelle des zones humides qui peut modifier leurs caractéristiques au cours du temps, mais évalue plutôt la vulnérabilité du système à une série de menaces.</w:t>
      </w:r>
    </w:p>
    <w:p w14:paraId="370BB073" w14:textId="77777777" w:rsidR="00392508" w:rsidRPr="00C97F2B" w:rsidRDefault="00392508" w:rsidP="00392508">
      <w:pPr>
        <w:pStyle w:val="AnnexText"/>
        <w:numPr>
          <w:ilvl w:val="0"/>
          <w:numId w:val="0"/>
        </w:numPr>
        <w:spacing w:after="0"/>
        <w:ind w:left="425" w:hanging="425"/>
        <w:rPr>
          <w:lang w:val="fr-FR"/>
        </w:rPr>
      </w:pPr>
    </w:p>
    <w:p w14:paraId="567D02C5" w14:textId="77777777" w:rsidR="009C1347" w:rsidRPr="00C97F2B" w:rsidRDefault="00295C2B" w:rsidP="00392508">
      <w:pPr>
        <w:pStyle w:val="AnnexText"/>
        <w:numPr>
          <w:ilvl w:val="0"/>
          <w:numId w:val="0"/>
        </w:numPr>
        <w:spacing w:after="0"/>
        <w:ind w:left="425" w:hanging="425"/>
        <w:rPr>
          <w:lang w:val="fr-FR"/>
        </w:rPr>
      </w:pPr>
      <w:r>
        <w:rPr>
          <w:rFonts w:eastAsia="Calibri"/>
          <w:bCs/>
          <w:lang w:val="fr-FR"/>
        </w:rPr>
        <w:t>7.</w:t>
      </w:r>
      <w:r>
        <w:rPr>
          <w:rFonts w:eastAsia="Calibri"/>
          <w:bCs/>
          <w:lang w:val="fr-FR"/>
        </w:rPr>
        <w:tab/>
        <w:t>L</w:t>
      </w:r>
      <w:r w:rsidR="00C97F2B">
        <w:rPr>
          <w:rFonts w:eastAsia="Calibri"/>
          <w:bCs/>
          <w:lang w:val="fr-FR"/>
        </w:rPr>
        <w:t>’</w:t>
      </w:r>
      <w:r>
        <w:rPr>
          <w:rFonts w:eastAsia="Calibri"/>
          <w:bCs/>
          <w:lang w:val="fr-FR"/>
        </w:rPr>
        <w:t>objectif de cet outil est de donner aux gouvernements, aux organismes chargés de la conservation et aux gestionnaires de zones humides du monde entier la possibilité d</w:t>
      </w:r>
      <w:r w:rsidR="00C97F2B">
        <w:rPr>
          <w:rFonts w:eastAsia="Calibri"/>
          <w:bCs/>
          <w:lang w:val="fr-FR"/>
        </w:rPr>
        <w:t>’</w:t>
      </w:r>
      <w:r>
        <w:rPr>
          <w:rFonts w:eastAsia="Calibri"/>
          <w:bCs/>
          <w:lang w:val="fr-FR"/>
        </w:rPr>
        <w:t>évaluer la vulnérabilité de leurs zones humides et de combiner les informations avec d</w:t>
      </w:r>
      <w:r w:rsidR="00C97F2B">
        <w:rPr>
          <w:rFonts w:eastAsia="Calibri"/>
          <w:bCs/>
          <w:lang w:val="fr-FR"/>
        </w:rPr>
        <w:t>’</w:t>
      </w:r>
      <w:r>
        <w:rPr>
          <w:rFonts w:eastAsia="Calibri"/>
          <w:bCs/>
          <w:lang w:val="fr-FR"/>
        </w:rPr>
        <w:t>autres évaluations des zones humides pour évaluer la vulnérabilité à plusieurs échelles. L</w:t>
      </w:r>
      <w:r w:rsidR="00C97F2B">
        <w:rPr>
          <w:rFonts w:eastAsia="Calibri"/>
          <w:bCs/>
          <w:lang w:val="fr-FR"/>
        </w:rPr>
        <w:t>’</w:t>
      </w:r>
      <w:r>
        <w:rPr>
          <w:rFonts w:eastAsia="Calibri"/>
          <w:bCs/>
          <w:lang w:val="fr-FR"/>
        </w:rPr>
        <w:t>outil a été spécialement développé en partant du constat que de nombreuses organisations ne disposent pas d</w:t>
      </w:r>
      <w:r w:rsidR="00C97F2B">
        <w:rPr>
          <w:rFonts w:eastAsia="Calibri"/>
          <w:bCs/>
          <w:lang w:val="fr-FR"/>
        </w:rPr>
        <w:t>’</w:t>
      </w:r>
      <w:r>
        <w:rPr>
          <w:rFonts w:eastAsia="Calibri"/>
          <w:bCs/>
          <w:lang w:val="fr-FR"/>
        </w:rPr>
        <w:t>informations ou de compétences nécessaires pour réaliser une évaluation complète et détaillée. Cependant, il reconnaît que les connaissances locales et autochtones d</w:t>
      </w:r>
      <w:r w:rsidR="00C97F2B">
        <w:rPr>
          <w:rFonts w:eastAsia="Calibri"/>
          <w:bCs/>
          <w:lang w:val="fr-FR"/>
        </w:rPr>
        <w:t>’</w:t>
      </w:r>
      <w:r>
        <w:rPr>
          <w:rFonts w:eastAsia="Calibri"/>
          <w:bCs/>
          <w:lang w:val="fr-FR"/>
        </w:rPr>
        <w:t>un site sont souvent extrêmement complètes et qu</w:t>
      </w:r>
      <w:r w:rsidR="00C97F2B">
        <w:rPr>
          <w:rFonts w:eastAsia="Calibri"/>
          <w:bCs/>
          <w:lang w:val="fr-FR"/>
        </w:rPr>
        <w:t>’</w:t>
      </w:r>
      <w:r>
        <w:rPr>
          <w:rFonts w:eastAsia="Calibri"/>
          <w:bCs/>
          <w:lang w:val="fr-FR"/>
        </w:rPr>
        <w:t>il suffit de les rassembler et de les structurer de manière à faciliter l</w:t>
      </w:r>
      <w:r w:rsidR="00C97F2B">
        <w:rPr>
          <w:rFonts w:eastAsia="Calibri"/>
          <w:bCs/>
          <w:lang w:val="fr-FR"/>
        </w:rPr>
        <w:t>’</w:t>
      </w:r>
      <w:r>
        <w:rPr>
          <w:rFonts w:eastAsia="Calibri"/>
          <w:bCs/>
          <w:lang w:val="fr-FR"/>
        </w:rPr>
        <w:t xml:space="preserve">évaluation de la vulnérabilité. </w:t>
      </w:r>
    </w:p>
    <w:p w14:paraId="14E014FD" w14:textId="77777777" w:rsidR="00392508" w:rsidRPr="00C97F2B" w:rsidRDefault="00392508" w:rsidP="00392508">
      <w:pPr>
        <w:pStyle w:val="AnnexText"/>
        <w:numPr>
          <w:ilvl w:val="0"/>
          <w:numId w:val="0"/>
        </w:numPr>
        <w:spacing w:after="0"/>
        <w:ind w:left="425" w:hanging="425"/>
        <w:rPr>
          <w:lang w:val="fr-FR"/>
        </w:rPr>
      </w:pPr>
    </w:p>
    <w:p w14:paraId="7391E415" w14:textId="77777777" w:rsidR="001C3173" w:rsidRPr="00C97F2B" w:rsidRDefault="00295C2B" w:rsidP="00392508">
      <w:pPr>
        <w:pStyle w:val="AnnexH1"/>
        <w:spacing w:after="0"/>
        <w:rPr>
          <w:lang w:val="fr-FR"/>
        </w:rPr>
      </w:pPr>
      <w:bookmarkStart w:id="2" w:name="_Toc176348652"/>
      <w:r>
        <w:rPr>
          <w:rFonts w:eastAsia="Calibri"/>
          <w:lang w:val="fr-FR"/>
        </w:rPr>
        <w:t>Vue d</w:t>
      </w:r>
      <w:r w:rsidR="00C97F2B">
        <w:rPr>
          <w:rFonts w:eastAsia="Calibri"/>
          <w:lang w:val="fr-FR"/>
        </w:rPr>
        <w:t>’</w:t>
      </w:r>
      <w:r>
        <w:rPr>
          <w:rFonts w:eastAsia="Calibri"/>
          <w:lang w:val="fr-FR"/>
        </w:rPr>
        <w:t>ensemble de la méthode</w:t>
      </w:r>
      <w:bookmarkEnd w:id="2"/>
    </w:p>
    <w:p w14:paraId="3EE7DFFB" w14:textId="77777777" w:rsidR="00392508" w:rsidRPr="00C97F2B" w:rsidRDefault="00392508" w:rsidP="00392508">
      <w:pPr>
        <w:pStyle w:val="AnnexH1"/>
        <w:spacing w:after="0"/>
        <w:rPr>
          <w:lang w:val="fr-FR"/>
        </w:rPr>
      </w:pPr>
    </w:p>
    <w:p w14:paraId="60887ED1" w14:textId="77777777" w:rsidR="001A023B" w:rsidRPr="00C97F2B" w:rsidRDefault="00295C2B" w:rsidP="00392508">
      <w:pPr>
        <w:pStyle w:val="AnnexText"/>
        <w:numPr>
          <w:ilvl w:val="0"/>
          <w:numId w:val="0"/>
        </w:numPr>
        <w:spacing w:after="0"/>
        <w:ind w:left="425" w:hanging="425"/>
        <w:rPr>
          <w:lang w:val="fr-FR"/>
        </w:rPr>
      </w:pPr>
      <w:r>
        <w:rPr>
          <w:rFonts w:eastAsia="Calibri"/>
          <w:bCs/>
          <w:lang w:val="fr-FR"/>
        </w:rPr>
        <w:t>8.</w:t>
      </w:r>
      <w:r>
        <w:rPr>
          <w:rFonts w:eastAsia="Calibri"/>
          <w:bCs/>
          <w:lang w:val="fr-FR"/>
        </w:rPr>
        <w:tab/>
        <w:t>W</w:t>
      </w:r>
      <w:r w:rsidR="00744350">
        <w:rPr>
          <w:rFonts w:eastAsia="Calibri"/>
          <w:bCs/>
          <w:lang w:val="fr-FR"/>
        </w:rPr>
        <w:t>et</w:t>
      </w:r>
      <w:r>
        <w:rPr>
          <w:rFonts w:eastAsia="Calibri"/>
          <w:bCs/>
          <w:lang w:val="fr-FR"/>
        </w:rPr>
        <w:t>VAT est un outil interactif basé sur un tableur (Microsoft Excel). Il complète le cadre publié par la Convention pour l</w:t>
      </w:r>
      <w:r w:rsidR="00C97F2B">
        <w:rPr>
          <w:rFonts w:eastAsia="Calibri"/>
          <w:bCs/>
          <w:lang w:val="fr-FR"/>
        </w:rPr>
        <w:t>’</w:t>
      </w:r>
      <w:r>
        <w:rPr>
          <w:rFonts w:eastAsia="Calibri"/>
          <w:bCs/>
          <w:lang w:val="fr-FR"/>
        </w:rPr>
        <w:t>évaluation de la vulnérabilité des zones humides aux changements climatiques</w:t>
      </w:r>
      <w:r>
        <w:rPr>
          <w:rStyle w:val="FootnoteReference"/>
        </w:rPr>
        <w:footnoteReference w:id="8"/>
      </w:r>
      <w:r>
        <w:rPr>
          <w:rFonts w:eastAsia="Calibri"/>
          <w:bCs/>
          <w:lang w:val="fr-FR"/>
        </w:rPr>
        <w:t>. Tous deux évaluent l</w:t>
      </w:r>
      <w:r w:rsidR="00C97F2B">
        <w:rPr>
          <w:rFonts w:eastAsia="Calibri"/>
          <w:bCs/>
          <w:lang w:val="fr-FR"/>
        </w:rPr>
        <w:t>’</w:t>
      </w:r>
      <w:r>
        <w:rPr>
          <w:rFonts w:eastAsia="Calibri"/>
          <w:bCs/>
          <w:lang w:val="fr-FR"/>
        </w:rPr>
        <w:t>effet probable d</w:t>
      </w:r>
      <w:r w:rsidR="00C97F2B">
        <w:rPr>
          <w:rFonts w:eastAsia="Calibri"/>
          <w:bCs/>
          <w:lang w:val="fr-FR"/>
        </w:rPr>
        <w:t>’</w:t>
      </w:r>
      <w:r>
        <w:rPr>
          <w:rFonts w:eastAsia="Calibri"/>
          <w:bCs/>
          <w:lang w:val="fr-FR"/>
        </w:rPr>
        <w:t>un ensemble de menaces identifiées sur les valeurs associées au système de zones humides. Cependant, W</w:t>
      </w:r>
      <w:r w:rsidR="00744350">
        <w:rPr>
          <w:rFonts w:eastAsia="Calibri"/>
          <w:bCs/>
          <w:lang w:val="fr-FR"/>
        </w:rPr>
        <w:t>et</w:t>
      </w:r>
      <w:r>
        <w:rPr>
          <w:rFonts w:eastAsia="Calibri"/>
          <w:bCs/>
          <w:lang w:val="fr-FR"/>
        </w:rPr>
        <w:t xml:space="preserve">VAT évalue un ensemble </w:t>
      </w:r>
      <w:r w:rsidR="004F2103">
        <w:rPr>
          <w:rFonts w:eastAsia="Calibri"/>
          <w:bCs/>
          <w:lang w:val="fr-FR"/>
        </w:rPr>
        <w:t xml:space="preserve">de menaces </w:t>
      </w:r>
      <w:r>
        <w:rPr>
          <w:rFonts w:eastAsia="Calibri"/>
          <w:bCs/>
          <w:lang w:val="fr-FR"/>
        </w:rPr>
        <w:t xml:space="preserve">beaucoup plus large </w:t>
      </w:r>
      <w:r w:rsidR="00B53A94">
        <w:rPr>
          <w:rFonts w:eastAsia="Calibri"/>
          <w:bCs/>
          <w:lang w:val="fr-FR"/>
        </w:rPr>
        <w:t>qui</w:t>
      </w:r>
      <w:r>
        <w:rPr>
          <w:rFonts w:eastAsia="Calibri"/>
          <w:bCs/>
          <w:lang w:val="fr-FR"/>
        </w:rPr>
        <w:t xml:space="preserve"> compren</w:t>
      </w:r>
      <w:r w:rsidR="00B53A94">
        <w:rPr>
          <w:rFonts w:eastAsia="Calibri"/>
          <w:bCs/>
          <w:lang w:val="fr-FR"/>
        </w:rPr>
        <w:t xml:space="preserve">d </w:t>
      </w:r>
      <w:r>
        <w:rPr>
          <w:rFonts w:eastAsia="Calibri"/>
          <w:bCs/>
          <w:lang w:val="fr-FR"/>
        </w:rPr>
        <w:t xml:space="preserve">le changement climatique mais </w:t>
      </w:r>
      <w:r w:rsidR="004F2103">
        <w:rPr>
          <w:rFonts w:eastAsia="Calibri"/>
          <w:bCs/>
          <w:lang w:val="fr-FR"/>
        </w:rPr>
        <w:t xml:space="preserve">qui </w:t>
      </w:r>
      <w:r w:rsidR="00B53A94">
        <w:rPr>
          <w:rFonts w:eastAsia="Calibri"/>
          <w:bCs/>
          <w:lang w:val="fr-FR"/>
        </w:rPr>
        <w:t xml:space="preserve">va </w:t>
      </w:r>
      <w:r>
        <w:rPr>
          <w:rFonts w:eastAsia="Calibri"/>
          <w:bCs/>
          <w:lang w:val="fr-FR"/>
        </w:rPr>
        <w:t>au-delà. W</w:t>
      </w:r>
      <w:r w:rsidR="00744350">
        <w:rPr>
          <w:rFonts w:eastAsia="Calibri"/>
          <w:bCs/>
          <w:lang w:val="fr-FR"/>
        </w:rPr>
        <w:t>et</w:t>
      </w:r>
      <w:r>
        <w:rPr>
          <w:rFonts w:eastAsia="Calibri"/>
          <w:bCs/>
          <w:lang w:val="fr-FR"/>
        </w:rPr>
        <w:t xml:space="preserve">VAT est </w:t>
      </w:r>
      <w:r w:rsidR="00903E5D">
        <w:rPr>
          <w:rFonts w:eastAsia="Calibri"/>
          <w:bCs/>
          <w:lang w:val="fr-FR"/>
        </w:rPr>
        <w:t>spécialement</w:t>
      </w:r>
      <w:r>
        <w:rPr>
          <w:rFonts w:eastAsia="Calibri"/>
          <w:bCs/>
          <w:lang w:val="fr-FR"/>
        </w:rPr>
        <w:t xml:space="preserve"> mis en place pour évaluer les valeurs et les menaces du point de vue des parties prenantes locales et, dans son analyse, il est susceptible d</w:t>
      </w:r>
      <w:r w:rsidR="00C97F2B">
        <w:rPr>
          <w:rFonts w:eastAsia="Calibri"/>
          <w:bCs/>
          <w:lang w:val="fr-FR"/>
        </w:rPr>
        <w:t>’</w:t>
      </w:r>
      <w:r>
        <w:rPr>
          <w:rFonts w:eastAsia="Calibri"/>
          <w:bCs/>
          <w:lang w:val="fr-FR"/>
        </w:rPr>
        <w:t>inclure des données quantitatives et qualitatives.</w:t>
      </w:r>
    </w:p>
    <w:p w14:paraId="6F760192" w14:textId="77777777" w:rsidR="00392508" w:rsidRPr="00C97F2B" w:rsidRDefault="00392508" w:rsidP="00392508">
      <w:pPr>
        <w:pStyle w:val="AnnexText"/>
        <w:numPr>
          <w:ilvl w:val="0"/>
          <w:numId w:val="0"/>
        </w:numPr>
        <w:spacing w:after="0"/>
        <w:ind w:left="425" w:hanging="425"/>
        <w:rPr>
          <w:lang w:val="fr-FR"/>
        </w:rPr>
      </w:pPr>
    </w:p>
    <w:p w14:paraId="1D274297" w14:textId="77777777" w:rsidR="001C3173" w:rsidRPr="00C97F2B" w:rsidRDefault="00295C2B" w:rsidP="00392508">
      <w:pPr>
        <w:pStyle w:val="AnnexText"/>
        <w:numPr>
          <w:ilvl w:val="0"/>
          <w:numId w:val="0"/>
        </w:numPr>
        <w:spacing w:after="0"/>
        <w:ind w:left="425" w:hanging="425"/>
        <w:rPr>
          <w:lang w:val="fr-FR"/>
        </w:rPr>
      </w:pPr>
      <w:r>
        <w:rPr>
          <w:rFonts w:eastAsia="Calibri"/>
          <w:bCs/>
          <w:lang w:val="fr-FR"/>
        </w:rPr>
        <w:t>9.</w:t>
      </w:r>
      <w:r>
        <w:rPr>
          <w:rFonts w:eastAsia="Calibri"/>
          <w:bCs/>
          <w:lang w:val="fr-FR"/>
        </w:rPr>
        <w:tab/>
        <w:t>W</w:t>
      </w:r>
      <w:r w:rsidR="00744350">
        <w:rPr>
          <w:rFonts w:eastAsia="Calibri"/>
          <w:bCs/>
          <w:lang w:val="fr-FR"/>
        </w:rPr>
        <w:t>et</w:t>
      </w:r>
      <w:r>
        <w:rPr>
          <w:rFonts w:eastAsia="Calibri"/>
          <w:bCs/>
          <w:lang w:val="fr-FR"/>
        </w:rPr>
        <w:t>VAT utilise une approche basée sur le risque pour évaluer la vulnérabilité des zones humides aux menaces. La vulnérabilité est basée sur la probabilité d</w:t>
      </w:r>
      <w:r w:rsidR="00C97F2B">
        <w:rPr>
          <w:rFonts w:eastAsia="Calibri"/>
          <w:bCs/>
          <w:lang w:val="fr-FR"/>
        </w:rPr>
        <w:t>’</w:t>
      </w:r>
      <w:r>
        <w:rPr>
          <w:rFonts w:eastAsia="Calibri"/>
          <w:bCs/>
          <w:lang w:val="fr-FR"/>
        </w:rPr>
        <w:t>occurrence des impacts négatifs et la gravité de tout impact sur la biodiversité et les services écosystémiques. Le score de risque (élevé, moyen, faible) permet aux gestionnaires des zones humides de fixer les priorités des activités de conservation</w:t>
      </w:r>
      <w:r w:rsidR="00903E5D">
        <w:rPr>
          <w:rFonts w:eastAsia="Calibri"/>
          <w:bCs/>
          <w:lang w:val="fr-FR"/>
        </w:rPr>
        <w:t>,</w:t>
      </w:r>
      <w:r>
        <w:rPr>
          <w:rFonts w:eastAsia="Calibri"/>
          <w:bCs/>
          <w:lang w:val="fr-FR"/>
        </w:rPr>
        <w:t xml:space="preserve"> de définir les ressources nécessaires, </w:t>
      </w:r>
      <w:r w:rsidR="00903E5D">
        <w:rPr>
          <w:rFonts w:eastAsia="Calibri"/>
          <w:bCs/>
          <w:lang w:val="fr-FR"/>
        </w:rPr>
        <w:t>et</w:t>
      </w:r>
      <w:r>
        <w:rPr>
          <w:rFonts w:eastAsia="Calibri"/>
          <w:bCs/>
          <w:lang w:val="fr-FR"/>
        </w:rPr>
        <w:t xml:space="preserve"> d</w:t>
      </w:r>
      <w:r w:rsidR="00C97F2B">
        <w:rPr>
          <w:rFonts w:eastAsia="Calibri"/>
          <w:bCs/>
          <w:lang w:val="fr-FR"/>
        </w:rPr>
        <w:t>’</w:t>
      </w:r>
      <w:r>
        <w:rPr>
          <w:rFonts w:eastAsia="Calibri"/>
          <w:bCs/>
          <w:lang w:val="fr-FR"/>
        </w:rPr>
        <w:t xml:space="preserve">identifier les zones humides </w:t>
      </w:r>
      <w:r w:rsidR="00903E5D">
        <w:rPr>
          <w:rFonts w:eastAsia="Calibri"/>
          <w:bCs/>
          <w:lang w:val="fr-FR"/>
        </w:rPr>
        <w:t>pour lesquelles</w:t>
      </w:r>
      <w:r>
        <w:rPr>
          <w:rFonts w:eastAsia="Calibri"/>
          <w:bCs/>
          <w:lang w:val="fr-FR"/>
        </w:rPr>
        <w:t xml:space="preserve"> un examen plus approfondi et une étude d</w:t>
      </w:r>
      <w:r w:rsidR="00C97F2B">
        <w:rPr>
          <w:rFonts w:eastAsia="Calibri"/>
          <w:bCs/>
          <w:lang w:val="fr-FR"/>
        </w:rPr>
        <w:t>’</w:t>
      </w:r>
      <w:r>
        <w:rPr>
          <w:rFonts w:eastAsia="Calibri"/>
          <w:bCs/>
          <w:lang w:val="fr-FR"/>
        </w:rPr>
        <w:t>impact plus détaillée</w:t>
      </w:r>
      <w:r w:rsidR="00903E5D">
        <w:rPr>
          <w:rFonts w:eastAsia="Calibri"/>
          <w:bCs/>
          <w:lang w:val="fr-FR"/>
        </w:rPr>
        <w:t xml:space="preserve"> doivent être menés</w:t>
      </w:r>
      <w:r>
        <w:rPr>
          <w:rFonts w:eastAsia="Calibri"/>
          <w:bCs/>
          <w:lang w:val="fr-FR"/>
        </w:rPr>
        <w:t xml:space="preserve">.  </w:t>
      </w:r>
    </w:p>
    <w:p w14:paraId="06325AC6" w14:textId="77777777" w:rsidR="00392508" w:rsidRPr="00C97F2B" w:rsidRDefault="00392508" w:rsidP="00392508">
      <w:pPr>
        <w:pStyle w:val="AnnexText"/>
        <w:numPr>
          <w:ilvl w:val="0"/>
          <w:numId w:val="0"/>
        </w:numPr>
        <w:spacing w:after="0"/>
        <w:ind w:left="425" w:hanging="425"/>
        <w:rPr>
          <w:lang w:val="fr-FR"/>
        </w:rPr>
      </w:pPr>
    </w:p>
    <w:p w14:paraId="54D10F15" w14:textId="77777777" w:rsidR="008B46AB" w:rsidRPr="00C97F2B" w:rsidRDefault="00295C2B" w:rsidP="00392508">
      <w:pPr>
        <w:pStyle w:val="AnnexText"/>
        <w:numPr>
          <w:ilvl w:val="0"/>
          <w:numId w:val="0"/>
        </w:numPr>
        <w:spacing w:after="0"/>
        <w:ind w:left="425" w:hanging="425"/>
        <w:rPr>
          <w:lang w:val="fr-FR"/>
        </w:rPr>
      </w:pPr>
      <w:r>
        <w:rPr>
          <w:rFonts w:eastAsia="Calibri"/>
          <w:bCs/>
          <w:lang w:val="fr-FR"/>
        </w:rPr>
        <w:t>10.</w:t>
      </w:r>
      <w:r>
        <w:rPr>
          <w:rFonts w:eastAsia="Calibri"/>
          <w:bCs/>
          <w:lang w:val="fr-FR"/>
        </w:rPr>
        <w:tab/>
        <w:t>Le tableur W</w:t>
      </w:r>
      <w:r w:rsidR="00744350">
        <w:rPr>
          <w:rFonts w:eastAsia="Calibri"/>
          <w:bCs/>
          <w:lang w:val="fr-FR"/>
        </w:rPr>
        <w:t>et</w:t>
      </w:r>
      <w:r>
        <w:rPr>
          <w:rFonts w:eastAsia="Calibri"/>
          <w:bCs/>
          <w:lang w:val="fr-FR"/>
        </w:rPr>
        <w:t>VAT se compose de six feuilles de calcul reliées entre elles dans un fichier Microsoft Excel :</w:t>
      </w:r>
    </w:p>
    <w:p w14:paraId="733C7876" w14:textId="77777777" w:rsidR="00392508" w:rsidRPr="00C97F2B" w:rsidRDefault="00392508" w:rsidP="00392508">
      <w:pPr>
        <w:pStyle w:val="AnnexText"/>
        <w:numPr>
          <w:ilvl w:val="0"/>
          <w:numId w:val="0"/>
        </w:numPr>
        <w:spacing w:after="0"/>
        <w:ind w:left="425" w:hanging="425"/>
        <w:rPr>
          <w:lang w:val="fr-FR"/>
        </w:rPr>
      </w:pPr>
    </w:p>
    <w:p w14:paraId="71E62CEB" w14:textId="77777777" w:rsidR="008B46AB" w:rsidRPr="00C97F2B" w:rsidRDefault="00295C2B" w:rsidP="0069547C">
      <w:pPr>
        <w:pStyle w:val="Annexbullet"/>
        <w:numPr>
          <w:ilvl w:val="0"/>
          <w:numId w:val="0"/>
        </w:numPr>
        <w:spacing w:after="0"/>
        <w:ind w:left="850" w:hanging="425"/>
        <w:rPr>
          <w:lang w:val="fr-FR"/>
        </w:rPr>
      </w:pPr>
      <w:r>
        <w:rPr>
          <w:rFonts w:ascii="Symbol" w:eastAsia="Symbol" w:hAnsi="Symbol" w:cs="Symbol"/>
          <w:lang w:val="fr-FR"/>
        </w:rPr>
        <w:sym w:font="Symbol" w:char="F0B7"/>
      </w:r>
      <w:r>
        <w:rPr>
          <w:rFonts w:ascii="Symbol" w:eastAsia="Symbol" w:hAnsi="Symbol" w:cs="Symbol"/>
          <w:lang w:val="fr-FR"/>
        </w:rPr>
        <w:tab/>
      </w:r>
      <w:r>
        <w:rPr>
          <w:rFonts w:eastAsia="Calibri"/>
          <w:lang w:val="fr-FR"/>
        </w:rPr>
        <w:t>Feuille de calcul 1 : Page d</w:t>
      </w:r>
      <w:r w:rsidR="00C97F2B">
        <w:rPr>
          <w:rFonts w:eastAsia="Calibri"/>
          <w:lang w:val="fr-FR"/>
        </w:rPr>
        <w:t>’</w:t>
      </w:r>
      <w:r>
        <w:rPr>
          <w:rFonts w:eastAsia="Calibri"/>
          <w:lang w:val="fr-FR"/>
        </w:rPr>
        <w:t>accueil</w:t>
      </w:r>
    </w:p>
    <w:p w14:paraId="26561C7F" w14:textId="77777777" w:rsidR="008B46AB" w:rsidRPr="00C97F2B" w:rsidRDefault="00295C2B" w:rsidP="0069547C">
      <w:pPr>
        <w:pStyle w:val="Annexbullet"/>
        <w:numPr>
          <w:ilvl w:val="0"/>
          <w:numId w:val="0"/>
        </w:numPr>
        <w:spacing w:after="0"/>
        <w:ind w:left="850" w:hanging="425"/>
        <w:rPr>
          <w:lang w:val="fr-FR"/>
        </w:rPr>
      </w:pPr>
      <w:r>
        <w:rPr>
          <w:rFonts w:ascii="Symbol" w:eastAsia="Symbol" w:hAnsi="Symbol" w:cs="Symbol"/>
          <w:lang w:val="fr-FR"/>
        </w:rPr>
        <w:sym w:font="Symbol" w:char="F0B7"/>
      </w:r>
      <w:r>
        <w:rPr>
          <w:rFonts w:ascii="Symbol" w:eastAsia="Symbol" w:hAnsi="Symbol" w:cs="Symbol"/>
          <w:lang w:val="fr-FR"/>
        </w:rPr>
        <w:tab/>
      </w:r>
      <w:r>
        <w:rPr>
          <w:rFonts w:eastAsia="Calibri"/>
          <w:lang w:val="fr-FR"/>
        </w:rPr>
        <w:t>Feuille de calcul 2 : Composantes de l</w:t>
      </w:r>
      <w:r w:rsidR="00C97F2B">
        <w:rPr>
          <w:rFonts w:eastAsia="Calibri"/>
          <w:lang w:val="fr-FR"/>
        </w:rPr>
        <w:t>’</w:t>
      </w:r>
      <w:r>
        <w:rPr>
          <w:rFonts w:eastAsia="Calibri"/>
          <w:lang w:val="fr-FR"/>
        </w:rPr>
        <w:t>écosystème</w:t>
      </w:r>
    </w:p>
    <w:p w14:paraId="509007FB" w14:textId="77777777" w:rsidR="008B46AB" w:rsidRPr="00C97F2B" w:rsidRDefault="00295C2B" w:rsidP="0069547C">
      <w:pPr>
        <w:pStyle w:val="Annexbullet"/>
        <w:numPr>
          <w:ilvl w:val="0"/>
          <w:numId w:val="0"/>
        </w:numPr>
        <w:spacing w:after="0"/>
        <w:ind w:left="850" w:hanging="425"/>
        <w:rPr>
          <w:lang w:val="fr-FR"/>
        </w:rPr>
      </w:pPr>
      <w:r>
        <w:rPr>
          <w:rFonts w:ascii="Symbol" w:eastAsia="Symbol" w:hAnsi="Symbol" w:cs="Symbol"/>
          <w:lang w:val="fr-FR"/>
        </w:rPr>
        <w:sym w:font="Symbol" w:char="F0B7"/>
      </w:r>
      <w:r>
        <w:rPr>
          <w:rFonts w:ascii="Symbol" w:eastAsia="Symbol" w:hAnsi="Symbol" w:cs="Symbol"/>
          <w:lang w:val="fr-FR"/>
        </w:rPr>
        <w:tab/>
      </w:r>
      <w:r>
        <w:rPr>
          <w:rFonts w:eastAsia="Calibri"/>
          <w:lang w:val="fr-FR"/>
        </w:rPr>
        <w:t>Feuille de calcul 3 : Services écosystémiques</w:t>
      </w:r>
    </w:p>
    <w:p w14:paraId="408F0BD7" w14:textId="77777777" w:rsidR="008B46AB" w:rsidRPr="00C97F2B" w:rsidRDefault="00295C2B" w:rsidP="0069547C">
      <w:pPr>
        <w:pStyle w:val="Annexbullet"/>
        <w:numPr>
          <w:ilvl w:val="0"/>
          <w:numId w:val="0"/>
        </w:numPr>
        <w:spacing w:after="0"/>
        <w:ind w:left="850" w:hanging="425"/>
        <w:rPr>
          <w:lang w:val="fr-FR"/>
        </w:rPr>
      </w:pPr>
      <w:r>
        <w:rPr>
          <w:rFonts w:ascii="Symbol" w:eastAsia="Symbol" w:hAnsi="Symbol" w:cs="Symbol"/>
          <w:lang w:val="fr-FR"/>
        </w:rPr>
        <w:sym w:font="Symbol" w:char="F0B7"/>
      </w:r>
      <w:r>
        <w:rPr>
          <w:rFonts w:ascii="Symbol" w:eastAsia="Symbol" w:hAnsi="Symbol" w:cs="Symbol"/>
          <w:lang w:val="fr-FR"/>
        </w:rPr>
        <w:tab/>
      </w:r>
      <w:r>
        <w:rPr>
          <w:rFonts w:eastAsia="Calibri"/>
          <w:lang w:val="fr-FR"/>
        </w:rPr>
        <w:t>Feuille de calcul 4 : Menaces</w:t>
      </w:r>
    </w:p>
    <w:p w14:paraId="4AC600E9" w14:textId="77777777" w:rsidR="008B46AB" w:rsidRPr="00C97F2B" w:rsidRDefault="00295C2B" w:rsidP="0069547C">
      <w:pPr>
        <w:pStyle w:val="Annexbullet"/>
        <w:numPr>
          <w:ilvl w:val="0"/>
          <w:numId w:val="0"/>
        </w:numPr>
        <w:spacing w:after="0"/>
        <w:ind w:left="850" w:hanging="425"/>
        <w:rPr>
          <w:lang w:val="fr-FR"/>
        </w:rPr>
      </w:pPr>
      <w:r>
        <w:rPr>
          <w:rFonts w:ascii="Symbol" w:eastAsia="Symbol" w:hAnsi="Symbol" w:cs="Symbol"/>
          <w:lang w:val="fr-FR"/>
        </w:rPr>
        <w:sym w:font="Symbol" w:char="F0B7"/>
      </w:r>
      <w:r>
        <w:rPr>
          <w:rFonts w:ascii="Symbol" w:eastAsia="Symbol" w:hAnsi="Symbol" w:cs="Symbol"/>
          <w:lang w:val="fr-FR"/>
        </w:rPr>
        <w:tab/>
      </w:r>
      <w:r>
        <w:rPr>
          <w:rFonts w:eastAsia="Calibri"/>
          <w:lang w:val="fr-FR"/>
        </w:rPr>
        <w:t>Feuille de calcul 5 : Évaluation</w:t>
      </w:r>
    </w:p>
    <w:p w14:paraId="291DC143" w14:textId="77777777" w:rsidR="008B46AB" w:rsidRPr="00C97F2B" w:rsidRDefault="00295C2B" w:rsidP="0069547C">
      <w:pPr>
        <w:pStyle w:val="Annexbullet"/>
        <w:numPr>
          <w:ilvl w:val="0"/>
          <w:numId w:val="0"/>
        </w:numPr>
        <w:spacing w:after="0"/>
        <w:ind w:left="850" w:hanging="425"/>
        <w:rPr>
          <w:lang w:val="fr-FR"/>
        </w:rPr>
      </w:pPr>
      <w:r>
        <w:rPr>
          <w:rFonts w:ascii="Symbol" w:eastAsia="Symbol" w:hAnsi="Symbol" w:cs="Symbol"/>
          <w:lang w:val="fr-FR"/>
        </w:rPr>
        <w:sym w:font="Symbol" w:char="F0B7"/>
      </w:r>
      <w:r>
        <w:rPr>
          <w:rFonts w:ascii="Symbol" w:eastAsia="Symbol" w:hAnsi="Symbol" w:cs="Symbol"/>
          <w:lang w:val="fr-FR"/>
        </w:rPr>
        <w:tab/>
      </w:r>
      <w:r>
        <w:rPr>
          <w:rFonts w:eastAsia="Calibri"/>
          <w:lang w:val="fr-FR"/>
        </w:rPr>
        <w:t xml:space="preserve">Feuille de calcul 6 : Résumé </w:t>
      </w:r>
    </w:p>
    <w:p w14:paraId="758C0047" w14:textId="77777777" w:rsidR="00392508" w:rsidRPr="00C97F2B" w:rsidRDefault="00392508" w:rsidP="00392508">
      <w:pPr>
        <w:pStyle w:val="Annexbullet"/>
        <w:numPr>
          <w:ilvl w:val="0"/>
          <w:numId w:val="0"/>
        </w:numPr>
        <w:spacing w:after="0"/>
        <w:ind w:left="720" w:hanging="295"/>
        <w:rPr>
          <w:lang w:val="fr-FR"/>
        </w:rPr>
      </w:pPr>
    </w:p>
    <w:p w14:paraId="16F394F0" w14:textId="77777777" w:rsidR="008B46AB" w:rsidRPr="00C97F2B" w:rsidRDefault="00295C2B" w:rsidP="00392508">
      <w:pPr>
        <w:pStyle w:val="AnnexText"/>
        <w:numPr>
          <w:ilvl w:val="0"/>
          <w:numId w:val="0"/>
        </w:numPr>
        <w:spacing w:after="0"/>
        <w:ind w:left="425" w:hanging="425"/>
        <w:rPr>
          <w:lang w:val="fr-FR"/>
        </w:rPr>
      </w:pPr>
      <w:r>
        <w:rPr>
          <w:rFonts w:eastAsia="Calibri"/>
          <w:bCs/>
          <w:lang w:val="fr-FR"/>
        </w:rPr>
        <w:t>11.</w:t>
      </w:r>
      <w:r>
        <w:rPr>
          <w:rFonts w:eastAsia="Calibri"/>
          <w:bCs/>
          <w:lang w:val="fr-FR"/>
        </w:rPr>
        <w:tab/>
      </w:r>
      <w:r>
        <w:rPr>
          <w:rFonts w:eastAsia="Calibri"/>
          <w:bCs/>
          <w:i/>
          <w:iCs/>
          <w:lang w:val="fr-FR"/>
        </w:rPr>
        <w:t>Feuille de calcul 1 : Page d</w:t>
      </w:r>
      <w:r w:rsidR="00C97F2B">
        <w:rPr>
          <w:rFonts w:eastAsia="Calibri"/>
          <w:bCs/>
          <w:i/>
          <w:iCs/>
          <w:lang w:val="fr-FR"/>
        </w:rPr>
        <w:t>’</w:t>
      </w:r>
      <w:r>
        <w:rPr>
          <w:rFonts w:eastAsia="Calibri"/>
          <w:bCs/>
          <w:i/>
          <w:iCs/>
          <w:lang w:val="fr-FR"/>
        </w:rPr>
        <w:t>accueil.</w:t>
      </w:r>
      <w:r>
        <w:rPr>
          <w:rFonts w:eastAsia="Calibri"/>
          <w:bCs/>
          <w:lang w:val="fr-FR"/>
        </w:rPr>
        <w:t xml:space="preserve"> Les informations générales, par exemple le nom du site, la date de l</w:t>
      </w:r>
      <w:r w:rsidR="00C97F2B">
        <w:rPr>
          <w:rFonts w:eastAsia="Calibri"/>
          <w:bCs/>
          <w:lang w:val="fr-FR"/>
        </w:rPr>
        <w:t>’</w:t>
      </w:r>
      <w:r>
        <w:rPr>
          <w:rFonts w:eastAsia="Calibri"/>
          <w:bCs/>
          <w:lang w:val="fr-FR"/>
        </w:rPr>
        <w:t xml:space="preserve">évaluation et </w:t>
      </w:r>
      <w:r w:rsidR="00903E5D">
        <w:rPr>
          <w:rFonts w:eastAsia="Calibri"/>
          <w:bCs/>
          <w:lang w:val="fr-FR"/>
        </w:rPr>
        <w:t xml:space="preserve">le nom de </w:t>
      </w:r>
      <w:r>
        <w:rPr>
          <w:rFonts w:eastAsia="Calibri"/>
          <w:bCs/>
          <w:lang w:val="fr-FR"/>
        </w:rPr>
        <w:t>la (</w:t>
      </w:r>
      <w:r w:rsidR="00903E5D">
        <w:rPr>
          <w:rFonts w:eastAsia="Calibri"/>
          <w:bCs/>
          <w:lang w:val="fr-FR"/>
        </w:rPr>
        <w:t>d</w:t>
      </w:r>
      <w:r>
        <w:rPr>
          <w:rFonts w:eastAsia="Calibri"/>
          <w:bCs/>
          <w:lang w:val="fr-FR"/>
        </w:rPr>
        <w:t>es) personne(s) réalisant l</w:t>
      </w:r>
      <w:r w:rsidR="00C97F2B">
        <w:rPr>
          <w:rFonts w:eastAsia="Calibri"/>
          <w:bCs/>
          <w:lang w:val="fr-FR"/>
        </w:rPr>
        <w:t>’</w:t>
      </w:r>
      <w:r w:rsidR="00903E5D">
        <w:rPr>
          <w:rFonts w:eastAsia="Calibri"/>
          <w:bCs/>
          <w:lang w:val="fr-FR"/>
        </w:rPr>
        <w:t>évaluation</w:t>
      </w:r>
      <w:r w:rsidR="00744350">
        <w:rPr>
          <w:rFonts w:eastAsia="Calibri"/>
          <w:bCs/>
          <w:lang w:val="fr-FR"/>
        </w:rPr>
        <w:t>,</w:t>
      </w:r>
      <w:r>
        <w:rPr>
          <w:rFonts w:eastAsia="Calibri"/>
          <w:bCs/>
          <w:lang w:val="fr-FR"/>
        </w:rPr>
        <w:t xml:space="preserve"> sont saisies dans la feuille de calcul 1. Cette feuille de calcul met également en évidence, grâce à un simple système de feux tricolores, le statut des feuilles de calcul suivantes en ce qui concerne leur état d</w:t>
      </w:r>
      <w:r w:rsidR="00C97F2B">
        <w:rPr>
          <w:rFonts w:eastAsia="Calibri"/>
          <w:bCs/>
          <w:lang w:val="fr-FR"/>
        </w:rPr>
        <w:t>’</w:t>
      </w:r>
      <w:r>
        <w:rPr>
          <w:rFonts w:eastAsia="Calibri"/>
          <w:bCs/>
          <w:lang w:val="fr-FR"/>
        </w:rPr>
        <w:t>achèvement (Fig. 1).</w:t>
      </w:r>
    </w:p>
    <w:p w14:paraId="19A57975" w14:textId="77777777" w:rsidR="00392508" w:rsidRPr="00C97F2B" w:rsidRDefault="00392508" w:rsidP="00392508">
      <w:pPr>
        <w:pStyle w:val="AnnexText"/>
        <w:numPr>
          <w:ilvl w:val="0"/>
          <w:numId w:val="0"/>
        </w:numPr>
        <w:spacing w:after="0"/>
        <w:ind w:left="425" w:hanging="425"/>
        <w:rPr>
          <w:lang w:val="fr-FR"/>
        </w:rPr>
      </w:pPr>
    </w:p>
    <w:p w14:paraId="7C312ECE" w14:textId="77777777" w:rsidR="00686A60" w:rsidRPr="00C97F2B" w:rsidRDefault="00295C2B" w:rsidP="00392508">
      <w:pPr>
        <w:pStyle w:val="AnnexText"/>
        <w:numPr>
          <w:ilvl w:val="0"/>
          <w:numId w:val="0"/>
        </w:numPr>
        <w:spacing w:after="0"/>
        <w:ind w:left="425" w:hanging="425"/>
        <w:rPr>
          <w:lang w:val="fr-FR"/>
        </w:rPr>
      </w:pPr>
      <w:r>
        <w:rPr>
          <w:rFonts w:eastAsia="Calibri"/>
          <w:bCs/>
          <w:lang w:val="fr-FR"/>
        </w:rPr>
        <w:t>12.</w:t>
      </w:r>
      <w:r>
        <w:rPr>
          <w:rFonts w:eastAsia="Calibri"/>
          <w:bCs/>
          <w:lang w:val="fr-FR"/>
        </w:rPr>
        <w:tab/>
      </w:r>
      <w:r>
        <w:rPr>
          <w:rFonts w:eastAsia="Calibri"/>
          <w:bCs/>
          <w:i/>
          <w:iCs/>
          <w:lang w:val="fr-FR"/>
        </w:rPr>
        <w:t>Feuille de calcul 2 : Composantes de l</w:t>
      </w:r>
      <w:r w:rsidR="00C97F2B">
        <w:rPr>
          <w:rFonts w:eastAsia="Calibri"/>
          <w:bCs/>
          <w:i/>
          <w:iCs/>
          <w:lang w:val="fr-FR"/>
        </w:rPr>
        <w:t>’</w:t>
      </w:r>
      <w:r>
        <w:rPr>
          <w:rFonts w:eastAsia="Calibri"/>
          <w:bCs/>
          <w:i/>
          <w:iCs/>
          <w:lang w:val="fr-FR"/>
        </w:rPr>
        <w:t>écosystème.</w:t>
      </w:r>
      <w:r>
        <w:rPr>
          <w:rFonts w:eastAsia="Calibri"/>
          <w:bCs/>
          <w:lang w:val="fr-FR"/>
        </w:rPr>
        <w:t xml:space="preserve"> Les composantes de l</w:t>
      </w:r>
      <w:r w:rsidR="00C97F2B">
        <w:rPr>
          <w:rFonts w:eastAsia="Calibri"/>
          <w:bCs/>
          <w:lang w:val="fr-FR"/>
        </w:rPr>
        <w:t>’</w:t>
      </w:r>
      <w:r>
        <w:rPr>
          <w:rFonts w:eastAsia="Calibri"/>
          <w:bCs/>
          <w:lang w:val="fr-FR"/>
        </w:rPr>
        <w:t>écosystème enregistrent l</w:t>
      </w:r>
      <w:r w:rsidR="00C97F2B">
        <w:rPr>
          <w:rFonts w:eastAsia="Calibri"/>
          <w:bCs/>
          <w:lang w:val="fr-FR"/>
        </w:rPr>
        <w:t>’</w:t>
      </w:r>
      <w:r>
        <w:rPr>
          <w:rFonts w:eastAsia="Calibri"/>
          <w:bCs/>
          <w:lang w:val="fr-FR"/>
        </w:rPr>
        <w:t>intérêt de la biodiversité du site (aux niveaux génétique, des espèces et de l</w:t>
      </w:r>
      <w:r w:rsidR="00C97F2B">
        <w:rPr>
          <w:rFonts w:eastAsia="Calibri"/>
          <w:bCs/>
          <w:lang w:val="fr-FR"/>
        </w:rPr>
        <w:t>’</w:t>
      </w:r>
      <w:r>
        <w:rPr>
          <w:rFonts w:eastAsia="Calibri"/>
          <w:bCs/>
          <w:lang w:val="fr-FR"/>
        </w:rPr>
        <w:t>écosystème). Les informations sont enregistrées dans cinq catégories : i) faune dépendant des zones humides ; ii) flore dépendant des zones humides ; iii) diversité des habitats ; iv) diversité génétique ; et v) autres valeurs écologiques (Fig. 2).</w:t>
      </w:r>
    </w:p>
    <w:p w14:paraId="05DD829C" w14:textId="77777777" w:rsidR="00392508" w:rsidRPr="00C97F2B" w:rsidRDefault="00392508" w:rsidP="00392508">
      <w:pPr>
        <w:pStyle w:val="AnnexText"/>
        <w:numPr>
          <w:ilvl w:val="0"/>
          <w:numId w:val="0"/>
        </w:numPr>
        <w:spacing w:after="0"/>
        <w:ind w:left="425" w:hanging="425"/>
        <w:rPr>
          <w:lang w:val="fr-FR"/>
        </w:rPr>
      </w:pPr>
    </w:p>
    <w:p w14:paraId="1DE85232" w14:textId="77777777" w:rsidR="00494B95" w:rsidRPr="00C97F2B" w:rsidRDefault="00295C2B" w:rsidP="00392508">
      <w:pPr>
        <w:pStyle w:val="AnnexText"/>
        <w:numPr>
          <w:ilvl w:val="0"/>
          <w:numId w:val="0"/>
        </w:numPr>
        <w:spacing w:after="0"/>
        <w:ind w:left="425" w:hanging="425"/>
        <w:rPr>
          <w:lang w:val="fr-FR"/>
        </w:rPr>
      </w:pPr>
      <w:r>
        <w:rPr>
          <w:rFonts w:eastAsia="Calibri"/>
          <w:bCs/>
          <w:lang w:val="fr-FR"/>
        </w:rPr>
        <w:t>13.</w:t>
      </w:r>
      <w:r>
        <w:rPr>
          <w:rFonts w:eastAsia="Calibri"/>
          <w:bCs/>
          <w:lang w:val="fr-FR"/>
        </w:rPr>
        <w:tab/>
        <w:t>Pour chacune des catégories, l</w:t>
      </w:r>
      <w:r w:rsidR="00C97F2B">
        <w:rPr>
          <w:rFonts w:eastAsia="Calibri"/>
          <w:bCs/>
          <w:lang w:val="fr-FR"/>
        </w:rPr>
        <w:t>’</w:t>
      </w:r>
      <w:r>
        <w:rPr>
          <w:rFonts w:eastAsia="Calibri"/>
          <w:bCs/>
          <w:lang w:val="fr-FR"/>
        </w:rPr>
        <w:t xml:space="preserve">importance de la composante est évaluée sur une échelle de quatre </w:t>
      </w:r>
      <w:r w:rsidR="004F2103">
        <w:rPr>
          <w:rFonts w:eastAsia="Calibri"/>
          <w:bCs/>
          <w:lang w:val="fr-FR"/>
        </w:rPr>
        <w:t>niveaux</w:t>
      </w:r>
      <w:r>
        <w:rPr>
          <w:rFonts w:eastAsia="Calibri"/>
          <w:bCs/>
          <w:lang w:val="fr-FR"/>
        </w:rPr>
        <w:t> : i) ++ composante hautement significative ; ii) + co</w:t>
      </w:r>
      <w:r w:rsidR="00903E5D">
        <w:rPr>
          <w:rFonts w:eastAsia="Calibri"/>
          <w:bCs/>
          <w:lang w:val="fr-FR"/>
        </w:rPr>
        <w:t>mposante significative ; iii) 0 </w:t>
      </w:r>
      <w:r>
        <w:rPr>
          <w:rFonts w:eastAsia="Calibri"/>
          <w:bCs/>
          <w:lang w:val="fr-FR"/>
        </w:rPr>
        <w:t>composante négligeable ;</w:t>
      </w:r>
      <w:r w:rsidR="00903E5D">
        <w:rPr>
          <w:rFonts w:eastAsia="Calibri"/>
          <w:bCs/>
          <w:lang w:val="fr-FR"/>
        </w:rPr>
        <w:t xml:space="preserve"> et </w:t>
      </w:r>
      <w:r>
        <w:rPr>
          <w:rFonts w:eastAsia="Calibri"/>
          <w:bCs/>
          <w:lang w:val="fr-FR"/>
        </w:rPr>
        <w:t>iv) ? lacunes dans les données probantes. Ces scores représentent l</w:t>
      </w:r>
      <w:r w:rsidR="00C97F2B">
        <w:rPr>
          <w:rFonts w:eastAsia="Calibri"/>
          <w:bCs/>
          <w:lang w:val="fr-FR"/>
        </w:rPr>
        <w:t>’</w:t>
      </w:r>
      <w:r>
        <w:rPr>
          <w:rFonts w:eastAsia="Calibri"/>
          <w:bCs/>
          <w:lang w:val="fr-FR"/>
        </w:rPr>
        <w:t>ampleur relative de la valeur de la composante sur le site. La personne réalisant l</w:t>
      </w:r>
      <w:r w:rsidR="00C97F2B">
        <w:rPr>
          <w:rFonts w:eastAsia="Calibri"/>
          <w:bCs/>
          <w:lang w:val="fr-FR"/>
        </w:rPr>
        <w:t>’</w:t>
      </w:r>
      <w:r>
        <w:rPr>
          <w:rFonts w:eastAsia="Calibri"/>
          <w:bCs/>
          <w:lang w:val="fr-FR"/>
        </w:rPr>
        <w:t>évaluation doit également saisir un deuxième score pour chacune des cinq composantes de l</w:t>
      </w:r>
      <w:r w:rsidR="00C97F2B">
        <w:rPr>
          <w:rFonts w:eastAsia="Calibri"/>
          <w:bCs/>
          <w:lang w:val="fr-FR"/>
        </w:rPr>
        <w:t>’</w:t>
      </w:r>
      <w:r>
        <w:rPr>
          <w:rFonts w:eastAsia="Calibri"/>
          <w:bCs/>
          <w:lang w:val="fr-FR"/>
        </w:rPr>
        <w:t xml:space="preserve">écosystème. Ce deuxième score </w:t>
      </w:r>
      <w:r w:rsidR="004F2103">
        <w:rPr>
          <w:rFonts w:eastAsia="Calibri"/>
          <w:bCs/>
          <w:lang w:val="fr-FR"/>
        </w:rPr>
        <w:t>traduit</w:t>
      </w:r>
      <w:r>
        <w:rPr>
          <w:rFonts w:eastAsia="Calibri"/>
          <w:bCs/>
          <w:lang w:val="fr-FR"/>
        </w:rPr>
        <w:t xml:space="preserve"> la fiabilité de la valeur. Ces deux scores sont combinés dans une matrice simple pour donner un score unique qui reflète à la fois l</w:t>
      </w:r>
      <w:r w:rsidR="00C97F2B">
        <w:rPr>
          <w:rFonts w:eastAsia="Calibri"/>
          <w:bCs/>
          <w:lang w:val="fr-FR"/>
        </w:rPr>
        <w:t>’</w:t>
      </w:r>
      <w:r>
        <w:rPr>
          <w:rFonts w:eastAsia="Calibri"/>
          <w:bCs/>
          <w:lang w:val="fr-FR"/>
        </w:rPr>
        <w:t>ampleur et la fiabilité de la valeur de chacune des cinq catégories de composantes de l</w:t>
      </w:r>
      <w:r w:rsidR="00C97F2B">
        <w:rPr>
          <w:rFonts w:eastAsia="Calibri"/>
          <w:bCs/>
          <w:lang w:val="fr-FR"/>
        </w:rPr>
        <w:t>’</w:t>
      </w:r>
      <w:r>
        <w:rPr>
          <w:rFonts w:eastAsia="Calibri"/>
          <w:bCs/>
          <w:lang w:val="fr-FR"/>
        </w:rPr>
        <w:t>écosystème.</w:t>
      </w:r>
    </w:p>
    <w:p w14:paraId="74A6127D" w14:textId="77777777" w:rsidR="00392508" w:rsidRPr="00C97F2B" w:rsidRDefault="00392508" w:rsidP="00392508">
      <w:pPr>
        <w:pStyle w:val="AnnexText"/>
        <w:numPr>
          <w:ilvl w:val="0"/>
          <w:numId w:val="0"/>
        </w:numPr>
        <w:spacing w:after="0"/>
        <w:ind w:left="425" w:hanging="425"/>
        <w:rPr>
          <w:lang w:val="fr-FR"/>
        </w:rPr>
      </w:pPr>
    </w:p>
    <w:p w14:paraId="22204CCF" w14:textId="77777777" w:rsidR="001C3173" w:rsidRPr="00C97F2B" w:rsidRDefault="00295C2B" w:rsidP="00392508">
      <w:pPr>
        <w:pStyle w:val="AnnexText"/>
        <w:numPr>
          <w:ilvl w:val="0"/>
          <w:numId w:val="0"/>
        </w:numPr>
        <w:spacing w:after="0"/>
        <w:ind w:left="425" w:hanging="425"/>
        <w:rPr>
          <w:lang w:val="fr-FR"/>
        </w:rPr>
      </w:pPr>
      <w:r>
        <w:rPr>
          <w:rFonts w:eastAsia="Calibri"/>
          <w:bCs/>
          <w:lang w:val="fr-FR"/>
        </w:rPr>
        <w:t>14.</w:t>
      </w:r>
      <w:r>
        <w:rPr>
          <w:rFonts w:eastAsia="Calibri"/>
          <w:bCs/>
          <w:lang w:val="fr-FR"/>
        </w:rPr>
        <w:tab/>
        <w:t>Pour remplir la feuille de calcul 2, la personne réalisant l</w:t>
      </w:r>
      <w:r w:rsidR="00C97F2B">
        <w:rPr>
          <w:rFonts w:eastAsia="Calibri"/>
          <w:bCs/>
          <w:lang w:val="fr-FR"/>
        </w:rPr>
        <w:t>’</w:t>
      </w:r>
      <w:r>
        <w:rPr>
          <w:rFonts w:eastAsia="Calibri"/>
          <w:bCs/>
          <w:lang w:val="fr-FR"/>
        </w:rPr>
        <w:t>évaluation doit identifier les données d</w:t>
      </w:r>
      <w:r w:rsidR="00C97F2B">
        <w:rPr>
          <w:rFonts w:eastAsia="Calibri"/>
          <w:bCs/>
          <w:lang w:val="fr-FR"/>
        </w:rPr>
        <w:t>’</w:t>
      </w:r>
      <w:r>
        <w:rPr>
          <w:rFonts w:eastAsia="Calibri"/>
          <w:bCs/>
          <w:lang w:val="fr-FR"/>
        </w:rPr>
        <w:t>enquête dans les inventaires locaux et nationaux et les ensembles de données détenus par les ministères et les universités, par les organisations non gouvernementales, telles que les groupes de protection de la nature, et les connaissances détenues par les peuples autochtones et les communautés locales. Elle peut également inclure des données provenant de bases de données internationales, telles que le Service d</w:t>
      </w:r>
      <w:r w:rsidR="00C97F2B">
        <w:rPr>
          <w:rFonts w:eastAsia="Calibri"/>
          <w:bCs/>
          <w:lang w:val="fr-FR"/>
        </w:rPr>
        <w:t>’</w:t>
      </w:r>
      <w:r>
        <w:rPr>
          <w:rFonts w:eastAsia="Calibri"/>
          <w:bCs/>
          <w:lang w:val="fr-FR"/>
        </w:rPr>
        <w:t>information sur les sites Ramsar et les Listes rouges de l</w:t>
      </w:r>
      <w:r w:rsidR="00C97F2B">
        <w:rPr>
          <w:rFonts w:eastAsia="Calibri"/>
          <w:bCs/>
          <w:lang w:val="fr-FR"/>
        </w:rPr>
        <w:t>’</w:t>
      </w:r>
      <w:r>
        <w:rPr>
          <w:rFonts w:eastAsia="Calibri"/>
          <w:bCs/>
          <w:lang w:val="fr-FR"/>
        </w:rPr>
        <w:t>UICN.</w:t>
      </w:r>
    </w:p>
    <w:p w14:paraId="4C2F5D5E" w14:textId="77777777" w:rsidR="00392508" w:rsidRPr="00C97F2B" w:rsidRDefault="00392508" w:rsidP="00392508">
      <w:pPr>
        <w:pStyle w:val="AnnexText"/>
        <w:numPr>
          <w:ilvl w:val="0"/>
          <w:numId w:val="0"/>
        </w:numPr>
        <w:spacing w:after="0"/>
        <w:ind w:left="425" w:hanging="425"/>
        <w:rPr>
          <w:lang w:val="fr-FR"/>
        </w:rPr>
      </w:pPr>
    </w:p>
    <w:p w14:paraId="501DB384" w14:textId="77777777" w:rsidR="00F66047" w:rsidRPr="00C97F2B" w:rsidRDefault="00295C2B" w:rsidP="00392508">
      <w:pPr>
        <w:pStyle w:val="AnnexText"/>
        <w:numPr>
          <w:ilvl w:val="0"/>
          <w:numId w:val="0"/>
        </w:numPr>
        <w:spacing w:after="0"/>
        <w:ind w:left="425" w:hanging="425"/>
        <w:rPr>
          <w:lang w:val="fr-FR"/>
        </w:rPr>
      </w:pPr>
      <w:r>
        <w:rPr>
          <w:rFonts w:eastAsia="Calibri"/>
          <w:bCs/>
          <w:lang w:val="fr-FR"/>
        </w:rPr>
        <w:t>15.</w:t>
      </w:r>
      <w:r>
        <w:rPr>
          <w:rFonts w:eastAsia="Calibri"/>
          <w:bCs/>
          <w:lang w:val="fr-FR"/>
        </w:rPr>
        <w:tab/>
      </w:r>
      <w:r>
        <w:rPr>
          <w:rFonts w:eastAsia="Calibri"/>
          <w:bCs/>
          <w:i/>
          <w:iCs/>
          <w:lang w:val="fr-FR"/>
        </w:rPr>
        <w:t>Feuille de calcul 3 : Services écosystémiques</w:t>
      </w:r>
      <w:r w:rsidR="00903E5D">
        <w:rPr>
          <w:rFonts w:eastAsia="Calibri"/>
          <w:bCs/>
          <w:i/>
          <w:iCs/>
          <w:lang w:val="fr-FR"/>
        </w:rPr>
        <w:t>.</w:t>
      </w:r>
      <w:r>
        <w:rPr>
          <w:rFonts w:eastAsia="Calibri"/>
          <w:bCs/>
          <w:lang w:val="fr-FR"/>
        </w:rPr>
        <w:t xml:space="preserve"> Les services écosystémiques </w:t>
      </w:r>
      <w:r w:rsidR="00903E5D">
        <w:rPr>
          <w:rFonts w:eastAsia="Calibri"/>
          <w:bCs/>
          <w:lang w:val="fr-FR"/>
        </w:rPr>
        <w:t>comprennent</w:t>
      </w:r>
      <w:r>
        <w:rPr>
          <w:rFonts w:eastAsia="Calibri"/>
          <w:bCs/>
          <w:lang w:val="fr-FR"/>
        </w:rPr>
        <w:t xml:space="preserve"> les multiples avantages que le site procure aux sociétés humaines. Des informations sont enregistrées pour différents services écosystémiques dans quatre catégories principales (le nombre total de services dans chaque catégorie est indiqué entre parenthèses) : approvisionnement (10), régulation (16), culture (8) et services de soutien (6) (Fig. 3). </w:t>
      </w:r>
    </w:p>
    <w:p w14:paraId="1E7CBD06" w14:textId="77777777" w:rsidR="00392508" w:rsidRPr="00C97F2B" w:rsidRDefault="00392508" w:rsidP="00392508">
      <w:pPr>
        <w:pStyle w:val="AnnexText"/>
        <w:numPr>
          <w:ilvl w:val="0"/>
          <w:numId w:val="0"/>
        </w:numPr>
        <w:spacing w:after="0"/>
        <w:ind w:left="425" w:hanging="425"/>
        <w:rPr>
          <w:lang w:val="fr-FR"/>
        </w:rPr>
      </w:pPr>
    </w:p>
    <w:p w14:paraId="326C6280" w14:textId="77777777" w:rsidR="00494B95" w:rsidRPr="00C97F2B" w:rsidRDefault="00295C2B" w:rsidP="00392508">
      <w:pPr>
        <w:pStyle w:val="AnnexText"/>
        <w:numPr>
          <w:ilvl w:val="0"/>
          <w:numId w:val="0"/>
        </w:numPr>
        <w:spacing w:after="0"/>
        <w:ind w:left="425" w:hanging="425"/>
        <w:rPr>
          <w:lang w:val="fr-FR"/>
        </w:rPr>
      </w:pPr>
      <w:r>
        <w:rPr>
          <w:rFonts w:eastAsia="Calibri"/>
          <w:bCs/>
          <w:lang w:val="fr-FR"/>
        </w:rPr>
        <w:t>16.</w:t>
      </w:r>
      <w:r>
        <w:rPr>
          <w:rFonts w:eastAsia="Calibri"/>
          <w:bCs/>
          <w:lang w:val="fr-FR"/>
        </w:rPr>
        <w:tab/>
        <w:t>Pour chaque service écosystémique, l</w:t>
      </w:r>
      <w:r w:rsidR="00C97F2B">
        <w:rPr>
          <w:rFonts w:eastAsia="Calibri"/>
          <w:bCs/>
          <w:lang w:val="fr-FR"/>
        </w:rPr>
        <w:t>’</w:t>
      </w:r>
      <w:r>
        <w:rPr>
          <w:rFonts w:eastAsia="Calibri"/>
          <w:bCs/>
          <w:lang w:val="fr-FR"/>
        </w:rPr>
        <w:t>importance de sa contribution aux bénéficiaires du service est évaluée sur une échelle de quatre niveaux : i) ++ contribution positive significative ; ii) + contribution positive ; iii) 0 contribution faible ; iv) ? lacunes dans les données. Ces scores représentent l</w:t>
      </w:r>
      <w:r w:rsidR="00C97F2B">
        <w:rPr>
          <w:rFonts w:eastAsia="Calibri"/>
          <w:bCs/>
          <w:lang w:val="fr-FR"/>
        </w:rPr>
        <w:t>’</w:t>
      </w:r>
      <w:r>
        <w:rPr>
          <w:rFonts w:eastAsia="Calibri"/>
          <w:bCs/>
          <w:lang w:val="fr-FR"/>
        </w:rPr>
        <w:t>ampleur relative de la valeur du service écosystémique sur le site. La personne réalisant l</w:t>
      </w:r>
      <w:r w:rsidR="00C97F2B">
        <w:rPr>
          <w:rFonts w:eastAsia="Calibri"/>
          <w:bCs/>
          <w:lang w:val="fr-FR"/>
        </w:rPr>
        <w:t>’</w:t>
      </w:r>
      <w:r>
        <w:rPr>
          <w:rFonts w:eastAsia="Calibri"/>
          <w:bCs/>
          <w:lang w:val="fr-FR"/>
        </w:rPr>
        <w:t xml:space="preserve">évaluation doit également saisir un deuxième score pour chacun des services écosystémiques. Ce deuxième score </w:t>
      </w:r>
      <w:r w:rsidR="004F2103">
        <w:rPr>
          <w:rFonts w:eastAsia="Calibri"/>
          <w:bCs/>
          <w:lang w:val="fr-FR"/>
        </w:rPr>
        <w:t>traduit</w:t>
      </w:r>
      <w:r>
        <w:rPr>
          <w:rFonts w:eastAsia="Calibri"/>
          <w:bCs/>
          <w:lang w:val="fr-FR"/>
        </w:rPr>
        <w:t xml:space="preserve"> la fiabilité</w:t>
      </w:r>
      <w:r w:rsidR="00C97F2B">
        <w:rPr>
          <w:rFonts w:eastAsia="Calibri"/>
          <w:bCs/>
          <w:lang w:val="fr-FR"/>
        </w:rPr>
        <w:t xml:space="preserve"> </w:t>
      </w:r>
      <w:r>
        <w:rPr>
          <w:rFonts w:eastAsia="Calibri"/>
          <w:bCs/>
          <w:lang w:val="fr-FR"/>
        </w:rPr>
        <w:t>de la valeur. Ces deux scores sont combinés dans une matrice simple pour donner un score unique qui reflète à la fois l</w:t>
      </w:r>
      <w:r w:rsidR="00C97F2B">
        <w:rPr>
          <w:rFonts w:eastAsia="Calibri"/>
          <w:bCs/>
          <w:lang w:val="fr-FR"/>
        </w:rPr>
        <w:t>’</w:t>
      </w:r>
      <w:r>
        <w:rPr>
          <w:rFonts w:eastAsia="Calibri"/>
          <w:bCs/>
          <w:lang w:val="fr-FR"/>
        </w:rPr>
        <w:t>ampleur et la fiabilité de la valeur de chacun des services écosystémiques.</w:t>
      </w:r>
    </w:p>
    <w:p w14:paraId="030BA1BE" w14:textId="77777777" w:rsidR="00392508" w:rsidRPr="00C97F2B" w:rsidRDefault="00392508" w:rsidP="00392508">
      <w:pPr>
        <w:pStyle w:val="AnnexText"/>
        <w:numPr>
          <w:ilvl w:val="0"/>
          <w:numId w:val="0"/>
        </w:numPr>
        <w:spacing w:after="0"/>
        <w:ind w:left="425" w:hanging="425"/>
        <w:rPr>
          <w:lang w:val="fr-FR"/>
        </w:rPr>
      </w:pPr>
    </w:p>
    <w:p w14:paraId="7048B64F" w14:textId="77777777" w:rsidR="00F66047" w:rsidRPr="00C97F2B" w:rsidRDefault="00295C2B" w:rsidP="00392508">
      <w:pPr>
        <w:pStyle w:val="AnnexText"/>
        <w:numPr>
          <w:ilvl w:val="0"/>
          <w:numId w:val="0"/>
        </w:numPr>
        <w:spacing w:after="0"/>
        <w:ind w:left="425" w:hanging="425"/>
        <w:rPr>
          <w:lang w:val="fr-FR"/>
        </w:rPr>
      </w:pPr>
      <w:r>
        <w:rPr>
          <w:rFonts w:eastAsia="Calibri"/>
          <w:bCs/>
          <w:lang w:val="fr-FR"/>
        </w:rPr>
        <w:t>17.</w:t>
      </w:r>
      <w:r>
        <w:rPr>
          <w:rFonts w:eastAsia="Calibri"/>
          <w:bCs/>
          <w:lang w:val="fr-FR"/>
        </w:rPr>
        <w:tab/>
        <w:t>La structure de la feuille de calcul 3 est directement compatible avec la feuille de calcul RAWES. Cela permet un transfert direct d</w:t>
      </w:r>
      <w:r w:rsidR="00C97F2B">
        <w:rPr>
          <w:rFonts w:eastAsia="Calibri"/>
          <w:bCs/>
          <w:lang w:val="fr-FR"/>
        </w:rPr>
        <w:t>’</w:t>
      </w:r>
      <w:r>
        <w:rPr>
          <w:rFonts w:eastAsia="Calibri"/>
          <w:bCs/>
          <w:lang w:val="fr-FR"/>
        </w:rPr>
        <w:t>un outil à l</w:t>
      </w:r>
      <w:r w:rsidR="00C97F2B">
        <w:rPr>
          <w:rFonts w:eastAsia="Calibri"/>
          <w:bCs/>
          <w:lang w:val="fr-FR"/>
        </w:rPr>
        <w:t>’</w:t>
      </w:r>
      <w:r>
        <w:rPr>
          <w:rFonts w:eastAsia="Calibri"/>
          <w:bCs/>
          <w:lang w:val="fr-FR"/>
        </w:rPr>
        <w:t>autre. Lorsqu</w:t>
      </w:r>
      <w:r w:rsidR="00C97F2B">
        <w:rPr>
          <w:rFonts w:eastAsia="Calibri"/>
          <w:bCs/>
          <w:lang w:val="fr-FR"/>
        </w:rPr>
        <w:t>’</w:t>
      </w:r>
      <w:r>
        <w:rPr>
          <w:rFonts w:eastAsia="Calibri"/>
          <w:bCs/>
          <w:lang w:val="fr-FR"/>
        </w:rPr>
        <w:t>une évaluation RAWES a été entreprise, il serait normal d</w:t>
      </w:r>
      <w:r w:rsidR="00C97F2B">
        <w:rPr>
          <w:rFonts w:eastAsia="Calibri"/>
          <w:bCs/>
          <w:lang w:val="fr-FR"/>
        </w:rPr>
        <w:t>’</w:t>
      </w:r>
      <w:r>
        <w:rPr>
          <w:rFonts w:eastAsia="Calibri"/>
          <w:bCs/>
          <w:lang w:val="fr-FR"/>
        </w:rPr>
        <w:t>attribuer un degré élevé de fiabilité aux données d</w:t>
      </w:r>
      <w:r w:rsidR="00C97F2B">
        <w:rPr>
          <w:rFonts w:eastAsia="Calibri"/>
          <w:bCs/>
          <w:lang w:val="fr-FR"/>
        </w:rPr>
        <w:t>’</w:t>
      </w:r>
      <w:r>
        <w:rPr>
          <w:rFonts w:eastAsia="Calibri"/>
          <w:bCs/>
          <w:lang w:val="fr-FR"/>
        </w:rPr>
        <w:t>entrée. Cependant, lorsque RAWES n</w:t>
      </w:r>
      <w:r w:rsidR="00C97F2B">
        <w:rPr>
          <w:rFonts w:eastAsia="Calibri"/>
          <w:bCs/>
          <w:lang w:val="fr-FR"/>
        </w:rPr>
        <w:t>’</w:t>
      </w:r>
      <w:r>
        <w:rPr>
          <w:rFonts w:eastAsia="Calibri"/>
          <w:bCs/>
          <w:lang w:val="fr-FR"/>
        </w:rPr>
        <w:t>a pas été appliqué, la personne réalisant l</w:t>
      </w:r>
      <w:r w:rsidR="00C97F2B">
        <w:rPr>
          <w:rFonts w:eastAsia="Calibri"/>
          <w:bCs/>
          <w:lang w:val="fr-FR"/>
        </w:rPr>
        <w:t>’</w:t>
      </w:r>
      <w:r>
        <w:rPr>
          <w:rFonts w:eastAsia="Calibri"/>
          <w:bCs/>
          <w:lang w:val="fr-FR"/>
        </w:rPr>
        <w:t>évaluation devra utiliser d</w:t>
      </w:r>
      <w:r w:rsidR="00C97F2B">
        <w:rPr>
          <w:rFonts w:eastAsia="Calibri"/>
          <w:bCs/>
          <w:lang w:val="fr-FR"/>
        </w:rPr>
        <w:t>’</w:t>
      </w:r>
      <w:r>
        <w:rPr>
          <w:rFonts w:eastAsia="Calibri"/>
          <w:bCs/>
          <w:lang w:val="fr-FR"/>
        </w:rPr>
        <w:t>autres moyens pour évaluer les services écosystémiques fournis par le site</w:t>
      </w:r>
      <w:r w:rsidR="004F2103">
        <w:rPr>
          <w:rFonts w:eastAsia="Calibri"/>
          <w:bCs/>
          <w:lang w:val="fr-FR"/>
        </w:rPr>
        <w:t>,</w:t>
      </w:r>
      <w:r>
        <w:rPr>
          <w:rFonts w:eastAsia="Calibri"/>
          <w:bCs/>
          <w:lang w:val="fr-FR"/>
        </w:rPr>
        <w:t xml:space="preserve"> tels que l</w:t>
      </w:r>
      <w:r w:rsidR="00C97F2B">
        <w:rPr>
          <w:rFonts w:eastAsia="Calibri"/>
          <w:bCs/>
          <w:lang w:val="fr-FR"/>
        </w:rPr>
        <w:t>’</w:t>
      </w:r>
      <w:r>
        <w:rPr>
          <w:rFonts w:eastAsia="Calibri"/>
          <w:bCs/>
          <w:lang w:val="fr-FR"/>
        </w:rPr>
        <w:t>organisation d</w:t>
      </w:r>
      <w:r w:rsidR="00C97F2B">
        <w:rPr>
          <w:rFonts w:eastAsia="Calibri"/>
          <w:bCs/>
          <w:lang w:val="fr-FR"/>
        </w:rPr>
        <w:t>’</w:t>
      </w:r>
      <w:r>
        <w:rPr>
          <w:rFonts w:eastAsia="Calibri"/>
          <w:bCs/>
          <w:lang w:val="fr-FR"/>
        </w:rPr>
        <w:t>ateliers participatifs, l</w:t>
      </w:r>
      <w:r w:rsidR="00C97F2B">
        <w:rPr>
          <w:rFonts w:eastAsia="Calibri"/>
          <w:bCs/>
          <w:lang w:val="fr-FR"/>
        </w:rPr>
        <w:t>’</w:t>
      </w:r>
      <w:r>
        <w:rPr>
          <w:rFonts w:eastAsia="Calibri"/>
          <w:bCs/>
          <w:lang w:val="fr-FR"/>
        </w:rPr>
        <w:t>utilisation d</w:t>
      </w:r>
      <w:r w:rsidR="00C97F2B">
        <w:rPr>
          <w:rFonts w:eastAsia="Calibri"/>
          <w:bCs/>
          <w:lang w:val="fr-FR"/>
        </w:rPr>
        <w:t>’</w:t>
      </w:r>
      <w:r>
        <w:rPr>
          <w:rFonts w:eastAsia="Calibri"/>
          <w:bCs/>
          <w:lang w:val="fr-FR"/>
        </w:rPr>
        <w:t>autres méthodes formelles d</w:t>
      </w:r>
      <w:r w:rsidR="00C97F2B">
        <w:rPr>
          <w:rFonts w:eastAsia="Calibri"/>
          <w:bCs/>
          <w:lang w:val="fr-FR"/>
        </w:rPr>
        <w:t>’</w:t>
      </w:r>
      <w:r>
        <w:rPr>
          <w:rFonts w:eastAsia="Calibri"/>
          <w:bCs/>
          <w:lang w:val="fr-FR"/>
        </w:rPr>
        <w:t>évaluation des services écos</w:t>
      </w:r>
      <w:r w:rsidR="004F2103">
        <w:rPr>
          <w:rFonts w:eastAsia="Calibri"/>
          <w:bCs/>
          <w:lang w:val="fr-FR"/>
        </w:rPr>
        <w:t>ystémiques ou la consultation de parties prenantes locales, de</w:t>
      </w:r>
      <w:r>
        <w:rPr>
          <w:rFonts w:eastAsia="Calibri"/>
          <w:bCs/>
          <w:lang w:val="fr-FR"/>
        </w:rPr>
        <w:t xml:space="preserve"> </w:t>
      </w:r>
      <w:r w:rsidR="004063EE">
        <w:rPr>
          <w:rFonts w:eastAsia="Calibri"/>
          <w:bCs/>
          <w:lang w:val="fr-FR"/>
        </w:rPr>
        <w:t>personnes détenant des</w:t>
      </w:r>
      <w:r>
        <w:rPr>
          <w:rFonts w:eastAsia="Calibri"/>
          <w:bCs/>
          <w:lang w:val="fr-FR"/>
        </w:rPr>
        <w:t xml:space="preserve"> connaissances et d</w:t>
      </w:r>
      <w:r w:rsidR="004F2103">
        <w:rPr>
          <w:rFonts w:eastAsia="Calibri"/>
          <w:bCs/>
          <w:lang w:val="fr-FR"/>
        </w:rPr>
        <w:t>e</w:t>
      </w:r>
      <w:r>
        <w:rPr>
          <w:rFonts w:eastAsia="Calibri"/>
          <w:bCs/>
          <w:lang w:val="fr-FR"/>
        </w:rPr>
        <w:t xml:space="preserve"> personnel. Dans ces conditions, la fiabilité peut être plus faible.</w:t>
      </w:r>
    </w:p>
    <w:p w14:paraId="3086EF10" w14:textId="77777777" w:rsidR="00392508" w:rsidRPr="00C97F2B" w:rsidRDefault="00392508" w:rsidP="00392508">
      <w:pPr>
        <w:pStyle w:val="AnnexText"/>
        <w:numPr>
          <w:ilvl w:val="0"/>
          <w:numId w:val="0"/>
        </w:numPr>
        <w:spacing w:after="0"/>
        <w:ind w:left="425" w:hanging="425"/>
        <w:rPr>
          <w:lang w:val="fr-FR"/>
        </w:rPr>
      </w:pPr>
    </w:p>
    <w:p w14:paraId="438DF4AE" w14:textId="77777777" w:rsidR="005C29D5" w:rsidRPr="00C97F2B" w:rsidRDefault="00295C2B" w:rsidP="00392508">
      <w:pPr>
        <w:pStyle w:val="AnnexText"/>
        <w:numPr>
          <w:ilvl w:val="0"/>
          <w:numId w:val="0"/>
        </w:numPr>
        <w:spacing w:after="0"/>
        <w:ind w:left="425" w:hanging="425"/>
        <w:rPr>
          <w:lang w:val="fr-FR"/>
        </w:rPr>
      </w:pPr>
      <w:r>
        <w:rPr>
          <w:rFonts w:eastAsia="Calibri"/>
          <w:bCs/>
          <w:lang w:val="fr-FR"/>
        </w:rPr>
        <w:t>18.</w:t>
      </w:r>
      <w:r>
        <w:rPr>
          <w:rFonts w:eastAsia="Calibri"/>
          <w:bCs/>
          <w:lang w:val="fr-FR"/>
        </w:rPr>
        <w:tab/>
      </w:r>
      <w:r>
        <w:rPr>
          <w:rFonts w:eastAsia="Calibri"/>
          <w:bCs/>
          <w:i/>
          <w:iCs/>
          <w:lang w:val="fr-FR"/>
        </w:rPr>
        <w:t>Feuille de calcul 4 : Menaces</w:t>
      </w:r>
      <w:r w:rsidR="00903E5D">
        <w:rPr>
          <w:rFonts w:eastAsia="Calibri"/>
          <w:bCs/>
          <w:i/>
          <w:iCs/>
          <w:lang w:val="fr-FR"/>
        </w:rPr>
        <w:t>.</w:t>
      </w:r>
      <w:r>
        <w:rPr>
          <w:rFonts w:eastAsia="Calibri"/>
          <w:bCs/>
          <w:lang w:val="fr-FR"/>
        </w:rPr>
        <w:t xml:space="preserve"> Les menaces sont répertoriées dans les 13 catégories présentées dans la fiche technique 3 du R-METT, à savoir :</w:t>
      </w:r>
    </w:p>
    <w:p w14:paraId="37F09612" w14:textId="77777777" w:rsidR="00392508" w:rsidRPr="00C97F2B" w:rsidRDefault="00392508" w:rsidP="00392508">
      <w:pPr>
        <w:pStyle w:val="AnnexText"/>
        <w:numPr>
          <w:ilvl w:val="0"/>
          <w:numId w:val="0"/>
        </w:numPr>
        <w:spacing w:after="0"/>
        <w:ind w:left="425" w:hanging="425"/>
        <w:rPr>
          <w:lang w:val="fr-FR"/>
        </w:rPr>
      </w:pPr>
    </w:p>
    <w:p w14:paraId="23BA08BB"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Développement résidentiel et commercial (</w:t>
      </w:r>
      <w:r w:rsidR="00903E5D">
        <w:rPr>
          <w:rFonts w:eastAsia="Calibri"/>
          <w:lang w:val="fr-FR" w:eastAsia="en-GB"/>
        </w:rPr>
        <w:t>sur le</w:t>
      </w:r>
      <w:r>
        <w:rPr>
          <w:rFonts w:eastAsia="Calibri"/>
          <w:lang w:val="fr-FR" w:eastAsia="en-GB"/>
        </w:rPr>
        <w:t xml:space="preserve"> site)</w:t>
      </w:r>
    </w:p>
    <w:p w14:paraId="32EDBFC2"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Agriculture et aquaculture (</w:t>
      </w:r>
      <w:r w:rsidR="00903E5D">
        <w:rPr>
          <w:rFonts w:eastAsia="Calibri"/>
          <w:lang w:val="fr-FR" w:eastAsia="en-GB"/>
        </w:rPr>
        <w:t>sur le site</w:t>
      </w:r>
      <w:r>
        <w:rPr>
          <w:rFonts w:eastAsia="Calibri"/>
          <w:lang w:val="fr-FR" w:eastAsia="en-GB"/>
        </w:rPr>
        <w:t>)</w:t>
      </w:r>
    </w:p>
    <w:p w14:paraId="65E23670"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Production d</w:t>
      </w:r>
      <w:r w:rsidR="00C97F2B">
        <w:rPr>
          <w:rFonts w:eastAsia="Calibri"/>
          <w:lang w:val="fr-FR" w:eastAsia="en-GB"/>
        </w:rPr>
        <w:t>’</w:t>
      </w:r>
      <w:r>
        <w:rPr>
          <w:rFonts w:eastAsia="Calibri"/>
          <w:lang w:val="fr-FR" w:eastAsia="en-GB"/>
        </w:rPr>
        <w:t>én</w:t>
      </w:r>
      <w:r w:rsidR="00903E5D">
        <w:rPr>
          <w:rFonts w:eastAsia="Calibri"/>
          <w:lang w:val="fr-FR" w:eastAsia="en-GB"/>
        </w:rPr>
        <w:t>ergie et exploitation minière (sur le site</w:t>
      </w:r>
      <w:r>
        <w:rPr>
          <w:rFonts w:eastAsia="Calibri"/>
          <w:lang w:val="fr-FR" w:eastAsia="en-GB"/>
        </w:rPr>
        <w:t>)</w:t>
      </w:r>
    </w:p>
    <w:p w14:paraId="324F5309"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 xml:space="preserve">Couloirs de transport et de service </w:t>
      </w:r>
      <w:r w:rsidR="00903E5D">
        <w:rPr>
          <w:rFonts w:eastAsia="Calibri"/>
          <w:lang w:val="fr-FR" w:eastAsia="en-GB"/>
        </w:rPr>
        <w:t>sur le site</w:t>
      </w:r>
    </w:p>
    <w:p w14:paraId="28314CC6"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 xml:space="preserve">Utilisation </w:t>
      </w:r>
      <w:r w:rsidR="004F2103">
        <w:rPr>
          <w:rFonts w:eastAsia="Calibri"/>
          <w:lang w:val="fr-FR" w:eastAsia="en-GB"/>
        </w:rPr>
        <w:t xml:space="preserve">et dégradation </w:t>
      </w:r>
      <w:r>
        <w:rPr>
          <w:rFonts w:eastAsia="Calibri"/>
          <w:lang w:val="fr-FR" w:eastAsia="en-GB"/>
        </w:rPr>
        <w:t xml:space="preserve">des ressources biologiques </w:t>
      </w:r>
      <w:r w:rsidR="00903E5D">
        <w:rPr>
          <w:rFonts w:eastAsia="Calibri"/>
          <w:lang w:val="fr-FR" w:eastAsia="en-GB"/>
        </w:rPr>
        <w:t>sur le site</w:t>
      </w:r>
    </w:p>
    <w:p w14:paraId="065B0CDE"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 xml:space="preserve">Intrusions et perturbations anthropiques </w:t>
      </w:r>
      <w:r w:rsidR="00903E5D">
        <w:rPr>
          <w:rFonts w:eastAsia="Calibri"/>
          <w:lang w:val="fr-FR" w:eastAsia="en-GB"/>
        </w:rPr>
        <w:t>sur le site</w:t>
      </w:r>
    </w:p>
    <w:p w14:paraId="6E095851"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Modifications du système naturel</w:t>
      </w:r>
    </w:p>
    <w:p w14:paraId="778E1A0D"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Changements hydrologiques</w:t>
      </w:r>
    </w:p>
    <w:p w14:paraId="218A6407"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 xml:space="preserve">Espèces et gènes envahissants et posant </w:t>
      </w:r>
      <w:r w:rsidR="008D321C">
        <w:rPr>
          <w:rFonts w:eastAsia="Calibri"/>
          <w:lang w:val="fr-FR" w:eastAsia="en-GB"/>
        </w:rPr>
        <w:t xml:space="preserve">d’autres </w:t>
      </w:r>
      <w:r>
        <w:rPr>
          <w:rFonts w:eastAsia="Calibri"/>
          <w:lang w:val="fr-FR" w:eastAsia="en-GB"/>
        </w:rPr>
        <w:t>problème</w:t>
      </w:r>
      <w:r w:rsidR="008D321C">
        <w:rPr>
          <w:rFonts w:eastAsia="Calibri"/>
          <w:lang w:val="fr-FR" w:eastAsia="en-GB"/>
        </w:rPr>
        <w:t>s</w:t>
      </w:r>
    </w:p>
    <w:p w14:paraId="552C2B65"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 xml:space="preserve">Pollution pénétrant </w:t>
      </w:r>
      <w:r w:rsidR="00903E5D">
        <w:rPr>
          <w:rFonts w:eastAsia="Calibri"/>
          <w:lang w:val="fr-FR" w:eastAsia="en-GB"/>
        </w:rPr>
        <w:t>sur</w:t>
      </w:r>
      <w:r>
        <w:rPr>
          <w:rFonts w:eastAsia="Calibri"/>
          <w:lang w:val="fr-FR" w:eastAsia="en-GB"/>
        </w:rPr>
        <w:t xml:space="preserve"> le site ou générée à partir de celui-ci</w:t>
      </w:r>
    </w:p>
    <w:p w14:paraId="1A89AD24"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Phénomènes géologiques</w:t>
      </w:r>
    </w:p>
    <w:p w14:paraId="2EC403B0"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Changement climatique et phénomènes météorologiques extrêmes</w:t>
      </w:r>
    </w:p>
    <w:p w14:paraId="30CE46F6" w14:textId="77777777" w:rsidR="00670E29" w:rsidRPr="00C97F2B" w:rsidRDefault="00295C2B" w:rsidP="0069547C">
      <w:pPr>
        <w:pStyle w:val="Annexbullet"/>
        <w:numPr>
          <w:ilvl w:val="0"/>
          <w:numId w:val="0"/>
        </w:numPr>
        <w:spacing w:after="0"/>
        <w:ind w:left="850" w:hanging="425"/>
        <w:rPr>
          <w:lang w:val="fr-FR" w:eastAsia="en-GB"/>
        </w:rPr>
      </w:pPr>
      <w:r>
        <w:rPr>
          <w:rFonts w:ascii="Symbol" w:eastAsia="Symbol" w:hAnsi="Symbol" w:cs="Symbol"/>
          <w:lang w:val="fr-FR" w:eastAsia="en-GB"/>
        </w:rPr>
        <w:sym w:font="Symbol" w:char="F0B7"/>
      </w:r>
      <w:r>
        <w:rPr>
          <w:rFonts w:ascii="Symbol" w:eastAsia="Symbol" w:hAnsi="Symbol" w:cs="Symbol"/>
          <w:lang w:val="fr-FR" w:eastAsia="en-GB"/>
        </w:rPr>
        <w:tab/>
      </w:r>
      <w:r>
        <w:rPr>
          <w:rFonts w:eastAsia="Calibri"/>
          <w:lang w:val="fr-FR" w:eastAsia="en-GB"/>
        </w:rPr>
        <w:t>Menaces culturelles et sociales particulières</w:t>
      </w:r>
    </w:p>
    <w:p w14:paraId="748524E7" w14:textId="77777777" w:rsidR="00392508" w:rsidRPr="00C97F2B" w:rsidRDefault="00392508" w:rsidP="00392508">
      <w:pPr>
        <w:pStyle w:val="Annexbullet"/>
        <w:numPr>
          <w:ilvl w:val="0"/>
          <w:numId w:val="0"/>
        </w:numPr>
        <w:spacing w:after="0"/>
        <w:ind w:left="720" w:hanging="295"/>
        <w:rPr>
          <w:lang w:val="fr-FR" w:eastAsia="en-GB"/>
        </w:rPr>
      </w:pPr>
    </w:p>
    <w:p w14:paraId="32E5B472" w14:textId="77777777" w:rsidR="00670E29" w:rsidRPr="00C97F2B" w:rsidRDefault="00295C2B" w:rsidP="00392508">
      <w:pPr>
        <w:pStyle w:val="AnnexText"/>
        <w:numPr>
          <w:ilvl w:val="0"/>
          <w:numId w:val="0"/>
        </w:numPr>
        <w:spacing w:after="0"/>
        <w:ind w:left="425" w:hanging="425"/>
        <w:rPr>
          <w:lang w:val="fr-FR"/>
        </w:rPr>
      </w:pPr>
      <w:r>
        <w:rPr>
          <w:rFonts w:eastAsia="Calibri"/>
          <w:bCs/>
          <w:lang w:val="fr-FR"/>
        </w:rPr>
        <w:t>19.</w:t>
      </w:r>
      <w:r>
        <w:rPr>
          <w:rFonts w:eastAsia="Calibri"/>
          <w:bCs/>
          <w:lang w:val="fr-FR"/>
        </w:rPr>
        <w:tab/>
        <w:t>D</w:t>
      </w:r>
      <w:r w:rsidR="00C97F2B">
        <w:rPr>
          <w:rFonts w:eastAsia="Calibri"/>
          <w:bCs/>
          <w:lang w:val="fr-FR"/>
        </w:rPr>
        <w:t>’</w:t>
      </w:r>
      <w:r>
        <w:rPr>
          <w:rFonts w:eastAsia="Calibri"/>
          <w:bCs/>
          <w:lang w:val="fr-FR"/>
        </w:rPr>
        <w:t>autres menaces plus détaillées sont répertoriées dans chacune des 13 catégories. Au total, 48 catégories de menaces peuvent être signalées. Pour chaque menace, deux scores, l</w:t>
      </w:r>
      <w:r w:rsidR="00C97F2B">
        <w:rPr>
          <w:rFonts w:eastAsia="Calibri"/>
          <w:bCs/>
          <w:lang w:val="fr-FR"/>
        </w:rPr>
        <w:t>’</w:t>
      </w:r>
      <w:r>
        <w:rPr>
          <w:rFonts w:eastAsia="Calibri"/>
          <w:bCs/>
          <w:lang w:val="fr-FR"/>
        </w:rPr>
        <w:t>un pour la probabilité de la menace et l</w:t>
      </w:r>
      <w:r w:rsidR="00C97F2B">
        <w:rPr>
          <w:rFonts w:eastAsia="Calibri"/>
          <w:bCs/>
          <w:lang w:val="fr-FR"/>
        </w:rPr>
        <w:t>’</w:t>
      </w:r>
      <w:r>
        <w:rPr>
          <w:rFonts w:eastAsia="Calibri"/>
          <w:bCs/>
          <w:lang w:val="fr-FR"/>
        </w:rPr>
        <w:t>autre pour la gravité de la menace, sont enregistrés et une matrice simple est automatiquement générée pour donner un score unique à chaque menace. Le</w:t>
      </w:r>
      <w:r w:rsidR="00903E5D">
        <w:rPr>
          <w:rFonts w:eastAsia="Calibri"/>
          <w:bCs/>
          <w:lang w:val="fr-FR"/>
        </w:rPr>
        <w:t xml:space="preserve"> score attribué est basé sur : (</w:t>
      </w:r>
      <w:r>
        <w:rPr>
          <w:rFonts w:eastAsia="Calibri"/>
          <w:bCs/>
          <w:lang w:val="fr-FR"/>
        </w:rPr>
        <w:t>H) les menaces d</w:t>
      </w:r>
      <w:r w:rsidR="00C97F2B">
        <w:rPr>
          <w:rFonts w:eastAsia="Calibri"/>
          <w:bCs/>
          <w:lang w:val="fr-FR"/>
        </w:rPr>
        <w:t>’</w:t>
      </w:r>
      <w:r>
        <w:rPr>
          <w:rFonts w:eastAsia="Calibri"/>
          <w:bCs/>
          <w:lang w:val="fr-FR"/>
        </w:rPr>
        <w:t>importance élevée sont celles qui dégradent gravement les valeurs du site ; (M) les menaces d</w:t>
      </w:r>
      <w:r w:rsidR="00C97F2B">
        <w:rPr>
          <w:rFonts w:eastAsia="Calibri"/>
          <w:bCs/>
          <w:lang w:val="fr-FR"/>
        </w:rPr>
        <w:t>’</w:t>
      </w:r>
      <w:r>
        <w:rPr>
          <w:rFonts w:eastAsia="Calibri"/>
          <w:bCs/>
          <w:lang w:val="fr-FR"/>
        </w:rPr>
        <w:t>importance moyenne sont celles qui ont un certain impact négatif ; (L) les menaces caractérisées comme faibles sont celles qui sont présentes, mais qui n</w:t>
      </w:r>
      <w:r w:rsidR="00C97F2B">
        <w:rPr>
          <w:rFonts w:eastAsia="Calibri"/>
          <w:bCs/>
          <w:lang w:val="fr-FR"/>
        </w:rPr>
        <w:t>’</w:t>
      </w:r>
      <w:r>
        <w:rPr>
          <w:rFonts w:eastAsia="Calibri"/>
          <w:bCs/>
          <w:lang w:val="fr-FR"/>
        </w:rPr>
        <w:t>ont pas d</w:t>
      </w:r>
      <w:r w:rsidR="00C97F2B">
        <w:rPr>
          <w:rFonts w:eastAsia="Calibri"/>
          <w:bCs/>
          <w:lang w:val="fr-FR"/>
        </w:rPr>
        <w:t>’</w:t>
      </w:r>
      <w:r>
        <w:rPr>
          <w:rFonts w:eastAsia="Calibri"/>
          <w:bCs/>
          <w:lang w:val="fr-FR"/>
        </w:rPr>
        <w:t xml:space="preserve">impact </w:t>
      </w:r>
      <w:r w:rsidR="008D321C">
        <w:rPr>
          <w:rFonts w:eastAsia="Calibri"/>
          <w:bCs/>
          <w:lang w:val="fr-FR"/>
        </w:rPr>
        <w:t>grave</w:t>
      </w:r>
      <w:r>
        <w:rPr>
          <w:rFonts w:eastAsia="Calibri"/>
          <w:bCs/>
          <w:lang w:val="fr-FR"/>
        </w:rPr>
        <w:t xml:space="preserve"> sur les valeurs ; (N/A) la menace n</w:t>
      </w:r>
      <w:r w:rsidR="00C97F2B">
        <w:rPr>
          <w:rFonts w:eastAsia="Calibri"/>
          <w:bCs/>
          <w:lang w:val="fr-FR"/>
        </w:rPr>
        <w:t>’</w:t>
      </w:r>
      <w:r>
        <w:rPr>
          <w:rFonts w:eastAsia="Calibri"/>
          <w:bCs/>
          <w:lang w:val="fr-FR"/>
        </w:rPr>
        <w:t>est pas présente ou ne s</w:t>
      </w:r>
      <w:r w:rsidR="00C97F2B">
        <w:rPr>
          <w:rFonts w:eastAsia="Calibri"/>
          <w:bCs/>
          <w:lang w:val="fr-FR"/>
        </w:rPr>
        <w:t>’</w:t>
      </w:r>
      <w:r>
        <w:rPr>
          <w:rFonts w:eastAsia="Calibri"/>
          <w:bCs/>
          <w:lang w:val="fr-FR"/>
        </w:rPr>
        <w:t>applique pas au site ; et (U) l</w:t>
      </w:r>
      <w:r w:rsidR="00C97F2B">
        <w:rPr>
          <w:rFonts w:eastAsia="Calibri"/>
          <w:bCs/>
          <w:lang w:val="fr-FR"/>
        </w:rPr>
        <w:t>’</w:t>
      </w:r>
      <w:r>
        <w:rPr>
          <w:rFonts w:eastAsia="Calibri"/>
          <w:bCs/>
          <w:lang w:val="fr-FR"/>
        </w:rPr>
        <w:t xml:space="preserve">information sur la menace est inconnue. </w:t>
      </w:r>
    </w:p>
    <w:p w14:paraId="31483D13" w14:textId="77777777" w:rsidR="00392508" w:rsidRPr="00C97F2B" w:rsidRDefault="00392508" w:rsidP="00392508">
      <w:pPr>
        <w:pStyle w:val="AnnexText"/>
        <w:numPr>
          <w:ilvl w:val="0"/>
          <w:numId w:val="0"/>
        </w:numPr>
        <w:spacing w:after="0"/>
        <w:ind w:left="425" w:hanging="425"/>
        <w:rPr>
          <w:lang w:val="fr-FR"/>
        </w:rPr>
      </w:pPr>
    </w:p>
    <w:p w14:paraId="3B5BDC91" w14:textId="77777777" w:rsidR="001C3173" w:rsidRPr="00C97F2B" w:rsidRDefault="00295C2B" w:rsidP="00392508">
      <w:pPr>
        <w:pStyle w:val="AnnexText"/>
        <w:numPr>
          <w:ilvl w:val="0"/>
          <w:numId w:val="0"/>
        </w:numPr>
        <w:spacing w:after="0"/>
        <w:ind w:left="425" w:hanging="425"/>
        <w:rPr>
          <w:lang w:val="fr-FR"/>
        </w:rPr>
      </w:pPr>
      <w:r>
        <w:rPr>
          <w:rFonts w:eastAsia="Calibri"/>
          <w:bCs/>
          <w:lang w:val="fr-FR"/>
        </w:rPr>
        <w:t>20.</w:t>
      </w:r>
      <w:r>
        <w:rPr>
          <w:rFonts w:eastAsia="Calibri"/>
          <w:bCs/>
          <w:lang w:val="fr-FR"/>
        </w:rPr>
        <w:tab/>
      </w:r>
      <w:r>
        <w:rPr>
          <w:rFonts w:eastAsia="Calibri"/>
          <w:bCs/>
          <w:i/>
          <w:iCs/>
          <w:lang w:val="fr-FR"/>
        </w:rPr>
        <w:t>Feuille de calcul 5 : Évaluation.</w:t>
      </w:r>
      <w:r>
        <w:rPr>
          <w:rFonts w:eastAsia="Calibri"/>
          <w:bCs/>
          <w:lang w:val="fr-FR"/>
        </w:rPr>
        <w:t xml:space="preserve"> La feuille de calcul d</w:t>
      </w:r>
      <w:r w:rsidR="00C97F2B">
        <w:rPr>
          <w:rFonts w:eastAsia="Calibri"/>
          <w:bCs/>
          <w:lang w:val="fr-FR"/>
        </w:rPr>
        <w:t>’</w:t>
      </w:r>
      <w:r>
        <w:rPr>
          <w:rFonts w:eastAsia="Calibri"/>
          <w:bCs/>
          <w:lang w:val="fr-FR"/>
        </w:rPr>
        <w:t>évaluation relie automatiquement les valeurs de la zone humide (composantes de l</w:t>
      </w:r>
      <w:r w:rsidR="00C97F2B">
        <w:rPr>
          <w:rFonts w:eastAsia="Calibri"/>
          <w:bCs/>
          <w:lang w:val="fr-FR"/>
        </w:rPr>
        <w:t>’</w:t>
      </w:r>
      <w:r>
        <w:rPr>
          <w:rFonts w:eastAsia="Calibri"/>
          <w:bCs/>
          <w:lang w:val="fr-FR"/>
        </w:rPr>
        <w:t>écosystème et services écosystémiques) et les menaces qui pèsent sur la zone humide. Cette feuille de calcul détermine de quelle manière les menaces sont susceptibles d</w:t>
      </w:r>
      <w:r w:rsidR="00C97F2B">
        <w:rPr>
          <w:rFonts w:eastAsia="Calibri"/>
          <w:bCs/>
          <w:lang w:val="fr-FR"/>
        </w:rPr>
        <w:t>’</w:t>
      </w:r>
      <w:r>
        <w:rPr>
          <w:rFonts w:eastAsia="Calibri"/>
          <w:bCs/>
          <w:lang w:val="fr-FR"/>
        </w:rPr>
        <w:t xml:space="preserve">avoir un impact sur les composantes et les services. Cette feuille de calcul contient des valeurs par défaut prédéfinies basées sur des informations tirées de plusieurs publications et de la littérature évaluée par les pairs. </w:t>
      </w:r>
    </w:p>
    <w:p w14:paraId="4E297846" w14:textId="77777777" w:rsidR="00392508" w:rsidRPr="00C97F2B" w:rsidRDefault="00392508" w:rsidP="00392508">
      <w:pPr>
        <w:pStyle w:val="AnnexText"/>
        <w:numPr>
          <w:ilvl w:val="0"/>
          <w:numId w:val="0"/>
        </w:numPr>
        <w:spacing w:after="0"/>
        <w:ind w:left="425" w:hanging="425"/>
        <w:rPr>
          <w:lang w:val="fr-FR"/>
        </w:rPr>
      </w:pPr>
    </w:p>
    <w:p w14:paraId="27F7E7DA" w14:textId="77777777" w:rsidR="00CF1FB8" w:rsidRPr="00C97F2B" w:rsidRDefault="00295C2B" w:rsidP="00392508">
      <w:pPr>
        <w:pStyle w:val="AnnexText"/>
        <w:numPr>
          <w:ilvl w:val="0"/>
          <w:numId w:val="0"/>
        </w:numPr>
        <w:spacing w:after="0"/>
        <w:ind w:left="425" w:hanging="425"/>
        <w:rPr>
          <w:lang w:val="fr-FR"/>
        </w:rPr>
      </w:pPr>
      <w:r>
        <w:rPr>
          <w:rFonts w:eastAsia="Calibri"/>
          <w:bCs/>
          <w:lang w:val="fr-FR"/>
        </w:rPr>
        <w:t>21.</w:t>
      </w:r>
      <w:r>
        <w:rPr>
          <w:rFonts w:eastAsia="Calibri"/>
          <w:bCs/>
          <w:lang w:val="fr-FR"/>
        </w:rPr>
        <w:tab/>
        <w:t>La feuille de calcul 5 combine toutes les valeurs dans une seule matrice et donne un résultat unique pour chaque intersection de valeurs et de menaces (sur la base de l</w:t>
      </w:r>
      <w:r w:rsidR="00C97F2B">
        <w:rPr>
          <w:rFonts w:eastAsia="Calibri"/>
          <w:bCs/>
          <w:lang w:val="fr-FR"/>
        </w:rPr>
        <w:t>’</w:t>
      </w:r>
      <w:r w:rsidR="00744350">
        <w:rPr>
          <w:rFonts w:eastAsia="Calibri"/>
          <w:bCs/>
          <w:lang w:val="fr-FR"/>
        </w:rPr>
        <w:t>équation 1</w:t>
      </w:r>
      <w:r>
        <w:rPr>
          <w:rFonts w:eastAsia="Calibri"/>
          <w:bCs/>
          <w:lang w:val="fr-FR"/>
        </w:rPr>
        <w:t xml:space="preserve">). La feuille de calcul présente une synthèse de toutes les valeurs que la zone humide fournit, des menaces qui pèsent sur elle, et </w:t>
      </w:r>
      <w:r w:rsidR="008D321C">
        <w:rPr>
          <w:rFonts w:eastAsia="Calibri"/>
          <w:bCs/>
          <w:lang w:val="fr-FR"/>
        </w:rPr>
        <w:t>indique</w:t>
      </w:r>
      <w:r>
        <w:rPr>
          <w:rFonts w:eastAsia="Calibri"/>
          <w:bCs/>
          <w:lang w:val="fr-FR"/>
        </w:rPr>
        <w:t xml:space="preserve"> quelles menaces ont un impact sur quelles valeurs.</w:t>
      </w:r>
    </w:p>
    <w:p w14:paraId="6C86688A" w14:textId="77777777" w:rsidR="00CF1FB8" w:rsidRPr="00C97F2B" w:rsidRDefault="00295C2B" w:rsidP="00392508">
      <w:pPr>
        <w:pStyle w:val="DRText"/>
        <w:ind w:firstLine="425"/>
        <w:rPr>
          <w:lang w:val="fr-FR"/>
        </w:rPr>
      </w:pPr>
      <w:r>
        <w:rPr>
          <w:rFonts w:eastAsia="Calibri"/>
          <w:lang w:val="fr-FR"/>
        </w:rPr>
        <w:t>Valeur de l</w:t>
      </w:r>
      <w:r w:rsidR="00C97F2B">
        <w:rPr>
          <w:rFonts w:eastAsia="Calibri"/>
          <w:lang w:val="fr-FR"/>
        </w:rPr>
        <w:t>’</w:t>
      </w:r>
      <w:r>
        <w:rPr>
          <w:rFonts w:eastAsia="Calibri"/>
          <w:lang w:val="fr-FR"/>
        </w:rPr>
        <w:t>évaluation finale = score de valeur × lien × score de menace (équation 1)</w:t>
      </w:r>
    </w:p>
    <w:p w14:paraId="7B6567DF" w14:textId="77777777" w:rsidR="00CF1FB8" w:rsidRPr="00C97F2B" w:rsidRDefault="00CF1FB8" w:rsidP="00392508">
      <w:pPr>
        <w:pStyle w:val="DRText"/>
        <w:rPr>
          <w:lang w:val="fr-FR"/>
        </w:rPr>
      </w:pPr>
    </w:p>
    <w:p w14:paraId="7C4ECC05" w14:textId="77777777" w:rsidR="00CF1FB8" w:rsidRPr="00C97F2B" w:rsidRDefault="00295C2B" w:rsidP="00392508">
      <w:pPr>
        <w:pStyle w:val="AnnexText"/>
        <w:numPr>
          <w:ilvl w:val="0"/>
          <w:numId w:val="0"/>
        </w:numPr>
        <w:spacing w:after="0"/>
        <w:ind w:left="425" w:hanging="425"/>
        <w:rPr>
          <w:lang w:val="fr-FR"/>
        </w:rPr>
      </w:pPr>
      <w:r>
        <w:rPr>
          <w:rFonts w:eastAsia="Calibri"/>
          <w:bCs/>
          <w:lang w:val="fr-FR"/>
        </w:rPr>
        <w:t>22.</w:t>
      </w:r>
      <w:r>
        <w:rPr>
          <w:rFonts w:eastAsia="Calibri"/>
          <w:bCs/>
          <w:lang w:val="fr-FR"/>
        </w:rPr>
        <w:tab/>
        <w:t>Comme les scores de menace H, M, L et N peuvent se voir attribuer des valeurs numériques de 3, 2, 1 et 0, respectivement, le score d</w:t>
      </w:r>
      <w:r w:rsidR="00C97F2B">
        <w:rPr>
          <w:rFonts w:eastAsia="Calibri"/>
          <w:bCs/>
          <w:lang w:val="fr-FR"/>
        </w:rPr>
        <w:t>’</w:t>
      </w:r>
      <w:r>
        <w:rPr>
          <w:rFonts w:eastAsia="Calibri"/>
          <w:bCs/>
          <w:lang w:val="fr-FR"/>
        </w:rPr>
        <w:t>évaluation final est un nombre compris entre 0 et 27. Les scores compris entre 0 et 9 sont codés en vert et sont considérés comme des menaces relativement faibles, les scores compris entre 10 et 18 sont codés en orange</w:t>
      </w:r>
      <w:r w:rsidR="008D321C">
        <w:rPr>
          <w:rFonts w:eastAsia="Calibri"/>
          <w:bCs/>
          <w:lang w:val="fr-FR"/>
        </w:rPr>
        <w:t>,</w:t>
      </w:r>
      <w:r>
        <w:rPr>
          <w:rFonts w:eastAsia="Calibri"/>
          <w:bCs/>
          <w:lang w:val="fr-FR"/>
        </w:rPr>
        <w:t xml:space="preserve"> et les scores compris entre 19 et 27 sont codés en rouge, afin de mettre l</w:t>
      </w:r>
      <w:r w:rsidR="00C97F2B">
        <w:rPr>
          <w:rFonts w:eastAsia="Calibri"/>
          <w:bCs/>
          <w:lang w:val="fr-FR"/>
        </w:rPr>
        <w:t>’</w:t>
      </w:r>
      <w:r>
        <w:rPr>
          <w:rFonts w:eastAsia="Calibri"/>
          <w:bCs/>
          <w:lang w:val="fr-FR"/>
        </w:rPr>
        <w:t>accent sur les composantes et les services fortement menacés.</w:t>
      </w:r>
    </w:p>
    <w:p w14:paraId="75F5DF50" w14:textId="77777777" w:rsidR="00742DB7" w:rsidRPr="00C97F2B" w:rsidRDefault="00742DB7" w:rsidP="00392508">
      <w:pPr>
        <w:pStyle w:val="AnnexText"/>
        <w:numPr>
          <w:ilvl w:val="0"/>
          <w:numId w:val="0"/>
        </w:numPr>
        <w:spacing w:after="0"/>
        <w:ind w:left="425" w:hanging="425"/>
        <w:rPr>
          <w:lang w:val="fr-FR"/>
        </w:rPr>
      </w:pPr>
    </w:p>
    <w:p w14:paraId="7484F7DF" w14:textId="77777777" w:rsidR="00CF1FB8" w:rsidRPr="00C97F2B" w:rsidRDefault="00295C2B" w:rsidP="00392508">
      <w:pPr>
        <w:pStyle w:val="AnnexText"/>
        <w:numPr>
          <w:ilvl w:val="0"/>
          <w:numId w:val="0"/>
        </w:numPr>
        <w:spacing w:after="0"/>
        <w:ind w:left="425" w:hanging="425"/>
        <w:rPr>
          <w:lang w:val="fr-FR"/>
        </w:rPr>
      </w:pPr>
      <w:r>
        <w:rPr>
          <w:rFonts w:eastAsia="Calibri"/>
          <w:bCs/>
          <w:lang w:val="fr-FR"/>
        </w:rPr>
        <w:t>23.</w:t>
      </w:r>
      <w:r>
        <w:rPr>
          <w:rFonts w:eastAsia="Calibri"/>
          <w:bCs/>
          <w:lang w:val="fr-FR"/>
        </w:rPr>
        <w:tab/>
        <w:t>La méthode est conçue de manière à ce qu</w:t>
      </w:r>
      <w:r w:rsidR="00C97F2B">
        <w:rPr>
          <w:rFonts w:eastAsia="Calibri"/>
          <w:bCs/>
          <w:lang w:val="fr-FR"/>
        </w:rPr>
        <w:t>’</w:t>
      </w:r>
      <w:r>
        <w:rPr>
          <w:rFonts w:eastAsia="Calibri"/>
          <w:bCs/>
          <w:lang w:val="fr-FR"/>
        </w:rPr>
        <w:t>une évaluation puisse être menée dans des situations où les données sont limitées ou manquantes et, dans ces cas, l</w:t>
      </w:r>
      <w:r w:rsidR="00C97F2B">
        <w:rPr>
          <w:rFonts w:eastAsia="Calibri"/>
          <w:bCs/>
          <w:lang w:val="fr-FR"/>
        </w:rPr>
        <w:t>’</w:t>
      </w:r>
      <w:r>
        <w:rPr>
          <w:rFonts w:eastAsia="Calibri"/>
          <w:bCs/>
          <w:lang w:val="fr-FR"/>
        </w:rPr>
        <w:t>évaluation finale mettra en évidence les données manquantes. En inscrivant un U (Inconnu) à côté d</w:t>
      </w:r>
      <w:r w:rsidR="00C97F2B">
        <w:rPr>
          <w:rFonts w:eastAsia="Calibri"/>
          <w:bCs/>
          <w:lang w:val="fr-FR"/>
        </w:rPr>
        <w:t>’</w:t>
      </w:r>
      <w:r>
        <w:rPr>
          <w:rFonts w:eastAsia="Calibri"/>
          <w:bCs/>
          <w:lang w:val="fr-FR"/>
        </w:rPr>
        <w:t>une valeur ou d</w:t>
      </w:r>
      <w:r w:rsidR="00C97F2B">
        <w:rPr>
          <w:rFonts w:eastAsia="Calibri"/>
          <w:bCs/>
          <w:lang w:val="fr-FR"/>
        </w:rPr>
        <w:t>’</w:t>
      </w:r>
      <w:r>
        <w:rPr>
          <w:rFonts w:eastAsia="Calibri"/>
          <w:bCs/>
          <w:lang w:val="fr-FR"/>
        </w:rPr>
        <w:t>une menace, le tableur vérifie s</w:t>
      </w:r>
      <w:r w:rsidR="00C97F2B">
        <w:rPr>
          <w:rFonts w:eastAsia="Calibri"/>
          <w:bCs/>
          <w:lang w:val="fr-FR"/>
        </w:rPr>
        <w:t>’</w:t>
      </w:r>
      <w:r>
        <w:rPr>
          <w:rFonts w:eastAsia="Calibri"/>
          <w:bCs/>
          <w:lang w:val="fr-FR"/>
        </w:rPr>
        <w:t>il existe un potentiel d</w:t>
      </w:r>
      <w:r w:rsidR="00C97F2B">
        <w:rPr>
          <w:rFonts w:eastAsia="Calibri"/>
          <w:bCs/>
          <w:lang w:val="fr-FR"/>
        </w:rPr>
        <w:t>’</w:t>
      </w:r>
      <w:r>
        <w:rPr>
          <w:rFonts w:eastAsia="Calibri"/>
          <w:bCs/>
          <w:lang w:val="fr-FR"/>
        </w:rPr>
        <w:t>impact négatif et, si c</w:t>
      </w:r>
      <w:r w:rsidR="00C97F2B">
        <w:rPr>
          <w:rFonts w:eastAsia="Calibri"/>
          <w:bCs/>
          <w:lang w:val="fr-FR"/>
        </w:rPr>
        <w:t>’</w:t>
      </w:r>
      <w:r>
        <w:rPr>
          <w:rFonts w:eastAsia="Calibri"/>
          <w:bCs/>
          <w:lang w:val="fr-FR"/>
        </w:rPr>
        <w:t>est le cas, le met en évidence dans l</w:t>
      </w:r>
      <w:r w:rsidR="00C97F2B">
        <w:rPr>
          <w:rFonts w:eastAsia="Calibri"/>
          <w:bCs/>
          <w:lang w:val="fr-FR"/>
        </w:rPr>
        <w:t>’</w:t>
      </w:r>
      <w:r>
        <w:rPr>
          <w:rFonts w:eastAsia="Calibri"/>
          <w:bCs/>
          <w:lang w:val="fr-FR"/>
        </w:rPr>
        <w:t xml:space="preserve">évaluation de la feuille de calcul 5. La flexibilité est intégrée à la méthode en prévoyant un espace pour les « autres valeurs/menaces », dans lequel </w:t>
      </w:r>
      <w:r w:rsidR="00744350">
        <w:rPr>
          <w:rFonts w:eastAsia="Calibri"/>
          <w:bCs/>
          <w:lang w:val="fr-FR"/>
        </w:rPr>
        <w:t>il est possible d’</w:t>
      </w:r>
      <w:r>
        <w:rPr>
          <w:rFonts w:eastAsia="Calibri"/>
          <w:bCs/>
          <w:lang w:val="fr-FR"/>
        </w:rPr>
        <w:t>inscrire leurs valeurs ou menaces (ou les deux), qui apparaîtront dans les feuilles de calcul suivantes. Cela facilite la prise en compte de toute valeur ou menace imprévue sur le site.</w:t>
      </w:r>
    </w:p>
    <w:p w14:paraId="2C2610F0" w14:textId="77777777" w:rsidR="00742DB7" w:rsidRPr="00C97F2B" w:rsidRDefault="00742DB7" w:rsidP="00392508">
      <w:pPr>
        <w:pStyle w:val="AnnexText"/>
        <w:numPr>
          <w:ilvl w:val="0"/>
          <w:numId w:val="0"/>
        </w:numPr>
        <w:spacing w:after="0"/>
        <w:ind w:left="425" w:hanging="425"/>
        <w:rPr>
          <w:lang w:val="fr-FR"/>
        </w:rPr>
      </w:pPr>
    </w:p>
    <w:p w14:paraId="4B648275" w14:textId="77777777" w:rsidR="00010DF9" w:rsidRPr="00C97F2B" w:rsidRDefault="00295C2B" w:rsidP="00392508">
      <w:pPr>
        <w:pStyle w:val="AnnexText"/>
        <w:numPr>
          <w:ilvl w:val="0"/>
          <w:numId w:val="0"/>
        </w:numPr>
        <w:spacing w:after="0"/>
        <w:ind w:left="425" w:hanging="425"/>
        <w:rPr>
          <w:lang w:val="fr-FR"/>
        </w:rPr>
      </w:pPr>
      <w:r>
        <w:rPr>
          <w:rFonts w:eastAsia="Calibri"/>
          <w:bCs/>
          <w:lang w:val="fr-FR"/>
        </w:rPr>
        <w:t>24.</w:t>
      </w:r>
      <w:r>
        <w:rPr>
          <w:rFonts w:eastAsia="Calibri"/>
          <w:bCs/>
          <w:lang w:val="fr-FR"/>
        </w:rPr>
        <w:tab/>
      </w:r>
      <w:r>
        <w:rPr>
          <w:rFonts w:eastAsia="Calibri"/>
          <w:bCs/>
          <w:i/>
          <w:iCs/>
          <w:lang w:val="fr-FR"/>
        </w:rPr>
        <w:t>Feuille de calcul 6 : Résumé.</w:t>
      </w:r>
      <w:r>
        <w:rPr>
          <w:rFonts w:eastAsia="Calibri"/>
          <w:bCs/>
          <w:lang w:val="fr-FR"/>
        </w:rPr>
        <w:t xml:space="preserve"> </w:t>
      </w:r>
      <w:r w:rsidR="00744350">
        <w:rPr>
          <w:rFonts w:eastAsia="Calibri"/>
          <w:bCs/>
          <w:lang w:val="fr-FR"/>
        </w:rPr>
        <w:t>L</w:t>
      </w:r>
      <w:r>
        <w:rPr>
          <w:rFonts w:eastAsia="Calibri"/>
          <w:bCs/>
          <w:lang w:val="fr-FR"/>
        </w:rPr>
        <w:t xml:space="preserve">a feuille de calcul 5 </w:t>
      </w:r>
      <w:r w:rsidR="00744350">
        <w:rPr>
          <w:rFonts w:eastAsia="Calibri"/>
          <w:bCs/>
          <w:lang w:val="fr-FR"/>
        </w:rPr>
        <w:t>contenant</w:t>
      </w:r>
      <w:r>
        <w:rPr>
          <w:rFonts w:eastAsia="Calibri"/>
          <w:bCs/>
          <w:lang w:val="fr-FR"/>
        </w:rPr>
        <w:t xml:space="preserve"> un grand nombre d</w:t>
      </w:r>
      <w:r w:rsidR="00C97F2B">
        <w:rPr>
          <w:rFonts w:eastAsia="Calibri"/>
          <w:bCs/>
          <w:lang w:val="fr-FR"/>
        </w:rPr>
        <w:t>’</w:t>
      </w:r>
      <w:r>
        <w:rPr>
          <w:rFonts w:eastAsia="Calibri"/>
          <w:bCs/>
          <w:lang w:val="fr-FR"/>
        </w:rPr>
        <w:t>informations, les principales menaces ainsi que les composantes et services menacés sont résumés dans la feuille de calcul 6 afin d</w:t>
      </w:r>
      <w:r w:rsidR="00C97F2B">
        <w:rPr>
          <w:rFonts w:eastAsia="Calibri"/>
          <w:bCs/>
          <w:lang w:val="fr-FR"/>
        </w:rPr>
        <w:t>’</w:t>
      </w:r>
      <w:r>
        <w:rPr>
          <w:rFonts w:eastAsia="Calibri"/>
          <w:bCs/>
          <w:lang w:val="fr-FR"/>
        </w:rPr>
        <w:t>aider les gestionnaires de zones humides à établir un ordre de priorité pour les futures mesures de gestion.</w:t>
      </w:r>
    </w:p>
    <w:p w14:paraId="69ED8FFA" w14:textId="77777777" w:rsidR="00742DB7" w:rsidRPr="00C97F2B" w:rsidRDefault="00742DB7" w:rsidP="00392508">
      <w:pPr>
        <w:pStyle w:val="AnnexText"/>
        <w:numPr>
          <w:ilvl w:val="0"/>
          <w:numId w:val="0"/>
        </w:numPr>
        <w:spacing w:after="0"/>
        <w:ind w:left="425" w:hanging="425"/>
        <w:rPr>
          <w:lang w:val="fr-FR"/>
        </w:rPr>
      </w:pPr>
    </w:p>
    <w:p w14:paraId="59B962FA" w14:textId="77777777" w:rsidR="00682B61" w:rsidRPr="00C97F2B" w:rsidRDefault="00295C2B" w:rsidP="00392508">
      <w:pPr>
        <w:pStyle w:val="AnnexH1"/>
        <w:spacing w:after="0"/>
        <w:rPr>
          <w:lang w:val="fr-FR"/>
        </w:rPr>
      </w:pPr>
      <w:r>
        <w:rPr>
          <w:rFonts w:eastAsia="Calibri"/>
          <w:lang w:val="fr-FR"/>
        </w:rPr>
        <w:t>Utilisation des résultats</w:t>
      </w:r>
    </w:p>
    <w:p w14:paraId="38170602" w14:textId="77777777" w:rsidR="00742DB7" w:rsidRPr="00C97F2B" w:rsidRDefault="00742DB7" w:rsidP="00392508">
      <w:pPr>
        <w:pStyle w:val="AnnexH1"/>
        <w:spacing w:after="0"/>
        <w:rPr>
          <w:lang w:val="fr-FR"/>
        </w:rPr>
      </w:pPr>
    </w:p>
    <w:p w14:paraId="664E57DC" w14:textId="77777777" w:rsidR="00682B61" w:rsidRPr="00C97F2B" w:rsidRDefault="00295C2B" w:rsidP="00392508">
      <w:pPr>
        <w:pStyle w:val="AnnexText"/>
        <w:numPr>
          <w:ilvl w:val="0"/>
          <w:numId w:val="0"/>
        </w:numPr>
        <w:spacing w:after="0"/>
        <w:ind w:left="425" w:hanging="425"/>
        <w:rPr>
          <w:lang w:val="fr-FR"/>
        </w:rPr>
      </w:pPr>
      <w:r>
        <w:rPr>
          <w:rFonts w:eastAsia="Calibri"/>
          <w:bCs/>
          <w:lang w:val="fr-FR"/>
        </w:rPr>
        <w:t>25.</w:t>
      </w:r>
      <w:r>
        <w:rPr>
          <w:rFonts w:eastAsia="Calibri"/>
          <w:bCs/>
          <w:lang w:val="fr-FR"/>
        </w:rPr>
        <w:tab/>
        <w:t>W</w:t>
      </w:r>
      <w:r w:rsidR="00744350">
        <w:rPr>
          <w:rFonts w:eastAsia="Calibri"/>
          <w:bCs/>
          <w:lang w:val="fr-FR"/>
        </w:rPr>
        <w:t>et</w:t>
      </w:r>
      <w:r>
        <w:rPr>
          <w:rFonts w:eastAsia="Calibri"/>
          <w:bCs/>
          <w:lang w:val="fr-FR"/>
        </w:rPr>
        <w:t>VAT a été conçu afin d</w:t>
      </w:r>
      <w:r w:rsidR="00C97F2B">
        <w:rPr>
          <w:rFonts w:eastAsia="Calibri"/>
          <w:bCs/>
          <w:lang w:val="fr-FR"/>
        </w:rPr>
        <w:t>’</w:t>
      </w:r>
      <w:r>
        <w:rPr>
          <w:rFonts w:eastAsia="Calibri"/>
          <w:bCs/>
          <w:lang w:val="fr-FR"/>
        </w:rPr>
        <w:t>être utilisé à la fois pour les zones humides d</w:t>
      </w:r>
      <w:r w:rsidR="00C97F2B">
        <w:rPr>
          <w:rFonts w:eastAsia="Calibri"/>
          <w:bCs/>
          <w:lang w:val="fr-FR"/>
        </w:rPr>
        <w:t>’</w:t>
      </w:r>
      <w:r>
        <w:rPr>
          <w:rFonts w:eastAsia="Calibri"/>
          <w:bCs/>
          <w:lang w:val="fr-FR"/>
        </w:rPr>
        <w:t>importance internationale et pour les autres zones humides. Les résultats peuvent être utilisés à diverses fins, notamment pour étudier les scénarios de menaces réelles ou potentielles de projets ou de développements susceptibles d</w:t>
      </w:r>
      <w:r w:rsidR="00C97F2B">
        <w:rPr>
          <w:rFonts w:eastAsia="Calibri"/>
          <w:bCs/>
          <w:lang w:val="fr-FR"/>
        </w:rPr>
        <w:t>’</w:t>
      </w:r>
      <w:r>
        <w:rPr>
          <w:rFonts w:eastAsia="Calibri"/>
          <w:bCs/>
          <w:lang w:val="fr-FR"/>
        </w:rPr>
        <w:t>avoir un impact sur un site de zone humide ; pour informer la hiérarchisation de l</w:t>
      </w:r>
      <w:r w:rsidR="00C97F2B">
        <w:rPr>
          <w:rFonts w:eastAsia="Calibri"/>
          <w:bCs/>
          <w:lang w:val="fr-FR"/>
        </w:rPr>
        <w:t>’</w:t>
      </w:r>
      <w:r>
        <w:rPr>
          <w:rFonts w:eastAsia="Calibri"/>
          <w:bCs/>
          <w:lang w:val="fr-FR"/>
        </w:rPr>
        <w:t>affectation des ressources en vue d</w:t>
      </w:r>
      <w:r w:rsidR="00C97F2B">
        <w:rPr>
          <w:rFonts w:eastAsia="Calibri"/>
          <w:bCs/>
          <w:lang w:val="fr-FR"/>
        </w:rPr>
        <w:t>’</w:t>
      </w:r>
      <w:r>
        <w:rPr>
          <w:rFonts w:eastAsia="Calibri"/>
          <w:bCs/>
          <w:lang w:val="fr-FR"/>
        </w:rPr>
        <w:t>une intervention visant à atténuer les menaces ; pour informer les activités de planification de la gestion dans le cadre des plans de gestion des sites ; ou pour mettre en évidence les lacunes en matière de connaissances et hiérarchiser les ressources en vue de connaître les menaces les plus importantes et d</w:t>
      </w:r>
      <w:r w:rsidR="00C97F2B">
        <w:rPr>
          <w:rFonts w:eastAsia="Calibri"/>
          <w:bCs/>
          <w:lang w:val="fr-FR"/>
        </w:rPr>
        <w:t>’</w:t>
      </w:r>
      <w:r>
        <w:rPr>
          <w:rFonts w:eastAsia="Calibri"/>
          <w:bCs/>
          <w:lang w:val="fr-FR"/>
        </w:rPr>
        <w:t>y répondre.</w:t>
      </w:r>
    </w:p>
    <w:p w14:paraId="668D8AA8" w14:textId="77777777" w:rsidR="001F59E8" w:rsidRPr="00C97F2B" w:rsidRDefault="001F59E8" w:rsidP="00CF1FB8">
      <w:pPr>
        <w:pStyle w:val="DRText"/>
        <w:rPr>
          <w:lang w:val="fr-FR"/>
        </w:rPr>
        <w:sectPr w:rsidR="001F59E8" w:rsidRPr="00C97F2B" w:rsidSect="0091380A">
          <w:footerReference w:type="default" r:id="rId11"/>
          <w:pgSz w:w="11901" w:h="16817"/>
          <w:pgMar w:top="1440" w:right="1440" w:bottom="1440" w:left="1440" w:header="1134" w:footer="720" w:gutter="0"/>
          <w:cols w:space="708"/>
          <w:titlePg/>
          <w:docGrid w:linePitch="360"/>
        </w:sectPr>
      </w:pPr>
    </w:p>
    <w:p w14:paraId="5F0D32E9" w14:textId="7E96E84A" w:rsidR="00686A60" w:rsidRPr="00800EB5" w:rsidRDefault="00295C2B" w:rsidP="00686A60">
      <w:pPr>
        <w:pStyle w:val="AnnexFig"/>
        <w:rPr>
          <w:lang w:val="fr-FR"/>
        </w:rPr>
      </w:pPr>
      <w:r>
        <w:rPr>
          <w:rFonts w:eastAsia="Calibri"/>
          <w:lang w:val="fr-FR"/>
        </w:rPr>
        <w:t>Figure 1. Feuille de calcul 1 : Page d</w:t>
      </w:r>
      <w:r w:rsidR="00C97F2B">
        <w:rPr>
          <w:rFonts w:eastAsia="Calibri"/>
          <w:lang w:val="fr-FR"/>
        </w:rPr>
        <w:t>’</w:t>
      </w:r>
      <w:r>
        <w:rPr>
          <w:rFonts w:eastAsia="Calibri"/>
          <w:lang w:val="fr-FR"/>
        </w:rPr>
        <w:t>accueil</w:t>
      </w:r>
      <w:r w:rsidR="00800EB5">
        <w:rPr>
          <w:rFonts w:eastAsia="Calibri"/>
          <w:lang w:val="fr-FR"/>
        </w:rPr>
        <w:t xml:space="preserve"> </w:t>
      </w:r>
      <w:r w:rsidR="00302191">
        <w:rPr>
          <w:rFonts w:eastAsia="Calibri"/>
          <w:lang w:val="fr-FR"/>
        </w:rPr>
        <w:t>(</w:t>
      </w:r>
      <w:r w:rsidR="00800EB5" w:rsidRPr="00800EB5">
        <w:rPr>
          <w:rFonts w:eastAsia="Calibri"/>
          <w:lang w:val="fr-FR"/>
        </w:rPr>
        <w:t>uniquement </w:t>
      </w:r>
      <w:r w:rsidR="00800EB5" w:rsidRPr="00800EB5">
        <w:rPr>
          <w:rFonts w:eastAsia="Calibri"/>
          <w:lang w:val="fr-FR"/>
        </w:rPr>
        <w:t xml:space="preserve"> </w:t>
      </w:r>
      <w:r w:rsidR="00800EB5" w:rsidRPr="00800EB5">
        <w:rPr>
          <w:rFonts w:eastAsia="Calibri"/>
          <w:lang w:val="fr-FR"/>
        </w:rPr>
        <w:t>en anglais</w:t>
      </w:r>
      <w:r w:rsidR="00302191">
        <w:rPr>
          <w:rFonts w:eastAsia="Calibri"/>
          <w:lang w:val="fr-FR"/>
        </w:rPr>
        <w:t>)</w:t>
      </w:r>
    </w:p>
    <w:p w14:paraId="1866F35B" w14:textId="77777777" w:rsidR="00977A18" w:rsidRPr="00C97F2B" w:rsidRDefault="00977A18" w:rsidP="00686A60">
      <w:pPr>
        <w:pStyle w:val="AnnexFig"/>
        <w:rPr>
          <w:lang w:val="fr-FR"/>
        </w:rPr>
      </w:pPr>
    </w:p>
    <w:p w14:paraId="4092B450" w14:textId="01BABAC2" w:rsidR="00686A60" w:rsidRDefault="00800EB5" w:rsidP="00CF1FB8">
      <w:pPr>
        <w:pStyle w:val="DRText"/>
      </w:pPr>
      <w:r>
        <w:rPr>
          <w:noProof/>
        </w:rPr>
        <w:drawing>
          <wp:inline distT="0" distB="0" distL="0" distR="0" wp14:anchorId="6D8A339D" wp14:editId="73759AA6">
            <wp:extent cx="5067300" cy="4262655"/>
            <wp:effectExtent l="0" t="0" r="0" b="5080"/>
            <wp:docPr id="487116451"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16451" name="그림 1" descr="A screenshot of a computer&#10;&#10;Description automatically generated"/>
                    <pic:cNvPicPr/>
                  </pic:nvPicPr>
                  <pic:blipFill rotWithShape="1">
                    <a:blip r:embed="rId12"/>
                    <a:srcRect l="889" t="33235" r="74405" b="11247"/>
                    <a:stretch/>
                  </pic:blipFill>
                  <pic:spPr bwMode="auto">
                    <a:xfrm>
                      <a:off x="0" y="0"/>
                      <a:ext cx="5094167" cy="4285256"/>
                    </a:xfrm>
                    <a:prstGeom prst="rect">
                      <a:avLst/>
                    </a:prstGeom>
                    <a:ln>
                      <a:noFill/>
                    </a:ln>
                    <a:extLst>
                      <a:ext uri="{53640926-AAD7-44D8-BBD7-CCE9431645EC}">
                        <a14:shadowObscured xmlns:a14="http://schemas.microsoft.com/office/drawing/2010/main"/>
                      </a:ext>
                    </a:extLst>
                  </pic:spPr>
                </pic:pic>
              </a:graphicData>
            </a:graphic>
          </wp:inline>
        </w:drawing>
      </w:r>
    </w:p>
    <w:p w14:paraId="571C3B20" w14:textId="77777777" w:rsidR="00977A18" w:rsidRDefault="00977A18" w:rsidP="00977A18"/>
    <w:p w14:paraId="71152133" w14:textId="77777777" w:rsidR="00977A18" w:rsidRDefault="00977A18" w:rsidP="00977A18"/>
    <w:p w14:paraId="52A794EB" w14:textId="77777777" w:rsidR="00732665" w:rsidRDefault="00732665" w:rsidP="00977A18"/>
    <w:p w14:paraId="46F4E995" w14:textId="67BA32EE" w:rsidR="00686A60" w:rsidRPr="00C97F2B" w:rsidRDefault="00295C2B" w:rsidP="002E5F52">
      <w:pPr>
        <w:pStyle w:val="AnnexFig"/>
        <w:rPr>
          <w:lang w:val="fr-FR"/>
        </w:rPr>
      </w:pPr>
      <w:r>
        <w:rPr>
          <w:rFonts w:eastAsia="Calibri"/>
          <w:lang w:val="fr-FR"/>
        </w:rPr>
        <w:t>Figure 2. Feuille de calcul 2 : Composantes de l</w:t>
      </w:r>
      <w:r w:rsidR="00C97F2B">
        <w:rPr>
          <w:rFonts w:eastAsia="Calibri"/>
          <w:lang w:val="fr-FR"/>
        </w:rPr>
        <w:t>’</w:t>
      </w:r>
      <w:r>
        <w:rPr>
          <w:rFonts w:eastAsia="Calibri"/>
          <w:lang w:val="fr-FR"/>
        </w:rPr>
        <w:t>écosystème</w:t>
      </w:r>
      <w:r w:rsidR="00302191">
        <w:rPr>
          <w:rFonts w:eastAsia="Calibri"/>
          <w:lang w:val="fr-FR"/>
        </w:rPr>
        <w:t xml:space="preserve"> </w:t>
      </w:r>
      <w:r w:rsidR="00302191">
        <w:rPr>
          <w:rFonts w:eastAsia="Calibri"/>
          <w:lang w:val="fr-FR"/>
        </w:rPr>
        <w:t>(</w:t>
      </w:r>
      <w:r w:rsidR="00302191" w:rsidRPr="00800EB5">
        <w:rPr>
          <w:rFonts w:eastAsia="Calibri"/>
          <w:lang w:val="fr-FR"/>
        </w:rPr>
        <w:t>uniquement  en anglais</w:t>
      </w:r>
      <w:r w:rsidR="00302191">
        <w:rPr>
          <w:rFonts w:eastAsia="Calibri"/>
          <w:lang w:val="fr-FR"/>
        </w:rPr>
        <w:t>)</w:t>
      </w:r>
    </w:p>
    <w:p w14:paraId="7E24D324" w14:textId="6F72DFB3" w:rsidR="007D06CC" w:rsidRDefault="00295C2B" w:rsidP="00686A60">
      <w:pPr>
        <w:pStyle w:val="AnnexFig"/>
      </w:pPr>
      <w:r>
        <w:rPr>
          <w:noProof/>
          <w:lang w:val="fr-FR" w:eastAsia="fr-FR"/>
        </w:rPr>
        <w:drawing>
          <wp:inline distT="0" distB="0" distL="0" distR="0" wp14:anchorId="6F76AFAB" wp14:editId="373E180D">
            <wp:extent cx="6561734" cy="2789635"/>
            <wp:effectExtent l="0" t="0" r="0" b="0"/>
            <wp:docPr id="104983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30536" name=""/>
                    <pic:cNvPicPr/>
                  </pic:nvPicPr>
                  <pic:blipFill>
                    <a:blip r:embed="rId13"/>
                    <a:srcRect l="971" t="15778" r="57091" b="51681"/>
                    <a:stretch>
                      <a:fillRect/>
                    </a:stretch>
                  </pic:blipFill>
                  <pic:spPr bwMode="auto">
                    <a:xfrm>
                      <a:off x="0" y="0"/>
                      <a:ext cx="6709115" cy="2852292"/>
                    </a:xfrm>
                    <a:prstGeom prst="rect">
                      <a:avLst/>
                    </a:prstGeom>
                    <a:ln>
                      <a:noFill/>
                    </a:ln>
                    <a:extLst>
                      <a:ext uri="{53640926-AAD7-44D8-BBD7-CCE9431645EC}">
                        <a14:shadowObscured xmlns:a14="http://schemas.microsoft.com/office/drawing/2010/main"/>
                      </a:ext>
                    </a:extLst>
                  </pic:spPr>
                </pic:pic>
              </a:graphicData>
            </a:graphic>
          </wp:inline>
        </w:drawing>
      </w:r>
    </w:p>
    <w:p w14:paraId="105AA24A" w14:textId="77777777" w:rsidR="00302191" w:rsidRDefault="00302191">
      <w:pPr>
        <w:rPr>
          <w:rFonts w:ascii="Calibri" w:eastAsia="Calibri" w:hAnsi="Calibri"/>
          <w:b/>
          <w:bCs/>
          <w:sz w:val="22"/>
          <w:szCs w:val="22"/>
          <w:lang w:val="fr-FR" w:eastAsia="en-US"/>
        </w:rPr>
      </w:pPr>
      <w:r>
        <w:rPr>
          <w:rFonts w:eastAsia="Calibri"/>
          <w:lang w:val="fr-FR"/>
        </w:rPr>
        <w:br w:type="page"/>
      </w:r>
    </w:p>
    <w:p w14:paraId="03F99534" w14:textId="671DA994" w:rsidR="00686A60" w:rsidRPr="00C97F2B" w:rsidRDefault="00295C2B" w:rsidP="00686A60">
      <w:pPr>
        <w:pStyle w:val="AnnexFig"/>
        <w:rPr>
          <w:lang w:val="fr-FR"/>
        </w:rPr>
      </w:pPr>
      <w:r>
        <w:rPr>
          <w:rFonts w:eastAsia="Calibri"/>
          <w:lang w:val="fr-FR"/>
        </w:rPr>
        <w:t>Figure 3. Feuille de calcul 3 : Services écosystémiques</w:t>
      </w:r>
      <w:r w:rsidR="00302191">
        <w:rPr>
          <w:rFonts w:eastAsia="Calibri"/>
          <w:lang w:val="fr-FR"/>
        </w:rPr>
        <w:t xml:space="preserve"> </w:t>
      </w:r>
      <w:r w:rsidR="00302191">
        <w:rPr>
          <w:rFonts w:eastAsia="Calibri"/>
          <w:lang w:val="fr-FR"/>
        </w:rPr>
        <w:t>(</w:t>
      </w:r>
      <w:r w:rsidR="00302191" w:rsidRPr="00800EB5">
        <w:rPr>
          <w:rFonts w:eastAsia="Calibri"/>
          <w:lang w:val="fr-FR"/>
        </w:rPr>
        <w:t>uniquement  en anglais</w:t>
      </w:r>
      <w:r w:rsidR="00302191">
        <w:rPr>
          <w:rFonts w:eastAsia="Calibri"/>
          <w:lang w:val="fr-FR"/>
        </w:rPr>
        <w:t>)</w:t>
      </w:r>
    </w:p>
    <w:p w14:paraId="18DDAEF4" w14:textId="1920B339" w:rsidR="00686A60" w:rsidRDefault="00B3064D" w:rsidP="00686A60">
      <w:pPr>
        <w:pStyle w:val="DRText"/>
      </w:pPr>
      <w:r>
        <w:rPr>
          <w:noProof/>
        </w:rPr>
        <w:drawing>
          <wp:inline distT="0" distB="0" distL="0" distR="0" wp14:anchorId="1688512D" wp14:editId="069ED90F">
            <wp:extent cx="6626087" cy="4536374"/>
            <wp:effectExtent l="0" t="0" r="3810" b="0"/>
            <wp:docPr id="9" name="그림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A screenshot of a computer&#10;&#10;Description automatically generated"/>
                    <pic:cNvPicPr/>
                  </pic:nvPicPr>
                  <pic:blipFill rotWithShape="1">
                    <a:blip r:embed="rId14"/>
                    <a:srcRect l="40741" t="18429" r="28484" b="25286"/>
                    <a:stretch/>
                  </pic:blipFill>
                  <pic:spPr bwMode="auto">
                    <a:xfrm>
                      <a:off x="0" y="0"/>
                      <a:ext cx="6666387" cy="4563964"/>
                    </a:xfrm>
                    <a:prstGeom prst="rect">
                      <a:avLst/>
                    </a:prstGeom>
                    <a:ln>
                      <a:noFill/>
                    </a:ln>
                    <a:extLst>
                      <a:ext uri="{53640926-AAD7-44D8-BBD7-CCE9431645EC}">
                        <a14:shadowObscured xmlns:a14="http://schemas.microsoft.com/office/drawing/2010/main"/>
                      </a:ext>
                    </a:extLst>
                  </pic:spPr>
                </pic:pic>
              </a:graphicData>
            </a:graphic>
          </wp:inline>
        </w:drawing>
      </w:r>
    </w:p>
    <w:p w14:paraId="0B8D8FED" w14:textId="6E150C25" w:rsidR="00C32A74" w:rsidRDefault="00B3064D" w:rsidP="00686A60">
      <w:pPr>
        <w:pStyle w:val="DRText"/>
      </w:pPr>
      <w:r>
        <w:rPr>
          <w:noProof/>
        </w:rPr>
        <w:drawing>
          <wp:inline distT="0" distB="0" distL="0" distR="0" wp14:anchorId="387FDC1B" wp14:editId="34B93B6E">
            <wp:extent cx="6642735" cy="2735654"/>
            <wp:effectExtent l="0" t="0" r="5715" b="7620"/>
            <wp:docPr id="10" name="그림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A screenshot of a computer&#10;&#10;Description automatically generated"/>
                    <pic:cNvPicPr/>
                  </pic:nvPicPr>
                  <pic:blipFill rotWithShape="1">
                    <a:blip r:embed="rId15"/>
                    <a:srcRect l="40767" t="34569" r="28401" b="31512"/>
                    <a:stretch/>
                  </pic:blipFill>
                  <pic:spPr bwMode="auto">
                    <a:xfrm>
                      <a:off x="0" y="0"/>
                      <a:ext cx="6642735" cy="2735654"/>
                    </a:xfrm>
                    <a:prstGeom prst="rect">
                      <a:avLst/>
                    </a:prstGeom>
                    <a:ln>
                      <a:noFill/>
                    </a:ln>
                    <a:extLst>
                      <a:ext uri="{53640926-AAD7-44D8-BBD7-CCE9431645EC}">
                        <a14:shadowObscured xmlns:a14="http://schemas.microsoft.com/office/drawing/2010/main"/>
                      </a:ext>
                    </a:extLst>
                  </pic:spPr>
                </pic:pic>
              </a:graphicData>
            </a:graphic>
          </wp:inline>
        </w:drawing>
      </w:r>
    </w:p>
    <w:p w14:paraId="50D71CF0" w14:textId="2F56AD88" w:rsidR="00686A60" w:rsidRDefault="00B3064D" w:rsidP="00686A60">
      <w:pPr>
        <w:rPr>
          <w:rFonts w:ascii="Calibri" w:hAnsi="Calibri"/>
          <w:sz w:val="22"/>
          <w:szCs w:val="22"/>
          <w:lang w:val="en-US" w:eastAsia="en-US"/>
        </w:rPr>
      </w:pPr>
      <w:r>
        <w:rPr>
          <w:noProof/>
        </w:rPr>
        <w:drawing>
          <wp:inline distT="0" distB="0" distL="0" distR="0" wp14:anchorId="2B4C148C" wp14:editId="5A56CFB7">
            <wp:extent cx="6504167" cy="1748642"/>
            <wp:effectExtent l="0" t="0" r="0" b="4445"/>
            <wp:docPr id="11" name="그림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A screenshot of a computer&#10;&#10;Description automatically generated"/>
                    <pic:cNvPicPr/>
                  </pic:nvPicPr>
                  <pic:blipFill rotWithShape="1">
                    <a:blip r:embed="rId16"/>
                    <a:srcRect l="42732" t="24142" r="7939" b="40430"/>
                    <a:stretch/>
                  </pic:blipFill>
                  <pic:spPr bwMode="auto">
                    <a:xfrm>
                      <a:off x="0" y="0"/>
                      <a:ext cx="6634983" cy="1783812"/>
                    </a:xfrm>
                    <a:prstGeom prst="rect">
                      <a:avLst/>
                    </a:prstGeom>
                    <a:ln>
                      <a:noFill/>
                    </a:ln>
                    <a:extLst>
                      <a:ext uri="{53640926-AAD7-44D8-BBD7-CCE9431645EC}">
                        <a14:shadowObscured xmlns:a14="http://schemas.microsoft.com/office/drawing/2010/main"/>
                      </a:ext>
                    </a:extLst>
                  </pic:spPr>
                </pic:pic>
              </a:graphicData>
            </a:graphic>
          </wp:inline>
        </w:drawing>
      </w:r>
      <w:r w:rsidR="00295C2B">
        <w:br w:type="page"/>
      </w:r>
    </w:p>
    <w:p w14:paraId="0208C220" w14:textId="203222BD" w:rsidR="001F59E8" w:rsidRPr="00C97F2B" w:rsidRDefault="00295C2B" w:rsidP="00302191">
      <w:pPr>
        <w:pStyle w:val="AnnexFig"/>
        <w:rPr>
          <w:lang w:val="fr-FR"/>
        </w:rPr>
      </w:pPr>
      <w:r>
        <w:rPr>
          <w:rFonts w:eastAsia="Calibri"/>
          <w:lang w:val="fr-FR"/>
        </w:rPr>
        <w:t>Figure 4. Feuille de calcul 4 : Menaces</w:t>
      </w:r>
      <w:r w:rsidR="00302191">
        <w:rPr>
          <w:rFonts w:eastAsia="Calibri"/>
          <w:lang w:val="fr-FR"/>
        </w:rPr>
        <w:t xml:space="preserve"> </w:t>
      </w:r>
      <w:r w:rsidR="00302191">
        <w:rPr>
          <w:rFonts w:eastAsia="Calibri"/>
          <w:lang w:val="fr-FR"/>
        </w:rPr>
        <w:t>(</w:t>
      </w:r>
      <w:r w:rsidR="00302191" w:rsidRPr="00800EB5">
        <w:rPr>
          <w:rFonts w:eastAsia="Calibri"/>
          <w:lang w:val="fr-FR"/>
        </w:rPr>
        <w:t>uniquement  en anglais</w:t>
      </w:r>
      <w:r w:rsidR="00302191">
        <w:rPr>
          <w:rFonts w:eastAsia="Calibri"/>
          <w:lang w:val="fr-FR"/>
        </w:rPr>
        <w:t>)</w:t>
      </w:r>
    </w:p>
    <w:p w14:paraId="4ECDDD08" w14:textId="77777777" w:rsidR="00B3064D" w:rsidRDefault="00B3064D" w:rsidP="00B3064D">
      <w:pPr>
        <w:pStyle w:val="AnnexFig"/>
        <w:spacing w:after="0"/>
      </w:pPr>
      <w:r>
        <w:rPr>
          <w:noProof/>
        </w:rPr>
        <w:drawing>
          <wp:inline distT="0" distB="0" distL="0" distR="0" wp14:anchorId="0E208D55" wp14:editId="11DABEA3">
            <wp:extent cx="6612890" cy="2409190"/>
            <wp:effectExtent l="0" t="0" r="0" b="0"/>
            <wp:docPr id="13" name="그림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A screenshot of a computer&#10;&#10;Description automatically generated"/>
                    <pic:cNvPicPr/>
                  </pic:nvPicPr>
                  <pic:blipFill rotWithShape="1">
                    <a:blip r:embed="rId17"/>
                    <a:srcRect l="41077" t="19056" r="689" b="24271"/>
                    <a:stretch/>
                  </pic:blipFill>
                  <pic:spPr bwMode="auto">
                    <a:xfrm>
                      <a:off x="0" y="0"/>
                      <a:ext cx="6672794" cy="2431014"/>
                    </a:xfrm>
                    <a:prstGeom prst="rect">
                      <a:avLst/>
                    </a:prstGeom>
                    <a:ln>
                      <a:noFill/>
                    </a:ln>
                    <a:extLst>
                      <a:ext uri="{53640926-AAD7-44D8-BBD7-CCE9431645EC}">
                        <a14:shadowObscured xmlns:a14="http://schemas.microsoft.com/office/drawing/2010/main"/>
                      </a:ext>
                    </a:extLst>
                  </pic:spPr>
                </pic:pic>
              </a:graphicData>
            </a:graphic>
          </wp:inline>
        </w:drawing>
      </w:r>
    </w:p>
    <w:p w14:paraId="58A2FBEF" w14:textId="77777777" w:rsidR="00B3064D" w:rsidRDefault="00B3064D" w:rsidP="00B3064D">
      <w:pPr>
        <w:pStyle w:val="AnnexFig"/>
        <w:spacing w:after="0"/>
      </w:pPr>
      <w:r>
        <w:rPr>
          <w:noProof/>
        </w:rPr>
        <w:drawing>
          <wp:inline distT="0" distB="0" distL="0" distR="0" wp14:anchorId="475269F8" wp14:editId="170712C9">
            <wp:extent cx="6612890" cy="2442949"/>
            <wp:effectExtent l="0" t="0" r="0" b="0"/>
            <wp:docPr id="14" name="그림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descr="A screenshot of a computer&#10;&#10;Description automatically generated"/>
                    <pic:cNvPicPr/>
                  </pic:nvPicPr>
                  <pic:blipFill rotWithShape="1">
                    <a:blip r:embed="rId18"/>
                    <a:srcRect l="41057" t="23561" r="646" b="18908"/>
                    <a:stretch/>
                  </pic:blipFill>
                  <pic:spPr bwMode="auto">
                    <a:xfrm>
                      <a:off x="0" y="0"/>
                      <a:ext cx="6699846" cy="2475072"/>
                    </a:xfrm>
                    <a:prstGeom prst="rect">
                      <a:avLst/>
                    </a:prstGeom>
                    <a:ln>
                      <a:noFill/>
                    </a:ln>
                    <a:extLst>
                      <a:ext uri="{53640926-AAD7-44D8-BBD7-CCE9431645EC}">
                        <a14:shadowObscured xmlns:a14="http://schemas.microsoft.com/office/drawing/2010/main"/>
                      </a:ext>
                    </a:extLst>
                  </pic:spPr>
                </pic:pic>
              </a:graphicData>
            </a:graphic>
          </wp:inline>
        </w:drawing>
      </w:r>
    </w:p>
    <w:p w14:paraId="36BA469D" w14:textId="77777777" w:rsidR="00B3064D" w:rsidRDefault="00B3064D" w:rsidP="001F59E8">
      <w:pPr>
        <w:pStyle w:val="AnnexFig"/>
      </w:pPr>
      <w:r>
        <w:rPr>
          <w:noProof/>
        </w:rPr>
        <w:drawing>
          <wp:inline distT="0" distB="0" distL="0" distR="0" wp14:anchorId="754AC15C" wp14:editId="0414989E">
            <wp:extent cx="6612890" cy="2508508"/>
            <wp:effectExtent l="0" t="0" r="0" b="6350"/>
            <wp:docPr id="15" name="그림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A screenshot of a computer&#10;&#10;Description automatically generated"/>
                    <pic:cNvPicPr/>
                  </pic:nvPicPr>
                  <pic:blipFill rotWithShape="1">
                    <a:blip r:embed="rId19"/>
                    <a:srcRect l="41038" t="23313" r="603" b="17549"/>
                    <a:stretch/>
                  </pic:blipFill>
                  <pic:spPr bwMode="auto">
                    <a:xfrm>
                      <a:off x="0" y="0"/>
                      <a:ext cx="6649858" cy="2522531"/>
                    </a:xfrm>
                    <a:prstGeom prst="rect">
                      <a:avLst/>
                    </a:prstGeom>
                    <a:ln>
                      <a:noFill/>
                    </a:ln>
                    <a:extLst>
                      <a:ext uri="{53640926-AAD7-44D8-BBD7-CCE9431645EC}">
                        <a14:shadowObscured xmlns:a14="http://schemas.microsoft.com/office/drawing/2010/main"/>
                      </a:ext>
                    </a:extLst>
                  </pic:spPr>
                </pic:pic>
              </a:graphicData>
            </a:graphic>
          </wp:inline>
        </w:drawing>
      </w:r>
    </w:p>
    <w:p w14:paraId="59151876" w14:textId="2333BC72" w:rsidR="00C32A74" w:rsidRDefault="00B3064D" w:rsidP="00686A60">
      <w:pPr>
        <w:pStyle w:val="AnnexFig"/>
      </w:pPr>
      <w:r>
        <w:rPr>
          <w:noProof/>
        </w:rPr>
        <w:drawing>
          <wp:inline distT="0" distB="0" distL="0" distR="0" wp14:anchorId="3D0A1299" wp14:editId="309DBD4E">
            <wp:extent cx="3441032" cy="1815399"/>
            <wp:effectExtent l="0" t="0" r="7620" b="0"/>
            <wp:docPr id="16" name="그림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descr="A screenshot of a computer&#10;&#10;Description automatically generated"/>
                    <pic:cNvPicPr/>
                  </pic:nvPicPr>
                  <pic:blipFill rotWithShape="1">
                    <a:blip r:embed="rId20"/>
                    <a:srcRect l="42249" t="23747" r="24858" b="29895"/>
                    <a:stretch/>
                  </pic:blipFill>
                  <pic:spPr bwMode="auto">
                    <a:xfrm>
                      <a:off x="0" y="0"/>
                      <a:ext cx="3492336" cy="1842465"/>
                    </a:xfrm>
                    <a:prstGeom prst="rect">
                      <a:avLst/>
                    </a:prstGeom>
                    <a:ln>
                      <a:noFill/>
                    </a:ln>
                    <a:extLst>
                      <a:ext uri="{53640926-AAD7-44D8-BBD7-CCE9431645EC}">
                        <a14:shadowObscured xmlns:a14="http://schemas.microsoft.com/office/drawing/2010/main"/>
                      </a:ext>
                    </a:extLst>
                  </pic:spPr>
                </pic:pic>
              </a:graphicData>
            </a:graphic>
          </wp:inline>
        </w:drawing>
      </w:r>
      <w:r w:rsidR="00295C2B">
        <w:br w:type="page"/>
      </w:r>
    </w:p>
    <w:p w14:paraId="19584AAD" w14:textId="38A46CC4" w:rsidR="00686A60" w:rsidRPr="00295C2B" w:rsidRDefault="00295C2B" w:rsidP="00686A60">
      <w:pPr>
        <w:pStyle w:val="AnnexFig"/>
        <w:rPr>
          <w:lang w:val="fr-FR" w:eastAsia="ko-KR"/>
        </w:rPr>
      </w:pPr>
      <w:r>
        <w:rPr>
          <w:rFonts w:eastAsia="Calibri"/>
          <w:lang w:val="fr-FR"/>
        </w:rPr>
        <w:t>Figure 5. Feuille de calcul 5 : Évaluation</w:t>
      </w:r>
      <w:r w:rsidR="00302191">
        <w:rPr>
          <w:rFonts w:eastAsia="Calibri"/>
          <w:lang w:val="fr-FR"/>
        </w:rPr>
        <w:t xml:space="preserve"> </w:t>
      </w:r>
      <w:r w:rsidR="00302191">
        <w:rPr>
          <w:rFonts w:eastAsia="Calibri"/>
          <w:lang w:val="fr-FR"/>
        </w:rPr>
        <w:t>(</w:t>
      </w:r>
      <w:r w:rsidR="00302191" w:rsidRPr="00800EB5">
        <w:rPr>
          <w:rFonts w:eastAsia="Calibri"/>
          <w:lang w:val="fr-FR"/>
        </w:rPr>
        <w:t>uniquement  en anglais</w:t>
      </w:r>
      <w:r w:rsidR="00302191">
        <w:rPr>
          <w:rFonts w:eastAsia="Calibri"/>
          <w:lang w:val="fr-FR"/>
        </w:rPr>
        <w:t>)</w:t>
      </w:r>
    </w:p>
    <w:p w14:paraId="6B358039" w14:textId="1E3C6563" w:rsidR="002D7C0A" w:rsidRDefault="00302191" w:rsidP="00686A60">
      <w:pPr>
        <w:pStyle w:val="AnnexFig"/>
      </w:pPr>
      <w:r>
        <w:rPr>
          <w:noProof/>
        </w:rPr>
        <w:drawing>
          <wp:inline distT="0" distB="0" distL="0" distR="0" wp14:anchorId="0E0A5A5D" wp14:editId="685010D3">
            <wp:extent cx="6642735" cy="5923728"/>
            <wp:effectExtent l="0" t="0" r="5715" b="1270"/>
            <wp:docPr id="17" name="그림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A screenshot of a computer&#10;&#10;Description automatically generated"/>
                    <pic:cNvPicPr/>
                  </pic:nvPicPr>
                  <pic:blipFill rotWithShape="1">
                    <a:blip r:embed="rId21"/>
                    <a:srcRect l="40592" t="10438" r="29740" b="18887"/>
                    <a:stretch/>
                  </pic:blipFill>
                  <pic:spPr bwMode="auto">
                    <a:xfrm>
                      <a:off x="0" y="0"/>
                      <a:ext cx="6642735" cy="5923728"/>
                    </a:xfrm>
                    <a:prstGeom prst="rect">
                      <a:avLst/>
                    </a:prstGeom>
                    <a:ln>
                      <a:noFill/>
                    </a:ln>
                    <a:extLst>
                      <a:ext uri="{53640926-AAD7-44D8-BBD7-CCE9431645EC}">
                        <a14:shadowObscured xmlns:a14="http://schemas.microsoft.com/office/drawing/2010/main"/>
                      </a:ext>
                    </a:extLst>
                  </pic:spPr>
                </pic:pic>
              </a:graphicData>
            </a:graphic>
          </wp:inline>
        </w:drawing>
      </w:r>
    </w:p>
    <w:p w14:paraId="7E84FF71" w14:textId="77777777" w:rsidR="00C32A74" w:rsidRDefault="00295C2B" w:rsidP="002D7C0A">
      <w:pPr>
        <w:pStyle w:val="AnnexFig"/>
      </w:pPr>
      <w:r>
        <w:br w:type="page"/>
      </w:r>
    </w:p>
    <w:p w14:paraId="4F489241" w14:textId="2E9339F6" w:rsidR="002D7C0A" w:rsidRPr="00C97F2B" w:rsidRDefault="00295C2B" w:rsidP="002D7C0A">
      <w:pPr>
        <w:pStyle w:val="AnnexFig"/>
        <w:rPr>
          <w:lang w:val="fr-FR" w:eastAsia="ko-KR"/>
        </w:rPr>
      </w:pPr>
      <w:r>
        <w:rPr>
          <w:rFonts w:eastAsia="Calibri"/>
          <w:lang w:val="fr-FR"/>
        </w:rPr>
        <w:t>Figure 5. Feuille de calcul 5 : Évaluation (suite)</w:t>
      </w:r>
      <w:r w:rsidR="00302191">
        <w:rPr>
          <w:rFonts w:eastAsia="Calibri"/>
          <w:lang w:val="fr-FR"/>
        </w:rPr>
        <w:t xml:space="preserve"> </w:t>
      </w:r>
      <w:r w:rsidR="00302191">
        <w:rPr>
          <w:rFonts w:eastAsia="Calibri"/>
          <w:lang w:val="fr-FR"/>
        </w:rPr>
        <w:t>(</w:t>
      </w:r>
      <w:r w:rsidR="00302191" w:rsidRPr="00800EB5">
        <w:rPr>
          <w:rFonts w:eastAsia="Calibri"/>
          <w:lang w:val="fr-FR"/>
        </w:rPr>
        <w:t>uniquement  en anglais</w:t>
      </w:r>
      <w:r w:rsidR="00302191">
        <w:rPr>
          <w:rFonts w:eastAsia="Calibri"/>
          <w:lang w:val="fr-FR"/>
        </w:rPr>
        <w:t>)</w:t>
      </w:r>
    </w:p>
    <w:p w14:paraId="2E1F995D" w14:textId="61A403F7" w:rsidR="00686A60" w:rsidRDefault="00302191" w:rsidP="00686A60">
      <w:pPr>
        <w:pStyle w:val="DRText"/>
      </w:pPr>
      <w:r>
        <w:rPr>
          <w:noProof/>
        </w:rPr>
        <w:drawing>
          <wp:inline distT="0" distB="0" distL="0" distR="0" wp14:anchorId="6C3916E2" wp14:editId="231F57E5">
            <wp:extent cx="6210300" cy="5294860"/>
            <wp:effectExtent l="0" t="0" r="0" b="1270"/>
            <wp:docPr id="18" name="그림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A screenshot of a computer&#10;&#10;Description automatically generated"/>
                    <pic:cNvPicPr/>
                  </pic:nvPicPr>
                  <pic:blipFill rotWithShape="1">
                    <a:blip r:embed="rId22"/>
                    <a:srcRect l="63663" t="10429" r="5288" b="18857"/>
                    <a:stretch/>
                  </pic:blipFill>
                  <pic:spPr bwMode="auto">
                    <a:xfrm>
                      <a:off x="0" y="0"/>
                      <a:ext cx="6255335" cy="5333257"/>
                    </a:xfrm>
                    <a:prstGeom prst="rect">
                      <a:avLst/>
                    </a:prstGeom>
                    <a:ln>
                      <a:noFill/>
                    </a:ln>
                    <a:extLst>
                      <a:ext uri="{53640926-AAD7-44D8-BBD7-CCE9431645EC}">
                        <a14:shadowObscured xmlns:a14="http://schemas.microsoft.com/office/drawing/2010/main"/>
                      </a:ext>
                    </a:extLst>
                  </pic:spPr>
                </pic:pic>
              </a:graphicData>
            </a:graphic>
          </wp:inline>
        </w:drawing>
      </w:r>
    </w:p>
    <w:p w14:paraId="0D4B3EC8" w14:textId="77777777" w:rsidR="00686A60" w:rsidRDefault="00295C2B" w:rsidP="00686A60">
      <w:pPr>
        <w:rPr>
          <w:rFonts w:ascii="Calibri" w:hAnsi="Calibri"/>
          <w:sz w:val="22"/>
          <w:szCs w:val="22"/>
          <w:lang w:val="en-US" w:eastAsia="en-US"/>
        </w:rPr>
      </w:pPr>
      <w:r>
        <w:br w:type="page"/>
      </w:r>
    </w:p>
    <w:p w14:paraId="1AB448C3" w14:textId="61236E9A" w:rsidR="00686A60" w:rsidRPr="00295C2B" w:rsidRDefault="00295C2B" w:rsidP="00686A60">
      <w:pPr>
        <w:pStyle w:val="AnnexFig"/>
        <w:rPr>
          <w:lang w:val="fr-FR"/>
        </w:rPr>
      </w:pPr>
      <w:r>
        <w:rPr>
          <w:rFonts w:eastAsia="Calibri"/>
          <w:lang w:val="fr-FR"/>
        </w:rPr>
        <w:t xml:space="preserve">Figure 6. Feuille de calcul 6 : Résumé </w:t>
      </w:r>
      <w:r w:rsidR="00302191">
        <w:rPr>
          <w:rFonts w:eastAsia="Calibri"/>
          <w:lang w:val="fr-FR"/>
        </w:rPr>
        <w:t>(</w:t>
      </w:r>
      <w:r w:rsidR="00302191" w:rsidRPr="00800EB5">
        <w:rPr>
          <w:rFonts w:eastAsia="Calibri"/>
          <w:lang w:val="fr-FR"/>
        </w:rPr>
        <w:t>uniquement  en anglais</w:t>
      </w:r>
      <w:r w:rsidR="00302191">
        <w:rPr>
          <w:rFonts w:eastAsia="Calibri"/>
          <w:lang w:val="fr-FR"/>
        </w:rPr>
        <w:t>)</w:t>
      </w:r>
    </w:p>
    <w:p w14:paraId="11582CF8" w14:textId="1ED0AEFF" w:rsidR="00686A60" w:rsidRDefault="00302191" w:rsidP="00CF1FB8">
      <w:pPr>
        <w:pStyle w:val="DRText"/>
      </w:pPr>
      <w:r>
        <w:rPr>
          <w:noProof/>
        </w:rPr>
        <w:drawing>
          <wp:inline distT="0" distB="0" distL="0" distR="0" wp14:anchorId="46D62F19" wp14:editId="147752AE">
            <wp:extent cx="6642735" cy="6969147"/>
            <wp:effectExtent l="0" t="0" r="5715" b="3175"/>
            <wp:docPr id="19" name="그림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A screenshot of a computer&#10;&#10;Description automatically generated"/>
                    <pic:cNvPicPr/>
                  </pic:nvPicPr>
                  <pic:blipFill rotWithShape="1">
                    <a:blip r:embed="rId23"/>
                    <a:srcRect l="40816" t="10685" r="33570" b="17526"/>
                    <a:stretch/>
                  </pic:blipFill>
                  <pic:spPr bwMode="auto">
                    <a:xfrm>
                      <a:off x="0" y="0"/>
                      <a:ext cx="6642735" cy="6969147"/>
                    </a:xfrm>
                    <a:prstGeom prst="rect">
                      <a:avLst/>
                    </a:prstGeom>
                    <a:ln>
                      <a:noFill/>
                    </a:ln>
                    <a:extLst>
                      <a:ext uri="{53640926-AAD7-44D8-BBD7-CCE9431645EC}">
                        <a14:shadowObscured xmlns:a14="http://schemas.microsoft.com/office/drawing/2010/main"/>
                      </a:ext>
                    </a:extLst>
                  </pic:spPr>
                </pic:pic>
              </a:graphicData>
            </a:graphic>
          </wp:inline>
        </w:drawing>
      </w:r>
    </w:p>
    <w:p w14:paraId="7EC1EE8C" w14:textId="6B33A465" w:rsidR="00C32A74" w:rsidRDefault="00302191" w:rsidP="00CF1FB8">
      <w:pPr>
        <w:pStyle w:val="DRText"/>
      </w:pPr>
      <w:r>
        <w:rPr>
          <w:noProof/>
        </w:rPr>
        <w:drawing>
          <wp:inline distT="0" distB="0" distL="0" distR="0" wp14:anchorId="3736A044" wp14:editId="15607B56">
            <wp:extent cx="6235700" cy="1938710"/>
            <wp:effectExtent l="0" t="0" r="0" b="4445"/>
            <wp:docPr id="20" name="그림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A screenshot of a computer&#10;&#10;Description automatically generated"/>
                    <pic:cNvPicPr/>
                  </pic:nvPicPr>
                  <pic:blipFill rotWithShape="1">
                    <a:blip r:embed="rId24"/>
                    <a:srcRect l="40828" t="19548" r="35093" b="60454"/>
                    <a:stretch/>
                  </pic:blipFill>
                  <pic:spPr bwMode="auto">
                    <a:xfrm>
                      <a:off x="0" y="0"/>
                      <a:ext cx="6292452" cy="1956355"/>
                    </a:xfrm>
                    <a:prstGeom prst="rect">
                      <a:avLst/>
                    </a:prstGeom>
                    <a:ln>
                      <a:noFill/>
                    </a:ln>
                    <a:extLst>
                      <a:ext uri="{53640926-AAD7-44D8-BBD7-CCE9431645EC}">
                        <a14:shadowObscured xmlns:a14="http://schemas.microsoft.com/office/drawing/2010/main"/>
                      </a:ext>
                    </a:extLst>
                  </pic:spPr>
                </pic:pic>
              </a:graphicData>
            </a:graphic>
          </wp:inline>
        </w:drawing>
      </w:r>
    </w:p>
    <w:p w14:paraId="2A4D7621" w14:textId="77777777" w:rsidR="00302191" w:rsidRDefault="00302191">
      <w:pPr>
        <w:rPr>
          <w:rFonts w:ascii="Calibri" w:hAnsi="Calibri"/>
          <w:sz w:val="22"/>
          <w:szCs w:val="22"/>
          <w:lang w:val="en-US" w:eastAsia="en-US"/>
        </w:rPr>
      </w:pPr>
      <w:r>
        <w:rPr>
          <w:b/>
          <w:bCs/>
        </w:rPr>
        <w:br w:type="page"/>
      </w:r>
    </w:p>
    <w:p w14:paraId="1DA211B2" w14:textId="4EDFDFFD" w:rsidR="00292E7E" w:rsidRPr="00C97F2B" w:rsidRDefault="00295C2B" w:rsidP="00292E7E">
      <w:pPr>
        <w:pStyle w:val="AnnexFig"/>
        <w:rPr>
          <w:lang w:val="fr-FR" w:eastAsia="ko-KR"/>
        </w:rPr>
      </w:pPr>
      <w:r>
        <w:rPr>
          <w:rFonts w:eastAsia="Calibri"/>
          <w:lang w:val="fr-FR"/>
        </w:rPr>
        <w:t>Figure 6. Feuille de calcul 6 : Résumé (suite)</w:t>
      </w:r>
      <w:r w:rsidR="00302191">
        <w:rPr>
          <w:rFonts w:eastAsia="Calibri"/>
          <w:lang w:val="fr-FR"/>
        </w:rPr>
        <w:t xml:space="preserve"> </w:t>
      </w:r>
      <w:r w:rsidR="00302191">
        <w:rPr>
          <w:rFonts w:eastAsia="Calibri"/>
          <w:lang w:val="fr-FR"/>
        </w:rPr>
        <w:t>(</w:t>
      </w:r>
      <w:r w:rsidR="00302191" w:rsidRPr="00800EB5">
        <w:rPr>
          <w:rFonts w:eastAsia="Calibri"/>
          <w:lang w:val="fr-FR"/>
        </w:rPr>
        <w:t>uniquement  en anglais</w:t>
      </w:r>
      <w:r w:rsidR="00302191">
        <w:rPr>
          <w:rFonts w:eastAsia="Calibri"/>
          <w:lang w:val="fr-FR"/>
        </w:rPr>
        <w:t>)</w:t>
      </w:r>
    </w:p>
    <w:p w14:paraId="6D8D9408" w14:textId="24D2714F" w:rsidR="00C32A74" w:rsidRDefault="00302191" w:rsidP="00CF1FB8">
      <w:pPr>
        <w:pStyle w:val="DRText"/>
      </w:pPr>
      <w:r>
        <w:rPr>
          <w:noProof/>
        </w:rPr>
        <w:drawing>
          <wp:inline distT="0" distB="0" distL="0" distR="0" wp14:anchorId="38519933" wp14:editId="2FF9A5FE">
            <wp:extent cx="6170212" cy="3500271"/>
            <wp:effectExtent l="0" t="0" r="2540" b="5080"/>
            <wp:docPr id="21" name="그림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A screenshot of a computer&#10;&#10;Description automatically generated"/>
                    <pic:cNvPicPr/>
                  </pic:nvPicPr>
                  <pic:blipFill rotWithShape="1">
                    <a:blip r:embed="rId24"/>
                    <a:srcRect l="40828" t="39993" r="35093" b="23517"/>
                    <a:stretch/>
                  </pic:blipFill>
                  <pic:spPr bwMode="auto">
                    <a:xfrm>
                      <a:off x="0" y="0"/>
                      <a:ext cx="6216663" cy="3526622"/>
                    </a:xfrm>
                    <a:prstGeom prst="rect">
                      <a:avLst/>
                    </a:prstGeom>
                    <a:ln>
                      <a:noFill/>
                    </a:ln>
                    <a:extLst>
                      <a:ext uri="{53640926-AAD7-44D8-BBD7-CCE9431645EC}">
                        <a14:shadowObscured xmlns:a14="http://schemas.microsoft.com/office/drawing/2010/main"/>
                      </a:ext>
                    </a:extLst>
                  </pic:spPr>
                </pic:pic>
              </a:graphicData>
            </a:graphic>
          </wp:inline>
        </w:drawing>
      </w:r>
    </w:p>
    <w:p w14:paraId="6B74E3DA" w14:textId="77777777" w:rsidR="00C32A74" w:rsidRDefault="00C32A74" w:rsidP="00CF1FB8">
      <w:pPr>
        <w:pStyle w:val="DRText"/>
      </w:pPr>
    </w:p>
    <w:p w14:paraId="7E56003A" w14:textId="56B0EDDF" w:rsidR="001F59E8" w:rsidRPr="00CF1FB8" w:rsidRDefault="00302191" w:rsidP="00CF1FB8">
      <w:pPr>
        <w:pStyle w:val="DRText"/>
      </w:pPr>
      <w:r>
        <w:rPr>
          <w:noProof/>
        </w:rPr>
        <w:drawing>
          <wp:inline distT="0" distB="0" distL="0" distR="0" wp14:anchorId="5CA258D4" wp14:editId="3F9732D4">
            <wp:extent cx="4610100" cy="1954916"/>
            <wp:effectExtent l="0" t="0" r="0" b="7620"/>
            <wp:docPr id="22" name="그림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A screenshot of a computer&#10;&#10;Description automatically generated"/>
                    <pic:cNvPicPr/>
                  </pic:nvPicPr>
                  <pic:blipFill rotWithShape="1">
                    <a:blip r:embed="rId25"/>
                    <a:srcRect l="58599" t="17365" r="11194" b="48417"/>
                    <a:stretch/>
                  </pic:blipFill>
                  <pic:spPr bwMode="auto">
                    <a:xfrm>
                      <a:off x="0" y="0"/>
                      <a:ext cx="4623599" cy="1960640"/>
                    </a:xfrm>
                    <a:prstGeom prst="rect">
                      <a:avLst/>
                    </a:prstGeom>
                    <a:ln>
                      <a:noFill/>
                    </a:ln>
                    <a:extLst>
                      <a:ext uri="{53640926-AAD7-44D8-BBD7-CCE9431645EC}">
                        <a14:shadowObscured xmlns:a14="http://schemas.microsoft.com/office/drawing/2010/main"/>
                      </a:ext>
                    </a:extLst>
                  </pic:spPr>
                </pic:pic>
              </a:graphicData>
            </a:graphic>
          </wp:inline>
        </w:drawing>
      </w:r>
    </w:p>
    <w:sectPr w:rsidR="001F59E8" w:rsidRPr="00CF1FB8" w:rsidSect="00977A18">
      <w:pgSz w:w="11901" w:h="16817"/>
      <w:pgMar w:top="720" w:right="720" w:bottom="720" w:left="720" w:header="1134" w:footer="3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707D4" w14:textId="77777777" w:rsidR="00922896" w:rsidRDefault="00922896">
      <w:r>
        <w:separator/>
      </w:r>
    </w:p>
  </w:endnote>
  <w:endnote w:type="continuationSeparator" w:id="0">
    <w:p w14:paraId="2192BBE8" w14:textId="77777777" w:rsidR="00922896" w:rsidRDefault="0092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w:altName w:val="Times New Roman"/>
    <w:panose1 w:val="00000000000000000000"/>
    <w:charset w:val="00"/>
    <w:family w:val="roman"/>
    <w:notTrueType/>
    <w:pitch w:val="default"/>
    <w:sig w:usb0="00000003" w:usb1="00000000" w:usb2="00000000" w:usb3="00000000" w:csb0="0000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771B0" w14:textId="73FCE461" w:rsidR="00295C2B" w:rsidRPr="00B115B7" w:rsidRDefault="00295C2B" w:rsidP="00B115B7">
    <w:pPr>
      <w:tabs>
        <w:tab w:val="center" w:pos="4513"/>
        <w:tab w:val="right" w:pos="9026"/>
      </w:tabs>
      <w:ind w:left="432" w:hanging="432"/>
      <w:rPr>
        <w:rFonts w:ascii="Calibri" w:eastAsia="Calibri" w:hAnsi="Calibri"/>
        <w:noProof/>
      </w:rPr>
    </w:pPr>
    <w:r>
      <w:rPr>
        <w:rFonts w:ascii="Calibri" w:eastAsia="Calibri" w:hAnsi="Calibri"/>
        <w:sz w:val="20"/>
        <w:szCs w:val="20"/>
        <w:lang w:val="fr-FR"/>
      </w:rPr>
      <w:t>SC64 Doc.29.1</w:t>
    </w:r>
    <w:r w:rsidR="00800EB5">
      <w:rPr>
        <w:rFonts w:ascii="Calibri" w:eastAsia="Calibri" w:hAnsi="Calibri"/>
        <w:sz w:val="20"/>
        <w:szCs w:val="20"/>
        <w:lang w:val="fr-FR"/>
      </w:rPr>
      <w:t>2</w:t>
    </w:r>
    <w:r>
      <w:rPr>
        <w:rFonts w:ascii="Calibri" w:eastAsia="Calibri" w:hAnsi="Calibri"/>
        <w:lang w:val="fr-FR"/>
      </w:rPr>
      <w:tab/>
    </w:r>
    <w:r>
      <w:rPr>
        <w:rFonts w:ascii="Calibri" w:eastAsia="Calibri" w:hAnsi="Calibri"/>
        <w:lang w:val="fr-FR"/>
      </w:rPr>
      <w:tab/>
    </w:r>
    <w:sdt>
      <w:sdtPr>
        <w:rPr>
          <w:rFonts w:ascii="Calibri" w:eastAsia="Calibri" w:hAnsi="Calibri"/>
        </w:rPr>
        <w:id w:val="-637723370"/>
        <w:docPartObj>
          <w:docPartGallery w:val="Page Numbers (Top of Page)"/>
          <w:docPartUnique/>
        </w:docPartObj>
      </w:sdtPr>
      <w:sdtEndPr>
        <w:rPr>
          <w:noProof/>
        </w:rPr>
      </w:sdtEndPr>
      <w:sdtContent>
        <w:r w:rsidRPr="001666E3">
          <w:rPr>
            <w:rFonts w:ascii="Calibri" w:eastAsia="Calibri" w:hAnsi="Calibri"/>
            <w:sz w:val="20"/>
            <w:szCs w:val="20"/>
          </w:rPr>
          <w:fldChar w:fldCharType="begin"/>
        </w:r>
        <w:r w:rsidRPr="001666E3">
          <w:rPr>
            <w:rFonts w:ascii="Calibri" w:eastAsia="Calibri" w:hAnsi="Calibri"/>
            <w:sz w:val="20"/>
            <w:szCs w:val="20"/>
          </w:rPr>
          <w:instrText xml:space="preserve"> PAGE   \* MERGEFORMAT </w:instrText>
        </w:r>
        <w:r w:rsidRPr="001666E3">
          <w:rPr>
            <w:rFonts w:ascii="Calibri" w:eastAsia="Calibri" w:hAnsi="Calibri"/>
            <w:sz w:val="20"/>
            <w:szCs w:val="20"/>
          </w:rPr>
          <w:fldChar w:fldCharType="separate"/>
        </w:r>
        <w:r w:rsidR="0090008C">
          <w:rPr>
            <w:rFonts w:ascii="Calibri" w:eastAsia="Calibri" w:hAnsi="Calibri"/>
            <w:noProof/>
            <w:sz w:val="20"/>
            <w:szCs w:val="20"/>
          </w:rPr>
          <w:t>2</w:t>
        </w:r>
        <w:r w:rsidRPr="001666E3">
          <w:rPr>
            <w:rFonts w:ascii="Calibri" w:eastAsia="Calibri" w:hAnsi="Calibr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03ABF" w14:textId="77777777" w:rsidR="00922896" w:rsidRDefault="00922896" w:rsidP="0062242F">
      <w:r>
        <w:separator/>
      </w:r>
    </w:p>
  </w:footnote>
  <w:footnote w:type="continuationSeparator" w:id="0">
    <w:p w14:paraId="3FE82F44" w14:textId="77777777" w:rsidR="00922896" w:rsidRDefault="00922896" w:rsidP="0062242F">
      <w:r>
        <w:continuationSeparator/>
      </w:r>
    </w:p>
  </w:footnote>
  <w:footnote w:id="1">
    <w:p w14:paraId="64626AB2" w14:textId="77777777" w:rsidR="00295C2B" w:rsidRDefault="00295C2B" w:rsidP="00FD573F">
      <w:pPr>
        <w:autoSpaceDE w:val="0"/>
        <w:autoSpaceDN w:val="0"/>
        <w:adjustRightInd w:val="0"/>
      </w:pPr>
      <w:r w:rsidRPr="00FD573F">
        <w:rPr>
          <w:rStyle w:val="FootnoteReference"/>
          <w:rFonts w:ascii="Calibri" w:hAnsi="Calibri" w:cs="Calibri"/>
          <w:sz w:val="18"/>
          <w:szCs w:val="18"/>
        </w:rPr>
        <w:footnoteRef/>
      </w:r>
      <w:r w:rsidRPr="00C97F2B">
        <w:rPr>
          <w:rFonts w:ascii="Calibri" w:eastAsia="Calibri" w:hAnsi="Calibri" w:cs="Calibri"/>
          <w:sz w:val="18"/>
          <w:szCs w:val="18"/>
        </w:rPr>
        <w:t xml:space="preserve"> </w:t>
      </w:r>
      <w:r w:rsidRPr="00C97F2B">
        <w:rPr>
          <w:rFonts w:ascii="Calibri" w:eastAsia="Calibri" w:hAnsi="Calibri" w:cs="Calibri"/>
          <w:color w:val="231F20"/>
          <w:sz w:val="18"/>
          <w:szCs w:val="18"/>
        </w:rPr>
        <w:t xml:space="preserve">WWF, 2006. Conservation of high-altitude wetlands in the Himalayas. Report of the Fourth Regional Workshop. Capacity building for high altitude wetlands conservation and management. New Delhi, India, 27–29 June 2006. </w:t>
      </w:r>
    </w:p>
  </w:footnote>
  <w:footnote w:id="2">
    <w:p w14:paraId="2EA42820" w14:textId="77777777" w:rsidR="00295C2B" w:rsidRPr="00FD573F" w:rsidRDefault="00295C2B" w:rsidP="00FD573F">
      <w:pPr>
        <w:autoSpaceDE w:val="0"/>
        <w:autoSpaceDN w:val="0"/>
        <w:adjustRightInd w:val="0"/>
        <w:rPr>
          <w:rFonts w:ascii="Calibri" w:hAnsi="Calibri" w:cs="Calibri"/>
          <w:sz w:val="18"/>
          <w:szCs w:val="18"/>
        </w:rPr>
      </w:pPr>
      <w:r w:rsidRPr="00FD573F">
        <w:rPr>
          <w:rStyle w:val="FootnoteReference"/>
          <w:rFonts w:ascii="Calibri" w:hAnsi="Calibri" w:cs="Calibri"/>
          <w:sz w:val="18"/>
          <w:szCs w:val="18"/>
        </w:rPr>
        <w:footnoteRef/>
      </w:r>
      <w:r w:rsidRPr="00C97F2B">
        <w:rPr>
          <w:rFonts w:ascii="Calibri" w:eastAsia="Calibri" w:hAnsi="Calibri" w:cs="Calibri"/>
          <w:sz w:val="18"/>
          <w:szCs w:val="18"/>
        </w:rPr>
        <w:t xml:space="preserve"> </w:t>
      </w:r>
      <w:r w:rsidRPr="00C97F2B">
        <w:rPr>
          <w:rFonts w:ascii="Calibri" w:eastAsia="Calibri" w:hAnsi="Calibri" w:cs="Calibri"/>
          <w:color w:val="231F20"/>
          <w:sz w:val="18"/>
          <w:szCs w:val="18"/>
        </w:rPr>
        <w:t xml:space="preserve">ICIMOD, 2009. </w:t>
      </w:r>
      <w:r w:rsidRPr="00C97F2B">
        <w:rPr>
          <w:rFonts w:ascii="Calibri" w:eastAsia="Calibri" w:hAnsi="Calibri" w:cs="Calibri"/>
          <w:i/>
          <w:iCs/>
          <w:color w:val="231F20"/>
          <w:sz w:val="18"/>
          <w:szCs w:val="18"/>
        </w:rPr>
        <w:t>A manual for an inventory of Greater Himalayan wetlands</w:t>
      </w:r>
      <w:r w:rsidRPr="00C97F2B">
        <w:rPr>
          <w:rFonts w:ascii="Calibri" w:eastAsia="Calibri" w:hAnsi="Calibri" w:cs="Calibri"/>
          <w:color w:val="231F20"/>
          <w:sz w:val="18"/>
          <w:szCs w:val="18"/>
        </w:rPr>
        <w:t>. Kathmandu, Nepal: International Centre for Integrated Mountain Development (ICIMOD).</w:t>
      </w:r>
    </w:p>
  </w:footnote>
  <w:footnote w:id="3">
    <w:p w14:paraId="6AA417F5" w14:textId="77777777" w:rsidR="00295C2B" w:rsidRPr="00FD573F" w:rsidRDefault="00295C2B">
      <w:pPr>
        <w:pStyle w:val="FootnoteText"/>
        <w:rPr>
          <w:rFonts w:ascii="Calibri" w:hAnsi="Calibri" w:cs="Calibri"/>
          <w:sz w:val="18"/>
          <w:szCs w:val="18"/>
        </w:rPr>
      </w:pPr>
      <w:r w:rsidRPr="00FD573F">
        <w:rPr>
          <w:rStyle w:val="FootnoteReference"/>
          <w:rFonts w:ascii="Calibri" w:hAnsi="Calibri" w:cs="Calibri"/>
          <w:sz w:val="18"/>
          <w:szCs w:val="18"/>
        </w:rPr>
        <w:footnoteRef/>
      </w:r>
      <w:r w:rsidRPr="00C97F2B">
        <w:rPr>
          <w:rFonts w:ascii="Calibri" w:eastAsia="Calibri" w:hAnsi="Calibri" w:cs="Calibri"/>
          <w:sz w:val="18"/>
          <w:szCs w:val="18"/>
        </w:rPr>
        <w:t xml:space="preserve"> Stratford, C. J., Acreman, M. C., &amp; Rees, H. G. 2011. A simple method for assessing the vulnerability of wetland ecosystem services. </w:t>
      </w:r>
      <w:r w:rsidRPr="00C97F2B">
        <w:rPr>
          <w:rFonts w:ascii="Calibri" w:eastAsia="Calibri" w:hAnsi="Calibri" w:cs="Calibri"/>
          <w:i/>
          <w:iCs/>
          <w:sz w:val="18"/>
          <w:szCs w:val="18"/>
        </w:rPr>
        <w:t>Hydrological Sciences Journal</w:t>
      </w:r>
      <w:r w:rsidRPr="00C97F2B">
        <w:rPr>
          <w:rFonts w:ascii="Calibri" w:eastAsia="Calibri" w:hAnsi="Calibri" w:cs="Calibri"/>
          <w:sz w:val="18"/>
          <w:szCs w:val="18"/>
        </w:rPr>
        <w:t xml:space="preserve">, </w:t>
      </w:r>
      <w:r w:rsidRPr="00C97F2B">
        <w:rPr>
          <w:rFonts w:ascii="Calibri" w:eastAsia="Calibri" w:hAnsi="Calibri" w:cs="Calibri"/>
          <w:i/>
          <w:iCs/>
          <w:sz w:val="18"/>
          <w:szCs w:val="18"/>
        </w:rPr>
        <w:t>56</w:t>
      </w:r>
      <w:r w:rsidRPr="00C97F2B">
        <w:rPr>
          <w:rFonts w:ascii="Calibri" w:eastAsia="Calibri" w:hAnsi="Calibri" w:cs="Calibri"/>
          <w:sz w:val="18"/>
          <w:szCs w:val="18"/>
        </w:rPr>
        <w:t>(8), 1485-1500.</w:t>
      </w:r>
    </w:p>
  </w:footnote>
  <w:footnote w:id="4">
    <w:p w14:paraId="34380505" w14:textId="77777777" w:rsidR="00295C2B" w:rsidRPr="00FD573F" w:rsidRDefault="00295C2B" w:rsidP="00FD573F">
      <w:pPr>
        <w:pStyle w:val="FootnoteText"/>
        <w:rPr>
          <w:rFonts w:ascii="Calibri" w:hAnsi="Calibri" w:cs="Calibri"/>
          <w:sz w:val="18"/>
          <w:szCs w:val="18"/>
        </w:rPr>
      </w:pPr>
      <w:r w:rsidRPr="00FD573F">
        <w:rPr>
          <w:rStyle w:val="FootnoteReference"/>
          <w:rFonts w:ascii="Calibri" w:hAnsi="Calibri" w:cs="Calibri"/>
          <w:sz w:val="18"/>
          <w:szCs w:val="18"/>
        </w:rPr>
        <w:footnoteRef/>
      </w:r>
      <w:r w:rsidRPr="00C97F2B">
        <w:rPr>
          <w:rFonts w:ascii="Calibri" w:eastAsia="Calibri" w:hAnsi="Calibri" w:cs="Calibri"/>
          <w:sz w:val="18"/>
          <w:szCs w:val="18"/>
        </w:rPr>
        <w:t xml:space="preserve"> Stratford, C.J., Acreman, M.C., Rees, H.G. and Shilpakar, R., 2008. A vulnerability assessment method for wetlands in the Himalayan region. Report to the Asia Pro-Eco Programme of the European Commission.</w:t>
      </w:r>
    </w:p>
  </w:footnote>
  <w:footnote w:id="5">
    <w:p w14:paraId="642563AF" w14:textId="77777777" w:rsidR="00295C2B" w:rsidRPr="00C97F2B" w:rsidRDefault="00295C2B" w:rsidP="00EC79A6">
      <w:pPr>
        <w:pStyle w:val="FootnoteText"/>
        <w:rPr>
          <w:rFonts w:ascii="Calibri" w:hAnsi="Calibri" w:cs="Calibri"/>
          <w:sz w:val="18"/>
          <w:szCs w:val="18"/>
          <w:lang w:val="fr-FR"/>
        </w:rPr>
      </w:pPr>
      <w:r w:rsidRPr="008E5B2F">
        <w:rPr>
          <w:rStyle w:val="FootnoteReference"/>
          <w:rFonts w:ascii="Calibri" w:hAnsi="Calibri" w:cs="Calibri"/>
          <w:sz w:val="18"/>
          <w:szCs w:val="18"/>
        </w:rPr>
        <w:footnoteRef/>
      </w:r>
      <w:r>
        <w:rPr>
          <w:rFonts w:ascii="Calibri" w:eastAsia="Calibri" w:hAnsi="Calibri" w:cs="Calibri"/>
          <w:sz w:val="18"/>
          <w:szCs w:val="18"/>
          <w:lang w:val="fr-FR"/>
        </w:rPr>
        <w:t xml:space="preserve"> Résolution XIII.17, </w:t>
      </w:r>
      <w:r w:rsidRPr="00C97F2B">
        <w:rPr>
          <w:rFonts w:ascii="Calibri" w:eastAsia="Calibri" w:hAnsi="Calibri" w:cs="Calibri"/>
          <w:i/>
          <w:sz w:val="18"/>
          <w:szCs w:val="18"/>
          <w:lang w:val="fr-FR"/>
        </w:rPr>
        <w:t>Évaluer rapidement les services écosystémiques des zones humides</w:t>
      </w:r>
      <w:r>
        <w:rPr>
          <w:rFonts w:ascii="Calibri" w:eastAsia="Calibri" w:hAnsi="Calibri" w:cs="Calibri"/>
          <w:sz w:val="18"/>
          <w:szCs w:val="18"/>
          <w:lang w:val="fr-FR"/>
        </w:rPr>
        <w:t>.</w:t>
      </w:r>
    </w:p>
  </w:footnote>
  <w:footnote w:id="6">
    <w:p w14:paraId="096E2CBC" w14:textId="77777777" w:rsidR="00295C2B" w:rsidRPr="00C97F2B" w:rsidRDefault="00295C2B" w:rsidP="00EC79A6">
      <w:pPr>
        <w:pStyle w:val="FootnoteText"/>
        <w:rPr>
          <w:lang w:val="fr-FR"/>
        </w:rPr>
      </w:pPr>
      <w:r w:rsidRPr="008E5B2F">
        <w:rPr>
          <w:rStyle w:val="FootnoteReference"/>
          <w:rFonts w:ascii="Calibri" w:hAnsi="Calibri" w:cs="Calibri"/>
          <w:sz w:val="18"/>
          <w:szCs w:val="18"/>
        </w:rPr>
        <w:footnoteRef/>
      </w:r>
      <w:r>
        <w:rPr>
          <w:rFonts w:ascii="Calibri" w:eastAsia="Calibri" w:hAnsi="Calibri" w:cs="Calibri"/>
          <w:sz w:val="18"/>
          <w:szCs w:val="18"/>
          <w:lang w:val="fr-FR"/>
        </w:rPr>
        <w:t xml:space="preserve"> Résolution XII.15, </w:t>
      </w:r>
      <w:r w:rsidRPr="00C97F2B">
        <w:rPr>
          <w:rFonts w:ascii="Calibri" w:eastAsia="Calibri" w:hAnsi="Calibri" w:cs="Calibri"/>
          <w:i/>
          <w:sz w:val="18"/>
          <w:szCs w:val="18"/>
          <w:lang w:val="fr-FR"/>
        </w:rPr>
        <w:t>Évaluation de l’efficacité de la gestion et de la conservation des Sites Ramsar</w:t>
      </w:r>
      <w:r>
        <w:rPr>
          <w:rFonts w:ascii="Calibri" w:eastAsia="Calibri" w:hAnsi="Calibri" w:cs="Calibri"/>
          <w:sz w:val="18"/>
          <w:szCs w:val="18"/>
          <w:lang w:val="fr-FR"/>
        </w:rPr>
        <w:t>.</w:t>
      </w:r>
    </w:p>
  </w:footnote>
  <w:footnote w:id="7">
    <w:p w14:paraId="62B6DAF2" w14:textId="77777777" w:rsidR="00295C2B" w:rsidRPr="00C97F2B" w:rsidRDefault="00295C2B" w:rsidP="001A023B">
      <w:pPr>
        <w:pStyle w:val="FootnoteText"/>
        <w:rPr>
          <w:rFonts w:ascii="Calibri" w:hAnsi="Calibri" w:cs="Calibri"/>
          <w:sz w:val="18"/>
          <w:szCs w:val="18"/>
          <w:lang w:val="fr-FR"/>
        </w:rPr>
      </w:pPr>
      <w:r w:rsidRPr="006E1C78">
        <w:rPr>
          <w:rStyle w:val="FootnoteReference"/>
          <w:rFonts w:ascii="Calibri" w:hAnsi="Calibri" w:cs="Calibri"/>
          <w:sz w:val="18"/>
          <w:szCs w:val="18"/>
        </w:rPr>
        <w:footnoteRef/>
      </w:r>
      <w:r>
        <w:rPr>
          <w:rFonts w:ascii="Calibri" w:eastAsia="Calibri" w:hAnsi="Calibri" w:cs="Calibri"/>
          <w:sz w:val="18"/>
          <w:szCs w:val="18"/>
          <w:lang w:val="fr-FR"/>
        </w:rPr>
        <w:t xml:space="preserve"> Résolution XIV.16, </w:t>
      </w:r>
      <w:r w:rsidRPr="00C97F2B">
        <w:rPr>
          <w:rFonts w:ascii="Calibri" w:eastAsia="Calibri" w:hAnsi="Calibri" w:cs="Calibri"/>
          <w:i/>
          <w:sz w:val="18"/>
          <w:szCs w:val="18"/>
          <w:lang w:val="fr-FR"/>
        </w:rPr>
        <w:t>Intégrer la protection, la conservation, la restauration, l’utilisation durable et la gestion des zones humides dans les stratégies nationales de développement durable</w:t>
      </w:r>
      <w:r>
        <w:rPr>
          <w:rFonts w:ascii="Calibri" w:eastAsia="Calibri" w:hAnsi="Calibri" w:cs="Calibri"/>
          <w:sz w:val="18"/>
          <w:szCs w:val="18"/>
          <w:lang w:val="fr-FR"/>
        </w:rPr>
        <w:t>.</w:t>
      </w:r>
    </w:p>
  </w:footnote>
  <w:footnote w:id="8">
    <w:p w14:paraId="1BFA6E07" w14:textId="77777777" w:rsidR="00295C2B" w:rsidRPr="001A023B" w:rsidRDefault="00295C2B" w:rsidP="001A023B">
      <w:pPr>
        <w:pStyle w:val="FootnoteText"/>
        <w:rPr>
          <w:rFonts w:ascii="Calibri" w:hAnsi="Calibri" w:cs="Calibri"/>
          <w:sz w:val="18"/>
          <w:szCs w:val="18"/>
        </w:rPr>
      </w:pPr>
      <w:r w:rsidRPr="001A023B">
        <w:rPr>
          <w:rStyle w:val="FootnoteReference"/>
          <w:rFonts w:ascii="Calibri" w:hAnsi="Calibri" w:cs="Calibri"/>
          <w:sz w:val="18"/>
          <w:szCs w:val="18"/>
        </w:rPr>
        <w:footnoteRef/>
      </w:r>
      <w:r w:rsidRPr="00C97F2B">
        <w:rPr>
          <w:rFonts w:ascii="Calibri" w:eastAsia="Calibri" w:hAnsi="Calibri" w:cs="Calibri"/>
          <w:sz w:val="18"/>
          <w:szCs w:val="18"/>
        </w:rPr>
        <w:t xml:space="preserve"> Gitay, H., Finlayson, C.M. &amp; Davidson, N.C., 2011. A framework for assessing the vulnerability of wetlands to climate change. Gland, Switzerland: Ramsar Convention Secretariat, and Montreal, Canada: Secretariat of the Convention on Biological Diversity, Ramsar Technical Report no. 5 / CBD Technical Series no. 57. </w:t>
      </w:r>
      <w:r>
        <w:rPr>
          <w:rFonts w:ascii="Calibri" w:eastAsia="Calibri" w:hAnsi="Calibri" w:cs="Calibri"/>
          <w:sz w:val="18"/>
          <w:szCs w:val="18"/>
          <w:lang w:val="fr-FR"/>
        </w:rPr>
        <w:t>ISBN 92-9225-361-1 (print); 92-9225-362-X (web).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2614F"/>
    <w:multiLevelType w:val="hybridMultilevel"/>
    <w:tmpl w:val="12D00580"/>
    <w:lvl w:ilvl="0" w:tplc="0D3C0EBE">
      <w:start w:val="1"/>
      <w:numFmt w:val="decimal"/>
      <w:pStyle w:val="AnnexText"/>
      <w:lvlText w:val="%1."/>
      <w:lvlJc w:val="left"/>
      <w:pPr>
        <w:ind w:left="720" w:hanging="360"/>
      </w:pPr>
      <w:rPr>
        <w:b w:val="0"/>
        <w:bCs/>
      </w:rPr>
    </w:lvl>
    <w:lvl w:ilvl="1" w:tplc="D0AE369C" w:tentative="1">
      <w:start w:val="1"/>
      <w:numFmt w:val="lowerLetter"/>
      <w:lvlText w:val="%2."/>
      <w:lvlJc w:val="left"/>
      <w:pPr>
        <w:ind w:left="1440" w:hanging="360"/>
      </w:pPr>
    </w:lvl>
    <w:lvl w:ilvl="2" w:tplc="6F9C3C7C" w:tentative="1">
      <w:start w:val="1"/>
      <w:numFmt w:val="lowerRoman"/>
      <w:lvlText w:val="%3."/>
      <w:lvlJc w:val="right"/>
      <w:pPr>
        <w:ind w:left="2160" w:hanging="180"/>
      </w:pPr>
    </w:lvl>
    <w:lvl w:ilvl="3" w:tplc="E6469590" w:tentative="1">
      <w:start w:val="1"/>
      <w:numFmt w:val="decimal"/>
      <w:lvlText w:val="%4."/>
      <w:lvlJc w:val="left"/>
      <w:pPr>
        <w:ind w:left="2880" w:hanging="360"/>
      </w:pPr>
    </w:lvl>
    <w:lvl w:ilvl="4" w:tplc="525CF8CE" w:tentative="1">
      <w:start w:val="1"/>
      <w:numFmt w:val="lowerLetter"/>
      <w:lvlText w:val="%5."/>
      <w:lvlJc w:val="left"/>
      <w:pPr>
        <w:ind w:left="3600" w:hanging="360"/>
      </w:pPr>
    </w:lvl>
    <w:lvl w:ilvl="5" w:tplc="952EA8AE" w:tentative="1">
      <w:start w:val="1"/>
      <w:numFmt w:val="lowerRoman"/>
      <w:lvlText w:val="%6."/>
      <w:lvlJc w:val="right"/>
      <w:pPr>
        <w:ind w:left="4320" w:hanging="180"/>
      </w:pPr>
    </w:lvl>
    <w:lvl w:ilvl="6" w:tplc="AE06B4AA" w:tentative="1">
      <w:start w:val="1"/>
      <w:numFmt w:val="decimal"/>
      <w:lvlText w:val="%7."/>
      <w:lvlJc w:val="left"/>
      <w:pPr>
        <w:ind w:left="5040" w:hanging="360"/>
      </w:pPr>
    </w:lvl>
    <w:lvl w:ilvl="7" w:tplc="6B2E1B88" w:tentative="1">
      <w:start w:val="1"/>
      <w:numFmt w:val="lowerLetter"/>
      <w:lvlText w:val="%8."/>
      <w:lvlJc w:val="left"/>
      <w:pPr>
        <w:ind w:left="5760" w:hanging="360"/>
      </w:pPr>
    </w:lvl>
    <w:lvl w:ilvl="8" w:tplc="7BF6FACE" w:tentative="1">
      <w:start w:val="1"/>
      <w:numFmt w:val="lowerRoman"/>
      <w:lvlText w:val="%9."/>
      <w:lvlJc w:val="right"/>
      <w:pPr>
        <w:ind w:left="6480" w:hanging="180"/>
      </w:pPr>
    </w:lvl>
  </w:abstractNum>
  <w:abstractNum w:abstractNumId="1" w15:restartNumberingAfterBreak="0">
    <w:nsid w:val="26097291"/>
    <w:multiLevelType w:val="hybridMultilevel"/>
    <w:tmpl w:val="A8ECDC32"/>
    <w:lvl w:ilvl="0" w:tplc="E9A4CBC8">
      <w:start w:val="1"/>
      <w:numFmt w:val="bullet"/>
      <w:pStyle w:val="Annexbullet"/>
      <w:lvlText w:val=""/>
      <w:lvlJc w:val="left"/>
      <w:pPr>
        <w:ind w:left="720" w:hanging="360"/>
      </w:pPr>
      <w:rPr>
        <w:rFonts w:ascii="Symbol" w:hAnsi="Symbol" w:hint="default"/>
      </w:rPr>
    </w:lvl>
    <w:lvl w:ilvl="1" w:tplc="30E89D80" w:tentative="1">
      <w:start w:val="1"/>
      <w:numFmt w:val="bullet"/>
      <w:lvlText w:val="o"/>
      <w:lvlJc w:val="left"/>
      <w:pPr>
        <w:ind w:left="1440" w:hanging="360"/>
      </w:pPr>
      <w:rPr>
        <w:rFonts w:ascii="Courier New" w:hAnsi="Courier New" w:cs="Courier New" w:hint="default"/>
      </w:rPr>
    </w:lvl>
    <w:lvl w:ilvl="2" w:tplc="D00872B2" w:tentative="1">
      <w:start w:val="1"/>
      <w:numFmt w:val="bullet"/>
      <w:lvlText w:val=""/>
      <w:lvlJc w:val="left"/>
      <w:pPr>
        <w:ind w:left="2160" w:hanging="360"/>
      </w:pPr>
      <w:rPr>
        <w:rFonts w:ascii="Wingdings" w:hAnsi="Wingdings" w:hint="default"/>
      </w:rPr>
    </w:lvl>
    <w:lvl w:ilvl="3" w:tplc="77C2B6CA" w:tentative="1">
      <w:start w:val="1"/>
      <w:numFmt w:val="bullet"/>
      <w:lvlText w:val=""/>
      <w:lvlJc w:val="left"/>
      <w:pPr>
        <w:ind w:left="2880" w:hanging="360"/>
      </w:pPr>
      <w:rPr>
        <w:rFonts w:ascii="Symbol" w:hAnsi="Symbol" w:hint="default"/>
      </w:rPr>
    </w:lvl>
    <w:lvl w:ilvl="4" w:tplc="110C746A" w:tentative="1">
      <w:start w:val="1"/>
      <w:numFmt w:val="bullet"/>
      <w:lvlText w:val="o"/>
      <w:lvlJc w:val="left"/>
      <w:pPr>
        <w:ind w:left="3600" w:hanging="360"/>
      </w:pPr>
      <w:rPr>
        <w:rFonts w:ascii="Courier New" w:hAnsi="Courier New" w:cs="Courier New" w:hint="default"/>
      </w:rPr>
    </w:lvl>
    <w:lvl w:ilvl="5" w:tplc="AA423344" w:tentative="1">
      <w:start w:val="1"/>
      <w:numFmt w:val="bullet"/>
      <w:lvlText w:val=""/>
      <w:lvlJc w:val="left"/>
      <w:pPr>
        <w:ind w:left="4320" w:hanging="360"/>
      </w:pPr>
      <w:rPr>
        <w:rFonts w:ascii="Wingdings" w:hAnsi="Wingdings" w:hint="default"/>
      </w:rPr>
    </w:lvl>
    <w:lvl w:ilvl="6" w:tplc="3EE8D15C" w:tentative="1">
      <w:start w:val="1"/>
      <w:numFmt w:val="bullet"/>
      <w:lvlText w:val=""/>
      <w:lvlJc w:val="left"/>
      <w:pPr>
        <w:ind w:left="5040" w:hanging="360"/>
      </w:pPr>
      <w:rPr>
        <w:rFonts w:ascii="Symbol" w:hAnsi="Symbol" w:hint="default"/>
      </w:rPr>
    </w:lvl>
    <w:lvl w:ilvl="7" w:tplc="7188E234" w:tentative="1">
      <w:start w:val="1"/>
      <w:numFmt w:val="bullet"/>
      <w:lvlText w:val="o"/>
      <w:lvlJc w:val="left"/>
      <w:pPr>
        <w:ind w:left="5760" w:hanging="360"/>
      </w:pPr>
      <w:rPr>
        <w:rFonts w:ascii="Courier New" w:hAnsi="Courier New" w:cs="Courier New" w:hint="default"/>
      </w:rPr>
    </w:lvl>
    <w:lvl w:ilvl="8" w:tplc="86C0ED42" w:tentative="1">
      <w:start w:val="1"/>
      <w:numFmt w:val="bullet"/>
      <w:lvlText w:val=""/>
      <w:lvlJc w:val="left"/>
      <w:pPr>
        <w:ind w:left="6480" w:hanging="360"/>
      </w:pPr>
      <w:rPr>
        <w:rFonts w:ascii="Wingdings" w:hAnsi="Wingdings" w:hint="default"/>
      </w:rPr>
    </w:lvl>
  </w:abstractNum>
  <w:abstractNum w:abstractNumId="2" w15:restartNumberingAfterBreak="0">
    <w:nsid w:val="67003A19"/>
    <w:multiLevelType w:val="hybridMultilevel"/>
    <w:tmpl w:val="3AEE38BE"/>
    <w:lvl w:ilvl="0" w:tplc="5D8E9A56">
      <w:start w:val="1"/>
      <w:numFmt w:val="decimal"/>
      <w:pStyle w:val="DRPara"/>
      <w:lvlText w:val="%1."/>
      <w:lvlJc w:val="left"/>
      <w:pPr>
        <w:ind w:left="1080" w:hanging="360"/>
      </w:pPr>
      <w:rPr>
        <w:rFonts w:hint="default"/>
        <w:b w:val="0"/>
        <w:bCs w:val="0"/>
      </w:rPr>
    </w:lvl>
    <w:lvl w:ilvl="1" w:tplc="3D9E1FAE" w:tentative="1">
      <w:start w:val="1"/>
      <w:numFmt w:val="lowerLetter"/>
      <w:lvlText w:val="%2."/>
      <w:lvlJc w:val="left"/>
      <w:pPr>
        <w:ind w:left="1800" w:hanging="360"/>
      </w:pPr>
    </w:lvl>
    <w:lvl w:ilvl="2" w:tplc="DB0E3FD8" w:tentative="1">
      <w:start w:val="1"/>
      <w:numFmt w:val="lowerRoman"/>
      <w:lvlText w:val="%3."/>
      <w:lvlJc w:val="right"/>
      <w:pPr>
        <w:ind w:left="2520" w:hanging="180"/>
      </w:pPr>
    </w:lvl>
    <w:lvl w:ilvl="3" w:tplc="9CB68EB8" w:tentative="1">
      <w:start w:val="1"/>
      <w:numFmt w:val="decimal"/>
      <w:lvlText w:val="%4."/>
      <w:lvlJc w:val="left"/>
      <w:pPr>
        <w:ind w:left="3240" w:hanging="360"/>
      </w:pPr>
    </w:lvl>
    <w:lvl w:ilvl="4" w:tplc="A5ECFE3C" w:tentative="1">
      <w:start w:val="1"/>
      <w:numFmt w:val="lowerLetter"/>
      <w:lvlText w:val="%5."/>
      <w:lvlJc w:val="left"/>
      <w:pPr>
        <w:ind w:left="3960" w:hanging="360"/>
      </w:pPr>
    </w:lvl>
    <w:lvl w:ilvl="5" w:tplc="109A3564" w:tentative="1">
      <w:start w:val="1"/>
      <w:numFmt w:val="lowerRoman"/>
      <w:lvlText w:val="%6."/>
      <w:lvlJc w:val="right"/>
      <w:pPr>
        <w:ind w:left="4680" w:hanging="180"/>
      </w:pPr>
    </w:lvl>
    <w:lvl w:ilvl="6" w:tplc="C3DAF734" w:tentative="1">
      <w:start w:val="1"/>
      <w:numFmt w:val="decimal"/>
      <w:lvlText w:val="%7."/>
      <w:lvlJc w:val="left"/>
      <w:pPr>
        <w:ind w:left="5400" w:hanging="360"/>
      </w:pPr>
    </w:lvl>
    <w:lvl w:ilvl="7" w:tplc="2976D83C" w:tentative="1">
      <w:start w:val="1"/>
      <w:numFmt w:val="lowerLetter"/>
      <w:lvlText w:val="%8."/>
      <w:lvlJc w:val="left"/>
      <w:pPr>
        <w:ind w:left="6120" w:hanging="360"/>
      </w:pPr>
    </w:lvl>
    <w:lvl w:ilvl="8" w:tplc="FA2E6E06" w:tentative="1">
      <w:start w:val="1"/>
      <w:numFmt w:val="lowerRoman"/>
      <w:lvlText w:val="%9."/>
      <w:lvlJc w:val="right"/>
      <w:pPr>
        <w:ind w:left="6840" w:hanging="180"/>
      </w:pPr>
    </w:lvl>
  </w:abstractNum>
  <w:num w:numId="1" w16cid:durableId="1215581479">
    <w:abstractNumId w:val="1"/>
  </w:num>
  <w:num w:numId="2" w16cid:durableId="1831753191">
    <w:abstractNumId w:val="2"/>
  </w:num>
  <w:num w:numId="3" w16cid:durableId="168200098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oNotTrackFormatting/>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42F"/>
    <w:rsid w:val="0000033A"/>
    <w:rsid w:val="000004EB"/>
    <w:rsid w:val="00000578"/>
    <w:rsid w:val="000014E1"/>
    <w:rsid w:val="00003242"/>
    <w:rsid w:val="00003575"/>
    <w:rsid w:val="00003E75"/>
    <w:rsid w:val="00005980"/>
    <w:rsid w:val="00006504"/>
    <w:rsid w:val="0000672F"/>
    <w:rsid w:val="00006AB3"/>
    <w:rsid w:val="00010DF9"/>
    <w:rsid w:val="00010E79"/>
    <w:rsid w:val="000118ED"/>
    <w:rsid w:val="0001191F"/>
    <w:rsid w:val="0001293D"/>
    <w:rsid w:val="00013C52"/>
    <w:rsid w:val="00014603"/>
    <w:rsid w:val="00023BFF"/>
    <w:rsid w:val="00024D46"/>
    <w:rsid w:val="00025243"/>
    <w:rsid w:val="00026470"/>
    <w:rsid w:val="00027B60"/>
    <w:rsid w:val="00027C5C"/>
    <w:rsid w:val="00031121"/>
    <w:rsid w:val="00034B1A"/>
    <w:rsid w:val="00034F6C"/>
    <w:rsid w:val="000362FF"/>
    <w:rsid w:val="000408C9"/>
    <w:rsid w:val="00041E42"/>
    <w:rsid w:val="0004307C"/>
    <w:rsid w:val="00043953"/>
    <w:rsid w:val="00043B7E"/>
    <w:rsid w:val="00043C24"/>
    <w:rsid w:val="00045B85"/>
    <w:rsid w:val="0004670A"/>
    <w:rsid w:val="00051810"/>
    <w:rsid w:val="0005258F"/>
    <w:rsid w:val="000526E1"/>
    <w:rsid w:val="00052E6A"/>
    <w:rsid w:val="0005553E"/>
    <w:rsid w:val="0005682D"/>
    <w:rsid w:val="000574D9"/>
    <w:rsid w:val="0006146A"/>
    <w:rsid w:val="000620D9"/>
    <w:rsid w:val="00062C22"/>
    <w:rsid w:val="00063377"/>
    <w:rsid w:val="00063C03"/>
    <w:rsid w:val="00064167"/>
    <w:rsid w:val="000664FB"/>
    <w:rsid w:val="00067587"/>
    <w:rsid w:val="000676A9"/>
    <w:rsid w:val="000704A6"/>
    <w:rsid w:val="000738A8"/>
    <w:rsid w:val="00074CC9"/>
    <w:rsid w:val="00081EB1"/>
    <w:rsid w:val="0008200D"/>
    <w:rsid w:val="000821AE"/>
    <w:rsid w:val="00082875"/>
    <w:rsid w:val="00082F25"/>
    <w:rsid w:val="00083479"/>
    <w:rsid w:val="00083A3A"/>
    <w:rsid w:val="00083DD5"/>
    <w:rsid w:val="00084F98"/>
    <w:rsid w:val="0008516C"/>
    <w:rsid w:val="00087AC4"/>
    <w:rsid w:val="0009058E"/>
    <w:rsid w:val="0009075C"/>
    <w:rsid w:val="000910C0"/>
    <w:rsid w:val="00091FE3"/>
    <w:rsid w:val="0009719F"/>
    <w:rsid w:val="00097ECE"/>
    <w:rsid w:val="000A06A2"/>
    <w:rsid w:val="000A1D4E"/>
    <w:rsid w:val="000A5DCF"/>
    <w:rsid w:val="000A5EB8"/>
    <w:rsid w:val="000B0233"/>
    <w:rsid w:val="000B1087"/>
    <w:rsid w:val="000B53F2"/>
    <w:rsid w:val="000B58D1"/>
    <w:rsid w:val="000B5DDB"/>
    <w:rsid w:val="000B5E9A"/>
    <w:rsid w:val="000B7558"/>
    <w:rsid w:val="000C4CB1"/>
    <w:rsid w:val="000C570B"/>
    <w:rsid w:val="000C5CAB"/>
    <w:rsid w:val="000C7EF4"/>
    <w:rsid w:val="000D0C24"/>
    <w:rsid w:val="000D2E29"/>
    <w:rsid w:val="000D3221"/>
    <w:rsid w:val="000D4259"/>
    <w:rsid w:val="000D43D6"/>
    <w:rsid w:val="000D4B7D"/>
    <w:rsid w:val="000D69BA"/>
    <w:rsid w:val="000D6ED8"/>
    <w:rsid w:val="000D79C9"/>
    <w:rsid w:val="000E0248"/>
    <w:rsid w:val="000E1C52"/>
    <w:rsid w:val="000E2667"/>
    <w:rsid w:val="000E3A37"/>
    <w:rsid w:val="000E420E"/>
    <w:rsid w:val="000F182C"/>
    <w:rsid w:val="000F368F"/>
    <w:rsid w:val="000F3827"/>
    <w:rsid w:val="000F3D8D"/>
    <w:rsid w:val="000F5379"/>
    <w:rsid w:val="000F7D2B"/>
    <w:rsid w:val="0010006B"/>
    <w:rsid w:val="00101BD9"/>
    <w:rsid w:val="001046B9"/>
    <w:rsid w:val="00110E66"/>
    <w:rsid w:val="0011177A"/>
    <w:rsid w:val="00113365"/>
    <w:rsid w:val="00115ED4"/>
    <w:rsid w:val="00122C43"/>
    <w:rsid w:val="001231C9"/>
    <w:rsid w:val="00126995"/>
    <w:rsid w:val="00135A85"/>
    <w:rsid w:val="00137BD2"/>
    <w:rsid w:val="00142250"/>
    <w:rsid w:val="00142A25"/>
    <w:rsid w:val="001462D2"/>
    <w:rsid w:val="001465C9"/>
    <w:rsid w:val="001465EF"/>
    <w:rsid w:val="00147073"/>
    <w:rsid w:val="001473E9"/>
    <w:rsid w:val="00147B62"/>
    <w:rsid w:val="00147E23"/>
    <w:rsid w:val="0015176C"/>
    <w:rsid w:val="00154B49"/>
    <w:rsid w:val="00156322"/>
    <w:rsid w:val="00161FFF"/>
    <w:rsid w:val="001627F0"/>
    <w:rsid w:val="00162E57"/>
    <w:rsid w:val="001638B5"/>
    <w:rsid w:val="001666E3"/>
    <w:rsid w:val="00167498"/>
    <w:rsid w:val="00170263"/>
    <w:rsid w:val="00170E2D"/>
    <w:rsid w:val="00174A1A"/>
    <w:rsid w:val="0018176A"/>
    <w:rsid w:val="001826AC"/>
    <w:rsid w:val="00183CB9"/>
    <w:rsid w:val="00184C18"/>
    <w:rsid w:val="00184EF4"/>
    <w:rsid w:val="0019360D"/>
    <w:rsid w:val="00195EA9"/>
    <w:rsid w:val="001A023B"/>
    <w:rsid w:val="001A2771"/>
    <w:rsid w:val="001A31B3"/>
    <w:rsid w:val="001A6E9F"/>
    <w:rsid w:val="001A73ED"/>
    <w:rsid w:val="001B79CE"/>
    <w:rsid w:val="001C0018"/>
    <w:rsid w:val="001C1E3F"/>
    <w:rsid w:val="001C2604"/>
    <w:rsid w:val="001C3173"/>
    <w:rsid w:val="001C358C"/>
    <w:rsid w:val="001D0546"/>
    <w:rsid w:val="001D1EB9"/>
    <w:rsid w:val="001D2F87"/>
    <w:rsid w:val="001D3480"/>
    <w:rsid w:val="001E4125"/>
    <w:rsid w:val="001E4262"/>
    <w:rsid w:val="001E4DF8"/>
    <w:rsid w:val="001E510B"/>
    <w:rsid w:val="001E5583"/>
    <w:rsid w:val="001E7448"/>
    <w:rsid w:val="001E7C4A"/>
    <w:rsid w:val="001F07A7"/>
    <w:rsid w:val="001F1ECB"/>
    <w:rsid w:val="001F267D"/>
    <w:rsid w:val="001F51DC"/>
    <w:rsid w:val="001F58E1"/>
    <w:rsid w:val="001F59E8"/>
    <w:rsid w:val="002006F7"/>
    <w:rsid w:val="002012C0"/>
    <w:rsid w:val="0020310E"/>
    <w:rsid w:val="0021265F"/>
    <w:rsid w:val="00212FEA"/>
    <w:rsid w:val="00214C18"/>
    <w:rsid w:val="0021506D"/>
    <w:rsid w:val="00217EF8"/>
    <w:rsid w:val="0022169E"/>
    <w:rsid w:val="00221851"/>
    <w:rsid w:val="00224CFB"/>
    <w:rsid w:val="002263F8"/>
    <w:rsid w:val="0022654E"/>
    <w:rsid w:val="00226C42"/>
    <w:rsid w:val="00227C88"/>
    <w:rsid w:val="002323E4"/>
    <w:rsid w:val="002324B0"/>
    <w:rsid w:val="002325B1"/>
    <w:rsid w:val="00232E67"/>
    <w:rsid w:val="002335E1"/>
    <w:rsid w:val="002345C3"/>
    <w:rsid w:val="00235635"/>
    <w:rsid w:val="0024042E"/>
    <w:rsid w:val="00250AF3"/>
    <w:rsid w:val="00251164"/>
    <w:rsid w:val="002528D1"/>
    <w:rsid w:val="00255200"/>
    <w:rsid w:val="00260411"/>
    <w:rsid w:val="00260980"/>
    <w:rsid w:val="00260CA9"/>
    <w:rsid w:val="00263A35"/>
    <w:rsid w:val="00264011"/>
    <w:rsid w:val="002642C1"/>
    <w:rsid w:val="00265735"/>
    <w:rsid w:val="00267207"/>
    <w:rsid w:val="0026760D"/>
    <w:rsid w:val="00270721"/>
    <w:rsid w:val="0027129D"/>
    <w:rsid w:val="00271D33"/>
    <w:rsid w:val="0027708C"/>
    <w:rsid w:val="002808C1"/>
    <w:rsid w:val="002828BE"/>
    <w:rsid w:val="00283A12"/>
    <w:rsid w:val="002869C1"/>
    <w:rsid w:val="002917DF"/>
    <w:rsid w:val="00292B35"/>
    <w:rsid w:val="00292E7E"/>
    <w:rsid w:val="0029380C"/>
    <w:rsid w:val="00295C2B"/>
    <w:rsid w:val="002A1513"/>
    <w:rsid w:val="002A2906"/>
    <w:rsid w:val="002A35A6"/>
    <w:rsid w:val="002B1320"/>
    <w:rsid w:val="002B7E9F"/>
    <w:rsid w:val="002C0037"/>
    <w:rsid w:val="002C01D7"/>
    <w:rsid w:val="002C08D5"/>
    <w:rsid w:val="002C171D"/>
    <w:rsid w:val="002C31A1"/>
    <w:rsid w:val="002C31AD"/>
    <w:rsid w:val="002D185E"/>
    <w:rsid w:val="002D187F"/>
    <w:rsid w:val="002D2C30"/>
    <w:rsid w:val="002D344E"/>
    <w:rsid w:val="002D3542"/>
    <w:rsid w:val="002D4C8A"/>
    <w:rsid w:val="002D4F75"/>
    <w:rsid w:val="002D576B"/>
    <w:rsid w:val="002D704D"/>
    <w:rsid w:val="002D7C0A"/>
    <w:rsid w:val="002E34C3"/>
    <w:rsid w:val="002E37F3"/>
    <w:rsid w:val="002E38FE"/>
    <w:rsid w:val="002E529B"/>
    <w:rsid w:val="002E5F52"/>
    <w:rsid w:val="002E63E4"/>
    <w:rsid w:val="002E7FA7"/>
    <w:rsid w:val="002F06AA"/>
    <w:rsid w:val="002F3AB3"/>
    <w:rsid w:val="002F55F0"/>
    <w:rsid w:val="002F6D48"/>
    <w:rsid w:val="002F71D2"/>
    <w:rsid w:val="00300089"/>
    <w:rsid w:val="00302191"/>
    <w:rsid w:val="003050FD"/>
    <w:rsid w:val="0030515E"/>
    <w:rsid w:val="003070EC"/>
    <w:rsid w:val="0031427E"/>
    <w:rsid w:val="003148F2"/>
    <w:rsid w:val="00315BB0"/>
    <w:rsid w:val="0031709B"/>
    <w:rsid w:val="00317672"/>
    <w:rsid w:val="003203EF"/>
    <w:rsid w:val="00322DDA"/>
    <w:rsid w:val="003232A2"/>
    <w:rsid w:val="003239D9"/>
    <w:rsid w:val="003274CB"/>
    <w:rsid w:val="00334401"/>
    <w:rsid w:val="00337766"/>
    <w:rsid w:val="00340E17"/>
    <w:rsid w:val="00341C62"/>
    <w:rsid w:val="0034564D"/>
    <w:rsid w:val="00350A28"/>
    <w:rsid w:val="00351DDA"/>
    <w:rsid w:val="003540D6"/>
    <w:rsid w:val="003553E3"/>
    <w:rsid w:val="00356631"/>
    <w:rsid w:val="003579F0"/>
    <w:rsid w:val="00361B45"/>
    <w:rsid w:val="00362608"/>
    <w:rsid w:val="00363F1D"/>
    <w:rsid w:val="003718AB"/>
    <w:rsid w:val="0037214E"/>
    <w:rsid w:val="00373581"/>
    <w:rsid w:val="00373852"/>
    <w:rsid w:val="0037416F"/>
    <w:rsid w:val="00374C83"/>
    <w:rsid w:val="003759AC"/>
    <w:rsid w:val="00375BED"/>
    <w:rsid w:val="003763BD"/>
    <w:rsid w:val="003770B3"/>
    <w:rsid w:val="0038000F"/>
    <w:rsid w:val="0038184E"/>
    <w:rsid w:val="00382304"/>
    <w:rsid w:val="003838CD"/>
    <w:rsid w:val="00383CB9"/>
    <w:rsid w:val="00390231"/>
    <w:rsid w:val="00392508"/>
    <w:rsid w:val="0039300F"/>
    <w:rsid w:val="00393E13"/>
    <w:rsid w:val="0039410E"/>
    <w:rsid w:val="00397EB9"/>
    <w:rsid w:val="003A0C3A"/>
    <w:rsid w:val="003A1319"/>
    <w:rsid w:val="003A20C5"/>
    <w:rsid w:val="003A5589"/>
    <w:rsid w:val="003A6343"/>
    <w:rsid w:val="003A7372"/>
    <w:rsid w:val="003B1501"/>
    <w:rsid w:val="003B3AAD"/>
    <w:rsid w:val="003B4642"/>
    <w:rsid w:val="003B50FC"/>
    <w:rsid w:val="003B57C2"/>
    <w:rsid w:val="003B77F7"/>
    <w:rsid w:val="003C010A"/>
    <w:rsid w:val="003C052B"/>
    <w:rsid w:val="003C4D2C"/>
    <w:rsid w:val="003C5D29"/>
    <w:rsid w:val="003D1925"/>
    <w:rsid w:val="003D1D82"/>
    <w:rsid w:val="003D4110"/>
    <w:rsid w:val="003D5449"/>
    <w:rsid w:val="003D6DDD"/>
    <w:rsid w:val="003E01E3"/>
    <w:rsid w:val="003E3CFA"/>
    <w:rsid w:val="003E7CD8"/>
    <w:rsid w:val="003F05A3"/>
    <w:rsid w:val="003F0D15"/>
    <w:rsid w:val="003F12AF"/>
    <w:rsid w:val="003F146E"/>
    <w:rsid w:val="003F221A"/>
    <w:rsid w:val="003F3A48"/>
    <w:rsid w:val="003F3DC4"/>
    <w:rsid w:val="003F49F8"/>
    <w:rsid w:val="003F674E"/>
    <w:rsid w:val="003F68B9"/>
    <w:rsid w:val="004000CF"/>
    <w:rsid w:val="004028F1"/>
    <w:rsid w:val="00403F30"/>
    <w:rsid w:val="00404787"/>
    <w:rsid w:val="0040498F"/>
    <w:rsid w:val="004063E4"/>
    <w:rsid w:val="004063EE"/>
    <w:rsid w:val="0040773E"/>
    <w:rsid w:val="00412E21"/>
    <w:rsid w:val="00413A8B"/>
    <w:rsid w:val="004166CF"/>
    <w:rsid w:val="0041787D"/>
    <w:rsid w:val="004200C6"/>
    <w:rsid w:val="004202F9"/>
    <w:rsid w:val="00421FAC"/>
    <w:rsid w:val="00425A53"/>
    <w:rsid w:val="00427BBF"/>
    <w:rsid w:val="0043148E"/>
    <w:rsid w:val="00436882"/>
    <w:rsid w:val="00437CAA"/>
    <w:rsid w:val="00440C08"/>
    <w:rsid w:val="00441F10"/>
    <w:rsid w:val="00445B48"/>
    <w:rsid w:val="00445C19"/>
    <w:rsid w:val="00445CF9"/>
    <w:rsid w:val="00451156"/>
    <w:rsid w:val="00451A08"/>
    <w:rsid w:val="00451A32"/>
    <w:rsid w:val="00457E8F"/>
    <w:rsid w:val="0046086B"/>
    <w:rsid w:val="004629C6"/>
    <w:rsid w:val="0046549E"/>
    <w:rsid w:val="004679EB"/>
    <w:rsid w:val="00467DCD"/>
    <w:rsid w:val="0047148F"/>
    <w:rsid w:val="00471D6C"/>
    <w:rsid w:val="00472FBD"/>
    <w:rsid w:val="00475E1D"/>
    <w:rsid w:val="00476C73"/>
    <w:rsid w:val="0048194A"/>
    <w:rsid w:val="00484994"/>
    <w:rsid w:val="004863B3"/>
    <w:rsid w:val="004865C7"/>
    <w:rsid w:val="004875B9"/>
    <w:rsid w:val="00492EEB"/>
    <w:rsid w:val="00494B95"/>
    <w:rsid w:val="00495A4E"/>
    <w:rsid w:val="004A1CFA"/>
    <w:rsid w:val="004A1E25"/>
    <w:rsid w:val="004A44D1"/>
    <w:rsid w:val="004A46B9"/>
    <w:rsid w:val="004A4C68"/>
    <w:rsid w:val="004A5D22"/>
    <w:rsid w:val="004A7AAA"/>
    <w:rsid w:val="004B0505"/>
    <w:rsid w:val="004B0E46"/>
    <w:rsid w:val="004B11CF"/>
    <w:rsid w:val="004B1ACF"/>
    <w:rsid w:val="004B3AFF"/>
    <w:rsid w:val="004B48FE"/>
    <w:rsid w:val="004B4978"/>
    <w:rsid w:val="004B5518"/>
    <w:rsid w:val="004C0036"/>
    <w:rsid w:val="004C0D8A"/>
    <w:rsid w:val="004C1845"/>
    <w:rsid w:val="004C265A"/>
    <w:rsid w:val="004C3238"/>
    <w:rsid w:val="004C443B"/>
    <w:rsid w:val="004D1938"/>
    <w:rsid w:val="004D1A2B"/>
    <w:rsid w:val="004D4466"/>
    <w:rsid w:val="004D541E"/>
    <w:rsid w:val="004D6F82"/>
    <w:rsid w:val="004E0FD4"/>
    <w:rsid w:val="004E25BB"/>
    <w:rsid w:val="004E2969"/>
    <w:rsid w:val="004E5C33"/>
    <w:rsid w:val="004F02EE"/>
    <w:rsid w:val="004F2103"/>
    <w:rsid w:val="004F228F"/>
    <w:rsid w:val="005012BF"/>
    <w:rsid w:val="00503A47"/>
    <w:rsid w:val="00504ABF"/>
    <w:rsid w:val="00504ED5"/>
    <w:rsid w:val="00507F75"/>
    <w:rsid w:val="00510565"/>
    <w:rsid w:val="005171C5"/>
    <w:rsid w:val="00520A5A"/>
    <w:rsid w:val="005226DE"/>
    <w:rsid w:val="005247CD"/>
    <w:rsid w:val="0052537A"/>
    <w:rsid w:val="00525EFE"/>
    <w:rsid w:val="005319F0"/>
    <w:rsid w:val="00534BB5"/>
    <w:rsid w:val="00534E57"/>
    <w:rsid w:val="0053558F"/>
    <w:rsid w:val="0053688F"/>
    <w:rsid w:val="00537DC1"/>
    <w:rsid w:val="005414A8"/>
    <w:rsid w:val="0054270F"/>
    <w:rsid w:val="00544DA9"/>
    <w:rsid w:val="00547BE5"/>
    <w:rsid w:val="005531D3"/>
    <w:rsid w:val="0055542C"/>
    <w:rsid w:val="0055611A"/>
    <w:rsid w:val="0056194A"/>
    <w:rsid w:val="0056260A"/>
    <w:rsid w:val="005634F5"/>
    <w:rsid w:val="005639EC"/>
    <w:rsid w:val="00564076"/>
    <w:rsid w:val="005653AD"/>
    <w:rsid w:val="00570736"/>
    <w:rsid w:val="00571960"/>
    <w:rsid w:val="005743FD"/>
    <w:rsid w:val="00576E22"/>
    <w:rsid w:val="00584B1A"/>
    <w:rsid w:val="00586626"/>
    <w:rsid w:val="005915B7"/>
    <w:rsid w:val="00593126"/>
    <w:rsid w:val="00594CA8"/>
    <w:rsid w:val="0059557D"/>
    <w:rsid w:val="00596E5F"/>
    <w:rsid w:val="00597C61"/>
    <w:rsid w:val="005A3238"/>
    <w:rsid w:val="005A4B6E"/>
    <w:rsid w:val="005A5936"/>
    <w:rsid w:val="005A6335"/>
    <w:rsid w:val="005A66E5"/>
    <w:rsid w:val="005A775D"/>
    <w:rsid w:val="005A7A37"/>
    <w:rsid w:val="005A7AFC"/>
    <w:rsid w:val="005B0003"/>
    <w:rsid w:val="005B05E9"/>
    <w:rsid w:val="005B2E66"/>
    <w:rsid w:val="005B3494"/>
    <w:rsid w:val="005B48A2"/>
    <w:rsid w:val="005B6E94"/>
    <w:rsid w:val="005B71F9"/>
    <w:rsid w:val="005B756C"/>
    <w:rsid w:val="005B7B40"/>
    <w:rsid w:val="005C2739"/>
    <w:rsid w:val="005C29D5"/>
    <w:rsid w:val="005C5E72"/>
    <w:rsid w:val="005C795C"/>
    <w:rsid w:val="005C7F1A"/>
    <w:rsid w:val="005D05E7"/>
    <w:rsid w:val="005D1395"/>
    <w:rsid w:val="005D589D"/>
    <w:rsid w:val="005D592C"/>
    <w:rsid w:val="005D6BFB"/>
    <w:rsid w:val="005E235F"/>
    <w:rsid w:val="005E2B54"/>
    <w:rsid w:val="005E396F"/>
    <w:rsid w:val="005E4CBB"/>
    <w:rsid w:val="005E59C5"/>
    <w:rsid w:val="005E7140"/>
    <w:rsid w:val="005F034C"/>
    <w:rsid w:val="005F140C"/>
    <w:rsid w:val="005F2F58"/>
    <w:rsid w:val="005F49D0"/>
    <w:rsid w:val="005F5A28"/>
    <w:rsid w:val="005F6340"/>
    <w:rsid w:val="005F7CB0"/>
    <w:rsid w:val="00600A82"/>
    <w:rsid w:val="00602A98"/>
    <w:rsid w:val="006033D6"/>
    <w:rsid w:val="00604B25"/>
    <w:rsid w:val="00604D8A"/>
    <w:rsid w:val="00606B27"/>
    <w:rsid w:val="00607189"/>
    <w:rsid w:val="00611D6D"/>
    <w:rsid w:val="00612084"/>
    <w:rsid w:val="00612D47"/>
    <w:rsid w:val="0061444B"/>
    <w:rsid w:val="00615D47"/>
    <w:rsid w:val="006164ED"/>
    <w:rsid w:val="00616CF3"/>
    <w:rsid w:val="00620F3C"/>
    <w:rsid w:val="00620FA9"/>
    <w:rsid w:val="0062242F"/>
    <w:rsid w:val="006245A3"/>
    <w:rsid w:val="006247AC"/>
    <w:rsid w:val="006268D7"/>
    <w:rsid w:val="006312C0"/>
    <w:rsid w:val="006371B4"/>
    <w:rsid w:val="00643B6B"/>
    <w:rsid w:val="0064565B"/>
    <w:rsid w:val="006511CE"/>
    <w:rsid w:val="006550E0"/>
    <w:rsid w:val="00656858"/>
    <w:rsid w:val="00657452"/>
    <w:rsid w:val="00662188"/>
    <w:rsid w:val="0066336B"/>
    <w:rsid w:val="00663AEE"/>
    <w:rsid w:val="0066656D"/>
    <w:rsid w:val="006668E7"/>
    <w:rsid w:val="00667AE1"/>
    <w:rsid w:val="00670E29"/>
    <w:rsid w:val="00674B70"/>
    <w:rsid w:val="0067554C"/>
    <w:rsid w:val="00681247"/>
    <w:rsid w:val="00682B61"/>
    <w:rsid w:val="00682CFF"/>
    <w:rsid w:val="006848DA"/>
    <w:rsid w:val="00686A60"/>
    <w:rsid w:val="006874A7"/>
    <w:rsid w:val="006876B0"/>
    <w:rsid w:val="006904DA"/>
    <w:rsid w:val="00693894"/>
    <w:rsid w:val="00695246"/>
    <w:rsid w:val="0069547C"/>
    <w:rsid w:val="006976B3"/>
    <w:rsid w:val="006A3CC3"/>
    <w:rsid w:val="006A46A0"/>
    <w:rsid w:val="006A59FA"/>
    <w:rsid w:val="006A6D13"/>
    <w:rsid w:val="006A7C8F"/>
    <w:rsid w:val="006B09E8"/>
    <w:rsid w:val="006B2A25"/>
    <w:rsid w:val="006B2E67"/>
    <w:rsid w:val="006B729B"/>
    <w:rsid w:val="006B7C2E"/>
    <w:rsid w:val="006C051C"/>
    <w:rsid w:val="006C1060"/>
    <w:rsid w:val="006C5C5E"/>
    <w:rsid w:val="006C5E49"/>
    <w:rsid w:val="006C7B5B"/>
    <w:rsid w:val="006D0687"/>
    <w:rsid w:val="006D0781"/>
    <w:rsid w:val="006D1BF6"/>
    <w:rsid w:val="006D4745"/>
    <w:rsid w:val="006D4D80"/>
    <w:rsid w:val="006D7FDC"/>
    <w:rsid w:val="006E1C78"/>
    <w:rsid w:val="006E4070"/>
    <w:rsid w:val="006E420A"/>
    <w:rsid w:val="006E47B9"/>
    <w:rsid w:val="006E59C7"/>
    <w:rsid w:val="006E7307"/>
    <w:rsid w:val="006F1764"/>
    <w:rsid w:val="006F39C5"/>
    <w:rsid w:val="006F5B9C"/>
    <w:rsid w:val="00702DBF"/>
    <w:rsid w:val="00706302"/>
    <w:rsid w:val="00706511"/>
    <w:rsid w:val="007078C0"/>
    <w:rsid w:val="00710DFD"/>
    <w:rsid w:val="00713383"/>
    <w:rsid w:val="007143FD"/>
    <w:rsid w:val="00715EFF"/>
    <w:rsid w:val="00715FCB"/>
    <w:rsid w:val="007216CF"/>
    <w:rsid w:val="007217E8"/>
    <w:rsid w:val="00723898"/>
    <w:rsid w:val="00723C52"/>
    <w:rsid w:val="0072551A"/>
    <w:rsid w:val="0073182E"/>
    <w:rsid w:val="00732665"/>
    <w:rsid w:val="00733234"/>
    <w:rsid w:val="00735950"/>
    <w:rsid w:val="00742DB7"/>
    <w:rsid w:val="007439E3"/>
    <w:rsid w:val="00744140"/>
    <w:rsid w:val="00744350"/>
    <w:rsid w:val="00745881"/>
    <w:rsid w:val="00746999"/>
    <w:rsid w:val="007474DF"/>
    <w:rsid w:val="00747A70"/>
    <w:rsid w:val="007505E5"/>
    <w:rsid w:val="0075189A"/>
    <w:rsid w:val="00752064"/>
    <w:rsid w:val="00753449"/>
    <w:rsid w:val="007548FF"/>
    <w:rsid w:val="00763F25"/>
    <w:rsid w:val="0076595F"/>
    <w:rsid w:val="00765994"/>
    <w:rsid w:val="00767590"/>
    <w:rsid w:val="0077328F"/>
    <w:rsid w:val="00773A18"/>
    <w:rsid w:val="00775DB7"/>
    <w:rsid w:val="0077673F"/>
    <w:rsid w:val="007816C1"/>
    <w:rsid w:val="0078214F"/>
    <w:rsid w:val="00782D5B"/>
    <w:rsid w:val="00784AFD"/>
    <w:rsid w:val="00785B60"/>
    <w:rsid w:val="00786879"/>
    <w:rsid w:val="00786EB1"/>
    <w:rsid w:val="00787039"/>
    <w:rsid w:val="007921A4"/>
    <w:rsid w:val="007924F7"/>
    <w:rsid w:val="00796344"/>
    <w:rsid w:val="007970ED"/>
    <w:rsid w:val="007A15BB"/>
    <w:rsid w:val="007A32F4"/>
    <w:rsid w:val="007A3CD1"/>
    <w:rsid w:val="007A562F"/>
    <w:rsid w:val="007A6657"/>
    <w:rsid w:val="007B002D"/>
    <w:rsid w:val="007B1C3E"/>
    <w:rsid w:val="007B41C8"/>
    <w:rsid w:val="007B6187"/>
    <w:rsid w:val="007C7F37"/>
    <w:rsid w:val="007D007F"/>
    <w:rsid w:val="007D044A"/>
    <w:rsid w:val="007D06CC"/>
    <w:rsid w:val="007D0F1B"/>
    <w:rsid w:val="007D21AA"/>
    <w:rsid w:val="007D2AE0"/>
    <w:rsid w:val="007D306C"/>
    <w:rsid w:val="007D3787"/>
    <w:rsid w:val="007D4D4D"/>
    <w:rsid w:val="007E024D"/>
    <w:rsid w:val="007E4AA7"/>
    <w:rsid w:val="007E585D"/>
    <w:rsid w:val="007E63B9"/>
    <w:rsid w:val="007F586E"/>
    <w:rsid w:val="00800EB5"/>
    <w:rsid w:val="00801566"/>
    <w:rsid w:val="008023E9"/>
    <w:rsid w:val="008025CA"/>
    <w:rsid w:val="00802DBE"/>
    <w:rsid w:val="008045D9"/>
    <w:rsid w:val="00810309"/>
    <w:rsid w:val="00810C5D"/>
    <w:rsid w:val="00810D0F"/>
    <w:rsid w:val="00811D47"/>
    <w:rsid w:val="008137B2"/>
    <w:rsid w:val="00815B76"/>
    <w:rsid w:val="0082126A"/>
    <w:rsid w:val="00821E50"/>
    <w:rsid w:val="00822FF7"/>
    <w:rsid w:val="008241DF"/>
    <w:rsid w:val="008251BD"/>
    <w:rsid w:val="008257EA"/>
    <w:rsid w:val="00831D27"/>
    <w:rsid w:val="00832738"/>
    <w:rsid w:val="00834328"/>
    <w:rsid w:val="00835589"/>
    <w:rsid w:val="0083629D"/>
    <w:rsid w:val="00840FC4"/>
    <w:rsid w:val="008431C9"/>
    <w:rsid w:val="008431DE"/>
    <w:rsid w:val="008435F5"/>
    <w:rsid w:val="00845781"/>
    <w:rsid w:val="00845B93"/>
    <w:rsid w:val="00853601"/>
    <w:rsid w:val="00854AF9"/>
    <w:rsid w:val="008621FD"/>
    <w:rsid w:val="00862284"/>
    <w:rsid w:val="0086459A"/>
    <w:rsid w:val="00865ABF"/>
    <w:rsid w:val="00870BD1"/>
    <w:rsid w:val="00876895"/>
    <w:rsid w:val="008814F6"/>
    <w:rsid w:val="0089087C"/>
    <w:rsid w:val="00893328"/>
    <w:rsid w:val="008A114A"/>
    <w:rsid w:val="008A1A91"/>
    <w:rsid w:val="008A277C"/>
    <w:rsid w:val="008A30D7"/>
    <w:rsid w:val="008A3371"/>
    <w:rsid w:val="008A4AEC"/>
    <w:rsid w:val="008A5E5D"/>
    <w:rsid w:val="008A7CD2"/>
    <w:rsid w:val="008B00D7"/>
    <w:rsid w:val="008B1B5B"/>
    <w:rsid w:val="008B1B69"/>
    <w:rsid w:val="008B46AB"/>
    <w:rsid w:val="008B6757"/>
    <w:rsid w:val="008C16A8"/>
    <w:rsid w:val="008C3138"/>
    <w:rsid w:val="008C3B24"/>
    <w:rsid w:val="008C3E0A"/>
    <w:rsid w:val="008C7978"/>
    <w:rsid w:val="008D321C"/>
    <w:rsid w:val="008D3807"/>
    <w:rsid w:val="008D6DC5"/>
    <w:rsid w:val="008E220A"/>
    <w:rsid w:val="008E2A6B"/>
    <w:rsid w:val="008E3824"/>
    <w:rsid w:val="008E4D8E"/>
    <w:rsid w:val="008E5B2F"/>
    <w:rsid w:val="008E6855"/>
    <w:rsid w:val="008E7451"/>
    <w:rsid w:val="008F20A4"/>
    <w:rsid w:val="008F357D"/>
    <w:rsid w:val="008F365C"/>
    <w:rsid w:val="008F5058"/>
    <w:rsid w:val="008F63CC"/>
    <w:rsid w:val="008F7AE9"/>
    <w:rsid w:val="0090008C"/>
    <w:rsid w:val="009004C9"/>
    <w:rsid w:val="00903E5D"/>
    <w:rsid w:val="00904FE1"/>
    <w:rsid w:val="0090742E"/>
    <w:rsid w:val="00912E7E"/>
    <w:rsid w:val="00913014"/>
    <w:rsid w:val="0091380A"/>
    <w:rsid w:val="00914691"/>
    <w:rsid w:val="00920E7D"/>
    <w:rsid w:val="00920F39"/>
    <w:rsid w:val="0092160D"/>
    <w:rsid w:val="00921C29"/>
    <w:rsid w:val="00922896"/>
    <w:rsid w:val="00923582"/>
    <w:rsid w:val="0092536D"/>
    <w:rsid w:val="00925EEA"/>
    <w:rsid w:val="00927BBA"/>
    <w:rsid w:val="009304E6"/>
    <w:rsid w:val="00932860"/>
    <w:rsid w:val="009337B5"/>
    <w:rsid w:val="00933B54"/>
    <w:rsid w:val="00934E88"/>
    <w:rsid w:val="009352A0"/>
    <w:rsid w:val="009352C8"/>
    <w:rsid w:val="00935601"/>
    <w:rsid w:val="009361B6"/>
    <w:rsid w:val="00940920"/>
    <w:rsid w:val="00941EF2"/>
    <w:rsid w:val="00945CFE"/>
    <w:rsid w:val="00945F59"/>
    <w:rsid w:val="00946524"/>
    <w:rsid w:val="009514B0"/>
    <w:rsid w:val="00951B17"/>
    <w:rsid w:val="00952747"/>
    <w:rsid w:val="009533CD"/>
    <w:rsid w:val="00957373"/>
    <w:rsid w:val="0096139A"/>
    <w:rsid w:val="00965583"/>
    <w:rsid w:val="0096768C"/>
    <w:rsid w:val="00972BEA"/>
    <w:rsid w:val="0097349F"/>
    <w:rsid w:val="00975F15"/>
    <w:rsid w:val="00976DA2"/>
    <w:rsid w:val="00976E82"/>
    <w:rsid w:val="009776B0"/>
    <w:rsid w:val="00977A18"/>
    <w:rsid w:val="009806BA"/>
    <w:rsid w:val="009862AE"/>
    <w:rsid w:val="00992499"/>
    <w:rsid w:val="00992682"/>
    <w:rsid w:val="009966C0"/>
    <w:rsid w:val="0099792F"/>
    <w:rsid w:val="009A0285"/>
    <w:rsid w:val="009A06F6"/>
    <w:rsid w:val="009A17E3"/>
    <w:rsid w:val="009A2051"/>
    <w:rsid w:val="009A5866"/>
    <w:rsid w:val="009A665E"/>
    <w:rsid w:val="009B045A"/>
    <w:rsid w:val="009B11A1"/>
    <w:rsid w:val="009B2FF9"/>
    <w:rsid w:val="009B48C3"/>
    <w:rsid w:val="009B495C"/>
    <w:rsid w:val="009B5977"/>
    <w:rsid w:val="009C1347"/>
    <w:rsid w:val="009C2904"/>
    <w:rsid w:val="009C41EA"/>
    <w:rsid w:val="009C59FC"/>
    <w:rsid w:val="009D14E3"/>
    <w:rsid w:val="009D1E93"/>
    <w:rsid w:val="009D306E"/>
    <w:rsid w:val="009D5DC3"/>
    <w:rsid w:val="009D67F8"/>
    <w:rsid w:val="009E1A4B"/>
    <w:rsid w:val="009E3EDD"/>
    <w:rsid w:val="009E749D"/>
    <w:rsid w:val="009F0B42"/>
    <w:rsid w:val="009F1F69"/>
    <w:rsid w:val="009F2CD0"/>
    <w:rsid w:val="009F35EC"/>
    <w:rsid w:val="009F5899"/>
    <w:rsid w:val="009F653D"/>
    <w:rsid w:val="00A010B5"/>
    <w:rsid w:val="00A07CE2"/>
    <w:rsid w:val="00A23AE1"/>
    <w:rsid w:val="00A25D78"/>
    <w:rsid w:val="00A26436"/>
    <w:rsid w:val="00A27BCA"/>
    <w:rsid w:val="00A27D8D"/>
    <w:rsid w:val="00A27FE4"/>
    <w:rsid w:val="00A32B77"/>
    <w:rsid w:val="00A35A74"/>
    <w:rsid w:val="00A360D8"/>
    <w:rsid w:val="00A36160"/>
    <w:rsid w:val="00A36A39"/>
    <w:rsid w:val="00A409F9"/>
    <w:rsid w:val="00A40AB6"/>
    <w:rsid w:val="00A41FCA"/>
    <w:rsid w:val="00A42492"/>
    <w:rsid w:val="00A42612"/>
    <w:rsid w:val="00A453B5"/>
    <w:rsid w:val="00A454B1"/>
    <w:rsid w:val="00A456C8"/>
    <w:rsid w:val="00A518E0"/>
    <w:rsid w:val="00A54813"/>
    <w:rsid w:val="00A5496C"/>
    <w:rsid w:val="00A549A6"/>
    <w:rsid w:val="00A578EA"/>
    <w:rsid w:val="00A60C9A"/>
    <w:rsid w:val="00A63BF9"/>
    <w:rsid w:val="00A651B7"/>
    <w:rsid w:val="00A71EE4"/>
    <w:rsid w:val="00A73EEB"/>
    <w:rsid w:val="00A77ED6"/>
    <w:rsid w:val="00A80AF1"/>
    <w:rsid w:val="00A824F1"/>
    <w:rsid w:val="00A82D9D"/>
    <w:rsid w:val="00A85E64"/>
    <w:rsid w:val="00A85FC3"/>
    <w:rsid w:val="00A873FC"/>
    <w:rsid w:val="00A939D3"/>
    <w:rsid w:val="00A947C1"/>
    <w:rsid w:val="00AA2232"/>
    <w:rsid w:val="00AA3DEB"/>
    <w:rsid w:val="00AA4CDD"/>
    <w:rsid w:val="00AA786F"/>
    <w:rsid w:val="00AB0DC6"/>
    <w:rsid w:val="00AB0E58"/>
    <w:rsid w:val="00AB1F13"/>
    <w:rsid w:val="00AB50FB"/>
    <w:rsid w:val="00AB524C"/>
    <w:rsid w:val="00AB5318"/>
    <w:rsid w:val="00AB55B8"/>
    <w:rsid w:val="00AB5A0F"/>
    <w:rsid w:val="00AB7472"/>
    <w:rsid w:val="00AC17C9"/>
    <w:rsid w:val="00AC4418"/>
    <w:rsid w:val="00AC45EF"/>
    <w:rsid w:val="00AC5944"/>
    <w:rsid w:val="00AC6EEE"/>
    <w:rsid w:val="00AC7B73"/>
    <w:rsid w:val="00AD0E12"/>
    <w:rsid w:val="00AD3410"/>
    <w:rsid w:val="00AD39BA"/>
    <w:rsid w:val="00AE0C70"/>
    <w:rsid w:val="00AE737C"/>
    <w:rsid w:val="00AF085D"/>
    <w:rsid w:val="00AF2EE0"/>
    <w:rsid w:val="00AF4619"/>
    <w:rsid w:val="00AF4D60"/>
    <w:rsid w:val="00AF4E79"/>
    <w:rsid w:val="00B0349D"/>
    <w:rsid w:val="00B03C53"/>
    <w:rsid w:val="00B03F3B"/>
    <w:rsid w:val="00B04102"/>
    <w:rsid w:val="00B068FC"/>
    <w:rsid w:val="00B111BD"/>
    <w:rsid w:val="00B115B7"/>
    <w:rsid w:val="00B11AD9"/>
    <w:rsid w:val="00B12C06"/>
    <w:rsid w:val="00B15A12"/>
    <w:rsid w:val="00B16843"/>
    <w:rsid w:val="00B16DEB"/>
    <w:rsid w:val="00B211AD"/>
    <w:rsid w:val="00B215C4"/>
    <w:rsid w:val="00B24818"/>
    <w:rsid w:val="00B24860"/>
    <w:rsid w:val="00B24A81"/>
    <w:rsid w:val="00B24EA0"/>
    <w:rsid w:val="00B251B3"/>
    <w:rsid w:val="00B25545"/>
    <w:rsid w:val="00B25D2E"/>
    <w:rsid w:val="00B276E2"/>
    <w:rsid w:val="00B27A26"/>
    <w:rsid w:val="00B3048B"/>
    <w:rsid w:val="00B3064D"/>
    <w:rsid w:val="00B30A96"/>
    <w:rsid w:val="00B31F4C"/>
    <w:rsid w:val="00B31F7E"/>
    <w:rsid w:val="00B36775"/>
    <w:rsid w:val="00B40CB1"/>
    <w:rsid w:val="00B44787"/>
    <w:rsid w:val="00B44AE2"/>
    <w:rsid w:val="00B4508D"/>
    <w:rsid w:val="00B45BD3"/>
    <w:rsid w:val="00B53A94"/>
    <w:rsid w:val="00B54013"/>
    <w:rsid w:val="00B5679C"/>
    <w:rsid w:val="00B571D9"/>
    <w:rsid w:val="00B57B24"/>
    <w:rsid w:val="00B602BA"/>
    <w:rsid w:val="00B64194"/>
    <w:rsid w:val="00B65289"/>
    <w:rsid w:val="00B66F4B"/>
    <w:rsid w:val="00B70C8B"/>
    <w:rsid w:val="00B75809"/>
    <w:rsid w:val="00B759D9"/>
    <w:rsid w:val="00B76064"/>
    <w:rsid w:val="00B76536"/>
    <w:rsid w:val="00B7792C"/>
    <w:rsid w:val="00B817C6"/>
    <w:rsid w:val="00B8244D"/>
    <w:rsid w:val="00B8528B"/>
    <w:rsid w:val="00B86BA4"/>
    <w:rsid w:val="00B9162E"/>
    <w:rsid w:val="00B94048"/>
    <w:rsid w:val="00BA15C8"/>
    <w:rsid w:val="00BA30E2"/>
    <w:rsid w:val="00BA3F76"/>
    <w:rsid w:val="00BA551B"/>
    <w:rsid w:val="00BA6212"/>
    <w:rsid w:val="00BA79A9"/>
    <w:rsid w:val="00BB10A1"/>
    <w:rsid w:val="00BB32D7"/>
    <w:rsid w:val="00BB656F"/>
    <w:rsid w:val="00BB6CFB"/>
    <w:rsid w:val="00BB7511"/>
    <w:rsid w:val="00BC05EE"/>
    <w:rsid w:val="00BC5380"/>
    <w:rsid w:val="00BC6606"/>
    <w:rsid w:val="00BD101A"/>
    <w:rsid w:val="00BD44A5"/>
    <w:rsid w:val="00BD5B49"/>
    <w:rsid w:val="00BD6AB1"/>
    <w:rsid w:val="00BD7DCD"/>
    <w:rsid w:val="00BD7E17"/>
    <w:rsid w:val="00BE0F1E"/>
    <w:rsid w:val="00BE1813"/>
    <w:rsid w:val="00BE20FA"/>
    <w:rsid w:val="00BE2FC4"/>
    <w:rsid w:val="00BE3646"/>
    <w:rsid w:val="00BF4295"/>
    <w:rsid w:val="00BF5705"/>
    <w:rsid w:val="00BF7987"/>
    <w:rsid w:val="00C015FB"/>
    <w:rsid w:val="00C04C84"/>
    <w:rsid w:val="00C061E3"/>
    <w:rsid w:val="00C0692A"/>
    <w:rsid w:val="00C06EF0"/>
    <w:rsid w:val="00C10034"/>
    <w:rsid w:val="00C131D4"/>
    <w:rsid w:val="00C1517B"/>
    <w:rsid w:val="00C15E1C"/>
    <w:rsid w:val="00C17570"/>
    <w:rsid w:val="00C176EE"/>
    <w:rsid w:val="00C2045A"/>
    <w:rsid w:val="00C21602"/>
    <w:rsid w:val="00C21E8A"/>
    <w:rsid w:val="00C226F5"/>
    <w:rsid w:val="00C236B2"/>
    <w:rsid w:val="00C25493"/>
    <w:rsid w:val="00C301AC"/>
    <w:rsid w:val="00C306B1"/>
    <w:rsid w:val="00C3230C"/>
    <w:rsid w:val="00C32A74"/>
    <w:rsid w:val="00C34D52"/>
    <w:rsid w:val="00C360D8"/>
    <w:rsid w:val="00C3685A"/>
    <w:rsid w:val="00C368DA"/>
    <w:rsid w:val="00C41125"/>
    <w:rsid w:val="00C4178B"/>
    <w:rsid w:val="00C41EF1"/>
    <w:rsid w:val="00C42271"/>
    <w:rsid w:val="00C47A88"/>
    <w:rsid w:val="00C50FCC"/>
    <w:rsid w:val="00C518F9"/>
    <w:rsid w:val="00C51F5E"/>
    <w:rsid w:val="00C5226F"/>
    <w:rsid w:val="00C53626"/>
    <w:rsid w:val="00C542B7"/>
    <w:rsid w:val="00C54AD6"/>
    <w:rsid w:val="00C55B4A"/>
    <w:rsid w:val="00C57131"/>
    <w:rsid w:val="00C64FAA"/>
    <w:rsid w:val="00C65C08"/>
    <w:rsid w:val="00C717EE"/>
    <w:rsid w:val="00C71EFD"/>
    <w:rsid w:val="00C72036"/>
    <w:rsid w:val="00C7414C"/>
    <w:rsid w:val="00C7469A"/>
    <w:rsid w:val="00C806AB"/>
    <w:rsid w:val="00C8091C"/>
    <w:rsid w:val="00C81B5B"/>
    <w:rsid w:val="00C81E7A"/>
    <w:rsid w:val="00C81FDA"/>
    <w:rsid w:val="00C825C5"/>
    <w:rsid w:val="00C844B6"/>
    <w:rsid w:val="00C909AE"/>
    <w:rsid w:val="00C944AB"/>
    <w:rsid w:val="00C94747"/>
    <w:rsid w:val="00C96895"/>
    <w:rsid w:val="00C975F9"/>
    <w:rsid w:val="00C97F2B"/>
    <w:rsid w:val="00CA5FC9"/>
    <w:rsid w:val="00CA6284"/>
    <w:rsid w:val="00CB00D5"/>
    <w:rsid w:val="00CB1622"/>
    <w:rsid w:val="00CB32C7"/>
    <w:rsid w:val="00CB706A"/>
    <w:rsid w:val="00CB7D4A"/>
    <w:rsid w:val="00CC14E9"/>
    <w:rsid w:val="00CC4E06"/>
    <w:rsid w:val="00CC5882"/>
    <w:rsid w:val="00CC630D"/>
    <w:rsid w:val="00CC6CAF"/>
    <w:rsid w:val="00CC7AD3"/>
    <w:rsid w:val="00CD0E36"/>
    <w:rsid w:val="00CD0F40"/>
    <w:rsid w:val="00CD1054"/>
    <w:rsid w:val="00CD200E"/>
    <w:rsid w:val="00CD270F"/>
    <w:rsid w:val="00CD42F5"/>
    <w:rsid w:val="00CD5DB1"/>
    <w:rsid w:val="00CE33F1"/>
    <w:rsid w:val="00CE52E7"/>
    <w:rsid w:val="00CE7674"/>
    <w:rsid w:val="00CF1581"/>
    <w:rsid w:val="00CF1FB8"/>
    <w:rsid w:val="00CF5E69"/>
    <w:rsid w:val="00CF67B1"/>
    <w:rsid w:val="00CF6CC8"/>
    <w:rsid w:val="00CF7342"/>
    <w:rsid w:val="00D010F6"/>
    <w:rsid w:val="00D0196D"/>
    <w:rsid w:val="00D03189"/>
    <w:rsid w:val="00D03C71"/>
    <w:rsid w:val="00D055EB"/>
    <w:rsid w:val="00D05E34"/>
    <w:rsid w:val="00D07168"/>
    <w:rsid w:val="00D1323A"/>
    <w:rsid w:val="00D1384E"/>
    <w:rsid w:val="00D14DA0"/>
    <w:rsid w:val="00D1594B"/>
    <w:rsid w:val="00D164BB"/>
    <w:rsid w:val="00D16BD4"/>
    <w:rsid w:val="00D1725F"/>
    <w:rsid w:val="00D21A4C"/>
    <w:rsid w:val="00D21C42"/>
    <w:rsid w:val="00D23401"/>
    <w:rsid w:val="00D248DD"/>
    <w:rsid w:val="00D32766"/>
    <w:rsid w:val="00D36D8D"/>
    <w:rsid w:val="00D36E65"/>
    <w:rsid w:val="00D41E48"/>
    <w:rsid w:val="00D423AF"/>
    <w:rsid w:val="00D43B46"/>
    <w:rsid w:val="00D51633"/>
    <w:rsid w:val="00D51BDF"/>
    <w:rsid w:val="00D56575"/>
    <w:rsid w:val="00D5668C"/>
    <w:rsid w:val="00D56784"/>
    <w:rsid w:val="00D60349"/>
    <w:rsid w:val="00D63BD5"/>
    <w:rsid w:val="00D640E0"/>
    <w:rsid w:val="00D64153"/>
    <w:rsid w:val="00D6701A"/>
    <w:rsid w:val="00D70F4B"/>
    <w:rsid w:val="00D727A8"/>
    <w:rsid w:val="00D73C5E"/>
    <w:rsid w:val="00D76FB7"/>
    <w:rsid w:val="00D80AD4"/>
    <w:rsid w:val="00D81783"/>
    <w:rsid w:val="00D819DE"/>
    <w:rsid w:val="00D8604C"/>
    <w:rsid w:val="00D86113"/>
    <w:rsid w:val="00D863DB"/>
    <w:rsid w:val="00D872FC"/>
    <w:rsid w:val="00D873FE"/>
    <w:rsid w:val="00DA13C8"/>
    <w:rsid w:val="00DA49EA"/>
    <w:rsid w:val="00DA4E24"/>
    <w:rsid w:val="00DA585A"/>
    <w:rsid w:val="00DA6C0D"/>
    <w:rsid w:val="00DA7F5D"/>
    <w:rsid w:val="00DB5E1E"/>
    <w:rsid w:val="00DC0B03"/>
    <w:rsid w:val="00DC18B8"/>
    <w:rsid w:val="00DC277E"/>
    <w:rsid w:val="00DC33F1"/>
    <w:rsid w:val="00DC3B5F"/>
    <w:rsid w:val="00DC4166"/>
    <w:rsid w:val="00DC48B2"/>
    <w:rsid w:val="00DC7A2A"/>
    <w:rsid w:val="00DD16E4"/>
    <w:rsid w:val="00DD2C40"/>
    <w:rsid w:val="00DD38C9"/>
    <w:rsid w:val="00DD6082"/>
    <w:rsid w:val="00DE0858"/>
    <w:rsid w:val="00DE242F"/>
    <w:rsid w:val="00DE37B6"/>
    <w:rsid w:val="00DE4049"/>
    <w:rsid w:val="00DE479C"/>
    <w:rsid w:val="00DE4CB8"/>
    <w:rsid w:val="00DF3EC0"/>
    <w:rsid w:val="00DF7A97"/>
    <w:rsid w:val="00E00125"/>
    <w:rsid w:val="00E01A5D"/>
    <w:rsid w:val="00E0209D"/>
    <w:rsid w:val="00E07223"/>
    <w:rsid w:val="00E114C8"/>
    <w:rsid w:val="00E1165F"/>
    <w:rsid w:val="00E11AEA"/>
    <w:rsid w:val="00E139DC"/>
    <w:rsid w:val="00E1749A"/>
    <w:rsid w:val="00E206C4"/>
    <w:rsid w:val="00E21317"/>
    <w:rsid w:val="00E22BAC"/>
    <w:rsid w:val="00E25C9D"/>
    <w:rsid w:val="00E26AA5"/>
    <w:rsid w:val="00E26CFF"/>
    <w:rsid w:val="00E30F27"/>
    <w:rsid w:val="00E31DD5"/>
    <w:rsid w:val="00E34474"/>
    <w:rsid w:val="00E34E56"/>
    <w:rsid w:val="00E35F64"/>
    <w:rsid w:val="00E409CD"/>
    <w:rsid w:val="00E42049"/>
    <w:rsid w:val="00E439F4"/>
    <w:rsid w:val="00E4473F"/>
    <w:rsid w:val="00E47A44"/>
    <w:rsid w:val="00E5353A"/>
    <w:rsid w:val="00E559DB"/>
    <w:rsid w:val="00E561F9"/>
    <w:rsid w:val="00E60EC4"/>
    <w:rsid w:val="00E60FCD"/>
    <w:rsid w:val="00E63C1A"/>
    <w:rsid w:val="00E65F84"/>
    <w:rsid w:val="00E70504"/>
    <w:rsid w:val="00E72775"/>
    <w:rsid w:val="00E7306F"/>
    <w:rsid w:val="00E764BD"/>
    <w:rsid w:val="00E7704F"/>
    <w:rsid w:val="00E81AA6"/>
    <w:rsid w:val="00E82843"/>
    <w:rsid w:val="00E8294A"/>
    <w:rsid w:val="00E834F4"/>
    <w:rsid w:val="00E83FFD"/>
    <w:rsid w:val="00E8444C"/>
    <w:rsid w:val="00E85264"/>
    <w:rsid w:val="00E864A1"/>
    <w:rsid w:val="00E90FA8"/>
    <w:rsid w:val="00E916BD"/>
    <w:rsid w:val="00E92242"/>
    <w:rsid w:val="00E92A45"/>
    <w:rsid w:val="00E96673"/>
    <w:rsid w:val="00EA7851"/>
    <w:rsid w:val="00EB009A"/>
    <w:rsid w:val="00EB31E2"/>
    <w:rsid w:val="00EB400F"/>
    <w:rsid w:val="00EB5A2C"/>
    <w:rsid w:val="00EC006F"/>
    <w:rsid w:val="00EC13CC"/>
    <w:rsid w:val="00EC17DA"/>
    <w:rsid w:val="00EC2916"/>
    <w:rsid w:val="00EC3F88"/>
    <w:rsid w:val="00EC4E57"/>
    <w:rsid w:val="00EC5C31"/>
    <w:rsid w:val="00EC7649"/>
    <w:rsid w:val="00EC79A6"/>
    <w:rsid w:val="00ED096E"/>
    <w:rsid w:val="00ED0A73"/>
    <w:rsid w:val="00ED2FCF"/>
    <w:rsid w:val="00ED3235"/>
    <w:rsid w:val="00ED3AD6"/>
    <w:rsid w:val="00ED5309"/>
    <w:rsid w:val="00EE24B8"/>
    <w:rsid w:val="00EE2778"/>
    <w:rsid w:val="00EE3483"/>
    <w:rsid w:val="00EE6CFC"/>
    <w:rsid w:val="00EE7C55"/>
    <w:rsid w:val="00EF11EE"/>
    <w:rsid w:val="00EF1E28"/>
    <w:rsid w:val="00EF30DA"/>
    <w:rsid w:val="00EF4850"/>
    <w:rsid w:val="00EF5130"/>
    <w:rsid w:val="00EF69C6"/>
    <w:rsid w:val="00EF71FD"/>
    <w:rsid w:val="00F019CD"/>
    <w:rsid w:val="00F02844"/>
    <w:rsid w:val="00F02A33"/>
    <w:rsid w:val="00F1281B"/>
    <w:rsid w:val="00F131DE"/>
    <w:rsid w:val="00F1325F"/>
    <w:rsid w:val="00F173C5"/>
    <w:rsid w:val="00F213A7"/>
    <w:rsid w:val="00F2146C"/>
    <w:rsid w:val="00F239C2"/>
    <w:rsid w:val="00F23B2C"/>
    <w:rsid w:val="00F24673"/>
    <w:rsid w:val="00F25F8C"/>
    <w:rsid w:val="00F26418"/>
    <w:rsid w:val="00F27192"/>
    <w:rsid w:val="00F31B4B"/>
    <w:rsid w:val="00F33522"/>
    <w:rsid w:val="00F355DE"/>
    <w:rsid w:val="00F35B33"/>
    <w:rsid w:val="00F37ADF"/>
    <w:rsid w:val="00F40951"/>
    <w:rsid w:val="00F42174"/>
    <w:rsid w:val="00F43F87"/>
    <w:rsid w:val="00F44E02"/>
    <w:rsid w:val="00F469ED"/>
    <w:rsid w:val="00F51666"/>
    <w:rsid w:val="00F52720"/>
    <w:rsid w:val="00F53740"/>
    <w:rsid w:val="00F543EB"/>
    <w:rsid w:val="00F5485A"/>
    <w:rsid w:val="00F55932"/>
    <w:rsid w:val="00F601D1"/>
    <w:rsid w:val="00F60F86"/>
    <w:rsid w:val="00F65D6A"/>
    <w:rsid w:val="00F66047"/>
    <w:rsid w:val="00F726B2"/>
    <w:rsid w:val="00F730CB"/>
    <w:rsid w:val="00F73C05"/>
    <w:rsid w:val="00F748BB"/>
    <w:rsid w:val="00F74A32"/>
    <w:rsid w:val="00F77349"/>
    <w:rsid w:val="00F77707"/>
    <w:rsid w:val="00F801E4"/>
    <w:rsid w:val="00F8048C"/>
    <w:rsid w:val="00F822FC"/>
    <w:rsid w:val="00F82BE3"/>
    <w:rsid w:val="00F849D8"/>
    <w:rsid w:val="00F85978"/>
    <w:rsid w:val="00F878FC"/>
    <w:rsid w:val="00F91A21"/>
    <w:rsid w:val="00F91C00"/>
    <w:rsid w:val="00F9790E"/>
    <w:rsid w:val="00FA03F6"/>
    <w:rsid w:val="00FA29C5"/>
    <w:rsid w:val="00FA2F5C"/>
    <w:rsid w:val="00FA50F8"/>
    <w:rsid w:val="00FB002B"/>
    <w:rsid w:val="00FB0A8F"/>
    <w:rsid w:val="00FB650C"/>
    <w:rsid w:val="00FB6DB5"/>
    <w:rsid w:val="00FC0FF4"/>
    <w:rsid w:val="00FC16A8"/>
    <w:rsid w:val="00FC1DA3"/>
    <w:rsid w:val="00FC2E75"/>
    <w:rsid w:val="00FC5F23"/>
    <w:rsid w:val="00FC61F5"/>
    <w:rsid w:val="00FC6818"/>
    <w:rsid w:val="00FD3C8D"/>
    <w:rsid w:val="00FD573F"/>
    <w:rsid w:val="00FD6C93"/>
    <w:rsid w:val="00FD7A78"/>
    <w:rsid w:val="00FE15A2"/>
    <w:rsid w:val="00FE17B6"/>
    <w:rsid w:val="00FE1D54"/>
    <w:rsid w:val="00FE5A3A"/>
    <w:rsid w:val="00FE5D50"/>
    <w:rsid w:val="00FF2289"/>
    <w:rsid w:val="00FF2798"/>
    <w:rsid w:val="00FF3208"/>
    <w:rsid w:val="00FF4A2F"/>
    <w:rsid w:val="00FF5627"/>
    <w:rsid w:val="00FF62EC"/>
    <w:rsid w:val="00FF6C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4AF7CE"/>
  <w15:docId w15:val="{1B43CCAB-9822-40F8-A490-EF9CD24D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EastAsia" w:hAnsi="Cambria" w:cs="Cambri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42F"/>
    <w:rPr>
      <w:rFonts w:cs="Times New Roman"/>
      <w:sz w:val="24"/>
      <w:szCs w:val="24"/>
      <w:lang w:val="en-GB" w:eastAsia="fr-FR"/>
    </w:rPr>
  </w:style>
  <w:style w:type="paragraph" w:styleId="Heading1">
    <w:name w:val="heading 1"/>
    <w:basedOn w:val="Normal"/>
    <w:next w:val="Normal"/>
    <w:link w:val="Heading1Char"/>
    <w:uiPriority w:val="9"/>
    <w:rsid w:val="009C13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5B05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242F"/>
    <w:pPr>
      <w:ind w:left="720"/>
      <w:contextualSpacing/>
    </w:pPr>
  </w:style>
  <w:style w:type="paragraph" w:styleId="FootnoteText">
    <w:name w:val="footnote text"/>
    <w:basedOn w:val="Normal"/>
    <w:link w:val="FootnoteTextChar"/>
    <w:uiPriority w:val="99"/>
    <w:unhideWhenUsed/>
    <w:rsid w:val="0062242F"/>
  </w:style>
  <w:style w:type="character" w:customStyle="1" w:styleId="FootnoteTextChar">
    <w:name w:val="Footnote Text Char"/>
    <w:link w:val="FootnoteText"/>
    <w:uiPriority w:val="99"/>
    <w:locked/>
    <w:rsid w:val="0062242F"/>
    <w:rPr>
      <w:rFonts w:cs="Times New Roman"/>
    </w:rPr>
  </w:style>
  <w:style w:type="character" w:styleId="FootnoteReference">
    <w:name w:val="footnote reference"/>
    <w:uiPriority w:val="99"/>
    <w:unhideWhenUsed/>
    <w:rsid w:val="0062242F"/>
    <w:rPr>
      <w:rFonts w:cs="Times New Roman"/>
      <w:vertAlign w:val="superscript"/>
    </w:rPr>
  </w:style>
  <w:style w:type="paragraph" w:styleId="BalloonText">
    <w:name w:val="Balloon Text"/>
    <w:basedOn w:val="Normal"/>
    <w:link w:val="BalloonTextChar"/>
    <w:uiPriority w:val="99"/>
    <w:semiHidden/>
    <w:unhideWhenUsed/>
    <w:rsid w:val="0062242F"/>
    <w:rPr>
      <w:rFonts w:ascii="Lucida Grande" w:hAnsi="Lucida Grande" w:cs="Lucida Grande"/>
      <w:sz w:val="18"/>
      <w:szCs w:val="18"/>
    </w:rPr>
  </w:style>
  <w:style w:type="character" w:customStyle="1" w:styleId="BalloonTextChar">
    <w:name w:val="Balloon Text Char"/>
    <w:link w:val="BalloonText"/>
    <w:uiPriority w:val="99"/>
    <w:semiHidden/>
    <w:locked/>
    <w:rsid w:val="0062242F"/>
    <w:rPr>
      <w:rFonts w:ascii="Lucida Grande" w:hAnsi="Lucida Grande" w:cs="Lucida Grande"/>
      <w:sz w:val="18"/>
      <w:szCs w:val="18"/>
    </w:rPr>
  </w:style>
  <w:style w:type="character" w:styleId="Hyperlink">
    <w:name w:val="Hyperlink"/>
    <w:uiPriority w:val="99"/>
    <w:unhideWhenUsed/>
    <w:rsid w:val="00315BB0"/>
    <w:rPr>
      <w:rFonts w:cs="Times New Roman"/>
      <w:color w:val="0000FF"/>
      <w:u w:val="single"/>
    </w:rPr>
  </w:style>
  <w:style w:type="paragraph" w:styleId="Header">
    <w:name w:val="header"/>
    <w:basedOn w:val="Normal"/>
    <w:link w:val="HeaderChar"/>
    <w:uiPriority w:val="99"/>
    <w:unhideWhenUsed/>
    <w:rsid w:val="00BC6606"/>
    <w:pPr>
      <w:tabs>
        <w:tab w:val="center" w:pos="4536"/>
        <w:tab w:val="right" w:pos="9072"/>
      </w:tabs>
    </w:pPr>
  </w:style>
  <w:style w:type="character" w:customStyle="1" w:styleId="HeaderChar">
    <w:name w:val="Header Char"/>
    <w:link w:val="Header"/>
    <w:uiPriority w:val="99"/>
    <w:locked/>
    <w:rsid w:val="00BC6606"/>
    <w:rPr>
      <w:rFonts w:cs="Times New Roman"/>
    </w:rPr>
  </w:style>
  <w:style w:type="paragraph" w:styleId="Footer">
    <w:name w:val="footer"/>
    <w:basedOn w:val="Normal"/>
    <w:link w:val="FooterChar"/>
    <w:uiPriority w:val="99"/>
    <w:unhideWhenUsed/>
    <w:rsid w:val="00BC6606"/>
    <w:pPr>
      <w:tabs>
        <w:tab w:val="center" w:pos="4536"/>
        <w:tab w:val="right" w:pos="9072"/>
      </w:tabs>
    </w:pPr>
  </w:style>
  <w:style w:type="character" w:customStyle="1" w:styleId="FooterChar">
    <w:name w:val="Footer Char"/>
    <w:link w:val="Footer"/>
    <w:uiPriority w:val="99"/>
    <w:locked/>
    <w:rsid w:val="00BC6606"/>
    <w:rPr>
      <w:rFonts w:cs="Times New Roman"/>
    </w:rPr>
  </w:style>
  <w:style w:type="character" w:styleId="PageNumber">
    <w:name w:val="page number"/>
    <w:uiPriority w:val="99"/>
    <w:semiHidden/>
    <w:unhideWhenUsed/>
    <w:rsid w:val="00BC6606"/>
    <w:rPr>
      <w:rFonts w:cs="Times New Roman"/>
    </w:rPr>
  </w:style>
  <w:style w:type="character" w:styleId="CommentReference">
    <w:name w:val="annotation reference"/>
    <w:uiPriority w:val="99"/>
    <w:semiHidden/>
    <w:unhideWhenUsed/>
    <w:rsid w:val="0005553E"/>
    <w:rPr>
      <w:rFonts w:cs="Times New Roman"/>
      <w:sz w:val="16"/>
      <w:szCs w:val="16"/>
    </w:rPr>
  </w:style>
  <w:style w:type="paragraph" w:styleId="CommentText">
    <w:name w:val="annotation text"/>
    <w:basedOn w:val="Normal"/>
    <w:link w:val="CommentTextChar"/>
    <w:uiPriority w:val="99"/>
    <w:unhideWhenUsed/>
    <w:rsid w:val="0005553E"/>
    <w:rPr>
      <w:sz w:val="20"/>
      <w:szCs w:val="20"/>
    </w:rPr>
  </w:style>
  <w:style w:type="character" w:customStyle="1" w:styleId="CommentTextChar">
    <w:name w:val="Comment Text Char"/>
    <w:link w:val="CommentText"/>
    <w:uiPriority w:val="99"/>
    <w:locked/>
    <w:rsid w:val="0005553E"/>
    <w:rPr>
      <w:rFonts w:cs="Times New Roman"/>
      <w:sz w:val="20"/>
      <w:szCs w:val="20"/>
    </w:rPr>
  </w:style>
  <w:style w:type="paragraph" w:styleId="CommentSubject">
    <w:name w:val="annotation subject"/>
    <w:basedOn w:val="CommentText"/>
    <w:next w:val="CommentText"/>
    <w:link w:val="CommentSubjectChar"/>
    <w:uiPriority w:val="99"/>
    <w:semiHidden/>
    <w:unhideWhenUsed/>
    <w:rsid w:val="0005553E"/>
    <w:rPr>
      <w:b/>
      <w:bCs/>
    </w:rPr>
  </w:style>
  <w:style w:type="character" w:customStyle="1" w:styleId="CommentSubjectChar">
    <w:name w:val="Comment Subject Char"/>
    <w:link w:val="CommentSubject"/>
    <w:uiPriority w:val="99"/>
    <w:semiHidden/>
    <w:locked/>
    <w:rsid w:val="0005553E"/>
    <w:rPr>
      <w:rFonts w:cs="Times New Roman"/>
      <w:b/>
      <w:bCs/>
      <w:sz w:val="20"/>
      <w:szCs w:val="20"/>
    </w:rPr>
  </w:style>
  <w:style w:type="paragraph" w:styleId="Revision">
    <w:name w:val="Revision"/>
    <w:hidden/>
    <w:uiPriority w:val="99"/>
    <w:semiHidden/>
    <w:rsid w:val="00D51633"/>
    <w:rPr>
      <w:rFonts w:cs="Times New Roman"/>
      <w:sz w:val="24"/>
      <w:szCs w:val="24"/>
      <w:lang w:val="en-GB" w:eastAsia="fr-FR"/>
    </w:rPr>
  </w:style>
  <w:style w:type="table" w:styleId="TableGrid">
    <w:name w:val="Table Grid"/>
    <w:basedOn w:val="TableNormal"/>
    <w:uiPriority w:val="59"/>
    <w:rsid w:val="006456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uiPriority w:val="99"/>
    <w:semiHidden/>
    <w:rsid w:val="00D86113"/>
    <w:rPr>
      <w:rFonts w:cs="Times New Roman"/>
      <w:sz w:val="20"/>
      <w:szCs w:val="20"/>
    </w:rPr>
  </w:style>
  <w:style w:type="character" w:customStyle="1" w:styleId="PieddepageCar">
    <w:name w:val="Pied de page Car"/>
    <w:semiHidden/>
    <w:rsid w:val="00E34E56"/>
    <w:rPr>
      <w:rFonts w:ascii="Arial" w:hAnsi="Arial" w:cs="Times New Roman"/>
      <w:noProof/>
      <w:sz w:val="20"/>
      <w:szCs w:val="20"/>
      <w:lang w:eastAsia="de-CH"/>
    </w:rPr>
  </w:style>
  <w:style w:type="paragraph" w:styleId="PlainText">
    <w:name w:val="Plain Text"/>
    <w:basedOn w:val="Normal"/>
    <w:link w:val="PlainTextChar"/>
    <w:uiPriority w:val="99"/>
    <w:unhideWhenUsed/>
    <w:rsid w:val="005C2739"/>
    <w:rPr>
      <w:rFonts w:ascii="Calibri" w:hAnsi="Calibri"/>
      <w:sz w:val="22"/>
      <w:szCs w:val="21"/>
      <w:lang w:eastAsia="en-US"/>
    </w:rPr>
  </w:style>
  <w:style w:type="character" w:customStyle="1" w:styleId="PlainTextChar">
    <w:name w:val="Plain Text Char"/>
    <w:link w:val="PlainText"/>
    <w:uiPriority w:val="99"/>
    <w:locked/>
    <w:rsid w:val="005C2739"/>
    <w:rPr>
      <w:rFonts w:ascii="Calibri" w:eastAsia="Times New Roman" w:hAnsi="Calibri" w:cs="Times New Roman"/>
      <w:sz w:val="21"/>
      <w:szCs w:val="21"/>
      <w:lang w:val="x-none" w:eastAsia="en-US"/>
    </w:rPr>
  </w:style>
  <w:style w:type="character" w:styleId="FollowedHyperlink">
    <w:name w:val="FollowedHyperlink"/>
    <w:uiPriority w:val="99"/>
    <w:semiHidden/>
    <w:unhideWhenUsed/>
    <w:rsid w:val="00E1749A"/>
    <w:rPr>
      <w:rFonts w:cs="Times New Roman"/>
      <w:color w:val="800080"/>
      <w:u w:val="single"/>
    </w:rPr>
  </w:style>
  <w:style w:type="paragraph" w:styleId="NormalWeb">
    <w:name w:val="Normal (Web)"/>
    <w:basedOn w:val="Normal"/>
    <w:uiPriority w:val="99"/>
    <w:unhideWhenUsed/>
    <w:rsid w:val="004202F9"/>
    <w:pPr>
      <w:spacing w:before="100" w:beforeAutospacing="1" w:after="100" w:afterAutospacing="1"/>
    </w:pPr>
    <w:rPr>
      <w:rFonts w:ascii="Times New Roman" w:hAnsi="Times New Roman"/>
      <w:lang w:eastAsia="en-GB"/>
    </w:rPr>
  </w:style>
  <w:style w:type="paragraph" w:styleId="NoSpacing">
    <w:name w:val="No Spacing"/>
    <w:uiPriority w:val="1"/>
    <w:rsid w:val="0083629D"/>
    <w:rPr>
      <w:rFonts w:cs="Times New Roman"/>
      <w:sz w:val="24"/>
      <w:szCs w:val="24"/>
      <w:lang w:val="en-GB" w:eastAsia="fr-FR"/>
    </w:rPr>
  </w:style>
  <w:style w:type="character" w:styleId="PlaceholderText">
    <w:name w:val="Placeholder Text"/>
    <w:uiPriority w:val="99"/>
    <w:semiHidden/>
    <w:rsid w:val="00CB7D4A"/>
    <w:rPr>
      <w:rFonts w:cs="Times New Roman"/>
      <w:color w:val="808080"/>
    </w:rPr>
  </w:style>
  <w:style w:type="paragraph" w:customStyle="1" w:styleId="DRPara">
    <w:name w:val="DR Para"/>
    <w:basedOn w:val="ListParagraph"/>
    <w:link w:val="DRParaChar"/>
    <w:qFormat/>
    <w:rsid w:val="00853601"/>
    <w:pPr>
      <w:numPr>
        <w:numId w:val="2"/>
      </w:numPr>
      <w:spacing w:after="240"/>
      <w:ind w:left="425" w:hanging="425"/>
      <w:contextualSpacing w:val="0"/>
    </w:pPr>
    <w:rPr>
      <w:rFonts w:ascii="Calibri" w:hAnsi="Calibri"/>
      <w:sz w:val="22"/>
      <w:szCs w:val="22"/>
    </w:rPr>
  </w:style>
  <w:style w:type="character" w:customStyle="1" w:styleId="ListParagraphChar">
    <w:name w:val="List Paragraph Char"/>
    <w:basedOn w:val="DefaultParagraphFont"/>
    <w:link w:val="ListParagraph"/>
    <w:uiPriority w:val="34"/>
    <w:rsid w:val="00853601"/>
    <w:rPr>
      <w:rFonts w:cs="Times New Roman"/>
      <w:sz w:val="24"/>
      <w:szCs w:val="24"/>
      <w:lang w:val="en-GB" w:eastAsia="fr-FR"/>
    </w:rPr>
  </w:style>
  <w:style w:type="character" w:customStyle="1" w:styleId="DRParaChar">
    <w:name w:val="DR Para Char"/>
    <w:basedOn w:val="ListParagraphChar"/>
    <w:link w:val="DRPara"/>
    <w:rsid w:val="00853601"/>
    <w:rPr>
      <w:rFonts w:ascii="Calibri" w:hAnsi="Calibri" w:cs="Times New Roman"/>
      <w:sz w:val="22"/>
      <w:szCs w:val="22"/>
      <w:lang w:val="en-GB" w:eastAsia="fr-FR"/>
    </w:rPr>
  </w:style>
  <w:style w:type="character" w:customStyle="1" w:styleId="Heading2Char">
    <w:name w:val="Heading 2 Char"/>
    <w:basedOn w:val="DefaultParagraphFont"/>
    <w:link w:val="Heading2"/>
    <w:uiPriority w:val="9"/>
    <w:semiHidden/>
    <w:rsid w:val="005B05E9"/>
    <w:rPr>
      <w:rFonts w:asciiTheme="majorHAnsi" w:eastAsiaTheme="majorEastAsia" w:hAnsiTheme="majorHAnsi" w:cstheme="majorBidi"/>
      <w:color w:val="2E74B5" w:themeColor="accent1" w:themeShade="BF"/>
      <w:sz w:val="26"/>
      <w:szCs w:val="26"/>
      <w:lang w:val="en-GB" w:eastAsia="fr-FR"/>
    </w:rPr>
  </w:style>
  <w:style w:type="paragraph" w:customStyle="1" w:styleId="DRText">
    <w:name w:val="DR Text"/>
    <w:basedOn w:val="Normal"/>
    <w:link w:val="DRTextChar"/>
    <w:qFormat/>
    <w:rsid w:val="006312C0"/>
    <w:rPr>
      <w:rFonts w:ascii="Calibri" w:hAnsi="Calibri"/>
      <w:sz w:val="22"/>
      <w:szCs w:val="22"/>
      <w:lang w:val="en-US" w:eastAsia="en-US"/>
    </w:rPr>
  </w:style>
  <w:style w:type="character" w:customStyle="1" w:styleId="DRTextChar">
    <w:name w:val="DR Text Char"/>
    <w:basedOn w:val="DefaultParagraphFont"/>
    <w:link w:val="DRText"/>
    <w:rsid w:val="006312C0"/>
    <w:rPr>
      <w:rFonts w:ascii="Calibri" w:hAnsi="Calibri" w:cs="Times New Roman"/>
      <w:sz w:val="22"/>
      <w:szCs w:val="22"/>
    </w:rPr>
  </w:style>
  <w:style w:type="paragraph" w:customStyle="1" w:styleId="DRHeading1">
    <w:name w:val="DR Heading 1"/>
    <w:basedOn w:val="Normal"/>
    <w:link w:val="DRHeading1Char"/>
    <w:qFormat/>
    <w:rsid w:val="006312C0"/>
    <w:rPr>
      <w:rFonts w:ascii="Calibri" w:hAnsi="Calibri"/>
      <w:b/>
      <w:bCs/>
      <w:sz w:val="22"/>
      <w:szCs w:val="22"/>
      <w:lang w:val="en-US" w:eastAsia="en-US"/>
    </w:rPr>
  </w:style>
  <w:style w:type="character" w:customStyle="1" w:styleId="DRHeading1Char">
    <w:name w:val="DR Heading 1 Char"/>
    <w:basedOn w:val="DefaultParagraphFont"/>
    <w:link w:val="DRHeading1"/>
    <w:rsid w:val="006312C0"/>
    <w:rPr>
      <w:rFonts w:ascii="Calibri" w:hAnsi="Calibri" w:cs="Times New Roman"/>
      <w:b/>
      <w:bCs/>
      <w:sz w:val="22"/>
      <w:szCs w:val="22"/>
    </w:rPr>
  </w:style>
  <w:style w:type="character" w:customStyle="1" w:styleId="Heading1Char">
    <w:name w:val="Heading 1 Char"/>
    <w:basedOn w:val="DefaultParagraphFont"/>
    <w:link w:val="Heading1"/>
    <w:uiPriority w:val="9"/>
    <w:rsid w:val="009C1347"/>
    <w:rPr>
      <w:rFonts w:asciiTheme="majorHAnsi" w:eastAsiaTheme="majorEastAsia" w:hAnsiTheme="majorHAnsi" w:cstheme="majorBidi"/>
      <w:color w:val="2E74B5" w:themeColor="accent1" w:themeShade="BF"/>
      <w:sz w:val="32"/>
      <w:szCs w:val="32"/>
      <w:lang w:val="en-GB" w:eastAsia="fr-FR"/>
    </w:rPr>
  </w:style>
  <w:style w:type="paragraph" w:customStyle="1" w:styleId="AnnexText">
    <w:name w:val="Annex Text"/>
    <w:basedOn w:val="DRText"/>
    <w:link w:val="AnnexTextChar"/>
    <w:qFormat/>
    <w:rsid w:val="00154B49"/>
    <w:pPr>
      <w:numPr>
        <w:numId w:val="3"/>
      </w:numPr>
      <w:spacing w:after="240"/>
      <w:ind w:left="425" w:hanging="425"/>
    </w:pPr>
  </w:style>
  <w:style w:type="character" w:customStyle="1" w:styleId="AnnexTextChar">
    <w:name w:val="Annex Text Char"/>
    <w:basedOn w:val="DRTextChar"/>
    <w:link w:val="AnnexText"/>
    <w:rsid w:val="00154B49"/>
    <w:rPr>
      <w:rFonts w:ascii="Calibri" w:hAnsi="Calibri" w:cs="Times New Roman"/>
      <w:sz w:val="22"/>
      <w:szCs w:val="22"/>
    </w:rPr>
  </w:style>
  <w:style w:type="paragraph" w:customStyle="1" w:styleId="AnnexH1">
    <w:name w:val="Annex H1"/>
    <w:basedOn w:val="DRText"/>
    <w:link w:val="AnnexH1Char"/>
    <w:qFormat/>
    <w:rsid w:val="00154B49"/>
    <w:pPr>
      <w:spacing w:after="240"/>
    </w:pPr>
    <w:rPr>
      <w:u w:val="single"/>
    </w:rPr>
  </w:style>
  <w:style w:type="character" w:customStyle="1" w:styleId="AnnexH1Char">
    <w:name w:val="Annex H1 Char"/>
    <w:basedOn w:val="DRTextChar"/>
    <w:link w:val="AnnexH1"/>
    <w:rsid w:val="00154B49"/>
    <w:rPr>
      <w:rFonts w:ascii="Calibri" w:hAnsi="Calibri" w:cs="Times New Roman"/>
      <w:sz w:val="22"/>
      <w:szCs w:val="22"/>
      <w:u w:val="single"/>
    </w:rPr>
  </w:style>
  <w:style w:type="paragraph" w:customStyle="1" w:styleId="Annexbullet">
    <w:name w:val="Annex bullet"/>
    <w:basedOn w:val="ListParagraph"/>
    <w:link w:val="AnnexbulletChar"/>
    <w:qFormat/>
    <w:rsid w:val="008B46AB"/>
    <w:pPr>
      <w:numPr>
        <w:numId w:val="1"/>
      </w:numPr>
      <w:spacing w:after="240"/>
      <w:ind w:hanging="295"/>
    </w:pPr>
    <w:rPr>
      <w:rFonts w:ascii="Calibri" w:hAnsi="Calibri" w:cs="Calibri"/>
      <w:sz w:val="22"/>
      <w:szCs w:val="22"/>
    </w:rPr>
  </w:style>
  <w:style w:type="character" w:customStyle="1" w:styleId="AnnexbulletChar">
    <w:name w:val="Annex bullet Char"/>
    <w:basedOn w:val="ListParagraphChar"/>
    <w:link w:val="Annexbullet"/>
    <w:rsid w:val="008B46AB"/>
    <w:rPr>
      <w:rFonts w:ascii="Calibri" w:hAnsi="Calibri" w:cs="Calibri"/>
      <w:sz w:val="22"/>
      <w:szCs w:val="22"/>
      <w:lang w:val="en-GB" w:eastAsia="fr-FR"/>
    </w:rPr>
  </w:style>
  <w:style w:type="paragraph" w:customStyle="1" w:styleId="AnnexFig">
    <w:name w:val="Annex Fig"/>
    <w:basedOn w:val="AnnexText"/>
    <w:link w:val="AnnexFigChar"/>
    <w:qFormat/>
    <w:rsid w:val="00686A60"/>
    <w:pPr>
      <w:numPr>
        <w:numId w:val="0"/>
      </w:numPr>
    </w:pPr>
    <w:rPr>
      <w:b/>
      <w:bCs/>
    </w:rPr>
  </w:style>
  <w:style w:type="character" w:customStyle="1" w:styleId="AnnexFigChar">
    <w:name w:val="Annex Fig Char"/>
    <w:basedOn w:val="AnnexTextChar"/>
    <w:link w:val="AnnexFig"/>
    <w:rsid w:val="00686A60"/>
    <w:rPr>
      <w:rFonts w:ascii="Calibri" w:hAnsi="Calibri" w:cs="Times New Roman"/>
      <w:b/>
      <w:bCs/>
      <w:sz w:val="22"/>
      <w:szCs w:val="22"/>
    </w:rPr>
  </w:style>
  <w:style w:type="paragraph" w:customStyle="1" w:styleId="Default">
    <w:name w:val="Default"/>
    <w:rsid w:val="00670E29"/>
    <w:pPr>
      <w:autoSpaceDE w:val="0"/>
      <w:autoSpaceDN w:val="0"/>
      <w:adjustRightInd w:val="0"/>
    </w:pPr>
    <w:rPr>
      <w:rFonts w:ascii="Myriad" w:hAnsi="Myriad" w:cs="Myriad"/>
      <w:color w:val="000000"/>
      <w:sz w:val="24"/>
      <w:szCs w:val="24"/>
    </w:rPr>
  </w:style>
  <w:style w:type="character" w:styleId="LineNumber">
    <w:name w:val="line number"/>
    <w:basedOn w:val="DefaultParagraphFont"/>
    <w:uiPriority w:val="99"/>
    <w:semiHidden/>
    <w:unhideWhenUsed/>
    <w:rsid w:val="00B1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2EAF6-9296-4788-81E9-873B715926CF}">
  <ds:schemaRefs>
    <ds:schemaRef ds:uri="http://schemas.microsoft.com/sharepoint/v3/contenttype/forms"/>
  </ds:schemaRefs>
</ds:datastoreItem>
</file>

<file path=customXml/itemProps2.xml><?xml version="1.0" encoding="utf-8"?>
<ds:datastoreItem xmlns:ds="http://schemas.openxmlformats.org/officeDocument/2006/customXml" ds:itemID="{A3901ED2-D527-4EDE-8502-32AAD8E0D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20F154-6F78-4265-8115-20343B2D1CAA}">
  <ds:schemaRefs>
    <ds:schemaRef ds:uri="http://schemas.microsoft.com/office/2006/metadata/properties"/>
    <ds:schemaRef ds:uri="http://schemas.microsoft.com/office/infopath/2007/PartnerControls"/>
    <ds:schemaRef ds:uri="a3a2dff7-4331-4a95-9af9-6b2cd4e65ac3"/>
    <ds:schemaRef ds:uri="ecaa2b1f-0678-4421-92e9-1090174541bd"/>
  </ds:schemaRefs>
</ds:datastoreItem>
</file>

<file path=customXml/itemProps4.xml><?xml version="1.0" encoding="utf-8"?>
<ds:datastoreItem xmlns:ds="http://schemas.openxmlformats.org/officeDocument/2006/customXml" ds:itemID="{26526A8D-2C62-42A2-A3A3-4B148130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3840</Words>
  <Characters>21477</Characters>
  <Application>Microsoft Office Word</Application>
  <DocSecurity>0</DocSecurity>
  <Lines>178</Lines>
  <Paragraphs>50</Paragraphs>
  <ScaleCrop>false</ScaleCrop>
  <HeadingPairs>
    <vt:vector size="6" baseType="variant">
      <vt:variant>
        <vt:lpstr>Title</vt:lpstr>
      </vt:variant>
      <vt:variant>
        <vt:i4>1</vt:i4>
      </vt:variant>
      <vt:variant>
        <vt:lpstr>Titre</vt:lpstr>
      </vt:variant>
      <vt:variant>
        <vt:i4>1</vt:i4>
      </vt:variant>
      <vt:variant>
        <vt:lpstr>제목</vt:lpstr>
      </vt:variant>
      <vt:variant>
        <vt:i4>1</vt:i4>
      </vt:variant>
    </vt:vector>
  </HeadingPairs>
  <TitlesOfParts>
    <vt:vector size="3" baseType="lpstr">
      <vt:lpstr/>
      <vt:lpstr/>
      <vt:lpstr/>
    </vt:vector>
  </TitlesOfParts>
  <Company>Ympäristöhallinto</Company>
  <LinksUpToDate>false</LinksUpToDate>
  <CharactersWithSpaces>25267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Republic of Korea</dc:creator>
  <cp:lastModifiedBy>JENNINGS Edmund</cp:lastModifiedBy>
  <cp:revision>5</cp:revision>
  <cp:lastPrinted>2015-02-19T18:23:00Z</cp:lastPrinted>
  <dcterms:created xsi:type="dcterms:W3CDTF">2024-12-05T13:13:00Z</dcterms:created>
  <dcterms:modified xsi:type="dcterms:W3CDTF">2024-12-05T13:48:00Z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0x01010084EE0E1D656D104D9982CB97F943D824</vt:lpwstr>
  </property>
</Properties>
</file>