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5E07C"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THE CONVENTION ON WETLANDS</w:t>
      </w:r>
    </w:p>
    <w:p w14:paraId="0C31DF86"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64th meeting of the Standing Committee</w:t>
      </w:r>
    </w:p>
    <w:p w14:paraId="7058CF80" w14:textId="77777777" w:rsidR="00392508" w:rsidRPr="003232A2" w:rsidRDefault="00392508" w:rsidP="00392508">
      <w:pPr>
        <w:pBdr>
          <w:top w:val="single" w:sz="12" w:space="0" w:color="auto" w:shadow="1"/>
          <w:left w:val="single" w:sz="12" w:space="4" w:color="auto" w:shadow="1"/>
          <w:bottom w:val="single" w:sz="12" w:space="1" w:color="auto" w:shadow="1"/>
          <w:right w:val="single" w:sz="12" w:space="0" w:color="auto" w:shadow="1"/>
        </w:pBdr>
        <w:suppressAutoHyphens/>
        <w:ind w:right="3753"/>
        <w:rPr>
          <w:rFonts w:ascii="Calibri" w:hAnsi="Calibri" w:cs="Calibri"/>
          <w:sz w:val="22"/>
          <w:szCs w:val="22"/>
        </w:rPr>
      </w:pPr>
      <w:r w:rsidRPr="003232A2">
        <w:rPr>
          <w:rFonts w:ascii="Calibri" w:hAnsi="Calibri" w:cs="Calibri"/>
          <w:sz w:val="22"/>
          <w:szCs w:val="22"/>
        </w:rPr>
        <w:t>Gland, Switzerland, 20-24 January 2025</w:t>
      </w:r>
    </w:p>
    <w:p w14:paraId="1A1D47B4" w14:textId="77777777" w:rsidR="00392508" w:rsidRPr="00C34D52" w:rsidRDefault="00392508" w:rsidP="00392508">
      <w:pPr>
        <w:jc w:val="right"/>
        <w:rPr>
          <w:rFonts w:ascii="Calibri" w:hAnsi="Calibri" w:cs="Calibri"/>
          <w:b/>
          <w:bCs/>
          <w:sz w:val="28"/>
          <w:szCs w:val="28"/>
        </w:rPr>
      </w:pPr>
    </w:p>
    <w:p w14:paraId="705494F0" w14:textId="7161433E" w:rsidR="00392508" w:rsidRPr="00C34D52" w:rsidRDefault="00392508" w:rsidP="00392508">
      <w:pPr>
        <w:jc w:val="right"/>
        <w:rPr>
          <w:rFonts w:ascii="Calibri" w:hAnsi="Calibri" w:cs="Calibri"/>
          <w:b/>
          <w:bCs/>
          <w:sz w:val="28"/>
          <w:szCs w:val="28"/>
        </w:rPr>
      </w:pPr>
      <w:r w:rsidRPr="00C34D52">
        <w:rPr>
          <w:rFonts w:ascii="Calibri" w:hAnsi="Calibri" w:cs="Calibri"/>
          <w:b/>
          <w:bCs/>
          <w:sz w:val="28"/>
          <w:szCs w:val="28"/>
        </w:rPr>
        <w:t>SC64 Doc.29.1</w:t>
      </w:r>
      <w:r w:rsidR="00034B1A" w:rsidRPr="00C34D52">
        <w:rPr>
          <w:rFonts w:ascii="Calibri" w:hAnsi="Calibri" w:cs="Calibri"/>
          <w:b/>
          <w:bCs/>
          <w:sz w:val="28"/>
          <w:szCs w:val="28"/>
        </w:rPr>
        <w:t>2</w:t>
      </w:r>
    </w:p>
    <w:p w14:paraId="7E784C94" w14:textId="77777777" w:rsidR="00392508" w:rsidRPr="00C34D52" w:rsidRDefault="00392508" w:rsidP="008E220A">
      <w:pPr>
        <w:jc w:val="center"/>
        <w:rPr>
          <w:rFonts w:ascii="Calibri" w:hAnsi="Calibri"/>
          <w:b/>
          <w:bCs/>
          <w:sz w:val="28"/>
          <w:szCs w:val="28"/>
          <w:lang w:eastAsia="en-US"/>
        </w:rPr>
      </w:pPr>
    </w:p>
    <w:p w14:paraId="3FB62754" w14:textId="3AF11BFB" w:rsidR="008E220A" w:rsidRPr="00C34D52" w:rsidRDefault="008E220A" w:rsidP="008E220A">
      <w:pPr>
        <w:jc w:val="center"/>
        <w:rPr>
          <w:rFonts w:ascii="Calibri" w:hAnsi="Calibri"/>
          <w:b/>
          <w:bCs/>
          <w:sz w:val="28"/>
          <w:szCs w:val="28"/>
          <w:lang w:val="en-US" w:eastAsia="en-US"/>
        </w:rPr>
      </w:pPr>
      <w:r w:rsidRPr="00C34D52">
        <w:rPr>
          <w:rFonts w:ascii="Calibri" w:hAnsi="Calibri"/>
          <w:b/>
          <w:bCs/>
          <w:sz w:val="28"/>
          <w:szCs w:val="28"/>
          <w:lang w:val="en-US" w:eastAsia="en-US"/>
        </w:rPr>
        <w:t xml:space="preserve">Proposed </w:t>
      </w:r>
      <w:r w:rsidR="00C34D52" w:rsidRPr="00C34D52">
        <w:rPr>
          <w:rFonts w:ascii="Calibri" w:hAnsi="Calibri"/>
          <w:b/>
          <w:bCs/>
          <w:sz w:val="28"/>
          <w:szCs w:val="28"/>
          <w:lang w:val="en-US" w:eastAsia="en-US"/>
        </w:rPr>
        <w:t xml:space="preserve">draft resolution </w:t>
      </w:r>
      <w:r w:rsidRPr="00C34D52">
        <w:rPr>
          <w:rFonts w:ascii="Calibri" w:hAnsi="Calibri"/>
          <w:b/>
          <w:bCs/>
          <w:sz w:val="28"/>
          <w:szCs w:val="28"/>
          <w:lang w:val="en-US" w:eastAsia="en-US"/>
        </w:rPr>
        <w:t xml:space="preserve">on </w:t>
      </w:r>
      <w:r w:rsidR="00C34D52" w:rsidRPr="00C34D52">
        <w:rPr>
          <w:rFonts w:ascii="Calibri" w:hAnsi="Calibri"/>
          <w:b/>
          <w:bCs/>
          <w:sz w:val="28"/>
          <w:szCs w:val="28"/>
          <w:lang w:val="en-US" w:eastAsia="en-US"/>
        </w:rPr>
        <w:t xml:space="preserve">assessing </w:t>
      </w:r>
      <w:r w:rsidRPr="00C34D52">
        <w:rPr>
          <w:rFonts w:ascii="Calibri" w:hAnsi="Calibri"/>
          <w:b/>
          <w:bCs/>
          <w:sz w:val="28"/>
          <w:szCs w:val="28"/>
          <w:lang w:val="en-US" w:eastAsia="en-US"/>
        </w:rPr>
        <w:t>wetland vulnerability</w:t>
      </w:r>
    </w:p>
    <w:p w14:paraId="556CE625" w14:textId="4A0F9476" w:rsidR="0091380A" w:rsidRPr="00C34D52" w:rsidRDefault="0091380A" w:rsidP="00F77707">
      <w:pPr>
        <w:rPr>
          <w:rFonts w:ascii="Calibri" w:hAnsi="Calibri"/>
          <w:sz w:val="28"/>
          <w:szCs w:val="28"/>
          <w:lang w:val="en-US" w:eastAsia="en-US"/>
        </w:rPr>
      </w:pPr>
    </w:p>
    <w:p w14:paraId="72A5C99D" w14:textId="14F29643" w:rsidR="00000578" w:rsidRPr="00392508" w:rsidRDefault="00392508" w:rsidP="00F77707">
      <w:pPr>
        <w:rPr>
          <w:rFonts w:ascii="Calibri" w:hAnsi="Calibri"/>
          <w:i/>
          <w:iCs/>
          <w:sz w:val="22"/>
          <w:szCs w:val="22"/>
          <w:lang w:val="en-US" w:eastAsia="en-US"/>
        </w:rPr>
      </w:pPr>
      <w:r w:rsidRPr="00D76ACA">
        <w:rPr>
          <w:rFonts w:ascii="Calibri" w:hAnsi="Calibri" w:cs="Calibri"/>
          <w:bCs/>
          <w:i/>
          <w:iCs/>
          <w:noProof/>
        </w:rPr>
        <mc:AlternateContent>
          <mc:Choice Requires="wps">
            <w:drawing>
              <wp:anchor distT="45720" distB="45720" distL="114300" distR="114300" simplePos="0" relativeHeight="251659264" behindDoc="0" locked="0" layoutInCell="1" allowOverlap="1" wp14:anchorId="4F1C16C6" wp14:editId="4F5086C4">
                <wp:simplePos x="0" y="0"/>
                <wp:positionH relativeFrom="column">
                  <wp:posOffset>0</wp:posOffset>
                </wp:positionH>
                <wp:positionV relativeFrom="paragraph">
                  <wp:posOffset>330835</wp:posOffset>
                </wp:positionV>
                <wp:extent cx="5820410" cy="853440"/>
                <wp:effectExtent l="0" t="0" r="27940" b="22860"/>
                <wp:wrapSquare wrapText="bothSides"/>
                <wp:docPr id="51206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853440"/>
                        </a:xfrm>
                        <a:prstGeom prst="rect">
                          <a:avLst/>
                        </a:prstGeom>
                        <a:solidFill>
                          <a:srgbClr val="FFFFFF"/>
                        </a:solidFill>
                        <a:ln w="9525">
                          <a:solidFill>
                            <a:srgbClr val="000000"/>
                          </a:solidFill>
                          <a:miter lim="800000"/>
                          <a:headEnd/>
                          <a:tailEnd/>
                        </a:ln>
                      </wps:spPr>
                      <wps:txb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C16C6" id="_x0000_t202" coordsize="21600,21600" o:spt="202" path="m,l,21600r21600,l21600,xe">
                <v:stroke joinstyle="miter"/>
                <v:path gradientshapeok="t" o:connecttype="rect"/>
              </v:shapetype>
              <v:shape id="Text Box 2" o:spid="_x0000_s1026" type="#_x0000_t202" style="position:absolute;margin-left:0;margin-top:26.05pt;width:458.3pt;height:67.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">
                <v:textbox>
                  <w:txbxContent>
                    <w:p w14:paraId="13218C64" w14:textId="77777777" w:rsidR="00392508" w:rsidRDefault="00392508" w:rsidP="00392508">
                      <w:pPr>
                        <w:ind w:left="425" w:hanging="425"/>
                        <w:rPr>
                          <w:rFonts w:ascii="Calibri" w:hAnsi="Calibri" w:cs="Calibri"/>
                          <w:b/>
                          <w:sz w:val="22"/>
                          <w:szCs w:val="22"/>
                        </w:rPr>
                      </w:pPr>
                      <w:r w:rsidRPr="00786EB1">
                        <w:rPr>
                          <w:rFonts w:ascii="Calibri" w:hAnsi="Calibri" w:cs="Calibri"/>
                          <w:b/>
                          <w:sz w:val="22"/>
                          <w:szCs w:val="22"/>
                        </w:rPr>
                        <w:t>Action requested:</w:t>
                      </w:r>
                    </w:p>
                    <w:p w14:paraId="09139EFD" w14:textId="77777777" w:rsidR="00392508" w:rsidRPr="00786EB1" w:rsidRDefault="00392508" w:rsidP="00392508">
                      <w:pPr>
                        <w:ind w:left="425" w:hanging="425"/>
                        <w:rPr>
                          <w:rFonts w:ascii="Calibri" w:hAnsi="Calibri" w:cs="Calibri"/>
                          <w:b/>
                          <w:sz w:val="22"/>
                          <w:szCs w:val="22"/>
                        </w:rPr>
                      </w:pPr>
                    </w:p>
                    <w:p w14:paraId="50C70E66" w14:textId="54ABECE0" w:rsidR="00392508" w:rsidRPr="00786EB1" w:rsidRDefault="00392508" w:rsidP="00392508">
                      <w:pPr>
                        <w:widowControl w:val="0"/>
                        <w:rPr>
                          <w:rFonts w:ascii="Calibri" w:hAnsi="Calibri" w:cs="Calibri"/>
                          <w:sz w:val="22"/>
                          <w:szCs w:val="22"/>
                        </w:rPr>
                      </w:pPr>
                      <w:r w:rsidRPr="00786EB1">
                        <w:rPr>
                          <w:rFonts w:ascii="Calibri" w:hAnsi="Calibri" w:cs="Calibri"/>
                          <w:sz w:val="22"/>
                          <w:szCs w:val="22"/>
                        </w:rPr>
                        <w:t xml:space="preserve">The Standing Committee is invited to review and approve the attached </w:t>
                      </w:r>
                      <w:r w:rsidR="00C34D52">
                        <w:rPr>
                          <w:rFonts w:ascii="Calibri" w:hAnsi="Calibri" w:cs="Calibri"/>
                          <w:sz w:val="22"/>
                          <w:szCs w:val="22"/>
                        </w:rPr>
                        <w:t>d</w:t>
                      </w:r>
                      <w:r w:rsidRPr="00786EB1">
                        <w:rPr>
                          <w:rFonts w:ascii="Calibri" w:hAnsi="Calibri" w:cs="Calibri"/>
                          <w:sz w:val="22"/>
                          <w:szCs w:val="22"/>
                        </w:rPr>
                        <w:t xml:space="preserve">raft </w:t>
                      </w:r>
                      <w:r w:rsidR="00C34D52">
                        <w:rPr>
                          <w:rFonts w:ascii="Calibri" w:hAnsi="Calibri" w:cs="Calibri"/>
                          <w:sz w:val="22"/>
                          <w:szCs w:val="22"/>
                        </w:rPr>
                        <w:t>r</w:t>
                      </w:r>
                      <w:r w:rsidRPr="00786EB1">
                        <w:rPr>
                          <w:rFonts w:ascii="Calibri" w:hAnsi="Calibri" w:cs="Calibri"/>
                          <w:sz w:val="22"/>
                          <w:szCs w:val="22"/>
                        </w:rPr>
                        <w:t xml:space="preserve">esolution for consideration by the 15th meeting of the Conference of the </w:t>
                      </w:r>
                      <w:r w:rsidR="00C34D52">
                        <w:rPr>
                          <w:rFonts w:ascii="Calibri" w:hAnsi="Calibri" w:cs="Calibri"/>
                          <w:sz w:val="22"/>
                          <w:szCs w:val="22"/>
                        </w:rPr>
                        <w:t xml:space="preserve">Contracting </w:t>
                      </w:r>
                      <w:r w:rsidRPr="00786EB1">
                        <w:rPr>
                          <w:rFonts w:ascii="Calibri" w:hAnsi="Calibri" w:cs="Calibri"/>
                          <w:sz w:val="22"/>
                          <w:szCs w:val="22"/>
                        </w:rPr>
                        <w:t>Parties.</w:t>
                      </w:r>
                    </w:p>
                    <w:p w14:paraId="7F804B9F" w14:textId="77777777" w:rsidR="00392508" w:rsidRPr="00786EB1" w:rsidRDefault="00392508" w:rsidP="00392508">
                      <w:pPr>
                        <w:widowControl w:val="0"/>
                        <w:ind w:left="425" w:hanging="425"/>
                        <w:rPr>
                          <w:sz w:val="22"/>
                          <w:szCs w:val="22"/>
                        </w:rPr>
                      </w:pPr>
                    </w:p>
                    <w:p w14:paraId="77E21A87" w14:textId="77777777" w:rsidR="00392508" w:rsidRDefault="00392508" w:rsidP="00392508"/>
                  </w:txbxContent>
                </v:textbox>
                <w10:wrap type="square"/>
              </v:shape>
            </w:pict>
          </mc:Fallback>
        </mc:AlternateContent>
      </w:r>
      <w:r w:rsidR="008E220A" w:rsidRPr="006312C0">
        <w:rPr>
          <w:rFonts w:ascii="Calibri" w:hAnsi="Calibri"/>
          <w:i/>
          <w:iCs/>
          <w:sz w:val="22"/>
          <w:szCs w:val="22"/>
          <w:lang w:val="en-US" w:eastAsia="en-US"/>
        </w:rPr>
        <w:t xml:space="preserve">Submitted by </w:t>
      </w:r>
      <w:r w:rsidR="00EB5A2C">
        <w:rPr>
          <w:rFonts w:ascii="Calibri" w:hAnsi="Calibri"/>
          <w:i/>
          <w:iCs/>
          <w:sz w:val="22"/>
          <w:szCs w:val="22"/>
          <w:lang w:val="en-US" w:eastAsia="en-US"/>
        </w:rPr>
        <w:t xml:space="preserve">the </w:t>
      </w:r>
      <w:r w:rsidR="008E220A" w:rsidRPr="006312C0">
        <w:rPr>
          <w:rFonts w:ascii="Calibri" w:hAnsi="Calibri"/>
          <w:i/>
          <w:iCs/>
          <w:sz w:val="22"/>
          <w:szCs w:val="22"/>
          <w:lang w:val="en-US" w:eastAsia="en-US"/>
        </w:rPr>
        <w:t>Republic of Korea</w:t>
      </w:r>
    </w:p>
    <w:p w14:paraId="422326DC" w14:textId="700F45B8" w:rsidR="00000578" w:rsidRDefault="00000578" w:rsidP="00F77707">
      <w:pPr>
        <w:rPr>
          <w:rFonts w:ascii="Calibri" w:hAnsi="Calibri"/>
          <w:sz w:val="22"/>
          <w:szCs w:val="22"/>
          <w:lang w:val="en-US" w:eastAsia="en-US"/>
        </w:rPr>
      </w:pPr>
    </w:p>
    <w:p w14:paraId="711961A1" w14:textId="77777777" w:rsidR="00392508" w:rsidRPr="006312C0" w:rsidRDefault="00392508" w:rsidP="00F77707">
      <w:pPr>
        <w:rPr>
          <w:rFonts w:ascii="Calibri" w:hAnsi="Calibri"/>
          <w:sz w:val="22"/>
          <w:szCs w:val="22"/>
          <w:lang w:val="en-US" w:eastAsia="en-US"/>
        </w:rPr>
      </w:pPr>
    </w:p>
    <w:p w14:paraId="23C96F4C" w14:textId="5EFFEDC8" w:rsidR="00991233" w:rsidRDefault="00991233" w:rsidP="00392508">
      <w:pPr>
        <w:pStyle w:val="DRHeading1"/>
        <w:rPr>
          <w:b w:val="0"/>
          <w:bCs w:val="0"/>
          <w:i/>
          <w:iCs/>
        </w:rPr>
      </w:pPr>
      <w:r w:rsidRPr="00991233">
        <w:rPr>
          <w:b w:val="0"/>
          <w:bCs w:val="0"/>
          <w:i/>
          <w:iCs/>
        </w:rPr>
        <w:t>Secretariat cover note</w:t>
      </w:r>
    </w:p>
    <w:p w14:paraId="3A09DA7C" w14:textId="77777777" w:rsidR="00991233" w:rsidRDefault="00991233" w:rsidP="00392508">
      <w:pPr>
        <w:pStyle w:val="DRHeading1"/>
        <w:rPr>
          <w:b w:val="0"/>
          <w:bCs w:val="0"/>
          <w:i/>
          <w:iCs/>
        </w:rPr>
      </w:pPr>
    </w:p>
    <w:p w14:paraId="24367695" w14:textId="77777777" w:rsidR="00991233" w:rsidRPr="00383408" w:rsidRDefault="00991233" w:rsidP="00991233">
      <w:pPr>
        <w:pStyle w:val="DRText"/>
      </w:pPr>
      <w:r w:rsidRPr="00383408">
        <w:t>The draft resolution presents an overview of the Wetland Vulnerability Assessment Tool (WETVAT) developed by the Ramsar Regional Center – East Asia in collaboration with experts and the Government of the Republic of Korea and the Government of the Philippines</w:t>
      </w:r>
      <w:r>
        <w:t xml:space="preserve">. It </w:t>
      </w:r>
      <w:r w:rsidRPr="00383408">
        <w:t>invites Contracting Parties and other stakeholders to utilize the approach in the assessment and management of wetlands.</w:t>
      </w:r>
    </w:p>
    <w:p w14:paraId="586FFE08" w14:textId="77777777" w:rsidR="00991233" w:rsidRPr="00383408" w:rsidRDefault="00991233" w:rsidP="00991233">
      <w:pPr>
        <w:pStyle w:val="DRText"/>
      </w:pPr>
    </w:p>
    <w:p w14:paraId="5B7152D2" w14:textId="77777777" w:rsidR="00991233" w:rsidRPr="00383408" w:rsidRDefault="00991233" w:rsidP="00991233">
      <w:pPr>
        <w:pStyle w:val="DRText"/>
      </w:pPr>
      <w:r w:rsidRPr="00383408">
        <w:t>The STRP has been invited to review the draft resolution</w:t>
      </w:r>
      <w:r>
        <w:t>.</w:t>
      </w:r>
    </w:p>
    <w:p w14:paraId="5F346506" w14:textId="77777777" w:rsidR="00991233" w:rsidRPr="00991233" w:rsidRDefault="00991233" w:rsidP="00392508">
      <w:pPr>
        <w:pStyle w:val="DRHeading1"/>
        <w:rPr>
          <w:b w:val="0"/>
          <w:bCs w:val="0"/>
        </w:rPr>
      </w:pPr>
    </w:p>
    <w:p w14:paraId="604A9FB9" w14:textId="77777777" w:rsidR="00991233" w:rsidRDefault="00991233">
      <w:pPr>
        <w:rPr>
          <w:rFonts w:ascii="Calibri" w:hAnsi="Calibri"/>
          <w:b/>
          <w:bCs/>
          <w:sz w:val="22"/>
          <w:szCs w:val="22"/>
          <w:lang w:val="en-US" w:eastAsia="en-US"/>
        </w:rPr>
      </w:pPr>
      <w:r>
        <w:br w:type="page"/>
      </w:r>
    </w:p>
    <w:p w14:paraId="395F1E4B" w14:textId="1C03FE97" w:rsidR="008E220A" w:rsidRPr="006312C0" w:rsidRDefault="008E220A" w:rsidP="00392508">
      <w:pPr>
        <w:pStyle w:val="DRHeading1"/>
      </w:pPr>
      <w:r w:rsidRPr="006312C0">
        <w:lastRenderedPageBreak/>
        <w:t>Introduction</w:t>
      </w:r>
    </w:p>
    <w:p w14:paraId="540E644D" w14:textId="77777777" w:rsidR="008E220A" w:rsidRPr="006312C0" w:rsidRDefault="008E220A" w:rsidP="00392508">
      <w:pPr>
        <w:rPr>
          <w:rFonts w:ascii="Calibri" w:hAnsi="Calibri"/>
          <w:sz w:val="22"/>
          <w:szCs w:val="22"/>
          <w:lang w:val="en-US" w:eastAsia="en-US"/>
        </w:rPr>
      </w:pPr>
    </w:p>
    <w:p w14:paraId="31DDE1F1" w14:textId="59F71FBE" w:rsidR="002F3AB3" w:rsidRPr="00392508" w:rsidRDefault="002F3AB3" w:rsidP="00392508">
      <w:pPr>
        <w:pStyle w:val="DRText"/>
        <w:rPr>
          <w:i/>
          <w:iCs/>
        </w:rPr>
      </w:pPr>
      <w:r w:rsidRPr="00392508">
        <w:rPr>
          <w:i/>
          <w:iCs/>
        </w:rPr>
        <w:t>Th</w:t>
      </w:r>
      <w:r w:rsidR="00893328" w:rsidRPr="00392508">
        <w:rPr>
          <w:i/>
          <w:iCs/>
          <w:lang w:eastAsia="ko-KR"/>
        </w:rPr>
        <w:t>is</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Pr="00392508">
        <w:rPr>
          <w:i/>
          <w:iCs/>
        </w:rPr>
        <w:t xml:space="preserve">responds to the need to ensure the wise use of wetlands and to recognize, assess and understand the vulnerability of wetlands to a multitude of threats. </w:t>
      </w:r>
    </w:p>
    <w:p w14:paraId="5CAE9D85" w14:textId="77777777" w:rsidR="002F3AB3" w:rsidRPr="00392508" w:rsidRDefault="002F3AB3" w:rsidP="00392508">
      <w:pPr>
        <w:pStyle w:val="DRText"/>
        <w:rPr>
          <w:i/>
          <w:iCs/>
        </w:rPr>
      </w:pPr>
    </w:p>
    <w:p w14:paraId="2829A18F" w14:textId="754E43FE" w:rsidR="00000578" w:rsidRPr="00392508" w:rsidRDefault="00000578" w:rsidP="00392508">
      <w:pPr>
        <w:pStyle w:val="DRText"/>
        <w:rPr>
          <w:i/>
          <w:iCs/>
        </w:rPr>
      </w:pPr>
      <w:r w:rsidRPr="00392508">
        <w:rPr>
          <w:i/>
          <w:iCs/>
        </w:rPr>
        <w:t>Th</w:t>
      </w:r>
      <w:r w:rsidR="001F58E1" w:rsidRPr="00392508">
        <w:rPr>
          <w:i/>
          <w:iCs/>
        </w:rPr>
        <w:t>e</w:t>
      </w:r>
      <w:r w:rsidRPr="00392508">
        <w:rPr>
          <w:i/>
          <w:iCs/>
        </w:rPr>
        <w:t xml:space="preserve"> </w:t>
      </w:r>
      <w:r w:rsidR="00C34D52">
        <w:rPr>
          <w:i/>
          <w:iCs/>
        </w:rPr>
        <w:t>d</w:t>
      </w:r>
      <w:r w:rsidR="00C34D52" w:rsidRPr="00392508">
        <w:rPr>
          <w:i/>
          <w:iCs/>
        </w:rPr>
        <w:t xml:space="preserve">raft </w:t>
      </w:r>
      <w:r w:rsidR="00C34D52">
        <w:rPr>
          <w:i/>
          <w:iCs/>
        </w:rPr>
        <w:t>r</w:t>
      </w:r>
      <w:r w:rsidR="00C34D52" w:rsidRPr="00392508">
        <w:rPr>
          <w:i/>
          <w:iCs/>
        </w:rPr>
        <w:t xml:space="preserve">esolution </w:t>
      </w:r>
      <w:r w:rsidR="004875B9" w:rsidRPr="00392508">
        <w:rPr>
          <w:i/>
          <w:iCs/>
        </w:rPr>
        <w:t xml:space="preserve">presents </w:t>
      </w:r>
      <w:r w:rsidR="003D1925" w:rsidRPr="00392508">
        <w:rPr>
          <w:i/>
          <w:iCs/>
        </w:rPr>
        <w:t>an</w:t>
      </w:r>
      <w:r w:rsidR="004875B9" w:rsidRPr="00392508">
        <w:rPr>
          <w:i/>
          <w:iCs/>
        </w:rPr>
        <w:t xml:space="preserve"> overview of</w:t>
      </w:r>
      <w:r w:rsidR="00EE7C55" w:rsidRPr="00392508">
        <w:rPr>
          <w:i/>
          <w:iCs/>
        </w:rPr>
        <w:t xml:space="preserve"> </w:t>
      </w:r>
      <w:r w:rsidR="00547BE5" w:rsidRPr="00392508">
        <w:rPr>
          <w:i/>
          <w:iCs/>
        </w:rPr>
        <w:t xml:space="preserve">the Wetland Vulnerability Assessment Tool (WETVAT) </w:t>
      </w:r>
      <w:r w:rsidRPr="00392508">
        <w:rPr>
          <w:i/>
          <w:iCs/>
        </w:rPr>
        <w:t>developed by the Ramsar Regional Cente</w:t>
      </w:r>
      <w:r w:rsidR="005E59C5" w:rsidRPr="00392508">
        <w:rPr>
          <w:i/>
          <w:iCs/>
        </w:rPr>
        <w:t>r</w:t>
      </w:r>
      <w:r w:rsidRPr="00392508">
        <w:rPr>
          <w:i/>
          <w:iCs/>
        </w:rPr>
        <w:t xml:space="preserve"> – East Asia in collaboration with experts </w:t>
      </w:r>
      <w:r w:rsidR="00B36775" w:rsidRPr="00392508">
        <w:rPr>
          <w:i/>
          <w:iCs/>
        </w:rPr>
        <w:t xml:space="preserve">and </w:t>
      </w:r>
      <w:r w:rsidRPr="00392508">
        <w:rPr>
          <w:i/>
          <w:iCs/>
        </w:rPr>
        <w:t>the Government of the Republic of Korea</w:t>
      </w:r>
      <w:r w:rsidR="00EF4850" w:rsidRPr="00392508">
        <w:rPr>
          <w:i/>
          <w:iCs/>
        </w:rPr>
        <w:t xml:space="preserve"> and the Government of the Philippines</w:t>
      </w:r>
      <w:r w:rsidRPr="00392508">
        <w:rPr>
          <w:i/>
          <w:iCs/>
        </w:rPr>
        <w:t xml:space="preserve">. </w:t>
      </w:r>
    </w:p>
    <w:p w14:paraId="442A8C40" w14:textId="77777777" w:rsidR="00000578" w:rsidRPr="00392508" w:rsidRDefault="00000578" w:rsidP="00392508">
      <w:pPr>
        <w:pStyle w:val="DRText"/>
        <w:rPr>
          <w:i/>
          <w:iCs/>
        </w:rPr>
      </w:pPr>
    </w:p>
    <w:p w14:paraId="1B14FC3D" w14:textId="7269EECB" w:rsidR="00A824F1" w:rsidRPr="00392508" w:rsidRDefault="00000578" w:rsidP="00392508">
      <w:pPr>
        <w:pStyle w:val="DRText"/>
        <w:rPr>
          <w:i/>
          <w:iCs/>
        </w:rPr>
      </w:pPr>
      <w:r w:rsidRPr="00392508">
        <w:rPr>
          <w:i/>
          <w:iCs/>
        </w:rPr>
        <w:t xml:space="preserve">The </w:t>
      </w:r>
      <w:r w:rsidR="00520A5A">
        <w:rPr>
          <w:i/>
          <w:iCs/>
        </w:rPr>
        <w:t>d</w:t>
      </w:r>
      <w:r w:rsidRPr="00392508">
        <w:rPr>
          <w:i/>
          <w:iCs/>
        </w:rPr>
        <w:t xml:space="preserve">raft </w:t>
      </w:r>
      <w:r w:rsidR="00520A5A">
        <w:rPr>
          <w:i/>
          <w:iCs/>
        </w:rPr>
        <w:t>r</w:t>
      </w:r>
      <w:r w:rsidRPr="00392508">
        <w:rPr>
          <w:i/>
          <w:iCs/>
        </w:rPr>
        <w:t xml:space="preserve">esolution requests the Contracting Parties to take note of the </w:t>
      </w:r>
      <w:r w:rsidR="00F31B4B" w:rsidRPr="00392508">
        <w:rPr>
          <w:i/>
          <w:iCs/>
        </w:rPr>
        <w:t>WETVAT</w:t>
      </w:r>
      <w:r w:rsidR="00B45BD3" w:rsidRPr="00392508">
        <w:rPr>
          <w:i/>
          <w:iCs/>
        </w:rPr>
        <w:t xml:space="preserve"> </w:t>
      </w:r>
      <w:r w:rsidR="00356631" w:rsidRPr="00392508">
        <w:rPr>
          <w:i/>
          <w:iCs/>
        </w:rPr>
        <w:t xml:space="preserve">described </w:t>
      </w:r>
      <w:r w:rsidRPr="00392508">
        <w:rPr>
          <w:i/>
          <w:iCs/>
        </w:rPr>
        <w:t xml:space="preserve">in the Annex and invites Contracting Parties and other stakeholders, in a voluntary capacity, to utilize the approach in the assessment and management of wetlands. </w:t>
      </w:r>
    </w:p>
    <w:p w14:paraId="74F75C39" w14:textId="77777777" w:rsidR="00A824F1" w:rsidRPr="00392508" w:rsidRDefault="00A824F1" w:rsidP="00392508">
      <w:pPr>
        <w:pStyle w:val="DRText"/>
        <w:rPr>
          <w:i/>
          <w:iCs/>
        </w:rPr>
      </w:pPr>
    </w:p>
    <w:p w14:paraId="425F1601" w14:textId="02E1C3DE" w:rsidR="00000578" w:rsidRDefault="00A824F1" w:rsidP="00392508">
      <w:pPr>
        <w:pStyle w:val="DRText"/>
        <w:rPr>
          <w:i/>
          <w:iCs/>
        </w:rPr>
      </w:pPr>
      <w:r w:rsidRPr="00392508">
        <w:rPr>
          <w:i/>
          <w:iCs/>
        </w:rPr>
        <w:t xml:space="preserve">The technical elements </w:t>
      </w:r>
      <w:r w:rsidR="00A360D8" w:rsidRPr="00392508">
        <w:rPr>
          <w:i/>
          <w:iCs/>
        </w:rPr>
        <w:t>of the WETV</w:t>
      </w:r>
      <w:r w:rsidR="00C04C84" w:rsidRPr="00392508">
        <w:rPr>
          <w:rFonts w:hint="eastAsia"/>
          <w:i/>
          <w:iCs/>
          <w:lang w:eastAsia="ko-KR"/>
        </w:rPr>
        <w:t>A</w:t>
      </w:r>
      <w:r w:rsidR="00A360D8" w:rsidRPr="00392508">
        <w:rPr>
          <w:i/>
          <w:iCs/>
        </w:rPr>
        <w:t xml:space="preserve">T </w:t>
      </w:r>
      <w:r w:rsidRPr="00392508">
        <w:rPr>
          <w:i/>
          <w:iCs/>
        </w:rPr>
        <w:t>have been subjected to consultation and evaluation with wetland managers from East Asia and beyond.</w:t>
      </w:r>
    </w:p>
    <w:p w14:paraId="2A23C742" w14:textId="399FFDE1" w:rsidR="00F26DA1" w:rsidRDefault="00F26DA1" w:rsidP="00392508">
      <w:pPr>
        <w:pStyle w:val="DRText"/>
        <w:rPr>
          <w:i/>
          <w:iCs/>
        </w:rPr>
      </w:pPr>
    </w:p>
    <w:p w14:paraId="068B37E5" w14:textId="77777777" w:rsidR="00840C85" w:rsidRPr="00840C85" w:rsidRDefault="00840C85" w:rsidP="00840C85">
      <w:pPr>
        <w:pStyle w:val="DRText"/>
        <w:rPr>
          <w:i/>
          <w:iCs/>
          <w:lang w:eastAsia="ko-KR"/>
        </w:rPr>
      </w:pPr>
      <w:r w:rsidRPr="00840C85">
        <w:rPr>
          <w:i/>
          <w:iCs/>
          <w:lang w:eastAsia="ko-KR"/>
        </w:rPr>
        <w:t xml:space="preserve">The figures in Annex 1 includes screenshots of the </w:t>
      </w:r>
      <w:r w:rsidRPr="00840C85">
        <w:rPr>
          <w:i/>
          <w:iCs/>
        </w:rPr>
        <w:t>WETV</w:t>
      </w:r>
      <w:r w:rsidRPr="00840C85">
        <w:rPr>
          <w:rFonts w:hint="eastAsia"/>
          <w:i/>
          <w:iCs/>
          <w:lang w:eastAsia="ko-KR"/>
        </w:rPr>
        <w:t>A</w:t>
      </w:r>
      <w:r w:rsidRPr="00840C85">
        <w:rPr>
          <w:i/>
          <w:iCs/>
        </w:rPr>
        <w:t xml:space="preserve">T worksheets </w:t>
      </w:r>
      <w:r w:rsidRPr="00840C85">
        <w:rPr>
          <w:i/>
          <w:iCs/>
          <w:lang w:eastAsia="ko-KR"/>
        </w:rPr>
        <w:t xml:space="preserve">for the purpose of illustrating how the tool appears, rather than for discussion. The initial version of the tool is available in English at the moment, and French and Spanish versions will be available for COP15 through a link to be included in a separate guide book on how to use the tool that will be submitted as an information document. The details of the tool could improve over time through feedback from its users. </w:t>
      </w:r>
    </w:p>
    <w:p w14:paraId="39552BD9" w14:textId="77777777" w:rsidR="00A824F1" w:rsidRPr="00392508" w:rsidRDefault="00A824F1" w:rsidP="00392508">
      <w:pPr>
        <w:pStyle w:val="DRText"/>
        <w:rPr>
          <w:i/>
          <w:iCs/>
        </w:rPr>
      </w:pPr>
    </w:p>
    <w:p w14:paraId="30F4187E" w14:textId="27F879DC" w:rsidR="00A824F1" w:rsidRPr="00392508" w:rsidRDefault="00A824F1" w:rsidP="00392508">
      <w:pPr>
        <w:pStyle w:val="DRText"/>
        <w:rPr>
          <w:i/>
          <w:iCs/>
        </w:rPr>
      </w:pPr>
      <w:r w:rsidRPr="00392508">
        <w:rPr>
          <w:i/>
          <w:iCs/>
        </w:rPr>
        <w:t xml:space="preserve">There are no financial implications of this </w:t>
      </w:r>
      <w:r w:rsidR="00DC7A2A">
        <w:rPr>
          <w:i/>
          <w:iCs/>
        </w:rPr>
        <w:t>d</w:t>
      </w:r>
      <w:r w:rsidR="00DC7A2A" w:rsidRPr="00392508">
        <w:rPr>
          <w:i/>
          <w:iCs/>
        </w:rPr>
        <w:t xml:space="preserve">raft </w:t>
      </w:r>
      <w:r w:rsidR="00DC7A2A">
        <w:rPr>
          <w:i/>
          <w:iCs/>
        </w:rPr>
        <w:t>r</w:t>
      </w:r>
      <w:r w:rsidR="00DC7A2A" w:rsidRPr="00392508">
        <w:rPr>
          <w:i/>
          <w:iCs/>
        </w:rPr>
        <w:t xml:space="preserve">esolution </w:t>
      </w:r>
      <w:r w:rsidRPr="00392508">
        <w:rPr>
          <w:i/>
          <w:iCs/>
        </w:rPr>
        <w:t>on the Secretariat.</w:t>
      </w:r>
    </w:p>
    <w:p w14:paraId="000649D7" w14:textId="77777777" w:rsidR="00000578" w:rsidRPr="006312C0" w:rsidRDefault="00000578" w:rsidP="00F77707">
      <w:pPr>
        <w:rPr>
          <w:rFonts w:ascii="Calibri" w:hAnsi="Calibri"/>
          <w:sz w:val="22"/>
          <w:szCs w:val="22"/>
          <w:lang w:val="en-US" w:eastAsia="en-US"/>
        </w:rPr>
      </w:pPr>
    </w:p>
    <w:tbl>
      <w:tblPr>
        <w:tblStyle w:val="TableGrid"/>
        <w:tblW w:w="0" w:type="auto"/>
        <w:tblLook w:val="04A0" w:firstRow="1" w:lastRow="0" w:firstColumn="1" w:lastColumn="0" w:noHBand="0" w:noVBand="1"/>
      </w:tblPr>
      <w:tblGrid>
        <w:gridCol w:w="2263"/>
        <w:gridCol w:w="4395"/>
        <w:gridCol w:w="2353"/>
      </w:tblGrid>
      <w:tr w:rsidR="008E220A" w:rsidRPr="006312C0" w14:paraId="7A7B05D1" w14:textId="77777777" w:rsidTr="006D7FDC">
        <w:tc>
          <w:tcPr>
            <w:tcW w:w="2263" w:type="dxa"/>
          </w:tcPr>
          <w:p w14:paraId="219D4B4F" w14:textId="22CA5BA2"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Paragraph</w:t>
            </w:r>
          </w:p>
        </w:tc>
        <w:tc>
          <w:tcPr>
            <w:tcW w:w="4395" w:type="dxa"/>
          </w:tcPr>
          <w:p w14:paraId="2A5ED04B" w14:textId="72921041"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Action</w:t>
            </w:r>
          </w:p>
        </w:tc>
        <w:tc>
          <w:tcPr>
            <w:tcW w:w="2353" w:type="dxa"/>
          </w:tcPr>
          <w:p w14:paraId="1269A8BD" w14:textId="58C31CEC" w:rsidR="008E220A" w:rsidRPr="006312C0" w:rsidRDefault="008E220A" w:rsidP="00F77707">
            <w:pPr>
              <w:rPr>
                <w:rFonts w:ascii="Calibri" w:hAnsi="Calibri"/>
                <w:sz w:val="22"/>
                <w:szCs w:val="22"/>
                <w:lang w:val="en-US" w:eastAsia="en-US"/>
              </w:rPr>
            </w:pPr>
            <w:r w:rsidRPr="006312C0">
              <w:rPr>
                <w:rFonts w:ascii="Calibri" w:hAnsi="Calibri"/>
                <w:sz w:val="22"/>
                <w:szCs w:val="22"/>
                <w:lang w:val="en-US" w:eastAsia="en-US"/>
              </w:rPr>
              <w:t>Cost (CHF)</w:t>
            </w:r>
          </w:p>
        </w:tc>
      </w:tr>
      <w:tr w:rsidR="008E220A" w:rsidRPr="006312C0" w14:paraId="4DE3F634" w14:textId="77777777" w:rsidTr="006D7FDC">
        <w:tc>
          <w:tcPr>
            <w:tcW w:w="2263" w:type="dxa"/>
          </w:tcPr>
          <w:p w14:paraId="5C9B14BE" w14:textId="3AA7C1E6"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All</w:t>
            </w:r>
          </w:p>
        </w:tc>
        <w:tc>
          <w:tcPr>
            <w:tcW w:w="4395" w:type="dxa"/>
          </w:tcPr>
          <w:p w14:paraId="44779391" w14:textId="4830C6A2" w:rsidR="008E220A" w:rsidRPr="006312C0" w:rsidRDefault="00000578" w:rsidP="00F77707">
            <w:pPr>
              <w:rPr>
                <w:rFonts w:ascii="Calibri" w:hAnsi="Calibri"/>
                <w:sz w:val="22"/>
                <w:szCs w:val="22"/>
                <w:lang w:val="en-US" w:eastAsia="en-US"/>
              </w:rPr>
            </w:pPr>
            <w:r w:rsidRPr="006312C0">
              <w:rPr>
                <w:rFonts w:ascii="Calibri" w:hAnsi="Calibri"/>
                <w:sz w:val="22"/>
                <w:szCs w:val="22"/>
                <w:lang w:val="en-US" w:eastAsia="en-US"/>
              </w:rPr>
              <w:t>None</w:t>
            </w:r>
          </w:p>
        </w:tc>
        <w:tc>
          <w:tcPr>
            <w:tcW w:w="2353" w:type="dxa"/>
          </w:tcPr>
          <w:p w14:paraId="3A64F3A6" w14:textId="7C9B16FF" w:rsidR="008E220A" w:rsidRPr="006312C0" w:rsidRDefault="00E5353A" w:rsidP="00F77707">
            <w:pPr>
              <w:rPr>
                <w:rFonts w:ascii="Calibri" w:hAnsi="Calibri"/>
                <w:sz w:val="22"/>
                <w:szCs w:val="22"/>
                <w:lang w:val="en-US" w:eastAsia="ko-KR"/>
              </w:rPr>
            </w:pPr>
            <w:r>
              <w:rPr>
                <w:rFonts w:ascii="Calibri" w:hAnsi="Calibri" w:hint="eastAsia"/>
                <w:sz w:val="22"/>
                <w:szCs w:val="22"/>
                <w:lang w:val="en-US" w:eastAsia="ko-KR"/>
              </w:rPr>
              <w:t>N</w:t>
            </w:r>
            <w:r>
              <w:rPr>
                <w:rFonts w:ascii="Calibri" w:hAnsi="Calibri"/>
                <w:sz w:val="22"/>
                <w:szCs w:val="22"/>
                <w:lang w:val="en-US" w:eastAsia="ko-KR"/>
              </w:rPr>
              <w:t>one</w:t>
            </w:r>
          </w:p>
        </w:tc>
      </w:tr>
    </w:tbl>
    <w:p w14:paraId="1B93E000" w14:textId="77777777" w:rsidR="008E220A" w:rsidRPr="006312C0" w:rsidRDefault="008E220A" w:rsidP="00F77707">
      <w:pPr>
        <w:rPr>
          <w:rFonts w:ascii="Calibri" w:hAnsi="Calibri"/>
          <w:sz w:val="22"/>
          <w:szCs w:val="22"/>
          <w:lang w:val="en-US" w:eastAsia="en-US"/>
        </w:rPr>
      </w:pPr>
    </w:p>
    <w:p w14:paraId="3D48E29A" w14:textId="56528750" w:rsidR="00AB55B8" w:rsidRDefault="00AB55B8" w:rsidP="00F77707">
      <w:pPr>
        <w:rPr>
          <w:rFonts w:ascii="Calibri" w:hAnsi="Calibri"/>
          <w:sz w:val="22"/>
          <w:szCs w:val="22"/>
          <w:lang w:val="en-US" w:eastAsia="en-US"/>
        </w:rPr>
      </w:pPr>
    </w:p>
    <w:p w14:paraId="7C35D926" w14:textId="77777777" w:rsidR="00332AD6" w:rsidRDefault="00332AD6">
      <w:pPr>
        <w:rPr>
          <w:rFonts w:ascii="Calibri" w:hAnsi="Calibri"/>
          <w:b/>
          <w:bCs/>
          <w:lang w:val="en-US" w:eastAsia="en-US"/>
        </w:rPr>
      </w:pPr>
      <w:r>
        <w:br w:type="page"/>
      </w:r>
    </w:p>
    <w:p w14:paraId="62D69E12" w14:textId="346AB1DA" w:rsidR="00000578" w:rsidRPr="00332AD6" w:rsidRDefault="00000578" w:rsidP="00392508">
      <w:pPr>
        <w:pStyle w:val="DRHeading1"/>
      </w:pPr>
      <w:r w:rsidRPr="00332AD6">
        <w:lastRenderedPageBreak/>
        <w:t>Draft Resolution XV.</w:t>
      </w:r>
      <w:r w:rsidR="00392508" w:rsidRPr="00332AD6">
        <w:t xml:space="preserve">x on </w:t>
      </w:r>
      <w:r w:rsidRPr="00332AD6">
        <w:t>Assessing wetland vulnerability</w:t>
      </w:r>
    </w:p>
    <w:p w14:paraId="6C8866BC" w14:textId="533A9C1C" w:rsidR="004C1845" w:rsidRDefault="004C1845" w:rsidP="008B1B5B">
      <w:pPr>
        <w:ind w:left="425" w:hanging="425"/>
        <w:rPr>
          <w:rFonts w:ascii="Calibri" w:hAnsi="Calibri"/>
          <w:sz w:val="22"/>
          <w:szCs w:val="22"/>
        </w:rPr>
      </w:pPr>
    </w:p>
    <w:p w14:paraId="64C185E0" w14:textId="76B351C4" w:rsidR="00392508" w:rsidRDefault="00392508" w:rsidP="00392508">
      <w:pPr>
        <w:pStyle w:val="DRPara"/>
        <w:numPr>
          <w:ilvl w:val="0"/>
          <w:numId w:val="0"/>
        </w:numPr>
        <w:spacing w:after="0"/>
        <w:ind w:left="425" w:hanging="425"/>
      </w:pPr>
      <w:r w:rsidRPr="00946524">
        <w:t>1.</w:t>
      </w:r>
      <w:r w:rsidRPr="00946524">
        <w:tab/>
      </w:r>
      <w:r w:rsidR="00946524">
        <w:t xml:space="preserve">ACKNOWLEDGING that the concept of the wise use of wetlands, as described in Annex A to Resolution IX.1, </w:t>
      </w:r>
      <w:r w:rsidR="00946524" w:rsidRPr="00946524">
        <w:rPr>
          <w:i/>
          <w:iCs/>
        </w:rPr>
        <w:t>Additional scientific and technical guidance for implementing the Ramsar wise use concept</w:t>
      </w:r>
      <w:r w:rsidR="00946524" w:rsidRPr="00946524">
        <w:t xml:space="preserve">, </w:t>
      </w:r>
      <w:r w:rsidR="00946524">
        <w:t>is at the centre of the Convention’s efforts to halt and reverse wetland loss;</w:t>
      </w:r>
    </w:p>
    <w:p w14:paraId="47E4E6F2" w14:textId="77777777" w:rsidR="00392508" w:rsidRPr="00946524" w:rsidRDefault="00392508" w:rsidP="00392508">
      <w:pPr>
        <w:pStyle w:val="DRPara"/>
        <w:numPr>
          <w:ilvl w:val="0"/>
          <w:numId w:val="0"/>
        </w:numPr>
        <w:spacing w:after="0"/>
        <w:ind w:left="425" w:hanging="425"/>
      </w:pPr>
    </w:p>
    <w:p w14:paraId="76039678" w14:textId="41766952" w:rsidR="00B0349D" w:rsidRDefault="00392508" w:rsidP="00392508">
      <w:pPr>
        <w:pStyle w:val="DRPara"/>
        <w:numPr>
          <w:ilvl w:val="0"/>
          <w:numId w:val="0"/>
        </w:numPr>
        <w:spacing w:after="0"/>
        <w:ind w:left="425" w:hanging="425"/>
      </w:pPr>
      <w:r>
        <w:t>2.</w:t>
      </w:r>
      <w:r>
        <w:tab/>
      </w:r>
      <w:r w:rsidR="00B0349D">
        <w:t xml:space="preserve">RECOGNIZING that the wise use of wetlands requires a thorough understanding of the drivers of change </w:t>
      </w:r>
      <w:r w:rsidR="00B0349D" w:rsidRPr="00B0349D">
        <w:t>so that</w:t>
      </w:r>
      <w:r w:rsidR="00B0349D">
        <w:t xml:space="preserve"> </w:t>
      </w:r>
      <w:r w:rsidR="00B0349D" w:rsidRPr="00B0349D">
        <w:t>the root causes of wetland loss and degradation</w:t>
      </w:r>
      <w:r w:rsidR="00B0349D">
        <w:t xml:space="preserve"> </w:t>
      </w:r>
      <w:r w:rsidR="00B0349D" w:rsidRPr="00B0349D">
        <w:t>can be addressed</w:t>
      </w:r>
      <w:r w:rsidR="00B0349D">
        <w:t xml:space="preserve"> (</w:t>
      </w:r>
      <w:r w:rsidR="00B0349D">
        <w:rPr>
          <w:i/>
          <w:iCs/>
        </w:rPr>
        <w:t xml:space="preserve">Global Wetland Outlook, </w:t>
      </w:r>
      <w:r w:rsidR="00B0349D">
        <w:t xml:space="preserve">2018); </w:t>
      </w:r>
    </w:p>
    <w:p w14:paraId="50320428" w14:textId="77777777" w:rsidR="00392508" w:rsidRDefault="00392508" w:rsidP="00392508">
      <w:pPr>
        <w:pStyle w:val="DRPara"/>
        <w:numPr>
          <w:ilvl w:val="0"/>
          <w:numId w:val="0"/>
        </w:numPr>
        <w:spacing w:after="0"/>
        <w:ind w:left="425" w:hanging="425"/>
      </w:pPr>
    </w:p>
    <w:p w14:paraId="114F99E4" w14:textId="77ACF66B" w:rsidR="00B0349D" w:rsidRDefault="00392508" w:rsidP="00392508">
      <w:pPr>
        <w:pStyle w:val="DRPara"/>
        <w:numPr>
          <w:ilvl w:val="0"/>
          <w:numId w:val="0"/>
        </w:numPr>
        <w:spacing w:after="0"/>
        <w:ind w:left="425" w:hanging="425"/>
        <w:rPr>
          <w:rFonts w:eastAsia="FangSong"/>
          <w:lang w:val="en-US" w:eastAsia="zh-CN"/>
        </w:rPr>
      </w:pPr>
      <w:r w:rsidRPr="005B05E9">
        <w:t>3.</w:t>
      </w:r>
      <w:r w:rsidRPr="005B05E9">
        <w:tab/>
      </w:r>
      <w:r w:rsidR="00B0349D" w:rsidRPr="00110E66">
        <w:rPr>
          <w:rFonts w:eastAsia="FangSong"/>
          <w:bCs/>
          <w:lang w:val="en-US" w:eastAsia="zh-CN"/>
        </w:rPr>
        <w:t xml:space="preserve">ALERT </w:t>
      </w:r>
      <w:r w:rsidR="00232E67">
        <w:rPr>
          <w:rFonts w:eastAsia="FangSong"/>
          <w:lang w:val="en-US" w:eastAsia="zh-CN"/>
        </w:rPr>
        <w:t xml:space="preserve">to the fact </w:t>
      </w:r>
      <w:r w:rsidR="00B0349D" w:rsidRPr="00110E66">
        <w:rPr>
          <w:rFonts w:eastAsia="FangSong"/>
          <w:lang w:val="en-US" w:eastAsia="zh-CN"/>
        </w:rPr>
        <w:t xml:space="preserve">that, globally, wetlands have declined by 35% since 1970 and that deterioration of wetlands </w:t>
      </w:r>
      <w:r w:rsidR="00110E66" w:rsidRPr="00110E66">
        <w:rPr>
          <w:rFonts w:eastAsia="FangSong"/>
          <w:lang w:val="en-US" w:eastAsia="zh-CN"/>
        </w:rPr>
        <w:t>continues to be</w:t>
      </w:r>
      <w:r w:rsidR="00B0349D" w:rsidRPr="00110E66">
        <w:rPr>
          <w:rFonts w:eastAsia="FangSong"/>
          <w:lang w:val="en-US" w:eastAsia="zh-CN"/>
        </w:rPr>
        <w:t xml:space="preserve"> widespread (</w:t>
      </w:r>
      <w:r w:rsidR="00B0349D" w:rsidRPr="00110E66">
        <w:rPr>
          <w:rFonts w:eastAsia="FangSong"/>
          <w:i/>
          <w:iCs/>
          <w:lang w:val="en-US" w:eastAsia="zh-CN"/>
        </w:rPr>
        <w:t>Global Wetland Outlook: Special Edition</w:t>
      </w:r>
      <w:r w:rsidR="00B0349D" w:rsidRPr="00110E66">
        <w:rPr>
          <w:rFonts w:eastAsia="FangSong"/>
          <w:lang w:val="en-US" w:eastAsia="zh-CN"/>
        </w:rPr>
        <w:t>, 2021)</w:t>
      </w:r>
      <w:r w:rsidR="00110E66" w:rsidRPr="00110E66">
        <w:rPr>
          <w:rFonts w:eastAsia="FangSong"/>
          <w:lang w:val="en-US" w:eastAsia="zh-CN"/>
        </w:rPr>
        <w:t>, and</w:t>
      </w:r>
      <w:r w:rsidR="001638B5">
        <w:rPr>
          <w:rFonts w:eastAsia="FangSong"/>
          <w:lang w:val="en-US" w:eastAsia="zh-CN"/>
        </w:rPr>
        <w:t xml:space="preserve"> CONCERNED </w:t>
      </w:r>
      <w:r w:rsidR="00110E66" w:rsidRPr="00110E66">
        <w:rPr>
          <w:rFonts w:eastAsia="FangSong"/>
          <w:lang w:val="en-US" w:eastAsia="zh-CN"/>
        </w:rPr>
        <w:t xml:space="preserve">that </w:t>
      </w:r>
      <w:r w:rsidR="00B0349D" w:rsidRPr="00110E66">
        <w:rPr>
          <w:rFonts w:eastAsia="FangSong"/>
          <w:lang w:val="en-US" w:eastAsia="zh-CN"/>
        </w:rPr>
        <w:t>this trend</w:t>
      </w:r>
      <w:r w:rsidR="001638B5">
        <w:rPr>
          <w:rFonts w:eastAsia="FangSong"/>
          <w:lang w:val="en-US" w:eastAsia="zh-CN"/>
        </w:rPr>
        <w:t>, if not addressed adequately,</w:t>
      </w:r>
      <w:r w:rsidR="00B0349D" w:rsidRPr="00110E66">
        <w:rPr>
          <w:rFonts w:eastAsia="FangSong"/>
          <w:lang w:val="en-US" w:eastAsia="zh-CN"/>
        </w:rPr>
        <w:t xml:space="preserve"> will affect the achievement of the United Nations 2030 Sustainable Development Goals (SDGs), mitigation and adaptation to climate change under the Paris Agreement and the UN Framework Convention on Climate Change, and the</w:t>
      </w:r>
      <w:r w:rsidR="00110E66">
        <w:rPr>
          <w:rFonts w:eastAsia="FangSong"/>
          <w:lang w:val="en-US" w:eastAsia="zh-CN"/>
        </w:rPr>
        <w:t xml:space="preserve"> Kunming-Montreal Global Biodiversity Framework adopted by the Convention on Biological Diversity;</w:t>
      </w:r>
    </w:p>
    <w:p w14:paraId="1DE082D0" w14:textId="77777777" w:rsidR="00392508" w:rsidRPr="005B05E9" w:rsidRDefault="00392508" w:rsidP="00392508">
      <w:pPr>
        <w:pStyle w:val="DRPara"/>
        <w:numPr>
          <w:ilvl w:val="0"/>
          <w:numId w:val="0"/>
        </w:numPr>
        <w:spacing w:after="0"/>
        <w:ind w:left="425" w:hanging="425"/>
      </w:pPr>
    </w:p>
    <w:p w14:paraId="4B6E9EB2" w14:textId="1478B16C" w:rsidR="005B05E9" w:rsidRDefault="00392508" w:rsidP="00392508">
      <w:pPr>
        <w:pStyle w:val="DRPara"/>
        <w:numPr>
          <w:ilvl w:val="0"/>
          <w:numId w:val="0"/>
        </w:numPr>
        <w:spacing w:after="0"/>
        <w:ind w:left="425" w:hanging="425"/>
        <w:rPr>
          <w:rFonts w:eastAsia="FangSong"/>
          <w:lang w:eastAsia="zh-CN"/>
        </w:rPr>
      </w:pPr>
      <w:r w:rsidRPr="005B05E9">
        <w:t>4.</w:t>
      </w:r>
      <w:r w:rsidRPr="005B05E9">
        <w:tab/>
      </w:r>
      <w:r w:rsidR="005B05E9" w:rsidRPr="005B05E9">
        <w:rPr>
          <w:rFonts w:eastAsia="FangSong"/>
          <w:lang w:val="en-US" w:eastAsia="zh-CN"/>
        </w:rPr>
        <w:t xml:space="preserve">AWARE of the need to assess the status, trends and threats to wetlands as set out in Annex E of Resolution IX.1, </w:t>
      </w:r>
      <w:r w:rsidR="005B05E9" w:rsidRPr="005B05E9">
        <w:rPr>
          <w:rFonts w:eastAsia="FangSong"/>
          <w:i/>
          <w:iCs/>
          <w:lang w:eastAsia="zh-CN"/>
        </w:rPr>
        <w:t>Additional scientific and technical guidance for implementing the Ramsar wise use concept</w:t>
      </w:r>
      <w:r w:rsidR="009B045A">
        <w:rPr>
          <w:rFonts w:eastAsia="FangSong"/>
          <w:i/>
          <w:iCs/>
          <w:lang w:eastAsia="zh-CN"/>
        </w:rPr>
        <w:t xml:space="preserve"> </w:t>
      </w:r>
      <w:r w:rsidR="009B045A">
        <w:rPr>
          <w:rFonts w:eastAsia="FangSong"/>
          <w:lang w:eastAsia="zh-CN"/>
        </w:rPr>
        <w:t xml:space="preserve">and in the mandate to the Scientific and Technical Review Panel in Annex 2 of Resolution XIII.8, on </w:t>
      </w:r>
      <w:r w:rsidR="009B045A">
        <w:rPr>
          <w:rFonts w:eastAsia="FangSong"/>
          <w:i/>
          <w:iCs/>
          <w:lang w:eastAsia="zh-CN"/>
        </w:rPr>
        <w:t>Future implementation of scientific and technical aspects of the Convention 2019-2021</w:t>
      </w:r>
      <w:r w:rsidR="009B045A">
        <w:rPr>
          <w:rFonts w:eastAsia="FangSong"/>
          <w:lang w:eastAsia="zh-CN"/>
        </w:rPr>
        <w:t>,</w:t>
      </w:r>
      <w:r w:rsidR="009B045A">
        <w:rPr>
          <w:rFonts w:eastAsia="FangSong"/>
          <w:i/>
          <w:iCs/>
          <w:lang w:eastAsia="zh-CN"/>
        </w:rPr>
        <w:t xml:space="preserve"> </w:t>
      </w:r>
      <w:r w:rsidR="009B045A">
        <w:rPr>
          <w:rFonts w:eastAsia="FangSong"/>
          <w:lang w:eastAsia="zh-CN"/>
        </w:rPr>
        <w:t xml:space="preserve">that </w:t>
      </w:r>
      <w:r w:rsidR="009B045A" w:rsidRPr="009B045A">
        <w:rPr>
          <w:rFonts w:eastAsia="FangSong"/>
          <w:lang w:eastAsia="zh-CN"/>
        </w:rPr>
        <w:t xml:space="preserve">explicitly </w:t>
      </w:r>
      <w:r w:rsidR="009B045A">
        <w:rPr>
          <w:rFonts w:eastAsia="FangSong"/>
          <w:lang w:eastAsia="zh-CN"/>
        </w:rPr>
        <w:t>highlights the need for b</w:t>
      </w:r>
      <w:r w:rsidR="009B045A" w:rsidRPr="009B045A">
        <w:t xml:space="preserve">est practice methodologies </w:t>
      </w:r>
      <w:r w:rsidR="009B045A">
        <w:t>and</w:t>
      </w:r>
      <w:r w:rsidR="009B045A" w:rsidRPr="009B045A">
        <w:t>/</w:t>
      </w:r>
      <w:r w:rsidR="009B045A">
        <w:t>or</w:t>
      </w:r>
      <w:r w:rsidR="009B045A" w:rsidRPr="009B045A">
        <w:t xml:space="preserve"> tools to monitor </w:t>
      </w:r>
      <w:r w:rsidR="00782D5B">
        <w:t>Wetlands of International Importance</w:t>
      </w:r>
      <w:r w:rsidR="005B05E9">
        <w:rPr>
          <w:rFonts w:eastAsia="FangSong"/>
          <w:lang w:eastAsia="zh-CN"/>
        </w:rPr>
        <w:t>;</w:t>
      </w:r>
    </w:p>
    <w:p w14:paraId="3551CD04" w14:textId="77777777" w:rsidR="00392508" w:rsidRPr="005B05E9" w:rsidRDefault="00392508" w:rsidP="00392508">
      <w:pPr>
        <w:pStyle w:val="DRPara"/>
        <w:numPr>
          <w:ilvl w:val="0"/>
          <w:numId w:val="0"/>
        </w:numPr>
        <w:spacing w:after="0"/>
        <w:ind w:left="425" w:hanging="425"/>
      </w:pPr>
    </w:p>
    <w:p w14:paraId="521DE020" w14:textId="2CC02D9E" w:rsidR="00853601" w:rsidRDefault="00392508" w:rsidP="00392508">
      <w:pPr>
        <w:pStyle w:val="DRPara"/>
        <w:numPr>
          <w:ilvl w:val="0"/>
          <w:numId w:val="0"/>
        </w:numPr>
        <w:spacing w:after="0"/>
        <w:ind w:left="425" w:hanging="425"/>
      </w:pPr>
      <w:r>
        <w:t>5.</w:t>
      </w:r>
      <w:r>
        <w:tab/>
      </w:r>
      <w:r w:rsidR="00853601">
        <w:t>NOTING that</w:t>
      </w:r>
      <w:r w:rsidR="00946524">
        <w:t xml:space="preserve"> </w:t>
      </w:r>
      <w:r w:rsidR="00606B27">
        <w:t xml:space="preserve">effective wetland management, as described in Resolution XII.15, </w:t>
      </w:r>
      <w:r w:rsidR="00606B27" w:rsidRPr="00606B27">
        <w:rPr>
          <w:i/>
          <w:iCs/>
        </w:rPr>
        <w:t>Evaluation of the management effectiveness of Ramsar Sites</w:t>
      </w:r>
      <w:r w:rsidR="00606B27">
        <w:t>, requires an understanding and evaluation of the threats to the ecological character of a site</w:t>
      </w:r>
      <w:r w:rsidR="00853601">
        <w:t>;</w:t>
      </w:r>
      <w:r w:rsidR="00853601" w:rsidRPr="00853601">
        <w:t xml:space="preserve"> </w:t>
      </w:r>
    </w:p>
    <w:p w14:paraId="1F2D52A0" w14:textId="77777777" w:rsidR="00392508" w:rsidRDefault="00392508" w:rsidP="00392508">
      <w:pPr>
        <w:pStyle w:val="DRPara"/>
        <w:numPr>
          <w:ilvl w:val="0"/>
          <w:numId w:val="0"/>
        </w:numPr>
        <w:spacing w:after="0"/>
        <w:ind w:left="425" w:hanging="425"/>
      </w:pPr>
    </w:p>
    <w:p w14:paraId="26877983" w14:textId="7C178116" w:rsidR="00853601" w:rsidRDefault="00392508" w:rsidP="00392508">
      <w:pPr>
        <w:pStyle w:val="DRPara"/>
        <w:numPr>
          <w:ilvl w:val="0"/>
          <w:numId w:val="0"/>
        </w:numPr>
        <w:spacing w:after="0"/>
        <w:ind w:left="425" w:hanging="425"/>
        <w:rPr>
          <w:lang w:eastAsia="ko-KR"/>
        </w:rPr>
      </w:pPr>
      <w:r w:rsidRPr="00A824F1">
        <w:t>6.</w:t>
      </w:r>
      <w:r w:rsidRPr="00A824F1">
        <w:tab/>
      </w:r>
      <w:r w:rsidR="00853601" w:rsidRPr="00A824F1">
        <w:t xml:space="preserve">FURTHER NOTING the requirement under Resolution XI.8, on </w:t>
      </w:r>
      <w:r w:rsidR="00853601" w:rsidRPr="00A824F1">
        <w:rPr>
          <w:i/>
        </w:rPr>
        <w:t>Streamlining procedures for describing Ramsar Sites at the time of designation and subsequent updates,</w:t>
      </w:r>
      <w:r w:rsidR="00853601" w:rsidRPr="00A824F1">
        <w:t xml:space="preserve"> to ensure that a comprehensive description of </w:t>
      </w:r>
      <w:r w:rsidR="00606B27">
        <w:t>factors (actual and likely) adversely affecting a site’s ecological character</w:t>
      </w:r>
      <w:r w:rsidR="00853601" w:rsidRPr="00A824F1">
        <w:t xml:space="preserve"> is provided in the Ramsar Information Sheet (RIS) of a </w:t>
      </w:r>
      <w:r w:rsidR="00606B27">
        <w:t>Wetland of International Importance</w:t>
      </w:r>
      <w:r w:rsidR="00853601" w:rsidRPr="00A824F1">
        <w:t>;</w:t>
      </w:r>
      <w:r w:rsidR="004C0036">
        <w:t xml:space="preserve"> </w:t>
      </w:r>
      <w:r w:rsidR="004C0036">
        <w:rPr>
          <w:rFonts w:hint="eastAsia"/>
          <w:lang w:eastAsia="ko-KR"/>
        </w:rPr>
        <w:t>a</w:t>
      </w:r>
      <w:r w:rsidR="004C0036">
        <w:rPr>
          <w:lang w:eastAsia="ko-KR"/>
        </w:rPr>
        <w:t>nd</w:t>
      </w:r>
    </w:p>
    <w:p w14:paraId="071342D2" w14:textId="77777777" w:rsidR="00392508" w:rsidRPr="00A824F1" w:rsidRDefault="00392508" w:rsidP="00392508">
      <w:pPr>
        <w:pStyle w:val="DRPara"/>
        <w:numPr>
          <w:ilvl w:val="0"/>
          <w:numId w:val="0"/>
        </w:numPr>
        <w:spacing w:after="0"/>
        <w:ind w:left="425" w:hanging="425"/>
      </w:pPr>
    </w:p>
    <w:p w14:paraId="1D0723D8" w14:textId="645A6D14" w:rsidR="00853601" w:rsidRDefault="00392508" w:rsidP="00392508">
      <w:pPr>
        <w:pStyle w:val="DRPara"/>
        <w:numPr>
          <w:ilvl w:val="0"/>
          <w:numId w:val="0"/>
        </w:numPr>
        <w:spacing w:after="0"/>
        <w:ind w:left="425" w:hanging="425"/>
      </w:pPr>
      <w:r>
        <w:t>7.</w:t>
      </w:r>
      <w:r>
        <w:tab/>
      </w:r>
      <w:r w:rsidR="00606B27">
        <w:t>CONCERNED that</w:t>
      </w:r>
      <w:r w:rsidR="006A3CC3">
        <w:t>,</w:t>
      </w:r>
      <w:r w:rsidR="00606B27">
        <w:t xml:space="preserve"> </w:t>
      </w:r>
      <w:r w:rsidR="005B05E9">
        <w:t>without adequate assessment of the drivers of negative change</w:t>
      </w:r>
      <w:r w:rsidR="00923582">
        <w:t>,</w:t>
      </w:r>
      <w:r w:rsidR="005B05E9">
        <w:t xml:space="preserve"> the vulnerability of wetlands, including Wetlands of International Importance, to a diversity of threats, will continue; </w:t>
      </w:r>
    </w:p>
    <w:p w14:paraId="47DA3302" w14:textId="3249693B" w:rsidR="004C1845" w:rsidRPr="003A5589" w:rsidRDefault="004C1845" w:rsidP="00392508">
      <w:pPr>
        <w:ind w:left="425" w:hanging="425"/>
        <w:contextualSpacing/>
        <w:rPr>
          <w:rFonts w:ascii="Calibri" w:hAnsi="Calibri"/>
          <w:sz w:val="22"/>
          <w:szCs w:val="22"/>
        </w:rPr>
      </w:pPr>
    </w:p>
    <w:p w14:paraId="18E39F2F" w14:textId="77777777" w:rsidR="004C1845" w:rsidRPr="004C1845" w:rsidRDefault="004C1845" w:rsidP="00392508">
      <w:pPr>
        <w:ind w:left="425" w:hanging="425"/>
        <w:jc w:val="center"/>
        <w:rPr>
          <w:rFonts w:ascii="Calibri" w:hAnsi="Calibri"/>
          <w:sz w:val="22"/>
          <w:szCs w:val="22"/>
        </w:rPr>
      </w:pPr>
      <w:r w:rsidRPr="004C1845">
        <w:rPr>
          <w:rFonts w:ascii="Calibri" w:hAnsi="Calibri"/>
          <w:sz w:val="22"/>
          <w:szCs w:val="22"/>
        </w:rPr>
        <w:t>THE CONFERENCE OF THE CONTRACTING PARTIES</w:t>
      </w:r>
    </w:p>
    <w:p w14:paraId="6F5E7E2D" w14:textId="77777777" w:rsidR="004C1845" w:rsidRPr="004C1845" w:rsidRDefault="004C1845" w:rsidP="00392508">
      <w:pPr>
        <w:ind w:left="425" w:hanging="425"/>
        <w:rPr>
          <w:rFonts w:ascii="Calibri" w:hAnsi="Calibri"/>
          <w:sz w:val="22"/>
          <w:szCs w:val="22"/>
        </w:rPr>
      </w:pPr>
    </w:p>
    <w:p w14:paraId="3D74A47E" w14:textId="7A4280F7" w:rsidR="00AF4D60" w:rsidRDefault="00392508" w:rsidP="00392508">
      <w:pPr>
        <w:pStyle w:val="DRPara"/>
        <w:numPr>
          <w:ilvl w:val="0"/>
          <w:numId w:val="0"/>
        </w:numPr>
        <w:spacing w:after="0"/>
        <w:ind w:left="425" w:hanging="425"/>
      </w:pPr>
      <w:r>
        <w:t>8.</w:t>
      </w:r>
      <w:r>
        <w:tab/>
      </w:r>
      <w:r w:rsidR="00AC17C9">
        <w:t xml:space="preserve">RECOGNIZES </w:t>
      </w:r>
      <w:r w:rsidR="00AF4D60">
        <w:t>the need to assess the vulnerability of wetlands to a variety of threats and drivers of negative change in ecological character;</w:t>
      </w:r>
    </w:p>
    <w:p w14:paraId="6661B49B" w14:textId="77777777" w:rsidR="00392508" w:rsidRDefault="00392508" w:rsidP="00392508">
      <w:pPr>
        <w:pStyle w:val="DRPara"/>
        <w:numPr>
          <w:ilvl w:val="0"/>
          <w:numId w:val="0"/>
        </w:numPr>
        <w:spacing w:after="0"/>
        <w:ind w:left="425" w:hanging="425"/>
      </w:pPr>
    </w:p>
    <w:p w14:paraId="157AFBFE" w14:textId="1A84F89E" w:rsidR="00606B27" w:rsidRDefault="00392508" w:rsidP="00392508">
      <w:pPr>
        <w:pStyle w:val="DRPara"/>
        <w:numPr>
          <w:ilvl w:val="0"/>
          <w:numId w:val="0"/>
        </w:numPr>
        <w:spacing w:after="0"/>
        <w:ind w:left="425" w:hanging="425"/>
      </w:pPr>
      <w:r w:rsidRPr="00F35B33">
        <w:t>9.</w:t>
      </w:r>
      <w:r w:rsidRPr="00F35B33">
        <w:tab/>
      </w:r>
      <w:r w:rsidR="00606B27" w:rsidRPr="00F35B33">
        <w:t>R</w:t>
      </w:r>
      <w:r w:rsidR="00606B27">
        <w:t>EAFFIRMS</w:t>
      </w:r>
      <w:r w:rsidR="00606B27" w:rsidRPr="00F35B33">
        <w:t xml:space="preserve"> the long-term value of taking a participatory approach when </w:t>
      </w:r>
      <w:r w:rsidR="00606B27">
        <w:t xml:space="preserve">evaluating threats to wetlands, including </w:t>
      </w:r>
      <w:r w:rsidR="00C226F5">
        <w:t xml:space="preserve">to </w:t>
      </w:r>
      <w:r w:rsidR="00606B27">
        <w:t>Wetlands of International Importance;</w:t>
      </w:r>
    </w:p>
    <w:p w14:paraId="26ED6B5F" w14:textId="77777777" w:rsidR="00392508" w:rsidRPr="00F35B33" w:rsidRDefault="00392508" w:rsidP="00392508">
      <w:pPr>
        <w:pStyle w:val="DRPara"/>
        <w:numPr>
          <w:ilvl w:val="0"/>
          <w:numId w:val="0"/>
        </w:numPr>
        <w:spacing w:after="0"/>
        <w:ind w:left="425" w:hanging="425"/>
      </w:pPr>
    </w:p>
    <w:p w14:paraId="73F47B36" w14:textId="76C5BA32" w:rsidR="00606B27" w:rsidRDefault="00392508" w:rsidP="00392508">
      <w:pPr>
        <w:pStyle w:val="DRPara"/>
        <w:numPr>
          <w:ilvl w:val="0"/>
          <w:numId w:val="0"/>
        </w:numPr>
        <w:spacing w:after="0"/>
        <w:ind w:left="425" w:hanging="425"/>
      </w:pPr>
      <w:r>
        <w:t>10.</w:t>
      </w:r>
      <w:r>
        <w:tab/>
      </w:r>
      <w:r w:rsidR="005E59C5">
        <w:t>CALLS ON</w:t>
      </w:r>
      <w:r w:rsidR="00606B27" w:rsidRPr="00F35B33">
        <w:t xml:space="preserve"> </w:t>
      </w:r>
      <w:r w:rsidR="00472FBD">
        <w:t xml:space="preserve">Contracting </w:t>
      </w:r>
      <w:r w:rsidR="00606B27" w:rsidRPr="00F35B33">
        <w:t xml:space="preserve">Parties when monitoring the condition of </w:t>
      </w:r>
      <w:r w:rsidR="00C226F5">
        <w:t xml:space="preserve">Wetlands of International Importance, and other wetlands, </w:t>
      </w:r>
      <w:r w:rsidR="00606B27">
        <w:t xml:space="preserve">to ensure </w:t>
      </w:r>
      <w:r w:rsidR="00606B27" w:rsidRPr="00F35B33">
        <w:t xml:space="preserve">that </w:t>
      </w:r>
      <w:r w:rsidR="00606B27">
        <w:t xml:space="preserve">such assessments </w:t>
      </w:r>
      <w:r w:rsidR="00606B27" w:rsidRPr="00F35B33">
        <w:t>not only include biological and hydrological components but also</w:t>
      </w:r>
      <w:r w:rsidR="00606B27">
        <w:t xml:space="preserve"> consider</w:t>
      </w:r>
      <w:r w:rsidR="00606B27" w:rsidRPr="00F35B33">
        <w:t xml:space="preserve"> the </w:t>
      </w:r>
      <w:r w:rsidR="00C226F5">
        <w:t>vulnerability of the ecological character of the wetland</w:t>
      </w:r>
      <w:r w:rsidR="00337766">
        <w:t>s</w:t>
      </w:r>
      <w:r w:rsidR="00C226F5">
        <w:t xml:space="preserve"> to a variety of threats</w:t>
      </w:r>
      <w:r w:rsidR="00606B27">
        <w:t>;</w:t>
      </w:r>
      <w:r w:rsidR="00606B27" w:rsidRPr="00F35B33">
        <w:t xml:space="preserve"> </w:t>
      </w:r>
    </w:p>
    <w:p w14:paraId="2105CFC6" w14:textId="77777777" w:rsidR="00392508" w:rsidRDefault="00392508" w:rsidP="00392508">
      <w:pPr>
        <w:pStyle w:val="DRPara"/>
        <w:numPr>
          <w:ilvl w:val="0"/>
          <w:numId w:val="0"/>
        </w:numPr>
        <w:spacing w:after="0"/>
        <w:ind w:left="425" w:hanging="425"/>
      </w:pPr>
    </w:p>
    <w:p w14:paraId="4144E860" w14:textId="546661E0" w:rsidR="005E59C5" w:rsidRDefault="00392508" w:rsidP="00392508">
      <w:pPr>
        <w:pStyle w:val="DRPara"/>
        <w:numPr>
          <w:ilvl w:val="0"/>
          <w:numId w:val="0"/>
        </w:numPr>
        <w:spacing w:after="0"/>
        <w:ind w:left="425" w:hanging="425"/>
      </w:pPr>
      <w:r>
        <w:t>11.</w:t>
      </w:r>
      <w:r>
        <w:tab/>
      </w:r>
      <w:r w:rsidR="00412E21">
        <w:t>TAKES NOTE of</w:t>
      </w:r>
      <w:r w:rsidR="001F267D">
        <w:t xml:space="preserve"> the Wetland Vulnerability Assessment Tool (WETVAT) </w:t>
      </w:r>
      <w:r w:rsidR="00D872FC">
        <w:t>described in Annex 1 of this Resolution</w:t>
      </w:r>
      <w:r w:rsidR="00E72775">
        <w:t>;</w:t>
      </w:r>
      <w:r w:rsidR="00D872FC">
        <w:t xml:space="preserve"> and</w:t>
      </w:r>
      <w:r w:rsidR="00412E21">
        <w:t xml:space="preserve"> </w:t>
      </w:r>
      <w:r w:rsidR="006312C0" w:rsidRPr="006312C0">
        <w:t>ENCOURAGES Contracting Parties to consider</w:t>
      </w:r>
      <w:r w:rsidR="005E59C5">
        <w:t>, as appropriate,</w:t>
      </w:r>
      <w:r w:rsidR="006312C0" w:rsidRPr="006312C0">
        <w:t xml:space="preserve"> using the </w:t>
      </w:r>
      <w:r w:rsidR="00C226F5">
        <w:t>approach</w:t>
      </w:r>
      <w:r w:rsidR="004C443B">
        <w:t xml:space="preserve"> to assess the vulnerability of wetlands</w:t>
      </w:r>
      <w:r w:rsidR="009361B6">
        <w:t>,</w:t>
      </w:r>
      <w:r w:rsidR="004C443B">
        <w:t xml:space="preserve"> especially </w:t>
      </w:r>
      <w:r w:rsidR="00607189">
        <w:t>those related to Article 3.2 of the Convention</w:t>
      </w:r>
      <w:r w:rsidR="006312C0" w:rsidRPr="006312C0">
        <w:t xml:space="preserve">; </w:t>
      </w:r>
    </w:p>
    <w:p w14:paraId="6EC65161" w14:textId="77777777" w:rsidR="00392508" w:rsidRDefault="00392508" w:rsidP="00392508">
      <w:pPr>
        <w:pStyle w:val="DRPara"/>
        <w:numPr>
          <w:ilvl w:val="0"/>
          <w:numId w:val="0"/>
        </w:numPr>
        <w:spacing w:after="0"/>
        <w:ind w:left="425" w:hanging="425"/>
      </w:pPr>
    </w:p>
    <w:p w14:paraId="36DD441E" w14:textId="18356B69" w:rsidR="003B1501" w:rsidRDefault="00392508" w:rsidP="00392508">
      <w:pPr>
        <w:pStyle w:val="DRPara"/>
        <w:numPr>
          <w:ilvl w:val="0"/>
          <w:numId w:val="0"/>
        </w:numPr>
        <w:spacing w:after="0"/>
        <w:ind w:left="425" w:hanging="425"/>
      </w:pPr>
      <w:r>
        <w:t>12.</w:t>
      </w:r>
      <w:r>
        <w:tab/>
      </w:r>
      <w:r w:rsidR="003B1501" w:rsidRPr="00C64FAA">
        <w:t>FURTHER ENCOURAGES Contracting Parties, in the use of the approach described in Annex 1 or other similar approaches, to adopt adaptive management principles that allow for continuous data collection, periodic review, and iterative assessment as new information becomes available, thereby enhancing the effectiveness in responding to emerging threats and knowledge gaps;</w:t>
      </w:r>
    </w:p>
    <w:p w14:paraId="593CC9BC" w14:textId="77777777" w:rsidR="00392508" w:rsidRDefault="00392508" w:rsidP="00392508">
      <w:pPr>
        <w:pStyle w:val="DRPara"/>
        <w:numPr>
          <w:ilvl w:val="0"/>
          <w:numId w:val="0"/>
        </w:numPr>
        <w:spacing w:after="0"/>
        <w:ind w:left="425" w:hanging="425"/>
      </w:pPr>
    </w:p>
    <w:p w14:paraId="5CF25CCD" w14:textId="06E4F270" w:rsidR="005E59C5" w:rsidRDefault="00392508" w:rsidP="00392508">
      <w:pPr>
        <w:pStyle w:val="DRPara"/>
        <w:numPr>
          <w:ilvl w:val="0"/>
          <w:numId w:val="0"/>
        </w:numPr>
        <w:spacing w:after="0"/>
        <w:ind w:left="425" w:hanging="425"/>
        <w:rPr>
          <w:rFonts w:cstheme="majorHAnsi"/>
          <w:iCs/>
        </w:rPr>
      </w:pPr>
      <w:r w:rsidRPr="00C64FAA">
        <w:t>13.</w:t>
      </w:r>
      <w:r w:rsidRPr="00C64FAA">
        <w:tab/>
      </w:r>
      <w:r w:rsidR="005E59C5" w:rsidRPr="00D601D1">
        <w:t xml:space="preserve">ALSO ENCOURAGES Contracting Parties, </w:t>
      </w:r>
      <w:r w:rsidR="005E59C5">
        <w:t>as</w:t>
      </w:r>
      <w:r w:rsidR="005E59C5" w:rsidRPr="00D601D1">
        <w:t xml:space="preserve"> appropriate, to utilize th</w:t>
      </w:r>
      <w:r w:rsidR="005E59C5">
        <w:t>e</w:t>
      </w:r>
      <w:r w:rsidR="005E59C5" w:rsidRPr="00D601D1">
        <w:t xml:space="preserve"> approach</w:t>
      </w:r>
      <w:r w:rsidR="005E59C5">
        <w:t xml:space="preserve"> described in Annex 1,</w:t>
      </w:r>
      <w:r w:rsidR="005E59C5" w:rsidRPr="00D601D1">
        <w:t xml:space="preserve"> </w:t>
      </w:r>
      <w:r w:rsidR="00D1725F">
        <w:t xml:space="preserve">or </w:t>
      </w:r>
      <w:r w:rsidR="005E59C5" w:rsidRPr="00D601D1">
        <w:t>other</w:t>
      </w:r>
      <w:r w:rsidR="005E59C5">
        <w:t xml:space="preserve"> relevant approaches</w:t>
      </w:r>
      <w:r w:rsidR="005E59C5" w:rsidRPr="00D601D1">
        <w:t xml:space="preserve"> </w:t>
      </w:r>
      <w:r w:rsidR="009361B6">
        <w:t>to</w:t>
      </w:r>
      <w:r w:rsidR="005653AD">
        <w:t xml:space="preserve"> </w:t>
      </w:r>
      <w:r w:rsidR="005E59C5">
        <w:t>assess wetland vulnerability,</w:t>
      </w:r>
      <w:r w:rsidR="005E59C5" w:rsidRPr="00D601D1">
        <w:t xml:space="preserve"> when</w:t>
      </w:r>
      <w:r w:rsidR="0010006B" w:rsidRPr="0010006B">
        <w:t xml:space="preserve"> </w:t>
      </w:r>
      <w:r w:rsidR="0010006B" w:rsidRPr="00D601D1">
        <w:t>describing the status of Sites on the List</w:t>
      </w:r>
      <w:r w:rsidR="0010006B">
        <w:t xml:space="preserve"> of Wetlands of International Importance</w:t>
      </w:r>
      <w:r w:rsidR="005E59C5" w:rsidRPr="00D601D1">
        <w:t xml:space="preserve"> </w:t>
      </w:r>
      <w:r w:rsidR="0076595F">
        <w:t xml:space="preserve">in </w:t>
      </w:r>
      <w:r w:rsidR="005E59C5" w:rsidRPr="00D601D1">
        <w:t>their National Reports and</w:t>
      </w:r>
      <w:r w:rsidR="00C844B6">
        <w:t xml:space="preserve"> Ramsar Information Sheets</w:t>
      </w:r>
      <w:r w:rsidR="005E59C5" w:rsidRPr="005E59C5">
        <w:rPr>
          <w:rFonts w:cstheme="majorHAnsi"/>
          <w:iCs/>
        </w:rPr>
        <w:t>;</w:t>
      </w:r>
    </w:p>
    <w:p w14:paraId="7707BA60" w14:textId="77777777" w:rsidR="00392508" w:rsidRPr="00C64FAA" w:rsidRDefault="00392508" w:rsidP="00392508">
      <w:pPr>
        <w:pStyle w:val="DRPara"/>
        <w:numPr>
          <w:ilvl w:val="0"/>
          <w:numId w:val="0"/>
        </w:numPr>
        <w:spacing w:after="0"/>
        <w:ind w:left="425" w:hanging="425"/>
      </w:pPr>
    </w:p>
    <w:p w14:paraId="49C9D8C3" w14:textId="340510C8" w:rsidR="00C64FAA" w:rsidRDefault="00392508" w:rsidP="00392508">
      <w:pPr>
        <w:pStyle w:val="DRPara"/>
        <w:numPr>
          <w:ilvl w:val="0"/>
          <w:numId w:val="0"/>
        </w:numPr>
        <w:spacing w:after="0"/>
        <w:ind w:left="425" w:hanging="425"/>
      </w:pPr>
      <w:r w:rsidRPr="00C64FAA">
        <w:t>14.</w:t>
      </w:r>
      <w:r w:rsidRPr="00C64FAA">
        <w:tab/>
      </w:r>
      <w:r w:rsidR="003B1501" w:rsidRPr="003B1501">
        <w:t>INVITES Contracting Parties to allocate resources, where available, or seek partnerships with Ramsar Regional Initiatives and relevant international organizations to facilitate training, workshops, and resource</w:t>
      </w:r>
      <w:r w:rsidR="00782D5B">
        <w:t xml:space="preserve"> </w:t>
      </w:r>
      <w:r w:rsidR="003B1501" w:rsidRPr="003B1501">
        <w:t>sharing aimed at strengthening technical capacities for assessing and addressing wetland vulnerabilities;</w:t>
      </w:r>
    </w:p>
    <w:p w14:paraId="74C72A0C" w14:textId="77777777" w:rsidR="00392508" w:rsidRPr="00C64FAA" w:rsidRDefault="00392508" w:rsidP="00392508">
      <w:pPr>
        <w:pStyle w:val="DRPara"/>
        <w:numPr>
          <w:ilvl w:val="0"/>
          <w:numId w:val="0"/>
        </w:numPr>
        <w:spacing w:after="0"/>
        <w:ind w:left="425" w:hanging="425"/>
      </w:pPr>
    </w:p>
    <w:p w14:paraId="617DC91C" w14:textId="37652982" w:rsidR="00921C29" w:rsidRDefault="00392508" w:rsidP="00392508">
      <w:pPr>
        <w:pStyle w:val="DRPara"/>
        <w:numPr>
          <w:ilvl w:val="0"/>
          <w:numId w:val="0"/>
        </w:numPr>
        <w:spacing w:after="0"/>
        <w:ind w:left="425" w:hanging="425"/>
      </w:pPr>
      <w:r w:rsidRPr="00921C29">
        <w:rPr>
          <w:lang w:val="en-US" w:eastAsia="en-US"/>
        </w:rPr>
        <w:t>15.</w:t>
      </w:r>
      <w:r w:rsidRPr="00921C29">
        <w:rPr>
          <w:lang w:val="en-US" w:eastAsia="en-US"/>
        </w:rPr>
        <w:tab/>
      </w:r>
      <w:r w:rsidR="005E59C5">
        <w:t>C</w:t>
      </w:r>
      <w:r w:rsidR="006312C0" w:rsidRPr="006312C0">
        <w:t>ONFIRMS that this Resolution does not create additional reporting obligations for Parties</w:t>
      </w:r>
      <w:r w:rsidR="005E59C5">
        <w:t xml:space="preserve">, or financial implications </w:t>
      </w:r>
      <w:r w:rsidR="00831D27">
        <w:t>on</w:t>
      </w:r>
      <w:r w:rsidR="00AF4E79">
        <w:t xml:space="preserve"> </w:t>
      </w:r>
      <w:r w:rsidR="005E59C5">
        <w:t>the Secretariat</w:t>
      </w:r>
      <w:r w:rsidR="000E0248">
        <w:t>; and</w:t>
      </w:r>
    </w:p>
    <w:p w14:paraId="2EF0A14E" w14:textId="77777777" w:rsidR="00392508" w:rsidRPr="00921C29" w:rsidRDefault="00392508" w:rsidP="00392508">
      <w:pPr>
        <w:pStyle w:val="DRPara"/>
        <w:numPr>
          <w:ilvl w:val="0"/>
          <w:numId w:val="0"/>
        </w:numPr>
        <w:spacing w:after="0"/>
        <w:ind w:left="425" w:hanging="425"/>
        <w:rPr>
          <w:b/>
          <w:bCs/>
          <w:lang w:val="en-US" w:eastAsia="en-US"/>
        </w:rPr>
      </w:pPr>
    </w:p>
    <w:p w14:paraId="38E333E8" w14:textId="77777777" w:rsidR="00392508" w:rsidRDefault="00392508" w:rsidP="00392508">
      <w:pPr>
        <w:pStyle w:val="DRPara"/>
        <w:numPr>
          <w:ilvl w:val="0"/>
          <w:numId w:val="0"/>
        </w:numPr>
        <w:spacing w:after="0"/>
        <w:ind w:left="425" w:hanging="425"/>
      </w:pPr>
      <w:r w:rsidRPr="00C71EFD">
        <w:rPr>
          <w:lang w:val="en-US" w:eastAsia="en-US"/>
        </w:rPr>
        <w:t>16.</w:t>
      </w:r>
      <w:r w:rsidRPr="00C71EFD">
        <w:rPr>
          <w:lang w:val="en-US" w:eastAsia="en-US"/>
        </w:rPr>
        <w:tab/>
      </w:r>
      <w:r w:rsidR="00921C29">
        <w:t xml:space="preserve">THANKS </w:t>
      </w:r>
      <w:r w:rsidR="00921C29" w:rsidRPr="00D601D1">
        <w:t xml:space="preserve">the Ramsar Regional Center – East Asia for their sponsorship and organization that laid the foundation for the </w:t>
      </w:r>
      <w:r w:rsidR="003148F2">
        <w:t>WETVAT</w:t>
      </w:r>
      <w:r w:rsidR="00C71EFD">
        <w:t>.</w:t>
      </w:r>
    </w:p>
    <w:p w14:paraId="53E1A33B" w14:textId="60690B4B" w:rsidR="006312C0" w:rsidRPr="00C71EFD" w:rsidRDefault="006312C0" w:rsidP="00392508">
      <w:pPr>
        <w:pStyle w:val="DRPara"/>
        <w:numPr>
          <w:ilvl w:val="0"/>
          <w:numId w:val="0"/>
        </w:numPr>
        <w:spacing w:after="0"/>
        <w:ind w:left="425" w:hanging="425"/>
        <w:rPr>
          <w:b/>
          <w:bCs/>
          <w:lang w:val="en-US" w:eastAsia="en-US"/>
        </w:rPr>
      </w:pPr>
      <w:r>
        <w:br w:type="page"/>
      </w:r>
    </w:p>
    <w:p w14:paraId="09193B67" w14:textId="0971284C" w:rsidR="00744140" w:rsidRPr="0069547C" w:rsidRDefault="006312C0" w:rsidP="0069547C">
      <w:pPr>
        <w:pStyle w:val="DRHeading1"/>
        <w:rPr>
          <w:sz w:val="24"/>
          <w:szCs w:val="24"/>
        </w:rPr>
      </w:pPr>
      <w:r w:rsidRPr="0069547C">
        <w:rPr>
          <w:sz w:val="24"/>
          <w:szCs w:val="24"/>
        </w:rPr>
        <w:lastRenderedPageBreak/>
        <w:t>Annex 1</w:t>
      </w:r>
    </w:p>
    <w:p w14:paraId="3B447700" w14:textId="02504934" w:rsidR="006312C0" w:rsidRPr="0069547C" w:rsidRDefault="009B045A" w:rsidP="006312C0">
      <w:pPr>
        <w:pStyle w:val="DRHeading1"/>
        <w:rPr>
          <w:sz w:val="24"/>
          <w:szCs w:val="24"/>
        </w:rPr>
      </w:pPr>
      <w:r w:rsidRPr="0069547C">
        <w:rPr>
          <w:sz w:val="24"/>
          <w:szCs w:val="24"/>
        </w:rPr>
        <w:t xml:space="preserve">Overview of the </w:t>
      </w:r>
      <w:r w:rsidR="006312C0" w:rsidRPr="0069547C">
        <w:rPr>
          <w:sz w:val="24"/>
          <w:szCs w:val="24"/>
        </w:rPr>
        <w:t>Wetland Vulnerability Assessment Tool (WETVAT)</w:t>
      </w:r>
    </w:p>
    <w:p w14:paraId="566459A6" w14:textId="77777777" w:rsidR="006312C0" w:rsidRDefault="006312C0">
      <w:pPr>
        <w:rPr>
          <w:rFonts w:ascii="Calibri" w:hAnsi="Calibri" w:cs="Calibri"/>
          <w:sz w:val="22"/>
          <w:szCs w:val="22"/>
        </w:rPr>
      </w:pPr>
    </w:p>
    <w:p w14:paraId="03FCCD4F" w14:textId="6E6FB166" w:rsidR="001C3173" w:rsidRPr="00154B49" w:rsidRDefault="001C3173" w:rsidP="00154B49">
      <w:pPr>
        <w:pStyle w:val="AnnexH1"/>
      </w:pPr>
      <w:r w:rsidRPr="00154B49">
        <w:t>Introduction</w:t>
      </w:r>
    </w:p>
    <w:p w14:paraId="1C99A43E" w14:textId="20B2F9EC" w:rsidR="009C1347" w:rsidRDefault="00392508" w:rsidP="00392508">
      <w:pPr>
        <w:pStyle w:val="AnnexText"/>
        <w:numPr>
          <w:ilvl w:val="0"/>
          <w:numId w:val="0"/>
        </w:numPr>
        <w:spacing w:after="0"/>
        <w:ind w:left="425" w:hanging="425"/>
      </w:pPr>
      <w:r>
        <w:rPr>
          <w:bCs/>
        </w:rPr>
        <w:t>1.</w:t>
      </w:r>
      <w:r>
        <w:rPr>
          <w:bCs/>
        </w:rPr>
        <w:tab/>
      </w:r>
      <w:r w:rsidR="009C1347">
        <w:t>Throughout the world, wetlands are vulnerable as they are exposed to a range of pressures. In some locations</w:t>
      </w:r>
      <w:r w:rsidR="008E5B2F">
        <w:t>,</w:t>
      </w:r>
      <w:r w:rsidR="009C1347">
        <w:t xml:space="preserve"> these pressures and potential impacts are well-documented and are being successfully addressed. However, at other locations, lack of data, resources and methods are hindering thorough vulnerability assessments. This is particularly the case in remote wetlands</w:t>
      </w:r>
      <w:r w:rsidR="008E5B2F">
        <w:t xml:space="preserve"> or those with limited management resources</w:t>
      </w:r>
      <w:r w:rsidR="009C1347">
        <w:t xml:space="preserve">. </w:t>
      </w:r>
    </w:p>
    <w:p w14:paraId="500AF98C" w14:textId="77777777" w:rsidR="00392508" w:rsidRDefault="00392508" w:rsidP="00392508">
      <w:pPr>
        <w:pStyle w:val="AnnexText"/>
        <w:numPr>
          <w:ilvl w:val="0"/>
          <w:numId w:val="0"/>
        </w:numPr>
        <w:spacing w:after="0"/>
        <w:ind w:left="425" w:hanging="425"/>
      </w:pPr>
    </w:p>
    <w:p w14:paraId="0DBD0400" w14:textId="6CF3A893" w:rsidR="009C1347" w:rsidRDefault="00392508" w:rsidP="00392508">
      <w:pPr>
        <w:pStyle w:val="AnnexText"/>
        <w:numPr>
          <w:ilvl w:val="0"/>
          <w:numId w:val="0"/>
        </w:numPr>
        <w:spacing w:after="0"/>
        <w:ind w:left="425" w:hanging="425"/>
      </w:pPr>
      <w:r>
        <w:rPr>
          <w:bCs/>
        </w:rPr>
        <w:t>2.</w:t>
      </w:r>
      <w:r>
        <w:rPr>
          <w:bCs/>
        </w:rPr>
        <w:tab/>
      </w:r>
      <w:r w:rsidR="009C1347">
        <w:t>Assessment of threats to wetlands are often carried</w:t>
      </w:r>
      <w:r w:rsidR="00782D5B">
        <w:t xml:space="preserve"> </w:t>
      </w:r>
      <w:r w:rsidR="009C1347">
        <w:t xml:space="preserve">out as part of </w:t>
      </w:r>
      <w:r w:rsidR="008A114A">
        <w:t>e</w:t>
      </w:r>
      <w:r w:rsidR="009C1347">
        <w:t xml:space="preserve">nvironmental </w:t>
      </w:r>
      <w:r w:rsidR="008A114A">
        <w:t>i</w:t>
      </w:r>
      <w:r w:rsidR="009C1347">
        <w:t xml:space="preserve">mpact </w:t>
      </w:r>
      <w:r w:rsidR="008A114A">
        <w:t>a</w:t>
      </w:r>
      <w:r w:rsidR="009C1347">
        <w:t>nalysis for development projects or as an element site management planning</w:t>
      </w:r>
      <w:r w:rsidR="00EC79A6">
        <w:t>, particularly for Wetlands of International Importance</w:t>
      </w:r>
      <w:r w:rsidR="009C1347">
        <w:t xml:space="preserve">. But in many cases assessment methods have been established in industrialized countries and are ill-adapted to conditions in </w:t>
      </w:r>
      <w:r w:rsidR="001C3173">
        <w:t xml:space="preserve">less </w:t>
      </w:r>
      <w:r w:rsidR="009C1347">
        <w:t>develop</w:t>
      </w:r>
      <w:r w:rsidR="001C3173">
        <w:t>ed</w:t>
      </w:r>
      <w:r w:rsidR="009C1347">
        <w:t xml:space="preserve"> countries, where knowledge of wetlands is often less complete</w:t>
      </w:r>
      <w:r w:rsidR="001C3173">
        <w:t xml:space="preserve"> and resources more limited</w:t>
      </w:r>
      <w:r w:rsidR="009C1347">
        <w:t>. The data required to carry</w:t>
      </w:r>
      <w:r w:rsidR="00782D5B">
        <w:t xml:space="preserve"> </w:t>
      </w:r>
      <w:r w:rsidR="009C1347">
        <w:t xml:space="preserve">out detailed assessment of many wetlands </w:t>
      </w:r>
      <w:r w:rsidR="001C3173">
        <w:t>often does not</w:t>
      </w:r>
      <w:r w:rsidR="009C1347">
        <w:t xml:space="preserve"> exist and</w:t>
      </w:r>
      <w:r w:rsidR="001C3173">
        <w:t>,</w:t>
      </w:r>
      <w:r w:rsidR="009C1347">
        <w:t xml:space="preserve"> as a result, few </w:t>
      </w:r>
      <w:r w:rsidR="001C3173">
        <w:t xml:space="preserve">vulnerability </w:t>
      </w:r>
      <w:r w:rsidR="009C1347">
        <w:t xml:space="preserve">assessments </w:t>
      </w:r>
      <w:r w:rsidR="001C3173">
        <w:t>have been</w:t>
      </w:r>
      <w:r w:rsidR="009C1347">
        <w:t xml:space="preserve"> carried out. Furthermore, the communities that depend most heavily on a wetland are often those without the resources to carry out a formal assessment. </w:t>
      </w:r>
    </w:p>
    <w:p w14:paraId="79DE987E" w14:textId="77777777" w:rsidR="00392508" w:rsidRDefault="00392508" w:rsidP="00392508">
      <w:pPr>
        <w:pStyle w:val="AnnexText"/>
        <w:numPr>
          <w:ilvl w:val="0"/>
          <w:numId w:val="0"/>
        </w:numPr>
        <w:spacing w:after="0"/>
        <w:ind w:left="425" w:hanging="425"/>
      </w:pPr>
    </w:p>
    <w:p w14:paraId="258A23E3" w14:textId="0DB5F24A" w:rsidR="009C1347" w:rsidRDefault="00392508" w:rsidP="00392508">
      <w:pPr>
        <w:pStyle w:val="AnnexText"/>
        <w:numPr>
          <w:ilvl w:val="0"/>
          <w:numId w:val="0"/>
        </w:numPr>
        <w:spacing w:after="0"/>
        <w:ind w:left="425" w:hanging="425"/>
      </w:pPr>
      <w:r>
        <w:rPr>
          <w:bCs/>
        </w:rPr>
        <w:t>3.</w:t>
      </w:r>
      <w:r>
        <w:rPr>
          <w:bCs/>
        </w:rPr>
        <w:tab/>
      </w:r>
      <w:r w:rsidR="009C1347">
        <w:t>A joint Ramsar</w:t>
      </w:r>
      <w:r w:rsidR="001C3173">
        <w:t xml:space="preserve"> Convention</w:t>
      </w:r>
      <w:r w:rsidR="009C1347">
        <w:t>-WWF-led initiative designed to foster the regional cooperation for long-term wetland conservation recommended development of tools to facilitate monitoring and evaluation of climate change and other impacts</w:t>
      </w:r>
      <w:r w:rsidR="00EC79A6">
        <w:t xml:space="preserve"> on</w:t>
      </w:r>
      <w:r w:rsidR="009C1347">
        <w:t xml:space="preserve"> </w:t>
      </w:r>
      <w:r w:rsidR="001C3173">
        <w:t>Wetlands of International Importance and other</w:t>
      </w:r>
      <w:r w:rsidR="009C1347">
        <w:t xml:space="preserve"> wetland sites</w:t>
      </w:r>
      <w:r w:rsidR="00FD573F">
        <w:rPr>
          <w:rStyle w:val="FootnoteReference"/>
        </w:rPr>
        <w:footnoteReference w:id="1"/>
      </w:r>
      <w:r w:rsidR="009C1347">
        <w:t>. As a result, the EU Asia Pro-Eco programme funded the development of a set of inventory and assessment methods for Greater Himalayan wetlands</w:t>
      </w:r>
      <w:r w:rsidR="00FD573F">
        <w:rPr>
          <w:rStyle w:val="FootnoteReference"/>
        </w:rPr>
        <w:footnoteReference w:id="2"/>
      </w:r>
      <w:r w:rsidR="009C1347">
        <w:t>. An initial vulnerability assessment method was developed for high-altitude wetlands in the Himalayan region and was tested on both remote and non-remote sites</w:t>
      </w:r>
      <w:r w:rsidR="00FD573F">
        <w:rPr>
          <w:rStyle w:val="FootnoteReference"/>
        </w:rPr>
        <w:footnoteReference w:id="3"/>
      </w:r>
      <w:r w:rsidR="009C1347">
        <w:t xml:space="preserve">. The method was based on </w:t>
      </w:r>
      <w:r w:rsidR="00FD573F">
        <w:t>an earlier</w:t>
      </w:r>
      <w:r w:rsidR="009C1347">
        <w:t xml:space="preserve"> assessment of the ecosystem services provided by a wetland and the pressures that wetland</w:t>
      </w:r>
      <w:r w:rsidR="00FD573F">
        <w:t>s</w:t>
      </w:r>
      <w:r w:rsidR="009C1347">
        <w:t xml:space="preserve"> face</w:t>
      </w:r>
      <w:r w:rsidR="00FD573F">
        <w:rPr>
          <w:rStyle w:val="FootnoteReference"/>
        </w:rPr>
        <w:footnoteReference w:id="4"/>
      </w:r>
      <w:r w:rsidR="009C1347">
        <w:t xml:space="preserve">. </w:t>
      </w:r>
    </w:p>
    <w:p w14:paraId="1F301D50" w14:textId="77777777" w:rsidR="00392508" w:rsidRDefault="00392508" w:rsidP="00392508">
      <w:pPr>
        <w:pStyle w:val="AnnexText"/>
        <w:numPr>
          <w:ilvl w:val="0"/>
          <w:numId w:val="0"/>
        </w:numPr>
        <w:spacing w:after="0"/>
        <w:ind w:left="425" w:hanging="425"/>
      </w:pPr>
    </w:p>
    <w:p w14:paraId="7F6E84E3" w14:textId="43BAB8DE" w:rsidR="009C1347" w:rsidRDefault="009C1347" w:rsidP="00392508">
      <w:pPr>
        <w:pStyle w:val="AnnexH1"/>
        <w:spacing w:after="0"/>
      </w:pPr>
      <w:bookmarkStart w:id="0" w:name="_Toc176348650"/>
      <w:r w:rsidRPr="001C3173">
        <w:t>Recent development</w:t>
      </w:r>
      <w:bookmarkEnd w:id="0"/>
      <w:r w:rsidR="008A114A">
        <w:t xml:space="preserve"> of the Wetland Vulnerability Assessment Tool</w:t>
      </w:r>
    </w:p>
    <w:p w14:paraId="059E4552" w14:textId="77777777" w:rsidR="00392508" w:rsidRPr="001C3173" w:rsidRDefault="00392508" w:rsidP="00392508">
      <w:pPr>
        <w:pStyle w:val="AnnexH1"/>
        <w:spacing w:after="0"/>
      </w:pPr>
    </w:p>
    <w:p w14:paraId="22177264" w14:textId="1F8A0A32" w:rsidR="001A023B" w:rsidRDefault="00392508" w:rsidP="00392508">
      <w:pPr>
        <w:pStyle w:val="AnnexText"/>
        <w:numPr>
          <w:ilvl w:val="0"/>
          <w:numId w:val="0"/>
        </w:numPr>
        <w:spacing w:after="0"/>
        <w:ind w:left="425" w:hanging="425"/>
      </w:pPr>
      <w:r w:rsidRPr="006E1C78">
        <w:rPr>
          <w:bCs/>
        </w:rPr>
        <w:t>4.</w:t>
      </w:r>
      <w:r w:rsidRPr="006E1C78">
        <w:rPr>
          <w:bCs/>
        </w:rPr>
        <w:tab/>
      </w:r>
      <w:r w:rsidR="00EC79A6" w:rsidRPr="00EC79A6">
        <w:t xml:space="preserve">The method </w:t>
      </w:r>
      <w:r w:rsidR="00EC79A6">
        <w:t xml:space="preserve">developed </w:t>
      </w:r>
      <w:r w:rsidR="00FD573F">
        <w:t xml:space="preserve">through </w:t>
      </w:r>
      <w:r w:rsidR="001A023B">
        <w:t xml:space="preserve">the </w:t>
      </w:r>
      <w:r w:rsidR="00FD573F">
        <w:t>work on Greater Himalayan wetlands</w:t>
      </w:r>
      <w:r w:rsidR="00EC79A6">
        <w:t xml:space="preserve"> </w:t>
      </w:r>
      <w:r w:rsidR="00EC79A6" w:rsidRPr="00EC79A6">
        <w:t>has subsequently been enhanced for application across the domain of the Ramsar Regional Center - East Asia (RRC-EA)</w:t>
      </w:r>
      <w:r w:rsidR="001A023B">
        <w:t>, and beyond,</w:t>
      </w:r>
      <w:r w:rsidR="00EC79A6" w:rsidRPr="00EC79A6">
        <w:t xml:space="preserve"> and tested on a wider range of sites in the region. The resulting Wetland Vulnerability Assessment Tool (WETVAT) is </w:t>
      </w:r>
      <w:r w:rsidR="008A114A">
        <w:t xml:space="preserve">directly </w:t>
      </w:r>
      <w:r w:rsidR="00EC79A6" w:rsidRPr="00EC79A6">
        <w:t>complementary to other tools and voluntary approaches available</w:t>
      </w:r>
      <w:r w:rsidR="00EC79A6">
        <w:t xml:space="preserve"> to wetland managers</w:t>
      </w:r>
      <w:r w:rsidR="00EC79A6" w:rsidRPr="00EC79A6">
        <w:t>, such as the Rapid Assessment of Wetland Ecosystem Services (RAWES)</w:t>
      </w:r>
      <w:r w:rsidR="00EC79A6" w:rsidRPr="00EC79A6">
        <w:rPr>
          <w:rStyle w:val="FootnoteReference"/>
        </w:rPr>
        <w:footnoteReference w:id="5"/>
      </w:r>
      <w:r w:rsidR="00EC79A6" w:rsidRPr="00EC79A6">
        <w:t xml:space="preserve"> and Ramsar Site Management Effectiveness Tracking Tool (R-METT)</w:t>
      </w:r>
      <w:r w:rsidR="00EC79A6" w:rsidRPr="00EC79A6">
        <w:rPr>
          <w:rStyle w:val="FootnoteReference"/>
        </w:rPr>
        <w:footnoteReference w:id="6"/>
      </w:r>
      <w:r w:rsidR="00EC79A6" w:rsidRPr="00EC79A6">
        <w:t xml:space="preserve">. </w:t>
      </w:r>
      <w:r w:rsidR="001A023B">
        <w:t xml:space="preserve">Furthermore, it contributes to ensuring that </w:t>
      </w:r>
      <w:r w:rsidR="008A114A">
        <w:t xml:space="preserve">robust </w:t>
      </w:r>
      <w:r w:rsidR="001A023B" w:rsidRPr="006E1C78">
        <w:rPr>
          <w:lang w:val="en-GB"/>
        </w:rPr>
        <w:t xml:space="preserve">environmental impact assessments are undertaken and measures identified to minimize the impacts of projects on wetland </w:t>
      </w:r>
      <w:r w:rsidR="001A023B" w:rsidRPr="006E1C78">
        <w:rPr>
          <w:lang w:val="en-GB"/>
        </w:rPr>
        <w:lastRenderedPageBreak/>
        <w:t xml:space="preserve">ecosystems, and </w:t>
      </w:r>
      <w:r w:rsidR="008A114A">
        <w:rPr>
          <w:lang w:val="en-GB"/>
        </w:rPr>
        <w:t xml:space="preserve">consequently to </w:t>
      </w:r>
      <w:r w:rsidR="001A023B" w:rsidRPr="006E1C78">
        <w:rPr>
          <w:lang w:val="en-GB"/>
        </w:rPr>
        <w:t>protect and maintain the ecological character of wetlands</w:t>
      </w:r>
      <w:r w:rsidR="001A023B" w:rsidRPr="00EC79A6">
        <w:t xml:space="preserve"> </w:t>
      </w:r>
      <w:r w:rsidR="001A023B">
        <w:t>as encouraged through Resolution XIV.16</w:t>
      </w:r>
      <w:r w:rsidR="001A023B">
        <w:rPr>
          <w:rStyle w:val="FootnoteReference"/>
        </w:rPr>
        <w:footnoteReference w:id="7"/>
      </w:r>
      <w:r w:rsidR="001A023B">
        <w:t xml:space="preserve">. </w:t>
      </w:r>
    </w:p>
    <w:p w14:paraId="65755DCE" w14:textId="77777777" w:rsidR="00392508" w:rsidRPr="006E1C78" w:rsidRDefault="00392508" w:rsidP="00392508">
      <w:pPr>
        <w:pStyle w:val="AnnexText"/>
        <w:numPr>
          <w:ilvl w:val="0"/>
          <w:numId w:val="0"/>
        </w:numPr>
        <w:spacing w:after="0"/>
        <w:ind w:left="425" w:hanging="425"/>
        <w:rPr>
          <w:b/>
        </w:rPr>
      </w:pPr>
    </w:p>
    <w:p w14:paraId="39F23F80" w14:textId="15590D62" w:rsidR="001A023B" w:rsidRDefault="00392508" w:rsidP="00392508">
      <w:pPr>
        <w:pStyle w:val="AnnexText"/>
        <w:numPr>
          <w:ilvl w:val="0"/>
          <w:numId w:val="0"/>
        </w:numPr>
        <w:spacing w:after="0"/>
        <w:ind w:left="425" w:hanging="425"/>
      </w:pPr>
      <w:r>
        <w:rPr>
          <w:bCs/>
        </w:rPr>
        <w:t>5.</w:t>
      </w:r>
      <w:r>
        <w:rPr>
          <w:bCs/>
        </w:rPr>
        <w:tab/>
      </w:r>
      <w:r w:rsidR="00EC79A6" w:rsidRPr="006E1C78">
        <w:t>WETVAT integrates the fundamental importance of wetlands for conserving biodiversity and</w:t>
      </w:r>
      <w:r w:rsidR="00EC79A6" w:rsidRPr="00EC79A6">
        <w:t xml:space="preserve"> their role in delivering ecosystem services founded on that biodiversity.</w:t>
      </w:r>
      <w:r w:rsidR="006E1C78">
        <w:t xml:space="preserve"> </w:t>
      </w:r>
      <w:r w:rsidR="001A023B">
        <w:t xml:space="preserve">The method described in this Annex identifies biodiversity separately as a fundamental component of the ecological character of a wetland but integrates the importance of wetlands both for conserving biodiversity and their role in delivering ecosystem services. The term </w:t>
      </w:r>
      <w:r w:rsidR="00DC7A2A">
        <w:t>“</w:t>
      </w:r>
      <w:r w:rsidR="001A023B">
        <w:t>value</w:t>
      </w:r>
      <w:r w:rsidR="00DC7A2A">
        <w:t>”</w:t>
      </w:r>
      <w:r w:rsidR="001A023B">
        <w:t xml:space="preserve"> is used to cover both these elements, since the Convention uses the term to indicate both the intrinsic importance of wetlands for biodiversity and the significance of ecosystem services to people.</w:t>
      </w:r>
    </w:p>
    <w:p w14:paraId="2C077A6A" w14:textId="77777777" w:rsidR="00392508" w:rsidRDefault="00392508" w:rsidP="00392508">
      <w:pPr>
        <w:pStyle w:val="AnnexText"/>
        <w:numPr>
          <w:ilvl w:val="0"/>
          <w:numId w:val="0"/>
        </w:numPr>
        <w:spacing w:after="0"/>
        <w:ind w:left="425" w:hanging="425"/>
      </w:pPr>
    </w:p>
    <w:p w14:paraId="4590669E" w14:textId="77777777" w:rsidR="009C1347" w:rsidRDefault="009C1347" w:rsidP="00392508">
      <w:pPr>
        <w:pStyle w:val="AnnexH1"/>
        <w:spacing w:after="0"/>
      </w:pPr>
      <w:bookmarkStart w:id="1" w:name="_Toc176348651"/>
      <w:r w:rsidRPr="001C3173">
        <w:t>Aim of the tool</w:t>
      </w:r>
      <w:bookmarkEnd w:id="1"/>
    </w:p>
    <w:p w14:paraId="52721FE3" w14:textId="77777777" w:rsidR="00392508" w:rsidRPr="001C3173" w:rsidRDefault="00392508" w:rsidP="00392508">
      <w:pPr>
        <w:pStyle w:val="AnnexH1"/>
        <w:spacing w:after="0"/>
      </w:pPr>
    </w:p>
    <w:p w14:paraId="39605C52" w14:textId="6E8B1A23" w:rsidR="009C1347" w:rsidRDefault="00392508" w:rsidP="00392508">
      <w:pPr>
        <w:pStyle w:val="AnnexText"/>
        <w:numPr>
          <w:ilvl w:val="0"/>
          <w:numId w:val="0"/>
        </w:numPr>
        <w:spacing w:after="0"/>
        <w:ind w:left="425" w:hanging="425"/>
      </w:pPr>
      <w:r>
        <w:rPr>
          <w:bCs/>
        </w:rPr>
        <w:t>6.</w:t>
      </w:r>
      <w:r>
        <w:rPr>
          <w:bCs/>
        </w:rPr>
        <w:tab/>
      </w:r>
      <w:r w:rsidR="009C1347">
        <w:t xml:space="preserve">Wetlands are vulnerable to a wide range of human threats and environmental change including overgrazing by livestock, dam construction, pollution, drainage and climate change. Therefore, if the intrinsic characteristics and values that these wetlands possess are to be conserved, identification, assessment and management of threats must be undertaken. </w:t>
      </w:r>
      <w:r w:rsidR="008A114A">
        <w:t>WETVAT</w:t>
      </w:r>
      <w:r w:rsidR="009C1347">
        <w:t xml:space="preserve"> does not address natural dynamics of wetlands that may alter their characteristics over time</w:t>
      </w:r>
      <w:r w:rsidR="00DC7A2A">
        <w:t>,</w:t>
      </w:r>
      <w:r w:rsidR="008A114A">
        <w:t xml:space="preserve"> rather it assesses the vulnerability of the system to a range of threats</w:t>
      </w:r>
      <w:r w:rsidR="009C1347">
        <w:t>.</w:t>
      </w:r>
    </w:p>
    <w:p w14:paraId="4179EA40" w14:textId="77777777" w:rsidR="00392508" w:rsidRDefault="00392508" w:rsidP="00392508">
      <w:pPr>
        <w:pStyle w:val="AnnexText"/>
        <w:numPr>
          <w:ilvl w:val="0"/>
          <w:numId w:val="0"/>
        </w:numPr>
        <w:spacing w:after="0"/>
        <w:ind w:left="425" w:hanging="425"/>
      </w:pPr>
    </w:p>
    <w:p w14:paraId="02DC075D" w14:textId="0AA1E35D" w:rsidR="009C1347" w:rsidRDefault="00392508" w:rsidP="00392508">
      <w:pPr>
        <w:pStyle w:val="AnnexText"/>
        <w:numPr>
          <w:ilvl w:val="0"/>
          <w:numId w:val="0"/>
        </w:numPr>
        <w:spacing w:after="0"/>
        <w:ind w:left="425" w:hanging="425"/>
      </w:pPr>
      <w:r>
        <w:rPr>
          <w:bCs/>
        </w:rPr>
        <w:t>7.</w:t>
      </w:r>
      <w:r>
        <w:rPr>
          <w:bCs/>
        </w:rPr>
        <w:tab/>
      </w:r>
      <w:r w:rsidR="009C1347">
        <w:t>The aim of this tool is to equip governments, conservation agencies and wetland managers throughout the world with the ability to assess the vulnerability of their wetlands and to combine information with other</w:t>
      </w:r>
      <w:r w:rsidR="008A114A">
        <w:t xml:space="preserve"> wetland assessment</w:t>
      </w:r>
      <w:r w:rsidR="009C1347">
        <w:t xml:space="preserve">s to assess vulnerability at </w:t>
      </w:r>
      <w:r w:rsidR="008A114A">
        <w:t>multiple</w:t>
      </w:r>
      <w:r w:rsidR="009C1347">
        <w:t xml:space="preserve"> scales. </w:t>
      </w:r>
      <w:r w:rsidR="008A114A">
        <w:t>The tool has been specifically developed</w:t>
      </w:r>
      <w:r w:rsidR="009C1347">
        <w:t xml:space="preserve"> based on the knowledge that many organi</w:t>
      </w:r>
      <w:r w:rsidR="001C3173">
        <w:t>z</w:t>
      </w:r>
      <w:r w:rsidR="009C1347">
        <w:t>ations do not have the information or expertise required to carry out a full</w:t>
      </w:r>
      <w:r w:rsidR="001C3173">
        <w:t>,</w:t>
      </w:r>
      <w:r w:rsidR="009C1347">
        <w:t xml:space="preserve"> detailed assessment. However, it recogni</w:t>
      </w:r>
      <w:r w:rsidR="001C3173">
        <w:t>z</w:t>
      </w:r>
      <w:r w:rsidR="009C1347">
        <w:t xml:space="preserve">es that local and </w:t>
      </w:r>
      <w:r w:rsidR="00DC7A2A">
        <w:t>I</w:t>
      </w:r>
      <w:r w:rsidR="009C1347">
        <w:t xml:space="preserve">ndigenous knowledge of a site is often extremely comprehensive and just needs to be collated and structured in a way that facilitates vulnerability assessment. </w:t>
      </w:r>
    </w:p>
    <w:p w14:paraId="483E621B" w14:textId="77777777" w:rsidR="00392508" w:rsidRDefault="00392508" w:rsidP="00392508">
      <w:pPr>
        <w:pStyle w:val="AnnexText"/>
        <w:numPr>
          <w:ilvl w:val="0"/>
          <w:numId w:val="0"/>
        </w:numPr>
        <w:spacing w:after="0"/>
        <w:ind w:left="425" w:hanging="425"/>
      </w:pPr>
    </w:p>
    <w:p w14:paraId="479D2E41" w14:textId="77777777" w:rsidR="001C3173" w:rsidRDefault="001C3173" w:rsidP="00392508">
      <w:pPr>
        <w:pStyle w:val="AnnexH1"/>
        <w:spacing w:after="0"/>
      </w:pPr>
      <w:bookmarkStart w:id="2" w:name="_Toc176348652"/>
      <w:r w:rsidRPr="001C3173">
        <w:t>Method overview</w:t>
      </w:r>
      <w:bookmarkEnd w:id="2"/>
    </w:p>
    <w:p w14:paraId="552EF0E9" w14:textId="77777777" w:rsidR="00392508" w:rsidRPr="001C3173" w:rsidRDefault="00392508" w:rsidP="00392508">
      <w:pPr>
        <w:pStyle w:val="AnnexH1"/>
        <w:spacing w:after="0"/>
      </w:pPr>
    </w:p>
    <w:p w14:paraId="00AF7EF2" w14:textId="7F9C1503" w:rsidR="001A023B" w:rsidRDefault="00392508" w:rsidP="00392508">
      <w:pPr>
        <w:pStyle w:val="AnnexText"/>
        <w:numPr>
          <w:ilvl w:val="0"/>
          <w:numId w:val="0"/>
        </w:numPr>
        <w:spacing w:after="0"/>
        <w:ind w:left="425" w:hanging="425"/>
      </w:pPr>
      <w:r>
        <w:rPr>
          <w:bCs/>
        </w:rPr>
        <w:t>8.</w:t>
      </w:r>
      <w:r>
        <w:rPr>
          <w:bCs/>
        </w:rPr>
        <w:tab/>
      </w:r>
      <w:r w:rsidR="001A023B" w:rsidRPr="009C1989">
        <w:t>WETVA</w:t>
      </w:r>
      <w:r w:rsidR="001A023B">
        <w:t>T</w:t>
      </w:r>
      <w:r w:rsidR="001A023B" w:rsidRPr="009C1989">
        <w:t xml:space="preserve"> is </w:t>
      </w:r>
      <w:r w:rsidR="001A023B">
        <w:t xml:space="preserve">an interactive spreadsheet-based tool (in Microsoft Excel). It is complementary </w:t>
      </w:r>
      <w:r w:rsidR="001A023B" w:rsidRPr="009C1989">
        <w:t xml:space="preserve">to </w:t>
      </w:r>
      <w:r w:rsidR="001A023B">
        <w:t xml:space="preserve">the Convention’s published </w:t>
      </w:r>
      <w:r w:rsidR="001A023B" w:rsidRPr="009C1989">
        <w:t>framework for assessing the vulnerability of wetlands to</w:t>
      </w:r>
      <w:r w:rsidR="001A023B">
        <w:t xml:space="preserve"> </w:t>
      </w:r>
      <w:r w:rsidR="001A023B" w:rsidRPr="009C1989">
        <w:t>climate change</w:t>
      </w:r>
      <w:r w:rsidR="001A023B">
        <w:rPr>
          <w:rStyle w:val="FootnoteReference"/>
        </w:rPr>
        <w:footnoteReference w:id="8"/>
      </w:r>
      <w:r w:rsidR="001A023B">
        <w:t xml:space="preserve">. Both </w:t>
      </w:r>
      <w:r w:rsidR="001A023B" w:rsidRPr="009C1989">
        <w:t>assess the likely response of the values associated with the</w:t>
      </w:r>
      <w:r w:rsidR="001A023B">
        <w:t xml:space="preserve"> wetland system to the range of identified threats. However, WETVAT assesses a much wider set of threats including</w:t>
      </w:r>
      <w:r w:rsidR="008A114A">
        <w:t>,</w:t>
      </w:r>
      <w:r w:rsidR="001A023B">
        <w:t xml:space="preserve"> but beyond</w:t>
      </w:r>
      <w:r w:rsidR="008A114A">
        <w:t>,</w:t>
      </w:r>
      <w:r w:rsidR="001A023B">
        <w:t xml:space="preserve"> climate change. WETVAT is deliberately set</w:t>
      </w:r>
      <w:r w:rsidR="00DC7A2A">
        <w:t xml:space="preserve"> </w:t>
      </w:r>
      <w:r w:rsidR="001A023B">
        <w:t>up to assess the values and threats from a local stakeholder perspective and in its analysis is likely to include both quantitative and qualitative data.</w:t>
      </w:r>
    </w:p>
    <w:p w14:paraId="76283E17" w14:textId="77777777" w:rsidR="00392508" w:rsidRDefault="00392508" w:rsidP="00392508">
      <w:pPr>
        <w:pStyle w:val="AnnexText"/>
        <w:numPr>
          <w:ilvl w:val="0"/>
          <w:numId w:val="0"/>
        </w:numPr>
        <w:spacing w:after="0"/>
        <w:ind w:left="425" w:hanging="425"/>
      </w:pPr>
    </w:p>
    <w:p w14:paraId="6FEEB359" w14:textId="4705151A" w:rsidR="001C3173" w:rsidRDefault="00392508" w:rsidP="00392508">
      <w:pPr>
        <w:pStyle w:val="AnnexText"/>
        <w:numPr>
          <w:ilvl w:val="0"/>
          <w:numId w:val="0"/>
        </w:numPr>
        <w:spacing w:after="0"/>
        <w:ind w:left="425" w:hanging="425"/>
      </w:pPr>
      <w:r>
        <w:rPr>
          <w:bCs/>
        </w:rPr>
        <w:t>9.</w:t>
      </w:r>
      <w:r>
        <w:rPr>
          <w:bCs/>
        </w:rPr>
        <w:tab/>
      </w:r>
      <w:r w:rsidR="001C3173">
        <w:t>WETVAT uses a risk-based approach to assess vulnerability of wetlands to threats. Vulnerability is based on the likelihood of occurrence of negative impacts and the severity of any impact on biodiversity and ecosystem services. The risk score (High, Medium, Low) enables wetland managers to prioritize conservation activities</w:t>
      </w:r>
      <w:r w:rsidR="00682B61">
        <w:t>, and their required resources,</w:t>
      </w:r>
      <w:r w:rsidR="001C3173">
        <w:t xml:space="preserve"> and identifies wetlands in need of further consideration and more detailed impact assessment.</w:t>
      </w:r>
      <w:r w:rsidR="00682B61">
        <w:t xml:space="preserve"> </w:t>
      </w:r>
      <w:r w:rsidR="001C3173">
        <w:t xml:space="preserve"> </w:t>
      </w:r>
    </w:p>
    <w:p w14:paraId="1E69377E" w14:textId="77777777" w:rsidR="00392508" w:rsidRDefault="00392508" w:rsidP="00392508">
      <w:pPr>
        <w:pStyle w:val="AnnexText"/>
        <w:numPr>
          <w:ilvl w:val="0"/>
          <w:numId w:val="0"/>
        </w:numPr>
        <w:spacing w:after="0"/>
        <w:ind w:left="425" w:hanging="425"/>
      </w:pPr>
    </w:p>
    <w:p w14:paraId="28526AC0" w14:textId="52F2C890" w:rsidR="008B46AB" w:rsidRDefault="00392508" w:rsidP="00392508">
      <w:pPr>
        <w:pStyle w:val="AnnexText"/>
        <w:numPr>
          <w:ilvl w:val="0"/>
          <w:numId w:val="0"/>
        </w:numPr>
        <w:spacing w:after="0"/>
        <w:ind w:left="425" w:hanging="425"/>
      </w:pPr>
      <w:r>
        <w:rPr>
          <w:bCs/>
        </w:rPr>
        <w:lastRenderedPageBreak/>
        <w:t>10.</w:t>
      </w:r>
      <w:r>
        <w:rPr>
          <w:bCs/>
        </w:rPr>
        <w:tab/>
      </w:r>
      <w:r w:rsidR="008B46AB">
        <w:t xml:space="preserve">The </w:t>
      </w:r>
      <w:r w:rsidR="001C3173">
        <w:t xml:space="preserve">WETVAT </w:t>
      </w:r>
      <w:r w:rsidR="008B46AB">
        <w:t xml:space="preserve">spreadsheet tool </w:t>
      </w:r>
      <w:r w:rsidR="001C3173">
        <w:t xml:space="preserve">consists of </w:t>
      </w:r>
      <w:r w:rsidR="008B46AB">
        <w:t>six</w:t>
      </w:r>
      <w:r w:rsidR="001C3173">
        <w:t xml:space="preserve"> </w:t>
      </w:r>
      <w:r w:rsidR="008B46AB">
        <w:t>linked worksheets</w:t>
      </w:r>
      <w:r w:rsidR="00682B61">
        <w:t xml:space="preserve"> within one Microsoft Excel file</w:t>
      </w:r>
      <w:r w:rsidR="008B46AB">
        <w:t>:</w:t>
      </w:r>
    </w:p>
    <w:p w14:paraId="41F52A19" w14:textId="77777777" w:rsidR="00392508" w:rsidRDefault="00392508" w:rsidP="00392508">
      <w:pPr>
        <w:pStyle w:val="AnnexText"/>
        <w:numPr>
          <w:ilvl w:val="0"/>
          <w:numId w:val="0"/>
        </w:numPr>
        <w:spacing w:after="0"/>
        <w:ind w:left="425" w:hanging="425"/>
      </w:pPr>
    </w:p>
    <w:p w14:paraId="73170DCA" w14:textId="564C94BC"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heet 1</w:t>
      </w:r>
      <w:r w:rsidR="008B46AB">
        <w:t>: Start page</w:t>
      </w:r>
    </w:p>
    <w:p w14:paraId="6CF4B745" w14:textId="5105604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2: Ecosystem components</w:t>
      </w:r>
    </w:p>
    <w:p w14:paraId="2DB68007" w14:textId="746E92DF"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3: Ecosystem services</w:t>
      </w:r>
    </w:p>
    <w:p w14:paraId="1821DBAD" w14:textId="1951DBE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4: Threats</w:t>
      </w:r>
    </w:p>
    <w:p w14:paraId="27096F69" w14:textId="401C50BB"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5: Assessment</w:t>
      </w:r>
    </w:p>
    <w:p w14:paraId="024D9A91" w14:textId="4E44CA93" w:rsidR="008B46AB" w:rsidRDefault="00392508" w:rsidP="0069547C">
      <w:pPr>
        <w:pStyle w:val="Annexbullet"/>
        <w:numPr>
          <w:ilvl w:val="0"/>
          <w:numId w:val="0"/>
        </w:numPr>
        <w:spacing w:after="0"/>
        <w:ind w:left="850" w:hanging="425"/>
      </w:pPr>
      <w:r>
        <w:rPr>
          <w:rFonts w:ascii="Symbol" w:hAnsi="Symbol"/>
        </w:rPr>
        <w:t></w:t>
      </w:r>
      <w:r>
        <w:rPr>
          <w:rFonts w:ascii="Symbol" w:hAnsi="Symbol"/>
        </w:rPr>
        <w:tab/>
      </w:r>
      <w:r w:rsidR="008B46AB">
        <w:t>Works</w:t>
      </w:r>
      <w:r w:rsidR="008B46AB" w:rsidRPr="008B46AB">
        <w:t xml:space="preserve">heet </w:t>
      </w:r>
      <w:r w:rsidR="008B46AB">
        <w:t>6: Summary</w:t>
      </w:r>
    </w:p>
    <w:p w14:paraId="05D74674" w14:textId="77777777" w:rsidR="00392508" w:rsidRDefault="00392508" w:rsidP="00392508">
      <w:pPr>
        <w:pStyle w:val="Annexbullet"/>
        <w:numPr>
          <w:ilvl w:val="0"/>
          <w:numId w:val="0"/>
        </w:numPr>
        <w:spacing w:after="0"/>
        <w:ind w:left="720" w:hanging="295"/>
      </w:pPr>
    </w:p>
    <w:p w14:paraId="48D18DEA" w14:textId="0AF0ADB6" w:rsidR="008B46AB" w:rsidRDefault="00392508" w:rsidP="00392508">
      <w:pPr>
        <w:pStyle w:val="AnnexText"/>
        <w:numPr>
          <w:ilvl w:val="0"/>
          <w:numId w:val="0"/>
        </w:numPr>
        <w:spacing w:after="0"/>
        <w:ind w:left="425" w:hanging="425"/>
      </w:pPr>
      <w:r>
        <w:rPr>
          <w:bCs/>
        </w:rPr>
        <w:t>11.</w:t>
      </w:r>
      <w:r>
        <w:rPr>
          <w:bCs/>
        </w:rPr>
        <w:tab/>
      </w:r>
      <w:r w:rsidR="008B46AB">
        <w:rPr>
          <w:i/>
          <w:iCs/>
        </w:rPr>
        <w:t>Worksheet 1: Start page</w:t>
      </w:r>
      <w:r w:rsidR="008B46AB">
        <w:t xml:space="preserve">. </w:t>
      </w:r>
      <w:r w:rsidR="00686A60">
        <w:t>General information, for instance on the name of the site, the date of the assessment and the assessor(s), is entered into Worksheet 1. The worksheet also highlights, through a simple traffic light system, the status of the subsequent worksheets with regards to their state of completion (Fig. 1).</w:t>
      </w:r>
    </w:p>
    <w:p w14:paraId="2BEC8A2D" w14:textId="77777777" w:rsidR="00392508" w:rsidRDefault="00392508" w:rsidP="00392508">
      <w:pPr>
        <w:pStyle w:val="AnnexText"/>
        <w:numPr>
          <w:ilvl w:val="0"/>
          <w:numId w:val="0"/>
        </w:numPr>
        <w:spacing w:after="0"/>
        <w:ind w:left="425" w:hanging="425"/>
      </w:pPr>
    </w:p>
    <w:p w14:paraId="0BCD748C" w14:textId="39624B54" w:rsidR="00686A60" w:rsidRDefault="00392508" w:rsidP="00392508">
      <w:pPr>
        <w:pStyle w:val="AnnexText"/>
        <w:numPr>
          <w:ilvl w:val="0"/>
          <w:numId w:val="0"/>
        </w:numPr>
        <w:spacing w:after="0"/>
        <w:ind w:left="425" w:hanging="425"/>
      </w:pPr>
      <w:r>
        <w:rPr>
          <w:bCs/>
        </w:rPr>
        <w:t>12.</w:t>
      </w:r>
      <w:r>
        <w:rPr>
          <w:bCs/>
        </w:rPr>
        <w:tab/>
      </w:r>
      <w:r w:rsidR="00686A60">
        <w:rPr>
          <w:i/>
          <w:iCs/>
        </w:rPr>
        <w:t>Worksheet 2: Ecosystem components.</w:t>
      </w:r>
      <w:r w:rsidR="00686A60">
        <w:t xml:space="preserve"> </w:t>
      </w:r>
      <w:r w:rsidR="00CD200E">
        <w:t>The ecosystem components record the biodiversity interest of the site (at genetic, species and ecosystem levels). Information is recorded under five categories: (i) wetland-dependent fauna; (ii) wetland-dependent flora; (iii) habitat diversity; (iv) genetic diversity; and (v) other ecological values</w:t>
      </w:r>
      <w:r w:rsidR="00597C61">
        <w:t xml:space="preserve"> (Fig. 2)</w:t>
      </w:r>
      <w:r w:rsidR="00CD200E">
        <w:t>.</w:t>
      </w:r>
    </w:p>
    <w:p w14:paraId="69381057" w14:textId="77777777" w:rsidR="00392508" w:rsidRDefault="00392508" w:rsidP="00392508">
      <w:pPr>
        <w:pStyle w:val="AnnexText"/>
        <w:numPr>
          <w:ilvl w:val="0"/>
          <w:numId w:val="0"/>
        </w:numPr>
        <w:spacing w:after="0"/>
        <w:ind w:left="425" w:hanging="425"/>
      </w:pPr>
    </w:p>
    <w:p w14:paraId="728B16AC" w14:textId="03DC66D9" w:rsidR="00494B95" w:rsidRDefault="00392508" w:rsidP="00392508">
      <w:pPr>
        <w:pStyle w:val="AnnexText"/>
        <w:numPr>
          <w:ilvl w:val="0"/>
          <w:numId w:val="0"/>
        </w:numPr>
        <w:spacing w:after="0"/>
        <w:ind w:left="425" w:hanging="425"/>
      </w:pPr>
      <w:r>
        <w:rPr>
          <w:bCs/>
        </w:rPr>
        <w:t>13.</w:t>
      </w:r>
      <w:r>
        <w:rPr>
          <w:bCs/>
        </w:rPr>
        <w:tab/>
      </w:r>
      <w:r w:rsidR="00CD200E">
        <w:t xml:space="preserve">For each of the categories, an evaluation is made of the importance of the </w:t>
      </w:r>
      <w:r w:rsidR="00494B95">
        <w:t>component using a four-point scale: (i) ++ highly significant component; (ii) + significant component; (iii) 0 negligible component; (iv) ? gaps in evidence. These scores represent the relative magnitude of the value of the component at the site. The assessor also has to enter a second score for each of the five ecosystem components. This second score relates to the certainty of the value. These two scores are combined in a simple matrix to give a single score that reflects both the magnitude and certainty of the value of each of the five ecosystem component categories.</w:t>
      </w:r>
    </w:p>
    <w:p w14:paraId="3D1FE1AC" w14:textId="77777777" w:rsidR="00392508" w:rsidRDefault="00392508" w:rsidP="00392508">
      <w:pPr>
        <w:pStyle w:val="AnnexText"/>
        <w:numPr>
          <w:ilvl w:val="0"/>
          <w:numId w:val="0"/>
        </w:numPr>
        <w:spacing w:after="0"/>
        <w:ind w:left="425" w:hanging="425"/>
      </w:pPr>
    </w:p>
    <w:p w14:paraId="3E95F58B" w14:textId="540FB949" w:rsidR="001C3173" w:rsidRDefault="00392508" w:rsidP="00392508">
      <w:pPr>
        <w:pStyle w:val="AnnexText"/>
        <w:numPr>
          <w:ilvl w:val="0"/>
          <w:numId w:val="0"/>
        </w:numPr>
        <w:spacing w:after="0"/>
        <w:ind w:left="425" w:hanging="425"/>
      </w:pPr>
      <w:r>
        <w:rPr>
          <w:bCs/>
        </w:rPr>
        <w:t>14.</w:t>
      </w:r>
      <w:r>
        <w:rPr>
          <w:bCs/>
        </w:rPr>
        <w:tab/>
      </w:r>
      <w:r w:rsidR="00CD200E">
        <w:t xml:space="preserve">To complete Worksheet 2 requires the assessor to </w:t>
      </w:r>
      <w:r w:rsidR="001C3173">
        <w:t>identify survey data in local and national inventories and datasets held in government departments and universities, by non-governmental organisations, such as wildlife groups and knowledge held by local an</w:t>
      </w:r>
      <w:r w:rsidR="00DC7A2A">
        <w:t>d</w:t>
      </w:r>
      <w:r w:rsidR="001C3173">
        <w:t xml:space="preserve"> </w:t>
      </w:r>
      <w:r w:rsidR="00DC7A2A">
        <w:t>I</w:t>
      </w:r>
      <w:r w:rsidR="001C3173">
        <w:t xml:space="preserve">ndigenous people. It can also include data from international databases, such as the Ramsar Sites Information </w:t>
      </w:r>
      <w:r w:rsidR="00494B95">
        <w:t>Service</w:t>
      </w:r>
      <w:r w:rsidR="001C3173">
        <w:t xml:space="preserve"> and IUCN Red Lists.</w:t>
      </w:r>
    </w:p>
    <w:p w14:paraId="1828E04C" w14:textId="77777777" w:rsidR="00392508" w:rsidRDefault="00392508" w:rsidP="00392508">
      <w:pPr>
        <w:pStyle w:val="AnnexText"/>
        <w:numPr>
          <w:ilvl w:val="0"/>
          <w:numId w:val="0"/>
        </w:numPr>
        <w:spacing w:after="0"/>
        <w:ind w:left="425" w:hanging="425"/>
      </w:pPr>
    </w:p>
    <w:p w14:paraId="5F73E4DA" w14:textId="6D0161D1" w:rsidR="00F66047" w:rsidRDefault="00392508" w:rsidP="00392508">
      <w:pPr>
        <w:pStyle w:val="AnnexText"/>
        <w:numPr>
          <w:ilvl w:val="0"/>
          <w:numId w:val="0"/>
        </w:numPr>
        <w:spacing w:after="0"/>
        <w:ind w:left="425" w:hanging="425"/>
      </w:pPr>
      <w:r>
        <w:rPr>
          <w:bCs/>
        </w:rPr>
        <w:t>15.</w:t>
      </w:r>
      <w:r>
        <w:rPr>
          <w:bCs/>
        </w:rPr>
        <w:tab/>
      </w:r>
      <w:r w:rsidR="00494B95">
        <w:rPr>
          <w:i/>
          <w:iCs/>
        </w:rPr>
        <w:t>Worksheet 3: Ecosystem services</w:t>
      </w:r>
      <w:r w:rsidR="00494B95">
        <w:t xml:space="preserve">. The ecosystem services record the multiple benefits that the site is providing to human society. Information is recorded </w:t>
      </w:r>
      <w:r w:rsidR="00682B61">
        <w:t xml:space="preserve">for </w:t>
      </w:r>
      <w:r w:rsidR="00494B95">
        <w:t>different ecosystem services under four main categories</w:t>
      </w:r>
      <w:r w:rsidR="00597C61">
        <w:t xml:space="preserve"> (with the total number of services </w:t>
      </w:r>
      <w:r w:rsidR="00682B61">
        <w:t xml:space="preserve">in each category </w:t>
      </w:r>
      <w:r w:rsidR="00597C61">
        <w:t>given in parenthesis)</w:t>
      </w:r>
      <w:r w:rsidR="00494B95">
        <w:t>: provisioning</w:t>
      </w:r>
      <w:r w:rsidR="00597C61">
        <w:t xml:space="preserve"> (10)</w:t>
      </w:r>
      <w:r w:rsidR="00494B95">
        <w:t>, regulatory</w:t>
      </w:r>
      <w:r w:rsidR="00597C61">
        <w:t xml:space="preserve"> (16)</w:t>
      </w:r>
      <w:r w:rsidR="00494B95">
        <w:t xml:space="preserve">, cultural </w:t>
      </w:r>
      <w:r w:rsidR="00597C61">
        <w:t xml:space="preserve">(8) </w:t>
      </w:r>
      <w:r w:rsidR="00494B95">
        <w:t>and supporting services</w:t>
      </w:r>
      <w:r w:rsidR="00597C61">
        <w:t xml:space="preserve"> (6) (Fig. 3)</w:t>
      </w:r>
      <w:r w:rsidR="00494B95">
        <w:t xml:space="preserve">. </w:t>
      </w:r>
    </w:p>
    <w:p w14:paraId="4AA9E490" w14:textId="77777777" w:rsidR="00392508" w:rsidRDefault="00392508" w:rsidP="00392508">
      <w:pPr>
        <w:pStyle w:val="AnnexText"/>
        <w:numPr>
          <w:ilvl w:val="0"/>
          <w:numId w:val="0"/>
        </w:numPr>
        <w:spacing w:after="0"/>
        <w:ind w:left="425" w:hanging="425"/>
      </w:pPr>
    </w:p>
    <w:p w14:paraId="7E81DB40" w14:textId="7E786D2D" w:rsidR="00494B95" w:rsidRDefault="00392508" w:rsidP="00392508">
      <w:pPr>
        <w:pStyle w:val="AnnexText"/>
        <w:numPr>
          <w:ilvl w:val="0"/>
          <w:numId w:val="0"/>
        </w:numPr>
        <w:spacing w:after="0"/>
        <w:ind w:left="425" w:hanging="425"/>
      </w:pPr>
      <w:r>
        <w:rPr>
          <w:bCs/>
        </w:rPr>
        <w:t>16.</w:t>
      </w:r>
      <w:r>
        <w:rPr>
          <w:bCs/>
        </w:rPr>
        <w:tab/>
      </w:r>
      <w:r w:rsidR="00F66047">
        <w:t>For each ecosystem service, an evaluation is made of the importance of its contribution to beneficiaries of the service using a four-point scale: (i) ++ significant positive contribution; (ii) + positive contribution; (iii) 0 negligible contribution; (iv) ? gaps in evidence. These scores represent the relative magnitude of the value of the ecosystem service at the site. The assessor also has to enter a second score for each of the ecosystem services. This second score relates to the certainty of the value. These two scores are combined in a simple matrix to give a single score that reflects both the magnitude and certainty of the value of each of the ecosystem services.</w:t>
      </w:r>
    </w:p>
    <w:p w14:paraId="3AE8AC1E" w14:textId="77777777" w:rsidR="00392508" w:rsidRDefault="00392508" w:rsidP="00392508">
      <w:pPr>
        <w:pStyle w:val="AnnexText"/>
        <w:numPr>
          <w:ilvl w:val="0"/>
          <w:numId w:val="0"/>
        </w:numPr>
        <w:spacing w:after="0"/>
        <w:ind w:left="425" w:hanging="425"/>
      </w:pPr>
    </w:p>
    <w:p w14:paraId="0705F241" w14:textId="02EAA2E9" w:rsidR="00F66047" w:rsidRDefault="00392508" w:rsidP="00392508">
      <w:pPr>
        <w:pStyle w:val="AnnexText"/>
        <w:numPr>
          <w:ilvl w:val="0"/>
          <w:numId w:val="0"/>
        </w:numPr>
        <w:spacing w:after="0"/>
        <w:ind w:left="425" w:hanging="425"/>
      </w:pPr>
      <w:r w:rsidRPr="005C29D5">
        <w:rPr>
          <w:bCs/>
        </w:rPr>
        <w:t>17.</w:t>
      </w:r>
      <w:r w:rsidRPr="005C29D5">
        <w:rPr>
          <w:bCs/>
        </w:rPr>
        <w:tab/>
      </w:r>
      <w:r w:rsidR="00F66047">
        <w:t xml:space="preserve">The structure of Worksheet 3 is directly compatible with the RAWES worksheet. This allows for a direct transfer from one tool to another. </w:t>
      </w:r>
      <w:r w:rsidR="00682B61">
        <w:t xml:space="preserve">Where a RAWES assessment has been undertaken it would be normal to assign a high degree of certainty to the inputs. </w:t>
      </w:r>
      <w:r w:rsidR="00F66047">
        <w:t xml:space="preserve">However, in situations where RAWES has not been applied, the assessor will have to evaluate the ecosystem services </w:t>
      </w:r>
      <w:r w:rsidR="00F66047">
        <w:lastRenderedPageBreak/>
        <w:t xml:space="preserve">being provided by the site through other means such as conducting participatory workshops, utilizing other formal ecosystem service assessment methodologies or consulting with local stakeholders, knowledge </w:t>
      </w:r>
      <w:r w:rsidR="00F66047" w:rsidRPr="005C29D5">
        <w:t>holders and staff.</w:t>
      </w:r>
      <w:r w:rsidR="00682B61">
        <w:t xml:space="preserve"> Under these circumstances the certainty may be lower.</w:t>
      </w:r>
    </w:p>
    <w:p w14:paraId="5E6DB120" w14:textId="77777777" w:rsidR="00392508" w:rsidRPr="005C29D5" w:rsidRDefault="00392508" w:rsidP="00392508">
      <w:pPr>
        <w:pStyle w:val="AnnexText"/>
        <w:numPr>
          <w:ilvl w:val="0"/>
          <w:numId w:val="0"/>
        </w:numPr>
        <w:spacing w:after="0"/>
        <w:ind w:left="425" w:hanging="425"/>
      </w:pPr>
    </w:p>
    <w:p w14:paraId="1BFCC6CD" w14:textId="07B72EA8" w:rsidR="005C29D5" w:rsidRDefault="00392508" w:rsidP="00392508">
      <w:pPr>
        <w:pStyle w:val="AnnexText"/>
        <w:numPr>
          <w:ilvl w:val="0"/>
          <w:numId w:val="0"/>
        </w:numPr>
        <w:spacing w:after="0"/>
        <w:ind w:left="425" w:hanging="425"/>
      </w:pPr>
      <w:r>
        <w:rPr>
          <w:bCs/>
        </w:rPr>
        <w:t>18.</w:t>
      </w:r>
      <w:r>
        <w:rPr>
          <w:bCs/>
        </w:rPr>
        <w:tab/>
      </w:r>
      <w:r w:rsidR="005C29D5" w:rsidRPr="005C29D5">
        <w:rPr>
          <w:i/>
          <w:iCs/>
        </w:rPr>
        <w:t>Worksheet 4: Threats</w:t>
      </w:r>
      <w:r w:rsidR="005C29D5" w:rsidRPr="005C29D5">
        <w:t xml:space="preserve">. The threats are </w:t>
      </w:r>
      <w:r w:rsidR="005C29D5">
        <w:t xml:space="preserve">recorded under </w:t>
      </w:r>
      <w:r w:rsidR="00670E29">
        <w:t xml:space="preserve">the </w:t>
      </w:r>
      <w:r w:rsidR="002E5F52">
        <w:t xml:space="preserve">13 </w:t>
      </w:r>
      <w:r w:rsidR="00670E29">
        <w:t>categories presented in Data Sheet 3 of RMETT, namely:</w:t>
      </w:r>
    </w:p>
    <w:p w14:paraId="3F81BD81" w14:textId="77777777" w:rsidR="00392508" w:rsidRDefault="00392508" w:rsidP="00392508">
      <w:pPr>
        <w:pStyle w:val="AnnexText"/>
        <w:numPr>
          <w:ilvl w:val="0"/>
          <w:numId w:val="0"/>
        </w:numPr>
        <w:spacing w:after="0"/>
        <w:ind w:left="425" w:hanging="425"/>
      </w:pPr>
    </w:p>
    <w:p w14:paraId="7E06D03B" w14:textId="50C3D45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Residential and commercial development (within site)</w:t>
      </w:r>
    </w:p>
    <w:p w14:paraId="666F6742" w14:textId="034031D1" w:rsidR="00670E29" w:rsidRDefault="00392508" w:rsidP="0069547C">
      <w:pPr>
        <w:pStyle w:val="Annexbullet"/>
        <w:numPr>
          <w:ilvl w:val="0"/>
          <w:numId w:val="0"/>
        </w:numPr>
        <w:spacing w:after="0"/>
        <w:ind w:left="850" w:hanging="425"/>
        <w:rPr>
          <w:lang w:eastAsia="en-GB"/>
        </w:rPr>
      </w:pPr>
      <w:r>
        <w:rPr>
          <w:rFonts w:ascii="Symbol" w:hAnsi="Symbol"/>
          <w:lang w:eastAsia="en-GB"/>
        </w:rPr>
        <w:t></w:t>
      </w:r>
      <w:r>
        <w:rPr>
          <w:rFonts w:ascii="Symbol" w:hAnsi="Symbol"/>
          <w:lang w:eastAsia="en-GB"/>
        </w:rPr>
        <w:tab/>
      </w:r>
      <w:r w:rsidR="00670E29" w:rsidRPr="009F2CD0">
        <w:rPr>
          <w:lang w:eastAsia="en-GB"/>
        </w:rPr>
        <w:t>Agriculture and aquaculture (within site)</w:t>
      </w:r>
    </w:p>
    <w:p w14:paraId="5AD94AAF" w14:textId="240C345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Energy production and mining (inside the site)</w:t>
      </w:r>
    </w:p>
    <w:p w14:paraId="5D12F124" w14:textId="42B13A09"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Transportation and service corridors inside the site</w:t>
      </w:r>
    </w:p>
    <w:p w14:paraId="3AB9DC8D" w14:textId="4D75FE7F"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Biological resource use and harm within the site</w:t>
      </w:r>
    </w:p>
    <w:p w14:paraId="074EEB56" w14:textId="46448382"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Human intrusions and disturbance within the site</w:t>
      </w:r>
    </w:p>
    <w:p w14:paraId="79A6FB1C" w14:textId="3D321B0D"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Natural system modifications</w:t>
      </w:r>
    </w:p>
    <w:p w14:paraId="15FC5C35" w14:textId="0AAD80C7"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Hydrological change</w:t>
      </w:r>
    </w:p>
    <w:p w14:paraId="0D6A1AA0" w14:textId="6EFA12BB"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Invasive and other problematic species and genes</w:t>
      </w:r>
    </w:p>
    <w:p w14:paraId="3A8C1689" w14:textId="7798E0C8"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Pollution entering into, or generated from within</w:t>
      </w:r>
      <w:r w:rsidR="002E5F52">
        <w:rPr>
          <w:lang w:eastAsia="en-GB"/>
        </w:rPr>
        <w:t>,</w:t>
      </w:r>
      <w:r w:rsidR="00670E29" w:rsidRPr="009F2CD0">
        <w:rPr>
          <w:lang w:eastAsia="en-GB"/>
        </w:rPr>
        <w:t xml:space="preserve"> the site</w:t>
      </w:r>
    </w:p>
    <w:p w14:paraId="2B495844" w14:textId="530973E4"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Geological events</w:t>
      </w:r>
    </w:p>
    <w:p w14:paraId="37CC0205" w14:textId="2B901F31" w:rsidR="00670E29" w:rsidRPr="009F2CD0"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Climate change and severe weather</w:t>
      </w:r>
    </w:p>
    <w:p w14:paraId="28764113" w14:textId="5BD23D8D" w:rsidR="00670E29" w:rsidRDefault="00392508" w:rsidP="0069547C">
      <w:pPr>
        <w:pStyle w:val="Annexbullet"/>
        <w:numPr>
          <w:ilvl w:val="0"/>
          <w:numId w:val="0"/>
        </w:numPr>
        <w:spacing w:after="0"/>
        <w:ind w:left="850" w:hanging="425"/>
        <w:rPr>
          <w:lang w:eastAsia="en-GB"/>
        </w:rPr>
      </w:pPr>
      <w:r w:rsidRPr="009F2CD0">
        <w:rPr>
          <w:rFonts w:ascii="Symbol" w:hAnsi="Symbol"/>
          <w:lang w:eastAsia="en-GB"/>
        </w:rPr>
        <w:t></w:t>
      </w:r>
      <w:r w:rsidRPr="009F2CD0">
        <w:rPr>
          <w:rFonts w:ascii="Symbol" w:hAnsi="Symbol"/>
          <w:lang w:eastAsia="en-GB"/>
        </w:rPr>
        <w:tab/>
      </w:r>
      <w:r w:rsidR="00670E29" w:rsidRPr="009F2CD0">
        <w:rPr>
          <w:lang w:eastAsia="en-GB"/>
        </w:rPr>
        <w:t>Specific cultural and social threats</w:t>
      </w:r>
    </w:p>
    <w:p w14:paraId="645AEE56" w14:textId="77777777" w:rsidR="00392508" w:rsidRPr="009F2CD0" w:rsidRDefault="00392508" w:rsidP="00392508">
      <w:pPr>
        <w:pStyle w:val="Annexbullet"/>
        <w:numPr>
          <w:ilvl w:val="0"/>
          <w:numId w:val="0"/>
        </w:numPr>
        <w:spacing w:after="0"/>
        <w:ind w:left="720" w:hanging="295"/>
        <w:rPr>
          <w:lang w:eastAsia="en-GB"/>
        </w:rPr>
      </w:pPr>
    </w:p>
    <w:p w14:paraId="47C53B48" w14:textId="5BEE73DB" w:rsidR="00670E29" w:rsidRDefault="00392508" w:rsidP="00392508">
      <w:pPr>
        <w:pStyle w:val="AnnexText"/>
        <w:numPr>
          <w:ilvl w:val="0"/>
          <w:numId w:val="0"/>
        </w:numPr>
        <w:spacing w:after="0"/>
        <w:ind w:left="425" w:hanging="425"/>
      </w:pPr>
      <w:r>
        <w:rPr>
          <w:bCs/>
        </w:rPr>
        <w:t>19.</w:t>
      </w:r>
      <w:r>
        <w:rPr>
          <w:bCs/>
        </w:rPr>
        <w:tab/>
      </w:r>
      <w:r w:rsidR="00670E29">
        <w:t xml:space="preserve">Further, more detailed threats are listed under each of the </w:t>
      </w:r>
      <w:r w:rsidR="002E5F52">
        <w:t xml:space="preserve">13 </w:t>
      </w:r>
      <w:r w:rsidR="00670E29">
        <w:t xml:space="preserve">categories. A total of 48 threat categories are available for reporting. For each threat two scores, one for likelihood of the threat and one for the severity of threat, are recorded and a simple matrix is </w:t>
      </w:r>
      <w:r w:rsidR="00B25545">
        <w:t>automatically generated</w:t>
      </w:r>
      <w:r w:rsidR="00670E29">
        <w:t xml:space="preserve"> to give a single score</w:t>
      </w:r>
      <w:r w:rsidR="00B25545">
        <w:t xml:space="preserve"> for each threat</w:t>
      </w:r>
      <w:r w:rsidR="00670E29">
        <w:t>.</w:t>
      </w:r>
      <w:r w:rsidR="00B25545">
        <w:t xml:space="preserve"> T</w:t>
      </w:r>
      <w:r w:rsidR="00670E29">
        <w:t>he allocated score is based on: (H)</w:t>
      </w:r>
      <w:r w:rsidR="00670E29" w:rsidRPr="009370D5">
        <w:t xml:space="preserve"> high significance are those which are seriously degrading </w:t>
      </w:r>
      <w:r w:rsidR="00670E29">
        <w:t xml:space="preserve">the site’s </w:t>
      </w:r>
      <w:r w:rsidR="00670E29" w:rsidRPr="009370D5">
        <w:t xml:space="preserve">values; </w:t>
      </w:r>
      <w:r w:rsidR="00670E29">
        <w:t xml:space="preserve">(M) </w:t>
      </w:r>
      <w:r w:rsidR="00670E29" w:rsidRPr="009370D5">
        <w:t>medium are those threats having some negative impact</w:t>
      </w:r>
      <w:r w:rsidR="00670E29">
        <w:t>; (L)</w:t>
      </w:r>
      <w:r w:rsidR="00670E29" w:rsidRPr="009370D5">
        <w:t xml:space="preserve"> those characterized as low are threats which are present but not seriously impacting values</w:t>
      </w:r>
      <w:r w:rsidR="00670E29">
        <w:t>; (</w:t>
      </w:r>
      <w:r w:rsidR="00670E29" w:rsidRPr="009370D5">
        <w:t>N/A</w:t>
      </w:r>
      <w:r w:rsidR="00670E29">
        <w:t>)</w:t>
      </w:r>
      <w:r w:rsidR="00670E29" w:rsidRPr="009370D5">
        <w:t xml:space="preserve"> where the threat is not present or not applicabl</w:t>
      </w:r>
      <w:r w:rsidR="00670E29">
        <w:t>e to the site; and (U) where information on the threat is unknown</w:t>
      </w:r>
      <w:r w:rsidR="00670E29" w:rsidRPr="009370D5">
        <w:t xml:space="preserve">. </w:t>
      </w:r>
    </w:p>
    <w:p w14:paraId="498EC4E1" w14:textId="77777777" w:rsidR="00392508" w:rsidRDefault="00392508" w:rsidP="00392508">
      <w:pPr>
        <w:pStyle w:val="AnnexText"/>
        <w:numPr>
          <w:ilvl w:val="0"/>
          <w:numId w:val="0"/>
        </w:numPr>
        <w:spacing w:after="0"/>
        <w:ind w:left="425" w:hanging="425"/>
      </w:pPr>
    </w:p>
    <w:p w14:paraId="0E94D156" w14:textId="6D05D777" w:rsidR="001C3173" w:rsidRDefault="00392508" w:rsidP="00392508">
      <w:pPr>
        <w:pStyle w:val="AnnexText"/>
        <w:numPr>
          <w:ilvl w:val="0"/>
          <w:numId w:val="0"/>
        </w:numPr>
        <w:spacing w:after="0"/>
        <w:ind w:left="425" w:hanging="425"/>
      </w:pPr>
      <w:r>
        <w:rPr>
          <w:bCs/>
        </w:rPr>
        <w:t>20.</w:t>
      </w:r>
      <w:r>
        <w:rPr>
          <w:bCs/>
        </w:rPr>
        <w:tab/>
      </w:r>
      <w:r w:rsidR="00B25545" w:rsidRPr="00B25545">
        <w:rPr>
          <w:i/>
          <w:iCs/>
        </w:rPr>
        <w:t>Worksheet 5: Assessment</w:t>
      </w:r>
      <w:r w:rsidR="00B25545">
        <w:t xml:space="preserve">. The assessment worksheet </w:t>
      </w:r>
      <w:r w:rsidR="00B25545" w:rsidRPr="00B25545">
        <w:t>automatically l</w:t>
      </w:r>
      <w:r w:rsidR="001C3173" w:rsidRPr="00B25545">
        <w:t xml:space="preserve">inks </w:t>
      </w:r>
      <w:r w:rsidR="00B25545">
        <w:t xml:space="preserve">the </w:t>
      </w:r>
      <w:r w:rsidR="001C3173" w:rsidRPr="00B25545">
        <w:t xml:space="preserve">wetland values </w:t>
      </w:r>
      <w:r w:rsidR="00B25545">
        <w:t xml:space="preserve">(ecosystem components and ecosystem services) </w:t>
      </w:r>
      <w:r w:rsidR="001C3173" w:rsidRPr="00B25545">
        <w:t xml:space="preserve">and </w:t>
      </w:r>
      <w:r w:rsidR="00B25545">
        <w:t xml:space="preserve">the </w:t>
      </w:r>
      <w:r w:rsidR="001C3173" w:rsidRPr="00B25545">
        <w:t xml:space="preserve">threats to </w:t>
      </w:r>
      <w:r w:rsidR="00B25545">
        <w:t xml:space="preserve">the </w:t>
      </w:r>
      <w:r w:rsidR="001C3173" w:rsidRPr="00B25545">
        <w:t xml:space="preserve">wetland. This </w:t>
      </w:r>
      <w:r w:rsidR="00B25545">
        <w:t>worksheet</w:t>
      </w:r>
      <w:r w:rsidR="001C3173" w:rsidRPr="00B25545">
        <w:t xml:space="preserve"> determines how the threats are likel</w:t>
      </w:r>
      <w:r w:rsidR="001C3173">
        <w:t xml:space="preserve">y to impact on the components and </w:t>
      </w:r>
      <w:r w:rsidR="00B25545">
        <w:t>services</w:t>
      </w:r>
      <w:r w:rsidR="001C3173">
        <w:t xml:space="preserve">. This </w:t>
      </w:r>
      <w:r w:rsidR="00B25545">
        <w:t>worksheet</w:t>
      </w:r>
      <w:r w:rsidR="001C3173">
        <w:t xml:space="preserve"> has </w:t>
      </w:r>
      <w:r w:rsidR="00B25545">
        <w:t>pre-defined</w:t>
      </w:r>
      <w:r w:rsidR="001C3173">
        <w:t xml:space="preserve"> default values </w:t>
      </w:r>
      <w:r w:rsidR="00B25545">
        <w:t>based on information derived from multiple publications and peer-reviewed literature</w:t>
      </w:r>
      <w:r w:rsidR="001C3173">
        <w:t xml:space="preserve">. </w:t>
      </w:r>
    </w:p>
    <w:p w14:paraId="4A0EBD0A" w14:textId="77777777" w:rsidR="00392508" w:rsidRDefault="00392508" w:rsidP="00392508">
      <w:pPr>
        <w:pStyle w:val="AnnexText"/>
        <w:numPr>
          <w:ilvl w:val="0"/>
          <w:numId w:val="0"/>
        </w:numPr>
        <w:spacing w:after="0"/>
        <w:ind w:left="425" w:hanging="425"/>
      </w:pPr>
    </w:p>
    <w:p w14:paraId="43692775" w14:textId="52AA5EDB" w:rsidR="00CF1FB8" w:rsidRPr="00CF1FB8" w:rsidRDefault="00392508" w:rsidP="00392508">
      <w:pPr>
        <w:pStyle w:val="AnnexText"/>
        <w:numPr>
          <w:ilvl w:val="0"/>
          <w:numId w:val="0"/>
        </w:numPr>
        <w:spacing w:after="0"/>
        <w:ind w:left="425" w:hanging="425"/>
      </w:pPr>
      <w:r w:rsidRPr="00CF1FB8">
        <w:rPr>
          <w:bCs/>
        </w:rPr>
        <w:t>21.</w:t>
      </w:r>
      <w:r w:rsidRPr="00CF1FB8">
        <w:rPr>
          <w:bCs/>
        </w:rPr>
        <w:tab/>
      </w:r>
      <w:r w:rsidR="00B25545">
        <w:t>Worksheet 5</w:t>
      </w:r>
      <w:r w:rsidR="00CF1FB8" w:rsidRPr="00CF1FB8">
        <w:t xml:space="preserve"> combines all of the values in a </w:t>
      </w:r>
      <w:r w:rsidR="00B25545">
        <w:t xml:space="preserve">single </w:t>
      </w:r>
      <w:r w:rsidR="00CF1FB8" w:rsidRPr="00CF1FB8">
        <w:t xml:space="preserve">matrix and gives a single </w:t>
      </w:r>
      <w:r w:rsidR="00682B61">
        <w:t>output</w:t>
      </w:r>
      <w:r w:rsidR="00CF1FB8" w:rsidRPr="00CF1FB8">
        <w:t xml:space="preserve"> for each value and threat intersection (</w:t>
      </w:r>
      <w:r w:rsidR="00B25545">
        <w:t xml:space="preserve">based on </w:t>
      </w:r>
      <w:r w:rsidR="00CF1FB8" w:rsidRPr="00CF1FB8">
        <w:t>equation (1)). The assessment</w:t>
      </w:r>
      <w:r w:rsidR="00B25545">
        <w:t xml:space="preserve"> worksheet</w:t>
      </w:r>
      <w:r w:rsidR="00CF1FB8" w:rsidRPr="00CF1FB8">
        <w:t xml:space="preserve"> presents </w:t>
      </w:r>
      <w:r w:rsidR="00B25545">
        <w:t>a synthesis of all the</w:t>
      </w:r>
      <w:r w:rsidR="00CF1FB8" w:rsidRPr="00CF1FB8">
        <w:t xml:space="preserve"> values that the wetland provides, the threats that the wetland is under, and shows which threats impact on which values.</w:t>
      </w:r>
    </w:p>
    <w:p w14:paraId="1ABC54C9" w14:textId="79404CA7" w:rsidR="00CF1FB8" w:rsidRPr="00CF1FB8" w:rsidRDefault="00CF1FB8" w:rsidP="00392508">
      <w:pPr>
        <w:pStyle w:val="DRText"/>
        <w:ind w:firstLine="425"/>
      </w:pPr>
      <w:r w:rsidRPr="00CF1FB8">
        <w:t xml:space="preserve">Final Assessment Value = Value Score × Link × Threat Score </w:t>
      </w:r>
      <w:r>
        <w:tab/>
      </w:r>
      <w:r>
        <w:tab/>
      </w:r>
      <w:r>
        <w:tab/>
      </w:r>
      <w:r w:rsidRPr="00CF1FB8">
        <w:t>(</w:t>
      </w:r>
      <w:r w:rsidR="00B25545">
        <w:t xml:space="preserve">Equation </w:t>
      </w:r>
      <w:r w:rsidRPr="00CF1FB8">
        <w:t>1)</w:t>
      </w:r>
    </w:p>
    <w:p w14:paraId="460D610F" w14:textId="77777777" w:rsidR="00CF1FB8" w:rsidRPr="00CF1FB8" w:rsidRDefault="00CF1FB8" w:rsidP="00392508">
      <w:pPr>
        <w:pStyle w:val="DRText"/>
      </w:pPr>
    </w:p>
    <w:p w14:paraId="0A516594" w14:textId="03399233" w:rsidR="00CF1FB8" w:rsidRDefault="00392508" w:rsidP="00392508">
      <w:pPr>
        <w:pStyle w:val="AnnexText"/>
        <w:numPr>
          <w:ilvl w:val="0"/>
          <w:numId w:val="0"/>
        </w:numPr>
        <w:spacing w:after="0"/>
        <w:ind w:left="425" w:hanging="425"/>
      </w:pPr>
      <w:r w:rsidRPr="00CF1FB8">
        <w:rPr>
          <w:bCs/>
        </w:rPr>
        <w:t>22.</w:t>
      </w:r>
      <w:r w:rsidRPr="00CF1FB8">
        <w:rPr>
          <w:bCs/>
        </w:rPr>
        <w:tab/>
      </w:r>
      <w:r w:rsidR="00CF1FB8" w:rsidRPr="00CF1FB8">
        <w:t xml:space="preserve">Since the </w:t>
      </w:r>
      <w:r w:rsidR="00B25545">
        <w:t>threat s</w:t>
      </w:r>
      <w:r w:rsidR="00CF1FB8" w:rsidRPr="00CF1FB8">
        <w:t xml:space="preserve">cores H, M, L and N </w:t>
      </w:r>
      <w:r w:rsidR="00B25545">
        <w:t>can be assigned</w:t>
      </w:r>
      <w:r w:rsidR="00CF1FB8" w:rsidRPr="00CF1FB8">
        <w:t xml:space="preserve"> numerical values of 3, 2, 1 and 0, respectively, the final assessment score is a number between 0 and 27. Scores between 0 and 9 are colour coded green</w:t>
      </w:r>
      <w:r w:rsidR="00682B61">
        <w:t xml:space="preserve">, considered to be relatively low threats, </w:t>
      </w:r>
      <w:r w:rsidR="00CF1FB8" w:rsidRPr="00CF1FB8">
        <w:t>scores between 10 and 18 are colour coded amber and scores between 19 and 27 are colour coded red</w:t>
      </w:r>
      <w:r w:rsidR="00B25545">
        <w:t>, to emphasize the components and services under significant threat</w:t>
      </w:r>
      <w:r w:rsidR="00CF1FB8" w:rsidRPr="00CF1FB8">
        <w:t>.</w:t>
      </w:r>
    </w:p>
    <w:p w14:paraId="065FD6CF" w14:textId="77777777" w:rsidR="00742DB7" w:rsidRPr="00CF1FB8" w:rsidRDefault="00742DB7" w:rsidP="00392508">
      <w:pPr>
        <w:pStyle w:val="AnnexText"/>
        <w:numPr>
          <w:ilvl w:val="0"/>
          <w:numId w:val="0"/>
        </w:numPr>
        <w:spacing w:after="0"/>
        <w:ind w:left="425" w:hanging="425"/>
      </w:pPr>
    </w:p>
    <w:p w14:paraId="2FB850AC" w14:textId="0AE80CA3" w:rsidR="00CF1FB8" w:rsidRDefault="00392508" w:rsidP="00392508">
      <w:pPr>
        <w:pStyle w:val="AnnexText"/>
        <w:numPr>
          <w:ilvl w:val="0"/>
          <w:numId w:val="0"/>
        </w:numPr>
        <w:spacing w:after="0"/>
        <w:ind w:left="425" w:hanging="425"/>
      </w:pPr>
      <w:r>
        <w:rPr>
          <w:bCs/>
        </w:rPr>
        <w:t>23.</w:t>
      </w:r>
      <w:r>
        <w:rPr>
          <w:bCs/>
        </w:rPr>
        <w:tab/>
      </w:r>
      <w:r w:rsidR="00CF1FB8" w:rsidRPr="00CF1FB8">
        <w:t xml:space="preserve">The method is designed so that an assessment can still be </w:t>
      </w:r>
      <w:r w:rsidR="00010DF9">
        <w:t>conducted</w:t>
      </w:r>
      <w:r w:rsidR="00CF1FB8" w:rsidRPr="00CF1FB8">
        <w:t xml:space="preserve"> in situations where data are limited or missing and, in those cases, the finished assessment will highlight missing data. By </w:t>
      </w:r>
      <w:r w:rsidR="00CF1FB8" w:rsidRPr="00CF1FB8">
        <w:lastRenderedPageBreak/>
        <w:t>entering a U (Unknown) next to a value or threat, the spreadsheet looks to see whether there is the potential for a negative impact and, if so, highlights this in the assessment</w:t>
      </w:r>
      <w:r w:rsidR="00010DF9">
        <w:t xml:space="preserve"> in Worksheet 5</w:t>
      </w:r>
      <w:r w:rsidR="00CF1FB8" w:rsidRPr="00CF1FB8">
        <w:t>. Flexibility is incorporated into the method by providing space for “other values/threats”, in which the user can write in their value or threat (or both), and these will appear in the subsequent worksheets. This facilitates input of any unanticipated values or threats present at the site.</w:t>
      </w:r>
    </w:p>
    <w:p w14:paraId="624DEB43" w14:textId="77777777" w:rsidR="00742DB7" w:rsidRDefault="00742DB7" w:rsidP="00392508">
      <w:pPr>
        <w:pStyle w:val="AnnexText"/>
        <w:numPr>
          <w:ilvl w:val="0"/>
          <w:numId w:val="0"/>
        </w:numPr>
        <w:spacing w:after="0"/>
        <w:ind w:left="425" w:hanging="425"/>
      </w:pPr>
    </w:p>
    <w:p w14:paraId="0D3C9697" w14:textId="21EC8CF3" w:rsidR="00010DF9" w:rsidRDefault="00392508" w:rsidP="00392508">
      <w:pPr>
        <w:pStyle w:val="AnnexText"/>
        <w:numPr>
          <w:ilvl w:val="0"/>
          <w:numId w:val="0"/>
        </w:numPr>
        <w:spacing w:after="0"/>
        <w:ind w:left="425" w:hanging="425"/>
      </w:pPr>
      <w:r w:rsidRPr="00CF1FB8">
        <w:rPr>
          <w:bCs/>
        </w:rPr>
        <w:t>24.</w:t>
      </w:r>
      <w:r w:rsidRPr="00CF1FB8">
        <w:rPr>
          <w:bCs/>
        </w:rPr>
        <w:tab/>
      </w:r>
      <w:r w:rsidR="00010DF9" w:rsidRPr="00010DF9">
        <w:rPr>
          <w:i/>
          <w:iCs/>
        </w:rPr>
        <w:t>Worksheet 6: Summary</w:t>
      </w:r>
      <w:r w:rsidR="00010DF9">
        <w:t>. Because Worksheet 5 contains a significant range of information, the main threats and the components and services under threat are summarized in Worksheet 6 to assist wetland managers with prioritizing future management actions.</w:t>
      </w:r>
    </w:p>
    <w:p w14:paraId="6441FDDD" w14:textId="77777777" w:rsidR="00742DB7" w:rsidRPr="00CF1FB8" w:rsidRDefault="00742DB7" w:rsidP="00392508">
      <w:pPr>
        <w:pStyle w:val="AnnexText"/>
        <w:numPr>
          <w:ilvl w:val="0"/>
          <w:numId w:val="0"/>
        </w:numPr>
        <w:spacing w:after="0"/>
        <w:ind w:left="425" w:hanging="425"/>
      </w:pPr>
    </w:p>
    <w:p w14:paraId="268E42FF" w14:textId="309D0CDE" w:rsidR="00682B61" w:rsidRDefault="00682B61" w:rsidP="00392508">
      <w:pPr>
        <w:pStyle w:val="AnnexH1"/>
        <w:spacing w:after="0"/>
      </w:pPr>
      <w:r>
        <w:t>Utilizing the results</w:t>
      </w:r>
    </w:p>
    <w:p w14:paraId="00BD13D6" w14:textId="77777777" w:rsidR="00742DB7" w:rsidRPr="001C3173" w:rsidRDefault="00742DB7" w:rsidP="00392508">
      <w:pPr>
        <w:pStyle w:val="AnnexH1"/>
        <w:spacing w:after="0"/>
      </w:pPr>
    </w:p>
    <w:p w14:paraId="3AAD03E2" w14:textId="2BD166FB" w:rsidR="00682B61" w:rsidRDefault="00392508" w:rsidP="00392508">
      <w:pPr>
        <w:pStyle w:val="AnnexText"/>
        <w:numPr>
          <w:ilvl w:val="0"/>
          <w:numId w:val="0"/>
        </w:numPr>
        <w:spacing w:after="0"/>
        <w:ind w:left="425" w:hanging="425"/>
      </w:pPr>
      <w:r>
        <w:rPr>
          <w:bCs/>
        </w:rPr>
        <w:t>25.</w:t>
      </w:r>
      <w:r>
        <w:rPr>
          <w:bCs/>
        </w:rPr>
        <w:tab/>
      </w:r>
      <w:r w:rsidR="00682B61" w:rsidRPr="009C1989">
        <w:t>WETVA</w:t>
      </w:r>
      <w:r w:rsidR="00682B61">
        <w:t>T</w:t>
      </w:r>
      <w:r w:rsidR="00682B61" w:rsidRPr="009C1989">
        <w:t xml:space="preserve"> </w:t>
      </w:r>
      <w:r w:rsidR="00682B61">
        <w:t xml:space="preserve">has been designed to be used for both Wetlands of International Importance </w:t>
      </w:r>
      <w:r w:rsidR="002E5F52">
        <w:t>and</w:t>
      </w:r>
      <w:r w:rsidR="00682B61">
        <w:t xml:space="preserve"> other wetlands. The results can be utilized for a range of purposes including </w:t>
      </w:r>
      <w:r w:rsidR="00682B61">
        <w:rPr>
          <w:i/>
          <w:iCs/>
        </w:rPr>
        <w:t>inter alia</w:t>
      </w:r>
      <w:r w:rsidR="00682B61">
        <w:t xml:space="preserve"> investigating actual or potential threat scenarios of projects or developments which may impact on a wetland site; for informing </w:t>
      </w:r>
      <w:r w:rsidR="007921A4">
        <w:t xml:space="preserve">the prioritization of </w:t>
      </w:r>
      <w:r w:rsidR="00682B61">
        <w:t xml:space="preserve">resource allocation </w:t>
      </w:r>
      <w:r w:rsidR="007921A4">
        <w:t>for intervention to mitigate threats; to inform management planning activities within site management plans; or to highlight knowledge gaps and to prioritize resourcing towards understanding and addressing the most significant threats.</w:t>
      </w:r>
    </w:p>
    <w:p w14:paraId="51E152CB" w14:textId="77777777" w:rsidR="007D5A04" w:rsidRDefault="007D5A04" w:rsidP="00705183">
      <w:pPr>
        <w:pStyle w:val="AnnexFig"/>
        <w:sectPr w:rsidR="007D5A04" w:rsidSect="007D5A04">
          <w:footerReference w:type="default" r:id="rId11"/>
          <w:pgSz w:w="11901" w:h="16817"/>
          <w:pgMar w:top="1440" w:right="1440" w:bottom="1440" w:left="1440" w:header="1134" w:footer="720" w:gutter="0"/>
          <w:cols w:space="708"/>
          <w:titlePg/>
          <w:docGrid w:linePitch="360"/>
        </w:sectPr>
      </w:pPr>
    </w:p>
    <w:p w14:paraId="36A839D6" w14:textId="34B7AF41" w:rsidR="00705183" w:rsidRDefault="00705183" w:rsidP="00705183">
      <w:pPr>
        <w:pStyle w:val="AnnexFig"/>
      </w:pPr>
      <w:r w:rsidRPr="00686A60">
        <w:t>Figure 1. Worksheet 1: Start page</w:t>
      </w:r>
    </w:p>
    <w:p w14:paraId="6EBF9544" w14:textId="77777777" w:rsidR="00705183" w:rsidRDefault="00705183" w:rsidP="00705183">
      <w:pPr>
        <w:pStyle w:val="AnnexFig"/>
      </w:pPr>
    </w:p>
    <w:p w14:paraId="46CE3954" w14:textId="7D5F7E4E" w:rsidR="00705183" w:rsidRDefault="006F4E2B" w:rsidP="00705183">
      <w:pPr>
        <w:pStyle w:val="DRText"/>
      </w:pPr>
      <w:r>
        <w:rPr>
          <w:noProof/>
        </w:rPr>
        <w:drawing>
          <wp:inline distT="0" distB="0" distL="0" distR="0" wp14:anchorId="537D8214" wp14:editId="56516632">
            <wp:extent cx="5067300" cy="4262655"/>
            <wp:effectExtent l="0" t="0" r="0" b="5080"/>
            <wp:docPr id="1"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screenshot of a computer&#10;&#10;Description automatically generated"/>
                    <pic:cNvPicPr/>
                  </pic:nvPicPr>
                  <pic:blipFill rotWithShape="1">
                    <a:blip r:embed="rId12"/>
                    <a:srcRect l="889" t="33235" r="74405" b="11247"/>
                    <a:stretch/>
                  </pic:blipFill>
                  <pic:spPr bwMode="auto">
                    <a:xfrm>
                      <a:off x="0" y="0"/>
                      <a:ext cx="5094167" cy="4285256"/>
                    </a:xfrm>
                    <a:prstGeom prst="rect">
                      <a:avLst/>
                    </a:prstGeom>
                    <a:ln>
                      <a:noFill/>
                    </a:ln>
                    <a:extLst>
                      <a:ext uri="{53640926-AAD7-44D8-BBD7-CCE9431645EC}">
                        <a14:shadowObscured xmlns:a14="http://schemas.microsoft.com/office/drawing/2010/main"/>
                      </a:ext>
                    </a:extLst>
                  </pic:spPr>
                </pic:pic>
              </a:graphicData>
            </a:graphic>
          </wp:inline>
        </w:drawing>
      </w:r>
    </w:p>
    <w:p w14:paraId="707A2D72" w14:textId="77777777" w:rsidR="00705183" w:rsidRDefault="00705183" w:rsidP="00705183"/>
    <w:p w14:paraId="1A2E57C4" w14:textId="77777777" w:rsidR="00705183" w:rsidRDefault="00705183" w:rsidP="00705183"/>
    <w:p w14:paraId="7EE9BCA9" w14:textId="77777777" w:rsidR="00705183" w:rsidRPr="0094531E" w:rsidRDefault="00705183" w:rsidP="0094531E">
      <w:pPr>
        <w:pStyle w:val="AnnexFig"/>
      </w:pPr>
      <w:r w:rsidRPr="0094531E">
        <w:t>Figure 2. Worksheet 2: Ecosystem components</w:t>
      </w:r>
    </w:p>
    <w:p w14:paraId="2F932DBF" w14:textId="77777777" w:rsidR="006F4E2B" w:rsidRDefault="006F4E2B" w:rsidP="00705183">
      <w:pPr>
        <w:pStyle w:val="AnnexFig"/>
      </w:pPr>
      <w:r>
        <w:rPr>
          <w:noProof/>
        </w:rPr>
        <w:drawing>
          <wp:inline distT="0" distB="0" distL="0" distR="0" wp14:anchorId="7F0718FB" wp14:editId="4215A22A">
            <wp:extent cx="6642735" cy="2868582"/>
            <wp:effectExtent l="0" t="0" r="5715" b="8255"/>
            <wp:docPr id="1612646935" name="그림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6935" name="그림 7" descr="A screenshot of a computer&#10;&#10;Description automatically generated"/>
                    <pic:cNvPicPr/>
                  </pic:nvPicPr>
                  <pic:blipFill rotWithShape="1">
                    <a:blip r:embed="rId13"/>
                    <a:srcRect l="803" t="33174" r="65106" b="27502"/>
                    <a:stretch/>
                  </pic:blipFill>
                  <pic:spPr bwMode="auto">
                    <a:xfrm>
                      <a:off x="0" y="0"/>
                      <a:ext cx="6642735" cy="2868582"/>
                    </a:xfrm>
                    <a:prstGeom prst="rect">
                      <a:avLst/>
                    </a:prstGeom>
                    <a:ln>
                      <a:noFill/>
                    </a:ln>
                    <a:extLst>
                      <a:ext uri="{53640926-AAD7-44D8-BBD7-CCE9431645EC}">
                        <a14:shadowObscured xmlns:a14="http://schemas.microsoft.com/office/drawing/2010/main"/>
                      </a:ext>
                    </a:extLst>
                  </pic:spPr>
                </pic:pic>
              </a:graphicData>
            </a:graphic>
          </wp:inline>
        </w:drawing>
      </w:r>
    </w:p>
    <w:p w14:paraId="225C1AC7" w14:textId="5E7EB1EE" w:rsidR="00705183" w:rsidRDefault="00705183" w:rsidP="00705183">
      <w:pPr>
        <w:pStyle w:val="AnnexFig"/>
      </w:pPr>
    </w:p>
    <w:p w14:paraId="427BF84B" w14:textId="77777777" w:rsidR="00705183" w:rsidRDefault="00705183" w:rsidP="00705183">
      <w:pPr>
        <w:pStyle w:val="AnnexFig"/>
      </w:pPr>
    </w:p>
    <w:p w14:paraId="28F13156" w14:textId="77777777" w:rsidR="00705183" w:rsidRDefault="00705183" w:rsidP="00705183">
      <w:pPr>
        <w:pStyle w:val="AnnexFig"/>
      </w:pPr>
    </w:p>
    <w:p w14:paraId="06A02BDF" w14:textId="77777777" w:rsidR="00705183" w:rsidRPr="00686A60" w:rsidRDefault="00705183" w:rsidP="00705183">
      <w:pPr>
        <w:pStyle w:val="AnnexFig"/>
      </w:pPr>
      <w:r w:rsidRPr="00686A60">
        <w:t xml:space="preserve">Figure </w:t>
      </w:r>
      <w:r>
        <w:t>3</w:t>
      </w:r>
      <w:r w:rsidRPr="00686A60">
        <w:t xml:space="preserve">. Worksheet </w:t>
      </w:r>
      <w:r>
        <w:t>3</w:t>
      </w:r>
      <w:r w:rsidRPr="00686A60">
        <w:t xml:space="preserve">: </w:t>
      </w:r>
      <w:r>
        <w:t>Ecosystem services</w:t>
      </w:r>
    </w:p>
    <w:p w14:paraId="49BFBD1D" w14:textId="5EF61E46" w:rsidR="00705183" w:rsidRDefault="0094531E" w:rsidP="00705183">
      <w:pPr>
        <w:pStyle w:val="DRText"/>
      </w:pPr>
      <w:r>
        <w:rPr>
          <w:noProof/>
        </w:rPr>
        <w:drawing>
          <wp:inline distT="0" distB="0" distL="0" distR="0" wp14:anchorId="22F44357" wp14:editId="4179E7CA">
            <wp:extent cx="6626087" cy="4536374"/>
            <wp:effectExtent l="0" t="0" r="3810" b="0"/>
            <wp:docPr id="9" name="그림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A screenshot of a computer&#10;&#10;Description automatically generated"/>
                    <pic:cNvPicPr/>
                  </pic:nvPicPr>
                  <pic:blipFill rotWithShape="1">
                    <a:blip r:embed="rId14"/>
                    <a:srcRect l="40741" t="18429" r="28484" b="25286"/>
                    <a:stretch/>
                  </pic:blipFill>
                  <pic:spPr bwMode="auto">
                    <a:xfrm>
                      <a:off x="0" y="0"/>
                      <a:ext cx="6666387" cy="4563964"/>
                    </a:xfrm>
                    <a:prstGeom prst="rect">
                      <a:avLst/>
                    </a:prstGeom>
                    <a:ln>
                      <a:noFill/>
                    </a:ln>
                    <a:extLst>
                      <a:ext uri="{53640926-AAD7-44D8-BBD7-CCE9431645EC}">
                        <a14:shadowObscured xmlns:a14="http://schemas.microsoft.com/office/drawing/2010/main"/>
                      </a:ext>
                    </a:extLst>
                  </pic:spPr>
                </pic:pic>
              </a:graphicData>
            </a:graphic>
          </wp:inline>
        </w:drawing>
      </w:r>
    </w:p>
    <w:p w14:paraId="5BC6D6BA" w14:textId="494E07FD" w:rsidR="00705183" w:rsidRDefault="0094531E" w:rsidP="00705183">
      <w:pPr>
        <w:pStyle w:val="DRText"/>
        <w:rPr>
          <w:sz w:val="20"/>
          <w:szCs w:val="20"/>
        </w:rPr>
      </w:pPr>
      <w:r>
        <w:rPr>
          <w:noProof/>
        </w:rPr>
        <w:drawing>
          <wp:inline distT="0" distB="0" distL="0" distR="0" wp14:anchorId="5195447C" wp14:editId="3055FE99">
            <wp:extent cx="6642735" cy="2735654"/>
            <wp:effectExtent l="0" t="0" r="5715" b="7620"/>
            <wp:docPr id="10" name="그림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A screenshot of a computer&#10;&#10;Description automatically generated"/>
                    <pic:cNvPicPr/>
                  </pic:nvPicPr>
                  <pic:blipFill rotWithShape="1">
                    <a:blip r:embed="rId15"/>
                    <a:srcRect l="40767" t="34569" r="28401" b="31512"/>
                    <a:stretch/>
                  </pic:blipFill>
                  <pic:spPr bwMode="auto">
                    <a:xfrm>
                      <a:off x="0" y="0"/>
                      <a:ext cx="6642735" cy="2735654"/>
                    </a:xfrm>
                    <a:prstGeom prst="rect">
                      <a:avLst/>
                    </a:prstGeom>
                    <a:ln>
                      <a:noFill/>
                    </a:ln>
                    <a:extLst>
                      <a:ext uri="{53640926-AAD7-44D8-BBD7-CCE9431645EC}">
                        <a14:shadowObscured xmlns:a14="http://schemas.microsoft.com/office/drawing/2010/main"/>
                      </a:ext>
                    </a:extLst>
                  </pic:spPr>
                </pic:pic>
              </a:graphicData>
            </a:graphic>
          </wp:inline>
        </w:drawing>
      </w:r>
    </w:p>
    <w:p w14:paraId="76288B90" w14:textId="77777777" w:rsidR="00705183" w:rsidRPr="001E6765" w:rsidRDefault="00705183" w:rsidP="00705183">
      <w:pPr>
        <w:pStyle w:val="DRText"/>
        <w:rPr>
          <w:sz w:val="20"/>
          <w:szCs w:val="20"/>
        </w:rPr>
      </w:pPr>
    </w:p>
    <w:p w14:paraId="0C7F0608" w14:textId="721AF5D0" w:rsidR="00705183" w:rsidRDefault="0094531E" w:rsidP="00705183">
      <w:pPr>
        <w:rPr>
          <w:rFonts w:ascii="Calibri" w:hAnsi="Calibri"/>
          <w:sz w:val="22"/>
          <w:szCs w:val="22"/>
          <w:lang w:val="en-US" w:eastAsia="en-US"/>
        </w:rPr>
      </w:pPr>
      <w:r>
        <w:rPr>
          <w:noProof/>
        </w:rPr>
        <w:drawing>
          <wp:inline distT="0" distB="0" distL="0" distR="0" wp14:anchorId="0F551C35" wp14:editId="74C9BC82">
            <wp:extent cx="6504167" cy="1748642"/>
            <wp:effectExtent l="0" t="0" r="0" b="4445"/>
            <wp:docPr id="11" name="그림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A screenshot of a computer&#10;&#10;Description automatically generated"/>
                    <pic:cNvPicPr/>
                  </pic:nvPicPr>
                  <pic:blipFill rotWithShape="1">
                    <a:blip r:embed="rId16"/>
                    <a:srcRect l="42732" t="24142" r="7939" b="40430"/>
                    <a:stretch/>
                  </pic:blipFill>
                  <pic:spPr bwMode="auto">
                    <a:xfrm>
                      <a:off x="0" y="0"/>
                      <a:ext cx="6634983" cy="1783812"/>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001717FC" w14:textId="77777777" w:rsidR="00705183" w:rsidRPr="00686A60" w:rsidRDefault="00705183" w:rsidP="00705183">
      <w:pPr>
        <w:pStyle w:val="AnnexFig"/>
      </w:pPr>
      <w:r w:rsidRPr="00686A60">
        <w:lastRenderedPageBreak/>
        <w:t xml:space="preserve">Figure </w:t>
      </w:r>
      <w:r>
        <w:t>4</w:t>
      </w:r>
      <w:r w:rsidRPr="00686A60">
        <w:t xml:space="preserve">. Worksheet </w:t>
      </w:r>
      <w:r>
        <w:t>4</w:t>
      </w:r>
      <w:r w:rsidRPr="00686A60">
        <w:t xml:space="preserve">: </w:t>
      </w:r>
      <w:r>
        <w:t>Threats</w:t>
      </w:r>
    </w:p>
    <w:p w14:paraId="10FFBF12" w14:textId="242DB8F4" w:rsidR="00705183" w:rsidRDefault="0094531E" w:rsidP="00705183">
      <w:pPr>
        <w:pStyle w:val="DRText"/>
      </w:pPr>
      <w:r>
        <w:rPr>
          <w:noProof/>
        </w:rPr>
        <w:drawing>
          <wp:inline distT="0" distB="0" distL="0" distR="0" wp14:anchorId="091D4122" wp14:editId="34CF9E13">
            <wp:extent cx="6612890" cy="2409190"/>
            <wp:effectExtent l="0" t="0" r="0" b="0"/>
            <wp:docPr id="13" name="그림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descr="A screenshot of a computer&#10;&#10;Description automatically generated"/>
                    <pic:cNvPicPr/>
                  </pic:nvPicPr>
                  <pic:blipFill rotWithShape="1">
                    <a:blip r:embed="rId17"/>
                    <a:srcRect l="41077" t="19056" r="689" b="24271"/>
                    <a:stretch/>
                  </pic:blipFill>
                  <pic:spPr bwMode="auto">
                    <a:xfrm>
                      <a:off x="0" y="0"/>
                      <a:ext cx="6672794" cy="2431014"/>
                    </a:xfrm>
                    <a:prstGeom prst="rect">
                      <a:avLst/>
                    </a:prstGeom>
                    <a:ln>
                      <a:noFill/>
                    </a:ln>
                    <a:extLst>
                      <a:ext uri="{53640926-AAD7-44D8-BBD7-CCE9431645EC}">
                        <a14:shadowObscured xmlns:a14="http://schemas.microsoft.com/office/drawing/2010/main"/>
                      </a:ext>
                    </a:extLst>
                  </pic:spPr>
                </pic:pic>
              </a:graphicData>
            </a:graphic>
          </wp:inline>
        </w:drawing>
      </w:r>
    </w:p>
    <w:p w14:paraId="61A248E7" w14:textId="6AC61ED1" w:rsidR="00705183" w:rsidRDefault="0094531E" w:rsidP="00705183">
      <w:pPr>
        <w:pStyle w:val="DRText"/>
        <w:rPr>
          <w:sz w:val="10"/>
          <w:szCs w:val="10"/>
        </w:rPr>
      </w:pPr>
      <w:r>
        <w:rPr>
          <w:noProof/>
        </w:rPr>
        <w:drawing>
          <wp:inline distT="0" distB="0" distL="0" distR="0" wp14:anchorId="4D992A57" wp14:editId="0D9377D7">
            <wp:extent cx="6612890" cy="244294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rotWithShape="1">
                    <a:blip r:embed="rId18"/>
                    <a:srcRect l="41057" t="23561" r="646" b="18908"/>
                    <a:stretch/>
                  </pic:blipFill>
                  <pic:spPr bwMode="auto">
                    <a:xfrm>
                      <a:off x="0" y="0"/>
                      <a:ext cx="6699846" cy="2475072"/>
                    </a:xfrm>
                    <a:prstGeom prst="rect">
                      <a:avLst/>
                    </a:prstGeom>
                    <a:ln>
                      <a:noFill/>
                    </a:ln>
                    <a:extLst>
                      <a:ext uri="{53640926-AAD7-44D8-BBD7-CCE9431645EC}">
                        <a14:shadowObscured xmlns:a14="http://schemas.microsoft.com/office/drawing/2010/main"/>
                      </a:ext>
                    </a:extLst>
                  </pic:spPr>
                </pic:pic>
              </a:graphicData>
            </a:graphic>
          </wp:inline>
        </w:drawing>
      </w:r>
    </w:p>
    <w:p w14:paraId="3B3D1347" w14:textId="451E0D3C" w:rsidR="0094531E" w:rsidRDefault="0094531E" w:rsidP="00705183">
      <w:pPr>
        <w:pStyle w:val="DRText"/>
        <w:rPr>
          <w:sz w:val="10"/>
          <w:szCs w:val="10"/>
        </w:rPr>
      </w:pPr>
      <w:r>
        <w:rPr>
          <w:noProof/>
        </w:rPr>
        <w:drawing>
          <wp:inline distT="0" distB="0" distL="0" distR="0" wp14:anchorId="2CEE8B8B" wp14:editId="64A7C3B1">
            <wp:extent cx="6612890" cy="2508508"/>
            <wp:effectExtent l="0" t="0" r="0" b="6350"/>
            <wp:docPr id="15" name="그림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A screenshot of a computer&#10;&#10;Description automatically generated"/>
                    <pic:cNvPicPr/>
                  </pic:nvPicPr>
                  <pic:blipFill rotWithShape="1">
                    <a:blip r:embed="rId19"/>
                    <a:srcRect l="41038" t="23313" r="603" b="17549"/>
                    <a:stretch/>
                  </pic:blipFill>
                  <pic:spPr bwMode="auto">
                    <a:xfrm>
                      <a:off x="0" y="0"/>
                      <a:ext cx="6649858" cy="2522531"/>
                    </a:xfrm>
                    <a:prstGeom prst="rect">
                      <a:avLst/>
                    </a:prstGeom>
                    <a:ln>
                      <a:noFill/>
                    </a:ln>
                    <a:extLst>
                      <a:ext uri="{53640926-AAD7-44D8-BBD7-CCE9431645EC}">
                        <a14:shadowObscured xmlns:a14="http://schemas.microsoft.com/office/drawing/2010/main"/>
                      </a:ext>
                    </a:extLst>
                  </pic:spPr>
                </pic:pic>
              </a:graphicData>
            </a:graphic>
          </wp:inline>
        </w:drawing>
      </w:r>
    </w:p>
    <w:p w14:paraId="3462A2CE" w14:textId="77777777" w:rsidR="0094531E" w:rsidRPr="00E04990" w:rsidRDefault="0094531E" w:rsidP="00705183">
      <w:pPr>
        <w:pStyle w:val="DRText"/>
        <w:rPr>
          <w:sz w:val="10"/>
          <w:szCs w:val="10"/>
        </w:rPr>
      </w:pPr>
    </w:p>
    <w:p w14:paraId="0EF42BB7" w14:textId="0C123D3C" w:rsidR="00705183" w:rsidRDefault="0094531E" w:rsidP="0094531E">
      <w:pPr>
        <w:pStyle w:val="DRText"/>
        <w:sectPr w:rsidR="00705183" w:rsidSect="00840C85">
          <w:pgSz w:w="11901" w:h="16817"/>
          <w:pgMar w:top="720" w:right="720" w:bottom="720" w:left="720" w:header="1134" w:footer="720" w:gutter="0"/>
          <w:cols w:space="708"/>
          <w:docGrid w:linePitch="360"/>
        </w:sectPr>
      </w:pPr>
      <w:r>
        <w:rPr>
          <w:noProof/>
        </w:rPr>
        <w:drawing>
          <wp:inline distT="0" distB="0" distL="0" distR="0" wp14:anchorId="094892B6" wp14:editId="2FB69F83">
            <wp:extent cx="3441032" cy="1815399"/>
            <wp:effectExtent l="0" t="0" r="7620" b="0"/>
            <wp:docPr id="16" name="그림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descr="A screenshot of a computer&#10;&#10;Description automatically generated"/>
                    <pic:cNvPicPr/>
                  </pic:nvPicPr>
                  <pic:blipFill rotWithShape="1">
                    <a:blip r:embed="rId20"/>
                    <a:srcRect l="42249" t="23747" r="24858" b="29895"/>
                    <a:stretch/>
                  </pic:blipFill>
                  <pic:spPr bwMode="auto">
                    <a:xfrm>
                      <a:off x="0" y="0"/>
                      <a:ext cx="3492336" cy="1842465"/>
                    </a:xfrm>
                    <a:prstGeom prst="rect">
                      <a:avLst/>
                    </a:prstGeom>
                    <a:ln>
                      <a:noFill/>
                    </a:ln>
                    <a:extLst>
                      <a:ext uri="{53640926-AAD7-44D8-BBD7-CCE9431645EC}">
                        <a14:shadowObscured xmlns:a14="http://schemas.microsoft.com/office/drawing/2010/main"/>
                      </a:ext>
                    </a:extLst>
                  </pic:spPr>
                </pic:pic>
              </a:graphicData>
            </a:graphic>
          </wp:inline>
        </w:drawing>
      </w:r>
      <w:r w:rsidR="00705183">
        <w:br w:type="page"/>
      </w:r>
    </w:p>
    <w:p w14:paraId="483DC2B4" w14:textId="77777777" w:rsidR="00705183" w:rsidRDefault="00705183" w:rsidP="00705183">
      <w:pPr>
        <w:pStyle w:val="AnnexFig"/>
        <w:rPr>
          <w:lang w:eastAsia="ko-KR"/>
        </w:rPr>
      </w:pPr>
      <w:r w:rsidRPr="00686A60">
        <w:t xml:space="preserve">Figure </w:t>
      </w:r>
      <w:r>
        <w:t>5</w:t>
      </w:r>
      <w:r w:rsidRPr="00686A60">
        <w:t xml:space="preserve">. </w:t>
      </w:r>
      <w:r>
        <w:t>W</w:t>
      </w:r>
      <w:r w:rsidRPr="00686A60">
        <w:t xml:space="preserve">orksheet </w:t>
      </w:r>
      <w:r>
        <w:t>5</w:t>
      </w:r>
      <w:r w:rsidRPr="00686A60">
        <w:t xml:space="preserve">: </w:t>
      </w:r>
      <w:r>
        <w:t>Assessment</w:t>
      </w:r>
    </w:p>
    <w:p w14:paraId="04634837" w14:textId="2C309E26" w:rsidR="00705183" w:rsidRDefault="008D6A8D" w:rsidP="00705183">
      <w:pPr>
        <w:pStyle w:val="AnnexFig"/>
      </w:pPr>
      <w:r>
        <w:rPr>
          <w:noProof/>
        </w:rPr>
        <w:drawing>
          <wp:inline distT="0" distB="0" distL="0" distR="0" wp14:anchorId="602FD120" wp14:editId="020B0889">
            <wp:extent cx="6642735" cy="5923728"/>
            <wp:effectExtent l="0" t="0" r="5715" b="1270"/>
            <wp:docPr id="17" name="그림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descr="A screenshot of a computer&#10;&#10;Description automatically generated"/>
                    <pic:cNvPicPr/>
                  </pic:nvPicPr>
                  <pic:blipFill rotWithShape="1">
                    <a:blip r:embed="rId21"/>
                    <a:srcRect l="40592" t="10438" r="29740" b="18887"/>
                    <a:stretch/>
                  </pic:blipFill>
                  <pic:spPr bwMode="auto">
                    <a:xfrm>
                      <a:off x="0" y="0"/>
                      <a:ext cx="6642735" cy="5923728"/>
                    </a:xfrm>
                    <a:prstGeom prst="rect">
                      <a:avLst/>
                    </a:prstGeom>
                    <a:ln>
                      <a:noFill/>
                    </a:ln>
                    <a:extLst>
                      <a:ext uri="{53640926-AAD7-44D8-BBD7-CCE9431645EC}">
                        <a14:shadowObscured xmlns:a14="http://schemas.microsoft.com/office/drawing/2010/main"/>
                      </a:ext>
                    </a:extLst>
                  </pic:spPr>
                </pic:pic>
              </a:graphicData>
            </a:graphic>
          </wp:inline>
        </w:drawing>
      </w:r>
    </w:p>
    <w:p w14:paraId="6FD60AC5" w14:textId="77777777" w:rsidR="00705183" w:rsidRDefault="00705183" w:rsidP="00705183">
      <w:pPr>
        <w:pStyle w:val="AnnexFig"/>
      </w:pPr>
      <w:r>
        <w:br w:type="page"/>
      </w:r>
    </w:p>
    <w:p w14:paraId="01680887" w14:textId="77777777" w:rsidR="00705183" w:rsidRDefault="00705183" w:rsidP="00705183">
      <w:pPr>
        <w:pStyle w:val="AnnexFig"/>
        <w:rPr>
          <w:lang w:eastAsia="ko-KR"/>
        </w:rPr>
      </w:pPr>
      <w:r w:rsidRPr="00686A60">
        <w:t xml:space="preserve">Figure </w:t>
      </w:r>
      <w:r>
        <w:t>5</w:t>
      </w:r>
      <w:r w:rsidRPr="00686A60">
        <w:t xml:space="preserve">. </w:t>
      </w:r>
      <w:r>
        <w:t>W</w:t>
      </w:r>
      <w:r w:rsidRPr="00686A60">
        <w:t xml:space="preserve">orksheet </w:t>
      </w:r>
      <w:r>
        <w:t>5</w:t>
      </w:r>
      <w:r w:rsidRPr="00686A60">
        <w:t xml:space="preserve">: </w:t>
      </w:r>
      <w:r>
        <w:t>Assessment (continued)</w:t>
      </w:r>
    </w:p>
    <w:p w14:paraId="0F1BD852" w14:textId="2FB95959" w:rsidR="00705183" w:rsidRDefault="008D6A8D" w:rsidP="00705183">
      <w:pPr>
        <w:pStyle w:val="DRText"/>
      </w:pPr>
      <w:r>
        <w:rPr>
          <w:noProof/>
        </w:rPr>
        <w:drawing>
          <wp:inline distT="0" distB="0" distL="0" distR="0" wp14:anchorId="74A58731" wp14:editId="369039FE">
            <wp:extent cx="6210300" cy="5294860"/>
            <wp:effectExtent l="0" t="0" r="0" b="1270"/>
            <wp:docPr id="18" name="그림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descr="A screenshot of a computer&#10;&#10;Description automatically generated"/>
                    <pic:cNvPicPr/>
                  </pic:nvPicPr>
                  <pic:blipFill rotWithShape="1">
                    <a:blip r:embed="rId22"/>
                    <a:srcRect l="63663" t="10429" r="5288" b="18857"/>
                    <a:stretch/>
                  </pic:blipFill>
                  <pic:spPr bwMode="auto">
                    <a:xfrm>
                      <a:off x="0" y="0"/>
                      <a:ext cx="6255335" cy="5333257"/>
                    </a:xfrm>
                    <a:prstGeom prst="rect">
                      <a:avLst/>
                    </a:prstGeom>
                    <a:ln>
                      <a:noFill/>
                    </a:ln>
                    <a:extLst>
                      <a:ext uri="{53640926-AAD7-44D8-BBD7-CCE9431645EC}">
                        <a14:shadowObscured xmlns:a14="http://schemas.microsoft.com/office/drawing/2010/main"/>
                      </a:ext>
                    </a:extLst>
                  </pic:spPr>
                </pic:pic>
              </a:graphicData>
            </a:graphic>
          </wp:inline>
        </w:drawing>
      </w:r>
    </w:p>
    <w:p w14:paraId="3A467AE3" w14:textId="77777777" w:rsidR="00705183" w:rsidRDefault="00705183" w:rsidP="00705183">
      <w:pPr>
        <w:rPr>
          <w:rFonts w:ascii="Calibri" w:hAnsi="Calibri"/>
          <w:sz w:val="22"/>
          <w:szCs w:val="22"/>
          <w:lang w:val="en-US" w:eastAsia="en-US"/>
        </w:rPr>
      </w:pPr>
      <w:r>
        <w:br w:type="page"/>
      </w:r>
    </w:p>
    <w:p w14:paraId="3CE5252D" w14:textId="77777777" w:rsidR="00705183" w:rsidRPr="00686A60" w:rsidRDefault="00705183" w:rsidP="00705183">
      <w:pPr>
        <w:pStyle w:val="AnnexFig"/>
      </w:pPr>
      <w:r w:rsidRPr="00686A60">
        <w:t xml:space="preserve">Figure </w:t>
      </w:r>
      <w:r>
        <w:t>6</w:t>
      </w:r>
      <w:r w:rsidRPr="00686A60">
        <w:t xml:space="preserve">. </w:t>
      </w:r>
      <w:r>
        <w:t>W</w:t>
      </w:r>
      <w:r w:rsidRPr="00686A60">
        <w:t xml:space="preserve">orksheet </w:t>
      </w:r>
      <w:r>
        <w:t>6</w:t>
      </w:r>
      <w:r w:rsidRPr="00686A60">
        <w:t xml:space="preserve">: </w:t>
      </w:r>
      <w:r>
        <w:t>Summary</w:t>
      </w:r>
    </w:p>
    <w:p w14:paraId="3DD01540" w14:textId="345A9CF7" w:rsidR="00705183" w:rsidRDefault="008D6A8D" w:rsidP="00705183">
      <w:pPr>
        <w:pStyle w:val="DRText"/>
      </w:pPr>
      <w:r>
        <w:rPr>
          <w:noProof/>
        </w:rPr>
        <w:drawing>
          <wp:inline distT="0" distB="0" distL="0" distR="0" wp14:anchorId="1344792A" wp14:editId="6A9BAD54">
            <wp:extent cx="6642735" cy="6969147"/>
            <wp:effectExtent l="0" t="0" r="5715" b="3175"/>
            <wp:docPr id="19" name="그림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A screenshot of a computer&#10;&#10;Description automatically generated"/>
                    <pic:cNvPicPr/>
                  </pic:nvPicPr>
                  <pic:blipFill rotWithShape="1">
                    <a:blip r:embed="rId23"/>
                    <a:srcRect l="40816" t="10685" r="33570" b="17526"/>
                    <a:stretch/>
                  </pic:blipFill>
                  <pic:spPr bwMode="auto">
                    <a:xfrm>
                      <a:off x="0" y="0"/>
                      <a:ext cx="6642735" cy="6969147"/>
                    </a:xfrm>
                    <a:prstGeom prst="rect">
                      <a:avLst/>
                    </a:prstGeom>
                    <a:ln>
                      <a:noFill/>
                    </a:ln>
                    <a:extLst>
                      <a:ext uri="{53640926-AAD7-44D8-BBD7-CCE9431645EC}">
                        <a14:shadowObscured xmlns:a14="http://schemas.microsoft.com/office/drawing/2010/main"/>
                      </a:ext>
                    </a:extLst>
                  </pic:spPr>
                </pic:pic>
              </a:graphicData>
            </a:graphic>
          </wp:inline>
        </w:drawing>
      </w:r>
    </w:p>
    <w:p w14:paraId="1A0CCBF6" w14:textId="48571D7A" w:rsidR="00705183" w:rsidRDefault="008D6A8D" w:rsidP="00705183">
      <w:pPr>
        <w:pStyle w:val="DRText"/>
      </w:pPr>
      <w:r>
        <w:rPr>
          <w:noProof/>
        </w:rPr>
        <w:drawing>
          <wp:inline distT="0" distB="0" distL="0" distR="0" wp14:anchorId="3A027B5C" wp14:editId="26528F7B">
            <wp:extent cx="6235700" cy="1938710"/>
            <wp:effectExtent l="0" t="0" r="0" b="4445"/>
            <wp:docPr id="20" name="그림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descr="A screenshot of a computer&#10;&#10;Description automatically generated"/>
                    <pic:cNvPicPr/>
                  </pic:nvPicPr>
                  <pic:blipFill rotWithShape="1">
                    <a:blip r:embed="rId24"/>
                    <a:srcRect l="40828" t="19548" r="35093" b="60454"/>
                    <a:stretch/>
                  </pic:blipFill>
                  <pic:spPr bwMode="auto">
                    <a:xfrm>
                      <a:off x="0" y="0"/>
                      <a:ext cx="6292452" cy="1956355"/>
                    </a:xfrm>
                    <a:prstGeom prst="rect">
                      <a:avLst/>
                    </a:prstGeom>
                    <a:ln>
                      <a:noFill/>
                    </a:ln>
                    <a:extLst>
                      <a:ext uri="{53640926-AAD7-44D8-BBD7-CCE9431645EC}">
                        <a14:shadowObscured xmlns:a14="http://schemas.microsoft.com/office/drawing/2010/main"/>
                      </a:ext>
                    </a:extLst>
                  </pic:spPr>
                </pic:pic>
              </a:graphicData>
            </a:graphic>
          </wp:inline>
        </w:drawing>
      </w:r>
    </w:p>
    <w:p w14:paraId="53F258EE" w14:textId="77777777" w:rsidR="008D6A8D" w:rsidRDefault="008D6A8D">
      <w:pPr>
        <w:rPr>
          <w:rFonts w:ascii="Calibri" w:hAnsi="Calibri"/>
          <w:b/>
          <w:bCs/>
          <w:sz w:val="22"/>
          <w:szCs w:val="22"/>
          <w:lang w:val="en-US" w:eastAsia="en-US"/>
        </w:rPr>
      </w:pPr>
      <w:r>
        <w:br w:type="page"/>
      </w:r>
    </w:p>
    <w:p w14:paraId="340B5109" w14:textId="5112A936" w:rsidR="00705183" w:rsidRPr="00686A60" w:rsidRDefault="00705183" w:rsidP="00705183">
      <w:pPr>
        <w:pStyle w:val="AnnexFig"/>
        <w:rPr>
          <w:lang w:eastAsia="ko-KR"/>
        </w:rPr>
      </w:pPr>
      <w:r w:rsidRPr="00686A60">
        <w:t xml:space="preserve">Figure </w:t>
      </w:r>
      <w:r>
        <w:t>6</w:t>
      </w:r>
      <w:r w:rsidRPr="00686A60">
        <w:t xml:space="preserve">. </w:t>
      </w:r>
      <w:r>
        <w:t>W</w:t>
      </w:r>
      <w:r w:rsidRPr="00686A60">
        <w:t xml:space="preserve">orksheet </w:t>
      </w:r>
      <w:r>
        <w:t>6</w:t>
      </w:r>
      <w:r w:rsidRPr="00686A60">
        <w:t xml:space="preserve">: </w:t>
      </w:r>
      <w:r>
        <w:t>Summary (</w:t>
      </w:r>
      <w:r>
        <w:rPr>
          <w:rFonts w:hint="eastAsia"/>
          <w:lang w:eastAsia="ko-KR"/>
        </w:rPr>
        <w:t>c</w:t>
      </w:r>
      <w:r>
        <w:rPr>
          <w:lang w:eastAsia="ko-KR"/>
        </w:rPr>
        <w:t>ontinued)</w:t>
      </w:r>
    </w:p>
    <w:p w14:paraId="31309E50" w14:textId="73334908" w:rsidR="00705183" w:rsidRDefault="008D6A8D" w:rsidP="00705183">
      <w:pPr>
        <w:pStyle w:val="DRText"/>
      </w:pPr>
      <w:r>
        <w:rPr>
          <w:noProof/>
        </w:rPr>
        <w:drawing>
          <wp:inline distT="0" distB="0" distL="0" distR="0" wp14:anchorId="1185A23C" wp14:editId="50BAAED8">
            <wp:extent cx="6170212" cy="3500271"/>
            <wp:effectExtent l="0" t="0" r="2540" b="5080"/>
            <wp:docPr id="21" name="그림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A screenshot of a computer&#10;&#10;Description automatically generated"/>
                    <pic:cNvPicPr/>
                  </pic:nvPicPr>
                  <pic:blipFill rotWithShape="1">
                    <a:blip r:embed="rId24"/>
                    <a:srcRect l="40828" t="39993" r="35093" b="23517"/>
                    <a:stretch/>
                  </pic:blipFill>
                  <pic:spPr bwMode="auto">
                    <a:xfrm>
                      <a:off x="0" y="0"/>
                      <a:ext cx="6216663" cy="3526622"/>
                    </a:xfrm>
                    <a:prstGeom prst="rect">
                      <a:avLst/>
                    </a:prstGeom>
                    <a:ln>
                      <a:noFill/>
                    </a:ln>
                    <a:extLst>
                      <a:ext uri="{53640926-AAD7-44D8-BBD7-CCE9431645EC}">
                        <a14:shadowObscured xmlns:a14="http://schemas.microsoft.com/office/drawing/2010/main"/>
                      </a:ext>
                    </a:extLst>
                  </pic:spPr>
                </pic:pic>
              </a:graphicData>
            </a:graphic>
          </wp:inline>
        </w:drawing>
      </w:r>
    </w:p>
    <w:p w14:paraId="313626F3" w14:textId="77777777" w:rsidR="00705183" w:rsidRDefault="00705183" w:rsidP="00705183">
      <w:pPr>
        <w:pStyle w:val="DRText"/>
      </w:pPr>
    </w:p>
    <w:p w14:paraId="0581017C" w14:textId="5FFAE6DB" w:rsidR="00705183" w:rsidRPr="00CF1FB8" w:rsidRDefault="008D6A8D" w:rsidP="00705183">
      <w:pPr>
        <w:pStyle w:val="DRText"/>
      </w:pPr>
      <w:r>
        <w:rPr>
          <w:noProof/>
        </w:rPr>
        <w:drawing>
          <wp:inline distT="0" distB="0" distL="0" distR="0" wp14:anchorId="37774C6E" wp14:editId="06B38D2D">
            <wp:extent cx="4610100" cy="1954916"/>
            <wp:effectExtent l="0" t="0" r="0" b="7620"/>
            <wp:docPr id="22" name="그림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descr="A screenshot of a computer&#10;&#10;Description automatically generated"/>
                    <pic:cNvPicPr/>
                  </pic:nvPicPr>
                  <pic:blipFill rotWithShape="1">
                    <a:blip r:embed="rId25"/>
                    <a:srcRect l="58599" t="17365" r="11194" b="48417"/>
                    <a:stretch/>
                  </pic:blipFill>
                  <pic:spPr bwMode="auto">
                    <a:xfrm>
                      <a:off x="0" y="0"/>
                      <a:ext cx="4623599" cy="1960640"/>
                    </a:xfrm>
                    <a:prstGeom prst="rect">
                      <a:avLst/>
                    </a:prstGeom>
                    <a:ln>
                      <a:noFill/>
                    </a:ln>
                    <a:extLst>
                      <a:ext uri="{53640926-AAD7-44D8-BBD7-CCE9431645EC}">
                        <a14:shadowObscured xmlns:a14="http://schemas.microsoft.com/office/drawing/2010/main"/>
                      </a:ext>
                    </a:extLst>
                  </pic:spPr>
                </pic:pic>
              </a:graphicData>
            </a:graphic>
          </wp:inline>
        </w:drawing>
      </w:r>
    </w:p>
    <w:p w14:paraId="4DE128D9" w14:textId="773763F2" w:rsidR="001F59E8" w:rsidRPr="00CF1FB8" w:rsidRDefault="001F59E8" w:rsidP="00705183">
      <w:pPr>
        <w:pStyle w:val="AnnexFig"/>
      </w:pPr>
    </w:p>
    <w:sectPr w:rsidR="001F59E8" w:rsidRPr="00CF1FB8" w:rsidSect="00840C85">
      <w:pgSz w:w="11901" w:h="16817"/>
      <w:pgMar w:top="720" w:right="720" w:bottom="720" w:left="720" w:header="113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F29CB" w14:textId="77777777" w:rsidR="00A54532" w:rsidRDefault="00A54532" w:rsidP="0062242F">
      <w:r>
        <w:separator/>
      </w:r>
    </w:p>
  </w:endnote>
  <w:endnote w:type="continuationSeparator" w:id="0">
    <w:p w14:paraId="40FD1A10" w14:textId="77777777" w:rsidR="00A54532" w:rsidRDefault="00A54532" w:rsidP="00622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w:altName w:val="Times New Roman"/>
    <w:panose1 w:val="00000000000000000000"/>
    <w:charset w:val="00"/>
    <w:family w:val="roman"/>
    <w:notTrueType/>
    <w:pitch w:val="default"/>
    <w:sig w:usb0="00000003" w:usb1="00000000" w:usb2="0000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F380" w14:textId="643755DF" w:rsidR="0027129D" w:rsidRPr="00B115B7" w:rsidRDefault="00B115B7" w:rsidP="00B115B7">
    <w:pPr>
      <w:tabs>
        <w:tab w:val="center" w:pos="4513"/>
        <w:tab w:val="right" w:pos="9026"/>
      </w:tabs>
      <w:ind w:left="432" w:hanging="432"/>
      <w:rPr>
        <w:rFonts w:ascii="Calibri" w:eastAsia="Calibri" w:hAnsi="Calibri"/>
        <w:noProof/>
      </w:rPr>
    </w:pPr>
    <w:r w:rsidRPr="001666E3">
      <w:rPr>
        <w:rFonts w:ascii="Calibri" w:eastAsia="Calibri" w:hAnsi="Calibri"/>
        <w:sz w:val="20"/>
        <w:szCs w:val="20"/>
      </w:rPr>
      <w:t>SC6</w:t>
    </w:r>
    <w:r>
      <w:rPr>
        <w:rFonts w:ascii="Calibri" w:eastAsia="Calibri" w:hAnsi="Calibri"/>
        <w:sz w:val="20"/>
        <w:szCs w:val="20"/>
      </w:rPr>
      <w:t>4</w:t>
    </w:r>
    <w:r w:rsidRPr="001666E3">
      <w:rPr>
        <w:rFonts w:ascii="Calibri" w:eastAsia="Calibri" w:hAnsi="Calibri"/>
        <w:sz w:val="20"/>
        <w:szCs w:val="20"/>
      </w:rPr>
      <w:t xml:space="preserve"> Doc</w:t>
    </w:r>
    <w:r>
      <w:rPr>
        <w:rFonts w:ascii="Calibri" w:eastAsia="Calibri" w:hAnsi="Calibri"/>
        <w:sz w:val="20"/>
        <w:szCs w:val="20"/>
      </w:rPr>
      <w:t>.29.1</w:t>
    </w:r>
    <w:r w:rsidR="00034B1A">
      <w:rPr>
        <w:rFonts w:ascii="Calibri" w:eastAsia="Calibri" w:hAnsi="Calibri"/>
        <w:sz w:val="20"/>
        <w:szCs w:val="20"/>
      </w:rPr>
      <w:t>2</w:t>
    </w:r>
    <w:r w:rsidRPr="001666E3">
      <w:rPr>
        <w:rFonts w:ascii="Calibri" w:eastAsia="Calibri" w:hAnsi="Calibri"/>
      </w:rPr>
      <w:tab/>
    </w:r>
    <w:r w:rsidRPr="001666E3">
      <w:rPr>
        <w:rFonts w:ascii="Calibri" w:eastAsia="Calibri" w:hAnsi="Calibri"/>
      </w:rPr>
      <w:tab/>
    </w:r>
    <w:sdt>
      <w:sdtPr>
        <w:rPr>
          <w:rFonts w:ascii="Calibri" w:eastAsia="Calibri" w:hAnsi="Calibri"/>
        </w:rPr>
        <w:id w:val="-637723370"/>
        <w:docPartObj>
          <w:docPartGallery w:val="Page Numbers (Top of Page)"/>
          <w:docPartUnique/>
        </w:docPartObj>
      </w:sdtPr>
      <w:sdtEndPr>
        <w:rPr>
          <w:noProof/>
        </w:rPr>
      </w:sdtEndPr>
      <w:sdtContent>
        <w:r w:rsidRPr="001666E3">
          <w:rPr>
            <w:rFonts w:ascii="Calibri" w:eastAsia="Calibri" w:hAnsi="Calibri"/>
            <w:sz w:val="20"/>
            <w:szCs w:val="20"/>
          </w:rPr>
          <w:fldChar w:fldCharType="begin"/>
        </w:r>
        <w:r w:rsidRPr="001666E3">
          <w:rPr>
            <w:rFonts w:ascii="Calibri" w:eastAsia="Calibri" w:hAnsi="Calibri"/>
            <w:sz w:val="20"/>
            <w:szCs w:val="20"/>
          </w:rPr>
          <w:instrText xml:space="preserve"> PAGE   \* MERGEFORMAT </w:instrText>
        </w:r>
        <w:r w:rsidRPr="001666E3">
          <w:rPr>
            <w:rFonts w:ascii="Calibri" w:eastAsia="Calibri" w:hAnsi="Calibri"/>
            <w:sz w:val="20"/>
            <w:szCs w:val="20"/>
          </w:rPr>
          <w:fldChar w:fldCharType="separate"/>
        </w:r>
        <w:r>
          <w:rPr>
            <w:rFonts w:ascii="Calibri" w:eastAsia="Calibri" w:hAnsi="Calibri"/>
            <w:sz w:val="20"/>
            <w:szCs w:val="20"/>
          </w:rPr>
          <w:t>2</w:t>
        </w:r>
        <w:r w:rsidRPr="001666E3">
          <w:rPr>
            <w:rFonts w:ascii="Calibri" w:eastAsia="Calibri" w:hAnsi="Calibr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D202E" w14:textId="77777777" w:rsidR="00A54532" w:rsidRDefault="00A54532" w:rsidP="0062242F">
      <w:r>
        <w:separator/>
      </w:r>
    </w:p>
  </w:footnote>
  <w:footnote w:type="continuationSeparator" w:id="0">
    <w:p w14:paraId="3F1711B6" w14:textId="77777777" w:rsidR="00A54532" w:rsidRDefault="00A54532" w:rsidP="0062242F">
      <w:r>
        <w:continuationSeparator/>
      </w:r>
    </w:p>
  </w:footnote>
  <w:footnote w:id="1">
    <w:p w14:paraId="4B344289" w14:textId="59AC12E3" w:rsidR="00FD573F" w:rsidRDefault="00FD573F" w:rsidP="00FD573F">
      <w:pPr>
        <w:autoSpaceDE w:val="0"/>
        <w:autoSpaceDN w:val="0"/>
        <w:adjustRightInd w:val="0"/>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WWF, 2006. Conservation of high-altitude wetlands in the Himalayas. Report of the Fourth Regional Workshop. Capacity building</w:t>
      </w:r>
      <w:r>
        <w:rPr>
          <w:rFonts w:ascii="Calibri" w:hAnsi="Calibri" w:cs="Calibri"/>
          <w:color w:val="231F20"/>
          <w:sz w:val="18"/>
          <w:szCs w:val="18"/>
          <w:lang w:eastAsia="en-US"/>
        </w:rPr>
        <w:t xml:space="preserve"> </w:t>
      </w:r>
      <w:r w:rsidRPr="00FD573F">
        <w:rPr>
          <w:rFonts w:ascii="Calibri" w:hAnsi="Calibri" w:cs="Calibri"/>
          <w:color w:val="231F20"/>
          <w:sz w:val="18"/>
          <w:szCs w:val="18"/>
          <w:lang w:eastAsia="en-US"/>
        </w:rPr>
        <w:t xml:space="preserve">for high altitude wetlands conservation and management. New Delhi, India, 27–29 June 2006. </w:t>
      </w:r>
    </w:p>
  </w:footnote>
  <w:footnote w:id="2">
    <w:p w14:paraId="687BFF7E" w14:textId="3D04E7C1" w:rsidR="00FD573F" w:rsidRPr="00FD573F" w:rsidRDefault="00FD573F" w:rsidP="00FD573F">
      <w:pPr>
        <w:autoSpaceDE w:val="0"/>
        <w:autoSpaceDN w:val="0"/>
        <w:adjustRightInd w:val="0"/>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w:t>
      </w:r>
      <w:r w:rsidRPr="00FD573F">
        <w:rPr>
          <w:rFonts w:ascii="Calibri" w:hAnsi="Calibri" w:cs="Calibri"/>
          <w:color w:val="231F20"/>
          <w:sz w:val="18"/>
          <w:szCs w:val="18"/>
          <w:lang w:eastAsia="en-US"/>
        </w:rPr>
        <w:t xml:space="preserve">ICIMOD, 2009. </w:t>
      </w:r>
      <w:r w:rsidRPr="00FD573F">
        <w:rPr>
          <w:rFonts w:ascii="Calibri" w:hAnsi="Calibri" w:cs="Calibri"/>
          <w:i/>
          <w:iCs/>
          <w:color w:val="231F20"/>
          <w:sz w:val="18"/>
          <w:szCs w:val="18"/>
          <w:lang w:eastAsia="en-US"/>
        </w:rPr>
        <w:t>A manual for an inventory of Greater Himalayan wetlands</w:t>
      </w:r>
      <w:r w:rsidRPr="00FD573F">
        <w:rPr>
          <w:rFonts w:ascii="Calibri" w:hAnsi="Calibri" w:cs="Calibri"/>
          <w:color w:val="231F20"/>
          <w:sz w:val="18"/>
          <w:szCs w:val="18"/>
          <w:lang w:eastAsia="en-US"/>
        </w:rPr>
        <w:t>. Kathmandu, Nepal: International Centre for Integrated Mountain Development (ICIMOD).</w:t>
      </w:r>
    </w:p>
  </w:footnote>
  <w:footnote w:id="3">
    <w:p w14:paraId="14299C24" w14:textId="0E8360E5" w:rsidR="00FD573F" w:rsidRPr="00FD573F" w:rsidRDefault="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 J., Acreman, M. C., &amp; Rees, H. G. 2011. A simple method for assessing the vulnerability of wetland ecosystem services. </w:t>
      </w:r>
      <w:r w:rsidRPr="00FD573F">
        <w:rPr>
          <w:rFonts w:ascii="Calibri" w:hAnsi="Calibri" w:cs="Calibri"/>
          <w:i/>
          <w:iCs/>
          <w:sz w:val="18"/>
          <w:szCs w:val="18"/>
        </w:rPr>
        <w:t>Hydrological Sciences Journal</w:t>
      </w:r>
      <w:r w:rsidRPr="00FD573F">
        <w:rPr>
          <w:rFonts w:ascii="Calibri" w:hAnsi="Calibri" w:cs="Calibri"/>
          <w:sz w:val="18"/>
          <w:szCs w:val="18"/>
        </w:rPr>
        <w:t xml:space="preserve">, </w:t>
      </w:r>
      <w:r w:rsidRPr="00FD573F">
        <w:rPr>
          <w:rFonts w:ascii="Calibri" w:hAnsi="Calibri" w:cs="Calibri"/>
          <w:i/>
          <w:iCs/>
          <w:sz w:val="18"/>
          <w:szCs w:val="18"/>
        </w:rPr>
        <w:t>56</w:t>
      </w:r>
      <w:r w:rsidRPr="00FD573F">
        <w:rPr>
          <w:rFonts w:ascii="Calibri" w:hAnsi="Calibri" w:cs="Calibri"/>
          <w:sz w:val="18"/>
          <w:szCs w:val="18"/>
        </w:rPr>
        <w:t>(8), 1485-1500.</w:t>
      </w:r>
    </w:p>
  </w:footnote>
  <w:footnote w:id="4">
    <w:p w14:paraId="56E16324" w14:textId="25AE1B11" w:rsidR="00FD573F" w:rsidRPr="00FD573F" w:rsidRDefault="00FD573F" w:rsidP="00FD573F">
      <w:pPr>
        <w:pStyle w:val="FootnoteText"/>
        <w:rPr>
          <w:rFonts w:ascii="Calibri" w:hAnsi="Calibri" w:cs="Calibri"/>
          <w:sz w:val="18"/>
          <w:szCs w:val="18"/>
        </w:rPr>
      </w:pPr>
      <w:r w:rsidRPr="00FD573F">
        <w:rPr>
          <w:rStyle w:val="FootnoteReference"/>
          <w:rFonts w:ascii="Calibri" w:hAnsi="Calibri" w:cs="Calibri"/>
          <w:sz w:val="18"/>
          <w:szCs w:val="18"/>
        </w:rPr>
        <w:footnoteRef/>
      </w:r>
      <w:r w:rsidRPr="00FD573F">
        <w:rPr>
          <w:rFonts w:ascii="Calibri" w:hAnsi="Calibri" w:cs="Calibri"/>
          <w:sz w:val="18"/>
          <w:szCs w:val="18"/>
        </w:rPr>
        <w:t xml:space="preserve"> Stratford, C.J., Acreman,</w:t>
      </w:r>
      <w:r>
        <w:rPr>
          <w:rFonts w:ascii="Calibri" w:hAnsi="Calibri" w:cs="Calibri"/>
          <w:sz w:val="18"/>
          <w:szCs w:val="18"/>
        </w:rPr>
        <w:t xml:space="preserve"> </w:t>
      </w:r>
      <w:r w:rsidRPr="00FD573F">
        <w:rPr>
          <w:rFonts w:ascii="Calibri" w:hAnsi="Calibri" w:cs="Calibri"/>
          <w:sz w:val="18"/>
          <w:szCs w:val="18"/>
        </w:rPr>
        <w:t>M.C., Rees, H.G. and Shilpakar, R., 2008. A vulnerability assessment method for wetlands in the Himalayan region. Report to the Asia Pro-Eco Programme of the European Commission.</w:t>
      </w:r>
    </w:p>
  </w:footnote>
  <w:footnote w:id="5">
    <w:p w14:paraId="669CC318" w14:textId="77777777" w:rsidR="00EC79A6" w:rsidRPr="008E5B2F" w:rsidRDefault="00EC79A6" w:rsidP="00EC79A6">
      <w:pPr>
        <w:pStyle w:val="FootnoteText"/>
        <w:rPr>
          <w:rFonts w:ascii="Calibri" w:hAnsi="Calibri" w:cs="Calibri"/>
          <w:sz w:val="18"/>
          <w:szCs w:val="18"/>
        </w:rPr>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XIII.17: Rapidly assessing wetland ecosystem services</w:t>
      </w:r>
      <w:r>
        <w:rPr>
          <w:rFonts w:ascii="Calibri" w:hAnsi="Calibri" w:cs="Calibri"/>
          <w:sz w:val="18"/>
          <w:szCs w:val="18"/>
        </w:rPr>
        <w:t>.</w:t>
      </w:r>
    </w:p>
  </w:footnote>
  <w:footnote w:id="6">
    <w:p w14:paraId="2BDA1BB3" w14:textId="59867681" w:rsidR="00EC79A6" w:rsidRDefault="00EC79A6" w:rsidP="00EC79A6">
      <w:pPr>
        <w:pStyle w:val="FootnoteText"/>
      </w:pPr>
      <w:r w:rsidRPr="008E5B2F">
        <w:rPr>
          <w:rStyle w:val="FootnoteReference"/>
          <w:rFonts w:ascii="Calibri" w:hAnsi="Calibri" w:cs="Calibri"/>
          <w:sz w:val="18"/>
          <w:szCs w:val="18"/>
        </w:rPr>
        <w:footnoteRef/>
      </w:r>
      <w:r w:rsidRPr="008E5B2F">
        <w:rPr>
          <w:rFonts w:ascii="Calibri" w:hAnsi="Calibri" w:cs="Calibri"/>
          <w:sz w:val="18"/>
          <w:szCs w:val="18"/>
        </w:rPr>
        <w:t xml:space="preserve"> Resolution XII.15: Evaluation of the management and conservation effectiveness of Ramsar Sites</w:t>
      </w:r>
      <w:r>
        <w:rPr>
          <w:rFonts w:ascii="Calibri" w:hAnsi="Calibri" w:cs="Calibri"/>
          <w:sz w:val="18"/>
          <w:szCs w:val="18"/>
        </w:rPr>
        <w:t>.</w:t>
      </w:r>
    </w:p>
  </w:footnote>
  <w:footnote w:id="7">
    <w:p w14:paraId="334DBF6C" w14:textId="77777777" w:rsidR="001A023B" w:rsidRPr="006E1C78" w:rsidRDefault="001A023B" w:rsidP="001A023B">
      <w:pPr>
        <w:pStyle w:val="FootnoteText"/>
        <w:rPr>
          <w:rFonts w:ascii="Calibri" w:hAnsi="Calibri" w:cs="Calibri"/>
          <w:sz w:val="18"/>
          <w:szCs w:val="18"/>
        </w:rPr>
      </w:pPr>
      <w:r w:rsidRPr="006E1C78">
        <w:rPr>
          <w:rStyle w:val="FootnoteReference"/>
          <w:rFonts w:ascii="Calibri" w:hAnsi="Calibri" w:cs="Calibri"/>
          <w:sz w:val="18"/>
          <w:szCs w:val="18"/>
        </w:rPr>
        <w:footnoteRef/>
      </w:r>
      <w:r w:rsidRPr="006E1C78">
        <w:rPr>
          <w:rFonts w:ascii="Calibri" w:hAnsi="Calibri" w:cs="Calibri"/>
          <w:sz w:val="18"/>
          <w:szCs w:val="18"/>
        </w:rPr>
        <w:t xml:space="preserve"> </w:t>
      </w:r>
      <w:r w:rsidRPr="006E1C78">
        <w:rPr>
          <w:rFonts w:ascii="Calibri" w:hAnsi="Calibri" w:cs="Calibri"/>
          <w:bCs/>
          <w:sz w:val="18"/>
          <w:szCs w:val="18"/>
          <w:lang w:eastAsia="en-US"/>
        </w:rPr>
        <w:t>Resolution XIV.16</w:t>
      </w:r>
      <w:r w:rsidRPr="006E1C78">
        <w:rPr>
          <w:rFonts w:ascii="Calibri" w:hAnsi="Calibri" w:cs="Calibri"/>
          <w:bCs/>
          <w:sz w:val="18"/>
          <w:szCs w:val="18"/>
        </w:rPr>
        <w:t xml:space="preserve"> </w:t>
      </w:r>
      <w:r w:rsidRPr="006E1C78">
        <w:rPr>
          <w:rFonts w:ascii="Calibri" w:hAnsi="Calibri" w:cs="Calibri"/>
          <w:bCs/>
          <w:sz w:val="18"/>
          <w:szCs w:val="18"/>
          <w:lang w:eastAsia="en-US"/>
        </w:rPr>
        <w:t>I</w:t>
      </w:r>
      <w:r w:rsidRPr="006E1C78">
        <w:rPr>
          <w:rFonts w:ascii="Calibri" w:hAnsi="Calibri" w:cs="Calibri"/>
          <w:bCs/>
          <w:sz w:val="18"/>
          <w:szCs w:val="18"/>
          <w:lang w:val="en-US" w:eastAsia="en-US"/>
        </w:rPr>
        <w:t>ntegrating wetland protection, conservation, restoration, sustainable use and management into national sustainable development strategies</w:t>
      </w:r>
      <w:r>
        <w:rPr>
          <w:rFonts w:ascii="Calibri" w:hAnsi="Calibri" w:cs="Calibri"/>
          <w:bCs/>
          <w:sz w:val="18"/>
          <w:szCs w:val="18"/>
          <w:lang w:val="en-US" w:eastAsia="en-US"/>
        </w:rPr>
        <w:t>.</w:t>
      </w:r>
    </w:p>
  </w:footnote>
  <w:footnote w:id="8">
    <w:p w14:paraId="67A5AF87" w14:textId="77777777" w:rsidR="001A023B" w:rsidRPr="001A023B" w:rsidRDefault="001A023B" w:rsidP="001A023B">
      <w:pPr>
        <w:pStyle w:val="FootnoteText"/>
        <w:rPr>
          <w:rFonts w:ascii="Calibri" w:hAnsi="Calibri" w:cs="Calibri"/>
          <w:sz w:val="18"/>
          <w:szCs w:val="18"/>
        </w:rPr>
      </w:pPr>
      <w:r w:rsidRPr="001A023B">
        <w:rPr>
          <w:rStyle w:val="FootnoteReference"/>
          <w:rFonts w:ascii="Calibri" w:hAnsi="Calibri" w:cs="Calibri"/>
          <w:sz w:val="18"/>
          <w:szCs w:val="18"/>
        </w:rPr>
        <w:footnoteRef/>
      </w:r>
      <w:r w:rsidRPr="001A023B">
        <w:rPr>
          <w:rFonts w:ascii="Calibri" w:hAnsi="Calibri" w:cs="Calibri"/>
          <w:sz w:val="18"/>
          <w:szCs w:val="18"/>
        </w:rPr>
        <w:t xml:space="preserve"> Gitay, H., Finlayson, C.M. and Davidson, N.C., 2011. A framework for assessing the vulnerability of wetlands to climate change. Gland, Switzerland: Ramsar Convention Secretariat, and Montreal, Canada: Secretariat of the Convention on Biological Diversity, Ramsar Technical Report no. 5 / CBD Technical Series no. 57. ISBN 92-9225-361-1 (print); 92-9225-362-X (web).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614F"/>
    <w:multiLevelType w:val="hybridMultilevel"/>
    <w:tmpl w:val="12D00580"/>
    <w:lvl w:ilvl="0" w:tplc="433CBFCC">
      <w:start w:val="1"/>
      <w:numFmt w:val="decimal"/>
      <w:pStyle w:val="AnnexText"/>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097291"/>
    <w:multiLevelType w:val="hybridMultilevel"/>
    <w:tmpl w:val="A8ECDC32"/>
    <w:lvl w:ilvl="0" w:tplc="295643C4">
      <w:start w:val="1"/>
      <w:numFmt w:val="bullet"/>
      <w:pStyle w:val="Annex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003A19"/>
    <w:multiLevelType w:val="hybridMultilevel"/>
    <w:tmpl w:val="3AEE38BE"/>
    <w:lvl w:ilvl="0" w:tplc="48707F36">
      <w:start w:val="1"/>
      <w:numFmt w:val="decimal"/>
      <w:pStyle w:val="DRPara"/>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4849394">
    <w:abstractNumId w:val="1"/>
  </w:num>
  <w:num w:numId="2" w16cid:durableId="1272323101">
    <w:abstractNumId w:val="2"/>
  </w:num>
  <w:num w:numId="3" w16cid:durableId="90938940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doNotTrackFormatting/>
  <w:defaultTabStop w:val="709"/>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42F"/>
    <w:rsid w:val="0000033A"/>
    <w:rsid w:val="000004EB"/>
    <w:rsid w:val="00000578"/>
    <w:rsid w:val="000014E1"/>
    <w:rsid w:val="00003242"/>
    <w:rsid w:val="00003575"/>
    <w:rsid w:val="00003E75"/>
    <w:rsid w:val="00005980"/>
    <w:rsid w:val="00006504"/>
    <w:rsid w:val="0000672F"/>
    <w:rsid w:val="00006AB3"/>
    <w:rsid w:val="00010DF9"/>
    <w:rsid w:val="00010E79"/>
    <w:rsid w:val="000118ED"/>
    <w:rsid w:val="0001191F"/>
    <w:rsid w:val="0001293D"/>
    <w:rsid w:val="00013C52"/>
    <w:rsid w:val="00014603"/>
    <w:rsid w:val="00023BFF"/>
    <w:rsid w:val="00024D46"/>
    <w:rsid w:val="00025243"/>
    <w:rsid w:val="00026470"/>
    <w:rsid w:val="00027B60"/>
    <w:rsid w:val="00027C5C"/>
    <w:rsid w:val="00031121"/>
    <w:rsid w:val="00034B1A"/>
    <w:rsid w:val="00034F6C"/>
    <w:rsid w:val="000362FF"/>
    <w:rsid w:val="000408C9"/>
    <w:rsid w:val="00041E42"/>
    <w:rsid w:val="0004307C"/>
    <w:rsid w:val="00043953"/>
    <w:rsid w:val="00043B7E"/>
    <w:rsid w:val="00043C24"/>
    <w:rsid w:val="00045B85"/>
    <w:rsid w:val="0004670A"/>
    <w:rsid w:val="00051810"/>
    <w:rsid w:val="0005258F"/>
    <w:rsid w:val="000526E1"/>
    <w:rsid w:val="00052E6A"/>
    <w:rsid w:val="0005553E"/>
    <w:rsid w:val="0005682D"/>
    <w:rsid w:val="000574D9"/>
    <w:rsid w:val="0006146A"/>
    <w:rsid w:val="000620D9"/>
    <w:rsid w:val="00062C22"/>
    <w:rsid w:val="00063377"/>
    <w:rsid w:val="00063C03"/>
    <w:rsid w:val="00064167"/>
    <w:rsid w:val="000664FB"/>
    <w:rsid w:val="00067587"/>
    <w:rsid w:val="000676A9"/>
    <w:rsid w:val="000704A6"/>
    <w:rsid w:val="000738A8"/>
    <w:rsid w:val="00074CC9"/>
    <w:rsid w:val="00081EB1"/>
    <w:rsid w:val="0008200D"/>
    <w:rsid w:val="000821AE"/>
    <w:rsid w:val="00082F25"/>
    <w:rsid w:val="00083479"/>
    <w:rsid w:val="00083A3A"/>
    <w:rsid w:val="00084F98"/>
    <w:rsid w:val="0008516C"/>
    <w:rsid w:val="00087AC4"/>
    <w:rsid w:val="0009058E"/>
    <w:rsid w:val="0009075C"/>
    <w:rsid w:val="000910C0"/>
    <w:rsid w:val="00091FE3"/>
    <w:rsid w:val="0009719F"/>
    <w:rsid w:val="00097ECE"/>
    <w:rsid w:val="000A06A2"/>
    <w:rsid w:val="000A1D4E"/>
    <w:rsid w:val="000A5DCF"/>
    <w:rsid w:val="000A5EB8"/>
    <w:rsid w:val="000B0233"/>
    <w:rsid w:val="000B1087"/>
    <w:rsid w:val="000B53F2"/>
    <w:rsid w:val="000B58D1"/>
    <w:rsid w:val="000B5DDB"/>
    <w:rsid w:val="000B5E9A"/>
    <w:rsid w:val="000C4CB1"/>
    <w:rsid w:val="000C570B"/>
    <w:rsid w:val="000C5CAB"/>
    <w:rsid w:val="000C7EF4"/>
    <w:rsid w:val="000D0C24"/>
    <w:rsid w:val="000D2E29"/>
    <w:rsid w:val="000D3221"/>
    <w:rsid w:val="000D4259"/>
    <w:rsid w:val="000D43D6"/>
    <w:rsid w:val="000D4B7D"/>
    <w:rsid w:val="000D69BA"/>
    <w:rsid w:val="000D6ED8"/>
    <w:rsid w:val="000D79C9"/>
    <w:rsid w:val="000E0248"/>
    <w:rsid w:val="000E1C52"/>
    <w:rsid w:val="000E2667"/>
    <w:rsid w:val="000E3A37"/>
    <w:rsid w:val="000E420E"/>
    <w:rsid w:val="000F182C"/>
    <w:rsid w:val="000F368F"/>
    <w:rsid w:val="000F3827"/>
    <w:rsid w:val="000F3D8D"/>
    <w:rsid w:val="000F5379"/>
    <w:rsid w:val="000F7D2B"/>
    <w:rsid w:val="0010006B"/>
    <w:rsid w:val="00101BD9"/>
    <w:rsid w:val="00110E66"/>
    <w:rsid w:val="00111043"/>
    <w:rsid w:val="0011177A"/>
    <w:rsid w:val="00113365"/>
    <w:rsid w:val="00115ED4"/>
    <w:rsid w:val="00122C43"/>
    <w:rsid w:val="001231C9"/>
    <w:rsid w:val="00126995"/>
    <w:rsid w:val="00135A85"/>
    <w:rsid w:val="00137BD2"/>
    <w:rsid w:val="00142250"/>
    <w:rsid w:val="00142A25"/>
    <w:rsid w:val="001462D2"/>
    <w:rsid w:val="001465C9"/>
    <w:rsid w:val="001465EF"/>
    <w:rsid w:val="00147073"/>
    <w:rsid w:val="001473E9"/>
    <w:rsid w:val="00147B62"/>
    <w:rsid w:val="00147E23"/>
    <w:rsid w:val="0015176C"/>
    <w:rsid w:val="00154B49"/>
    <w:rsid w:val="00156322"/>
    <w:rsid w:val="00161FFF"/>
    <w:rsid w:val="001627F0"/>
    <w:rsid w:val="00162E57"/>
    <w:rsid w:val="001638B5"/>
    <w:rsid w:val="00167498"/>
    <w:rsid w:val="00170263"/>
    <w:rsid w:val="00170E2D"/>
    <w:rsid w:val="00174A1A"/>
    <w:rsid w:val="0018176A"/>
    <w:rsid w:val="001826AC"/>
    <w:rsid w:val="00183CB9"/>
    <w:rsid w:val="00184C18"/>
    <w:rsid w:val="00184EF4"/>
    <w:rsid w:val="0019360D"/>
    <w:rsid w:val="00195EA9"/>
    <w:rsid w:val="001A023B"/>
    <w:rsid w:val="001A2771"/>
    <w:rsid w:val="001A31B3"/>
    <w:rsid w:val="001A6E9F"/>
    <w:rsid w:val="001A73ED"/>
    <w:rsid w:val="001B79CE"/>
    <w:rsid w:val="001C0018"/>
    <w:rsid w:val="001C1E3F"/>
    <w:rsid w:val="001C2604"/>
    <w:rsid w:val="001C3173"/>
    <w:rsid w:val="001C358C"/>
    <w:rsid w:val="001D0546"/>
    <w:rsid w:val="001D1EB9"/>
    <w:rsid w:val="001D3480"/>
    <w:rsid w:val="001E4125"/>
    <w:rsid w:val="001E4262"/>
    <w:rsid w:val="001E4DF8"/>
    <w:rsid w:val="001E510B"/>
    <w:rsid w:val="001E5583"/>
    <w:rsid w:val="001E7448"/>
    <w:rsid w:val="001E7C4A"/>
    <w:rsid w:val="001F07A7"/>
    <w:rsid w:val="001F1ECB"/>
    <w:rsid w:val="001F267D"/>
    <w:rsid w:val="001F51DC"/>
    <w:rsid w:val="001F58E1"/>
    <w:rsid w:val="001F59E8"/>
    <w:rsid w:val="002006F7"/>
    <w:rsid w:val="002012C0"/>
    <w:rsid w:val="0020310E"/>
    <w:rsid w:val="0021265F"/>
    <w:rsid w:val="00212FEA"/>
    <w:rsid w:val="00214C18"/>
    <w:rsid w:val="0021506D"/>
    <w:rsid w:val="00217EF8"/>
    <w:rsid w:val="0022169E"/>
    <w:rsid w:val="00221851"/>
    <w:rsid w:val="00224CFB"/>
    <w:rsid w:val="002263F8"/>
    <w:rsid w:val="0022654E"/>
    <w:rsid w:val="00226C42"/>
    <w:rsid w:val="00227C88"/>
    <w:rsid w:val="002323E4"/>
    <w:rsid w:val="002324B0"/>
    <w:rsid w:val="002325B1"/>
    <w:rsid w:val="00232E67"/>
    <w:rsid w:val="002335E1"/>
    <w:rsid w:val="002345C3"/>
    <w:rsid w:val="00235635"/>
    <w:rsid w:val="0024042E"/>
    <w:rsid w:val="00250AF3"/>
    <w:rsid w:val="00251164"/>
    <w:rsid w:val="002528D1"/>
    <w:rsid w:val="00255200"/>
    <w:rsid w:val="00260411"/>
    <w:rsid w:val="00260980"/>
    <w:rsid w:val="00260CA9"/>
    <w:rsid w:val="00263A35"/>
    <w:rsid w:val="00264011"/>
    <w:rsid w:val="002642C1"/>
    <w:rsid w:val="00265735"/>
    <w:rsid w:val="00267207"/>
    <w:rsid w:val="0026760D"/>
    <w:rsid w:val="00270721"/>
    <w:rsid w:val="0027129D"/>
    <w:rsid w:val="00271D33"/>
    <w:rsid w:val="0027708C"/>
    <w:rsid w:val="002808C1"/>
    <w:rsid w:val="002828BE"/>
    <w:rsid w:val="00283A12"/>
    <w:rsid w:val="002869C1"/>
    <w:rsid w:val="002917DF"/>
    <w:rsid w:val="00292B35"/>
    <w:rsid w:val="00292E7E"/>
    <w:rsid w:val="0029380C"/>
    <w:rsid w:val="002A1513"/>
    <w:rsid w:val="002A2906"/>
    <w:rsid w:val="002A35A6"/>
    <w:rsid w:val="002B1320"/>
    <w:rsid w:val="002B7E9F"/>
    <w:rsid w:val="002C0037"/>
    <w:rsid w:val="002C01D7"/>
    <w:rsid w:val="002C08D5"/>
    <w:rsid w:val="002C171D"/>
    <w:rsid w:val="002C31A1"/>
    <w:rsid w:val="002C31AD"/>
    <w:rsid w:val="002D185E"/>
    <w:rsid w:val="002D187F"/>
    <w:rsid w:val="002D2C30"/>
    <w:rsid w:val="002D344E"/>
    <w:rsid w:val="002D3542"/>
    <w:rsid w:val="002D4C8A"/>
    <w:rsid w:val="002D4F75"/>
    <w:rsid w:val="002D576B"/>
    <w:rsid w:val="002D704D"/>
    <w:rsid w:val="002D7C0A"/>
    <w:rsid w:val="002E34C3"/>
    <w:rsid w:val="002E37F3"/>
    <w:rsid w:val="002E38FE"/>
    <w:rsid w:val="002E3FB5"/>
    <w:rsid w:val="002E529B"/>
    <w:rsid w:val="002E5F52"/>
    <w:rsid w:val="002E63E4"/>
    <w:rsid w:val="002E7FA7"/>
    <w:rsid w:val="002F06AA"/>
    <w:rsid w:val="002F3AB3"/>
    <w:rsid w:val="002F55F0"/>
    <w:rsid w:val="002F6D48"/>
    <w:rsid w:val="002F71D2"/>
    <w:rsid w:val="00300089"/>
    <w:rsid w:val="003050FD"/>
    <w:rsid w:val="0030515E"/>
    <w:rsid w:val="003070EC"/>
    <w:rsid w:val="0031427E"/>
    <w:rsid w:val="003148F2"/>
    <w:rsid w:val="00315BB0"/>
    <w:rsid w:val="0031709B"/>
    <w:rsid w:val="00317672"/>
    <w:rsid w:val="00322DDA"/>
    <w:rsid w:val="003239D9"/>
    <w:rsid w:val="003274CB"/>
    <w:rsid w:val="00332AD6"/>
    <w:rsid w:val="00334401"/>
    <w:rsid w:val="00337766"/>
    <w:rsid w:val="00340E17"/>
    <w:rsid w:val="00341C62"/>
    <w:rsid w:val="0034564D"/>
    <w:rsid w:val="00350A28"/>
    <w:rsid w:val="00351DDA"/>
    <w:rsid w:val="003540D6"/>
    <w:rsid w:val="003553E3"/>
    <w:rsid w:val="00356631"/>
    <w:rsid w:val="003579F0"/>
    <w:rsid w:val="00361B45"/>
    <w:rsid w:val="00362608"/>
    <w:rsid w:val="00363F1D"/>
    <w:rsid w:val="003718AB"/>
    <w:rsid w:val="0037214E"/>
    <w:rsid w:val="00373581"/>
    <w:rsid w:val="00373852"/>
    <w:rsid w:val="0037416F"/>
    <w:rsid w:val="00374C83"/>
    <w:rsid w:val="003759AC"/>
    <w:rsid w:val="00375BED"/>
    <w:rsid w:val="003763BD"/>
    <w:rsid w:val="003770B3"/>
    <w:rsid w:val="0038000F"/>
    <w:rsid w:val="0038184E"/>
    <w:rsid w:val="00382304"/>
    <w:rsid w:val="003838CD"/>
    <w:rsid w:val="00383CB9"/>
    <w:rsid w:val="00390231"/>
    <w:rsid w:val="00392508"/>
    <w:rsid w:val="0039300F"/>
    <w:rsid w:val="00393E13"/>
    <w:rsid w:val="0039410E"/>
    <w:rsid w:val="00397EB9"/>
    <w:rsid w:val="003A0C3A"/>
    <w:rsid w:val="003A1319"/>
    <w:rsid w:val="003A20C5"/>
    <w:rsid w:val="003A5589"/>
    <w:rsid w:val="003A6343"/>
    <w:rsid w:val="003A7372"/>
    <w:rsid w:val="003B1501"/>
    <w:rsid w:val="003B3AAD"/>
    <w:rsid w:val="003B44E9"/>
    <w:rsid w:val="003B4642"/>
    <w:rsid w:val="003B50FC"/>
    <w:rsid w:val="003B57C2"/>
    <w:rsid w:val="003B77F7"/>
    <w:rsid w:val="003C010A"/>
    <w:rsid w:val="003C052B"/>
    <w:rsid w:val="003C4D2C"/>
    <w:rsid w:val="003C5D29"/>
    <w:rsid w:val="003D1925"/>
    <w:rsid w:val="003D1D82"/>
    <w:rsid w:val="003D4110"/>
    <w:rsid w:val="003D5449"/>
    <w:rsid w:val="003D6DDD"/>
    <w:rsid w:val="003E01E3"/>
    <w:rsid w:val="003E3CFA"/>
    <w:rsid w:val="003E7CD8"/>
    <w:rsid w:val="003F05A3"/>
    <w:rsid w:val="003F0D15"/>
    <w:rsid w:val="003F12AF"/>
    <w:rsid w:val="003F146E"/>
    <w:rsid w:val="003F221A"/>
    <w:rsid w:val="003F3A48"/>
    <w:rsid w:val="003F3DC4"/>
    <w:rsid w:val="003F49F8"/>
    <w:rsid w:val="003F674E"/>
    <w:rsid w:val="003F68B9"/>
    <w:rsid w:val="004000CF"/>
    <w:rsid w:val="004028F1"/>
    <w:rsid w:val="00403F30"/>
    <w:rsid w:val="00404787"/>
    <w:rsid w:val="0040498F"/>
    <w:rsid w:val="004063E4"/>
    <w:rsid w:val="0040773E"/>
    <w:rsid w:val="00412E21"/>
    <w:rsid w:val="00413A8B"/>
    <w:rsid w:val="004166CF"/>
    <w:rsid w:val="0041787D"/>
    <w:rsid w:val="004200C6"/>
    <w:rsid w:val="004202F9"/>
    <w:rsid w:val="00421FAC"/>
    <w:rsid w:val="00425A53"/>
    <w:rsid w:val="00427BBF"/>
    <w:rsid w:val="0043148E"/>
    <w:rsid w:val="00436882"/>
    <w:rsid w:val="00437CAA"/>
    <w:rsid w:val="00440C08"/>
    <w:rsid w:val="00441F10"/>
    <w:rsid w:val="00445B48"/>
    <w:rsid w:val="00445C19"/>
    <w:rsid w:val="00445CF9"/>
    <w:rsid w:val="00451156"/>
    <w:rsid w:val="00451A08"/>
    <w:rsid w:val="00451A32"/>
    <w:rsid w:val="00457E8F"/>
    <w:rsid w:val="0046086B"/>
    <w:rsid w:val="004629C6"/>
    <w:rsid w:val="0046549E"/>
    <w:rsid w:val="004679EB"/>
    <w:rsid w:val="00467DCD"/>
    <w:rsid w:val="0047148F"/>
    <w:rsid w:val="00471D6C"/>
    <w:rsid w:val="00472FBD"/>
    <w:rsid w:val="00475E1D"/>
    <w:rsid w:val="00476C73"/>
    <w:rsid w:val="0048194A"/>
    <w:rsid w:val="00484994"/>
    <w:rsid w:val="004863B3"/>
    <w:rsid w:val="004865C7"/>
    <w:rsid w:val="004875B9"/>
    <w:rsid w:val="00492EEB"/>
    <w:rsid w:val="00494B95"/>
    <w:rsid w:val="00495A4E"/>
    <w:rsid w:val="004A0853"/>
    <w:rsid w:val="004A1CFA"/>
    <w:rsid w:val="004A1E25"/>
    <w:rsid w:val="004A44D1"/>
    <w:rsid w:val="004A46B9"/>
    <w:rsid w:val="004A4C68"/>
    <w:rsid w:val="004A5D22"/>
    <w:rsid w:val="004A7AAA"/>
    <w:rsid w:val="004B0505"/>
    <w:rsid w:val="004B0E46"/>
    <w:rsid w:val="004B11CF"/>
    <w:rsid w:val="004B1ACF"/>
    <w:rsid w:val="004B3AFF"/>
    <w:rsid w:val="004B48FE"/>
    <w:rsid w:val="004B4978"/>
    <w:rsid w:val="004B5518"/>
    <w:rsid w:val="004C0036"/>
    <w:rsid w:val="004C0D8A"/>
    <w:rsid w:val="004C1845"/>
    <w:rsid w:val="004C265A"/>
    <w:rsid w:val="004C3238"/>
    <w:rsid w:val="004C443B"/>
    <w:rsid w:val="004D1938"/>
    <w:rsid w:val="004D1A2B"/>
    <w:rsid w:val="004D4466"/>
    <w:rsid w:val="004D541E"/>
    <w:rsid w:val="004D6F82"/>
    <w:rsid w:val="004E0FD4"/>
    <w:rsid w:val="004E25BB"/>
    <w:rsid w:val="004E2969"/>
    <w:rsid w:val="004E5C33"/>
    <w:rsid w:val="004F02EE"/>
    <w:rsid w:val="004F228F"/>
    <w:rsid w:val="005012BF"/>
    <w:rsid w:val="00503A47"/>
    <w:rsid w:val="00504ABF"/>
    <w:rsid w:val="00504ED5"/>
    <w:rsid w:val="00507F75"/>
    <w:rsid w:val="00510565"/>
    <w:rsid w:val="005171C5"/>
    <w:rsid w:val="00520A5A"/>
    <w:rsid w:val="005226DE"/>
    <w:rsid w:val="005247CD"/>
    <w:rsid w:val="0052537A"/>
    <w:rsid w:val="00525EFE"/>
    <w:rsid w:val="005319F0"/>
    <w:rsid w:val="00534BB5"/>
    <w:rsid w:val="00534E57"/>
    <w:rsid w:val="0053558F"/>
    <w:rsid w:val="0053688F"/>
    <w:rsid w:val="00537DC1"/>
    <w:rsid w:val="005414A8"/>
    <w:rsid w:val="0054270F"/>
    <w:rsid w:val="00544DA9"/>
    <w:rsid w:val="00547BE5"/>
    <w:rsid w:val="005531D3"/>
    <w:rsid w:val="0055542C"/>
    <w:rsid w:val="0055611A"/>
    <w:rsid w:val="0056194A"/>
    <w:rsid w:val="0056260A"/>
    <w:rsid w:val="005634F5"/>
    <w:rsid w:val="005639EC"/>
    <w:rsid w:val="00564076"/>
    <w:rsid w:val="005653AD"/>
    <w:rsid w:val="00570736"/>
    <w:rsid w:val="00571960"/>
    <w:rsid w:val="005743FD"/>
    <w:rsid w:val="00576E22"/>
    <w:rsid w:val="00584B1A"/>
    <w:rsid w:val="00586626"/>
    <w:rsid w:val="005874EE"/>
    <w:rsid w:val="005915B7"/>
    <w:rsid w:val="00593126"/>
    <w:rsid w:val="00594CA8"/>
    <w:rsid w:val="0059557D"/>
    <w:rsid w:val="00596E5F"/>
    <w:rsid w:val="00597C61"/>
    <w:rsid w:val="005A3238"/>
    <w:rsid w:val="005A4B6E"/>
    <w:rsid w:val="005A5936"/>
    <w:rsid w:val="005A6335"/>
    <w:rsid w:val="005A66E5"/>
    <w:rsid w:val="005A775D"/>
    <w:rsid w:val="005A7A37"/>
    <w:rsid w:val="005A7AFC"/>
    <w:rsid w:val="005B0003"/>
    <w:rsid w:val="005B05E9"/>
    <w:rsid w:val="005B2E66"/>
    <w:rsid w:val="005B3494"/>
    <w:rsid w:val="005B48A2"/>
    <w:rsid w:val="005B6E94"/>
    <w:rsid w:val="005B756C"/>
    <w:rsid w:val="005B7B40"/>
    <w:rsid w:val="005C2739"/>
    <w:rsid w:val="005C29D5"/>
    <w:rsid w:val="005C5E72"/>
    <w:rsid w:val="005C795C"/>
    <w:rsid w:val="005C7F1A"/>
    <w:rsid w:val="005D05E7"/>
    <w:rsid w:val="005D1395"/>
    <w:rsid w:val="005D589D"/>
    <w:rsid w:val="005D592C"/>
    <w:rsid w:val="005D6BFB"/>
    <w:rsid w:val="005E235F"/>
    <w:rsid w:val="005E2B54"/>
    <w:rsid w:val="005E396F"/>
    <w:rsid w:val="005E4CBB"/>
    <w:rsid w:val="005E59C5"/>
    <w:rsid w:val="005E7140"/>
    <w:rsid w:val="005F034C"/>
    <w:rsid w:val="005F140C"/>
    <w:rsid w:val="005F2F58"/>
    <w:rsid w:val="005F49D0"/>
    <w:rsid w:val="005F5A28"/>
    <w:rsid w:val="005F6340"/>
    <w:rsid w:val="005F7CB0"/>
    <w:rsid w:val="00600A82"/>
    <w:rsid w:val="00602A98"/>
    <w:rsid w:val="006033D6"/>
    <w:rsid w:val="00604B25"/>
    <w:rsid w:val="00604D8A"/>
    <w:rsid w:val="00606B27"/>
    <w:rsid w:val="00607189"/>
    <w:rsid w:val="00611D6D"/>
    <w:rsid w:val="00612084"/>
    <w:rsid w:val="00612D47"/>
    <w:rsid w:val="0061444B"/>
    <w:rsid w:val="00615D47"/>
    <w:rsid w:val="006164ED"/>
    <w:rsid w:val="00620F3C"/>
    <w:rsid w:val="00620FA9"/>
    <w:rsid w:val="0062242F"/>
    <w:rsid w:val="006245A3"/>
    <w:rsid w:val="006247AC"/>
    <w:rsid w:val="006268D7"/>
    <w:rsid w:val="006312C0"/>
    <w:rsid w:val="006371B4"/>
    <w:rsid w:val="00643B6B"/>
    <w:rsid w:val="0064565B"/>
    <w:rsid w:val="006511CE"/>
    <w:rsid w:val="006550E0"/>
    <w:rsid w:val="00656858"/>
    <w:rsid w:val="00657452"/>
    <w:rsid w:val="0066336B"/>
    <w:rsid w:val="00663AEE"/>
    <w:rsid w:val="0066656D"/>
    <w:rsid w:val="006668E7"/>
    <w:rsid w:val="00667AE1"/>
    <w:rsid w:val="00670E29"/>
    <w:rsid w:val="00674B70"/>
    <w:rsid w:val="0067554C"/>
    <w:rsid w:val="00681247"/>
    <w:rsid w:val="00682B61"/>
    <w:rsid w:val="00682CFF"/>
    <w:rsid w:val="006848DA"/>
    <w:rsid w:val="00686A60"/>
    <w:rsid w:val="006874A7"/>
    <w:rsid w:val="006876B0"/>
    <w:rsid w:val="006904DA"/>
    <w:rsid w:val="00693894"/>
    <w:rsid w:val="00695246"/>
    <w:rsid w:val="0069547C"/>
    <w:rsid w:val="006976B3"/>
    <w:rsid w:val="006A3CC3"/>
    <w:rsid w:val="006A46A0"/>
    <w:rsid w:val="006A59FA"/>
    <w:rsid w:val="006A66B8"/>
    <w:rsid w:val="006A6D13"/>
    <w:rsid w:val="006A7C8F"/>
    <w:rsid w:val="006B09E8"/>
    <w:rsid w:val="006B2A25"/>
    <w:rsid w:val="006B2E67"/>
    <w:rsid w:val="006B729B"/>
    <w:rsid w:val="006B7C2E"/>
    <w:rsid w:val="006C051C"/>
    <w:rsid w:val="006C1060"/>
    <w:rsid w:val="006C5C5E"/>
    <w:rsid w:val="006C5E49"/>
    <w:rsid w:val="006D0687"/>
    <w:rsid w:val="006D0781"/>
    <w:rsid w:val="006D4745"/>
    <w:rsid w:val="006D4D80"/>
    <w:rsid w:val="006D7FDC"/>
    <w:rsid w:val="006E1C78"/>
    <w:rsid w:val="006E4070"/>
    <w:rsid w:val="006E420A"/>
    <w:rsid w:val="006E47B9"/>
    <w:rsid w:val="006E59C7"/>
    <w:rsid w:val="006E7307"/>
    <w:rsid w:val="006F1764"/>
    <w:rsid w:val="006F39C5"/>
    <w:rsid w:val="006F4E2B"/>
    <w:rsid w:val="006F5B9C"/>
    <w:rsid w:val="00701F07"/>
    <w:rsid w:val="00702DBF"/>
    <w:rsid w:val="00705183"/>
    <w:rsid w:val="00706302"/>
    <w:rsid w:val="00706511"/>
    <w:rsid w:val="007078C0"/>
    <w:rsid w:val="00710DFD"/>
    <w:rsid w:val="00713383"/>
    <w:rsid w:val="007143FD"/>
    <w:rsid w:val="00715EFF"/>
    <w:rsid w:val="00715FCB"/>
    <w:rsid w:val="007216CF"/>
    <w:rsid w:val="007217E8"/>
    <w:rsid w:val="00723898"/>
    <w:rsid w:val="00723C52"/>
    <w:rsid w:val="0072551A"/>
    <w:rsid w:val="0073182E"/>
    <w:rsid w:val="00732665"/>
    <w:rsid w:val="00733234"/>
    <w:rsid w:val="00735950"/>
    <w:rsid w:val="00742DB7"/>
    <w:rsid w:val="007439E3"/>
    <w:rsid w:val="00744140"/>
    <w:rsid w:val="00745881"/>
    <w:rsid w:val="00746999"/>
    <w:rsid w:val="007474DF"/>
    <w:rsid w:val="00747A70"/>
    <w:rsid w:val="007505E5"/>
    <w:rsid w:val="0075189A"/>
    <w:rsid w:val="00752064"/>
    <w:rsid w:val="00753449"/>
    <w:rsid w:val="007548FF"/>
    <w:rsid w:val="00763F25"/>
    <w:rsid w:val="0076595F"/>
    <w:rsid w:val="00765994"/>
    <w:rsid w:val="00767590"/>
    <w:rsid w:val="0077328F"/>
    <w:rsid w:val="00773A18"/>
    <w:rsid w:val="00775DB7"/>
    <w:rsid w:val="0077673F"/>
    <w:rsid w:val="007816C1"/>
    <w:rsid w:val="0078214F"/>
    <w:rsid w:val="00782D5B"/>
    <w:rsid w:val="00784AFD"/>
    <w:rsid w:val="00785B60"/>
    <w:rsid w:val="00786879"/>
    <w:rsid w:val="00787039"/>
    <w:rsid w:val="007921A4"/>
    <w:rsid w:val="007924F7"/>
    <w:rsid w:val="00796344"/>
    <w:rsid w:val="007970ED"/>
    <w:rsid w:val="007A15BB"/>
    <w:rsid w:val="007A32F4"/>
    <w:rsid w:val="007A3CD1"/>
    <w:rsid w:val="007A562F"/>
    <w:rsid w:val="007A6657"/>
    <w:rsid w:val="007B002D"/>
    <w:rsid w:val="007B1C3E"/>
    <w:rsid w:val="007B41C8"/>
    <w:rsid w:val="007C7F37"/>
    <w:rsid w:val="007D007F"/>
    <w:rsid w:val="007D044A"/>
    <w:rsid w:val="007D06CC"/>
    <w:rsid w:val="007D0F1B"/>
    <w:rsid w:val="007D21AA"/>
    <w:rsid w:val="007D2AE0"/>
    <w:rsid w:val="007D306C"/>
    <w:rsid w:val="007D3787"/>
    <w:rsid w:val="007D4D4D"/>
    <w:rsid w:val="007D5A04"/>
    <w:rsid w:val="007E024D"/>
    <w:rsid w:val="007E4AA7"/>
    <w:rsid w:val="007E585D"/>
    <w:rsid w:val="007E63B9"/>
    <w:rsid w:val="007F586E"/>
    <w:rsid w:val="00801566"/>
    <w:rsid w:val="008023E9"/>
    <w:rsid w:val="008025CA"/>
    <w:rsid w:val="00802DBE"/>
    <w:rsid w:val="008045D9"/>
    <w:rsid w:val="00810309"/>
    <w:rsid w:val="00810C5D"/>
    <w:rsid w:val="00810D0F"/>
    <w:rsid w:val="00811D47"/>
    <w:rsid w:val="008137B2"/>
    <w:rsid w:val="00815B76"/>
    <w:rsid w:val="0082126A"/>
    <w:rsid w:val="00821E50"/>
    <w:rsid w:val="00822FF7"/>
    <w:rsid w:val="008241DF"/>
    <w:rsid w:val="008251BD"/>
    <w:rsid w:val="008257EA"/>
    <w:rsid w:val="00831D27"/>
    <w:rsid w:val="00832738"/>
    <w:rsid w:val="00834328"/>
    <w:rsid w:val="00835589"/>
    <w:rsid w:val="0083629D"/>
    <w:rsid w:val="00840C85"/>
    <w:rsid w:val="00840FC4"/>
    <w:rsid w:val="008431C9"/>
    <w:rsid w:val="008431DE"/>
    <w:rsid w:val="008435F5"/>
    <w:rsid w:val="00845781"/>
    <w:rsid w:val="00845B93"/>
    <w:rsid w:val="00853601"/>
    <w:rsid w:val="008621FD"/>
    <w:rsid w:val="00862284"/>
    <w:rsid w:val="00862DAD"/>
    <w:rsid w:val="0086459A"/>
    <w:rsid w:val="00865ABF"/>
    <w:rsid w:val="00870BD1"/>
    <w:rsid w:val="008755C4"/>
    <w:rsid w:val="00876895"/>
    <w:rsid w:val="008814F6"/>
    <w:rsid w:val="0089087C"/>
    <w:rsid w:val="00893328"/>
    <w:rsid w:val="008A114A"/>
    <w:rsid w:val="008A277C"/>
    <w:rsid w:val="008A30D7"/>
    <w:rsid w:val="008A3371"/>
    <w:rsid w:val="008A4AEC"/>
    <w:rsid w:val="008A5E5D"/>
    <w:rsid w:val="008A7CD2"/>
    <w:rsid w:val="008B00D7"/>
    <w:rsid w:val="008B1B5B"/>
    <w:rsid w:val="008B1B69"/>
    <w:rsid w:val="008B46AB"/>
    <w:rsid w:val="008B6757"/>
    <w:rsid w:val="008C16A8"/>
    <w:rsid w:val="008C3138"/>
    <w:rsid w:val="008C3B24"/>
    <w:rsid w:val="008C3E0A"/>
    <w:rsid w:val="008C7978"/>
    <w:rsid w:val="008D3807"/>
    <w:rsid w:val="008D6A8D"/>
    <w:rsid w:val="008D6DC5"/>
    <w:rsid w:val="008E220A"/>
    <w:rsid w:val="008E2A6B"/>
    <w:rsid w:val="008E3824"/>
    <w:rsid w:val="008E4D8E"/>
    <w:rsid w:val="008E5B2F"/>
    <w:rsid w:val="008E6855"/>
    <w:rsid w:val="008E7451"/>
    <w:rsid w:val="008F20A4"/>
    <w:rsid w:val="008F357D"/>
    <w:rsid w:val="008F365C"/>
    <w:rsid w:val="008F5058"/>
    <w:rsid w:val="008F63CC"/>
    <w:rsid w:val="008F7AE9"/>
    <w:rsid w:val="009004C9"/>
    <w:rsid w:val="00904FE1"/>
    <w:rsid w:val="0090742E"/>
    <w:rsid w:val="00912E7E"/>
    <w:rsid w:val="00913014"/>
    <w:rsid w:val="0091380A"/>
    <w:rsid w:val="00914691"/>
    <w:rsid w:val="00920E7D"/>
    <w:rsid w:val="00920F39"/>
    <w:rsid w:val="0092160D"/>
    <w:rsid w:val="00921C29"/>
    <w:rsid w:val="00923582"/>
    <w:rsid w:val="0092536D"/>
    <w:rsid w:val="00925EEA"/>
    <w:rsid w:val="00927BBA"/>
    <w:rsid w:val="009304E6"/>
    <w:rsid w:val="00932860"/>
    <w:rsid w:val="009337B5"/>
    <w:rsid w:val="00933B54"/>
    <w:rsid w:val="00934E88"/>
    <w:rsid w:val="009352A0"/>
    <w:rsid w:val="009352C8"/>
    <w:rsid w:val="00935601"/>
    <w:rsid w:val="009361B6"/>
    <w:rsid w:val="00940920"/>
    <w:rsid w:val="00941EF2"/>
    <w:rsid w:val="0094531E"/>
    <w:rsid w:val="00945CFE"/>
    <w:rsid w:val="00945F59"/>
    <w:rsid w:val="00946524"/>
    <w:rsid w:val="009514B0"/>
    <w:rsid w:val="00951B17"/>
    <w:rsid w:val="00952747"/>
    <w:rsid w:val="009533CD"/>
    <w:rsid w:val="00957373"/>
    <w:rsid w:val="0096139A"/>
    <w:rsid w:val="00965583"/>
    <w:rsid w:val="0096768C"/>
    <w:rsid w:val="00972BEA"/>
    <w:rsid w:val="0097349F"/>
    <w:rsid w:val="00975F15"/>
    <w:rsid w:val="00976DA2"/>
    <w:rsid w:val="00976E82"/>
    <w:rsid w:val="009776B0"/>
    <w:rsid w:val="00977A18"/>
    <w:rsid w:val="009806BA"/>
    <w:rsid w:val="009862AE"/>
    <w:rsid w:val="00991233"/>
    <w:rsid w:val="00992499"/>
    <w:rsid w:val="00992682"/>
    <w:rsid w:val="009966C0"/>
    <w:rsid w:val="0099792F"/>
    <w:rsid w:val="009A0285"/>
    <w:rsid w:val="009A06F6"/>
    <w:rsid w:val="009A17E3"/>
    <w:rsid w:val="009A2051"/>
    <w:rsid w:val="009A5866"/>
    <w:rsid w:val="009A665E"/>
    <w:rsid w:val="009B045A"/>
    <w:rsid w:val="009B11A1"/>
    <w:rsid w:val="009B2FF9"/>
    <w:rsid w:val="009B48C3"/>
    <w:rsid w:val="009B495C"/>
    <w:rsid w:val="009B5977"/>
    <w:rsid w:val="009C1347"/>
    <w:rsid w:val="009C2904"/>
    <w:rsid w:val="009C41EA"/>
    <w:rsid w:val="009C59FC"/>
    <w:rsid w:val="009D14E3"/>
    <w:rsid w:val="009D1E93"/>
    <w:rsid w:val="009D306E"/>
    <w:rsid w:val="009D5DC3"/>
    <w:rsid w:val="009D67F8"/>
    <w:rsid w:val="009E1A4B"/>
    <w:rsid w:val="009E3EDD"/>
    <w:rsid w:val="009E749D"/>
    <w:rsid w:val="009F0B42"/>
    <w:rsid w:val="009F1F69"/>
    <w:rsid w:val="009F35EC"/>
    <w:rsid w:val="009F5899"/>
    <w:rsid w:val="009F653D"/>
    <w:rsid w:val="009F740D"/>
    <w:rsid w:val="00A010B5"/>
    <w:rsid w:val="00A07CE2"/>
    <w:rsid w:val="00A23AE1"/>
    <w:rsid w:val="00A25D78"/>
    <w:rsid w:val="00A26436"/>
    <w:rsid w:val="00A27BCA"/>
    <w:rsid w:val="00A27D8D"/>
    <w:rsid w:val="00A27FE4"/>
    <w:rsid w:val="00A32B77"/>
    <w:rsid w:val="00A35A74"/>
    <w:rsid w:val="00A360D8"/>
    <w:rsid w:val="00A36160"/>
    <w:rsid w:val="00A36A39"/>
    <w:rsid w:val="00A409F9"/>
    <w:rsid w:val="00A40AB6"/>
    <w:rsid w:val="00A41FCA"/>
    <w:rsid w:val="00A42492"/>
    <w:rsid w:val="00A42612"/>
    <w:rsid w:val="00A453B5"/>
    <w:rsid w:val="00A454B1"/>
    <w:rsid w:val="00A456C8"/>
    <w:rsid w:val="00A518E0"/>
    <w:rsid w:val="00A54532"/>
    <w:rsid w:val="00A54813"/>
    <w:rsid w:val="00A5496C"/>
    <w:rsid w:val="00A549A6"/>
    <w:rsid w:val="00A578EA"/>
    <w:rsid w:val="00A60C9A"/>
    <w:rsid w:val="00A63BF9"/>
    <w:rsid w:val="00A651B7"/>
    <w:rsid w:val="00A71EE4"/>
    <w:rsid w:val="00A80AF1"/>
    <w:rsid w:val="00A824F1"/>
    <w:rsid w:val="00A82D9D"/>
    <w:rsid w:val="00A85E64"/>
    <w:rsid w:val="00A85FC3"/>
    <w:rsid w:val="00A873FC"/>
    <w:rsid w:val="00A939D3"/>
    <w:rsid w:val="00A947C1"/>
    <w:rsid w:val="00AA2232"/>
    <w:rsid w:val="00AA3DEB"/>
    <w:rsid w:val="00AA4CDD"/>
    <w:rsid w:val="00AA786F"/>
    <w:rsid w:val="00AB0DC6"/>
    <w:rsid w:val="00AB0E58"/>
    <w:rsid w:val="00AB1F13"/>
    <w:rsid w:val="00AB50FB"/>
    <w:rsid w:val="00AB524C"/>
    <w:rsid w:val="00AB5318"/>
    <w:rsid w:val="00AB55B8"/>
    <w:rsid w:val="00AB5A0F"/>
    <w:rsid w:val="00AB7472"/>
    <w:rsid w:val="00AC17C9"/>
    <w:rsid w:val="00AC4418"/>
    <w:rsid w:val="00AC5944"/>
    <w:rsid w:val="00AC6EEE"/>
    <w:rsid w:val="00AD0E12"/>
    <w:rsid w:val="00AD3410"/>
    <w:rsid w:val="00AD39BA"/>
    <w:rsid w:val="00AE0C70"/>
    <w:rsid w:val="00AE737C"/>
    <w:rsid w:val="00AF085D"/>
    <w:rsid w:val="00AF1AAA"/>
    <w:rsid w:val="00AF2EE0"/>
    <w:rsid w:val="00AF4619"/>
    <w:rsid w:val="00AF4D60"/>
    <w:rsid w:val="00AF4E79"/>
    <w:rsid w:val="00B0349D"/>
    <w:rsid w:val="00B03C53"/>
    <w:rsid w:val="00B04102"/>
    <w:rsid w:val="00B04161"/>
    <w:rsid w:val="00B068FC"/>
    <w:rsid w:val="00B111BD"/>
    <w:rsid w:val="00B115B7"/>
    <w:rsid w:val="00B11AD9"/>
    <w:rsid w:val="00B12C06"/>
    <w:rsid w:val="00B15A12"/>
    <w:rsid w:val="00B16843"/>
    <w:rsid w:val="00B16DEB"/>
    <w:rsid w:val="00B211AD"/>
    <w:rsid w:val="00B215C4"/>
    <w:rsid w:val="00B24818"/>
    <w:rsid w:val="00B24860"/>
    <w:rsid w:val="00B24A81"/>
    <w:rsid w:val="00B24EA0"/>
    <w:rsid w:val="00B251B3"/>
    <w:rsid w:val="00B25545"/>
    <w:rsid w:val="00B25D2E"/>
    <w:rsid w:val="00B276E2"/>
    <w:rsid w:val="00B27A26"/>
    <w:rsid w:val="00B3048B"/>
    <w:rsid w:val="00B30A96"/>
    <w:rsid w:val="00B31F4C"/>
    <w:rsid w:val="00B31F7E"/>
    <w:rsid w:val="00B36775"/>
    <w:rsid w:val="00B40032"/>
    <w:rsid w:val="00B40CB1"/>
    <w:rsid w:val="00B44787"/>
    <w:rsid w:val="00B44AE2"/>
    <w:rsid w:val="00B4508D"/>
    <w:rsid w:val="00B45BD3"/>
    <w:rsid w:val="00B54013"/>
    <w:rsid w:val="00B5679C"/>
    <w:rsid w:val="00B571D9"/>
    <w:rsid w:val="00B57B24"/>
    <w:rsid w:val="00B602BA"/>
    <w:rsid w:val="00B64194"/>
    <w:rsid w:val="00B65289"/>
    <w:rsid w:val="00B66F4B"/>
    <w:rsid w:val="00B70C8B"/>
    <w:rsid w:val="00B75809"/>
    <w:rsid w:val="00B759D9"/>
    <w:rsid w:val="00B76064"/>
    <w:rsid w:val="00B76536"/>
    <w:rsid w:val="00B7792C"/>
    <w:rsid w:val="00B817C6"/>
    <w:rsid w:val="00B8244D"/>
    <w:rsid w:val="00B830F4"/>
    <w:rsid w:val="00B8528B"/>
    <w:rsid w:val="00B86BA4"/>
    <w:rsid w:val="00B9162E"/>
    <w:rsid w:val="00B94048"/>
    <w:rsid w:val="00BA15C8"/>
    <w:rsid w:val="00BA30E2"/>
    <w:rsid w:val="00BA3F76"/>
    <w:rsid w:val="00BA551B"/>
    <w:rsid w:val="00BA6212"/>
    <w:rsid w:val="00BA79A9"/>
    <w:rsid w:val="00BB10A1"/>
    <w:rsid w:val="00BB32D7"/>
    <w:rsid w:val="00BB656F"/>
    <w:rsid w:val="00BB6CFB"/>
    <w:rsid w:val="00BB7511"/>
    <w:rsid w:val="00BC05EE"/>
    <w:rsid w:val="00BC5380"/>
    <w:rsid w:val="00BC6606"/>
    <w:rsid w:val="00BD101A"/>
    <w:rsid w:val="00BD44A5"/>
    <w:rsid w:val="00BD5B49"/>
    <w:rsid w:val="00BD6AB1"/>
    <w:rsid w:val="00BD7DCD"/>
    <w:rsid w:val="00BD7E17"/>
    <w:rsid w:val="00BE0F1E"/>
    <w:rsid w:val="00BE1813"/>
    <w:rsid w:val="00BE20FA"/>
    <w:rsid w:val="00BE2FC4"/>
    <w:rsid w:val="00BE3646"/>
    <w:rsid w:val="00BF4295"/>
    <w:rsid w:val="00BF5705"/>
    <w:rsid w:val="00BF7987"/>
    <w:rsid w:val="00C015FB"/>
    <w:rsid w:val="00C04C84"/>
    <w:rsid w:val="00C061E3"/>
    <w:rsid w:val="00C0692A"/>
    <w:rsid w:val="00C06EF0"/>
    <w:rsid w:val="00C10034"/>
    <w:rsid w:val="00C131D4"/>
    <w:rsid w:val="00C14225"/>
    <w:rsid w:val="00C1517B"/>
    <w:rsid w:val="00C15E1C"/>
    <w:rsid w:val="00C17570"/>
    <w:rsid w:val="00C176EE"/>
    <w:rsid w:val="00C2045A"/>
    <w:rsid w:val="00C21602"/>
    <w:rsid w:val="00C21E8A"/>
    <w:rsid w:val="00C226F5"/>
    <w:rsid w:val="00C236B2"/>
    <w:rsid w:val="00C25493"/>
    <w:rsid w:val="00C301AC"/>
    <w:rsid w:val="00C306B1"/>
    <w:rsid w:val="00C3230C"/>
    <w:rsid w:val="00C32A74"/>
    <w:rsid w:val="00C34D52"/>
    <w:rsid w:val="00C360D8"/>
    <w:rsid w:val="00C3685A"/>
    <w:rsid w:val="00C368DA"/>
    <w:rsid w:val="00C41125"/>
    <w:rsid w:val="00C4178B"/>
    <w:rsid w:val="00C42271"/>
    <w:rsid w:val="00C47A88"/>
    <w:rsid w:val="00C50FCC"/>
    <w:rsid w:val="00C518F9"/>
    <w:rsid w:val="00C51F5E"/>
    <w:rsid w:val="00C5226F"/>
    <w:rsid w:val="00C53626"/>
    <w:rsid w:val="00C542B7"/>
    <w:rsid w:val="00C54AD6"/>
    <w:rsid w:val="00C55B4A"/>
    <w:rsid w:val="00C57131"/>
    <w:rsid w:val="00C64FAA"/>
    <w:rsid w:val="00C65C08"/>
    <w:rsid w:val="00C717EE"/>
    <w:rsid w:val="00C71EFD"/>
    <w:rsid w:val="00C72036"/>
    <w:rsid w:val="00C7414C"/>
    <w:rsid w:val="00C7469A"/>
    <w:rsid w:val="00C806AB"/>
    <w:rsid w:val="00C8091C"/>
    <w:rsid w:val="00C81B5B"/>
    <w:rsid w:val="00C81E7A"/>
    <w:rsid w:val="00C81FDA"/>
    <w:rsid w:val="00C825C5"/>
    <w:rsid w:val="00C844B6"/>
    <w:rsid w:val="00C909AE"/>
    <w:rsid w:val="00C944AB"/>
    <w:rsid w:val="00C94747"/>
    <w:rsid w:val="00C96895"/>
    <w:rsid w:val="00C975F9"/>
    <w:rsid w:val="00CA5FC9"/>
    <w:rsid w:val="00CA6284"/>
    <w:rsid w:val="00CB00D5"/>
    <w:rsid w:val="00CB1622"/>
    <w:rsid w:val="00CB32C7"/>
    <w:rsid w:val="00CB706A"/>
    <w:rsid w:val="00CB7D4A"/>
    <w:rsid w:val="00CC14E9"/>
    <w:rsid w:val="00CC4E06"/>
    <w:rsid w:val="00CC5882"/>
    <w:rsid w:val="00CC630D"/>
    <w:rsid w:val="00CC6CAF"/>
    <w:rsid w:val="00CC7AD3"/>
    <w:rsid w:val="00CD0E36"/>
    <w:rsid w:val="00CD0F40"/>
    <w:rsid w:val="00CD1054"/>
    <w:rsid w:val="00CD200E"/>
    <w:rsid w:val="00CD270F"/>
    <w:rsid w:val="00CD42F5"/>
    <w:rsid w:val="00CD5DB1"/>
    <w:rsid w:val="00CE33F1"/>
    <w:rsid w:val="00CE52E7"/>
    <w:rsid w:val="00CE7674"/>
    <w:rsid w:val="00CF1581"/>
    <w:rsid w:val="00CF1FB8"/>
    <w:rsid w:val="00CF5E69"/>
    <w:rsid w:val="00CF67B1"/>
    <w:rsid w:val="00CF6CC8"/>
    <w:rsid w:val="00CF7342"/>
    <w:rsid w:val="00D010F6"/>
    <w:rsid w:val="00D0196D"/>
    <w:rsid w:val="00D03189"/>
    <w:rsid w:val="00D03C71"/>
    <w:rsid w:val="00D055EB"/>
    <w:rsid w:val="00D05E34"/>
    <w:rsid w:val="00D07168"/>
    <w:rsid w:val="00D1323A"/>
    <w:rsid w:val="00D1384E"/>
    <w:rsid w:val="00D14DA0"/>
    <w:rsid w:val="00D164BB"/>
    <w:rsid w:val="00D16BD4"/>
    <w:rsid w:val="00D1725F"/>
    <w:rsid w:val="00D21A4C"/>
    <w:rsid w:val="00D21C42"/>
    <w:rsid w:val="00D23401"/>
    <w:rsid w:val="00D248DD"/>
    <w:rsid w:val="00D32766"/>
    <w:rsid w:val="00D36D8D"/>
    <w:rsid w:val="00D36E65"/>
    <w:rsid w:val="00D412E9"/>
    <w:rsid w:val="00D41E48"/>
    <w:rsid w:val="00D423AF"/>
    <w:rsid w:val="00D43B46"/>
    <w:rsid w:val="00D51633"/>
    <w:rsid w:val="00D51BDF"/>
    <w:rsid w:val="00D56575"/>
    <w:rsid w:val="00D5668C"/>
    <w:rsid w:val="00D56784"/>
    <w:rsid w:val="00D60349"/>
    <w:rsid w:val="00D63BD5"/>
    <w:rsid w:val="00D640E0"/>
    <w:rsid w:val="00D64153"/>
    <w:rsid w:val="00D6701A"/>
    <w:rsid w:val="00D70F4B"/>
    <w:rsid w:val="00D727A8"/>
    <w:rsid w:val="00D73C5E"/>
    <w:rsid w:val="00D76FB7"/>
    <w:rsid w:val="00D80AD4"/>
    <w:rsid w:val="00D81783"/>
    <w:rsid w:val="00D819DE"/>
    <w:rsid w:val="00D8604C"/>
    <w:rsid w:val="00D86113"/>
    <w:rsid w:val="00D863DB"/>
    <w:rsid w:val="00D872FC"/>
    <w:rsid w:val="00D873FE"/>
    <w:rsid w:val="00DA13C8"/>
    <w:rsid w:val="00DA49EA"/>
    <w:rsid w:val="00DA4E24"/>
    <w:rsid w:val="00DA585A"/>
    <w:rsid w:val="00DA6C0D"/>
    <w:rsid w:val="00DA7F5D"/>
    <w:rsid w:val="00DB5E1E"/>
    <w:rsid w:val="00DC0B03"/>
    <w:rsid w:val="00DC18B8"/>
    <w:rsid w:val="00DC277E"/>
    <w:rsid w:val="00DC33F1"/>
    <w:rsid w:val="00DC3B5F"/>
    <w:rsid w:val="00DC4166"/>
    <w:rsid w:val="00DC48B2"/>
    <w:rsid w:val="00DC7A2A"/>
    <w:rsid w:val="00DD16E4"/>
    <w:rsid w:val="00DD2C40"/>
    <w:rsid w:val="00DD38C9"/>
    <w:rsid w:val="00DD6082"/>
    <w:rsid w:val="00DE0858"/>
    <w:rsid w:val="00DE242F"/>
    <w:rsid w:val="00DE37B6"/>
    <w:rsid w:val="00DE4049"/>
    <w:rsid w:val="00DE4CB8"/>
    <w:rsid w:val="00DF3EC0"/>
    <w:rsid w:val="00DF7A97"/>
    <w:rsid w:val="00E00125"/>
    <w:rsid w:val="00E01A5D"/>
    <w:rsid w:val="00E0209D"/>
    <w:rsid w:val="00E07223"/>
    <w:rsid w:val="00E114C8"/>
    <w:rsid w:val="00E1165F"/>
    <w:rsid w:val="00E11AEA"/>
    <w:rsid w:val="00E139DC"/>
    <w:rsid w:val="00E1749A"/>
    <w:rsid w:val="00E206C4"/>
    <w:rsid w:val="00E21317"/>
    <w:rsid w:val="00E22BAC"/>
    <w:rsid w:val="00E25C9D"/>
    <w:rsid w:val="00E26AA5"/>
    <w:rsid w:val="00E26CFF"/>
    <w:rsid w:val="00E30F27"/>
    <w:rsid w:val="00E31DD5"/>
    <w:rsid w:val="00E34474"/>
    <w:rsid w:val="00E34E56"/>
    <w:rsid w:val="00E35F64"/>
    <w:rsid w:val="00E409CD"/>
    <w:rsid w:val="00E42049"/>
    <w:rsid w:val="00E439F4"/>
    <w:rsid w:val="00E4473F"/>
    <w:rsid w:val="00E5353A"/>
    <w:rsid w:val="00E559DB"/>
    <w:rsid w:val="00E561F9"/>
    <w:rsid w:val="00E60EC4"/>
    <w:rsid w:val="00E60FCD"/>
    <w:rsid w:val="00E63C1A"/>
    <w:rsid w:val="00E65F84"/>
    <w:rsid w:val="00E70504"/>
    <w:rsid w:val="00E72775"/>
    <w:rsid w:val="00E7306F"/>
    <w:rsid w:val="00E764BD"/>
    <w:rsid w:val="00E7704F"/>
    <w:rsid w:val="00E81AA6"/>
    <w:rsid w:val="00E82843"/>
    <w:rsid w:val="00E8294A"/>
    <w:rsid w:val="00E834F4"/>
    <w:rsid w:val="00E83FFD"/>
    <w:rsid w:val="00E8444C"/>
    <w:rsid w:val="00E85264"/>
    <w:rsid w:val="00E864A1"/>
    <w:rsid w:val="00E90FA8"/>
    <w:rsid w:val="00E916BD"/>
    <w:rsid w:val="00E92242"/>
    <w:rsid w:val="00E92A45"/>
    <w:rsid w:val="00E96673"/>
    <w:rsid w:val="00EA7851"/>
    <w:rsid w:val="00EB009A"/>
    <w:rsid w:val="00EB31E2"/>
    <w:rsid w:val="00EB400F"/>
    <w:rsid w:val="00EB5A2C"/>
    <w:rsid w:val="00EC006F"/>
    <w:rsid w:val="00EC13CC"/>
    <w:rsid w:val="00EC17DA"/>
    <w:rsid w:val="00EC2916"/>
    <w:rsid w:val="00EC3F88"/>
    <w:rsid w:val="00EC4E57"/>
    <w:rsid w:val="00EC5C31"/>
    <w:rsid w:val="00EC7649"/>
    <w:rsid w:val="00EC79A6"/>
    <w:rsid w:val="00ED096E"/>
    <w:rsid w:val="00ED0A73"/>
    <w:rsid w:val="00ED2FCF"/>
    <w:rsid w:val="00ED3235"/>
    <w:rsid w:val="00ED3AD6"/>
    <w:rsid w:val="00ED5309"/>
    <w:rsid w:val="00EE24B8"/>
    <w:rsid w:val="00EE2778"/>
    <w:rsid w:val="00EE3483"/>
    <w:rsid w:val="00EE6CFC"/>
    <w:rsid w:val="00EE7C55"/>
    <w:rsid w:val="00EF11EE"/>
    <w:rsid w:val="00EF1E28"/>
    <w:rsid w:val="00EF30DA"/>
    <w:rsid w:val="00EF4850"/>
    <w:rsid w:val="00EF5130"/>
    <w:rsid w:val="00EF69C6"/>
    <w:rsid w:val="00EF71FD"/>
    <w:rsid w:val="00F019CD"/>
    <w:rsid w:val="00F02844"/>
    <w:rsid w:val="00F02A33"/>
    <w:rsid w:val="00F1281B"/>
    <w:rsid w:val="00F131DE"/>
    <w:rsid w:val="00F1325F"/>
    <w:rsid w:val="00F173C5"/>
    <w:rsid w:val="00F213A7"/>
    <w:rsid w:val="00F2146C"/>
    <w:rsid w:val="00F239C2"/>
    <w:rsid w:val="00F23B2C"/>
    <w:rsid w:val="00F24673"/>
    <w:rsid w:val="00F25F8C"/>
    <w:rsid w:val="00F26418"/>
    <w:rsid w:val="00F26DA1"/>
    <w:rsid w:val="00F27192"/>
    <w:rsid w:val="00F31B4B"/>
    <w:rsid w:val="00F33522"/>
    <w:rsid w:val="00F355DE"/>
    <w:rsid w:val="00F37ADF"/>
    <w:rsid w:val="00F40951"/>
    <w:rsid w:val="00F42174"/>
    <w:rsid w:val="00F43F87"/>
    <w:rsid w:val="00F44E02"/>
    <w:rsid w:val="00F469ED"/>
    <w:rsid w:val="00F51666"/>
    <w:rsid w:val="00F52720"/>
    <w:rsid w:val="00F53740"/>
    <w:rsid w:val="00F543EB"/>
    <w:rsid w:val="00F55932"/>
    <w:rsid w:val="00F601D1"/>
    <w:rsid w:val="00F60F86"/>
    <w:rsid w:val="00F65D6A"/>
    <w:rsid w:val="00F66047"/>
    <w:rsid w:val="00F675E7"/>
    <w:rsid w:val="00F726B2"/>
    <w:rsid w:val="00F730CB"/>
    <w:rsid w:val="00F73C05"/>
    <w:rsid w:val="00F748BB"/>
    <w:rsid w:val="00F74A32"/>
    <w:rsid w:val="00F77349"/>
    <w:rsid w:val="00F77707"/>
    <w:rsid w:val="00F801E4"/>
    <w:rsid w:val="00F8048C"/>
    <w:rsid w:val="00F822FC"/>
    <w:rsid w:val="00F82BE3"/>
    <w:rsid w:val="00F849D8"/>
    <w:rsid w:val="00F85978"/>
    <w:rsid w:val="00F878FC"/>
    <w:rsid w:val="00F91A21"/>
    <w:rsid w:val="00F91C00"/>
    <w:rsid w:val="00F9790E"/>
    <w:rsid w:val="00FA03F6"/>
    <w:rsid w:val="00FA29C5"/>
    <w:rsid w:val="00FA2F5C"/>
    <w:rsid w:val="00FA50F8"/>
    <w:rsid w:val="00FB002B"/>
    <w:rsid w:val="00FB0A8F"/>
    <w:rsid w:val="00FB650C"/>
    <w:rsid w:val="00FB6DB5"/>
    <w:rsid w:val="00FC0FF4"/>
    <w:rsid w:val="00FC16A8"/>
    <w:rsid w:val="00FC1DA3"/>
    <w:rsid w:val="00FC2E75"/>
    <w:rsid w:val="00FC5F23"/>
    <w:rsid w:val="00FC61F5"/>
    <w:rsid w:val="00FC6818"/>
    <w:rsid w:val="00FD3C8D"/>
    <w:rsid w:val="00FD573F"/>
    <w:rsid w:val="00FD6C93"/>
    <w:rsid w:val="00FD7A78"/>
    <w:rsid w:val="00FE15A2"/>
    <w:rsid w:val="00FE17B6"/>
    <w:rsid w:val="00FE1D54"/>
    <w:rsid w:val="00FE5A3A"/>
    <w:rsid w:val="00FE5D50"/>
    <w:rsid w:val="00FF2289"/>
    <w:rsid w:val="00FF2798"/>
    <w:rsid w:val="00FF3208"/>
    <w:rsid w:val="00FF4A2F"/>
    <w:rsid w:val="00FF52FD"/>
    <w:rsid w:val="00FF5627"/>
    <w:rsid w:val="00FF62EC"/>
    <w:rsid w:val="00FF6C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5BD056B"/>
  <w15:docId w15:val="{9B0F9AB7-6030-48CA-B789-5B0AFB7F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heme="minorEastAsia" w:hAnsi="Cambria" w:cs="Cambri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42F"/>
    <w:rPr>
      <w:rFonts w:cs="Times New Roman"/>
      <w:sz w:val="24"/>
      <w:szCs w:val="24"/>
      <w:lang w:val="en-GB" w:eastAsia="fr-FR"/>
    </w:rPr>
  </w:style>
  <w:style w:type="paragraph" w:styleId="Heading1">
    <w:name w:val="heading 1"/>
    <w:basedOn w:val="Normal"/>
    <w:next w:val="Normal"/>
    <w:link w:val="Heading1Char"/>
    <w:uiPriority w:val="9"/>
    <w:rsid w:val="009C134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5B05E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242F"/>
    <w:pPr>
      <w:ind w:left="720"/>
      <w:contextualSpacing/>
    </w:pPr>
  </w:style>
  <w:style w:type="paragraph" w:styleId="FootnoteText">
    <w:name w:val="footnote text"/>
    <w:basedOn w:val="Normal"/>
    <w:link w:val="FootnoteTextChar"/>
    <w:uiPriority w:val="99"/>
    <w:unhideWhenUsed/>
    <w:rsid w:val="0062242F"/>
  </w:style>
  <w:style w:type="character" w:customStyle="1" w:styleId="FootnoteTextChar">
    <w:name w:val="Footnote Text Char"/>
    <w:link w:val="FootnoteText"/>
    <w:uiPriority w:val="99"/>
    <w:locked/>
    <w:rsid w:val="0062242F"/>
    <w:rPr>
      <w:rFonts w:cs="Times New Roman"/>
    </w:rPr>
  </w:style>
  <w:style w:type="character" w:styleId="FootnoteReference">
    <w:name w:val="footnote reference"/>
    <w:uiPriority w:val="99"/>
    <w:unhideWhenUsed/>
    <w:rsid w:val="0062242F"/>
    <w:rPr>
      <w:rFonts w:cs="Times New Roman"/>
      <w:vertAlign w:val="superscript"/>
    </w:rPr>
  </w:style>
  <w:style w:type="paragraph" w:styleId="BalloonText">
    <w:name w:val="Balloon Text"/>
    <w:basedOn w:val="Normal"/>
    <w:link w:val="BalloonTextChar"/>
    <w:uiPriority w:val="99"/>
    <w:semiHidden/>
    <w:unhideWhenUsed/>
    <w:rsid w:val="0062242F"/>
    <w:rPr>
      <w:rFonts w:ascii="Lucida Grande" w:hAnsi="Lucida Grande" w:cs="Lucida Grande"/>
      <w:sz w:val="18"/>
      <w:szCs w:val="18"/>
    </w:rPr>
  </w:style>
  <w:style w:type="character" w:customStyle="1" w:styleId="BalloonTextChar">
    <w:name w:val="Balloon Text Char"/>
    <w:link w:val="BalloonText"/>
    <w:uiPriority w:val="99"/>
    <w:semiHidden/>
    <w:locked/>
    <w:rsid w:val="0062242F"/>
    <w:rPr>
      <w:rFonts w:ascii="Lucida Grande" w:hAnsi="Lucida Grande" w:cs="Lucida Grande"/>
      <w:sz w:val="18"/>
      <w:szCs w:val="18"/>
    </w:rPr>
  </w:style>
  <w:style w:type="character" w:styleId="Hyperlink">
    <w:name w:val="Hyperlink"/>
    <w:uiPriority w:val="99"/>
    <w:unhideWhenUsed/>
    <w:rsid w:val="00315BB0"/>
    <w:rPr>
      <w:rFonts w:cs="Times New Roman"/>
      <w:color w:val="0000FF"/>
      <w:u w:val="single"/>
    </w:rPr>
  </w:style>
  <w:style w:type="paragraph" w:styleId="Header">
    <w:name w:val="header"/>
    <w:basedOn w:val="Normal"/>
    <w:link w:val="HeaderChar"/>
    <w:uiPriority w:val="99"/>
    <w:unhideWhenUsed/>
    <w:rsid w:val="00BC6606"/>
    <w:pPr>
      <w:tabs>
        <w:tab w:val="center" w:pos="4536"/>
        <w:tab w:val="right" w:pos="9072"/>
      </w:tabs>
    </w:pPr>
  </w:style>
  <w:style w:type="character" w:customStyle="1" w:styleId="HeaderChar">
    <w:name w:val="Header Char"/>
    <w:link w:val="Header"/>
    <w:uiPriority w:val="99"/>
    <w:locked/>
    <w:rsid w:val="00BC6606"/>
    <w:rPr>
      <w:rFonts w:cs="Times New Roman"/>
    </w:rPr>
  </w:style>
  <w:style w:type="paragraph" w:styleId="Footer">
    <w:name w:val="footer"/>
    <w:basedOn w:val="Normal"/>
    <w:link w:val="FooterChar"/>
    <w:uiPriority w:val="99"/>
    <w:unhideWhenUsed/>
    <w:rsid w:val="00BC6606"/>
    <w:pPr>
      <w:tabs>
        <w:tab w:val="center" w:pos="4536"/>
        <w:tab w:val="right" w:pos="9072"/>
      </w:tabs>
    </w:pPr>
  </w:style>
  <w:style w:type="character" w:customStyle="1" w:styleId="FooterChar">
    <w:name w:val="Footer Char"/>
    <w:link w:val="Footer"/>
    <w:uiPriority w:val="99"/>
    <w:locked/>
    <w:rsid w:val="00BC6606"/>
    <w:rPr>
      <w:rFonts w:cs="Times New Roman"/>
    </w:rPr>
  </w:style>
  <w:style w:type="character" w:styleId="PageNumber">
    <w:name w:val="page number"/>
    <w:uiPriority w:val="99"/>
    <w:semiHidden/>
    <w:unhideWhenUsed/>
    <w:rsid w:val="00BC6606"/>
    <w:rPr>
      <w:rFonts w:cs="Times New Roman"/>
    </w:rPr>
  </w:style>
  <w:style w:type="character" w:styleId="CommentReference">
    <w:name w:val="annotation reference"/>
    <w:uiPriority w:val="99"/>
    <w:semiHidden/>
    <w:unhideWhenUsed/>
    <w:rsid w:val="0005553E"/>
    <w:rPr>
      <w:rFonts w:cs="Times New Roman"/>
      <w:sz w:val="16"/>
      <w:szCs w:val="16"/>
    </w:rPr>
  </w:style>
  <w:style w:type="paragraph" w:styleId="CommentText">
    <w:name w:val="annotation text"/>
    <w:basedOn w:val="Normal"/>
    <w:link w:val="CommentTextChar"/>
    <w:uiPriority w:val="99"/>
    <w:unhideWhenUsed/>
    <w:rsid w:val="0005553E"/>
    <w:rPr>
      <w:sz w:val="20"/>
      <w:szCs w:val="20"/>
    </w:rPr>
  </w:style>
  <w:style w:type="character" w:customStyle="1" w:styleId="CommentTextChar">
    <w:name w:val="Comment Text Char"/>
    <w:link w:val="CommentText"/>
    <w:uiPriority w:val="99"/>
    <w:locked/>
    <w:rsid w:val="0005553E"/>
    <w:rPr>
      <w:rFonts w:cs="Times New Roman"/>
      <w:sz w:val="20"/>
      <w:szCs w:val="20"/>
    </w:rPr>
  </w:style>
  <w:style w:type="paragraph" w:styleId="CommentSubject">
    <w:name w:val="annotation subject"/>
    <w:basedOn w:val="CommentText"/>
    <w:next w:val="CommentText"/>
    <w:link w:val="CommentSubjectChar"/>
    <w:uiPriority w:val="99"/>
    <w:semiHidden/>
    <w:unhideWhenUsed/>
    <w:rsid w:val="0005553E"/>
    <w:rPr>
      <w:b/>
      <w:bCs/>
    </w:rPr>
  </w:style>
  <w:style w:type="character" w:customStyle="1" w:styleId="CommentSubjectChar">
    <w:name w:val="Comment Subject Char"/>
    <w:link w:val="CommentSubject"/>
    <w:uiPriority w:val="99"/>
    <w:semiHidden/>
    <w:locked/>
    <w:rsid w:val="0005553E"/>
    <w:rPr>
      <w:rFonts w:cs="Times New Roman"/>
      <w:b/>
      <w:bCs/>
      <w:sz w:val="20"/>
      <w:szCs w:val="20"/>
    </w:rPr>
  </w:style>
  <w:style w:type="paragraph" w:styleId="Revision">
    <w:name w:val="Revision"/>
    <w:hidden/>
    <w:uiPriority w:val="99"/>
    <w:semiHidden/>
    <w:rsid w:val="00D51633"/>
    <w:rPr>
      <w:rFonts w:cs="Times New Roman"/>
      <w:sz w:val="24"/>
      <w:szCs w:val="24"/>
      <w:lang w:val="en-GB" w:eastAsia="fr-FR"/>
    </w:rPr>
  </w:style>
  <w:style w:type="table" w:styleId="TableGrid">
    <w:name w:val="Table Grid"/>
    <w:basedOn w:val="TableNormal"/>
    <w:uiPriority w:val="59"/>
    <w:rsid w:val="006456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uiPriority w:val="99"/>
    <w:semiHidden/>
    <w:rsid w:val="00D86113"/>
    <w:rPr>
      <w:rFonts w:cs="Times New Roman"/>
      <w:sz w:val="20"/>
      <w:szCs w:val="20"/>
    </w:rPr>
  </w:style>
  <w:style w:type="character" w:customStyle="1" w:styleId="PieddepageCar">
    <w:name w:val="Pied de page Car"/>
    <w:semiHidden/>
    <w:rsid w:val="00E34E56"/>
    <w:rPr>
      <w:rFonts w:ascii="Arial" w:hAnsi="Arial" w:cs="Times New Roman"/>
      <w:noProof/>
      <w:sz w:val="20"/>
      <w:szCs w:val="20"/>
      <w:lang w:eastAsia="de-CH"/>
    </w:rPr>
  </w:style>
  <w:style w:type="paragraph" w:styleId="PlainText">
    <w:name w:val="Plain Text"/>
    <w:basedOn w:val="Normal"/>
    <w:link w:val="PlainTextChar"/>
    <w:uiPriority w:val="99"/>
    <w:unhideWhenUsed/>
    <w:rsid w:val="005C2739"/>
    <w:rPr>
      <w:rFonts w:ascii="Calibri" w:hAnsi="Calibri"/>
      <w:sz w:val="22"/>
      <w:szCs w:val="21"/>
      <w:lang w:eastAsia="en-US"/>
    </w:rPr>
  </w:style>
  <w:style w:type="character" w:customStyle="1" w:styleId="PlainTextChar">
    <w:name w:val="Plain Text Char"/>
    <w:link w:val="PlainText"/>
    <w:uiPriority w:val="99"/>
    <w:locked/>
    <w:rsid w:val="005C2739"/>
    <w:rPr>
      <w:rFonts w:ascii="Calibri" w:eastAsia="Times New Roman" w:hAnsi="Calibri" w:cs="Times New Roman"/>
      <w:sz w:val="21"/>
      <w:szCs w:val="21"/>
      <w:lang w:val="x-none" w:eastAsia="en-US"/>
    </w:rPr>
  </w:style>
  <w:style w:type="character" w:styleId="FollowedHyperlink">
    <w:name w:val="FollowedHyperlink"/>
    <w:uiPriority w:val="99"/>
    <w:semiHidden/>
    <w:unhideWhenUsed/>
    <w:rsid w:val="00E1749A"/>
    <w:rPr>
      <w:rFonts w:cs="Times New Roman"/>
      <w:color w:val="800080"/>
      <w:u w:val="single"/>
    </w:rPr>
  </w:style>
  <w:style w:type="paragraph" w:styleId="NormalWeb">
    <w:name w:val="Normal (Web)"/>
    <w:basedOn w:val="Normal"/>
    <w:uiPriority w:val="99"/>
    <w:unhideWhenUsed/>
    <w:rsid w:val="004202F9"/>
    <w:pPr>
      <w:spacing w:before="100" w:beforeAutospacing="1" w:after="100" w:afterAutospacing="1"/>
    </w:pPr>
    <w:rPr>
      <w:rFonts w:ascii="Times New Roman" w:hAnsi="Times New Roman"/>
      <w:lang w:eastAsia="en-GB"/>
    </w:rPr>
  </w:style>
  <w:style w:type="paragraph" w:styleId="NoSpacing">
    <w:name w:val="No Spacing"/>
    <w:uiPriority w:val="1"/>
    <w:rsid w:val="0083629D"/>
    <w:rPr>
      <w:rFonts w:cs="Times New Roman"/>
      <w:sz w:val="24"/>
      <w:szCs w:val="24"/>
      <w:lang w:val="en-GB" w:eastAsia="fr-FR"/>
    </w:rPr>
  </w:style>
  <w:style w:type="character" w:styleId="PlaceholderText">
    <w:name w:val="Placeholder Text"/>
    <w:uiPriority w:val="99"/>
    <w:semiHidden/>
    <w:rsid w:val="00CB7D4A"/>
    <w:rPr>
      <w:rFonts w:cs="Times New Roman"/>
      <w:color w:val="808080"/>
    </w:rPr>
  </w:style>
  <w:style w:type="paragraph" w:customStyle="1" w:styleId="DRPara">
    <w:name w:val="DR Para"/>
    <w:basedOn w:val="ListParagraph"/>
    <w:link w:val="DRParaChar"/>
    <w:qFormat/>
    <w:rsid w:val="00853601"/>
    <w:pPr>
      <w:numPr>
        <w:numId w:val="2"/>
      </w:numPr>
      <w:spacing w:after="240"/>
      <w:ind w:left="425" w:hanging="425"/>
      <w:contextualSpacing w:val="0"/>
    </w:pPr>
    <w:rPr>
      <w:rFonts w:ascii="Calibri" w:hAnsi="Calibri"/>
      <w:sz w:val="22"/>
      <w:szCs w:val="22"/>
    </w:rPr>
  </w:style>
  <w:style w:type="character" w:customStyle="1" w:styleId="ListParagraphChar">
    <w:name w:val="List Paragraph Char"/>
    <w:basedOn w:val="DefaultParagraphFont"/>
    <w:link w:val="ListParagraph"/>
    <w:uiPriority w:val="34"/>
    <w:rsid w:val="00853601"/>
    <w:rPr>
      <w:rFonts w:cs="Times New Roman"/>
      <w:sz w:val="24"/>
      <w:szCs w:val="24"/>
      <w:lang w:val="en-GB" w:eastAsia="fr-FR"/>
    </w:rPr>
  </w:style>
  <w:style w:type="character" w:customStyle="1" w:styleId="DRParaChar">
    <w:name w:val="DR Para Char"/>
    <w:basedOn w:val="ListParagraphChar"/>
    <w:link w:val="DRPara"/>
    <w:rsid w:val="00853601"/>
    <w:rPr>
      <w:rFonts w:ascii="Calibri" w:hAnsi="Calibri" w:cs="Times New Roman"/>
      <w:sz w:val="22"/>
      <w:szCs w:val="22"/>
      <w:lang w:val="en-GB" w:eastAsia="fr-FR"/>
    </w:rPr>
  </w:style>
  <w:style w:type="character" w:customStyle="1" w:styleId="Heading2Char">
    <w:name w:val="Heading 2 Char"/>
    <w:basedOn w:val="DefaultParagraphFont"/>
    <w:link w:val="Heading2"/>
    <w:uiPriority w:val="9"/>
    <w:semiHidden/>
    <w:rsid w:val="005B05E9"/>
    <w:rPr>
      <w:rFonts w:asciiTheme="majorHAnsi" w:eastAsiaTheme="majorEastAsia" w:hAnsiTheme="majorHAnsi" w:cstheme="majorBidi"/>
      <w:color w:val="2E74B5" w:themeColor="accent1" w:themeShade="BF"/>
      <w:sz w:val="26"/>
      <w:szCs w:val="26"/>
      <w:lang w:val="en-GB" w:eastAsia="fr-FR"/>
    </w:rPr>
  </w:style>
  <w:style w:type="paragraph" w:customStyle="1" w:styleId="DRText">
    <w:name w:val="DR Text"/>
    <w:basedOn w:val="Normal"/>
    <w:link w:val="DRTextChar"/>
    <w:qFormat/>
    <w:rsid w:val="006312C0"/>
    <w:rPr>
      <w:rFonts w:ascii="Calibri" w:hAnsi="Calibri"/>
      <w:sz w:val="22"/>
      <w:szCs w:val="22"/>
      <w:lang w:val="en-US" w:eastAsia="en-US"/>
    </w:rPr>
  </w:style>
  <w:style w:type="character" w:customStyle="1" w:styleId="DRTextChar">
    <w:name w:val="DR Text Char"/>
    <w:basedOn w:val="DefaultParagraphFont"/>
    <w:link w:val="DRText"/>
    <w:rsid w:val="006312C0"/>
    <w:rPr>
      <w:rFonts w:ascii="Calibri" w:hAnsi="Calibri" w:cs="Times New Roman"/>
      <w:sz w:val="22"/>
      <w:szCs w:val="22"/>
    </w:rPr>
  </w:style>
  <w:style w:type="paragraph" w:customStyle="1" w:styleId="DRHeading1">
    <w:name w:val="DR Heading 1"/>
    <w:basedOn w:val="Normal"/>
    <w:link w:val="DRHeading1Char"/>
    <w:qFormat/>
    <w:rsid w:val="006312C0"/>
    <w:rPr>
      <w:rFonts w:ascii="Calibri" w:hAnsi="Calibri"/>
      <w:b/>
      <w:bCs/>
      <w:sz w:val="22"/>
      <w:szCs w:val="22"/>
      <w:lang w:val="en-US" w:eastAsia="en-US"/>
    </w:rPr>
  </w:style>
  <w:style w:type="character" w:customStyle="1" w:styleId="DRHeading1Char">
    <w:name w:val="DR Heading 1 Char"/>
    <w:basedOn w:val="DefaultParagraphFont"/>
    <w:link w:val="DRHeading1"/>
    <w:rsid w:val="006312C0"/>
    <w:rPr>
      <w:rFonts w:ascii="Calibri" w:hAnsi="Calibri" w:cs="Times New Roman"/>
      <w:b/>
      <w:bCs/>
      <w:sz w:val="22"/>
      <w:szCs w:val="22"/>
    </w:rPr>
  </w:style>
  <w:style w:type="character" w:customStyle="1" w:styleId="Heading1Char">
    <w:name w:val="Heading 1 Char"/>
    <w:basedOn w:val="DefaultParagraphFont"/>
    <w:link w:val="Heading1"/>
    <w:uiPriority w:val="9"/>
    <w:rsid w:val="009C1347"/>
    <w:rPr>
      <w:rFonts w:asciiTheme="majorHAnsi" w:eastAsiaTheme="majorEastAsia" w:hAnsiTheme="majorHAnsi" w:cstheme="majorBidi"/>
      <w:color w:val="2E74B5" w:themeColor="accent1" w:themeShade="BF"/>
      <w:sz w:val="32"/>
      <w:szCs w:val="32"/>
      <w:lang w:val="en-GB" w:eastAsia="fr-FR"/>
    </w:rPr>
  </w:style>
  <w:style w:type="paragraph" w:customStyle="1" w:styleId="AnnexText">
    <w:name w:val="Annex Text"/>
    <w:basedOn w:val="DRText"/>
    <w:link w:val="AnnexTextChar"/>
    <w:qFormat/>
    <w:rsid w:val="00154B49"/>
    <w:pPr>
      <w:numPr>
        <w:numId w:val="3"/>
      </w:numPr>
      <w:spacing w:after="240"/>
      <w:ind w:left="425" w:hanging="425"/>
    </w:pPr>
  </w:style>
  <w:style w:type="character" w:customStyle="1" w:styleId="AnnexTextChar">
    <w:name w:val="Annex Text Char"/>
    <w:basedOn w:val="DRTextChar"/>
    <w:link w:val="AnnexText"/>
    <w:rsid w:val="00154B49"/>
    <w:rPr>
      <w:rFonts w:ascii="Calibri" w:hAnsi="Calibri" w:cs="Times New Roman"/>
      <w:sz w:val="22"/>
      <w:szCs w:val="22"/>
    </w:rPr>
  </w:style>
  <w:style w:type="paragraph" w:customStyle="1" w:styleId="AnnexH1">
    <w:name w:val="Annex H1"/>
    <w:basedOn w:val="DRText"/>
    <w:link w:val="AnnexH1Char"/>
    <w:qFormat/>
    <w:rsid w:val="00154B49"/>
    <w:pPr>
      <w:spacing w:after="240"/>
    </w:pPr>
    <w:rPr>
      <w:u w:val="single"/>
    </w:rPr>
  </w:style>
  <w:style w:type="character" w:customStyle="1" w:styleId="AnnexH1Char">
    <w:name w:val="Annex H1 Char"/>
    <w:basedOn w:val="DRTextChar"/>
    <w:link w:val="AnnexH1"/>
    <w:rsid w:val="00154B49"/>
    <w:rPr>
      <w:rFonts w:ascii="Calibri" w:hAnsi="Calibri" w:cs="Times New Roman"/>
      <w:sz w:val="22"/>
      <w:szCs w:val="22"/>
      <w:u w:val="single"/>
    </w:rPr>
  </w:style>
  <w:style w:type="paragraph" w:customStyle="1" w:styleId="Annexbullet">
    <w:name w:val="Annex bullet"/>
    <w:basedOn w:val="ListParagraph"/>
    <w:link w:val="AnnexbulletChar"/>
    <w:qFormat/>
    <w:rsid w:val="008B46AB"/>
    <w:pPr>
      <w:numPr>
        <w:numId w:val="1"/>
      </w:numPr>
      <w:spacing w:after="240"/>
      <w:ind w:hanging="295"/>
    </w:pPr>
    <w:rPr>
      <w:rFonts w:ascii="Calibri" w:hAnsi="Calibri" w:cs="Calibri"/>
      <w:sz w:val="22"/>
      <w:szCs w:val="22"/>
    </w:rPr>
  </w:style>
  <w:style w:type="character" w:customStyle="1" w:styleId="AnnexbulletChar">
    <w:name w:val="Annex bullet Char"/>
    <w:basedOn w:val="ListParagraphChar"/>
    <w:link w:val="Annexbullet"/>
    <w:rsid w:val="008B46AB"/>
    <w:rPr>
      <w:rFonts w:ascii="Calibri" w:hAnsi="Calibri" w:cs="Calibri"/>
      <w:sz w:val="22"/>
      <w:szCs w:val="22"/>
      <w:lang w:val="en-GB" w:eastAsia="fr-FR"/>
    </w:rPr>
  </w:style>
  <w:style w:type="paragraph" w:customStyle="1" w:styleId="AnnexFig">
    <w:name w:val="Annex Fig"/>
    <w:basedOn w:val="AnnexText"/>
    <w:link w:val="AnnexFigChar"/>
    <w:qFormat/>
    <w:rsid w:val="00686A60"/>
    <w:pPr>
      <w:numPr>
        <w:numId w:val="0"/>
      </w:numPr>
    </w:pPr>
    <w:rPr>
      <w:b/>
      <w:bCs/>
    </w:rPr>
  </w:style>
  <w:style w:type="character" w:customStyle="1" w:styleId="AnnexFigChar">
    <w:name w:val="Annex Fig Char"/>
    <w:basedOn w:val="AnnexTextChar"/>
    <w:link w:val="AnnexFig"/>
    <w:rsid w:val="00686A60"/>
    <w:rPr>
      <w:rFonts w:ascii="Calibri" w:hAnsi="Calibri" w:cs="Times New Roman"/>
      <w:b/>
      <w:bCs/>
      <w:sz w:val="22"/>
      <w:szCs w:val="22"/>
    </w:rPr>
  </w:style>
  <w:style w:type="paragraph" w:customStyle="1" w:styleId="Default">
    <w:name w:val="Default"/>
    <w:rsid w:val="00670E29"/>
    <w:pPr>
      <w:autoSpaceDE w:val="0"/>
      <w:autoSpaceDN w:val="0"/>
      <w:adjustRightInd w:val="0"/>
    </w:pPr>
    <w:rPr>
      <w:rFonts w:ascii="Myriad" w:hAnsi="Myriad" w:cs="Myriad"/>
      <w:color w:val="000000"/>
      <w:sz w:val="24"/>
      <w:szCs w:val="24"/>
    </w:rPr>
  </w:style>
  <w:style w:type="character" w:styleId="LineNumber">
    <w:name w:val="line number"/>
    <w:basedOn w:val="DefaultParagraphFont"/>
    <w:uiPriority w:val="99"/>
    <w:semiHidden/>
    <w:unhideWhenUsed/>
    <w:rsid w:val="00B1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16986">
      <w:bodyDiv w:val="1"/>
      <w:marLeft w:val="0"/>
      <w:marRight w:val="0"/>
      <w:marTop w:val="0"/>
      <w:marBottom w:val="0"/>
      <w:divBdr>
        <w:top w:val="none" w:sz="0" w:space="0" w:color="auto"/>
        <w:left w:val="none" w:sz="0" w:space="0" w:color="auto"/>
        <w:bottom w:val="none" w:sz="0" w:space="0" w:color="auto"/>
        <w:right w:val="none" w:sz="0" w:space="0" w:color="auto"/>
      </w:divBdr>
    </w:div>
    <w:div w:id="260334908">
      <w:marLeft w:val="120"/>
      <w:marRight w:val="120"/>
      <w:marTop w:val="0"/>
      <w:marBottom w:val="120"/>
      <w:divBdr>
        <w:top w:val="none" w:sz="0" w:space="0" w:color="auto"/>
        <w:left w:val="none" w:sz="0" w:space="0" w:color="auto"/>
        <w:bottom w:val="none" w:sz="0" w:space="0" w:color="auto"/>
        <w:right w:val="none" w:sz="0" w:space="0" w:color="auto"/>
      </w:divBdr>
      <w:divsChild>
        <w:div w:id="260334903">
          <w:marLeft w:val="0"/>
          <w:marRight w:val="0"/>
          <w:marTop w:val="0"/>
          <w:marBottom w:val="0"/>
          <w:divBdr>
            <w:top w:val="none" w:sz="0" w:space="0" w:color="auto"/>
            <w:left w:val="none" w:sz="0" w:space="0" w:color="auto"/>
            <w:bottom w:val="none" w:sz="0" w:space="0" w:color="auto"/>
            <w:right w:val="none" w:sz="0" w:space="0" w:color="auto"/>
          </w:divBdr>
          <w:divsChild>
            <w:div w:id="260334905">
              <w:marLeft w:val="0"/>
              <w:marRight w:val="0"/>
              <w:marTop w:val="0"/>
              <w:marBottom w:val="0"/>
              <w:divBdr>
                <w:top w:val="none" w:sz="0" w:space="0" w:color="auto"/>
                <w:left w:val="none" w:sz="0" w:space="0" w:color="auto"/>
                <w:bottom w:val="none" w:sz="0" w:space="0" w:color="auto"/>
                <w:right w:val="none" w:sz="0" w:space="0" w:color="auto"/>
              </w:divBdr>
              <w:divsChild>
                <w:div w:id="2603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34909">
      <w:marLeft w:val="0"/>
      <w:marRight w:val="0"/>
      <w:marTop w:val="0"/>
      <w:marBottom w:val="0"/>
      <w:divBdr>
        <w:top w:val="none" w:sz="0" w:space="0" w:color="auto"/>
        <w:left w:val="none" w:sz="0" w:space="0" w:color="auto"/>
        <w:bottom w:val="none" w:sz="0" w:space="0" w:color="auto"/>
        <w:right w:val="none" w:sz="0" w:space="0" w:color="auto"/>
      </w:divBdr>
    </w:div>
    <w:div w:id="260334913">
      <w:marLeft w:val="0"/>
      <w:marRight w:val="0"/>
      <w:marTop w:val="0"/>
      <w:marBottom w:val="0"/>
      <w:divBdr>
        <w:top w:val="none" w:sz="0" w:space="0" w:color="auto"/>
        <w:left w:val="none" w:sz="0" w:space="0" w:color="auto"/>
        <w:bottom w:val="none" w:sz="0" w:space="0" w:color="auto"/>
        <w:right w:val="none" w:sz="0" w:space="0" w:color="auto"/>
      </w:divBdr>
      <w:divsChild>
        <w:div w:id="260334904">
          <w:marLeft w:val="547"/>
          <w:marRight w:val="0"/>
          <w:marTop w:val="72"/>
          <w:marBottom w:val="0"/>
          <w:divBdr>
            <w:top w:val="none" w:sz="0" w:space="0" w:color="auto"/>
            <w:left w:val="none" w:sz="0" w:space="0" w:color="auto"/>
            <w:bottom w:val="none" w:sz="0" w:space="0" w:color="auto"/>
            <w:right w:val="none" w:sz="0" w:space="0" w:color="auto"/>
          </w:divBdr>
        </w:div>
        <w:div w:id="260334910">
          <w:marLeft w:val="547"/>
          <w:marRight w:val="0"/>
          <w:marTop w:val="72"/>
          <w:marBottom w:val="0"/>
          <w:divBdr>
            <w:top w:val="none" w:sz="0" w:space="0" w:color="auto"/>
            <w:left w:val="none" w:sz="0" w:space="0" w:color="auto"/>
            <w:bottom w:val="none" w:sz="0" w:space="0" w:color="auto"/>
            <w:right w:val="none" w:sz="0" w:space="0" w:color="auto"/>
          </w:divBdr>
        </w:div>
        <w:div w:id="260334911">
          <w:marLeft w:val="547"/>
          <w:marRight w:val="0"/>
          <w:marTop w:val="72"/>
          <w:marBottom w:val="0"/>
          <w:divBdr>
            <w:top w:val="none" w:sz="0" w:space="0" w:color="auto"/>
            <w:left w:val="none" w:sz="0" w:space="0" w:color="auto"/>
            <w:bottom w:val="none" w:sz="0" w:space="0" w:color="auto"/>
            <w:right w:val="none" w:sz="0" w:space="0" w:color="auto"/>
          </w:divBdr>
        </w:div>
        <w:div w:id="260334912">
          <w:marLeft w:val="547"/>
          <w:marRight w:val="0"/>
          <w:marTop w:val="72"/>
          <w:marBottom w:val="0"/>
          <w:divBdr>
            <w:top w:val="none" w:sz="0" w:space="0" w:color="auto"/>
            <w:left w:val="none" w:sz="0" w:space="0" w:color="auto"/>
            <w:bottom w:val="none" w:sz="0" w:space="0" w:color="auto"/>
            <w:right w:val="none" w:sz="0" w:space="0" w:color="auto"/>
          </w:divBdr>
        </w:div>
        <w:div w:id="260334915">
          <w:marLeft w:val="547"/>
          <w:marRight w:val="0"/>
          <w:marTop w:val="72"/>
          <w:marBottom w:val="0"/>
          <w:divBdr>
            <w:top w:val="none" w:sz="0" w:space="0" w:color="auto"/>
            <w:left w:val="none" w:sz="0" w:space="0" w:color="auto"/>
            <w:bottom w:val="none" w:sz="0" w:space="0" w:color="auto"/>
            <w:right w:val="none" w:sz="0" w:space="0" w:color="auto"/>
          </w:divBdr>
        </w:div>
        <w:div w:id="260334917">
          <w:marLeft w:val="547"/>
          <w:marRight w:val="0"/>
          <w:marTop w:val="72"/>
          <w:marBottom w:val="0"/>
          <w:divBdr>
            <w:top w:val="none" w:sz="0" w:space="0" w:color="auto"/>
            <w:left w:val="none" w:sz="0" w:space="0" w:color="auto"/>
            <w:bottom w:val="none" w:sz="0" w:space="0" w:color="auto"/>
            <w:right w:val="none" w:sz="0" w:space="0" w:color="auto"/>
          </w:divBdr>
        </w:div>
        <w:div w:id="260334919">
          <w:marLeft w:val="547"/>
          <w:marRight w:val="0"/>
          <w:marTop w:val="72"/>
          <w:marBottom w:val="0"/>
          <w:divBdr>
            <w:top w:val="none" w:sz="0" w:space="0" w:color="auto"/>
            <w:left w:val="none" w:sz="0" w:space="0" w:color="auto"/>
            <w:bottom w:val="none" w:sz="0" w:space="0" w:color="auto"/>
            <w:right w:val="none" w:sz="0" w:space="0" w:color="auto"/>
          </w:divBdr>
        </w:div>
      </w:divsChild>
    </w:div>
    <w:div w:id="260334916">
      <w:marLeft w:val="0"/>
      <w:marRight w:val="0"/>
      <w:marTop w:val="0"/>
      <w:marBottom w:val="0"/>
      <w:divBdr>
        <w:top w:val="none" w:sz="0" w:space="0" w:color="auto"/>
        <w:left w:val="none" w:sz="0" w:space="0" w:color="auto"/>
        <w:bottom w:val="none" w:sz="0" w:space="0" w:color="auto"/>
        <w:right w:val="none" w:sz="0" w:space="0" w:color="auto"/>
      </w:divBdr>
    </w:div>
    <w:div w:id="260334918">
      <w:marLeft w:val="120"/>
      <w:marRight w:val="120"/>
      <w:marTop w:val="0"/>
      <w:marBottom w:val="120"/>
      <w:divBdr>
        <w:top w:val="none" w:sz="0" w:space="0" w:color="auto"/>
        <w:left w:val="none" w:sz="0" w:space="0" w:color="auto"/>
        <w:bottom w:val="none" w:sz="0" w:space="0" w:color="auto"/>
        <w:right w:val="none" w:sz="0" w:space="0" w:color="auto"/>
      </w:divBdr>
      <w:divsChild>
        <w:div w:id="260334902">
          <w:marLeft w:val="0"/>
          <w:marRight w:val="0"/>
          <w:marTop w:val="0"/>
          <w:marBottom w:val="0"/>
          <w:divBdr>
            <w:top w:val="none" w:sz="0" w:space="0" w:color="auto"/>
            <w:left w:val="none" w:sz="0" w:space="0" w:color="auto"/>
            <w:bottom w:val="none" w:sz="0" w:space="0" w:color="auto"/>
            <w:right w:val="none" w:sz="0" w:space="0" w:color="auto"/>
          </w:divBdr>
          <w:divsChild>
            <w:div w:id="260334914">
              <w:marLeft w:val="0"/>
              <w:marRight w:val="0"/>
              <w:marTop w:val="0"/>
              <w:marBottom w:val="0"/>
              <w:divBdr>
                <w:top w:val="none" w:sz="0" w:space="0" w:color="auto"/>
                <w:left w:val="none" w:sz="0" w:space="0" w:color="auto"/>
                <w:bottom w:val="none" w:sz="0" w:space="0" w:color="auto"/>
                <w:right w:val="none" w:sz="0" w:space="0" w:color="auto"/>
              </w:divBdr>
              <w:divsChild>
                <w:div w:id="2603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1185">
      <w:bodyDiv w:val="1"/>
      <w:marLeft w:val="0"/>
      <w:marRight w:val="0"/>
      <w:marTop w:val="0"/>
      <w:marBottom w:val="0"/>
      <w:divBdr>
        <w:top w:val="none" w:sz="0" w:space="0" w:color="auto"/>
        <w:left w:val="none" w:sz="0" w:space="0" w:color="auto"/>
        <w:bottom w:val="none" w:sz="0" w:space="0" w:color="auto"/>
        <w:right w:val="none" w:sz="0" w:space="0" w:color="auto"/>
      </w:divBdr>
    </w:div>
    <w:div w:id="297103799">
      <w:bodyDiv w:val="1"/>
      <w:marLeft w:val="0"/>
      <w:marRight w:val="0"/>
      <w:marTop w:val="0"/>
      <w:marBottom w:val="0"/>
      <w:divBdr>
        <w:top w:val="none" w:sz="0" w:space="0" w:color="auto"/>
        <w:left w:val="none" w:sz="0" w:space="0" w:color="auto"/>
        <w:bottom w:val="none" w:sz="0" w:space="0" w:color="auto"/>
        <w:right w:val="none" w:sz="0" w:space="0" w:color="auto"/>
      </w:divBdr>
    </w:div>
    <w:div w:id="382800920">
      <w:bodyDiv w:val="1"/>
      <w:marLeft w:val="0"/>
      <w:marRight w:val="0"/>
      <w:marTop w:val="0"/>
      <w:marBottom w:val="0"/>
      <w:divBdr>
        <w:top w:val="none" w:sz="0" w:space="0" w:color="auto"/>
        <w:left w:val="none" w:sz="0" w:space="0" w:color="auto"/>
        <w:bottom w:val="none" w:sz="0" w:space="0" w:color="auto"/>
        <w:right w:val="none" w:sz="0" w:space="0" w:color="auto"/>
      </w:divBdr>
    </w:div>
    <w:div w:id="427776208">
      <w:bodyDiv w:val="1"/>
      <w:marLeft w:val="0"/>
      <w:marRight w:val="0"/>
      <w:marTop w:val="0"/>
      <w:marBottom w:val="0"/>
      <w:divBdr>
        <w:top w:val="none" w:sz="0" w:space="0" w:color="auto"/>
        <w:left w:val="none" w:sz="0" w:space="0" w:color="auto"/>
        <w:bottom w:val="none" w:sz="0" w:space="0" w:color="auto"/>
        <w:right w:val="none" w:sz="0" w:space="0" w:color="auto"/>
      </w:divBdr>
    </w:div>
    <w:div w:id="548421179">
      <w:bodyDiv w:val="1"/>
      <w:marLeft w:val="0"/>
      <w:marRight w:val="0"/>
      <w:marTop w:val="0"/>
      <w:marBottom w:val="0"/>
      <w:divBdr>
        <w:top w:val="none" w:sz="0" w:space="0" w:color="auto"/>
        <w:left w:val="none" w:sz="0" w:space="0" w:color="auto"/>
        <w:bottom w:val="none" w:sz="0" w:space="0" w:color="auto"/>
        <w:right w:val="none" w:sz="0" w:space="0" w:color="auto"/>
      </w:divBdr>
    </w:div>
    <w:div w:id="611128215">
      <w:bodyDiv w:val="1"/>
      <w:marLeft w:val="0"/>
      <w:marRight w:val="0"/>
      <w:marTop w:val="0"/>
      <w:marBottom w:val="0"/>
      <w:divBdr>
        <w:top w:val="none" w:sz="0" w:space="0" w:color="auto"/>
        <w:left w:val="none" w:sz="0" w:space="0" w:color="auto"/>
        <w:bottom w:val="none" w:sz="0" w:space="0" w:color="auto"/>
        <w:right w:val="none" w:sz="0" w:space="0" w:color="auto"/>
      </w:divBdr>
    </w:div>
    <w:div w:id="759448774">
      <w:bodyDiv w:val="1"/>
      <w:marLeft w:val="0"/>
      <w:marRight w:val="0"/>
      <w:marTop w:val="0"/>
      <w:marBottom w:val="0"/>
      <w:divBdr>
        <w:top w:val="none" w:sz="0" w:space="0" w:color="auto"/>
        <w:left w:val="none" w:sz="0" w:space="0" w:color="auto"/>
        <w:bottom w:val="none" w:sz="0" w:space="0" w:color="auto"/>
        <w:right w:val="none" w:sz="0" w:space="0" w:color="auto"/>
      </w:divBdr>
    </w:div>
    <w:div w:id="815075192">
      <w:bodyDiv w:val="1"/>
      <w:marLeft w:val="0"/>
      <w:marRight w:val="0"/>
      <w:marTop w:val="0"/>
      <w:marBottom w:val="0"/>
      <w:divBdr>
        <w:top w:val="none" w:sz="0" w:space="0" w:color="auto"/>
        <w:left w:val="none" w:sz="0" w:space="0" w:color="auto"/>
        <w:bottom w:val="none" w:sz="0" w:space="0" w:color="auto"/>
        <w:right w:val="none" w:sz="0" w:space="0" w:color="auto"/>
      </w:divBdr>
    </w:div>
    <w:div w:id="958224251">
      <w:bodyDiv w:val="1"/>
      <w:marLeft w:val="0"/>
      <w:marRight w:val="0"/>
      <w:marTop w:val="0"/>
      <w:marBottom w:val="0"/>
      <w:divBdr>
        <w:top w:val="none" w:sz="0" w:space="0" w:color="auto"/>
        <w:left w:val="none" w:sz="0" w:space="0" w:color="auto"/>
        <w:bottom w:val="none" w:sz="0" w:space="0" w:color="auto"/>
        <w:right w:val="none" w:sz="0" w:space="0" w:color="auto"/>
      </w:divBdr>
    </w:div>
    <w:div w:id="1106730355">
      <w:bodyDiv w:val="1"/>
      <w:marLeft w:val="0"/>
      <w:marRight w:val="0"/>
      <w:marTop w:val="0"/>
      <w:marBottom w:val="0"/>
      <w:divBdr>
        <w:top w:val="none" w:sz="0" w:space="0" w:color="auto"/>
        <w:left w:val="none" w:sz="0" w:space="0" w:color="auto"/>
        <w:bottom w:val="none" w:sz="0" w:space="0" w:color="auto"/>
        <w:right w:val="none" w:sz="0" w:space="0" w:color="auto"/>
      </w:divBdr>
    </w:div>
    <w:div w:id="1139148907">
      <w:bodyDiv w:val="1"/>
      <w:marLeft w:val="0"/>
      <w:marRight w:val="0"/>
      <w:marTop w:val="0"/>
      <w:marBottom w:val="0"/>
      <w:divBdr>
        <w:top w:val="none" w:sz="0" w:space="0" w:color="auto"/>
        <w:left w:val="none" w:sz="0" w:space="0" w:color="auto"/>
        <w:bottom w:val="none" w:sz="0" w:space="0" w:color="auto"/>
        <w:right w:val="none" w:sz="0" w:space="0" w:color="auto"/>
      </w:divBdr>
    </w:div>
    <w:div w:id="1158183622">
      <w:bodyDiv w:val="1"/>
      <w:marLeft w:val="0"/>
      <w:marRight w:val="0"/>
      <w:marTop w:val="0"/>
      <w:marBottom w:val="0"/>
      <w:divBdr>
        <w:top w:val="none" w:sz="0" w:space="0" w:color="auto"/>
        <w:left w:val="none" w:sz="0" w:space="0" w:color="auto"/>
        <w:bottom w:val="none" w:sz="0" w:space="0" w:color="auto"/>
        <w:right w:val="none" w:sz="0" w:space="0" w:color="auto"/>
      </w:divBdr>
    </w:div>
    <w:div w:id="1231426962">
      <w:bodyDiv w:val="1"/>
      <w:marLeft w:val="0"/>
      <w:marRight w:val="0"/>
      <w:marTop w:val="0"/>
      <w:marBottom w:val="0"/>
      <w:divBdr>
        <w:top w:val="none" w:sz="0" w:space="0" w:color="auto"/>
        <w:left w:val="none" w:sz="0" w:space="0" w:color="auto"/>
        <w:bottom w:val="none" w:sz="0" w:space="0" w:color="auto"/>
        <w:right w:val="none" w:sz="0" w:space="0" w:color="auto"/>
      </w:divBdr>
    </w:div>
    <w:div w:id="1331442916">
      <w:bodyDiv w:val="1"/>
      <w:marLeft w:val="0"/>
      <w:marRight w:val="0"/>
      <w:marTop w:val="0"/>
      <w:marBottom w:val="0"/>
      <w:divBdr>
        <w:top w:val="none" w:sz="0" w:space="0" w:color="auto"/>
        <w:left w:val="none" w:sz="0" w:space="0" w:color="auto"/>
        <w:bottom w:val="none" w:sz="0" w:space="0" w:color="auto"/>
        <w:right w:val="none" w:sz="0" w:space="0" w:color="auto"/>
      </w:divBdr>
    </w:div>
    <w:div w:id="1725718474">
      <w:bodyDiv w:val="1"/>
      <w:marLeft w:val="0"/>
      <w:marRight w:val="0"/>
      <w:marTop w:val="0"/>
      <w:marBottom w:val="0"/>
      <w:divBdr>
        <w:top w:val="none" w:sz="0" w:space="0" w:color="auto"/>
        <w:left w:val="none" w:sz="0" w:space="0" w:color="auto"/>
        <w:bottom w:val="none" w:sz="0" w:space="0" w:color="auto"/>
        <w:right w:val="none" w:sz="0" w:space="0" w:color="auto"/>
      </w:divBdr>
    </w:div>
    <w:div w:id="1766413560">
      <w:bodyDiv w:val="1"/>
      <w:marLeft w:val="0"/>
      <w:marRight w:val="0"/>
      <w:marTop w:val="0"/>
      <w:marBottom w:val="0"/>
      <w:divBdr>
        <w:top w:val="none" w:sz="0" w:space="0" w:color="auto"/>
        <w:left w:val="none" w:sz="0" w:space="0" w:color="auto"/>
        <w:bottom w:val="none" w:sz="0" w:space="0" w:color="auto"/>
        <w:right w:val="none" w:sz="0" w:space="0" w:color="auto"/>
      </w:divBdr>
    </w:div>
    <w:div w:id="1775711275">
      <w:bodyDiv w:val="1"/>
      <w:marLeft w:val="0"/>
      <w:marRight w:val="0"/>
      <w:marTop w:val="0"/>
      <w:marBottom w:val="0"/>
      <w:divBdr>
        <w:top w:val="none" w:sz="0" w:space="0" w:color="auto"/>
        <w:left w:val="none" w:sz="0" w:space="0" w:color="auto"/>
        <w:bottom w:val="none" w:sz="0" w:space="0" w:color="auto"/>
        <w:right w:val="none" w:sz="0" w:space="0" w:color="auto"/>
      </w:divBdr>
    </w:div>
    <w:div w:id="1787499126">
      <w:bodyDiv w:val="1"/>
      <w:marLeft w:val="0"/>
      <w:marRight w:val="0"/>
      <w:marTop w:val="0"/>
      <w:marBottom w:val="0"/>
      <w:divBdr>
        <w:top w:val="none" w:sz="0" w:space="0" w:color="auto"/>
        <w:left w:val="none" w:sz="0" w:space="0" w:color="auto"/>
        <w:bottom w:val="none" w:sz="0" w:space="0" w:color="auto"/>
        <w:right w:val="none" w:sz="0" w:space="0" w:color="auto"/>
      </w:divBdr>
      <w:divsChild>
        <w:div w:id="1643122074">
          <w:marLeft w:val="0"/>
          <w:marRight w:val="0"/>
          <w:marTop w:val="0"/>
          <w:marBottom w:val="0"/>
          <w:divBdr>
            <w:top w:val="none" w:sz="0" w:space="0" w:color="auto"/>
            <w:left w:val="none" w:sz="0" w:space="0" w:color="auto"/>
            <w:bottom w:val="none" w:sz="0" w:space="0" w:color="auto"/>
            <w:right w:val="none" w:sz="0" w:space="0" w:color="auto"/>
          </w:divBdr>
        </w:div>
      </w:divsChild>
    </w:div>
    <w:div w:id="1841503490">
      <w:bodyDiv w:val="1"/>
      <w:marLeft w:val="0"/>
      <w:marRight w:val="0"/>
      <w:marTop w:val="0"/>
      <w:marBottom w:val="0"/>
      <w:divBdr>
        <w:top w:val="none" w:sz="0" w:space="0" w:color="auto"/>
        <w:left w:val="none" w:sz="0" w:space="0" w:color="auto"/>
        <w:bottom w:val="none" w:sz="0" w:space="0" w:color="auto"/>
        <w:right w:val="none" w:sz="0" w:space="0" w:color="auto"/>
      </w:divBdr>
    </w:div>
    <w:div w:id="2031948052">
      <w:bodyDiv w:val="1"/>
      <w:marLeft w:val="0"/>
      <w:marRight w:val="0"/>
      <w:marTop w:val="0"/>
      <w:marBottom w:val="0"/>
      <w:divBdr>
        <w:top w:val="none" w:sz="0" w:space="0" w:color="auto"/>
        <w:left w:val="none" w:sz="0" w:space="0" w:color="auto"/>
        <w:bottom w:val="none" w:sz="0" w:space="0" w:color="auto"/>
        <w:right w:val="none" w:sz="0" w:space="0" w:color="auto"/>
      </w:divBdr>
      <w:divsChild>
        <w:div w:id="195339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a2dff7-4331-4a95-9af9-6b2cd4e65ac3">
      <Terms xmlns="http://schemas.microsoft.com/office/infopath/2007/PartnerControls"/>
    </lcf76f155ced4ddcb4097134ff3c332f>
    <TaxCatchAll xmlns="ecaa2b1f-0678-4421-92e9-1090174541b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EE0E1D656D104D9982CB97F943D824" ma:contentTypeVersion="15" ma:contentTypeDescription="Create a new document." ma:contentTypeScope="" ma:versionID="8456ff96afa6b4ad4973873891214925">
  <xsd:schema xmlns:xsd="http://www.w3.org/2001/XMLSchema" xmlns:xs="http://www.w3.org/2001/XMLSchema" xmlns:p="http://schemas.microsoft.com/office/2006/metadata/properties" xmlns:ns2="a3a2dff7-4331-4a95-9af9-6b2cd4e65ac3" xmlns:ns3="ecaa2b1f-0678-4421-92e9-1090174541bd" targetNamespace="http://schemas.microsoft.com/office/2006/metadata/properties" ma:root="true" ma:fieldsID="b2a4fbd3c925dd17abe58bf570dfe939" ns2:_="" ns3:_="">
    <xsd:import namespace="a3a2dff7-4331-4a95-9af9-6b2cd4e65ac3"/>
    <xsd:import namespace="ecaa2b1f-0678-4421-92e9-109017454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a2dff7-4331-4a95-9af9-6b2cd4e65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e8566c-cd23-4427-80f6-db2d3da7b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a2b1f-0678-4421-92e9-1090174541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9765f46-9ff9-428c-9541-663e9a6be89c}" ma:internalName="TaxCatchAll" ma:showField="CatchAllData" ma:web="ecaa2b1f-0678-4421-92e9-109017454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F154-6F78-4265-8115-20343B2D1CAA}">
  <ds:schemaRefs>
    <ds:schemaRef ds:uri="http://schemas.microsoft.com/office/2006/metadata/properties"/>
    <ds:schemaRef ds:uri="http://schemas.microsoft.com/office/infopath/2007/PartnerControls"/>
    <ds:schemaRef ds:uri="a3a2dff7-4331-4a95-9af9-6b2cd4e65ac3"/>
    <ds:schemaRef ds:uri="ecaa2b1f-0678-4421-92e9-1090174541bd"/>
  </ds:schemaRefs>
</ds:datastoreItem>
</file>

<file path=customXml/itemProps2.xml><?xml version="1.0" encoding="utf-8"?>
<ds:datastoreItem xmlns:ds="http://schemas.openxmlformats.org/officeDocument/2006/customXml" ds:itemID="{A3901ED2-D527-4EDE-8502-32AAD8E0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a2dff7-4331-4a95-9af9-6b2cd4e65ac3"/>
    <ds:schemaRef ds:uri="ecaa2b1f-0678-4421-92e9-109017454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2EAF6-9296-4788-81E9-873B715926CF}">
  <ds:schemaRefs>
    <ds:schemaRef ds:uri="http://schemas.microsoft.com/sharepoint/v3/contenttype/forms"/>
  </ds:schemaRefs>
</ds:datastoreItem>
</file>

<file path=customXml/itemProps4.xml><?xml version="1.0" encoding="utf-8"?>
<ds:datastoreItem xmlns:ds="http://schemas.openxmlformats.org/officeDocument/2006/customXml" ds:itemID="{22AB3A36-F252-42ED-AAC2-FB19B46E9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3142</Words>
  <Characters>17830</Characters>
  <Application>Microsoft Office Word</Application>
  <DocSecurity>0</DocSecurity>
  <Lines>148</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Ympäristöhallinto</Company>
  <LinksUpToDate>false</LinksUpToDate>
  <CharactersWithSpaces>20931</CharactersWithSpaces>
  <SharedDoc>false</SharedDoc>
  <HLinks>
    <vt:vector size="18" baseType="variant">
      <vt:variant>
        <vt:i4>5439611</vt:i4>
      </vt:variant>
      <vt:variant>
        <vt:i4>6</vt:i4>
      </vt:variant>
      <vt:variant>
        <vt:i4>0</vt:i4>
      </vt:variant>
      <vt:variant>
        <vt:i4>5</vt:i4>
      </vt:variant>
      <vt:variant>
        <vt:lpwstr>http://www.ramsar.org/cda/en/ramsar-documents-strategicplansc47/main/ramsar/1-31-605_4000_0__</vt:lpwstr>
      </vt:variant>
      <vt:variant>
        <vt:lpwstr/>
      </vt:variant>
      <vt:variant>
        <vt:i4>7667755</vt:i4>
      </vt:variant>
      <vt:variant>
        <vt:i4>3</vt:i4>
      </vt:variant>
      <vt:variant>
        <vt:i4>0</vt:i4>
      </vt:variant>
      <vt:variant>
        <vt:i4>5</vt:i4>
      </vt:variant>
      <vt:variant>
        <vt:lpwstr>https://www.cbd.int/gbo4advance</vt:lpwstr>
      </vt:variant>
      <vt:variant>
        <vt:lpwstr/>
      </vt:variant>
      <vt:variant>
        <vt:i4>4194355</vt:i4>
      </vt:variant>
      <vt:variant>
        <vt:i4>0</vt:i4>
      </vt:variant>
      <vt:variant>
        <vt:i4>0</vt:i4>
      </vt:variant>
      <vt:variant>
        <vt:i4>5</vt:i4>
      </vt:variant>
      <vt:variant>
        <vt:lpwstr>http://www.cdc.gov/healthywater/global/wash_statistics.html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Republic of Korea</dc:creator>
  <cp:lastModifiedBy>JENNINGS Edmund</cp:lastModifiedBy>
  <cp:revision>2</cp:revision>
  <cp:lastPrinted>2015-02-19T18:23:00Z</cp:lastPrinted>
  <dcterms:created xsi:type="dcterms:W3CDTF">2024-12-05T14:04:00Z</dcterms:created>
  <dcterms:modified xsi:type="dcterms:W3CDTF">2024-12-05T14:04:00Z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0x01010084EE0E1D656D104D9982CB97F943D824</vt:lpwstr>
  </property>
</Properties>
</file>