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210D" w14:textId="476372F7" w:rsidR="0091380A" w:rsidRPr="00955B28"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bookmarkStart w:id="0" w:name="OLE_LINK1"/>
      <w:r w:rsidRPr="00955B28">
        <w:rPr>
          <w:rFonts w:asciiTheme="minorHAnsi" w:hAnsiTheme="minorHAnsi"/>
          <w:bCs/>
          <w:sz w:val="22"/>
          <w:szCs w:val="22"/>
        </w:rPr>
        <w:t>LA CONVENCIÓN SOBRE LOS HUMEDALES</w:t>
      </w:r>
    </w:p>
    <w:p w14:paraId="438ABE53" w14:textId="7FBEDC31" w:rsidR="0091380A" w:rsidRPr="00955B28"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955B28">
        <w:rPr>
          <w:rFonts w:asciiTheme="minorHAnsi" w:hAnsiTheme="minorHAnsi"/>
          <w:bCs/>
          <w:sz w:val="22"/>
          <w:szCs w:val="22"/>
        </w:rPr>
        <w:t>64ª reunión del Comité Permanente</w:t>
      </w:r>
    </w:p>
    <w:p w14:paraId="3CB43E62" w14:textId="384EE590" w:rsidR="0091380A" w:rsidRPr="00955B28"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955B28">
        <w:rPr>
          <w:rFonts w:asciiTheme="minorHAnsi" w:hAnsiTheme="minorHAnsi"/>
          <w:bCs/>
          <w:sz w:val="22"/>
          <w:szCs w:val="22"/>
        </w:rPr>
        <w:t>Gland, Suiza, 20 a 24 de enero de 2025</w:t>
      </w:r>
    </w:p>
    <w:p w14:paraId="69CA1356" w14:textId="77777777" w:rsidR="0091380A" w:rsidRPr="00970581" w:rsidRDefault="0091380A" w:rsidP="0091380A">
      <w:pPr>
        <w:tabs>
          <w:tab w:val="left" w:pos="10650"/>
          <w:tab w:val="right" w:pos="13958"/>
        </w:tabs>
        <w:jc w:val="right"/>
        <w:rPr>
          <w:rFonts w:asciiTheme="minorHAnsi" w:hAnsiTheme="minorHAnsi" w:cstheme="minorHAnsi"/>
          <w:b/>
          <w:sz w:val="28"/>
          <w:szCs w:val="28"/>
        </w:rPr>
      </w:pPr>
    </w:p>
    <w:p w14:paraId="0854AD00" w14:textId="61A69B74" w:rsidR="0091380A" w:rsidRPr="00970581" w:rsidRDefault="0091380A" w:rsidP="0091380A">
      <w:pPr>
        <w:tabs>
          <w:tab w:val="left" w:pos="10650"/>
          <w:tab w:val="right" w:pos="13958"/>
        </w:tabs>
        <w:jc w:val="right"/>
        <w:rPr>
          <w:rFonts w:asciiTheme="minorHAnsi" w:hAnsiTheme="minorHAnsi" w:cstheme="minorHAnsi"/>
          <w:sz w:val="28"/>
          <w:szCs w:val="28"/>
        </w:rPr>
      </w:pPr>
      <w:r>
        <w:rPr>
          <w:rFonts w:asciiTheme="minorHAnsi" w:hAnsiTheme="minorHAnsi"/>
          <w:b/>
          <w:sz w:val="28"/>
          <w:szCs w:val="28"/>
        </w:rPr>
        <w:t>SC64 Doc.11</w:t>
      </w:r>
    </w:p>
    <w:p w14:paraId="337D9BE9" w14:textId="77777777" w:rsidR="0091380A" w:rsidRPr="00970581" w:rsidRDefault="0091380A" w:rsidP="0091380A">
      <w:pPr>
        <w:rPr>
          <w:rFonts w:asciiTheme="minorHAnsi" w:hAnsiTheme="minorHAnsi" w:cstheme="minorHAnsi"/>
          <w:b/>
          <w:sz w:val="28"/>
          <w:szCs w:val="28"/>
        </w:rPr>
      </w:pPr>
    </w:p>
    <w:p w14:paraId="6D2E9B00" w14:textId="00A9246B" w:rsidR="004C1845" w:rsidRPr="0091380A" w:rsidRDefault="0091380A" w:rsidP="0091380A">
      <w:pPr>
        <w:jc w:val="center"/>
        <w:rPr>
          <w:rFonts w:ascii="Calibri" w:hAnsi="Calibri"/>
          <w:sz w:val="28"/>
          <w:szCs w:val="28"/>
        </w:rPr>
      </w:pPr>
      <w:r>
        <w:rPr>
          <w:rFonts w:asciiTheme="minorHAnsi" w:hAnsiTheme="minorHAnsi"/>
          <w:b/>
          <w:sz w:val="28"/>
          <w:szCs w:val="28"/>
        </w:rPr>
        <w:t>Informe del Grupo de Trabajo sobre el Plan Estratégico</w:t>
      </w:r>
    </w:p>
    <w:p w14:paraId="2FFD5340" w14:textId="08A2194D" w:rsidR="004C1845" w:rsidRPr="0091380A" w:rsidRDefault="004C1845" w:rsidP="004C1845">
      <w:pPr>
        <w:ind w:right="16"/>
        <w:rPr>
          <w:rFonts w:ascii="Calibri" w:hAnsi="Calibri"/>
          <w:b/>
          <w:bCs/>
          <w:sz w:val="28"/>
          <w:szCs w:val="28"/>
        </w:rPr>
      </w:pPr>
    </w:p>
    <w:p w14:paraId="246F88A8" w14:textId="3BFE9F23" w:rsidR="004C1845" w:rsidRPr="000574D9" w:rsidRDefault="00A774C1" w:rsidP="004C1845">
      <w:pPr>
        <w:jc w:val="center"/>
        <w:rPr>
          <w:rFonts w:ascii="Calibri" w:hAnsi="Calibri"/>
          <w:b/>
          <w:bCs/>
          <w:sz w:val="28"/>
          <w:szCs w:val="28"/>
        </w:rPr>
      </w:pPr>
      <w:r>
        <w:rPr>
          <w:rFonts w:asciiTheme="minorHAnsi" w:hAnsiTheme="minorHAnsi"/>
          <w:noProof/>
          <w:color w:val="2B579A"/>
          <w:shd w:val="clear" w:color="auto" w:fill="E6E6E6"/>
        </w:rPr>
        <mc:AlternateContent>
          <mc:Choice Requires="wps">
            <w:drawing>
              <wp:inline distT="0" distB="0" distL="0" distR="0" wp14:anchorId="26126D59" wp14:editId="675D90F5">
                <wp:extent cx="5740052" cy="1656567"/>
                <wp:effectExtent l="0" t="0" r="13335"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052" cy="1656567"/>
                        </a:xfrm>
                        <a:prstGeom prst="rect">
                          <a:avLst/>
                        </a:prstGeom>
                        <a:solidFill>
                          <a:srgbClr val="FFFFFF"/>
                        </a:solidFill>
                        <a:ln w="9525">
                          <a:solidFill>
                            <a:srgbClr val="000000"/>
                          </a:solidFill>
                          <a:miter lim="800000"/>
                          <a:headEnd/>
                          <a:tailEnd/>
                        </a:ln>
                      </wps:spPr>
                      <wps:txbx>
                        <w:txbxContent>
                          <w:p w14:paraId="2A72017D" w14:textId="16FDD8D2" w:rsidR="00A774C1" w:rsidRPr="00955B28" w:rsidRDefault="00A774C1" w:rsidP="00A774C1">
                            <w:pPr>
                              <w:rPr>
                                <w:rFonts w:ascii="Calibri" w:hAnsi="Calibri" w:cs="Calibri"/>
                                <w:b/>
                                <w:bCs/>
                              </w:rPr>
                            </w:pPr>
                            <w:r w:rsidRPr="00955B28">
                              <w:rPr>
                                <w:rFonts w:ascii="Calibri" w:hAnsi="Calibri" w:cs="Calibri"/>
                                <w:b/>
                                <w:bCs/>
                              </w:rPr>
                              <w:t xml:space="preserve">Acción solicitada: </w:t>
                            </w:r>
                          </w:p>
                          <w:p w14:paraId="72AFD373" w14:textId="77777777" w:rsidR="00A774C1" w:rsidRDefault="00A774C1" w:rsidP="00A774C1">
                            <w:pPr>
                              <w:pStyle w:val="ColorfulList-Accent11"/>
                              <w:ind w:left="0"/>
                            </w:pPr>
                          </w:p>
                          <w:p w14:paraId="5E4FE813" w14:textId="69CAE8E8" w:rsidR="00A774C1" w:rsidRPr="00B70BF4" w:rsidRDefault="00A774C1" w:rsidP="00A774C1">
                            <w:pPr>
                              <w:pStyle w:val="ColorfulList-Accent11"/>
                              <w:ind w:left="0" w:firstLine="0"/>
                              <w:rPr>
                                <w:rFonts w:cs="Calibri"/>
                              </w:rPr>
                            </w:pPr>
                            <w:r>
                              <w:t>Se invita al Comité Permanente a:</w:t>
                            </w:r>
                          </w:p>
                          <w:p w14:paraId="3A870023" w14:textId="77777777" w:rsidR="00A774C1" w:rsidRPr="00B70BF4" w:rsidRDefault="00A774C1" w:rsidP="00A774C1">
                            <w:pPr>
                              <w:pStyle w:val="ColorfulList-Accent11"/>
                              <w:ind w:left="425"/>
                              <w:rPr>
                                <w:rFonts w:cs="Calibri"/>
                              </w:rPr>
                            </w:pPr>
                          </w:p>
                          <w:p w14:paraId="681D1362" w14:textId="2291B448" w:rsidR="00A774C1" w:rsidRPr="00B70BF4" w:rsidRDefault="00A774C1" w:rsidP="00A774C1">
                            <w:pPr>
                              <w:pStyle w:val="ColorfulList-Accent11"/>
                              <w:ind w:left="425"/>
                              <w:rPr>
                                <w:rFonts w:cs="Calibri"/>
                              </w:rPr>
                            </w:pPr>
                            <w:r>
                              <w:t>i.</w:t>
                            </w:r>
                            <w:r>
                              <w:tab/>
                              <w:t>tomar nota del informe sobre los progresos realizados por el Grupo de Trabajo sobre el Plan Estratégico (GTPE); y</w:t>
                            </w:r>
                          </w:p>
                          <w:p w14:paraId="3E7D7A2F" w14:textId="77777777" w:rsidR="00A774C1" w:rsidRPr="00B70BF4" w:rsidRDefault="00A774C1" w:rsidP="00A774C1">
                            <w:pPr>
                              <w:pStyle w:val="ColorfulList-Accent11"/>
                              <w:ind w:left="425"/>
                            </w:pPr>
                          </w:p>
                          <w:p w14:paraId="6EC51FE8" w14:textId="2DA24A5B" w:rsidR="00A774C1" w:rsidRPr="00B70BF4" w:rsidRDefault="00A774C1" w:rsidP="00A774C1">
                            <w:pPr>
                              <w:pStyle w:val="ColorfulList-Accent11"/>
                              <w:ind w:left="425"/>
                              <w:rPr>
                                <w:rFonts w:cs="Calibri"/>
                              </w:rPr>
                            </w:pPr>
                            <w:r>
                              <w:t>ii.</w:t>
                            </w:r>
                            <w:r>
                              <w:tab/>
                              <w:t>examinar el proyecto de resolución, incluido el proyecto de Quinto Plan Estratégico, que figura en los anexos adjuntos.</w:t>
                            </w:r>
                          </w:p>
                          <w:p w14:paraId="1B660863" w14:textId="77777777" w:rsidR="00A774C1" w:rsidRPr="00B70BF4" w:rsidRDefault="00A774C1" w:rsidP="00A774C1">
                            <w:pPr>
                              <w:pStyle w:val="ColorfulList-Accent11"/>
                              <w:ind w:left="425"/>
                              <w:rPr>
                                <w:rFonts w:cs="Calibri"/>
                              </w:rPr>
                            </w:pPr>
                          </w:p>
                        </w:txbxContent>
                      </wps:txbx>
                      <wps:bodyPr rot="0" vert="horz" wrap="square" lIns="91440" tIns="45720" rIns="91440" bIns="45720" anchor="t" anchorCtr="0" upright="1">
                        <a:noAutofit/>
                      </wps:bodyPr>
                    </wps:wsp>
                  </a:graphicData>
                </a:graphic>
              </wp:inline>
            </w:drawing>
          </mc:Choice>
          <mc:Fallback>
            <w:pict>
              <v:shapetype w14:anchorId="26126D59" id="_x0000_t202" coordsize="21600,21600" o:spt="202" path="m,l,21600r21600,l21600,xe">
                <v:stroke joinstyle="miter"/>
                <v:path gradientshapeok="t" o:connecttype="rect"/>
              </v:shapetype>
              <v:shape id="Text Box 1" o:spid="_x0000_s1026" type="#_x0000_t202" style="width:451.95pt;height:1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">
                <v:textbox>
                  <w:txbxContent>
                    <w:p w14:paraId="2A72017D" w14:textId="16FDD8D2" w:rsidR="00A774C1" w:rsidRPr="00955B28" w:rsidRDefault="00A774C1" w:rsidP="00A774C1">
                      <w:pPr>
                        <w:rPr>
                          <w:rFonts w:ascii="Calibri" w:hAnsi="Calibri" w:cs="Calibri"/>
                          <w:b/>
                          <w:bCs/>
                        </w:rPr>
                      </w:pPr>
                      <w:r w:rsidRPr="00955B28">
                        <w:rPr>
                          <w:rFonts w:ascii="Calibri" w:hAnsi="Calibri" w:cs="Calibri"/>
                          <w:b/>
                          <w:bCs/>
                        </w:rPr>
                        <w:t xml:space="preserve">Acción solicitada: </w:t>
                      </w:r>
                    </w:p>
                    <w:p w14:paraId="72AFD373" w14:textId="77777777" w:rsidR="00A774C1" w:rsidRDefault="00A774C1" w:rsidP="00A774C1">
                      <w:pPr>
                        <w:pStyle w:val="ColorfulList-Accent11"/>
                        <w:ind w:left="0"/>
                      </w:pPr>
                    </w:p>
                    <w:p w14:paraId="5E4FE813" w14:textId="69CAE8E8" w:rsidR="00A774C1" w:rsidRPr="00B70BF4" w:rsidRDefault="00A774C1" w:rsidP="00A774C1">
                      <w:pPr>
                        <w:pStyle w:val="ColorfulList-Accent11"/>
                        <w:ind w:left="0" w:firstLine="0"/>
                        <w:rPr>
                          <w:rFonts w:cs="Calibri"/>
                        </w:rPr>
                      </w:pPr>
                      <w:r>
                        <w:t>Se invita al Comité Permanente a:</w:t>
                      </w:r>
                    </w:p>
                    <w:p w14:paraId="3A870023" w14:textId="77777777" w:rsidR="00A774C1" w:rsidRPr="00B70BF4" w:rsidRDefault="00A774C1" w:rsidP="00A774C1">
                      <w:pPr>
                        <w:pStyle w:val="ColorfulList-Accent11"/>
                        <w:ind w:left="425"/>
                        <w:rPr>
                          <w:rFonts w:cs="Calibri"/>
                        </w:rPr>
                      </w:pPr>
                    </w:p>
                    <w:p w14:paraId="681D1362" w14:textId="2291B448" w:rsidR="00A774C1" w:rsidRPr="00B70BF4" w:rsidRDefault="00A774C1" w:rsidP="00A774C1">
                      <w:pPr>
                        <w:pStyle w:val="ColorfulList-Accent11"/>
                        <w:ind w:left="425"/>
                        <w:rPr>
                          <w:rFonts w:cs="Calibri"/>
                        </w:rPr>
                      </w:pPr>
                      <w:r>
                        <w:t>i.</w:t>
                      </w:r>
                      <w:r>
                        <w:tab/>
                        <w:t>tomar nota del informe sobre los progresos realizados por el Grupo de Trabajo sobre el Plan Estratégico (GTPE); y</w:t>
                      </w:r>
                    </w:p>
                    <w:p w14:paraId="3E7D7A2F" w14:textId="77777777" w:rsidR="00A774C1" w:rsidRPr="00B70BF4" w:rsidRDefault="00A774C1" w:rsidP="00A774C1">
                      <w:pPr>
                        <w:pStyle w:val="ColorfulList-Accent11"/>
                        <w:ind w:left="425"/>
                      </w:pPr>
                    </w:p>
                    <w:p w14:paraId="6EC51FE8" w14:textId="2DA24A5B" w:rsidR="00A774C1" w:rsidRPr="00B70BF4" w:rsidRDefault="00A774C1" w:rsidP="00A774C1">
                      <w:pPr>
                        <w:pStyle w:val="ColorfulList-Accent11"/>
                        <w:ind w:left="425"/>
                        <w:rPr>
                          <w:rFonts w:cs="Calibri"/>
                        </w:rPr>
                      </w:pPr>
                      <w:r>
                        <w:t>ii.</w:t>
                      </w:r>
                      <w:r>
                        <w:tab/>
                        <w:t>examinar el proyecto de resolución, incluido el proyecto de Quinto Plan Estratégico, que figura en los anexos adjuntos.</w:t>
                      </w:r>
                    </w:p>
                    <w:p w14:paraId="1B660863" w14:textId="77777777" w:rsidR="00A774C1" w:rsidRPr="00B70BF4" w:rsidRDefault="00A774C1" w:rsidP="00A774C1">
                      <w:pPr>
                        <w:pStyle w:val="ColorfulList-Accent11"/>
                        <w:ind w:left="425"/>
                        <w:rPr>
                          <w:rFonts w:cs="Calibri"/>
                        </w:rPr>
                      </w:pPr>
                    </w:p>
                  </w:txbxContent>
                </v:textbox>
                <w10:anchorlock/>
              </v:shape>
            </w:pict>
          </mc:Fallback>
        </mc:AlternateContent>
      </w:r>
    </w:p>
    <w:bookmarkEnd w:id="0"/>
    <w:p w14:paraId="65DA56AB" w14:textId="77777777" w:rsidR="004C1845" w:rsidRPr="000574D9" w:rsidRDefault="004C1845" w:rsidP="004C1845">
      <w:pPr>
        <w:jc w:val="center"/>
        <w:rPr>
          <w:rFonts w:ascii="Calibri" w:hAnsi="Calibri"/>
          <w:b/>
          <w:sz w:val="28"/>
          <w:szCs w:val="28"/>
        </w:rPr>
      </w:pPr>
    </w:p>
    <w:p w14:paraId="0363EEC5" w14:textId="779D5CF7" w:rsidR="00475267" w:rsidRPr="00475267" w:rsidRDefault="00475267" w:rsidP="00475267">
      <w:pPr>
        <w:keepNext/>
        <w:ind w:left="425" w:right="-188" w:hanging="425"/>
        <w:rPr>
          <w:rFonts w:ascii="Calibri" w:eastAsia="Calibri" w:hAnsi="Calibri" w:cs="Calibri"/>
          <w:b/>
          <w:bCs/>
          <w:sz w:val="22"/>
          <w:szCs w:val="22"/>
        </w:rPr>
      </w:pPr>
      <w:r>
        <w:rPr>
          <w:rFonts w:ascii="Calibri" w:hAnsi="Calibri"/>
          <w:b/>
          <w:bCs/>
          <w:sz w:val="22"/>
          <w:szCs w:val="22"/>
        </w:rPr>
        <w:t xml:space="preserve">Antecedentes </w:t>
      </w:r>
    </w:p>
    <w:p w14:paraId="2BCBB749" w14:textId="77777777" w:rsidR="00475267" w:rsidRPr="00475267" w:rsidRDefault="00475267" w:rsidP="00475267">
      <w:pPr>
        <w:keepNext/>
        <w:ind w:left="425" w:hanging="425"/>
        <w:rPr>
          <w:rFonts w:ascii="Calibri" w:eastAsia="Calibri" w:hAnsi="Calibri" w:cs="Calibri"/>
          <w:sz w:val="22"/>
          <w:szCs w:val="22"/>
          <w:lang w:eastAsia="en-US"/>
        </w:rPr>
      </w:pPr>
    </w:p>
    <w:p w14:paraId="41433C71" w14:textId="3A8EEEC0" w:rsidR="00475267" w:rsidRPr="00C71AE1" w:rsidRDefault="00C71AE1" w:rsidP="00C71AE1">
      <w:pPr>
        <w:ind w:left="426" w:hanging="426"/>
        <w:rPr>
          <w:rFonts w:ascii="Calibri" w:eastAsia="Calibri" w:hAnsi="Calibri" w:cs="Calibri"/>
          <w:sz w:val="22"/>
          <w:szCs w:val="22"/>
        </w:rPr>
      </w:pPr>
      <w:r>
        <w:rPr>
          <w:rFonts w:ascii="Calibri" w:hAnsi="Calibri"/>
          <w:sz w:val="22"/>
          <w:szCs w:val="22"/>
        </w:rPr>
        <w:t>1.</w:t>
      </w:r>
      <w:r>
        <w:rPr>
          <w:rFonts w:ascii="Calibri" w:hAnsi="Calibri"/>
          <w:sz w:val="22"/>
          <w:szCs w:val="22"/>
        </w:rPr>
        <w:tab/>
        <w:t>El presente Informe del Grupo de Trabajo sobre el Plan Estratégico abarca el periodo comprendido entre la 63</w:t>
      </w:r>
      <w:r>
        <w:rPr>
          <w:rFonts w:ascii="Calibri" w:hAnsi="Calibri"/>
          <w:sz w:val="22"/>
          <w:szCs w:val="22"/>
          <w:vertAlign w:val="superscript"/>
        </w:rPr>
        <w:t>a</w:t>
      </w:r>
      <w:r>
        <w:rPr>
          <w:rFonts w:ascii="Calibri" w:hAnsi="Calibri"/>
          <w:sz w:val="22"/>
          <w:szCs w:val="22"/>
        </w:rPr>
        <w:t xml:space="preserve"> reunión del Comité Permanente (SC63), celebrada del 3 al 7 de junio de 2024, y el 13 de noviembre de 2024. Antes de la reunión SC63, el Grupo de Trabajo había elaborado un borrador preliminar del Quinto Plan Estratégico, pero aún no había alcanzado un consenso sobre los objetivos y metas que debían incluirse. </w:t>
      </w:r>
    </w:p>
    <w:p w14:paraId="4B729B7C" w14:textId="77777777" w:rsidR="00475267" w:rsidRPr="00475267" w:rsidRDefault="00475267" w:rsidP="00475267">
      <w:pPr>
        <w:ind w:right="-188"/>
        <w:rPr>
          <w:rFonts w:ascii="Calibri" w:eastAsia="Calibri" w:hAnsi="Calibri" w:cs="Calibri"/>
          <w:sz w:val="22"/>
          <w:szCs w:val="22"/>
          <w:u w:val="single"/>
          <w:lang w:eastAsia="en-US"/>
        </w:rPr>
      </w:pPr>
    </w:p>
    <w:p w14:paraId="06C3B520" w14:textId="0B85A048" w:rsidR="00475267" w:rsidRPr="008723F6" w:rsidRDefault="00475267" w:rsidP="008723F6">
      <w:pPr>
        <w:keepNext/>
        <w:ind w:right="-188"/>
        <w:rPr>
          <w:rFonts w:ascii="Calibri" w:eastAsia="Calibri" w:hAnsi="Calibri" w:cs="Calibri"/>
          <w:b/>
          <w:bCs/>
          <w:sz w:val="22"/>
          <w:szCs w:val="22"/>
        </w:rPr>
      </w:pPr>
      <w:r>
        <w:rPr>
          <w:rFonts w:ascii="Calibri" w:hAnsi="Calibri"/>
          <w:b/>
          <w:bCs/>
          <w:sz w:val="22"/>
          <w:szCs w:val="22"/>
        </w:rPr>
        <w:t>Actividades del Grupo de Trabajo del Plan Estratégico en el período previo a la reunión SC64</w:t>
      </w:r>
    </w:p>
    <w:p w14:paraId="1D082E45" w14:textId="771C7F10" w:rsidR="00475267" w:rsidRPr="00C71AE1" w:rsidRDefault="00475267" w:rsidP="00C71AE1">
      <w:pPr>
        <w:rPr>
          <w:rFonts w:ascii="Calibri" w:eastAsia="Calibri" w:hAnsi="Calibri" w:cs="Calibri"/>
          <w:sz w:val="22"/>
          <w:szCs w:val="22"/>
          <w:lang w:eastAsia="en-US"/>
        </w:rPr>
      </w:pPr>
    </w:p>
    <w:p w14:paraId="30E01EA1" w14:textId="775BF939" w:rsidR="00B90ED5" w:rsidRPr="007C5F75" w:rsidRDefault="00C71AE1" w:rsidP="007C5F75">
      <w:pPr>
        <w:ind w:left="425" w:hanging="425"/>
        <w:rPr>
          <w:rFonts w:ascii="Calibri" w:eastAsia="Calibri" w:hAnsi="Calibri" w:cs="Calibri"/>
          <w:sz w:val="22"/>
          <w:szCs w:val="22"/>
        </w:rPr>
      </w:pPr>
      <w:r>
        <w:rPr>
          <w:rFonts w:ascii="Calibri" w:hAnsi="Calibri"/>
          <w:sz w:val="22"/>
          <w:szCs w:val="22"/>
        </w:rPr>
        <w:t>2.</w:t>
      </w:r>
      <w:r>
        <w:rPr>
          <w:rFonts w:ascii="Calibri" w:hAnsi="Calibri"/>
          <w:sz w:val="22"/>
          <w:szCs w:val="22"/>
        </w:rPr>
        <w:tab/>
        <w:t>El Grupo de Trabajo se reunió tres veces al margen de la reunión SC63. Basándose en anteriores debates entre períodos de sesiones y en un documento oficioso elaborado por la Copresidencia del Grupo de Trabajo, éste y las demás Partes Contratantes presentes acordaron redactar un texto para tres objetivos centrados en i) la conservación de los humedales en general, ii) el uso racional de los humedales y iii) los Humedales de Importancia Internacional (</w:t>
      </w:r>
      <w:r w:rsidR="00510FCA">
        <w:rPr>
          <w:rFonts w:ascii="Calibri" w:hAnsi="Calibri"/>
          <w:sz w:val="22"/>
          <w:szCs w:val="22"/>
        </w:rPr>
        <w:t>“</w:t>
      </w:r>
      <w:r>
        <w:rPr>
          <w:rFonts w:ascii="Calibri" w:hAnsi="Calibri"/>
          <w:sz w:val="22"/>
          <w:szCs w:val="22"/>
        </w:rPr>
        <w:t>sitios Ramsar</w:t>
      </w:r>
      <w:r w:rsidR="00510FCA">
        <w:rPr>
          <w:rFonts w:ascii="Calibri" w:hAnsi="Calibri"/>
          <w:sz w:val="22"/>
          <w:szCs w:val="22"/>
        </w:rPr>
        <w:t>”</w:t>
      </w:r>
      <w:r>
        <w:rPr>
          <w:rFonts w:ascii="Calibri" w:hAnsi="Calibri"/>
          <w:sz w:val="22"/>
          <w:szCs w:val="22"/>
        </w:rPr>
        <w:t xml:space="preserve">). Las Partes Contratantes también acordaron un calendario para 2025-2034. Se acordó la inclusión de un cuarto objetivo, relativo a la aplicación de la Convención, incluidos los medios de implementación, pero no se pudo llegar a un consenso sobre la redacción y se avanzó poco en las metas. </w:t>
      </w:r>
    </w:p>
    <w:p w14:paraId="61A482B6" w14:textId="77777777" w:rsidR="00C71AE1" w:rsidRPr="00261002" w:rsidRDefault="00C71AE1" w:rsidP="007C5F75">
      <w:pPr>
        <w:ind w:left="425" w:hanging="425"/>
        <w:rPr>
          <w:rFonts w:ascii="Calibri" w:hAnsi="Calibri"/>
          <w:sz w:val="22"/>
          <w:szCs w:val="22"/>
          <w:lang w:eastAsia="en-US"/>
        </w:rPr>
      </w:pPr>
    </w:p>
    <w:p w14:paraId="5138E72F" w14:textId="3CD3331A" w:rsidR="00E16042" w:rsidRPr="007C5F75" w:rsidRDefault="007C5F75" w:rsidP="007C5F75">
      <w:pPr>
        <w:ind w:left="425" w:hanging="425"/>
        <w:rPr>
          <w:rFonts w:ascii="Calibri" w:hAnsi="Calibri"/>
          <w:b/>
          <w:bCs/>
          <w:sz w:val="22"/>
          <w:szCs w:val="22"/>
        </w:rPr>
      </w:pPr>
      <w:r>
        <w:rPr>
          <w:rFonts w:ascii="Calibri" w:hAnsi="Calibri"/>
          <w:sz w:val="22"/>
          <w:szCs w:val="22"/>
        </w:rPr>
        <w:t>3.</w:t>
      </w:r>
      <w:r>
        <w:rPr>
          <w:rFonts w:ascii="Calibri" w:hAnsi="Calibri"/>
          <w:sz w:val="22"/>
          <w:szCs w:val="22"/>
        </w:rPr>
        <w:tab/>
        <w:t>Posteriormente, el Grupo de Trabajo se reunió de manera virtual los días 9 de julio, 6 de agosto y 10 de septiembre de 2024 para debatir los objetivos y metas del Quinto Plan Estratégico. Además, se enviaron dos invitaciones a proporcionar contribuciones por escrito, una en junio y otra en julio. Los debates fueron constructivos. Las actas completas de las reuniones están disponibles en la página web correspondiente</w:t>
      </w:r>
      <w:r w:rsidR="007720CC">
        <w:rPr>
          <w:rStyle w:val="FootnoteReference"/>
          <w:rFonts w:ascii="Calibri" w:eastAsia="Calibri" w:hAnsi="Calibri"/>
          <w:sz w:val="22"/>
          <w:szCs w:val="22"/>
          <w:lang w:eastAsia="en-US"/>
        </w:rPr>
        <w:footnoteReference w:id="2"/>
      </w:r>
      <w:r>
        <w:rPr>
          <w:sz w:val="22"/>
          <w:szCs w:val="22"/>
        </w:rPr>
        <w:t>.</w:t>
      </w:r>
    </w:p>
    <w:p w14:paraId="58BE65FF" w14:textId="77777777" w:rsidR="00630951" w:rsidRPr="00261002" w:rsidRDefault="00630951" w:rsidP="007C5F75">
      <w:pPr>
        <w:pStyle w:val="ListParagraph"/>
        <w:ind w:left="425" w:hanging="425"/>
        <w:contextualSpacing w:val="0"/>
        <w:rPr>
          <w:rFonts w:ascii="Calibri" w:hAnsi="Calibri"/>
          <w:b/>
          <w:bCs/>
          <w:sz w:val="22"/>
          <w:szCs w:val="22"/>
          <w:lang w:eastAsia="en-US"/>
        </w:rPr>
      </w:pPr>
    </w:p>
    <w:p w14:paraId="02821933" w14:textId="7A47DEB3" w:rsidR="00990C26" w:rsidRPr="007C5F75" w:rsidRDefault="007C5F75" w:rsidP="007C5F75">
      <w:pPr>
        <w:ind w:left="425" w:hanging="425"/>
        <w:rPr>
          <w:rFonts w:ascii="Calibri" w:hAnsi="Calibri"/>
          <w:sz w:val="22"/>
          <w:szCs w:val="22"/>
        </w:rPr>
      </w:pPr>
      <w:r>
        <w:rPr>
          <w:rFonts w:ascii="Calibri" w:hAnsi="Calibri"/>
          <w:sz w:val="22"/>
          <w:szCs w:val="22"/>
        </w:rPr>
        <w:lastRenderedPageBreak/>
        <w:t>4.</w:t>
      </w:r>
      <w:r>
        <w:rPr>
          <w:rFonts w:ascii="Calibri" w:hAnsi="Calibri"/>
          <w:sz w:val="22"/>
          <w:szCs w:val="22"/>
        </w:rPr>
        <w:tab/>
        <w:t>Tras la reunión del 10 de septiembre, se distribuyó a todos los miembros del Grupo de Trabajo un proyecto de resolución, que incluía una versión anotada y actualizada del proyecto de Plan Estratégico.</w:t>
      </w:r>
    </w:p>
    <w:p w14:paraId="540D6FED" w14:textId="77777777" w:rsidR="00990C26" w:rsidRPr="00261002" w:rsidRDefault="00990C26" w:rsidP="007C5F75">
      <w:pPr>
        <w:pStyle w:val="ListParagraph"/>
        <w:ind w:left="425" w:hanging="425"/>
        <w:contextualSpacing w:val="0"/>
        <w:rPr>
          <w:rFonts w:ascii="Calibri" w:hAnsi="Calibri"/>
          <w:sz w:val="22"/>
          <w:szCs w:val="22"/>
          <w:lang w:eastAsia="en-US"/>
        </w:rPr>
      </w:pPr>
    </w:p>
    <w:p w14:paraId="2F607350" w14:textId="13C0330D" w:rsidR="005C708E" w:rsidRDefault="007C5F75" w:rsidP="007C5F75">
      <w:pPr>
        <w:ind w:left="425" w:hanging="425"/>
        <w:rPr>
          <w:rFonts w:ascii="Calibri" w:hAnsi="Calibri"/>
          <w:sz w:val="22"/>
          <w:szCs w:val="22"/>
        </w:rPr>
      </w:pPr>
      <w:r>
        <w:rPr>
          <w:rFonts w:ascii="Calibri" w:hAnsi="Calibri"/>
          <w:sz w:val="22"/>
          <w:szCs w:val="22"/>
        </w:rPr>
        <w:t>5.</w:t>
      </w:r>
      <w:r>
        <w:rPr>
          <w:rFonts w:ascii="Calibri" w:hAnsi="Calibri"/>
          <w:sz w:val="22"/>
          <w:szCs w:val="22"/>
        </w:rPr>
        <w:tab/>
        <w:t>El 10 de octubre de 2024, el Grupo de Trabajo se reunió para debatir el texto que estaba entre corchetes y abordar cuestiones clave. El Grupo de Trabajo decidió que sería mejor identificar actividades, como ya se habían incluido en el Cuarto Plan Estratégico, en una fecha posterior, mientras se elaboraban las orientaciones para la ejecución del Quinto Plan Estratégico. El Grupo de Trabajo invitó al Grupo de Examen Científico y Técnico (GECT) a realizar aportaciones sobre los indicadores y propuso que dichos indicadores fueran presentados a la reunión SC64 como documento informativo que acompañara al proyecto de Plan Estratégico.</w:t>
      </w:r>
    </w:p>
    <w:p w14:paraId="36E00CFA" w14:textId="77777777" w:rsidR="00895CA6" w:rsidRDefault="00895CA6" w:rsidP="00406B92">
      <w:pPr>
        <w:ind w:left="426" w:hanging="426"/>
        <w:rPr>
          <w:rFonts w:ascii="Calibri" w:hAnsi="Calibri" w:cs="Calibri"/>
          <w:bCs/>
          <w:sz w:val="22"/>
          <w:szCs w:val="22"/>
        </w:rPr>
      </w:pPr>
    </w:p>
    <w:p w14:paraId="068DDC63" w14:textId="0DACBD1F" w:rsidR="00297727" w:rsidRPr="00406B92" w:rsidRDefault="00406B92" w:rsidP="00406B92">
      <w:pPr>
        <w:ind w:left="426" w:hanging="426"/>
        <w:rPr>
          <w:rFonts w:ascii="Calibri" w:hAnsi="Calibri"/>
          <w:sz w:val="22"/>
          <w:szCs w:val="22"/>
        </w:rPr>
      </w:pPr>
      <w:r>
        <w:rPr>
          <w:rFonts w:ascii="Calibri" w:hAnsi="Calibri"/>
          <w:bCs/>
          <w:sz w:val="22"/>
          <w:szCs w:val="22"/>
        </w:rPr>
        <w:t>6.</w:t>
      </w:r>
      <w:r>
        <w:rPr>
          <w:rFonts w:ascii="Calibri" w:hAnsi="Calibri"/>
          <w:bCs/>
          <w:sz w:val="22"/>
          <w:szCs w:val="22"/>
        </w:rPr>
        <w:tab/>
        <w:t>El GECT elaboró un asesoramiento preliminar sobre un marco de indicadores en el que se abordaban los objetivos 1 a 3, que fue transmitido al Grupo de Trabajo antes de su reunión del 13 de noviembre de 2024.</w:t>
      </w:r>
    </w:p>
    <w:p w14:paraId="3A14E412" w14:textId="77777777" w:rsidR="00297727" w:rsidRPr="00261002" w:rsidRDefault="00297727" w:rsidP="00406B92">
      <w:pPr>
        <w:ind w:left="426" w:hanging="426"/>
        <w:rPr>
          <w:rFonts w:ascii="Calibri" w:hAnsi="Calibri"/>
          <w:sz w:val="22"/>
          <w:szCs w:val="22"/>
          <w:lang w:eastAsia="en-US"/>
        </w:rPr>
      </w:pPr>
    </w:p>
    <w:p w14:paraId="6074B4BF" w14:textId="580D61D2" w:rsidR="00DA2D67" w:rsidRPr="007C5F75" w:rsidRDefault="00406B92" w:rsidP="00406B92">
      <w:pPr>
        <w:spacing w:after="240"/>
        <w:ind w:left="426" w:hanging="426"/>
        <w:contextualSpacing/>
        <w:rPr>
          <w:rFonts w:ascii="Calibri" w:hAnsi="Calibri"/>
          <w:b/>
          <w:bCs/>
          <w:sz w:val="22"/>
          <w:szCs w:val="22"/>
        </w:rPr>
      </w:pPr>
      <w:r>
        <w:rPr>
          <w:rFonts w:ascii="Calibri" w:hAnsi="Calibri"/>
          <w:sz w:val="22"/>
          <w:szCs w:val="22"/>
        </w:rPr>
        <w:t>7.</w:t>
      </w:r>
      <w:r>
        <w:rPr>
          <w:rFonts w:ascii="Calibri" w:hAnsi="Calibri"/>
          <w:sz w:val="22"/>
          <w:szCs w:val="22"/>
        </w:rPr>
        <w:tab/>
      </w:r>
      <w:r>
        <w:rPr>
          <w:rFonts w:ascii="Calibri" w:hAnsi="Calibri"/>
          <w:bCs/>
          <w:sz w:val="22"/>
          <w:szCs w:val="22"/>
        </w:rPr>
        <w:t xml:space="preserve">El 13 de noviembre de 2024, el Grupo de Trabajo se reunió para examinar el informe sobre su labor y abordar los comentarios por escrito sobre el proyecto de resolución que habían sido enviados. A continuación, el grupo prosiguió los esfuerzos para tomar una decisión en relación con el texto entre corchetes del proyecto de Plan Estratégico. El Presidencia del GECT presentó el marco de indicadores, que el Grupo de Trabajo recibió con agradecimiento a la vez que invitaba al GECT a continuar esta labor. </w:t>
      </w:r>
    </w:p>
    <w:p w14:paraId="037FBF6D" w14:textId="77777777" w:rsidR="007C5F75" w:rsidRPr="00261002" w:rsidRDefault="007C5F75" w:rsidP="00406B92">
      <w:pPr>
        <w:ind w:left="426" w:hanging="426"/>
        <w:rPr>
          <w:rFonts w:ascii="Calibri" w:hAnsi="Calibri"/>
          <w:sz w:val="22"/>
          <w:szCs w:val="22"/>
          <w:lang w:eastAsia="en-US"/>
        </w:rPr>
      </w:pPr>
    </w:p>
    <w:p w14:paraId="394A2621" w14:textId="5CC5159F" w:rsidR="00630951" w:rsidRPr="00406B92" w:rsidRDefault="00406B92" w:rsidP="00406B92">
      <w:pPr>
        <w:ind w:left="426" w:hanging="426"/>
        <w:rPr>
          <w:rFonts w:ascii="Calibri" w:hAnsi="Calibri"/>
          <w:b/>
          <w:bCs/>
          <w:sz w:val="22"/>
          <w:szCs w:val="22"/>
        </w:rPr>
      </w:pPr>
      <w:r>
        <w:rPr>
          <w:rFonts w:ascii="Calibri" w:hAnsi="Calibri"/>
          <w:sz w:val="22"/>
          <w:szCs w:val="22"/>
        </w:rPr>
        <w:t>8.</w:t>
      </w:r>
      <w:r>
        <w:rPr>
          <w:rFonts w:ascii="Calibri" w:hAnsi="Calibri"/>
          <w:sz w:val="22"/>
          <w:szCs w:val="22"/>
        </w:rPr>
        <w:tab/>
      </w:r>
      <w:r>
        <w:rPr>
          <w:rFonts w:asciiTheme="minorHAnsi" w:hAnsiTheme="minorHAnsi"/>
          <w:bCs/>
          <w:sz w:val="22"/>
          <w:szCs w:val="22"/>
        </w:rPr>
        <w:t>En el anexo 1 del presente informe figura el proyecto de resolución acordado por el Grupo de Trabajo y en su anexo 2 se presenta el primer borrador del Quinto Plan Estratégico. El asesoramiento preliminar del GECT sobre los indicadores se facilitará como documento informativo. Es posible que se facilite un documento informativo revisado a medida que el GECT avance en su labor.</w:t>
      </w:r>
    </w:p>
    <w:p w14:paraId="0E8C7505" w14:textId="77777777" w:rsidR="007C5F75" w:rsidRDefault="007C5F75">
      <w:pPr>
        <w:rPr>
          <w:rFonts w:ascii="Calibri" w:hAnsi="Calibri"/>
          <w:b/>
          <w:bCs/>
        </w:rPr>
      </w:pPr>
      <w:r>
        <w:br w:type="page"/>
      </w:r>
    </w:p>
    <w:p w14:paraId="264ABF91" w14:textId="54F3C9F4" w:rsidR="00F77707" w:rsidRPr="00F77707" w:rsidRDefault="00F77707" w:rsidP="00F77707">
      <w:pPr>
        <w:rPr>
          <w:rFonts w:ascii="Calibri" w:hAnsi="Calibri"/>
          <w:b/>
          <w:bCs/>
        </w:rPr>
      </w:pPr>
      <w:r>
        <w:rPr>
          <w:rFonts w:ascii="Calibri" w:hAnsi="Calibri"/>
          <w:b/>
          <w:bCs/>
        </w:rPr>
        <w:lastRenderedPageBreak/>
        <w:t>Anexo 1</w:t>
      </w:r>
    </w:p>
    <w:p w14:paraId="043BBC76" w14:textId="67437EDE" w:rsidR="004C1845" w:rsidRPr="00F77707" w:rsidRDefault="0091380A" w:rsidP="00F77707">
      <w:pPr>
        <w:rPr>
          <w:rFonts w:ascii="Calibri" w:hAnsi="Calibri"/>
          <w:b/>
          <w:bCs/>
        </w:rPr>
      </w:pPr>
      <w:r>
        <w:rPr>
          <w:rFonts w:ascii="Calibri" w:hAnsi="Calibri"/>
          <w:b/>
          <w:bCs/>
        </w:rPr>
        <w:t>Resolución XV.x: Plan Estratégico de la Convención sobre los Humedales 2025-2034</w:t>
      </w:r>
    </w:p>
    <w:p w14:paraId="02B9A249" w14:textId="77777777" w:rsidR="004C1845" w:rsidRPr="00261002" w:rsidRDefault="004C1845" w:rsidP="004C1845">
      <w:pPr>
        <w:jc w:val="center"/>
        <w:rPr>
          <w:rFonts w:asciiTheme="minorHAnsi" w:hAnsiTheme="minorHAnsi"/>
          <w:b/>
          <w:bCs/>
          <w:sz w:val="28"/>
          <w:szCs w:val="28"/>
          <w:lang w:eastAsia="en-US"/>
        </w:rPr>
      </w:pPr>
    </w:p>
    <w:p w14:paraId="26936C77" w14:textId="0098242A" w:rsidR="004C1845" w:rsidRPr="00F77707" w:rsidRDefault="00F77707" w:rsidP="00F77707">
      <w:pPr>
        <w:ind w:left="425" w:hanging="425"/>
        <w:rPr>
          <w:rFonts w:ascii="Calibri" w:hAnsi="Calibri"/>
          <w:sz w:val="22"/>
          <w:szCs w:val="22"/>
        </w:rPr>
      </w:pPr>
      <w:r>
        <w:rPr>
          <w:rFonts w:ascii="Calibri" w:hAnsi="Calibri"/>
          <w:sz w:val="22"/>
          <w:szCs w:val="22"/>
        </w:rPr>
        <w:t>1.</w:t>
      </w:r>
      <w:r>
        <w:rPr>
          <w:rFonts w:ascii="Calibri" w:hAnsi="Calibri"/>
          <w:sz w:val="22"/>
          <w:szCs w:val="22"/>
        </w:rPr>
        <w:tab/>
        <w:t>RECORDANDO la adopción del Plan Estratégico de la Convención sobre los Humedales para 2016-2024 mediante la Resolución XII.2 como base para la aplicación de la Convención durante los tres trienios anteriores;</w:t>
      </w:r>
    </w:p>
    <w:p w14:paraId="00B4CF94" w14:textId="77777777" w:rsidR="004C1845" w:rsidRPr="004C1845" w:rsidRDefault="004C1845" w:rsidP="00F77707">
      <w:pPr>
        <w:ind w:left="425" w:hanging="425"/>
        <w:rPr>
          <w:rFonts w:ascii="Calibri" w:hAnsi="Calibri"/>
          <w:sz w:val="22"/>
          <w:szCs w:val="22"/>
        </w:rPr>
      </w:pPr>
    </w:p>
    <w:p w14:paraId="3AEC2806" w14:textId="7B1D7054" w:rsidR="00A61054" w:rsidRDefault="00D03C71" w:rsidP="00F77707">
      <w:pPr>
        <w:ind w:left="425" w:hanging="425"/>
        <w:rPr>
          <w:rFonts w:ascii="Calibri" w:hAnsi="Calibri"/>
          <w:sz w:val="22"/>
          <w:szCs w:val="22"/>
        </w:rPr>
      </w:pPr>
      <w:r>
        <w:rPr>
          <w:rFonts w:ascii="Calibri" w:hAnsi="Calibri"/>
          <w:color w:val="222222"/>
          <w:sz w:val="22"/>
          <w:szCs w:val="22"/>
        </w:rPr>
        <w:t>2.</w:t>
      </w:r>
      <w:r>
        <w:rPr>
          <w:rFonts w:ascii="Calibri" w:hAnsi="Calibri"/>
          <w:color w:val="222222"/>
          <w:sz w:val="22"/>
          <w:szCs w:val="22"/>
        </w:rPr>
        <w:tab/>
      </w:r>
      <w:r>
        <w:rPr>
          <w:rFonts w:ascii="Calibri" w:hAnsi="Calibri"/>
          <w:sz w:val="22"/>
          <w:szCs w:val="22"/>
        </w:rPr>
        <w:t xml:space="preserve">CONSCIENTE de que los humedales siguen siendo el tipo de ecosistema con el mayor índice de pérdida y degradación, de que los indicios actuales sugieren que las presiones sobre la diversidad biológica de los humedales y los servicios de los ecosistemas aumentarán en los próximos años, como se documenta en la </w:t>
      </w:r>
      <w:r>
        <w:rPr>
          <w:rFonts w:ascii="Calibri" w:hAnsi="Calibri"/>
          <w:i/>
          <w:iCs/>
          <w:sz w:val="22"/>
          <w:szCs w:val="22"/>
        </w:rPr>
        <w:t>Perspectiva Mundial sobre los Humedales</w:t>
      </w:r>
      <w:r>
        <w:rPr>
          <w:rFonts w:ascii="Calibri" w:hAnsi="Calibri"/>
          <w:sz w:val="22"/>
          <w:szCs w:val="22"/>
        </w:rPr>
        <w:t xml:space="preserve"> (2021), y de que muchas comunidades de los humedales se enfrentan a niveles persistentes de pobreza e inseguridad alimentaria; </w:t>
      </w:r>
    </w:p>
    <w:p w14:paraId="649E7185" w14:textId="77777777" w:rsidR="00A61054" w:rsidRDefault="00A61054" w:rsidP="00F77707">
      <w:pPr>
        <w:ind w:left="425" w:hanging="425"/>
        <w:rPr>
          <w:rFonts w:ascii="Calibri" w:hAnsi="Calibri" w:cs="Arial"/>
          <w:color w:val="222222"/>
          <w:sz w:val="22"/>
          <w:szCs w:val="22"/>
          <w:lang w:eastAsia="en-GB"/>
        </w:rPr>
      </w:pPr>
    </w:p>
    <w:p w14:paraId="338C09AD" w14:textId="64F21B4A" w:rsidR="004C1845" w:rsidRPr="004C1845" w:rsidRDefault="00A61054" w:rsidP="00F77707">
      <w:pPr>
        <w:ind w:left="425" w:hanging="425"/>
        <w:rPr>
          <w:rFonts w:ascii="Calibri" w:hAnsi="Calibri"/>
          <w:sz w:val="22"/>
          <w:szCs w:val="22"/>
        </w:rPr>
      </w:pPr>
      <w:r>
        <w:rPr>
          <w:rFonts w:ascii="Calibri" w:hAnsi="Calibri"/>
          <w:color w:val="222222"/>
          <w:sz w:val="22"/>
          <w:szCs w:val="22"/>
        </w:rPr>
        <w:t xml:space="preserve">3. </w:t>
      </w:r>
      <w:r>
        <w:rPr>
          <w:rFonts w:ascii="Calibri" w:hAnsi="Calibri"/>
          <w:color w:val="222222"/>
          <w:sz w:val="22"/>
          <w:szCs w:val="22"/>
        </w:rPr>
        <w:tab/>
      </w:r>
      <w:r>
        <w:rPr>
          <w:rFonts w:ascii="Calibri" w:hAnsi="Calibri"/>
          <w:sz w:val="22"/>
          <w:szCs w:val="22"/>
        </w:rPr>
        <w:t xml:space="preserve">RECONOCIENDO la necesidad de continuar la aplicación de la Convención bajo la dirección de un Plan Estratégico renovado que refleje los desafíos actuales de la conservación de los humedales; </w:t>
      </w:r>
    </w:p>
    <w:p w14:paraId="1E5C126F" w14:textId="77777777" w:rsidR="004C1845" w:rsidRPr="004C1845" w:rsidRDefault="004C1845" w:rsidP="00F77707">
      <w:pPr>
        <w:ind w:left="425" w:hanging="425"/>
        <w:rPr>
          <w:rFonts w:ascii="Calibri" w:hAnsi="Calibri"/>
          <w:sz w:val="22"/>
          <w:szCs w:val="22"/>
        </w:rPr>
      </w:pPr>
    </w:p>
    <w:p w14:paraId="4D3BF079" w14:textId="7E948B3C" w:rsidR="004C1845" w:rsidRDefault="00EF3DE7" w:rsidP="00F77707">
      <w:pPr>
        <w:ind w:left="425" w:hanging="425"/>
        <w:rPr>
          <w:rFonts w:ascii="Calibri" w:hAnsi="Calibri"/>
          <w:sz w:val="22"/>
          <w:szCs w:val="22"/>
        </w:rPr>
      </w:pPr>
      <w:r>
        <w:rPr>
          <w:rFonts w:ascii="Calibri" w:hAnsi="Calibri"/>
          <w:sz w:val="22"/>
          <w:szCs w:val="22"/>
        </w:rPr>
        <w:t>4.</w:t>
      </w:r>
      <w:r>
        <w:rPr>
          <w:rFonts w:ascii="Calibri" w:hAnsi="Calibri"/>
          <w:sz w:val="22"/>
          <w:szCs w:val="22"/>
        </w:rPr>
        <w:tab/>
        <w:t>RECONOCIENDO que todos los humedales, incluida la red de Humedales de Importancia Internacional, son directamente pertinentes para la consecución de los Objetivos de Desarrollo Sostenible relacionados con la erradicación de la pobreza, la alimentación y la nutrición, la vida saludable, la igualdad de género, la calidad y el suministro de agua, la seguridad hídrica, el suministro de energía, la reducción de los riesgos de desastres naturales, la innovación y  la construcción de infraestructuras adecuadas, los asentamientos humanos sostenibles, la mitigación del cambio climático y la adaptación al mismo, los océanos, los mares y los recursos marinos, la biodiversidad y el uso sostenible de los ecosistemas;</w:t>
      </w:r>
    </w:p>
    <w:p w14:paraId="0F85205F" w14:textId="77777777" w:rsidR="004C1845" w:rsidRPr="004C1845" w:rsidRDefault="004C1845" w:rsidP="00F77707">
      <w:pPr>
        <w:ind w:left="425" w:hanging="425"/>
        <w:rPr>
          <w:rFonts w:ascii="Calibri" w:hAnsi="Calibri"/>
          <w:sz w:val="22"/>
          <w:szCs w:val="22"/>
        </w:rPr>
      </w:pPr>
    </w:p>
    <w:p w14:paraId="53EE7486" w14:textId="6B9C8318" w:rsidR="007B002D" w:rsidRPr="004C1845" w:rsidRDefault="00EF3DE7" w:rsidP="007B002D">
      <w:pPr>
        <w:ind w:left="425" w:hanging="425"/>
        <w:rPr>
          <w:rFonts w:ascii="Calibri" w:hAnsi="Calibri"/>
          <w:sz w:val="22"/>
          <w:szCs w:val="22"/>
        </w:rPr>
      </w:pPr>
      <w:r>
        <w:rPr>
          <w:rFonts w:ascii="Calibri" w:hAnsi="Calibri"/>
          <w:sz w:val="22"/>
          <w:szCs w:val="22"/>
        </w:rPr>
        <w:t>5.</w:t>
      </w:r>
      <w:r>
        <w:rPr>
          <w:rFonts w:ascii="Calibri" w:hAnsi="Calibri"/>
          <w:sz w:val="22"/>
          <w:szCs w:val="22"/>
        </w:rPr>
        <w:tab/>
        <w:t xml:space="preserve">TOMANDO NOTA de la Conferencia de las Naciones Unidas sobre el Agua 2023 y RECORDANDO los resultados del Foro Político de Alto Nivel (FPAN) 2023, en los que se destacó que el agua es un elemento central del desarrollo sostenible y se hizo hincapié en el papel clave que desempeñan los humedales en el mantenimiento de la cantidad y calidad del agua, entre otros valores, y RECORDANDO TAMBIÉN la resolución A/RES/68/157 de la Asamblea General de las Naciones Unidas sobre </w:t>
      </w:r>
      <w:r>
        <w:rPr>
          <w:rFonts w:ascii="Calibri" w:hAnsi="Calibri"/>
          <w:i/>
          <w:iCs/>
          <w:sz w:val="22"/>
          <w:szCs w:val="22"/>
        </w:rPr>
        <w:t>El derecho humano al agua potable y el saneamiento</w:t>
      </w:r>
      <w:r>
        <w:rPr>
          <w:rFonts w:ascii="Calibri" w:hAnsi="Calibri"/>
          <w:sz w:val="22"/>
          <w:szCs w:val="22"/>
        </w:rPr>
        <w:t>;</w:t>
      </w:r>
    </w:p>
    <w:p w14:paraId="4EFCE7A8" w14:textId="77777777" w:rsidR="004C1845" w:rsidRPr="004C1845" w:rsidRDefault="004C1845" w:rsidP="00F77707">
      <w:pPr>
        <w:ind w:left="425" w:hanging="425"/>
        <w:rPr>
          <w:rFonts w:ascii="Calibri" w:hAnsi="Calibri"/>
          <w:sz w:val="22"/>
          <w:szCs w:val="22"/>
        </w:rPr>
      </w:pPr>
    </w:p>
    <w:p w14:paraId="574FE49C" w14:textId="5C1E1C05" w:rsidR="004C1845" w:rsidRPr="004C1845" w:rsidRDefault="00EF3DE7" w:rsidP="00F77707">
      <w:pPr>
        <w:ind w:left="425" w:hanging="425"/>
        <w:contextualSpacing/>
        <w:rPr>
          <w:rFonts w:ascii="Calibri" w:hAnsi="Calibri"/>
          <w:sz w:val="22"/>
          <w:szCs w:val="22"/>
        </w:rPr>
      </w:pPr>
      <w:r>
        <w:rPr>
          <w:rFonts w:ascii="Calibri" w:hAnsi="Calibri"/>
          <w:color w:val="222222"/>
          <w:sz w:val="22"/>
          <w:szCs w:val="22"/>
        </w:rPr>
        <w:t>6.</w:t>
      </w:r>
      <w:r>
        <w:tab/>
      </w:r>
      <w:r>
        <w:rPr>
          <w:rFonts w:ascii="Calibri" w:hAnsi="Calibri"/>
          <w:sz w:val="22"/>
          <w:szCs w:val="22"/>
        </w:rPr>
        <w:t>TOMANDO NOTA ADEMÁS de la decisión III/21 adoptada por la Conferencia de las Partes en el Convenio sobre la Diversidad Biológica (CDB), en la que se invita a la Convención sobre los Humedales a cooperar como asociada principal en la ejecución de actividades relacionadas con los humedales en el marco del CDB, así como de la Decisión 15/13 del CDB, que reconoce que otros acuerdos ambientales multilaterales relacionados con la diversidad biológica pueden contribuir a la aplicación del Marco Mundial de Biodiversidad de Kunming-Montreal, adoptado mediante la decisión 15/4 del CDB;</w:t>
      </w:r>
    </w:p>
    <w:p w14:paraId="2F020C0A" w14:textId="77777777" w:rsidR="004C1845" w:rsidRPr="004C1845" w:rsidRDefault="004C1845" w:rsidP="00F77707">
      <w:pPr>
        <w:ind w:left="425" w:hanging="425"/>
        <w:contextualSpacing/>
        <w:rPr>
          <w:rFonts w:ascii="Calibri" w:hAnsi="Calibri"/>
          <w:sz w:val="22"/>
          <w:szCs w:val="22"/>
        </w:rPr>
      </w:pPr>
    </w:p>
    <w:p w14:paraId="10D38CD9" w14:textId="2B7BA3D9" w:rsidR="00D72BD9" w:rsidRDefault="00EF3DE7" w:rsidP="00F77707">
      <w:pPr>
        <w:ind w:left="425" w:hanging="425"/>
        <w:contextualSpacing/>
        <w:rPr>
          <w:rFonts w:ascii="Calibri" w:hAnsi="Calibri"/>
          <w:sz w:val="22"/>
          <w:szCs w:val="22"/>
        </w:rPr>
      </w:pPr>
      <w:r>
        <w:rPr>
          <w:rFonts w:ascii="Calibri" w:hAnsi="Calibri"/>
          <w:sz w:val="22"/>
          <w:szCs w:val="22"/>
        </w:rPr>
        <w:t>7.</w:t>
      </w:r>
      <w:r>
        <w:tab/>
      </w:r>
      <w:r>
        <w:rPr>
          <w:rFonts w:ascii="Calibri" w:hAnsi="Calibri"/>
          <w:sz w:val="22"/>
          <w:szCs w:val="22"/>
        </w:rPr>
        <w:t xml:space="preserve">RECORDANDO ADEMÁS las conclusiones del </w:t>
      </w:r>
      <w:r>
        <w:rPr>
          <w:rFonts w:ascii="Calibri" w:hAnsi="Calibri"/>
          <w:i/>
          <w:iCs/>
          <w:sz w:val="22"/>
          <w:szCs w:val="22"/>
        </w:rPr>
        <w:t>Informe de la evaluación mundial de la diversidad biológica y los servicios de los ecosistemas</w:t>
      </w:r>
      <w:r>
        <w:rPr>
          <w:rFonts w:ascii="Calibri" w:hAnsi="Calibri"/>
          <w:sz w:val="22"/>
          <w:szCs w:val="22"/>
        </w:rPr>
        <w:t xml:space="preserve"> (2019) de la Plataforma Intergubernamental Científico-Normativa sobre Diversidad Biológica y Servicios de los Ecosistemas (IPBES) y la necesidad de un cambio transformador para frenar la pérdida de biodiversidad;</w:t>
      </w:r>
    </w:p>
    <w:p w14:paraId="1266B08D" w14:textId="77777777" w:rsidR="00D72BD9" w:rsidRDefault="00D72BD9" w:rsidP="00F77707">
      <w:pPr>
        <w:ind w:left="425" w:hanging="425"/>
        <w:contextualSpacing/>
        <w:rPr>
          <w:rFonts w:ascii="Calibri" w:hAnsi="Calibri"/>
          <w:sz w:val="22"/>
          <w:szCs w:val="22"/>
        </w:rPr>
      </w:pPr>
    </w:p>
    <w:p w14:paraId="7C94AD87" w14:textId="3AC076BC" w:rsidR="004C1845" w:rsidRPr="004C1845" w:rsidRDefault="00EF3DE7" w:rsidP="00D72BD9">
      <w:pPr>
        <w:ind w:left="425" w:hanging="425"/>
        <w:contextualSpacing/>
        <w:rPr>
          <w:rFonts w:ascii="Calibri" w:hAnsi="Calibri"/>
          <w:sz w:val="22"/>
          <w:szCs w:val="22"/>
        </w:rPr>
      </w:pPr>
      <w:r>
        <w:rPr>
          <w:rFonts w:ascii="Calibri" w:hAnsi="Calibri"/>
          <w:sz w:val="22"/>
          <w:szCs w:val="22"/>
        </w:rPr>
        <w:t xml:space="preserve">8. </w:t>
      </w:r>
      <w:r>
        <w:rPr>
          <w:rFonts w:ascii="Calibri" w:hAnsi="Calibri"/>
          <w:sz w:val="22"/>
          <w:szCs w:val="22"/>
        </w:rPr>
        <w:tab/>
        <w:t>RECONOCIENDO que, a pesar de la aplicación por las Partes Contratantes y otros interesados directos de los Planes Estratégicos y de muchos resultados satisfactorios, más de 50 años después de la adopción de la Convención, siguen existiendo muchos desafíos cada vez más urgentes;</w:t>
      </w:r>
    </w:p>
    <w:p w14:paraId="6ED20256" w14:textId="77777777" w:rsidR="004C1845" w:rsidRPr="004C1845" w:rsidRDefault="004C1845" w:rsidP="00F77707">
      <w:pPr>
        <w:ind w:left="425" w:hanging="425"/>
        <w:contextualSpacing/>
        <w:rPr>
          <w:rFonts w:ascii="Calibri" w:hAnsi="Calibri"/>
          <w:sz w:val="22"/>
          <w:szCs w:val="22"/>
        </w:rPr>
      </w:pPr>
    </w:p>
    <w:p w14:paraId="09B08579" w14:textId="03519AA6" w:rsidR="004C1845" w:rsidRPr="004C1845" w:rsidRDefault="00EF3DE7" w:rsidP="00F77707">
      <w:pPr>
        <w:ind w:left="425" w:hanging="425"/>
        <w:contextualSpacing/>
        <w:rPr>
          <w:rFonts w:ascii="Calibri" w:hAnsi="Calibri"/>
          <w:sz w:val="22"/>
          <w:szCs w:val="22"/>
        </w:rPr>
      </w:pPr>
      <w:r>
        <w:rPr>
          <w:rFonts w:ascii="Calibri" w:hAnsi="Calibri"/>
          <w:sz w:val="22"/>
          <w:szCs w:val="22"/>
        </w:rPr>
        <w:t>9.</w:t>
      </w:r>
      <w:r>
        <w:rPr>
          <w:rFonts w:ascii="Calibri" w:hAnsi="Calibri"/>
          <w:sz w:val="22"/>
          <w:szCs w:val="22"/>
        </w:rPr>
        <w:tab/>
        <w:t>CONSCIENTE de que existe un sentimiento de urgencia cada vez mayor entre las Partes Contratantes, los asociados y otros interesados directos ante la aceleración de la degradación y pérdida de humedales, y RECONOCIENDO que se necesitan mayores esfuerzos para prevenir, detener e invertir esta pérdida y degradación;</w:t>
      </w:r>
    </w:p>
    <w:p w14:paraId="53FD198B" w14:textId="77777777" w:rsidR="004C1845" w:rsidRPr="004C1845" w:rsidRDefault="004C1845" w:rsidP="00F77707">
      <w:pPr>
        <w:ind w:left="425" w:hanging="425"/>
        <w:contextualSpacing/>
        <w:rPr>
          <w:rFonts w:ascii="Calibri" w:hAnsi="Calibri"/>
          <w:sz w:val="22"/>
          <w:szCs w:val="22"/>
        </w:rPr>
      </w:pPr>
    </w:p>
    <w:p w14:paraId="2FC9D83E" w14:textId="3B571481" w:rsidR="004C1845" w:rsidRPr="004C1845" w:rsidRDefault="00EF3DE7" w:rsidP="00F77707">
      <w:pPr>
        <w:ind w:left="425" w:hanging="425"/>
        <w:contextualSpacing/>
        <w:rPr>
          <w:rFonts w:ascii="Calibri" w:hAnsi="Calibri"/>
          <w:sz w:val="22"/>
          <w:szCs w:val="22"/>
        </w:rPr>
      </w:pPr>
      <w:r>
        <w:rPr>
          <w:rFonts w:ascii="Calibri" w:hAnsi="Calibri"/>
          <w:sz w:val="22"/>
          <w:szCs w:val="22"/>
        </w:rPr>
        <w:t>10.</w:t>
      </w:r>
      <w:r>
        <w:rPr>
          <w:rFonts w:ascii="Calibri" w:hAnsi="Calibri"/>
          <w:sz w:val="22"/>
          <w:szCs w:val="22"/>
        </w:rPr>
        <w:tab/>
        <w:t>OBSERVANDO que en el Plan Estratégico se identifican acciones prioritarias para los próximos nueve años con el fin de prevenir, detener e invertir la pérdida y degradación de los humedales, lograr el uso racional de los mismos, conservar y gestionar eficazmente la red de Humedales de Importancia Internacional, atender las necesidades de las comunidades los de humedales y mejorar la aplicación de la Convención; y</w:t>
      </w:r>
    </w:p>
    <w:p w14:paraId="487FDE85" w14:textId="3A403624" w:rsidR="004C1845" w:rsidRPr="004C1845" w:rsidRDefault="004C1845" w:rsidP="00F77707">
      <w:pPr>
        <w:ind w:left="425" w:hanging="425"/>
        <w:contextualSpacing/>
        <w:rPr>
          <w:rFonts w:ascii="Calibri" w:hAnsi="Calibri"/>
          <w:sz w:val="22"/>
          <w:szCs w:val="22"/>
        </w:rPr>
      </w:pPr>
    </w:p>
    <w:p w14:paraId="6C8866BC" w14:textId="59F38F50" w:rsidR="004C1845" w:rsidRPr="004C1845" w:rsidRDefault="00B4276F" w:rsidP="00F77707">
      <w:pPr>
        <w:ind w:left="425" w:hanging="425"/>
        <w:contextualSpacing/>
        <w:rPr>
          <w:rFonts w:ascii="Calibri" w:hAnsi="Calibri"/>
          <w:sz w:val="22"/>
          <w:szCs w:val="22"/>
        </w:rPr>
      </w:pPr>
      <w:r>
        <w:rPr>
          <w:rFonts w:ascii="Calibri" w:hAnsi="Calibri"/>
          <w:sz w:val="22"/>
          <w:szCs w:val="22"/>
        </w:rPr>
        <w:t xml:space="preserve"> 11.</w:t>
      </w:r>
      <w:r>
        <w:rPr>
          <w:rFonts w:ascii="Calibri" w:hAnsi="Calibri"/>
          <w:sz w:val="22"/>
          <w:szCs w:val="22"/>
        </w:rPr>
        <w:tab/>
        <w:t>OBSERVANDO que el Plan Estratégico para 2025-2034 ha sido preparado por el Grupo de Trabajo sobre el Plan Estratégico del Comité Permanente con la ayuda de la Secretaría, a través de un proceso de amplias consultas con las Partes Contratantes, las organizaciones internacionales asociadas (OIA) a la Convención y otros interesados directos, incluidas organizaciones intergubernamentales y no gubernamentales;</w:t>
      </w:r>
    </w:p>
    <w:p w14:paraId="47DA3302" w14:textId="77777777" w:rsidR="004C1845" w:rsidRPr="004C1845" w:rsidRDefault="004C1845" w:rsidP="0027129D">
      <w:pPr>
        <w:contextualSpacing/>
        <w:rPr>
          <w:rFonts w:ascii="Calibri" w:hAnsi="Calibri"/>
          <w:sz w:val="22"/>
          <w:szCs w:val="22"/>
        </w:rPr>
      </w:pPr>
    </w:p>
    <w:p w14:paraId="18E39F2F" w14:textId="54496B66" w:rsidR="004C1845" w:rsidRPr="004C1845" w:rsidRDefault="004C1845" w:rsidP="004C1845">
      <w:pPr>
        <w:ind w:left="426" w:hanging="284"/>
        <w:jc w:val="center"/>
        <w:rPr>
          <w:rFonts w:ascii="Calibri" w:hAnsi="Calibri"/>
          <w:sz w:val="22"/>
          <w:szCs w:val="22"/>
        </w:rPr>
      </w:pPr>
      <w:r>
        <w:rPr>
          <w:rFonts w:ascii="Calibri" w:hAnsi="Calibri"/>
          <w:sz w:val="22"/>
          <w:szCs w:val="22"/>
        </w:rPr>
        <w:t>LA CONFERENCIA DE LAS PARTES CONTRATANTES</w:t>
      </w:r>
    </w:p>
    <w:p w14:paraId="6F5E7E2D" w14:textId="77777777" w:rsidR="004C1845" w:rsidRPr="004C1845" w:rsidRDefault="004C1845" w:rsidP="004C1845">
      <w:pPr>
        <w:ind w:left="426" w:hanging="284"/>
        <w:rPr>
          <w:rFonts w:ascii="Calibri" w:hAnsi="Calibri"/>
          <w:sz w:val="22"/>
          <w:szCs w:val="22"/>
        </w:rPr>
      </w:pPr>
    </w:p>
    <w:p w14:paraId="171B75B8" w14:textId="06E11E1F" w:rsidR="004C1845" w:rsidRPr="004C1845" w:rsidRDefault="00D03C71" w:rsidP="00D03C71">
      <w:pPr>
        <w:ind w:left="425" w:hanging="425"/>
        <w:rPr>
          <w:rFonts w:ascii="Calibri" w:hAnsi="Calibri"/>
          <w:sz w:val="22"/>
          <w:szCs w:val="22"/>
        </w:rPr>
      </w:pPr>
      <w:r>
        <w:rPr>
          <w:rFonts w:ascii="Calibri" w:hAnsi="Calibri"/>
          <w:sz w:val="22"/>
          <w:szCs w:val="22"/>
        </w:rPr>
        <w:t>12.</w:t>
      </w:r>
      <w:r>
        <w:rPr>
          <w:rFonts w:ascii="Calibri" w:hAnsi="Calibri"/>
          <w:sz w:val="22"/>
          <w:szCs w:val="22"/>
        </w:rPr>
        <w:tab/>
        <w:t>APRUEBA el Plan Estratégico de la Convención sobre los Humedales para 2025-2034 (</w:t>
      </w:r>
      <w:r w:rsidR="00510FCA">
        <w:rPr>
          <w:rFonts w:ascii="Calibri" w:hAnsi="Calibri"/>
          <w:sz w:val="22"/>
          <w:szCs w:val="22"/>
        </w:rPr>
        <w:t>“</w:t>
      </w:r>
      <w:r>
        <w:rPr>
          <w:rFonts w:ascii="Calibri" w:hAnsi="Calibri"/>
          <w:sz w:val="22"/>
          <w:szCs w:val="22"/>
        </w:rPr>
        <w:t>el Quinto Plan Estratégico</w:t>
      </w:r>
      <w:r w:rsidR="00510FCA">
        <w:rPr>
          <w:rFonts w:ascii="Calibri" w:hAnsi="Calibri"/>
          <w:sz w:val="22"/>
          <w:szCs w:val="22"/>
        </w:rPr>
        <w:t>”</w:t>
      </w:r>
      <w:r>
        <w:rPr>
          <w:rFonts w:ascii="Calibri" w:hAnsi="Calibri"/>
          <w:sz w:val="22"/>
          <w:szCs w:val="22"/>
        </w:rPr>
        <w:t xml:space="preserve">) que figura en el anexo de la presente Resolución como base para la aplicación de la Convención durante este período, y ENCARGA a la Secretaría que lo difunda ampliamente entre los asociados y los interesados directos que participan en su ejecución; </w:t>
      </w:r>
    </w:p>
    <w:p w14:paraId="137FC094" w14:textId="77777777" w:rsidR="004C1845" w:rsidRPr="004C1845" w:rsidRDefault="004C1845" w:rsidP="00D03C71">
      <w:pPr>
        <w:ind w:left="425" w:hanging="425"/>
        <w:rPr>
          <w:rFonts w:ascii="Calibri" w:hAnsi="Calibri"/>
          <w:b/>
          <w:sz w:val="22"/>
          <w:szCs w:val="22"/>
        </w:rPr>
      </w:pPr>
    </w:p>
    <w:p w14:paraId="270BB21A" w14:textId="6EEA3FE0" w:rsidR="004C1845" w:rsidRPr="004C1845" w:rsidRDefault="00D03C71" w:rsidP="00D03C71">
      <w:pPr>
        <w:tabs>
          <w:tab w:val="left" w:pos="0"/>
        </w:tabs>
        <w:ind w:left="425" w:hanging="425"/>
        <w:rPr>
          <w:rFonts w:ascii="Calibri" w:hAnsi="Calibri"/>
          <w:sz w:val="22"/>
          <w:szCs w:val="22"/>
        </w:rPr>
      </w:pPr>
      <w:r>
        <w:rPr>
          <w:rFonts w:ascii="Calibri" w:hAnsi="Calibri"/>
          <w:sz w:val="22"/>
          <w:szCs w:val="22"/>
        </w:rPr>
        <w:t>13.</w:t>
      </w:r>
      <w:r>
        <w:rPr>
          <w:rFonts w:ascii="Calibri" w:hAnsi="Calibri"/>
          <w:sz w:val="22"/>
          <w:szCs w:val="22"/>
        </w:rPr>
        <w:tab/>
        <w:t xml:space="preserve">INSTA a todas las Partes Contratantes e INVITA al Grupo de Examen Científico y Técnico (GECT), al Grupo de Supervisión de las Actividades de Comunicación, Fomento de Capacidad, Educación, Participación y Concienciación (CECoP), a las organizaciones internacionales asociadas (OIA) a la Convención, a las iniciativas y centros regionales de Ramsar y a la Secretaría a que asuman el reto renovado de aplicar la Convención a través de los objetivos y metas del Plan Estratégico; </w:t>
      </w:r>
    </w:p>
    <w:p w14:paraId="06BC5C1A" w14:textId="77777777" w:rsidR="004C1845" w:rsidRPr="004C1845" w:rsidRDefault="004C1845" w:rsidP="00D03C71">
      <w:pPr>
        <w:tabs>
          <w:tab w:val="left" w:pos="0"/>
        </w:tabs>
        <w:ind w:left="425" w:hanging="425"/>
        <w:rPr>
          <w:rFonts w:ascii="Calibri" w:hAnsi="Calibri"/>
          <w:sz w:val="22"/>
          <w:szCs w:val="22"/>
        </w:rPr>
      </w:pPr>
    </w:p>
    <w:p w14:paraId="0325FDF5" w14:textId="4A5E5A6A" w:rsidR="004C1845" w:rsidRPr="004C1845" w:rsidRDefault="00D03C71" w:rsidP="46DADD48">
      <w:pPr>
        <w:ind w:left="425" w:hanging="425"/>
        <w:rPr>
          <w:rFonts w:ascii="Calibri" w:hAnsi="Calibri"/>
          <w:sz w:val="22"/>
          <w:szCs w:val="22"/>
        </w:rPr>
      </w:pPr>
      <w:r>
        <w:rPr>
          <w:rFonts w:ascii="Calibri" w:hAnsi="Calibri"/>
          <w:sz w:val="22"/>
          <w:szCs w:val="22"/>
        </w:rPr>
        <w:t>14.</w:t>
      </w:r>
      <w:r>
        <w:tab/>
      </w:r>
      <w:r>
        <w:rPr>
          <w:rFonts w:ascii="Calibri" w:hAnsi="Calibri"/>
          <w:sz w:val="22"/>
          <w:szCs w:val="22"/>
        </w:rPr>
        <w:t xml:space="preserve">INVITA a otros interesados directos, tales como otros acuerdos ambientales multilaterales, organizaciones internacionales, incluidas las organizaciones financieras, organizaciones no gubernamentales y de la sociedad civil, los pueblos indígenas y las comunidades locales, academias científicas e instituciones de investigación, órganos científicos y técnicos profesionales, donantes y empresas privadas a contribuir a la ejecución del Plan Estratégico; </w:t>
      </w:r>
    </w:p>
    <w:p w14:paraId="638C4F6F" w14:textId="77777777" w:rsidR="004C1845" w:rsidRPr="004C1845" w:rsidRDefault="004C1845" w:rsidP="00D03C71">
      <w:pPr>
        <w:autoSpaceDE w:val="0"/>
        <w:autoSpaceDN w:val="0"/>
        <w:adjustRightInd w:val="0"/>
        <w:ind w:left="425" w:hanging="425"/>
        <w:rPr>
          <w:rFonts w:ascii="Calibri" w:hAnsi="Calibri" w:cs="Garamond"/>
          <w:sz w:val="22"/>
          <w:szCs w:val="22"/>
          <w:lang w:eastAsia="en-GB"/>
        </w:rPr>
      </w:pPr>
    </w:p>
    <w:p w14:paraId="2F0327E6" w14:textId="296E1D1C" w:rsidR="003B5C2C" w:rsidRDefault="00D03C71" w:rsidP="00D03C71">
      <w:pPr>
        <w:ind w:left="425" w:hanging="425"/>
        <w:rPr>
          <w:rFonts w:ascii="Calibri" w:hAnsi="Calibri"/>
          <w:sz w:val="22"/>
          <w:szCs w:val="22"/>
        </w:rPr>
      </w:pPr>
      <w:r>
        <w:rPr>
          <w:rFonts w:ascii="Calibri" w:hAnsi="Calibri"/>
          <w:sz w:val="22"/>
          <w:szCs w:val="22"/>
        </w:rPr>
        <w:t>15.</w:t>
      </w:r>
      <w:r>
        <w:rPr>
          <w:rFonts w:ascii="Calibri" w:hAnsi="Calibri"/>
          <w:sz w:val="22"/>
          <w:szCs w:val="22"/>
        </w:rPr>
        <w:tab/>
        <w:t>[PIDE al GECT que apoye el desarrollo continuado de indicadores e informe sobre sus progresos a la 66</w:t>
      </w:r>
      <w:r>
        <w:rPr>
          <w:rFonts w:ascii="Calibri" w:hAnsi="Calibri"/>
          <w:sz w:val="22"/>
          <w:szCs w:val="22"/>
          <w:vertAlign w:val="superscript"/>
        </w:rPr>
        <w:t>a</w:t>
      </w:r>
      <w:r>
        <w:rPr>
          <w:rFonts w:ascii="Calibri" w:hAnsi="Calibri"/>
          <w:sz w:val="22"/>
          <w:szCs w:val="22"/>
        </w:rPr>
        <w:t xml:space="preserve"> reunión del Comité Permanente (SC66);].</w:t>
      </w:r>
    </w:p>
    <w:p w14:paraId="3DC75515" w14:textId="77777777" w:rsidR="00F6375D" w:rsidRDefault="00F6375D" w:rsidP="002B3519">
      <w:pPr>
        <w:rPr>
          <w:rFonts w:ascii="Calibri" w:hAnsi="Calibri"/>
          <w:sz w:val="22"/>
          <w:szCs w:val="22"/>
        </w:rPr>
      </w:pPr>
    </w:p>
    <w:p w14:paraId="18D02E58" w14:textId="0DE82A86" w:rsidR="004C1845" w:rsidRPr="004C1845" w:rsidRDefault="00B4276F" w:rsidP="00D03C71">
      <w:pPr>
        <w:ind w:left="425" w:hanging="425"/>
        <w:rPr>
          <w:rFonts w:ascii="Calibri" w:hAnsi="Calibri"/>
          <w:sz w:val="22"/>
          <w:szCs w:val="22"/>
        </w:rPr>
      </w:pPr>
      <w:r>
        <w:rPr>
          <w:rFonts w:ascii="Calibri" w:hAnsi="Calibri"/>
          <w:sz w:val="22"/>
          <w:szCs w:val="22"/>
        </w:rPr>
        <w:t xml:space="preserve"> 16. </w:t>
      </w:r>
      <w:r>
        <w:rPr>
          <w:rFonts w:ascii="Calibri" w:hAnsi="Calibri"/>
          <w:sz w:val="22"/>
          <w:szCs w:val="22"/>
        </w:rPr>
        <w:tab/>
      </w:r>
      <w:r>
        <w:rPr>
          <w:rFonts w:asciiTheme="minorHAnsi" w:hAnsiTheme="minorHAnsi"/>
          <w:sz w:val="22"/>
          <w:szCs w:val="22"/>
        </w:rPr>
        <w:t>PIDE a la Secretaría y al Comité Permanente que desarrollen, para su consideración en la reunión SC67, el modelo de Informe Nacional para la 16</w:t>
      </w:r>
      <w:r>
        <w:rPr>
          <w:rFonts w:asciiTheme="minorHAnsi" w:hAnsiTheme="minorHAnsi"/>
          <w:sz w:val="22"/>
          <w:szCs w:val="22"/>
          <w:vertAlign w:val="superscript"/>
        </w:rPr>
        <w:t>a</w:t>
      </w:r>
      <w:r>
        <w:rPr>
          <w:rFonts w:asciiTheme="minorHAnsi" w:hAnsiTheme="minorHAnsi"/>
          <w:sz w:val="22"/>
          <w:szCs w:val="22"/>
        </w:rPr>
        <w:t xml:space="preserve"> reunión de la Conferencia de las Partes Contratantes (COP16) de forma que refleje los objetivos y metas del Quinto Plan Estratégico, intentando al mismo tiempo reducir al mínimo la carga de presentación de informes nacionales;</w:t>
      </w:r>
    </w:p>
    <w:p w14:paraId="058EA85C" w14:textId="77777777" w:rsidR="004C1845" w:rsidRPr="004C1845" w:rsidRDefault="004C1845" w:rsidP="00D03C71">
      <w:pPr>
        <w:ind w:left="425" w:hanging="425"/>
        <w:rPr>
          <w:rFonts w:ascii="Calibri" w:hAnsi="Calibri"/>
          <w:sz w:val="22"/>
          <w:szCs w:val="22"/>
        </w:rPr>
      </w:pPr>
    </w:p>
    <w:p w14:paraId="4CDD8259" w14:textId="6E41E45E" w:rsidR="004C1845" w:rsidRDefault="00ED025C" w:rsidP="00D03C71">
      <w:pPr>
        <w:autoSpaceDE w:val="0"/>
        <w:autoSpaceDN w:val="0"/>
        <w:adjustRightInd w:val="0"/>
        <w:ind w:left="425" w:hanging="425"/>
        <w:rPr>
          <w:rFonts w:ascii="Calibri" w:hAnsi="Calibri" w:cs="Garamond"/>
          <w:sz w:val="22"/>
          <w:szCs w:val="22"/>
        </w:rPr>
      </w:pPr>
      <w:r>
        <w:rPr>
          <w:rFonts w:ascii="Calibri" w:hAnsi="Calibri"/>
          <w:sz w:val="22"/>
          <w:szCs w:val="22"/>
        </w:rPr>
        <w:t>17.</w:t>
      </w:r>
      <w:r>
        <w:rPr>
          <w:rFonts w:ascii="Calibri" w:hAnsi="Calibri"/>
          <w:sz w:val="22"/>
          <w:szCs w:val="22"/>
        </w:rPr>
        <w:tab/>
        <w:t xml:space="preserve">INSTA a las Partes Contratantes a que supervisen los avances en la ejecución del Plan Estratégico, aprovechando las sinergias con los requisitos de presentación de informes del Convenio sobre la Diversidad Biológica (CDB), y a que comuniquen los progresos realizados, así como cualquier dificultad en la ejecución del Plan, en sus informes nacionales; y PIDE al Comité Permanente que, basándose en la información facilitada, evalúe los progresos realizados y cualquier dificultad en la ejecución del Plan en sus reuniones; y ENCARGA a la Secretaría que </w:t>
      </w:r>
      <w:r>
        <w:rPr>
          <w:rFonts w:ascii="Calibri" w:hAnsi="Calibri"/>
          <w:sz w:val="22"/>
          <w:szCs w:val="22"/>
        </w:rPr>
        <w:lastRenderedPageBreak/>
        <w:t xml:space="preserve">apoye las iniciativas de fomento de capacidad, con sujeción a la disponibilidad de recursos suficientes, con el objetivo de ayudar a las Partes Contratantes en la preparación de los informes nacionales; </w:t>
      </w:r>
    </w:p>
    <w:p w14:paraId="48B786D6" w14:textId="77777777" w:rsidR="00EF3DE7" w:rsidRDefault="00EF3DE7" w:rsidP="00D03C71">
      <w:pPr>
        <w:autoSpaceDE w:val="0"/>
        <w:autoSpaceDN w:val="0"/>
        <w:adjustRightInd w:val="0"/>
        <w:ind w:left="425" w:hanging="425"/>
        <w:rPr>
          <w:rFonts w:ascii="Calibri" w:hAnsi="Calibri" w:cs="Garamond"/>
          <w:sz w:val="22"/>
          <w:szCs w:val="22"/>
          <w:lang w:eastAsia="en-GB"/>
        </w:rPr>
      </w:pPr>
    </w:p>
    <w:p w14:paraId="62373219" w14:textId="1D88948A" w:rsidR="009E6017" w:rsidRPr="004C1845" w:rsidRDefault="00ED025C" w:rsidP="00D03C71">
      <w:pPr>
        <w:autoSpaceDE w:val="0"/>
        <w:autoSpaceDN w:val="0"/>
        <w:adjustRightInd w:val="0"/>
        <w:ind w:left="425" w:hanging="425"/>
        <w:rPr>
          <w:rFonts w:ascii="Calibri" w:hAnsi="Calibri" w:cs="Garamond"/>
          <w:sz w:val="22"/>
          <w:szCs w:val="22"/>
        </w:rPr>
      </w:pPr>
      <w:r>
        <w:rPr>
          <w:rFonts w:ascii="Calibri" w:hAnsi="Calibri"/>
          <w:sz w:val="22"/>
          <w:szCs w:val="22"/>
        </w:rPr>
        <w:t xml:space="preserve">18. </w:t>
      </w:r>
      <w:r>
        <w:rPr>
          <w:rFonts w:ascii="Calibri" w:hAnsi="Calibri"/>
          <w:sz w:val="22"/>
          <w:szCs w:val="22"/>
        </w:rPr>
        <w:tab/>
        <w:t>INSTA a las Partes Contratantes a mejorar la cooperación internacional con vistas a superar los retos en la aplicación de la Convención y su Plan Estratégico, incluidos los relacionados con los medios de implementación;</w:t>
      </w:r>
    </w:p>
    <w:p w14:paraId="68DE819F" w14:textId="77777777" w:rsidR="004C1845" w:rsidRPr="004C1845" w:rsidRDefault="004C1845" w:rsidP="00D03C71">
      <w:pPr>
        <w:ind w:left="425" w:hanging="425"/>
        <w:contextualSpacing/>
        <w:rPr>
          <w:rFonts w:ascii="Calibri" w:hAnsi="Calibri" w:cs="Garamond"/>
          <w:sz w:val="22"/>
          <w:szCs w:val="22"/>
          <w:lang w:eastAsia="en-GB"/>
        </w:rPr>
      </w:pPr>
    </w:p>
    <w:p w14:paraId="3B1FA32E" w14:textId="5D331772" w:rsidR="004C1845" w:rsidRPr="004C1845" w:rsidRDefault="00ED025C" w:rsidP="00D03C71">
      <w:pPr>
        <w:autoSpaceDE w:val="0"/>
        <w:autoSpaceDN w:val="0"/>
        <w:adjustRightInd w:val="0"/>
        <w:ind w:left="425" w:hanging="425"/>
        <w:contextualSpacing/>
        <w:rPr>
          <w:rFonts w:ascii="Calibri" w:hAnsi="Calibri" w:cs="Garamond"/>
          <w:sz w:val="22"/>
          <w:szCs w:val="22"/>
        </w:rPr>
      </w:pPr>
      <w:r>
        <w:rPr>
          <w:rFonts w:ascii="Calibri" w:hAnsi="Calibri"/>
          <w:sz w:val="22"/>
          <w:szCs w:val="22"/>
        </w:rPr>
        <w:t>19.</w:t>
      </w:r>
      <w:r>
        <w:rPr>
          <w:rFonts w:ascii="Calibri" w:hAnsi="Calibri"/>
          <w:sz w:val="22"/>
          <w:szCs w:val="22"/>
        </w:rPr>
        <w:tab/>
        <w:t>ALIENTA a las Partes Contratantes a que promuevan, reconozcan y fortalezcan la participación activa de [los pueblos indígenas y las comunidades locales] en la conservación y el manejo integrado de los humedales;</w:t>
      </w:r>
    </w:p>
    <w:p w14:paraId="47C3DD33" w14:textId="77777777" w:rsidR="004C1845" w:rsidRPr="004C1845" w:rsidRDefault="004C1845" w:rsidP="00D03C71">
      <w:pPr>
        <w:autoSpaceDE w:val="0"/>
        <w:autoSpaceDN w:val="0"/>
        <w:adjustRightInd w:val="0"/>
        <w:ind w:left="425" w:hanging="425"/>
        <w:contextualSpacing/>
        <w:rPr>
          <w:rFonts w:ascii="Calibri" w:hAnsi="Calibri" w:cs="Garamond"/>
          <w:sz w:val="22"/>
          <w:szCs w:val="22"/>
          <w:highlight w:val="yellow"/>
          <w:lang w:eastAsia="en-GB"/>
        </w:rPr>
      </w:pPr>
    </w:p>
    <w:p w14:paraId="4009BDED" w14:textId="7993EBD4" w:rsidR="004C1845" w:rsidRPr="00B817C6" w:rsidRDefault="00ED025C" w:rsidP="00D03C71">
      <w:pPr>
        <w:autoSpaceDE w:val="0"/>
        <w:autoSpaceDN w:val="0"/>
        <w:adjustRightInd w:val="0"/>
        <w:ind w:left="425" w:hanging="425"/>
        <w:contextualSpacing/>
        <w:rPr>
          <w:rFonts w:ascii="Calibri" w:hAnsi="Calibri" w:cs="Garamond"/>
          <w:sz w:val="22"/>
          <w:szCs w:val="22"/>
        </w:rPr>
      </w:pPr>
      <w:r>
        <w:rPr>
          <w:rFonts w:ascii="Calibri" w:hAnsi="Calibri"/>
          <w:sz w:val="22"/>
          <w:szCs w:val="22"/>
        </w:rPr>
        <w:t>20.</w:t>
      </w:r>
      <w:r>
        <w:tab/>
      </w:r>
      <w:r>
        <w:rPr>
          <w:rFonts w:ascii="Calibri" w:hAnsi="Calibri"/>
          <w:sz w:val="22"/>
          <w:szCs w:val="22"/>
        </w:rPr>
        <w:t xml:space="preserve">ALIENTA a las Partes Contratantes a que asignen recursos financieros con cargo a los presupuestos nacionales para la ejecución del Quinto Plan Estratégico, y PIDE además a la Secretaría que movilice recursos adicionales, de conformidad con la Resolución XII.7, </w:t>
      </w:r>
      <w:r>
        <w:rPr>
          <w:rFonts w:ascii="Calibri" w:hAnsi="Calibri"/>
          <w:i/>
          <w:iCs/>
          <w:sz w:val="22"/>
          <w:szCs w:val="22"/>
        </w:rPr>
        <w:t>Marco de la Convención de Ramsar para la movilización de recursos y las asociaciones de colaboración</w:t>
      </w:r>
      <w:r>
        <w:rPr>
          <w:rFonts w:ascii="Calibri" w:hAnsi="Calibri"/>
          <w:sz w:val="22"/>
          <w:szCs w:val="22"/>
        </w:rPr>
        <w:t>, de manera que estén disponibles para apoyar a las Partes en la ejecución efectiva del Plan Estratégico;</w:t>
      </w:r>
    </w:p>
    <w:p w14:paraId="1DCA87CA" w14:textId="77777777" w:rsidR="00B817C6" w:rsidRPr="000B58D1" w:rsidRDefault="00B817C6" w:rsidP="00D03C71">
      <w:pPr>
        <w:autoSpaceDE w:val="0"/>
        <w:autoSpaceDN w:val="0"/>
        <w:adjustRightInd w:val="0"/>
        <w:ind w:left="425" w:hanging="425"/>
        <w:contextualSpacing/>
        <w:rPr>
          <w:rFonts w:ascii="Calibri" w:hAnsi="Calibri" w:cs="Garamond"/>
          <w:sz w:val="22"/>
          <w:szCs w:val="22"/>
          <w:lang w:eastAsia="en-GB"/>
        </w:rPr>
      </w:pPr>
    </w:p>
    <w:p w14:paraId="34C3A3AE" w14:textId="12E2EAAF" w:rsidR="007B441C" w:rsidRPr="007B441C" w:rsidRDefault="00ED025C" w:rsidP="00732CD8">
      <w:pPr>
        <w:autoSpaceDE w:val="0"/>
        <w:autoSpaceDN w:val="0"/>
        <w:adjustRightInd w:val="0"/>
        <w:ind w:left="425" w:hanging="425"/>
        <w:rPr>
          <w:rFonts w:ascii="Calibri" w:hAnsi="Calibri"/>
          <w:sz w:val="22"/>
          <w:szCs w:val="22"/>
        </w:rPr>
      </w:pPr>
      <w:r>
        <w:rPr>
          <w:rFonts w:ascii="Calibri" w:hAnsi="Calibri"/>
          <w:sz w:val="22"/>
          <w:szCs w:val="22"/>
        </w:rPr>
        <w:t>21.</w:t>
      </w:r>
      <w:r>
        <w:rPr>
          <w:rFonts w:ascii="Calibri" w:hAnsi="Calibri"/>
          <w:sz w:val="22"/>
          <w:szCs w:val="22"/>
        </w:rPr>
        <w:tab/>
        <w:t xml:space="preserve">PIDE a la Secretaría, con sujeción a la disponibilidad de recursos, e INVITA a las iniciativas regionales Ramsar a que apoyen la recopilación y comunicación de información sobre los </w:t>
      </w:r>
      <w:r w:rsidR="005169E6">
        <w:rPr>
          <w:rFonts w:ascii="Calibri" w:hAnsi="Calibri"/>
          <w:sz w:val="22"/>
          <w:szCs w:val="22"/>
        </w:rPr>
        <w:t>H</w:t>
      </w:r>
      <w:r>
        <w:rPr>
          <w:rFonts w:ascii="Calibri" w:hAnsi="Calibri"/>
          <w:sz w:val="22"/>
          <w:szCs w:val="22"/>
        </w:rPr>
        <w:t xml:space="preserve">umedales de Importancia Internacional completando las Fichas Informativas de Ramsar y actualizando con regularidad el Servicio de Información sobre Sitios Ramsar; </w:t>
      </w:r>
    </w:p>
    <w:p w14:paraId="0315C237" w14:textId="1E3761A2" w:rsidR="007B441C" w:rsidRPr="00732CD8" w:rsidRDefault="007B441C" w:rsidP="00732CD8">
      <w:pPr>
        <w:autoSpaceDE w:val="0"/>
        <w:autoSpaceDN w:val="0"/>
        <w:adjustRightInd w:val="0"/>
        <w:ind w:left="425" w:hanging="425"/>
        <w:rPr>
          <w:rFonts w:ascii="Calibri" w:hAnsi="Calibri" w:cs="Garamond"/>
          <w:sz w:val="22"/>
          <w:szCs w:val="22"/>
          <w:lang w:eastAsia="en-GB"/>
        </w:rPr>
      </w:pPr>
    </w:p>
    <w:p w14:paraId="550A16E3" w14:textId="0B27732B" w:rsidR="004C1845" w:rsidRDefault="00ED025C" w:rsidP="00D03C71">
      <w:pPr>
        <w:ind w:left="425" w:hanging="425"/>
        <w:contextualSpacing/>
        <w:rPr>
          <w:rFonts w:ascii="Calibri" w:hAnsi="Calibri"/>
          <w:sz w:val="22"/>
          <w:szCs w:val="22"/>
        </w:rPr>
      </w:pPr>
      <w:r>
        <w:rPr>
          <w:rFonts w:ascii="Calibri" w:hAnsi="Calibri"/>
          <w:sz w:val="22"/>
          <w:szCs w:val="22"/>
        </w:rPr>
        <w:t>22.</w:t>
      </w:r>
      <w:r>
        <w:rPr>
          <w:rFonts w:ascii="Calibri" w:hAnsi="Calibri"/>
          <w:sz w:val="22"/>
          <w:szCs w:val="22"/>
        </w:rPr>
        <w:tab/>
        <w:t>DECIDE considerar un examen del Quinto Plan Estratégico y establecer las modalidades, el alcance y el calendario de dicho examen en la COP16, teniendo en cuenta, entre otras cosas, los resultados de los debates sobre la agenda de desarrollo sostenible posterior a 2030 y los Objetivos de Desarrollo Sostenible, la labor de la Plataforma Intergubernamental Científico-Normativa sobre Diversidad Biológica y Servicios de los Ecosistemas (IPBES) y el CDB, y ENCARGA a la Secretaría que facilite este proceso; y</w:t>
      </w:r>
    </w:p>
    <w:p w14:paraId="7F1CE3F1" w14:textId="77777777" w:rsidR="00135A85" w:rsidRDefault="00135A85" w:rsidP="00D03C71">
      <w:pPr>
        <w:pStyle w:val="ListParagraph"/>
        <w:ind w:left="425" w:hanging="425"/>
        <w:rPr>
          <w:rFonts w:ascii="Calibri" w:hAnsi="Calibri"/>
          <w:sz w:val="22"/>
          <w:szCs w:val="22"/>
        </w:rPr>
      </w:pPr>
    </w:p>
    <w:p w14:paraId="1261A0D2" w14:textId="4AF4FFA6" w:rsidR="00135A85" w:rsidRPr="004C1845" w:rsidRDefault="00ED025C" w:rsidP="00D03C71">
      <w:pPr>
        <w:ind w:left="425" w:hanging="425"/>
        <w:contextualSpacing/>
        <w:rPr>
          <w:rFonts w:ascii="Calibri" w:hAnsi="Calibri"/>
          <w:sz w:val="22"/>
          <w:szCs w:val="22"/>
        </w:rPr>
      </w:pPr>
      <w:r>
        <w:rPr>
          <w:rFonts w:ascii="Calibri" w:hAnsi="Calibri"/>
          <w:sz w:val="22"/>
          <w:szCs w:val="22"/>
        </w:rPr>
        <w:t>23.</w:t>
      </w:r>
      <w:r>
        <w:rPr>
          <w:rFonts w:ascii="Calibri" w:hAnsi="Calibri"/>
          <w:sz w:val="22"/>
          <w:szCs w:val="22"/>
        </w:rPr>
        <w:tab/>
        <w:t xml:space="preserve">CONFIRMA que la presente Resolución y su anexo sustituyen a los adoptados como Resolución XII.2, que queda reemplazada por la presente Resolución. </w:t>
      </w:r>
    </w:p>
    <w:p w14:paraId="46634CF7" w14:textId="77777777" w:rsidR="004C1845" w:rsidRPr="004C1845" w:rsidRDefault="004C1845" w:rsidP="004C1845">
      <w:pPr>
        <w:autoSpaceDE w:val="0"/>
        <w:autoSpaceDN w:val="0"/>
        <w:adjustRightInd w:val="0"/>
        <w:ind w:left="426" w:hanging="284"/>
        <w:rPr>
          <w:rFonts w:ascii="Calibri" w:hAnsi="Calibri" w:cs="Garamond"/>
          <w:sz w:val="22"/>
          <w:szCs w:val="22"/>
          <w:lang w:eastAsia="en-GB"/>
        </w:rPr>
      </w:pPr>
    </w:p>
    <w:p w14:paraId="15997D87" w14:textId="0C11D716" w:rsidR="00B16035" w:rsidRDefault="00B16035" w:rsidP="007344A8">
      <w:pPr>
        <w:pStyle w:val="PlainText"/>
        <w:jc w:val="both"/>
        <w:rPr>
          <w:sz w:val="20"/>
          <w:szCs w:val="20"/>
        </w:rPr>
      </w:pPr>
      <w:r>
        <w:br w:type="page"/>
      </w:r>
    </w:p>
    <w:p w14:paraId="6C3D0DE7" w14:textId="2BB1D674" w:rsidR="00B16035" w:rsidRPr="00C5378C" w:rsidRDefault="00B16035" w:rsidP="00B16035">
      <w:pPr>
        <w:ind w:left="426" w:hanging="426"/>
        <w:jc w:val="both"/>
        <w:rPr>
          <w:rFonts w:ascii="Calibri" w:hAnsi="Calibri" w:cs="Calibri"/>
          <w:b/>
        </w:rPr>
      </w:pPr>
      <w:r>
        <w:rPr>
          <w:rFonts w:ascii="Calibri" w:hAnsi="Calibri"/>
          <w:b/>
        </w:rPr>
        <w:lastRenderedPageBreak/>
        <w:t>Anexo 2</w:t>
      </w:r>
    </w:p>
    <w:p w14:paraId="127A73BF" w14:textId="6C0AF68B" w:rsidR="00B16035" w:rsidRDefault="00762332" w:rsidP="00B16035">
      <w:pPr>
        <w:pStyle w:val="PlainText"/>
        <w:jc w:val="both"/>
        <w:rPr>
          <w:sz w:val="20"/>
          <w:szCs w:val="20"/>
        </w:rPr>
      </w:pPr>
      <w:r>
        <w:rPr>
          <w:b/>
          <w:bCs/>
        </w:rPr>
        <w:t>Plan Estratégico de la Convención sobre los Humedales 2025-2034</w:t>
      </w:r>
    </w:p>
    <w:p w14:paraId="47BE3BE5" w14:textId="77777777" w:rsidR="00B16035" w:rsidRDefault="00B16035" w:rsidP="00B16035">
      <w:pPr>
        <w:jc w:val="center"/>
        <w:rPr>
          <w:rFonts w:ascii="Calibri" w:hAnsi="Calibri" w:cs="Calibri"/>
          <w:b/>
          <w:bCs/>
          <w:sz w:val="32"/>
          <w:szCs w:val="32"/>
          <w:lang w:eastAsia="en-US"/>
        </w:rPr>
      </w:pPr>
    </w:p>
    <w:p w14:paraId="08531A8D" w14:textId="77777777" w:rsidR="00C5378C" w:rsidRDefault="00C5378C" w:rsidP="00C5378C">
      <w:pPr>
        <w:jc w:val="center"/>
        <w:rPr>
          <w:rFonts w:ascii="Calibri" w:hAnsi="Calibri" w:cs="Calibri"/>
          <w:b/>
          <w:bCs/>
          <w:sz w:val="32"/>
          <w:szCs w:val="32"/>
          <w:lang w:eastAsia="en-US"/>
        </w:rPr>
      </w:pPr>
    </w:p>
    <w:p w14:paraId="090BA63C" w14:textId="1E33C9C1" w:rsidR="00B16035" w:rsidRDefault="00762332" w:rsidP="00C5378C">
      <w:pPr>
        <w:jc w:val="center"/>
        <w:rPr>
          <w:rFonts w:ascii="Calibri" w:hAnsi="Calibri" w:cs="Calibri"/>
          <w:sz w:val="22"/>
          <w:szCs w:val="22"/>
        </w:rPr>
      </w:pPr>
      <w:r>
        <w:rPr>
          <w:rFonts w:ascii="Calibri" w:hAnsi="Calibri"/>
          <w:b/>
          <w:bCs/>
          <w:sz w:val="32"/>
          <w:szCs w:val="32"/>
        </w:rPr>
        <w:t>Plan Estratégico de la Convención sobre los Humedales</w:t>
      </w:r>
      <w:r>
        <w:rPr>
          <w:rFonts w:ascii="Calibri" w:hAnsi="Calibri"/>
          <w:b/>
          <w:bCs/>
          <w:sz w:val="32"/>
          <w:szCs w:val="32"/>
        </w:rPr>
        <w:br/>
        <w:t>2025-2034</w:t>
      </w:r>
    </w:p>
    <w:p w14:paraId="1EF50665" w14:textId="77777777" w:rsidR="00B16035" w:rsidRDefault="00B16035" w:rsidP="00DD360B">
      <w:pPr>
        <w:rPr>
          <w:rFonts w:ascii="Calibri" w:hAnsi="Calibri" w:cs="Calibri"/>
          <w:sz w:val="22"/>
          <w:szCs w:val="22"/>
          <w:lang w:eastAsia="en-US"/>
        </w:rPr>
      </w:pPr>
    </w:p>
    <w:p w14:paraId="390305D1" w14:textId="077746C3" w:rsidR="00B16035" w:rsidRPr="0077693F" w:rsidRDefault="005C4077" w:rsidP="005C4077">
      <w:pPr>
        <w:pStyle w:val="SP5text"/>
        <w:numPr>
          <w:ilvl w:val="0"/>
          <w:numId w:val="0"/>
        </w:numPr>
        <w:spacing w:after="0"/>
        <w:ind w:left="426" w:hanging="426"/>
      </w:pPr>
      <w:r>
        <w:t>1.</w:t>
      </w:r>
      <w:r>
        <w:tab/>
        <w:t>La misión de la Convención sobre los Humedales es:</w:t>
      </w:r>
    </w:p>
    <w:p w14:paraId="4402F473" w14:textId="77777777" w:rsidR="00B16035" w:rsidRPr="0077693F" w:rsidRDefault="00B16035" w:rsidP="00DD360B">
      <w:pPr>
        <w:ind w:left="425"/>
        <w:rPr>
          <w:rFonts w:ascii="Calibri" w:hAnsi="Calibri" w:cs="Calibri"/>
          <w:sz w:val="22"/>
          <w:szCs w:val="22"/>
          <w:lang w:eastAsia="en-GB"/>
        </w:rPr>
      </w:pPr>
    </w:p>
    <w:p w14:paraId="4068AB3B" w14:textId="7E55D6E0" w:rsidR="00B16035" w:rsidRDefault="00510FCA" w:rsidP="005C4077">
      <w:pPr>
        <w:pBdr>
          <w:top w:val="nil"/>
          <w:left w:val="nil"/>
          <w:bottom w:val="nil"/>
          <w:right w:val="nil"/>
          <w:between w:val="nil"/>
        </w:pBdr>
        <w:ind w:left="426"/>
        <w:contextualSpacing/>
        <w:rPr>
          <w:rFonts w:ascii="Calibri" w:eastAsia="Cambria" w:hAnsi="Calibri" w:cs="Calibri"/>
          <w:i/>
          <w:iCs/>
          <w:sz w:val="22"/>
          <w:szCs w:val="22"/>
        </w:rPr>
      </w:pPr>
      <w:r>
        <w:rPr>
          <w:rFonts w:ascii="Calibri" w:hAnsi="Calibri"/>
          <w:i/>
          <w:iCs/>
          <w:sz w:val="22"/>
          <w:szCs w:val="22"/>
        </w:rPr>
        <w:t>“</w:t>
      </w:r>
      <w:r w:rsidR="00B16035">
        <w:rPr>
          <w:rFonts w:ascii="Calibri" w:hAnsi="Calibri"/>
          <w:i/>
          <w:iCs/>
          <w:sz w:val="22"/>
          <w:szCs w:val="22"/>
        </w:rPr>
        <w:t>la conservación y el uso racional de los humedales mediante acciones locales y nacionales y gracias a la cooperación internacional, como contribución al logro de un desarrollo sostenible en todo el mundo</w:t>
      </w:r>
      <w:r>
        <w:rPr>
          <w:rFonts w:ascii="Calibri" w:hAnsi="Calibri"/>
          <w:i/>
          <w:iCs/>
          <w:sz w:val="22"/>
          <w:szCs w:val="22"/>
        </w:rPr>
        <w:t>”</w:t>
      </w:r>
      <w:r w:rsidR="00B16035">
        <w:rPr>
          <w:rFonts w:ascii="Calibri" w:hAnsi="Calibri"/>
          <w:i/>
          <w:iCs/>
          <w:sz w:val="22"/>
          <w:szCs w:val="22"/>
        </w:rPr>
        <w:t>.</w:t>
      </w:r>
    </w:p>
    <w:p w14:paraId="0A7DCCE8" w14:textId="77777777" w:rsidR="00B16035" w:rsidRPr="0077693F" w:rsidRDefault="00B16035" w:rsidP="00DD360B">
      <w:pPr>
        <w:pBdr>
          <w:top w:val="nil"/>
          <w:left w:val="nil"/>
          <w:bottom w:val="nil"/>
          <w:right w:val="nil"/>
          <w:between w:val="nil"/>
        </w:pBdr>
        <w:ind w:left="720"/>
        <w:contextualSpacing/>
        <w:rPr>
          <w:rFonts w:ascii="Calibri" w:eastAsia="Cambria" w:hAnsi="Calibri" w:cs="Calibri"/>
          <w:i/>
          <w:iCs/>
          <w:sz w:val="22"/>
          <w:szCs w:val="22"/>
          <w:lang w:eastAsia="en-GB"/>
        </w:rPr>
      </w:pPr>
    </w:p>
    <w:p w14:paraId="172A84ED" w14:textId="14D50DE3" w:rsidR="00B16035" w:rsidRDefault="00B16035" w:rsidP="00DD360B">
      <w:pPr>
        <w:pStyle w:val="Heading1"/>
        <w:spacing w:after="0"/>
      </w:pPr>
      <w:r>
        <w:t>Una visión para el Quinto Plan Estratégico</w:t>
      </w:r>
    </w:p>
    <w:p w14:paraId="553A24C1" w14:textId="77777777" w:rsidR="00B16035" w:rsidRPr="00903582" w:rsidRDefault="00B16035" w:rsidP="00DD360B">
      <w:pPr>
        <w:rPr>
          <w:lang w:eastAsia="en-GB"/>
        </w:rPr>
      </w:pPr>
    </w:p>
    <w:p w14:paraId="32A0E3D8" w14:textId="110DF261" w:rsidR="00B16035" w:rsidRPr="00D9113B" w:rsidRDefault="005C4077" w:rsidP="005C4077">
      <w:pPr>
        <w:pStyle w:val="SP5text"/>
        <w:numPr>
          <w:ilvl w:val="0"/>
          <w:numId w:val="0"/>
        </w:numPr>
        <w:spacing w:after="0"/>
        <w:ind w:left="426" w:hanging="426"/>
      </w:pPr>
      <w:r>
        <w:t>2.</w:t>
      </w:r>
      <w:r>
        <w:tab/>
        <w:t>La visión del Quinto Plan Estratégico, que abarca el período 2025-2034, es:</w:t>
      </w:r>
    </w:p>
    <w:p w14:paraId="520A9353" w14:textId="77777777" w:rsidR="005C4077" w:rsidRDefault="005C4077" w:rsidP="00DD360B">
      <w:pPr>
        <w:pStyle w:val="SP5Quote"/>
        <w:spacing w:after="0"/>
        <w:rPr>
          <w:rFonts w:ascii="Calibri" w:hAnsi="Calibri" w:cs="Calibri"/>
          <w:sz w:val="22"/>
          <w:szCs w:val="22"/>
        </w:rPr>
      </w:pPr>
    </w:p>
    <w:p w14:paraId="6151A63D" w14:textId="627C3503" w:rsidR="00B16035" w:rsidRPr="00D9113B" w:rsidRDefault="00B16035" w:rsidP="00DD360B">
      <w:pPr>
        <w:pStyle w:val="SP5Quote"/>
        <w:spacing w:after="0"/>
        <w:rPr>
          <w:rFonts w:ascii="Calibri" w:hAnsi="Calibri" w:cs="Calibri"/>
          <w:b/>
          <w:sz w:val="22"/>
          <w:szCs w:val="22"/>
        </w:rPr>
      </w:pPr>
      <w:r>
        <w:rPr>
          <w:rFonts w:ascii="Calibri" w:hAnsi="Calibri"/>
          <w:sz w:val="22"/>
          <w:szCs w:val="22"/>
        </w:rPr>
        <w:t>Un mundo en el que se viva en armonía con la naturaleza, donde los humedales se valoren, conserven, restauren y utilicen de forma racional, contribuyendo a la salud del planeta y brindando beneficios a todas las personas.</w:t>
      </w:r>
    </w:p>
    <w:p w14:paraId="7B46B434" w14:textId="77777777" w:rsidR="005C4077" w:rsidRDefault="005C4077" w:rsidP="00DD360B">
      <w:pPr>
        <w:pStyle w:val="Heading1"/>
        <w:spacing w:after="0"/>
      </w:pPr>
    </w:p>
    <w:p w14:paraId="14636B06" w14:textId="424C1176" w:rsidR="00B16035" w:rsidRPr="00D9113B" w:rsidRDefault="00B16035" w:rsidP="00DD360B">
      <w:pPr>
        <w:pStyle w:val="Heading1"/>
        <w:spacing w:after="0"/>
      </w:pPr>
      <w:r>
        <w:t>Antecedentes</w:t>
      </w:r>
    </w:p>
    <w:p w14:paraId="259F5E15" w14:textId="77777777" w:rsidR="005C4077" w:rsidRDefault="005C4077" w:rsidP="005C4077">
      <w:pPr>
        <w:pStyle w:val="SP5text"/>
        <w:numPr>
          <w:ilvl w:val="0"/>
          <w:numId w:val="0"/>
        </w:numPr>
        <w:spacing w:after="0"/>
        <w:ind w:left="425" w:hanging="425"/>
      </w:pPr>
    </w:p>
    <w:p w14:paraId="450D7822" w14:textId="6CB7471E" w:rsidR="00B16035" w:rsidRDefault="005C4077" w:rsidP="005C4077">
      <w:pPr>
        <w:pStyle w:val="SP5text"/>
        <w:numPr>
          <w:ilvl w:val="0"/>
          <w:numId w:val="0"/>
        </w:numPr>
        <w:spacing w:after="0"/>
        <w:ind w:left="425" w:hanging="425"/>
      </w:pPr>
      <w:r>
        <w:t>3.</w:t>
      </w:r>
      <w:r>
        <w:tab/>
        <w:t>El presente plan es el Quinto Plan Estratégico de la Convención sobre los Humedales. El primer plan fue elaborado en 1996</w:t>
      </w:r>
      <w:r w:rsidR="00B16035">
        <w:rPr>
          <w:rStyle w:val="FootnoteReference"/>
        </w:rPr>
        <w:footnoteReference w:id="3"/>
      </w:r>
      <w:r>
        <w:t xml:space="preserve"> y los siguientes se adoptaron en 2002</w:t>
      </w:r>
      <w:r w:rsidR="00B16035">
        <w:rPr>
          <w:rStyle w:val="FootnoteReference"/>
        </w:rPr>
        <w:footnoteReference w:id="4"/>
      </w:r>
      <w:r>
        <w:t>, 2008</w:t>
      </w:r>
      <w:r w:rsidR="00B16035">
        <w:rPr>
          <w:rStyle w:val="FootnoteReference"/>
        </w:rPr>
        <w:footnoteReference w:id="5"/>
      </w:r>
      <w:r>
        <w:t xml:space="preserve"> y 2015</w:t>
      </w:r>
      <w:r w:rsidR="00B16035">
        <w:rPr>
          <w:rStyle w:val="FootnoteReference"/>
        </w:rPr>
        <w:footnoteReference w:id="6"/>
      </w:r>
      <w:r>
        <w:t>. A partir del Tercer Plan Estratégico, la labor de la Convención se ha organizado en torno a tres pilares: i) el uso racional de todos los humedales mediante planes, políticas y legislación nacionales, medidas de manejo y la educación del público; ii) la designación y el manejo sostenible de humedales adecuados para su inclusión en la Lista de Humedales de Importancia Internacional; y iii) la cooperación internacional con respecto a los humedales transfronterizos y las especies compartidas</w:t>
      </w:r>
      <w:r w:rsidR="00B16035">
        <w:rPr>
          <w:rStyle w:val="FootnoteReference"/>
        </w:rPr>
        <w:footnoteReference w:id="7"/>
      </w:r>
      <w:r>
        <w:t>.</w:t>
      </w:r>
    </w:p>
    <w:p w14:paraId="20A068B0" w14:textId="77777777" w:rsidR="005C4077" w:rsidRDefault="005C4077" w:rsidP="005C4077">
      <w:pPr>
        <w:pStyle w:val="SP5text"/>
        <w:numPr>
          <w:ilvl w:val="0"/>
          <w:numId w:val="0"/>
        </w:numPr>
        <w:spacing w:after="0"/>
        <w:ind w:left="425" w:hanging="425"/>
      </w:pPr>
    </w:p>
    <w:p w14:paraId="30C6779C" w14:textId="32A87C0E" w:rsidR="00B16035" w:rsidRDefault="005C4077" w:rsidP="005C4077">
      <w:pPr>
        <w:pStyle w:val="SP5text"/>
        <w:numPr>
          <w:ilvl w:val="0"/>
          <w:numId w:val="0"/>
        </w:numPr>
        <w:spacing w:after="0"/>
        <w:ind w:left="425" w:hanging="425"/>
      </w:pPr>
      <w:r>
        <w:t>4.</w:t>
      </w:r>
      <w:r>
        <w:tab/>
        <w:t xml:space="preserve">El uso racional de todos los humedales es un concepto fundamental en el que se basa la labor de la Convención sobre los Humedales. Según la definición adoptada por la Convención el uso racional de los humedales </w:t>
      </w:r>
      <w:r w:rsidR="00510FCA">
        <w:t>“</w:t>
      </w:r>
      <w:r>
        <w:t>es el mantenimiento de sus características ecológicas, logrado mediante la implementación de enfoques por ecosistemas, dentro del contexto del desarrollo sostenible</w:t>
      </w:r>
      <w:r w:rsidR="00510FCA">
        <w:t>”</w:t>
      </w:r>
      <w:r w:rsidR="00B16035" w:rsidRPr="00C413B1">
        <w:rPr>
          <w:rStyle w:val="FootnoteReference"/>
          <w:rFonts w:cs="Calibri"/>
        </w:rPr>
        <w:footnoteReference w:id="8"/>
      </w:r>
      <w:r>
        <w:t xml:space="preserve">; mientras que las características ecológicas </w:t>
      </w:r>
      <w:r w:rsidR="00510FCA">
        <w:t>“</w:t>
      </w:r>
      <w:r>
        <w:t>son la combinación de los componentes, procesos y beneficios /servicios del ecosistema que caracterizan al humedal en un determinado momento</w:t>
      </w:r>
      <w:r w:rsidR="00510FCA">
        <w:t>”</w:t>
      </w:r>
      <w:r>
        <w:rPr>
          <w:vertAlign w:val="superscript"/>
        </w:rPr>
        <w:t>6</w:t>
      </w:r>
      <w:r>
        <w:t xml:space="preserve">. Por consiguiente, el uso racional de los humedales y el </w:t>
      </w:r>
      <w:r>
        <w:lastRenderedPageBreak/>
        <w:t>mantenimiento de sus características ecológicas constituyen la esencia de la aspiración de la Convención a frenar la progresiva invasión y pérdida de humedales ahora y en el futuro.</w:t>
      </w:r>
    </w:p>
    <w:p w14:paraId="6927B42D" w14:textId="77777777" w:rsidR="005C4077" w:rsidRDefault="005C4077" w:rsidP="005C4077">
      <w:pPr>
        <w:pStyle w:val="SP5text"/>
        <w:numPr>
          <w:ilvl w:val="0"/>
          <w:numId w:val="0"/>
        </w:numPr>
        <w:spacing w:after="0"/>
        <w:ind w:left="425" w:hanging="425"/>
      </w:pPr>
    </w:p>
    <w:p w14:paraId="48E76B8C" w14:textId="17A0E53E" w:rsidR="00B16035" w:rsidRDefault="005C4077" w:rsidP="005C4077">
      <w:pPr>
        <w:pStyle w:val="SP5text"/>
        <w:numPr>
          <w:ilvl w:val="0"/>
          <w:numId w:val="0"/>
        </w:numPr>
        <w:spacing w:after="0"/>
        <w:ind w:left="425" w:hanging="425"/>
      </w:pPr>
      <w:r>
        <w:t>5.</w:t>
      </w:r>
      <w:r>
        <w:tab/>
        <w:t>[El Plan Estratégico reconoce múltiples visiones del mundo y formas de conocimiento. El concepto de uso racional [va más allá del uso extractivo y] abarca las relaciones entre los seres humanos y los humedales. Las formas de conocimiento indígenas incluyen la importancia de las relaciones sostenibles y respetuosas con los humedales, el respeto por los humedales y por todos los que habitan el espacio, y [la reciprocidad] [, la reciprocidad y el deber de ser la voz de los que no tienen voz].]</w:t>
      </w:r>
    </w:p>
    <w:p w14:paraId="08DAAC32" w14:textId="77777777" w:rsidR="005C4077" w:rsidRPr="00261002" w:rsidRDefault="005C4077" w:rsidP="005C4077">
      <w:pPr>
        <w:pStyle w:val="SP5text"/>
        <w:numPr>
          <w:ilvl w:val="0"/>
          <w:numId w:val="0"/>
        </w:numPr>
        <w:spacing w:after="0"/>
        <w:ind w:left="425" w:hanging="425"/>
        <w:rPr>
          <w:color w:val="000000" w:themeColor="text1"/>
        </w:rPr>
      </w:pPr>
    </w:p>
    <w:p w14:paraId="7115A576" w14:textId="415517E1" w:rsidR="00B16035" w:rsidRPr="000E4614" w:rsidRDefault="005C4077" w:rsidP="005C4077">
      <w:pPr>
        <w:pStyle w:val="SP5text"/>
        <w:numPr>
          <w:ilvl w:val="0"/>
          <w:numId w:val="0"/>
        </w:numPr>
        <w:spacing w:after="0"/>
        <w:ind w:left="425" w:hanging="425"/>
        <w:rPr>
          <w:color w:val="000000" w:themeColor="text1"/>
        </w:rPr>
      </w:pPr>
      <w:r>
        <w:rPr>
          <w:color w:val="000000" w:themeColor="text1"/>
        </w:rPr>
        <w:t>6.</w:t>
      </w:r>
      <w:r>
        <w:rPr>
          <w:color w:val="000000" w:themeColor="text1"/>
        </w:rPr>
        <w:tab/>
      </w:r>
      <w:r>
        <w:t>La Convención define los humedales como 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p>
    <w:p w14:paraId="29573F49" w14:textId="77777777" w:rsidR="005C4077" w:rsidRDefault="005C4077" w:rsidP="005C4077">
      <w:pPr>
        <w:pStyle w:val="SP5text"/>
        <w:numPr>
          <w:ilvl w:val="0"/>
          <w:numId w:val="0"/>
        </w:numPr>
        <w:spacing w:after="0"/>
        <w:ind w:left="425" w:hanging="425"/>
      </w:pPr>
    </w:p>
    <w:p w14:paraId="66798445" w14:textId="5235003D" w:rsidR="00B16035" w:rsidRPr="00C413B1" w:rsidRDefault="005C4077" w:rsidP="005C4077">
      <w:pPr>
        <w:pStyle w:val="SP5text"/>
        <w:numPr>
          <w:ilvl w:val="0"/>
          <w:numId w:val="0"/>
        </w:numPr>
        <w:spacing w:after="0"/>
        <w:ind w:left="425" w:hanging="425"/>
      </w:pPr>
      <w:r>
        <w:t>7.</w:t>
      </w:r>
      <w:r>
        <w:tab/>
        <w:t xml:space="preserve">La Convención sobre los Humedales es el primer acuerdo ambiental multilateral (AAM) a escala mundial. La Convención fue adoptada en la ciudad iraní de Ramsar en 1971 y entró en vigor en 1975. Desde entonces, 172 Estados miembros de la ONU, de todas las regiones geográficas del mundo, se han adherido a ella convirtiéndose así en </w:t>
      </w:r>
      <w:r w:rsidR="00510FCA">
        <w:t>“</w:t>
      </w:r>
      <w:r>
        <w:t>Partes Contratantes</w:t>
      </w:r>
      <w:r w:rsidR="00510FCA">
        <w:t>”</w:t>
      </w:r>
      <w:r>
        <w:t>, y han designado más de 2 500 Humedales de Importancia Internacional que cubren una superficie superior a los 2,5 millones de kilómetros cuadrados</w:t>
      </w:r>
      <w:r w:rsidR="00B16035">
        <w:rPr>
          <w:rStyle w:val="FootnoteReference"/>
        </w:rPr>
        <w:footnoteReference w:id="9"/>
      </w:r>
      <w:r>
        <w:t>. La Lista de Humedales de Importancia Internacional constituye la mayor red de sitios ecológicos importantes reconocidos oficialmente en el mundo.</w:t>
      </w:r>
    </w:p>
    <w:p w14:paraId="49A9255C" w14:textId="77777777" w:rsidR="005C4077" w:rsidRDefault="005C4077" w:rsidP="005C4077">
      <w:pPr>
        <w:pStyle w:val="SP5text"/>
        <w:numPr>
          <w:ilvl w:val="0"/>
          <w:numId w:val="0"/>
        </w:numPr>
        <w:spacing w:after="0"/>
        <w:ind w:left="425" w:hanging="425"/>
      </w:pPr>
    </w:p>
    <w:p w14:paraId="5ED43430" w14:textId="67C3DD6D" w:rsidR="00B16035" w:rsidRDefault="00B16035" w:rsidP="00DD360B">
      <w:pPr>
        <w:pStyle w:val="Heading1"/>
        <w:spacing w:after="0"/>
      </w:pPr>
      <w:r>
        <w:t>Perspectivas sobre los humedales</w:t>
      </w:r>
    </w:p>
    <w:p w14:paraId="351B1BB2" w14:textId="77777777" w:rsidR="005C4077" w:rsidRPr="005C4077" w:rsidRDefault="005C4077" w:rsidP="005C4077">
      <w:pPr>
        <w:pStyle w:val="SP5text"/>
        <w:numPr>
          <w:ilvl w:val="0"/>
          <w:numId w:val="0"/>
        </w:numPr>
        <w:spacing w:after="0"/>
        <w:ind w:left="425" w:hanging="425"/>
      </w:pPr>
    </w:p>
    <w:p w14:paraId="0DE30F93" w14:textId="4985F78A" w:rsidR="00B16035" w:rsidRPr="000E4614" w:rsidRDefault="00FE04F6" w:rsidP="00FE04F6">
      <w:pPr>
        <w:pStyle w:val="SP5text"/>
        <w:numPr>
          <w:ilvl w:val="0"/>
          <w:numId w:val="0"/>
        </w:numPr>
        <w:spacing w:after="0"/>
        <w:ind w:left="426" w:hanging="426"/>
      </w:pPr>
      <w:r>
        <w:t>8.</w:t>
      </w:r>
      <w:r>
        <w:tab/>
        <w:t xml:space="preserve">Los humedales son fundamentales para el bienestar humano, para un planeta sano y para la prosperidad económica de todas las personas, en particular para vivir en un entorno sano y sostenible en armonía con la naturaleza. Los humedales proporcionan una amplia gama de servicios ecosistémicos de regulación, aprovisionamiento y culturales, entre los que se incluyen los relacionados con la alimentación, la medicina, la energía, el aire y el agua limpios, el clima, la seguridad frente a las catástrofes naturales, así como con el ocio y la cultura y otras contribuciones que van más allá de la conservación de la biodiversidad. </w:t>
      </w:r>
    </w:p>
    <w:p w14:paraId="5DCB5B68" w14:textId="77777777" w:rsidR="00FE04F6" w:rsidRDefault="00FE04F6" w:rsidP="00FE04F6">
      <w:pPr>
        <w:pStyle w:val="SP5text"/>
        <w:numPr>
          <w:ilvl w:val="0"/>
          <w:numId w:val="0"/>
        </w:numPr>
        <w:spacing w:after="0"/>
        <w:ind w:left="426" w:hanging="426"/>
      </w:pPr>
    </w:p>
    <w:p w14:paraId="5AD930B9" w14:textId="13651AC5" w:rsidR="00B16035" w:rsidRPr="000E4614" w:rsidRDefault="00EE7186" w:rsidP="00FE04F6">
      <w:pPr>
        <w:pStyle w:val="SP5text"/>
        <w:numPr>
          <w:ilvl w:val="0"/>
          <w:numId w:val="0"/>
        </w:numPr>
        <w:spacing w:after="0"/>
        <w:ind w:left="426" w:hanging="426"/>
      </w:pPr>
      <w:r>
        <w:t>9.</w:t>
      </w:r>
      <w:r>
        <w:tab/>
        <w:t xml:space="preserve">El Quinto Plan Estratégico de la Convención sobre los Humedales responde a las conclusiones plasmadas en las publicaciones </w:t>
      </w:r>
      <w:r>
        <w:rPr>
          <w:i/>
          <w:iCs/>
        </w:rPr>
        <w:t>Perspectiva mundial sobre los humedales</w:t>
      </w:r>
      <w:r w:rsidR="00B16035" w:rsidRPr="000E4614">
        <w:rPr>
          <w:rStyle w:val="FootnoteReference"/>
        </w:rPr>
        <w:footnoteReference w:id="10"/>
      </w:r>
      <w:r>
        <w:t>. El desarrollo del Quinto Plan Estratégico se ha basado en investigaciones y evaluaciones adicionales para identificar y hacer frente a los principales impulsores de la degradación y la pérdida de humedales</w:t>
      </w:r>
      <w:r w:rsidR="00B16035" w:rsidRPr="000E4614">
        <w:rPr>
          <w:rStyle w:val="FootnoteReference"/>
        </w:rPr>
        <w:footnoteReference w:id="11"/>
      </w:r>
      <w:r>
        <w:t>. En estas evaluaciones recientes se ha puesto de manifiesto el lamentable estado de los humedales y se concluye que:</w:t>
      </w:r>
    </w:p>
    <w:p w14:paraId="592F1D7F" w14:textId="6266B1DB" w:rsidR="00B16035" w:rsidRPr="000E4614" w:rsidRDefault="00B16035" w:rsidP="00FE04F6">
      <w:pPr>
        <w:pStyle w:val="SP5Bullet"/>
        <w:ind w:left="851" w:hanging="425"/>
        <w:rPr>
          <w:rFonts w:ascii="Calibri" w:hAnsi="Calibri" w:cs="Calibri"/>
          <w:sz w:val="22"/>
          <w:szCs w:val="22"/>
        </w:rPr>
      </w:pPr>
      <w:r>
        <w:rPr>
          <w:rFonts w:ascii="Calibri" w:hAnsi="Calibri"/>
          <w:sz w:val="22"/>
          <w:szCs w:val="22"/>
        </w:rPr>
        <w:t>La superficie mundial de humedales está disminuyendo rápidamente.</w:t>
      </w:r>
    </w:p>
    <w:p w14:paraId="7F8B6760" w14:textId="7AB44BF6" w:rsidR="00B16035" w:rsidRPr="000E4614" w:rsidRDefault="00B16035" w:rsidP="00FE04F6">
      <w:pPr>
        <w:pStyle w:val="SP5Bullet"/>
        <w:ind w:left="851" w:hanging="425"/>
        <w:rPr>
          <w:rFonts w:ascii="Calibri" w:hAnsi="Calibri" w:cs="Calibri"/>
          <w:sz w:val="22"/>
          <w:szCs w:val="22"/>
        </w:rPr>
      </w:pPr>
      <w:r>
        <w:rPr>
          <w:rFonts w:ascii="Calibri" w:hAnsi="Calibri"/>
          <w:sz w:val="22"/>
          <w:szCs w:val="22"/>
        </w:rPr>
        <w:t xml:space="preserve">Una cuarta parte de todas las plantas y animales de los humedales están en peligro de extinción. </w:t>
      </w:r>
    </w:p>
    <w:p w14:paraId="2209D0B4" w14:textId="138D25FD" w:rsidR="00B16035" w:rsidRPr="000E4614" w:rsidRDefault="00B16035" w:rsidP="00FE04F6">
      <w:pPr>
        <w:pStyle w:val="SP5Bullet"/>
        <w:ind w:left="851" w:hanging="425"/>
        <w:rPr>
          <w:rFonts w:ascii="Calibri" w:hAnsi="Calibri" w:cs="Calibri"/>
          <w:sz w:val="22"/>
          <w:szCs w:val="22"/>
        </w:rPr>
      </w:pPr>
      <w:r>
        <w:rPr>
          <w:rFonts w:ascii="Calibri" w:hAnsi="Calibri"/>
          <w:sz w:val="22"/>
          <w:szCs w:val="22"/>
        </w:rPr>
        <w:t>El estado de los humedales que quedan en el mundo también está empeorando.</w:t>
      </w:r>
    </w:p>
    <w:p w14:paraId="6D98428F" w14:textId="62E95867" w:rsidR="00B16035" w:rsidRPr="000E4614" w:rsidRDefault="00B16035" w:rsidP="00FE04F6">
      <w:pPr>
        <w:pStyle w:val="SP5Bullet"/>
        <w:ind w:left="851" w:hanging="425"/>
        <w:rPr>
          <w:rFonts w:ascii="Calibri" w:hAnsi="Calibri" w:cs="Calibri"/>
          <w:sz w:val="22"/>
          <w:szCs w:val="22"/>
        </w:rPr>
      </w:pPr>
      <w:r>
        <w:rPr>
          <w:rFonts w:ascii="Calibri" w:hAnsi="Calibri"/>
          <w:sz w:val="22"/>
          <w:szCs w:val="22"/>
        </w:rPr>
        <w:t>Los principales impulsores mundiales de la degradación y la pérdida de humedales son el cambio climático, las prácticas agrícolas insostenibles y la urbanización.</w:t>
      </w:r>
    </w:p>
    <w:p w14:paraId="053E587F" w14:textId="595008A6" w:rsidR="00B16035" w:rsidRPr="000E4614" w:rsidRDefault="00B16035" w:rsidP="00FE04F6">
      <w:pPr>
        <w:pStyle w:val="SP5Bullet"/>
        <w:ind w:left="851" w:hanging="425"/>
        <w:rPr>
          <w:rFonts w:ascii="Calibri" w:hAnsi="Calibri" w:cs="Calibri"/>
          <w:sz w:val="22"/>
          <w:szCs w:val="22"/>
        </w:rPr>
      </w:pPr>
      <w:r>
        <w:rPr>
          <w:rFonts w:ascii="Calibri" w:hAnsi="Calibri"/>
          <w:sz w:val="22"/>
          <w:szCs w:val="22"/>
        </w:rPr>
        <w:lastRenderedPageBreak/>
        <w:t>En el plano local, el drenaje, la contaminación, las especies exóticas invasoras, el uso insostenible y la alteración de los regímenes de flujo, entre otros factores, también están afectando al estado de los humedales.</w:t>
      </w:r>
    </w:p>
    <w:p w14:paraId="43D5AD05" w14:textId="77777777" w:rsidR="00B16035" w:rsidRPr="00D9113B" w:rsidRDefault="00B16035" w:rsidP="00DD360B">
      <w:pPr>
        <w:pStyle w:val="SP5Bullet"/>
        <w:numPr>
          <w:ilvl w:val="0"/>
          <w:numId w:val="0"/>
        </w:numPr>
        <w:ind w:left="720" w:hanging="360"/>
        <w:rPr>
          <w:rFonts w:ascii="Calibri" w:hAnsi="Calibri" w:cs="Calibri"/>
          <w:sz w:val="22"/>
          <w:szCs w:val="22"/>
        </w:rPr>
      </w:pPr>
    </w:p>
    <w:p w14:paraId="775B6B16" w14:textId="55A54A53" w:rsidR="00B16035" w:rsidRPr="00D9113B" w:rsidRDefault="00EE7186" w:rsidP="00EE7186">
      <w:pPr>
        <w:pStyle w:val="SP5text"/>
        <w:numPr>
          <w:ilvl w:val="0"/>
          <w:numId w:val="0"/>
        </w:numPr>
        <w:spacing w:after="0"/>
        <w:ind w:left="426" w:hanging="426"/>
      </w:pPr>
      <w:r>
        <w:t>10.</w:t>
      </w:r>
      <w:r>
        <w:tab/>
        <w:t>A pesar de los graves problemas que afectan a los humedales en todo el mundo, estos también pueden aportar múltiples contribuciones para hacer frente a los retos que tienen ante sí los seres humanos y son fundamentales para cumplir una serie de compromisos mundiales, incluidos los relacionados con la biodiversidad, el cambio climático y el desarrollo sostenible. La aplicación de medidas de gestión de la conservación, el aumento de la concienciación de las comunidades locales y la integración de los valores y tradiciones culturales en la gestión de los humedales son, sin lugar a dudas, los impulsores más eficaces del buen estado ecológico de los humedales.</w:t>
      </w:r>
    </w:p>
    <w:p w14:paraId="37EC9FF6" w14:textId="77777777" w:rsidR="005A645E" w:rsidRDefault="005A645E" w:rsidP="00EE7186">
      <w:pPr>
        <w:pStyle w:val="SP5text"/>
        <w:numPr>
          <w:ilvl w:val="0"/>
          <w:numId w:val="0"/>
        </w:numPr>
        <w:spacing w:after="0"/>
        <w:ind w:left="426" w:hanging="426"/>
      </w:pPr>
    </w:p>
    <w:p w14:paraId="092815C5" w14:textId="01FB9BD8" w:rsidR="00B16035" w:rsidRDefault="00EE7186" w:rsidP="00EE7186">
      <w:pPr>
        <w:pStyle w:val="SP5text"/>
        <w:numPr>
          <w:ilvl w:val="0"/>
          <w:numId w:val="0"/>
        </w:numPr>
        <w:spacing w:after="0"/>
        <w:ind w:left="426" w:hanging="426"/>
      </w:pPr>
      <w:r>
        <w:t>11.</w:t>
      </w:r>
      <w:r>
        <w:tab/>
        <w:t>Los humedales también encarnan diversos conceptos de naturaleza y una pluralidad de sistemas de valores. Para lograr un uso racional, y para que los humedales contribuyan plenamente al desarrollo sostenible, los encargados de la formulación de políticas y los profesionales (tales como los administradores de sitios) deben reconocer los múltiples valores de los humedales, teniendo en cuenta, entre otras cosas, los diversos valores que poseen las comunidades de los humedales, y deben reflejarlos en sus decisiones, políticas y acciones, según proceda. El reconocimiento de los múltiples valores que encierran los humedales puede servir de base a esfuerzos inclusivos de colaboración intersectorial. Los diferentes actores y sectores que participan en la gobernanza de los humedales deben comunicarse y colaborar para garantizar que estos múltiples valores de los humedales sean reconocidos y defendidos</w:t>
      </w:r>
      <w:r w:rsidR="00B16035">
        <w:rPr>
          <w:rStyle w:val="FootnoteReference"/>
        </w:rPr>
        <w:footnoteReference w:id="12"/>
      </w:r>
      <w:r>
        <w:t>.</w:t>
      </w:r>
    </w:p>
    <w:p w14:paraId="7B8C9F8C" w14:textId="77777777" w:rsidR="00EE7186" w:rsidRDefault="00B4276F" w:rsidP="00DD360B">
      <w:pPr>
        <w:pStyle w:val="Heading1"/>
        <w:spacing w:after="0"/>
      </w:pPr>
      <w:r>
        <w:t xml:space="preserve"> </w:t>
      </w:r>
    </w:p>
    <w:p w14:paraId="61D7D3E5" w14:textId="29C4BCD2" w:rsidR="00B16035" w:rsidRPr="00D9113B" w:rsidRDefault="00B16035" w:rsidP="00DD360B">
      <w:pPr>
        <w:pStyle w:val="Heading1"/>
        <w:spacing w:after="0"/>
      </w:pPr>
      <w:r>
        <w:t>Finalidad</w:t>
      </w:r>
    </w:p>
    <w:p w14:paraId="2D377CA1" w14:textId="77777777" w:rsidR="00CB7F58" w:rsidRDefault="00CB7F58" w:rsidP="00CB7F58">
      <w:pPr>
        <w:pStyle w:val="SP5text"/>
        <w:numPr>
          <w:ilvl w:val="0"/>
          <w:numId w:val="0"/>
        </w:numPr>
        <w:spacing w:after="0"/>
        <w:ind w:left="425" w:hanging="425"/>
      </w:pPr>
    </w:p>
    <w:p w14:paraId="2FE8F446" w14:textId="5C9D0586" w:rsidR="00B16035" w:rsidRPr="00CB7F58" w:rsidRDefault="00867F15" w:rsidP="00CB7F58">
      <w:pPr>
        <w:pStyle w:val="SP5text"/>
        <w:numPr>
          <w:ilvl w:val="0"/>
          <w:numId w:val="0"/>
        </w:numPr>
        <w:spacing w:after="0"/>
        <w:ind w:left="425" w:hanging="425"/>
      </w:pPr>
      <w:r>
        <w:t>12.</w:t>
      </w:r>
      <w:r>
        <w:tab/>
        <w:t>El Quinto Plan Estratégico de la Convención sobre los Humedales reconoce la urgencia de actuar y de detener e invertir la degradación y la pérdida de humedales descrita anteriormente. El Plan tiene como objetivo responder a los impactos de los principales impulsores de la degradación y la pérdida de humedales, apoyar a las comunidades que dependen de los humedales, catalizar el cambio transformador y centrarse en intervenciones críticas que puedan tener un impacto positivo eficaz y duradero en los humedales a todos los niveles.</w:t>
      </w:r>
    </w:p>
    <w:p w14:paraId="3C420438" w14:textId="77777777" w:rsidR="00CB7F58" w:rsidRDefault="00CB7F58" w:rsidP="00CB7F58">
      <w:pPr>
        <w:pStyle w:val="SP5text"/>
        <w:numPr>
          <w:ilvl w:val="0"/>
          <w:numId w:val="0"/>
        </w:numPr>
        <w:spacing w:after="0"/>
        <w:ind w:left="425" w:hanging="425"/>
      </w:pPr>
    </w:p>
    <w:p w14:paraId="16EFF37B" w14:textId="1743E40F" w:rsidR="00B16035" w:rsidRPr="00867F15" w:rsidRDefault="00867F15" w:rsidP="00CB7F58">
      <w:pPr>
        <w:pStyle w:val="SP5text"/>
        <w:numPr>
          <w:ilvl w:val="0"/>
          <w:numId w:val="0"/>
        </w:numPr>
        <w:spacing w:after="0"/>
        <w:ind w:left="425" w:hanging="425"/>
        <w:rPr>
          <w:rFonts w:asciiTheme="minorHAnsi" w:hAnsiTheme="minorHAnsi" w:cstheme="minorHAnsi"/>
        </w:rPr>
      </w:pPr>
      <w:r>
        <w:t>13.</w:t>
      </w:r>
      <w:r>
        <w:tab/>
        <w:t>El Quinto Plan Estratégico se basa en los Planes Estratégicos anteriores adoptados por la Convención, reconociendo sus éxitos pero, sobre todo, subsanando sus deficiencias, para ofrecer un camino hacia una vida en armonía con la naturaleza.</w:t>
      </w:r>
      <w:r>
        <w:rPr>
          <w:rFonts w:asciiTheme="minorHAnsi" w:hAnsiTheme="minorHAnsi"/>
        </w:rPr>
        <w:t xml:space="preserve"> </w:t>
      </w:r>
    </w:p>
    <w:p w14:paraId="23079865"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E5C6531" w14:textId="6391224F" w:rsidR="00B16035" w:rsidRPr="00867F15" w:rsidRDefault="00867F15" w:rsidP="00CB7F58">
      <w:pPr>
        <w:pStyle w:val="SP5text"/>
        <w:numPr>
          <w:ilvl w:val="0"/>
          <w:numId w:val="0"/>
        </w:numPr>
        <w:spacing w:after="0"/>
        <w:ind w:left="425" w:hanging="425"/>
        <w:rPr>
          <w:rFonts w:asciiTheme="minorHAnsi" w:hAnsiTheme="minorHAnsi" w:cstheme="minorHAnsi"/>
        </w:rPr>
      </w:pPr>
      <w:r>
        <w:rPr>
          <w:rFonts w:asciiTheme="minorHAnsi" w:hAnsiTheme="minorHAnsi"/>
        </w:rPr>
        <w:t>14.</w:t>
      </w:r>
      <w:r>
        <w:rPr>
          <w:rFonts w:asciiTheme="minorHAnsi" w:hAnsiTheme="minorHAnsi"/>
        </w:rPr>
        <w:tab/>
        <w:t>[El Quinto Plan Estratégico reconoce las importantes funciones y contribuciones de [los pueblos indígenas y las comunidades locales] como custodios de los humedales y como asociados en su conservación, restauración y uso sostenible. El Plan también adopta la equidad intergeneracional y la necesidad de garantizar una participación significativa de las generaciones más jóvenes en los procesos de toma de decisiones a todos los niveles, así como la necesidad de garantizar la igualdad de género en la ejecución del Quinto Plan Estratégico a través de un enfoque con perspectiva de género, en el que las mujeres y las niñas, en toda su diversidad, tengan las mismas oportunidades y la misma capacidad para contribuir a los objetivos de la Convención.]</w:t>
      </w:r>
    </w:p>
    <w:p w14:paraId="1A813507"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9A2C26D" w14:textId="7E789711" w:rsidR="00B16035" w:rsidRPr="00867F15" w:rsidRDefault="00B16035" w:rsidP="00CB7F58">
      <w:pPr>
        <w:pStyle w:val="SP5text"/>
        <w:numPr>
          <w:ilvl w:val="0"/>
          <w:numId w:val="0"/>
        </w:numPr>
        <w:spacing w:after="0"/>
        <w:ind w:left="425" w:hanging="425"/>
        <w:rPr>
          <w:rFonts w:asciiTheme="minorHAnsi" w:hAnsiTheme="minorHAnsi" w:cstheme="minorHAnsi"/>
        </w:rPr>
      </w:pPr>
      <w:r>
        <w:rPr>
          <w:rFonts w:asciiTheme="minorHAnsi" w:hAnsiTheme="minorHAnsi"/>
        </w:rPr>
        <w:t>14. alt.1 [El Quinto Plan Estratégico se rige por los siguientes principios y enfoques:</w:t>
      </w:r>
    </w:p>
    <w:p w14:paraId="440976DC" w14:textId="6F016C1D"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rPr>
        <w:lastRenderedPageBreak/>
        <w:t>a.</w:t>
      </w:r>
      <w:r>
        <w:rPr>
          <w:rFonts w:asciiTheme="minorHAnsi" w:hAnsiTheme="minorHAnsi"/>
        </w:rPr>
        <w:tab/>
        <w:t>el Quinto Plan Estratégico reconoce las importantes funciones y contribuciones de [los pueblos indígenas y las comunidades locales] como custodios de los humedales y como asociados en su conservación, restauración y uso sostenible;</w:t>
      </w:r>
    </w:p>
    <w:p w14:paraId="3A21B6A8" w14:textId="5169DF5F"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rPr>
        <w:t>b.</w:t>
      </w:r>
      <w:r>
        <w:rPr>
          <w:rFonts w:asciiTheme="minorHAnsi" w:hAnsiTheme="minorHAnsi"/>
        </w:rPr>
        <w:tab/>
        <w:t>se aplica el principio de la equidad intergeneracional reconociendo la necesidad de garantizar una participación significativa de las generaciones más jóvenes en los procesos de toma de decisiones a todos los niveles, así como la necesidad de garantizar la igualdad de género en la ejecución del Quinto Plan Estratégico a través de un enfoque con perspectiva de género, en el que las mujeres y las niñas, en toda su diversidad, tengan las mismas oportunidades y la misma capacidad para contribuir a los objetivos de la Convención;</w:t>
      </w:r>
    </w:p>
    <w:p w14:paraId="3A69119D" w14:textId="26B55C34"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rPr>
        <w:t>c.</w:t>
      </w:r>
      <w:r>
        <w:rPr>
          <w:rFonts w:asciiTheme="minorHAnsi" w:hAnsiTheme="minorHAnsi"/>
        </w:rPr>
        <w:tab/>
        <w:t>se aplica el criterio de precaución al mantenimiento de las características ecológicas de los sitios Ramsar y al uso racional de otros humedales; y</w:t>
      </w:r>
    </w:p>
    <w:p w14:paraId="6BD591EB" w14:textId="60005A0F"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rPr>
        <w:t>d.</w:t>
      </w:r>
      <w:r>
        <w:rPr>
          <w:rFonts w:asciiTheme="minorHAnsi" w:hAnsiTheme="minorHAnsi"/>
        </w:rPr>
        <w:tab/>
        <w:t>[responsabilidades comunes pero diferenciadas.]]</w:t>
      </w:r>
    </w:p>
    <w:p w14:paraId="67B85F97" w14:textId="77777777" w:rsidR="00867F15" w:rsidRDefault="00867F15" w:rsidP="00DD360B">
      <w:pPr>
        <w:pStyle w:val="SP5text"/>
        <w:numPr>
          <w:ilvl w:val="0"/>
          <w:numId w:val="0"/>
        </w:numPr>
        <w:spacing w:after="0"/>
        <w:ind w:left="720" w:hanging="360"/>
        <w:rPr>
          <w:rFonts w:asciiTheme="minorHAnsi" w:hAnsiTheme="minorHAnsi" w:cstheme="minorHAnsi"/>
        </w:rPr>
      </w:pPr>
    </w:p>
    <w:p w14:paraId="7B4BD50F" w14:textId="262BD82D" w:rsidR="00B16035" w:rsidRPr="00867F15" w:rsidRDefault="00B16035" w:rsidP="00867F15">
      <w:pPr>
        <w:pStyle w:val="SP5text"/>
        <w:numPr>
          <w:ilvl w:val="0"/>
          <w:numId w:val="0"/>
        </w:numPr>
        <w:spacing w:after="0"/>
        <w:ind w:left="426" w:hanging="426"/>
        <w:rPr>
          <w:rFonts w:asciiTheme="minorHAnsi" w:hAnsiTheme="minorHAnsi" w:cstheme="minorHAnsi"/>
        </w:rPr>
      </w:pPr>
      <w:r>
        <w:rPr>
          <w:rFonts w:asciiTheme="minorHAnsi" w:hAnsiTheme="minorHAnsi"/>
        </w:rPr>
        <w:t>14. alt.2 [El Quinto Plan Estratégico reconoce las importantes funciones y contribuciones de los pueblos indígenas y las comunidades locales como custodios de los humedales y como asociados en su conservación, restauración y uso sostenible. El Plan también adopta el principio de la equidad intergeneracional y la necesidad de garantizar una participación significativa de las generaciones más jóvenes en los procesos de toma de decisiones a todos los niveles. Este enfoque tiene como propósito crear igualdad de oportunidades y capacidad para que todos contribuyan a los objetivos de la Convención].</w:t>
      </w:r>
    </w:p>
    <w:p w14:paraId="71C9B36E" w14:textId="77777777" w:rsidR="00867F15" w:rsidRPr="002963A6" w:rsidRDefault="00867F15" w:rsidP="00DD360B">
      <w:pPr>
        <w:pStyle w:val="SP5text"/>
        <w:numPr>
          <w:ilvl w:val="0"/>
          <w:numId w:val="0"/>
        </w:numPr>
        <w:spacing w:after="0"/>
        <w:ind w:left="720" w:hanging="360"/>
      </w:pPr>
    </w:p>
    <w:p w14:paraId="2739A7D9" w14:textId="4FB1ADFE" w:rsidR="00B16035" w:rsidRPr="002963A6" w:rsidRDefault="00867F15" w:rsidP="00867F15">
      <w:pPr>
        <w:pStyle w:val="SP5text"/>
        <w:numPr>
          <w:ilvl w:val="0"/>
          <w:numId w:val="0"/>
        </w:numPr>
        <w:spacing w:after="0"/>
        <w:ind w:left="426" w:hanging="426"/>
      </w:pPr>
      <w:r>
        <w:t>15.</w:t>
      </w:r>
      <w:r>
        <w:tab/>
        <w:t>Ya ha quedado atrás el tiempo de seguir como si no pasara nada. La aspiración del Plan es orientarse a los resultados priorizando las intervenciones, los objetivos y las actividades críticas y urgentes que son esenciales y, por definición, estratégicas para frenar la degradación y la pérdida cada vez mayores de humedales.</w:t>
      </w:r>
    </w:p>
    <w:p w14:paraId="4965453D" w14:textId="77777777" w:rsidR="00867F15" w:rsidRDefault="00867F15" w:rsidP="00DD360B">
      <w:pPr>
        <w:pStyle w:val="Heading1"/>
        <w:spacing w:after="0"/>
      </w:pPr>
    </w:p>
    <w:p w14:paraId="69E8EBFF" w14:textId="7D087B0B" w:rsidR="00B16035" w:rsidRDefault="00B16035" w:rsidP="00DD360B">
      <w:pPr>
        <w:pStyle w:val="Heading1"/>
        <w:spacing w:after="0"/>
      </w:pPr>
      <w:r>
        <w:t>Relación con los AAM y las agendas a escala mundial</w:t>
      </w:r>
    </w:p>
    <w:p w14:paraId="7BA3136A" w14:textId="77777777" w:rsidR="004C7FC0" w:rsidRPr="004C7FC0" w:rsidRDefault="004C7FC0" w:rsidP="004C7FC0">
      <w:pPr>
        <w:ind w:left="426" w:hanging="426"/>
        <w:rPr>
          <w:lang w:eastAsia="en-GB"/>
        </w:rPr>
      </w:pPr>
    </w:p>
    <w:p w14:paraId="27B2905F" w14:textId="66BFE100" w:rsidR="00B16035" w:rsidRPr="004D6053" w:rsidRDefault="004C7FC0" w:rsidP="004C7FC0">
      <w:pPr>
        <w:pStyle w:val="SP5text"/>
        <w:numPr>
          <w:ilvl w:val="0"/>
          <w:numId w:val="0"/>
        </w:numPr>
        <w:spacing w:after="0"/>
        <w:ind w:left="426" w:hanging="426"/>
      </w:pPr>
      <w:r>
        <w:t>16.</w:t>
      </w:r>
      <w:r>
        <w:tab/>
        <w:t>El Quinto Plan Estratégico de la Convención sobre los Humedales promueve la coherencia y la complementariedad entre los procesos de la Convención, así como con otros acuerdos ambientales multilaterales y otras instituciones, a fin de obtener resultados en favor de los humedales, en consonancia con sus respectivos mandatos.</w:t>
      </w:r>
    </w:p>
    <w:p w14:paraId="65F6822C" w14:textId="77777777" w:rsidR="004C7FC0" w:rsidRDefault="004C7FC0" w:rsidP="004C7FC0">
      <w:pPr>
        <w:pStyle w:val="SP5text"/>
        <w:numPr>
          <w:ilvl w:val="0"/>
          <w:numId w:val="0"/>
        </w:numPr>
        <w:spacing w:after="0"/>
        <w:ind w:left="426" w:hanging="426"/>
        <w:rPr>
          <w:rStyle w:val="SP5textChar"/>
        </w:rPr>
      </w:pPr>
    </w:p>
    <w:p w14:paraId="08595439" w14:textId="76DB3936" w:rsidR="00B16035" w:rsidRPr="004D6053" w:rsidRDefault="004C7FC0" w:rsidP="004C7FC0">
      <w:pPr>
        <w:pStyle w:val="SP5text"/>
        <w:numPr>
          <w:ilvl w:val="0"/>
          <w:numId w:val="0"/>
        </w:numPr>
        <w:spacing w:after="0"/>
        <w:ind w:left="426" w:hanging="426"/>
      </w:pPr>
      <w:r>
        <w:rPr>
          <w:rStyle w:val="SP5textChar"/>
        </w:rPr>
        <w:t>17.</w:t>
      </w:r>
      <w:r>
        <w:rPr>
          <w:rStyle w:val="SP5textChar"/>
        </w:rPr>
        <w:tab/>
      </w:r>
      <w:r>
        <w:t>La aplicación del Quinto Plan Estratégico de la Convención sobre los Humedales mejorará las sinergias, la cooperación o la colaboración con diferentes AAM y procesos, y contribuirá a su cumplimiento, incluidos, entre otros, la Convención Marco de las Naciones Unidas sobre el Cambio Climático[</w:t>
      </w:r>
      <w:r w:rsidR="00B16035">
        <w:rPr>
          <w:rStyle w:val="FootnoteReference"/>
        </w:rPr>
        <w:footnoteReference w:id="13"/>
      </w:r>
      <w:r>
        <w:t>] y [su] [el] Acuerdo de París[</w:t>
      </w:r>
      <w:r w:rsidR="00B16035">
        <w:rPr>
          <w:rStyle w:val="FootnoteReference"/>
        </w:rPr>
        <w:footnoteReference w:id="14"/>
      </w:r>
      <w:r>
        <w:t>], el Convenio sobre la Diversidad Biológica (CDB) y [su] [el] Marco Mundial de Biodiversidad de Kunming-Montreal [</w:t>
      </w:r>
      <w:r w:rsidR="00B16035">
        <w:rPr>
          <w:rStyle w:val="FootnoteReference"/>
        </w:rPr>
        <w:footnoteReference w:id="15"/>
      </w:r>
      <w:r>
        <w:t>], la Convención de las Naciones Unidas de Lucha contra la Desertificación, el Marco de Sendai para la Reducción del Riesgo de Desastres, el Decenio de las Naciones Unidas sobre la Restauración de los Ecosistemas, así como los Objetivos de Desarrollo Sostenible (ODS) para 2030, especialmente el ODS 6, en consonancia con los respectivos mandatos y teniendo en cuenta las diferentes circunstancias nacionales. La realización de acciones estratégicas para la conservación, el uso racional y la restauración de los humedales contribuirá a la confluencia de acciones encaminadas a lograr un desarrollo sostenible, invertir la pérdida de biodiversidad y hacer frente al cambio climático.</w:t>
      </w:r>
    </w:p>
    <w:p w14:paraId="19284CEF" w14:textId="77777777" w:rsidR="004C7FC0" w:rsidRDefault="004C7FC0" w:rsidP="004C7FC0">
      <w:pPr>
        <w:pStyle w:val="SP5text"/>
        <w:numPr>
          <w:ilvl w:val="0"/>
          <w:numId w:val="0"/>
        </w:numPr>
        <w:spacing w:after="0"/>
        <w:ind w:left="426" w:hanging="426"/>
      </w:pPr>
    </w:p>
    <w:p w14:paraId="6600BBA9" w14:textId="438BBC05" w:rsidR="00B16035" w:rsidRDefault="004C7FC0" w:rsidP="004C7FC0">
      <w:pPr>
        <w:pStyle w:val="SP5text"/>
        <w:numPr>
          <w:ilvl w:val="0"/>
          <w:numId w:val="0"/>
        </w:numPr>
        <w:spacing w:after="0"/>
        <w:ind w:left="426" w:hanging="426"/>
        <w:rPr>
          <w:rStyle w:val="SP5textChar"/>
        </w:rPr>
      </w:pPr>
      <w:r>
        <w:lastRenderedPageBreak/>
        <w:t>18.</w:t>
      </w:r>
      <w:r>
        <w:tab/>
        <w:t>Más de medio siglo después de la adopción de la Convención sobre los Humedales, su misión es más urgente que nunca. Mantener y potenciar los múltiples valores de los humedales, otorgándoles al mismo tiempo la protección que necesitan, requiere cooperación internacional y acciones nacionales y locales. El Quinto Plan Estratégico conferirá a la Convención un papel clave como foro mundial de negociación y actuación frente a los numerosos retos mundiales.</w:t>
      </w:r>
      <w:r>
        <w:rPr>
          <w:rStyle w:val="SP5textChar"/>
        </w:rPr>
        <w:t xml:space="preserve"> </w:t>
      </w:r>
    </w:p>
    <w:p w14:paraId="3751BACD" w14:textId="77777777" w:rsidR="004C7FC0" w:rsidRPr="004D6053" w:rsidRDefault="004C7FC0" w:rsidP="004C7FC0">
      <w:pPr>
        <w:pStyle w:val="SP5text"/>
        <w:numPr>
          <w:ilvl w:val="0"/>
          <w:numId w:val="0"/>
        </w:numPr>
        <w:spacing w:after="0"/>
        <w:rPr>
          <w:rStyle w:val="SP5textChar"/>
        </w:rPr>
      </w:pPr>
    </w:p>
    <w:p w14:paraId="452C41FF" w14:textId="28A00C9B" w:rsidR="00B16035" w:rsidRPr="00D9113B" w:rsidRDefault="00B16035" w:rsidP="00DD360B">
      <w:pPr>
        <w:pStyle w:val="Heading1"/>
        <w:spacing w:after="0"/>
      </w:pPr>
      <w:r>
        <w:t>Teoría del cambio transformador</w:t>
      </w:r>
    </w:p>
    <w:p w14:paraId="544977DF" w14:textId="77777777" w:rsidR="004C7FC0" w:rsidRDefault="004C7FC0" w:rsidP="004C7FC0">
      <w:pPr>
        <w:pStyle w:val="SP5text"/>
        <w:numPr>
          <w:ilvl w:val="0"/>
          <w:numId w:val="0"/>
        </w:numPr>
        <w:spacing w:after="0"/>
        <w:ind w:left="426" w:hanging="426"/>
      </w:pPr>
    </w:p>
    <w:p w14:paraId="4DECBA4A" w14:textId="17C3D2EF" w:rsidR="00B16035" w:rsidRPr="00212E53" w:rsidRDefault="004C7FC0" w:rsidP="004C7FC0">
      <w:pPr>
        <w:pStyle w:val="SP5text"/>
        <w:numPr>
          <w:ilvl w:val="0"/>
          <w:numId w:val="0"/>
        </w:numPr>
        <w:spacing w:after="0"/>
        <w:ind w:left="426" w:hanging="426"/>
      </w:pPr>
      <w:r>
        <w:t>19.</w:t>
      </w:r>
      <w:r>
        <w:tab/>
        <w:t>El Quinto Plan Estratégico de la Convención sobre los Humedales se basa en una teoría del cambio transformador que reconoce la necesidad de tomar medidas urgentes a escala mundial, regional, nacional y local para frenar y/o invertir los impulsores críticos del cambio indeseable que han exacerbado la pérdida y la degradación de los humedales, a fin de permitir la recuperación de todos los ecosistemas de humedales.</w:t>
      </w:r>
    </w:p>
    <w:p w14:paraId="29D02337" w14:textId="77777777" w:rsidR="004C7FC0" w:rsidRDefault="004C7FC0" w:rsidP="004C7FC0">
      <w:pPr>
        <w:pStyle w:val="SP5text"/>
        <w:numPr>
          <w:ilvl w:val="0"/>
          <w:numId w:val="0"/>
        </w:numPr>
        <w:spacing w:after="0"/>
        <w:ind w:left="426" w:hanging="426"/>
      </w:pPr>
    </w:p>
    <w:p w14:paraId="0DB37CE1" w14:textId="02907DF0" w:rsidR="00B16035" w:rsidRPr="00C6163B" w:rsidRDefault="004C7FC0" w:rsidP="004C7FC0">
      <w:pPr>
        <w:pStyle w:val="SP5text"/>
        <w:numPr>
          <w:ilvl w:val="0"/>
          <w:numId w:val="0"/>
        </w:numPr>
        <w:spacing w:after="0"/>
        <w:ind w:left="426" w:hanging="426"/>
      </w:pPr>
      <w:r>
        <w:t>20.</w:t>
      </w:r>
      <w:r>
        <w:tab/>
        <w:t xml:space="preserve">La teoría del cambio transformador reconoce la visión del Marco Mundial de Biodiversidad de Kunming-Montreal de un mundo que vive en armonía con la naturaleza, y promueve acciones colectivas, incluidas las [de los pueblos indígenas y las comunidades locales], acciones centradas en la Madre Tierra y enfoques basados en los derechos que abarcan múltiples sistemas de valores, incluida la gestión comunitaria de los recursos naturales y la cooperación y la solidaridad de la sociedad civil dirigidas a la restauración, la conservación y el uso racional de los ecosistemas de humedales. </w:t>
      </w:r>
    </w:p>
    <w:p w14:paraId="2A3FCC3A" w14:textId="77777777" w:rsidR="004C7FC0" w:rsidRDefault="004C7FC0" w:rsidP="004C7FC0">
      <w:pPr>
        <w:pStyle w:val="SP5text"/>
        <w:numPr>
          <w:ilvl w:val="0"/>
          <w:numId w:val="0"/>
        </w:numPr>
        <w:spacing w:after="0"/>
        <w:ind w:left="426" w:hanging="426"/>
      </w:pPr>
    </w:p>
    <w:p w14:paraId="39CA8EF8" w14:textId="7C735299" w:rsidR="00B16035" w:rsidRDefault="004C7FC0" w:rsidP="004C7FC0">
      <w:pPr>
        <w:pStyle w:val="SP5text"/>
        <w:numPr>
          <w:ilvl w:val="0"/>
          <w:numId w:val="0"/>
        </w:numPr>
        <w:spacing w:after="0"/>
        <w:ind w:left="426" w:hanging="426"/>
      </w:pPr>
      <w:r>
        <w:t>21.</w:t>
      </w:r>
      <w:r>
        <w:tab/>
        <w:t xml:space="preserve">[La teoría del cambio apoya la transformación fundamental de las relaciones existentes entre los humedales y los seres humanos mediante la comprensión de los múltiples valores de los humedales a través de la participación inclusiva de las comunidades de los humedales en la toma de decisiones y en las acciones. La incorporación de diversos valores de los humedales en la toma de decisiones sobre los mismos contribuirá a su uso racional y creará un entorno propicio para facilitar la lucha contra [los impactos de] los principales impulsores de la degradación y la pérdida de humedales, así como para catalizar su conservación y restauración]. </w:t>
      </w:r>
    </w:p>
    <w:p w14:paraId="340936DC" w14:textId="77777777" w:rsidR="004C7FC0" w:rsidRDefault="004C7FC0" w:rsidP="004C7FC0">
      <w:pPr>
        <w:pStyle w:val="SP5text"/>
        <w:numPr>
          <w:ilvl w:val="0"/>
          <w:numId w:val="0"/>
        </w:numPr>
        <w:spacing w:after="0"/>
        <w:ind w:left="426" w:hanging="426"/>
      </w:pPr>
    </w:p>
    <w:p w14:paraId="50E98DF3" w14:textId="77777777" w:rsidR="004C7FC0" w:rsidRPr="00884F0D" w:rsidRDefault="004C7FC0" w:rsidP="004C7FC0">
      <w:pPr>
        <w:pStyle w:val="SP5text"/>
        <w:numPr>
          <w:ilvl w:val="0"/>
          <w:numId w:val="0"/>
        </w:numPr>
        <w:spacing w:after="0"/>
        <w:ind w:left="425"/>
        <w:rPr>
          <w:i/>
          <w:iCs/>
        </w:rPr>
      </w:pPr>
      <w:r>
        <w:rPr>
          <w:i/>
          <w:iCs/>
        </w:rPr>
        <w:t>Figura 1. Teoría del cambio transformador</w:t>
      </w:r>
      <w:r w:rsidRPr="00884F0D">
        <w:rPr>
          <w:rStyle w:val="FootnoteReference"/>
          <w:i/>
          <w:iCs/>
        </w:rPr>
        <w:footnoteReference w:id="16"/>
      </w:r>
      <w:r>
        <w:rPr>
          <w:i/>
          <w:iCs/>
        </w:rPr>
        <w:t>.</w:t>
      </w:r>
    </w:p>
    <w:p w14:paraId="2ADB81A8" w14:textId="77777777" w:rsidR="00B16035" w:rsidRPr="00D9113B" w:rsidRDefault="00B16035" w:rsidP="00DD360B">
      <w:pPr>
        <w:pStyle w:val="SP5text"/>
        <w:numPr>
          <w:ilvl w:val="0"/>
          <w:numId w:val="0"/>
        </w:numPr>
        <w:spacing w:after="0"/>
        <w:ind w:left="425"/>
      </w:pPr>
      <w:r>
        <w:rPr>
          <w:noProof/>
        </w:rPr>
        <w:drawing>
          <wp:inline distT="0" distB="0" distL="0" distR="0" wp14:anchorId="159D3FE0" wp14:editId="0F72EE5B">
            <wp:extent cx="5448927" cy="2788691"/>
            <wp:effectExtent l="0" t="0" r="0" b="0"/>
            <wp:docPr id="1822432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2199" name="Picture 1"/>
                    <pic:cNvPicPr>
                      <a:picLocks noChangeAspect="1" noChangeArrowheads="1"/>
                    </pic:cNvPicPr>
                  </pic:nvPicPr>
                  <pic:blipFill>
                    <a:blip r:embed="rId11"/>
                    <a:stretch>
                      <a:fillRect/>
                    </a:stretch>
                  </pic:blipFill>
                  <pic:spPr bwMode="auto">
                    <a:xfrm>
                      <a:off x="0" y="0"/>
                      <a:ext cx="5448927" cy="2788691"/>
                    </a:xfrm>
                    <a:prstGeom prst="rect">
                      <a:avLst/>
                    </a:prstGeom>
                    <a:noFill/>
                  </pic:spPr>
                </pic:pic>
              </a:graphicData>
            </a:graphic>
          </wp:inline>
        </w:drawing>
      </w:r>
    </w:p>
    <w:p w14:paraId="398F81C8" w14:textId="48536735" w:rsidR="004C7FC0" w:rsidRDefault="004C7FC0" w:rsidP="00DD360B">
      <w:pPr>
        <w:pStyle w:val="SP5text"/>
        <w:numPr>
          <w:ilvl w:val="0"/>
          <w:numId w:val="0"/>
        </w:numPr>
        <w:spacing w:after="0"/>
        <w:ind w:left="425"/>
      </w:pPr>
    </w:p>
    <w:p w14:paraId="35146BB8" w14:textId="5059DDBC" w:rsidR="004C7FC0" w:rsidRPr="00534FA0" w:rsidRDefault="004C7FC0" w:rsidP="00261002">
      <w:pPr>
        <w:pStyle w:val="SP5text"/>
        <w:numPr>
          <w:ilvl w:val="0"/>
          <w:numId w:val="0"/>
        </w:numPr>
        <w:spacing w:after="0"/>
        <w:rPr>
          <w:i/>
        </w:rPr>
      </w:pPr>
    </w:p>
    <w:p w14:paraId="1018D7F4" w14:textId="5D5463E7" w:rsidR="00B16035" w:rsidRDefault="00884F0D" w:rsidP="00884F0D">
      <w:pPr>
        <w:pStyle w:val="SP5text"/>
        <w:numPr>
          <w:ilvl w:val="0"/>
          <w:numId w:val="0"/>
        </w:numPr>
        <w:spacing w:after="0"/>
        <w:ind w:left="426" w:hanging="426"/>
      </w:pPr>
      <w:r>
        <w:lastRenderedPageBreak/>
        <w:t>22.</w:t>
      </w:r>
      <w:r>
        <w:tab/>
        <w:t>Una perspectiva modificada de la interrelación entre los seres humanos y los humedales facilitará la conservación de estos últimos, entre otras cosas mediante su reconocimiento en la Lista de Humedales de Importancia Internacional y su consiguiente gestión eficaz para garantizar el mantenimiento de sus características ecológicas. La cooperación inclusiva y la participación de asociados e interesados directos, en combinación con el reconocimiento de los múltiples valores de los humedales [y con los recursos adecuados], mejorarán la aplicación de la Convención [y proporcionarán oportunidades para la movilización de recursos [procedentes de todas las fuentes]].</w:t>
      </w:r>
      <w:r w:rsidR="005C6324">
        <w:t xml:space="preserve"> </w:t>
      </w:r>
      <w:r>
        <w:t>(Figura 1).</w:t>
      </w:r>
    </w:p>
    <w:p w14:paraId="1A82197A" w14:textId="77777777" w:rsidR="00037796" w:rsidRDefault="00037796" w:rsidP="00884F0D">
      <w:pPr>
        <w:pStyle w:val="SP5text"/>
        <w:numPr>
          <w:ilvl w:val="0"/>
          <w:numId w:val="0"/>
        </w:numPr>
        <w:spacing w:after="0"/>
        <w:ind w:left="426" w:hanging="426"/>
      </w:pPr>
    </w:p>
    <w:p w14:paraId="24217393" w14:textId="6EBCFD1E" w:rsidR="00B16035" w:rsidRDefault="00B16035" w:rsidP="00DD360B">
      <w:pPr>
        <w:pStyle w:val="Heading1"/>
        <w:spacing w:after="0"/>
      </w:pPr>
      <w:r>
        <w:t>Metas y objetivos estratégicos</w:t>
      </w:r>
    </w:p>
    <w:p w14:paraId="181917E1" w14:textId="77777777" w:rsidR="00884F0D" w:rsidRDefault="00884F0D" w:rsidP="00884F0D">
      <w:pPr>
        <w:pStyle w:val="SP5text"/>
        <w:numPr>
          <w:ilvl w:val="0"/>
          <w:numId w:val="0"/>
        </w:numPr>
        <w:spacing w:after="0"/>
        <w:ind w:left="426" w:hanging="426"/>
      </w:pPr>
    </w:p>
    <w:p w14:paraId="325B9044" w14:textId="4D3FB03C" w:rsidR="00B16035" w:rsidRPr="00884F0D" w:rsidRDefault="00884F0D" w:rsidP="00884F0D">
      <w:pPr>
        <w:pStyle w:val="SP5text"/>
        <w:numPr>
          <w:ilvl w:val="0"/>
          <w:numId w:val="0"/>
        </w:numPr>
        <w:spacing w:after="0"/>
        <w:ind w:left="426" w:hanging="426"/>
        <w:rPr>
          <w:rFonts w:asciiTheme="minorHAnsi" w:hAnsiTheme="minorHAnsi" w:cstheme="minorHAnsi"/>
        </w:rPr>
      </w:pPr>
      <w:r>
        <w:rPr>
          <w:rFonts w:asciiTheme="minorHAnsi" w:hAnsiTheme="minorHAnsi"/>
        </w:rPr>
        <w:t>23.</w:t>
      </w:r>
      <w:r>
        <w:rPr>
          <w:rFonts w:asciiTheme="minorHAnsi" w:hAnsiTheme="minorHAnsi"/>
        </w:rPr>
        <w:tab/>
        <w:t>El Quinto Plan Estratégico tiene cuatro objetivos. Los objetivos reflejan y adoptan implícitamente los tres pilares de la Convención, al tiempo que se apoyan en la necesidad fundamental de modificar la relación entre los seres humanos y los humedales para conseguir un uso racional.</w:t>
      </w:r>
    </w:p>
    <w:p w14:paraId="7CC957E3"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7DBA4D93" w14:textId="1F58D1E7" w:rsidR="00B16035" w:rsidRPr="00884F0D" w:rsidRDefault="00884F0D" w:rsidP="00884F0D">
      <w:pPr>
        <w:pStyle w:val="SP5text"/>
        <w:numPr>
          <w:ilvl w:val="0"/>
          <w:numId w:val="0"/>
        </w:numPr>
        <w:spacing w:after="0"/>
        <w:ind w:left="426" w:hanging="426"/>
        <w:rPr>
          <w:rFonts w:asciiTheme="minorHAnsi" w:hAnsiTheme="minorHAnsi" w:cstheme="minorHAnsi"/>
        </w:rPr>
      </w:pPr>
      <w:r>
        <w:rPr>
          <w:rFonts w:asciiTheme="minorHAnsi" w:hAnsiTheme="minorHAnsi"/>
        </w:rPr>
        <w:t>24.</w:t>
      </w:r>
      <w:r>
        <w:rPr>
          <w:rFonts w:asciiTheme="minorHAnsi" w:hAnsiTheme="minorHAnsi"/>
        </w:rPr>
        <w:tab/>
        <w:t>Todos los objetivos y metas del Quinto Plan Estratégico deben tener una duración determinada y alcanzarse a más tardar en 2034.</w:t>
      </w:r>
    </w:p>
    <w:p w14:paraId="7BF58DF4"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6F3F0E8A" w14:textId="4539A025" w:rsidR="00B16035" w:rsidRPr="00884F0D" w:rsidRDefault="00884F0D" w:rsidP="00884F0D">
      <w:pPr>
        <w:pStyle w:val="SP5text"/>
        <w:numPr>
          <w:ilvl w:val="0"/>
          <w:numId w:val="0"/>
        </w:numPr>
        <w:spacing w:after="0"/>
        <w:ind w:left="426" w:hanging="426"/>
        <w:rPr>
          <w:rFonts w:asciiTheme="minorHAnsi" w:hAnsiTheme="minorHAnsi" w:cstheme="minorHAnsi"/>
        </w:rPr>
      </w:pPr>
      <w:r>
        <w:rPr>
          <w:rFonts w:asciiTheme="minorHAnsi" w:hAnsiTheme="minorHAnsi"/>
        </w:rPr>
        <w:t>25.</w:t>
      </w:r>
      <w:r>
        <w:rPr>
          <w:rFonts w:asciiTheme="minorHAnsi" w:hAnsiTheme="minorHAnsi"/>
        </w:rPr>
        <w:tab/>
        <w:t>Cada uno de los cuatro objetivos tiene una serie de metas que deben alcanzarse mediante actividades que llevan a cabo las Partes Contratantes. La consecución de las metas permitirá alcanzar los objetivos. La consecución combinada de los objetivos permitirá alcanzar el resultado global deseado, es decir, la visión del Quinto Plan Estratégico.</w:t>
      </w:r>
    </w:p>
    <w:p w14:paraId="2781947F" w14:textId="77777777" w:rsidR="00884F0D" w:rsidRPr="00261002" w:rsidRDefault="00884F0D" w:rsidP="00DD360B">
      <w:pPr>
        <w:pStyle w:val="Heading2"/>
        <w:spacing w:after="0"/>
        <w:rPr>
          <w:rFonts w:asciiTheme="minorHAnsi" w:hAnsiTheme="minorHAnsi" w:cstheme="minorHAnsi"/>
          <w:b w:val="0"/>
          <w:bCs/>
          <w:i w:val="0"/>
          <w:iCs w:val="0"/>
        </w:rPr>
      </w:pPr>
    </w:p>
    <w:p w14:paraId="611DB400" w14:textId="1653CA38" w:rsidR="00B16035" w:rsidRPr="00884F0D" w:rsidRDefault="00B16035" w:rsidP="00DD360B">
      <w:pPr>
        <w:pStyle w:val="Heading2"/>
        <w:spacing w:after="0"/>
        <w:rPr>
          <w:rFonts w:asciiTheme="minorHAnsi" w:hAnsiTheme="minorHAnsi" w:cstheme="minorHAnsi"/>
        </w:rPr>
      </w:pPr>
      <w:r>
        <w:rPr>
          <w:rFonts w:asciiTheme="minorHAnsi" w:hAnsiTheme="minorHAnsi"/>
        </w:rPr>
        <w:t>Objetivo 1: Abordar e invertir la pérdida y degradación de los humedales</w:t>
      </w:r>
    </w:p>
    <w:p w14:paraId="66BED68C" w14:textId="77777777" w:rsidR="00884F0D" w:rsidRPr="00884F0D" w:rsidRDefault="00884F0D" w:rsidP="00884F0D">
      <w:pPr>
        <w:rPr>
          <w:rFonts w:asciiTheme="minorHAnsi" w:hAnsiTheme="minorHAnsi" w:cstheme="minorHAnsi"/>
          <w:sz w:val="22"/>
          <w:szCs w:val="22"/>
        </w:rPr>
      </w:pPr>
    </w:p>
    <w:p w14:paraId="4B8F452E" w14:textId="7909D92D" w:rsidR="00B16035" w:rsidRPr="00884F0D" w:rsidRDefault="007E0A25" w:rsidP="00884F0D">
      <w:pPr>
        <w:pStyle w:val="SP5text"/>
        <w:numPr>
          <w:ilvl w:val="0"/>
          <w:numId w:val="0"/>
        </w:numPr>
        <w:spacing w:after="0"/>
        <w:ind w:left="425" w:hanging="425"/>
        <w:rPr>
          <w:rFonts w:asciiTheme="minorHAnsi" w:hAnsiTheme="minorHAnsi" w:cstheme="minorHAnsi"/>
        </w:rPr>
      </w:pPr>
      <w:r>
        <w:rPr>
          <w:rFonts w:asciiTheme="minorHAnsi" w:hAnsiTheme="minorHAnsi"/>
          <w:color w:val="000000" w:themeColor="text1"/>
        </w:rPr>
        <w:t>26.</w:t>
      </w:r>
      <w:r>
        <w:rPr>
          <w:rFonts w:asciiTheme="minorHAnsi" w:hAnsiTheme="minorHAnsi"/>
          <w:color w:val="000000" w:themeColor="text1"/>
        </w:rPr>
        <w:tab/>
        <w:t>Declaración del objetivo: Se hace frente a los impactos de los principales impulsores de la pérdida y la degradación de los humedales y se realizan acciones de restauración eficaces para conservar los humedales e invertir su pérdida y degradación en beneficio de toda la vida en la Tierra.</w:t>
      </w:r>
    </w:p>
    <w:p w14:paraId="440BF831" w14:textId="77777777" w:rsidR="00884F0D" w:rsidRPr="00261002" w:rsidRDefault="00884F0D" w:rsidP="00DD360B">
      <w:pPr>
        <w:pStyle w:val="Heading2"/>
        <w:spacing w:after="0"/>
        <w:rPr>
          <w:rFonts w:asciiTheme="minorHAnsi" w:hAnsiTheme="minorHAnsi" w:cstheme="minorHAnsi"/>
          <w:b w:val="0"/>
          <w:bCs/>
          <w:i w:val="0"/>
          <w:iCs w:val="0"/>
        </w:rPr>
      </w:pPr>
    </w:p>
    <w:p w14:paraId="525DE61A" w14:textId="7D51BEA7" w:rsidR="00B16035" w:rsidRDefault="00B16035" w:rsidP="00DD360B">
      <w:pPr>
        <w:pStyle w:val="Heading2"/>
        <w:spacing w:after="0"/>
        <w:rPr>
          <w:rFonts w:asciiTheme="minorHAnsi" w:hAnsiTheme="minorHAnsi" w:cstheme="minorHAnsi"/>
        </w:rPr>
      </w:pPr>
      <w:r>
        <w:rPr>
          <w:rFonts w:asciiTheme="minorHAnsi" w:hAnsiTheme="minorHAnsi"/>
        </w:rPr>
        <w:t>Metas del objetivo 1</w:t>
      </w:r>
    </w:p>
    <w:p w14:paraId="6A10F8BA" w14:textId="77777777" w:rsidR="00037796" w:rsidRPr="00037796" w:rsidRDefault="00037796" w:rsidP="00037796">
      <w:pPr>
        <w:rPr>
          <w:rFonts w:asciiTheme="minorHAnsi" w:hAnsiTheme="minorHAnsi" w:cstheme="minorHAnsi"/>
          <w:sz w:val="22"/>
          <w:szCs w:val="22"/>
        </w:rPr>
      </w:pPr>
    </w:p>
    <w:p w14:paraId="77515EF7" w14:textId="6E2EB2AE" w:rsidR="00B16035" w:rsidRPr="00884F0D" w:rsidRDefault="00B16035" w:rsidP="00DD360B">
      <w:pPr>
        <w:pStyle w:val="Heading2"/>
        <w:spacing w:after="0"/>
        <w:rPr>
          <w:rFonts w:asciiTheme="minorHAnsi" w:hAnsiTheme="minorHAnsi" w:cstheme="minorHAnsi"/>
        </w:rPr>
      </w:pPr>
      <w:r>
        <w:rPr>
          <w:rFonts w:asciiTheme="minorHAnsi" w:hAnsiTheme="minorHAnsi"/>
        </w:rPr>
        <w:t>Meta 1.1 Conservar y restaurar los humedales</w:t>
      </w:r>
    </w:p>
    <w:p w14:paraId="0616EDCB" w14:textId="77777777" w:rsidR="00884F0D" w:rsidRPr="00884F0D" w:rsidRDefault="00884F0D" w:rsidP="00884F0D">
      <w:pPr>
        <w:rPr>
          <w:rFonts w:asciiTheme="minorHAnsi" w:hAnsiTheme="minorHAnsi" w:cstheme="minorHAnsi"/>
          <w:sz w:val="22"/>
          <w:szCs w:val="22"/>
        </w:rPr>
      </w:pPr>
    </w:p>
    <w:p w14:paraId="07B51CAD" w14:textId="3AAFEABE" w:rsidR="00B16035" w:rsidRPr="007E0A25" w:rsidRDefault="007E0A25" w:rsidP="007E0A25">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27.</w:t>
      </w:r>
      <w:r>
        <w:rPr>
          <w:rFonts w:asciiTheme="minorHAnsi" w:hAnsiTheme="minorHAnsi"/>
          <w:color w:val="000000" w:themeColor="text1"/>
        </w:rPr>
        <w:tab/>
        <w:t>[Al menos el xx % de] Los humedales existentes se gestionan de forma eficaz, [al menos el yy % de] los humedales degradados y perdidos se restauran de forma efectiva [y se aumenta y mejora la representación de los humedales en las políticas y programas de restauración].</w:t>
      </w:r>
    </w:p>
    <w:p w14:paraId="3A450103" w14:textId="77777777" w:rsidR="00884F0D" w:rsidRPr="00261002" w:rsidRDefault="00884F0D" w:rsidP="00DD360B">
      <w:pPr>
        <w:pStyle w:val="Heading2"/>
        <w:spacing w:after="0"/>
        <w:rPr>
          <w:rFonts w:asciiTheme="minorHAnsi" w:hAnsiTheme="minorHAnsi" w:cstheme="minorHAnsi"/>
          <w:b w:val="0"/>
          <w:bCs/>
          <w:i w:val="0"/>
          <w:iCs w:val="0"/>
        </w:rPr>
      </w:pPr>
    </w:p>
    <w:p w14:paraId="4A19BE89" w14:textId="1A3D3C74" w:rsidR="00B16035" w:rsidRPr="00884F0D" w:rsidRDefault="00B16035" w:rsidP="00DD360B">
      <w:pPr>
        <w:pStyle w:val="Heading2"/>
        <w:spacing w:after="0"/>
        <w:rPr>
          <w:rFonts w:asciiTheme="minorHAnsi" w:hAnsiTheme="minorHAnsi" w:cstheme="minorHAnsi"/>
        </w:rPr>
      </w:pPr>
      <w:r>
        <w:rPr>
          <w:rFonts w:asciiTheme="minorHAnsi" w:hAnsiTheme="minorHAnsi"/>
        </w:rPr>
        <w:t>Meta 1.2 Hacer frente a [los impactos de] los principales impulsores mundiales de la degradación y la pérdida de humedales</w:t>
      </w:r>
    </w:p>
    <w:p w14:paraId="006DB768" w14:textId="77777777" w:rsidR="00884F0D" w:rsidRPr="00884F0D" w:rsidRDefault="00884F0D" w:rsidP="00884F0D">
      <w:pPr>
        <w:rPr>
          <w:rFonts w:asciiTheme="minorHAnsi" w:hAnsiTheme="minorHAnsi" w:cstheme="minorHAnsi"/>
          <w:sz w:val="22"/>
          <w:szCs w:val="22"/>
        </w:rPr>
      </w:pPr>
    </w:p>
    <w:p w14:paraId="58AF759E" w14:textId="3BB542EC" w:rsidR="00B16035" w:rsidRPr="007E0A25" w:rsidRDefault="007E0A25" w:rsidP="007E0A25">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28.</w:t>
      </w:r>
      <w:r>
        <w:rPr>
          <w:rFonts w:asciiTheme="minorHAnsi" w:hAnsiTheme="minorHAnsi"/>
          <w:color w:val="000000" w:themeColor="text1"/>
        </w:rPr>
        <w:tab/>
        <w:t>Dar prioridad a acciones específicas para combatir los impactos de los impulsores mundiales de la degradación y la pérdida de humedales, centrándose en:</w:t>
      </w:r>
    </w:p>
    <w:p w14:paraId="5E402529" w14:textId="3EC38133" w:rsidR="00B16035" w:rsidRPr="00884F0D" w:rsidRDefault="00B16035" w:rsidP="00E41244">
      <w:pPr>
        <w:pStyle w:val="Heading2"/>
        <w:spacing w:after="0"/>
        <w:ind w:left="851" w:hanging="425"/>
        <w:rPr>
          <w:rFonts w:asciiTheme="minorHAnsi" w:hAnsiTheme="minorHAnsi" w:cstheme="minorHAnsi"/>
          <w:b w:val="0"/>
          <w:bCs/>
          <w:i w:val="0"/>
          <w:iCs w:val="0"/>
        </w:rPr>
      </w:pPr>
      <w:r>
        <w:rPr>
          <w:rFonts w:asciiTheme="minorHAnsi" w:hAnsiTheme="minorHAnsi"/>
          <w:b w:val="0"/>
          <w:bCs/>
          <w:i w:val="0"/>
          <w:iCs w:val="0"/>
        </w:rPr>
        <w:t>A.</w:t>
      </w:r>
      <w:r>
        <w:rPr>
          <w:rFonts w:asciiTheme="minorHAnsi" w:hAnsiTheme="minorHAnsi"/>
          <w:i w:val="0"/>
          <w:iCs w:val="0"/>
        </w:rPr>
        <w:tab/>
      </w:r>
      <w:r>
        <w:rPr>
          <w:rFonts w:asciiTheme="minorHAnsi" w:hAnsiTheme="minorHAnsi"/>
          <w:b w:val="0"/>
          <w:bCs/>
          <w:i w:val="0"/>
          <w:iCs w:val="0"/>
        </w:rPr>
        <w:t xml:space="preserve">abordar los impactos del </w:t>
      </w:r>
      <w:r>
        <w:rPr>
          <w:rFonts w:asciiTheme="minorHAnsi" w:hAnsiTheme="minorHAnsi"/>
          <w:bCs/>
          <w:i w:val="0"/>
          <w:iCs w:val="0"/>
        </w:rPr>
        <w:t>cambio climático</w:t>
      </w:r>
      <w:r>
        <w:rPr>
          <w:rFonts w:asciiTheme="minorHAnsi" w:hAnsiTheme="minorHAnsi"/>
          <w:b w:val="0"/>
          <w:bCs/>
          <w:i w:val="0"/>
          <w:iCs w:val="0"/>
        </w:rPr>
        <w:t xml:space="preserve"> en la degradación y pérdida de humedales; </w:t>
      </w:r>
    </w:p>
    <w:p w14:paraId="5DDE6BE9" w14:textId="6D4051A0" w:rsidR="00B16035" w:rsidRPr="00884F0D" w:rsidRDefault="00B16035" w:rsidP="00E41244">
      <w:pPr>
        <w:pStyle w:val="Heading2"/>
        <w:spacing w:after="0"/>
        <w:ind w:left="851" w:hanging="425"/>
        <w:rPr>
          <w:rFonts w:asciiTheme="minorHAnsi" w:hAnsiTheme="minorHAnsi" w:cstheme="minorHAnsi"/>
          <w:b w:val="0"/>
          <w:bCs/>
          <w:i w:val="0"/>
          <w:iCs w:val="0"/>
        </w:rPr>
      </w:pPr>
      <w:r>
        <w:rPr>
          <w:rFonts w:asciiTheme="minorHAnsi" w:hAnsiTheme="minorHAnsi"/>
          <w:b w:val="0"/>
          <w:bCs/>
          <w:i w:val="0"/>
          <w:iCs w:val="0"/>
        </w:rPr>
        <w:t>B.</w:t>
      </w:r>
      <w:r>
        <w:rPr>
          <w:rFonts w:asciiTheme="minorHAnsi" w:hAnsiTheme="minorHAnsi"/>
          <w:i w:val="0"/>
          <w:iCs w:val="0"/>
        </w:rPr>
        <w:tab/>
      </w:r>
      <w:r>
        <w:rPr>
          <w:rFonts w:asciiTheme="minorHAnsi" w:hAnsiTheme="minorHAnsi"/>
          <w:b w:val="0"/>
          <w:bCs/>
          <w:i w:val="0"/>
          <w:iCs w:val="0"/>
        </w:rPr>
        <w:t xml:space="preserve">abordar el impacto de las </w:t>
      </w:r>
      <w:r>
        <w:rPr>
          <w:rFonts w:asciiTheme="minorHAnsi" w:hAnsiTheme="minorHAnsi"/>
          <w:bCs/>
          <w:i w:val="0"/>
          <w:iCs w:val="0"/>
        </w:rPr>
        <w:t>prácticas agrícolas insostenibles</w:t>
      </w:r>
      <w:r>
        <w:rPr>
          <w:rFonts w:asciiTheme="minorHAnsi" w:hAnsiTheme="minorHAnsi"/>
          <w:b w:val="0"/>
          <w:bCs/>
          <w:i w:val="0"/>
          <w:iCs w:val="0"/>
        </w:rPr>
        <w:t xml:space="preserve"> en la degradación y la pérdida de humedales;</w:t>
      </w:r>
    </w:p>
    <w:p w14:paraId="38DEB791" w14:textId="578847A2" w:rsidR="00B16035" w:rsidRPr="00884F0D" w:rsidRDefault="00B16035" w:rsidP="00E41244">
      <w:pPr>
        <w:pStyle w:val="Heading2"/>
        <w:spacing w:after="0"/>
        <w:ind w:left="851" w:hanging="425"/>
        <w:rPr>
          <w:rFonts w:asciiTheme="minorHAnsi" w:hAnsiTheme="minorHAnsi" w:cstheme="minorHAnsi"/>
          <w:b w:val="0"/>
          <w:bCs/>
          <w:i w:val="0"/>
          <w:iCs w:val="0"/>
        </w:rPr>
      </w:pPr>
      <w:r>
        <w:rPr>
          <w:rFonts w:asciiTheme="minorHAnsi" w:hAnsiTheme="minorHAnsi"/>
          <w:b w:val="0"/>
          <w:bCs/>
          <w:i w:val="0"/>
          <w:iCs w:val="0"/>
        </w:rPr>
        <w:t>C.</w:t>
      </w:r>
      <w:r>
        <w:rPr>
          <w:rFonts w:asciiTheme="minorHAnsi" w:hAnsiTheme="minorHAnsi"/>
          <w:i w:val="0"/>
          <w:iCs w:val="0"/>
        </w:rPr>
        <w:tab/>
      </w:r>
      <w:r>
        <w:rPr>
          <w:rFonts w:asciiTheme="minorHAnsi" w:hAnsiTheme="minorHAnsi"/>
          <w:b w:val="0"/>
          <w:bCs/>
          <w:i w:val="0"/>
          <w:iCs w:val="0"/>
        </w:rPr>
        <w:t xml:space="preserve">abordar los impactos de la </w:t>
      </w:r>
      <w:r>
        <w:rPr>
          <w:rFonts w:asciiTheme="minorHAnsi" w:hAnsiTheme="minorHAnsi"/>
          <w:bCs/>
          <w:i w:val="0"/>
          <w:iCs w:val="0"/>
        </w:rPr>
        <w:t>urbanización</w:t>
      </w:r>
      <w:r>
        <w:rPr>
          <w:rFonts w:asciiTheme="minorHAnsi" w:hAnsiTheme="minorHAnsi"/>
          <w:b w:val="0"/>
          <w:bCs/>
          <w:i w:val="0"/>
          <w:iCs w:val="0"/>
        </w:rPr>
        <w:t xml:space="preserve"> en la degradación y la pérdida de humedales.</w:t>
      </w:r>
    </w:p>
    <w:p w14:paraId="589CA81D" w14:textId="77777777" w:rsidR="00884F0D" w:rsidRPr="00261002" w:rsidRDefault="00884F0D" w:rsidP="00DD360B">
      <w:pPr>
        <w:pStyle w:val="Heading2"/>
        <w:spacing w:after="0"/>
        <w:rPr>
          <w:rFonts w:asciiTheme="minorHAnsi" w:hAnsiTheme="minorHAnsi" w:cstheme="minorHAnsi"/>
          <w:b w:val="0"/>
          <w:bCs/>
          <w:i w:val="0"/>
          <w:iCs w:val="0"/>
        </w:rPr>
      </w:pPr>
    </w:p>
    <w:p w14:paraId="5334FB0F" w14:textId="0444A5E3" w:rsidR="00B16035" w:rsidRPr="00884F0D" w:rsidRDefault="00B16035" w:rsidP="00DD360B">
      <w:pPr>
        <w:pStyle w:val="Heading2"/>
        <w:spacing w:after="0"/>
        <w:rPr>
          <w:rFonts w:asciiTheme="minorHAnsi" w:hAnsiTheme="minorHAnsi" w:cstheme="minorHAnsi"/>
        </w:rPr>
      </w:pPr>
      <w:r>
        <w:rPr>
          <w:rFonts w:asciiTheme="minorHAnsi" w:hAnsiTheme="minorHAnsi"/>
        </w:rPr>
        <w:t xml:space="preserve">Meta 1.3 Abordar e invertir la pérdida de especies amenazadas que dependen de los humedales </w:t>
      </w:r>
    </w:p>
    <w:p w14:paraId="3913684A" w14:textId="77777777" w:rsidR="00884F0D" w:rsidRPr="00884F0D" w:rsidRDefault="00884F0D" w:rsidP="00884F0D">
      <w:pPr>
        <w:rPr>
          <w:rFonts w:asciiTheme="minorHAnsi" w:hAnsiTheme="minorHAnsi" w:cstheme="minorHAnsi"/>
          <w:sz w:val="22"/>
          <w:szCs w:val="22"/>
        </w:rPr>
      </w:pPr>
    </w:p>
    <w:p w14:paraId="32904FEF" w14:textId="23AD65A7"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lastRenderedPageBreak/>
        <w:t>29.</w:t>
      </w:r>
      <w:r>
        <w:rPr>
          <w:rFonts w:asciiTheme="minorHAnsi" w:hAnsiTheme="minorHAnsi"/>
          <w:color w:val="000000" w:themeColor="text1"/>
        </w:rPr>
        <w:tab/>
        <w:t>Dar prioridad a las acciones que mejoren las trayectorias poblacionales de especies clave amenazadas de aves acuáticas, peces y otras especies que dependen de los humedales.</w:t>
      </w:r>
    </w:p>
    <w:p w14:paraId="1557924D" w14:textId="77777777" w:rsidR="00884F0D" w:rsidRPr="00037796" w:rsidRDefault="00884F0D" w:rsidP="00DD360B">
      <w:pPr>
        <w:pStyle w:val="Heading2"/>
        <w:spacing w:after="0"/>
        <w:rPr>
          <w:rFonts w:asciiTheme="minorHAnsi" w:hAnsiTheme="minorHAnsi" w:cstheme="minorHAnsi"/>
          <w:b w:val="0"/>
          <w:i w:val="0"/>
          <w:iCs w:val="0"/>
        </w:rPr>
      </w:pPr>
    </w:p>
    <w:p w14:paraId="6557435D" w14:textId="0CEA58A6" w:rsidR="00B16035" w:rsidRPr="00884F0D" w:rsidRDefault="00B16035" w:rsidP="00DD360B">
      <w:pPr>
        <w:pStyle w:val="Heading2"/>
        <w:spacing w:after="0"/>
        <w:rPr>
          <w:rFonts w:asciiTheme="minorHAnsi" w:hAnsiTheme="minorHAnsi" w:cstheme="minorHAnsi"/>
        </w:rPr>
      </w:pPr>
      <w:r>
        <w:rPr>
          <w:rFonts w:asciiTheme="minorHAnsi" w:hAnsiTheme="minorHAnsi"/>
          <w:bCs/>
        </w:rPr>
        <w:t xml:space="preserve">Objetivo 2: </w:t>
      </w:r>
      <w:r>
        <w:rPr>
          <w:rFonts w:asciiTheme="minorHAnsi" w:hAnsiTheme="minorHAnsi"/>
        </w:rPr>
        <w:t>Lograr el uso racional de los humedales</w:t>
      </w:r>
    </w:p>
    <w:p w14:paraId="5024859E" w14:textId="77777777" w:rsidR="00884F0D" w:rsidRPr="00884F0D" w:rsidRDefault="00884F0D" w:rsidP="00884F0D">
      <w:pPr>
        <w:rPr>
          <w:rFonts w:asciiTheme="minorHAnsi" w:hAnsiTheme="minorHAnsi" w:cstheme="minorHAnsi"/>
          <w:sz w:val="22"/>
          <w:szCs w:val="22"/>
        </w:rPr>
      </w:pPr>
    </w:p>
    <w:p w14:paraId="5FC021D2" w14:textId="00A4C05A"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30.</w:t>
      </w:r>
      <w:r>
        <w:rPr>
          <w:rFonts w:asciiTheme="minorHAnsi" w:hAnsiTheme="minorHAnsi"/>
          <w:color w:val="000000" w:themeColor="text1"/>
        </w:rPr>
        <w:tab/>
        <w:t>Declaración del objetivo: Se logra el uso racional de los humedales, en virtud del cual se comprenden y reconocen en las políticas y la planificación los múltiples valores, funciones y servicios de los humedales, se posibilita la participación inclusiva de todos en la toma de decisiones y se adoptan medidas a favor de los humedales en beneficio de las generaciones presentes y futuras.</w:t>
      </w:r>
    </w:p>
    <w:p w14:paraId="65E9F164"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68DE69BA" w14:textId="5B945E13" w:rsidR="00B16035" w:rsidRPr="00884F0D" w:rsidRDefault="00B16035" w:rsidP="00DD360B">
      <w:pPr>
        <w:pStyle w:val="Heading2"/>
        <w:spacing w:after="0"/>
        <w:rPr>
          <w:rFonts w:asciiTheme="minorHAnsi" w:hAnsiTheme="minorHAnsi" w:cstheme="minorHAnsi"/>
          <w:color w:val="auto"/>
        </w:rPr>
      </w:pPr>
      <w:r>
        <w:rPr>
          <w:rFonts w:asciiTheme="minorHAnsi" w:hAnsiTheme="minorHAnsi"/>
        </w:rPr>
        <w:t>Metas del objetivo 2</w:t>
      </w:r>
    </w:p>
    <w:p w14:paraId="23B41615"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378AE8C0" w14:textId="26D1CEEE" w:rsidR="00B16035" w:rsidRPr="00884F0D" w:rsidRDefault="00B16035" w:rsidP="00DD360B">
      <w:pPr>
        <w:pStyle w:val="Heading2"/>
        <w:spacing w:after="0"/>
        <w:rPr>
          <w:rFonts w:asciiTheme="minorHAnsi" w:hAnsiTheme="minorHAnsi" w:cstheme="minorHAnsi"/>
        </w:rPr>
      </w:pPr>
      <w:r>
        <w:rPr>
          <w:rFonts w:asciiTheme="minorHAnsi" w:hAnsiTheme="minorHAnsi"/>
        </w:rPr>
        <w:t>Meta 2.1 Reconocer y transformar la relación de la humanidad con los humedales mejorando nuestra comprensión de los valores, funciones y servicios de los humedales y de su uso racional</w:t>
      </w:r>
    </w:p>
    <w:p w14:paraId="7C467746" w14:textId="77777777" w:rsidR="00884F0D" w:rsidRPr="00884F0D" w:rsidRDefault="00884F0D" w:rsidP="00884F0D">
      <w:pPr>
        <w:rPr>
          <w:rFonts w:asciiTheme="minorHAnsi" w:hAnsiTheme="minorHAnsi" w:cstheme="minorHAnsi"/>
          <w:sz w:val="22"/>
          <w:szCs w:val="22"/>
        </w:rPr>
      </w:pPr>
    </w:p>
    <w:p w14:paraId="670FE1F8" w14:textId="546AEAE4"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31.</w:t>
      </w:r>
      <w:r>
        <w:rPr>
          <w:rFonts w:asciiTheme="minorHAnsi" w:hAnsiTheme="minorHAnsi"/>
          <w:color w:val="000000" w:themeColor="text1"/>
        </w:rPr>
        <w:tab/>
        <w:t>Promover los valores que proporcionan los humedales a las personas y a la naturaleza y las contribuciones que hacen para lograr un desarrollo sostenible, incluyendo la seguridad alimentaria y la erradicación de la pobreza, para así transformar la relación entre los seres humanos y los humedales de una relación de explotación, extracción insostenible y agotamiento de recursos a una relación en la que los seres humanos y la naturaleza vivan en armonía, incluyendo la incorporación del uso racional y un enfoque de ecosistema dentro de las políticas y la planificación a todos los niveles.</w:t>
      </w:r>
    </w:p>
    <w:p w14:paraId="35E77C37"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675CC73A" w14:textId="4EBFFA05" w:rsidR="00B16035" w:rsidRPr="00884F0D" w:rsidRDefault="00B16035" w:rsidP="00DD360B">
      <w:pPr>
        <w:pStyle w:val="Heading2"/>
        <w:spacing w:after="0"/>
        <w:rPr>
          <w:rFonts w:asciiTheme="minorHAnsi" w:hAnsiTheme="minorHAnsi" w:cstheme="minorHAnsi"/>
        </w:rPr>
      </w:pPr>
      <w:r>
        <w:rPr>
          <w:rFonts w:asciiTheme="minorHAnsi" w:hAnsiTheme="minorHAnsi"/>
        </w:rPr>
        <w:t>Meta 2.2 Mantener las características ecológicas de los humedales mediante la aplicación de un enfoque de ecosistema, incluida la mejora de las metodologías científicas.</w:t>
      </w:r>
    </w:p>
    <w:p w14:paraId="46167F26" w14:textId="77777777" w:rsidR="00884F0D" w:rsidRPr="00884F0D" w:rsidRDefault="00884F0D" w:rsidP="00884F0D">
      <w:pPr>
        <w:rPr>
          <w:rFonts w:asciiTheme="minorHAnsi" w:hAnsiTheme="minorHAnsi" w:cstheme="minorHAnsi"/>
          <w:sz w:val="22"/>
          <w:szCs w:val="22"/>
        </w:rPr>
      </w:pPr>
    </w:p>
    <w:p w14:paraId="6D53D7A1" w14:textId="79D7FB07"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32.</w:t>
      </w:r>
      <w:r>
        <w:rPr>
          <w:rFonts w:asciiTheme="minorHAnsi" w:hAnsiTheme="minorHAnsi"/>
          <w:color w:val="000000" w:themeColor="text1"/>
        </w:rPr>
        <w:tab/>
        <w:t>Adoptar medidas legales, en materia de políticas y administrativas eficaces a todos los niveles, para garantizar que se mantengan las características ecológicas de los humedales y que se aplique un enfoque de ecosistema a la planificación y gestión de [todos] los humedales, dentro del contexto del desarrollo sostenible.</w:t>
      </w:r>
    </w:p>
    <w:p w14:paraId="17CB0C47" w14:textId="77777777" w:rsidR="00884F0D" w:rsidRPr="00884F0D" w:rsidRDefault="00884F0D" w:rsidP="00884F0D">
      <w:pPr>
        <w:pStyle w:val="SP5text"/>
        <w:numPr>
          <w:ilvl w:val="0"/>
          <w:numId w:val="0"/>
        </w:numPr>
        <w:spacing w:after="0"/>
        <w:ind w:left="720"/>
        <w:rPr>
          <w:rFonts w:asciiTheme="minorHAnsi" w:hAnsiTheme="minorHAnsi" w:cstheme="minorHAnsi"/>
        </w:rPr>
      </w:pPr>
    </w:p>
    <w:p w14:paraId="44843A58" w14:textId="4F264B43" w:rsidR="00B16035" w:rsidRPr="00884F0D" w:rsidRDefault="00B16035" w:rsidP="00C5378C">
      <w:pPr>
        <w:pStyle w:val="Heading2"/>
        <w:spacing w:after="0"/>
        <w:rPr>
          <w:rFonts w:asciiTheme="minorHAnsi" w:hAnsiTheme="minorHAnsi" w:cstheme="minorHAnsi"/>
        </w:rPr>
      </w:pPr>
      <w:r>
        <w:rPr>
          <w:rFonts w:asciiTheme="minorHAnsi" w:hAnsiTheme="minorHAnsi"/>
        </w:rPr>
        <w:t>Meta 2.3 [Garantizar] [Reforzar] la participación inclusiva en la toma de decisiones sobre los humedales y abordar las necesidades de las comunidades de los humedales</w:t>
      </w:r>
    </w:p>
    <w:p w14:paraId="75483E47" w14:textId="77777777" w:rsidR="00884F0D" w:rsidRPr="00884F0D" w:rsidRDefault="00884F0D" w:rsidP="00C5378C">
      <w:pPr>
        <w:keepNext/>
        <w:rPr>
          <w:rFonts w:asciiTheme="minorHAnsi" w:hAnsiTheme="minorHAnsi" w:cstheme="minorHAnsi"/>
          <w:sz w:val="22"/>
          <w:szCs w:val="22"/>
        </w:rPr>
      </w:pPr>
    </w:p>
    <w:p w14:paraId="1FBF0961" w14:textId="04B5E2FF"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33.</w:t>
      </w:r>
      <w:r>
        <w:rPr>
          <w:rFonts w:asciiTheme="minorHAnsi" w:hAnsiTheme="minorHAnsi"/>
          <w:color w:val="000000" w:themeColor="text1"/>
        </w:rPr>
        <w:tab/>
        <w:t>Reconocer plenamente los derechos de todos los [pueblos indígenas [y comunidades locales]], así como las ricas conexiones culturales y los conocimientos tradicionales que han sostenido la conexión entre los humedales y las personas, apoyar los medios de subsistencia de las comunidades de los humedales, y facilitar la participación plena, equitativa, inclusiva, efectiva y sensible a las cuestiones de la juventud y de género en todos los aspectos de la toma de decisiones sobre los humedales.</w:t>
      </w:r>
    </w:p>
    <w:p w14:paraId="7ED785AF" w14:textId="77777777" w:rsidR="00B16035" w:rsidRPr="00261002" w:rsidRDefault="00B16035" w:rsidP="00037796">
      <w:pPr>
        <w:pStyle w:val="Heading2"/>
        <w:keepNext w:val="0"/>
        <w:spacing w:after="0"/>
        <w:rPr>
          <w:rFonts w:asciiTheme="minorHAnsi" w:eastAsia="Calibri" w:hAnsiTheme="minorHAnsi" w:cstheme="minorHAnsi"/>
          <w:b w:val="0"/>
          <w:bCs/>
          <w:i w:val="0"/>
          <w:iCs w:val="0"/>
        </w:rPr>
      </w:pPr>
    </w:p>
    <w:p w14:paraId="2D30744D" w14:textId="0CFD4240" w:rsidR="00B16035" w:rsidRPr="00884F0D" w:rsidRDefault="00B16035" w:rsidP="00DD360B">
      <w:pPr>
        <w:pStyle w:val="Heading2"/>
        <w:spacing w:after="0"/>
        <w:rPr>
          <w:rFonts w:asciiTheme="minorHAnsi" w:hAnsiTheme="minorHAnsi" w:cstheme="minorHAnsi"/>
        </w:rPr>
      </w:pPr>
      <w:r>
        <w:rPr>
          <w:rFonts w:asciiTheme="minorHAnsi" w:hAnsiTheme="minorHAnsi"/>
        </w:rPr>
        <w:t>Objetivo 3: Conservar y gestionar eficazmente los Humedales de Importancia Internacional</w:t>
      </w:r>
    </w:p>
    <w:p w14:paraId="1F85EF53" w14:textId="77777777" w:rsidR="00884F0D" w:rsidRPr="00884F0D" w:rsidRDefault="00884F0D" w:rsidP="00884F0D">
      <w:pPr>
        <w:rPr>
          <w:rFonts w:asciiTheme="minorHAnsi" w:hAnsiTheme="minorHAnsi" w:cstheme="minorHAnsi"/>
          <w:sz w:val="22"/>
          <w:szCs w:val="22"/>
        </w:rPr>
      </w:pPr>
    </w:p>
    <w:p w14:paraId="36EA6CD7" w14:textId="04C1965A"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34.</w:t>
      </w:r>
      <w:r>
        <w:rPr>
          <w:rFonts w:asciiTheme="minorHAnsi" w:hAnsiTheme="minorHAnsi"/>
          <w:color w:val="000000" w:themeColor="text1"/>
        </w:rPr>
        <w:tab/>
        <w:t>Declaración del objetivo: Los Humedales de Importancia Internacional son reconocidos, conservados y gestionados eficazmente y, a través de la designación de sitios que reúnen los requisitos, se produce un aumento significativo de la superficie, el número y la conectividad ecológica en toda la red de Humedales de Importancia Internacional.</w:t>
      </w:r>
    </w:p>
    <w:p w14:paraId="2278C020"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5A5E36CA" w14:textId="703AFFEB" w:rsidR="00B16035" w:rsidRPr="00884F0D" w:rsidRDefault="00B16035" w:rsidP="00DD360B">
      <w:pPr>
        <w:pStyle w:val="Heading2"/>
        <w:spacing w:after="0"/>
        <w:rPr>
          <w:rFonts w:asciiTheme="minorHAnsi" w:hAnsiTheme="minorHAnsi" w:cstheme="minorHAnsi"/>
        </w:rPr>
      </w:pPr>
      <w:r>
        <w:rPr>
          <w:rFonts w:asciiTheme="minorHAnsi" w:hAnsiTheme="minorHAnsi"/>
        </w:rPr>
        <w:t>Metas del objetivo 3</w:t>
      </w:r>
    </w:p>
    <w:p w14:paraId="03B16DA2" w14:textId="77777777" w:rsidR="00884F0D" w:rsidRPr="00884F0D" w:rsidRDefault="00884F0D" w:rsidP="00884F0D">
      <w:pPr>
        <w:rPr>
          <w:rFonts w:asciiTheme="minorHAnsi" w:hAnsiTheme="minorHAnsi" w:cstheme="minorHAnsi"/>
          <w:sz w:val="22"/>
          <w:szCs w:val="22"/>
        </w:rPr>
      </w:pPr>
    </w:p>
    <w:p w14:paraId="6B68D68C" w14:textId="67A9DD76" w:rsidR="00B16035" w:rsidRPr="00884F0D" w:rsidRDefault="00B16035" w:rsidP="00DD360B">
      <w:pPr>
        <w:pStyle w:val="Heading2"/>
        <w:spacing w:after="0"/>
        <w:rPr>
          <w:rFonts w:asciiTheme="minorHAnsi" w:hAnsiTheme="minorHAnsi" w:cstheme="minorHAnsi"/>
        </w:rPr>
      </w:pPr>
      <w:r>
        <w:rPr>
          <w:rFonts w:asciiTheme="minorHAnsi" w:hAnsiTheme="minorHAnsi"/>
        </w:rPr>
        <w:lastRenderedPageBreak/>
        <w:t xml:space="preserve">Meta 3.1 Designar [meta cuantitativa] Humedales de Importancia Internacional </w:t>
      </w:r>
    </w:p>
    <w:p w14:paraId="2B9F8CDC" w14:textId="77777777" w:rsidR="00884F0D" w:rsidRPr="00884F0D" w:rsidRDefault="00884F0D" w:rsidP="00884F0D">
      <w:pPr>
        <w:rPr>
          <w:rFonts w:asciiTheme="minorHAnsi" w:hAnsiTheme="minorHAnsi" w:cstheme="minorHAnsi"/>
          <w:sz w:val="22"/>
          <w:szCs w:val="22"/>
        </w:rPr>
      </w:pPr>
    </w:p>
    <w:p w14:paraId="2FFB99AB" w14:textId="67BF926B"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35.</w:t>
      </w:r>
      <w:r>
        <w:rPr>
          <w:rFonts w:asciiTheme="minorHAnsi" w:hAnsiTheme="minorHAnsi"/>
          <w:color w:val="000000" w:themeColor="text1"/>
        </w:rPr>
        <w:tab/>
      </w:r>
      <w:r>
        <w:t>Hay un aumento [significativo] [meta cuantitativa] de la superficie y el número de sitios de la red [mundial] de Humedales de Importancia Internacional, y se promueve su inclusión en sistemas de áreas protegidas ecológicamente representativos, bien conectados y administrados de forma equitativa, así como otras medidas eficaces de conservación basadas en áreas, contribuyendo a los objetivos mundiales de conservación y en consonancia con el Marco Mundial para la Biodiversidad de Kunming-Montreal.</w:t>
      </w:r>
    </w:p>
    <w:p w14:paraId="46C65FE4" w14:textId="77777777" w:rsidR="00884F0D" w:rsidRPr="00884F0D" w:rsidRDefault="00884F0D" w:rsidP="00884F0D">
      <w:pPr>
        <w:pStyle w:val="SP5text"/>
        <w:numPr>
          <w:ilvl w:val="0"/>
          <w:numId w:val="0"/>
        </w:numPr>
        <w:spacing w:after="0"/>
        <w:rPr>
          <w:rFonts w:asciiTheme="minorHAnsi" w:hAnsiTheme="minorHAnsi" w:cstheme="minorHAnsi"/>
        </w:rPr>
      </w:pPr>
    </w:p>
    <w:p w14:paraId="624302AC" w14:textId="685C70C6" w:rsidR="00B16035" w:rsidRPr="00884F0D" w:rsidRDefault="00B16035" w:rsidP="00DD360B">
      <w:pPr>
        <w:pStyle w:val="Heading2"/>
        <w:spacing w:after="0"/>
        <w:rPr>
          <w:rFonts w:asciiTheme="minorHAnsi" w:hAnsiTheme="minorHAnsi" w:cstheme="minorHAnsi"/>
        </w:rPr>
      </w:pPr>
      <w:r>
        <w:rPr>
          <w:rFonts w:asciiTheme="minorHAnsi" w:hAnsiTheme="minorHAnsi"/>
        </w:rPr>
        <w:t>Meta 3.2 Gestionar eficazmente los Humedales de Importancia Internacional</w:t>
      </w:r>
    </w:p>
    <w:p w14:paraId="5C99BE16" w14:textId="77777777" w:rsidR="00884F0D" w:rsidRPr="00884F0D" w:rsidRDefault="00884F0D" w:rsidP="00884F0D">
      <w:pPr>
        <w:rPr>
          <w:rFonts w:asciiTheme="minorHAnsi" w:hAnsiTheme="minorHAnsi" w:cstheme="minorHAnsi"/>
          <w:sz w:val="22"/>
          <w:szCs w:val="22"/>
        </w:rPr>
      </w:pPr>
    </w:p>
    <w:p w14:paraId="3FCA5A40" w14:textId="389AEB2C"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36.</w:t>
      </w:r>
      <w:r>
        <w:rPr>
          <w:rFonts w:asciiTheme="minorHAnsi" w:hAnsiTheme="minorHAnsi"/>
          <w:color w:val="000000" w:themeColor="text1"/>
        </w:rPr>
        <w:tab/>
        <w:t xml:space="preserve">Se aumenta la eficacia de la gestión de los Humedales de Importancia Internacional, para mantener o mejorar sus características ecológicas. </w:t>
      </w:r>
    </w:p>
    <w:p w14:paraId="4DE057E9" w14:textId="77777777" w:rsidR="00884F0D" w:rsidRPr="00261002" w:rsidRDefault="00884F0D" w:rsidP="00884F0D">
      <w:pPr>
        <w:pStyle w:val="SP5text"/>
        <w:numPr>
          <w:ilvl w:val="0"/>
          <w:numId w:val="0"/>
        </w:numPr>
        <w:spacing w:after="0"/>
        <w:rPr>
          <w:rFonts w:asciiTheme="minorHAnsi" w:hAnsiTheme="minorHAnsi" w:cstheme="minorHAnsi"/>
        </w:rPr>
      </w:pPr>
    </w:p>
    <w:p w14:paraId="50F513F4" w14:textId="628D30D3" w:rsidR="00B16035" w:rsidRPr="00884F0D" w:rsidRDefault="00B16035" w:rsidP="00DD360B">
      <w:pPr>
        <w:pStyle w:val="Heading2"/>
        <w:spacing w:after="0"/>
        <w:rPr>
          <w:rFonts w:asciiTheme="minorHAnsi" w:hAnsiTheme="minorHAnsi" w:cstheme="minorHAnsi"/>
        </w:rPr>
      </w:pPr>
      <w:r>
        <w:rPr>
          <w:rFonts w:asciiTheme="minorHAnsi" w:hAnsiTheme="minorHAnsi"/>
        </w:rPr>
        <w:t>Meta 3.3 Establecer redes nacionales y regionales de administradores de sitios.</w:t>
      </w:r>
    </w:p>
    <w:p w14:paraId="441B8540" w14:textId="77777777" w:rsidR="00884F0D" w:rsidRPr="00884F0D" w:rsidRDefault="00884F0D" w:rsidP="00884F0D">
      <w:pPr>
        <w:rPr>
          <w:rFonts w:asciiTheme="minorHAnsi" w:hAnsiTheme="minorHAnsi" w:cstheme="minorHAnsi"/>
          <w:sz w:val="22"/>
          <w:szCs w:val="22"/>
        </w:rPr>
      </w:pPr>
    </w:p>
    <w:p w14:paraId="650B5526" w14:textId="0276FB57"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37.</w:t>
      </w:r>
      <w:r>
        <w:rPr>
          <w:rFonts w:asciiTheme="minorHAnsi" w:hAnsiTheme="minorHAnsi"/>
          <w:color w:val="000000" w:themeColor="text1"/>
        </w:rPr>
        <w:tab/>
        <w:t xml:space="preserve">Se crean, refuerzan y amplían redes de profesionales y voluntarios que gestionan humedales de importancia internacional, mejorando el intercambio eficaz de información sobre mejores prácticas de gestión. </w:t>
      </w:r>
    </w:p>
    <w:p w14:paraId="4B095234" w14:textId="77777777" w:rsidR="00884F0D" w:rsidRPr="00261002" w:rsidRDefault="00884F0D" w:rsidP="00884F0D">
      <w:pPr>
        <w:pStyle w:val="SP5text"/>
        <w:numPr>
          <w:ilvl w:val="0"/>
          <w:numId w:val="0"/>
        </w:numPr>
        <w:spacing w:after="0"/>
        <w:ind w:left="720" w:hanging="360"/>
        <w:rPr>
          <w:rFonts w:asciiTheme="minorHAnsi" w:hAnsiTheme="minorHAnsi" w:cstheme="minorHAnsi"/>
        </w:rPr>
      </w:pPr>
    </w:p>
    <w:p w14:paraId="7ECE8704" w14:textId="571D9769" w:rsidR="00B16035" w:rsidRPr="00884F0D" w:rsidRDefault="00B16035" w:rsidP="00DD360B">
      <w:pPr>
        <w:pStyle w:val="Heading2"/>
        <w:spacing w:after="0"/>
        <w:rPr>
          <w:rFonts w:asciiTheme="minorHAnsi" w:hAnsiTheme="minorHAnsi" w:cstheme="minorHAnsi"/>
        </w:rPr>
      </w:pPr>
      <w:r>
        <w:rPr>
          <w:rFonts w:asciiTheme="minorHAnsi" w:hAnsiTheme="minorHAnsi"/>
        </w:rPr>
        <w:t>Meta 3.4 Aumentar la capacidad de recuperación de los humedales de importancia internacional</w:t>
      </w:r>
    </w:p>
    <w:p w14:paraId="7A6BDE28" w14:textId="77777777" w:rsidR="00884F0D" w:rsidRPr="00884F0D" w:rsidRDefault="00884F0D" w:rsidP="00884F0D">
      <w:pPr>
        <w:rPr>
          <w:rFonts w:asciiTheme="minorHAnsi" w:hAnsiTheme="minorHAnsi" w:cstheme="minorHAnsi"/>
          <w:sz w:val="22"/>
          <w:szCs w:val="22"/>
        </w:rPr>
      </w:pPr>
    </w:p>
    <w:p w14:paraId="541E9A17" w14:textId="32C3398B"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38.</w:t>
      </w:r>
      <w:r>
        <w:rPr>
          <w:rFonts w:asciiTheme="minorHAnsi" w:hAnsiTheme="minorHAnsi"/>
          <w:color w:val="000000" w:themeColor="text1"/>
        </w:rPr>
        <w:tab/>
        <w:t xml:space="preserve">Se dispone de orientaciones y se aplican las mejores prácticas para mejorar la resiliencia de los sitios frente a las presiones actuales y emergentes de los impulsores de la pérdida y la degradación de los humedales. </w:t>
      </w:r>
    </w:p>
    <w:p w14:paraId="24D96360" w14:textId="77777777" w:rsidR="00884F0D" w:rsidRPr="00261002" w:rsidRDefault="00884F0D" w:rsidP="00884F0D">
      <w:pPr>
        <w:pStyle w:val="SP5text"/>
        <w:numPr>
          <w:ilvl w:val="0"/>
          <w:numId w:val="0"/>
        </w:numPr>
        <w:spacing w:after="0"/>
        <w:rPr>
          <w:rFonts w:asciiTheme="minorHAnsi" w:hAnsiTheme="minorHAnsi" w:cstheme="minorHAnsi"/>
        </w:rPr>
      </w:pPr>
    </w:p>
    <w:p w14:paraId="350A4517" w14:textId="05484928" w:rsidR="00B16035" w:rsidRPr="00884F0D" w:rsidRDefault="00B16035" w:rsidP="00DD360B">
      <w:pPr>
        <w:pStyle w:val="Heading2"/>
        <w:spacing w:after="0"/>
        <w:rPr>
          <w:rFonts w:asciiTheme="minorHAnsi" w:eastAsia="Cambria" w:hAnsiTheme="minorHAnsi" w:cstheme="minorHAnsi"/>
        </w:rPr>
      </w:pPr>
      <w:r>
        <w:rPr>
          <w:rFonts w:asciiTheme="minorHAnsi" w:hAnsiTheme="minorHAnsi"/>
        </w:rPr>
        <w:t>Objetivo 4: Mejorar la aplicación de la Convención</w:t>
      </w:r>
    </w:p>
    <w:p w14:paraId="4639C1FE" w14:textId="77777777" w:rsidR="00884F0D" w:rsidRPr="00884F0D" w:rsidRDefault="00884F0D" w:rsidP="00103460">
      <w:pPr>
        <w:keepNext/>
        <w:rPr>
          <w:rFonts w:asciiTheme="minorHAnsi" w:eastAsia="Cambria" w:hAnsiTheme="minorHAnsi" w:cstheme="minorHAnsi"/>
          <w:sz w:val="22"/>
          <w:szCs w:val="22"/>
        </w:rPr>
      </w:pPr>
    </w:p>
    <w:p w14:paraId="660949F0" w14:textId="1C0E4970"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39.</w:t>
      </w:r>
      <w:r>
        <w:rPr>
          <w:rFonts w:asciiTheme="minorHAnsi" w:hAnsiTheme="minorHAnsi"/>
          <w:color w:val="000000" w:themeColor="text1"/>
        </w:rPr>
        <w:tab/>
        <w:t>Declaración del objetivo: Se mejora la aplicación de la Convención mediante la cooperación científica, técnica y en otros ámbitos, el fomento de capacidad, [instrumentos jurídicos y políticos eficaces] y la movilización de recursos [procedentes de todas las fuentes].</w:t>
      </w:r>
    </w:p>
    <w:p w14:paraId="4921F149" w14:textId="77777777" w:rsidR="00884F0D" w:rsidRPr="00884F0D" w:rsidRDefault="00884F0D" w:rsidP="00884F0D">
      <w:pPr>
        <w:pStyle w:val="SP5text"/>
        <w:numPr>
          <w:ilvl w:val="0"/>
          <w:numId w:val="0"/>
        </w:numPr>
        <w:spacing w:after="0"/>
        <w:rPr>
          <w:rFonts w:asciiTheme="minorHAnsi" w:hAnsiTheme="minorHAnsi" w:cstheme="minorHAnsi"/>
        </w:rPr>
      </w:pPr>
    </w:p>
    <w:p w14:paraId="0D665A13" w14:textId="3122D65C" w:rsidR="00B16035" w:rsidRPr="00884F0D" w:rsidRDefault="00B16035" w:rsidP="00C5378C">
      <w:pPr>
        <w:pStyle w:val="Heading2"/>
        <w:spacing w:after="0"/>
        <w:rPr>
          <w:rFonts w:asciiTheme="minorHAnsi" w:hAnsiTheme="minorHAnsi" w:cstheme="minorHAnsi"/>
        </w:rPr>
      </w:pPr>
      <w:r>
        <w:rPr>
          <w:rFonts w:asciiTheme="minorHAnsi" w:hAnsiTheme="minorHAnsi"/>
        </w:rPr>
        <w:t>Metas del objetivo 4</w:t>
      </w:r>
    </w:p>
    <w:p w14:paraId="50CE58F5" w14:textId="77777777" w:rsidR="00884F0D" w:rsidRPr="00884F0D" w:rsidRDefault="00884F0D" w:rsidP="00C5378C">
      <w:pPr>
        <w:keepNext/>
        <w:rPr>
          <w:rFonts w:asciiTheme="minorHAnsi" w:hAnsiTheme="minorHAnsi" w:cstheme="minorHAnsi"/>
          <w:sz w:val="22"/>
          <w:szCs w:val="22"/>
        </w:rPr>
      </w:pPr>
    </w:p>
    <w:p w14:paraId="2A9A553C" w14:textId="4ACEFF92" w:rsidR="00B16035" w:rsidRPr="00884F0D" w:rsidRDefault="00B16035" w:rsidP="00DD360B">
      <w:pPr>
        <w:pStyle w:val="Heading2"/>
        <w:spacing w:after="0"/>
        <w:rPr>
          <w:rFonts w:asciiTheme="minorHAnsi" w:eastAsia="Calibri" w:hAnsiTheme="minorHAnsi" w:cstheme="minorHAnsi"/>
        </w:rPr>
      </w:pPr>
      <w:r>
        <w:rPr>
          <w:rFonts w:asciiTheme="minorHAnsi" w:hAnsiTheme="minorHAnsi"/>
        </w:rPr>
        <w:t>Meta 4.1 Cooperación con los asociados y los interesados directos</w:t>
      </w:r>
    </w:p>
    <w:p w14:paraId="46004291" w14:textId="77777777" w:rsidR="00884F0D" w:rsidRPr="00884F0D" w:rsidRDefault="00884F0D" w:rsidP="00884F0D">
      <w:pPr>
        <w:rPr>
          <w:rFonts w:asciiTheme="minorHAnsi" w:eastAsia="Calibri" w:hAnsiTheme="minorHAnsi" w:cstheme="minorHAnsi"/>
          <w:sz w:val="22"/>
          <w:szCs w:val="22"/>
        </w:rPr>
      </w:pPr>
    </w:p>
    <w:p w14:paraId="7DC49976" w14:textId="767650B5"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olor w:val="000000" w:themeColor="text1"/>
        </w:rPr>
        <w:t>40.</w:t>
      </w:r>
      <w:r>
        <w:rPr>
          <w:rFonts w:asciiTheme="minorHAnsi" w:hAnsiTheme="minorHAnsi"/>
          <w:color w:val="000000" w:themeColor="text1"/>
        </w:rPr>
        <w:tab/>
        <w:t>Las Partes Contratantes colaboran eficazmente con los asociados y los interesados directos a todos los niveles (mundial, regional, transfronterizo, nacional, local y de sitio) y en todos los sectores para alcanzar los objetivos de la Convención, aumentando la complementariedad [y las sinergias] con otros procesos multilaterales.</w:t>
      </w:r>
    </w:p>
    <w:p w14:paraId="7C401F03" w14:textId="77777777" w:rsidR="00884F0D" w:rsidRPr="00884F0D" w:rsidRDefault="00884F0D" w:rsidP="00884F0D">
      <w:pPr>
        <w:pStyle w:val="SP5text"/>
        <w:numPr>
          <w:ilvl w:val="0"/>
          <w:numId w:val="0"/>
        </w:numPr>
        <w:spacing w:after="0"/>
        <w:rPr>
          <w:rFonts w:asciiTheme="minorHAnsi" w:eastAsia="Calibri" w:hAnsiTheme="minorHAnsi" w:cstheme="minorHAnsi"/>
          <w:bCs/>
        </w:rPr>
      </w:pPr>
    </w:p>
    <w:p w14:paraId="7A404CAF" w14:textId="7EA1CD55" w:rsidR="00B16035" w:rsidRPr="00884F0D" w:rsidRDefault="00B16035" w:rsidP="00DD360B">
      <w:pPr>
        <w:pStyle w:val="Heading2"/>
        <w:spacing w:after="0"/>
        <w:rPr>
          <w:rStyle w:val="ui-provider"/>
          <w:rFonts w:asciiTheme="minorHAnsi" w:hAnsiTheme="minorHAnsi" w:cstheme="minorHAnsi"/>
        </w:rPr>
      </w:pPr>
      <w:r>
        <w:rPr>
          <w:rStyle w:val="ui-provider"/>
          <w:rFonts w:asciiTheme="minorHAnsi" w:hAnsiTheme="minorHAnsi"/>
        </w:rPr>
        <w:t>Meta 4.2 Mejorar el intercambio de información, datos [y tecnología]</w:t>
      </w:r>
    </w:p>
    <w:p w14:paraId="72F7DC32" w14:textId="77777777" w:rsidR="00884F0D" w:rsidRPr="00884F0D" w:rsidRDefault="00884F0D" w:rsidP="00884F0D">
      <w:pPr>
        <w:rPr>
          <w:rFonts w:asciiTheme="minorHAnsi" w:hAnsiTheme="minorHAnsi" w:cstheme="minorHAnsi"/>
          <w:sz w:val="22"/>
          <w:szCs w:val="22"/>
        </w:rPr>
      </w:pPr>
    </w:p>
    <w:p w14:paraId="0FCAC97E" w14:textId="17BFF9E8"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color w:val="000000" w:themeColor="text1"/>
        </w:rPr>
        <w:t>41.</w:t>
      </w:r>
      <w:r>
        <w:rPr>
          <w:color w:val="000000" w:themeColor="text1"/>
        </w:rPr>
        <w:tab/>
        <w:t>Mejorar el intercambio de información, datos [y tecnología] [para apoyar la toma de decisiones en materia de políticas y de gestión basadas en pruebas, promover la cooperación científica y técnica y el fomento de capacidad en relación con la conservación, el uso racional, la supervisión y la presentación de informes sobre los humedales, teniendo en cuenta los conocimientos de los pueblos indígenas y las comunidades locales [y su consentimiento libre, previo e informado].</w:t>
      </w:r>
    </w:p>
    <w:p w14:paraId="61D28F45"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71A09A3F" w14:textId="29C7674C" w:rsidR="00B16035" w:rsidRPr="00884F0D" w:rsidRDefault="00B16035" w:rsidP="00DD360B">
      <w:pPr>
        <w:pStyle w:val="Heading2"/>
        <w:spacing w:after="0"/>
        <w:rPr>
          <w:rStyle w:val="ui-provider"/>
          <w:rFonts w:asciiTheme="minorHAnsi" w:hAnsiTheme="minorHAnsi" w:cstheme="minorHAnsi"/>
        </w:rPr>
      </w:pPr>
      <w:r>
        <w:rPr>
          <w:rFonts w:asciiTheme="minorHAnsi" w:hAnsiTheme="minorHAnsi"/>
        </w:rPr>
        <w:lastRenderedPageBreak/>
        <w:t>Meta 4.2 alt. Mejorar el intercambio de información, datos [y tecnología]</w:t>
      </w:r>
    </w:p>
    <w:p w14:paraId="5AF9BAE7" w14:textId="77777777" w:rsidR="00884F0D" w:rsidRPr="00103460" w:rsidRDefault="00884F0D" w:rsidP="00103460">
      <w:pPr>
        <w:pStyle w:val="SP5text"/>
        <w:numPr>
          <w:ilvl w:val="0"/>
          <w:numId w:val="0"/>
        </w:numPr>
        <w:spacing w:after="0"/>
        <w:ind w:left="425" w:hanging="425"/>
        <w:rPr>
          <w:color w:val="000000" w:themeColor="text1"/>
        </w:rPr>
      </w:pPr>
    </w:p>
    <w:p w14:paraId="394A5AEC" w14:textId="0219A34D" w:rsidR="00B16035" w:rsidRPr="00103460" w:rsidRDefault="00103460" w:rsidP="00103460">
      <w:pPr>
        <w:pStyle w:val="SP5text"/>
        <w:numPr>
          <w:ilvl w:val="0"/>
          <w:numId w:val="0"/>
        </w:numPr>
        <w:spacing w:after="0"/>
        <w:ind w:left="425" w:hanging="425"/>
        <w:rPr>
          <w:color w:val="000000" w:themeColor="text1"/>
        </w:rPr>
      </w:pPr>
      <w:r>
        <w:rPr>
          <w:color w:val="000000" w:themeColor="text1"/>
        </w:rPr>
        <w:t>42.</w:t>
      </w:r>
      <w:r>
        <w:rPr>
          <w:color w:val="000000" w:themeColor="text1"/>
        </w:rPr>
        <w:tab/>
        <w:t>Se apoya la toma de decisiones en materia de políticas y de gestión, así como el seguimiento y la elaboración de informes basados en pruebas mediante la mejora del intercambio de información y datos, la cooperación científica y técnica y el fomento de capacidad y la transferencia [voluntaria] de tecnología [en condiciones mutuamente acordadas], teniendo en cuenta los conocimientos de los pueblos indígenas y las comunidades locales [y su consentimiento libre, previo e informado].</w:t>
      </w:r>
    </w:p>
    <w:p w14:paraId="1BDB6D9B" w14:textId="77777777" w:rsidR="00884F0D" w:rsidRPr="00261002" w:rsidRDefault="00884F0D" w:rsidP="00884F0D">
      <w:pPr>
        <w:pStyle w:val="SP5text"/>
        <w:numPr>
          <w:ilvl w:val="0"/>
          <w:numId w:val="0"/>
        </w:numPr>
        <w:spacing w:after="0"/>
        <w:rPr>
          <w:rFonts w:asciiTheme="minorHAnsi" w:hAnsiTheme="minorHAnsi" w:cstheme="minorHAnsi"/>
        </w:rPr>
      </w:pPr>
    </w:p>
    <w:p w14:paraId="748EE945" w14:textId="2EA67A05" w:rsidR="00B16035" w:rsidRPr="00884F0D" w:rsidRDefault="00B16035" w:rsidP="00DD360B">
      <w:pPr>
        <w:pStyle w:val="Heading2"/>
        <w:spacing w:after="0"/>
        <w:rPr>
          <w:rFonts w:asciiTheme="minorHAnsi" w:eastAsia="Calibri" w:hAnsiTheme="minorHAnsi" w:cstheme="minorHAnsi"/>
        </w:rPr>
      </w:pPr>
      <w:r>
        <w:rPr>
          <w:rFonts w:asciiTheme="minorHAnsi" w:hAnsiTheme="minorHAnsi"/>
        </w:rPr>
        <w:t>[Meta 4.3 Reforzar las medidas jurídicas y en materia de políticas existentes para mejorar la aplicación</w:t>
      </w:r>
    </w:p>
    <w:p w14:paraId="7EC5B793" w14:textId="77777777" w:rsidR="00884F0D" w:rsidRPr="00261002" w:rsidRDefault="00884F0D" w:rsidP="00884F0D">
      <w:pPr>
        <w:rPr>
          <w:rFonts w:asciiTheme="minorHAnsi" w:eastAsia="Calibri" w:hAnsiTheme="minorHAnsi" w:cstheme="minorHAnsi"/>
          <w:sz w:val="22"/>
          <w:szCs w:val="22"/>
        </w:rPr>
      </w:pPr>
    </w:p>
    <w:p w14:paraId="2997FE98" w14:textId="308F58FB" w:rsidR="00B16035" w:rsidRPr="00103460" w:rsidRDefault="00103460" w:rsidP="00103460">
      <w:pPr>
        <w:pStyle w:val="SP5text"/>
        <w:numPr>
          <w:ilvl w:val="0"/>
          <w:numId w:val="0"/>
        </w:numPr>
        <w:spacing w:after="0"/>
        <w:ind w:left="425" w:hanging="425"/>
        <w:rPr>
          <w:color w:val="000000" w:themeColor="text1"/>
        </w:rPr>
      </w:pPr>
      <w:r>
        <w:rPr>
          <w:color w:val="000000" w:themeColor="text1"/>
        </w:rPr>
        <w:t>43.</w:t>
      </w:r>
      <w:r>
        <w:rPr>
          <w:color w:val="000000" w:themeColor="text1"/>
        </w:rPr>
        <w:tab/>
        <w:t>Las Partes Contratantes disponen de instrumentos jurídicos y de políticas eficaces para aplicar plenamente la Convención, sus resoluciones y decisiones].</w:t>
      </w:r>
    </w:p>
    <w:p w14:paraId="34B520AE"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470ED0E1" w14:textId="23B37D18" w:rsidR="00B16035" w:rsidRPr="00884F0D" w:rsidRDefault="00B16035" w:rsidP="00DD360B">
      <w:pPr>
        <w:pStyle w:val="Heading2"/>
        <w:spacing w:after="0"/>
        <w:rPr>
          <w:rFonts w:asciiTheme="minorHAnsi" w:eastAsia="Calibri" w:hAnsiTheme="minorHAnsi" w:cstheme="minorHAnsi"/>
        </w:rPr>
      </w:pPr>
      <w:r>
        <w:rPr>
          <w:rFonts w:asciiTheme="minorHAnsi" w:hAnsiTheme="minorHAnsi"/>
        </w:rPr>
        <w:t>Meta 4.4 Avanzar en los inventarios nacionales de humedales</w:t>
      </w:r>
    </w:p>
    <w:p w14:paraId="2C8A661A" w14:textId="77777777" w:rsidR="00884F0D" w:rsidRPr="00884F0D" w:rsidRDefault="00884F0D" w:rsidP="00884F0D">
      <w:pPr>
        <w:rPr>
          <w:rFonts w:asciiTheme="minorHAnsi" w:eastAsia="Calibri" w:hAnsiTheme="minorHAnsi" w:cstheme="minorHAnsi"/>
          <w:sz w:val="22"/>
          <w:szCs w:val="22"/>
        </w:rPr>
      </w:pPr>
    </w:p>
    <w:p w14:paraId="1E702267" w14:textId="5B15E3DE" w:rsidR="00B16035" w:rsidRPr="00103460" w:rsidRDefault="00103460" w:rsidP="00103460">
      <w:pPr>
        <w:pStyle w:val="SP5text"/>
        <w:numPr>
          <w:ilvl w:val="0"/>
          <w:numId w:val="0"/>
        </w:numPr>
        <w:spacing w:after="0"/>
        <w:ind w:left="425" w:hanging="425"/>
        <w:rPr>
          <w:color w:val="000000" w:themeColor="text1"/>
        </w:rPr>
      </w:pPr>
      <w:r>
        <w:rPr>
          <w:color w:val="000000" w:themeColor="text1"/>
        </w:rPr>
        <w:t>44.</w:t>
      </w:r>
      <w:r>
        <w:rPr>
          <w:color w:val="000000" w:themeColor="text1"/>
        </w:rPr>
        <w:tab/>
        <w:t>Se avanza en los inventarios de humedales y se actualizan sus bases de datos de acuerdo con el sistema de clasificación de humedales de Ramsar.</w:t>
      </w:r>
    </w:p>
    <w:p w14:paraId="27CDB140"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4EE49B04" w14:textId="0CB8B8D9" w:rsidR="00B16035" w:rsidRPr="00884F0D" w:rsidRDefault="00B16035" w:rsidP="00DD360B">
      <w:pPr>
        <w:pStyle w:val="Heading2"/>
        <w:spacing w:after="0"/>
        <w:rPr>
          <w:rFonts w:asciiTheme="minorHAnsi" w:eastAsia="Calibri" w:hAnsiTheme="minorHAnsi" w:cstheme="minorHAnsi"/>
        </w:rPr>
      </w:pPr>
      <w:r>
        <w:rPr>
          <w:rFonts w:asciiTheme="minorHAnsi" w:hAnsiTheme="minorHAnsi"/>
        </w:rPr>
        <w:t>Meta 4.5 Se mejora la concienciación sobre los problemas que afectan a los humedales y la visibilidad de la Convención sobre los Humedales</w:t>
      </w:r>
    </w:p>
    <w:p w14:paraId="71895144" w14:textId="77777777" w:rsidR="00884F0D" w:rsidRPr="00261002" w:rsidRDefault="00884F0D" w:rsidP="00884F0D">
      <w:pPr>
        <w:rPr>
          <w:rFonts w:asciiTheme="minorHAnsi" w:eastAsia="Calibri" w:hAnsiTheme="minorHAnsi" w:cstheme="minorHAnsi"/>
          <w:sz w:val="22"/>
          <w:szCs w:val="22"/>
        </w:rPr>
      </w:pPr>
    </w:p>
    <w:p w14:paraId="331BBAE0" w14:textId="759AD59C" w:rsidR="00B16035" w:rsidRPr="00103460" w:rsidRDefault="00103460" w:rsidP="00103460">
      <w:pPr>
        <w:pStyle w:val="SP5text"/>
        <w:numPr>
          <w:ilvl w:val="0"/>
          <w:numId w:val="0"/>
        </w:numPr>
        <w:spacing w:after="0"/>
        <w:ind w:left="425" w:hanging="425"/>
        <w:rPr>
          <w:color w:val="000000" w:themeColor="text1"/>
        </w:rPr>
      </w:pPr>
      <w:r>
        <w:rPr>
          <w:color w:val="000000" w:themeColor="text1"/>
        </w:rPr>
        <w:t>45.</w:t>
      </w:r>
      <w:r>
        <w:rPr>
          <w:color w:val="000000" w:themeColor="text1"/>
        </w:rPr>
        <w:tab/>
        <w:t>Se integran la conservación y el uso racional de los humedales a través de la comunicación, el fomento de capacidad y el desarrollo, la educación, la participación y la concienciación.</w:t>
      </w:r>
    </w:p>
    <w:p w14:paraId="585F5EC5"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49DCF5B9" w14:textId="3BFF9E0E" w:rsidR="00B16035" w:rsidRPr="00884F0D" w:rsidRDefault="00B16035" w:rsidP="00C5378C">
      <w:pPr>
        <w:pStyle w:val="Heading2"/>
        <w:spacing w:after="0"/>
        <w:rPr>
          <w:rFonts w:asciiTheme="minorHAnsi" w:eastAsia="Calibri" w:hAnsiTheme="minorHAnsi" w:cstheme="minorHAnsi"/>
        </w:rPr>
      </w:pPr>
      <w:r>
        <w:rPr>
          <w:rFonts w:asciiTheme="minorHAnsi" w:hAnsiTheme="minorHAnsi"/>
        </w:rPr>
        <w:t>[Objetivo 4.6 Presentación de informes</w:t>
      </w:r>
    </w:p>
    <w:p w14:paraId="309F9B6E" w14:textId="77777777" w:rsidR="00884F0D" w:rsidRPr="00261002" w:rsidRDefault="00884F0D" w:rsidP="00C5378C">
      <w:pPr>
        <w:keepNext/>
        <w:rPr>
          <w:rFonts w:asciiTheme="minorHAnsi" w:eastAsia="Calibri" w:hAnsiTheme="minorHAnsi" w:cstheme="minorHAnsi"/>
          <w:sz w:val="22"/>
          <w:szCs w:val="22"/>
        </w:rPr>
      </w:pPr>
    </w:p>
    <w:p w14:paraId="3CCB8596" w14:textId="20A197C4" w:rsidR="00B16035" w:rsidRPr="00103460" w:rsidRDefault="00103460" w:rsidP="00103460">
      <w:pPr>
        <w:pStyle w:val="SP5text"/>
        <w:numPr>
          <w:ilvl w:val="0"/>
          <w:numId w:val="0"/>
        </w:numPr>
        <w:spacing w:after="0"/>
        <w:ind w:left="425" w:hanging="425"/>
        <w:rPr>
          <w:color w:val="000000" w:themeColor="text1"/>
        </w:rPr>
      </w:pPr>
      <w:r>
        <w:rPr>
          <w:color w:val="000000" w:themeColor="text1"/>
        </w:rPr>
        <w:t>46.</w:t>
      </w:r>
      <w:r>
        <w:rPr>
          <w:color w:val="000000" w:themeColor="text1"/>
        </w:rPr>
        <w:tab/>
        <w:t>[Mejorar la presentación de informes nacionales y mantener actualizadas las Fichas Informativas de Ramsar para todos los Humedales de Importancia Internacional, con el apoyo de la Secretaría y de las iniciativas regionales Ramsar.]</w:t>
      </w:r>
    </w:p>
    <w:p w14:paraId="7414E1F7" w14:textId="77777777" w:rsidR="00884F0D" w:rsidRPr="00261002" w:rsidRDefault="00884F0D" w:rsidP="00037796">
      <w:pPr>
        <w:pStyle w:val="Heading2"/>
        <w:keepNext w:val="0"/>
        <w:spacing w:after="0"/>
        <w:rPr>
          <w:rFonts w:asciiTheme="minorHAnsi" w:eastAsia="Calibri" w:hAnsiTheme="minorHAnsi" w:cstheme="minorHAnsi"/>
          <w:b w:val="0"/>
          <w:bCs/>
          <w:i w:val="0"/>
          <w:iCs w:val="0"/>
        </w:rPr>
      </w:pPr>
    </w:p>
    <w:p w14:paraId="66D09AFD" w14:textId="602DB731" w:rsidR="00B16035" w:rsidRPr="00884F0D" w:rsidRDefault="00B16035" w:rsidP="00DD360B">
      <w:pPr>
        <w:pStyle w:val="Heading2"/>
        <w:spacing w:after="0"/>
        <w:rPr>
          <w:rFonts w:asciiTheme="minorHAnsi" w:eastAsia="Calibri" w:hAnsiTheme="minorHAnsi" w:cstheme="minorHAnsi"/>
        </w:rPr>
      </w:pPr>
      <w:r>
        <w:rPr>
          <w:rFonts w:asciiTheme="minorHAnsi" w:hAnsiTheme="minorHAnsi"/>
        </w:rPr>
        <w:t>[Objetivo 4.7 Financiero</w:t>
      </w:r>
    </w:p>
    <w:p w14:paraId="3EC3959C" w14:textId="77777777" w:rsidR="00884F0D" w:rsidRPr="00261002" w:rsidRDefault="00884F0D" w:rsidP="00884F0D">
      <w:pPr>
        <w:rPr>
          <w:rFonts w:asciiTheme="minorHAnsi" w:eastAsia="Calibri" w:hAnsiTheme="minorHAnsi" w:cstheme="minorHAnsi"/>
          <w:sz w:val="22"/>
          <w:szCs w:val="22"/>
        </w:rPr>
      </w:pPr>
    </w:p>
    <w:p w14:paraId="6BD6D165" w14:textId="7427B13D" w:rsidR="00B16035" w:rsidRPr="00103460" w:rsidRDefault="00103460" w:rsidP="00103460">
      <w:pPr>
        <w:pStyle w:val="SP5text"/>
        <w:numPr>
          <w:ilvl w:val="0"/>
          <w:numId w:val="0"/>
        </w:numPr>
        <w:spacing w:after="0"/>
        <w:ind w:left="425" w:hanging="425"/>
        <w:rPr>
          <w:color w:val="000000" w:themeColor="text1"/>
        </w:rPr>
      </w:pPr>
      <w:r>
        <w:rPr>
          <w:color w:val="000000" w:themeColor="text1"/>
        </w:rPr>
        <w:t>47.</w:t>
      </w:r>
      <w:r>
        <w:rPr>
          <w:color w:val="000000" w:themeColor="text1"/>
        </w:rPr>
        <w:tab/>
        <w:t>Movilizar los recursos financieros [procedentes de todas las fuentes] [necesarios] para lograr [apoyar el logro de] los objetivos de la Convención, incluyendo mediante financiación internacional [pública] [procedente de todas las fuentes] y mecanismos [financieros] innovadores cuando proceda, [reconociendo la necesidad de un mayor apoyo a los países en desarrollo,] y [mejorar] el acceso a esos recursos.]</w:t>
      </w:r>
    </w:p>
    <w:p w14:paraId="314DED0E" w14:textId="77777777" w:rsidR="00884F0D" w:rsidRPr="00037796" w:rsidRDefault="00884F0D" w:rsidP="00DD360B">
      <w:pPr>
        <w:pStyle w:val="Heading1"/>
        <w:spacing w:after="0"/>
        <w:rPr>
          <w:rFonts w:asciiTheme="minorHAnsi" w:hAnsiTheme="minorHAnsi" w:cstheme="minorHAnsi"/>
          <w:b w:val="0"/>
          <w:bCs/>
        </w:rPr>
      </w:pPr>
    </w:p>
    <w:p w14:paraId="2B2C08B4" w14:textId="704F67CC" w:rsidR="00B16035" w:rsidRPr="00884F0D" w:rsidRDefault="00B16035" w:rsidP="00DD360B">
      <w:pPr>
        <w:pStyle w:val="Heading1"/>
        <w:spacing w:after="0"/>
        <w:rPr>
          <w:rFonts w:asciiTheme="minorHAnsi" w:hAnsiTheme="minorHAnsi" w:cstheme="minorHAnsi"/>
        </w:rPr>
      </w:pPr>
      <w:r>
        <w:rPr>
          <w:rFonts w:asciiTheme="minorHAnsi" w:hAnsiTheme="minorHAnsi"/>
        </w:rPr>
        <w:t>Supervisión y evaluación</w:t>
      </w:r>
    </w:p>
    <w:p w14:paraId="351A7E28" w14:textId="77777777" w:rsidR="00884F0D" w:rsidRPr="00884F0D" w:rsidRDefault="00884F0D" w:rsidP="00884F0D">
      <w:pPr>
        <w:rPr>
          <w:rFonts w:asciiTheme="minorHAnsi" w:hAnsiTheme="minorHAnsi" w:cstheme="minorHAnsi"/>
          <w:sz w:val="22"/>
          <w:szCs w:val="22"/>
          <w:lang w:eastAsia="en-GB"/>
        </w:rPr>
      </w:pPr>
    </w:p>
    <w:p w14:paraId="5356A25A" w14:textId="41BED184" w:rsidR="00B16035" w:rsidRPr="00103460" w:rsidRDefault="00103460" w:rsidP="00103460">
      <w:pPr>
        <w:pStyle w:val="SP5text"/>
        <w:numPr>
          <w:ilvl w:val="0"/>
          <w:numId w:val="0"/>
        </w:numPr>
        <w:spacing w:after="0"/>
        <w:ind w:left="425" w:hanging="425"/>
        <w:rPr>
          <w:color w:val="000000" w:themeColor="text1"/>
        </w:rPr>
      </w:pPr>
      <w:r>
        <w:rPr>
          <w:color w:val="000000" w:themeColor="text1"/>
        </w:rPr>
        <w:t>48.</w:t>
      </w:r>
      <w:r>
        <w:rPr>
          <w:color w:val="000000" w:themeColor="text1"/>
        </w:rPr>
        <w:tab/>
        <w:t>El cuadro que figura en el anexo 3 describe los objetivos, metas, [actividades] e indicadores utilizados para organizar y supervisar los progresos realizados a nivel nacional y a otros niveles. Se han desarrollado indicadores específicos para supervisar los progresos realizados y también para optimizar [las sinergias] [la coordinación] con otros procesos intergubernamentales de presentación de informes.</w:t>
      </w:r>
    </w:p>
    <w:p w14:paraId="7C2D5E57" w14:textId="77777777" w:rsidR="00884F0D" w:rsidRPr="00884F0D" w:rsidRDefault="00884F0D" w:rsidP="00884F0D">
      <w:pPr>
        <w:pStyle w:val="SP5text"/>
        <w:numPr>
          <w:ilvl w:val="0"/>
          <w:numId w:val="0"/>
        </w:numPr>
        <w:spacing w:after="0"/>
        <w:rPr>
          <w:rFonts w:asciiTheme="minorHAnsi" w:hAnsiTheme="minorHAnsi" w:cstheme="minorHAnsi"/>
        </w:rPr>
      </w:pPr>
    </w:p>
    <w:p w14:paraId="3D9F430B" w14:textId="72480AAC" w:rsidR="00B16035" w:rsidRPr="00103460" w:rsidRDefault="00103460" w:rsidP="00103460">
      <w:pPr>
        <w:pStyle w:val="SP5text"/>
        <w:numPr>
          <w:ilvl w:val="0"/>
          <w:numId w:val="0"/>
        </w:numPr>
        <w:spacing w:after="0"/>
        <w:ind w:left="425" w:hanging="425"/>
        <w:rPr>
          <w:color w:val="000000" w:themeColor="text1"/>
        </w:rPr>
      </w:pPr>
      <w:r>
        <w:rPr>
          <w:color w:val="000000" w:themeColor="text1"/>
        </w:rPr>
        <w:t>49.</w:t>
      </w:r>
      <w:r>
        <w:rPr>
          <w:color w:val="000000" w:themeColor="text1"/>
        </w:rPr>
        <w:tab/>
        <w:t>El Comité Permanente examinará la ejecución del Quinto Plan Estratégico basándose en los informes periódicos de la Secretaría y del Grupo de Examen Científico y Técnico, así como en los informes nacionales elaborados para cada ciclo de presentación de informes.</w:t>
      </w:r>
    </w:p>
    <w:p w14:paraId="446470E9" w14:textId="77777777" w:rsidR="00884F0D" w:rsidRPr="00103460" w:rsidRDefault="00884F0D" w:rsidP="00103460">
      <w:pPr>
        <w:rPr>
          <w:rFonts w:asciiTheme="minorHAnsi" w:hAnsiTheme="minorHAnsi" w:cstheme="minorHAnsi"/>
          <w:sz w:val="22"/>
          <w:szCs w:val="22"/>
        </w:rPr>
      </w:pPr>
    </w:p>
    <w:p w14:paraId="21DBC980" w14:textId="120AEBF1" w:rsidR="00B16035" w:rsidRPr="00103460" w:rsidRDefault="00103460" w:rsidP="00103460">
      <w:pPr>
        <w:pStyle w:val="SP5text"/>
        <w:numPr>
          <w:ilvl w:val="0"/>
          <w:numId w:val="0"/>
        </w:numPr>
        <w:spacing w:after="0"/>
        <w:ind w:left="425" w:hanging="425"/>
        <w:rPr>
          <w:color w:val="000000" w:themeColor="text1"/>
        </w:rPr>
      </w:pPr>
      <w:r>
        <w:rPr>
          <w:color w:val="000000" w:themeColor="text1"/>
        </w:rPr>
        <w:t>50.</w:t>
      </w:r>
      <w:r>
        <w:rPr>
          <w:color w:val="000000" w:themeColor="text1"/>
        </w:rPr>
        <w:tab/>
        <w:t>En la COP16 se llevará a cabo un examen del Quinto Plan Estratégico y las modalidades y el alcance de este examen se establecerán en la COP15, teniendo en cuenta, entre otras cosas, los resultados de los debates sobre la aplicación del Marco Mundial de Biodiversidad de Kunming-Montreal, la agenda para el desarrollo sostenible después de 2015 y los Objetivos de Desarrollo Sostenible, así como la labor de la IPBES.</w:t>
      </w:r>
    </w:p>
    <w:p w14:paraId="03C0985D" w14:textId="77777777" w:rsidR="00B16035" w:rsidRDefault="00B16035" w:rsidP="00DD360B">
      <w:pPr>
        <w:pStyle w:val="SP5text"/>
        <w:spacing w:after="0"/>
        <w:sectPr w:rsidR="00B16035" w:rsidSect="00B16035">
          <w:footerReference w:type="default" r:id="rId12"/>
          <w:pgSz w:w="11901" w:h="16817"/>
          <w:pgMar w:top="1440" w:right="1440" w:bottom="1440" w:left="1440" w:header="1134" w:footer="720" w:gutter="0"/>
          <w:cols w:space="708"/>
          <w:titlePg/>
          <w:docGrid w:linePitch="360"/>
        </w:sectPr>
      </w:pPr>
    </w:p>
    <w:p w14:paraId="0699B4F8" w14:textId="77777777" w:rsidR="00FC53C8" w:rsidRPr="00FC53C8" w:rsidRDefault="00B16035" w:rsidP="00DD360B">
      <w:pPr>
        <w:pStyle w:val="Heading1"/>
        <w:spacing w:after="0"/>
        <w:rPr>
          <w:sz w:val="24"/>
          <w:szCs w:val="24"/>
        </w:rPr>
      </w:pPr>
      <w:r>
        <w:rPr>
          <w:sz w:val="24"/>
          <w:szCs w:val="24"/>
        </w:rPr>
        <w:lastRenderedPageBreak/>
        <w:t>Anexo 3</w:t>
      </w:r>
    </w:p>
    <w:p w14:paraId="0EA1D9B1" w14:textId="5160BEDF" w:rsidR="00B16035" w:rsidRPr="00FC53C8" w:rsidRDefault="00B4276F" w:rsidP="00DD360B">
      <w:pPr>
        <w:pStyle w:val="Heading1"/>
        <w:spacing w:after="0"/>
        <w:rPr>
          <w:sz w:val="24"/>
          <w:szCs w:val="24"/>
        </w:rPr>
      </w:pPr>
      <w:r>
        <w:rPr>
          <w:sz w:val="24"/>
          <w:szCs w:val="24"/>
        </w:rPr>
        <w:t xml:space="preserve">Quinto Plan Estratégico: objetivos, metas e indicadores </w:t>
      </w:r>
    </w:p>
    <w:p w14:paraId="72290DBA" w14:textId="77777777" w:rsidR="00B16035" w:rsidRDefault="00B16035" w:rsidP="00DD360B">
      <w:pPr>
        <w:rPr>
          <w:lang w:eastAsia="en-GB"/>
        </w:rPr>
      </w:pPr>
    </w:p>
    <w:p w14:paraId="5DC6C8CB" w14:textId="77777777" w:rsidR="00FC53C8" w:rsidRPr="00551282" w:rsidRDefault="00FC53C8" w:rsidP="00DD360B">
      <w:pPr>
        <w:rPr>
          <w:lang w:eastAsia="en-GB"/>
        </w:rPr>
      </w:pPr>
    </w:p>
    <w:tbl>
      <w:tblPr>
        <w:tblStyle w:val="TableGrid"/>
        <w:tblW w:w="14798" w:type="dxa"/>
        <w:tblLayout w:type="fixed"/>
        <w:tblLook w:val="04A0" w:firstRow="1" w:lastRow="0" w:firstColumn="1" w:lastColumn="0" w:noHBand="0" w:noVBand="1"/>
      </w:tblPr>
      <w:tblGrid>
        <w:gridCol w:w="4932"/>
        <w:gridCol w:w="4933"/>
        <w:gridCol w:w="4933"/>
      </w:tblGrid>
      <w:tr w:rsidR="00B16035" w:rsidRPr="00FA4E9F" w14:paraId="299947A7" w14:textId="77777777" w:rsidTr="00FC53C8">
        <w:trPr>
          <w:cantSplit/>
          <w:trHeight w:val="340"/>
        </w:trPr>
        <w:tc>
          <w:tcPr>
            <w:tcW w:w="14798" w:type="dxa"/>
            <w:gridSpan w:val="3"/>
            <w:vAlign w:val="center"/>
          </w:tcPr>
          <w:p w14:paraId="2C007BC7" w14:textId="5B0954CA" w:rsidR="00B16035" w:rsidRPr="00FA4E9F" w:rsidRDefault="00B16035" w:rsidP="00DD360B">
            <w:pPr>
              <w:rPr>
                <w:rFonts w:ascii="Calibri" w:hAnsi="Calibri" w:cs="Calibri"/>
                <w:b/>
                <w:bCs/>
                <w:sz w:val="22"/>
                <w:szCs w:val="22"/>
              </w:rPr>
            </w:pPr>
            <w:r>
              <w:rPr>
                <w:rFonts w:ascii="Calibri" w:hAnsi="Calibri"/>
                <w:b/>
                <w:bCs/>
                <w:sz w:val="22"/>
                <w:szCs w:val="22"/>
              </w:rPr>
              <w:t xml:space="preserve">Objetivo 1: </w:t>
            </w:r>
            <w:r>
              <w:rPr>
                <w:rFonts w:ascii="Calibri" w:hAnsi="Calibri"/>
                <w:b/>
                <w:sz w:val="22"/>
                <w:szCs w:val="22"/>
              </w:rPr>
              <w:t>Abordar e invertir la pérdida y degradación de los humedales</w:t>
            </w:r>
          </w:p>
        </w:tc>
      </w:tr>
      <w:tr w:rsidR="00B16035" w:rsidRPr="00FA4E9F" w14:paraId="605FA8FF" w14:textId="77777777" w:rsidTr="00FC53C8">
        <w:trPr>
          <w:cantSplit/>
        </w:trPr>
        <w:tc>
          <w:tcPr>
            <w:tcW w:w="14798" w:type="dxa"/>
            <w:gridSpan w:val="3"/>
          </w:tcPr>
          <w:p w14:paraId="785E9AA5" w14:textId="07B98AD0" w:rsidR="00B16035" w:rsidRPr="006644A8" w:rsidRDefault="00B16035" w:rsidP="00DD360B">
            <w:pPr>
              <w:rPr>
                <w:rFonts w:ascii="Calibri" w:hAnsi="Calibri" w:cs="Calibri"/>
                <w:b/>
                <w:bCs/>
                <w:sz w:val="22"/>
                <w:szCs w:val="22"/>
              </w:rPr>
            </w:pPr>
            <w:r>
              <w:rPr>
                <w:rFonts w:ascii="Calibri" w:hAnsi="Calibri"/>
                <w:color w:val="000000" w:themeColor="text1"/>
                <w:sz w:val="22"/>
                <w:szCs w:val="22"/>
              </w:rPr>
              <w:t>Declaración del objetivo: Se hace frente a los impactos de los principales impulsores de la pérdida y la degradación de los humedales y se realizan acciones de restauración eficaces para conservar los humedales e invertir su pérdida y degradación en beneficio de toda la vida en la Tierra.</w:t>
            </w:r>
          </w:p>
        </w:tc>
      </w:tr>
      <w:tr w:rsidR="00B16035" w:rsidRPr="00D52DBF" w14:paraId="78C8C1B2" w14:textId="77777777" w:rsidTr="00FC53C8">
        <w:trPr>
          <w:cantSplit/>
        </w:trPr>
        <w:tc>
          <w:tcPr>
            <w:tcW w:w="14798" w:type="dxa"/>
            <w:gridSpan w:val="3"/>
          </w:tcPr>
          <w:p w14:paraId="50E31E9F" w14:textId="53B806F2" w:rsidR="00B16035" w:rsidRPr="00FC53C8" w:rsidRDefault="00B16035" w:rsidP="00DD360B">
            <w:pPr>
              <w:rPr>
                <w:rFonts w:ascii="Calibri" w:hAnsi="Calibri" w:cs="Calibri"/>
                <w:color w:val="000000" w:themeColor="text1"/>
                <w:sz w:val="20"/>
                <w:szCs w:val="20"/>
              </w:rPr>
            </w:pPr>
            <w:r>
              <w:rPr>
                <w:rFonts w:ascii="Calibri" w:hAnsi="Calibri"/>
                <w:color w:val="000000" w:themeColor="text1"/>
                <w:sz w:val="20"/>
                <w:szCs w:val="20"/>
              </w:rPr>
              <w:t>Indicador del objetivo:</w:t>
            </w:r>
          </w:p>
          <w:p w14:paraId="341A8763" w14:textId="508632C4" w:rsidR="00B16035" w:rsidRPr="00FC53C8" w:rsidRDefault="00B16035" w:rsidP="00DD360B">
            <w:pPr>
              <w:rPr>
                <w:rFonts w:ascii="Calibri" w:hAnsi="Calibri" w:cs="Calibri"/>
                <w:color w:val="000000" w:themeColor="text1"/>
                <w:sz w:val="20"/>
                <w:szCs w:val="20"/>
              </w:rPr>
            </w:pPr>
            <w:r>
              <w:rPr>
                <w:rFonts w:ascii="Calibri" w:hAnsi="Calibri"/>
                <w:color w:val="000000" w:themeColor="text1"/>
                <w:sz w:val="20"/>
                <w:szCs w:val="20"/>
              </w:rPr>
              <w:t>Extensión mundial de los humedales</w:t>
            </w:r>
          </w:p>
        </w:tc>
      </w:tr>
      <w:tr w:rsidR="00B16035" w:rsidRPr="00FA4E9F" w14:paraId="4E77EC9B" w14:textId="77777777" w:rsidTr="00FC53C8">
        <w:trPr>
          <w:cantSplit/>
          <w:trHeight w:val="340"/>
        </w:trPr>
        <w:tc>
          <w:tcPr>
            <w:tcW w:w="4932" w:type="dxa"/>
            <w:vAlign w:val="center"/>
          </w:tcPr>
          <w:p w14:paraId="48BBB69C" w14:textId="77777777" w:rsidR="00B16035" w:rsidRPr="00FC53C8" w:rsidRDefault="00B16035" w:rsidP="00DD360B">
            <w:pPr>
              <w:rPr>
                <w:rFonts w:ascii="Calibri" w:hAnsi="Calibri" w:cs="Calibri"/>
                <w:b/>
                <w:bCs/>
                <w:color w:val="000000" w:themeColor="text1"/>
                <w:sz w:val="20"/>
                <w:szCs w:val="20"/>
              </w:rPr>
            </w:pPr>
            <w:r>
              <w:rPr>
                <w:rFonts w:ascii="Calibri" w:hAnsi="Calibri"/>
                <w:b/>
                <w:bCs/>
                <w:color w:val="000000" w:themeColor="text1"/>
                <w:sz w:val="20"/>
                <w:szCs w:val="20"/>
              </w:rPr>
              <w:t>Metas</w:t>
            </w:r>
          </w:p>
        </w:tc>
        <w:tc>
          <w:tcPr>
            <w:tcW w:w="4933" w:type="dxa"/>
            <w:vAlign w:val="center"/>
          </w:tcPr>
          <w:p w14:paraId="64595CB4" w14:textId="77777777" w:rsidR="00B16035" w:rsidRPr="00FC53C8" w:rsidRDefault="00B16035" w:rsidP="00DD360B">
            <w:pPr>
              <w:rPr>
                <w:rFonts w:ascii="Calibri" w:hAnsi="Calibri" w:cs="Calibri"/>
                <w:b/>
                <w:bCs/>
                <w:color w:val="000000" w:themeColor="text1"/>
                <w:sz w:val="20"/>
                <w:szCs w:val="20"/>
              </w:rPr>
            </w:pPr>
            <w:r>
              <w:rPr>
                <w:rFonts w:ascii="Calibri" w:hAnsi="Calibri"/>
                <w:b/>
                <w:bCs/>
                <w:color w:val="000000" w:themeColor="text1"/>
                <w:sz w:val="20"/>
                <w:szCs w:val="20"/>
              </w:rPr>
              <w:t>Indicadores</w:t>
            </w:r>
          </w:p>
        </w:tc>
        <w:tc>
          <w:tcPr>
            <w:tcW w:w="4933" w:type="dxa"/>
            <w:vAlign w:val="center"/>
          </w:tcPr>
          <w:p w14:paraId="53466405" w14:textId="69A13F83" w:rsidR="00B16035" w:rsidRPr="00FC53C8" w:rsidRDefault="00B16035" w:rsidP="00DD360B">
            <w:pPr>
              <w:rPr>
                <w:rFonts w:ascii="Calibri" w:hAnsi="Calibri" w:cs="Calibri"/>
                <w:b/>
                <w:bCs/>
                <w:i/>
                <w:iCs/>
                <w:color w:val="000000" w:themeColor="text1"/>
                <w:sz w:val="20"/>
                <w:szCs w:val="20"/>
              </w:rPr>
            </w:pPr>
            <w:r>
              <w:rPr>
                <w:rFonts w:ascii="Calibri" w:hAnsi="Calibri"/>
                <w:i/>
                <w:iCs/>
                <w:sz w:val="20"/>
                <w:szCs w:val="20"/>
              </w:rPr>
              <w:t>Vínculos con otras metas y otros marcos y procesos</w:t>
            </w:r>
          </w:p>
        </w:tc>
      </w:tr>
      <w:tr w:rsidR="00B16035" w:rsidRPr="00FA4E9F" w14:paraId="63C73B7D" w14:textId="77777777" w:rsidTr="00FC53C8">
        <w:trPr>
          <w:cantSplit/>
          <w:trHeight w:val="1531"/>
        </w:trPr>
        <w:tc>
          <w:tcPr>
            <w:tcW w:w="4932" w:type="dxa"/>
          </w:tcPr>
          <w:p w14:paraId="69BCD983" w14:textId="765C8911" w:rsidR="00B16035" w:rsidRPr="00FC53C8" w:rsidRDefault="00B16035" w:rsidP="00DD360B">
            <w:pPr>
              <w:pStyle w:val="SP5TableText"/>
              <w:rPr>
                <w:b/>
                <w:bCs/>
                <w:sz w:val="20"/>
                <w:szCs w:val="20"/>
              </w:rPr>
            </w:pPr>
            <w:r>
              <w:rPr>
                <w:b/>
                <w:bCs/>
                <w:sz w:val="20"/>
                <w:szCs w:val="20"/>
              </w:rPr>
              <w:t>Meta 1.1 Conservar y restaurar los humedales</w:t>
            </w:r>
          </w:p>
          <w:p w14:paraId="0CF16350" w14:textId="4606E870" w:rsidR="00B16035" w:rsidRPr="00FC53C8" w:rsidRDefault="00B4276F" w:rsidP="00DD360B">
            <w:pPr>
              <w:pStyle w:val="SP5TableText"/>
              <w:rPr>
                <w:sz w:val="20"/>
                <w:szCs w:val="20"/>
              </w:rPr>
            </w:pPr>
            <w:r>
              <w:rPr>
                <w:sz w:val="20"/>
                <w:szCs w:val="20"/>
              </w:rPr>
              <w:t xml:space="preserve"> [Al menos el xx % de] Los humedales existentes se gestionan de forma eficaz, [al menos el yy % de] los humedales degradados y perdidos se restauran de forma efectiva [y se aumenta y mejora la representación de los humedales en las políticas y programas de restauración].</w:t>
            </w:r>
          </w:p>
          <w:p w14:paraId="237BBD0B" w14:textId="77777777" w:rsidR="00B16035" w:rsidRPr="00FC53C8" w:rsidRDefault="00B16035" w:rsidP="00DD360B">
            <w:pPr>
              <w:pStyle w:val="SP5TableText"/>
              <w:rPr>
                <w:sz w:val="20"/>
                <w:szCs w:val="20"/>
              </w:rPr>
            </w:pPr>
          </w:p>
        </w:tc>
        <w:tc>
          <w:tcPr>
            <w:tcW w:w="4933" w:type="dxa"/>
          </w:tcPr>
          <w:p w14:paraId="5D1025B0" w14:textId="77777777" w:rsidR="00B16035" w:rsidRPr="00FC53C8" w:rsidRDefault="00B16035" w:rsidP="00DD360B">
            <w:pPr>
              <w:rPr>
                <w:rFonts w:ascii="Calibri" w:hAnsi="Calibri" w:cs="Calibri"/>
                <w:color w:val="000000" w:themeColor="text1"/>
                <w:sz w:val="20"/>
                <w:szCs w:val="20"/>
              </w:rPr>
            </w:pPr>
          </w:p>
        </w:tc>
        <w:tc>
          <w:tcPr>
            <w:tcW w:w="4933" w:type="dxa"/>
          </w:tcPr>
          <w:p w14:paraId="4F82B0D8" w14:textId="77777777" w:rsidR="00B16035" w:rsidRPr="00FC53C8" w:rsidRDefault="00B16035" w:rsidP="00DD360B">
            <w:pPr>
              <w:rPr>
                <w:rFonts w:ascii="Calibri" w:hAnsi="Calibri" w:cs="Calibri"/>
                <w:color w:val="000000" w:themeColor="text1"/>
                <w:sz w:val="20"/>
                <w:szCs w:val="20"/>
              </w:rPr>
            </w:pPr>
          </w:p>
        </w:tc>
      </w:tr>
      <w:tr w:rsidR="00B16035" w:rsidRPr="00FA4E9F" w14:paraId="47919C15" w14:textId="77777777" w:rsidTr="00FC53C8">
        <w:trPr>
          <w:cantSplit/>
          <w:trHeight w:val="1134"/>
        </w:trPr>
        <w:tc>
          <w:tcPr>
            <w:tcW w:w="4932" w:type="dxa"/>
          </w:tcPr>
          <w:p w14:paraId="6D420F43" w14:textId="12ED79CE" w:rsidR="00B16035" w:rsidRPr="00FC53C8" w:rsidRDefault="00B16035" w:rsidP="00DD360B">
            <w:pPr>
              <w:pStyle w:val="SP5TableText"/>
              <w:rPr>
                <w:b/>
                <w:bCs/>
                <w:sz w:val="20"/>
                <w:szCs w:val="20"/>
              </w:rPr>
            </w:pPr>
            <w:r>
              <w:rPr>
                <w:b/>
                <w:bCs/>
                <w:sz w:val="20"/>
                <w:szCs w:val="20"/>
              </w:rPr>
              <w:t>Meta 1.2 Hacer frente a [los impactos de] los principales impulsores mundiales de la degradación y la pérdida de humedales</w:t>
            </w:r>
          </w:p>
          <w:p w14:paraId="1A5069EA" w14:textId="62511C74" w:rsidR="00B16035" w:rsidRPr="00FC53C8" w:rsidRDefault="00B16035" w:rsidP="00DD360B">
            <w:pPr>
              <w:pStyle w:val="SP5TableText"/>
              <w:rPr>
                <w:b/>
                <w:bCs/>
                <w:sz w:val="20"/>
                <w:szCs w:val="20"/>
              </w:rPr>
            </w:pPr>
            <w:r>
              <w:rPr>
                <w:sz w:val="20"/>
                <w:szCs w:val="20"/>
              </w:rPr>
              <w:t>Dar prioridad a acciones específicas para combatir los impactos de los impulsores mundiales de la degradación y la pérdida de humedales, centrándose en:</w:t>
            </w:r>
          </w:p>
        </w:tc>
        <w:tc>
          <w:tcPr>
            <w:tcW w:w="4933" w:type="dxa"/>
          </w:tcPr>
          <w:p w14:paraId="19FBF121" w14:textId="77777777" w:rsidR="00B16035" w:rsidRPr="00FC53C8" w:rsidRDefault="00B16035" w:rsidP="00DD360B">
            <w:pPr>
              <w:rPr>
                <w:rFonts w:ascii="Calibri" w:hAnsi="Calibri" w:cs="Calibri"/>
                <w:color w:val="000000" w:themeColor="text1"/>
                <w:sz w:val="20"/>
                <w:szCs w:val="20"/>
              </w:rPr>
            </w:pPr>
          </w:p>
        </w:tc>
        <w:tc>
          <w:tcPr>
            <w:tcW w:w="4933" w:type="dxa"/>
          </w:tcPr>
          <w:p w14:paraId="715E3E86" w14:textId="77777777" w:rsidR="00B16035" w:rsidRPr="00FC53C8" w:rsidRDefault="00B16035" w:rsidP="00DD360B">
            <w:pPr>
              <w:rPr>
                <w:rFonts w:ascii="Calibri" w:hAnsi="Calibri" w:cs="Calibri"/>
                <w:color w:val="000000" w:themeColor="text1"/>
                <w:sz w:val="20"/>
                <w:szCs w:val="20"/>
              </w:rPr>
            </w:pPr>
          </w:p>
        </w:tc>
      </w:tr>
      <w:tr w:rsidR="00B16035" w:rsidRPr="00FA4E9F" w14:paraId="4187561A" w14:textId="77777777" w:rsidTr="00FC53C8">
        <w:trPr>
          <w:cantSplit/>
          <w:trHeight w:val="397"/>
        </w:trPr>
        <w:tc>
          <w:tcPr>
            <w:tcW w:w="4932" w:type="dxa"/>
          </w:tcPr>
          <w:p w14:paraId="381D9FC8" w14:textId="189DC7F7" w:rsidR="00B16035" w:rsidRPr="00FC53C8" w:rsidRDefault="00B16035" w:rsidP="00DD360B">
            <w:pPr>
              <w:pStyle w:val="SP5TableText"/>
              <w:rPr>
                <w:sz w:val="20"/>
                <w:szCs w:val="20"/>
              </w:rPr>
            </w:pPr>
            <w:r>
              <w:rPr>
                <w:sz w:val="20"/>
                <w:szCs w:val="20"/>
              </w:rPr>
              <w:t>A. abordar los impactos del cambio climático en la degradación y pérdida de humedales;</w:t>
            </w:r>
          </w:p>
          <w:p w14:paraId="63878070" w14:textId="77777777" w:rsidR="00B16035" w:rsidRPr="00FC53C8" w:rsidRDefault="00B16035" w:rsidP="00DD360B">
            <w:pPr>
              <w:pStyle w:val="SP5TableText"/>
              <w:rPr>
                <w:sz w:val="20"/>
                <w:szCs w:val="20"/>
              </w:rPr>
            </w:pPr>
          </w:p>
        </w:tc>
        <w:tc>
          <w:tcPr>
            <w:tcW w:w="4933" w:type="dxa"/>
          </w:tcPr>
          <w:p w14:paraId="60573F26" w14:textId="77777777" w:rsidR="00B16035" w:rsidRPr="00FC53C8" w:rsidRDefault="00B16035" w:rsidP="00DD360B">
            <w:pPr>
              <w:rPr>
                <w:rFonts w:ascii="Calibri" w:hAnsi="Calibri" w:cs="Calibri"/>
                <w:color w:val="000000" w:themeColor="text1"/>
                <w:sz w:val="20"/>
                <w:szCs w:val="20"/>
              </w:rPr>
            </w:pPr>
          </w:p>
        </w:tc>
        <w:tc>
          <w:tcPr>
            <w:tcW w:w="4933" w:type="dxa"/>
          </w:tcPr>
          <w:p w14:paraId="0E1E7551" w14:textId="77777777" w:rsidR="00B16035" w:rsidRPr="00FC53C8" w:rsidRDefault="00B16035" w:rsidP="00DD360B">
            <w:pPr>
              <w:rPr>
                <w:rFonts w:ascii="Calibri" w:hAnsi="Calibri" w:cs="Calibri"/>
                <w:color w:val="000000" w:themeColor="text1"/>
                <w:sz w:val="20"/>
                <w:szCs w:val="20"/>
              </w:rPr>
            </w:pPr>
          </w:p>
        </w:tc>
      </w:tr>
      <w:tr w:rsidR="00B16035" w:rsidRPr="00FA4E9F" w14:paraId="76EAFDDD" w14:textId="77777777" w:rsidTr="00FC53C8">
        <w:trPr>
          <w:cantSplit/>
          <w:trHeight w:val="397"/>
        </w:trPr>
        <w:tc>
          <w:tcPr>
            <w:tcW w:w="4932" w:type="dxa"/>
          </w:tcPr>
          <w:p w14:paraId="7FFF0DB1" w14:textId="404DB817" w:rsidR="00B16035" w:rsidRPr="00FC53C8" w:rsidRDefault="00B16035" w:rsidP="00DD360B">
            <w:pPr>
              <w:pStyle w:val="SP5TableText"/>
              <w:rPr>
                <w:sz w:val="20"/>
                <w:szCs w:val="20"/>
              </w:rPr>
            </w:pPr>
            <w:r>
              <w:rPr>
                <w:sz w:val="20"/>
                <w:szCs w:val="20"/>
              </w:rPr>
              <w:t>B. abordar el impacto de las prácticas agrícolas insostenibles en la degradación y la pérdida de humedales;</w:t>
            </w:r>
          </w:p>
          <w:p w14:paraId="76BD2EDE" w14:textId="77777777" w:rsidR="00B16035" w:rsidRPr="00FC53C8" w:rsidRDefault="00B16035" w:rsidP="00DD360B">
            <w:pPr>
              <w:pStyle w:val="SP5TableText"/>
              <w:rPr>
                <w:sz w:val="20"/>
                <w:szCs w:val="20"/>
              </w:rPr>
            </w:pPr>
          </w:p>
        </w:tc>
        <w:tc>
          <w:tcPr>
            <w:tcW w:w="4933" w:type="dxa"/>
          </w:tcPr>
          <w:p w14:paraId="52BBE652" w14:textId="77777777" w:rsidR="00B16035" w:rsidRPr="00FC53C8" w:rsidRDefault="00B16035" w:rsidP="00DD360B">
            <w:pPr>
              <w:rPr>
                <w:rFonts w:ascii="Calibri" w:hAnsi="Calibri" w:cs="Calibri"/>
                <w:color w:val="000000" w:themeColor="text1"/>
                <w:sz w:val="20"/>
                <w:szCs w:val="20"/>
              </w:rPr>
            </w:pPr>
          </w:p>
        </w:tc>
        <w:tc>
          <w:tcPr>
            <w:tcW w:w="4933" w:type="dxa"/>
          </w:tcPr>
          <w:p w14:paraId="0D7FB261" w14:textId="77777777" w:rsidR="00B16035" w:rsidRPr="00FC53C8" w:rsidRDefault="00B16035" w:rsidP="00DD360B">
            <w:pPr>
              <w:rPr>
                <w:rFonts w:ascii="Calibri" w:hAnsi="Calibri" w:cs="Calibri"/>
                <w:color w:val="000000" w:themeColor="text1"/>
                <w:sz w:val="20"/>
                <w:szCs w:val="20"/>
              </w:rPr>
            </w:pPr>
          </w:p>
        </w:tc>
      </w:tr>
      <w:tr w:rsidR="00B16035" w:rsidRPr="00FA4E9F" w14:paraId="2464C275" w14:textId="77777777" w:rsidTr="00FC53C8">
        <w:trPr>
          <w:cantSplit/>
          <w:trHeight w:val="397"/>
        </w:trPr>
        <w:tc>
          <w:tcPr>
            <w:tcW w:w="4932" w:type="dxa"/>
          </w:tcPr>
          <w:p w14:paraId="301A0431" w14:textId="5214D401" w:rsidR="00B16035" w:rsidRPr="00FC53C8" w:rsidRDefault="00B16035" w:rsidP="00DD360B">
            <w:pPr>
              <w:pStyle w:val="SP5TableText"/>
              <w:rPr>
                <w:sz w:val="20"/>
                <w:szCs w:val="20"/>
              </w:rPr>
            </w:pPr>
            <w:r>
              <w:rPr>
                <w:sz w:val="20"/>
                <w:szCs w:val="20"/>
              </w:rPr>
              <w:t>C. abordar los impactos de la urbanización en la degradación y la pérdida de humedales.</w:t>
            </w:r>
          </w:p>
          <w:p w14:paraId="711F9DD8" w14:textId="77777777" w:rsidR="00B16035" w:rsidRPr="00FC53C8" w:rsidRDefault="00B16035" w:rsidP="00DD360B">
            <w:pPr>
              <w:pStyle w:val="SP5TableText"/>
              <w:rPr>
                <w:sz w:val="20"/>
                <w:szCs w:val="20"/>
              </w:rPr>
            </w:pPr>
          </w:p>
        </w:tc>
        <w:tc>
          <w:tcPr>
            <w:tcW w:w="4933" w:type="dxa"/>
          </w:tcPr>
          <w:p w14:paraId="64F763B3" w14:textId="77777777" w:rsidR="00B16035" w:rsidRPr="00FC53C8" w:rsidRDefault="00B16035" w:rsidP="00DD360B">
            <w:pPr>
              <w:rPr>
                <w:rFonts w:ascii="Calibri" w:hAnsi="Calibri" w:cs="Calibri"/>
                <w:color w:val="000000" w:themeColor="text1"/>
                <w:sz w:val="20"/>
                <w:szCs w:val="20"/>
              </w:rPr>
            </w:pPr>
          </w:p>
        </w:tc>
        <w:tc>
          <w:tcPr>
            <w:tcW w:w="4933" w:type="dxa"/>
          </w:tcPr>
          <w:p w14:paraId="01B8AA2A" w14:textId="77777777" w:rsidR="00B16035" w:rsidRPr="00FC53C8" w:rsidRDefault="00B16035" w:rsidP="00DD360B">
            <w:pPr>
              <w:rPr>
                <w:rFonts w:ascii="Calibri" w:hAnsi="Calibri" w:cs="Calibri"/>
                <w:color w:val="000000" w:themeColor="text1"/>
                <w:sz w:val="20"/>
                <w:szCs w:val="20"/>
              </w:rPr>
            </w:pPr>
          </w:p>
        </w:tc>
      </w:tr>
      <w:tr w:rsidR="00B16035" w:rsidRPr="00FA4E9F" w14:paraId="09AE2471" w14:textId="77777777" w:rsidTr="00FC53C8">
        <w:trPr>
          <w:cantSplit/>
          <w:trHeight w:val="567"/>
        </w:trPr>
        <w:tc>
          <w:tcPr>
            <w:tcW w:w="4932" w:type="dxa"/>
          </w:tcPr>
          <w:p w14:paraId="4884DAFF" w14:textId="1E1AA85C" w:rsidR="00B16035" w:rsidRPr="00FC53C8" w:rsidRDefault="00B16035" w:rsidP="00DD360B">
            <w:pPr>
              <w:pStyle w:val="SP5TableText"/>
              <w:rPr>
                <w:b/>
                <w:bCs/>
                <w:sz w:val="20"/>
                <w:szCs w:val="20"/>
              </w:rPr>
            </w:pPr>
            <w:r>
              <w:rPr>
                <w:b/>
                <w:bCs/>
                <w:sz w:val="20"/>
                <w:szCs w:val="20"/>
              </w:rPr>
              <w:lastRenderedPageBreak/>
              <w:t xml:space="preserve">Meta 1.3 Abordar e invertir la pérdida de especies amenazadas que dependen de los humedales </w:t>
            </w:r>
          </w:p>
          <w:p w14:paraId="2BD246F9" w14:textId="69E8E2D2" w:rsidR="00B16035" w:rsidRPr="00FC53C8" w:rsidRDefault="00B16035" w:rsidP="00DD360B">
            <w:pPr>
              <w:pStyle w:val="SP5TableText"/>
              <w:rPr>
                <w:sz w:val="20"/>
                <w:szCs w:val="20"/>
              </w:rPr>
            </w:pPr>
            <w:r>
              <w:rPr>
                <w:sz w:val="20"/>
                <w:szCs w:val="20"/>
              </w:rPr>
              <w:t>Dar prioridad a las acciones que mejoren las trayectorias poblacionales de especies clave amenazadas de aves acuáticas, peces y otras especies que dependen de los humedales.</w:t>
            </w:r>
          </w:p>
          <w:p w14:paraId="3CF98C3C" w14:textId="77777777" w:rsidR="00B16035" w:rsidRPr="00261002" w:rsidRDefault="00B16035" w:rsidP="00DD360B">
            <w:pPr>
              <w:pStyle w:val="SP5TableText"/>
              <w:rPr>
                <w:b/>
                <w:bCs/>
                <w:sz w:val="20"/>
                <w:szCs w:val="20"/>
              </w:rPr>
            </w:pPr>
          </w:p>
        </w:tc>
        <w:tc>
          <w:tcPr>
            <w:tcW w:w="4933" w:type="dxa"/>
          </w:tcPr>
          <w:p w14:paraId="4C85A21A" w14:textId="77777777" w:rsidR="00B16035" w:rsidRPr="00FC53C8" w:rsidRDefault="00B16035" w:rsidP="00DD360B">
            <w:pPr>
              <w:rPr>
                <w:rFonts w:ascii="Calibri" w:eastAsia="Cambria" w:hAnsi="Calibri" w:cs="Calibri"/>
                <w:sz w:val="20"/>
                <w:szCs w:val="20"/>
              </w:rPr>
            </w:pPr>
          </w:p>
        </w:tc>
        <w:tc>
          <w:tcPr>
            <w:tcW w:w="4933" w:type="dxa"/>
          </w:tcPr>
          <w:p w14:paraId="3DA8A426" w14:textId="77777777" w:rsidR="00B16035" w:rsidRPr="00FC53C8" w:rsidRDefault="00B16035" w:rsidP="00DD360B">
            <w:pPr>
              <w:rPr>
                <w:rFonts w:ascii="Calibri" w:eastAsia="Cambria" w:hAnsi="Calibri" w:cs="Calibri"/>
                <w:sz w:val="20"/>
                <w:szCs w:val="20"/>
              </w:rPr>
            </w:pPr>
          </w:p>
        </w:tc>
      </w:tr>
    </w:tbl>
    <w:p w14:paraId="78B8C655" w14:textId="13CA84BA" w:rsidR="00FC53C8" w:rsidRDefault="00FC53C8" w:rsidP="00DD360B"/>
    <w:p w14:paraId="5B528266" w14:textId="77777777" w:rsidR="00FC53C8" w:rsidRDefault="00FC53C8">
      <w: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594239" w14:paraId="7D903EE3" w14:textId="77777777" w:rsidTr="00FC53C8">
        <w:trPr>
          <w:cantSplit/>
          <w:trHeight w:val="340"/>
        </w:trPr>
        <w:tc>
          <w:tcPr>
            <w:tcW w:w="14799" w:type="dxa"/>
            <w:gridSpan w:val="3"/>
            <w:vAlign w:val="center"/>
          </w:tcPr>
          <w:p w14:paraId="335FCEE0" w14:textId="6E02C0DF" w:rsidR="00B16035" w:rsidRPr="00594239" w:rsidRDefault="00B16035" w:rsidP="00DD360B">
            <w:pPr>
              <w:rPr>
                <w:rFonts w:ascii="Calibri" w:hAnsi="Calibri" w:cs="Calibri"/>
                <w:b/>
                <w:bCs/>
                <w:sz w:val="22"/>
                <w:szCs w:val="22"/>
              </w:rPr>
            </w:pPr>
            <w:r>
              <w:rPr>
                <w:rFonts w:ascii="Calibri" w:hAnsi="Calibri"/>
                <w:b/>
                <w:bCs/>
                <w:sz w:val="22"/>
                <w:szCs w:val="22"/>
              </w:rPr>
              <w:lastRenderedPageBreak/>
              <w:t xml:space="preserve">Objetivo 2: </w:t>
            </w:r>
            <w:r>
              <w:rPr>
                <w:rFonts w:ascii="Calibri" w:hAnsi="Calibri"/>
                <w:b/>
                <w:sz w:val="22"/>
                <w:szCs w:val="22"/>
              </w:rPr>
              <w:t>Lograr el uso racional de los humedales</w:t>
            </w:r>
          </w:p>
        </w:tc>
      </w:tr>
      <w:tr w:rsidR="00B16035" w:rsidRPr="00594239" w14:paraId="4CBF8985" w14:textId="77777777" w:rsidTr="00FC53C8">
        <w:trPr>
          <w:cantSplit/>
        </w:trPr>
        <w:tc>
          <w:tcPr>
            <w:tcW w:w="14799" w:type="dxa"/>
            <w:gridSpan w:val="3"/>
          </w:tcPr>
          <w:p w14:paraId="21C990AA" w14:textId="7E7465F6" w:rsidR="00B16035" w:rsidRPr="00594239" w:rsidRDefault="00B16035" w:rsidP="00DD360B">
            <w:pPr>
              <w:tabs>
                <w:tab w:val="left" w:pos="1840"/>
              </w:tabs>
              <w:rPr>
                <w:rFonts w:ascii="Calibri" w:hAnsi="Calibri" w:cs="Calibri"/>
                <w:b/>
                <w:bCs/>
                <w:sz w:val="22"/>
                <w:szCs w:val="22"/>
              </w:rPr>
            </w:pPr>
            <w:r>
              <w:rPr>
                <w:rFonts w:ascii="Calibri" w:hAnsi="Calibri"/>
                <w:sz w:val="22"/>
                <w:szCs w:val="22"/>
              </w:rPr>
              <w:t>Declaración del objetivo: Se logra el uso racional de los humedales, en virtud del cual se comprenden y reconocen en las políticas y la planificación los múltiples valores, funciones y servicios de los humedales, se posibilita la participación inclusiva de todos en la toma de decisiones y se adoptan medidas a favor de los humedales en beneficio de las generaciones presentes y futuras.</w:t>
            </w:r>
          </w:p>
        </w:tc>
      </w:tr>
      <w:tr w:rsidR="00B16035" w:rsidRPr="00FC53C8" w14:paraId="1518EF1B" w14:textId="77777777" w:rsidTr="00FC53C8">
        <w:trPr>
          <w:cantSplit/>
        </w:trPr>
        <w:tc>
          <w:tcPr>
            <w:tcW w:w="14799" w:type="dxa"/>
            <w:gridSpan w:val="3"/>
          </w:tcPr>
          <w:p w14:paraId="6B0BA342" w14:textId="1A42AA88" w:rsidR="00B16035" w:rsidRPr="00FC53C8" w:rsidRDefault="00B16035" w:rsidP="00DD360B">
            <w:pPr>
              <w:rPr>
                <w:rFonts w:asciiTheme="minorHAnsi" w:hAnsiTheme="minorHAnsi" w:cstheme="minorHAnsi"/>
                <w:color w:val="000000" w:themeColor="text1"/>
                <w:sz w:val="20"/>
                <w:szCs w:val="20"/>
              </w:rPr>
            </w:pPr>
            <w:r>
              <w:rPr>
                <w:rFonts w:asciiTheme="minorHAnsi" w:hAnsiTheme="minorHAnsi"/>
                <w:color w:val="000000" w:themeColor="text1"/>
                <w:sz w:val="20"/>
                <w:szCs w:val="20"/>
              </w:rPr>
              <w:t>Indicador del objetivo:</w:t>
            </w:r>
          </w:p>
          <w:p w14:paraId="3883030E" w14:textId="7E4C1F6F" w:rsidR="00B16035" w:rsidRPr="00FC53C8" w:rsidRDefault="00B16035" w:rsidP="00DD360B">
            <w:pPr>
              <w:rPr>
                <w:rFonts w:asciiTheme="minorHAnsi" w:hAnsiTheme="minorHAnsi" w:cstheme="minorHAnsi"/>
                <w:color w:val="000000" w:themeColor="text1"/>
                <w:sz w:val="20"/>
                <w:szCs w:val="20"/>
              </w:rPr>
            </w:pPr>
            <w:r>
              <w:rPr>
                <w:rFonts w:asciiTheme="minorHAnsi" w:hAnsiTheme="minorHAnsi"/>
                <w:color w:val="000000" w:themeColor="text1"/>
                <w:sz w:val="20"/>
                <w:szCs w:val="20"/>
              </w:rPr>
              <w:t>Tendencia mundial del estado de los humedales</w:t>
            </w:r>
          </w:p>
        </w:tc>
      </w:tr>
      <w:tr w:rsidR="00B16035" w:rsidRPr="00FC53C8" w14:paraId="13F975F6" w14:textId="77777777" w:rsidTr="00FC53C8">
        <w:trPr>
          <w:cantSplit/>
          <w:trHeight w:val="340"/>
        </w:trPr>
        <w:tc>
          <w:tcPr>
            <w:tcW w:w="4933" w:type="dxa"/>
            <w:vAlign w:val="center"/>
          </w:tcPr>
          <w:p w14:paraId="78998911" w14:textId="77777777" w:rsidR="00B16035" w:rsidRPr="00FC53C8" w:rsidRDefault="00B16035" w:rsidP="00DD360B">
            <w:pPr>
              <w:rPr>
                <w:rFonts w:asciiTheme="minorHAnsi" w:hAnsiTheme="minorHAnsi" w:cstheme="minorHAnsi"/>
                <w:b/>
                <w:bCs/>
                <w:color w:val="000000" w:themeColor="text1"/>
                <w:sz w:val="20"/>
                <w:szCs w:val="20"/>
              </w:rPr>
            </w:pPr>
            <w:r>
              <w:rPr>
                <w:rFonts w:asciiTheme="minorHAnsi" w:hAnsiTheme="minorHAnsi"/>
                <w:b/>
                <w:bCs/>
                <w:color w:val="000000" w:themeColor="text1"/>
                <w:sz w:val="20"/>
                <w:szCs w:val="20"/>
              </w:rPr>
              <w:t>Metas</w:t>
            </w:r>
          </w:p>
        </w:tc>
        <w:tc>
          <w:tcPr>
            <w:tcW w:w="4933" w:type="dxa"/>
            <w:vAlign w:val="center"/>
          </w:tcPr>
          <w:p w14:paraId="352C3C19" w14:textId="77777777" w:rsidR="00B16035" w:rsidRPr="00FC53C8" w:rsidRDefault="00B16035" w:rsidP="00DD360B">
            <w:pPr>
              <w:rPr>
                <w:rFonts w:asciiTheme="minorHAnsi" w:hAnsiTheme="minorHAnsi" w:cstheme="minorHAnsi"/>
                <w:b/>
                <w:bCs/>
                <w:color w:val="000000" w:themeColor="text1"/>
                <w:sz w:val="20"/>
                <w:szCs w:val="20"/>
              </w:rPr>
            </w:pPr>
            <w:r>
              <w:rPr>
                <w:rFonts w:asciiTheme="minorHAnsi" w:hAnsiTheme="minorHAnsi"/>
                <w:b/>
                <w:bCs/>
                <w:color w:val="000000" w:themeColor="text1"/>
                <w:sz w:val="20"/>
                <w:szCs w:val="20"/>
              </w:rPr>
              <w:t>Indicadores</w:t>
            </w:r>
          </w:p>
        </w:tc>
        <w:tc>
          <w:tcPr>
            <w:tcW w:w="4933" w:type="dxa"/>
            <w:vAlign w:val="center"/>
          </w:tcPr>
          <w:p w14:paraId="7D0A6CB6" w14:textId="027DF81F" w:rsidR="00B16035" w:rsidRPr="00FC53C8" w:rsidRDefault="00B16035" w:rsidP="00DD360B">
            <w:pPr>
              <w:rPr>
                <w:rFonts w:asciiTheme="minorHAnsi" w:hAnsiTheme="minorHAnsi" w:cstheme="minorHAnsi"/>
                <w:b/>
                <w:bCs/>
                <w:color w:val="000000" w:themeColor="text1"/>
                <w:sz w:val="20"/>
                <w:szCs w:val="20"/>
              </w:rPr>
            </w:pPr>
            <w:r>
              <w:rPr>
                <w:rFonts w:asciiTheme="minorHAnsi" w:hAnsiTheme="minorHAnsi"/>
                <w:sz w:val="20"/>
                <w:szCs w:val="20"/>
              </w:rPr>
              <w:t>Vínculos con otras metas y otros marcos y procesos</w:t>
            </w:r>
          </w:p>
        </w:tc>
      </w:tr>
      <w:tr w:rsidR="00B16035" w:rsidRPr="00FC53C8" w14:paraId="1060787A" w14:textId="77777777" w:rsidTr="00FC53C8">
        <w:trPr>
          <w:cantSplit/>
          <w:trHeight w:val="340"/>
        </w:trPr>
        <w:tc>
          <w:tcPr>
            <w:tcW w:w="4933" w:type="dxa"/>
            <w:vAlign w:val="center"/>
          </w:tcPr>
          <w:p w14:paraId="642F0AF3" w14:textId="51E67695" w:rsidR="00B16035" w:rsidRPr="00FC53C8" w:rsidRDefault="00B16035" w:rsidP="00DD360B">
            <w:pPr>
              <w:pStyle w:val="SP5TableText"/>
              <w:rPr>
                <w:rFonts w:asciiTheme="minorHAnsi" w:hAnsiTheme="minorHAnsi" w:cstheme="minorHAnsi"/>
                <w:b/>
                <w:bCs/>
                <w:sz w:val="20"/>
                <w:szCs w:val="20"/>
              </w:rPr>
            </w:pPr>
            <w:r>
              <w:rPr>
                <w:rFonts w:asciiTheme="minorHAnsi" w:hAnsiTheme="minorHAnsi"/>
                <w:b/>
                <w:bCs/>
                <w:sz w:val="20"/>
                <w:szCs w:val="20"/>
              </w:rPr>
              <w:t>Meta 2.1 Reconocer y transformar la relación de la humanidad con los humedales mejorando nuestra comprensión de los valores, funciones y servicios de los humedales y de su uso racional.</w:t>
            </w:r>
          </w:p>
          <w:p w14:paraId="7BC3E909" w14:textId="3AF49A68" w:rsidR="00B16035" w:rsidRPr="00FC53C8" w:rsidRDefault="00B16035" w:rsidP="00DD360B">
            <w:pPr>
              <w:pStyle w:val="SP5TableText"/>
              <w:rPr>
                <w:rFonts w:asciiTheme="minorHAnsi" w:hAnsiTheme="minorHAnsi" w:cstheme="minorHAnsi"/>
                <w:sz w:val="20"/>
                <w:szCs w:val="20"/>
              </w:rPr>
            </w:pPr>
            <w:r>
              <w:rPr>
                <w:rFonts w:asciiTheme="minorHAnsi" w:hAnsiTheme="minorHAnsi"/>
                <w:sz w:val="20"/>
                <w:szCs w:val="20"/>
              </w:rPr>
              <w:t>Promover los valores que proporcionan los humedales a las personas y a la naturaleza y las contribuciones que hacen para lograr un desarrollo sostenible, incluyendo la seguridad alimentaria y la erradicación de la pobreza, para así transformar la relación entre los seres humanos y los humedales de una relación de explotación, extracción insostenible y agotamiento de recursos a una relación en la que los seres humanos y la naturaleza vivan en armonía, incluyendo la incorporación del uso racional y un enfoque de ecosistema dentro de las políticas y la planificación a todos los niveles.</w:t>
            </w:r>
          </w:p>
          <w:p w14:paraId="25CFF987"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36A4823D"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602541F7" w14:textId="77777777" w:rsidR="00B16035" w:rsidRPr="00FC53C8" w:rsidRDefault="00B16035" w:rsidP="00DD360B">
            <w:pPr>
              <w:rPr>
                <w:rFonts w:asciiTheme="minorHAnsi" w:hAnsiTheme="minorHAnsi" w:cstheme="minorHAnsi"/>
                <w:sz w:val="20"/>
                <w:szCs w:val="20"/>
              </w:rPr>
            </w:pPr>
          </w:p>
        </w:tc>
      </w:tr>
      <w:tr w:rsidR="00B16035" w:rsidRPr="00FC53C8" w14:paraId="386A9C2E" w14:textId="77777777" w:rsidTr="00FC53C8">
        <w:trPr>
          <w:cantSplit/>
          <w:trHeight w:val="340"/>
        </w:trPr>
        <w:tc>
          <w:tcPr>
            <w:tcW w:w="4933" w:type="dxa"/>
            <w:vAlign w:val="center"/>
          </w:tcPr>
          <w:p w14:paraId="5FFA8855" w14:textId="41CB828A" w:rsidR="00B16035" w:rsidRPr="00FC53C8" w:rsidRDefault="00B16035" w:rsidP="00DD360B">
            <w:pPr>
              <w:pStyle w:val="SP5TableText"/>
              <w:rPr>
                <w:rFonts w:asciiTheme="minorHAnsi" w:hAnsiTheme="minorHAnsi" w:cstheme="minorHAnsi"/>
                <w:b/>
                <w:bCs/>
                <w:sz w:val="20"/>
                <w:szCs w:val="20"/>
              </w:rPr>
            </w:pPr>
            <w:r>
              <w:rPr>
                <w:rFonts w:asciiTheme="minorHAnsi" w:hAnsiTheme="minorHAnsi"/>
                <w:b/>
                <w:bCs/>
                <w:sz w:val="20"/>
                <w:szCs w:val="20"/>
              </w:rPr>
              <w:t>Meta 2.2 Mantener las características ecológicas de los humedales mediante la aplicación de un enfoque de ecosistema, incluida la mejora de las metodologías científicas.</w:t>
            </w:r>
          </w:p>
          <w:p w14:paraId="294CFE92" w14:textId="612DE6FF" w:rsidR="00B16035" w:rsidRPr="00FC53C8" w:rsidRDefault="00B16035" w:rsidP="00DD360B">
            <w:pPr>
              <w:pStyle w:val="SP5TableText"/>
              <w:rPr>
                <w:rFonts w:asciiTheme="minorHAnsi" w:hAnsiTheme="minorHAnsi" w:cstheme="minorHAnsi"/>
                <w:sz w:val="20"/>
                <w:szCs w:val="20"/>
              </w:rPr>
            </w:pPr>
            <w:r>
              <w:rPr>
                <w:rFonts w:asciiTheme="minorHAnsi" w:hAnsiTheme="minorHAnsi"/>
                <w:sz w:val="20"/>
                <w:szCs w:val="20"/>
              </w:rPr>
              <w:t>Adoptar medidas legales, en materia de políticas y administrativas eficaces a todos los niveles, para garantizar que se mantengan las características ecológicas de los humedales y que se aplique un enfoque de ecosistema a la planificación y gestión de [todos] los humedales, dentro del contexto del desarrollo sostenible.</w:t>
            </w:r>
          </w:p>
          <w:p w14:paraId="09CEEAC7" w14:textId="77777777" w:rsidR="00B16035" w:rsidRPr="00261002" w:rsidRDefault="00B16035" w:rsidP="00DD360B">
            <w:pPr>
              <w:pStyle w:val="SP5TableText"/>
              <w:rPr>
                <w:rFonts w:asciiTheme="minorHAnsi" w:hAnsiTheme="minorHAnsi" w:cstheme="minorHAnsi"/>
                <w:b/>
                <w:bCs/>
                <w:sz w:val="20"/>
                <w:szCs w:val="20"/>
              </w:rPr>
            </w:pPr>
          </w:p>
        </w:tc>
        <w:tc>
          <w:tcPr>
            <w:tcW w:w="4933" w:type="dxa"/>
            <w:vAlign w:val="center"/>
          </w:tcPr>
          <w:p w14:paraId="62118F8F"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56BD54CA" w14:textId="77777777" w:rsidR="00B16035" w:rsidRPr="00FC53C8" w:rsidRDefault="00B16035" w:rsidP="00DD360B">
            <w:pPr>
              <w:rPr>
                <w:rFonts w:asciiTheme="minorHAnsi" w:hAnsiTheme="minorHAnsi" w:cstheme="minorHAnsi"/>
                <w:sz w:val="20"/>
                <w:szCs w:val="20"/>
              </w:rPr>
            </w:pPr>
          </w:p>
        </w:tc>
      </w:tr>
      <w:tr w:rsidR="00B16035" w:rsidRPr="00FC53C8" w14:paraId="5D260A7F" w14:textId="77777777" w:rsidTr="00FC53C8">
        <w:trPr>
          <w:cantSplit/>
          <w:trHeight w:val="340"/>
        </w:trPr>
        <w:tc>
          <w:tcPr>
            <w:tcW w:w="4933" w:type="dxa"/>
            <w:vAlign w:val="center"/>
          </w:tcPr>
          <w:p w14:paraId="6CF65F88" w14:textId="2961A698" w:rsidR="00B16035" w:rsidRPr="00FC53C8" w:rsidRDefault="00B16035" w:rsidP="00DD360B">
            <w:pPr>
              <w:pStyle w:val="SP5TableText"/>
              <w:rPr>
                <w:rFonts w:asciiTheme="minorHAnsi" w:hAnsiTheme="minorHAnsi" w:cstheme="minorHAnsi"/>
                <w:b/>
                <w:bCs/>
                <w:sz w:val="20"/>
                <w:szCs w:val="20"/>
              </w:rPr>
            </w:pPr>
            <w:r>
              <w:rPr>
                <w:rFonts w:asciiTheme="minorHAnsi" w:hAnsiTheme="minorHAnsi"/>
                <w:b/>
                <w:bCs/>
                <w:sz w:val="20"/>
                <w:szCs w:val="20"/>
              </w:rPr>
              <w:lastRenderedPageBreak/>
              <w:t>Meta 2.3 [Garantizar] [Reforzar] la participación inclusiva en la toma de decisiones sobre los humedales y abordar las necesidades de las comunidades de los humedales</w:t>
            </w:r>
          </w:p>
          <w:p w14:paraId="42BBE7E8" w14:textId="1F28B811" w:rsidR="00B16035" w:rsidRPr="00FC53C8" w:rsidRDefault="00B16035" w:rsidP="00DD360B">
            <w:pPr>
              <w:pStyle w:val="SP5TableText"/>
              <w:rPr>
                <w:rFonts w:asciiTheme="minorHAnsi" w:hAnsiTheme="minorHAnsi" w:cstheme="minorHAnsi"/>
                <w:sz w:val="20"/>
                <w:szCs w:val="20"/>
              </w:rPr>
            </w:pPr>
            <w:r>
              <w:rPr>
                <w:rFonts w:asciiTheme="minorHAnsi" w:hAnsiTheme="minorHAnsi"/>
                <w:sz w:val="20"/>
                <w:szCs w:val="20"/>
              </w:rPr>
              <w:t>Reconocer plenamente los derechos de todos los [pueblos indígenas [y comunidades locales]], así como las ricas conexiones culturales y los conocimientos tradicionales que han sostenido la conexión entre los humedales y las personas, apoyar los medios de subsistencia de las comunidades de los humedales, y facilitar la participación plena, equitativa, inclusiva, efectiva y sensible a las cuestiones de la juventud y de género en todos los aspectos de la toma de decisiones sobre los humedales.</w:t>
            </w:r>
          </w:p>
          <w:p w14:paraId="3DBC80BB"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03A34A6C"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2A6AC576" w14:textId="77777777" w:rsidR="00B16035" w:rsidRPr="00FC53C8" w:rsidRDefault="00B16035" w:rsidP="00DD360B">
            <w:pPr>
              <w:rPr>
                <w:rFonts w:asciiTheme="minorHAnsi" w:hAnsiTheme="minorHAnsi" w:cstheme="minorHAnsi"/>
                <w:sz w:val="20"/>
                <w:szCs w:val="20"/>
              </w:rPr>
            </w:pPr>
          </w:p>
        </w:tc>
      </w:tr>
    </w:tbl>
    <w:p w14:paraId="7AAC8AF8" w14:textId="355B1B5B" w:rsidR="00FC53C8" w:rsidRDefault="00FC53C8" w:rsidP="00DD360B">
      <w:pPr>
        <w:pStyle w:val="SP5text"/>
        <w:numPr>
          <w:ilvl w:val="0"/>
          <w:numId w:val="0"/>
        </w:numPr>
        <w:spacing w:after="0"/>
        <w:ind w:left="425" w:hanging="425"/>
      </w:pPr>
    </w:p>
    <w:p w14:paraId="03354382" w14:textId="77777777" w:rsidR="00FC53C8" w:rsidRDefault="00FC53C8">
      <w:pPr>
        <w:rPr>
          <w:rFonts w:ascii="Calibri" w:eastAsia="Cambria" w:hAnsi="Calibri" w:cs="Calibri"/>
          <w:sz w:val="22"/>
          <w:szCs w:val="22"/>
        </w:rPr>
      </w:pPr>
      <w: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FA4E9F" w14:paraId="19719F91" w14:textId="77777777" w:rsidTr="005D7E98">
        <w:trPr>
          <w:trHeight w:val="340"/>
        </w:trPr>
        <w:tc>
          <w:tcPr>
            <w:tcW w:w="14799" w:type="dxa"/>
            <w:gridSpan w:val="3"/>
            <w:vAlign w:val="center"/>
          </w:tcPr>
          <w:p w14:paraId="485C5690" w14:textId="49409377" w:rsidR="00B16035" w:rsidRPr="00FA4E9F" w:rsidRDefault="00B16035" w:rsidP="00DD360B">
            <w:pPr>
              <w:rPr>
                <w:rFonts w:ascii="Calibri" w:hAnsi="Calibri" w:cs="Calibri"/>
                <w:b/>
                <w:bCs/>
                <w:sz w:val="22"/>
                <w:szCs w:val="22"/>
              </w:rPr>
            </w:pPr>
            <w:r>
              <w:rPr>
                <w:rFonts w:ascii="Calibri" w:hAnsi="Calibri"/>
                <w:b/>
                <w:bCs/>
                <w:sz w:val="22"/>
                <w:szCs w:val="22"/>
              </w:rPr>
              <w:lastRenderedPageBreak/>
              <w:t xml:space="preserve">Objetivo 3: </w:t>
            </w:r>
            <w:r>
              <w:rPr>
                <w:rFonts w:ascii="Calibri" w:hAnsi="Calibri"/>
                <w:b/>
                <w:bCs/>
                <w:color w:val="000000" w:themeColor="text1"/>
              </w:rPr>
              <w:t>Conservar y gestionar eficazmente los Humedales de Importancia Internacional</w:t>
            </w:r>
          </w:p>
        </w:tc>
      </w:tr>
      <w:tr w:rsidR="00B16035" w:rsidRPr="00FA4E9F" w14:paraId="121104DE" w14:textId="77777777" w:rsidTr="005D7E98">
        <w:tc>
          <w:tcPr>
            <w:tcW w:w="14799" w:type="dxa"/>
            <w:gridSpan w:val="3"/>
          </w:tcPr>
          <w:p w14:paraId="37033B91" w14:textId="4CF3182D" w:rsidR="00B16035" w:rsidRPr="00003B7B" w:rsidRDefault="00B16035" w:rsidP="00DD360B">
            <w:pPr>
              <w:pStyle w:val="SP5text"/>
              <w:numPr>
                <w:ilvl w:val="0"/>
                <w:numId w:val="0"/>
              </w:numPr>
              <w:spacing w:after="0"/>
              <w:rPr>
                <w:b/>
                <w:bCs/>
              </w:rPr>
            </w:pPr>
            <w:r>
              <w:t>Declaración del objetivo: Los Humedales de Importancia Internacional son reconocidos, conservados y gestionados eficazmente y, a través de la designación de sitios que reúnen los requisitos, se produce un aumento significativo de la superficie, el número y la conectividad ecológica en toda la red de Humedales de Importancia Internacional.</w:t>
            </w:r>
          </w:p>
        </w:tc>
      </w:tr>
      <w:tr w:rsidR="00B16035" w:rsidRPr="00FC53C8" w14:paraId="4C6B10D4" w14:textId="77777777" w:rsidTr="00FC53C8">
        <w:trPr>
          <w:cantSplit/>
        </w:trPr>
        <w:tc>
          <w:tcPr>
            <w:tcW w:w="14799" w:type="dxa"/>
            <w:gridSpan w:val="3"/>
          </w:tcPr>
          <w:p w14:paraId="31F46E4C" w14:textId="4A9B9E5B" w:rsidR="00B16035" w:rsidRPr="00FC53C8" w:rsidRDefault="00B16035" w:rsidP="00DD360B">
            <w:pPr>
              <w:rPr>
                <w:rFonts w:ascii="Calibri" w:hAnsi="Calibri" w:cs="Calibri"/>
                <w:sz w:val="20"/>
                <w:szCs w:val="20"/>
              </w:rPr>
            </w:pPr>
            <w:r>
              <w:rPr>
                <w:rFonts w:ascii="Calibri" w:hAnsi="Calibri"/>
                <w:sz w:val="20"/>
                <w:szCs w:val="20"/>
              </w:rPr>
              <w:t>Indicador del objetivo:</w:t>
            </w:r>
          </w:p>
          <w:p w14:paraId="0938358D" w14:textId="39629D4F" w:rsidR="00B16035" w:rsidRPr="00FC53C8" w:rsidRDefault="00B16035" w:rsidP="00DD360B">
            <w:pPr>
              <w:rPr>
                <w:rFonts w:ascii="Calibri" w:hAnsi="Calibri" w:cs="Calibri"/>
                <w:sz w:val="20"/>
                <w:szCs w:val="20"/>
              </w:rPr>
            </w:pPr>
            <w:r>
              <w:rPr>
                <w:rFonts w:ascii="Calibri" w:hAnsi="Calibri"/>
                <w:sz w:val="20"/>
                <w:szCs w:val="20"/>
              </w:rPr>
              <w:t>Extensión y estado de los Humedales de Importancia Internacional</w:t>
            </w:r>
          </w:p>
        </w:tc>
      </w:tr>
      <w:tr w:rsidR="00B16035" w:rsidRPr="00FC53C8" w14:paraId="42855BDA" w14:textId="77777777" w:rsidTr="00FC53C8">
        <w:trPr>
          <w:cantSplit/>
          <w:trHeight w:val="340"/>
        </w:trPr>
        <w:tc>
          <w:tcPr>
            <w:tcW w:w="4933" w:type="dxa"/>
            <w:vAlign w:val="center"/>
          </w:tcPr>
          <w:p w14:paraId="42716E1B" w14:textId="77777777" w:rsidR="00B16035" w:rsidRPr="00FC53C8" w:rsidRDefault="00B16035" w:rsidP="00DD360B">
            <w:pPr>
              <w:rPr>
                <w:rFonts w:ascii="Calibri" w:hAnsi="Calibri" w:cs="Calibri"/>
                <w:b/>
                <w:bCs/>
                <w:color w:val="000000" w:themeColor="text1"/>
                <w:sz w:val="20"/>
                <w:szCs w:val="20"/>
              </w:rPr>
            </w:pPr>
            <w:r>
              <w:rPr>
                <w:rFonts w:ascii="Calibri" w:hAnsi="Calibri"/>
                <w:b/>
                <w:bCs/>
                <w:color w:val="000000" w:themeColor="text1"/>
                <w:sz w:val="20"/>
                <w:szCs w:val="20"/>
              </w:rPr>
              <w:t>Metas</w:t>
            </w:r>
          </w:p>
        </w:tc>
        <w:tc>
          <w:tcPr>
            <w:tcW w:w="4933" w:type="dxa"/>
            <w:vAlign w:val="center"/>
          </w:tcPr>
          <w:p w14:paraId="1499DA87" w14:textId="77777777" w:rsidR="00B16035" w:rsidRPr="00FC53C8" w:rsidRDefault="00B16035" w:rsidP="00DD360B">
            <w:pPr>
              <w:rPr>
                <w:rFonts w:ascii="Calibri" w:hAnsi="Calibri" w:cs="Calibri"/>
                <w:b/>
                <w:bCs/>
                <w:color w:val="000000" w:themeColor="text1"/>
                <w:sz w:val="20"/>
                <w:szCs w:val="20"/>
              </w:rPr>
            </w:pPr>
            <w:r>
              <w:rPr>
                <w:rFonts w:ascii="Calibri" w:hAnsi="Calibri"/>
                <w:b/>
                <w:bCs/>
                <w:color w:val="000000" w:themeColor="text1"/>
                <w:sz w:val="20"/>
                <w:szCs w:val="20"/>
              </w:rPr>
              <w:t>Indicadores</w:t>
            </w:r>
          </w:p>
        </w:tc>
        <w:tc>
          <w:tcPr>
            <w:tcW w:w="4933" w:type="dxa"/>
            <w:vAlign w:val="center"/>
          </w:tcPr>
          <w:p w14:paraId="6D6122EA" w14:textId="5ABE75F1" w:rsidR="00B16035" w:rsidRPr="00FC53C8" w:rsidRDefault="00B16035" w:rsidP="00DD360B">
            <w:pPr>
              <w:rPr>
                <w:rFonts w:ascii="Calibri" w:hAnsi="Calibri" w:cs="Calibri"/>
                <w:b/>
                <w:bCs/>
                <w:color w:val="000000" w:themeColor="text1"/>
                <w:sz w:val="20"/>
                <w:szCs w:val="20"/>
              </w:rPr>
            </w:pPr>
            <w:r>
              <w:rPr>
                <w:rFonts w:ascii="Calibri" w:hAnsi="Calibri"/>
                <w:sz w:val="20"/>
                <w:szCs w:val="20"/>
              </w:rPr>
              <w:t>Vínculos con otras metas y otros marcos y procesos</w:t>
            </w:r>
          </w:p>
        </w:tc>
      </w:tr>
      <w:tr w:rsidR="00B16035" w:rsidRPr="00FC53C8" w14:paraId="4E3306AB" w14:textId="77777777" w:rsidTr="00FC53C8">
        <w:trPr>
          <w:cantSplit/>
        </w:trPr>
        <w:tc>
          <w:tcPr>
            <w:tcW w:w="4933" w:type="dxa"/>
          </w:tcPr>
          <w:p w14:paraId="112182F4" w14:textId="0A00DB71" w:rsidR="00B16035" w:rsidRPr="00FC53C8" w:rsidRDefault="00B16035" w:rsidP="00DD360B">
            <w:pPr>
              <w:pStyle w:val="SP5TableText"/>
              <w:rPr>
                <w:b/>
                <w:bCs/>
                <w:sz w:val="20"/>
                <w:szCs w:val="20"/>
              </w:rPr>
            </w:pPr>
            <w:r>
              <w:rPr>
                <w:b/>
                <w:bCs/>
                <w:sz w:val="20"/>
                <w:szCs w:val="20"/>
              </w:rPr>
              <w:t xml:space="preserve">Meta 3.1 Designar [meta cuantitativa] Humedales de Importancia Internacional </w:t>
            </w:r>
          </w:p>
          <w:p w14:paraId="4DA98C6D" w14:textId="6F98D0AB" w:rsidR="00B16035" w:rsidRPr="00FC53C8" w:rsidRDefault="003B333F" w:rsidP="00DD360B">
            <w:pPr>
              <w:pStyle w:val="SP5TableText"/>
              <w:rPr>
                <w:sz w:val="20"/>
                <w:szCs w:val="20"/>
              </w:rPr>
            </w:pPr>
            <w:r>
              <w:rPr>
                <w:sz w:val="20"/>
                <w:szCs w:val="20"/>
              </w:rPr>
              <w:t>Hay un aumento [significativo] [meta cuantitativa] de la superficie y el número de sitios de la red [mundial] de Humedales de Importancia Internacional, y se promueve su inclusión en sistemas de áreas protegidas ecológicamente representativos, bien conectados y administrados de forma equitativa, así como otras medidas eficaces de conservación basadas en áreas, contribuyendo a los objetivos mundiales de conservación y en consonancia con el Marco Mundial para la Biodiversidad de Kunming-Montreal.</w:t>
            </w:r>
          </w:p>
          <w:p w14:paraId="7C7D1DDE" w14:textId="77777777" w:rsidR="00B16035" w:rsidRPr="00FC53C8" w:rsidRDefault="00B16035" w:rsidP="00DD360B">
            <w:pPr>
              <w:pStyle w:val="SP5TableText"/>
              <w:rPr>
                <w:sz w:val="20"/>
                <w:szCs w:val="20"/>
              </w:rPr>
            </w:pPr>
          </w:p>
        </w:tc>
        <w:tc>
          <w:tcPr>
            <w:tcW w:w="4933" w:type="dxa"/>
          </w:tcPr>
          <w:p w14:paraId="66EFB98B" w14:textId="77777777" w:rsidR="00B16035" w:rsidRPr="00FC53C8" w:rsidRDefault="00B16035" w:rsidP="00DD360B">
            <w:pPr>
              <w:rPr>
                <w:rFonts w:ascii="Calibri" w:hAnsi="Calibri" w:cs="Calibri"/>
                <w:color w:val="000000" w:themeColor="text1"/>
                <w:sz w:val="20"/>
                <w:szCs w:val="20"/>
              </w:rPr>
            </w:pPr>
          </w:p>
        </w:tc>
        <w:tc>
          <w:tcPr>
            <w:tcW w:w="4933" w:type="dxa"/>
          </w:tcPr>
          <w:p w14:paraId="15ADF8EB" w14:textId="77777777" w:rsidR="00B16035" w:rsidRPr="00FC53C8" w:rsidRDefault="00B16035" w:rsidP="00DD360B">
            <w:pPr>
              <w:rPr>
                <w:rFonts w:ascii="Calibri" w:hAnsi="Calibri" w:cs="Calibri"/>
                <w:color w:val="000000" w:themeColor="text1"/>
                <w:sz w:val="20"/>
                <w:szCs w:val="20"/>
              </w:rPr>
            </w:pPr>
          </w:p>
        </w:tc>
      </w:tr>
      <w:tr w:rsidR="00B16035" w:rsidRPr="00FC53C8" w14:paraId="2CFDE764" w14:textId="77777777" w:rsidTr="00FC53C8">
        <w:trPr>
          <w:cantSplit/>
        </w:trPr>
        <w:tc>
          <w:tcPr>
            <w:tcW w:w="4933" w:type="dxa"/>
          </w:tcPr>
          <w:p w14:paraId="1693A9E9" w14:textId="162BB11F" w:rsidR="00B16035" w:rsidRPr="00FC53C8" w:rsidRDefault="00B16035" w:rsidP="00DD360B">
            <w:pPr>
              <w:pStyle w:val="SP5TableText"/>
              <w:rPr>
                <w:b/>
                <w:bCs/>
                <w:sz w:val="20"/>
                <w:szCs w:val="20"/>
              </w:rPr>
            </w:pPr>
            <w:r>
              <w:rPr>
                <w:b/>
                <w:bCs/>
                <w:sz w:val="20"/>
                <w:szCs w:val="20"/>
              </w:rPr>
              <w:t>Meta 3.2 Gestionar eficazmente los Humedales de Importancia Internacional</w:t>
            </w:r>
          </w:p>
          <w:p w14:paraId="39EA16AD" w14:textId="62F9D575" w:rsidR="00B16035" w:rsidRPr="00FC53C8" w:rsidRDefault="003B333F" w:rsidP="00DD360B">
            <w:pPr>
              <w:pStyle w:val="SP5TableText"/>
              <w:rPr>
                <w:sz w:val="20"/>
                <w:szCs w:val="20"/>
              </w:rPr>
            </w:pPr>
            <w:r>
              <w:rPr>
                <w:sz w:val="20"/>
                <w:szCs w:val="20"/>
              </w:rPr>
              <w:t>Se aumenta la eficacia de la gestión de los Humedales de Importancia Internacional, para mantener o mejorar sus características ecológicas.</w:t>
            </w:r>
          </w:p>
          <w:p w14:paraId="6474CC2D" w14:textId="77777777" w:rsidR="00B16035" w:rsidRPr="00261002" w:rsidRDefault="00B16035" w:rsidP="00DD360B">
            <w:pPr>
              <w:pStyle w:val="SP5TableText"/>
              <w:rPr>
                <w:b/>
                <w:bCs/>
                <w:sz w:val="20"/>
                <w:szCs w:val="20"/>
              </w:rPr>
            </w:pPr>
          </w:p>
        </w:tc>
        <w:tc>
          <w:tcPr>
            <w:tcW w:w="4933" w:type="dxa"/>
          </w:tcPr>
          <w:p w14:paraId="6FC9D8AD" w14:textId="77777777" w:rsidR="00B16035" w:rsidRPr="00FC53C8" w:rsidRDefault="00B16035" w:rsidP="00DD360B">
            <w:pPr>
              <w:rPr>
                <w:rFonts w:ascii="Calibri" w:hAnsi="Calibri" w:cs="Calibri"/>
                <w:color w:val="000000" w:themeColor="text1"/>
                <w:sz w:val="20"/>
                <w:szCs w:val="20"/>
              </w:rPr>
            </w:pPr>
          </w:p>
        </w:tc>
        <w:tc>
          <w:tcPr>
            <w:tcW w:w="4933" w:type="dxa"/>
          </w:tcPr>
          <w:p w14:paraId="2D8A4821" w14:textId="77777777" w:rsidR="00B16035" w:rsidRPr="00FC53C8" w:rsidRDefault="00B16035" w:rsidP="00DD360B">
            <w:pPr>
              <w:rPr>
                <w:rFonts w:ascii="Calibri" w:hAnsi="Calibri" w:cs="Calibri"/>
                <w:color w:val="000000" w:themeColor="text1"/>
                <w:sz w:val="20"/>
                <w:szCs w:val="20"/>
              </w:rPr>
            </w:pPr>
          </w:p>
        </w:tc>
      </w:tr>
      <w:tr w:rsidR="00B16035" w:rsidRPr="00FC53C8" w14:paraId="346B7E50" w14:textId="77777777" w:rsidTr="00FC53C8">
        <w:trPr>
          <w:cantSplit/>
        </w:trPr>
        <w:tc>
          <w:tcPr>
            <w:tcW w:w="4933" w:type="dxa"/>
          </w:tcPr>
          <w:p w14:paraId="23A2B328" w14:textId="662BA2A5" w:rsidR="00B16035" w:rsidRPr="00FC53C8" w:rsidRDefault="00B16035" w:rsidP="00DD360B">
            <w:pPr>
              <w:pStyle w:val="SP5TableText"/>
              <w:rPr>
                <w:b/>
                <w:bCs/>
                <w:sz w:val="20"/>
                <w:szCs w:val="20"/>
              </w:rPr>
            </w:pPr>
            <w:r>
              <w:rPr>
                <w:b/>
                <w:bCs/>
                <w:sz w:val="20"/>
                <w:szCs w:val="20"/>
              </w:rPr>
              <w:t>Meta 3.3 Establecer redes nacionales y regionales de administradores de sitios.</w:t>
            </w:r>
          </w:p>
          <w:p w14:paraId="33BFD87A" w14:textId="02953D68" w:rsidR="00B16035" w:rsidRPr="00FC53C8" w:rsidRDefault="00B16035" w:rsidP="00DD360B">
            <w:pPr>
              <w:pStyle w:val="SP5TableText"/>
              <w:rPr>
                <w:sz w:val="20"/>
                <w:szCs w:val="20"/>
              </w:rPr>
            </w:pPr>
            <w:r>
              <w:rPr>
                <w:sz w:val="20"/>
                <w:szCs w:val="20"/>
              </w:rPr>
              <w:t xml:space="preserve">Se crean, refuerzan y amplían redes de profesionales y voluntarios que gestionan humedales de importancia internacional, mejorando el intercambio eficaz de información sobre mejores prácticas de gestión. </w:t>
            </w:r>
          </w:p>
          <w:p w14:paraId="61E09D14" w14:textId="77777777" w:rsidR="00B16035" w:rsidRPr="00261002" w:rsidRDefault="00B16035" w:rsidP="00DD360B">
            <w:pPr>
              <w:pStyle w:val="SP5TableText"/>
              <w:rPr>
                <w:b/>
                <w:bCs/>
                <w:sz w:val="20"/>
                <w:szCs w:val="20"/>
              </w:rPr>
            </w:pPr>
          </w:p>
        </w:tc>
        <w:tc>
          <w:tcPr>
            <w:tcW w:w="4933" w:type="dxa"/>
          </w:tcPr>
          <w:p w14:paraId="00F70387" w14:textId="77777777" w:rsidR="00B16035" w:rsidRPr="00FC53C8" w:rsidRDefault="00B16035" w:rsidP="00DD360B">
            <w:pPr>
              <w:rPr>
                <w:rFonts w:ascii="Calibri" w:hAnsi="Calibri" w:cs="Calibri"/>
                <w:color w:val="000000" w:themeColor="text1"/>
                <w:sz w:val="20"/>
                <w:szCs w:val="20"/>
              </w:rPr>
            </w:pPr>
          </w:p>
        </w:tc>
        <w:tc>
          <w:tcPr>
            <w:tcW w:w="4933" w:type="dxa"/>
          </w:tcPr>
          <w:p w14:paraId="1F4EFDCE" w14:textId="77777777" w:rsidR="00B16035" w:rsidRPr="00FC53C8" w:rsidRDefault="00B16035" w:rsidP="00DD360B">
            <w:pPr>
              <w:rPr>
                <w:rFonts w:ascii="Calibri" w:hAnsi="Calibri" w:cs="Calibri"/>
                <w:color w:val="000000" w:themeColor="text1"/>
                <w:sz w:val="20"/>
                <w:szCs w:val="20"/>
              </w:rPr>
            </w:pPr>
          </w:p>
        </w:tc>
      </w:tr>
      <w:tr w:rsidR="00B16035" w:rsidRPr="00FC53C8" w14:paraId="13A3A751" w14:textId="77777777" w:rsidTr="00FC53C8">
        <w:trPr>
          <w:cantSplit/>
        </w:trPr>
        <w:tc>
          <w:tcPr>
            <w:tcW w:w="4933" w:type="dxa"/>
          </w:tcPr>
          <w:p w14:paraId="1AD98411" w14:textId="49F23995" w:rsidR="00B16035" w:rsidRPr="00FC53C8" w:rsidRDefault="00B16035" w:rsidP="00DD360B">
            <w:pPr>
              <w:pStyle w:val="SP5TableText"/>
              <w:rPr>
                <w:b/>
                <w:bCs/>
                <w:sz w:val="20"/>
                <w:szCs w:val="20"/>
              </w:rPr>
            </w:pPr>
            <w:r>
              <w:rPr>
                <w:b/>
                <w:bCs/>
                <w:sz w:val="20"/>
                <w:szCs w:val="20"/>
              </w:rPr>
              <w:lastRenderedPageBreak/>
              <w:t>Meta 3.4 Aumentar la capacidad de recuperación de los humedales de importancia internacional</w:t>
            </w:r>
          </w:p>
          <w:p w14:paraId="25AC3677" w14:textId="54A9F5B6" w:rsidR="00B16035" w:rsidRPr="00FC53C8" w:rsidRDefault="00B16035" w:rsidP="00DD360B">
            <w:pPr>
              <w:pStyle w:val="SP5TableText"/>
              <w:rPr>
                <w:sz w:val="20"/>
                <w:szCs w:val="20"/>
              </w:rPr>
            </w:pPr>
            <w:r>
              <w:rPr>
                <w:sz w:val="20"/>
                <w:szCs w:val="20"/>
              </w:rPr>
              <w:t xml:space="preserve">Se dispone de orientaciones y se aplican las mejores prácticas para mejorar la resiliencia de los sitios frente a las presiones actuales y emergentes de los impulsores de la pérdida y la degradación de los humedales. </w:t>
            </w:r>
          </w:p>
          <w:p w14:paraId="5AB22A7D" w14:textId="77777777" w:rsidR="00B16035" w:rsidRPr="00261002" w:rsidRDefault="00B16035" w:rsidP="00DD360B">
            <w:pPr>
              <w:pStyle w:val="SP5TableText"/>
              <w:rPr>
                <w:b/>
                <w:bCs/>
                <w:sz w:val="20"/>
                <w:szCs w:val="20"/>
              </w:rPr>
            </w:pPr>
          </w:p>
        </w:tc>
        <w:tc>
          <w:tcPr>
            <w:tcW w:w="4933" w:type="dxa"/>
          </w:tcPr>
          <w:p w14:paraId="0014E8E6" w14:textId="77777777" w:rsidR="00B16035" w:rsidRPr="00FC53C8" w:rsidRDefault="00B16035" w:rsidP="00DD360B">
            <w:pPr>
              <w:rPr>
                <w:rFonts w:ascii="Calibri" w:hAnsi="Calibri" w:cs="Calibri"/>
                <w:color w:val="000000" w:themeColor="text1"/>
                <w:sz w:val="20"/>
                <w:szCs w:val="20"/>
              </w:rPr>
            </w:pPr>
          </w:p>
        </w:tc>
        <w:tc>
          <w:tcPr>
            <w:tcW w:w="4933" w:type="dxa"/>
          </w:tcPr>
          <w:p w14:paraId="3D377581" w14:textId="77777777" w:rsidR="00B16035" w:rsidRPr="00FC53C8" w:rsidRDefault="00B16035" w:rsidP="00DD360B">
            <w:pPr>
              <w:rPr>
                <w:rFonts w:ascii="Calibri" w:hAnsi="Calibri" w:cs="Calibri"/>
                <w:color w:val="000000" w:themeColor="text1"/>
                <w:sz w:val="20"/>
                <w:szCs w:val="20"/>
              </w:rPr>
            </w:pPr>
          </w:p>
        </w:tc>
      </w:tr>
    </w:tbl>
    <w:p w14:paraId="789A39E8" w14:textId="36D06731" w:rsidR="00FC53C8" w:rsidRDefault="00FC53C8">
      <w:pPr>
        <w:rPr>
          <w:rFonts w:ascii="Calibri" w:eastAsia="Cambria" w:hAnsi="Calibri" w:cs="Calibri"/>
          <w:sz w:val="22"/>
          <w:szCs w:val="22"/>
        </w:rPr>
      </w:pPr>
      <w: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FA4E9F" w14:paraId="270AF861" w14:textId="77777777" w:rsidTr="00513BE3">
        <w:trPr>
          <w:cantSplit/>
          <w:trHeight w:val="340"/>
        </w:trPr>
        <w:tc>
          <w:tcPr>
            <w:tcW w:w="14799" w:type="dxa"/>
            <w:gridSpan w:val="3"/>
            <w:vAlign w:val="center"/>
          </w:tcPr>
          <w:p w14:paraId="4FAC7B82" w14:textId="5BC71C27" w:rsidR="00B16035" w:rsidRPr="00A52E7A" w:rsidRDefault="00B16035" w:rsidP="00DD360B">
            <w:pPr>
              <w:pStyle w:val="Heading2"/>
              <w:spacing w:after="0"/>
              <w:rPr>
                <w:rFonts w:eastAsia="Cambria"/>
                <w:i w:val="0"/>
                <w:iCs w:val="0"/>
              </w:rPr>
            </w:pPr>
            <w:r>
              <w:rPr>
                <w:i w:val="0"/>
                <w:iCs w:val="0"/>
              </w:rPr>
              <w:lastRenderedPageBreak/>
              <w:t>Objetivo 4: Mejorar la aplicación de la Convención</w:t>
            </w:r>
          </w:p>
        </w:tc>
      </w:tr>
      <w:tr w:rsidR="00B16035" w:rsidRPr="00FA4E9F" w14:paraId="4A41C447" w14:textId="77777777" w:rsidTr="00513BE3">
        <w:trPr>
          <w:cantSplit/>
        </w:trPr>
        <w:tc>
          <w:tcPr>
            <w:tcW w:w="14799" w:type="dxa"/>
            <w:gridSpan w:val="3"/>
          </w:tcPr>
          <w:p w14:paraId="6AE76605" w14:textId="1F76541A" w:rsidR="00B16035" w:rsidRPr="00A52E7A" w:rsidRDefault="00B16035" w:rsidP="00DD360B">
            <w:pPr>
              <w:pStyle w:val="SP5text"/>
              <w:numPr>
                <w:ilvl w:val="0"/>
                <w:numId w:val="0"/>
              </w:numPr>
              <w:spacing w:after="0"/>
              <w:rPr>
                <w:b/>
                <w:bCs/>
              </w:rPr>
            </w:pPr>
            <w:r>
              <w:t>Declaración del objetivo: Se mejora la aplicación de la Convención mediante la cooperación científica, técnica y en otros ámbitos, el fomento de capacidad, [instrumentos jurídicos y políticos eficaces] y la movilización de recursos [procedentes de todas las fuentes].</w:t>
            </w:r>
          </w:p>
        </w:tc>
      </w:tr>
      <w:tr w:rsidR="00B16035" w:rsidRPr="00FC53C8" w14:paraId="7E0ED93A" w14:textId="77777777" w:rsidTr="00513BE3">
        <w:trPr>
          <w:cantSplit/>
        </w:trPr>
        <w:tc>
          <w:tcPr>
            <w:tcW w:w="14799" w:type="dxa"/>
            <w:gridSpan w:val="3"/>
          </w:tcPr>
          <w:p w14:paraId="5813B860" w14:textId="0F05F653" w:rsidR="00B16035" w:rsidRPr="00FC53C8" w:rsidRDefault="00B16035" w:rsidP="00DD360B">
            <w:pPr>
              <w:rPr>
                <w:rFonts w:ascii="Calibri" w:hAnsi="Calibri" w:cs="Calibri"/>
                <w:sz w:val="20"/>
                <w:szCs w:val="20"/>
              </w:rPr>
            </w:pPr>
            <w:r>
              <w:rPr>
                <w:rFonts w:ascii="Calibri" w:hAnsi="Calibri"/>
                <w:sz w:val="20"/>
                <w:szCs w:val="20"/>
              </w:rPr>
              <w:t>Indicador del objetivo:</w:t>
            </w:r>
          </w:p>
          <w:p w14:paraId="079519E3" w14:textId="452E32B7" w:rsidR="00B16035" w:rsidRPr="00FC53C8" w:rsidRDefault="00B16035" w:rsidP="00DD360B">
            <w:pPr>
              <w:rPr>
                <w:rFonts w:ascii="Calibri" w:hAnsi="Calibri" w:cs="Calibri"/>
                <w:sz w:val="20"/>
                <w:szCs w:val="20"/>
              </w:rPr>
            </w:pPr>
            <w:r>
              <w:rPr>
                <w:rFonts w:ascii="Calibri" w:hAnsi="Calibri"/>
                <w:sz w:val="20"/>
                <w:szCs w:val="20"/>
              </w:rPr>
              <w:t>Deberá ser definido</w:t>
            </w:r>
          </w:p>
        </w:tc>
      </w:tr>
      <w:tr w:rsidR="00B16035" w:rsidRPr="00FC53C8" w14:paraId="491562E6" w14:textId="77777777" w:rsidTr="00513BE3">
        <w:trPr>
          <w:cantSplit/>
          <w:trHeight w:val="340"/>
        </w:trPr>
        <w:tc>
          <w:tcPr>
            <w:tcW w:w="4933" w:type="dxa"/>
            <w:vAlign w:val="center"/>
          </w:tcPr>
          <w:p w14:paraId="1AB07604" w14:textId="77777777" w:rsidR="00B16035" w:rsidRPr="00FC53C8" w:rsidRDefault="00B16035" w:rsidP="00DD360B">
            <w:pPr>
              <w:rPr>
                <w:rFonts w:ascii="Calibri" w:hAnsi="Calibri" w:cs="Calibri"/>
                <w:b/>
                <w:bCs/>
                <w:color w:val="000000" w:themeColor="text1"/>
                <w:sz w:val="20"/>
                <w:szCs w:val="20"/>
              </w:rPr>
            </w:pPr>
            <w:r>
              <w:rPr>
                <w:rFonts w:ascii="Calibri" w:hAnsi="Calibri"/>
                <w:b/>
                <w:bCs/>
                <w:color w:val="000000" w:themeColor="text1"/>
                <w:sz w:val="20"/>
                <w:szCs w:val="20"/>
              </w:rPr>
              <w:t>Metas</w:t>
            </w:r>
          </w:p>
        </w:tc>
        <w:tc>
          <w:tcPr>
            <w:tcW w:w="4933" w:type="dxa"/>
            <w:vAlign w:val="center"/>
          </w:tcPr>
          <w:p w14:paraId="7EAC3950" w14:textId="77777777" w:rsidR="00B16035" w:rsidRPr="00FC53C8" w:rsidRDefault="00B16035" w:rsidP="00DD360B">
            <w:pPr>
              <w:rPr>
                <w:rFonts w:ascii="Calibri" w:hAnsi="Calibri" w:cs="Calibri"/>
                <w:b/>
                <w:bCs/>
                <w:color w:val="000000" w:themeColor="text1"/>
                <w:sz w:val="20"/>
                <w:szCs w:val="20"/>
              </w:rPr>
            </w:pPr>
            <w:r>
              <w:rPr>
                <w:rFonts w:ascii="Calibri" w:hAnsi="Calibri"/>
                <w:b/>
                <w:bCs/>
                <w:color w:val="000000" w:themeColor="text1"/>
                <w:sz w:val="20"/>
                <w:szCs w:val="20"/>
              </w:rPr>
              <w:t>Indicadores</w:t>
            </w:r>
          </w:p>
        </w:tc>
        <w:tc>
          <w:tcPr>
            <w:tcW w:w="4933" w:type="dxa"/>
            <w:vAlign w:val="center"/>
          </w:tcPr>
          <w:p w14:paraId="301FA54E" w14:textId="0D354F69" w:rsidR="00B16035" w:rsidRPr="00FC53C8" w:rsidRDefault="00B16035" w:rsidP="00DD360B">
            <w:pPr>
              <w:rPr>
                <w:rFonts w:ascii="Calibri" w:hAnsi="Calibri" w:cs="Calibri"/>
                <w:b/>
                <w:bCs/>
                <w:color w:val="000000" w:themeColor="text1"/>
                <w:sz w:val="20"/>
                <w:szCs w:val="20"/>
              </w:rPr>
            </w:pPr>
            <w:r>
              <w:rPr>
                <w:rFonts w:ascii="Calibri" w:hAnsi="Calibri"/>
                <w:sz w:val="20"/>
                <w:szCs w:val="20"/>
              </w:rPr>
              <w:t>Vínculos con otras metas y otros marcos y procesos</w:t>
            </w:r>
          </w:p>
        </w:tc>
      </w:tr>
      <w:tr w:rsidR="00B16035" w:rsidRPr="00FC53C8" w14:paraId="571E790F" w14:textId="77777777" w:rsidTr="00513BE3">
        <w:trPr>
          <w:cantSplit/>
        </w:trPr>
        <w:tc>
          <w:tcPr>
            <w:tcW w:w="4933" w:type="dxa"/>
          </w:tcPr>
          <w:p w14:paraId="547FE8EC" w14:textId="2A1F3A44" w:rsidR="00B16035" w:rsidRPr="00FC53C8" w:rsidRDefault="00B16035" w:rsidP="00DD360B">
            <w:pPr>
              <w:pStyle w:val="SP5TableText"/>
              <w:rPr>
                <w:b/>
                <w:bCs/>
                <w:sz w:val="20"/>
                <w:szCs w:val="20"/>
              </w:rPr>
            </w:pPr>
            <w:r>
              <w:rPr>
                <w:b/>
                <w:bCs/>
                <w:sz w:val="20"/>
                <w:szCs w:val="20"/>
              </w:rPr>
              <w:t>Meta 4.1 Cooperación con los asociados y los interesados directos</w:t>
            </w:r>
          </w:p>
          <w:p w14:paraId="4A1777A1" w14:textId="6CB5E697" w:rsidR="00B16035" w:rsidRPr="00FC53C8" w:rsidRDefault="003B333F" w:rsidP="00DD360B">
            <w:pPr>
              <w:pStyle w:val="SP5TableText"/>
              <w:rPr>
                <w:sz w:val="20"/>
                <w:szCs w:val="20"/>
              </w:rPr>
            </w:pPr>
            <w:r>
              <w:rPr>
                <w:sz w:val="20"/>
                <w:szCs w:val="20"/>
              </w:rPr>
              <w:t>Las Partes Contratantes colaboran eficazmente con los asociados y los interesados directos a todos los niveles (mundial, regional, transfronterizo, nacional, local y de sitio) y en todos los sectores para alcanzar los objetivos de la Convención, aumentando la complementariedad [y las sinergias] con otros procesos multilaterales.</w:t>
            </w:r>
          </w:p>
          <w:p w14:paraId="015549C9" w14:textId="77777777" w:rsidR="00B16035" w:rsidRPr="00261002" w:rsidRDefault="00B16035" w:rsidP="00DD360B">
            <w:pPr>
              <w:pStyle w:val="SP5TableText"/>
              <w:rPr>
                <w:b/>
                <w:bCs/>
                <w:sz w:val="20"/>
                <w:szCs w:val="20"/>
              </w:rPr>
            </w:pPr>
          </w:p>
        </w:tc>
        <w:tc>
          <w:tcPr>
            <w:tcW w:w="4933" w:type="dxa"/>
          </w:tcPr>
          <w:p w14:paraId="3FFC65E2" w14:textId="77777777" w:rsidR="00B16035" w:rsidRPr="00FC53C8" w:rsidRDefault="00B16035" w:rsidP="00DD360B">
            <w:pPr>
              <w:rPr>
                <w:rFonts w:ascii="Calibri" w:hAnsi="Calibri" w:cs="Calibri"/>
                <w:color w:val="000000" w:themeColor="text1"/>
                <w:sz w:val="20"/>
                <w:szCs w:val="20"/>
              </w:rPr>
            </w:pPr>
          </w:p>
        </w:tc>
        <w:tc>
          <w:tcPr>
            <w:tcW w:w="4933" w:type="dxa"/>
          </w:tcPr>
          <w:p w14:paraId="50DD5BFA" w14:textId="77777777" w:rsidR="00B16035" w:rsidRPr="00FC53C8" w:rsidRDefault="00B16035" w:rsidP="00DD360B">
            <w:pPr>
              <w:rPr>
                <w:rFonts w:ascii="Calibri" w:hAnsi="Calibri" w:cs="Calibri"/>
                <w:color w:val="000000" w:themeColor="text1"/>
                <w:sz w:val="20"/>
                <w:szCs w:val="20"/>
              </w:rPr>
            </w:pPr>
          </w:p>
        </w:tc>
      </w:tr>
      <w:tr w:rsidR="00B16035" w:rsidRPr="00FC53C8" w14:paraId="36CB241C" w14:textId="77777777" w:rsidTr="00513BE3">
        <w:trPr>
          <w:cantSplit/>
        </w:trPr>
        <w:tc>
          <w:tcPr>
            <w:tcW w:w="4933" w:type="dxa"/>
          </w:tcPr>
          <w:p w14:paraId="47171C3A" w14:textId="7F9E3951" w:rsidR="00B16035" w:rsidRPr="00FC53C8" w:rsidRDefault="00B16035" w:rsidP="00DD360B">
            <w:pPr>
              <w:pStyle w:val="SP5TableText"/>
              <w:rPr>
                <w:rStyle w:val="ui-provider"/>
                <w:b/>
                <w:bCs/>
                <w:sz w:val="20"/>
                <w:szCs w:val="20"/>
              </w:rPr>
            </w:pPr>
            <w:r>
              <w:rPr>
                <w:rStyle w:val="ui-provider"/>
                <w:b/>
                <w:bCs/>
                <w:sz w:val="20"/>
                <w:szCs w:val="20"/>
              </w:rPr>
              <w:t>Meta 4.2 Mejorar el intercambio de información, datos [y tecnología]</w:t>
            </w:r>
          </w:p>
          <w:p w14:paraId="5CA2A680" w14:textId="3C5B5E82" w:rsidR="00B16035" w:rsidRPr="00FC53C8" w:rsidRDefault="00B16035" w:rsidP="00DD360B">
            <w:pPr>
              <w:pStyle w:val="SP5TableText"/>
              <w:rPr>
                <w:rStyle w:val="ui-provider"/>
                <w:sz w:val="20"/>
                <w:szCs w:val="20"/>
              </w:rPr>
            </w:pPr>
            <w:r>
              <w:rPr>
                <w:sz w:val="20"/>
                <w:szCs w:val="20"/>
              </w:rPr>
              <w:t>Mejorar el intercambio de información, datos [y tecnología] [para apoyar la toma de decisiones en materia de políticas y de gestión basadas en pruebas, promover la cooperación científica y técnica y el fomento de capacidad en relación con la conservación, el uso racional, la supervisión y la presentación de informes sobre los humedales, teniendo en cuenta los conocimientos de los pueblos indígenas y las comunidades locales [y su consentimiento libre, previo e informado].</w:t>
            </w:r>
          </w:p>
          <w:p w14:paraId="66DA56A3" w14:textId="77777777" w:rsidR="00B16035" w:rsidRPr="00261002" w:rsidRDefault="00B16035" w:rsidP="00DD360B">
            <w:pPr>
              <w:pStyle w:val="SP5TableText"/>
              <w:rPr>
                <w:b/>
                <w:bCs/>
                <w:sz w:val="20"/>
                <w:szCs w:val="20"/>
              </w:rPr>
            </w:pPr>
          </w:p>
        </w:tc>
        <w:tc>
          <w:tcPr>
            <w:tcW w:w="4933" w:type="dxa"/>
          </w:tcPr>
          <w:p w14:paraId="613A98C2" w14:textId="77777777" w:rsidR="00B16035" w:rsidRPr="00FC53C8" w:rsidRDefault="00B16035" w:rsidP="00DD360B">
            <w:pPr>
              <w:rPr>
                <w:rFonts w:ascii="Calibri" w:hAnsi="Calibri" w:cs="Calibri"/>
                <w:color w:val="000000" w:themeColor="text1"/>
                <w:sz w:val="20"/>
                <w:szCs w:val="20"/>
              </w:rPr>
            </w:pPr>
          </w:p>
        </w:tc>
        <w:tc>
          <w:tcPr>
            <w:tcW w:w="4933" w:type="dxa"/>
          </w:tcPr>
          <w:p w14:paraId="200339BF" w14:textId="77777777" w:rsidR="00B16035" w:rsidRPr="00FC53C8" w:rsidRDefault="00B16035" w:rsidP="00DD360B">
            <w:pPr>
              <w:rPr>
                <w:rFonts w:ascii="Calibri" w:hAnsi="Calibri" w:cs="Calibri"/>
                <w:color w:val="000000" w:themeColor="text1"/>
                <w:sz w:val="20"/>
                <w:szCs w:val="20"/>
              </w:rPr>
            </w:pPr>
          </w:p>
        </w:tc>
      </w:tr>
      <w:tr w:rsidR="00B16035" w:rsidRPr="00FC53C8" w14:paraId="6F6A5721" w14:textId="77777777" w:rsidTr="00513BE3">
        <w:trPr>
          <w:cantSplit/>
        </w:trPr>
        <w:tc>
          <w:tcPr>
            <w:tcW w:w="4933" w:type="dxa"/>
          </w:tcPr>
          <w:p w14:paraId="2A352A34" w14:textId="0C29F145" w:rsidR="00B16035" w:rsidRPr="00FC53C8" w:rsidRDefault="00B16035" w:rsidP="00DD360B">
            <w:pPr>
              <w:pStyle w:val="SP5TableText"/>
              <w:rPr>
                <w:b/>
                <w:bCs/>
                <w:sz w:val="20"/>
                <w:szCs w:val="20"/>
              </w:rPr>
            </w:pPr>
            <w:r>
              <w:rPr>
                <w:b/>
                <w:bCs/>
                <w:sz w:val="20"/>
                <w:szCs w:val="20"/>
              </w:rPr>
              <w:lastRenderedPageBreak/>
              <w:t>Meta 4.2 alt. Mejorar el intercambio de información, datos [y tecnología]</w:t>
            </w:r>
          </w:p>
          <w:p w14:paraId="54A0D32C" w14:textId="66360D84" w:rsidR="00B16035" w:rsidRPr="00FC53C8" w:rsidRDefault="00B16035" w:rsidP="00DD360B">
            <w:pPr>
              <w:pStyle w:val="SP5TableText"/>
              <w:rPr>
                <w:rStyle w:val="ui-provider"/>
                <w:sz w:val="20"/>
                <w:szCs w:val="20"/>
              </w:rPr>
            </w:pPr>
            <w:r>
              <w:rPr>
                <w:sz w:val="20"/>
                <w:szCs w:val="20"/>
              </w:rPr>
              <w:t>Se apoya la toma de decisiones en materia de políticas y de gestión, así como el seguimiento y la elaboración de informes basados en pruebas mediante la mejora del intercambio de información y datos, la cooperación científica y técnica y el fomento de capacidad y la transferencia [voluntaria] de tecnología [en condiciones mutuamente acordadas], teniendo en cuenta los conocimientos de los pueblos indígenas y las comunidades locales [y su consentimiento libre, previo e informado].</w:t>
            </w:r>
          </w:p>
          <w:p w14:paraId="38D2275C" w14:textId="77777777" w:rsidR="00B16035" w:rsidRPr="00261002" w:rsidRDefault="00B16035" w:rsidP="00DD360B">
            <w:pPr>
              <w:pStyle w:val="SP5TableText"/>
              <w:rPr>
                <w:sz w:val="20"/>
                <w:szCs w:val="20"/>
              </w:rPr>
            </w:pPr>
          </w:p>
        </w:tc>
        <w:tc>
          <w:tcPr>
            <w:tcW w:w="4933" w:type="dxa"/>
          </w:tcPr>
          <w:p w14:paraId="713CCF3B" w14:textId="77777777" w:rsidR="00B16035" w:rsidRPr="00FC53C8" w:rsidRDefault="00B16035" w:rsidP="00DD360B">
            <w:pPr>
              <w:rPr>
                <w:rFonts w:ascii="Calibri" w:hAnsi="Calibri" w:cs="Calibri"/>
                <w:color w:val="000000" w:themeColor="text1"/>
                <w:sz w:val="20"/>
                <w:szCs w:val="20"/>
              </w:rPr>
            </w:pPr>
          </w:p>
        </w:tc>
        <w:tc>
          <w:tcPr>
            <w:tcW w:w="4933" w:type="dxa"/>
          </w:tcPr>
          <w:p w14:paraId="44E71055" w14:textId="77777777" w:rsidR="00B16035" w:rsidRPr="00FC53C8" w:rsidRDefault="00B16035" w:rsidP="00DD360B">
            <w:pPr>
              <w:rPr>
                <w:rFonts w:ascii="Calibri" w:hAnsi="Calibri" w:cs="Calibri"/>
                <w:color w:val="000000" w:themeColor="text1"/>
                <w:sz w:val="20"/>
                <w:szCs w:val="20"/>
              </w:rPr>
            </w:pPr>
          </w:p>
        </w:tc>
      </w:tr>
      <w:tr w:rsidR="00B16035" w:rsidRPr="00FC53C8" w14:paraId="0CD20600" w14:textId="77777777" w:rsidTr="00513BE3">
        <w:trPr>
          <w:cantSplit/>
        </w:trPr>
        <w:tc>
          <w:tcPr>
            <w:tcW w:w="4933" w:type="dxa"/>
          </w:tcPr>
          <w:p w14:paraId="5D9D8D6A" w14:textId="54318A49" w:rsidR="00B16035" w:rsidRPr="00FC53C8" w:rsidRDefault="00B16035" w:rsidP="00DD360B">
            <w:pPr>
              <w:pStyle w:val="SP5TableText"/>
              <w:rPr>
                <w:b/>
                <w:bCs/>
                <w:sz w:val="20"/>
                <w:szCs w:val="20"/>
              </w:rPr>
            </w:pPr>
            <w:r>
              <w:rPr>
                <w:sz w:val="20"/>
                <w:szCs w:val="20"/>
              </w:rPr>
              <w:t>[</w:t>
            </w:r>
            <w:r>
              <w:rPr>
                <w:b/>
                <w:bCs/>
                <w:sz w:val="20"/>
                <w:szCs w:val="20"/>
              </w:rPr>
              <w:t>Meta 4.3 Reforzar las medidas jurídicas y en materia de políticas existentes para mejorar la aplicación</w:t>
            </w:r>
          </w:p>
          <w:p w14:paraId="0047023D" w14:textId="374A4909" w:rsidR="00B16035" w:rsidRPr="00FC53C8" w:rsidRDefault="00FC53C8" w:rsidP="00DD360B">
            <w:pPr>
              <w:pStyle w:val="SP5TableText"/>
              <w:rPr>
                <w:sz w:val="20"/>
                <w:szCs w:val="20"/>
              </w:rPr>
            </w:pPr>
            <w:r>
              <w:rPr>
                <w:sz w:val="20"/>
                <w:szCs w:val="20"/>
              </w:rPr>
              <w:t>Las Partes Contratantes disponen de instrumentos jurídicos y de políticas eficaces para aplicar plenamente la Convención, sus resoluciones y decisiones].</w:t>
            </w:r>
          </w:p>
          <w:p w14:paraId="3F2D92C3" w14:textId="77777777" w:rsidR="00B16035" w:rsidRPr="00261002" w:rsidRDefault="00B16035" w:rsidP="00DD360B">
            <w:pPr>
              <w:pStyle w:val="SP5TableText"/>
              <w:rPr>
                <w:b/>
                <w:bCs/>
                <w:sz w:val="20"/>
                <w:szCs w:val="20"/>
              </w:rPr>
            </w:pPr>
          </w:p>
        </w:tc>
        <w:tc>
          <w:tcPr>
            <w:tcW w:w="4933" w:type="dxa"/>
          </w:tcPr>
          <w:p w14:paraId="526409F3" w14:textId="77777777" w:rsidR="00B16035" w:rsidRPr="00FC53C8" w:rsidRDefault="00B16035" w:rsidP="00DD360B">
            <w:pPr>
              <w:rPr>
                <w:rFonts w:ascii="Calibri" w:hAnsi="Calibri" w:cs="Calibri"/>
                <w:color w:val="000000" w:themeColor="text1"/>
                <w:sz w:val="20"/>
                <w:szCs w:val="20"/>
              </w:rPr>
            </w:pPr>
          </w:p>
        </w:tc>
        <w:tc>
          <w:tcPr>
            <w:tcW w:w="4933" w:type="dxa"/>
          </w:tcPr>
          <w:p w14:paraId="62DE7F99" w14:textId="77777777" w:rsidR="00B16035" w:rsidRPr="00FC53C8" w:rsidRDefault="00B16035" w:rsidP="00DD360B">
            <w:pPr>
              <w:rPr>
                <w:rFonts w:ascii="Calibri" w:hAnsi="Calibri" w:cs="Calibri"/>
                <w:color w:val="000000" w:themeColor="text1"/>
                <w:sz w:val="20"/>
                <w:szCs w:val="20"/>
              </w:rPr>
            </w:pPr>
          </w:p>
        </w:tc>
      </w:tr>
      <w:tr w:rsidR="00B16035" w:rsidRPr="00FC53C8" w14:paraId="460735D6" w14:textId="77777777" w:rsidTr="00513BE3">
        <w:trPr>
          <w:cantSplit/>
        </w:trPr>
        <w:tc>
          <w:tcPr>
            <w:tcW w:w="4933" w:type="dxa"/>
          </w:tcPr>
          <w:p w14:paraId="703CD350" w14:textId="72DB79CD" w:rsidR="00B16035" w:rsidRPr="00FC53C8" w:rsidRDefault="00B16035" w:rsidP="00DD360B">
            <w:pPr>
              <w:pStyle w:val="SP5TableText"/>
              <w:rPr>
                <w:b/>
                <w:bCs/>
                <w:sz w:val="20"/>
                <w:szCs w:val="20"/>
              </w:rPr>
            </w:pPr>
            <w:r>
              <w:rPr>
                <w:b/>
                <w:bCs/>
                <w:sz w:val="20"/>
                <w:szCs w:val="20"/>
              </w:rPr>
              <w:t>Meta 4.4 Avanzar en los inventarios nacionales de humedales</w:t>
            </w:r>
          </w:p>
          <w:p w14:paraId="68838F6F" w14:textId="32485992" w:rsidR="00B16035" w:rsidRPr="00FC53C8" w:rsidRDefault="00FC53C8" w:rsidP="00DD360B">
            <w:pPr>
              <w:pStyle w:val="SP5TableText"/>
              <w:rPr>
                <w:sz w:val="20"/>
                <w:szCs w:val="20"/>
              </w:rPr>
            </w:pPr>
            <w:r>
              <w:rPr>
                <w:sz w:val="20"/>
                <w:szCs w:val="20"/>
              </w:rPr>
              <w:t>Se avanza en los inventarios de humedales y se actualizan sus bases de datos de acuerdo con el sistema de clasificación de humedales de Ramsar.</w:t>
            </w:r>
          </w:p>
          <w:p w14:paraId="1A227A68" w14:textId="77777777" w:rsidR="00B16035" w:rsidRPr="00261002" w:rsidRDefault="00B16035" w:rsidP="00DD360B">
            <w:pPr>
              <w:pStyle w:val="SP5TableText"/>
              <w:rPr>
                <w:b/>
                <w:bCs/>
                <w:sz w:val="20"/>
                <w:szCs w:val="20"/>
              </w:rPr>
            </w:pPr>
          </w:p>
        </w:tc>
        <w:tc>
          <w:tcPr>
            <w:tcW w:w="4933" w:type="dxa"/>
          </w:tcPr>
          <w:p w14:paraId="37BE9C88" w14:textId="77777777" w:rsidR="00B16035" w:rsidRPr="00FC53C8" w:rsidRDefault="00B16035" w:rsidP="00DD360B">
            <w:pPr>
              <w:rPr>
                <w:rFonts w:ascii="Calibri" w:hAnsi="Calibri" w:cs="Calibri"/>
                <w:color w:val="000000" w:themeColor="text1"/>
                <w:sz w:val="20"/>
                <w:szCs w:val="20"/>
              </w:rPr>
            </w:pPr>
          </w:p>
        </w:tc>
        <w:tc>
          <w:tcPr>
            <w:tcW w:w="4933" w:type="dxa"/>
          </w:tcPr>
          <w:p w14:paraId="2687E274" w14:textId="77777777" w:rsidR="00B16035" w:rsidRPr="00FC53C8" w:rsidRDefault="00B16035" w:rsidP="00DD360B">
            <w:pPr>
              <w:rPr>
                <w:rFonts w:ascii="Calibri" w:hAnsi="Calibri" w:cs="Calibri"/>
                <w:color w:val="000000" w:themeColor="text1"/>
                <w:sz w:val="20"/>
                <w:szCs w:val="20"/>
              </w:rPr>
            </w:pPr>
          </w:p>
        </w:tc>
      </w:tr>
      <w:tr w:rsidR="00B16035" w:rsidRPr="00FC53C8" w14:paraId="544DC563" w14:textId="77777777" w:rsidTr="00513BE3">
        <w:trPr>
          <w:cantSplit/>
        </w:trPr>
        <w:tc>
          <w:tcPr>
            <w:tcW w:w="4933" w:type="dxa"/>
          </w:tcPr>
          <w:p w14:paraId="1DA92757" w14:textId="62761B6A" w:rsidR="00B16035" w:rsidRPr="00FC53C8" w:rsidRDefault="00B16035" w:rsidP="00DD360B">
            <w:pPr>
              <w:pStyle w:val="SP5TableText"/>
              <w:rPr>
                <w:b/>
                <w:bCs/>
                <w:sz w:val="20"/>
                <w:szCs w:val="20"/>
              </w:rPr>
            </w:pPr>
            <w:r>
              <w:rPr>
                <w:b/>
                <w:bCs/>
                <w:sz w:val="20"/>
                <w:szCs w:val="20"/>
              </w:rPr>
              <w:t>Meta 4.5 Se mejora la concienciación sobre los problemas que afectan a los humedales y la visibilidad de la Convención sobre los Humedales</w:t>
            </w:r>
          </w:p>
          <w:p w14:paraId="7D56EADA" w14:textId="399697E1" w:rsidR="00B16035" w:rsidRPr="00FC53C8" w:rsidRDefault="00B16035" w:rsidP="00DD360B">
            <w:pPr>
              <w:pStyle w:val="SP5TableText"/>
              <w:rPr>
                <w:rStyle w:val="ui-provider"/>
                <w:rFonts w:eastAsia="Calibri"/>
                <w:bCs/>
                <w:sz w:val="20"/>
                <w:szCs w:val="20"/>
              </w:rPr>
            </w:pPr>
            <w:r>
              <w:rPr>
                <w:rStyle w:val="ui-provider"/>
                <w:bCs/>
                <w:sz w:val="20"/>
                <w:szCs w:val="20"/>
              </w:rPr>
              <w:t>Se integran la conservación y el uso racional de los humedales a través de la comunicación, el fomento de capacidad y el desarrollo, la educación, la participación y la concienciación.</w:t>
            </w:r>
          </w:p>
          <w:p w14:paraId="0A7C9A85" w14:textId="77777777" w:rsidR="00B16035" w:rsidRPr="00261002" w:rsidRDefault="00B16035" w:rsidP="00DD360B">
            <w:pPr>
              <w:pStyle w:val="SP5TableText"/>
              <w:rPr>
                <w:b/>
                <w:bCs/>
                <w:sz w:val="20"/>
                <w:szCs w:val="20"/>
              </w:rPr>
            </w:pPr>
          </w:p>
        </w:tc>
        <w:tc>
          <w:tcPr>
            <w:tcW w:w="4933" w:type="dxa"/>
          </w:tcPr>
          <w:p w14:paraId="69409464" w14:textId="77777777" w:rsidR="00B16035" w:rsidRPr="00FC53C8" w:rsidRDefault="00B16035" w:rsidP="00DD360B">
            <w:pPr>
              <w:rPr>
                <w:rFonts w:ascii="Calibri" w:hAnsi="Calibri" w:cs="Calibri"/>
                <w:color w:val="000000" w:themeColor="text1"/>
                <w:sz w:val="20"/>
                <w:szCs w:val="20"/>
              </w:rPr>
            </w:pPr>
          </w:p>
        </w:tc>
        <w:tc>
          <w:tcPr>
            <w:tcW w:w="4933" w:type="dxa"/>
          </w:tcPr>
          <w:p w14:paraId="6D89A362" w14:textId="77777777" w:rsidR="00B16035" w:rsidRPr="00FC53C8" w:rsidRDefault="00B16035" w:rsidP="00DD360B">
            <w:pPr>
              <w:rPr>
                <w:rFonts w:ascii="Calibri" w:hAnsi="Calibri" w:cs="Calibri"/>
                <w:color w:val="000000" w:themeColor="text1"/>
                <w:sz w:val="20"/>
                <w:szCs w:val="20"/>
              </w:rPr>
            </w:pPr>
          </w:p>
        </w:tc>
      </w:tr>
      <w:tr w:rsidR="00B16035" w:rsidRPr="00FC53C8" w14:paraId="1E413020" w14:textId="77777777" w:rsidTr="00513BE3">
        <w:trPr>
          <w:cantSplit/>
        </w:trPr>
        <w:tc>
          <w:tcPr>
            <w:tcW w:w="4933" w:type="dxa"/>
          </w:tcPr>
          <w:p w14:paraId="469A3843" w14:textId="008C6FF8" w:rsidR="00B16035" w:rsidRPr="00FC53C8" w:rsidRDefault="00B16035" w:rsidP="00DD360B">
            <w:pPr>
              <w:pStyle w:val="SP5TableText"/>
              <w:rPr>
                <w:b/>
                <w:bCs/>
                <w:sz w:val="20"/>
                <w:szCs w:val="20"/>
              </w:rPr>
            </w:pPr>
            <w:r>
              <w:rPr>
                <w:b/>
                <w:bCs/>
                <w:sz w:val="20"/>
                <w:szCs w:val="20"/>
              </w:rPr>
              <w:lastRenderedPageBreak/>
              <w:t>[Objetivo 4.6 Presentación de informes</w:t>
            </w:r>
          </w:p>
          <w:p w14:paraId="256D3F41" w14:textId="5459E4A4" w:rsidR="00B16035" w:rsidRPr="00FC53C8" w:rsidRDefault="00B16035" w:rsidP="00DD360B">
            <w:pPr>
              <w:pStyle w:val="SP5TableText"/>
              <w:rPr>
                <w:sz w:val="20"/>
                <w:szCs w:val="20"/>
              </w:rPr>
            </w:pPr>
            <w:r>
              <w:rPr>
                <w:sz w:val="20"/>
                <w:szCs w:val="20"/>
              </w:rPr>
              <w:t>[Mejorar la presentación de informes nacionales y mantener actualizadas las Fichas Informativas de Ramsar para todos los Humedales de Importancia Internacional, con el apoyo de la Secretaría y de las iniciativas regionales Ramsar.]</w:t>
            </w:r>
          </w:p>
          <w:p w14:paraId="6B205D14" w14:textId="77777777" w:rsidR="00B16035" w:rsidRPr="00261002" w:rsidRDefault="00B16035" w:rsidP="00DD360B">
            <w:pPr>
              <w:pStyle w:val="SP5TableText"/>
              <w:rPr>
                <w:b/>
                <w:bCs/>
                <w:sz w:val="20"/>
                <w:szCs w:val="20"/>
              </w:rPr>
            </w:pPr>
          </w:p>
        </w:tc>
        <w:tc>
          <w:tcPr>
            <w:tcW w:w="4933" w:type="dxa"/>
          </w:tcPr>
          <w:p w14:paraId="539FB882" w14:textId="77777777" w:rsidR="00B16035" w:rsidRPr="00FC53C8" w:rsidRDefault="00B16035" w:rsidP="00DD360B">
            <w:pPr>
              <w:rPr>
                <w:rFonts w:ascii="Calibri" w:hAnsi="Calibri" w:cs="Calibri"/>
                <w:color w:val="000000" w:themeColor="text1"/>
                <w:sz w:val="20"/>
                <w:szCs w:val="20"/>
              </w:rPr>
            </w:pPr>
          </w:p>
        </w:tc>
        <w:tc>
          <w:tcPr>
            <w:tcW w:w="4933" w:type="dxa"/>
          </w:tcPr>
          <w:p w14:paraId="317630F7" w14:textId="77777777" w:rsidR="00B16035" w:rsidRPr="00FC53C8" w:rsidRDefault="00B16035" w:rsidP="00DD360B">
            <w:pPr>
              <w:rPr>
                <w:rFonts w:ascii="Calibri" w:hAnsi="Calibri" w:cs="Calibri"/>
                <w:color w:val="000000" w:themeColor="text1"/>
                <w:sz w:val="20"/>
                <w:szCs w:val="20"/>
              </w:rPr>
            </w:pPr>
          </w:p>
        </w:tc>
      </w:tr>
      <w:tr w:rsidR="00B16035" w:rsidRPr="00FC53C8" w14:paraId="61393ECD" w14:textId="77777777" w:rsidTr="00513BE3">
        <w:trPr>
          <w:cantSplit/>
        </w:trPr>
        <w:tc>
          <w:tcPr>
            <w:tcW w:w="4933" w:type="dxa"/>
          </w:tcPr>
          <w:p w14:paraId="45DFFE89" w14:textId="20093633" w:rsidR="00B16035" w:rsidRPr="00FC53C8" w:rsidRDefault="00B16035" w:rsidP="00DD360B">
            <w:pPr>
              <w:pStyle w:val="SP5TableText"/>
              <w:rPr>
                <w:b/>
                <w:bCs/>
                <w:sz w:val="20"/>
                <w:szCs w:val="20"/>
              </w:rPr>
            </w:pPr>
            <w:r>
              <w:rPr>
                <w:b/>
                <w:bCs/>
                <w:sz w:val="20"/>
                <w:szCs w:val="20"/>
              </w:rPr>
              <w:t xml:space="preserve">[Objetivo 4.7 Financiero </w:t>
            </w:r>
          </w:p>
          <w:p w14:paraId="3D34AF7A" w14:textId="450BE8F6" w:rsidR="00B16035" w:rsidRPr="00FC53C8" w:rsidRDefault="00B16035" w:rsidP="00DD360B">
            <w:pPr>
              <w:pStyle w:val="SP5TableText"/>
              <w:rPr>
                <w:sz w:val="20"/>
                <w:szCs w:val="20"/>
              </w:rPr>
            </w:pPr>
            <w:r>
              <w:rPr>
                <w:sz w:val="20"/>
                <w:szCs w:val="20"/>
              </w:rPr>
              <w:t>Movilizar los recursos financieros [procedentes de todas las fuentes] [necesarios] para lograr [apoyar el logro de] los objetivos de la Convención, incluyendo mediante financiación internacional [pública] [procedente de todas las fuentes] y mecanismos [financieros] innovadores cuando proceda, [reconociendo la necesidad de un mayor apoyo a los países en desarrollo,] y [mejorar] el acceso a esos recursos.]</w:t>
            </w:r>
          </w:p>
          <w:p w14:paraId="293CAFC4" w14:textId="77777777" w:rsidR="00B16035" w:rsidRPr="00261002" w:rsidRDefault="00B16035" w:rsidP="00DD360B">
            <w:pPr>
              <w:pStyle w:val="SP5TableText"/>
              <w:rPr>
                <w:b/>
                <w:bCs/>
                <w:sz w:val="20"/>
                <w:szCs w:val="20"/>
              </w:rPr>
            </w:pPr>
          </w:p>
        </w:tc>
        <w:tc>
          <w:tcPr>
            <w:tcW w:w="4933" w:type="dxa"/>
          </w:tcPr>
          <w:p w14:paraId="182FC0E1" w14:textId="77777777" w:rsidR="00B16035" w:rsidRPr="00FC53C8" w:rsidRDefault="00B16035" w:rsidP="00DD360B">
            <w:pPr>
              <w:rPr>
                <w:rFonts w:ascii="Calibri" w:hAnsi="Calibri" w:cs="Calibri"/>
                <w:color w:val="000000" w:themeColor="text1"/>
                <w:sz w:val="20"/>
                <w:szCs w:val="20"/>
              </w:rPr>
            </w:pPr>
          </w:p>
        </w:tc>
        <w:tc>
          <w:tcPr>
            <w:tcW w:w="4933" w:type="dxa"/>
          </w:tcPr>
          <w:p w14:paraId="7B0746EF" w14:textId="77777777" w:rsidR="00B16035" w:rsidRPr="00FC53C8" w:rsidRDefault="00B16035" w:rsidP="00DD360B">
            <w:pPr>
              <w:rPr>
                <w:rFonts w:ascii="Calibri" w:hAnsi="Calibri" w:cs="Calibri"/>
                <w:color w:val="000000" w:themeColor="text1"/>
                <w:sz w:val="20"/>
                <w:szCs w:val="20"/>
              </w:rPr>
            </w:pPr>
          </w:p>
        </w:tc>
      </w:tr>
    </w:tbl>
    <w:p w14:paraId="23751E84" w14:textId="77777777" w:rsidR="005C795C" w:rsidRPr="005414A8" w:rsidRDefault="005C795C" w:rsidP="00DD360B">
      <w:pPr>
        <w:pStyle w:val="PlainText"/>
        <w:jc w:val="both"/>
        <w:rPr>
          <w:sz w:val="20"/>
          <w:szCs w:val="20"/>
        </w:rPr>
      </w:pPr>
    </w:p>
    <w:sectPr w:rsidR="005C795C" w:rsidRPr="005414A8" w:rsidSect="00513BE3">
      <w:footerReference w:type="default" r:id="rId13"/>
      <w:pgSz w:w="16817" w:h="11901" w:orient="landscape"/>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B720C" w14:textId="77777777" w:rsidR="00861626" w:rsidRDefault="00861626" w:rsidP="0062242F">
      <w:r>
        <w:separator/>
      </w:r>
    </w:p>
  </w:endnote>
  <w:endnote w:type="continuationSeparator" w:id="0">
    <w:p w14:paraId="5E2D124C" w14:textId="77777777" w:rsidR="00861626" w:rsidRDefault="00861626" w:rsidP="0062242F">
      <w:r>
        <w:continuationSeparator/>
      </w:r>
    </w:p>
  </w:endnote>
  <w:endnote w:type="continuationNotice" w:id="1">
    <w:p w14:paraId="35368F74" w14:textId="77777777" w:rsidR="00861626" w:rsidRDefault="0086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292D" w14:textId="1734CD51" w:rsidR="00B16035" w:rsidRPr="0091380A" w:rsidRDefault="00B16035" w:rsidP="0091380A">
    <w:pPr>
      <w:pStyle w:val="Footer"/>
      <w:rPr>
        <w:rFonts w:asciiTheme="minorHAnsi" w:hAnsiTheme="minorHAnsi" w:cstheme="minorHAnsi"/>
        <w:sz w:val="20"/>
        <w:szCs w:val="20"/>
      </w:rPr>
    </w:pPr>
    <w:r>
      <w:rPr>
        <w:rFonts w:asciiTheme="minorHAnsi" w:hAnsiTheme="minorHAnsi"/>
        <w:sz w:val="20"/>
        <w:szCs w:val="20"/>
      </w:rPr>
      <w:t>SC64 Doc.11</w:t>
    </w:r>
    <w:r>
      <w:rPr>
        <w:rFonts w:asciiTheme="minorHAnsi" w:hAnsiTheme="minorHAnsi"/>
        <w:sz w:val="20"/>
        <w:szCs w:val="20"/>
      </w:rPr>
      <w:tab/>
    </w:r>
    <w:r>
      <w:rPr>
        <w:rFonts w:asciiTheme="minorHAnsi" w:hAnsiTheme="minorHAnsi"/>
        <w:sz w:val="20"/>
        <w:szCs w:val="20"/>
      </w:rPr>
      <w:tab/>
    </w:r>
    <w:sdt>
      <w:sdtPr>
        <w:rPr>
          <w:rFonts w:asciiTheme="minorHAnsi" w:hAnsiTheme="minorHAnsi" w:cstheme="minorHAnsi"/>
          <w:sz w:val="20"/>
          <w:szCs w:val="20"/>
        </w:rPr>
        <w:id w:val="1847977039"/>
        <w:docPartObj>
          <w:docPartGallery w:val="Page Numbers (Bottom of Page)"/>
          <w:docPartUnique/>
        </w:docPartObj>
      </w:sdtPr>
      <w:sdtEndPr>
        <w:rPr>
          <w:noProof/>
        </w:rPr>
      </w:sdtEndPr>
      <w:sdtContent>
        <w:r w:rsidRPr="0091380A">
          <w:rPr>
            <w:rFonts w:asciiTheme="minorHAnsi" w:hAnsiTheme="minorHAnsi" w:cstheme="minorHAnsi"/>
            <w:sz w:val="20"/>
            <w:szCs w:val="20"/>
          </w:rPr>
          <w:fldChar w:fldCharType="begin"/>
        </w:r>
        <w:r w:rsidRPr="0091380A">
          <w:rPr>
            <w:rFonts w:asciiTheme="minorHAnsi" w:hAnsiTheme="minorHAnsi" w:cstheme="minorHAnsi"/>
            <w:sz w:val="20"/>
            <w:szCs w:val="20"/>
          </w:rPr>
          <w:instrText xml:space="preserve"> PAGE   \* MERGEFORMAT </w:instrText>
        </w:r>
        <w:r w:rsidRPr="0091380A">
          <w:rPr>
            <w:rFonts w:asciiTheme="minorHAnsi" w:hAnsiTheme="minorHAnsi" w:cstheme="minorHAnsi"/>
            <w:sz w:val="20"/>
            <w:szCs w:val="20"/>
          </w:rPr>
          <w:fldChar w:fldCharType="separate"/>
        </w:r>
        <w:r>
          <w:rPr>
            <w:rFonts w:asciiTheme="minorHAnsi" w:hAnsiTheme="minorHAnsi" w:cstheme="minorHAnsi"/>
            <w:sz w:val="20"/>
            <w:szCs w:val="20"/>
          </w:rPr>
          <w:t>15</w:t>
        </w:r>
        <w:r w:rsidRPr="0091380A">
          <w:rPr>
            <w:rFonts w:asciiTheme="minorHAnsi" w:hAnsiTheme="minorHAnsi" w:cstheme="minorHAnsi"/>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4F60" w14:textId="35C3F54D" w:rsidR="004C7FC0" w:rsidRPr="00955B28" w:rsidRDefault="0091380A" w:rsidP="00955B28">
    <w:pPr>
      <w:pStyle w:val="Footer"/>
      <w:tabs>
        <w:tab w:val="clear" w:pos="9072"/>
        <w:tab w:val="right" w:pos="13892"/>
      </w:tabs>
      <w:rPr>
        <w:rFonts w:asciiTheme="minorHAnsi" w:hAnsiTheme="minorHAnsi" w:cstheme="minorHAnsi"/>
        <w:sz w:val="20"/>
        <w:szCs w:val="20"/>
      </w:rPr>
    </w:pPr>
    <w:r>
      <w:rPr>
        <w:rFonts w:asciiTheme="minorHAnsi" w:hAnsiTheme="minorHAnsi"/>
        <w:sz w:val="20"/>
        <w:szCs w:val="20"/>
      </w:rPr>
      <w:t>SC64 Doc.11</w:t>
    </w:r>
    <w:r>
      <w:rPr>
        <w:rFonts w:asciiTheme="minorHAnsi" w:hAnsiTheme="minorHAnsi"/>
        <w:sz w:val="20"/>
        <w:szCs w:val="20"/>
      </w:rPr>
      <w:tab/>
    </w:r>
    <w:r>
      <w:rPr>
        <w:rFonts w:asciiTheme="minorHAnsi" w:hAnsiTheme="minorHAnsi"/>
        <w:sz w:val="20"/>
        <w:szCs w:val="20"/>
      </w:rPr>
      <w:tab/>
    </w:r>
    <w:sdt>
      <w:sdtPr>
        <w:rPr>
          <w:rFonts w:asciiTheme="minorHAnsi" w:hAnsiTheme="minorHAnsi" w:cstheme="minorHAnsi"/>
          <w:sz w:val="20"/>
          <w:szCs w:val="20"/>
          <w:shd w:val="clear" w:color="auto" w:fill="FFFFFF" w:themeFill="background1"/>
        </w:rPr>
        <w:id w:val="410977864"/>
        <w:docPartObj>
          <w:docPartGallery w:val="Page Numbers (Bottom of Page)"/>
          <w:docPartUnique/>
        </w:docPartObj>
      </w:sdtPr>
      <w:sdtEndPr>
        <w:rPr>
          <w:noProof/>
        </w:rPr>
      </w:sdtEndPr>
      <w:sdtContent>
        <w:r w:rsidR="007C5F75" w:rsidRPr="007C5F75">
          <w:rPr>
            <w:rFonts w:asciiTheme="minorHAnsi" w:hAnsiTheme="minorHAnsi" w:cstheme="minorHAnsi"/>
            <w:sz w:val="20"/>
            <w:szCs w:val="20"/>
            <w:shd w:val="clear" w:color="auto" w:fill="FFFFFF" w:themeFill="background1"/>
          </w:rPr>
          <w:fldChar w:fldCharType="begin"/>
        </w:r>
        <w:r w:rsidR="007C5F75" w:rsidRPr="007C5F75">
          <w:rPr>
            <w:rFonts w:asciiTheme="minorHAnsi" w:hAnsiTheme="minorHAnsi" w:cstheme="minorHAnsi"/>
            <w:sz w:val="20"/>
            <w:szCs w:val="20"/>
            <w:shd w:val="clear" w:color="auto" w:fill="FFFFFF" w:themeFill="background1"/>
          </w:rPr>
          <w:instrText xml:space="preserve"> PAGE   \* MERGEFORMAT </w:instrText>
        </w:r>
        <w:r w:rsidR="007C5F75" w:rsidRPr="007C5F75">
          <w:rPr>
            <w:rFonts w:asciiTheme="minorHAnsi" w:hAnsiTheme="minorHAnsi" w:cstheme="minorHAnsi"/>
            <w:sz w:val="20"/>
            <w:szCs w:val="20"/>
            <w:shd w:val="clear" w:color="auto" w:fill="FFFFFF" w:themeFill="background1"/>
          </w:rPr>
          <w:fldChar w:fldCharType="separate"/>
        </w:r>
        <w:r w:rsidR="007C5F75" w:rsidRPr="007C5F75">
          <w:rPr>
            <w:rFonts w:asciiTheme="minorHAnsi" w:hAnsiTheme="minorHAnsi" w:cstheme="minorHAnsi"/>
            <w:sz w:val="20"/>
            <w:szCs w:val="20"/>
            <w:shd w:val="clear" w:color="auto" w:fill="FFFFFF" w:themeFill="background1"/>
          </w:rPr>
          <w:t>1</w:t>
        </w:r>
        <w:r w:rsidR="007C5F75" w:rsidRPr="007C5F75">
          <w:rPr>
            <w:rFonts w:asciiTheme="minorHAnsi" w:hAnsiTheme="minorHAnsi" w:cstheme="minorHAnsi"/>
            <w:sz w:val="20"/>
            <w:szCs w:val="20"/>
            <w:shd w:val="clear" w:color="auto" w:fill="FFFFFF" w:themeFill="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DD6A" w14:textId="77777777" w:rsidR="00861626" w:rsidRDefault="00861626" w:rsidP="0062242F">
      <w:r>
        <w:separator/>
      </w:r>
    </w:p>
  </w:footnote>
  <w:footnote w:type="continuationSeparator" w:id="0">
    <w:p w14:paraId="3F5AC96A" w14:textId="77777777" w:rsidR="00861626" w:rsidRDefault="00861626" w:rsidP="0062242F">
      <w:r>
        <w:continuationSeparator/>
      </w:r>
    </w:p>
  </w:footnote>
  <w:footnote w:type="continuationNotice" w:id="1">
    <w:p w14:paraId="710028F4" w14:textId="77777777" w:rsidR="00861626" w:rsidRDefault="00861626"/>
  </w:footnote>
  <w:footnote w:id="2">
    <w:p w14:paraId="67507E9E" w14:textId="352A6B3B" w:rsidR="007720CC" w:rsidRPr="00261002" w:rsidRDefault="007720CC" w:rsidP="007720CC">
      <w:pPr>
        <w:pStyle w:val="FootnoteText"/>
        <w:rPr>
          <w:rFonts w:asciiTheme="minorHAnsi" w:hAnsiTheme="minorHAnsi" w:cstheme="minorHAnsi"/>
          <w:sz w:val="20"/>
          <w:szCs w:val="20"/>
          <w:lang w:val="fr-FR"/>
        </w:rPr>
      </w:pPr>
      <w:r>
        <w:rPr>
          <w:rStyle w:val="FootnoteReference"/>
          <w:rFonts w:asciiTheme="minorHAnsi" w:hAnsiTheme="minorHAnsi" w:cstheme="minorHAnsi"/>
          <w:sz w:val="20"/>
          <w:szCs w:val="20"/>
        </w:rPr>
        <w:footnoteRef/>
      </w:r>
      <w:r w:rsidRPr="00261002">
        <w:rPr>
          <w:rFonts w:asciiTheme="minorHAnsi" w:hAnsiTheme="minorHAnsi"/>
          <w:sz w:val="20"/>
          <w:szCs w:val="20"/>
          <w:lang w:val="fr-FR"/>
        </w:rPr>
        <w:t xml:space="preserve"> Véase </w:t>
      </w:r>
      <w:hyperlink r:id="rId1" w:history="1">
        <w:r w:rsidRPr="00261002">
          <w:rPr>
            <w:rStyle w:val="Hyperlink"/>
            <w:rFonts w:asciiTheme="minorHAnsi" w:hAnsiTheme="minorHAnsi"/>
            <w:sz w:val="20"/>
            <w:szCs w:val="20"/>
            <w:lang w:val="fr-FR"/>
          </w:rPr>
          <w:t>https://www.ramsar.org/es/acerca-de/nuestra-mision/el-plan-estrategico/quinto-plan-estrategico</w:t>
        </w:r>
      </w:hyperlink>
      <w:r w:rsidRPr="00261002">
        <w:rPr>
          <w:rFonts w:asciiTheme="minorHAnsi" w:hAnsiTheme="minorHAnsi"/>
          <w:sz w:val="20"/>
          <w:szCs w:val="20"/>
          <w:lang w:val="fr-FR"/>
        </w:rPr>
        <w:t>.</w:t>
      </w:r>
    </w:p>
  </w:footnote>
  <w:footnote w:id="3">
    <w:p w14:paraId="28345152" w14:textId="1953E73A" w:rsidR="00B16035" w:rsidRPr="00261002" w:rsidRDefault="00B16035" w:rsidP="005C4077">
      <w:pPr>
        <w:pStyle w:val="SPFootnote"/>
        <w:spacing w:after="0"/>
        <w:ind w:left="0" w:firstLine="0"/>
        <w:rPr>
          <w:sz w:val="20"/>
          <w:szCs w:val="20"/>
          <w:lang w:val="fr-FR"/>
        </w:rPr>
      </w:pPr>
      <w:r>
        <w:rPr>
          <w:rStyle w:val="FootnoteReference"/>
          <w:sz w:val="20"/>
          <w:szCs w:val="20"/>
        </w:rPr>
        <w:footnoteRef/>
      </w:r>
      <w:r w:rsidRPr="00261002">
        <w:rPr>
          <w:sz w:val="20"/>
          <w:szCs w:val="20"/>
          <w:lang w:val="fr-FR"/>
        </w:rPr>
        <w:t xml:space="preserve"> </w:t>
      </w:r>
      <w:hyperlink r:id="rId2" w:history="1">
        <w:r w:rsidRPr="00261002">
          <w:rPr>
            <w:rStyle w:val="Hyperlink"/>
            <w:sz w:val="20"/>
            <w:szCs w:val="20"/>
            <w:lang w:val="fr-FR"/>
          </w:rPr>
          <w:t>https://www.ramsar.org/sites/default/files/documents/pdf/res/key_res_vi.14_s.pdf</w:t>
        </w:r>
      </w:hyperlink>
    </w:p>
  </w:footnote>
  <w:footnote w:id="4">
    <w:p w14:paraId="7A2070C8" w14:textId="42DA48CD" w:rsidR="00B16035" w:rsidRPr="00261002" w:rsidRDefault="00B16035" w:rsidP="005C4077">
      <w:pPr>
        <w:pStyle w:val="SP5text"/>
        <w:numPr>
          <w:ilvl w:val="0"/>
          <w:numId w:val="0"/>
        </w:numPr>
        <w:spacing w:after="0"/>
        <w:rPr>
          <w:sz w:val="20"/>
          <w:szCs w:val="20"/>
          <w:lang w:val="fr-FR"/>
        </w:rPr>
      </w:pPr>
      <w:r>
        <w:rPr>
          <w:rStyle w:val="FootnoteReference"/>
          <w:sz w:val="20"/>
          <w:szCs w:val="20"/>
        </w:rPr>
        <w:footnoteRef/>
      </w:r>
      <w:r w:rsidRPr="00261002">
        <w:rPr>
          <w:sz w:val="20"/>
          <w:szCs w:val="20"/>
          <w:lang w:val="fr-FR"/>
        </w:rPr>
        <w:t xml:space="preserve"> </w:t>
      </w:r>
      <w:hyperlink r:id="rId3" w:history="1">
        <w:r w:rsidRPr="00261002">
          <w:rPr>
            <w:rStyle w:val="Hyperlink"/>
            <w:sz w:val="20"/>
            <w:szCs w:val="20"/>
            <w:lang w:val="fr-FR"/>
          </w:rPr>
          <w:t>https://www.ramsar.org/sites/default/files/documents/pdf/res/key_res_viii_25_s.pdf</w:t>
        </w:r>
      </w:hyperlink>
    </w:p>
  </w:footnote>
  <w:footnote w:id="5">
    <w:p w14:paraId="49939920" w14:textId="478CA142" w:rsidR="00B16035" w:rsidRPr="00261002" w:rsidRDefault="00B16035" w:rsidP="005C4077">
      <w:pPr>
        <w:pStyle w:val="SP5text"/>
        <w:numPr>
          <w:ilvl w:val="0"/>
          <w:numId w:val="0"/>
        </w:numPr>
        <w:spacing w:after="0"/>
        <w:rPr>
          <w:sz w:val="20"/>
          <w:szCs w:val="20"/>
          <w:lang w:val="fr-FR"/>
        </w:rPr>
      </w:pPr>
      <w:r>
        <w:rPr>
          <w:rStyle w:val="FootnoteReference"/>
          <w:sz w:val="20"/>
          <w:szCs w:val="20"/>
        </w:rPr>
        <w:footnoteRef/>
      </w:r>
      <w:r w:rsidRPr="00261002">
        <w:rPr>
          <w:sz w:val="20"/>
          <w:szCs w:val="20"/>
          <w:lang w:val="fr-FR"/>
        </w:rPr>
        <w:t xml:space="preserve"> </w:t>
      </w:r>
      <w:hyperlink r:id="rId4" w:history="1">
        <w:r w:rsidRPr="00261002">
          <w:rPr>
            <w:rStyle w:val="Hyperlink"/>
            <w:sz w:val="20"/>
            <w:szCs w:val="20"/>
            <w:lang w:val="fr-FR"/>
          </w:rPr>
          <w:t>https://www.ramsar.org/sites/default/files/documents/library/key_res_x_01_s.pdf</w:t>
        </w:r>
      </w:hyperlink>
      <w:r w:rsidRPr="00261002">
        <w:rPr>
          <w:sz w:val="20"/>
          <w:szCs w:val="20"/>
          <w:lang w:val="fr-FR"/>
        </w:rPr>
        <w:t xml:space="preserve"> </w:t>
      </w:r>
    </w:p>
  </w:footnote>
  <w:footnote w:id="6">
    <w:p w14:paraId="3E662CD4" w14:textId="28816A48" w:rsidR="00B16035" w:rsidRPr="00261002" w:rsidRDefault="00B16035" w:rsidP="005C4077">
      <w:pPr>
        <w:pStyle w:val="SP5text"/>
        <w:numPr>
          <w:ilvl w:val="0"/>
          <w:numId w:val="0"/>
        </w:numPr>
        <w:spacing w:after="0"/>
        <w:rPr>
          <w:sz w:val="20"/>
          <w:szCs w:val="20"/>
          <w:lang w:val="fr-FR"/>
        </w:rPr>
      </w:pPr>
      <w:r>
        <w:rPr>
          <w:rStyle w:val="FootnoteReference"/>
          <w:sz w:val="20"/>
          <w:szCs w:val="20"/>
        </w:rPr>
        <w:footnoteRef/>
      </w:r>
      <w:r w:rsidRPr="00261002">
        <w:rPr>
          <w:sz w:val="20"/>
          <w:szCs w:val="20"/>
          <w:lang w:val="fr-FR"/>
        </w:rPr>
        <w:t xml:space="preserve"> </w:t>
      </w:r>
      <w:hyperlink r:id="rId5" w:history="1">
        <w:r w:rsidRPr="00261002">
          <w:rPr>
            <w:rStyle w:val="Hyperlink"/>
            <w:sz w:val="20"/>
            <w:szCs w:val="20"/>
            <w:lang w:val="fr-FR"/>
          </w:rPr>
          <w:t>https://www.ramsar.org/sites/default/files/documents/library/cop12_res02_strategic_plan_s.pdf</w:t>
        </w:r>
      </w:hyperlink>
    </w:p>
  </w:footnote>
  <w:footnote w:id="7">
    <w:p w14:paraId="70D29070" w14:textId="378B0FB9" w:rsidR="00B16035" w:rsidRPr="005C4077" w:rsidRDefault="00B16035" w:rsidP="005C4077">
      <w:pPr>
        <w:pStyle w:val="SPFootnote"/>
        <w:spacing w:after="0"/>
        <w:ind w:left="0" w:firstLine="0"/>
        <w:rPr>
          <w:sz w:val="20"/>
          <w:szCs w:val="20"/>
        </w:rPr>
      </w:pPr>
      <w:r>
        <w:rPr>
          <w:rStyle w:val="FootnoteReference"/>
          <w:sz w:val="20"/>
          <w:szCs w:val="20"/>
        </w:rPr>
        <w:footnoteRef/>
      </w:r>
      <w:r>
        <w:rPr>
          <w:sz w:val="20"/>
          <w:szCs w:val="20"/>
        </w:rPr>
        <w:t xml:space="preserve"> </w:t>
      </w:r>
      <w:r w:rsidRPr="00261002">
        <w:rPr>
          <w:sz w:val="20"/>
          <w:szCs w:val="20"/>
        </w:rPr>
        <w:t>Secretaría de la Convención de Ramsar (2016). Introducción a la Convención sobre los Humedales (anteriormente Manual de la</w:t>
      </w:r>
      <w:r w:rsidR="005C6324" w:rsidRPr="00261002">
        <w:rPr>
          <w:sz w:val="20"/>
          <w:szCs w:val="20"/>
        </w:rPr>
        <w:t xml:space="preserve"> </w:t>
      </w:r>
      <w:r w:rsidRPr="00261002">
        <w:rPr>
          <w:sz w:val="20"/>
          <w:szCs w:val="20"/>
        </w:rPr>
        <w:t>Convención de Ramsar), Secretaría de la Convención de Ramsar, Gland, Suiza, 118 págs. Disponible en</w:t>
      </w:r>
      <w:r>
        <w:rPr>
          <w:sz w:val="20"/>
          <w:szCs w:val="20"/>
        </w:rPr>
        <w:t xml:space="preserve"> </w:t>
      </w:r>
      <w:hyperlink r:id="rId6" w:history="1">
        <w:r>
          <w:rPr>
            <w:rStyle w:val="Hyperlink"/>
            <w:sz w:val="20"/>
            <w:szCs w:val="20"/>
          </w:rPr>
          <w:t>https://www.ramsar.org/sites/default/files/documents/library/handbook1_5ed_introductiontoconvention_s_final.pdf</w:t>
        </w:r>
      </w:hyperlink>
      <w:r>
        <w:rPr>
          <w:sz w:val="20"/>
          <w:szCs w:val="20"/>
        </w:rPr>
        <w:t xml:space="preserve"> </w:t>
      </w:r>
    </w:p>
  </w:footnote>
  <w:footnote w:id="8">
    <w:p w14:paraId="58FC0735" w14:textId="613E974F" w:rsidR="00B16035" w:rsidRDefault="00B16035" w:rsidP="005C4077">
      <w:pPr>
        <w:pStyle w:val="SPFootnote"/>
        <w:spacing w:after="0"/>
        <w:ind w:left="0" w:firstLine="0"/>
      </w:pPr>
      <w:r>
        <w:rPr>
          <w:rStyle w:val="FootnoteReference"/>
          <w:sz w:val="20"/>
          <w:szCs w:val="20"/>
        </w:rPr>
        <w:footnoteRef/>
      </w:r>
      <w:r>
        <w:rPr>
          <w:sz w:val="20"/>
          <w:szCs w:val="20"/>
        </w:rPr>
        <w:t xml:space="preserve"> </w:t>
      </w:r>
      <w:hyperlink r:id="rId7" w:history="1">
        <w:r>
          <w:rPr>
            <w:rStyle w:val="Hyperlink"/>
            <w:sz w:val="20"/>
            <w:szCs w:val="20"/>
          </w:rPr>
          <w:t>https://www.ramsar.org/sites/default/files/documents/pdf/res/key_res_ix_01_annexa_s.pdf</w:t>
        </w:r>
      </w:hyperlink>
      <w:r>
        <w:t xml:space="preserve"> </w:t>
      </w:r>
    </w:p>
  </w:footnote>
  <w:footnote w:id="9">
    <w:p w14:paraId="57AD5318" w14:textId="28C0A80C" w:rsidR="00B16035" w:rsidRPr="00867F15" w:rsidRDefault="00B16035" w:rsidP="00867F15">
      <w:pPr>
        <w:pStyle w:val="SPFootnote"/>
        <w:spacing w:after="0"/>
        <w:ind w:left="0" w:firstLine="0"/>
        <w:rPr>
          <w:sz w:val="20"/>
          <w:szCs w:val="20"/>
        </w:rPr>
      </w:pPr>
      <w:r>
        <w:rPr>
          <w:rStyle w:val="FootnoteReference"/>
          <w:sz w:val="20"/>
          <w:szCs w:val="20"/>
        </w:rPr>
        <w:footnoteRef/>
      </w:r>
      <w:r>
        <w:t xml:space="preserve"> Al 24 de agosto de 2024.</w:t>
      </w:r>
    </w:p>
  </w:footnote>
  <w:footnote w:id="10">
    <w:p w14:paraId="2F59AD91" w14:textId="1CC137E6" w:rsidR="00B16035" w:rsidRPr="00867F15" w:rsidRDefault="00B16035" w:rsidP="00867F15">
      <w:pPr>
        <w:pStyle w:val="SPFootnote"/>
        <w:spacing w:after="0"/>
        <w:ind w:left="0" w:firstLine="0"/>
        <w:rPr>
          <w:sz w:val="20"/>
          <w:szCs w:val="20"/>
        </w:rPr>
      </w:pPr>
      <w:r>
        <w:rPr>
          <w:rStyle w:val="FootnoteReference"/>
          <w:sz w:val="20"/>
          <w:szCs w:val="20"/>
        </w:rPr>
        <w:footnoteRef/>
      </w:r>
      <w:r>
        <w:rPr>
          <w:sz w:val="20"/>
          <w:szCs w:val="20"/>
        </w:rPr>
        <w:t xml:space="preserve"> </w:t>
      </w:r>
      <w:hyperlink r:id="rId8" w:history="1">
        <w:r>
          <w:rPr>
            <w:rStyle w:val="Hyperlink"/>
            <w:sz w:val="20"/>
            <w:szCs w:val="20"/>
          </w:rPr>
          <w:t>https://www.ramsar.org/sites/default/files/documents/library/gwo_s.pdf</w:t>
        </w:r>
      </w:hyperlink>
      <w:r>
        <w:rPr>
          <w:sz w:val="20"/>
          <w:szCs w:val="20"/>
        </w:rPr>
        <w:t xml:space="preserve"> y </w:t>
      </w:r>
      <w:hyperlink r:id="rId9" w:history="1">
        <w:r>
          <w:rPr>
            <w:rStyle w:val="Hyperlink"/>
            <w:sz w:val="20"/>
            <w:szCs w:val="20"/>
          </w:rPr>
          <w:t>https://www.ramsar.org/sites/default/files/documents/library/gwo_2021_s.pdf</w:t>
        </w:r>
      </w:hyperlink>
      <w:r>
        <w:rPr>
          <w:sz w:val="20"/>
          <w:szCs w:val="20"/>
        </w:rPr>
        <w:t xml:space="preserve"> </w:t>
      </w:r>
    </w:p>
  </w:footnote>
  <w:footnote w:id="11">
    <w:p w14:paraId="1E645218" w14:textId="3B8A3145" w:rsidR="00B16035" w:rsidRDefault="00B16035" w:rsidP="00867F15">
      <w:pPr>
        <w:pStyle w:val="SPFootnote"/>
        <w:spacing w:after="0"/>
        <w:ind w:left="0" w:firstLine="0"/>
      </w:pPr>
      <w:r>
        <w:rPr>
          <w:rStyle w:val="FootnoteReference"/>
          <w:sz w:val="20"/>
          <w:szCs w:val="20"/>
        </w:rPr>
        <w:footnoteRef/>
      </w:r>
      <w:r>
        <w:rPr>
          <w:sz w:val="20"/>
          <w:szCs w:val="20"/>
        </w:rPr>
        <w:t xml:space="preserve"> </w:t>
      </w:r>
      <w:hyperlink r:id="rId10" w:history="1">
        <w:r>
          <w:rPr>
            <w:rStyle w:val="Hyperlink"/>
            <w:sz w:val="20"/>
            <w:szCs w:val="20"/>
          </w:rPr>
          <w:t>https://www.ramsar.org/sites/default/files/2024-03/phase_2_document_review_research_report.pdf</w:t>
        </w:r>
      </w:hyperlink>
      <w:r>
        <w:t xml:space="preserve"> </w:t>
      </w:r>
    </w:p>
  </w:footnote>
  <w:footnote w:id="12">
    <w:p w14:paraId="09AE21F6" w14:textId="6AE3288B" w:rsidR="00B16035" w:rsidRPr="00867F15" w:rsidRDefault="00B16035" w:rsidP="00867F15">
      <w:pPr>
        <w:pStyle w:val="SPFootnote"/>
        <w:rPr>
          <w:sz w:val="20"/>
          <w:szCs w:val="20"/>
        </w:rPr>
      </w:pPr>
      <w:r>
        <w:rPr>
          <w:rStyle w:val="FootnoteReference"/>
          <w:sz w:val="20"/>
          <w:szCs w:val="20"/>
        </w:rPr>
        <w:footnoteRef/>
      </w:r>
      <w:r>
        <w:rPr>
          <w:sz w:val="20"/>
          <w:szCs w:val="20"/>
        </w:rPr>
        <w:t xml:space="preserve"> </w:t>
      </w:r>
      <w:hyperlink r:id="rId11" w:history="1">
        <w:r>
          <w:rPr>
            <w:rStyle w:val="Hyperlink"/>
            <w:sz w:val="20"/>
            <w:szCs w:val="20"/>
          </w:rPr>
          <w:t>https://www.ramsar.org/sites/default/files/documents/library/rpb_values_of_wetlands_s.pdf</w:t>
        </w:r>
      </w:hyperlink>
      <w:r>
        <w:rPr>
          <w:sz w:val="20"/>
          <w:szCs w:val="20"/>
        </w:rPr>
        <w:t xml:space="preserve"> </w:t>
      </w:r>
    </w:p>
  </w:footnote>
  <w:footnote w:id="13">
    <w:p w14:paraId="78599987" w14:textId="557B6D30" w:rsidR="00B16035" w:rsidRPr="004C7FC0" w:rsidRDefault="00B16035" w:rsidP="00B16035">
      <w:pPr>
        <w:pStyle w:val="FootnoteText"/>
        <w:rPr>
          <w:rFonts w:asciiTheme="minorHAnsi" w:hAnsiTheme="minorHAnsi" w:cstheme="minorHAnsi"/>
          <w:sz w:val="20"/>
          <w:szCs w:val="20"/>
        </w:rPr>
      </w:pPr>
      <w:r>
        <w:rPr>
          <w:rStyle w:val="FootnoteReference"/>
          <w:rFonts w:asciiTheme="minorHAnsi" w:hAnsiTheme="minorHAnsi" w:cstheme="minorHAnsi"/>
          <w:sz w:val="20"/>
          <w:szCs w:val="20"/>
        </w:rPr>
        <w:footnoteRef/>
      </w:r>
      <w:r>
        <w:rPr>
          <w:rFonts w:asciiTheme="minorHAnsi" w:hAnsiTheme="minorHAnsi"/>
          <w:sz w:val="20"/>
          <w:szCs w:val="20"/>
        </w:rPr>
        <w:t xml:space="preserve"> Naciones Unidas, Treaty Series, vol. 1771, núm. 30822.</w:t>
      </w:r>
    </w:p>
  </w:footnote>
  <w:footnote w:id="14">
    <w:p w14:paraId="2063D4F8" w14:textId="0063A8A5" w:rsidR="00B16035" w:rsidRPr="004C7FC0" w:rsidRDefault="00B16035" w:rsidP="00B16035">
      <w:pPr>
        <w:pStyle w:val="FootnoteText"/>
        <w:rPr>
          <w:rFonts w:asciiTheme="minorHAnsi" w:hAnsiTheme="minorHAnsi" w:cstheme="minorHAnsi"/>
          <w:sz w:val="20"/>
          <w:szCs w:val="20"/>
        </w:rPr>
      </w:pPr>
      <w:r>
        <w:rPr>
          <w:rStyle w:val="FootnoteReference"/>
          <w:rFonts w:asciiTheme="minorHAnsi" w:hAnsiTheme="minorHAnsi" w:cstheme="minorHAnsi"/>
          <w:sz w:val="20"/>
          <w:szCs w:val="20"/>
        </w:rPr>
        <w:footnoteRef/>
      </w:r>
      <w:r>
        <w:rPr>
          <w:rFonts w:asciiTheme="minorHAnsi" w:hAnsiTheme="minorHAnsi"/>
          <w:sz w:val="20"/>
          <w:szCs w:val="20"/>
        </w:rPr>
        <w:t xml:space="preserve"> Adoptado en el marco de la CMNUCC en FCCC/CP/2015/10/Add.1, decisión 1/CP.21.</w:t>
      </w:r>
    </w:p>
  </w:footnote>
  <w:footnote w:id="15">
    <w:p w14:paraId="30EDEA90" w14:textId="154AADF0" w:rsidR="00B16035" w:rsidRPr="00D91029" w:rsidRDefault="00B16035" w:rsidP="00B16035">
      <w:pPr>
        <w:pStyle w:val="FootnoteText"/>
      </w:pPr>
      <w:r>
        <w:rPr>
          <w:rStyle w:val="FootnoteReference"/>
          <w:rFonts w:asciiTheme="minorHAnsi" w:hAnsiTheme="minorHAnsi" w:cstheme="minorHAnsi"/>
          <w:sz w:val="20"/>
          <w:szCs w:val="20"/>
        </w:rPr>
        <w:footnoteRef/>
      </w:r>
      <w:r>
        <w:rPr>
          <w:rFonts w:asciiTheme="minorHAnsi" w:hAnsiTheme="minorHAnsi"/>
          <w:sz w:val="20"/>
          <w:szCs w:val="20"/>
        </w:rPr>
        <w:t xml:space="preserve"> Adoptado en la Decimoquinta Conferencia de las Partes en el CDB.</w:t>
      </w:r>
    </w:p>
  </w:footnote>
  <w:footnote w:id="16">
    <w:p w14:paraId="7A870361" w14:textId="77777777" w:rsidR="004C7FC0" w:rsidRPr="00534FA0" w:rsidRDefault="004C7FC0" w:rsidP="004C7FC0">
      <w:pPr>
        <w:pStyle w:val="FootnoteText"/>
        <w:rPr>
          <w:rStyle w:val="FootnoteReference"/>
          <w:rFonts w:cs="Calibri"/>
          <w:lang w:val="en-GB"/>
        </w:rPr>
      </w:pPr>
      <w:r w:rsidRPr="00534FA0">
        <w:rPr>
          <w:rStyle w:val="FootnoteReference"/>
          <w:rFonts w:ascii="Calibri" w:hAnsi="Calibri" w:cs="Calibri"/>
          <w:sz w:val="18"/>
          <w:szCs w:val="18"/>
          <w:lang w:val="en-GB"/>
        </w:rPr>
        <w:footnoteRef/>
      </w:r>
      <w:r w:rsidRPr="00534FA0">
        <w:rPr>
          <w:rStyle w:val="FootnoteReference"/>
          <w:rFonts w:ascii="Calibri" w:hAnsi="Calibri" w:cs="Calibri"/>
          <w:sz w:val="18"/>
          <w:szCs w:val="18"/>
          <w:lang w:val="en-GB"/>
        </w:rPr>
        <w:t xml:space="preserve"> Esta figura será revisada en función de los objetivos aprobados.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65B8"/>
    <w:multiLevelType w:val="hybridMultilevel"/>
    <w:tmpl w:val="F41682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C739A"/>
    <w:multiLevelType w:val="hybridMultilevel"/>
    <w:tmpl w:val="1B9A26FE"/>
    <w:lvl w:ilvl="0" w:tplc="9522C92E">
      <w:start w:val="1"/>
      <w:numFmt w:val="decimal"/>
      <w:pStyle w:val="SP5text"/>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F3F8B"/>
    <w:multiLevelType w:val="hybridMultilevel"/>
    <w:tmpl w:val="EC3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63A"/>
    <w:multiLevelType w:val="hybridMultilevel"/>
    <w:tmpl w:val="3B685C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4330D"/>
    <w:multiLevelType w:val="hybridMultilevel"/>
    <w:tmpl w:val="2FFE6D68"/>
    <w:lvl w:ilvl="0" w:tplc="8E105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4458"/>
    <w:multiLevelType w:val="hybridMultilevel"/>
    <w:tmpl w:val="FF24C7F4"/>
    <w:lvl w:ilvl="0" w:tplc="86DC2CA8">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816DC"/>
    <w:multiLevelType w:val="hybridMultilevel"/>
    <w:tmpl w:val="3FE6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55291"/>
    <w:multiLevelType w:val="hybridMultilevel"/>
    <w:tmpl w:val="2FCCF912"/>
    <w:lvl w:ilvl="0" w:tplc="6E46F4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8938042">
    <w:abstractNumId w:val="5"/>
  </w:num>
  <w:num w:numId="2" w16cid:durableId="764420594">
    <w:abstractNumId w:val="4"/>
  </w:num>
  <w:num w:numId="3" w16cid:durableId="193159162">
    <w:abstractNumId w:val="0"/>
  </w:num>
  <w:num w:numId="4" w16cid:durableId="868682940">
    <w:abstractNumId w:val="3"/>
  </w:num>
  <w:num w:numId="5" w16cid:durableId="382873100">
    <w:abstractNumId w:val="2"/>
  </w:num>
  <w:num w:numId="6" w16cid:durableId="928541349">
    <w:abstractNumId w:val="7"/>
  </w:num>
  <w:num w:numId="7" w16cid:durableId="1843427081">
    <w:abstractNumId w:val="1"/>
  </w:num>
  <w:num w:numId="8" w16cid:durableId="1315137046">
    <w:abstractNumId w:val="6"/>
  </w:num>
  <w:num w:numId="9" w16cid:durableId="461701982">
    <w:abstractNumId w:val="1"/>
  </w:num>
  <w:num w:numId="10" w16cid:durableId="414279557">
    <w:abstractNumId w:val="1"/>
  </w:num>
  <w:num w:numId="11" w16cid:durableId="2029023816">
    <w:abstractNumId w:val="1"/>
  </w:num>
  <w:num w:numId="12" w16cid:durableId="1096485721">
    <w:abstractNumId w:val="1"/>
  </w:num>
  <w:num w:numId="13" w16cid:durableId="53432515">
    <w:abstractNumId w:val="1"/>
  </w:num>
  <w:num w:numId="14" w16cid:durableId="767582494">
    <w:abstractNumId w:val="1"/>
  </w:num>
  <w:num w:numId="15" w16cid:durableId="1933388607">
    <w:abstractNumId w:val="1"/>
  </w:num>
  <w:num w:numId="16" w16cid:durableId="1643728753">
    <w:abstractNumId w:val="1"/>
  </w:num>
  <w:num w:numId="17" w16cid:durableId="2039236848">
    <w:abstractNumId w:val="1"/>
  </w:num>
  <w:num w:numId="18" w16cid:durableId="1756390474">
    <w:abstractNumId w:val="1"/>
  </w:num>
  <w:num w:numId="19" w16cid:durableId="1749034359">
    <w:abstractNumId w:val="1"/>
  </w:num>
  <w:num w:numId="20" w16cid:durableId="868224775">
    <w:abstractNumId w:val="1"/>
  </w:num>
  <w:num w:numId="21" w16cid:durableId="919371458">
    <w:abstractNumId w:val="1"/>
  </w:num>
  <w:num w:numId="22" w16cid:durableId="1669210029">
    <w:abstractNumId w:val="1"/>
  </w:num>
  <w:num w:numId="23" w16cid:durableId="682438767">
    <w:abstractNumId w:val="1"/>
  </w:num>
  <w:num w:numId="24" w16cid:durableId="628556370">
    <w:abstractNumId w:val="1"/>
  </w:num>
  <w:num w:numId="25" w16cid:durableId="1963613503">
    <w:abstractNumId w:val="1"/>
  </w:num>
  <w:num w:numId="26" w16cid:durableId="1509828338">
    <w:abstractNumId w:val="1"/>
  </w:num>
  <w:num w:numId="27" w16cid:durableId="673462879">
    <w:abstractNumId w:val="1"/>
  </w:num>
  <w:num w:numId="28" w16cid:durableId="681974779">
    <w:abstractNumId w:val="1"/>
  </w:num>
  <w:num w:numId="29" w16cid:durableId="651181228">
    <w:abstractNumId w:val="1"/>
  </w:num>
  <w:num w:numId="30" w16cid:durableId="1432236901">
    <w:abstractNumId w:val="1"/>
  </w:num>
  <w:num w:numId="31" w16cid:durableId="883910382">
    <w:abstractNumId w:val="1"/>
  </w:num>
  <w:num w:numId="32" w16cid:durableId="1753165355">
    <w:abstractNumId w:val="1"/>
  </w:num>
  <w:num w:numId="33" w16cid:durableId="1972204072">
    <w:abstractNumId w:val="1"/>
  </w:num>
  <w:num w:numId="34" w16cid:durableId="1332634478">
    <w:abstractNumId w:val="1"/>
  </w:num>
  <w:num w:numId="35" w16cid:durableId="1000305895">
    <w:abstractNumId w:val="1"/>
  </w:num>
  <w:num w:numId="36" w16cid:durableId="1407918413">
    <w:abstractNumId w:val="1"/>
  </w:num>
  <w:num w:numId="37" w16cid:durableId="115129335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oNotTrackFormatting/>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2F"/>
    <w:rsid w:val="0000033A"/>
    <w:rsid w:val="000004EB"/>
    <w:rsid w:val="00003242"/>
    <w:rsid w:val="00003575"/>
    <w:rsid w:val="00003E75"/>
    <w:rsid w:val="00004BF9"/>
    <w:rsid w:val="0000672F"/>
    <w:rsid w:val="00006AB3"/>
    <w:rsid w:val="000118ED"/>
    <w:rsid w:val="0001191F"/>
    <w:rsid w:val="0001293D"/>
    <w:rsid w:val="00013C52"/>
    <w:rsid w:val="00014603"/>
    <w:rsid w:val="00015202"/>
    <w:rsid w:val="00020730"/>
    <w:rsid w:val="0002328E"/>
    <w:rsid w:val="00023BFF"/>
    <w:rsid w:val="00023EC8"/>
    <w:rsid w:val="00024AE6"/>
    <w:rsid w:val="00024D46"/>
    <w:rsid w:val="00025243"/>
    <w:rsid w:val="00025F1D"/>
    <w:rsid w:val="00026470"/>
    <w:rsid w:val="00027B60"/>
    <w:rsid w:val="00027C5C"/>
    <w:rsid w:val="00031121"/>
    <w:rsid w:val="00031AE7"/>
    <w:rsid w:val="00034F6C"/>
    <w:rsid w:val="00037796"/>
    <w:rsid w:val="000408C9"/>
    <w:rsid w:val="0004307C"/>
    <w:rsid w:val="00043584"/>
    <w:rsid w:val="0004388F"/>
    <w:rsid w:val="00043953"/>
    <w:rsid w:val="00043B7E"/>
    <w:rsid w:val="00043C24"/>
    <w:rsid w:val="00044028"/>
    <w:rsid w:val="00045B85"/>
    <w:rsid w:val="0004670A"/>
    <w:rsid w:val="000510FE"/>
    <w:rsid w:val="00051810"/>
    <w:rsid w:val="00052075"/>
    <w:rsid w:val="0005258F"/>
    <w:rsid w:val="00052E6A"/>
    <w:rsid w:val="0005553E"/>
    <w:rsid w:val="000574D9"/>
    <w:rsid w:val="000612CB"/>
    <w:rsid w:val="000620D9"/>
    <w:rsid w:val="00062C22"/>
    <w:rsid w:val="00063377"/>
    <w:rsid w:val="00063C03"/>
    <w:rsid w:val="00064167"/>
    <w:rsid w:val="000664FB"/>
    <w:rsid w:val="00067587"/>
    <w:rsid w:val="000676A9"/>
    <w:rsid w:val="00067828"/>
    <w:rsid w:val="0007224A"/>
    <w:rsid w:val="000738A8"/>
    <w:rsid w:val="00074CC9"/>
    <w:rsid w:val="00081EB1"/>
    <w:rsid w:val="0008200D"/>
    <w:rsid w:val="000821AE"/>
    <w:rsid w:val="00082F25"/>
    <w:rsid w:val="00083479"/>
    <w:rsid w:val="00083A3A"/>
    <w:rsid w:val="00084F98"/>
    <w:rsid w:val="0008516C"/>
    <w:rsid w:val="00087AC4"/>
    <w:rsid w:val="0009058E"/>
    <w:rsid w:val="0009075C"/>
    <w:rsid w:val="000910C0"/>
    <w:rsid w:val="00091FE3"/>
    <w:rsid w:val="0009719F"/>
    <w:rsid w:val="0009749F"/>
    <w:rsid w:val="00097ECE"/>
    <w:rsid w:val="000A06A2"/>
    <w:rsid w:val="000A1D4E"/>
    <w:rsid w:val="000A1E59"/>
    <w:rsid w:val="000A5DCF"/>
    <w:rsid w:val="000A5EB8"/>
    <w:rsid w:val="000A6CA9"/>
    <w:rsid w:val="000A77EA"/>
    <w:rsid w:val="000B1087"/>
    <w:rsid w:val="000B3C0B"/>
    <w:rsid w:val="000B53F2"/>
    <w:rsid w:val="000B58D1"/>
    <w:rsid w:val="000B5E9A"/>
    <w:rsid w:val="000B721F"/>
    <w:rsid w:val="000C4CB1"/>
    <w:rsid w:val="000C570B"/>
    <w:rsid w:val="000C5CAB"/>
    <w:rsid w:val="000C7EF4"/>
    <w:rsid w:val="000D0C24"/>
    <w:rsid w:val="000D2E29"/>
    <w:rsid w:val="000D3221"/>
    <w:rsid w:val="000D4259"/>
    <w:rsid w:val="000D43D6"/>
    <w:rsid w:val="000D4B7D"/>
    <w:rsid w:val="000D69BA"/>
    <w:rsid w:val="000D79C9"/>
    <w:rsid w:val="000E2667"/>
    <w:rsid w:val="000E420E"/>
    <w:rsid w:val="000F182C"/>
    <w:rsid w:val="000F368F"/>
    <w:rsid w:val="000F3827"/>
    <w:rsid w:val="000F3D8D"/>
    <w:rsid w:val="000F7D2B"/>
    <w:rsid w:val="00101BD9"/>
    <w:rsid w:val="00103460"/>
    <w:rsid w:val="00103EA2"/>
    <w:rsid w:val="001040B3"/>
    <w:rsid w:val="001075AB"/>
    <w:rsid w:val="00110210"/>
    <w:rsid w:val="0011177A"/>
    <w:rsid w:val="001126AD"/>
    <w:rsid w:val="00113365"/>
    <w:rsid w:val="00113ACD"/>
    <w:rsid w:val="00115ED4"/>
    <w:rsid w:val="00116EB9"/>
    <w:rsid w:val="00122C43"/>
    <w:rsid w:val="001231C9"/>
    <w:rsid w:val="0012463F"/>
    <w:rsid w:val="00126995"/>
    <w:rsid w:val="00135A85"/>
    <w:rsid w:val="0013731D"/>
    <w:rsid w:val="00137BD2"/>
    <w:rsid w:val="001419EC"/>
    <w:rsid w:val="00142250"/>
    <w:rsid w:val="00142A25"/>
    <w:rsid w:val="00142DE6"/>
    <w:rsid w:val="001462D2"/>
    <w:rsid w:val="001465C9"/>
    <w:rsid w:val="00146A87"/>
    <w:rsid w:val="00147073"/>
    <w:rsid w:val="001473E9"/>
    <w:rsid w:val="00147B62"/>
    <w:rsid w:val="00147E23"/>
    <w:rsid w:val="00156322"/>
    <w:rsid w:val="00161FFF"/>
    <w:rsid w:val="001627F0"/>
    <w:rsid w:val="00167498"/>
    <w:rsid w:val="00170E2D"/>
    <w:rsid w:val="00171807"/>
    <w:rsid w:val="00174A1A"/>
    <w:rsid w:val="0018176A"/>
    <w:rsid w:val="00183CB9"/>
    <w:rsid w:val="00191876"/>
    <w:rsid w:val="0019360D"/>
    <w:rsid w:val="00195451"/>
    <w:rsid w:val="00195EA9"/>
    <w:rsid w:val="001A08CC"/>
    <w:rsid w:val="001A2771"/>
    <w:rsid w:val="001A6E9F"/>
    <w:rsid w:val="001A73ED"/>
    <w:rsid w:val="001B42D7"/>
    <w:rsid w:val="001B79CE"/>
    <w:rsid w:val="001C0018"/>
    <w:rsid w:val="001C2604"/>
    <w:rsid w:val="001D0106"/>
    <w:rsid w:val="001D0546"/>
    <w:rsid w:val="001D1EB9"/>
    <w:rsid w:val="001D3480"/>
    <w:rsid w:val="001D58B4"/>
    <w:rsid w:val="001D743A"/>
    <w:rsid w:val="001D7CCB"/>
    <w:rsid w:val="001E4125"/>
    <w:rsid w:val="001E4262"/>
    <w:rsid w:val="001E510B"/>
    <w:rsid w:val="001E5583"/>
    <w:rsid w:val="001E7448"/>
    <w:rsid w:val="001E784F"/>
    <w:rsid w:val="001E7C4A"/>
    <w:rsid w:val="001F07A7"/>
    <w:rsid w:val="001F1ECB"/>
    <w:rsid w:val="001F31C5"/>
    <w:rsid w:val="001F51DC"/>
    <w:rsid w:val="001F6455"/>
    <w:rsid w:val="001F7821"/>
    <w:rsid w:val="00200B57"/>
    <w:rsid w:val="002012C0"/>
    <w:rsid w:val="0020310E"/>
    <w:rsid w:val="0021265F"/>
    <w:rsid w:val="00212FEA"/>
    <w:rsid w:val="00214C18"/>
    <w:rsid w:val="0021506D"/>
    <w:rsid w:val="00217EF8"/>
    <w:rsid w:val="0022169E"/>
    <w:rsid w:val="00221851"/>
    <w:rsid w:val="00223DCF"/>
    <w:rsid w:val="00224CFB"/>
    <w:rsid w:val="002263F8"/>
    <w:rsid w:val="0022654E"/>
    <w:rsid w:val="00226C42"/>
    <w:rsid w:val="00227C88"/>
    <w:rsid w:val="002323E4"/>
    <w:rsid w:val="002345C3"/>
    <w:rsid w:val="002360DD"/>
    <w:rsid w:val="0024042E"/>
    <w:rsid w:val="002465A4"/>
    <w:rsid w:val="002473EE"/>
    <w:rsid w:val="00250AF3"/>
    <w:rsid w:val="00250F1D"/>
    <w:rsid w:val="00251164"/>
    <w:rsid w:val="002528D1"/>
    <w:rsid w:val="00255200"/>
    <w:rsid w:val="00256E98"/>
    <w:rsid w:val="00260411"/>
    <w:rsid w:val="00260980"/>
    <w:rsid w:val="00260CA9"/>
    <w:rsid w:val="00261002"/>
    <w:rsid w:val="0026181A"/>
    <w:rsid w:val="00263A35"/>
    <w:rsid w:val="00264011"/>
    <w:rsid w:val="002642C1"/>
    <w:rsid w:val="00265735"/>
    <w:rsid w:val="00267207"/>
    <w:rsid w:val="0026760D"/>
    <w:rsid w:val="00270721"/>
    <w:rsid w:val="0027129D"/>
    <w:rsid w:val="00271D33"/>
    <w:rsid w:val="00272FDE"/>
    <w:rsid w:val="0027708C"/>
    <w:rsid w:val="002808C1"/>
    <w:rsid w:val="002828BE"/>
    <w:rsid w:val="00282FF3"/>
    <w:rsid w:val="00283A12"/>
    <w:rsid w:val="002869C1"/>
    <w:rsid w:val="002916AA"/>
    <w:rsid w:val="002917DF"/>
    <w:rsid w:val="00291C8D"/>
    <w:rsid w:val="00292B35"/>
    <w:rsid w:val="0029380C"/>
    <w:rsid w:val="00296240"/>
    <w:rsid w:val="00297727"/>
    <w:rsid w:val="002A1513"/>
    <w:rsid w:val="002A2906"/>
    <w:rsid w:val="002A6576"/>
    <w:rsid w:val="002A7A05"/>
    <w:rsid w:val="002B107D"/>
    <w:rsid w:val="002B1320"/>
    <w:rsid w:val="002B1645"/>
    <w:rsid w:val="002B3519"/>
    <w:rsid w:val="002B7E9F"/>
    <w:rsid w:val="002C0037"/>
    <w:rsid w:val="002C01D7"/>
    <w:rsid w:val="002C08D5"/>
    <w:rsid w:val="002C1165"/>
    <w:rsid w:val="002C171D"/>
    <w:rsid w:val="002C1C0A"/>
    <w:rsid w:val="002C31A1"/>
    <w:rsid w:val="002C31AD"/>
    <w:rsid w:val="002C33F0"/>
    <w:rsid w:val="002D187F"/>
    <w:rsid w:val="002D2C30"/>
    <w:rsid w:val="002D344E"/>
    <w:rsid w:val="002D3FF3"/>
    <w:rsid w:val="002D4837"/>
    <w:rsid w:val="002D4C8A"/>
    <w:rsid w:val="002D576B"/>
    <w:rsid w:val="002D6EF1"/>
    <w:rsid w:val="002D704D"/>
    <w:rsid w:val="002E34C3"/>
    <w:rsid w:val="002E37F3"/>
    <w:rsid w:val="002E38FE"/>
    <w:rsid w:val="002E529B"/>
    <w:rsid w:val="002E63E4"/>
    <w:rsid w:val="002E7FA7"/>
    <w:rsid w:val="002F06AA"/>
    <w:rsid w:val="002F55F0"/>
    <w:rsid w:val="002F6D48"/>
    <w:rsid w:val="002F71D2"/>
    <w:rsid w:val="00300089"/>
    <w:rsid w:val="0030515E"/>
    <w:rsid w:val="003070EC"/>
    <w:rsid w:val="00313112"/>
    <w:rsid w:val="0031427E"/>
    <w:rsid w:val="00315149"/>
    <w:rsid w:val="00315BB0"/>
    <w:rsid w:val="0031709B"/>
    <w:rsid w:val="00317672"/>
    <w:rsid w:val="003239D9"/>
    <w:rsid w:val="003267FF"/>
    <w:rsid w:val="003274CB"/>
    <w:rsid w:val="00334401"/>
    <w:rsid w:val="00335069"/>
    <w:rsid w:val="00336B55"/>
    <w:rsid w:val="00340E17"/>
    <w:rsid w:val="00341C62"/>
    <w:rsid w:val="00343E73"/>
    <w:rsid w:val="0034449C"/>
    <w:rsid w:val="0034564D"/>
    <w:rsid w:val="00346874"/>
    <w:rsid w:val="00351DDA"/>
    <w:rsid w:val="003540D6"/>
    <w:rsid w:val="003543C7"/>
    <w:rsid w:val="00354D99"/>
    <w:rsid w:val="003553E3"/>
    <w:rsid w:val="003579F0"/>
    <w:rsid w:val="00357BD4"/>
    <w:rsid w:val="00361B45"/>
    <w:rsid w:val="00362608"/>
    <w:rsid w:val="00363F1D"/>
    <w:rsid w:val="003657AF"/>
    <w:rsid w:val="003718AB"/>
    <w:rsid w:val="0037214E"/>
    <w:rsid w:val="003726A8"/>
    <w:rsid w:val="00373581"/>
    <w:rsid w:val="00373852"/>
    <w:rsid w:val="0037416F"/>
    <w:rsid w:val="00374C83"/>
    <w:rsid w:val="003759AC"/>
    <w:rsid w:val="003763BD"/>
    <w:rsid w:val="0038184E"/>
    <w:rsid w:val="00382304"/>
    <w:rsid w:val="003838CD"/>
    <w:rsid w:val="00383CB9"/>
    <w:rsid w:val="00385ADF"/>
    <w:rsid w:val="00385D31"/>
    <w:rsid w:val="00390231"/>
    <w:rsid w:val="0039300F"/>
    <w:rsid w:val="00393E13"/>
    <w:rsid w:val="0039410E"/>
    <w:rsid w:val="00397091"/>
    <w:rsid w:val="003A0C3A"/>
    <w:rsid w:val="003A20C5"/>
    <w:rsid w:val="003A6343"/>
    <w:rsid w:val="003A7372"/>
    <w:rsid w:val="003B08FE"/>
    <w:rsid w:val="003B333F"/>
    <w:rsid w:val="003B3AAD"/>
    <w:rsid w:val="003B4642"/>
    <w:rsid w:val="003B50FC"/>
    <w:rsid w:val="003B57C2"/>
    <w:rsid w:val="003B5C2C"/>
    <w:rsid w:val="003C010A"/>
    <w:rsid w:val="003C052B"/>
    <w:rsid w:val="003C0E98"/>
    <w:rsid w:val="003C4D2C"/>
    <w:rsid w:val="003C4F02"/>
    <w:rsid w:val="003D1D82"/>
    <w:rsid w:val="003D25B0"/>
    <w:rsid w:val="003D3FD9"/>
    <w:rsid w:val="003D4110"/>
    <w:rsid w:val="003D5449"/>
    <w:rsid w:val="003E01E3"/>
    <w:rsid w:val="003E3CFA"/>
    <w:rsid w:val="003F05A3"/>
    <w:rsid w:val="003F0D15"/>
    <w:rsid w:val="003F12AF"/>
    <w:rsid w:val="003F146E"/>
    <w:rsid w:val="003F221A"/>
    <w:rsid w:val="003F3A48"/>
    <w:rsid w:val="003F3DC4"/>
    <w:rsid w:val="003F49F8"/>
    <w:rsid w:val="003F4B92"/>
    <w:rsid w:val="003F674E"/>
    <w:rsid w:val="003F68B9"/>
    <w:rsid w:val="004000CF"/>
    <w:rsid w:val="004011A9"/>
    <w:rsid w:val="004028F1"/>
    <w:rsid w:val="00403F30"/>
    <w:rsid w:val="0040498F"/>
    <w:rsid w:val="004063E4"/>
    <w:rsid w:val="00406B92"/>
    <w:rsid w:val="0040773E"/>
    <w:rsid w:val="00413A8B"/>
    <w:rsid w:val="004166CF"/>
    <w:rsid w:val="004200C6"/>
    <w:rsid w:val="004202F9"/>
    <w:rsid w:val="00421FAC"/>
    <w:rsid w:val="00425A53"/>
    <w:rsid w:val="0042672B"/>
    <w:rsid w:val="00427BBF"/>
    <w:rsid w:val="0043148E"/>
    <w:rsid w:val="00436882"/>
    <w:rsid w:val="00437CAA"/>
    <w:rsid w:val="00440C08"/>
    <w:rsid w:val="00441F10"/>
    <w:rsid w:val="00445C19"/>
    <w:rsid w:val="00445CF9"/>
    <w:rsid w:val="00451156"/>
    <w:rsid w:val="00451A08"/>
    <w:rsid w:val="00451A32"/>
    <w:rsid w:val="00456EA5"/>
    <w:rsid w:val="00457E8F"/>
    <w:rsid w:val="004629C6"/>
    <w:rsid w:val="00467DCD"/>
    <w:rsid w:val="0047148F"/>
    <w:rsid w:val="00471D6C"/>
    <w:rsid w:val="00473A72"/>
    <w:rsid w:val="00475007"/>
    <w:rsid w:val="00475267"/>
    <w:rsid w:val="00475E1D"/>
    <w:rsid w:val="00476C73"/>
    <w:rsid w:val="0048194A"/>
    <w:rsid w:val="00482E7C"/>
    <w:rsid w:val="0048365A"/>
    <w:rsid w:val="00484994"/>
    <w:rsid w:val="004863B3"/>
    <w:rsid w:val="004865C7"/>
    <w:rsid w:val="00492EEB"/>
    <w:rsid w:val="004932BC"/>
    <w:rsid w:val="00493BA6"/>
    <w:rsid w:val="00494789"/>
    <w:rsid w:val="00494EF0"/>
    <w:rsid w:val="00495A4E"/>
    <w:rsid w:val="004A1CFA"/>
    <w:rsid w:val="004A1E25"/>
    <w:rsid w:val="004A44D1"/>
    <w:rsid w:val="004A46B9"/>
    <w:rsid w:val="004A4C68"/>
    <w:rsid w:val="004A5D22"/>
    <w:rsid w:val="004B0505"/>
    <w:rsid w:val="004B0E46"/>
    <w:rsid w:val="004B11CF"/>
    <w:rsid w:val="004B3AFF"/>
    <w:rsid w:val="004B48FE"/>
    <w:rsid w:val="004B4E91"/>
    <w:rsid w:val="004B5518"/>
    <w:rsid w:val="004C0D8A"/>
    <w:rsid w:val="004C1845"/>
    <w:rsid w:val="004C2218"/>
    <w:rsid w:val="004C265A"/>
    <w:rsid w:val="004C3238"/>
    <w:rsid w:val="004C7FC0"/>
    <w:rsid w:val="004D1938"/>
    <w:rsid w:val="004D4466"/>
    <w:rsid w:val="004D541E"/>
    <w:rsid w:val="004D6F82"/>
    <w:rsid w:val="004E0FD4"/>
    <w:rsid w:val="004E25BB"/>
    <w:rsid w:val="004E2969"/>
    <w:rsid w:val="004E5C33"/>
    <w:rsid w:val="004F02EE"/>
    <w:rsid w:val="004F0D80"/>
    <w:rsid w:val="004F1F12"/>
    <w:rsid w:val="004F228F"/>
    <w:rsid w:val="00503A47"/>
    <w:rsid w:val="00504ED5"/>
    <w:rsid w:val="00507F75"/>
    <w:rsid w:val="00510FCA"/>
    <w:rsid w:val="005111E0"/>
    <w:rsid w:val="00513BE3"/>
    <w:rsid w:val="005169E6"/>
    <w:rsid w:val="00516C0F"/>
    <w:rsid w:val="005171C5"/>
    <w:rsid w:val="005209D4"/>
    <w:rsid w:val="005226DE"/>
    <w:rsid w:val="005247CD"/>
    <w:rsid w:val="0052537A"/>
    <w:rsid w:val="00525EFE"/>
    <w:rsid w:val="005262C2"/>
    <w:rsid w:val="005277D2"/>
    <w:rsid w:val="005319F0"/>
    <w:rsid w:val="00534E57"/>
    <w:rsid w:val="00534FA0"/>
    <w:rsid w:val="0053688F"/>
    <w:rsid w:val="00536927"/>
    <w:rsid w:val="005414A8"/>
    <w:rsid w:val="0054270F"/>
    <w:rsid w:val="00544D9D"/>
    <w:rsid w:val="00544DA9"/>
    <w:rsid w:val="00545F91"/>
    <w:rsid w:val="005471C8"/>
    <w:rsid w:val="0055542C"/>
    <w:rsid w:val="0056260A"/>
    <w:rsid w:val="005634F5"/>
    <w:rsid w:val="005639EC"/>
    <w:rsid w:val="00564076"/>
    <w:rsid w:val="00570736"/>
    <w:rsid w:val="00571960"/>
    <w:rsid w:val="005743FD"/>
    <w:rsid w:val="005836E9"/>
    <w:rsid w:val="00584B1A"/>
    <w:rsid w:val="00586626"/>
    <w:rsid w:val="005915B7"/>
    <w:rsid w:val="00593126"/>
    <w:rsid w:val="00594CA8"/>
    <w:rsid w:val="0059557D"/>
    <w:rsid w:val="00596E5F"/>
    <w:rsid w:val="005A3014"/>
    <w:rsid w:val="005A3238"/>
    <w:rsid w:val="005A4B6E"/>
    <w:rsid w:val="005A5936"/>
    <w:rsid w:val="005A645E"/>
    <w:rsid w:val="005A66E5"/>
    <w:rsid w:val="005A775D"/>
    <w:rsid w:val="005A7A37"/>
    <w:rsid w:val="005A7AFC"/>
    <w:rsid w:val="005B0003"/>
    <w:rsid w:val="005B2E66"/>
    <w:rsid w:val="005B3083"/>
    <w:rsid w:val="005B3494"/>
    <w:rsid w:val="005B48A2"/>
    <w:rsid w:val="005B6E94"/>
    <w:rsid w:val="005B756C"/>
    <w:rsid w:val="005B7B40"/>
    <w:rsid w:val="005C2739"/>
    <w:rsid w:val="005C2DCC"/>
    <w:rsid w:val="005C4077"/>
    <w:rsid w:val="005C5E72"/>
    <w:rsid w:val="005C6324"/>
    <w:rsid w:val="005C6597"/>
    <w:rsid w:val="005C708E"/>
    <w:rsid w:val="005C795C"/>
    <w:rsid w:val="005C7F1A"/>
    <w:rsid w:val="005D05E7"/>
    <w:rsid w:val="005D08F9"/>
    <w:rsid w:val="005D12BF"/>
    <w:rsid w:val="005D589D"/>
    <w:rsid w:val="005D592C"/>
    <w:rsid w:val="005D6BFB"/>
    <w:rsid w:val="005E2B54"/>
    <w:rsid w:val="005E396F"/>
    <w:rsid w:val="005E4CBB"/>
    <w:rsid w:val="005E5F6C"/>
    <w:rsid w:val="005E7140"/>
    <w:rsid w:val="005F034C"/>
    <w:rsid w:val="005F0CFC"/>
    <w:rsid w:val="005F140C"/>
    <w:rsid w:val="005F2424"/>
    <w:rsid w:val="005F2F58"/>
    <w:rsid w:val="005F49D0"/>
    <w:rsid w:val="005F5A28"/>
    <w:rsid w:val="005F7CB0"/>
    <w:rsid w:val="00600A82"/>
    <w:rsid w:val="00602A98"/>
    <w:rsid w:val="006033D6"/>
    <w:rsid w:val="00604B25"/>
    <w:rsid w:val="00604D8A"/>
    <w:rsid w:val="00611D6D"/>
    <w:rsid w:val="00612084"/>
    <w:rsid w:val="0061212C"/>
    <w:rsid w:val="00612D47"/>
    <w:rsid w:val="00613ECE"/>
    <w:rsid w:val="0061444B"/>
    <w:rsid w:val="00615D47"/>
    <w:rsid w:val="006164ED"/>
    <w:rsid w:val="00620F3C"/>
    <w:rsid w:val="00620FA9"/>
    <w:rsid w:val="0062242F"/>
    <w:rsid w:val="006245A3"/>
    <w:rsid w:val="006247AC"/>
    <w:rsid w:val="006268D7"/>
    <w:rsid w:val="0062728C"/>
    <w:rsid w:val="00630951"/>
    <w:rsid w:val="006371B4"/>
    <w:rsid w:val="00643B6B"/>
    <w:rsid w:val="0064565B"/>
    <w:rsid w:val="00656858"/>
    <w:rsid w:val="00657452"/>
    <w:rsid w:val="0066336B"/>
    <w:rsid w:val="00665620"/>
    <w:rsid w:val="0066656D"/>
    <w:rsid w:val="006668E7"/>
    <w:rsid w:val="00667AE1"/>
    <w:rsid w:val="00671FDA"/>
    <w:rsid w:val="00674B70"/>
    <w:rsid w:val="00674F58"/>
    <w:rsid w:val="0067554C"/>
    <w:rsid w:val="00675CEA"/>
    <w:rsid w:val="00681247"/>
    <w:rsid w:val="006848DA"/>
    <w:rsid w:val="006874A7"/>
    <w:rsid w:val="006904DA"/>
    <w:rsid w:val="00693894"/>
    <w:rsid w:val="00695246"/>
    <w:rsid w:val="006976B3"/>
    <w:rsid w:val="006A46A0"/>
    <w:rsid w:val="006A59FA"/>
    <w:rsid w:val="006A7C8F"/>
    <w:rsid w:val="006B0057"/>
    <w:rsid w:val="006B09E8"/>
    <w:rsid w:val="006B2A25"/>
    <w:rsid w:val="006B586E"/>
    <w:rsid w:val="006B729B"/>
    <w:rsid w:val="006B7C2E"/>
    <w:rsid w:val="006C051C"/>
    <w:rsid w:val="006C1060"/>
    <w:rsid w:val="006C2DB7"/>
    <w:rsid w:val="006C5C5E"/>
    <w:rsid w:val="006C5E49"/>
    <w:rsid w:val="006C6742"/>
    <w:rsid w:val="006D0687"/>
    <w:rsid w:val="006D0781"/>
    <w:rsid w:val="006D2881"/>
    <w:rsid w:val="006D4745"/>
    <w:rsid w:val="006D4D80"/>
    <w:rsid w:val="006D5772"/>
    <w:rsid w:val="006D7841"/>
    <w:rsid w:val="006E1229"/>
    <w:rsid w:val="006E2EA3"/>
    <w:rsid w:val="006E4070"/>
    <w:rsid w:val="006E420A"/>
    <w:rsid w:val="006E47B9"/>
    <w:rsid w:val="006E59C7"/>
    <w:rsid w:val="006E7307"/>
    <w:rsid w:val="006F1764"/>
    <w:rsid w:val="006F39C5"/>
    <w:rsid w:val="006F5B9C"/>
    <w:rsid w:val="006F67FB"/>
    <w:rsid w:val="00703BA8"/>
    <w:rsid w:val="00706302"/>
    <w:rsid w:val="00706511"/>
    <w:rsid w:val="007078C0"/>
    <w:rsid w:val="00710DFD"/>
    <w:rsid w:val="00713383"/>
    <w:rsid w:val="007143FD"/>
    <w:rsid w:val="00715EFF"/>
    <w:rsid w:val="00715FCB"/>
    <w:rsid w:val="007216CF"/>
    <w:rsid w:val="007217E8"/>
    <w:rsid w:val="0072290B"/>
    <w:rsid w:val="00723898"/>
    <w:rsid w:val="00723C52"/>
    <w:rsid w:val="0072551A"/>
    <w:rsid w:val="0073182E"/>
    <w:rsid w:val="00732CD8"/>
    <w:rsid w:val="00733234"/>
    <w:rsid w:val="007344A8"/>
    <w:rsid w:val="00735950"/>
    <w:rsid w:val="00742EDD"/>
    <w:rsid w:val="00746999"/>
    <w:rsid w:val="007474DF"/>
    <w:rsid w:val="00747A70"/>
    <w:rsid w:val="007505E5"/>
    <w:rsid w:val="0075189A"/>
    <w:rsid w:val="00752064"/>
    <w:rsid w:val="00753449"/>
    <w:rsid w:val="007548FF"/>
    <w:rsid w:val="00757ACC"/>
    <w:rsid w:val="00762332"/>
    <w:rsid w:val="00764858"/>
    <w:rsid w:val="00765994"/>
    <w:rsid w:val="00766602"/>
    <w:rsid w:val="00766775"/>
    <w:rsid w:val="00767590"/>
    <w:rsid w:val="007720CC"/>
    <w:rsid w:val="0077328F"/>
    <w:rsid w:val="00773A18"/>
    <w:rsid w:val="007742D3"/>
    <w:rsid w:val="00775DB7"/>
    <w:rsid w:val="0077673F"/>
    <w:rsid w:val="0077693F"/>
    <w:rsid w:val="007816C1"/>
    <w:rsid w:val="0078214F"/>
    <w:rsid w:val="00784AFD"/>
    <w:rsid w:val="00786879"/>
    <w:rsid w:val="00790C38"/>
    <w:rsid w:val="007924F7"/>
    <w:rsid w:val="007970ED"/>
    <w:rsid w:val="007A33BC"/>
    <w:rsid w:val="007A3CD1"/>
    <w:rsid w:val="007A6657"/>
    <w:rsid w:val="007B002D"/>
    <w:rsid w:val="007B02F7"/>
    <w:rsid w:val="007B1724"/>
    <w:rsid w:val="007B1C3E"/>
    <w:rsid w:val="007B441C"/>
    <w:rsid w:val="007C5DC1"/>
    <w:rsid w:val="007C5F75"/>
    <w:rsid w:val="007C7F37"/>
    <w:rsid w:val="007D007F"/>
    <w:rsid w:val="007D0F1B"/>
    <w:rsid w:val="007D21AA"/>
    <w:rsid w:val="007D2AE0"/>
    <w:rsid w:val="007D306C"/>
    <w:rsid w:val="007D3787"/>
    <w:rsid w:val="007D4D4D"/>
    <w:rsid w:val="007E024D"/>
    <w:rsid w:val="007E0A25"/>
    <w:rsid w:val="007E4AA7"/>
    <w:rsid w:val="007E585D"/>
    <w:rsid w:val="007F4A5A"/>
    <w:rsid w:val="007F586E"/>
    <w:rsid w:val="00801566"/>
    <w:rsid w:val="008025CA"/>
    <w:rsid w:val="00802DBE"/>
    <w:rsid w:val="008045D9"/>
    <w:rsid w:val="00810309"/>
    <w:rsid w:val="00810C5D"/>
    <w:rsid w:val="00810D0F"/>
    <w:rsid w:val="00811D47"/>
    <w:rsid w:val="008137B2"/>
    <w:rsid w:val="00814231"/>
    <w:rsid w:val="0081462C"/>
    <w:rsid w:val="00815B76"/>
    <w:rsid w:val="0082126A"/>
    <w:rsid w:val="00821E50"/>
    <w:rsid w:val="00822FF7"/>
    <w:rsid w:val="008241DF"/>
    <w:rsid w:val="008251BD"/>
    <w:rsid w:val="00832738"/>
    <w:rsid w:val="00835589"/>
    <w:rsid w:val="0083629D"/>
    <w:rsid w:val="00840FC4"/>
    <w:rsid w:val="008431C9"/>
    <w:rsid w:val="008431DE"/>
    <w:rsid w:val="008435F5"/>
    <w:rsid w:val="00843F4B"/>
    <w:rsid w:val="00845781"/>
    <w:rsid w:val="0085292F"/>
    <w:rsid w:val="00861626"/>
    <w:rsid w:val="008621FD"/>
    <w:rsid w:val="0086459A"/>
    <w:rsid w:val="00865ABF"/>
    <w:rsid w:val="00867F15"/>
    <w:rsid w:val="008704C2"/>
    <w:rsid w:val="00870BD1"/>
    <w:rsid w:val="008723F6"/>
    <w:rsid w:val="00876771"/>
    <w:rsid w:val="0088128A"/>
    <w:rsid w:val="00882676"/>
    <w:rsid w:val="00884F0D"/>
    <w:rsid w:val="0089087C"/>
    <w:rsid w:val="008935F0"/>
    <w:rsid w:val="00895CA6"/>
    <w:rsid w:val="00896099"/>
    <w:rsid w:val="008A277C"/>
    <w:rsid w:val="008A30D7"/>
    <w:rsid w:val="008A3371"/>
    <w:rsid w:val="008A4AEC"/>
    <w:rsid w:val="008A5E5D"/>
    <w:rsid w:val="008A7CD2"/>
    <w:rsid w:val="008B00D7"/>
    <w:rsid w:val="008B1B69"/>
    <w:rsid w:val="008B6757"/>
    <w:rsid w:val="008C16A8"/>
    <w:rsid w:val="008C3138"/>
    <w:rsid w:val="008C3B24"/>
    <w:rsid w:val="008C3E0A"/>
    <w:rsid w:val="008C7978"/>
    <w:rsid w:val="008D3807"/>
    <w:rsid w:val="008E281C"/>
    <w:rsid w:val="008E2A6B"/>
    <w:rsid w:val="008E4D8E"/>
    <w:rsid w:val="008E6855"/>
    <w:rsid w:val="008E6AB4"/>
    <w:rsid w:val="008F1F2E"/>
    <w:rsid w:val="008F20A4"/>
    <w:rsid w:val="008F357D"/>
    <w:rsid w:val="008F365C"/>
    <w:rsid w:val="008F3B96"/>
    <w:rsid w:val="008F5058"/>
    <w:rsid w:val="008F7AE9"/>
    <w:rsid w:val="00902143"/>
    <w:rsid w:val="00902B98"/>
    <w:rsid w:val="00904FE1"/>
    <w:rsid w:val="0090742E"/>
    <w:rsid w:val="00910BA6"/>
    <w:rsid w:val="00912E7E"/>
    <w:rsid w:val="00913014"/>
    <w:rsid w:val="0091380A"/>
    <w:rsid w:val="00914691"/>
    <w:rsid w:val="00920E7D"/>
    <w:rsid w:val="00920F39"/>
    <w:rsid w:val="00921230"/>
    <w:rsid w:val="0092160D"/>
    <w:rsid w:val="0092536D"/>
    <w:rsid w:val="00925EEA"/>
    <w:rsid w:val="00927BBA"/>
    <w:rsid w:val="009304E6"/>
    <w:rsid w:val="00931CB8"/>
    <w:rsid w:val="00931D4C"/>
    <w:rsid w:val="00932860"/>
    <w:rsid w:val="00932A1B"/>
    <w:rsid w:val="009337B5"/>
    <w:rsid w:val="00934E88"/>
    <w:rsid w:val="009352A0"/>
    <w:rsid w:val="009352C8"/>
    <w:rsid w:val="00935601"/>
    <w:rsid w:val="00940920"/>
    <w:rsid w:val="00941E40"/>
    <w:rsid w:val="00945CFE"/>
    <w:rsid w:val="00945F59"/>
    <w:rsid w:val="00946157"/>
    <w:rsid w:val="0094745D"/>
    <w:rsid w:val="009514B0"/>
    <w:rsid w:val="00951B17"/>
    <w:rsid w:val="00952747"/>
    <w:rsid w:val="00955B28"/>
    <w:rsid w:val="00957373"/>
    <w:rsid w:val="0096139A"/>
    <w:rsid w:val="00962DCB"/>
    <w:rsid w:val="0096768C"/>
    <w:rsid w:val="00970581"/>
    <w:rsid w:val="00972BEA"/>
    <w:rsid w:val="0097349F"/>
    <w:rsid w:val="0097631A"/>
    <w:rsid w:val="00976DA2"/>
    <w:rsid w:val="009776B0"/>
    <w:rsid w:val="009806BA"/>
    <w:rsid w:val="00990982"/>
    <w:rsid w:val="00990C26"/>
    <w:rsid w:val="009966C0"/>
    <w:rsid w:val="009978E7"/>
    <w:rsid w:val="0099792F"/>
    <w:rsid w:val="009A0285"/>
    <w:rsid w:val="009A06F6"/>
    <w:rsid w:val="009A17E3"/>
    <w:rsid w:val="009A2051"/>
    <w:rsid w:val="009A665E"/>
    <w:rsid w:val="009B11A1"/>
    <w:rsid w:val="009B48C3"/>
    <w:rsid w:val="009B495C"/>
    <w:rsid w:val="009C2904"/>
    <w:rsid w:val="009C41EA"/>
    <w:rsid w:val="009C59FC"/>
    <w:rsid w:val="009C6106"/>
    <w:rsid w:val="009D1B6E"/>
    <w:rsid w:val="009D1E93"/>
    <w:rsid w:val="009D3265"/>
    <w:rsid w:val="009D5DC3"/>
    <w:rsid w:val="009D67F8"/>
    <w:rsid w:val="009E1A4B"/>
    <w:rsid w:val="009E6017"/>
    <w:rsid w:val="009F0B42"/>
    <w:rsid w:val="009F1F69"/>
    <w:rsid w:val="009F2C7B"/>
    <w:rsid w:val="009F35EC"/>
    <w:rsid w:val="009F4D41"/>
    <w:rsid w:val="009F5899"/>
    <w:rsid w:val="009F653D"/>
    <w:rsid w:val="00A010B5"/>
    <w:rsid w:val="00A0676B"/>
    <w:rsid w:val="00A071FC"/>
    <w:rsid w:val="00A23AE1"/>
    <w:rsid w:val="00A27BCA"/>
    <w:rsid w:val="00A27D8D"/>
    <w:rsid w:val="00A27FE4"/>
    <w:rsid w:val="00A32B77"/>
    <w:rsid w:val="00A33BD2"/>
    <w:rsid w:val="00A35A74"/>
    <w:rsid w:val="00A36A39"/>
    <w:rsid w:val="00A378BE"/>
    <w:rsid w:val="00A409F9"/>
    <w:rsid w:val="00A40AB6"/>
    <w:rsid w:val="00A42492"/>
    <w:rsid w:val="00A42612"/>
    <w:rsid w:val="00A453B5"/>
    <w:rsid w:val="00A454B1"/>
    <w:rsid w:val="00A456C8"/>
    <w:rsid w:val="00A46748"/>
    <w:rsid w:val="00A518E0"/>
    <w:rsid w:val="00A5496C"/>
    <w:rsid w:val="00A549A6"/>
    <w:rsid w:val="00A563D3"/>
    <w:rsid w:val="00A61054"/>
    <w:rsid w:val="00A774C1"/>
    <w:rsid w:val="00A80AF1"/>
    <w:rsid w:val="00A82D9D"/>
    <w:rsid w:val="00A84D29"/>
    <w:rsid w:val="00A85E64"/>
    <w:rsid w:val="00A87332"/>
    <w:rsid w:val="00A939D3"/>
    <w:rsid w:val="00A947C1"/>
    <w:rsid w:val="00A9587B"/>
    <w:rsid w:val="00A9763E"/>
    <w:rsid w:val="00AA3DEB"/>
    <w:rsid w:val="00AA4A86"/>
    <w:rsid w:val="00AA4CDD"/>
    <w:rsid w:val="00AA786F"/>
    <w:rsid w:val="00AB0DC6"/>
    <w:rsid w:val="00AB0E58"/>
    <w:rsid w:val="00AB1F13"/>
    <w:rsid w:val="00AB50FB"/>
    <w:rsid w:val="00AB524C"/>
    <w:rsid w:val="00AB5318"/>
    <w:rsid w:val="00AB7472"/>
    <w:rsid w:val="00AC10B4"/>
    <w:rsid w:val="00AC4418"/>
    <w:rsid w:val="00AC5944"/>
    <w:rsid w:val="00AC6EEE"/>
    <w:rsid w:val="00AD0E12"/>
    <w:rsid w:val="00AD266E"/>
    <w:rsid w:val="00AD3410"/>
    <w:rsid w:val="00AD363A"/>
    <w:rsid w:val="00AD39BA"/>
    <w:rsid w:val="00AE6473"/>
    <w:rsid w:val="00AE7636"/>
    <w:rsid w:val="00AF085D"/>
    <w:rsid w:val="00AF1E61"/>
    <w:rsid w:val="00AF30A7"/>
    <w:rsid w:val="00AF4619"/>
    <w:rsid w:val="00B03C53"/>
    <w:rsid w:val="00B04102"/>
    <w:rsid w:val="00B068FC"/>
    <w:rsid w:val="00B1012F"/>
    <w:rsid w:val="00B111BD"/>
    <w:rsid w:val="00B11AD9"/>
    <w:rsid w:val="00B12C06"/>
    <w:rsid w:val="00B13573"/>
    <w:rsid w:val="00B16035"/>
    <w:rsid w:val="00B16843"/>
    <w:rsid w:val="00B16DEB"/>
    <w:rsid w:val="00B211AD"/>
    <w:rsid w:val="00B215C4"/>
    <w:rsid w:val="00B24818"/>
    <w:rsid w:val="00B24860"/>
    <w:rsid w:val="00B24A81"/>
    <w:rsid w:val="00B24EA0"/>
    <w:rsid w:val="00B251B3"/>
    <w:rsid w:val="00B276E2"/>
    <w:rsid w:val="00B27A26"/>
    <w:rsid w:val="00B3048B"/>
    <w:rsid w:val="00B30A96"/>
    <w:rsid w:val="00B31F4C"/>
    <w:rsid w:val="00B31F7E"/>
    <w:rsid w:val="00B40CB1"/>
    <w:rsid w:val="00B412BE"/>
    <w:rsid w:val="00B4276F"/>
    <w:rsid w:val="00B44787"/>
    <w:rsid w:val="00B4508D"/>
    <w:rsid w:val="00B52AA4"/>
    <w:rsid w:val="00B54013"/>
    <w:rsid w:val="00B5679C"/>
    <w:rsid w:val="00B571D9"/>
    <w:rsid w:val="00B57B24"/>
    <w:rsid w:val="00B600F6"/>
    <w:rsid w:val="00B602BA"/>
    <w:rsid w:val="00B65289"/>
    <w:rsid w:val="00B66F4B"/>
    <w:rsid w:val="00B67AC1"/>
    <w:rsid w:val="00B74FD3"/>
    <w:rsid w:val="00B75809"/>
    <w:rsid w:val="00B759D9"/>
    <w:rsid w:val="00B76064"/>
    <w:rsid w:val="00B76536"/>
    <w:rsid w:val="00B7792C"/>
    <w:rsid w:val="00B817C6"/>
    <w:rsid w:val="00B8244D"/>
    <w:rsid w:val="00B82BD7"/>
    <w:rsid w:val="00B850E9"/>
    <w:rsid w:val="00B86BA4"/>
    <w:rsid w:val="00B86C5E"/>
    <w:rsid w:val="00B90ED5"/>
    <w:rsid w:val="00B9266F"/>
    <w:rsid w:val="00B94048"/>
    <w:rsid w:val="00B95ECC"/>
    <w:rsid w:val="00BA15C8"/>
    <w:rsid w:val="00BA172B"/>
    <w:rsid w:val="00BA30E2"/>
    <w:rsid w:val="00BA3F76"/>
    <w:rsid w:val="00BA6212"/>
    <w:rsid w:val="00BB10A1"/>
    <w:rsid w:val="00BB32D7"/>
    <w:rsid w:val="00BB656F"/>
    <w:rsid w:val="00BB6CFB"/>
    <w:rsid w:val="00BB7511"/>
    <w:rsid w:val="00BC05EE"/>
    <w:rsid w:val="00BC5380"/>
    <w:rsid w:val="00BC6606"/>
    <w:rsid w:val="00BD101A"/>
    <w:rsid w:val="00BD1716"/>
    <w:rsid w:val="00BD44A5"/>
    <w:rsid w:val="00BD494C"/>
    <w:rsid w:val="00BD5B49"/>
    <w:rsid w:val="00BD6AB1"/>
    <w:rsid w:val="00BD7238"/>
    <w:rsid w:val="00BD7E17"/>
    <w:rsid w:val="00BE1813"/>
    <w:rsid w:val="00BE20FA"/>
    <w:rsid w:val="00BE2FC4"/>
    <w:rsid w:val="00BE3646"/>
    <w:rsid w:val="00BF5705"/>
    <w:rsid w:val="00BF76C0"/>
    <w:rsid w:val="00BF7987"/>
    <w:rsid w:val="00C01684"/>
    <w:rsid w:val="00C031B7"/>
    <w:rsid w:val="00C0692A"/>
    <w:rsid w:val="00C06EF0"/>
    <w:rsid w:val="00C12DC4"/>
    <w:rsid w:val="00C131D4"/>
    <w:rsid w:val="00C1517B"/>
    <w:rsid w:val="00C15E1C"/>
    <w:rsid w:val="00C162FA"/>
    <w:rsid w:val="00C17570"/>
    <w:rsid w:val="00C176EE"/>
    <w:rsid w:val="00C2045A"/>
    <w:rsid w:val="00C21E8A"/>
    <w:rsid w:val="00C236B2"/>
    <w:rsid w:val="00C301AC"/>
    <w:rsid w:val="00C306B1"/>
    <w:rsid w:val="00C3230C"/>
    <w:rsid w:val="00C3267E"/>
    <w:rsid w:val="00C35BB6"/>
    <w:rsid w:val="00C360D8"/>
    <w:rsid w:val="00C3685A"/>
    <w:rsid w:val="00C368DA"/>
    <w:rsid w:val="00C40B49"/>
    <w:rsid w:val="00C41125"/>
    <w:rsid w:val="00C4178B"/>
    <w:rsid w:val="00C419A1"/>
    <w:rsid w:val="00C42271"/>
    <w:rsid w:val="00C47A88"/>
    <w:rsid w:val="00C50FCC"/>
    <w:rsid w:val="00C518F9"/>
    <w:rsid w:val="00C5226F"/>
    <w:rsid w:val="00C53626"/>
    <w:rsid w:val="00C5378C"/>
    <w:rsid w:val="00C542B7"/>
    <w:rsid w:val="00C54AD6"/>
    <w:rsid w:val="00C57131"/>
    <w:rsid w:val="00C631EC"/>
    <w:rsid w:val="00C65C08"/>
    <w:rsid w:val="00C66D1D"/>
    <w:rsid w:val="00C71AE1"/>
    <w:rsid w:val="00C72036"/>
    <w:rsid w:val="00C7414C"/>
    <w:rsid w:val="00C7469A"/>
    <w:rsid w:val="00C7565A"/>
    <w:rsid w:val="00C76FDE"/>
    <w:rsid w:val="00C806AB"/>
    <w:rsid w:val="00C8091C"/>
    <w:rsid w:val="00C81B5B"/>
    <w:rsid w:val="00C81E7A"/>
    <w:rsid w:val="00C839F1"/>
    <w:rsid w:val="00C909AE"/>
    <w:rsid w:val="00C92451"/>
    <w:rsid w:val="00C944AB"/>
    <w:rsid w:val="00C94747"/>
    <w:rsid w:val="00C96895"/>
    <w:rsid w:val="00C968C3"/>
    <w:rsid w:val="00C975F9"/>
    <w:rsid w:val="00CA0217"/>
    <w:rsid w:val="00CA5FC9"/>
    <w:rsid w:val="00CA6284"/>
    <w:rsid w:val="00CB1622"/>
    <w:rsid w:val="00CB32C7"/>
    <w:rsid w:val="00CB6C3E"/>
    <w:rsid w:val="00CB706A"/>
    <w:rsid w:val="00CB7D4A"/>
    <w:rsid w:val="00CB7F58"/>
    <w:rsid w:val="00CC14E9"/>
    <w:rsid w:val="00CC2F32"/>
    <w:rsid w:val="00CC4E06"/>
    <w:rsid w:val="00CC5882"/>
    <w:rsid w:val="00CC630D"/>
    <w:rsid w:val="00CC6CAF"/>
    <w:rsid w:val="00CC7AD3"/>
    <w:rsid w:val="00CD0E36"/>
    <w:rsid w:val="00CD0F40"/>
    <w:rsid w:val="00CD1054"/>
    <w:rsid w:val="00CD270F"/>
    <w:rsid w:val="00CD42F5"/>
    <w:rsid w:val="00CD5DB1"/>
    <w:rsid w:val="00CD5EF0"/>
    <w:rsid w:val="00CE33F1"/>
    <w:rsid w:val="00CE52E7"/>
    <w:rsid w:val="00CE545F"/>
    <w:rsid w:val="00CE7674"/>
    <w:rsid w:val="00CF1581"/>
    <w:rsid w:val="00CF67B1"/>
    <w:rsid w:val="00CF6CC8"/>
    <w:rsid w:val="00CF7342"/>
    <w:rsid w:val="00D010F6"/>
    <w:rsid w:val="00D0196D"/>
    <w:rsid w:val="00D03189"/>
    <w:rsid w:val="00D03C71"/>
    <w:rsid w:val="00D055EB"/>
    <w:rsid w:val="00D05B43"/>
    <w:rsid w:val="00D05E34"/>
    <w:rsid w:val="00D07168"/>
    <w:rsid w:val="00D11860"/>
    <w:rsid w:val="00D1384E"/>
    <w:rsid w:val="00D1435C"/>
    <w:rsid w:val="00D14DA0"/>
    <w:rsid w:val="00D164BB"/>
    <w:rsid w:val="00D21A4C"/>
    <w:rsid w:val="00D21C42"/>
    <w:rsid w:val="00D23401"/>
    <w:rsid w:val="00D248DD"/>
    <w:rsid w:val="00D32766"/>
    <w:rsid w:val="00D34409"/>
    <w:rsid w:val="00D36E65"/>
    <w:rsid w:val="00D41E48"/>
    <w:rsid w:val="00D423AF"/>
    <w:rsid w:val="00D43B46"/>
    <w:rsid w:val="00D51633"/>
    <w:rsid w:val="00D51BDF"/>
    <w:rsid w:val="00D52317"/>
    <w:rsid w:val="00D5668C"/>
    <w:rsid w:val="00D60349"/>
    <w:rsid w:val="00D63BD5"/>
    <w:rsid w:val="00D640E0"/>
    <w:rsid w:val="00D64153"/>
    <w:rsid w:val="00D6701A"/>
    <w:rsid w:val="00D70F4B"/>
    <w:rsid w:val="00D727A8"/>
    <w:rsid w:val="00D72BD9"/>
    <w:rsid w:val="00D819DE"/>
    <w:rsid w:val="00D84BA0"/>
    <w:rsid w:val="00D8604C"/>
    <w:rsid w:val="00D86113"/>
    <w:rsid w:val="00D863DB"/>
    <w:rsid w:val="00D873FE"/>
    <w:rsid w:val="00D95D8A"/>
    <w:rsid w:val="00DA2D67"/>
    <w:rsid w:val="00DA380F"/>
    <w:rsid w:val="00DA4E24"/>
    <w:rsid w:val="00DA585A"/>
    <w:rsid w:val="00DA6C0D"/>
    <w:rsid w:val="00DA7F5D"/>
    <w:rsid w:val="00DB5E1E"/>
    <w:rsid w:val="00DB6A79"/>
    <w:rsid w:val="00DB76A5"/>
    <w:rsid w:val="00DC0B03"/>
    <w:rsid w:val="00DC18B8"/>
    <w:rsid w:val="00DC277E"/>
    <w:rsid w:val="00DC33F1"/>
    <w:rsid w:val="00DC3B5F"/>
    <w:rsid w:val="00DC48B2"/>
    <w:rsid w:val="00DD16E4"/>
    <w:rsid w:val="00DD2796"/>
    <w:rsid w:val="00DD2C40"/>
    <w:rsid w:val="00DD360B"/>
    <w:rsid w:val="00DD44DE"/>
    <w:rsid w:val="00DD6082"/>
    <w:rsid w:val="00DE0858"/>
    <w:rsid w:val="00DE180E"/>
    <w:rsid w:val="00DE242F"/>
    <w:rsid w:val="00DE37B6"/>
    <w:rsid w:val="00DE3E8B"/>
    <w:rsid w:val="00DE4049"/>
    <w:rsid w:val="00DE4CB8"/>
    <w:rsid w:val="00DF3EC0"/>
    <w:rsid w:val="00DF7A97"/>
    <w:rsid w:val="00E00125"/>
    <w:rsid w:val="00E04828"/>
    <w:rsid w:val="00E06A42"/>
    <w:rsid w:val="00E07223"/>
    <w:rsid w:val="00E10EDF"/>
    <w:rsid w:val="00E114C8"/>
    <w:rsid w:val="00E1165F"/>
    <w:rsid w:val="00E11AEA"/>
    <w:rsid w:val="00E139DC"/>
    <w:rsid w:val="00E16042"/>
    <w:rsid w:val="00E1749A"/>
    <w:rsid w:val="00E206C4"/>
    <w:rsid w:val="00E21317"/>
    <w:rsid w:val="00E25C9D"/>
    <w:rsid w:val="00E26AA5"/>
    <w:rsid w:val="00E26CFF"/>
    <w:rsid w:val="00E30F27"/>
    <w:rsid w:val="00E31DD5"/>
    <w:rsid w:val="00E34474"/>
    <w:rsid w:val="00E34E56"/>
    <w:rsid w:val="00E35F64"/>
    <w:rsid w:val="00E37A80"/>
    <w:rsid w:val="00E41244"/>
    <w:rsid w:val="00E42049"/>
    <w:rsid w:val="00E439F4"/>
    <w:rsid w:val="00E4473F"/>
    <w:rsid w:val="00E44CA2"/>
    <w:rsid w:val="00E456C0"/>
    <w:rsid w:val="00E559DB"/>
    <w:rsid w:val="00E561F9"/>
    <w:rsid w:val="00E60EC4"/>
    <w:rsid w:val="00E60FCD"/>
    <w:rsid w:val="00E61EAE"/>
    <w:rsid w:val="00E63C1A"/>
    <w:rsid w:val="00E65F84"/>
    <w:rsid w:val="00E66B31"/>
    <w:rsid w:val="00E67B56"/>
    <w:rsid w:val="00E70504"/>
    <w:rsid w:val="00E7306F"/>
    <w:rsid w:val="00E741B2"/>
    <w:rsid w:val="00E764BD"/>
    <w:rsid w:val="00E7704F"/>
    <w:rsid w:val="00E81AA6"/>
    <w:rsid w:val="00E82843"/>
    <w:rsid w:val="00E8294A"/>
    <w:rsid w:val="00E834F4"/>
    <w:rsid w:val="00E83FFD"/>
    <w:rsid w:val="00E8444C"/>
    <w:rsid w:val="00E85264"/>
    <w:rsid w:val="00E85503"/>
    <w:rsid w:val="00E864A1"/>
    <w:rsid w:val="00E90FA8"/>
    <w:rsid w:val="00E916BD"/>
    <w:rsid w:val="00E92242"/>
    <w:rsid w:val="00E92A45"/>
    <w:rsid w:val="00E93331"/>
    <w:rsid w:val="00E96673"/>
    <w:rsid w:val="00EA4585"/>
    <w:rsid w:val="00EA7851"/>
    <w:rsid w:val="00EB009A"/>
    <w:rsid w:val="00EB31E2"/>
    <w:rsid w:val="00EB400F"/>
    <w:rsid w:val="00EC006F"/>
    <w:rsid w:val="00EC02A7"/>
    <w:rsid w:val="00EC13CC"/>
    <w:rsid w:val="00EC17DA"/>
    <w:rsid w:val="00EC2916"/>
    <w:rsid w:val="00EC3F88"/>
    <w:rsid w:val="00EC4E57"/>
    <w:rsid w:val="00EC5C31"/>
    <w:rsid w:val="00EC7649"/>
    <w:rsid w:val="00ED025C"/>
    <w:rsid w:val="00ED096E"/>
    <w:rsid w:val="00ED0A73"/>
    <w:rsid w:val="00ED206E"/>
    <w:rsid w:val="00ED2FCF"/>
    <w:rsid w:val="00ED3235"/>
    <w:rsid w:val="00ED3AD6"/>
    <w:rsid w:val="00ED70A9"/>
    <w:rsid w:val="00EE24B8"/>
    <w:rsid w:val="00EE2778"/>
    <w:rsid w:val="00EE3483"/>
    <w:rsid w:val="00EE37BB"/>
    <w:rsid w:val="00EE3C21"/>
    <w:rsid w:val="00EE6CFC"/>
    <w:rsid w:val="00EE7186"/>
    <w:rsid w:val="00EF11EE"/>
    <w:rsid w:val="00EF1E28"/>
    <w:rsid w:val="00EF30DA"/>
    <w:rsid w:val="00EF3DE7"/>
    <w:rsid w:val="00EF5130"/>
    <w:rsid w:val="00EF71FD"/>
    <w:rsid w:val="00EF7308"/>
    <w:rsid w:val="00F019CD"/>
    <w:rsid w:val="00F02844"/>
    <w:rsid w:val="00F02A33"/>
    <w:rsid w:val="00F131DE"/>
    <w:rsid w:val="00F1325F"/>
    <w:rsid w:val="00F16C67"/>
    <w:rsid w:val="00F173C5"/>
    <w:rsid w:val="00F213A7"/>
    <w:rsid w:val="00F2146C"/>
    <w:rsid w:val="00F239C2"/>
    <w:rsid w:val="00F23B2C"/>
    <w:rsid w:val="00F25F8C"/>
    <w:rsid w:val="00F2616D"/>
    <w:rsid w:val="00F26418"/>
    <w:rsid w:val="00F27192"/>
    <w:rsid w:val="00F355DE"/>
    <w:rsid w:val="00F37ADF"/>
    <w:rsid w:val="00F40951"/>
    <w:rsid w:val="00F42174"/>
    <w:rsid w:val="00F43F87"/>
    <w:rsid w:val="00F44E02"/>
    <w:rsid w:val="00F469ED"/>
    <w:rsid w:val="00F51666"/>
    <w:rsid w:val="00F53740"/>
    <w:rsid w:val="00F543EB"/>
    <w:rsid w:val="00F55932"/>
    <w:rsid w:val="00F601D1"/>
    <w:rsid w:val="00F602C9"/>
    <w:rsid w:val="00F62652"/>
    <w:rsid w:val="00F6375D"/>
    <w:rsid w:val="00F6540F"/>
    <w:rsid w:val="00F65D6A"/>
    <w:rsid w:val="00F726B2"/>
    <w:rsid w:val="00F730CB"/>
    <w:rsid w:val="00F73657"/>
    <w:rsid w:val="00F73C05"/>
    <w:rsid w:val="00F748BB"/>
    <w:rsid w:val="00F74A32"/>
    <w:rsid w:val="00F75051"/>
    <w:rsid w:val="00F76EB4"/>
    <w:rsid w:val="00F77349"/>
    <w:rsid w:val="00F77707"/>
    <w:rsid w:val="00F801E4"/>
    <w:rsid w:val="00F822FC"/>
    <w:rsid w:val="00F82BE3"/>
    <w:rsid w:val="00F849D8"/>
    <w:rsid w:val="00F85978"/>
    <w:rsid w:val="00F8714F"/>
    <w:rsid w:val="00F878FC"/>
    <w:rsid w:val="00F91A21"/>
    <w:rsid w:val="00F93C6F"/>
    <w:rsid w:val="00F9790E"/>
    <w:rsid w:val="00FA1EA7"/>
    <w:rsid w:val="00FA29C5"/>
    <w:rsid w:val="00FA2F5C"/>
    <w:rsid w:val="00FA50F8"/>
    <w:rsid w:val="00FB002B"/>
    <w:rsid w:val="00FB0A8F"/>
    <w:rsid w:val="00FB650C"/>
    <w:rsid w:val="00FB6DB5"/>
    <w:rsid w:val="00FC050E"/>
    <w:rsid w:val="00FC0FF4"/>
    <w:rsid w:val="00FC16A8"/>
    <w:rsid w:val="00FC1DA3"/>
    <w:rsid w:val="00FC4F83"/>
    <w:rsid w:val="00FC53C8"/>
    <w:rsid w:val="00FC5F23"/>
    <w:rsid w:val="00FD3C8D"/>
    <w:rsid w:val="00FD6C93"/>
    <w:rsid w:val="00FE04F6"/>
    <w:rsid w:val="00FE15A2"/>
    <w:rsid w:val="00FE17B6"/>
    <w:rsid w:val="00FE1D54"/>
    <w:rsid w:val="00FE5A3A"/>
    <w:rsid w:val="00FE5D50"/>
    <w:rsid w:val="00FF2289"/>
    <w:rsid w:val="00FF2798"/>
    <w:rsid w:val="00FF292E"/>
    <w:rsid w:val="00FF3208"/>
    <w:rsid w:val="00FF4A2F"/>
    <w:rsid w:val="00FF5627"/>
    <w:rsid w:val="00FF62EC"/>
    <w:rsid w:val="00FF6959"/>
    <w:rsid w:val="01056A34"/>
    <w:rsid w:val="01112A88"/>
    <w:rsid w:val="014B17B4"/>
    <w:rsid w:val="0492660B"/>
    <w:rsid w:val="04AF86E8"/>
    <w:rsid w:val="077C27FD"/>
    <w:rsid w:val="09EDDA6B"/>
    <w:rsid w:val="111C3431"/>
    <w:rsid w:val="11DF8A6D"/>
    <w:rsid w:val="126C70C1"/>
    <w:rsid w:val="13D09BF1"/>
    <w:rsid w:val="14F42FBA"/>
    <w:rsid w:val="151423AF"/>
    <w:rsid w:val="1E881503"/>
    <w:rsid w:val="21E93DE6"/>
    <w:rsid w:val="24B88F67"/>
    <w:rsid w:val="2DF29E56"/>
    <w:rsid w:val="349E4AE5"/>
    <w:rsid w:val="35D86457"/>
    <w:rsid w:val="38A4CF4C"/>
    <w:rsid w:val="394CE9A6"/>
    <w:rsid w:val="3C0CA159"/>
    <w:rsid w:val="3F0035A8"/>
    <w:rsid w:val="42F0C66C"/>
    <w:rsid w:val="46DADD48"/>
    <w:rsid w:val="4A3D8A94"/>
    <w:rsid w:val="4A7D1BB6"/>
    <w:rsid w:val="4D511457"/>
    <w:rsid w:val="4E8BB731"/>
    <w:rsid w:val="4F390084"/>
    <w:rsid w:val="4F9F69E0"/>
    <w:rsid w:val="519297D7"/>
    <w:rsid w:val="52969C00"/>
    <w:rsid w:val="5417C819"/>
    <w:rsid w:val="68B992B4"/>
    <w:rsid w:val="6F3D3675"/>
    <w:rsid w:val="6F4757F5"/>
    <w:rsid w:val="6F51169A"/>
    <w:rsid w:val="6FDF999D"/>
    <w:rsid w:val="71FC6F98"/>
    <w:rsid w:val="787F2DCD"/>
    <w:rsid w:val="795D4201"/>
    <w:rsid w:val="7A12C09C"/>
    <w:rsid w:val="7E693E82"/>
    <w:rsid w:val="7F892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BD056B"/>
  <w15:docId w15:val="{3229D047-2A88-48DD-A081-1F83EFAC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F"/>
    <w:rPr>
      <w:rFonts w:cs="Times New Roman"/>
      <w:sz w:val="24"/>
      <w:szCs w:val="24"/>
      <w:lang w:eastAsia="fr-FR"/>
    </w:rPr>
  </w:style>
  <w:style w:type="paragraph" w:styleId="Heading1">
    <w:name w:val="heading 1"/>
    <w:basedOn w:val="Normal"/>
    <w:next w:val="Normal"/>
    <w:link w:val="Heading1Char"/>
    <w:uiPriority w:val="9"/>
    <w:qFormat/>
    <w:rsid w:val="00B16035"/>
    <w:pPr>
      <w:pBdr>
        <w:top w:val="nil"/>
        <w:left w:val="nil"/>
        <w:bottom w:val="nil"/>
        <w:right w:val="nil"/>
        <w:between w:val="nil"/>
      </w:pBdr>
      <w:spacing w:after="360"/>
      <w:outlineLvl w:val="0"/>
    </w:pPr>
    <w:rPr>
      <w:rFonts w:ascii="Calibri" w:eastAsia="Cambria" w:hAnsi="Calibri" w:cs="Calibri"/>
      <w:b/>
      <w:color w:val="000000"/>
      <w:sz w:val="22"/>
      <w:szCs w:val="22"/>
      <w:lang w:eastAsia="en-GB"/>
    </w:rPr>
  </w:style>
  <w:style w:type="paragraph" w:styleId="Heading2">
    <w:name w:val="heading 2"/>
    <w:basedOn w:val="Normal"/>
    <w:next w:val="Normal"/>
    <w:link w:val="Heading2Char"/>
    <w:uiPriority w:val="9"/>
    <w:unhideWhenUsed/>
    <w:qFormat/>
    <w:rsid w:val="00B16035"/>
    <w:pPr>
      <w:keepNext/>
      <w:keepLines/>
      <w:spacing w:after="240"/>
      <w:outlineLvl w:val="1"/>
    </w:pPr>
    <w:rPr>
      <w:rFonts w:ascii="Calibri" w:eastAsiaTheme="majorEastAsia" w:hAnsi="Calibri" w:cs="Calibri"/>
      <w:b/>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link w:val="CommentText"/>
    <w:uiPriority w:val="99"/>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eastAsia="fr-FR"/>
    </w:rPr>
  </w:style>
  <w:style w:type="table" w:styleId="TableGrid">
    <w:name w:val="Table Grid"/>
    <w:basedOn w:val="TableNormal"/>
    <w:uiPriority w:val="39"/>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es-ES"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eastAsia="fr-FR"/>
    </w:rPr>
  </w:style>
  <w:style w:type="character" w:styleId="PlaceholderText">
    <w:name w:val="Placeholder Text"/>
    <w:uiPriority w:val="99"/>
    <w:semiHidden/>
    <w:rsid w:val="00CB7D4A"/>
    <w:rPr>
      <w:rFonts w:cs="Times New Roman"/>
      <w:color w:val="808080"/>
    </w:rPr>
  </w:style>
  <w:style w:type="paragraph" w:customStyle="1" w:styleId="ColorfulList-Accent11">
    <w:name w:val="Colorful List - Accent 11"/>
    <w:basedOn w:val="Normal"/>
    <w:uiPriority w:val="34"/>
    <w:qFormat/>
    <w:rsid w:val="00A774C1"/>
    <w:pPr>
      <w:ind w:left="720" w:hanging="425"/>
      <w:contextualSpacing/>
    </w:pPr>
    <w:rPr>
      <w:rFonts w:ascii="Calibri" w:eastAsia="Calibri" w:hAnsi="Calibri"/>
      <w:sz w:val="22"/>
      <w:szCs w:val="22"/>
      <w:lang w:eastAsia="en-U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720CC"/>
    <w:rPr>
      <w:color w:val="605E5C"/>
      <w:shd w:val="clear" w:color="auto" w:fill="E1DFDD"/>
    </w:rPr>
  </w:style>
  <w:style w:type="character" w:customStyle="1" w:styleId="Heading1Char">
    <w:name w:val="Heading 1 Char"/>
    <w:basedOn w:val="DefaultParagraphFont"/>
    <w:link w:val="Heading1"/>
    <w:uiPriority w:val="9"/>
    <w:rsid w:val="00B16035"/>
    <w:rPr>
      <w:rFonts w:ascii="Calibri" w:eastAsia="Cambria" w:hAnsi="Calibri" w:cs="Calibri"/>
      <w:b/>
      <w:color w:val="000000"/>
      <w:sz w:val="22"/>
      <w:szCs w:val="22"/>
      <w:lang w:val="es-ES" w:eastAsia="en-GB"/>
    </w:rPr>
  </w:style>
  <w:style w:type="character" w:customStyle="1" w:styleId="Heading2Char">
    <w:name w:val="Heading 2 Char"/>
    <w:basedOn w:val="DefaultParagraphFont"/>
    <w:link w:val="Heading2"/>
    <w:uiPriority w:val="9"/>
    <w:rsid w:val="00B16035"/>
    <w:rPr>
      <w:rFonts w:ascii="Calibri" w:eastAsiaTheme="majorEastAsia" w:hAnsi="Calibri" w:cs="Calibri"/>
      <w:b/>
      <w:i/>
      <w:iCs/>
      <w:color w:val="000000" w:themeColor="text1"/>
      <w:sz w:val="22"/>
      <w:szCs w:val="22"/>
      <w:lang w:val="es-ES" w:eastAsia="fr-FR"/>
    </w:rPr>
  </w:style>
  <w:style w:type="paragraph" w:customStyle="1" w:styleId="SP5text">
    <w:name w:val="SP5 text"/>
    <w:basedOn w:val="NormalWeb"/>
    <w:link w:val="SP5textChar"/>
    <w:qFormat/>
    <w:rsid w:val="00B16035"/>
    <w:pPr>
      <w:numPr>
        <w:numId w:val="7"/>
      </w:numPr>
      <w:spacing w:before="0" w:beforeAutospacing="0" w:after="240" w:afterAutospacing="0"/>
    </w:pPr>
    <w:rPr>
      <w:rFonts w:ascii="Calibri" w:eastAsia="Cambria" w:hAnsi="Calibri" w:cs="Calibri"/>
      <w:sz w:val="22"/>
      <w:szCs w:val="22"/>
    </w:rPr>
  </w:style>
  <w:style w:type="character" w:customStyle="1" w:styleId="SP5textChar">
    <w:name w:val="SP5 text Char"/>
    <w:basedOn w:val="DefaultParagraphFont"/>
    <w:link w:val="SP5text"/>
    <w:rsid w:val="00B16035"/>
    <w:rPr>
      <w:rFonts w:ascii="Calibri" w:eastAsia="Cambria" w:hAnsi="Calibri" w:cs="Calibri"/>
      <w:sz w:val="22"/>
      <w:szCs w:val="22"/>
      <w:lang w:val="es-ES" w:eastAsia="en-GB"/>
    </w:rPr>
  </w:style>
  <w:style w:type="paragraph" w:customStyle="1" w:styleId="SP5Bullet">
    <w:name w:val="SP5 Bullet"/>
    <w:basedOn w:val="ListParagraph"/>
    <w:link w:val="SP5BulletChar"/>
    <w:qFormat/>
    <w:rsid w:val="00B16035"/>
    <w:pPr>
      <w:numPr>
        <w:numId w:val="8"/>
      </w:numPr>
      <w:autoSpaceDE w:val="0"/>
      <w:autoSpaceDN w:val="0"/>
      <w:adjustRightInd w:val="0"/>
    </w:pPr>
    <w:rPr>
      <w:rFonts w:eastAsia="HelveticaNeueLTPro-Lt" w:cs="Georgia"/>
      <w:color w:val="000000"/>
      <w:sz w:val="20"/>
      <w:szCs w:val="20"/>
      <w:lang w:eastAsia="en-GB"/>
    </w:rPr>
  </w:style>
  <w:style w:type="character" w:customStyle="1" w:styleId="SP5BulletChar">
    <w:name w:val="SP5 Bullet Char"/>
    <w:basedOn w:val="DefaultParagraphFont"/>
    <w:link w:val="SP5Bullet"/>
    <w:rsid w:val="00B16035"/>
    <w:rPr>
      <w:rFonts w:eastAsia="HelveticaNeueLTPro-Lt" w:cs="Georgia"/>
      <w:color w:val="000000"/>
      <w:lang w:val="es-ES" w:eastAsia="en-GB"/>
    </w:rPr>
  </w:style>
  <w:style w:type="paragraph" w:customStyle="1" w:styleId="SP5Quote">
    <w:name w:val="SP5 Quote"/>
    <w:basedOn w:val="Normal"/>
    <w:link w:val="SP5QuoteChar"/>
    <w:qFormat/>
    <w:rsid w:val="00B16035"/>
    <w:pPr>
      <w:pBdr>
        <w:top w:val="nil"/>
        <w:left w:val="nil"/>
        <w:bottom w:val="nil"/>
        <w:right w:val="nil"/>
        <w:between w:val="nil"/>
      </w:pBdr>
      <w:spacing w:after="240"/>
      <w:ind w:left="426"/>
    </w:pPr>
    <w:rPr>
      <w:rFonts w:eastAsia="Cambria" w:cs="Cambria"/>
      <w:i/>
      <w:iCs/>
      <w:color w:val="000000"/>
      <w:sz w:val="20"/>
      <w:szCs w:val="20"/>
      <w:lang w:eastAsia="en-GB"/>
    </w:rPr>
  </w:style>
  <w:style w:type="character" w:customStyle="1" w:styleId="SP5QuoteChar">
    <w:name w:val="SP5 Quote Char"/>
    <w:basedOn w:val="DefaultParagraphFont"/>
    <w:link w:val="SP5Quote"/>
    <w:rsid w:val="00B16035"/>
    <w:rPr>
      <w:rFonts w:eastAsia="Cambria"/>
      <w:i/>
      <w:iCs/>
      <w:color w:val="000000"/>
      <w:lang w:val="es-ES" w:eastAsia="en-GB"/>
    </w:rPr>
  </w:style>
  <w:style w:type="paragraph" w:customStyle="1" w:styleId="SPFootnote">
    <w:name w:val="SP Footnote"/>
    <w:basedOn w:val="SP5text"/>
    <w:link w:val="SPFootnoteChar"/>
    <w:qFormat/>
    <w:rsid w:val="00B16035"/>
    <w:pPr>
      <w:numPr>
        <w:numId w:val="0"/>
      </w:numPr>
      <w:spacing w:after="80"/>
      <w:ind w:left="284" w:hanging="284"/>
    </w:pPr>
    <w:rPr>
      <w:sz w:val="18"/>
      <w:szCs w:val="18"/>
    </w:rPr>
  </w:style>
  <w:style w:type="character" w:customStyle="1" w:styleId="SPFootnoteChar">
    <w:name w:val="SP Footnote Char"/>
    <w:basedOn w:val="SP5textChar"/>
    <w:link w:val="SPFootnote"/>
    <w:rsid w:val="00B16035"/>
    <w:rPr>
      <w:rFonts w:ascii="Calibri" w:eastAsia="Cambria" w:hAnsi="Calibri" w:cs="Calibri"/>
      <w:sz w:val="18"/>
      <w:szCs w:val="18"/>
      <w:lang w:val="es-ES" w:eastAsia="en-GB"/>
    </w:rPr>
  </w:style>
  <w:style w:type="character" w:customStyle="1" w:styleId="ui-provider">
    <w:name w:val="ui-provider"/>
    <w:basedOn w:val="DefaultParagraphFont"/>
    <w:rsid w:val="00B16035"/>
  </w:style>
  <w:style w:type="paragraph" w:customStyle="1" w:styleId="SP5TableText">
    <w:name w:val="SP5 Table Text"/>
    <w:basedOn w:val="Normal"/>
    <w:link w:val="SP5TableTextChar"/>
    <w:qFormat/>
    <w:rsid w:val="00B16035"/>
    <w:pPr>
      <w:ind w:left="35"/>
      <w:contextualSpacing/>
    </w:pPr>
    <w:rPr>
      <w:rFonts w:ascii="Calibri" w:eastAsia="Cambria" w:hAnsi="Calibri" w:cs="Calibri"/>
      <w:sz w:val="18"/>
      <w:szCs w:val="18"/>
    </w:rPr>
  </w:style>
  <w:style w:type="character" w:customStyle="1" w:styleId="SP5TableTextChar">
    <w:name w:val="SP5 Table Text Char"/>
    <w:basedOn w:val="DefaultParagraphFont"/>
    <w:link w:val="SP5TableText"/>
    <w:rsid w:val="00B16035"/>
    <w:rPr>
      <w:rFonts w:ascii="Calibri" w:eastAsia="Cambria" w:hAnsi="Calibri" w:cs="Calibri"/>
      <w:sz w:val="18"/>
      <w:szCs w:val="18"/>
      <w:lang w:val="es-E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58361713">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library/gwo_s.pdf" TargetMode="External"/><Relationship Id="rId3" Type="http://schemas.openxmlformats.org/officeDocument/2006/relationships/hyperlink" Target="https://www.ramsar.org/sites/default/files/documents/pdf/res/key_res_viii_25_s.pdf" TargetMode="External"/><Relationship Id="rId7" Type="http://schemas.openxmlformats.org/officeDocument/2006/relationships/hyperlink" Target="https://www.ramsar.org/sites/default/files/documents/pdf/res/key_res_ix_01_annexa_s.pdf" TargetMode="External"/><Relationship Id="rId2" Type="http://schemas.openxmlformats.org/officeDocument/2006/relationships/hyperlink" Target="https://www.ramsar.org/sites/default/files/documents/pdf/res/key_res_vi.14_s.pdf" TargetMode="External"/><Relationship Id="rId1" Type="http://schemas.openxmlformats.org/officeDocument/2006/relationships/hyperlink" Target="https://www.ramsar.org/es/acerca-de/nuestra-mision/el-plan-estrategico/quinto-plan-estrategico" TargetMode="External"/><Relationship Id="rId6" Type="http://schemas.openxmlformats.org/officeDocument/2006/relationships/hyperlink" Target="https://www.ramsar.org/sites/default/files/documents/library/handbook1_5ed_introductiontoconvention_s_final.pdf" TargetMode="External"/><Relationship Id="rId11" Type="http://schemas.openxmlformats.org/officeDocument/2006/relationships/hyperlink" Target="https://www.ramsar.org/sites/default/files/documents/library/rpb_values_of_wetlands_s.pdf" TargetMode="External"/><Relationship Id="rId5" Type="http://schemas.openxmlformats.org/officeDocument/2006/relationships/hyperlink" Target="https://www.ramsar.org/sites/default/files/documents/library/cop12_res02_strategic_plan_s.pdf" TargetMode="External"/><Relationship Id="rId10" Type="http://schemas.openxmlformats.org/officeDocument/2006/relationships/hyperlink" Target="https://www.ramsar.org/sites/default/files/2024-03/phase_2_document_review_research_report.pdf" TargetMode="External"/><Relationship Id="rId4" Type="http://schemas.openxmlformats.org/officeDocument/2006/relationships/hyperlink" Target="https://www.ramsar.org/sites/default/files/documents/library/key_res_x_01_s.pdf" TargetMode="External"/><Relationship Id="rId9" Type="http://schemas.openxmlformats.org/officeDocument/2006/relationships/hyperlink" Target="https://www.ramsar.org/sites/default/files/documents/library/gwo_2021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SharedWithUsers xmlns="61a88c6c-36b2-4c56-84b6-ac9c857504e3">
      <UserInfo>
        <DisplayName/>
        <AccountId xsi:nil="true"/>
        <AccountType/>
      </UserInfo>
    </SharedWithUsers>
    <MediaLengthInSeconds xmlns="d24fb95f-6ff7-438e-90e5-b3c6a964c75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609D8-8D29-483E-81FF-5746498C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0F154-6F78-4265-8115-20343B2D1CAA}">
  <ds:schemaRefs>
    <ds:schemaRef ds:uri="http://schemas.microsoft.com/office/2006/metadata/properties"/>
    <ds:schemaRef ds:uri="http://schemas.microsoft.com/office/infopath/2007/PartnerControls"/>
    <ds:schemaRef ds:uri="d24fb95f-6ff7-438e-90e5-b3c6a964c754"/>
    <ds:schemaRef ds:uri="61a88c6c-36b2-4c56-84b6-ac9c857504e3"/>
  </ds:schemaRefs>
</ds:datastoreItem>
</file>

<file path=customXml/itemProps3.xml><?xml version="1.0" encoding="utf-8"?>
<ds:datastoreItem xmlns:ds="http://schemas.openxmlformats.org/officeDocument/2006/customXml" ds:itemID="{F957B385-1DA5-4E98-BE7B-DF112594EE2F}">
  <ds:schemaRefs>
    <ds:schemaRef ds:uri="http://schemas.openxmlformats.org/officeDocument/2006/bibliography"/>
  </ds:schemaRefs>
</ds:datastoreItem>
</file>

<file path=customXml/itemProps4.xml><?xml version="1.0" encoding="utf-8"?>
<ds:datastoreItem xmlns:ds="http://schemas.openxmlformats.org/officeDocument/2006/customXml" ds:itemID="{C422EAF6-9296-4788-81E9-873B71592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7308</Words>
  <Characters>41660</Characters>
  <Application>Microsoft Office Word</Application>
  <DocSecurity>0</DocSecurity>
  <Lines>347</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Ympäristöhallinto</Company>
  <LinksUpToDate>false</LinksUpToDate>
  <CharactersWithSpaces>48871</CharactersWithSpaces>
  <SharedDoc>false</SharedDoc>
  <HLinks>
    <vt:vector size="6" baseType="variant">
      <vt:variant>
        <vt:i4>1507401</vt:i4>
      </vt:variant>
      <vt:variant>
        <vt:i4>0</vt:i4>
      </vt:variant>
      <vt:variant>
        <vt:i4>0</vt:i4>
      </vt:variant>
      <vt:variant>
        <vt:i4>5</vt:i4>
      </vt:variant>
      <vt:variant>
        <vt:lpwstr>https://www.ramsar.org/about/our-mission/strategic-plan/fifth-strategic-plan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BRACE Poppy</cp:lastModifiedBy>
  <cp:revision>2</cp:revision>
  <cp:lastPrinted>2015-02-20T12:23:00Z</cp:lastPrinted>
  <dcterms:created xsi:type="dcterms:W3CDTF">2024-11-27T09:47:00Z</dcterms:created>
  <dcterms:modified xsi:type="dcterms:W3CDTF">2024-11-27T09:47:00Z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Order">
    <vt:r8>525800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2024-09-19T13:38:36Z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543468b5-33da-44fd-8dba-a88d4de936d6</vt:lpwstr>
  </property>
  <property fmtid="{D5CDD505-2E9C-101B-9397-08002B2CF9AE}" pid="14" name="MSIP_Label_1665d9ee-429a-4d5f-97cc-cfb56e044a6e_ContentBits">
    <vt:lpwstr>0</vt:lpwstr>
  </property>
</Properties>
</file>