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E27FE" w14:textId="77777777" w:rsidR="00C6406A" w:rsidRPr="00ED6A4F" w:rsidRDefault="00C6406A" w:rsidP="00B33657">
      <w:pPr>
        <w:widowControl/>
        <w:pBdr>
          <w:top w:val="single" w:sz="12" w:space="0" w:color="auto" w:shadow="1"/>
          <w:left w:val="single" w:sz="12" w:space="4" w:color="auto" w:shadow="1"/>
          <w:bottom w:val="single" w:sz="12" w:space="1" w:color="auto" w:shadow="1"/>
          <w:right w:val="single" w:sz="12" w:space="7" w:color="auto" w:shadow="1"/>
        </w:pBdr>
        <w:suppressAutoHyphens/>
        <w:ind w:right="4490"/>
        <w:rPr>
          <w:bCs/>
        </w:rPr>
      </w:pPr>
      <w:bookmarkStart w:id="0" w:name="_GoBack"/>
      <w:bookmarkEnd w:id="0"/>
      <w:r>
        <w:t>LA CONVENCIÓN SOBRE LOS HUMEDALES</w:t>
      </w:r>
    </w:p>
    <w:p w14:paraId="5A9106A6" w14:textId="77777777" w:rsidR="00C6406A" w:rsidRPr="00ED6A4F" w:rsidRDefault="00C6406A" w:rsidP="00B33657">
      <w:pPr>
        <w:widowControl/>
        <w:pBdr>
          <w:top w:val="single" w:sz="12" w:space="0" w:color="auto" w:shadow="1"/>
          <w:left w:val="single" w:sz="12" w:space="4" w:color="auto" w:shadow="1"/>
          <w:bottom w:val="single" w:sz="12" w:space="1" w:color="auto" w:shadow="1"/>
          <w:right w:val="single" w:sz="12" w:space="7" w:color="auto" w:shadow="1"/>
        </w:pBdr>
        <w:suppressAutoHyphens/>
        <w:ind w:right="4490"/>
        <w:rPr>
          <w:bCs/>
        </w:rPr>
      </w:pPr>
      <w:r>
        <w:t>63ª reunión del Comité Permanente</w:t>
      </w:r>
    </w:p>
    <w:p w14:paraId="08B9042C" w14:textId="77777777" w:rsidR="00C6406A" w:rsidRPr="00ED6A4F" w:rsidRDefault="00C6406A" w:rsidP="00B33657">
      <w:pPr>
        <w:widowControl/>
        <w:pBdr>
          <w:top w:val="single" w:sz="12" w:space="0" w:color="auto" w:shadow="1"/>
          <w:left w:val="single" w:sz="12" w:space="4" w:color="auto" w:shadow="1"/>
          <w:bottom w:val="single" w:sz="12" w:space="1" w:color="auto" w:shadow="1"/>
          <w:right w:val="single" w:sz="12" w:space="7" w:color="auto" w:shadow="1"/>
        </w:pBdr>
        <w:suppressAutoHyphens/>
        <w:ind w:right="4490"/>
        <w:rPr>
          <w:rFonts w:cs="Arial"/>
          <w:b/>
          <w:sz w:val="28"/>
          <w:szCs w:val="28"/>
        </w:rPr>
      </w:pPr>
      <w:r>
        <w:t>Gland, Suiza, 3 a 7 de junio de 2024</w:t>
      </w:r>
    </w:p>
    <w:p w14:paraId="02276A21" w14:textId="77777777" w:rsidR="00591472" w:rsidRDefault="00591472" w:rsidP="00B33657">
      <w:pPr>
        <w:widowControl/>
        <w:rPr>
          <w:rFonts w:cstheme="minorBidi"/>
          <w:sz w:val="28"/>
        </w:rPr>
      </w:pPr>
    </w:p>
    <w:p w14:paraId="3D1F25D1" w14:textId="1C5BC240" w:rsidR="00591472" w:rsidRDefault="00591472" w:rsidP="00B33657">
      <w:pPr>
        <w:widowControl/>
        <w:jc w:val="right"/>
        <w:rPr>
          <w:rFonts w:cstheme="minorHAnsi"/>
          <w:b/>
          <w:sz w:val="28"/>
          <w:szCs w:val="28"/>
        </w:rPr>
      </w:pPr>
      <w:r>
        <w:rPr>
          <w:b/>
          <w:sz w:val="28"/>
        </w:rPr>
        <w:t>SC63 Com.1</w:t>
      </w:r>
    </w:p>
    <w:p w14:paraId="6784BAC5" w14:textId="77777777" w:rsidR="00591472" w:rsidRDefault="00591472" w:rsidP="00B33657">
      <w:pPr>
        <w:widowControl/>
        <w:rPr>
          <w:rFonts w:asciiTheme="minorHAnsi" w:hAnsiTheme="minorHAnsi" w:cstheme="minorHAnsi"/>
          <w:b/>
          <w:sz w:val="28"/>
          <w:szCs w:val="28"/>
        </w:rPr>
      </w:pPr>
    </w:p>
    <w:p w14:paraId="7E6EC8DC" w14:textId="3AB8A11D" w:rsidR="005E3F07" w:rsidRPr="00641B45" w:rsidRDefault="000F77DA" w:rsidP="00B33657">
      <w:pPr>
        <w:widowControl/>
        <w:jc w:val="center"/>
        <w:rPr>
          <w:rFonts w:asciiTheme="minorHAnsi" w:hAnsiTheme="minorHAnsi" w:cstheme="minorHAnsi"/>
          <w:b/>
          <w:sz w:val="28"/>
          <w:szCs w:val="28"/>
        </w:rPr>
      </w:pPr>
      <w:r>
        <w:rPr>
          <w:rFonts w:asciiTheme="minorHAnsi" w:hAnsiTheme="minorHAnsi"/>
          <w:b/>
          <w:sz w:val="28"/>
        </w:rPr>
        <w:t>Informe del Subgrupo de Finanzas, 3 de junio de 2024</w:t>
      </w:r>
    </w:p>
    <w:p w14:paraId="1227D19A" w14:textId="6CC09262" w:rsidR="008E1AA5" w:rsidRDefault="008E1AA5" w:rsidP="00B33657">
      <w:pPr>
        <w:pStyle w:val="BodyText"/>
        <w:widowControl/>
        <w:rPr>
          <w:rFonts w:asciiTheme="minorHAnsi" w:hAnsiTheme="minorHAnsi" w:cstheme="minorHAnsi"/>
          <w:b/>
        </w:rPr>
      </w:pPr>
    </w:p>
    <w:p w14:paraId="7935E27F" w14:textId="426C1FC9" w:rsidR="009F5EF8" w:rsidRPr="00A24BE1" w:rsidRDefault="009F5EF8" w:rsidP="00B33657">
      <w:pPr>
        <w:widowControl/>
        <w:rPr>
          <w:i/>
        </w:rPr>
      </w:pPr>
      <w:r>
        <w:rPr>
          <w:i/>
        </w:rPr>
        <w:t xml:space="preserve">El presente informe incluye las recomendaciones que se someten a la consideración del Comité Permanente formuladas durante la reunión del Subgrupo de Finanzas celebrada el 3 de junio de 2024. </w:t>
      </w:r>
    </w:p>
    <w:p w14:paraId="1F111673" w14:textId="4BAEC739" w:rsidR="0002451C" w:rsidRDefault="0002451C" w:rsidP="00B33657">
      <w:pPr>
        <w:widowControl/>
        <w:tabs>
          <w:tab w:val="left" w:pos="960"/>
        </w:tabs>
        <w:rPr>
          <w:rFonts w:asciiTheme="minorHAnsi" w:hAnsiTheme="minorHAnsi" w:cstheme="minorHAnsi"/>
        </w:rPr>
      </w:pPr>
    </w:p>
    <w:p w14:paraId="683E2046" w14:textId="1FB4B639" w:rsidR="00B60E9F" w:rsidRPr="009E3B46" w:rsidRDefault="00B60E9F" w:rsidP="00B33657">
      <w:pPr>
        <w:widowControl/>
        <w:rPr>
          <w:rFonts w:asciiTheme="minorHAnsi" w:hAnsiTheme="minorHAnsi" w:cstheme="minorHAnsi"/>
        </w:rPr>
      </w:pPr>
      <w:r>
        <w:rPr>
          <w:rFonts w:asciiTheme="minorHAnsi" w:hAnsiTheme="minorHAnsi"/>
        </w:rPr>
        <w:t>El Presidente inauguró la reunión y pidió al Subgrupo que consultara las acciones solicitadas en los documentos SC63 Doc.9.1 y SC63 Doc.9.2 sobre cuestiones financieras y presupuestarias, señalando que los debates relacionados con el informe sobre cuestiones financieras para 2023 y 2024 se considerarían después de aquellos relativos a las contribuciones anuales.</w:t>
      </w:r>
    </w:p>
    <w:p w14:paraId="1FFF2C9C" w14:textId="77777777" w:rsidR="001A64EB" w:rsidRDefault="001A64EB" w:rsidP="00B33657">
      <w:pPr>
        <w:widowControl/>
        <w:tabs>
          <w:tab w:val="left" w:pos="960"/>
        </w:tabs>
        <w:rPr>
          <w:rFonts w:asciiTheme="minorHAnsi" w:hAnsiTheme="minorHAnsi" w:cstheme="minorHAnsi"/>
        </w:rPr>
      </w:pPr>
    </w:p>
    <w:p w14:paraId="05590A90" w14:textId="72AAE4F4" w:rsidR="00356EEC" w:rsidRPr="00711D36" w:rsidRDefault="00711D36" w:rsidP="00B33657">
      <w:pPr>
        <w:widowControl/>
        <w:autoSpaceDE/>
        <w:autoSpaceDN/>
        <w:ind w:left="426" w:hanging="426"/>
        <w:rPr>
          <w:rFonts w:asciiTheme="minorHAnsi" w:hAnsiTheme="minorHAnsi" w:cstheme="minorHAnsi"/>
          <w:b/>
        </w:rPr>
      </w:pPr>
      <w:r>
        <w:rPr>
          <w:rFonts w:asciiTheme="minorHAnsi" w:hAnsiTheme="minorHAnsi"/>
          <w:b/>
        </w:rPr>
        <w:t>1.</w:t>
      </w:r>
      <w:r>
        <w:rPr>
          <w:rFonts w:asciiTheme="minorHAnsi" w:hAnsiTheme="minorHAnsi"/>
          <w:b/>
        </w:rPr>
        <w:tab/>
        <w:t>Estado de las contribuciones anuales</w:t>
      </w:r>
    </w:p>
    <w:p w14:paraId="70C48F73" w14:textId="77777777" w:rsidR="00356EEC" w:rsidRPr="00BE1A1D" w:rsidRDefault="00356EEC" w:rsidP="00B33657">
      <w:pPr>
        <w:widowControl/>
        <w:ind w:left="426" w:hanging="426"/>
        <w:rPr>
          <w:rFonts w:asciiTheme="minorHAnsi" w:hAnsiTheme="minorHAnsi" w:cstheme="minorHAnsi"/>
        </w:rPr>
      </w:pPr>
    </w:p>
    <w:p w14:paraId="2C5A4EE0" w14:textId="7AFF80B0" w:rsidR="00C46204" w:rsidRDefault="005E2AB1" w:rsidP="00B33657">
      <w:pPr>
        <w:widowControl/>
        <w:rPr>
          <w:rFonts w:asciiTheme="minorHAnsi" w:hAnsiTheme="minorHAnsi" w:cstheme="minorHAnsi"/>
        </w:rPr>
      </w:pPr>
      <w:r>
        <w:rPr>
          <w:rFonts w:asciiTheme="minorHAnsi" w:hAnsiTheme="minorHAnsi"/>
        </w:rPr>
        <w:t xml:space="preserve">La Secretaría resumió brevemente el documento SC63 Doc.9.2, en el que se presentaba el estado de las contribuciones anuales a 31 de diciembre de 2023 y se señalaban los aumentos de las contribuciones anuales por cobrar y de la provisión anual resultante. </w:t>
      </w:r>
    </w:p>
    <w:p w14:paraId="0D76E1FF" w14:textId="77777777" w:rsidR="00C46204" w:rsidRDefault="00C46204" w:rsidP="00B33657">
      <w:pPr>
        <w:widowControl/>
        <w:rPr>
          <w:rFonts w:asciiTheme="minorHAnsi" w:hAnsiTheme="minorHAnsi" w:cstheme="minorHAnsi"/>
        </w:rPr>
      </w:pPr>
    </w:p>
    <w:p w14:paraId="1EF5E777" w14:textId="3F25BD22" w:rsidR="005E2AB1" w:rsidRPr="008949B3" w:rsidRDefault="00C46204" w:rsidP="00B33657">
      <w:pPr>
        <w:widowControl/>
      </w:pPr>
      <w:r>
        <w:rPr>
          <w:rFonts w:asciiTheme="minorHAnsi" w:hAnsiTheme="minorHAnsi"/>
        </w:rPr>
        <w:t xml:space="preserve">La Secretaría enumeró las medidas adoptadas en relación con la confirmación de los grupos acerca de las contribuciones pendientes, como parte del proceso de auditoría; las acciones para seguir fomentando el pago de las contribuciones anuales; y el estado de las contribuciones voluntarias de países africanos. </w:t>
      </w:r>
    </w:p>
    <w:p w14:paraId="5276DBAE" w14:textId="77777777" w:rsidR="002B56FE" w:rsidRPr="008949B3" w:rsidRDefault="002B56FE" w:rsidP="00B33657">
      <w:pPr>
        <w:widowControl/>
        <w:rPr>
          <w:rFonts w:asciiTheme="minorHAnsi" w:hAnsiTheme="minorHAnsi" w:cstheme="minorHAnsi"/>
        </w:rPr>
      </w:pPr>
    </w:p>
    <w:p w14:paraId="772DBAFF" w14:textId="66189906" w:rsidR="00C6406A" w:rsidRDefault="00C6406A" w:rsidP="00B33657">
      <w:pPr>
        <w:widowControl/>
        <w:rPr>
          <w:rFonts w:asciiTheme="minorHAnsi" w:hAnsiTheme="minorHAnsi" w:cstheme="minorHAnsi"/>
        </w:rPr>
      </w:pPr>
      <w:r>
        <w:rPr>
          <w:rFonts w:asciiTheme="minorHAnsi" w:hAnsiTheme="minorHAnsi"/>
        </w:rPr>
        <w:t>Los miembros del Subgrupo estudiaron la conveniencia de posibles medidas adicionales para fomentar el pago de las contribuciones pendientes, incluidas aquellas que llevaban cuatro años o más pendientes de pago, al tiempo que señalaron la necesidad de que la Convención y sus procesos siguieran siendo lo más inclusivos posible.</w:t>
      </w:r>
    </w:p>
    <w:p w14:paraId="06EAF074" w14:textId="04CB9E43" w:rsidR="00C6406A" w:rsidRDefault="00C6406A" w:rsidP="00B33657">
      <w:pPr>
        <w:widowControl/>
        <w:rPr>
          <w:rFonts w:asciiTheme="minorHAnsi" w:hAnsiTheme="minorHAnsi" w:cstheme="minorHAnsi"/>
        </w:rPr>
      </w:pPr>
    </w:p>
    <w:p w14:paraId="1283143C" w14:textId="2545541D" w:rsidR="00241CF4" w:rsidRDefault="00241CF4" w:rsidP="00B33657">
      <w:pPr>
        <w:widowControl/>
        <w:rPr>
          <w:rFonts w:asciiTheme="minorHAnsi" w:hAnsiTheme="minorHAnsi" w:cstheme="minorHAnsi"/>
        </w:rPr>
      </w:pPr>
      <w:r>
        <w:rPr>
          <w:rFonts w:asciiTheme="minorHAnsi" w:hAnsiTheme="minorHAnsi"/>
        </w:rPr>
        <w:t xml:space="preserve">La Secretaria General informó de que las contribuciones pendientes se incluían ahora en los debates en sus reuniones bilaterales con los representantes diplomáticos de las Partes Contratantes, según procediera. </w:t>
      </w:r>
    </w:p>
    <w:p w14:paraId="2DE5C13E" w14:textId="77777777" w:rsidR="00C6406A" w:rsidRDefault="00C6406A" w:rsidP="00B33657">
      <w:pPr>
        <w:widowControl/>
        <w:rPr>
          <w:rFonts w:asciiTheme="minorHAnsi" w:hAnsiTheme="minorHAnsi" w:cstheme="minorHAnsi"/>
        </w:rPr>
      </w:pPr>
    </w:p>
    <w:p w14:paraId="16ED0A09" w14:textId="272ADD63" w:rsidR="002B56FE" w:rsidRDefault="00C6406A" w:rsidP="00B33657">
      <w:pPr>
        <w:widowControl/>
        <w:rPr>
          <w:rFonts w:asciiTheme="minorHAnsi" w:hAnsiTheme="minorHAnsi" w:cstheme="minorHAnsi"/>
        </w:rPr>
      </w:pPr>
      <w:r>
        <w:rPr>
          <w:rFonts w:asciiTheme="minorHAnsi" w:hAnsiTheme="minorHAnsi"/>
        </w:rPr>
        <w:t>El Subgrupo aprobó las recomendaciones para decisiones del Comité Permanente.</w:t>
      </w:r>
    </w:p>
    <w:p w14:paraId="11A4C452" w14:textId="34F0A3B6" w:rsidR="002B56FE" w:rsidRDefault="002B56FE" w:rsidP="00B33657">
      <w:pPr>
        <w:widowControl/>
        <w:rPr>
          <w:rFonts w:asciiTheme="minorHAnsi" w:hAnsiTheme="minorHAnsi" w:cstheme="minorHAnsi"/>
        </w:rPr>
      </w:pPr>
    </w:p>
    <w:p w14:paraId="25BD72B1" w14:textId="137F756A" w:rsidR="00356EEC" w:rsidRPr="001A64EB" w:rsidRDefault="00356EEC" w:rsidP="00B33657">
      <w:pPr>
        <w:widowControl/>
        <w:rPr>
          <w:rFonts w:asciiTheme="minorHAnsi" w:hAnsiTheme="minorHAnsi" w:cstheme="minorHAnsi"/>
          <w:i/>
          <w:iCs/>
        </w:rPr>
      </w:pPr>
      <w:r>
        <w:rPr>
          <w:rFonts w:asciiTheme="minorHAnsi" w:hAnsiTheme="minorHAnsi"/>
          <w:i/>
        </w:rPr>
        <w:t>Recomendación para una decisión del Comité Permanente:</w:t>
      </w:r>
    </w:p>
    <w:p w14:paraId="6FE5BBC0" w14:textId="77777777" w:rsidR="00356EEC" w:rsidRDefault="00356EEC" w:rsidP="00B33657">
      <w:pPr>
        <w:widowControl/>
        <w:rPr>
          <w:rFonts w:asciiTheme="minorHAnsi" w:hAnsiTheme="minorHAnsi" w:cstheme="minorHAnsi"/>
          <w:b/>
          <w:i/>
        </w:rPr>
      </w:pPr>
    </w:p>
    <w:p w14:paraId="5B60B194" w14:textId="77777777" w:rsidR="00356EEC" w:rsidRPr="00065C05" w:rsidRDefault="00356EEC" w:rsidP="00B33657">
      <w:pPr>
        <w:widowControl/>
        <w:rPr>
          <w:rFonts w:asciiTheme="minorHAnsi" w:hAnsiTheme="minorHAnsi" w:cstheme="minorHAnsi"/>
          <w:b/>
          <w:i/>
        </w:rPr>
      </w:pPr>
      <w:r>
        <w:rPr>
          <w:rFonts w:asciiTheme="minorHAnsi" w:hAnsiTheme="minorHAnsi"/>
          <w:b/>
          <w:i/>
        </w:rPr>
        <w:t xml:space="preserve">El Subgrupo de Finanzas recomienda que el Comité Permanente haga lo siguiente: </w:t>
      </w:r>
    </w:p>
    <w:p w14:paraId="4058224E" w14:textId="15A30F75" w:rsidR="00C6406A" w:rsidRPr="00C46204" w:rsidRDefault="00C6406A" w:rsidP="00B33657">
      <w:pPr>
        <w:widowControl/>
        <w:ind w:left="425" w:hanging="425"/>
        <w:contextualSpacing/>
        <w:rPr>
          <w:b/>
          <w:bCs/>
          <w:i/>
          <w:color w:val="000000" w:themeColor="text1"/>
        </w:rPr>
      </w:pPr>
      <w:r>
        <w:rPr>
          <w:b/>
          <w:i/>
          <w:color w:val="000000" w:themeColor="text1"/>
        </w:rPr>
        <w:t>i.</w:t>
      </w:r>
      <w:r>
        <w:rPr>
          <w:b/>
          <w:i/>
          <w:color w:val="000000" w:themeColor="text1"/>
        </w:rPr>
        <w:tab/>
        <w:t xml:space="preserve">tomar nota del estado de las contribuciones anuales; </w:t>
      </w:r>
    </w:p>
    <w:p w14:paraId="1028E946" w14:textId="2B94BBB8" w:rsidR="00C6406A" w:rsidRPr="00C46204" w:rsidRDefault="00C6406A" w:rsidP="00B33657">
      <w:pPr>
        <w:widowControl/>
        <w:ind w:left="425" w:hanging="425"/>
        <w:contextualSpacing/>
        <w:rPr>
          <w:b/>
          <w:bCs/>
          <w:i/>
          <w:color w:val="000000" w:themeColor="text1"/>
        </w:rPr>
      </w:pPr>
      <w:r>
        <w:rPr>
          <w:b/>
          <w:i/>
          <w:color w:val="000000" w:themeColor="text1"/>
        </w:rPr>
        <w:t>ii.</w:t>
      </w:r>
      <w:r>
        <w:rPr>
          <w:b/>
          <w:i/>
          <w:color w:val="000000" w:themeColor="text1"/>
        </w:rPr>
        <w:tab/>
        <w:t>tomar nota de las acciones enumeradas en los párrafos 12 y 13 del documento SC63 Doc.9.2 sobre la confirmación de los grupos acerca de las contribuciones pendientes, como parte del proceso de auditoría;</w:t>
      </w:r>
    </w:p>
    <w:p w14:paraId="0C89DB3B" w14:textId="03F24EE0" w:rsidR="00C6406A" w:rsidRPr="00C46204" w:rsidRDefault="00C6406A" w:rsidP="00B33657">
      <w:pPr>
        <w:widowControl/>
        <w:ind w:left="425" w:hanging="425"/>
        <w:contextualSpacing/>
        <w:rPr>
          <w:b/>
          <w:bCs/>
          <w:i/>
          <w:color w:val="000000" w:themeColor="text1"/>
        </w:rPr>
      </w:pPr>
      <w:r>
        <w:rPr>
          <w:b/>
          <w:i/>
          <w:color w:val="000000" w:themeColor="text1"/>
        </w:rPr>
        <w:t>iii.</w:t>
      </w:r>
      <w:r>
        <w:rPr>
          <w:b/>
          <w:i/>
          <w:color w:val="000000" w:themeColor="text1"/>
        </w:rPr>
        <w:tab/>
        <w:t>tomar nota de las acciones enumeradas en los párrafos 15, 17, 18 y 19 del documento SC63 Doc.9.2 para seguir fomentando el pago de las contribuciones anuales por las Partes Contratantes;</w:t>
      </w:r>
    </w:p>
    <w:p w14:paraId="1FAC0DC6" w14:textId="01C8905D" w:rsidR="00C6406A" w:rsidRPr="00C6406A" w:rsidRDefault="00C6406A" w:rsidP="00B33657">
      <w:pPr>
        <w:widowControl/>
        <w:ind w:left="425" w:hanging="425"/>
        <w:contextualSpacing/>
        <w:rPr>
          <w:b/>
          <w:bCs/>
          <w:i/>
          <w:color w:val="000000" w:themeColor="text1"/>
        </w:rPr>
      </w:pPr>
      <w:r>
        <w:rPr>
          <w:b/>
          <w:i/>
          <w:color w:val="000000" w:themeColor="text1"/>
        </w:rPr>
        <w:lastRenderedPageBreak/>
        <w:t>iv.</w:t>
      </w:r>
      <w:r>
        <w:rPr>
          <w:b/>
          <w:i/>
          <w:color w:val="000000" w:themeColor="text1"/>
        </w:rPr>
        <w:tab/>
        <w:t xml:space="preserve">tomar nota de los cambios en las contribuciones anuales por cobrar y en la provisión anual para las contribuciones pendientes de pago; y </w:t>
      </w:r>
    </w:p>
    <w:p w14:paraId="26992645" w14:textId="065700FA" w:rsidR="00C6406A" w:rsidRPr="00C6406A" w:rsidRDefault="00C6406A" w:rsidP="00B33657">
      <w:pPr>
        <w:widowControl/>
        <w:ind w:left="425" w:hanging="425"/>
        <w:contextualSpacing/>
        <w:rPr>
          <w:i/>
          <w:color w:val="000000" w:themeColor="text1"/>
        </w:rPr>
      </w:pPr>
      <w:r>
        <w:rPr>
          <w:b/>
          <w:i/>
          <w:color w:val="000000" w:themeColor="text1"/>
        </w:rPr>
        <w:t>v.</w:t>
      </w:r>
      <w:r>
        <w:rPr>
          <w:b/>
          <w:i/>
          <w:color w:val="000000" w:themeColor="text1"/>
        </w:rPr>
        <w:tab/>
        <w:t>tomar nota del estado de las contribuciones voluntarias recibidas de las Partes Contratantes de la región de África, resumidas en el párrafo 22 del documento SC63 Doc.9.2.</w:t>
      </w:r>
    </w:p>
    <w:p w14:paraId="46895208" w14:textId="13C80A5F" w:rsidR="0066724B" w:rsidRDefault="0066724B" w:rsidP="00B33657">
      <w:pPr>
        <w:widowControl/>
        <w:rPr>
          <w:rFonts w:asciiTheme="minorHAnsi" w:hAnsiTheme="minorHAnsi" w:cstheme="minorHAnsi"/>
          <w:b/>
          <w:i/>
        </w:rPr>
      </w:pPr>
    </w:p>
    <w:p w14:paraId="5AE05E69" w14:textId="77777777" w:rsidR="00F9659F" w:rsidRDefault="00F9659F" w:rsidP="00B33657">
      <w:pPr>
        <w:keepNext/>
        <w:widowControl/>
        <w:autoSpaceDE/>
        <w:autoSpaceDN/>
        <w:ind w:left="425" w:hanging="425"/>
        <w:rPr>
          <w:rFonts w:asciiTheme="minorHAnsi" w:hAnsiTheme="minorHAnsi" w:cstheme="minorHAnsi"/>
          <w:b/>
        </w:rPr>
      </w:pPr>
      <w:r>
        <w:rPr>
          <w:rFonts w:asciiTheme="minorHAnsi" w:hAnsiTheme="minorHAnsi"/>
          <w:b/>
        </w:rPr>
        <w:t>2.</w:t>
      </w:r>
      <w:r>
        <w:rPr>
          <w:rFonts w:asciiTheme="minorHAnsi" w:hAnsiTheme="minorHAnsi"/>
          <w:b/>
        </w:rPr>
        <w:tab/>
        <w:t>Informe sobre cuestiones financieras para 2023 y 2024</w:t>
      </w:r>
    </w:p>
    <w:p w14:paraId="57813ED8" w14:textId="77777777" w:rsidR="00F9659F" w:rsidRDefault="00F9659F" w:rsidP="00B33657">
      <w:pPr>
        <w:keepNext/>
        <w:widowControl/>
        <w:autoSpaceDE/>
        <w:autoSpaceDN/>
        <w:ind w:left="425" w:hanging="425"/>
        <w:rPr>
          <w:rFonts w:asciiTheme="minorHAnsi" w:hAnsiTheme="minorHAnsi" w:cstheme="minorHAnsi"/>
          <w:b/>
        </w:rPr>
      </w:pPr>
    </w:p>
    <w:p w14:paraId="6F1C06E8" w14:textId="2B8F76C7" w:rsidR="00C17AED" w:rsidRDefault="00F9659F" w:rsidP="00B33657">
      <w:pPr>
        <w:widowControl/>
        <w:autoSpaceDE/>
        <w:autoSpaceDN/>
        <w:rPr>
          <w:rFonts w:asciiTheme="minorHAnsi" w:hAnsiTheme="minorHAnsi" w:cstheme="minorHAnsi"/>
        </w:rPr>
      </w:pPr>
      <w:r>
        <w:rPr>
          <w:rFonts w:asciiTheme="minorHAnsi" w:hAnsiTheme="minorHAnsi"/>
        </w:rPr>
        <w:t>La Secretaría presentó el documento SC63 Doc.9.1, destacando:</w:t>
      </w:r>
    </w:p>
    <w:p w14:paraId="2145FC12" w14:textId="594EA573" w:rsidR="00C17AED" w:rsidRDefault="00445EA0" w:rsidP="00B33657">
      <w:pPr>
        <w:widowControl/>
        <w:autoSpaceDE/>
        <w:autoSpaceDN/>
        <w:ind w:left="426" w:hanging="426"/>
      </w:pPr>
      <w:r>
        <w:t>-</w:t>
      </w:r>
      <w:r>
        <w:tab/>
        <w:t xml:space="preserve">los estados financieros auditados para 2023; </w:t>
      </w:r>
    </w:p>
    <w:p w14:paraId="0BF5A505" w14:textId="392E0053" w:rsidR="00C17AED" w:rsidRDefault="00445EA0" w:rsidP="00B33657">
      <w:pPr>
        <w:widowControl/>
        <w:autoSpaceDE/>
        <w:autoSpaceDN/>
        <w:ind w:left="426" w:hanging="426"/>
      </w:pPr>
      <w:r>
        <w:t>-</w:t>
      </w:r>
      <w:r>
        <w:tab/>
        <w:t xml:space="preserve">los resultados del presupuesto básico para 2023; </w:t>
      </w:r>
    </w:p>
    <w:p w14:paraId="47E4A11B" w14:textId="34CF37EF" w:rsidR="00C17AED" w:rsidRDefault="00445EA0" w:rsidP="00B33657">
      <w:pPr>
        <w:widowControl/>
        <w:autoSpaceDE/>
        <w:autoSpaceDN/>
        <w:ind w:left="426" w:hanging="426"/>
      </w:pPr>
      <w:r>
        <w:t>-</w:t>
      </w:r>
      <w:r>
        <w:tab/>
        <w:t xml:space="preserve">la situación de la financiación complementaria y las contribuciones voluntarias para 2023; </w:t>
      </w:r>
    </w:p>
    <w:p w14:paraId="516F2BE7" w14:textId="0CA1A61E" w:rsidR="00C17AED" w:rsidRDefault="00445EA0" w:rsidP="00B33657">
      <w:pPr>
        <w:widowControl/>
        <w:autoSpaceDE/>
        <w:autoSpaceDN/>
        <w:ind w:left="426" w:hanging="426"/>
      </w:pPr>
      <w:r>
        <w:t>-</w:t>
      </w:r>
      <w:r>
        <w:tab/>
        <w:t xml:space="preserve">la propuesta de traspasar fondos previamente comprometidos por un total de 1 232 000 francos suizos de 2023 a 2024; </w:t>
      </w:r>
    </w:p>
    <w:p w14:paraId="21AF017C" w14:textId="306E7BA8" w:rsidR="00C17AED" w:rsidRDefault="00445EA0" w:rsidP="00B33657">
      <w:pPr>
        <w:widowControl/>
        <w:autoSpaceDE/>
        <w:autoSpaceDN/>
        <w:ind w:left="426" w:hanging="426"/>
      </w:pPr>
      <w:r>
        <w:t>-</w:t>
      </w:r>
      <w:r>
        <w:tab/>
        <w:t xml:space="preserve">la propuesta de asignación de fondos a la IRR que reúne los requisitos; </w:t>
      </w:r>
    </w:p>
    <w:p w14:paraId="0107C3B3" w14:textId="198A9CB2" w:rsidR="00C17AED" w:rsidRDefault="00445EA0" w:rsidP="00B33657">
      <w:pPr>
        <w:widowControl/>
        <w:autoSpaceDE/>
        <w:autoSpaceDN/>
        <w:ind w:left="426" w:hanging="426"/>
      </w:pPr>
      <w:r>
        <w:t>-</w:t>
      </w:r>
      <w:r>
        <w:tab/>
        <w:t xml:space="preserve">los saldos excedentes; y </w:t>
      </w:r>
    </w:p>
    <w:p w14:paraId="3425BEDA" w14:textId="75AA2922" w:rsidR="00C17AED" w:rsidRDefault="00445EA0" w:rsidP="00B33657">
      <w:pPr>
        <w:widowControl/>
        <w:autoSpaceDE/>
        <w:autoSpaceDN/>
        <w:ind w:left="426" w:hanging="426"/>
      </w:pPr>
      <w:r>
        <w:t>-</w:t>
      </w:r>
      <w:r>
        <w:tab/>
        <w:t>la información relativa a los estados financieros para 2024 y 2025 en preparación para las reuniones SC64 y SC65, y relativa a las facturas para 2025.</w:t>
      </w:r>
    </w:p>
    <w:p w14:paraId="2A468A16" w14:textId="77777777" w:rsidR="00FF1E0D" w:rsidRDefault="00FF1E0D" w:rsidP="00B33657">
      <w:pPr>
        <w:widowControl/>
        <w:autoSpaceDE/>
        <w:autoSpaceDN/>
      </w:pPr>
    </w:p>
    <w:p w14:paraId="622F3A27" w14:textId="7941F444" w:rsidR="00FF1E0D" w:rsidRDefault="00FF1E0D" w:rsidP="00B33657">
      <w:pPr>
        <w:widowControl/>
        <w:autoSpaceDE/>
        <w:autoSpaceDN/>
      </w:pPr>
      <w:r>
        <w:t>La Secretaría señaló además que:</w:t>
      </w:r>
    </w:p>
    <w:p w14:paraId="610E9CB7" w14:textId="75E938A7" w:rsidR="00FF1E0D" w:rsidRDefault="00445EA0" w:rsidP="00B33657">
      <w:pPr>
        <w:widowControl/>
        <w:autoSpaceDE/>
        <w:autoSpaceDN/>
        <w:ind w:left="426" w:hanging="426"/>
      </w:pPr>
      <w:r>
        <w:t>-</w:t>
      </w:r>
      <w:r>
        <w:tab/>
        <w:t xml:space="preserve">los informes sobre cuestiones financieras y presupuestarias que se presentarían a la reunión SC64 abarcarían el período hasta el 30 de septiembre de 2024; </w:t>
      </w:r>
    </w:p>
    <w:p w14:paraId="3E78A1D8" w14:textId="0F2F4E2A" w:rsidR="00FF1E0D" w:rsidRDefault="00445EA0" w:rsidP="00B33657">
      <w:pPr>
        <w:widowControl/>
        <w:autoSpaceDE/>
        <w:autoSpaceDN/>
        <w:ind w:left="426" w:hanging="426"/>
      </w:pPr>
      <w:r>
        <w:t>-</w:t>
      </w:r>
      <w:r>
        <w:tab/>
        <w:t xml:space="preserve">los estados auditados correspondientes a 2024, junto con los resultados al final de ejercicio 2024, se publicarían a más tardar en mayo de 2025 y se presentarían para su aprobación en la reunión SC65; y </w:t>
      </w:r>
    </w:p>
    <w:p w14:paraId="2AE9F14C" w14:textId="24D65F86" w:rsidR="00FF1E0D" w:rsidRDefault="00445EA0" w:rsidP="00B33657">
      <w:pPr>
        <w:widowControl/>
        <w:autoSpaceDE/>
        <w:autoSpaceDN/>
        <w:ind w:left="426" w:hanging="426"/>
      </w:pPr>
      <w:r>
        <w:t>-</w:t>
      </w:r>
      <w:r>
        <w:tab/>
        <w:t>la nueva escala de contribuciones de las Naciones Unidas para 2025-2027 se publicaría a finales de 2024 y la Secretaría enviaría las facturas correspondientes a 2025 tan pronto como fuera posible después de esa fecha.</w:t>
      </w:r>
    </w:p>
    <w:p w14:paraId="51DD0B58" w14:textId="28091A1E" w:rsidR="00C17AED" w:rsidRDefault="00C17AED" w:rsidP="00B33657">
      <w:pPr>
        <w:widowControl/>
        <w:autoSpaceDE/>
        <w:autoSpaceDN/>
      </w:pPr>
    </w:p>
    <w:p w14:paraId="56B65529" w14:textId="1EC2823C" w:rsidR="00101AD3" w:rsidRDefault="001D7D26" w:rsidP="00B33657">
      <w:pPr>
        <w:widowControl/>
        <w:autoSpaceDE/>
        <w:autoSpaceDN/>
      </w:pPr>
      <w:r>
        <w:t xml:space="preserve">El Subgrupo estudió el uso de los fondos no gastados en actividades como las IRR y el Grupo de trabajo sobre la eficacia. La Secretaría señaló que los fondos no asignados o no gastados se traspasaban entre las partidas presupuestarias aprobadas dentro del trienio, en consonancia con la Decisión SC57-50 del Comité Permanente.  </w:t>
      </w:r>
    </w:p>
    <w:p w14:paraId="1C4A080B" w14:textId="77777777" w:rsidR="00101AD3" w:rsidRDefault="00101AD3" w:rsidP="00B33657">
      <w:pPr>
        <w:widowControl/>
        <w:autoSpaceDE/>
        <w:autoSpaceDN/>
      </w:pPr>
    </w:p>
    <w:p w14:paraId="003BC100" w14:textId="3AE20A2B" w:rsidR="00C17AED" w:rsidRDefault="00C17AED" w:rsidP="00B33657">
      <w:pPr>
        <w:widowControl/>
        <w:autoSpaceDE/>
        <w:autoSpaceDN/>
      </w:pPr>
      <w:r>
        <w:t>En lo que respecta al proceso de asignación de fondos excedentes, la Secretaría explicó que cualquier propuesta relativa al uso de los fondos excedentes se presentaría al Subgrupo de Finanzas para su consideración y una posible recomendación al Comité Permanente para que adopte una decisión. La asignación del superávit pendiente sería decidida por el Comité Permanente al final del trienio tras la COP. Hasta la fecha, no se había recibido ninguna propuesta sobre la asignación de los fondos excedentes comunicados a finales de 2023. La Secretaría añadió que la situación actual era excepcional y reflejaba el ahorro presupuestario acumulado hasta 2022 durante la pandemia, en actividades como viajes y reuniones.</w:t>
      </w:r>
    </w:p>
    <w:p w14:paraId="3B77ECE9" w14:textId="77777777" w:rsidR="002C7AAB" w:rsidRDefault="002C7AAB" w:rsidP="00B33657">
      <w:pPr>
        <w:widowControl/>
        <w:autoSpaceDE/>
        <w:autoSpaceDN/>
      </w:pPr>
    </w:p>
    <w:p w14:paraId="5DABAC9C" w14:textId="24914857" w:rsidR="002C7AAB" w:rsidRDefault="002C7AAB" w:rsidP="00B33657">
      <w:pPr>
        <w:widowControl/>
        <w:autoSpaceDE/>
        <w:autoSpaceDN/>
      </w:pPr>
      <w:r>
        <w:t>Los miembros del Subgrupo acordaron solicitar que la fecha límite para la presentación de propuestas para la asignación de los fondos excedentes fuera en octubre, así como celebrar una reunión virtual entre períodos de sesiones alrededor de principios de diciembre de 2024, una vez que se hubieran publicado los proyectos de resolución para la COP15 y antes de las reuniones regionales previas a la COP previstas para principios de 2025, con el fin de estudiar:</w:t>
      </w:r>
    </w:p>
    <w:p w14:paraId="2A767B51" w14:textId="6735867B" w:rsidR="002C7AAB" w:rsidRDefault="00445EA0" w:rsidP="00B33657">
      <w:pPr>
        <w:widowControl/>
        <w:autoSpaceDE/>
        <w:autoSpaceDN/>
        <w:ind w:left="426" w:hanging="426"/>
      </w:pPr>
      <w:r>
        <w:t>-</w:t>
      </w:r>
      <w:r>
        <w:tab/>
        <w:t>propuestas para la asignación de los fondos excedentes; y</w:t>
      </w:r>
    </w:p>
    <w:p w14:paraId="11BC8EC5" w14:textId="0B750463" w:rsidR="002C7AAB" w:rsidRDefault="00445EA0" w:rsidP="00B33657">
      <w:pPr>
        <w:widowControl/>
        <w:autoSpaceDE/>
        <w:autoSpaceDN/>
        <w:ind w:left="426" w:hanging="426"/>
      </w:pPr>
      <w:r>
        <w:t>-</w:t>
      </w:r>
      <w:r>
        <w:tab/>
        <w:t>la propuesta de plan presupuestario de la Secretaría para el próximo trienio, que debería tener en cuenta las presiones inflacionistas sobre las actividades del presupuesto básico y el aumento de las actividades de la Secretaría.</w:t>
      </w:r>
    </w:p>
    <w:p w14:paraId="2F1ACF84" w14:textId="77777777" w:rsidR="00D472A8" w:rsidRDefault="00D472A8" w:rsidP="00B33657">
      <w:pPr>
        <w:widowControl/>
        <w:autoSpaceDE/>
        <w:autoSpaceDN/>
      </w:pPr>
    </w:p>
    <w:p w14:paraId="64020049" w14:textId="7490F078" w:rsidR="00D472A8" w:rsidRDefault="001D7D26" w:rsidP="00B33657">
      <w:pPr>
        <w:widowControl/>
        <w:autoSpaceDE/>
        <w:autoSpaceDN/>
      </w:pPr>
      <w:r>
        <w:t>El Subgrupo formuló sugerencias preliminares sobre actividades adecuadas para la asignación de los fondos excedentes, entre las que se incluían, por ejemplo, actividades de fomento de capacidad sobre la preparación de inventarios de humedales y proyectos para mejorar la aplicación de nuevas tecnologías por parte de la Convención. El Presidente indicó que las propuestas deberían presentarse en octubre, con antelación a la reunión que se celebre en el período entre sesiones.</w:t>
      </w:r>
    </w:p>
    <w:p w14:paraId="5C7C2234" w14:textId="77777777" w:rsidR="00C46204" w:rsidRDefault="00C46204" w:rsidP="00B33657">
      <w:pPr>
        <w:widowControl/>
        <w:autoSpaceDE/>
        <w:autoSpaceDN/>
      </w:pPr>
    </w:p>
    <w:p w14:paraId="0E34E3FE" w14:textId="372329B5" w:rsidR="00BA15AD" w:rsidRDefault="00101AD3" w:rsidP="00B33657">
      <w:pPr>
        <w:pStyle w:val="ColorfulList-Accent11"/>
        <w:ind w:left="0" w:firstLine="0"/>
        <w:rPr>
          <w:rFonts w:cs="Calibri"/>
        </w:rPr>
      </w:pPr>
      <w:r>
        <w:t>La Secretaría informó al Subgrupo de que, a pesar del aumento de las actividades de la Secretaría en apoyo de las Partes Contratantes, el presupuesto se había mantenido sin cambios durante los últimos 15 años. Por lo tanto, la Secretaría presentará una propuesta con un aumento de la asignación presupuestaria para su consideración por el Subgrupo de Finanzas durante la reunión que se celebre en el período entre sesiones.</w:t>
      </w:r>
    </w:p>
    <w:p w14:paraId="0054B3CC" w14:textId="2207542C" w:rsidR="00101AD3" w:rsidRDefault="00101AD3" w:rsidP="00B33657">
      <w:pPr>
        <w:pStyle w:val="ColorfulList-Accent11"/>
        <w:ind w:left="0" w:firstLine="0"/>
        <w:rPr>
          <w:rFonts w:cs="Calibri"/>
        </w:rPr>
      </w:pPr>
      <w:r>
        <w:t xml:space="preserve"> </w:t>
      </w:r>
    </w:p>
    <w:p w14:paraId="1084389C" w14:textId="77777777" w:rsidR="00F9659F" w:rsidRPr="001A64EB" w:rsidRDefault="00F9659F" w:rsidP="00B33657">
      <w:pPr>
        <w:widowControl/>
        <w:rPr>
          <w:rFonts w:asciiTheme="minorHAnsi" w:hAnsiTheme="minorHAnsi" w:cstheme="minorHAnsi"/>
          <w:i/>
          <w:iCs/>
        </w:rPr>
      </w:pPr>
      <w:r>
        <w:rPr>
          <w:rFonts w:asciiTheme="minorHAnsi" w:hAnsiTheme="minorHAnsi"/>
          <w:i/>
        </w:rPr>
        <w:t>Recomendación para una decisión del Comité Permanente:</w:t>
      </w:r>
    </w:p>
    <w:p w14:paraId="2479B12C" w14:textId="77777777" w:rsidR="00F9659F" w:rsidRDefault="00F9659F" w:rsidP="00B33657">
      <w:pPr>
        <w:pStyle w:val="ColorfulList-Accent11"/>
        <w:ind w:left="0" w:firstLine="0"/>
        <w:rPr>
          <w:rFonts w:cs="Calibri"/>
        </w:rPr>
      </w:pPr>
    </w:p>
    <w:p w14:paraId="6B8EB00F" w14:textId="77777777" w:rsidR="00F9659F" w:rsidRPr="00F9659F" w:rsidRDefault="00F9659F" w:rsidP="00B33657">
      <w:pPr>
        <w:widowControl/>
        <w:rPr>
          <w:rFonts w:asciiTheme="minorHAnsi" w:hAnsiTheme="minorHAnsi" w:cstheme="minorHAnsi"/>
          <w:b/>
          <w:i/>
        </w:rPr>
      </w:pPr>
      <w:r>
        <w:rPr>
          <w:rFonts w:asciiTheme="minorHAnsi" w:hAnsiTheme="minorHAnsi"/>
          <w:b/>
          <w:i/>
        </w:rPr>
        <w:t>El Subgrupo de Finanzas recomienda lo siguiente al Comité Permanente:</w:t>
      </w:r>
    </w:p>
    <w:p w14:paraId="4E07AB28" w14:textId="52CD2B59" w:rsidR="00F9659F" w:rsidRPr="000C05D9" w:rsidRDefault="00F9659F" w:rsidP="00B33657">
      <w:pPr>
        <w:widowControl/>
        <w:ind w:left="425" w:hanging="425"/>
        <w:contextualSpacing/>
        <w:rPr>
          <w:b/>
          <w:bCs/>
          <w:i/>
          <w:color w:val="000000" w:themeColor="text1"/>
        </w:rPr>
      </w:pPr>
      <w:r>
        <w:rPr>
          <w:b/>
          <w:i/>
          <w:color w:val="000000" w:themeColor="text1"/>
        </w:rPr>
        <w:t>i</w:t>
      </w:r>
      <w:r>
        <w:rPr>
          <w:b/>
          <w:i/>
          <w:color w:val="000000" w:themeColor="text1"/>
        </w:rPr>
        <w:tab/>
        <w:t>aceptar los estados financieros auditados de 2023 a 31 de diciembre de 2023;</w:t>
      </w:r>
    </w:p>
    <w:p w14:paraId="173DF5A6" w14:textId="2404CC77" w:rsidR="00F9659F" w:rsidRPr="000C05D9" w:rsidRDefault="00F9659F" w:rsidP="00B33657">
      <w:pPr>
        <w:widowControl/>
        <w:ind w:left="425" w:hanging="425"/>
        <w:contextualSpacing/>
        <w:rPr>
          <w:b/>
          <w:bCs/>
          <w:i/>
          <w:color w:val="000000" w:themeColor="text1"/>
        </w:rPr>
      </w:pPr>
      <w:r>
        <w:rPr>
          <w:b/>
          <w:i/>
          <w:color w:val="000000" w:themeColor="text1"/>
        </w:rPr>
        <w:t xml:space="preserve">ii. </w:t>
      </w:r>
      <w:r>
        <w:rPr>
          <w:b/>
          <w:i/>
          <w:color w:val="000000" w:themeColor="text1"/>
        </w:rPr>
        <w:tab/>
        <w:t>tomar nota de los resultados del presupuesto básico para 2023;</w:t>
      </w:r>
    </w:p>
    <w:p w14:paraId="3F05AC29" w14:textId="6724C54C" w:rsidR="00F9659F" w:rsidRPr="000C05D9" w:rsidRDefault="00F9659F" w:rsidP="00B33657">
      <w:pPr>
        <w:widowControl/>
        <w:ind w:left="425" w:hanging="425"/>
        <w:contextualSpacing/>
        <w:rPr>
          <w:b/>
          <w:bCs/>
          <w:i/>
          <w:color w:val="000000" w:themeColor="text1"/>
        </w:rPr>
      </w:pPr>
      <w:r>
        <w:rPr>
          <w:b/>
          <w:i/>
          <w:color w:val="000000" w:themeColor="text1"/>
        </w:rPr>
        <w:t>iii.</w:t>
      </w:r>
      <w:r>
        <w:rPr>
          <w:b/>
          <w:i/>
          <w:color w:val="000000" w:themeColor="text1"/>
        </w:rPr>
        <w:tab/>
        <w:t>tomar nota de la situación de la financiación complementaria y las contribuciones voluntarias para 2023;</w:t>
      </w:r>
    </w:p>
    <w:p w14:paraId="57AA65FA" w14:textId="08B1ED2C" w:rsidR="00F9659F" w:rsidRPr="000C05D9" w:rsidRDefault="00F9659F" w:rsidP="00B33657">
      <w:pPr>
        <w:widowControl/>
        <w:ind w:left="425" w:hanging="425"/>
        <w:contextualSpacing/>
        <w:rPr>
          <w:b/>
          <w:bCs/>
          <w:i/>
          <w:color w:val="000000" w:themeColor="text1"/>
        </w:rPr>
      </w:pPr>
      <w:r>
        <w:rPr>
          <w:b/>
          <w:i/>
          <w:color w:val="000000" w:themeColor="text1"/>
        </w:rPr>
        <w:t xml:space="preserve">iv. </w:t>
      </w:r>
      <w:r>
        <w:rPr>
          <w:b/>
          <w:i/>
          <w:color w:val="000000" w:themeColor="text1"/>
        </w:rPr>
        <w:tab/>
        <w:t>aprobar el traspaso de los fondos comprometidos previamente y no gastados por un total de 1 232 000 francos suizos de 2023 a 2024, como se indica en la columna C del cuadro del Anexo 1, Presupuesto básico para 2024, del presente informe;</w:t>
      </w:r>
    </w:p>
    <w:p w14:paraId="3F1713CB" w14:textId="3B81BAED" w:rsidR="00F9659F" w:rsidRPr="000C05D9" w:rsidRDefault="00F9659F" w:rsidP="00B33657">
      <w:pPr>
        <w:widowControl/>
        <w:ind w:left="425" w:hanging="425"/>
        <w:contextualSpacing/>
        <w:rPr>
          <w:b/>
          <w:bCs/>
          <w:i/>
          <w:color w:val="000000" w:themeColor="text1"/>
        </w:rPr>
      </w:pPr>
      <w:r>
        <w:rPr>
          <w:b/>
          <w:i/>
          <w:color w:val="000000" w:themeColor="text1"/>
        </w:rPr>
        <w:t>v.</w:t>
      </w:r>
      <w:r>
        <w:rPr>
          <w:b/>
          <w:i/>
          <w:color w:val="000000" w:themeColor="text1"/>
        </w:rPr>
        <w:tab/>
        <w:t>aprobar la asignación de 29 000 francos suizos del presupuesto básico a la iniciativa regional de Ramsar Danube WILDisland para actividades que se realizarán en 2024, como se describe en el párrafo 23 del documento SC63 Doc. 9.1</w:t>
      </w:r>
      <w:r w:rsidR="009317C3">
        <w:rPr>
          <w:rStyle w:val="FootnoteReference"/>
          <w:b/>
          <w:bCs/>
          <w:i/>
          <w:color w:val="000000" w:themeColor="text1"/>
        </w:rPr>
        <w:footnoteReference w:id="1"/>
      </w:r>
      <w:r>
        <w:rPr>
          <w:b/>
          <w:i/>
          <w:color w:val="000000" w:themeColor="text1"/>
        </w:rPr>
        <w:t xml:space="preserve">; </w:t>
      </w:r>
    </w:p>
    <w:p w14:paraId="735F22C4" w14:textId="526D2356" w:rsidR="00F9659F" w:rsidRPr="000C05D9" w:rsidRDefault="00F9659F" w:rsidP="00B33657">
      <w:pPr>
        <w:widowControl/>
        <w:ind w:left="425" w:hanging="425"/>
        <w:contextualSpacing/>
        <w:rPr>
          <w:b/>
          <w:bCs/>
          <w:i/>
          <w:color w:val="000000" w:themeColor="text1"/>
        </w:rPr>
      </w:pPr>
      <w:r>
        <w:rPr>
          <w:b/>
          <w:i/>
          <w:color w:val="000000" w:themeColor="text1"/>
        </w:rPr>
        <w:t>vi.</w:t>
      </w:r>
      <w:r>
        <w:rPr>
          <w:b/>
          <w:i/>
          <w:color w:val="000000" w:themeColor="text1"/>
        </w:rPr>
        <w:tab/>
      </w:r>
      <w:bookmarkStart w:id="1" w:name="_Hlk167885757"/>
      <w:r>
        <w:rPr>
          <w:b/>
          <w:i/>
          <w:color w:val="000000" w:themeColor="text1"/>
        </w:rPr>
        <w:t>tomar nota de los saldos excedentes a finales de 2023; y</w:t>
      </w:r>
    </w:p>
    <w:p w14:paraId="6A65A0A0" w14:textId="3FF18EFB" w:rsidR="00B87283" w:rsidRDefault="00F9659F" w:rsidP="00B33657">
      <w:pPr>
        <w:widowControl/>
        <w:ind w:left="425" w:hanging="425"/>
        <w:contextualSpacing/>
        <w:rPr>
          <w:b/>
          <w:bCs/>
          <w:i/>
          <w:color w:val="000000" w:themeColor="text1"/>
        </w:rPr>
      </w:pPr>
      <w:r>
        <w:rPr>
          <w:b/>
          <w:i/>
          <w:color w:val="000000" w:themeColor="text1"/>
        </w:rPr>
        <w:t>viii.</w:t>
      </w:r>
      <w:r>
        <w:rPr>
          <w:b/>
          <w:i/>
          <w:color w:val="000000" w:themeColor="text1"/>
        </w:rPr>
        <w:tab/>
        <w:t>tomar nota de la información relativa a los estados financieros para 2024 y 2025 y relativa a las facturas para 2025, como se describe en los párrafos 26 y 27 del documento SC63 Doc. 9.1</w:t>
      </w:r>
      <w:bookmarkEnd w:id="1"/>
      <w:r>
        <w:rPr>
          <w:b/>
          <w:i/>
          <w:color w:val="000000" w:themeColor="text1"/>
        </w:rPr>
        <w:t>.</w:t>
      </w:r>
    </w:p>
    <w:p w14:paraId="202D9CB6" w14:textId="77777777" w:rsidR="00481CDD" w:rsidRDefault="00481CDD" w:rsidP="00B33657">
      <w:pPr>
        <w:widowControl/>
        <w:ind w:left="425" w:hanging="425"/>
        <w:contextualSpacing/>
        <w:rPr>
          <w:b/>
          <w:bCs/>
          <w:i/>
          <w:color w:val="000000" w:themeColor="text1"/>
        </w:rPr>
      </w:pPr>
    </w:p>
    <w:p w14:paraId="3C0AA4D9" w14:textId="44E98A2D" w:rsidR="00481CDD" w:rsidRDefault="00481CDD" w:rsidP="00B33657">
      <w:pPr>
        <w:widowControl/>
        <w:autoSpaceDE/>
        <w:autoSpaceDN/>
        <w:rPr>
          <w:iCs/>
          <w:color w:val="000000" w:themeColor="text1"/>
        </w:rPr>
      </w:pPr>
      <w:r>
        <w:rPr>
          <w:color w:val="000000" w:themeColor="text1"/>
        </w:rPr>
        <w:t>La Secretaría señaló que el proyecto de informe de la presente reunión se distribuiría a los miembros para que formularan observaciones oportunamente, con el fin de poder publicarlo con antelación al informe del Subgrupo al plenario el 6 de junio.</w:t>
      </w:r>
    </w:p>
    <w:p w14:paraId="5BA08F9E" w14:textId="77777777" w:rsidR="00481CDD" w:rsidRDefault="00481CDD" w:rsidP="00B33657">
      <w:pPr>
        <w:widowControl/>
        <w:autoSpaceDE/>
        <w:autoSpaceDN/>
        <w:rPr>
          <w:iCs/>
          <w:color w:val="000000" w:themeColor="text1"/>
        </w:rPr>
      </w:pPr>
    </w:p>
    <w:p w14:paraId="0E632477" w14:textId="286F66D7" w:rsidR="00F8589C" w:rsidRDefault="00481CDD" w:rsidP="00B33657">
      <w:pPr>
        <w:widowControl/>
        <w:autoSpaceDE/>
        <w:autoSpaceDN/>
        <w:rPr>
          <w:iCs/>
          <w:color w:val="000000" w:themeColor="text1"/>
        </w:rPr>
      </w:pPr>
      <w:r>
        <w:rPr>
          <w:color w:val="000000" w:themeColor="text1"/>
        </w:rPr>
        <w:t>El Presidente, señalando que se informaría a los miembros en caso de que fuera necesario celebrar otras reuniones durante la semana, agradeció a los participantes y clausuró la reunión.</w:t>
      </w:r>
    </w:p>
    <w:p w14:paraId="3ECAC767" w14:textId="77777777" w:rsidR="004D5206" w:rsidRDefault="004D5206" w:rsidP="00B33657">
      <w:pPr>
        <w:widowControl/>
        <w:autoSpaceDE/>
        <w:autoSpaceDN/>
        <w:spacing w:after="160" w:line="259" w:lineRule="auto"/>
        <w:rPr>
          <w:rFonts w:asciiTheme="minorHAnsi" w:hAnsiTheme="minorHAnsi" w:cs="Arial"/>
          <w:b/>
          <w:bCs/>
          <w:sz w:val="24"/>
          <w:szCs w:val="24"/>
        </w:rPr>
      </w:pPr>
      <w:r>
        <w:br w:type="page"/>
      </w:r>
    </w:p>
    <w:p w14:paraId="1A578C88" w14:textId="54C904D2" w:rsidR="00F8589C" w:rsidRDefault="00F8589C" w:rsidP="00B33657">
      <w:pPr>
        <w:widowControl/>
        <w:rPr>
          <w:rFonts w:asciiTheme="minorHAnsi" w:hAnsiTheme="minorHAnsi" w:cs="Arial"/>
          <w:b/>
          <w:bCs/>
          <w:sz w:val="24"/>
          <w:szCs w:val="24"/>
        </w:rPr>
      </w:pPr>
      <w:r>
        <w:rPr>
          <w:rFonts w:asciiTheme="minorHAnsi" w:hAnsiTheme="minorHAnsi"/>
          <w:b/>
          <w:sz w:val="24"/>
        </w:rPr>
        <w:lastRenderedPageBreak/>
        <w:t>Anexo 1</w:t>
      </w:r>
    </w:p>
    <w:p w14:paraId="50AC24AE" w14:textId="6A574C62" w:rsidR="00F8589C" w:rsidRPr="00861214" w:rsidRDefault="004D5206" w:rsidP="00B33657">
      <w:pPr>
        <w:widowControl/>
        <w:rPr>
          <w:rFonts w:asciiTheme="minorHAnsi" w:hAnsiTheme="minorHAnsi" w:cs="Arial"/>
          <w:b/>
          <w:bCs/>
          <w:sz w:val="24"/>
          <w:szCs w:val="24"/>
        </w:rPr>
      </w:pPr>
      <w:r>
        <w:rPr>
          <w:rFonts w:asciiTheme="minorHAnsi" w:hAnsiTheme="minorHAnsi"/>
          <w:b/>
          <w:sz w:val="24"/>
        </w:rPr>
        <w:t>Presupuesto básico para 2024 actualizado</w:t>
      </w:r>
    </w:p>
    <w:p w14:paraId="77080BD6" w14:textId="77777777" w:rsidR="00F8589C" w:rsidRDefault="00F8589C" w:rsidP="00B33657">
      <w:pPr>
        <w:widowControl/>
        <w:rPr>
          <w:rFonts w:asciiTheme="minorHAnsi" w:hAnsiTheme="minorHAnsi" w:cs="Arial"/>
          <w:bCs/>
          <w:i/>
          <w:sz w:val="20"/>
          <w:szCs w:val="20"/>
        </w:rPr>
      </w:pPr>
      <w:r>
        <w:rPr>
          <w:rFonts w:asciiTheme="minorHAnsi" w:hAnsiTheme="minorHAnsi"/>
          <w:i/>
          <w:sz w:val="20"/>
        </w:rPr>
        <w:t>(en miles de francos suizos, con posibles diferencias por redondeo)</w:t>
      </w:r>
    </w:p>
    <w:p w14:paraId="0ABB0EC6" w14:textId="77777777" w:rsidR="00F8589C" w:rsidRPr="00861214" w:rsidRDefault="00F8589C" w:rsidP="00B33657">
      <w:pPr>
        <w:widowControl/>
        <w:rPr>
          <w:rFonts w:asciiTheme="minorHAnsi" w:hAnsiTheme="minorHAnsi" w:cs="Arial"/>
          <w:bCs/>
          <w:i/>
          <w:sz w:val="20"/>
          <w:szCs w:val="20"/>
          <w:lang w:eastAsia="en-GB"/>
        </w:rPr>
      </w:pPr>
    </w:p>
    <w:tbl>
      <w:tblPr>
        <w:tblW w:w="10065" w:type="dxa"/>
        <w:tblInd w:w="-572" w:type="dxa"/>
        <w:tblLayout w:type="fixed"/>
        <w:tblLook w:val="04A0" w:firstRow="1" w:lastRow="0" w:firstColumn="1" w:lastColumn="0" w:noHBand="0" w:noVBand="1"/>
      </w:tblPr>
      <w:tblGrid>
        <w:gridCol w:w="4541"/>
        <w:gridCol w:w="1381"/>
        <w:gridCol w:w="1381"/>
        <w:gridCol w:w="1381"/>
        <w:gridCol w:w="1381"/>
      </w:tblGrid>
      <w:tr w:rsidR="00F8589C" w:rsidRPr="00861214" w14:paraId="167817E4" w14:textId="77777777" w:rsidTr="00C368FF">
        <w:trPr>
          <w:trHeight w:val="1758"/>
          <w:tblHeader/>
        </w:trPr>
        <w:tc>
          <w:tcPr>
            <w:tcW w:w="4541" w:type="dxa"/>
            <w:tcBorders>
              <w:top w:val="single" w:sz="4" w:space="0" w:color="auto"/>
              <w:left w:val="single" w:sz="4" w:space="0" w:color="auto"/>
              <w:right w:val="nil"/>
            </w:tcBorders>
            <w:shd w:val="clear" w:color="000000" w:fill="D6E3BC"/>
            <w:vAlign w:val="center"/>
            <w:hideMark/>
          </w:tcPr>
          <w:p w14:paraId="4532897C" w14:textId="77777777" w:rsidR="00F8589C" w:rsidRPr="00861214" w:rsidRDefault="00F8589C" w:rsidP="00B33657">
            <w:pPr>
              <w:widowControl/>
              <w:jc w:val="center"/>
              <w:rPr>
                <w:b/>
                <w:bCs/>
                <w:sz w:val="20"/>
                <w:szCs w:val="20"/>
              </w:rPr>
            </w:pPr>
            <w:r>
              <w:rPr>
                <w:b/>
                <w:sz w:val="20"/>
              </w:rPr>
              <w:t>Presupuesto de la Convención sobre los Humedales para 2024</w:t>
            </w:r>
            <w:r>
              <w:rPr>
                <w:b/>
                <w:sz w:val="20"/>
              </w:rPr>
              <w:br/>
              <w:t>aprobado por la COP14</w:t>
            </w:r>
          </w:p>
          <w:p w14:paraId="3ED145CB" w14:textId="77777777" w:rsidR="00F8589C" w:rsidRDefault="00F8589C" w:rsidP="00B33657">
            <w:pPr>
              <w:widowControl/>
              <w:jc w:val="center"/>
              <w:rPr>
                <w:b/>
                <w:bCs/>
                <w:color w:val="000000"/>
                <w:sz w:val="20"/>
                <w:szCs w:val="20"/>
                <w:lang w:eastAsia="en-GB"/>
              </w:rPr>
            </w:pPr>
          </w:p>
          <w:p w14:paraId="7D6F5E39" w14:textId="77777777" w:rsidR="00F8589C" w:rsidRPr="00861214" w:rsidRDefault="00F8589C" w:rsidP="00B33657">
            <w:pPr>
              <w:widowControl/>
              <w:jc w:val="center"/>
              <w:rPr>
                <w:b/>
                <w:bCs/>
                <w:sz w:val="20"/>
                <w:szCs w:val="20"/>
              </w:rPr>
            </w:pPr>
            <w:r>
              <w:rPr>
                <w:b/>
                <w:color w:val="000000"/>
                <w:sz w:val="20"/>
              </w:rPr>
              <w:t>en miles de francos suizos</w:t>
            </w:r>
          </w:p>
        </w:tc>
        <w:tc>
          <w:tcPr>
            <w:tcW w:w="1381" w:type="dxa"/>
            <w:tcBorders>
              <w:top w:val="single" w:sz="4" w:space="0" w:color="auto"/>
              <w:left w:val="single" w:sz="4" w:space="0" w:color="auto"/>
              <w:bottom w:val="single" w:sz="4" w:space="0" w:color="auto"/>
              <w:right w:val="single" w:sz="4" w:space="0" w:color="auto"/>
            </w:tcBorders>
            <w:shd w:val="clear" w:color="000000" w:fill="D6E3BC"/>
            <w:vAlign w:val="center"/>
            <w:hideMark/>
          </w:tcPr>
          <w:p w14:paraId="347EBCF9" w14:textId="77777777" w:rsidR="00F8589C" w:rsidRPr="00861214" w:rsidRDefault="00F8589C" w:rsidP="00B33657">
            <w:pPr>
              <w:widowControl/>
              <w:jc w:val="center"/>
              <w:rPr>
                <w:b/>
                <w:bCs/>
                <w:sz w:val="20"/>
                <w:szCs w:val="20"/>
              </w:rPr>
            </w:pPr>
            <w:r>
              <w:rPr>
                <w:b/>
                <w:sz w:val="20"/>
              </w:rPr>
              <w:t>Presupuesto (aprobado por la COP14)</w:t>
            </w:r>
          </w:p>
          <w:p w14:paraId="7D24777E" w14:textId="77777777" w:rsidR="00F8589C" w:rsidRDefault="00F8589C" w:rsidP="00B33657">
            <w:pPr>
              <w:widowControl/>
              <w:jc w:val="center"/>
              <w:rPr>
                <w:b/>
                <w:bCs/>
                <w:color w:val="000000"/>
                <w:sz w:val="20"/>
                <w:szCs w:val="20"/>
                <w:lang w:eastAsia="en-GB"/>
              </w:rPr>
            </w:pPr>
          </w:p>
          <w:p w14:paraId="7B091135" w14:textId="77777777" w:rsidR="00F8589C" w:rsidRPr="00861214" w:rsidRDefault="00F8589C" w:rsidP="00B33657">
            <w:pPr>
              <w:widowControl/>
              <w:jc w:val="center"/>
              <w:rPr>
                <w:b/>
                <w:bCs/>
                <w:sz w:val="20"/>
                <w:szCs w:val="20"/>
              </w:rPr>
            </w:pPr>
            <w:r>
              <w:rPr>
                <w:b/>
                <w:color w:val="000000"/>
                <w:sz w:val="20"/>
              </w:rPr>
              <w:t>(A)</w:t>
            </w:r>
          </w:p>
        </w:tc>
        <w:tc>
          <w:tcPr>
            <w:tcW w:w="1381" w:type="dxa"/>
            <w:tcBorders>
              <w:top w:val="single" w:sz="4" w:space="0" w:color="auto"/>
              <w:left w:val="nil"/>
              <w:bottom w:val="single" w:sz="4" w:space="0" w:color="auto"/>
              <w:right w:val="single" w:sz="4" w:space="0" w:color="auto"/>
            </w:tcBorders>
            <w:shd w:val="clear" w:color="000000" w:fill="D6E3BC"/>
            <w:vAlign w:val="center"/>
            <w:hideMark/>
          </w:tcPr>
          <w:p w14:paraId="25E628F3" w14:textId="77777777" w:rsidR="00F8589C" w:rsidRPr="00861214" w:rsidRDefault="00F8589C" w:rsidP="00B33657">
            <w:pPr>
              <w:widowControl/>
              <w:jc w:val="center"/>
              <w:rPr>
                <w:b/>
                <w:bCs/>
                <w:sz w:val="20"/>
                <w:szCs w:val="20"/>
              </w:rPr>
            </w:pPr>
            <w:r>
              <w:rPr>
                <w:b/>
                <w:sz w:val="20"/>
              </w:rPr>
              <w:t xml:space="preserve">Uso del excedente del presupuesto de 2021 autorizado por la COP14 </w:t>
            </w:r>
          </w:p>
          <w:p w14:paraId="09BDAE26" w14:textId="77777777" w:rsidR="00F8589C" w:rsidRPr="00861214" w:rsidRDefault="00F8589C" w:rsidP="00B33657">
            <w:pPr>
              <w:widowControl/>
              <w:jc w:val="center"/>
              <w:rPr>
                <w:b/>
                <w:bCs/>
                <w:sz w:val="20"/>
                <w:szCs w:val="20"/>
              </w:rPr>
            </w:pPr>
            <w:r>
              <w:rPr>
                <w:b/>
                <w:color w:val="000000"/>
                <w:sz w:val="20"/>
              </w:rPr>
              <w:t>(B)</w:t>
            </w:r>
          </w:p>
        </w:tc>
        <w:tc>
          <w:tcPr>
            <w:tcW w:w="1381" w:type="dxa"/>
            <w:tcBorders>
              <w:top w:val="single" w:sz="4" w:space="0" w:color="auto"/>
              <w:left w:val="single" w:sz="4" w:space="0" w:color="auto"/>
              <w:bottom w:val="single" w:sz="4" w:space="0" w:color="auto"/>
              <w:right w:val="single" w:sz="4" w:space="0" w:color="auto"/>
            </w:tcBorders>
            <w:shd w:val="clear" w:color="000000" w:fill="D6E3BC"/>
            <w:vAlign w:val="center"/>
            <w:hideMark/>
          </w:tcPr>
          <w:p w14:paraId="4CCEA04D" w14:textId="77777777" w:rsidR="00F8589C" w:rsidRPr="00861214" w:rsidRDefault="00F8589C" w:rsidP="00B33657">
            <w:pPr>
              <w:widowControl/>
              <w:jc w:val="center"/>
              <w:rPr>
                <w:b/>
                <w:bCs/>
                <w:sz w:val="20"/>
                <w:szCs w:val="20"/>
              </w:rPr>
            </w:pPr>
            <w:r>
              <w:rPr>
                <w:b/>
                <w:sz w:val="20"/>
              </w:rPr>
              <w:t>Fondos 2023 a traspasar a 2024</w:t>
            </w:r>
          </w:p>
          <w:p w14:paraId="2DE8822A" w14:textId="77777777" w:rsidR="00F8589C" w:rsidRDefault="00F8589C" w:rsidP="00B33657">
            <w:pPr>
              <w:widowControl/>
              <w:jc w:val="center"/>
              <w:rPr>
                <w:b/>
                <w:bCs/>
                <w:color w:val="000000"/>
                <w:sz w:val="20"/>
                <w:szCs w:val="20"/>
                <w:lang w:eastAsia="en-GB"/>
              </w:rPr>
            </w:pPr>
          </w:p>
          <w:p w14:paraId="4BD65714" w14:textId="77777777" w:rsidR="00F8589C" w:rsidRPr="00861214" w:rsidRDefault="00F8589C" w:rsidP="00B33657">
            <w:pPr>
              <w:widowControl/>
              <w:jc w:val="center"/>
              <w:rPr>
                <w:b/>
                <w:bCs/>
                <w:sz w:val="20"/>
                <w:szCs w:val="20"/>
              </w:rPr>
            </w:pPr>
            <w:r>
              <w:rPr>
                <w:b/>
                <w:color w:val="000000"/>
                <w:sz w:val="20"/>
              </w:rPr>
              <w:t>(C)</w:t>
            </w:r>
          </w:p>
        </w:tc>
        <w:tc>
          <w:tcPr>
            <w:tcW w:w="1381" w:type="dxa"/>
            <w:tcBorders>
              <w:top w:val="single" w:sz="4" w:space="0" w:color="auto"/>
              <w:left w:val="nil"/>
              <w:right w:val="single" w:sz="4" w:space="0" w:color="auto"/>
            </w:tcBorders>
            <w:shd w:val="clear" w:color="auto" w:fill="DBDBDB" w:themeFill="accent3" w:themeFillTint="66"/>
            <w:vAlign w:val="center"/>
            <w:hideMark/>
          </w:tcPr>
          <w:p w14:paraId="78D78197" w14:textId="77777777" w:rsidR="00F8589C" w:rsidRPr="00861214" w:rsidRDefault="00F8589C" w:rsidP="00B33657">
            <w:pPr>
              <w:widowControl/>
              <w:jc w:val="center"/>
              <w:rPr>
                <w:b/>
                <w:bCs/>
                <w:sz w:val="20"/>
                <w:szCs w:val="20"/>
              </w:rPr>
            </w:pPr>
            <w:r>
              <w:rPr>
                <w:b/>
                <w:sz w:val="20"/>
              </w:rPr>
              <w:t>Total, presupuesto de 2024</w:t>
            </w:r>
          </w:p>
          <w:p w14:paraId="7E936A33" w14:textId="77777777" w:rsidR="00F8589C" w:rsidRDefault="00F8589C" w:rsidP="00B33657">
            <w:pPr>
              <w:widowControl/>
              <w:jc w:val="center"/>
              <w:rPr>
                <w:b/>
                <w:bCs/>
                <w:color w:val="000000"/>
                <w:sz w:val="20"/>
                <w:szCs w:val="20"/>
                <w:lang w:eastAsia="en-GB"/>
              </w:rPr>
            </w:pPr>
          </w:p>
          <w:p w14:paraId="785E198A" w14:textId="77777777" w:rsidR="00F8589C" w:rsidRDefault="00F8589C" w:rsidP="00B33657">
            <w:pPr>
              <w:widowControl/>
              <w:jc w:val="center"/>
              <w:rPr>
                <w:b/>
                <w:bCs/>
                <w:color w:val="000000"/>
                <w:sz w:val="20"/>
                <w:szCs w:val="20"/>
                <w:lang w:eastAsia="en-GB"/>
              </w:rPr>
            </w:pPr>
          </w:p>
          <w:p w14:paraId="4D06BC71" w14:textId="77777777" w:rsidR="00F8589C" w:rsidRPr="00861214" w:rsidRDefault="00F8589C" w:rsidP="00B33657">
            <w:pPr>
              <w:widowControl/>
              <w:jc w:val="center"/>
              <w:rPr>
                <w:b/>
                <w:bCs/>
                <w:sz w:val="20"/>
                <w:szCs w:val="20"/>
              </w:rPr>
            </w:pPr>
            <w:r>
              <w:rPr>
                <w:b/>
                <w:color w:val="000000"/>
                <w:sz w:val="20"/>
              </w:rPr>
              <w:t>(D)=</w:t>
            </w:r>
            <w:r>
              <w:rPr>
                <w:b/>
                <w:color w:val="000000"/>
                <w:sz w:val="20"/>
              </w:rPr>
              <w:br/>
              <w:t>(A)+(B)+(C)</w:t>
            </w:r>
          </w:p>
        </w:tc>
      </w:tr>
      <w:tr w:rsidR="00F8589C" w:rsidRPr="00861214" w14:paraId="7421BD54" w14:textId="77777777" w:rsidTr="00C368FF">
        <w:trPr>
          <w:trHeight w:val="270"/>
        </w:trPr>
        <w:tc>
          <w:tcPr>
            <w:tcW w:w="4541" w:type="dxa"/>
            <w:tcBorders>
              <w:top w:val="single" w:sz="4" w:space="0" w:color="auto"/>
              <w:left w:val="single" w:sz="4" w:space="0" w:color="auto"/>
              <w:bottom w:val="single" w:sz="4" w:space="0" w:color="auto"/>
              <w:right w:val="nil"/>
            </w:tcBorders>
            <w:shd w:val="clear" w:color="auto" w:fill="auto"/>
            <w:noWrap/>
            <w:vAlign w:val="center"/>
            <w:hideMark/>
          </w:tcPr>
          <w:p w14:paraId="18393B54" w14:textId="77777777" w:rsidR="00F8589C" w:rsidRDefault="00F8589C" w:rsidP="00B33657">
            <w:pPr>
              <w:widowControl/>
              <w:rPr>
                <w:b/>
                <w:bCs/>
                <w:color w:val="000000"/>
                <w:sz w:val="20"/>
                <w:szCs w:val="20"/>
                <w:lang w:eastAsia="en-GB"/>
              </w:rPr>
            </w:pPr>
          </w:p>
          <w:p w14:paraId="66A5D384" w14:textId="77777777" w:rsidR="00F8589C" w:rsidRPr="00861214" w:rsidRDefault="00F8589C" w:rsidP="00B33657">
            <w:pPr>
              <w:widowControl/>
              <w:rPr>
                <w:b/>
                <w:bCs/>
                <w:color w:val="000000"/>
                <w:sz w:val="20"/>
                <w:szCs w:val="20"/>
              </w:rPr>
            </w:pPr>
            <w:r>
              <w:rPr>
                <w:b/>
                <w:color w:val="000000"/>
                <w:sz w:val="20"/>
              </w:rPr>
              <w:t>INGRESOS</w:t>
            </w:r>
          </w:p>
        </w:tc>
        <w:tc>
          <w:tcPr>
            <w:tcW w:w="1381" w:type="dxa"/>
            <w:tcBorders>
              <w:top w:val="single" w:sz="4" w:space="0" w:color="auto"/>
              <w:left w:val="nil"/>
              <w:bottom w:val="nil"/>
              <w:right w:val="nil"/>
            </w:tcBorders>
            <w:shd w:val="clear" w:color="auto" w:fill="auto"/>
            <w:noWrap/>
            <w:vAlign w:val="center"/>
            <w:hideMark/>
          </w:tcPr>
          <w:p w14:paraId="02B04C2B" w14:textId="77777777" w:rsidR="00F8589C" w:rsidRPr="00861214" w:rsidRDefault="00F8589C" w:rsidP="00B33657">
            <w:pPr>
              <w:widowControl/>
              <w:rPr>
                <w:b/>
                <w:bCs/>
                <w:color w:val="000000"/>
                <w:sz w:val="20"/>
                <w:szCs w:val="20"/>
                <w:lang w:eastAsia="en-GB"/>
              </w:rPr>
            </w:pPr>
          </w:p>
        </w:tc>
        <w:tc>
          <w:tcPr>
            <w:tcW w:w="1381" w:type="dxa"/>
            <w:tcBorders>
              <w:top w:val="single" w:sz="4" w:space="0" w:color="auto"/>
              <w:left w:val="nil"/>
              <w:bottom w:val="nil"/>
              <w:right w:val="nil"/>
            </w:tcBorders>
            <w:shd w:val="clear" w:color="auto" w:fill="auto"/>
            <w:noWrap/>
            <w:vAlign w:val="center"/>
            <w:hideMark/>
          </w:tcPr>
          <w:p w14:paraId="4066BF99" w14:textId="77777777" w:rsidR="00F8589C" w:rsidRPr="00861214" w:rsidRDefault="00F8589C" w:rsidP="00B33657">
            <w:pPr>
              <w:widowControl/>
              <w:rPr>
                <w:rFonts w:ascii="Times New Roman" w:hAnsi="Times New Roman"/>
                <w:sz w:val="20"/>
                <w:szCs w:val="20"/>
                <w:lang w:eastAsia="en-GB"/>
              </w:rPr>
            </w:pPr>
          </w:p>
        </w:tc>
        <w:tc>
          <w:tcPr>
            <w:tcW w:w="1381" w:type="dxa"/>
            <w:tcBorders>
              <w:top w:val="single" w:sz="4" w:space="0" w:color="auto"/>
              <w:left w:val="single" w:sz="4" w:space="0" w:color="auto"/>
              <w:bottom w:val="nil"/>
              <w:right w:val="nil"/>
            </w:tcBorders>
            <w:shd w:val="clear" w:color="auto" w:fill="auto"/>
            <w:noWrap/>
            <w:vAlign w:val="bottom"/>
            <w:hideMark/>
          </w:tcPr>
          <w:p w14:paraId="40D13058" w14:textId="77777777" w:rsidR="00F8589C" w:rsidRPr="00861214" w:rsidRDefault="00F8589C" w:rsidP="00B33657">
            <w:pPr>
              <w:widowControl/>
              <w:rPr>
                <w:rFonts w:ascii="Arial" w:hAnsi="Arial" w:cs="Arial"/>
                <w:color w:val="000000"/>
                <w:sz w:val="20"/>
                <w:szCs w:val="20"/>
              </w:rPr>
            </w:pPr>
            <w:r>
              <w:rPr>
                <w:rFonts w:ascii="Arial" w:hAnsi="Arial"/>
                <w:color w:val="000000"/>
                <w:sz w:val="20"/>
              </w:rPr>
              <w:t> </w:t>
            </w:r>
          </w:p>
        </w:tc>
        <w:tc>
          <w:tcPr>
            <w:tcW w:w="1381" w:type="dxa"/>
            <w:tcBorders>
              <w:top w:val="single" w:sz="4" w:space="0" w:color="000000"/>
              <w:left w:val="nil"/>
              <w:bottom w:val="single" w:sz="4" w:space="0" w:color="auto"/>
              <w:right w:val="single" w:sz="4" w:space="0" w:color="auto"/>
            </w:tcBorders>
            <w:shd w:val="clear" w:color="auto" w:fill="auto"/>
            <w:noWrap/>
            <w:vAlign w:val="bottom"/>
            <w:hideMark/>
          </w:tcPr>
          <w:p w14:paraId="34386FB2" w14:textId="77777777" w:rsidR="00F8589C" w:rsidRPr="00861214" w:rsidRDefault="00F8589C" w:rsidP="00B33657">
            <w:pPr>
              <w:widowControl/>
              <w:rPr>
                <w:rFonts w:ascii="Times New Roman" w:hAnsi="Times New Roman"/>
                <w:sz w:val="20"/>
                <w:szCs w:val="20"/>
                <w:lang w:eastAsia="en-GB"/>
              </w:rPr>
            </w:pPr>
          </w:p>
        </w:tc>
      </w:tr>
      <w:tr w:rsidR="00F8589C" w:rsidRPr="00861214" w14:paraId="16A68A82" w14:textId="77777777" w:rsidTr="00C368FF">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4D692C29" w14:textId="77777777" w:rsidR="00F8589C" w:rsidRPr="00861214" w:rsidRDefault="00F8589C" w:rsidP="00B33657">
            <w:pPr>
              <w:widowControl/>
              <w:rPr>
                <w:color w:val="000000"/>
                <w:sz w:val="20"/>
                <w:szCs w:val="20"/>
              </w:rPr>
            </w:pPr>
            <w:r>
              <w:rPr>
                <w:color w:val="000000"/>
                <w:sz w:val="20"/>
              </w:rPr>
              <w:t>Contribuciones de las Partes</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56D0096B" w14:textId="77777777" w:rsidR="00F8589C" w:rsidRPr="00861214" w:rsidRDefault="00F8589C" w:rsidP="00B33657">
            <w:pPr>
              <w:widowControl/>
              <w:jc w:val="right"/>
              <w:rPr>
                <w:color w:val="000000"/>
                <w:sz w:val="20"/>
                <w:szCs w:val="20"/>
              </w:rPr>
            </w:pPr>
            <w:r>
              <w:rPr>
                <w:color w:val="000000"/>
                <w:sz w:val="20"/>
              </w:rPr>
              <w:t>3 779</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060636A0" w14:textId="77777777" w:rsidR="00F8589C" w:rsidRPr="00861214" w:rsidRDefault="00F8589C" w:rsidP="00B33657">
            <w:pPr>
              <w:widowControl/>
              <w:jc w:val="right"/>
              <w:rPr>
                <w:color w:val="000000"/>
                <w:sz w:val="20"/>
                <w:szCs w:val="20"/>
              </w:rPr>
            </w:pPr>
            <w:r>
              <w:rPr>
                <w:color w:val="000000"/>
                <w:sz w:val="20"/>
              </w:rPr>
              <w:t>0</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A490E" w14:textId="77777777" w:rsidR="00F8589C" w:rsidRPr="00861214" w:rsidRDefault="00F8589C" w:rsidP="00B33657">
            <w:pPr>
              <w:widowControl/>
              <w:jc w:val="right"/>
              <w:rPr>
                <w:color w:val="000000"/>
                <w:sz w:val="20"/>
                <w:szCs w:val="20"/>
              </w:rPr>
            </w:pPr>
            <w:r>
              <w:rPr>
                <w:color w:val="000000"/>
                <w:sz w:val="20"/>
              </w:rPr>
              <w:t>0</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03816905" w14:textId="77777777" w:rsidR="00F8589C" w:rsidRPr="00861214" w:rsidRDefault="00F8589C" w:rsidP="00B33657">
            <w:pPr>
              <w:widowControl/>
              <w:jc w:val="right"/>
              <w:rPr>
                <w:color w:val="000000"/>
                <w:sz w:val="20"/>
                <w:szCs w:val="20"/>
              </w:rPr>
            </w:pPr>
            <w:r>
              <w:rPr>
                <w:color w:val="000000"/>
                <w:sz w:val="20"/>
              </w:rPr>
              <w:t>3 779</w:t>
            </w:r>
          </w:p>
        </w:tc>
      </w:tr>
      <w:tr w:rsidR="00F8589C" w:rsidRPr="00861214" w14:paraId="29E1BB27" w14:textId="77777777" w:rsidTr="00C368FF">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0E1C5EB8" w14:textId="77777777" w:rsidR="00F8589C" w:rsidRPr="00861214" w:rsidRDefault="00F8589C" w:rsidP="00B33657">
            <w:pPr>
              <w:widowControl/>
              <w:rPr>
                <w:color w:val="000000"/>
                <w:sz w:val="20"/>
                <w:szCs w:val="20"/>
              </w:rPr>
            </w:pPr>
            <w:r>
              <w:rPr>
                <w:color w:val="000000"/>
                <w:sz w:val="20"/>
              </w:rPr>
              <w:t>Contribuciones voluntarias</w:t>
            </w:r>
          </w:p>
        </w:tc>
        <w:tc>
          <w:tcPr>
            <w:tcW w:w="1381" w:type="dxa"/>
            <w:tcBorders>
              <w:top w:val="nil"/>
              <w:left w:val="nil"/>
              <w:bottom w:val="single" w:sz="4" w:space="0" w:color="auto"/>
              <w:right w:val="single" w:sz="4" w:space="0" w:color="auto"/>
            </w:tcBorders>
            <w:shd w:val="clear" w:color="auto" w:fill="auto"/>
            <w:noWrap/>
            <w:vAlign w:val="center"/>
            <w:hideMark/>
          </w:tcPr>
          <w:p w14:paraId="716A62E0" w14:textId="77777777" w:rsidR="00F8589C" w:rsidRPr="00861214" w:rsidRDefault="00F8589C" w:rsidP="00B33657">
            <w:pPr>
              <w:widowControl/>
              <w:jc w:val="right"/>
              <w:rPr>
                <w:color w:val="000000"/>
                <w:sz w:val="20"/>
                <w:szCs w:val="20"/>
              </w:rPr>
            </w:pPr>
            <w:r>
              <w:rPr>
                <w:color w:val="000000"/>
                <w:sz w:val="20"/>
              </w:rPr>
              <w:t>1 065</w:t>
            </w:r>
          </w:p>
        </w:tc>
        <w:tc>
          <w:tcPr>
            <w:tcW w:w="1381" w:type="dxa"/>
            <w:tcBorders>
              <w:top w:val="nil"/>
              <w:left w:val="nil"/>
              <w:bottom w:val="single" w:sz="4" w:space="0" w:color="auto"/>
              <w:right w:val="single" w:sz="4" w:space="0" w:color="auto"/>
            </w:tcBorders>
            <w:shd w:val="clear" w:color="auto" w:fill="auto"/>
            <w:noWrap/>
            <w:vAlign w:val="center"/>
            <w:hideMark/>
          </w:tcPr>
          <w:p w14:paraId="196027C2" w14:textId="77777777" w:rsidR="00F8589C" w:rsidRPr="00861214" w:rsidRDefault="00F8589C" w:rsidP="00B33657">
            <w:pPr>
              <w:widowControl/>
              <w:jc w:val="right"/>
              <w:rPr>
                <w:color w:val="000000"/>
                <w:sz w:val="20"/>
                <w:szCs w:val="20"/>
              </w:rPr>
            </w:pPr>
            <w:r>
              <w:rPr>
                <w:color w:val="000000"/>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18E20509" w14:textId="77777777" w:rsidR="00F8589C" w:rsidRPr="00861214" w:rsidRDefault="00F8589C" w:rsidP="00B33657">
            <w:pPr>
              <w:widowControl/>
              <w:jc w:val="right"/>
              <w:rPr>
                <w:color w:val="000000"/>
                <w:sz w:val="20"/>
                <w:szCs w:val="20"/>
              </w:rPr>
            </w:pPr>
            <w:r>
              <w:rPr>
                <w:color w:val="000000"/>
                <w:sz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31E7EFA8" w14:textId="77777777" w:rsidR="00F8589C" w:rsidRPr="00861214" w:rsidRDefault="00F8589C" w:rsidP="00B33657">
            <w:pPr>
              <w:widowControl/>
              <w:jc w:val="right"/>
              <w:rPr>
                <w:color w:val="000000"/>
                <w:sz w:val="20"/>
                <w:szCs w:val="20"/>
              </w:rPr>
            </w:pPr>
            <w:r>
              <w:rPr>
                <w:color w:val="000000"/>
                <w:sz w:val="20"/>
              </w:rPr>
              <w:t>1 065</w:t>
            </w:r>
          </w:p>
        </w:tc>
      </w:tr>
      <w:tr w:rsidR="00F8589C" w:rsidRPr="00861214" w14:paraId="0985BFB3" w14:textId="77777777" w:rsidTr="00C368FF">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53D586B5" w14:textId="77777777" w:rsidR="00F8589C" w:rsidRPr="00861214" w:rsidRDefault="00F8589C" w:rsidP="00B33657">
            <w:pPr>
              <w:widowControl/>
              <w:rPr>
                <w:color w:val="000000"/>
                <w:sz w:val="20"/>
                <w:szCs w:val="20"/>
              </w:rPr>
            </w:pPr>
            <w:r>
              <w:rPr>
                <w:color w:val="000000"/>
                <w:sz w:val="20"/>
              </w:rPr>
              <w:t>Impuesto sobre la renta</w:t>
            </w:r>
          </w:p>
        </w:tc>
        <w:tc>
          <w:tcPr>
            <w:tcW w:w="1381" w:type="dxa"/>
            <w:tcBorders>
              <w:top w:val="nil"/>
              <w:left w:val="nil"/>
              <w:bottom w:val="single" w:sz="4" w:space="0" w:color="auto"/>
              <w:right w:val="single" w:sz="4" w:space="0" w:color="auto"/>
            </w:tcBorders>
            <w:shd w:val="clear" w:color="auto" w:fill="auto"/>
            <w:noWrap/>
            <w:vAlign w:val="center"/>
            <w:hideMark/>
          </w:tcPr>
          <w:p w14:paraId="419DA8CB" w14:textId="77777777" w:rsidR="00F8589C" w:rsidRPr="00861214" w:rsidRDefault="00F8589C" w:rsidP="00B33657">
            <w:pPr>
              <w:widowControl/>
              <w:jc w:val="right"/>
              <w:rPr>
                <w:color w:val="000000"/>
                <w:sz w:val="20"/>
                <w:szCs w:val="20"/>
              </w:rPr>
            </w:pPr>
            <w:r>
              <w:rPr>
                <w:color w:val="000000"/>
                <w:sz w:val="20"/>
              </w:rPr>
              <w:t>225</w:t>
            </w:r>
          </w:p>
        </w:tc>
        <w:tc>
          <w:tcPr>
            <w:tcW w:w="1381" w:type="dxa"/>
            <w:tcBorders>
              <w:top w:val="nil"/>
              <w:left w:val="nil"/>
              <w:bottom w:val="single" w:sz="4" w:space="0" w:color="auto"/>
              <w:right w:val="single" w:sz="4" w:space="0" w:color="auto"/>
            </w:tcBorders>
            <w:shd w:val="clear" w:color="auto" w:fill="auto"/>
            <w:noWrap/>
            <w:vAlign w:val="center"/>
            <w:hideMark/>
          </w:tcPr>
          <w:p w14:paraId="586141D2" w14:textId="77777777" w:rsidR="00F8589C" w:rsidRPr="00861214" w:rsidRDefault="00F8589C" w:rsidP="00B33657">
            <w:pPr>
              <w:widowControl/>
              <w:jc w:val="right"/>
              <w:rPr>
                <w:color w:val="000000"/>
                <w:sz w:val="20"/>
                <w:szCs w:val="20"/>
              </w:rPr>
            </w:pPr>
            <w:r>
              <w:rPr>
                <w:color w:val="000000"/>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2626F978" w14:textId="77777777" w:rsidR="00F8589C" w:rsidRPr="00861214" w:rsidRDefault="00F8589C" w:rsidP="00B33657">
            <w:pPr>
              <w:widowControl/>
              <w:jc w:val="right"/>
              <w:rPr>
                <w:color w:val="000000"/>
                <w:sz w:val="20"/>
                <w:szCs w:val="20"/>
              </w:rPr>
            </w:pPr>
            <w:r>
              <w:rPr>
                <w:color w:val="000000"/>
                <w:sz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403D44D0" w14:textId="77777777" w:rsidR="00F8589C" w:rsidRPr="00861214" w:rsidRDefault="00F8589C" w:rsidP="00B33657">
            <w:pPr>
              <w:widowControl/>
              <w:jc w:val="right"/>
              <w:rPr>
                <w:color w:val="000000"/>
                <w:sz w:val="20"/>
                <w:szCs w:val="20"/>
              </w:rPr>
            </w:pPr>
            <w:r>
              <w:rPr>
                <w:color w:val="000000"/>
                <w:sz w:val="20"/>
              </w:rPr>
              <w:t>225</w:t>
            </w:r>
          </w:p>
        </w:tc>
      </w:tr>
      <w:tr w:rsidR="00F8589C" w:rsidRPr="00861214" w14:paraId="0D24307C" w14:textId="77777777" w:rsidTr="00C368FF">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6B17EB39" w14:textId="77777777" w:rsidR="00F8589C" w:rsidRPr="00861214" w:rsidRDefault="00F8589C" w:rsidP="00B33657">
            <w:pPr>
              <w:widowControl/>
              <w:rPr>
                <w:color w:val="000000"/>
                <w:sz w:val="20"/>
                <w:szCs w:val="20"/>
              </w:rPr>
            </w:pPr>
            <w:r>
              <w:rPr>
                <w:color w:val="000000"/>
                <w:sz w:val="20"/>
              </w:rPr>
              <w:t>Otros ingresos (incluyendo ingresos por intereses)</w:t>
            </w:r>
          </w:p>
        </w:tc>
        <w:tc>
          <w:tcPr>
            <w:tcW w:w="1381" w:type="dxa"/>
            <w:tcBorders>
              <w:top w:val="nil"/>
              <w:left w:val="nil"/>
              <w:bottom w:val="single" w:sz="4" w:space="0" w:color="auto"/>
              <w:right w:val="single" w:sz="4" w:space="0" w:color="auto"/>
            </w:tcBorders>
            <w:shd w:val="clear" w:color="auto" w:fill="auto"/>
            <w:noWrap/>
            <w:vAlign w:val="center"/>
            <w:hideMark/>
          </w:tcPr>
          <w:p w14:paraId="0FA7E890" w14:textId="77777777" w:rsidR="00F8589C" w:rsidRPr="00861214" w:rsidRDefault="00F8589C" w:rsidP="00B33657">
            <w:pPr>
              <w:widowControl/>
              <w:jc w:val="right"/>
              <w:rPr>
                <w:color w:val="000000"/>
                <w:sz w:val="20"/>
                <w:szCs w:val="20"/>
              </w:rPr>
            </w:pPr>
            <w:r>
              <w:rPr>
                <w:color w:val="000000"/>
                <w:sz w:val="20"/>
              </w:rPr>
              <w:t>12</w:t>
            </w:r>
          </w:p>
        </w:tc>
        <w:tc>
          <w:tcPr>
            <w:tcW w:w="1381" w:type="dxa"/>
            <w:tcBorders>
              <w:top w:val="nil"/>
              <w:left w:val="nil"/>
              <w:bottom w:val="single" w:sz="4" w:space="0" w:color="auto"/>
              <w:right w:val="single" w:sz="4" w:space="0" w:color="auto"/>
            </w:tcBorders>
            <w:shd w:val="clear" w:color="auto" w:fill="auto"/>
            <w:noWrap/>
            <w:vAlign w:val="center"/>
            <w:hideMark/>
          </w:tcPr>
          <w:p w14:paraId="3791A3B8" w14:textId="77777777" w:rsidR="00F8589C" w:rsidRPr="00861214" w:rsidRDefault="00F8589C" w:rsidP="00B33657">
            <w:pPr>
              <w:widowControl/>
              <w:jc w:val="right"/>
              <w:rPr>
                <w:color w:val="000000"/>
                <w:sz w:val="20"/>
                <w:szCs w:val="20"/>
              </w:rPr>
            </w:pPr>
            <w:r>
              <w:rPr>
                <w:color w:val="000000"/>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6942A7A7" w14:textId="77777777" w:rsidR="00F8589C" w:rsidRPr="00861214" w:rsidRDefault="00F8589C" w:rsidP="00B33657">
            <w:pPr>
              <w:widowControl/>
              <w:jc w:val="right"/>
              <w:rPr>
                <w:color w:val="000000"/>
                <w:sz w:val="20"/>
                <w:szCs w:val="20"/>
              </w:rPr>
            </w:pPr>
            <w:r>
              <w:rPr>
                <w:color w:val="000000"/>
                <w:sz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3D269B64" w14:textId="77777777" w:rsidR="00F8589C" w:rsidRPr="00861214" w:rsidRDefault="00F8589C" w:rsidP="00B33657">
            <w:pPr>
              <w:widowControl/>
              <w:jc w:val="right"/>
              <w:rPr>
                <w:color w:val="000000"/>
                <w:sz w:val="20"/>
                <w:szCs w:val="20"/>
              </w:rPr>
            </w:pPr>
            <w:r>
              <w:rPr>
                <w:color w:val="000000"/>
                <w:sz w:val="20"/>
              </w:rPr>
              <w:t>12</w:t>
            </w:r>
          </w:p>
        </w:tc>
      </w:tr>
      <w:tr w:rsidR="00F8589C" w:rsidRPr="00861214" w14:paraId="6D6B3A87" w14:textId="77777777" w:rsidTr="00C368FF">
        <w:trPr>
          <w:trHeight w:val="270"/>
        </w:trPr>
        <w:tc>
          <w:tcPr>
            <w:tcW w:w="4541"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4064C0C4" w14:textId="77777777" w:rsidR="00F8589C" w:rsidRPr="00861214" w:rsidRDefault="00F8589C" w:rsidP="00B33657">
            <w:pPr>
              <w:widowControl/>
              <w:rPr>
                <w:b/>
                <w:bCs/>
                <w:color w:val="000000"/>
                <w:sz w:val="20"/>
                <w:szCs w:val="20"/>
              </w:rPr>
            </w:pPr>
            <w:r>
              <w:rPr>
                <w:b/>
                <w:color w:val="000000"/>
                <w:sz w:val="20"/>
              </w:rPr>
              <w:t>TOTAL, INGRESOS</w:t>
            </w:r>
          </w:p>
        </w:tc>
        <w:tc>
          <w:tcPr>
            <w:tcW w:w="1381" w:type="dxa"/>
            <w:tcBorders>
              <w:top w:val="nil"/>
              <w:left w:val="nil"/>
              <w:bottom w:val="single" w:sz="4" w:space="0" w:color="auto"/>
              <w:right w:val="single" w:sz="4" w:space="0" w:color="auto"/>
            </w:tcBorders>
            <w:shd w:val="clear" w:color="000000" w:fill="EAF1DD"/>
            <w:noWrap/>
            <w:vAlign w:val="center"/>
            <w:hideMark/>
          </w:tcPr>
          <w:p w14:paraId="7443F01F" w14:textId="77777777" w:rsidR="00F8589C" w:rsidRPr="00861214" w:rsidRDefault="00F8589C" w:rsidP="00B33657">
            <w:pPr>
              <w:widowControl/>
              <w:jc w:val="right"/>
              <w:rPr>
                <w:b/>
                <w:bCs/>
                <w:color w:val="000000"/>
                <w:sz w:val="20"/>
                <w:szCs w:val="20"/>
              </w:rPr>
            </w:pPr>
            <w:r>
              <w:rPr>
                <w:b/>
                <w:color w:val="000000"/>
                <w:sz w:val="20"/>
              </w:rPr>
              <w:t>5 081</w:t>
            </w:r>
          </w:p>
        </w:tc>
        <w:tc>
          <w:tcPr>
            <w:tcW w:w="1381" w:type="dxa"/>
            <w:tcBorders>
              <w:top w:val="nil"/>
              <w:left w:val="nil"/>
              <w:bottom w:val="single" w:sz="4" w:space="0" w:color="auto"/>
              <w:right w:val="single" w:sz="4" w:space="0" w:color="auto"/>
            </w:tcBorders>
            <w:shd w:val="clear" w:color="000000" w:fill="EAF1DD"/>
            <w:noWrap/>
            <w:vAlign w:val="center"/>
            <w:hideMark/>
          </w:tcPr>
          <w:p w14:paraId="6D5FDC0E" w14:textId="77777777" w:rsidR="00F8589C" w:rsidRPr="00861214" w:rsidRDefault="00F8589C" w:rsidP="00B33657">
            <w:pPr>
              <w:widowControl/>
              <w:jc w:val="right"/>
              <w:rPr>
                <w:b/>
                <w:bCs/>
                <w:color w:val="000000"/>
                <w:sz w:val="20"/>
                <w:szCs w:val="20"/>
              </w:rPr>
            </w:pPr>
            <w:r>
              <w:rPr>
                <w:b/>
                <w:color w:val="000000"/>
                <w:sz w:val="20"/>
              </w:rPr>
              <w:t>0</w:t>
            </w:r>
          </w:p>
        </w:tc>
        <w:tc>
          <w:tcPr>
            <w:tcW w:w="1381" w:type="dxa"/>
            <w:tcBorders>
              <w:top w:val="nil"/>
              <w:left w:val="single" w:sz="4" w:space="0" w:color="auto"/>
              <w:bottom w:val="single" w:sz="4" w:space="0" w:color="auto"/>
              <w:right w:val="single" w:sz="4" w:space="0" w:color="auto"/>
            </w:tcBorders>
            <w:shd w:val="clear" w:color="000000" w:fill="EAF1DD"/>
            <w:noWrap/>
            <w:vAlign w:val="center"/>
            <w:hideMark/>
          </w:tcPr>
          <w:p w14:paraId="1189FC9A" w14:textId="77777777" w:rsidR="00F8589C" w:rsidRPr="00861214" w:rsidRDefault="00F8589C" w:rsidP="00B33657">
            <w:pPr>
              <w:widowControl/>
              <w:jc w:val="right"/>
              <w:rPr>
                <w:b/>
                <w:bCs/>
                <w:color w:val="000000"/>
                <w:sz w:val="20"/>
                <w:szCs w:val="20"/>
              </w:rPr>
            </w:pPr>
            <w:r>
              <w:rPr>
                <w:b/>
                <w:color w:val="000000"/>
                <w:sz w:val="20"/>
              </w:rPr>
              <w:t>0</w:t>
            </w:r>
          </w:p>
        </w:tc>
        <w:tc>
          <w:tcPr>
            <w:tcW w:w="1381" w:type="dxa"/>
            <w:tcBorders>
              <w:top w:val="nil"/>
              <w:left w:val="nil"/>
              <w:bottom w:val="single" w:sz="4" w:space="0" w:color="auto"/>
              <w:right w:val="single" w:sz="4" w:space="0" w:color="auto"/>
            </w:tcBorders>
            <w:shd w:val="clear" w:color="000000" w:fill="EAF1DD"/>
            <w:noWrap/>
            <w:vAlign w:val="center"/>
            <w:hideMark/>
          </w:tcPr>
          <w:p w14:paraId="75AC48A1" w14:textId="77777777" w:rsidR="00F8589C" w:rsidRPr="00861214" w:rsidRDefault="00F8589C" w:rsidP="00B33657">
            <w:pPr>
              <w:widowControl/>
              <w:jc w:val="right"/>
              <w:rPr>
                <w:b/>
                <w:bCs/>
                <w:color w:val="000000"/>
                <w:sz w:val="20"/>
                <w:szCs w:val="20"/>
              </w:rPr>
            </w:pPr>
            <w:r>
              <w:rPr>
                <w:b/>
                <w:color w:val="000000"/>
                <w:sz w:val="20"/>
              </w:rPr>
              <w:t>5 081</w:t>
            </w:r>
          </w:p>
        </w:tc>
      </w:tr>
      <w:tr w:rsidR="00F8589C" w:rsidRPr="00861214" w14:paraId="0F705165" w14:textId="77777777" w:rsidTr="00C368FF">
        <w:trPr>
          <w:trHeight w:val="270"/>
        </w:trPr>
        <w:tc>
          <w:tcPr>
            <w:tcW w:w="4541" w:type="dxa"/>
            <w:tcBorders>
              <w:top w:val="single" w:sz="4" w:space="0" w:color="auto"/>
              <w:left w:val="single" w:sz="4" w:space="0" w:color="auto"/>
            </w:tcBorders>
            <w:shd w:val="clear" w:color="auto" w:fill="auto"/>
            <w:noWrap/>
            <w:vAlign w:val="center"/>
            <w:hideMark/>
          </w:tcPr>
          <w:p w14:paraId="45B13891" w14:textId="77777777" w:rsidR="00F8589C" w:rsidRPr="00861214" w:rsidRDefault="00F8589C" w:rsidP="00B33657">
            <w:pPr>
              <w:widowControl/>
              <w:rPr>
                <w:b/>
                <w:bCs/>
                <w:color w:val="000000"/>
                <w:sz w:val="20"/>
                <w:szCs w:val="20"/>
              </w:rPr>
            </w:pPr>
            <w:r>
              <w:rPr>
                <w:b/>
                <w:color w:val="000000"/>
                <w:sz w:val="20"/>
              </w:rPr>
              <w:t> </w:t>
            </w:r>
          </w:p>
        </w:tc>
        <w:tc>
          <w:tcPr>
            <w:tcW w:w="1381" w:type="dxa"/>
            <w:tcBorders>
              <w:top w:val="single" w:sz="4" w:space="0" w:color="auto"/>
              <w:left w:val="nil"/>
              <w:bottom w:val="nil"/>
              <w:right w:val="nil"/>
            </w:tcBorders>
            <w:shd w:val="clear" w:color="auto" w:fill="auto"/>
            <w:noWrap/>
            <w:vAlign w:val="bottom"/>
            <w:hideMark/>
          </w:tcPr>
          <w:p w14:paraId="3AD3DF54" w14:textId="77777777" w:rsidR="00F8589C" w:rsidRPr="00861214" w:rsidRDefault="00F8589C" w:rsidP="00B33657">
            <w:pPr>
              <w:widowControl/>
              <w:rPr>
                <w:b/>
                <w:bCs/>
                <w:color w:val="000000"/>
                <w:sz w:val="20"/>
                <w:szCs w:val="20"/>
                <w:lang w:eastAsia="en-GB"/>
              </w:rPr>
            </w:pPr>
          </w:p>
        </w:tc>
        <w:tc>
          <w:tcPr>
            <w:tcW w:w="1381" w:type="dxa"/>
            <w:tcBorders>
              <w:top w:val="single" w:sz="4" w:space="0" w:color="auto"/>
              <w:left w:val="nil"/>
              <w:right w:val="nil"/>
            </w:tcBorders>
            <w:shd w:val="clear" w:color="auto" w:fill="auto"/>
            <w:noWrap/>
            <w:vAlign w:val="bottom"/>
            <w:hideMark/>
          </w:tcPr>
          <w:p w14:paraId="6D2B6C62" w14:textId="77777777" w:rsidR="00F8589C" w:rsidRPr="00861214" w:rsidRDefault="00F8589C" w:rsidP="00B33657">
            <w:pPr>
              <w:widowControl/>
              <w:rPr>
                <w:rFonts w:ascii="Times New Roman" w:hAnsi="Times New Roman"/>
                <w:sz w:val="20"/>
                <w:szCs w:val="20"/>
                <w:lang w:eastAsia="en-GB"/>
              </w:rPr>
            </w:pPr>
          </w:p>
        </w:tc>
        <w:tc>
          <w:tcPr>
            <w:tcW w:w="1381" w:type="dxa"/>
            <w:tcBorders>
              <w:top w:val="single" w:sz="4" w:space="0" w:color="auto"/>
              <w:left w:val="nil"/>
              <w:bottom w:val="nil"/>
              <w:right w:val="nil"/>
            </w:tcBorders>
            <w:shd w:val="clear" w:color="auto" w:fill="auto"/>
            <w:noWrap/>
            <w:vAlign w:val="bottom"/>
            <w:hideMark/>
          </w:tcPr>
          <w:p w14:paraId="35E9E7C2" w14:textId="77777777" w:rsidR="00F8589C" w:rsidRPr="00861214" w:rsidRDefault="00F8589C" w:rsidP="00B33657">
            <w:pPr>
              <w:widowControl/>
              <w:rPr>
                <w:rFonts w:ascii="Times New Roman" w:hAnsi="Times New Roman"/>
                <w:sz w:val="20"/>
                <w:szCs w:val="20"/>
                <w:lang w:eastAsia="en-GB"/>
              </w:rPr>
            </w:pPr>
          </w:p>
        </w:tc>
        <w:tc>
          <w:tcPr>
            <w:tcW w:w="1381" w:type="dxa"/>
            <w:tcBorders>
              <w:top w:val="single" w:sz="4" w:space="0" w:color="auto"/>
              <w:left w:val="nil"/>
              <w:bottom w:val="nil"/>
              <w:right w:val="single" w:sz="4" w:space="0" w:color="auto"/>
            </w:tcBorders>
            <w:shd w:val="clear" w:color="auto" w:fill="auto"/>
            <w:noWrap/>
            <w:vAlign w:val="bottom"/>
            <w:hideMark/>
          </w:tcPr>
          <w:p w14:paraId="696CD690" w14:textId="77777777" w:rsidR="00F8589C" w:rsidRPr="00861214" w:rsidRDefault="00F8589C" w:rsidP="00B33657">
            <w:pPr>
              <w:widowControl/>
              <w:rPr>
                <w:rFonts w:ascii="Times New Roman" w:hAnsi="Times New Roman"/>
                <w:sz w:val="20"/>
                <w:szCs w:val="20"/>
                <w:lang w:eastAsia="en-GB"/>
              </w:rPr>
            </w:pPr>
          </w:p>
        </w:tc>
      </w:tr>
      <w:tr w:rsidR="00F8589C" w:rsidRPr="00861214" w14:paraId="493314E5" w14:textId="77777777" w:rsidTr="00C368FF">
        <w:trPr>
          <w:trHeight w:val="270"/>
        </w:trPr>
        <w:tc>
          <w:tcPr>
            <w:tcW w:w="4541" w:type="dxa"/>
            <w:tcBorders>
              <w:left w:val="single" w:sz="4" w:space="0" w:color="auto"/>
              <w:bottom w:val="single" w:sz="4" w:space="0" w:color="auto"/>
              <w:right w:val="nil"/>
            </w:tcBorders>
            <w:shd w:val="clear" w:color="auto" w:fill="auto"/>
            <w:noWrap/>
            <w:vAlign w:val="center"/>
            <w:hideMark/>
          </w:tcPr>
          <w:p w14:paraId="62EF4590" w14:textId="77777777" w:rsidR="00F8589C" w:rsidRPr="00861214" w:rsidRDefault="00F8589C" w:rsidP="00B33657">
            <w:pPr>
              <w:widowControl/>
              <w:rPr>
                <w:b/>
                <w:bCs/>
                <w:color w:val="000000"/>
                <w:sz w:val="20"/>
                <w:szCs w:val="20"/>
              </w:rPr>
            </w:pPr>
            <w:r>
              <w:rPr>
                <w:b/>
                <w:color w:val="000000"/>
                <w:sz w:val="20"/>
              </w:rPr>
              <w:t>GASTOS</w:t>
            </w:r>
          </w:p>
        </w:tc>
        <w:tc>
          <w:tcPr>
            <w:tcW w:w="1381" w:type="dxa"/>
            <w:tcBorders>
              <w:top w:val="nil"/>
              <w:left w:val="nil"/>
              <w:bottom w:val="single" w:sz="4" w:space="0" w:color="auto"/>
              <w:right w:val="nil"/>
            </w:tcBorders>
            <w:shd w:val="clear" w:color="auto" w:fill="auto"/>
            <w:noWrap/>
            <w:vAlign w:val="bottom"/>
            <w:hideMark/>
          </w:tcPr>
          <w:p w14:paraId="104C9628" w14:textId="77777777" w:rsidR="00F8589C" w:rsidRPr="00861214" w:rsidRDefault="00F8589C" w:rsidP="00B33657">
            <w:pPr>
              <w:widowControl/>
              <w:rPr>
                <w:b/>
                <w:bCs/>
                <w:color w:val="000000"/>
                <w:sz w:val="20"/>
                <w:szCs w:val="20"/>
                <w:lang w:eastAsia="en-GB"/>
              </w:rPr>
            </w:pPr>
          </w:p>
        </w:tc>
        <w:tc>
          <w:tcPr>
            <w:tcW w:w="1381" w:type="dxa"/>
            <w:tcBorders>
              <w:top w:val="nil"/>
              <w:left w:val="nil"/>
              <w:bottom w:val="single" w:sz="4" w:space="0" w:color="auto"/>
            </w:tcBorders>
            <w:shd w:val="clear" w:color="auto" w:fill="auto"/>
            <w:noWrap/>
            <w:vAlign w:val="bottom"/>
            <w:hideMark/>
          </w:tcPr>
          <w:p w14:paraId="65294523" w14:textId="77777777" w:rsidR="00F8589C" w:rsidRPr="00861214" w:rsidRDefault="00F8589C" w:rsidP="00B33657">
            <w:pPr>
              <w:widowControl/>
              <w:rPr>
                <w:rFonts w:ascii="Times New Roman" w:hAnsi="Times New Roman"/>
                <w:sz w:val="20"/>
                <w:szCs w:val="20"/>
                <w:lang w:eastAsia="en-GB"/>
              </w:rPr>
            </w:pPr>
          </w:p>
        </w:tc>
        <w:tc>
          <w:tcPr>
            <w:tcW w:w="1381" w:type="dxa"/>
            <w:tcBorders>
              <w:top w:val="nil"/>
              <w:left w:val="nil"/>
              <w:bottom w:val="single" w:sz="4" w:space="0" w:color="auto"/>
              <w:right w:val="nil"/>
            </w:tcBorders>
            <w:shd w:val="clear" w:color="auto" w:fill="auto"/>
            <w:noWrap/>
            <w:vAlign w:val="bottom"/>
            <w:hideMark/>
          </w:tcPr>
          <w:p w14:paraId="7B4E29ED" w14:textId="77777777" w:rsidR="00F8589C" w:rsidRPr="00861214" w:rsidRDefault="00F8589C" w:rsidP="00B33657">
            <w:pPr>
              <w:widowControl/>
              <w:rPr>
                <w:rFonts w:ascii="Arial" w:hAnsi="Arial" w:cs="Arial"/>
                <w:color w:val="000000"/>
                <w:sz w:val="20"/>
                <w:szCs w:val="20"/>
              </w:rPr>
            </w:pPr>
            <w:r>
              <w:rPr>
                <w:rFonts w:ascii="Arial" w:hAnsi="Arial"/>
                <w:color w:val="000000"/>
                <w:sz w:val="20"/>
              </w:rPr>
              <w:t> </w:t>
            </w:r>
          </w:p>
        </w:tc>
        <w:tc>
          <w:tcPr>
            <w:tcW w:w="1381" w:type="dxa"/>
            <w:tcBorders>
              <w:top w:val="nil"/>
              <w:left w:val="nil"/>
              <w:bottom w:val="single" w:sz="4" w:space="0" w:color="auto"/>
              <w:right w:val="single" w:sz="4" w:space="0" w:color="auto"/>
            </w:tcBorders>
            <w:shd w:val="clear" w:color="auto" w:fill="auto"/>
            <w:noWrap/>
            <w:vAlign w:val="bottom"/>
            <w:hideMark/>
          </w:tcPr>
          <w:p w14:paraId="00AB5D9E" w14:textId="77777777" w:rsidR="00F8589C" w:rsidRPr="00861214" w:rsidRDefault="00F8589C" w:rsidP="00B33657">
            <w:pPr>
              <w:widowControl/>
              <w:rPr>
                <w:rFonts w:ascii="Times New Roman" w:hAnsi="Times New Roman"/>
                <w:sz w:val="20"/>
                <w:szCs w:val="20"/>
                <w:lang w:eastAsia="en-GB"/>
              </w:rPr>
            </w:pPr>
          </w:p>
        </w:tc>
      </w:tr>
      <w:tr w:rsidR="00F8589C" w:rsidRPr="00861214" w14:paraId="7CA6AB53" w14:textId="77777777" w:rsidTr="00C368FF">
        <w:trPr>
          <w:trHeight w:val="270"/>
        </w:trPr>
        <w:tc>
          <w:tcPr>
            <w:tcW w:w="4541"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47B56C42" w14:textId="77777777" w:rsidR="00F8589C" w:rsidRPr="00861214" w:rsidRDefault="00F8589C" w:rsidP="00B33657">
            <w:pPr>
              <w:widowControl/>
              <w:rPr>
                <w:color w:val="000000"/>
                <w:sz w:val="20"/>
                <w:szCs w:val="20"/>
              </w:rPr>
            </w:pPr>
            <w:r>
              <w:rPr>
                <w:color w:val="000000"/>
                <w:sz w:val="20"/>
              </w:rPr>
              <w:t>A.  Personal directivo de la Secretaría</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160707D4" w14:textId="77777777" w:rsidR="00F8589C" w:rsidRPr="00861214" w:rsidRDefault="00F8589C" w:rsidP="00B33657">
            <w:pPr>
              <w:widowControl/>
              <w:jc w:val="right"/>
              <w:rPr>
                <w:b/>
                <w:bCs/>
                <w:color w:val="000000"/>
                <w:sz w:val="20"/>
                <w:szCs w:val="20"/>
              </w:rPr>
            </w:pPr>
            <w:r>
              <w:rPr>
                <w:b/>
                <w:color w:val="000000"/>
                <w:sz w:val="20"/>
              </w:rPr>
              <w:t>1 062</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26C4206A" w14:textId="77777777" w:rsidR="00F8589C" w:rsidRPr="00861214" w:rsidRDefault="00F8589C" w:rsidP="00B33657">
            <w:pPr>
              <w:widowControl/>
              <w:jc w:val="right"/>
              <w:rPr>
                <w:b/>
                <w:bCs/>
                <w:color w:val="000000"/>
                <w:sz w:val="20"/>
                <w:szCs w:val="20"/>
              </w:rPr>
            </w:pPr>
            <w:r>
              <w:rPr>
                <w:b/>
                <w:color w:val="000000"/>
                <w:sz w:val="20"/>
              </w:rPr>
              <w:t>5</w:t>
            </w:r>
          </w:p>
        </w:tc>
        <w:tc>
          <w:tcPr>
            <w:tcW w:w="138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4D1C5886" w14:textId="77777777" w:rsidR="00F8589C" w:rsidRPr="00861214" w:rsidRDefault="00F8589C" w:rsidP="00B33657">
            <w:pPr>
              <w:widowControl/>
              <w:jc w:val="right"/>
              <w:rPr>
                <w:b/>
                <w:bCs/>
                <w:color w:val="000000"/>
                <w:sz w:val="20"/>
                <w:szCs w:val="20"/>
              </w:rPr>
            </w:pPr>
            <w:r>
              <w:rPr>
                <w:b/>
                <w:color w:val="000000"/>
                <w:sz w:val="20"/>
              </w:rPr>
              <w:t>0</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537CFA99" w14:textId="77777777" w:rsidR="00F8589C" w:rsidRPr="00861214" w:rsidRDefault="00F8589C" w:rsidP="00B33657">
            <w:pPr>
              <w:widowControl/>
              <w:jc w:val="right"/>
              <w:rPr>
                <w:b/>
                <w:bCs/>
                <w:color w:val="000000"/>
                <w:sz w:val="20"/>
                <w:szCs w:val="20"/>
              </w:rPr>
            </w:pPr>
            <w:r>
              <w:rPr>
                <w:b/>
                <w:color w:val="000000"/>
                <w:sz w:val="20"/>
              </w:rPr>
              <w:t>1 067</w:t>
            </w:r>
          </w:p>
        </w:tc>
      </w:tr>
      <w:tr w:rsidR="00F8589C" w:rsidRPr="00861214" w14:paraId="68DC0013" w14:textId="77777777" w:rsidTr="00C368FF">
        <w:trPr>
          <w:trHeight w:val="270"/>
        </w:trPr>
        <w:tc>
          <w:tcPr>
            <w:tcW w:w="4541" w:type="dxa"/>
            <w:tcBorders>
              <w:top w:val="single" w:sz="4" w:space="0" w:color="auto"/>
              <w:left w:val="single" w:sz="4" w:space="0" w:color="auto"/>
              <w:bottom w:val="single" w:sz="4" w:space="0" w:color="auto"/>
              <w:right w:val="nil"/>
            </w:tcBorders>
            <w:shd w:val="clear" w:color="auto" w:fill="auto"/>
            <w:noWrap/>
            <w:vAlign w:val="center"/>
            <w:hideMark/>
          </w:tcPr>
          <w:p w14:paraId="21079700" w14:textId="77777777" w:rsidR="00F8589C" w:rsidRPr="00861214" w:rsidRDefault="00F8589C" w:rsidP="00B33657">
            <w:pPr>
              <w:widowControl/>
              <w:rPr>
                <w:sz w:val="20"/>
                <w:szCs w:val="20"/>
              </w:rPr>
            </w:pPr>
            <w:r>
              <w:rPr>
                <w:sz w:val="20"/>
              </w:rPr>
              <w:t>Salarios, gastos sociales y otras prestaciones laborales</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B389A9D" w14:textId="77777777" w:rsidR="00F8589C" w:rsidRPr="00861214" w:rsidRDefault="00F8589C" w:rsidP="00B33657">
            <w:pPr>
              <w:widowControl/>
              <w:jc w:val="right"/>
              <w:rPr>
                <w:sz w:val="20"/>
                <w:szCs w:val="20"/>
              </w:rPr>
            </w:pPr>
            <w:r>
              <w:rPr>
                <w:sz w:val="20"/>
              </w:rPr>
              <w:t>1 022</w:t>
            </w:r>
          </w:p>
        </w:tc>
        <w:tc>
          <w:tcPr>
            <w:tcW w:w="1381" w:type="dxa"/>
            <w:tcBorders>
              <w:top w:val="nil"/>
              <w:left w:val="nil"/>
              <w:bottom w:val="single" w:sz="4" w:space="0" w:color="auto"/>
              <w:right w:val="single" w:sz="4" w:space="0" w:color="auto"/>
            </w:tcBorders>
            <w:shd w:val="clear" w:color="auto" w:fill="auto"/>
            <w:noWrap/>
            <w:vAlign w:val="center"/>
            <w:hideMark/>
          </w:tcPr>
          <w:p w14:paraId="05905B0C" w14:textId="77777777" w:rsidR="00F8589C" w:rsidRPr="00861214" w:rsidRDefault="00F8589C" w:rsidP="00B33657">
            <w:pPr>
              <w:widowControl/>
              <w:jc w:val="right"/>
              <w:rPr>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0E017EF4" w14:textId="77777777" w:rsidR="00F8589C" w:rsidRPr="00861214" w:rsidRDefault="00F8589C" w:rsidP="00B33657">
            <w:pPr>
              <w:widowControl/>
              <w:jc w:val="right"/>
              <w:rPr>
                <w:color w:val="000000"/>
                <w:sz w:val="20"/>
                <w:szCs w:val="20"/>
              </w:rPr>
            </w:pPr>
            <w:r>
              <w:rPr>
                <w:color w:val="000000"/>
                <w:sz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6A7014D4" w14:textId="77777777" w:rsidR="00F8589C" w:rsidRPr="00861214" w:rsidRDefault="00F8589C" w:rsidP="00B33657">
            <w:pPr>
              <w:widowControl/>
              <w:jc w:val="right"/>
              <w:rPr>
                <w:color w:val="000000"/>
                <w:sz w:val="20"/>
                <w:szCs w:val="20"/>
              </w:rPr>
            </w:pPr>
            <w:r>
              <w:rPr>
                <w:color w:val="000000"/>
                <w:sz w:val="20"/>
              </w:rPr>
              <w:t>1 022</w:t>
            </w:r>
          </w:p>
        </w:tc>
      </w:tr>
      <w:tr w:rsidR="00F8589C" w:rsidRPr="00861214" w14:paraId="7304BBBD" w14:textId="77777777" w:rsidTr="00C368FF">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BCACB" w14:textId="77777777" w:rsidR="00F8589C" w:rsidRPr="00861214" w:rsidRDefault="00F8589C" w:rsidP="00B33657">
            <w:pPr>
              <w:widowControl/>
              <w:rPr>
                <w:sz w:val="20"/>
                <w:szCs w:val="20"/>
              </w:rPr>
            </w:pPr>
            <w:r>
              <w:rPr>
                <w:sz w:val="20"/>
              </w:rPr>
              <w:t>Viajes</w:t>
            </w:r>
          </w:p>
        </w:tc>
        <w:tc>
          <w:tcPr>
            <w:tcW w:w="1381" w:type="dxa"/>
            <w:tcBorders>
              <w:top w:val="nil"/>
              <w:left w:val="nil"/>
              <w:bottom w:val="single" w:sz="4" w:space="0" w:color="auto"/>
              <w:right w:val="single" w:sz="4" w:space="0" w:color="auto"/>
            </w:tcBorders>
            <w:shd w:val="clear" w:color="auto" w:fill="auto"/>
            <w:noWrap/>
            <w:vAlign w:val="center"/>
            <w:hideMark/>
          </w:tcPr>
          <w:p w14:paraId="089FAB2F" w14:textId="77777777" w:rsidR="00F8589C" w:rsidRPr="00861214" w:rsidRDefault="00F8589C" w:rsidP="00B33657">
            <w:pPr>
              <w:widowControl/>
              <w:jc w:val="right"/>
              <w:rPr>
                <w:sz w:val="20"/>
                <w:szCs w:val="20"/>
              </w:rPr>
            </w:pPr>
            <w:r>
              <w:rPr>
                <w:sz w:val="20"/>
              </w:rPr>
              <w:t>40</w:t>
            </w:r>
          </w:p>
        </w:tc>
        <w:tc>
          <w:tcPr>
            <w:tcW w:w="1381" w:type="dxa"/>
            <w:tcBorders>
              <w:top w:val="nil"/>
              <w:left w:val="nil"/>
              <w:bottom w:val="single" w:sz="4" w:space="0" w:color="auto"/>
              <w:right w:val="single" w:sz="4" w:space="0" w:color="auto"/>
            </w:tcBorders>
            <w:shd w:val="clear" w:color="auto" w:fill="auto"/>
            <w:noWrap/>
            <w:vAlign w:val="center"/>
            <w:hideMark/>
          </w:tcPr>
          <w:p w14:paraId="7076F0F4" w14:textId="77777777" w:rsidR="00F8589C" w:rsidRPr="00861214" w:rsidRDefault="00F8589C" w:rsidP="00B33657">
            <w:pPr>
              <w:widowControl/>
              <w:jc w:val="right"/>
              <w:rPr>
                <w:sz w:val="20"/>
                <w:szCs w:val="20"/>
              </w:rPr>
            </w:pPr>
            <w:r>
              <w:rPr>
                <w:sz w:val="20"/>
              </w:rPr>
              <w:t>5</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1E06BA67" w14:textId="77777777" w:rsidR="00F8589C" w:rsidRPr="00861214" w:rsidRDefault="00F8589C" w:rsidP="00B33657">
            <w:pPr>
              <w:widowControl/>
              <w:jc w:val="right"/>
              <w:rPr>
                <w:color w:val="000000"/>
                <w:sz w:val="20"/>
                <w:szCs w:val="20"/>
              </w:rPr>
            </w:pPr>
            <w:r>
              <w:rPr>
                <w:color w:val="000000"/>
                <w:sz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0329BB57" w14:textId="77777777" w:rsidR="00F8589C" w:rsidRPr="00861214" w:rsidRDefault="00F8589C" w:rsidP="00B33657">
            <w:pPr>
              <w:widowControl/>
              <w:jc w:val="right"/>
              <w:rPr>
                <w:color w:val="000000"/>
                <w:sz w:val="20"/>
                <w:szCs w:val="20"/>
              </w:rPr>
            </w:pPr>
            <w:r>
              <w:rPr>
                <w:color w:val="000000"/>
                <w:sz w:val="20"/>
              </w:rPr>
              <w:t>45</w:t>
            </w:r>
          </w:p>
        </w:tc>
      </w:tr>
      <w:tr w:rsidR="00F8589C" w:rsidRPr="00861214" w14:paraId="44D50CDC" w14:textId="77777777" w:rsidTr="00C368FF">
        <w:trPr>
          <w:trHeight w:val="270"/>
        </w:trPr>
        <w:tc>
          <w:tcPr>
            <w:tcW w:w="4541" w:type="dxa"/>
            <w:tcBorders>
              <w:top w:val="nil"/>
              <w:left w:val="single" w:sz="4" w:space="0" w:color="auto"/>
              <w:bottom w:val="single" w:sz="4" w:space="0" w:color="auto"/>
              <w:right w:val="single" w:sz="4" w:space="0" w:color="auto"/>
            </w:tcBorders>
            <w:shd w:val="clear" w:color="000000" w:fill="EAF1DD"/>
            <w:vAlign w:val="center"/>
            <w:hideMark/>
          </w:tcPr>
          <w:p w14:paraId="17A33847" w14:textId="77777777" w:rsidR="00F8589C" w:rsidRPr="00861214" w:rsidRDefault="00F8589C" w:rsidP="00B33657">
            <w:pPr>
              <w:widowControl/>
              <w:rPr>
                <w:color w:val="000000"/>
                <w:sz w:val="20"/>
                <w:szCs w:val="20"/>
              </w:rPr>
            </w:pPr>
            <w:r>
              <w:rPr>
                <w:color w:val="000000"/>
                <w:sz w:val="20"/>
              </w:rPr>
              <w:t>B.  Movilización de recursos y promoción</w:t>
            </w:r>
          </w:p>
        </w:tc>
        <w:tc>
          <w:tcPr>
            <w:tcW w:w="1381" w:type="dxa"/>
            <w:tcBorders>
              <w:top w:val="nil"/>
              <w:left w:val="nil"/>
              <w:bottom w:val="single" w:sz="4" w:space="0" w:color="auto"/>
              <w:right w:val="single" w:sz="4" w:space="0" w:color="auto"/>
            </w:tcBorders>
            <w:shd w:val="clear" w:color="000000" w:fill="EAF1DD"/>
            <w:noWrap/>
            <w:vAlign w:val="center"/>
            <w:hideMark/>
          </w:tcPr>
          <w:p w14:paraId="6BB2B483" w14:textId="77777777" w:rsidR="00F8589C" w:rsidRPr="00861214" w:rsidRDefault="00F8589C" w:rsidP="00B33657">
            <w:pPr>
              <w:widowControl/>
              <w:jc w:val="right"/>
              <w:rPr>
                <w:b/>
                <w:bCs/>
                <w:color w:val="000000"/>
                <w:sz w:val="20"/>
                <w:szCs w:val="20"/>
              </w:rPr>
            </w:pPr>
            <w:r>
              <w:rPr>
                <w:b/>
                <w:color w:val="000000"/>
                <w:sz w:val="20"/>
              </w:rPr>
              <w:t>508</w:t>
            </w:r>
          </w:p>
        </w:tc>
        <w:tc>
          <w:tcPr>
            <w:tcW w:w="1381" w:type="dxa"/>
            <w:tcBorders>
              <w:top w:val="nil"/>
              <w:left w:val="nil"/>
              <w:bottom w:val="single" w:sz="4" w:space="0" w:color="auto"/>
              <w:right w:val="single" w:sz="4" w:space="0" w:color="auto"/>
            </w:tcBorders>
            <w:shd w:val="clear" w:color="000000" w:fill="EAF1DD"/>
            <w:noWrap/>
            <w:vAlign w:val="center"/>
            <w:hideMark/>
          </w:tcPr>
          <w:p w14:paraId="41C3F2B0" w14:textId="77777777" w:rsidR="00F8589C" w:rsidRPr="00861214" w:rsidRDefault="00F8589C" w:rsidP="00B33657">
            <w:pPr>
              <w:widowControl/>
              <w:jc w:val="right"/>
              <w:rPr>
                <w:b/>
                <w:bCs/>
                <w:color w:val="000000"/>
                <w:sz w:val="20"/>
                <w:szCs w:val="20"/>
              </w:rPr>
            </w:pPr>
            <w:r>
              <w:rPr>
                <w:b/>
                <w:color w:val="000000"/>
                <w:sz w:val="20"/>
              </w:rPr>
              <w:t>45</w:t>
            </w:r>
          </w:p>
        </w:tc>
        <w:tc>
          <w:tcPr>
            <w:tcW w:w="1381" w:type="dxa"/>
            <w:tcBorders>
              <w:top w:val="nil"/>
              <w:left w:val="single" w:sz="4" w:space="0" w:color="auto"/>
              <w:bottom w:val="single" w:sz="4" w:space="0" w:color="auto"/>
              <w:right w:val="single" w:sz="4" w:space="0" w:color="auto"/>
            </w:tcBorders>
            <w:shd w:val="clear" w:color="000000" w:fill="EAF1DD"/>
            <w:noWrap/>
            <w:vAlign w:val="center"/>
            <w:hideMark/>
          </w:tcPr>
          <w:p w14:paraId="15420F66" w14:textId="77777777" w:rsidR="00F8589C" w:rsidRPr="00861214" w:rsidRDefault="00F8589C" w:rsidP="00B33657">
            <w:pPr>
              <w:widowControl/>
              <w:jc w:val="right"/>
              <w:rPr>
                <w:b/>
                <w:bCs/>
                <w:color w:val="000000"/>
                <w:sz w:val="20"/>
                <w:szCs w:val="20"/>
              </w:rPr>
            </w:pPr>
            <w:r>
              <w:rPr>
                <w:b/>
                <w:color w:val="000000"/>
                <w:sz w:val="20"/>
              </w:rPr>
              <w:t>263</w:t>
            </w:r>
          </w:p>
        </w:tc>
        <w:tc>
          <w:tcPr>
            <w:tcW w:w="1381" w:type="dxa"/>
            <w:tcBorders>
              <w:top w:val="nil"/>
              <w:left w:val="nil"/>
              <w:bottom w:val="single" w:sz="4" w:space="0" w:color="auto"/>
              <w:right w:val="single" w:sz="4" w:space="0" w:color="auto"/>
            </w:tcBorders>
            <w:shd w:val="clear" w:color="000000" w:fill="EAF1DD"/>
            <w:noWrap/>
            <w:vAlign w:val="center"/>
            <w:hideMark/>
          </w:tcPr>
          <w:p w14:paraId="22557E25" w14:textId="77777777" w:rsidR="00F8589C" w:rsidRPr="00861214" w:rsidRDefault="00F8589C" w:rsidP="00B33657">
            <w:pPr>
              <w:widowControl/>
              <w:jc w:val="right"/>
              <w:rPr>
                <w:b/>
                <w:bCs/>
                <w:color w:val="000000"/>
                <w:sz w:val="20"/>
                <w:szCs w:val="20"/>
              </w:rPr>
            </w:pPr>
            <w:r>
              <w:rPr>
                <w:b/>
                <w:color w:val="000000"/>
                <w:sz w:val="20"/>
              </w:rPr>
              <w:t>816</w:t>
            </w:r>
          </w:p>
        </w:tc>
      </w:tr>
      <w:tr w:rsidR="00F8589C" w:rsidRPr="00861214" w14:paraId="414E0391" w14:textId="77777777" w:rsidTr="00C368FF">
        <w:trPr>
          <w:trHeight w:val="270"/>
        </w:trPr>
        <w:tc>
          <w:tcPr>
            <w:tcW w:w="4541" w:type="dxa"/>
            <w:tcBorders>
              <w:top w:val="single" w:sz="4" w:space="0" w:color="auto"/>
              <w:left w:val="single" w:sz="4" w:space="0" w:color="auto"/>
              <w:bottom w:val="single" w:sz="4" w:space="0" w:color="auto"/>
              <w:right w:val="nil"/>
            </w:tcBorders>
            <w:shd w:val="clear" w:color="auto" w:fill="auto"/>
            <w:noWrap/>
            <w:vAlign w:val="center"/>
            <w:hideMark/>
          </w:tcPr>
          <w:p w14:paraId="3C5B2F56" w14:textId="77777777" w:rsidR="00F8589C" w:rsidRPr="00861214" w:rsidRDefault="00F8589C" w:rsidP="00B33657">
            <w:pPr>
              <w:widowControl/>
              <w:rPr>
                <w:sz w:val="20"/>
                <w:szCs w:val="20"/>
              </w:rPr>
            </w:pPr>
            <w:r>
              <w:rPr>
                <w:sz w:val="20"/>
              </w:rPr>
              <w:t>Salarios, gastos sociales y otras prestaciones laborales</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1133C0CD" w14:textId="77777777" w:rsidR="00F8589C" w:rsidRPr="00861214" w:rsidRDefault="00F8589C" w:rsidP="00B33657">
            <w:pPr>
              <w:widowControl/>
              <w:jc w:val="right"/>
              <w:rPr>
                <w:sz w:val="20"/>
                <w:szCs w:val="20"/>
              </w:rPr>
            </w:pPr>
            <w:r>
              <w:rPr>
                <w:sz w:val="20"/>
              </w:rPr>
              <w:t>352</w:t>
            </w:r>
          </w:p>
        </w:tc>
        <w:tc>
          <w:tcPr>
            <w:tcW w:w="1381" w:type="dxa"/>
            <w:tcBorders>
              <w:top w:val="nil"/>
              <w:left w:val="nil"/>
              <w:bottom w:val="single" w:sz="4" w:space="0" w:color="auto"/>
              <w:right w:val="single" w:sz="4" w:space="0" w:color="auto"/>
            </w:tcBorders>
            <w:shd w:val="clear" w:color="auto" w:fill="auto"/>
            <w:noWrap/>
            <w:vAlign w:val="center"/>
            <w:hideMark/>
          </w:tcPr>
          <w:p w14:paraId="097821B0" w14:textId="77777777" w:rsidR="00F8589C" w:rsidRPr="00861214" w:rsidRDefault="00F8589C" w:rsidP="00B33657">
            <w:pPr>
              <w:widowControl/>
              <w:jc w:val="right"/>
              <w:rPr>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60B10CAA" w14:textId="77777777" w:rsidR="00F8589C" w:rsidRPr="00214FA7" w:rsidRDefault="00F8589C" w:rsidP="00B33657">
            <w:pPr>
              <w:widowControl/>
              <w:jc w:val="right"/>
              <w:rPr>
                <w:color w:val="000000"/>
                <w:sz w:val="20"/>
                <w:szCs w:val="20"/>
              </w:rPr>
            </w:pPr>
            <w:r>
              <w:rPr>
                <w:color w:val="000000"/>
                <w:sz w:val="20"/>
              </w:rPr>
              <w:t>6</w:t>
            </w:r>
          </w:p>
        </w:tc>
        <w:tc>
          <w:tcPr>
            <w:tcW w:w="1381" w:type="dxa"/>
            <w:tcBorders>
              <w:top w:val="nil"/>
              <w:left w:val="nil"/>
              <w:bottom w:val="single" w:sz="4" w:space="0" w:color="auto"/>
              <w:right w:val="single" w:sz="4" w:space="0" w:color="auto"/>
            </w:tcBorders>
            <w:shd w:val="clear" w:color="auto" w:fill="auto"/>
            <w:noWrap/>
            <w:vAlign w:val="center"/>
            <w:hideMark/>
          </w:tcPr>
          <w:p w14:paraId="033FCAA6" w14:textId="77777777" w:rsidR="00F8589C" w:rsidRPr="00214FA7" w:rsidRDefault="00F8589C" w:rsidP="00B33657">
            <w:pPr>
              <w:widowControl/>
              <w:jc w:val="right"/>
              <w:rPr>
                <w:color w:val="000000"/>
                <w:sz w:val="20"/>
                <w:szCs w:val="20"/>
              </w:rPr>
            </w:pPr>
            <w:r>
              <w:rPr>
                <w:color w:val="000000"/>
                <w:sz w:val="20"/>
              </w:rPr>
              <w:t>358</w:t>
            </w:r>
          </w:p>
        </w:tc>
      </w:tr>
      <w:tr w:rsidR="00F8589C" w:rsidRPr="00861214" w14:paraId="5ED6EB7A" w14:textId="77777777" w:rsidTr="00C368FF">
        <w:trPr>
          <w:trHeight w:val="24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BB388" w14:textId="77777777" w:rsidR="00F8589C" w:rsidRPr="00861214" w:rsidRDefault="00F8589C" w:rsidP="00B33657">
            <w:pPr>
              <w:widowControl/>
              <w:rPr>
                <w:sz w:val="20"/>
                <w:szCs w:val="20"/>
              </w:rPr>
            </w:pPr>
            <w:r>
              <w:rPr>
                <w:sz w:val="20"/>
              </w:rPr>
              <w:t>Programa de CECoP</w:t>
            </w:r>
          </w:p>
        </w:tc>
        <w:tc>
          <w:tcPr>
            <w:tcW w:w="1381" w:type="dxa"/>
            <w:tcBorders>
              <w:top w:val="nil"/>
              <w:left w:val="nil"/>
              <w:bottom w:val="single" w:sz="4" w:space="0" w:color="auto"/>
              <w:right w:val="single" w:sz="4" w:space="0" w:color="auto"/>
            </w:tcBorders>
            <w:shd w:val="clear" w:color="auto" w:fill="auto"/>
            <w:noWrap/>
            <w:vAlign w:val="center"/>
            <w:hideMark/>
          </w:tcPr>
          <w:p w14:paraId="355361CB" w14:textId="77777777" w:rsidR="00F8589C" w:rsidRPr="00861214" w:rsidRDefault="00F8589C" w:rsidP="00B33657">
            <w:pPr>
              <w:widowControl/>
              <w:jc w:val="right"/>
              <w:rPr>
                <w:sz w:val="20"/>
                <w:szCs w:val="20"/>
              </w:rPr>
            </w:pPr>
            <w:r>
              <w:rPr>
                <w:sz w:val="20"/>
              </w:rPr>
              <w:t>30</w:t>
            </w:r>
          </w:p>
        </w:tc>
        <w:tc>
          <w:tcPr>
            <w:tcW w:w="1381" w:type="dxa"/>
            <w:tcBorders>
              <w:top w:val="nil"/>
              <w:left w:val="nil"/>
              <w:bottom w:val="single" w:sz="4" w:space="0" w:color="auto"/>
              <w:right w:val="single" w:sz="4" w:space="0" w:color="auto"/>
            </w:tcBorders>
            <w:shd w:val="clear" w:color="auto" w:fill="auto"/>
            <w:noWrap/>
            <w:vAlign w:val="center"/>
            <w:hideMark/>
          </w:tcPr>
          <w:p w14:paraId="5ADB661C" w14:textId="77777777" w:rsidR="00F8589C" w:rsidRPr="00861214" w:rsidRDefault="00F8589C" w:rsidP="00B33657">
            <w:pPr>
              <w:widowControl/>
              <w:jc w:val="right"/>
              <w:rPr>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2DE9374F" w14:textId="77777777" w:rsidR="00F8589C" w:rsidRPr="00214FA7" w:rsidRDefault="00F8589C" w:rsidP="00B33657">
            <w:pPr>
              <w:widowControl/>
              <w:jc w:val="right"/>
              <w:rPr>
                <w:sz w:val="20"/>
                <w:szCs w:val="20"/>
              </w:rPr>
            </w:pPr>
            <w:r>
              <w:rPr>
                <w:sz w:val="20"/>
              </w:rPr>
              <w:t>109</w:t>
            </w:r>
          </w:p>
        </w:tc>
        <w:tc>
          <w:tcPr>
            <w:tcW w:w="1381" w:type="dxa"/>
            <w:tcBorders>
              <w:top w:val="nil"/>
              <w:left w:val="nil"/>
              <w:bottom w:val="single" w:sz="4" w:space="0" w:color="auto"/>
              <w:right w:val="single" w:sz="4" w:space="0" w:color="auto"/>
            </w:tcBorders>
            <w:shd w:val="clear" w:color="auto" w:fill="auto"/>
            <w:noWrap/>
            <w:vAlign w:val="center"/>
            <w:hideMark/>
          </w:tcPr>
          <w:p w14:paraId="66FBA431" w14:textId="77777777" w:rsidR="00F8589C" w:rsidRPr="00214FA7" w:rsidRDefault="00F8589C" w:rsidP="00B33657">
            <w:pPr>
              <w:widowControl/>
              <w:jc w:val="right"/>
              <w:rPr>
                <w:color w:val="000000"/>
                <w:sz w:val="20"/>
                <w:szCs w:val="20"/>
              </w:rPr>
            </w:pPr>
            <w:r>
              <w:rPr>
                <w:color w:val="000000"/>
                <w:sz w:val="20"/>
              </w:rPr>
              <w:t>139</w:t>
            </w:r>
          </w:p>
        </w:tc>
      </w:tr>
      <w:tr w:rsidR="00F8589C" w:rsidRPr="00861214" w14:paraId="201D43BF" w14:textId="77777777" w:rsidTr="00C368FF">
        <w:trPr>
          <w:trHeight w:val="525"/>
        </w:trPr>
        <w:tc>
          <w:tcPr>
            <w:tcW w:w="4541" w:type="dxa"/>
            <w:tcBorders>
              <w:top w:val="nil"/>
              <w:left w:val="single" w:sz="4" w:space="0" w:color="auto"/>
              <w:bottom w:val="single" w:sz="4" w:space="0" w:color="auto"/>
              <w:right w:val="single" w:sz="4" w:space="0" w:color="auto"/>
            </w:tcBorders>
            <w:shd w:val="clear" w:color="auto" w:fill="auto"/>
            <w:vAlign w:val="center"/>
            <w:hideMark/>
          </w:tcPr>
          <w:p w14:paraId="761494F0" w14:textId="77777777" w:rsidR="00F8589C" w:rsidRPr="00861214" w:rsidRDefault="00F8589C" w:rsidP="00B33657">
            <w:pPr>
              <w:widowControl/>
              <w:rPr>
                <w:sz w:val="20"/>
                <w:szCs w:val="20"/>
              </w:rPr>
            </w:pPr>
            <w:r>
              <w:rPr>
                <w:sz w:val="20"/>
              </w:rPr>
              <w:t>Comunicaciones, traducciones, publicaciones e informes sobre la aplicación</w:t>
            </w:r>
          </w:p>
        </w:tc>
        <w:tc>
          <w:tcPr>
            <w:tcW w:w="1381" w:type="dxa"/>
            <w:tcBorders>
              <w:top w:val="nil"/>
              <w:left w:val="nil"/>
              <w:bottom w:val="single" w:sz="4" w:space="0" w:color="auto"/>
              <w:right w:val="single" w:sz="4" w:space="0" w:color="auto"/>
            </w:tcBorders>
            <w:shd w:val="clear" w:color="auto" w:fill="auto"/>
            <w:noWrap/>
            <w:vAlign w:val="center"/>
            <w:hideMark/>
          </w:tcPr>
          <w:p w14:paraId="0EA2B16D" w14:textId="77777777" w:rsidR="00F8589C" w:rsidRPr="00861214" w:rsidRDefault="00F8589C" w:rsidP="00B33657">
            <w:pPr>
              <w:widowControl/>
              <w:jc w:val="right"/>
              <w:rPr>
                <w:sz w:val="20"/>
                <w:szCs w:val="20"/>
              </w:rPr>
            </w:pPr>
            <w:r>
              <w:rPr>
                <w:sz w:val="20"/>
              </w:rPr>
              <w:t>60</w:t>
            </w:r>
          </w:p>
        </w:tc>
        <w:tc>
          <w:tcPr>
            <w:tcW w:w="1381" w:type="dxa"/>
            <w:tcBorders>
              <w:top w:val="nil"/>
              <w:left w:val="nil"/>
              <w:bottom w:val="single" w:sz="4" w:space="0" w:color="auto"/>
              <w:right w:val="single" w:sz="4" w:space="0" w:color="auto"/>
            </w:tcBorders>
            <w:shd w:val="clear" w:color="auto" w:fill="auto"/>
            <w:noWrap/>
            <w:vAlign w:val="center"/>
            <w:hideMark/>
          </w:tcPr>
          <w:p w14:paraId="127D6E5A" w14:textId="77777777" w:rsidR="00F8589C" w:rsidRPr="00861214" w:rsidRDefault="00F8589C" w:rsidP="00B33657">
            <w:pPr>
              <w:widowControl/>
              <w:jc w:val="right"/>
              <w:rPr>
                <w:sz w:val="20"/>
                <w:szCs w:val="20"/>
              </w:rPr>
            </w:pPr>
            <w:r>
              <w:rPr>
                <w:sz w:val="20"/>
              </w:rPr>
              <w:t>40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70FF3EAC" w14:textId="77777777" w:rsidR="00F8589C" w:rsidRPr="00214FA7" w:rsidRDefault="00F8589C" w:rsidP="00B33657">
            <w:pPr>
              <w:widowControl/>
              <w:jc w:val="right"/>
              <w:rPr>
                <w:sz w:val="20"/>
                <w:szCs w:val="20"/>
              </w:rPr>
            </w:pPr>
            <w:r>
              <w:rPr>
                <w:sz w:val="20"/>
              </w:rPr>
              <w:t>110</w:t>
            </w:r>
          </w:p>
        </w:tc>
        <w:tc>
          <w:tcPr>
            <w:tcW w:w="1381" w:type="dxa"/>
            <w:tcBorders>
              <w:top w:val="nil"/>
              <w:left w:val="nil"/>
              <w:bottom w:val="single" w:sz="4" w:space="0" w:color="auto"/>
              <w:right w:val="single" w:sz="4" w:space="0" w:color="auto"/>
            </w:tcBorders>
            <w:shd w:val="clear" w:color="auto" w:fill="auto"/>
            <w:noWrap/>
            <w:vAlign w:val="center"/>
            <w:hideMark/>
          </w:tcPr>
          <w:p w14:paraId="0B142D5F" w14:textId="77777777" w:rsidR="00F8589C" w:rsidRPr="00214FA7" w:rsidRDefault="00F8589C" w:rsidP="00B33657">
            <w:pPr>
              <w:widowControl/>
              <w:jc w:val="right"/>
              <w:rPr>
                <w:color w:val="000000"/>
                <w:sz w:val="20"/>
                <w:szCs w:val="20"/>
              </w:rPr>
            </w:pPr>
            <w:r>
              <w:rPr>
                <w:color w:val="000000"/>
                <w:sz w:val="20"/>
              </w:rPr>
              <w:t>210</w:t>
            </w:r>
          </w:p>
        </w:tc>
      </w:tr>
      <w:tr w:rsidR="00F8589C" w:rsidRPr="00861214" w14:paraId="79C40E02" w14:textId="77777777" w:rsidTr="00C368FF">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1DBCACA3" w14:textId="77777777" w:rsidR="00F8589C" w:rsidRPr="00861214" w:rsidRDefault="00F8589C" w:rsidP="00B33657">
            <w:pPr>
              <w:widowControl/>
              <w:rPr>
                <w:sz w:val="20"/>
                <w:szCs w:val="20"/>
              </w:rPr>
            </w:pPr>
            <w:r>
              <w:rPr>
                <w:sz w:val="20"/>
              </w:rPr>
              <w:t>Apoyo y desarrollo del sitio web/servicios informáticos</w:t>
            </w:r>
          </w:p>
        </w:tc>
        <w:tc>
          <w:tcPr>
            <w:tcW w:w="1381" w:type="dxa"/>
            <w:tcBorders>
              <w:top w:val="nil"/>
              <w:left w:val="nil"/>
              <w:bottom w:val="single" w:sz="4" w:space="0" w:color="auto"/>
              <w:right w:val="single" w:sz="4" w:space="0" w:color="auto"/>
            </w:tcBorders>
            <w:shd w:val="clear" w:color="auto" w:fill="auto"/>
            <w:noWrap/>
            <w:vAlign w:val="center"/>
            <w:hideMark/>
          </w:tcPr>
          <w:p w14:paraId="6A37B02B" w14:textId="77777777" w:rsidR="00F8589C" w:rsidRPr="00861214" w:rsidRDefault="00F8589C" w:rsidP="00B33657">
            <w:pPr>
              <w:widowControl/>
              <w:jc w:val="right"/>
              <w:rPr>
                <w:sz w:val="20"/>
                <w:szCs w:val="20"/>
              </w:rPr>
            </w:pPr>
            <w:r>
              <w:rPr>
                <w:sz w:val="20"/>
              </w:rPr>
              <w:t>56</w:t>
            </w:r>
          </w:p>
        </w:tc>
        <w:tc>
          <w:tcPr>
            <w:tcW w:w="1381" w:type="dxa"/>
            <w:tcBorders>
              <w:top w:val="nil"/>
              <w:left w:val="nil"/>
              <w:bottom w:val="single" w:sz="4" w:space="0" w:color="auto"/>
              <w:right w:val="single" w:sz="4" w:space="0" w:color="auto"/>
            </w:tcBorders>
            <w:shd w:val="clear" w:color="auto" w:fill="auto"/>
            <w:noWrap/>
            <w:vAlign w:val="center"/>
            <w:hideMark/>
          </w:tcPr>
          <w:p w14:paraId="756E6258" w14:textId="77777777" w:rsidR="00F8589C" w:rsidRPr="00861214" w:rsidRDefault="00F8589C" w:rsidP="00B33657">
            <w:pPr>
              <w:widowControl/>
              <w:jc w:val="right"/>
              <w:rPr>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26BFCC6C" w14:textId="77777777" w:rsidR="00F8589C" w:rsidRPr="00214FA7" w:rsidRDefault="00F8589C" w:rsidP="00B33657">
            <w:pPr>
              <w:widowControl/>
              <w:jc w:val="right"/>
              <w:rPr>
                <w:sz w:val="20"/>
                <w:szCs w:val="20"/>
              </w:rPr>
            </w:pPr>
            <w:r>
              <w:rPr>
                <w:sz w:val="20"/>
              </w:rPr>
              <w:t>38</w:t>
            </w:r>
          </w:p>
        </w:tc>
        <w:tc>
          <w:tcPr>
            <w:tcW w:w="1381" w:type="dxa"/>
            <w:tcBorders>
              <w:top w:val="nil"/>
              <w:left w:val="nil"/>
              <w:bottom w:val="single" w:sz="4" w:space="0" w:color="auto"/>
              <w:right w:val="single" w:sz="4" w:space="0" w:color="auto"/>
            </w:tcBorders>
            <w:shd w:val="clear" w:color="auto" w:fill="auto"/>
            <w:noWrap/>
            <w:vAlign w:val="center"/>
            <w:hideMark/>
          </w:tcPr>
          <w:p w14:paraId="271207DA" w14:textId="77777777" w:rsidR="00F8589C" w:rsidRPr="00214FA7" w:rsidRDefault="00F8589C" w:rsidP="00B33657">
            <w:pPr>
              <w:widowControl/>
              <w:jc w:val="right"/>
              <w:rPr>
                <w:color w:val="000000"/>
                <w:sz w:val="20"/>
                <w:szCs w:val="20"/>
              </w:rPr>
            </w:pPr>
            <w:r>
              <w:rPr>
                <w:color w:val="000000"/>
                <w:sz w:val="20"/>
              </w:rPr>
              <w:t>94</w:t>
            </w:r>
          </w:p>
        </w:tc>
      </w:tr>
      <w:tr w:rsidR="00F8589C" w:rsidRPr="00861214" w14:paraId="6C69CC86" w14:textId="77777777" w:rsidTr="00C368FF">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A5E6E" w14:textId="77777777" w:rsidR="00F8589C" w:rsidRPr="00861214" w:rsidRDefault="00F8589C" w:rsidP="00B33657">
            <w:pPr>
              <w:widowControl/>
              <w:rPr>
                <w:sz w:val="20"/>
                <w:szCs w:val="20"/>
              </w:rPr>
            </w:pPr>
            <w:r>
              <w:rPr>
                <w:sz w:val="20"/>
              </w:rPr>
              <w:t>Viajes</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32E59DF8" w14:textId="77777777" w:rsidR="00F8589C" w:rsidRPr="00861214" w:rsidRDefault="00F8589C" w:rsidP="00B33657">
            <w:pPr>
              <w:widowControl/>
              <w:jc w:val="right"/>
              <w:rPr>
                <w:sz w:val="20"/>
                <w:szCs w:val="20"/>
              </w:rPr>
            </w:pPr>
            <w:r>
              <w:rPr>
                <w:sz w:val="20"/>
              </w:rPr>
              <w:t>10</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2DE9FE40" w14:textId="77777777" w:rsidR="00F8589C" w:rsidRPr="00861214" w:rsidRDefault="00F8589C" w:rsidP="00B33657">
            <w:pPr>
              <w:widowControl/>
              <w:jc w:val="right"/>
              <w:rPr>
                <w:sz w:val="20"/>
                <w:szCs w:val="20"/>
              </w:rPr>
            </w:pPr>
            <w:r>
              <w:rPr>
                <w:sz w:val="20"/>
              </w:rPr>
              <w:t>5</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B97D9" w14:textId="77777777" w:rsidR="00F8589C" w:rsidRPr="00861214" w:rsidRDefault="00F8589C" w:rsidP="00B33657">
            <w:pPr>
              <w:widowControl/>
              <w:jc w:val="right"/>
              <w:rPr>
                <w:color w:val="000000"/>
                <w:sz w:val="20"/>
                <w:szCs w:val="20"/>
              </w:rPr>
            </w:pPr>
            <w:r>
              <w:rPr>
                <w:color w:val="000000"/>
                <w:sz w:val="20"/>
              </w:rPr>
              <w:t>0</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118D14F6" w14:textId="77777777" w:rsidR="00F8589C" w:rsidRPr="00861214" w:rsidRDefault="00F8589C" w:rsidP="00B33657">
            <w:pPr>
              <w:widowControl/>
              <w:jc w:val="right"/>
              <w:rPr>
                <w:color w:val="000000"/>
                <w:sz w:val="20"/>
                <w:szCs w:val="20"/>
              </w:rPr>
            </w:pPr>
            <w:r>
              <w:rPr>
                <w:color w:val="000000"/>
                <w:sz w:val="20"/>
              </w:rPr>
              <w:t>15</w:t>
            </w:r>
          </w:p>
        </w:tc>
      </w:tr>
      <w:tr w:rsidR="00F8589C" w:rsidRPr="00861214" w14:paraId="1BF1D791" w14:textId="77777777" w:rsidTr="00C368FF">
        <w:trPr>
          <w:trHeight w:val="270"/>
        </w:trPr>
        <w:tc>
          <w:tcPr>
            <w:tcW w:w="4541"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31D8227F" w14:textId="77777777" w:rsidR="00F8589C" w:rsidRPr="00861214" w:rsidRDefault="00F8589C" w:rsidP="00B33657">
            <w:pPr>
              <w:widowControl/>
              <w:rPr>
                <w:sz w:val="20"/>
                <w:szCs w:val="20"/>
              </w:rPr>
            </w:pPr>
            <w:r>
              <w:rPr>
                <w:sz w:val="20"/>
              </w:rPr>
              <w:t>C.  Asesoramiento y apoyo regionales</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4BB038AE" w14:textId="77777777" w:rsidR="00F8589C" w:rsidRPr="00861214" w:rsidRDefault="00F8589C" w:rsidP="00B33657">
            <w:pPr>
              <w:widowControl/>
              <w:jc w:val="right"/>
              <w:rPr>
                <w:b/>
                <w:bCs/>
                <w:sz w:val="20"/>
                <w:szCs w:val="20"/>
              </w:rPr>
            </w:pPr>
            <w:r>
              <w:rPr>
                <w:b/>
                <w:sz w:val="20"/>
              </w:rPr>
              <w:t>1 316</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427B3D2F" w14:textId="77777777" w:rsidR="00F8589C" w:rsidRPr="00861214" w:rsidRDefault="00F8589C" w:rsidP="00B33657">
            <w:pPr>
              <w:widowControl/>
              <w:jc w:val="right"/>
              <w:rPr>
                <w:b/>
                <w:bCs/>
                <w:sz w:val="20"/>
                <w:szCs w:val="20"/>
              </w:rPr>
            </w:pPr>
            <w:r>
              <w:rPr>
                <w:b/>
                <w:sz w:val="20"/>
              </w:rPr>
              <w:t>10</w:t>
            </w:r>
          </w:p>
        </w:tc>
        <w:tc>
          <w:tcPr>
            <w:tcW w:w="138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0CE702FA" w14:textId="77777777" w:rsidR="00F8589C" w:rsidRPr="00861214" w:rsidRDefault="00F8589C" w:rsidP="00B33657">
            <w:pPr>
              <w:widowControl/>
              <w:jc w:val="right"/>
              <w:rPr>
                <w:b/>
                <w:bCs/>
                <w:color w:val="000000"/>
                <w:sz w:val="20"/>
                <w:szCs w:val="20"/>
              </w:rPr>
            </w:pPr>
            <w:r>
              <w:rPr>
                <w:b/>
                <w:color w:val="000000"/>
                <w:sz w:val="20"/>
              </w:rPr>
              <w:t>292</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1569EE90" w14:textId="77777777" w:rsidR="00F8589C" w:rsidRPr="00861214" w:rsidRDefault="00F8589C" w:rsidP="00B33657">
            <w:pPr>
              <w:widowControl/>
              <w:jc w:val="right"/>
              <w:rPr>
                <w:b/>
                <w:bCs/>
                <w:color w:val="000000"/>
                <w:sz w:val="20"/>
                <w:szCs w:val="20"/>
              </w:rPr>
            </w:pPr>
            <w:r>
              <w:rPr>
                <w:b/>
                <w:color w:val="000000"/>
                <w:sz w:val="20"/>
              </w:rPr>
              <w:t>1 618</w:t>
            </w:r>
          </w:p>
        </w:tc>
      </w:tr>
      <w:tr w:rsidR="00F8589C" w:rsidRPr="00861214" w14:paraId="4676E61B" w14:textId="77777777" w:rsidTr="00C368FF">
        <w:trPr>
          <w:trHeight w:val="270"/>
        </w:trPr>
        <w:tc>
          <w:tcPr>
            <w:tcW w:w="4541" w:type="dxa"/>
            <w:tcBorders>
              <w:top w:val="single" w:sz="4" w:space="0" w:color="auto"/>
              <w:left w:val="single" w:sz="4" w:space="0" w:color="auto"/>
              <w:bottom w:val="single" w:sz="4" w:space="0" w:color="auto"/>
              <w:right w:val="nil"/>
            </w:tcBorders>
            <w:shd w:val="clear" w:color="auto" w:fill="auto"/>
            <w:noWrap/>
            <w:vAlign w:val="center"/>
            <w:hideMark/>
          </w:tcPr>
          <w:p w14:paraId="27E79391" w14:textId="77777777" w:rsidR="00F8589C" w:rsidRPr="00861214" w:rsidRDefault="00F8589C" w:rsidP="00B33657">
            <w:pPr>
              <w:widowControl/>
              <w:rPr>
                <w:sz w:val="20"/>
                <w:szCs w:val="20"/>
              </w:rPr>
            </w:pPr>
            <w:r>
              <w:rPr>
                <w:sz w:val="20"/>
              </w:rPr>
              <w:t>Salarios, gastos sociales y otras prestaciones laborales</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7A14FCDC" w14:textId="77777777" w:rsidR="00F8589C" w:rsidRPr="00861214" w:rsidRDefault="00F8589C" w:rsidP="00B33657">
            <w:pPr>
              <w:widowControl/>
              <w:jc w:val="right"/>
              <w:rPr>
                <w:sz w:val="20"/>
                <w:szCs w:val="20"/>
              </w:rPr>
            </w:pPr>
            <w:r>
              <w:rPr>
                <w:sz w:val="20"/>
              </w:rPr>
              <w:t>1 249</w:t>
            </w:r>
          </w:p>
        </w:tc>
        <w:tc>
          <w:tcPr>
            <w:tcW w:w="1381" w:type="dxa"/>
            <w:tcBorders>
              <w:top w:val="nil"/>
              <w:left w:val="nil"/>
              <w:bottom w:val="single" w:sz="4" w:space="0" w:color="auto"/>
              <w:right w:val="single" w:sz="4" w:space="0" w:color="auto"/>
            </w:tcBorders>
            <w:shd w:val="clear" w:color="auto" w:fill="auto"/>
            <w:noWrap/>
            <w:vAlign w:val="center"/>
            <w:hideMark/>
          </w:tcPr>
          <w:p w14:paraId="1235864D" w14:textId="77777777" w:rsidR="00F8589C" w:rsidRPr="00861214" w:rsidRDefault="00F8589C" w:rsidP="00B33657">
            <w:pPr>
              <w:widowControl/>
              <w:jc w:val="right"/>
              <w:rPr>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2A6DED8C" w14:textId="77777777" w:rsidR="00F8589C" w:rsidRPr="00861214" w:rsidRDefault="00F8589C" w:rsidP="00B33657">
            <w:pPr>
              <w:widowControl/>
              <w:jc w:val="right"/>
              <w:rPr>
                <w:color w:val="000000"/>
                <w:sz w:val="20"/>
                <w:szCs w:val="20"/>
              </w:rPr>
            </w:pPr>
            <w:r>
              <w:rPr>
                <w:color w:val="000000"/>
                <w:sz w:val="20"/>
              </w:rPr>
              <w:t>177</w:t>
            </w:r>
          </w:p>
        </w:tc>
        <w:tc>
          <w:tcPr>
            <w:tcW w:w="1381" w:type="dxa"/>
            <w:tcBorders>
              <w:top w:val="nil"/>
              <w:left w:val="nil"/>
              <w:bottom w:val="single" w:sz="4" w:space="0" w:color="auto"/>
              <w:right w:val="single" w:sz="4" w:space="0" w:color="auto"/>
            </w:tcBorders>
            <w:shd w:val="clear" w:color="auto" w:fill="auto"/>
            <w:noWrap/>
            <w:vAlign w:val="center"/>
            <w:hideMark/>
          </w:tcPr>
          <w:p w14:paraId="563EE8D4" w14:textId="77777777" w:rsidR="00F8589C" w:rsidRPr="00861214" w:rsidRDefault="00F8589C" w:rsidP="00B33657">
            <w:pPr>
              <w:widowControl/>
              <w:jc w:val="right"/>
              <w:rPr>
                <w:color w:val="000000"/>
                <w:sz w:val="20"/>
                <w:szCs w:val="20"/>
              </w:rPr>
            </w:pPr>
            <w:r>
              <w:rPr>
                <w:color w:val="000000"/>
                <w:sz w:val="20"/>
              </w:rPr>
              <w:t>1 426</w:t>
            </w:r>
          </w:p>
        </w:tc>
      </w:tr>
      <w:tr w:rsidR="00F8589C" w:rsidRPr="00861214" w14:paraId="4DF90216" w14:textId="77777777" w:rsidTr="00C368FF">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67286" w14:textId="77777777" w:rsidR="00F8589C" w:rsidRPr="00861214" w:rsidRDefault="00F8589C" w:rsidP="00B33657">
            <w:pPr>
              <w:widowControl/>
              <w:rPr>
                <w:sz w:val="20"/>
                <w:szCs w:val="20"/>
              </w:rPr>
            </w:pPr>
            <w:r>
              <w:rPr>
                <w:sz w:val="20"/>
              </w:rPr>
              <w:t>Viajes</w:t>
            </w:r>
          </w:p>
        </w:tc>
        <w:tc>
          <w:tcPr>
            <w:tcW w:w="1381" w:type="dxa"/>
            <w:tcBorders>
              <w:top w:val="nil"/>
              <w:left w:val="nil"/>
              <w:bottom w:val="single" w:sz="4" w:space="0" w:color="auto"/>
              <w:right w:val="single" w:sz="4" w:space="0" w:color="auto"/>
            </w:tcBorders>
            <w:shd w:val="clear" w:color="auto" w:fill="auto"/>
            <w:noWrap/>
            <w:vAlign w:val="center"/>
            <w:hideMark/>
          </w:tcPr>
          <w:p w14:paraId="27445AEB" w14:textId="77777777" w:rsidR="00F8589C" w:rsidRPr="00861214" w:rsidRDefault="00F8589C" w:rsidP="00B33657">
            <w:pPr>
              <w:widowControl/>
              <w:jc w:val="right"/>
              <w:rPr>
                <w:sz w:val="20"/>
                <w:szCs w:val="20"/>
              </w:rPr>
            </w:pPr>
            <w:r>
              <w:rPr>
                <w:sz w:val="20"/>
              </w:rPr>
              <w:t>67</w:t>
            </w:r>
          </w:p>
        </w:tc>
        <w:tc>
          <w:tcPr>
            <w:tcW w:w="1381" w:type="dxa"/>
            <w:tcBorders>
              <w:top w:val="nil"/>
              <w:left w:val="nil"/>
              <w:bottom w:val="single" w:sz="4" w:space="0" w:color="auto"/>
              <w:right w:val="single" w:sz="4" w:space="0" w:color="auto"/>
            </w:tcBorders>
            <w:shd w:val="clear" w:color="auto" w:fill="auto"/>
            <w:noWrap/>
            <w:vAlign w:val="center"/>
            <w:hideMark/>
          </w:tcPr>
          <w:p w14:paraId="0460B3DB" w14:textId="77777777" w:rsidR="00F8589C" w:rsidRPr="00861214" w:rsidRDefault="00F8589C" w:rsidP="00B33657">
            <w:pPr>
              <w:widowControl/>
              <w:jc w:val="right"/>
              <w:rPr>
                <w:sz w:val="20"/>
                <w:szCs w:val="20"/>
              </w:rPr>
            </w:pPr>
            <w:r>
              <w:rPr>
                <w:sz w:val="20"/>
              </w:rPr>
              <w:t>10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0CE07ACE" w14:textId="77777777" w:rsidR="00F8589C" w:rsidRPr="00861214" w:rsidRDefault="00F8589C" w:rsidP="00B33657">
            <w:pPr>
              <w:widowControl/>
              <w:jc w:val="right"/>
              <w:rPr>
                <w:color w:val="000000"/>
                <w:sz w:val="20"/>
                <w:szCs w:val="20"/>
              </w:rPr>
            </w:pPr>
            <w:r>
              <w:rPr>
                <w:color w:val="000000"/>
                <w:sz w:val="20"/>
              </w:rPr>
              <w:t>19</w:t>
            </w:r>
          </w:p>
        </w:tc>
        <w:tc>
          <w:tcPr>
            <w:tcW w:w="1381" w:type="dxa"/>
            <w:tcBorders>
              <w:top w:val="nil"/>
              <w:left w:val="nil"/>
              <w:bottom w:val="single" w:sz="4" w:space="0" w:color="auto"/>
              <w:right w:val="single" w:sz="4" w:space="0" w:color="auto"/>
            </w:tcBorders>
            <w:shd w:val="clear" w:color="auto" w:fill="auto"/>
            <w:noWrap/>
            <w:vAlign w:val="center"/>
            <w:hideMark/>
          </w:tcPr>
          <w:p w14:paraId="1AD3E4B0" w14:textId="77777777" w:rsidR="00F8589C" w:rsidRPr="00861214" w:rsidRDefault="00F8589C" w:rsidP="00B33657">
            <w:pPr>
              <w:widowControl/>
              <w:jc w:val="right"/>
              <w:rPr>
                <w:color w:val="000000"/>
                <w:sz w:val="20"/>
                <w:szCs w:val="20"/>
              </w:rPr>
            </w:pPr>
            <w:r>
              <w:rPr>
                <w:color w:val="000000"/>
                <w:sz w:val="20"/>
              </w:rPr>
              <w:t>96</w:t>
            </w:r>
          </w:p>
        </w:tc>
      </w:tr>
      <w:tr w:rsidR="00F8589C" w:rsidRPr="00861214" w14:paraId="6014F895" w14:textId="77777777" w:rsidTr="00C368FF">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64D1F123" w14:textId="77777777" w:rsidR="00F8589C" w:rsidRPr="00861214" w:rsidRDefault="00F8589C" w:rsidP="00B33657">
            <w:pPr>
              <w:widowControl/>
              <w:rPr>
                <w:sz w:val="20"/>
                <w:szCs w:val="20"/>
              </w:rPr>
            </w:pPr>
            <w:r>
              <w:rPr>
                <w:sz w:val="20"/>
              </w:rPr>
              <w:t>Misiones Ramsar de Asesoramiento</w:t>
            </w:r>
          </w:p>
        </w:tc>
        <w:tc>
          <w:tcPr>
            <w:tcW w:w="1381" w:type="dxa"/>
            <w:tcBorders>
              <w:top w:val="nil"/>
              <w:left w:val="nil"/>
              <w:bottom w:val="single" w:sz="4" w:space="0" w:color="auto"/>
              <w:right w:val="single" w:sz="4" w:space="0" w:color="auto"/>
            </w:tcBorders>
            <w:shd w:val="clear" w:color="auto" w:fill="auto"/>
            <w:noWrap/>
            <w:vAlign w:val="center"/>
            <w:hideMark/>
          </w:tcPr>
          <w:p w14:paraId="651CC22D" w14:textId="77777777" w:rsidR="00F8589C" w:rsidRPr="00861214" w:rsidRDefault="00F8589C" w:rsidP="00B33657">
            <w:pPr>
              <w:widowControl/>
              <w:jc w:val="right"/>
              <w:rPr>
                <w:sz w:val="20"/>
                <w:szCs w:val="20"/>
              </w:rPr>
            </w:pPr>
            <w:r>
              <w:rPr>
                <w:sz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1B5218DC" w14:textId="77777777" w:rsidR="00F8589C" w:rsidRPr="00861214" w:rsidRDefault="00F8589C" w:rsidP="00B33657">
            <w:pPr>
              <w:widowControl/>
              <w:jc w:val="right"/>
              <w:rPr>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790619A" w14:textId="77777777" w:rsidR="00F8589C" w:rsidRPr="00861214" w:rsidRDefault="00F8589C" w:rsidP="00B33657">
            <w:pPr>
              <w:widowControl/>
              <w:jc w:val="right"/>
              <w:rPr>
                <w:color w:val="000000"/>
                <w:sz w:val="20"/>
                <w:szCs w:val="20"/>
              </w:rPr>
            </w:pPr>
            <w:r>
              <w:rPr>
                <w:color w:val="000000"/>
                <w:sz w:val="20"/>
              </w:rPr>
              <w:t>96</w:t>
            </w:r>
          </w:p>
        </w:tc>
        <w:tc>
          <w:tcPr>
            <w:tcW w:w="1381" w:type="dxa"/>
            <w:tcBorders>
              <w:top w:val="nil"/>
              <w:left w:val="nil"/>
              <w:bottom w:val="single" w:sz="4" w:space="0" w:color="auto"/>
              <w:right w:val="single" w:sz="4" w:space="0" w:color="auto"/>
            </w:tcBorders>
            <w:shd w:val="clear" w:color="auto" w:fill="auto"/>
            <w:noWrap/>
            <w:vAlign w:val="center"/>
            <w:hideMark/>
          </w:tcPr>
          <w:p w14:paraId="38FD14D5" w14:textId="77777777" w:rsidR="00F8589C" w:rsidRPr="00861214" w:rsidRDefault="00F8589C" w:rsidP="00B33657">
            <w:pPr>
              <w:widowControl/>
              <w:jc w:val="right"/>
              <w:rPr>
                <w:color w:val="000000"/>
                <w:sz w:val="20"/>
                <w:szCs w:val="20"/>
              </w:rPr>
            </w:pPr>
            <w:r>
              <w:rPr>
                <w:color w:val="000000"/>
                <w:sz w:val="20"/>
              </w:rPr>
              <w:t>96</w:t>
            </w:r>
          </w:p>
        </w:tc>
      </w:tr>
      <w:tr w:rsidR="00F8589C" w:rsidRPr="00861214" w14:paraId="5377E36D" w14:textId="77777777" w:rsidTr="00C368FF">
        <w:trPr>
          <w:trHeight w:val="270"/>
        </w:trPr>
        <w:tc>
          <w:tcPr>
            <w:tcW w:w="4541" w:type="dxa"/>
            <w:tcBorders>
              <w:top w:val="nil"/>
              <w:left w:val="single" w:sz="4" w:space="0" w:color="auto"/>
              <w:bottom w:val="single" w:sz="4" w:space="0" w:color="auto"/>
              <w:right w:val="single" w:sz="4" w:space="0" w:color="auto"/>
            </w:tcBorders>
            <w:shd w:val="clear" w:color="000000" w:fill="EAF1DD"/>
            <w:vAlign w:val="center"/>
            <w:hideMark/>
          </w:tcPr>
          <w:p w14:paraId="1F9157BA" w14:textId="77777777" w:rsidR="00F8589C" w:rsidRPr="00861214" w:rsidRDefault="00F8589C" w:rsidP="00B33657">
            <w:pPr>
              <w:widowControl/>
              <w:rPr>
                <w:sz w:val="20"/>
                <w:szCs w:val="20"/>
              </w:rPr>
            </w:pPr>
            <w:r>
              <w:rPr>
                <w:sz w:val="20"/>
              </w:rPr>
              <w:t>D.  Apoyo a las iniciativas regionales</w:t>
            </w:r>
          </w:p>
        </w:tc>
        <w:tc>
          <w:tcPr>
            <w:tcW w:w="1381" w:type="dxa"/>
            <w:tcBorders>
              <w:top w:val="nil"/>
              <w:left w:val="nil"/>
              <w:bottom w:val="single" w:sz="4" w:space="0" w:color="auto"/>
              <w:right w:val="single" w:sz="4" w:space="0" w:color="auto"/>
            </w:tcBorders>
            <w:shd w:val="clear" w:color="000000" w:fill="EAF1DD"/>
            <w:noWrap/>
            <w:vAlign w:val="center"/>
            <w:hideMark/>
          </w:tcPr>
          <w:p w14:paraId="25DF4E1E" w14:textId="77777777" w:rsidR="00F8589C" w:rsidRPr="00861214" w:rsidRDefault="00F8589C" w:rsidP="00B33657">
            <w:pPr>
              <w:widowControl/>
              <w:jc w:val="right"/>
              <w:rPr>
                <w:b/>
                <w:bCs/>
                <w:sz w:val="20"/>
                <w:szCs w:val="20"/>
              </w:rPr>
            </w:pPr>
            <w:r>
              <w:rPr>
                <w:b/>
                <w:sz w:val="20"/>
              </w:rPr>
              <w:t>100</w:t>
            </w:r>
          </w:p>
        </w:tc>
        <w:tc>
          <w:tcPr>
            <w:tcW w:w="1381" w:type="dxa"/>
            <w:tcBorders>
              <w:top w:val="nil"/>
              <w:left w:val="nil"/>
              <w:bottom w:val="single" w:sz="4" w:space="0" w:color="auto"/>
              <w:right w:val="single" w:sz="4" w:space="0" w:color="auto"/>
            </w:tcBorders>
            <w:shd w:val="clear" w:color="000000" w:fill="EAF1DD"/>
            <w:noWrap/>
            <w:vAlign w:val="center"/>
            <w:hideMark/>
          </w:tcPr>
          <w:p w14:paraId="02C49CAF" w14:textId="77777777" w:rsidR="00F8589C" w:rsidRPr="00861214" w:rsidRDefault="00F8589C" w:rsidP="00B33657">
            <w:pPr>
              <w:widowControl/>
              <w:jc w:val="right"/>
              <w:rPr>
                <w:b/>
                <w:bCs/>
                <w:sz w:val="20"/>
                <w:szCs w:val="20"/>
              </w:rPr>
            </w:pPr>
            <w:r>
              <w:rPr>
                <w:b/>
                <w:sz w:val="20"/>
              </w:rPr>
              <w:t>0</w:t>
            </w:r>
          </w:p>
        </w:tc>
        <w:tc>
          <w:tcPr>
            <w:tcW w:w="1381" w:type="dxa"/>
            <w:tcBorders>
              <w:top w:val="nil"/>
              <w:left w:val="single" w:sz="4" w:space="0" w:color="auto"/>
              <w:bottom w:val="single" w:sz="4" w:space="0" w:color="auto"/>
              <w:right w:val="single" w:sz="4" w:space="0" w:color="auto"/>
            </w:tcBorders>
            <w:shd w:val="clear" w:color="000000" w:fill="EAF1DD"/>
            <w:noWrap/>
            <w:vAlign w:val="center"/>
            <w:hideMark/>
          </w:tcPr>
          <w:p w14:paraId="4BBB9980" w14:textId="77777777" w:rsidR="00F8589C" w:rsidRPr="00861214" w:rsidRDefault="00F8589C" w:rsidP="00B33657">
            <w:pPr>
              <w:widowControl/>
              <w:jc w:val="right"/>
              <w:rPr>
                <w:b/>
                <w:bCs/>
                <w:color w:val="000000"/>
                <w:sz w:val="20"/>
                <w:szCs w:val="20"/>
              </w:rPr>
            </w:pPr>
            <w:r>
              <w:rPr>
                <w:b/>
                <w:color w:val="000000"/>
                <w:sz w:val="20"/>
              </w:rPr>
              <w:t>120</w:t>
            </w:r>
          </w:p>
        </w:tc>
        <w:tc>
          <w:tcPr>
            <w:tcW w:w="1381" w:type="dxa"/>
            <w:tcBorders>
              <w:top w:val="nil"/>
              <w:left w:val="nil"/>
              <w:bottom w:val="single" w:sz="4" w:space="0" w:color="auto"/>
              <w:right w:val="single" w:sz="4" w:space="0" w:color="auto"/>
            </w:tcBorders>
            <w:shd w:val="clear" w:color="000000" w:fill="EAF1DD"/>
            <w:noWrap/>
            <w:vAlign w:val="center"/>
            <w:hideMark/>
          </w:tcPr>
          <w:p w14:paraId="76FC989E" w14:textId="77777777" w:rsidR="00F8589C" w:rsidRPr="00861214" w:rsidRDefault="00F8589C" w:rsidP="00B33657">
            <w:pPr>
              <w:widowControl/>
              <w:jc w:val="right"/>
              <w:rPr>
                <w:b/>
                <w:bCs/>
                <w:color w:val="000000"/>
                <w:sz w:val="20"/>
                <w:szCs w:val="20"/>
              </w:rPr>
            </w:pPr>
            <w:r>
              <w:rPr>
                <w:b/>
                <w:color w:val="000000"/>
                <w:sz w:val="20"/>
              </w:rPr>
              <w:t>220</w:t>
            </w:r>
          </w:p>
        </w:tc>
      </w:tr>
      <w:tr w:rsidR="00F8589C" w:rsidRPr="00861214" w14:paraId="1F037294" w14:textId="77777777" w:rsidTr="00C368FF">
        <w:trPr>
          <w:trHeight w:val="270"/>
        </w:trPr>
        <w:tc>
          <w:tcPr>
            <w:tcW w:w="4541" w:type="dxa"/>
            <w:tcBorders>
              <w:top w:val="nil"/>
              <w:left w:val="single" w:sz="4" w:space="0" w:color="auto"/>
              <w:bottom w:val="single" w:sz="4" w:space="0" w:color="auto"/>
              <w:right w:val="nil"/>
            </w:tcBorders>
            <w:shd w:val="clear" w:color="auto" w:fill="auto"/>
            <w:noWrap/>
            <w:vAlign w:val="center"/>
            <w:hideMark/>
          </w:tcPr>
          <w:p w14:paraId="356C45B3" w14:textId="088FB12F" w:rsidR="00F8589C" w:rsidRPr="00B509BF" w:rsidRDefault="00F8589C" w:rsidP="00B33657">
            <w:pPr>
              <w:widowControl/>
              <w:rPr>
                <w:sz w:val="20"/>
                <w:szCs w:val="20"/>
                <w:highlight w:val="yellow"/>
              </w:rPr>
            </w:pPr>
            <w:r>
              <w:rPr>
                <w:sz w:val="20"/>
                <w:highlight w:val="yellow"/>
              </w:rPr>
              <w:t>Redes y centros regionales: Presupuesto disponible que no se asignó en 2024</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15BAC583" w14:textId="0B8D02C9" w:rsidR="00F8589C" w:rsidRPr="00B509BF" w:rsidRDefault="00F8589C" w:rsidP="00B33657">
            <w:pPr>
              <w:widowControl/>
              <w:jc w:val="right"/>
              <w:rPr>
                <w:sz w:val="20"/>
                <w:szCs w:val="20"/>
                <w:highlight w:val="yellow"/>
              </w:rPr>
            </w:pPr>
            <w:r>
              <w:rPr>
                <w:sz w:val="20"/>
                <w:highlight w:val="yellow"/>
              </w:rPr>
              <w:t>71</w:t>
            </w:r>
          </w:p>
        </w:tc>
        <w:tc>
          <w:tcPr>
            <w:tcW w:w="1381" w:type="dxa"/>
            <w:tcBorders>
              <w:top w:val="nil"/>
              <w:left w:val="nil"/>
              <w:bottom w:val="single" w:sz="4" w:space="0" w:color="auto"/>
              <w:right w:val="single" w:sz="4" w:space="0" w:color="auto"/>
            </w:tcBorders>
            <w:shd w:val="clear" w:color="auto" w:fill="auto"/>
            <w:noWrap/>
            <w:vAlign w:val="center"/>
            <w:hideMark/>
          </w:tcPr>
          <w:p w14:paraId="3937F221" w14:textId="77777777" w:rsidR="00F8589C" w:rsidRPr="00B509BF" w:rsidRDefault="00F8589C" w:rsidP="00B33657">
            <w:pPr>
              <w:widowControl/>
              <w:jc w:val="right"/>
              <w:rPr>
                <w:sz w:val="20"/>
                <w:szCs w:val="20"/>
                <w:highlight w:val="yellow"/>
              </w:rPr>
            </w:pPr>
            <w:r>
              <w:rPr>
                <w:sz w:val="20"/>
                <w:highlight w:val="yellow"/>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250B707" w14:textId="77777777" w:rsidR="00F8589C" w:rsidRPr="00B509BF" w:rsidRDefault="00F8589C" w:rsidP="00B33657">
            <w:pPr>
              <w:widowControl/>
              <w:jc w:val="right"/>
              <w:rPr>
                <w:color w:val="000000"/>
                <w:sz w:val="20"/>
                <w:szCs w:val="20"/>
                <w:highlight w:val="yellow"/>
              </w:rPr>
            </w:pPr>
            <w:r>
              <w:rPr>
                <w:color w:val="000000"/>
                <w:sz w:val="20"/>
                <w:highlight w:val="yellow"/>
              </w:rPr>
              <w:t>84</w:t>
            </w:r>
          </w:p>
        </w:tc>
        <w:tc>
          <w:tcPr>
            <w:tcW w:w="1381" w:type="dxa"/>
            <w:tcBorders>
              <w:top w:val="nil"/>
              <w:left w:val="nil"/>
              <w:bottom w:val="single" w:sz="4" w:space="0" w:color="auto"/>
              <w:right w:val="single" w:sz="4" w:space="0" w:color="auto"/>
            </w:tcBorders>
            <w:shd w:val="clear" w:color="auto" w:fill="auto"/>
            <w:noWrap/>
            <w:vAlign w:val="center"/>
            <w:hideMark/>
          </w:tcPr>
          <w:p w14:paraId="5D8A559E" w14:textId="3BB0A107" w:rsidR="00F8589C" w:rsidRPr="00B509BF" w:rsidRDefault="00F8589C" w:rsidP="00B33657">
            <w:pPr>
              <w:widowControl/>
              <w:jc w:val="right"/>
              <w:rPr>
                <w:color w:val="000000"/>
                <w:sz w:val="20"/>
                <w:szCs w:val="20"/>
                <w:highlight w:val="yellow"/>
              </w:rPr>
            </w:pPr>
            <w:r>
              <w:rPr>
                <w:color w:val="000000"/>
                <w:sz w:val="20"/>
                <w:highlight w:val="yellow"/>
              </w:rPr>
              <w:t>155</w:t>
            </w:r>
          </w:p>
        </w:tc>
      </w:tr>
      <w:tr w:rsidR="00F8589C" w:rsidRPr="00861214" w14:paraId="24EB53C0" w14:textId="77777777" w:rsidTr="00C368FF">
        <w:trPr>
          <w:trHeight w:val="270"/>
        </w:trPr>
        <w:tc>
          <w:tcPr>
            <w:tcW w:w="4541" w:type="dxa"/>
            <w:tcBorders>
              <w:top w:val="nil"/>
              <w:left w:val="single" w:sz="4" w:space="0" w:color="auto"/>
              <w:bottom w:val="single" w:sz="4" w:space="0" w:color="auto"/>
              <w:right w:val="nil"/>
            </w:tcBorders>
            <w:shd w:val="clear" w:color="auto" w:fill="auto"/>
            <w:noWrap/>
            <w:vAlign w:val="center"/>
          </w:tcPr>
          <w:p w14:paraId="1C400419" w14:textId="47367D10" w:rsidR="00F8589C" w:rsidRPr="00B509BF" w:rsidRDefault="00F8589C" w:rsidP="00B33657">
            <w:pPr>
              <w:widowControl/>
              <w:rPr>
                <w:sz w:val="20"/>
                <w:szCs w:val="20"/>
                <w:highlight w:val="yellow"/>
              </w:rPr>
            </w:pPr>
            <w:r>
              <w:rPr>
                <w:sz w:val="20"/>
                <w:highlight w:val="yellow"/>
              </w:rPr>
              <w:t>Iniciativa regional de Ramsar Danube WILDisland, 2024</w:t>
            </w:r>
          </w:p>
        </w:tc>
        <w:tc>
          <w:tcPr>
            <w:tcW w:w="1381" w:type="dxa"/>
            <w:tcBorders>
              <w:top w:val="nil"/>
              <w:left w:val="single" w:sz="4" w:space="0" w:color="auto"/>
              <w:bottom w:val="single" w:sz="4" w:space="0" w:color="auto"/>
              <w:right w:val="single" w:sz="4" w:space="0" w:color="auto"/>
            </w:tcBorders>
            <w:shd w:val="clear" w:color="auto" w:fill="auto"/>
            <w:noWrap/>
            <w:vAlign w:val="center"/>
          </w:tcPr>
          <w:p w14:paraId="5EE9EC1A" w14:textId="17E499D2" w:rsidR="00F8589C" w:rsidRPr="00B509BF" w:rsidRDefault="00F8589C" w:rsidP="00B33657">
            <w:pPr>
              <w:widowControl/>
              <w:jc w:val="right"/>
              <w:rPr>
                <w:sz w:val="20"/>
                <w:szCs w:val="20"/>
                <w:highlight w:val="yellow"/>
              </w:rPr>
            </w:pPr>
            <w:r>
              <w:rPr>
                <w:sz w:val="20"/>
                <w:highlight w:val="yellow"/>
              </w:rPr>
              <w:t>29</w:t>
            </w:r>
          </w:p>
        </w:tc>
        <w:tc>
          <w:tcPr>
            <w:tcW w:w="1381" w:type="dxa"/>
            <w:tcBorders>
              <w:top w:val="nil"/>
              <w:left w:val="nil"/>
              <w:bottom w:val="single" w:sz="4" w:space="0" w:color="auto"/>
              <w:right w:val="single" w:sz="4" w:space="0" w:color="auto"/>
            </w:tcBorders>
            <w:shd w:val="clear" w:color="auto" w:fill="auto"/>
            <w:noWrap/>
            <w:vAlign w:val="center"/>
          </w:tcPr>
          <w:p w14:paraId="4F13840D" w14:textId="37EDC689" w:rsidR="00F8589C" w:rsidRPr="00B509BF" w:rsidRDefault="00F8589C" w:rsidP="00B33657">
            <w:pPr>
              <w:widowControl/>
              <w:jc w:val="right"/>
              <w:rPr>
                <w:sz w:val="20"/>
                <w:szCs w:val="20"/>
                <w:highlight w:val="yellow"/>
              </w:rPr>
            </w:pPr>
            <w:r>
              <w:rPr>
                <w:sz w:val="20"/>
                <w:highlight w:val="yellow"/>
              </w:rPr>
              <w:t>0</w:t>
            </w:r>
          </w:p>
        </w:tc>
        <w:tc>
          <w:tcPr>
            <w:tcW w:w="1381" w:type="dxa"/>
            <w:tcBorders>
              <w:top w:val="nil"/>
              <w:left w:val="single" w:sz="4" w:space="0" w:color="auto"/>
              <w:bottom w:val="single" w:sz="4" w:space="0" w:color="auto"/>
              <w:right w:val="single" w:sz="4" w:space="0" w:color="auto"/>
            </w:tcBorders>
            <w:shd w:val="clear" w:color="auto" w:fill="auto"/>
            <w:noWrap/>
            <w:vAlign w:val="center"/>
          </w:tcPr>
          <w:p w14:paraId="3ABDC210" w14:textId="37E646EB" w:rsidR="00F8589C" w:rsidRPr="00B509BF" w:rsidRDefault="00F8589C" w:rsidP="00B33657">
            <w:pPr>
              <w:widowControl/>
              <w:jc w:val="right"/>
              <w:rPr>
                <w:color w:val="000000"/>
                <w:sz w:val="20"/>
                <w:szCs w:val="20"/>
                <w:highlight w:val="yellow"/>
              </w:rPr>
            </w:pPr>
            <w:r>
              <w:rPr>
                <w:color w:val="000000"/>
                <w:sz w:val="20"/>
                <w:highlight w:val="yellow"/>
              </w:rPr>
              <w:t>0</w:t>
            </w:r>
          </w:p>
        </w:tc>
        <w:tc>
          <w:tcPr>
            <w:tcW w:w="1381" w:type="dxa"/>
            <w:tcBorders>
              <w:top w:val="nil"/>
              <w:left w:val="nil"/>
              <w:bottom w:val="single" w:sz="4" w:space="0" w:color="auto"/>
              <w:right w:val="single" w:sz="4" w:space="0" w:color="auto"/>
            </w:tcBorders>
            <w:shd w:val="clear" w:color="auto" w:fill="auto"/>
            <w:noWrap/>
            <w:vAlign w:val="center"/>
          </w:tcPr>
          <w:p w14:paraId="1CCAA366" w14:textId="3BEB3F0B" w:rsidR="00F8589C" w:rsidRPr="00B509BF" w:rsidRDefault="00F8589C" w:rsidP="00B33657">
            <w:pPr>
              <w:widowControl/>
              <w:jc w:val="right"/>
              <w:rPr>
                <w:color w:val="000000"/>
                <w:sz w:val="20"/>
                <w:szCs w:val="20"/>
                <w:highlight w:val="yellow"/>
              </w:rPr>
            </w:pPr>
            <w:r>
              <w:rPr>
                <w:color w:val="000000"/>
                <w:sz w:val="20"/>
                <w:highlight w:val="yellow"/>
              </w:rPr>
              <w:t>29</w:t>
            </w:r>
          </w:p>
        </w:tc>
      </w:tr>
      <w:tr w:rsidR="00F8589C" w:rsidRPr="00861214" w14:paraId="14BA5B85" w14:textId="77777777" w:rsidTr="00C368FF">
        <w:trPr>
          <w:trHeight w:val="270"/>
        </w:trPr>
        <w:tc>
          <w:tcPr>
            <w:tcW w:w="4541" w:type="dxa"/>
            <w:tcBorders>
              <w:top w:val="nil"/>
              <w:left w:val="single" w:sz="4" w:space="0" w:color="auto"/>
              <w:bottom w:val="single" w:sz="4" w:space="0" w:color="auto"/>
              <w:right w:val="nil"/>
            </w:tcBorders>
            <w:shd w:val="clear" w:color="auto" w:fill="auto"/>
            <w:noWrap/>
            <w:vAlign w:val="center"/>
          </w:tcPr>
          <w:p w14:paraId="624F6BFC" w14:textId="77777777" w:rsidR="00F8589C" w:rsidRPr="00861214" w:rsidRDefault="00F8589C" w:rsidP="00B33657">
            <w:pPr>
              <w:widowControl/>
              <w:rPr>
                <w:sz w:val="20"/>
                <w:szCs w:val="20"/>
              </w:rPr>
            </w:pPr>
            <w:r>
              <w:rPr>
                <w:sz w:val="20"/>
              </w:rPr>
              <w:t>Traspaso de las actividades de 2023 de las IRR de África meridional</w:t>
            </w:r>
          </w:p>
        </w:tc>
        <w:tc>
          <w:tcPr>
            <w:tcW w:w="1381" w:type="dxa"/>
            <w:tcBorders>
              <w:top w:val="nil"/>
              <w:left w:val="single" w:sz="4" w:space="0" w:color="auto"/>
              <w:bottom w:val="single" w:sz="4" w:space="0" w:color="auto"/>
              <w:right w:val="single" w:sz="4" w:space="0" w:color="auto"/>
            </w:tcBorders>
            <w:shd w:val="clear" w:color="auto" w:fill="auto"/>
            <w:noWrap/>
            <w:vAlign w:val="center"/>
          </w:tcPr>
          <w:p w14:paraId="1BEE82AF" w14:textId="77777777" w:rsidR="00F8589C" w:rsidRPr="00861214" w:rsidRDefault="00F8589C" w:rsidP="00B33657">
            <w:pPr>
              <w:widowControl/>
              <w:jc w:val="right"/>
              <w:rPr>
                <w:sz w:val="20"/>
                <w:szCs w:val="20"/>
              </w:rPr>
            </w:pPr>
            <w:r>
              <w:rPr>
                <w:sz w:val="20"/>
              </w:rPr>
              <w:t>0</w:t>
            </w:r>
          </w:p>
        </w:tc>
        <w:tc>
          <w:tcPr>
            <w:tcW w:w="1381" w:type="dxa"/>
            <w:tcBorders>
              <w:top w:val="nil"/>
              <w:left w:val="nil"/>
              <w:bottom w:val="single" w:sz="4" w:space="0" w:color="auto"/>
              <w:right w:val="single" w:sz="4" w:space="0" w:color="auto"/>
            </w:tcBorders>
            <w:shd w:val="clear" w:color="auto" w:fill="auto"/>
            <w:noWrap/>
            <w:vAlign w:val="center"/>
          </w:tcPr>
          <w:p w14:paraId="281828C6" w14:textId="77777777" w:rsidR="00F8589C" w:rsidRPr="00861214" w:rsidRDefault="00F8589C" w:rsidP="00B33657">
            <w:pPr>
              <w:widowControl/>
              <w:jc w:val="right"/>
              <w:rPr>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tcPr>
          <w:p w14:paraId="41E10C6C" w14:textId="77777777" w:rsidR="00F8589C" w:rsidRPr="00861214" w:rsidRDefault="00F8589C" w:rsidP="00B33657">
            <w:pPr>
              <w:widowControl/>
              <w:jc w:val="right"/>
              <w:rPr>
                <w:color w:val="000000"/>
                <w:sz w:val="20"/>
                <w:szCs w:val="20"/>
              </w:rPr>
            </w:pPr>
            <w:r>
              <w:rPr>
                <w:color w:val="000000"/>
                <w:sz w:val="20"/>
              </w:rPr>
              <w:t>12</w:t>
            </w:r>
          </w:p>
        </w:tc>
        <w:tc>
          <w:tcPr>
            <w:tcW w:w="1381" w:type="dxa"/>
            <w:tcBorders>
              <w:top w:val="nil"/>
              <w:left w:val="nil"/>
              <w:bottom w:val="single" w:sz="4" w:space="0" w:color="auto"/>
              <w:right w:val="single" w:sz="4" w:space="0" w:color="auto"/>
            </w:tcBorders>
            <w:shd w:val="clear" w:color="auto" w:fill="auto"/>
            <w:noWrap/>
            <w:vAlign w:val="center"/>
          </w:tcPr>
          <w:p w14:paraId="71A65290" w14:textId="77777777" w:rsidR="00F8589C" w:rsidRPr="00861214" w:rsidRDefault="00F8589C" w:rsidP="00B33657">
            <w:pPr>
              <w:widowControl/>
              <w:jc w:val="right"/>
              <w:rPr>
                <w:color w:val="000000"/>
                <w:sz w:val="20"/>
                <w:szCs w:val="20"/>
              </w:rPr>
            </w:pPr>
            <w:r>
              <w:rPr>
                <w:color w:val="000000"/>
                <w:sz w:val="20"/>
              </w:rPr>
              <w:t>12</w:t>
            </w:r>
          </w:p>
        </w:tc>
      </w:tr>
      <w:tr w:rsidR="00F8589C" w:rsidRPr="00861214" w14:paraId="768DBFF0" w14:textId="77777777" w:rsidTr="00C368FF">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4C55C4DF" w14:textId="77777777" w:rsidR="00F8589C" w:rsidRPr="00861214" w:rsidRDefault="00F8589C" w:rsidP="00B33657">
            <w:pPr>
              <w:widowControl/>
              <w:rPr>
                <w:sz w:val="20"/>
                <w:szCs w:val="20"/>
              </w:rPr>
            </w:pPr>
            <w:r>
              <w:rPr>
                <w:sz w:val="20"/>
              </w:rPr>
              <w:t>Cuenca del río Amazonas, traspaso de 2023</w:t>
            </w:r>
          </w:p>
        </w:tc>
        <w:tc>
          <w:tcPr>
            <w:tcW w:w="1381" w:type="dxa"/>
            <w:tcBorders>
              <w:top w:val="nil"/>
              <w:left w:val="nil"/>
              <w:bottom w:val="single" w:sz="4" w:space="0" w:color="auto"/>
              <w:right w:val="single" w:sz="4" w:space="0" w:color="auto"/>
            </w:tcBorders>
            <w:shd w:val="clear" w:color="auto" w:fill="auto"/>
            <w:noWrap/>
            <w:vAlign w:val="center"/>
            <w:hideMark/>
          </w:tcPr>
          <w:p w14:paraId="116E8AC3" w14:textId="77777777" w:rsidR="00F8589C" w:rsidRPr="00861214" w:rsidRDefault="00F8589C" w:rsidP="00B33657">
            <w:pPr>
              <w:widowControl/>
              <w:jc w:val="right"/>
              <w:rPr>
                <w:sz w:val="20"/>
                <w:szCs w:val="20"/>
              </w:rPr>
            </w:pPr>
            <w:r>
              <w:rPr>
                <w:sz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58CE15F5" w14:textId="77777777" w:rsidR="00F8589C" w:rsidRPr="00861214" w:rsidRDefault="00F8589C" w:rsidP="00B33657">
            <w:pPr>
              <w:widowControl/>
              <w:jc w:val="right"/>
              <w:rPr>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752D3DE7" w14:textId="77777777" w:rsidR="00F8589C" w:rsidRPr="00861214" w:rsidRDefault="00F8589C" w:rsidP="00B33657">
            <w:pPr>
              <w:widowControl/>
              <w:jc w:val="right"/>
              <w:rPr>
                <w:sz w:val="20"/>
                <w:szCs w:val="20"/>
              </w:rPr>
            </w:pPr>
            <w:r>
              <w:rPr>
                <w:sz w:val="20"/>
              </w:rPr>
              <w:t>24</w:t>
            </w:r>
          </w:p>
        </w:tc>
        <w:tc>
          <w:tcPr>
            <w:tcW w:w="1381" w:type="dxa"/>
            <w:tcBorders>
              <w:top w:val="nil"/>
              <w:left w:val="nil"/>
              <w:bottom w:val="single" w:sz="4" w:space="0" w:color="auto"/>
              <w:right w:val="single" w:sz="4" w:space="0" w:color="auto"/>
            </w:tcBorders>
            <w:shd w:val="clear" w:color="auto" w:fill="auto"/>
            <w:noWrap/>
            <w:vAlign w:val="center"/>
            <w:hideMark/>
          </w:tcPr>
          <w:p w14:paraId="63ACC851" w14:textId="77777777" w:rsidR="00F8589C" w:rsidRPr="00861214" w:rsidRDefault="00F8589C" w:rsidP="00B33657">
            <w:pPr>
              <w:widowControl/>
              <w:jc w:val="right"/>
              <w:rPr>
                <w:color w:val="000000"/>
                <w:sz w:val="20"/>
                <w:szCs w:val="20"/>
              </w:rPr>
            </w:pPr>
            <w:r>
              <w:rPr>
                <w:color w:val="000000"/>
                <w:sz w:val="20"/>
              </w:rPr>
              <w:t>24</w:t>
            </w:r>
          </w:p>
        </w:tc>
      </w:tr>
      <w:tr w:rsidR="00F8589C" w:rsidRPr="00861214" w14:paraId="74ED2564" w14:textId="77777777" w:rsidTr="00C368FF">
        <w:trPr>
          <w:trHeight w:val="270"/>
        </w:trPr>
        <w:tc>
          <w:tcPr>
            <w:tcW w:w="4541" w:type="dxa"/>
            <w:tcBorders>
              <w:top w:val="nil"/>
              <w:left w:val="single" w:sz="4" w:space="0" w:color="auto"/>
              <w:bottom w:val="single" w:sz="4" w:space="0" w:color="auto"/>
              <w:right w:val="single" w:sz="4" w:space="0" w:color="auto"/>
            </w:tcBorders>
            <w:shd w:val="clear" w:color="000000" w:fill="EAF1DD"/>
            <w:vAlign w:val="center"/>
            <w:hideMark/>
          </w:tcPr>
          <w:p w14:paraId="37094556" w14:textId="77777777" w:rsidR="00F8589C" w:rsidRPr="00861214" w:rsidRDefault="00F8589C" w:rsidP="00B33657">
            <w:pPr>
              <w:widowControl/>
              <w:rPr>
                <w:sz w:val="20"/>
                <w:szCs w:val="20"/>
              </w:rPr>
            </w:pPr>
            <w:r>
              <w:rPr>
                <w:sz w:val="20"/>
              </w:rPr>
              <w:t>E.  Servicios científicos y técnicos</w:t>
            </w:r>
          </w:p>
        </w:tc>
        <w:tc>
          <w:tcPr>
            <w:tcW w:w="1381" w:type="dxa"/>
            <w:tcBorders>
              <w:top w:val="nil"/>
              <w:left w:val="nil"/>
              <w:bottom w:val="single" w:sz="4" w:space="0" w:color="auto"/>
              <w:right w:val="single" w:sz="4" w:space="0" w:color="auto"/>
            </w:tcBorders>
            <w:shd w:val="clear" w:color="000000" w:fill="EAF1DD"/>
            <w:noWrap/>
            <w:vAlign w:val="center"/>
            <w:hideMark/>
          </w:tcPr>
          <w:p w14:paraId="79B5C47D" w14:textId="77777777" w:rsidR="00F8589C" w:rsidRPr="00861214" w:rsidRDefault="00F8589C" w:rsidP="00B33657">
            <w:pPr>
              <w:widowControl/>
              <w:jc w:val="right"/>
              <w:rPr>
                <w:b/>
                <w:bCs/>
                <w:sz w:val="20"/>
                <w:szCs w:val="20"/>
              </w:rPr>
            </w:pPr>
            <w:r>
              <w:rPr>
                <w:b/>
                <w:sz w:val="20"/>
              </w:rPr>
              <w:t>817</w:t>
            </w:r>
          </w:p>
        </w:tc>
        <w:tc>
          <w:tcPr>
            <w:tcW w:w="1381" w:type="dxa"/>
            <w:tcBorders>
              <w:top w:val="nil"/>
              <w:left w:val="nil"/>
              <w:bottom w:val="single" w:sz="4" w:space="0" w:color="auto"/>
              <w:right w:val="single" w:sz="4" w:space="0" w:color="auto"/>
            </w:tcBorders>
            <w:shd w:val="clear" w:color="000000" w:fill="EAF1DD"/>
            <w:noWrap/>
            <w:vAlign w:val="center"/>
            <w:hideMark/>
          </w:tcPr>
          <w:p w14:paraId="4D3FDDDB" w14:textId="77777777" w:rsidR="00F8589C" w:rsidRPr="00861214" w:rsidRDefault="00F8589C" w:rsidP="00B33657">
            <w:pPr>
              <w:widowControl/>
              <w:jc w:val="right"/>
              <w:rPr>
                <w:b/>
                <w:bCs/>
                <w:sz w:val="20"/>
                <w:szCs w:val="20"/>
              </w:rPr>
            </w:pPr>
            <w:r>
              <w:rPr>
                <w:b/>
                <w:sz w:val="20"/>
              </w:rPr>
              <w:t>5</w:t>
            </w:r>
          </w:p>
        </w:tc>
        <w:tc>
          <w:tcPr>
            <w:tcW w:w="1381" w:type="dxa"/>
            <w:tcBorders>
              <w:top w:val="nil"/>
              <w:left w:val="single" w:sz="4" w:space="0" w:color="auto"/>
              <w:bottom w:val="single" w:sz="4" w:space="0" w:color="auto"/>
              <w:right w:val="single" w:sz="4" w:space="0" w:color="auto"/>
            </w:tcBorders>
            <w:shd w:val="clear" w:color="000000" w:fill="EAF1DD"/>
            <w:noWrap/>
            <w:vAlign w:val="center"/>
            <w:hideMark/>
          </w:tcPr>
          <w:p w14:paraId="262EEA82" w14:textId="77777777" w:rsidR="00F8589C" w:rsidRPr="00861214" w:rsidRDefault="00F8589C" w:rsidP="00B33657">
            <w:pPr>
              <w:widowControl/>
              <w:jc w:val="right"/>
              <w:rPr>
                <w:b/>
                <w:bCs/>
                <w:color w:val="000000"/>
                <w:sz w:val="20"/>
                <w:szCs w:val="20"/>
              </w:rPr>
            </w:pPr>
            <w:r>
              <w:rPr>
                <w:b/>
                <w:color w:val="000000"/>
                <w:sz w:val="20"/>
              </w:rPr>
              <w:t>373</w:t>
            </w:r>
          </w:p>
        </w:tc>
        <w:tc>
          <w:tcPr>
            <w:tcW w:w="1381" w:type="dxa"/>
            <w:tcBorders>
              <w:top w:val="nil"/>
              <w:left w:val="nil"/>
              <w:bottom w:val="single" w:sz="4" w:space="0" w:color="auto"/>
              <w:right w:val="single" w:sz="4" w:space="0" w:color="auto"/>
            </w:tcBorders>
            <w:shd w:val="clear" w:color="000000" w:fill="EAF1DD"/>
            <w:noWrap/>
            <w:vAlign w:val="center"/>
            <w:hideMark/>
          </w:tcPr>
          <w:p w14:paraId="70E74FCB" w14:textId="77777777" w:rsidR="00F8589C" w:rsidRPr="00861214" w:rsidRDefault="00F8589C" w:rsidP="00B33657">
            <w:pPr>
              <w:widowControl/>
              <w:jc w:val="right"/>
              <w:rPr>
                <w:b/>
                <w:bCs/>
                <w:color w:val="000000"/>
                <w:sz w:val="20"/>
                <w:szCs w:val="20"/>
              </w:rPr>
            </w:pPr>
            <w:r>
              <w:rPr>
                <w:b/>
                <w:color w:val="000000"/>
                <w:sz w:val="20"/>
              </w:rPr>
              <w:t>1 195</w:t>
            </w:r>
          </w:p>
        </w:tc>
      </w:tr>
      <w:tr w:rsidR="00F8589C" w:rsidRPr="00861214" w14:paraId="205F2589" w14:textId="77777777" w:rsidTr="00C368FF">
        <w:trPr>
          <w:trHeight w:val="270"/>
        </w:trPr>
        <w:tc>
          <w:tcPr>
            <w:tcW w:w="4541" w:type="dxa"/>
            <w:tcBorders>
              <w:top w:val="single" w:sz="4" w:space="0" w:color="auto"/>
              <w:left w:val="single" w:sz="4" w:space="0" w:color="auto"/>
              <w:bottom w:val="single" w:sz="4" w:space="0" w:color="auto"/>
              <w:right w:val="nil"/>
            </w:tcBorders>
            <w:shd w:val="clear" w:color="auto" w:fill="auto"/>
            <w:noWrap/>
            <w:vAlign w:val="center"/>
            <w:hideMark/>
          </w:tcPr>
          <w:p w14:paraId="48C056E7" w14:textId="77777777" w:rsidR="00F8589C" w:rsidRPr="00861214" w:rsidRDefault="00F8589C" w:rsidP="00B33657">
            <w:pPr>
              <w:widowControl/>
              <w:rPr>
                <w:sz w:val="20"/>
                <w:szCs w:val="20"/>
              </w:rPr>
            </w:pPr>
            <w:r>
              <w:rPr>
                <w:sz w:val="20"/>
              </w:rPr>
              <w:t>Salarios, gastos sociales y otras prestaciones laborales</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15D2B336" w14:textId="77777777" w:rsidR="00F8589C" w:rsidRPr="00861214" w:rsidRDefault="00F8589C" w:rsidP="00B33657">
            <w:pPr>
              <w:widowControl/>
              <w:jc w:val="right"/>
              <w:rPr>
                <w:sz w:val="20"/>
                <w:szCs w:val="20"/>
              </w:rPr>
            </w:pPr>
            <w:r>
              <w:rPr>
                <w:sz w:val="20"/>
              </w:rPr>
              <w:t>649</w:t>
            </w:r>
          </w:p>
        </w:tc>
        <w:tc>
          <w:tcPr>
            <w:tcW w:w="1381" w:type="dxa"/>
            <w:tcBorders>
              <w:top w:val="nil"/>
              <w:left w:val="nil"/>
              <w:bottom w:val="single" w:sz="4" w:space="0" w:color="auto"/>
              <w:right w:val="single" w:sz="4" w:space="0" w:color="auto"/>
            </w:tcBorders>
            <w:shd w:val="clear" w:color="auto" w:fill="auto"/>
            <w:noWrap/>
            <w:vAlign w:val="center"/>
            <w:hideMark/>
          </w:tcPr>
          <w:p w14:paraId="4F31E98B" w14:textId="77777777" w:rsidR="00F8589C" w:rsidRPr="00861214" w:rsidRDefault="00F8589C" w:rsidP="00B33657">
            <w:pPr>
              <w:widowControl/>
              <w:jc w:val="right"/>
              <w:rPr>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48D96BE9" w14:textId="77777777" w:rsidR="00F8589C" w:rsidRPr="00861214" w:rsidRDefault="00F8589C" w:rsidP="00B33657">
            <w:pPr>
              <w:widowControl/>
              <w:jc w:val="right"/>
              <w:rPr>
                <w:color w:val="000000"/>
                <w:sz w:val="20"/>
                <w:szCs w:val="20"/>
              </w:rPr>
            </w:pPr>
            <w:r>
              <w:rPr>
                <w:color w:val="000000"/>
                <w:sz w:val="20"/>
              </w:rPr>
              <w:t>37</w:t>
            </w:r>
          </w:p>
        </w:tc>
        <w:tc>
          <w:tcPr>
            <w:tcW w:w="1381" w:type="dxa"/>
            <w:tcBorders>
              <w:top w:val="nil"/>
              <w:left w:val="nil"/>
              <w:bottom w:val="single" w:sz="4" w:space="0" w:color="auto"/>
              <w:right w:val="single" w:sz="4" w:space="0" w:color="auto"/>
            </w:tcBorders>
            <w:shd w:val="clear" w:color="auto" w:fill="auto"/>
            <w:noWrap/>
            <w:vAlign w:val="center"/>
            <w:hideMark/>
          </w:tcPr>
          <w:p w14:paraId="580DB17E" w14:textId="77777777" w:rsidR="00F8589C" w:rsidRPr="00861214" w:rsidRDefault="00F8589C" w:rsidP="00B33657">
            <w:pPr>
              <w:widowControl/>
              <w:jc w:val="right"/>
              <w:rPr>
                <w:color w:val="000000"/>
                <w:sz w:val="20"/>
                <w:szCs w:val="20"/>
              </w:rPr>
            </w:pPr>
            <w:r>
              <w:rPr>
                <w:color w:val="000000"/>
                <w:sz w:val="20"/>
              </w:rPr>
              <w:t>686</w:t>
            </w:r>
          </w:p>
        </w:tc>
      </w:tr>
      <w:tr w:rsidR="00F8589C" w:rsidRPr="00861214" w14:paraId="3A417B67" w14:textId="77777777" w:rsidTr="00C368FF">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FCEC9" w14:textId="77777777" w:rsidR="00F8589C" w:rsidRPr="00861214" w:rsidRDefault="00F8589C" w:rsidP="00B33657">
            <w:pPr>
              <w:widowControl/>
              <w:rPr>
                <w:sz w:val="20"/>
                <w:szCs w:val="20"/>
              </w:rPr>
            </w:pPr>
            <w:r>
              <w:rPr>
                <w:sz w:val="20"/>
              </w:rPr>
              <w:t>Viajes</w:t>
            </w:r>
          </w:p>
        </w:tc>
        <w:tc>
          <w:tcPr>
            <w:tcW w:w="1381" w:type="dxa"/>
            <w:tcBorders>
              <w:top w:val="nil"/>
              <w:left w:val="nil"/>
              <w:bottom w:val="single" w:sz="4" w:space="0" w:color="auto"/>
              <w:right w:val="single" w:sz="4" w:space="0" w:color="auto"/>
            </w:tcBorders>
            <w:shd w:val="clear" w:color="auto" w:fill="auto"/>
            <w:noWrap/>
            <w:vAlign w:val="center"/>
            <w:hideMark/>
          </w:tcPr>
          <w:p w14:paraId="2E1CE2F1" w14:textId="77777777" w:rsidR="00F8589C" w:rsidRPr="00861214" w:rsidRDefault="00F8589C" w:rsidP="00B33657">
            <w:pPr>
              <w:widowControl/>
              <w:jc w:val="right"/>
              <w:rPr>
                <w:sz w:val="20"/>
                <w:szCs w:val="20"/>
              </w:rPr>
            </w:pPr>
            <w:r>
              <w:rPr>
                <w:sz w:val="20"/>
              </w:rPr>
              <w:t>18</w:t>
            </w:r>
          </w:p>
        </w:tc>
        <w:tc>
          <w:tcPr>
            <w:tcW w:w="1381" w:type="dxa"/>
            <w:tcBorders>
              <w:top w:val="nil"/>
              <w:left w:val="nil"/>
              <w:bottom w:val="single" w:sz="4" w:space="0" w:color="auto"/>
              <w:right w:val="single" w:sz="4" w:space="0" w:color="auto"/>
            </w:tcBorders>
            <w:shd w:val="clear" w:color="auto" w:fill="auto"/>
            <w:noWrap/>
            <w:vAlign w:val="center"/>
            <w:hideMark/>
          </w:tcPr>
          <w:p w14:paraId="253AFD03" w14:textId="77777777" w:rsidR="00F8589C" w:rsidRPr="00861214" w:rsidRDefault="00F8589C" w:rsidP="00B33657">
            <w:pPr>
              <w:widowControl/>
              <w:jc w:val="right"/>
              <w:rPr>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63091E2D" w14:textId="77777777" w:rsidR="00F8589C" w:rsidRPr="00861214" w:rsidRDefault="00F8589C" w:rsidP="00B33657">
            <w:pPr>
              <w:widowControl/>
              <w:jc w:val="right"/>
              <w:rPr>
                <w:color w:val="000000"/>
                <w:sz w:val="20"/>
                <w:szCs w:val="20"/>
              </w:rPr>
            </w:pPr>
            <w:r>
              <w:rPr>
                <w:color w:val="000000"/>
                <w:sz w:val="20"/>
              </w:rPr>
              <w:t>21</w:t>
            </w:r>
          </w:p>
        </w:tc>
        <w:tc>
          <w:tcPr>
            <w:tcW w:w="1381" w:type="dxa"/>
            <w:tcBorders>
              <w:top w:val="nil"/>
              <w:left w:val="nil"/>
              <w:bottom w:val="single" w:sz="4" w:space="0" w:color="auto"/>
              <w:right w:val="single" w:sz="4" w:space="0" w:color="auto"/>
            </w:tcBorders>
            <w:shd w:val="clear" w:color="auto" w:fill="auto"/>
            <w:noWrap/>
            <w:vAlign w:val="center"/>
            <w:hideMark/>
          </w:tcPr>
          <w:p w14:paraId="6FD78620" w14:textId="77777777" w:rsidR="00F8589C" w:rsidRPr="00861214" w:rsidRDefault="00F8589C" w:rsidP="00B33657">
            <w:pPr>
              <w:widowControl/>
              <w:jc w:val="right"/>
              <w:rPr>
                <w:color w:val="000000"/>
                <w:sz w:val="20"/>
                <w:szCs w:val="20"/>
              </w:rPr>
            </w:pPr>
            <w:r>
              <w:rPr>
                <w:color w:val="000000"/>
                <w:sz w:val="20"/>
              </w:rPr>
              <w:t>39</w:t>
            </w:r>
          </w:p>
        </w:tc>
      </w:tr>
      <w:tr w:rsidR="00F8589C" w:rsidRPr="00861214" w14:paraId="57EAFB7D" w14:textId="77777777" w:rsidTr="00C368FF">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7D27E8F8" w14:textId="77777777" w:rsidR="00F8589C" w:rsidRPr="00861214" w:rsidRDefault="00F8589C" w:rsidP="00B33657">
            <w:pPr>
              <w:widowControl/>
              <w:rPr>
                <w:sz w:val="20"/>
                <w:szCs w:val="20"/>
              </w:rPr>
            </w:pPr>
            <w:r>
              <w:rPr>
                <w:sz w:val="20"/>
              </w:rPr>
              <w:t>Viajes de la Presidencia del GECT</w:t>
            </w:r>
          </w:p>
        </w:tc>
        <w:tc>
          <w:tcPr>
            <w:tcW w:w="1381" w:type="dxa"/>
            <w:tcBorders>
              <w:top w:val="nil"/>
              <w:left w:val="nil"/>
              <w:bottom w:val="single" w:sz="4" w:space="0" w:color="auto"/>
              <w:right w:val="single" w:sz="4" w:space="0" w:color="auto"/>
            </w:tcBorders>
            <w:shd w:val="clear" w:color="auto" w:fill="auto"/>
            <w:noWrap/>
            <w:vAlign w:val="center"/>
            <w:hideMark/>
          </w:tcPr>
          <w:p w14:paraId="7F216807" w14:textId="77777777" w:rsidR="00F8589C" w:rsidRPr="00861214" w:rsidRDefault="00F8589C" w:rsidP="00B33657">
            <w:pPr>
              <w:widowControl/>
              <w:jc w:val="right"/>
              <w:rPr>
                <w:sz w:val="20"/>
                <w:szCs w:val="20"/>
              </w:rPr>
            </w:pPr>
            <w:r>
              <w:rPr>
                <w:sz w:val="20"/>
              </w:rPr>
              <w:t>5</w:t>
            </w:r>
          </w:p>
        </w:tc>
        <w:tc>
          <w:tcPr>
            <w:tcW w:w="1381" w:type="dxa"/>
            <w:tcBorders>
              <w:top w:val="nil"/>
              <w:left w:val="nil"/>
              <w:bottom w:val="single" w:sz="4" w:space="0" w:color="auto"/>
              <w:right w:val="single" w:sz="4" w:space="0" w:color="auto"/>
            </w:tcBorders>
            <w:shd w:val="clear" w:color="auto" w:fill="auto"/>
            <w:noWrap/>
            <w:vAlign w:val="center"/>
            <w:hideMark/>
          </w:tcPr>
          <w:p w14:paraId="3FA0D126" w14:textId="77777777" w:rsidR="00F8589C" w:rsidRPr="00861214" w:rsidRDefault="00F8589C" w:rsidP="00B33657">
            <w:pPr>
              <w:widowControl/>
              <w:jc w:val="right"/>
              <w:rPr>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17847B58" w14:textId="77777777" w:rsidR="00F8589C" w:rsidRPr="00861214" w:rsidRDefault="00F8589C" w:rsidP="00B33657">
            <w:pPr>
              <w:widowControl/>
              <w:jc w:val="right"/>
              <w:rPr>
                <w:color w:val="000000"/>
                <w:sz w:val="20"/>
                <w:szCs w:val="20"/>
              </w:rPr>
            </w:pPr>
            <w:r>
              <w:rPr>
                <w:color w:val="000000"/>
                <w:sz w:val="20"/>
              </w:rPr>
              <w:t>3</w:t>
            </w:r>
          </w:p>
        </w:tc>
        <w:tc>
          <w:tcPr>
            <w:tcW w:w="1381" w:type="dxa"/>
            <w:tcBorders>
              <w:top w:val="nil"/>
              <w:left w:val="nil"/>
              <w:bottom w:val="single" w:sz="4" w:space="0" w:color="auto"/>
              <w:right w:val="single" w:sz="4" w:space="0" w:color="auto"/>
            </w:tcBorders>
            <w:shd w:val="clear" w:color="auto" w:fill="auto"/>
            <w:noWrap/>
            <w:vAlign w:val="center"/>
            <w:hideMark/>
          </w:tcPr>
          <w:p w14:paraId="507C9EF5" w14:textId="77777777" w:rsidR="00F8589C" w:rsidRPr="00861214" w:rsidRDefault="00F8589C" w:rsidP="00B33657">
            <w:pPr>
              <w:widowControl/>
              <w:jc w:val="right"/>
              <w:rPr>
                <w:color w:val="000000"/>
                <w:sz w:val="20"/>
                <w:szCs w:val="20"/>
              </w:rPr>
            </w:pPr>
            <w:r>
              <w:rPr>
                <w:color w:val="000000"/>
                <w:sz w:val="20"/>
              </w:rPr>
              <w:t>8</w:t>
            </w:r>
          </w:p>
        </w:tc>
      </w:tr>
      <w:tr w:rsidR="00F8589C" w:rsidRPr="00861214" w14:paraId="4928C6E1" w14:textId="77777777" w:rsidTr="00C368FF">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6CBEC61F" w14:textId="77777777" w:rsidR="00F8589C" w:rsidRPr="00861214" w:rsidRDefault="00F8589C" w:rsidP="00B33657">
            <w:pPr>
              <w:widowControl/>
              <w:rPr>
                <w:sz w:val="20"/>
                <w:szCs w:val="20"/>
              </w:rPr>
            </w:pPr>
            <w:r>
              <w:rPr>
                <w:sz w:val="20"/>
              </w:rPr>
              <w:t>Trabajo del GECT</w:t>
            </w:r>
          </w:p>
        </w:tc>
        <w:tc>
          <w:tcPr>
            <w:tcW w:w="1381" w:type="dxa"/>
            <w:tcBorders>
              <w:top w:val="nil"/>
              <w:left w:val="nil"/>
              <w:bottom w:val="single" w:sz="4" w:space="0" w:color="auto"/>
              <w:right w:val="single" w:sz="4" w:space="0" w:color="auto"/>
            </w:tcBorders>
            <w:shd w:val="clear" w:color="auto" w:fill="auto"/>
            <w:noWrap/>
            <w:vAlign w:val="center"/>
            <w:hideMark/>
          </w:tcPr>
          <w:p w14:paraId="6DC379B0" w14:textId="77777777" w:rsidR="00F8589C" w:rsidRPr="00861214" w:rsidRDefault="00F8589C" w:rsidP="00B33657">
            <w:pPr>
              <w:widowControl/>
              <w:jc w:val="right"/>
              <w:rPr>
                <w:sz w:val="20"/>
                <w:szCs w:val="20"/>
              </w:rPr>
            </w:pPr>
            <w:r>
              <w:rPr>
                <w:sz w:val="20"/>
              </w:rPr>
              <w:t>35</w:t>
            </w:r>
          </w:p>
        </w:tc>
        <w:tc>
          <w:tcPr>
            <w:tcW w:w="1381" w:type="dxa"/>
            <w:tcBorders>
              <w:top w:val="nil"/>
              <w:left w:val="nil"/>
              <w:bottom w:val="single" w:sz="4" w:space="0" w:color="auto"/>
              <w:right w:val="single" w:sz="4" w:space="0" w:color="auto"/>
            </w:tcBorders>
            <w:shd w:val="clear" w:color="auto" w:fill="auto"/>
            <w:noWrap/>
            <w:vAlign w:val="center"/>
            <w:hideMark/>
          </w:tcPr>
          <w:p w14:paraId="7F203A76" w14:textId="77777777" w:rsidR="00F8589C" w:rsidRPr="00861214" w:rsidRDefault="00F8589C" w:rsidP="00B33657">
            <w:pPr>
              <w:widowControl/>
              <w:jc w:val="right"/>
              <w:rPr>
                <w:sz w:val="20"/>
                <w:szCs w:val="20"/>
              </w:rPr>
            </w:pPr>
            <w:r>
              <w:rPr>
                <w:sz w:val="20"/>
              </w:rPr>
              <w:t>5</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126FC5DE" w14:textId="77777777" w:rsidR="00F8589C" w:rsidRPr="00861214" w:rsidRDefault="00F8589C" w:rsidP="00B33657">
            <w:pPr>
              <w:widowControl/>
              <w:jc w:val="right"/>
              <w:rPr>
                <w:color w:val="000000"/>
                <w:sz w:val="20"/>
                <w:szCs w:val="20"/>
              </w:rPr>
            </w:pPr>
            <w:r>
              <w:rPr>
                <w:color w:val="000000"/>
                <w:sz w:val="20"/>
              </w:rPr>
              <w:t>61</w:t>
            </w:r>
          </w:p>
        </w:tc>
        <w:tc>
          <w:tcPr>
            <w:tcW w:w="1381" w:type="dxa"/>
            <w:tcBorders>
              <w:top w:val="nil"/>
              <w:left w:val="nil"/>
              <w:bottom w:val="single" w:sz="4" w:space="0" w:color="auto"/>
              <w:right w:val="single" w:sz="4" w:space="0" w:color="auto"/>
            </w:tcBorders>
            <w:shd w:val="clear" w:color="auto" w:fill="auto"/>
            <w:noWrap/>
            <w:vAlign w:val="center"/>
            <w:hideMark/>
          </w:tcPr>
          <w:p w14:paraId="65069902" w14:textId="77777777" w:rsidR="00F8589C" w:rsidRPr="00861214" w:rsidRDefault="00F8589C" w:rsidP="00B33657">
            <w:pPr>
              <w:widowControl/>
              <w:jc w:val="right"/>
              <w:rPr>
                <w:color w:val="000000"/>
                <w:sz w:val="20"/>
                <w:szCs w:val="20"/>
              </w:rPr>
            </w:pPr>
            <w:r>
              <w:rPr>
                <w:color w:val="000000"/>
                <w:sz w:val="20"/>
              </w:rPr>
              <w:t>101</w:t>
            </w:r>
          </w:p>
        </w:tc>
      </w:tr>
      <w:tr w:rsidR="00F8589C" w:rsidRPr="00861214" w14:paraId="00CB408D" w14:textId="77777777" w:rsidTr="00C368FF">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3C6287D2" w14:textId="77777777" w:rsidR="00F8589C" w:rsidRPr="00861214" w:rsidRDefault="00F8589C" w:rsidP="00B33657">
            <w:pPr>
              <w:widowControl/>
              <w:rPr>
                <w:sz w:val="20"/>
                <w:szCs w:val="20"/>
              </w:rPr>
            </w:pPr>
            <w:r>
              <w:rPr>
                <w:sz w:val="20"/>
              </w:rPr>
              <w:lastRenderedPageBreak/>
              <w:t>Reuniones del GECT</w:t>
            </w:r>
          </w:p>
        </w:tc>
        <w:tc>
          <w:tcPr>
            <w:tcW w:w="1381" w:type="dxa"/>
            <w:tcBorders>
              <w:top w:val="nil"/>
              <w:left w:val="nil"/>
              <w:bottom w:val="single" w:sz="4" w:space="0" w:color="auto"/>
              <w:right w:val="single" w:sz="4" w:space="0" w:color="auto"/>
            </w:tcBorders>
            <w:shd w:val="clear" w:color="auto" w:fill="auto"/>
            <w:noWrap/>
            <w:vAlign w:val="center"/>
            <w:hideMark/>
          </w:tcPr>
          <w:p w14:paraId="2B015437" w14:textId="77777777" w:rsidR="00F8589C" w:rsidRPr="00861214" w:rsidRDefault="00F8589C" w:rsidP="00B33657">
            <w:pPr>
              <w:widowControl/>
              <w:jc w:val="right"/>
              <w:rPr>
                <w:sz w:val="20"/>
                <w:szCs w:val="20"/>
              </w:rPr>
            </w:pPr>
            <w:r>
              <w:rPr>
                <w:sz w:val="20"/>
              </w:rPr>
              <w:t>50</w:t>
            </w:r>
          </w:p>
        </w:tc>
        <w:tc>
          <w:tcPr>
            <w:tcW w:w="1381" w:type="dxa"/>
            <w:tcBorders>
              <w:top w:val="nil"/>
              <w:left w:val="nil"/>
              <w:bottom w:val="single" w:sz="4" w:space="0" w:color="auto"/>
              <w:right w:val="single" w:sz="4" w:space="0" w:color="auto"/>
            </w:tcBorders>
            <w:shd w:val="clear" w:color="auto" w:fill="auto"/>
            <w:noWrap/>
            <w:vAlign w:val="center"/>
            <w:hideMark/>
          </w:tcPr>
          <w:p w14:paraId="6D087C0C" w14:textId="77777777" w:rsidR="00F8589C" w:rsidRPr="00861214" w:rsidRDefault="00F8589C" w:rsidP="00B33657">
            <w:pPr>
              <w:widowControl/>
              <w:jc w:val="right"/>
              <w:rPr>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798BCFCB" w14:textId="77777777" w:rsidR="00F8589C" w:rsidRPr="00861214" w:rsidRDefault="00F8589C" w:rsidP="00B33657">
            <w:pPr>
              <w:widowControl/>
              <w:jc w:val="right"/>
              <w:rPr>
                <w:color w:val="000000"/>
                <w:sz w:val="20"/>
                <w:szCs w:val="20"/>
              </w:rPr>
            </w:pPr>
            <w:r>
              <w:rPr>
                <w:color w:val="000000"/>
                <w:sz w:val="20"/>
              </w:rPr>
              <w:t>6</w:t>
            </w:r>
          </w:p>
        </w:tc>
        <w:tc>
          <w:tcPr>
            <w:tcW w:w="1381" w:type="dxa"/>
            <w:tcBorders>
              <w:top w:val="nil"/>
              <w:left w:val="nil"/>
              <w:bottom w:val="single" w:sz="4" w:space="0" w:color="auto"/>
              <w:right w:val="single" w:sz="4" w:space="0" w:color="auto"/>
            </w:tcBorders>
            <w:shd w:val="clear" w:color="auto" w:fill="auto"/>
            <w:noWrap/>
            <w:vAlign w:val="center"/>
            <w:hideMark/>
          </w:tcPr>
          <w:p w14:paraId="03AF8D45" w14:textId="77777777" w:rsidR="00F8589C" w:rsidRPr="00861214" w:rsidRDefault="00F8589C" w:rsidP="00B33657">
            <w:pPr>
              <w:widowControl/>
              <w:jc w:val="right"/>
              <w:rPr>
                <w:color w:val="000000"/>
                <w:sz w:val="20"/>
                <w:szCs w:val="20"/>
              </w:rPr>
            </w:pPr>
            <w:r>
              <w:rPr>
                <w:color w:val="000000"/>
                <w:sz w:val="20"/>
              </w:rPr>
              <w:t>56</w:t>
            </w:r>
          </w:p>
        </w:tc>
      </w:tr>
      <w:tr w:rsidR="00F8589C" w:rsidRPr="00861214" w14:paraId="09A56CD3" w14:textId="77777777" w:rsidTr="00C368FF">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10780258" w14:textId="77777777" w:rsidR="00F8589C" w:rsidRPr="00861214" w:rsidRDefault="00F8589C" w:rsidP="00B33657">
            <w:pPr>
              <w:widowControl/>
              <w:rPr>
                <w:sz w:val="20"/>
                <w:szCs w:val="20"/>
              </w:rPr>
            </w:pPr>
            <w:r>
              <w:rPr>
                <w:sz w:val="20"/>
              </w:rPr>
              <w:t>Quinto Plan Estratégico (2022 - 2024)</w:t>
            </w:r>
          </w:p>
        </w:tc>
        <w:tc>
          <w:tcPr>
            <w:tcW w:w="1381" w:type="dxa"/>
            <w:tcBorders>
              <w:top w:val="nil"/>
              <w:left w:val="nil"/>
              <w:bottom w:val="single" w:sz="4" w:space="0" w:color="auto"/>
              <w:right w:val="single" w:sz="4" w:space="0" w:color="auto"/>
            </w:tcBorders>
            <w:shd w:val="clear" w:color="auto" w:fill="auto"/>
            <w:noWrap/>
            <w:vAlign w:val="center"/>
            <w:hideMark/>
          </w:tcPr>
          <w:p w14:paraId="66FEA862" w14:textId="77777777" w:rsidR="00F8589C" w:rsidRPr="00861214" w:rsidRDefault="00F8589C" w:rsidP="00B33657">
            <w:pPr>
              <w:widowControl/>
              <w:jc w:val="right"/>
              <w:rPr>
                <w:sz w:val="20"/>
                <w:szCs w:val="20"/>
              </w:rPr>
            </w:pPr>
            <w:r>
              <w:rPr>
                <w:sz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528EA8B4" w14:textId="77777777" w:rsidR="00F8589C" w:rsidRPr="00861214" w:rsidRDefault="00F8589C" w:rsidP="00B33657">
            <w:pPr>
              <w:widowControl/>
              <w:jc w:val="right"/>
              <w:rPr>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45EAF588" w14:textId="77777777" w:rsidR="00F8589C" w:rsidRPr="00861214" w:rsidRDefault="00F8589C" w:rsidP="00B33657">
            <w:pPr>
              <w:widowControl/>
              <w:jc w:val="right"/>
              <w:rPr>
                <w:color w:val="000000"/>
                <w:sz w:val="20"/>
                <w:szCs w:val="20"/>
              </w:rPr>
            </w:pPr>
            <w:r>
              <w:rPr>
                <w:color w:val="000000"/>
                <w:sz w:val="20"/>
              </w:rPr>
              <w:t>50</w:t>
            </w:r>
          </w:p>
        </w:tc>
        <w:tc>
          <w:tcPr>
            <w:tcW w:w="1381" w:type="dxa"/>
            <w:tcBorders>
              <w:top w:val="nil"/>
              <w:left w:val="nil"/>
              <w:bottom w:val="single" w:sz="4" w:space="0" w:color="auto"/>
              <w:right w:val="single" w:sz="4" w:space="0" w:color="auto"/>
            </w:tcBorders>
            <w:shd w:val="clear" w:color="auto" w:fill="auto"/>
            <w:noWrap/>
            <w:vAlign w:val="center"/>
            <w:hideMark/>
          </w:tcPr>
          <w:p w14:paraId="61DA2AB6" w14:textId="77777777" w:rsidR="00F8589C" w:rsidRPr="00861214" w:rsidRDefault="00F8589C" w:rsidP="00B33657">
            <w:pPr>
              <w:widowControl/>
              <w:jc w:val="right"/>
              <w:rPr>
                <w:color w:val="000000"/>
                <w:sz w:val="20"/>
                <w:szCs w:val="20"/>
              </w:rPr>
            </w:pPr>
            <w:r>
              <w:rPr>
                <w:color w:val="000000"/>
                <w:sz w:val="20"/>
              </w:rPr>
              <w:t>50</w:t>
            </w:r>
          </w:p>
        </w:tc>
      </w:tr>
      <w:tr w:rsidR="00F8589C" w:rsidRPr="00861214" w14:paraId="539A7FA4" w14:textId="77777777" w:rsidTr="00C368FF">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2A4C92ED" w14:textId="77777777" w:rsidR="00F8589C" w:rsidRPr="00861214" w:rsidRDefault="00F8589C" w:rsidP="00B33657">
            <w:pPr>
              <w:widowControl/>
              <w:rPr>
                <w:sz w:val="20"/>
                <w:szCs w:val="20"/>
              </w:rPr>
            </w:pPr>
            <w:r>
              <w:rPr>
                <w:sz w:val="20"/>
              </w:rPr>
              <w:t>ODS 6.61 (Inventarios)</w:t>
            </w:r>
          </w:p>
        </w:tc>
        <w:tc>
          <w:tcPr>
            <w:tcW w:w="1381" w:type="dxa"/>
            <w:tcBorders>
              <w:top w:val="nil"/>
              <w:left w:val="nil"/>
              <w:bottom w:val="single" w:sz="4" w:space="0" w:color="auto"/>
              <w:right w:val="single" w:sz="4" w:space="0" w:color="auto"/>
            </w:tcBorders>
            <w:shd w:val="clear" w:color="auto" w:fill="auto"/>
            <w:noWrap/>
            <w:vAlign w:val="center"/>
            <w:hideMark/>
          </w:tcPr>
          <w:p w14:paraId="56AD5162" w14:textId="77777777" w:rsidR="00F8589C" w:rsidRPr="00861214" w:rsidRDefault="00F8589C" w:rsidP="00B33657">
            <w:pPr>
              <w:widowControl/>
              <w:jc w:val="right"/>
              <w:rPr>
                <w:sz w:val="20"/>
                <w:szCs w:val="20"/>
              </w:rPr>
            </w:pPr>
            <w:r>
              <w:rPr>
                <w:sz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5217FAC9" w14:textId="77777777" w:rsidR="00F8589C" w:rsidRPr="00861214" w:rsidRDefault="00F8589C" w:rsidP="00B33657">
            <w:pPr>
              <w:widowControl/>
              <w:jc w:val="right"/>
              <w:rPr>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7CFCD738" w14:textId="77777777" w:rsidR="00F8589C" w:rsidRPr="00861214" w:rsidRDefault="00F8589C" w:rsidP="00B33657">
            <w:pPr>
              <w:widowControl/>
              <w:jc w:val="right"/>
              <w:rPr>
                <w:color w:val="000000"/>
                <w:sz w:val="20"/>
                <w:szCs w:val="20"/>
              </w:rPr>
            </w:pPr>
            <w:r>
              <w:rPr>
                <w:color w:val="000000"/>
                <w:sz w:val="20"/>
              </w:rPr>
              <w:t>42</w:t>
            </w:r>
          </w:p>
        </w:tc>
        <w:tc>
          <w:tcPr>
            <w:tcW w:w="1381" w:type="dxa"/>
            <w:tcBorders>
              <w:top w:val="nil"/>
              <w:left w:val="nil"/>
              <w:bottom w:val="single" w:sz="4" w:space="0" w:color="auto"/>
              <w:right w:val="single" w:sz="4" w:space="0" w:color="auto"/>
            </w:tcBorders>
            <w:shd w:val="clear" w:color="auto" w:fill="auto"/>
            <w:noWrap/>
            <w:vAlign w:val="center"/>
            <w:hideMark/>
          </w:tcPr>
          <w:p w14:paraId="0AD97642" w14:textId="77777777" w:rsidR="00F8589C" w:rsidRPr="00861214" w:rsidRDefault="00F8589C" w:rsidP="00B33657">
            <w:pPr>
              <w:widowControl/>
              <w:jc w:val="right"/>
              <w:rPr>
                <w:color w:val="000000"/>
                <w:sz w:val="20"/>
                <w:szCs w:val="20"/>
              </w:rPr>
            </w:pPr>
            <w:r>
              <w:rPr>
                <w:color w:val="000000"/>
                <w:sz w:val="20"/>
              </w:rPr>
              <w:t>42</w:t>
            </w:r>
          </w:p>
        </w:tc>
      </w:tr>
      <w:tr w:rsidR="00F8589C" w:rsidRPr="00861214" w14:paraId="2DA0D595" w14:textId="77777777" w:rsidTr="00C368FF">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691FA339" w14:textId="77777777" w:rsidR="00F8589C" w:rsidRPr="00861214" w:rsidRDefault="00F8589C" w:rsidP="00B33657">
            <w:pPr>
              <w:widowControl/>
              <w:rPr>
                <w:sz w:val="20"/>
                <w:szCs w:val="20"/>
              </w:rPr>
            </w:pPr>
            <w:r>
              <w:rPr>
                <w:sz w:val="20"/>
              </w:rPr>
              <w:t>Servicio de Información sobre Sitios Ramsar (mantenimiento y desarrollo)</w:t>
            </w:r>
          </w:p>
        </w:tc>
        <w:tc>
          <w:tcPr>
            <w:tcW w:w="1381" w:type="dxa"/>
            <w:tcBorders>
              <w:top w:val="nil"/>
              <w:left w:val="nil"/>
              <w:bottom w:val="single" w:sz="4" w:space="0" w:color="auto"/>
              <w:right w:val="single" w:sz="4" w:space="0" w:color="auto"/>
            </w:tcBorders>
            <w:shd w:val="clear" w:color="auto" w:fill="auto"/>
            <w:noWrap/>
            <w:vAlign w:val="center"/>
            <w:hideMark/>
          </w:tcPr>
          <w:p w14:paraId="7DC5AA14" w14:textId="77777777" w:rsidR="00F8589C" w:rsidRPr="00861214" w:rsidRDefault="00F8589C" w:rsidP="00B33657">
            <w:pPr>
              <w:widowControl/>
              <w:jc w:val="right"/>
              <w:rPr>
                <w:sz w:val="20"/>
                <w:szCs w:val="20"/>
              </w:rPr>
            </w:pPr>
            <w:r>
              <w:rPr>
                <w:sz w:val="20"/>
              </w:rPr>
              <w:t>60</w:t>
            </w:r>
          </w:p>
        </w:tc>
        <w:tc>
          <w:tcPr>
            <w:tcW w:w="1381" w:type="dxa"/>
            <w:tcBorders>
              <w:top w:val="nil"/>
              <w:left w:val="nil"/>
              <w:bottom w:val="single" w:sz="4" w:space="0" w:color="auto"/>
              <w:right w:val="single" w:sz="4" w:space="0" w:color="auto"/>
            </w:tcBorders>
            <w:shd w:val="clear" w:color="auto" w:fill="auto"/>
            <w:noWrap/>
            <w:vAlign w:val="center"/>
            <w:hideMark/>
          </w:tcPr>
          <w:p w14:paraId="231AC272" w14:textId="77777777" w:rsidR="00F8589C" w:rsidRPr="00861214" w:rsidRDefault="00F8589C" w:rsidP="00B33657">
            <w:pPr>
              <w:widowControl/>
              <w:jc w:val="right"/>
              <w:rPr>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54A24895" w14:textId="77777777" w:rsidR="00F8589C" w:rsidRPr="00861214" w:rsidRDefault="00F8589C" w:rsidP="00B33657">
            <w:pPr>
              <w:widowControl/>
              <w:jc w:val="right"/>
              <w:rPr>
                <w:sz w:val="20"/>
                <w:szCs w:val="20"/>
              </w:rPr>
            </w:pPr>
            <w:r>
              <w:rPr>
                <w:sz w:val="20"/>
              </w:rPr>
              <w:t>63</w:t>
            </w:r>
          </w:p>
        </w:tc>
        <w:tc>
          <w:tcPr>
            <w:tcW w:w="1381" w:type="dxa"/>
            <w:tcBorders>
              <w:top w:val="nil"/>
              <w:left w:val="nil"/>
              <w:bottom w:val="single" w:sz="4" w:space="0" w:color="auto"/>
              <w:right w:val="single" w:sz="4" w:space="0" w:color="auto"/>
            </w:tcBorders>
            <w:shd w:val="clear" w:color="auto" w:fill="auto"/>
            <w:noWrap/>
            <w:vAlign w:val="center"/>
            <w:hideMark/>
          </w:tcPr>
          <w:p w14:paraId="70C76CAB" w14:textId="77777777" w:rsidR="00F8589C" w:rsidRPr="00861214" w:rsidRDefault="00F8589C" w:rsidP="00B33657">
            <w:pPr>
              <w:widowControl/>
              <w:jc w:val="right"/>
              <w:rPr>
                <w:color w:val="000000"/>
                <w:sz w:val="20"/>
                <w:szCs w:val="20"/>
              </w:rPr>
            </w:pPr>
            <w:r>
              <w:rPr>
                <w:color w:val="000000"/>
                <w:sz w:val="20"/>
              </w:rPr>
              <w:t>123</w:t>
            </w:r>
          </w:p>
        </w:tc>
      </w:tr>
      <w:tr w:rsidR="00F8589C" w:rsidRPr="00861214" w14:paraId="71C5B15B" w14:textId="77777777" w:rsidTr="00C368FF">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2E798B" w14:textId="77777777" w:rsidR="00F8589C" w:rsidRPr="00861214" w:rsidRDefault="00F8589C" w:rsidP="00B33657">
            <w:pPr>
              <w:widowControl/>
              <w:rPr>
                <w:sz w:val="20"/>
                <w:szCs w:val="20"/>
              </w:rPr>
            </w:pPr>
            <w:r>
              <w:rPr>
                <w:sz w:val="20"/>
              </w:rPr>
              <w:t>Servicio de Información sobre Sitios Ramsar (apoyo técnico para el trienio 2023-2025)</w:t>
            </w:r>
          </w:p>
        </w:tc>
        <w:tc>
          <w:tcPr>
            <w:tcW w:w="1381" w:type="dxa"/>
            <w:tcBorders>
              <w:top w:val="single" w:sz="4" w:space="0" w:color="auto"/>
              <w:left w:val="nil"/>
              <w:bottom w:val="single" w:sz="4" w:space="0" w:color="auto"/>
              <w:right w:val="single" w:sz="4" w:space="0" w:color="auto"/>
            </w:tcBorders>
            <w:shd w:val="clear" w:color="auto" w:fill="auto"/>
            <w:noWrap/>
            <w:vAlign w:val="center"/>
          </w:tcPr>
          <w:p w14:paraId="27F976C1" w14:textId="77777777" w:rsidR="00F8589C" w:rsidRPr="00861214" w:rsidDel="00400EC6" w:rsidRDefault="00F8589C" w:rsidP="00B33657">
            <w:pPr>
              <w:widowControl/>
              <w:jc w:val="right"/>
              <w:rPr>
                <w:sz w:val="20"/>
                <w:szCs w:val="20"/>
              </w:rPr>
            </w:pPr>
            <w:r>
              <w:rPr>
                <w:sz w:val="20"/>
              </w:rPr>
              <w:t>0</w:t>
            </w:r>
          </w:p>
        </w:tc>
        <w:tc>
          <w:tcPr>
            <w:tcW w:w="1381" w:type="dxa"/>
            <w:tcBorders>
              <w:top w:val="single" w:sz="4" w:space="0" w:color="auto"/>
              <w:left w:val="nil"/>
              <w:bottom w:val="single" w:sz="4" w:space="0" w:color="auto"/>
              <w:right w:val="single" w:sz="4" w:space="0" w:color="auto"/>
            </w:tcBorders>
            <w:shd w:val="clear" w:color="auto" w:fill="auto"/>
            <w:noWrap/>
            <w:vAlign w:val="center"/>
          </w:tcPr>
          <w:p w14:paraId="284D98DD" w14:textId="77777777" w:rsidR="00F8589C" w:rsidRPr="00861214" w:rsidRDefault="00F8589C" w:rsidP="00B33657">
            <w:pPr>
              <w:widowControl/>
              <w:jc w:val="right"/>
              <w:rPr>
                <w:sz w:val="20"/>
                <w:szCs w:val="20"/>
              </w:rPr>
            </w:pPr>
            <w:r>
              <w:rPr>
                <w:sz w:val="20"/>
              </w:rPr>
              <w:t>0</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EE2C74" w14:textId="77777777" w:rsidR="00F8589C" w:rsidRPr="00861214" w:rsidDel="00400EC6" w:rsidRDefault="00F8589C" w:rsidP="00B33657">
            <w:pPr>
              <w:widowControl/>
              <w:jc w:val="right"/>
              <w:rPr>
                <w:sz w:val="20"/>
                <w:szCs w:val="20"/>
              </w:rPr>
            </w:pPr>
            <w:r>
              <w:rPr>
                <w:sz w:val="20"/>
              </w:rPr>
              <w:t>90</w:t>
            </w:r>
          </w:p>
        </w:tc>
        <w:tc>
          <w:tcPr>
            <w:tcW w:w="1381" w:type="dxa"/>
            <w:tcBorders>
              <w:top w:val="single" w:sz="4" w:space="0" w:color="auto"/>
              <w:left w:val="nil"/>
              <w:bottom w:val="single" w:sz="4" w:space="0" w:color="auto"/>
              <w:right w:val="single" w:sz="4" w:space="0" w:color="auto"/>
            </w:tcBorders>
            <w:shd w:val="clear" w:color="auto" w:fill="auto"/>
            <w:noWrap/>
            <w:vAlign w:val="center"/>
          </w:tcPr>
          <w:p w14:paraId="232C33A3" w14:textId="77777777" w:rsidR="00F8589C" w:rsidRPr="00861214" w:rsidDel="00400EC6" w:rsidRDefault="00F8589C" w:rsidP="00B33657">
            <w:pPr>
              <w:widowControl/>
              <w:jc w:val="right"/>
              <w:rPr>
                <w:color w:val="000000"/>
                <w:sz w:val="20"/>
                <w:szCs w:val="20"/>
              </w:rPr>
            </w:pPr>
            <w:r>
              <w:rPr>
                <w:color w:val="000000"/>
                <w:sz w:val="20"/>
              </w:rPr>
              <w:t>90</w:t>
            </w:r>
          </w:p>
        </w:tc>
      </w:tr>
      <w:tr w:rsidR="00F8589C" w:rsidRPr="00861214" w14:paraId="176AE3D4" w14:textId="77777777" w:rsidTr="00C368FF">
        <w:trPr>
          <w:trHeight w:val="270"/>
        </w:trPr>
        <w:tc>
          <w:tcPr>
            <w:tcW w:w="454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4831D24A" w14:textId="77777777" w:rsidR="00F8589C" w:rsidRPr="00861214" w:rsidRDefault="00F8589C" w:rsidP="00B33657">
            <w:pPr>
              <w:widowControl/>
              <w:rPr>
                <w:sz w:val="20"/>
                <w:szCs w:val="20"/>
              </w:rPr>
            </w:pPr>
            <w:r>
              <w:rPr>
                <w:sz w:val="20"/>
              </w:rPr>
              <w:t>F.  Administración/sitio web</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3A5D3FD1" w14:textId="77777777" w:rsidR="00F8589C" w:rsidRPr="00861214" w:rsidRDefault="00F8589C" w:rsidP="00B33657">
            <w:pPr>
              <w:widowControl/>
              <w:jc w:val="right"/>
              <w:rPr>
                <w:b/>
                <w:bCs/>
                <w:sz w:val="20"/>
                <w:szCs w:val="20"/>
              </w:rPr>
            </w:pPr>
            <w:r>
              <w:rPr>
                <w:b/>
                <w:sz w:val="20"/>
              </w:rPr>
              <w:t>478</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26661416" w14:textId="77777777" w:rsidR="00F8589C" w:rsidRPr="00861214" w:rsidRDefault="00F8589C" w:rsidP="00B33657">
            <w:pPr>
              <w:widowControl/>
              <w:jc w:val="right"/>
              <w:rPr>
                <w:b/>
                <w:bCs/>
                <w:sz w:val="20"/>
                <w:szCs w:val="20"/>
              </w:rPr>
            </w:pPr>
            <w:r>
              <w:rPr>
                <w:b/>
                <w:sz w:val="20"/>
              </w:rPr>
              <w:t>11</w:t>
            </w:r>
          </w:p>
        </w:tc>
        <w:tc>
          <w:tcPr>
            <w:tcW w:w="138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351D5DB2" w14:textId="77777777" w:rsidR="00F8589C" w:rsidRPr="00861214" w:rsidRDefault="00F8589C" w:rsidP="00B33657">
            <w:pPr>
              <w:widowControl/>
              <w:jc w:val="right"/>
              <w:rPr>
                <w:b/>
                <w:bCs/>
                <w:color w:val="000000"/>
                <w:sz w:val="20"/>
                <w:szCs w:val="20"/>
              </w:rPr>
            </w:pPr>
            <w:r>
              <w:rPr>
                <w:b/>
                <w:color w:val="000000"/>
                <w:sz w:val="20"/>
              </w:rPr>
              <w:t>137</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42A03700" w14:textId="77777777" w:rsidR="00F8589C" w:rsidRPr="00861214" w:rsidRDefault="00F8589C" w:rsidP="00B33657">
            <w:pPr>
              <w:widowControl/>
              <w:jc w:val="right"/>
              <w:rPr>
                <w:b/>
                <w:bCs/>
                <w:color w:val="000000"/>
                <w:sz w:val="20"/>
                <w:szCs w:val="20"/>
              </w:rPr>
            </w:pPr>
            <w:r>
              <w:rPr>
                <w:b/>
                <w:color w:val="000000"/>
                <w:sz w:val="20"/>
              </w:rPr>
              <w:t>626</w:t>
            </w:r>
          </w:p>
        </w:tc>
      </w:tr>
      <w:tr w:rsidR="00F8589C" w:rsidRPr="00861214" w14:paraId="5565F056" w14:textId="77777777" w:rsidTr="00C368FF">
        <w:trPr>
          <w:trHeight w:val="270"/>
        </w:trPr>
        <w:tc>
          <w:tcPr>
            <w:tcW w:w="4541" w:type="dxa"/>
            <w:tcBorders>
              <w:top w:val="single" w:sz="4" w:space="0" w:color="auto"/>
              <w:left w:val="single" w:sz="4" w:space="0" w:color="auto"/>
              <w:bottom w:val="single" w:sz="4" w:space="0" w:color="auto"/>
              <w:right w:val="nil"/>
            </w:tcBorders>
            <w:shd w:val="clear" w:color="auto" w:fill="auto"/>
            <w:noWrap/>
            <w:vAlign w:val="center"/>
            <w:hideMark/>
          </w:tcPr>
          <w:p w14:paraId="7AB2F3E9" w14:textId="77777777" w:rsidR="00F8589C" w:rsidRPr="00861214" w:rsidRDefault="00F8589C" w:rsidP="00B33657">
            <w:pPr>
              <w:widowControl/>
              <w:rPr>
                <w:sz w:val="20"/>
                <w:szCs w:val="20"/>
              </w:rPr>
            </w:pPr>
            <w:r>
              <w:rPr>
                <w:sz w:val="20"/>
              </w:rPr>
              <w:t>Salarios, gastos sociales y otras prestaciones laborales</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E441ED1" w14:textId="77777777" w:rsidR="00F8589C" w:rsidRPr="00861214" w:rsidRDefault="00F8589C" w:rsidP="00B33657">
            <w:pPr>
              <w:widowControl/>
              <w:jc w:val="right"/>
              <w:rPr>
                <w:sz w:val="20"/>
                <w:szCs w:val="20"/>
              </w:rPr>
            </w:pPr>
            <w:r>
              <w:rPr>
                <w:sz w:val="20"/>
              </w:rPr>
              <w:t>331</w:t>
            </w:r>
          </w:p>
        </w:tc>
        <w:tc>
          <w:tcPr>
            <w:tcW w:w="1381" w:type="dxa"/>
            <w:tcBorders>
              <w:top w:val="nil"/>
              <w:left w:val="nil"/>
              <w:bottom w:val="single" w:sz="4" w:space="0" w:color="auto"/>
              <w:right w:val="single" w:sz="4" w:space="0" w:color="auto"/>
            </w:tcBorders>
            <w:shd w:val="clear" w:color="auto" w:fill="auto"/>
            <w:noWrap/>
            <w:vAlign w:val="center"/>
            <w:hideMark/>
          </w:tcPr>
          <w:p w14:paraId="565F046D" w14:textId="77777777" w:rsidR="00F8589C" w:rsidRPr="00861214" w:rsidRDefault="00F8589C" w:rsidP="00B33657">
            <w:pPr>
              <w:widowControl/>
              <w:jc w:val="right"/>
              <w:rPr>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1639B4E6" w14:textId="77777777" w:rsidR="00F8589C" w:rsidRPr="00861214" w:rsidRDefault="00F8589C" w:rsidP="00B33657">
            <w:pPr>
              <w:widowControl/>
              <w:jc w:val="right"/>
              <w:rPr>
                <w:color w:val="000000"/>
                <w:sz w:val="20"/>
                <w:szCs w:val="20"/>
              </w:rPr>
            </w:pPr>
            <w:r>
              <w:rPr>
                <w:color w:val="000000"/>
                <w:sz w:val="20"/>
              </w:rPr>
              <w:t>8</w:t>
            </w:r>
          </w:p>
        </w:tc>
        <w:tc>
          <w:tcPr>
            <w:tcW w:w="1381" w:type="dxa"/>
            <w:tcBorders>
              <w:top w:val="nil"/>
              <w:left w:val="nil"/>
              <w:bottom w:val="single" w:sz="4" w:space="0" w:color="auto"/>
              <w:right w:val="single" w:sz="4" w:space="0" w:color="auto"/>
            </w:tcBorders>
            <w:shd w:val="clear" w:color="auto" w:fill="auto"/>
            <w:noWrap/>
            <w:vAlign w:val="center"/>
            <w:hideMark/>
          </w:tcPr>
          <w:p w14:paraId="3EDD933A" w14:textId="77777777" w:rsidR="00F8589C" w:rsidRPr="00861214" w:rsidRDefault="00F8589C" w:rsidP="00B33657">
            <w:pPr>
              <w:widowControl/>
              <w:jc w:val="right"/>
              <w:rPr>
                <w:color w:val="000000"/>
                <w:sz w:val="20"/>
                <w:szCs w:val="20"/>
              </w:rPr>
            </w:pPr>
            <w:r>
              <w:rPr>
                <w:color w:val="000000"/>
                <w:sz w:val="20"/>
              </w:rPr>
              <w:t>339</w:t>
            </w:r>
          </w:p>
        </w:tc>
      </w:tr>
      <w:tr w:rsidR="00F8589C" w:rsidRPr="00861214" w14:paraId="18AE34C2" w14:textId="77777777" w:rsidTr="00C368FF">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1EC08" w14:textId="77777777" w:rsidR="00F8589C" w:rsidRPr="00861214" w:rsidRDefault="00F8589C" w:rsidP="00B33657">
            <w:pPr>
              <w:widowControl/>
              <w:rPr>
                <w:sz w:val="20"/>
                <w:szCs w:val="20"/>
              </w:rPr>
            </w:pPr>
            <w:r>
              <w:rPr>
                <w:sz w:val="20"/>
              </w:rPr>
              <w:t>Costos de contratación y separación del personal</w:t>
            </w:r>
          </w:p>
        </w:tc>
        <w:tc>
          <w:tcPr>
            <w:tcW w:w="1381" w:type="dxa"/>
            <w:tcBorders>
              <w:top w:val="nil"/>
              <w:left w:val="nil"/>
              <w:bottom w:val="single" w:sz="4" w:space="0" w:color="auto"/>
              <w:right w:val="single" w:sz="4" w:space="0" w:color="auto"/>
            </w:tcBorders>
            <w:shd w:val="clear" w:color="auto" w:fill="auto"/>
            <w:noWrap/>
            <w:vAlign w:val="center"/>
            <w:hideMark/>
          </w:tcPr>
          <w:p w14:paraId="2488D21D" w14:textId="77777777" w:rsidR="00F8589C" w:rsidRPr="00861214" w:rsidRDefault="00F8589C" w:rsidP="00B33657">
            <w:pPr>
              <w:widowControl/>
              <w:jc w:val="right"/>
              <w:rPr>
                <w:sz w:val="20"/>
                <w:szCs w:val="20"/>
              </w:rPr>
            </w:pPr>
            <w:r>
              <w:rPr>
                <w:sz w:val="20"/>
              </w:rPr>
              <w:t>52</w:t>
            </w:r>
          </w:p>
        </w:tc>
        <w:tc>
          <w:tcPr>
            <w:tcW w:w="1381" w:type="dxa"/>
            <w:tcBorders>
              <w:top w:val="nil"/>
              <w:left w:val="nil"/>
              <w:bottom w:val="single" w:sz="4" w:space="0" w:color="auto"/>
              <w:right w:val="single" w:sz="4" w:space="0" w:color="auto"/>
            </w:tcBorders>
            <w:shd w:val="clear" w:color="auto" w:fill="auto"/>
            <w:noWrap/>
            <w:vAlign w:val="center"/>
            <w:hideMark/>
          </w:tcPr>
          <w:p w14:paraId="2FF168E5" w14:textId="77777777" w:rsidR="00F8589C" w:rsidRPr="00861214" w:rsidRDefault="00F8589C" w:rsidP="00B33657">
            <w:pPr>
              <w:widowControl/>
              <w:jc w:val="right"/>
              <w:rPr>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5B51E22C" w14:textId="77777777" w:rsidR="00F8589C" w:rsidRPr="00D64944" w:rsidRDefault="00F8589C" w:rsidP="00B33657">
            <w:pPr>
              <w:widowControl/>
              <w:jc w:val="right"/>
              <w:rPr>
                <w:color w:val="000000"/>
                <w:sz w:val="20"/>
                <w:szCs w:val="20"/>
              </w:rPr>
            </w:pPr>
            <w:r>
              <w:rPr>
                <w:color w:val="000000"/>
                <w:sz w:val="20"/>
              </w:rPr>
              <w:t>36</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6F5E88AD" w14:textId="77777777" w:rsidR="00F8589C" w:rsidRPr="00861214" w:rsidRDefault="00F8589C" w:rsidP="00B33657">
            <w:pPr>
              <w:widowControl/>
              <w:jc w:val="right"/>
              <w:rPr>
                <w:color w:val="000000"/>
                <w:sz w:val="20"/>
                <w:szCs w:val="20"/>
              </w:rPr>
            </w:pPr>
            <w:r>
              <w:rPr>
                <w:color w:val="000000"/>
                <w:sz w:val="20"/>
              </w:rPr>
              <w:t>88</w:t>
            </w:r>
          </w:p>
        </w:tc>
      </w:tr>
      <w:tr w:rsidR="00F8589C" w:rsidRPr="00861214" w14:paraId="02A46E3F" w14:textId="77777777" w:rsidTr="00C368FF">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6E2ABD22" w14:textId="77777777" w:rsidR="00F8589C" w:rsidRPr="00861214" w:rsidRDefault="00F8589C" w:rsidP="00B33657">
            <w:pPr>
              <w:widowControl/>
              <w:rPr>
                <w:sz w:val="20"/>
                <w:szCs w:val="20"/>
              </w:rPr>
            </w:pPr>
            <w:r>
              <w:rPr>
                <w:sz w:val="20"/>
              </w:rPr>
              <w:t>Viajes</w:t>
            </w:r>
          </w:p>
        </w:tc>
        <w:tc>
          <w:tcPr>
            <w:tcW w:w="1381" w:type="dxa"/>
            <w:tcBorders>
              <w:top w:val="nil"/>
              <w:left w:val="nil"/>
              <w:bottom w:val="single" w:sz="4" w:space="0" w:color="auto"/>
              <w:right w:val="single" w:sz="4" w:space="0" w:color="auto"/>
            </w:tcBorders>
            <w:shd w:val="clear" w:color="auto" w:fill="auto"/>
            <w:noWrap/>
            <w:vAlign w:val="center"/>
            <w:hideMark/>
          </w:tcPr>
          <w:p w14:paraId="78A6A634" w14:textId="77777777" w:rsidR="00F8589C" w:rsidRPr="00861214" w:rsidRDefault="00F8589C" w:rsidP="00B33657">
            <w:pPr>
              <w:widowControl/>
              <w:jc w:val="right"/>
              <w:rPr>
                <w:sz w:val="20"/>
                <w:szCs w:val="20"/>
              </w:rPr>
            </w:pPr>
            <w:r>
              <w:rPr>
                <w:sz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2C43059D" w14:textId="77777777" w:rsidR="00F8589C" w:rsidRPr="00861214" w:rsidRDefault="00F8589C" w:rsidP="00B33657">
            <w:pPr>
              <w:widowControl/>
              <w:jc w:val="right"/>
              <w:rPr>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223B2118" w14:textId="77777777" w:rsidR="00F8589C" w:rsidRPr="00861214" w:rsidRDefault="00F8589C" w:rsidP="00B33657">
            <w:pPr>
              <w:widowControl/>
              <w:jc w:val="right"/>
              <w:rPr>
                <w:color w:val="000000"/>
                <w:sz w:val="20"/>
                <w:szCs w:val="20"/>
              </w:rPr>
            </w:pPr>
            <w:r>
              <w:rPr>
                <w:color w:val="000000"/>
                <w:sz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51714D04" w14:textId="77777777" w:rsidR="00F8589C" w:rsidRPr="00861214" w:rsidRDefault="00F8589C" w:rsidP="00B33657">
            <w:pPr>
              <w:widowControl/>
              <w:jc w:val="right"/>
              <w:rPr>
                <w:color w:val="000000"/>
                <w:sz w:val="20"/>
                <w:szCs w:val="20"/>
              </w:rPr>
            </w:pPr>
            <w:r>
              <w:rPr>
                <w:color w:val="000000"/>
                <w:sz w:val="20"/>
              </w:rPr>
              <w:t>0</w:t>
            </w:r>
          </w:p>
        </w:tc>
      </w:tr>
      <w:tr w:rsidR="00F8589C" w:rsidRPr="00861214" w14:paraId="01753DD7" w14:textId="77777777" w:rsidTr="00C368FF">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7926078D" w14:textId="77777777" w:rsidR="00F8589C" w:rsidRPr="00861214" w:rsidRDefault="00F8589C" w:rsidP="00B33657">
            <w:pPr>
              <w:widowControl/>
              <w:rPr>
                <w:sz w:val="20"/>
                <w:szCs w:val="20"/>
              </w:rPr>
            </w:pPr>
            <w:r>
              <w:rPr>
                <w:sz w:val="20"/>
              </w:rPr>
              <w:t>Equipo/material de oficina</w:t>
            </w:r>
          </w:p>
        </w:tc>
        <w:tc>
          <w:tcPr>
            <w:tcW w:w="1381" w:type="dxa"/>
            <w:tcBorders>
              <w:top w:val="nil"/>
              <w:left w:val="nil"/>
              <w:bottom w:val="single" w:sz="4" w:space="0" w:color="auto"/>
              <w:right w:val="single" w:sz="4" w:space="0" w:color="auto"/>
            </w:tcBorders>
            <w:shd w:val="clear" w:color="auto" w:fill="auto"/>
            <w:noWrap/>
            <w:vAlign w:val="center"/>
            <w:hideMark/>
          </w:tcPr>
          <w:p w14:paraId="42FCB3EC" w14:textId="77777777" w:rsidR="00F8589C" w:rsidRPr="00861214" w:rsidRDefault="00F8589C" w:rsidP="00B33657">
            <w:pPr>
              <w:widowControl/>
              <w:jc w:val="right"/>
              <w:rPr>
                <w:sz w:val="20"/>
                <w:szCs w:val="20"/>
              </w:rPr>
            </w:pPr>
            <w:r>
              <w:rPr>
                <w:sz w:val="20"/>
              </w:rPr>
              <w:t>95</w:t>
            </w:r>
          </w:p>
        </w:tc>
        <w:tc>
          <w:tcPr>
            <w:tcW w:w="1381" w:type="dxa"/>
            <w:tcBorders>
              <w:top w:val="nil"/>
              <w:left w:val="nil"/>
              <w:bottom w:val="single" w:sz="4" w:space="0" w:color="auto"/>
              <w:right w:val="single" w:sz="4" w:space="0" w:color="auto"/>
            </w:tcBorders>
            <w:shd w:val="clear" w:color="auto" w:fill="auto"/>
            <w:noWrap/>
            <w:vAlign w:val="center"/>
            <w:hideMark/>
          </w:tcPr>
          <w:p w14:paraId="738F2D56" w14:textId="77777777" w:rsidR="00F8589C" w:rsidRPr="00861214" w:rsidRDefault="00F8589C" w:rsidP="00B33657">
            <w:pPr>
              <w:widowControl/>
              <w:jc w:val="right"/>
              <w:rPr>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56CB3CD1" w14:textId="77777777" w:rsidR="00F8589C" w:rsidRPr="00861214" w:rsidRDefault="00F8589C" w:rsidP="00B33657">
            <w:pPr>
              <w:widowControl/>
              <w:jc w:val="right"/>
              <w:rPr>
                <w:color w:val="000000"/>
                <w:sz w:val="20"/>
                <w:szCs w:val="20"/>
              </w:rPr>
            </w:pPr>
            <w:r>
              <w:rPr>
                <w:color w:val="000000"/>
                <w:sz w:val="20"/>
              </w:rPr>
              <w:t>28</w:t>
            </w:r>
          </w:p>
        </w:tc>
        <w:tc>
          <w:tcPr>
            <w:tcW w:w="1381" w:type="dxa"/>
            <w:tcBorders>
              <w:top w:val="nil"/>
              <w:left w:val="nil"/>
              <w:bottom w:val="single" w:sz="4" w:space="0" w:color="auto"/>
              <w:right w:val="single" w:sz="4" w:space="0" w:color="auto"/>
            </w:tcBorders>
            <w:shd w:val="clear" w:color="auto" w:fill="auto"/>
            <w:noWrap/>
            <w:vAlign w:val="center"/>
            <w:hideMark/>
          </w:tcPr>
          <w:p w14:paraId="4DE91270" w14:textId="77777777" w:rsidR="00F8589C" w:rsidRPr="00861214" w:rsidRDefault="00F8589C" w:rsidP="00B33657">
            <w:pPr>
              <w:widowControl/>
              <w:jc w:val="right"/>
              <w:rPr>
                <w:color w:val="000000"/>
                <w:sz w:val="20"/>
                <w:szCs w:val="20"/>
              </w:rPr>
            </w:pPr>
            <w:r>
              <w:rPr>
                <w:color w:val="000000"/>
                <w:sz w:val="20"/>
              </w:rPr>
              <w:t>123</w:t>
            </w:r>
          </w:p>
        </w:tc>
      </w:tr>
      <w:tr w:rsidR="00F8589C" w:rsidRPr="00861214" w14:paraId="3BB3C141" w14:textId="77777777" w:rsidTr="00C368FF">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20AD8" w14:textId="77777777" w:rsidR="00F8589C" w:rsidRPr="00861214" w:rsidRDefault="00F8589C" w:rsidP="00B33657">
            <w:pPr>
              <w:widowControl/>
              <w:rPr>
                <w:sz w:val="20"/>
                <w:szCs w:val="20"/>
              </w:rPr>
            </w:pPr>
            <w:r>
              <w:rPr>
                <w:sz w:val="20"/>
              </w:rPr>
              <w:t>Planificación y creación de capacidad</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59F6BA9D" w14:textId="77777777" w:rsidR="00F8589C" w:rsidRPr="00861214" w:rsidRDefault="00F8589C" w:rsidP="00B33657">
            <w:pPr>
              <w:widowControl/>
              <w:jc w:val="right"/>
              <w:rPr>
                <w:sz w:val="20"/>
                <w:szCs w:val="20"/>
              </w:rPr>
            </w:pPr>
            <w:r>
              <w:rPr>
                <w:sz w:val="20"/>
              </w:rPr>
              <w:t>0</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6961FC93" w14:textId="77777777" w:rsidR="00F8589C" w:rsidRPr="00861214" w:rsidRDefault="00F8589C" w:rsidP="00B33657">
            <w:pPr>
              <w:widowControl/>
              <w:jc w:val="right"/>
              <w:rPr>
                <w:sz w:val="20"/>
                <w:szCs w:val="20"/>
              </w:rPr>
            </w:pPr>
            <w:r>
              <w:rPr>
                <w:sz w:val="20"/>
              </w:rPr>
              <w:t>11</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38C56" w14:textId="77777777" w:rsidR="00F8589C" w:rsidRPr="00861214" w:rsidRDefault="00F8589C" w:rsidP="00B33657">
            <w:pPr>
              <w:widowControl/>
              <w:jc w:val="right"/>
              <w:rPr>
                <w:sz w:val="20"/>
                <w:szCs w:val="20"/>
              </w:rPr>
            </w:pPr>
            <w:r>
              <w:rPr>
                <w:sz w:val="20"/>
              </w:rPr>
              <w:t>65</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41CB9F86" w14:textId="77777777" w:rsidR="00F8589C" w:rsidRPr="00861214" w:rsidRDefault="00F8589C" w:rsidP="00B33657">
            <w:pPr>
              <w:widowControl/>
              <w:jc w:val="right"/>
              <w:rPr>
                <w:color w:val="000000"/>
                <w:sz w:val="20"/>
                <w:szCs w:val="20"/>
              </w:rPr>
            </w:pPr>
            <w:r>
              <w:rPr>
                <w:color w:val="000000"/>
                <w:sz w:val="20"/>
              </w:rPr>
              <w:t>76</w:t>
            </w:r>
          </w:p>
        </w:tc>
      </w:tr>
      <w:tr w:rsidR="00F8589C" w:rsidRPr="00861214" w14:paraId="31065EE0" w14:textId="77777777" w:rsidTr="00C368FF">
        <w:trPr>
          <w:trHeight w:val="270"/>
        </w:trPr>
        <w:tc>
          <w:tcPr>
            <w:tcW w:w="4541" w:type="dxa"/>
            <w:tcBorders>
              <w:left w:val="single" w:sz="4" w:space="0" w:color="auto"/>
              <w:bottom w:val="single" w:sz="4" w:space="0" w:color="auto"/>
              <w:right w:val="single" w:sz="4" w:space="0" w:color="auto"/>
            </w:tcBorders>
            <w:shd w:val="clear" w:color="000000" w:fill="EAF1DD"/>
            <w:vAlign w:val="center"/>
            <w:hideMark/>
          </w:tcPr>
          <w:p w14:paraId="7A09B1D4" w14:textId="77777777" w:rsidR="00F8589C" w:rsidRPr="00861214" w:rsidRDefault="00F8589C" w:rsidP="00B33657">
            <w:pPr>
              <w:widowControl/>
              <w:rPr>
                <w:sz w:val="20"/>
                <w:szCs w:val="20"/>
              </w:rPr>
            </w:pPr>
            <w:r>
              <w:rPr>
                <w:sz w:val="20"/>
              </w:rPr>
              <w:t>G. Servicios para el Comité Permanente</w:t>
            </w:r>
          </w:p>
        </w:tc>
        <w:tc>
          <w:tcPr>
            <w:tcW w:w="1381" w:type="dxa"/>
            <w:tcBorders>
              <w:left w:val="nil"/>
              <w:bottom w:val="single" w:sz="4" w:space="0" w:color="auto"/>
              <w:right w:val="single" w:sz="4" w:space="0" w:color="auto"/>
            </w:tcBorders>
            <w:shd w:val="clear" w:color="000000" w:fill="EAF1DD"/>
            <w:noWrap/>
            <w:vAlign w:val="center"/>
            <w:hideMark/>
          </w:tcPr>
          <w:p w14:paraId="60F7FC56" w14:textId="77777777" w:rsidR="00F8589C" w:rsidRPr="00861214" w:rsidRDefault="00F8589C" w:rsidP="00B33657">
            <w:pPr>
              <w:widowControl/>
              <w:jc w:val="right"/>
              <w:rPr>
                <w:b/>
                <w:bCs/>
                <w:sz w:val="20"/>
                <w:szCs w:val="20"/>
              </w:rPr>
            </w:pPr>
            <w:r>
              <w:rPr>
                <w:b/>
                <w:sz w:val="20"/>
              </w:rPr>
              <w:t>150</w:t>
            </w:r>
          </w:p>
        </w:tc>
        <w:tc>
          <w:tcPr>
            <w:tcW w:w="1381" w:type="dxa"/>
            <w:tcBorders>
              <w:left w:val="nil"/>
              <w:bottom w:val="single" w:sz="4" w:space="0" w:color="auto"/>
              <w:right w:val="single" w:sz="4" w:space="0" w:color="auto"/>
            </w:tcBorders>
            <w:shd w:val="clear" w:color="000000" w:fill="EAF1DD"/>
            <w:noWrap/>
            <w:vAlign w:val="center"/>
            <w:hideMark/>
          </w:tcPr>
          <w:p w14:paraId="249865DB" w14:textId="77777777" w:rsidR="00F8589C" w:rsidRPr="00861214" w:rsidRDefault="00F8589C" w:rsidP="00B33657">
            <w:pPr>
              <w:widowControl/>
              <w:jc w:val="right"/>
              <w:rPr>
                <w:b/>
                <w:bCs/>
                <w:sz w:val="20"/>
                <w:szCs w:val="20"/>
              </w:rPr>
            </w:pPr>
            <w:r>
              <w:rPr>
                <w:b/>
                <w:sz w:val="20"/>
              </w:rPr>
              <w:t>0</w:t>
            </w:r>
          </w:p>
        </w:tc>
        <w:tc>
          <w:tcPr>
            <w:tcW w:w="1381" w:type="dxa"/>
            <w:tcBorders>
              <w:left w:val="single" w:sz="4" w:space="0" w:color="auto"/>
              <w:bottom w:val="single" w:sz="4" w:space="0" w:color="auto"/>
              <w:right w:val="single" w:sz="4" w:space="0" w:color="auto"/>
            </w:tcBorders>
            <w:shd w:val="clear" w:color="000000" w:fill="EAF1DD"/>
            <w:noWrap/>
            <w:vAlign w:val="center"/>
            <w:hideMark/>
          </w:tcPr>
          <w:p w14:paraId="05884AA5" w14:textId="77777777" w:rsidR="00F8589C" w:rsidRPr="00861214" w:rsidRDefault="00F8589C" w:rsidP="00B33657">
            <w:pPr>
              <w:widowControl/>
              <w:jc w:val="right"/>
              <w:rPr>
                <w:b/>
                <w:bCs/>
                <w:color w:val="000000"/>
                <w:sz w:val="20"/>
                <w:szCs w:val="20"/>
              </w:rPr>
            </w:pPr>
            <w:r>
              <w:rPr>
                <w:b/>
                <w:color w:val="000000"/>
                <w:sz w:val="20"/>
              </w:rPr>
              <w:t>41</w:t>
            </w:r>
          </w:p>
        </w:tc>
        <w:tc>
          <w:tcPr>
            <w:tcW w:w="1381" w:type="dxa"/>
            <w:tcBorders>
              <w:left w:val="nil"/>
              <w:bottom w:val="single" w:sz="4" w:space="0" w:color="auto"/>
              <w:right w:val="single" w:sz="4" w:space="0" w:color="auto"/>
            </w:tcBorders>
            <w:shd w:val="clear" w:color="000000" w:fill="EAF1DD"/>
            <w:noWrap/>
            <w:vAlign w:val="center"/>
            <w:hideMark/>
          </w:tcPr>
          <w:p w14:paraId="58A44560" w14:textId="77777777" w:rsidR="00F8589C" w:rsidRPr="00861214" w:rsidRDefault="00F8589C" w:rsidP="00B33657">
            <w:pPr>
              <w:widowControl/>
              <w:jc w:val="right"/>
              <w:rPr>
                <w:b/>
                <w:bCs/>
                <w:color w:val="000000"/>
                <w:sz w:val="20"/>
                <w:szCs w:val="20"/>
              </w:rPr>
            </w:pPr>
            <w:r>
              <w:rPr>
                <w:b/>
                <w:color w:val="000000"/>
                <w:sz w:val="20"/>
              </w:rPr>
              <w:t>191</w:t>
            </w:r>
          </w:p>
        </w:tc>
      </w:tr>
      <w:tr w:rsidR="00F8589C" w:rsidRPr="00861214" w14:paraId="6238327C" w14:textId="77777777" w:rsidTr="00C368FF">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5C727989" w14:textId="77777777" w:rsidR="00F8589C" w:rsidRPr="00861214" w:rsidRDefault="00F8589C" w:rsidP="00B33657">
            <w:pPr>
              <w:widowControl/>
              <w:rPr>
                <w:sz w:val="20"/>
                <w:szCs w:val="20"/>
              </w:rPr>
            </w:pPr>
            <w:r>
              <w:rPr>
                <w:sz w:val="20"/>
              </w:rPr>
              <w:t>Apoyo a los delegados del Comité Permanente</w:t>
            </w:r>
          </w:p>
        </w:tc>
        <w:tc>
          <w:tcPr>
            <w:tcW w:w="1381" w:type="dxa"/>
            <w:tcBorders>
              <w:top w:val="nil"/>
              <w:left w:val="nil"/>
              <w:bottom w:val="single" w:sz="4" w:space="0" w:color="auto"/>
              <w:right w:val="single" w:sz="4" w:space="0" w:color="auto"/>
            </w:tcBorders>
            <w:shd w:val="clear" w:color="auto" w:fill="auto"/>
            <w:noWrap/>
            <w:vAlign w:val="center"/>
            <w:hideMark/>
          </w:tcPr>
          <w:p w14:paraId="2EAD6585" w14:textId="77777777" w:rsidR="00F8589C" w:rsidRPr="00861214" w:rsidRDefault="00F8589C" w:rsidP="00B33657">
            <w:pPr>
              <w:widowControl/>
              <w:jc w:val="right"/>
              <w:rPr>
                <w:sz w:val="20"/>
                <w:szCs w:val="20"/>
              </w:rPr>
            </w:pPr>
            <w:r>
              <w:rPr>
                <w:sz w:val="20"/>
              </w:rPr>
              <w:t>45</w:t>
            </w:r>
          </w:p>
        </w:tc>
        <w:tc>
          <w:tcPr>
            <w:tcW w:w="1381" w:type="dxa"/>
            <w:tcBorders>
              <w:top w:val="nil"/>
              <w:left w:val="nil"/>
              <w:bottom w:val="single" w:sz="4" w:space="0" w:color="auto"/>
              <w:right w:val="single" w:sz="4" w:space="0" w:color="auto"/>
            </w:tcBorders>
            <w:shd w:val="clear" w:color="auto" w:fill="auto"/>
            <w:noWrap/>
            <w:vAlign w:val="center"/>
            <w:hideMark/>
          </w:tcPr>
          <w:p w14:paraId="4D1C769B" w14:textId="77777777" w:rsidR="00F8589C" w:rsidRPr="00861214" w:rsidRDefault="00F8589C" w:rsidP="00B33657">
            <w:pPr>
              <w:widowControl/>
              <w:jc w:val="right"/>
              <w:rPr>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57FF0999" w14:textId="77777777" w:rsidR="00F8589C" w:rsidRPr="00861214" w:rsidRDefault="00F8589C" w:rsidP="00B33657">
            <w:pPr>
              <w:widowControl/>
              <w:jc w:val="right"/>
              <w:rPr>
                <w:color w:val="000000"/>
                <w:sz w:val="20"/>
                <w:szCs w:val="20"/>
              </w:rPr>
            </w:pPr>
            <w:r>
              <w:rPr>
                <w:color w:val="000000"/>
                <w:sz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6E2024FF" w14:textId="77777777" w:rsidR="00F8589C" w:rsidRPr="00861214" w:rsidRDefault="00F8589C" w:rsidP="00B33657">
            <w:pPr>
              <w:widowControl/>
              <w:jc w:val="right"/>
              <w:rPr>
                <w:color w:val="000000"/>
                <w:sz w:val="20"/>
                <w:szCs w:val="20"/>
              </w:rPr>
            </w:pPr>
            <w:r>
              <w:rPr>
                <w:color w:val="000000"/>
                <w:sz w:val="20"/>
              </w:rPr>
              <w:t>45</w:t>
            </w:r>
          </w:p>
        </w:tc>
      </w:tr>
      <w:tr w:rsidR="00F8589C" w:rsidRPr="00861214" w14:paraId="05489ADC" w14:textId="77777777" w:rsidTr="00C368FF">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20F5B5F6" w14:textId="77777777" w:rsidR="00F8589C" w:rsidRPr="00861214" w:rsidRDefault="00F8589C" w:rsidP="00B33657">
            <w:pPr>
              <w:widowControl/>
              <w:rPr>
                <w:sz w:val="20"/>
                <w:szCs w:val="20"/>
              </w:rPr>
            </w:pPr>
            <w:r>
              <w:rPr>
                <w:sz w:val="20"/>
              </w:rPr>
              <w:t>Reuniones del Comité Permanente</w:t>
            </w:r>
          </w:p>
        </w:tc>
        <w:tc>
          <w:tcPr>
            <w:tcW w:w="1381" w:type="dxa"/>
            <w:tcBorders>
              <w:top w:val="nil"/>
              <w:left w:val="nil"/>
              <w:bottom w:val="single" w:sz="4" w:space="0" w:color="auto"/>
              <w:right w:val="single" w:sz="4" w:space="0" w:color="auto"/>
            </w:tcBorders>
            <w:shd w:val="clear" w:color="auto" w:fill="auto"/>
            <w:noWrap/>
            <w:vAlign w:val="center"/>
            <w:hideMark/>
          </w:tcPr>
          <w:p w14:paraId="0D525BF6" w14:textId="77777777" w:rsidR="00F8589C" w:rsidRPr="00861214" w:rsidRDefault="00F8589C" w:rsidP="00B33657">
            <w:pPr>
              <w:widowControl/>
              <w:jc w:val="right"/>
              <w:rPr>
                <w:sz w:val="20"/>
                <w:szCs w:val="20"/>
              </w:rPr>
            </w:pPr>
            <w:r>
              <w:rPr>
                <w:sz w:val="20"/>
              </w:rPr>
              <w:t>10</w:t>
            </w:r>
          </w:p>
        </w:tc>
        <w:tc>
          <w:tcPr>
            <w:tcW w:w="1381" w:type="dxa"/>
            <w:tcBorders>
              <w:top w:val="nil"/>
              <w:left w:val="nil"/>
              <w:bottom w:val="single" w:sz="4" w:space="0" w:color="auto"/>
              <w:right w:val="single" w:sz="4" w:space="0" w:color="auto"/>
            </w:tcBorders>
            <w:shd w:val="clear" w:color="auto" w:fill="auto"/>
            <w:noWrap/>
            <w:vAlign w:val="center"/>
            <w:hideMark/>
          </w:tcPr>
          <w:p w14:paraId="2B9EABAF" w14:textId="77777777" w:rsidR="00F8589C" w:rsidRPr="00861214" w:rsidRDefault="00F8589C" w:rsidP="00B33657">
            <w:pPr>
              <w:widowControl/>
              <w:jc w:val="right"/>
              <w:rPr>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012D1EB6" w14:textId="77777777" w:rsidR="00F8589C" w:rsidRPr="00861214" w:rsidRDefault="00F8589C" w:rsidP="00B33657">
            <w:pPr>
              <w:widowControl/>
              <w:jc w:val="right"/>
              <w:rPr>
                <w:color w:val="000000"/>
                <w:sz w:val="20"/>
                <w:szCs w:val="20"/>
              </w:rPr>
            </w:pPr>
            <w:r>
              <w:rPr>
                <w:color w:val="000000"/>
                <w:sz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3AFFE031" w14:textId="77777777" w:rsidR="00F8589C" w:rsidRPr="00861214" w:rsidRDefault="00F8589C" w:rsidP="00B33657">
            <w:pPr>
              <w:widowControl/>
              <w:jc w:val="right"/>
              <w:rPr>
                <w:color w:val="000000"/>
                <w:sz w:val="20"/>
                <w:szCs w:val="20"/>
              </w:rPr>
            </w:pPr>
            <w:r>
              <w:rPr>
                <w:color w:val="000000"/>
                <w:sz w:val="20"/>
              </w:rPr>
              <w:t>10</w:t>
            </w:r>
          </w:p>
        </w:tc>
      </w:tr>
      <w:tr w:rsidR="00F8589C" w:rsidRPr="00861214" w14:paraId="6888D0F1" w14:textId="77777777" w:rsidTr="00C368FF">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4D69ADCE" w14:textId="77777777" w:rsidR="00F8589C" w:rsidRPr="00861214" w:rsidRDefault="00F8589C" w:rsidP="00B33657">
            <w:pPr>
              <w:widowControl/>
              <w:rPr>
                <w:sz w:val="20"/>
                <w:szCs w:val="20"/>
              </w:rPr>
            </w:pPr>
            <w:r>
              <w:rPr>
                <w:sz w:val="20"/>
              </w:rPr>
              <w:t>Traducción para el CP</w:t>
            </w:r>
          </w:p>
        </w:tc>
        <w:tc>
          <w:tcPr>
            <w:tcW w:w="1381" w:type="dxa"/>
            <w:tcBorders>
              <w:top w:val="nil"/>
              <w:left w:val="nil"/>
              <w:bottom w:val="single" w:sz="4" w:space="0" w:color="auto"/>
              <w:right w:val="single" w:sz="4" w:space="0" w:color="auto"/>
            </w:tcBorders>
            <w:shd w:val="clear" w:color="auto" w:fill="auto"/>
            <w:noWrap/>
            <w:vAlign w:val="center"/>
            <w:hideMark/>
          </w:tcPr>
          <w:p w14:paraId="6A3DA767" w14:textId="77777777" w:rsidR="00F8589C" w:rsidRPr="00861214" w:rsidRDefault="00F8589C" w:rsidP="00B33657">
            <w:pPr>
              <w:widowControl/>
              <w:jc w:val="right"/>
              <w:rPr>
                <w:sz w:val="20"/>
                <w:szCs w:val="20"/>
              </w:rPr>
            </w:pPr>
            <w:r>
              <w:rPr>
                <w:sz w:val="20"/>
              </w:rPr>
              <w:t>60</w:t>
            </w:r>
          </w:p>
        </w:tc>
        <w:tc>
          <w:tcPr>
            <w:tcW w:w="1381" w:type="dxa"/>
            <w:tcBorders>
              <w:top w:val="nil"/>
              <w:left w:val="nil"/>
              <w:bottom w:val="single" w:sz="4" w:space="0" w:color="auto"/>
              <w:right w:val="single" w:sz="4" w:space="0" w:color="auto"/>
            </w:tcBorders>
            <w:shd w:val="clear" w:color="auto" w:fill="auto"/>
            <w:noWrap/>
            <w:vAlign w:val="center"/>
            <w:hideMark/>
          </w:tcPr>
          <w:p w14:paraId="5A4C0604" w14:textId="77777777" w:rsidR="00F8589C" w:rsidRPr="00861214" w:rsidRDefault="00F8589C" w:rsidP="00B33657">
            <w:pPr>
              <w:widowControl/>
              <w:jc w:val="right"/>
              <w:rPr>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18F9B00" w14:textId="77777777" w:rsidR="00F8589C" w:rsidRPr="00861214" w:rsidRDefault="00F8589C" w:rsidP="00B33657">
            <w:pPr>
              <w:widowControl/>
              <w:jc w:val="right"/>
              <w:rPr>
                <w:color w:val="000000"/>
                <w:sz w:val="20"/>
                <w:szCs w:val="20"/>
              </w:rPr>
            </w:pPr>
            <w:r>
              <w:rPr>
                <w:color w:val="000000"/>
                <w:sz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6D3A16C7" w14:textId="77777777" w:rsidR="00F8589C" w:rsidRPr="00861214" w:rsidRDefault="00F8589C" w:rsidP="00B33657">
            <w:pPr>
              <w:widowControl/>
              <w:jc w:val="right"/>
              <w:rPr>
                <w:color w:val="000000"/>
                <w:sz w:val="20"/>
                <w:szCs w:val="20"/>
              </w:rPr>
            </w:pPr>
            <w:r>
              <w:rPr>
                <w:color w:val="000000"/>
                <w:sz w:val="20"/>
              </w:rPr>
              <w:t>60</w:t>
            </w:r>
          </w:p>
        </w:tc>
      </w:tr>
      <w:tr w:rsidR="00F8589C" w:rsidRPr="00861214" w14:paraId="3B74587B" w14:textId="77777777" w:rsidTr="00C368FF">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63C4A91B" w14:textId="77777777" w:rsidR="00F8589C" w:rsidRPr="00861214" w:rsidRDefault="00F8589C" w:rsidP="00B33657">
            <w:pPr>
              <w:widowControl/>
              <w:rPr>
                <w:sz w:val="20"/>
                <w:szCs w:val="20"/>
              </w:rPr>
            </w:pPr>
            <w:r>
              <w:rPr>
                <w:sz w:val="20"/>
              </w:rPr>
              <w:t>Interpretación simultánea en las reuniones del CP</w:t>
            </w:r>
          </w:p>
        </w:tc>
        <w:tc>
          <w:tcPr>
            <w:tcW w:w="1381" w:type="dxa"/>
            <w:tcBorders>
              <w:top w:val="nil"/>
              <w:left w:val="nil"/>
              <w:bottom w:val="single" w:sz="4" w:space="0" w:color="auto"/>
              <w:right w:val="single" w:sz="4" w:space="0" w:color="auto"/>
            </w:tcBorders>
            <w:shd w:val="clear" w:color="auto" w:fill="auto"/>
            <w:noWrap/>
            <w:vAlign w:val="center"/>
            <w:hideMark/>
          </w:tcPr>
          <w:p w14:paraId="0A985ECF" w14:textId="77777777" w:rsidR="00F8589C" w:rsidRPr="00861214" w:rsidRDefault="00F8589C" w:rsidP="00B33657">
            <w:pPr>
              <w:widowControl/>
              <w:jc w:val="right"/>
              <w:rPr>
                <w:sz w:val="20"/>
                <w:szCs w:val="20"/>
              </w:rPr>
            </w:pPr>
            <w:r>
              <w:rPr>
                <w:sz w:val="20"/>
              </w:rPr>
              <w:t>35</w:t>
            </w:r>
          </w:p>
        </w:tc>
        <w:tc>
          <w:tcPr>
            <w:tcW w:w="1381" w:type="dxa"/>
            <w:tcBorders>
              <w:top w:val="nil"/>
              <w:left w:val="nil"/>
              <w:bottom w:val="single" w:sz="4" w:space="0" w:color="auto"/>
              <w:right w:val="single" w:sz="4" w:space="0" w:color="auto"/>
            </w:tcBorders>
            <w:shd w:val="clear" w:color="auto" w:fill="auto"/>
            <w:noWrap/>
            <w:vAlign w:val="center"/>
            <w:hideMark/>
          </w:tcPr>
          <w:p w14:paraId="1279D131" w14:textId="77777777" w:rsidR="00F8589C" w:rsidRPr="00861214" w:rsidRDefault="00F8589C" w:rsidP="00B33657">
            <w:pPr>
              <w:widowControl/>
              <w:jc w:val="right"/>
              <w:rPr>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665AFBCC" w14:textId="77777777" w:rsidR="00F8589C" w:rsidRPr="00861214" w:rsidRDefault="00F8589C" w:rsidP="00B33657">
            <w:pPr>
              <w:widowControl/>
              <w:jc w:val="right"/>
              <w:rPr>
                <w:color w:val="000000"/>
                <w:sz w:val="20"/>
                <w:szCs w:val="20"/>
              </w:rPr>
            </w:pPr>
            <w:r>
              <w:rPr>
                <w:color w:val="000000"/>
                <w:sz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4B7AA763" w14:textId="77777777" w:rsidR="00F8589C" w:rsidRPr="00861214" w:rsidRDefault="00F8589C" w:rsidP="00B33657">
            <w:pPr>
              <w:widowControl/>
              <w:jc w:val="right"/>
              <w:rPr>
                <w:color w:val="000000"/>
                <w:sz w:val="20"/>
                <w:szCs w:val="20"/>
              </w:rPr>
            </w:pPr>
            <w:r>
              <w:rPr>
                <w:color w:val="000000"/>
                <w:sz w:val="20"/>
              </w:rPr>
              <w:t>35</w:t>
            </w:r>
          </w:p>
        </w:tc>
      </w:tr>
      <w:tr w:rsidR="00F8589C" w:rsidRPr="00861214" w14:paraId="781861B8" w14:textId="77777777" w:rsidTr="00C368FF">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79734684" w14:textId="77777777" w:rsidR="00F8589C" w:rsidRPr="00861214" w:rsidRDefault="00F8589C" w:rsidP="00B33657">
            <w:pPr>
              <w:widowControl/>
              <w:rPr>
                <w:sz w:val="20"/>
                <w:szCs w:val="20"/>
              </w:rPr>
            </w:pPr>
            <w:r>
              <w:rPr>
                <w:sz w:val="20"/>
              </w:rPr>
              <w:t>Grupo de trabajo sobre la eficacia</w:t>
            </w:r>
          </w:p>
        </w:tc>
        <w:tc>
          <w:tcPr>
            <w:tcW w:w="1381" w:type="dxa"/>
            <w:tcBorders>
              <w:top w:val="nil"/>
              <w:left w:val="nil"/>
              <w:bottom w:val="single" w:sz="4" w:space="0" w:color="auto"/>
              <w:right w:val="single" w:sz="4" w:space="0" w:color="auto"/>
            </w:tcBorders>
            <w:shd w:val="clear" w:color="auto" w:fill="auto"/>
            <w:noWrap/>
            <w:vAlign w:val="center"/>
            <w:hideMark/>
          </w:tcPr>
          <w:p w14:paraId="56651C01" w14:textId="77777777" w:rsidR="00F8589C" w:rsidRPr="00861214" w:rsidRDefault="00F8589C" w:rsidP="00B33657">
            <w:pPr>
              <w:widowControl/>
              <w:jc w:val="right"/>
              <w:rPr>
                <w:sz w:val="20"/>
                <w:szCs w:val="20"/>
              </w:rPr>
            </w:pPr>
            <w:r>
              <w:rPr>
                <w:sz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7FF03B7C" w14:textId="77777777" w:rsidR="00F8589C" w:rsidRPr="00861214" w:rsidRDefault="00F8589C" w:rsidP="00B33657">
            <w:pPr>
              <w:widowControl/>
              <w:jc w:val="right"/>
              <w:rPr>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E26FE2E" w14:textId="77777777" w:rsidR="00F8589C" w:rsidRPr="00861214" w:rsidRDefault="00F8589C" w:rsidP="00B33657">
            <w:pPr>
              <w:widowControl/>
              <w:jc w:val="right"/>
              <w:rPr>
                <w:color w:val="000000"/>
                <w:sz w:val="20"/>
                <w:szCs w:val="20"/>
              </w:rPr>
            </w:pPr>
            <w:r>
              <w:rPr>
                <w:color w:val="000000"/>
                <w:sz w:val="20"/>
              </w:rPr>
              <w:t>4</w:t>
            </w:r>
          </w:p>
        </w:tc>
        <w:tc>
          <w:tcPr>
            <w:tcW w:w="1381" w:type="dxa"/>
            <w:tcBorders>
              <w:top w:val="nil"/>
              <w:left w:val="nil"/>
              <w:bottom w:val="single" w:sz="4" w:space="0" w:color="auto"/>
              <w:right w:val="single" w:sz="4" w:space="0" w:color="auto"/>
            </w:tcBorders>
            <w:shd w:val="clear" w:color="auto" w:fill="auto"/>
            <w:noWrap/>
            <w:vAlign w:val="center"/>
            <w:hideMark/>
          </w:tcPr>
          <w:p w14:paraId="78F2078B" w14:textId="77777777" w:rsidR="00F8589C" w:rsidRPr="00861214" w:rsidRDefault="00F8589C" w:rsidP="00B33657">
            <w:pPr>
              <w:widowControl/>
              <w:jc w:val="right"/>
              <w:rPr>
                <w:color w:val="000000"/>
                <w:sz w:val="20"/>
                <w:szCs w:val="20"/>
              </w:rPr>
            </w:pPr>
            <w:r>
              <w:rPr>
                <w:color w:val="000000"/>
                <w:sz w:val="20"/>
              </w:rPr>
              <w:t>4</w:t>
            </w:r>
          </w:p>
        </w:tc>
      </w:tr>
      <w:tr w:rsidR="00F8589C" w:rsidRPr="00861214" w14:paraId="22927215" w14:textId="77777777" w:rsidTr="00C368FF">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tcPr>
          <w:p w14:paraId="5A69C45B" w14:textId="77777777" w:rsidR="00F8589C" w:rsidRPr="00861214" w:rsidRDefault="00F8589C" w:rsidP="00B33657">
            <w:pPr>
              <w:widowControl/>
              <w:rPr>
                <w:sz w:val="20"/>
                <w:szCs w:val="20"/>
              </w:rPr>
            </w:pPr>
            <w:r>
              <w:rPr>
                <w:sz w:val="20"/>
              </w:rPr>
              <w:t>Mejora de la eficacia y colaboración (Res. XIV.3)</w:t>
            </w:r>
          </w:p>
        </w:tc>
        <w:tc>
          <w:tcPr>
            <w:tcW w:w="1381" w:type="dxa"/>
            <w:tcBorders>
              <w:top w:val="nil"/>
              <w:left w:val="nil"/>
              <w:bottom w:val="single" w:sz="4" w:space="0" w:color="auto"/>
              <w:right w:val="single" w:sz="4" w:space="0" w:color="auto"/>
            </w:tcBorders>
            <w:shd w:val="clear" w:color="auto" w:fill="auto"/>
            <w:noWrap/>
            <w:vAlign w:val="center"/>
          </w:tcPr>
          <w:p w14:paraId="269EC248" w14:textId="77777777" w:rsidR="00F8589C" w:rsidRPr="00861214" w:rsidRDefault="00F8589C" w:rsidP="00B33657">
            <w:pPr>
              <w:widowControl/>
              <w:jc w:val="right"/>
              <w:rPr>
                <w:sz w:val="20"/>
                <w:szCs w:val="20"/>
              </w:rPr>
            </w:pPr>
            <w:r>
              <w:rPr>
                <w:sz w:val="20"/>
              </w:rPr>
              <w:t>0</w:t>
            </w:r>
          </w:p>
        </w:tc>
        <w:tc>
          <w:tcPr>
            <w:tcW w:w="1381" w:type="dxa"/>
            <w:tcBorders>
              <w:top w:val="nil"/>
              <w:left w:val="nil"/>
              <w:bottom w:val="single" w:sz="4" w:space="0" w:color="auto"/>
              <w:right w:val="single" w:sz="4" w:space="0" w:color="auto"/>
            </w:tcBorders>
            <w:shd w:val="clear" w:color="auto" w:fill="auto"/>
            <w:noWrap/>
            <w:vAlign w:val="center"/>
          </w:tcPr>
          <w:p w14:paraId="33901B39" w14:textId="77777777" w:rsidR="00F8589C" w:rsidRPr="00861214" w:rsidRDefault="00F8589C" w:rsidP="00B33657">
            <w:pPr>
              <w:widowControl/>
              <w:jc w:val="right"/>
              <w:rPr>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tcPr>
          <w:p w14:paraId="3A713618" w14:textId="77777777" w:rsidR="00F8589C" w:rsidRPr="00861214" w:rsidDel="00400EC6" w:rsidRDefault="00F8589C" w:rsidP="00B33657">
            <w:pPr>
              <w:widowControl/>
              <w:jc w:val="right"/>
              <w:rPr>
                <w:color w:val="000000"/>
                <w:sz w:val="20"/>
                <w:szCs w:val="20"/>
              </w:rPr>
            </w:pPr>
            <w:r>
              <w:rPr>
                <w:color w:val="000000"/>
                <w:sz w:val="20"/>
              </w:rPr>
              <w:t>7</w:t>
            </w:r>
          </w:p>
        </w:tc>
        <w:tc>
          <w:tcPr>
            <w:tcW w:w="1381" w:type="dxa"/>
            <w:tcBorders>
              <w:top w:val="nil"/>
              <w:left w:val="nil"/>
              <w:bottom w:val="single" w:sz="4" w:space="0" w:color="auto"/>
              <w:right w:val="single" w:sz="4" w:space="0" w:color="auto"/>
            </w:tcBorders>
            <w:shd w:val="clear" w:color="auto" w:fill="auto"/>
            <w:noWrap/>
            <w:vAlign w:val="center"/>
          </w:tcPr>
          <w:p w14:paraId="24350F23" w14:textId="77777777" w:rsidR="00F8589C" w:rsidRPr="00861214" w:rsidDel="00400EC6" w:rsidRDefault="00F8589C" w:rsidP="00B33657">
            <w:pPr>
              <w:widowControl/>
              <w:jc w:val="right"/>
              <w:rPr>
                <w:color w:val="000000"/>
                <w:sz w:val="20"/>
                <w:szCs w:val="20"/>
              </w:rPr>
            </w:pPr>
            <w:r>
              <w:rPr>
                <w:color w:val="000000"/>
                <w:sz w:val="20"/>
              </w:rPr>
              <w:t>7</w:t>
            </w:r>
          </w:p>
        </w:tc>
      </w:tr>
      <w:tr w:rsidR="00F8589C" w:rsidRPr="00861214" w14:paraId="4EBCD499" w14:textId="77777777" w:rsidTr="00C368FF">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tcPr>
          <w:p w14:paraId="672F443A" w14:textId="77777777" w:rsidR="00F8589C" w:rsidRPr="00861214" w:rsidRDefault="00F8589C" w:rsidP="00B33657">
            <w:pPr>
              <w:widowControl/>
              <w:rPr>
                <w:sz w:val="20"/>
                <w:szCs w:val="20"/>
              </w:rPr>
            </w:pPr>
            <w:r>
              <w:rPr>
                <w:sz w:val="20"/>
              </w:rPr>
              <w:t>Examen de las resoluciones (Res. XIII.4)</w:t>
            </w:r>
          </w:p>
        </w:tc>
        <w:tc>
          <w:tcPr>
            <w:tcW w:w="1381" w:type="dxa"/>
            <w:tcBorders>
              <w:top w:val="nil"/>
              <w:left w:val="nil"/>
              <w:bottom w:val="single" w:sz="4" w:space="0" w:color="auto"/>
              <w:right w:val="single" w:sz="4" w:space="0" w:color="auto"/>
            </w:tcBorders>
            <w:shd w:val="clear" w:color="auto" w:fill="auto"/>
            <w:noWrap/>
            <w:vAlign w:val="center"/>
          </w:tcPr>
          <w:p w14:paraId="1B59528B" w14:textId="77777777" w:rsidR="00F8589C" w:rsidRPr="00861214" w:rsidRDefault="00F8589C" w:rsidP="00B33657">
            <w:pPr>
              <w:widowControl/>
              <w:jc w:val="right"/>
              <w:rPr>
                <w:sz w:val="20"/>
                <w:szCs w:val="20"/>
              </w:rPr>
            </w:pPr>
            <w:r>
              <w:rPr>
                <w:sz w:val="20"/>
              </w:rPr>
              <w:t>0</w:t>
            </w:r>
          </w:p>
        </w:tc>
        <w:tc>
          <w:tcPr>
            <w:tcW w:w="1381" w:type="dxa"/>
            <w:tcBorders>
              <w:top w:val="nil"/>
              <w:left w:val="nil"/>
              <w:bottom w:val="single" w:sz="4" w:space="0" w:color="auto"/>
              <w:right w:val="single" w:sz="4" w:space="0" w:color="auto"/>
            </w:tcBorders>
            <w:shd w:val="clear" w:color="auto" w:fill="auto"/>
            <w:noWrap/>
            <w:vAlign w:val="center"/>
          </w:tcPr>
          <w:p w14:paraId="4CC0606F" w14:textId="77777777" w:rsidR="00F8589C" w:rsidRPr="00861214" w:rsidRDefault="00F8589C" w:rsidP="00B33657">
            <w:pPr>
              <w:widowControl/>
              <w:jc w:val="right"/>
              <w:rPr>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tcPr>
          <w:p w14:paraId="0B40562C" w14:textId="77777777" w:rsidR="00F8589C" w:rsidRPr="00861214" w:rsidDel="00400EC6" w:rsidRDefault="00F8589C" w:rsidP="00B33657">
            <w:pPr>
              <w:widowControl/>
              <w:jc w:val="right"/>
              <w:rPr>
                <w:color w:val="000000"/>
                <w:sz w:val="20"/>
                <w:szCs w:val="20"/>
              </w:rPr>
            </w:pPr>
            <w:r>
              <w:rPr>
                <w:color w:val="000000"/>
                <w:sz w:val="20"/>
              </w:rPr>
              <w:t>30</w:t>
            </w:r>
          </w:p>
        </w:tc>
        <w:tc>
          <w:tcPr>
            <w:tcW w:w="1381" w:type="dxa"/>
            <w:tcBorders>
              <w:top w:val="nil"/>
              <w:left w:val="nil"/>
              <w:bottom w:val="single" w:sz="4" w:space="0" w:color="auto"/>
              <w:right w:val="single" w:sz="4" w:space="0" w:color="auto"/>
            </w:tcBorders>
            <w:shd w:val="clear" w:color="auto" w:fill="auto"/>
            <w:noWrap/>
            <w:vAlign w:val="center"/>
          </w:tcPr>
          <w:p w14:paraId="3E369347" w14:textId="77777777" w:rsidR="00F8589C" w:rsidRPr="00861214" w:rsidDel="00400EC6" w:rsidRDefault="00F8589C" w:rsidP="00B33657">
            <w:pPr>
              <w:widowControl/>
              <w:jc w:val="right"/>
              <w:rPr>
                <w:color w:val="000000"/>
                <w:sz w:val="20"/>
                <w:szCs w:val="20"/>
              </w:rPr>
            </w:pPr>
            <w:r>
              <w:rPr>
                <w:color w:val="000000"/>
                <w:sz w:val="20"/>
              </w:rPr>
              <w:t>30</w:t>
            </w:r>
          </w:p>
        </w:tc>
      </w:tr>
      <w:tr w:rsidR="00F8589C" w:rsidRPr="00861214" w14:paraId="52DA5B03" w14:textId="77777777" w:rsidTr="00C368FF">
        <w:trPr>
          <w:trHeight w:val="255"/>
        </w:trPr>
        <w:tc>
          <w:tcPr>
            <w:tcW w:w="4541" w:type="dxa"/>
            <w:tcBorders>
              <w:top w:val="nil"/>
              <w:left w:val="single" w:sz="4" w:space="0" w:color="auto"/>
              <w:bottom w:val="single" w:sz="4" w:space="0" w:color="auto"/>
              <w:right w:val="single" w:sz="4" w:space="0" w:color="auto"/>
            </w:tcBorders>
            <w:shd w:val="clear" w:color="000000" w:fill="EAF1DD"/>
            <w:vAlign w:val="center"/>
            <w:hideMark/>
          </w:tcPr>
          <w:p w14:paraId="3D34C833" w14:textId="77777777" w:rsidR="00F8589C" w:rsidRPr="00861214" w:rsidRDefault="00F8589C" w:rsidP="00B33657">
            <w:pPr>
              <w:widowControl/>
              <w:rPr>
                <w:sz w:val="20"/>
                <w:szCs w:val="20"/>
              </w:rPr>
            </w:pPr>
            <w:r>
              <w:rPr>
                <w:sz w:val="20"/>
              </w:rPr>
              <w:t>H.  Gastos por servicios administrativos de la UICN (máximo)</w:t>
            </w:r>
          </w:p>
        </w:tc>
        <w:tc>
          <w:tcPr>
            <w:tcW w:w="1381" w:type="dxa"/>
            <w:tcBorders>
              <w:top w:val="nil"/>
              <w:left w:val="nil"/>
              <w:bottom w:val="single" w:sz="4" w:space="0" w:color="auto"/>
              <w:right w:val="single" w:sz="4" w:space="0" w:color="auto"/>
            </w:tcBorders>
            <w:shd w:val="clear" w:color="000000" w:fill="EAF1DD"/>
            <w:noWrap/>
            <w:vAlign w:val="center"/>
            <w:hideMark/>
          </w:tcPr>
          <w:p w14:paraId="2CF12578" w14:textId="77777777" w:rsidR="00F8589C" w:rsidRPr="00861214" w:rsidRDefault="00F8589C" w:rsidP="00B33657">
            <w:pPr>
              <w:widowControl/>
              <w:jc w:val="right"/>
              <w:rPr>
                <w:b/>
                <w:bCs/>
                <w:sz w:val="20"/>
                <w:szCs w:val="20"/>
              </w:rPr>
            </w:pPr>
            <w:r>
              <w:rPr>
                <w:b/>
                <w:sz w:val="20"/>
              </w:rPr>
              <w:t>541</w:t>
            </w:r>
          </w:p>
        </w:tc>
        <w:tc>
          <w:tcPr>
            <w:tcW w:w="1381" w:type="dxa"/>
            <w:tcBorders>
              <w:top w:val="nil"/>
              <w:left w:val="nil"/>
              <w:bottom w:val="single" w:sz="4" w:space="0" w:color="auto"/>
              <w:right w:val="single" w:sz="4" w:space="0" w:color="auto"/>
            </w:tcBorders>
            <w:shd w:val="clear" w:color="000000" w:fill="EAF1DD"/>
            <w:noWrap/>
            <w:vAlign w:val="center"/>
            <w:hideMark/>
          </w:tcPr>
          <w:p w14:paraId="3A37375F" w14:textId="77777777" w:rsidR="00F8589C" w:rsidRPr="00861214" w:rsidRDefault="00F8589C" w:rsidP="00B33657">
            <w:pPr>
              <w:widowControl/>
              <w:jc w:val="right"/>
              <w:rPr>
                <w:b/>
                <w:bCs/>
                <w:sz w:val="20"/>
                <w:szCs w:val="20"/>
              </w:rPr>
            </w:pPr>
            <w:r>
              <w:rPr>
                <w:b/>
                <w:sz w:val="20"/>
              </w:rPr>
              <w:t>0</w:t>
            </w:r>
          </w:p>
        </w:tc>
        <w:tc>
          <w:tcPr>
            <w:tcW w:w="1381" w:type="dxa"/>
            <w:tcBorders>
              <w:top w:val="nil"/>
              <w:left w:val="single" w:sz="4" w:space="0" w:color="auto"/>
              <w:bottom w:val="single" w:sz="4" w:space="0" w:color="auto"/>
              <w:right w:val="single" w:sz="4" w:space="0" w:color="auto"/>
            </w:tcBorders>
            <w:shd w:val="clear" w:color="000000" w:fill="EAF1DD"/>
            <w:noWrap/>
            <w:vAlign w:val="center"/>
            <w:hideMark/>
          </w:tcPr>
          <w:p w14:paraId="73541BFD" w14:textId="77777777" w:rsidR="00F8589C" w:rsidRPr="00861214" w:rsidRDefault="00F8589C" w:rsidP="00B33657">
            <w:pPr>
              <w:widowControl/>
              <w:jc w:val="right"/>
              <w:rPr>
                <w:b/>
                <w:bCs/>
                <w:color w:val="000000"/>
                <w:sz w:val="20"/>
                <w:szCs w:val="20"/>
              </w:rPr>
            </w:pPr>
            <w:r>
              <w:rPr>
                <w:b/>
                <w:color w:val="000000"/>
                <w:sz w:val="20"/>
              </w:rPr>
              <w:t>1</w:t>
            </w:r>
          </w:p>
        </w:tc>
        <w:tc>
          <w:tcPr>
            <w:tcW w:w="1381" w:type="dxa"/>
            <w:tcBorders>
              <w:top w:val="nil"/>
              <w:left w:val="nil"/>
              <w:bottom w:val="single" w:sz="4" w:space="0" w:color="auto"/>
              <w:right w:val="single" w:sz="4" w:space="0" w:color="auto"/>
            </w:tcBorders>
            <w:shd w:val="clear" w:color="000000" w:fill="EAF1DD"/>
            <w:noWrap/>
            <w:vAlign w:val="center"/>
            <w:hideMark/>
          </w:tcPr>
          <w:p w14:paraId="7CC2A900" w14:textId="77777777" w:rsidR="00F8589C" w:rsidRPr="00861214" w:rsidRDefault="00F8589C" w:rsidP="00B33657">
            <w:pPr>
              <w:widowControl/>
              <w:jc w:val="right"/>
              <w:rPr>
                <w:b/>
                <w:bCs/>
                <w:color w:val="000000"/>
                <w:sz w:val="20"/>
                <w:szCs w:val="20"/>
              </w:rPr>
            </w:pPr>
            <w:r>
              <w:rPr>
                <w:b/>
                <w:color w:val="000000"/>
                <w:sz w:val="20"/>
              </w:rPr>
              <w:t>542</w:t>
            </w:r>
          </w:p>
        </w:tc>
      </w:tr>
      <w:tr w:rsidR="00F8589C" w:rsidRPr="00861214" w14:paraId="1EC5583A" w14:textId="77777777" w:rsidTr="00C368FF">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25F3A" w14:textId="77777777" w:rsidR="00F8589C" w:rsidRPr="00861214" w:rsidRDefault="00F8589C" w:rsidP="00B33657">
            <w:pPr>
              <w:widowControl/>
              <w:rPr>
                <w:sz w:val="20"/>
                <w:szCs w:val="20"/>
              </w:rPr>
            </w:pPr>
            <w:r>
              <w:rPr>
                <w:sz w:val="20"/>
              </w:rPr>
              <w:t>Administración, RR.HH., finanzas y servicios informáticos</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106C0572" w14:textId="77777777" w:rsidR="00F8589C" w:rsidRPr="00861214" w:rsidRDefault="00F8589C" w:rsidP="00B33657">
            <w:pPr>
              <w:widowControl/>
              <w:jc w:val="right"/>
              <w:rPr>
                <w:sz w:val="20"/>
                <w:szCs w:val="20"/>
              </w:rPr>
            </w:pPr>
            <w:r>
              <w:rPr>
                <w:sz w:val="20"/>
              </w:rPr>
              <w:t>541</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1B19A3EF" w14:textId="77777777" w:rsidR="00F8589C" w:rsidRPr="00861214" w:rsidRDefault="00F8589C" w:rsidP="00B33657">
            <w:pPr>
              <w:widowControl/>
              <w:jc w:val="right"/>
              <w:rPr>
                <w:sz w:val="20"/>
                <w:szCs w:val="20"/>
              </w:rPr>
            </w:pPr>
            <w:r>
              <w:rPr>
                <w:sz w:val="20"/>
              </w:rPr>
              <w:t>0</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2C02C" w14:textId="77777777" w:rsidR="00F8589C" w:rsidRPr="00861214" w:rsidRDefault="00F8589C" w:rsidP="00B33657">
            <w:pPr>
              <w:widowControl/>
              <w:jc w:val="right"/>
              <w:rPr>
                <w:color w:val="000000"/>
                <w:sz w:val="20"/>
                <w:szCs w:val="20"/>
              </w:rPr>
            </w:pPr>
            <w:r>
              <w:rPr>
                <w:color w:val="000000"/>
                <w:sz w:val="20"/>
              </w:rPr>
              <w:t>1</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0183223E" w14:textId="77777777" w:rsidR="00F8589C" w:rsidRPr="00861214" w:rsidRDefault="00F8589C" w:rsidP="00B33657">
            <w:pPr>
              <w:widowControl/>
              <w:jc w:val="right"/>
              <w:rPr>
                <w:color w:val="000000"/>
                <w:sz w:val="20"/>
                <w:szCs w:val="20"/>
              </w:rPr>
            </w:pPr>
            <w:r>
              <w:rPr>
                <w:color w:val="000000"/>
                <w:sz w:val="20"/>
              </w:rPr>
              <w:t>542</w:t>
            </w:r>
          </w:p>
        </w:tc>
      </w:tr>
      <w:tr w:rsidR="00F8589C" w:rsidRPr="00861214" w14:paraId="274803E4" w14:textId="77777777" w:rsidTr="00C368FF">
        <w:trPr>
          <w:trHeight w:val="270"/>
        </w:trPr>
        <w:tc>
          <w:tcPr>
            <w:tcW w:w="454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13D6694A" w14:textId="77777777" w:rsidR="00F8589C" w:rsidRPr="00861214" w:rsidRDefault="00F8589C" w:rsidP="00B33657">
            <w:pPr>
              <w:widowControl/>
              <w:rPr>
                <w:sz w:val="20"/>
                <w:szCs w:val="20"/>
              </w:rPr>
            </w:pPr>
            <w:r>
              <w:rPr>
                <w:sz w:val="20"/>
              </w:rPr>
              <w:t>I.  Varios – Fondo de reserva</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2391EE0D" w14:textId="77777777" w:rsidR="00F8589C" w:rsidRPr="00861214" w:rsidRDefault="00F8589C" w:rsidP="00B33657">
            <w:pPr>
              <w:widowControl/>
              <w:jc w:val="right"/>
              <w:rPr>
                <w:b/>
                <w:bCs/>
                <w:sz w:val="20"/>
                <w:szCs w:val="20"/>
              </w:rPr>
            </w:pPr>
            <w:r>
              <w:rPr>
                <w:b/>
                <w:sz w:val="20"/>
              </w:rPr>
              <w:t>109</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3066205C" w14:textId="77777777" w:rsidR="00F8589C" w:rsidRPr="00861214" w:rsidRDefault="00F8589C" w:rsidP="00B33657">
            <w:pPr>
              <w:widowControl/>
              <w:jc w:val="right"/>
              <w:rPr>
                <w:b/>
                <w:bCs/>
                <w:sz w:val="20"/>
                <w:szCs w:val="20"/>
              </w:rPr>
            </w:pPr>
            <w:r>
              <w:rPr>
                <w:b/>
                <w:sz w:val="20"/>
              </w:rPr>
              <w:t>120</w:t>
            </w:r>
          </w:p>
        </w:tc>
        <w:tc>
          <w:tcPr>
            <w:tcW w:w="138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58F42B05" w14:textId="77777777" w:rsidR="00F8589C" w:rsidRPr="00861214" w:rsidRDefault="00F8589C" w:rsidP="00B33657">
            <w:pPr>
              <w:widowControl/>
              <w:jc w:val="right"/>
              <w:rPr>
                <w:b/>
                <w:bCs/>
                <w:color w:val="000000"/>
                <w:sz w:val="20"/>
                <w:szCs w:val="20"/>
              </w:rPr>
            </w:pPr>
            <w:r>
              <w:rPr>
                <w:b/>
                <w:color w:val="000000"/>
                <w:sz w:val="20"/>
              </w:rPr>
              <w:t>5</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2A234CDA" w14:textId="77777777" w:rsidR="00F8589C" w:rsidRPr="00861214" w:rsidRDefault="00F8589C" w:rsidP="00B33657">
            <w:pPr>
              <w:widowControl/>
              <w:jc w:val="right"/>
              <w:rPr>
                <w:b/>
                <w:bCs/>
                <w:color w:val="000000"/>
                <w:sz w:val="20"/>
                <w:szCs w:val="20"/>
              </w:rPr>
            </w:pPr>
            <w:r>
              <w:rPr>
                <w:b/>
                <w:color w:val="000000"/>
                <w:sz w:val="20"/>
              </w:rPr>
              <w:t>234</w:t>
            </w:r>
          </w:p>
        </w:tc>
      </w:tr>
      <w:tr w:rsidR="00F8589C" w:rsidRPr="00861214" w14:paraId="6BDA960A" w14:textId="77777777" w:rsidTr="00C368FF">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10C9FA41" w14:textId="77777777" w:rsidR="00F8589C" w:rsidRPr="00861214" w:rsidRDefault="00F8589C" w:rsidP="00B33657">
            <w:pPr>
              <w:widowControl/>
              <w:rPr>
                <w:sz w:val="20"/>
                <w:szCs w:val="20"/>
              </w:rPr>
            </w:pPr>
            <w:r>
              <w:rPr>
                <w:sz w:val="20"/>
              </w:rPr>
              <w:t>Provisiones correspondientes al personal</w:t>
            </w:r>
          </w:p>
        </w:tc>
        <w:tc>
          <w:tcPr>
            <w:tcW w:w="1381" w:type="dxa"/>
            <w:tcBorders>
              <w:top w:val="nil"/>
              <w:left w:val="nil"/>
              <w:bottom w:val="single" w:sz="4" w:space="0" w:color="auto"/>
              <w:right w:val="single" w:sz="4" w:space="0" w:color="auto"/>
            </w:tcBorders>
            <w:shd w:val="clear" w:color="auto" w:fill="auto"/>
            <w:noWrap/>
            <w:vAlign w:val="center"/>
            <w:hideMark/>
          </w:tcPr>
          <w:p w14:paraId="2F923A79" w14:textId="77777777" w:rsidR="00F8589C" w:rsidRPr="00861214" w:rsidRDefault="00F8589C" w:rsidP="00B33657">
            <w:pPr>
              <w:widowControl/>
              <w:jc w:val="right"/>
              <w:rPr>
                <w:sz w:val="20"/>
                <w:szCs w:val="20"/>
              </w:rPr>
            </w:pPr>
            <w:r>
              <w:rPr>
                <w:sz w:val="20"/>
              </w:rPr>
              <w:t>20</w:t>
            </w:r>
          </w:p>
        </w:tc>
        <w:tc>
          <w:tcPr>
            <w:tcW w:w="1381" w:type="dxa"/>
            <w:tcBorders>
              <w:top w:val="nil"/>
              <w:left w:val="nil"/>
              <w:bottom w:val="single" w:sz="4" w:space="0" w:color="auto"/>
              <w:right w:val="single" w:sz="4" w:space="0" w:color="auto"/>
            </w:tcBorders>
            <w:shd w:val="clear" w:color="auto" w:fill="auto"/>
            <w:noWrap/>
            <w:vAlign w:val="center"/>
            <w:hideMark/>
          </w:tcPr>
          <w:p w14:paraId="17DA09E7" w14:textId="77777777" w:rsidR="00F8589C" w:rsidRPr="00861214" w:rsidRDefault="00F8589C" w:rsidP="00B33657">
            <w:pPr>
              <w:widowControl/>
              <w:jc w:val="right"/>
              <w:rPr>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22BAA382" w14:textId="77777777" w:rsidR="00F8589C" w:rsidRPr="00861214" w:rsidRDefault="00F8589C" w:rsidP="00B33657">
            <w:pPr>
              <w:widowControl/>
              <w:jc w:val="right"/>
              <w:rPr>
                <w:color w:val="000000"/>
                <w:sz w:val="20"/>
                <w:szCs w:val="20"/>
              </w:rPr>
            </w:pPr>
            <w:r>
              <w:rPr>
                <w:color w:val="000000"/>
                <w:sz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6D1F7BBB" w14:textId="77777777" w:rsidR="00F8589C" w:rsidRPr="00861214" w:rsidRDefault="00F8589C" w:rsidP="00B33657">
            <w:pPr>
              <w:widowControl/>
              <w:jc w:val="right"/>
              <w:rPr>
                <w:color w:val="000000"/>
                <w:sz w:val="20"/>
                <w:szCs w:val="20"/>
              </w:rPr>
            </w:pPr>
            <w:r>
              <w:rPr>
                <w:color w:val="000000"/>
                <w:sz w:val="20"/>
              </w:rPr>
              <w:t>20</w:t>
            </w:r>
          </w:p>
        </w:tc>
      </w:tr>
      <w:tr w:rsidR="00F8589C" w:rsidRPr="00861214" w14:paraId="66877FEE" w14:textId="77777777" w:rsidTr="00C368FF">
        <w:trPr>
          <w:trHeight w:val="270"/>
        </w:trPr>
        <w:tc>
          <w:tcPr>
            <w:tcW w:w="4541" w:type="dxa"/>
            <w:tcBorders>
              <w:top w:val="nil"/>
              <w:left w:val="single" w:sz="4" w:space="0" w:color="auto"/>
              <w:bottom w:val="single" w:sz="4" w:space="0" w:color="auto"/>
              <w:right w:val="nil"/>
            </w:tcBorders>
            <w:shd w:val="clear" w:color="auto" w:fill="auto"/>
            <w:noWrap/>
            <w:vAlign w:val="center"/>
            <w:hideMark/>
          </w:tcPr>
          <w:p w14:paraId="3BBAE70F" w14:textId="77777777" w:rsidR="00F8589C" w:rsidRPr="00861214" w:rsidRDefault="00F8589C" w:rsidP="00B33657">
            <w:pPr>
              <w:widowControl/>
              <w:rPr>
                <w:sz w:val="20"/>
                <w:szCs w:val="20"/>
              </w:rPr>
            </w:pPr>
            <w:r>
              <w:rPr>
                <w:sz w:val="20"/>
              </w:rPr>
              <w:t>Provisiones correspondientes a las contribuciones pendientes</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0C3EF3CF" w14:textId="77777777" w:rsidR="00F8589C" w:rsidRPr="00861214" w:rsidRDefault="00F8589C" w:rsidP="00B33657">
            <w:pPr>
              <w:widowControl/>
              <w:jc w:val="right"/>
              <w:rPr>
                <w:sz w:val="20"/>
                <w:szCs w:val="20"/>
              </w:rPr>
            </w:pPr>
            <w:r>
              <w:rPr>
                <w:sz w:val="20"/>
              </w:rPr>
              <w:t>30</w:t>
            </w:r>
          </w:p>
        </w:tc>
        <w:tc>
          <w:tcPr>
            <w:tcW w:w="1381" w:type="dxa"/>
            <w:tcBorders>
              <w:top w:val="nil"/>
              <w:left w:val="nil"/>
              <w:bottom w:val="single" w:sz="4" w:space="0" w:color="auto"/>
              <w:right w:val="single" w:sz="4" w:space="0" w:color="auto"/>
            </w:tcBorders>
            <w:shd w:val="clear" w:color="auto" w:fill="auto"/>
            <w:noWrap/>
            <w:vAlign w:val="center"/>
            <w:hideMark/>
          </w:tcPr>
          <w:p w14:paraId="661BF901" w14:textId="77777777" w:rsidR="00F8589C" w:rsidRPr="00861214" w:rsidRDefault="00F8589C" w:rsidP="00B33657">
            <w:pPr>
              <w:widowControl/>
              <w:jc w:val="right"/>
              <w:rPr>
                <w:sz w:val="20"/>
                <w:szCs w:val="20"/>
              </w:rPr>
            </w:pPr>
            <w:r>
              <w:rPr>
                <w:sz w:val="20"/>
              </w:rPr>
              <w:t>120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5A2C8D07" w14:textId="77777777" w:rsidR="00F8589C" w:rsidRPr="00861214" w:rsidRDefault="00F8589C" w:rsidP="00B33657">
            <w:pPr>
              <w:widowControl/>
              <w:jc w:val="right"/>
              <w:rPr>
                <w:sz w:val="20"/>
                <w:szCs w:val="20"/>
              </w:rPr>
            </w:pPr>
            <w:r>
              <w:rPr>
                <w:sz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7A2B346F" w14:textId="77777777" w:rsidR="00F8589C" w:rsidRPr="00861214" w:rsidRDefault="00F8589C" w:rsidP="00B33657">
            <w:pPr>
              <w:widowControl/>
              <w:jc w:val="right"/>
              <w:rPr>
                <w:color w:val="000000"/>
                <w:sz w:val="20"/>
                <w:szCs w:val="20"/>
              </w:rPr>
            </w:pPr>
            <w:r>
              <w:rPr>
                <w:color w:val="000000"/>
                <w:sz w:val="20"/>
              </w:rPr>
              <w:t>150</w:t>
            </w:r>
          </w:p>
        </w:tc>
      </w:tr>
      <w:tr w:rsidR="00F8589C" w:rsidRPr="00861214" w14:paraId="32A31B0A" w14:textId="77777777" w:rsidTr="00C368FF">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7743C62B" w14:textId="77777777" w:rsidR="00F8589C" w:rsidRPr="00861214" w:rsidRDefault="00F8589C" w:rsidP="00B33657">
            <w:pPr>
              <w:widowControl/>
              <w:rPr>
                <w:sz w:val="20"/>
                <w:szCs w:val="20"/>
              </w:rPr>
            </w:pPr>
            <w:r>
              <w:rPr>
                <w:sz w:val="20"/>
              </w:rPr>
              <w:t>Ganancias/pérdidas por fluctuaciones del tipo de cambio</w:t>
            </w:r>
          </w:p>
        </w:tc>
        <w:tc>
          <w:tcPr>
            <w:tcW w:w="1381" w:type="dxa"/>
            <w:tcBorders>
              <w:top w:val="nil"/>
              <w:left w:val="nil"/>
              <w:bottom w:val="single" w:sz="4" w:space="0" w:color="auto"/>
              <w:right w:val="single" w:sz="4" w:space="0" w:color="auto"/>
            </w:tcBorders>
            <w:shd w:val="clear" w:color="auto" w:fill="auto"/>
            <w:noWrap/>
            <w:vAlign w:val="center"/>
            <w:hideMark/>
          </w:tcPr>
          <w:p w14:paraId="7E16515C" w14:textId="77777777" w:rsidR="00F8589C" w:rsidRPr="00861214" w:rsidRDefault="00F8589C" w:rsidP="00B33657">
            <w:pPr>
              <w:widowControl/>
              <w:jc w:val="right"/>
              <w:rPr>
                <w:sz w:val="20"/>
                <w:szCs w:val="20"/>
              </w:rPr>
            </w:pPr>
            <w:r>
              <w:rPr>
                <w:sz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393C2C6F" w14:textId="77777777" w:rsidR="00F8589C" w:rsidRPr="00861214" w:rsidRDefault="00F8589C" w:rsidP="00B33657">
            <w:pPr>
              <w:widowControl/>
              <w:jc w:val="right"/>
              <w:rPr>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54817B76" w14:textId="77777777" w:rsidR="00F8589C" w:rsidRPr="00861214" w:rsidRDefault="00F8589C" w:rsidP="00B33657">
            <w:pPr>
              <w:widowControl/>
              <w:jc w:val="right"/>
              <w:rPr>
                <w:color w:val="000000"/>
                <w:sz w:val="20"/>
                <w:szCs w:val="20"/>
              </w:rPr>
            </w:pPr>
            <w:r>
              <w:rPr>
                <w:color w:val="000000"/>
                <w:sz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066A2F3E" w14:textId="77777777" w:rsidR="00F8589C" w:rsidRPr="00861214" w:rsidRDefault="00F8589C" w:rsidP="00B33657">
            <w:pPr>
              <w:widowControl/>
              <w:jc w:val="right"/>
              <w:rPr>
                <w:color w:val="000000"/>
                <w:sz w:val="20"/>
                <w:szCs w:val="20"/>
              </w:rPr>
            </w:pPr>
            <w:r>
              <w:rPr>
                <w:color w:val="000000"/>
                <w:sz w:val="20"/>
              </w:rPr>
              <w:t>0</w:t>
            </w:r>
          </w:p>
        </w:tc>
      </w:tr>
      <w:tr w:rsidR="00F8589C" w:rsidRPr="00861214" w14:paraId="5D6F25D0" w14:textId="77777777" w:rsidTr="00C368FF">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36512D58" w14:textId="77777777" w:rsidR="00F8589C" w:rsidRPr="00861214" w:rsidRDefault="00F8589C" w:rsidP="00B33657">
            <w:pPr>
              <w:widowControl/>
              <w:rPr>
                <w:sz w:val="20"/>
                <w:szCs w:val="20"/>
              </w:rPr>
            </w:pPr>
            <w:r>
              <w:rPr>
                <w:sz w:val="20"/>
              </w:rPr>
              <w:t>Servicios jurídicos</w:t>
            </w:r>
          </w:p>
        </w:tc>
        <w:tc>
          <w:tcPr>
            <w:tcW w:w="1381" w:type="dxa"/>
            <w:tcBorders>
              <w:top w:val="nil"/>
              <w:left w:val="nil"/>
              <w:bottom w:val="single" w:sz="4" w:space="0" w:color="auto"/>
              <w:right w:val="single" w:sz="4" w:space="0" w:color="auto"/>
            </w:tcBorders>
            <w:shd w:val="clear" w:color="auto" w:fill="auto"/>
            <w:noWrap/>
            <w:vAlign w:val="center"/>
            <w:hideMark/>
          </w:tcPr>
          <w:p w14:paraId="63455339" w14:textId="77777777" w:rsidR="00F8589C" w:rsidRPr="00861214" w:rsidRDefault="00F8589C" w:rsidP="00B33657">
            <w:pPr>
              <w:widowControl/>
              <w:jc w:val="right"/>
              <w:rPr>
                <w:sz w:val="20"/>
                <w:szCs w:val="20"/>
              </w:rPr>
            </w:pPr>
            <w:r>
              <w:rPr>
                <w:sz w:val="20"/>
              </w:rPr>
              <w:t>59</w:t>
            </w:r>
          </w:p>
        </w:tc>
        <w:tc>
          <w:tcPr>
            <w:tcW w:w="1381" w:type="dxa"/>
            <w:tcBorders>
              <w:top w:val="nil"/>
              <w:left w:val="nil"/>
              <w:bottom w:val="single" w:sz="4" w:space="0" w:color="auto"/>
              <w:right w:val="single" w:sz="4" w:space="0" w:color="auto"/>
            </w:tcBorders>
            <w:shd w:val="clear" w:color="auto" w:fill="auto"/>
            <w:noWrap/>
            <w:vAlign w:val="center"/>
            <w:hideMark/>
          </w:tcPr>
          <w:p w14:paraId="75968BC5" w14:textId="77777777" w:rsidR="00F8589C" w:rsidRPr="00861214" w:rsidRDefault="00F8589C" w:rsidP="00B33657">
            <w:pPr>
              <w:widowControl/>
              <w:jc w:val="right"/>
              <w:rPr>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2B7CEB25" w14:textId="77777777" w:rsidR="00F8589C" w:rsidRPr="00861214" w:rsidRDefault="00F8589C" w:rsidP="00B33657">
            <w:pPr>
              <w:widowControl/>
              <w:jc w:val="right"/>
              <w:rPr>
                <w:color w:val="000000"/>
                <w:sz w:val="20"/>
                <w:szCs w:val="20"/>
              </w:rPr>
            </w:pPr>
            <w:r>
              <w:rPr>
                <w:color w:val="000000"/>
                <w:sz w:val="20"/>
              </w:rPr>
              <w:t>5</w:t>
            </w:r>
          </w:p>
        </w:tc>
        <w:tc>
          <w:tcPr>
            <w:tcW w:w="1381" w:type="dxa"/>
            <w:tcBorders>
              <w:top w:val="nil"/>
              <w:left w:val="nil"/>
              <w:bottom w:val="single" w:sz="4" w:space="0" w:color="auto"/>
              <w:right w:val="single" w:sz="4" w:space="0" w:color="auto"/>
            </w:tcBorders>
            <w:shd w:val="clear" w:color="auto" w:fill="auto"/>
            <w:noWrap/>
            <w:vAlign w:val="center"/>
            <w:hideMark/>
          </w:tcPr>
          <w:p w14:paraId="7255B78A" w14:textId="77777777" w:rsidR="00F8589C" w:rsidRPr="00861214" w:rsidRDefault="00F8589C" w:rsidP="00B33657">
            <w:pPr>
              <w:widowControl/>
              <w:jc w:val="right"/>
              <w:rPr>
                <w:color w:val="000000"/>
                <w:sz w:val="20"/>
                <w:szCs w:val="20"/>
              </w:rPr>
            </w:pPr>
            <w:r>
              <w:rPr>
                <w:color w:val="000000"/>
                <w:sz w:val="20"/>
              </w:rPr>
              <w:t>64</w:t>
            </w:r>
          </w:p>
        </w:tc>
      </w:tr>
      <w:tr w:rsidR="00F8589C" w:rsidRPr="00861214" w14:paraId="0622B5DA" w14:textId="77777777" w:rsidTr="00C368FF">
        <w:trPr>
          <w:trHeight w:val="300"/>
        </w:trPr>
        <w:tc>
          <w:tcPr>
            <w:tcW w:w="4541" w:type="dxa"/>
            <w:tcBorders>
              <w:top w:val="nil"/>
              <w:left w:val="single" w:sz="4" w:space="0" w:color="auto"/>
              <w:bottom w:val="single" w:sz="4" w:space="0" w:color="auto"/>
              <w:right w:val="single" w:sz="4" w:space="0" w:color="auto"/>
            </w:tcBorders>
            <w:shd w:val="clear" w:color="000000" w:fill="D6E3BC"/>
            <w:noWrap/>
            <w:vAlign w:val="center"/>
            <w:hideMark/>
          </w:tcPr>
          <w:p w14:paraId="0C0A7FFF" w14:textId="77777777" w:rsidR="00F8589C" w:rsidRPr="00861214" w:rsidRDefault="00F8589C" w:rsidP="00B33657">
            <w:pPr>
              <w:widowControl/>
              <w:rPr>
                <w:b/>
                <w:bCs/>
                <w:color w:val="000000"/>
                <w:sz w:val="20"/>
                <w:szCs w:val="20"/>
              </w:rPr>
            </w:pPr>
            <w:r>
              <w:rPr>
                <w:b/>
                <w:color w:val="000000"/>
                <w:sz w:val="20"/>
              </w:rPr>
              <w:t>TOTAL, GASTOS</w:t>
            </w:r>
          </w:p>
        </w:tc>
        <w:tc>
          <w:tcPr>
            <w:tcW w:w="1381" w:type="dxa"/>
            <w:tcBorders>
              <w:top w:val="nil"/>
              <w:left w:val="nil"/>
              <w:bottom w:val="single" w:sz="4" w:space="0" w:color="auto"/>
              <w:right w:val="single" w:sz="4" w:space="0" w:color="auto"/>
            </w:tcBorders>
            <w:shd w:val="clear" w:color="000000" w:fill="D6E3BC"/>
            <w:noWrap/>
            <w:vAlign w:val="center"/>
            <w:hideMark/>
          </w:tcPr>
          <w:p w14:paraId="09DD0E8A" w14:textId="77777777" w:rsidR="00F8589C" w:rsidRPr="00861214" w:rsidRDefault="00F8589C" w:rsidP="00B33657">
            <w:pPr>
              <w:widowControl/>
              <w:jc w:val="right"/>
              <w:rPr>
                <w:b/>
                <w:bCs/>
                <w:color w:val="000000"/>
                <w:sz w:val="20"/>
                <w:szCs w:val="20"/>
              </w:rPr>
            </w:pPr>
            <w:r>
              <w:rPr>
                <w:b/>
                <w:color w:val="000000"/>
                <w:sz w:val="20"/>
              </w:rPr>
              <w:t>5 081</w:t>
            </w:r>
          </w:p>
        </w:tc>
        <w:tc>
          <w:tcPr>
            <w:tcW w:w="1381" w:type="dxa"/>
            <w:tcBorders>
              <w:top w:val="nil"/>
              <w:left w:val="nil"/>
              <w:bottom w:val="single" w:sz="4" w:space="0" w:color="auto"/>
              <w:right w:val="single" w:sz="4" w:space="0" w:color="auto"/>
            </w:tcBorders>
            <w:shd w:val="clear" w:color="000000" w:fill="D6E3BC"/>
            <w:noWrap/>
            <w:vAlign w:val="center"/>
            <w:hideMark/>
          </w:tcPr>
          <w:p w14:paraId="008380C1" w14:textId="77777777" w:rsidR="00F8589C" w:rsidRPr="00861214" w:rsidRDefault="00F8589C" w:rsidP="00B33657">
            <w:pPr>
              <w:widowControl/>
              <w:jc w:val="right"/>
              <w:rPr>
                <w:b/>
                <w:bCs/>
                <w:color w:val="000000"/>
                <w:sz w:val="20"/>
                <w:szCs w:val="20"/>
              </w:rPr>
            </w:pPr>
            <w:r>
              <w:rPr>
                <w:b/>
                <w:color w:val="000000"/>
                <w:sz w:val="20"/>
              </w:rPr>
              <w:t>196</w:t>
            </w:r>
          </w:p>
        </w:tc>
        <w:tc>
          <w:tcPr>
            <w:tcW w:w="1381" w:type="dxa"/>
            <w:tcBorders>
              <w:top w:val="nil"/>
              <w:left w:val="single" w:sz="4" w:space="0" w:color="auto"/>
              <w:bottom w:val="single" w:sz="4" w:space="0" w:color="auto"/>
              <w:right w:val="single" w:sz="4" w:space="0" w:color="auto"/>
            </w:tcBorders>
            <w:shd w:val="clear" w:color="000000" w:fill="D6E3BC"/>
            <w:noWrap/>
            <w:vAlign w:val="center"/>
            <w:hideMark/>
          </w:tcPr>
          <w:p w14:paraId="4FEF1D91" w14:textId="77777777" w:rsidR="00F8589C" w:rsidRPr="00861214" w:rsidRDefault="00F8589C" w:rsidP="00B33657">
            <w:pPr>
              <w:widowControl/>
              <w:jc w:val="right"/>
              <w:rPr>
                <w:b/>
                <w:bCs/>
                <w:color w:val="000000"/>
                <w:sz w:val="20"/>
                <w:szCs w:val="20"/>
              </w:rPr>
            </w:pPr>
            <w:r>
              <w:rPr>
                <w:b/>
                <w:color w:val="000000"/>
                <w:sz w:val="20"/>
              </w:rPr>
              <w:t>1 232</w:t>
            </w:r>
          </w:p>
        </w:tc>
        <w:tc>
          <w:tcPr>
            <w:tcW w:w="1381" w:type="dxa"/>
            <w:tcBorders>
              <w:top w:val="nil"/>
              <w:left w:val="nil"/>
              <w:bottom w:val="single" w:sz="4" w:space="0" w:color="auto"/>
              <w:right w:val="single" w:sz="4" w:space="0" w:color="auto"/>
            </w:tcBorders>
            <w:shd w:val="clear" w:color="000000" w:fill="D6E3BC"/>
            <w:noWrap/>
            <w:vAlign w:val="center"/>
            <w:hideMark/>
          </w:tcPr>
          <w:p w14:paraId="234E1906" w14:textId="77777777" w:rsidR="00F8589C" w:rsidRPr="00861214" w:rsidRDefault="00F8589C" w:rsidP="00B33657">
            <w:pPr>
              <w:widowControl/>
              <w:jc w:val="right"/>
              <w:rPr>
                <w:b/>
                <w:bCs/>
                <w:color w:val="000000"/>
                <w:sz w:val="20"/>
                <w:szCs w:val="20"/>
              </w:rPr>
            </w:pPr>
            <w:r>
              <w:rPr>
                <w:b/>
                <w:color w:val="000000"/>
                <w:sz w:val="20"/>
              </w:rPr>
              <w:t>6 509</w:t>
            </w:r>
          </w:p>
        </w:tc>
      </w:tr>
    </w:tbl>
    <w:p w14:paraId="7CA72849" w14:textId="77777777" w:rsidR="00F8589C" w:rsidRPr="003956B3" w:rsidRDefault="00F8589C" w:rsidP="00B33657">
      <w:pPr>
        <w:widowControl/>
        <w:rPr>
          <w:sz w:val="20"/>
          <w:szCs w:val="20"/>
        </w:rPr>
      </w:pPr>
    </w:p>
    <w:p w14:paraId="6E4E6601" w14:textId="77777777" w:rsidR="00CF1C9C" w:rsidRDefault="00CF1C9C" w:rsidP="00B33657">
      <w:pPr>
        <w:widowControl/>
        <w:autoSpaceDE/>
        <w:autoSpaceDN/>
        <w:spacing w:after="160" w:line="259" w:lineRule="auto"/>
        <w:rPr>
          <w:iCs/>
          <w:color w:val="000000" w:themeColor="text1"/>
        </w:rPr>
      </w:pPr>
    </w:p>
    <w:p w14:paraId="1C8A6D3A" w14:textId="77777777" w:rsidR="00CF1C9C" w:rsidRPr="00481CDD" w:rsidRDefault="00CF1C9C" w:rsidP="00B33657">
      <w:pPr>
        <w:widowControl/>
        <w:autoSpaceDE/>
        <w:autoSpaceDN/>
        <w:rPr>
          <w:iCs/>
          <w:color w:val="000000" w:themeColor="text1"/>
        </w:rPr>
      </w:pPr>
    </w:p>
    <w:sectPr w:rsidR="00CF1C9C" w:rsidRPr="00481CDD" w:rsidSect="002D2F4B">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3FC2E" w14:textId="77777777" w:rsidR="00AE5730" w:rsidRDefault="00AE5730" w:rsidP="00A50555">
      <w:r>
        <w:separator/>
      </w:r>
    </w:p>
  </w:endnote>
  <w:endnote w:type="continuationSeparator" w:id="0">
    <w:p w14:paraId="3F5E3769" w14:textId="77777777" w:rsidR="00AE5730" w:rsidRDefault="00AE5730" w:rsidP="00A5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2A6A2" w14:textId="6B948C92" w:rsidR="00C368FF" w:rsidRPr="00591472" w:rsidRDefault="00C368FF" w:rsidP="00591472">
    <w:pPr>
      <w:tabs>
        <w:tab w:val="left" w:pos="8789"/>
      </w:tabs>
      <w:rPr>
        <w:rFonts w:cstheme="minorHAnsi"/>
        <w:sz w:val="18"/>
        <w:szCs w:val="18"/>
      </w:rPr>
    </w:pPr>
    <w:r>
      <w:rPr>
        <w:sz w:val="18"/>
      </w:rPr>
      <w:t>SC63 Com.1</w:t>
    </w:r>
    <w:r>
      <w:rPr>
        <w:sz w:val="18"/>
      </w:rPr>
      <w:tab/>
    </w:r>
    <w:r w:rsidRPr="003563E9">
      <w:rPr>
        <w:rFonts w:cstheme="minorHAnsi"/>
        <w:sz w:val="18"/>
      </w:rPr>
      <w:fldChar w:fldCharType="begin"/>
    </w:r>
    <w:r w:rsidRPr="003563E9">
      <w:rPr>
        <w:rFonts w:cstheme="minorHAnsi"/>
        <w:sz w:val="18"/>
      </w:rPr>
      <w:instrText xml:space="preserve"> PAGE   \* MERGEFORMAT </w:instrText>
    </w:r>
    <w:r w:rsidRPr="003563E9">
      <w:rPr>
        <w:rFonts w:cstheme="minorHAnsi"/>
        <w:sz w:val="18"/>
      </w:rPr>
      <w:fldChar w:fldCharType="separate"/>
    </w:r>
    <w:r>
      <w:rPr>
        <w:rFonts w:cstheme="minorHAnsi"/>
        <w:sz w:val="18"/>
      </w:rPr>
      <w:t>5</w:t>
    </w:r>
    <w:r w:rsidRPr="003563E9">
      <w:rPr>
        <w:rFonts w:cstheme="minorHAns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64C89" w14:textId="77777777" w:rsidR="00AE5730" w:rsidRDefault="00AE5730" w:rsidP="00A50555">
      <w:r>
        <w:separator/>
      </w:r>
    </w:p>
  </w:footnote>
  <w:footnote w:type="continuationSeparator" w:id="0">
    <w:p w14:paraId="130427C3" w14:textId="77777777" w:rsidR="00AE5730" w:rsidRDefault="00AE5730" w:rsidP="00A50555">
      <w:r>
        <w:continuationSeparator/>
      </w:r>
    </w:p>
  </w:footnote>
  <w:footnote w:id="1">
    <w:p w14:paraId="7AECEECF" w14:textId="00DD665B" w:rsidR="009317C3" w:rsidRPr="009317C3" w:rsidRDefault="009317C3">
      <w:pPr>
        <w:pStyle w:val="FootnoteText"/>
      </w:pPr>
      <w:r>
        <w:rPr>
          <w:rStyle w:val="FootnoteReference"/>
        </w:rPr>
        <w:footnoteRef/>
      </w:r>
      <w:r>
        <w:t xml:space="preserve"> El presupuesto básico modificado que resultaría de la aprobación de esta asignación figura en el Anexo 1 a continuación.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5"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19632AA6"/>
    <w:multiLevelType w:val="hybridMultilevel"/>
    <w:tmpl w:val="393C444C"/>
    <w:lvl w:ilvl="0" w:tplc="D7324902">
      <w:start w:val="1"/>
      <w:numFmt w:val="lowerLetter"/>
      <w:lvlText w:val="%1."/>
      <w:lvlJc w:val="left"/>
      <w:pPr>
        <w:ind w:left="785" w:hanging="360"/>
      </w:pPr>
      <w:rPr>
        <w:rFonts w:eastAsia="Batang" w:cs="Times New Roman"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7" w15:restartNumberingAfterBreak="0">
    <w:nsid w:val="1C371DEF"/>
    <w:multiLevelType w:val="hybridMultilevel"/>
    <w:tmpl w:val="3644385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8"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2" w15:restartNumberingAfterBreak="0">
    <w:nsid w:val="23FD5A1B"/>
    <w:multiLevelType w:val="hybridMultilevel"/>
    <w:tmpl w:val="DABE2B86"/>
    <w:lvl w:ilvl="0" w:tplc="788E700C">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4"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8BD1CC3"/>
    <w:multiLevelType w:val="hybridMultilevel"/>
    <w:tmpl w:val="56205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C25EF6"/>
    <w:multiLevelType w:val="hybridMultilevel"/>
    <w:tmpl w:val="1B087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A90BB1"/>
    <w:multiLevelType w:val="hybridMultilevel"/>
    <w:tmpl w:val="99EEC3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9A3CAF"/>
    <w:multiLevelType w:val="hybridMultilevel"/>
    <w:tmpl w:val="668470EA"/>
    <w:lvl w:ilvl="0" w:tplc="BE2EA1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CBC2E81"/>
    <w:multiLevelType w:val="hybridMultilevel"/>
    <w:tmpl w:val="A0D0D50C"/>
    <w:lvl w:ilvl="0" w:tplc="089E18B0">
      <w:start w:val="1"/>
      <w:numFmt w:val="decimal"/>
      <w:lvlText w:val="%1)"/>
      <w:lvlJc w:val="left"/>
      <w:pPr>
        <w:ind w:left="360" w:hanging="360"/>
      </w:pPr>
      <w:rPr>
        <w:rFonts w:ascii="Calibri" w:hAnsi="Calibri" w:hint="default"/>
        <w:b/>
        <w:i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F751BAD"/>
    <w:multiLevelType w:val="hybridMultilevel"/>
    <w:tmpl w:val="0B0C2C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54C3034"/>
    <w:multiLevelType w:val="hybridMultilevel"/>
    <w:tmpl w:val="AEEE90FA"/>
    <w:lvl w:ilvl="0" w:tplc="B63A677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4BCB7151"/>
    <w:multiLevelType w:val="hybridMultilevel"/>
    <w:tmpl w:val="66B6D9AE"/>
    <w:lvl w:ilvl="0" w:tplc="E95C0D16">
      <w:numFmt w:val="bullet"/>
      <w:lvlText w:val="-"/>
      <w:lvlJc w:val="left"/>
      <w:pPr>
        <w:ind w:left="720" w:hanging="360"/>
      </w:pPr>
      <w:rPr>
        <w:rFonts w:ascii="Calibri" w:eastAsia="Times New Roma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694522"/>
    <w:multiLevelType w:val="hybridMultilevel"/>
    <w:tmpl w:val="4D86A0D6"/>
    <w:lvl w:ilvl="0" w:tplc="C486D5A2">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0202D7"/>
    <w:multiLevelType w:val="hybridMultilevel"/>
    <w:tmpl w:val="55DEB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5D40B0"/>
    <w:multiLevelType w:val="hybridMultilevel"/>
    <w:tmpl w:val="E6001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48170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6"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7"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8" w15:restartNumberingAfterBreak="0">
    <w:nsid w:val="65232E93"/>
    <w:multiLevelType w:val="hybridMultilevel"/>
    <w:tmpl w:val="B616E20C"/>
    <w:lvl w:ilvl="0" w:tplc="58844B6C">
      <w:start w:val="1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367CF7"/>
    <w:multiLevelType w:val="hybridMultilevel"/>
    <w:tmpl w:val="C93EF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42" w15:restartNumberingAfterBreak="0">
    <w:nsid w:val="6D423E85"/>
    <w:multiLevelType w:val="hybridMultilevel"/>
    <w:tmpl w:val="A71EB950"/>
    <w:lvl w:ilvl="0" w:tplc="A00216B6">
      <w:start w:val="15"/>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B4316D"/>
    <w:multiLevelType w:val="hybridMultilevel"/>
    <w:tmpl w:val="03B204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46" w15:restartNumberingAfterBreak="0">
    <w:nsid w:val="7F692C40"/>
    <w:multiLevelType w:val="hybridMultilevel"/>
    <w:tmpl w:val="6004D778"/>
    <w:lvl w:ilvl="0" w:tplc="DF36AC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30"/>
  </w:num>
  <w:num w:numId="3">
    <w:abstractNumId w:val="24"/>
  </w:num>
  <w:num w:numId="4">
    <w:abstractNumId w:val="26"/>
  </w:num>
  <w:num w:numId="5">
    <w:abstractNumId w:val="25"/>
  </w:num>
  <w:num w:numId="6">
    <w:abstractNumId w:val="17"/>
  </w:num>
  <w:num w:numId="7">
    <w:abstractNumId w:val="1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40"/>
  </w:num>
  <w:num w:numId="14">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3"/>
  </w:num>
  <w:num w:numId="20">
    <w:abstractNumId w:val="14"/>
  </w:num>
  <w:num w:numId="21">
    <w:abstractNumId w:val="2"/>
  </w:num>
  <w:num w:numId="22">
    <w:abstractNumId w:val="19"/>
  </w:num>
  <w:num w:numId="23">
    <w:abstractNumId w:val="29"/>
  </w:num>
  <w:num w:numId="24">
    <w:abstractNumId w:val="45"/>
  </w:num>
  <w:num w:numId="25">
    <w:abstractNumId w:val="43"/>
  </w:num>
  <w:num w:numId="26">
    <w:abstractNumId w:val="35"/>
  </w:num>
  <w:num w:numId="27">
    <w:abstractNumId w:val="37"/>
  </w:num>
  <w:num w:numId="28">
    <w:abstractNumId w:val="21"/>
  </w:num>
  <w:num w:numId="29">
    <w:abstractNumId w:val="32"/>
  </w:num>
  <w:num w:numId="30">
    <w:abstractNumId w:val="27"/>
  </w:num>
  <w:num w:numId="31">
    <w:abstractNumId w:val="41"/>
  </w:num>
  <w:num w:numId="32">
    <w:abstractNumId w:val="10"/>
  </w:num>
  <w:num w:numId="33">
    <w:abstractNumId w:val="0"/>
  </w:num>
  <w:num w:numId="34">
    <w:abstractNumId w:val="13"/>
  </w:num>
  <w:num w:numId="35">
    <w:abstractNumId w:val="3"/>
  </w:num>
  <w:num w:numId="36">
    <w:abstractNumId w:val="16"/>
  </w:num>
  <w:num w:numId="37">
    <w:abstractNumId w:val="38"/>
  </w:num>
  <w:num w:numId="38">
    <w:abstractNumId w:val="28"/>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1"/>
  </w:num>
  <w:num w:numId="42">
    <w:abstractNumId w:val="20"/>
  </w:num>
  <w:num w:numId="43">
    <w:abstractNumId w:val="6"/>
  </w:num>
  <w:num w:numId="44">
    <w:abstractNumId w:val="44"/>
  </w:num>
  <w:num w:numId="45">
    <w:abstractNumId w:val="42"/>
  </w:num>
  <w:num w:numId="46">
    <w:abstractNumId w:val="46"/>
  </w:num>
  <w:num w:numId="47">
    <w:abstractNumId w:val="33"/>
  </w:num>
  <w:num w:numId="48">
    <w:abstractNumId w:val="34"/>
  </w:num>
  <w:num w:numId="49">
    <w:abstractNumId w:val="31"/>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doNotTrackFormatting/>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AA5"/>
    <w:rsid w:val="00010305"/>
    <w:rsid w:val="000159B6"/>
    <w:rsid w:val="00021CD9"/>
    <w:rsid w:val="00022CF7"/>
    <w:rsid w:val="0002451C"/>
    <w:rsid w:val="00030B65"/>
    <w:rsid w:val="000400BF"/>
    <w:rsid w:val="000418F6"/>
    <w:rsid w:val="00061146"/>
    <w:rsid w:val="0007473E"/>
    <w:rsid w:val="00075BDC"/>
    <w:rsid w:val="00080D2B"/>
    <w:rsid w:val="0008515E"/>
    <w:rsid w:val="00090AA6"/>
    <w:rsid w:val="0009289B"/>
    <w:rsid w:val="00093528"/>
    <w:rsid w:val="0009409C"/>
    <w:rsid w:val="000A03A9"/>
    <w:rsid w:val="000A365E"/>
    <w:rsid w:val="000B2E06"/>
    <w:rsid w:val="000C231F"/>
    <w:rsid w:val="000C2F91"/>
    <w:rsid w:val="000D3076"/>
    <w:rsid w:val="000D7390"/>
    <w:rsid w:val="000D7C0D"/>
    <w:rsid w:val="000E0AE5"/>
    <w:rsid w:val="000E3ACD"/>
    <w:rsid w:val="000E645B"/>
    <w:rsid w:val="000F0776"/>
    <w:rsid w:val="000F0E85"/>
    <w:rsid w:val="000F46B6"/>
    <w:rsid w:val="000F4BA3"/>
    <w:rsid w:val="000F77DA"/>
    <w:rsid w:val="00101312"/>
    <w:rsid w:val="001019BA"/>
    <w:rsid w:val="00101AD3"/>
    <w:rsid w:val="001037CE"/>
    <w:rsid w:val="0010769A"/>
    <w:rsid w:val="001118B5"/>
    <w:rsid w:val="0011723D"/>
    <w:rsid w:val="00126EFB"/>
    <w:rsid w:val="00143B34"/>
    <w:rsid w:val="00152F66"/>
    <w:rsid w:val="001652D1"/>
    <w:rsid w:val="0018412E"/>
    <w:rsid w:val="00187E32"/>
    <w:rsid w:val="001959BA"/>
    <w:rsid w:val="00196236"/>
    <w:rsid w:val="001A0A0B"/>
    <w:rsid w:val="001A3D68"/>
    <w:rsid w:val="001A6241"/>
    <w:rsid w:val="001A64EB"/>
    <w:rsid w:val="001B5313"/>
    <w:rsid w:val="001B7BC0"/>
    <w:rsid w:val="001C794F"/>
    <w:rsid w:val="001D2121"/>
    <w:rsid w:val="001D2175"/>
    <w:rsid w:val="001D6A6C"/>
    <w:rsid w:val="001D7A8A"/>
    <w:rsid w:val="001D7D26"/>
    <w:rsid w:val="001E583C"/>
    <w:rsid w:val="001F0201"/>
    <w:rsid w:val="001F1060"/>
    <w:rsid w:val="001F11ED"/>
    <w:rsid w:val="001F19C8"/>
    <w:rsid w:val="00204595"/>
    <w:rsid w:val="002050D5"/>
    <w:rsid w:val="00210409"/>
    <w:rsid w:val="00213D29"/>
    <w:rsid w:val="002261FB"/>
    <w:rsid w:val="002275AA"/>
    <w:rsid w:val="00230B95"/>
    <w:rsid w:val="00241CF4"/>
    <w:rsid w:val="0025113C"/>
    <w:rsid w:val="00254B41"/>
    <w:rsid w:val="00261AFB"/>
    <w:rsid w:val="002731BF"/>
    <w:rsid w:val="00273A11"/>
    <w:rsid w:val="002753A2"/>
    <w:rsid w:val="002761E2"/>
    <w:rsid w:val="00293327"/>
    <w:rsid w:val="002965DA"/>
    <w:rsid w:val="002A573F"/>
    <w:rsid w:val="002B0987"/>
    <w:rsid w:val="002B1CFE"/>
    <w:rsid w:val="002B56FE"/>
    <w:rsid w:val="002C233F"/>
    <w:rsid w:val="002C2CCE"/>
    <w:rsid w:val="002C7AAB"/>
    <w:rsid w:val="002D2F4B"/>
    <w:rsid w:val="002D4AA7"/>
    <w:rsid w:val="002E00B9"/>
    <w:rsid w:val="002E1AA7"/>
    <w:rsid w:val="002E1C17"/>
    <w:rsid w:val="002E2BC5"/>
    <w:rsid w:val="002E6E44"/>
    <w:rsid w:val="002F01C2"/>
    <w:rsid w:val="00302AF5"/>
    <w:rsid w:val="0031045A"/>
    <w:rsid w:val="003120C7"/>
    <w:rsid w:val="00312617"/>
    <w:rsid w:val="00312AAB"/>
    <w:rsid w:val="00332676"/>
    <w:rsid w:val="003367DB"/>
    <w:rsid w:val="00347815"/>
    <w:rsid w:val="0035107E"/>
    <w:rsid w:val="003563E9"/>
    <w:rsid w:val="00356EEC"/>
    <w:rsid w:val="003621B6"/>
    <w:rsid w:val="003625AF"/>
    <w:rsid w:val="003636C0"/>
    <w:rsid w:val="00370162"/>
    <w:rsid w:val="003765E9"/>
    <w:rsid w:val="00381076"/>
    <w:rsid w:val="00383621"/>
    <w:rsid w:val="003836D6"/>
    <w:rsid w:val="003857D7"/>
    <w:rsid w:val="003A3C66"/>
    <w:rsid w:val="003A57E5"/>
    <w:rsid w:val="003B1DC5"/>
    <w:rsid w:val="003C0BB1"/>
    <w:rsid w:val="003C0CBD"/>
    <w:rsid w:val="003C1EA7"/>
    <w:rsid w:val="003C3176"/>
    <w:rsid w:val="003C5B18"/>
    <w:rsid w:val="003C7862"/>
    <w:rsid w:val="003D0E8A"/>
    <w:rsid w:val="003E07B1"/>
    <w:rsid w:val="003E1E49"/>
    <w:rsid w:val="003F3625"/>
    <w:rsid w:val="003F688F"/>
    <w:rsid w:val="00400161"/>
    <w:rsid w:val="0040088B"/>
    <w:rsid w:val="00401F37"/>
    <w:rsid w:val="00404720"/>
    <w:rsid w:val="0040735E"/>
    <w:rsid w:val="00413A35"/>
    <w:rsid w:val="00426C7C"/>
    <w:rsid w:val="0042785D"/>
    <w:rsid w:val="00443D01"/>
    <w:rsid w:val="00444C8C"/>
    <w:rsid w:val="00445EA0"/>
    <w:rsid w:val="00450D67"/>
    <w:rsid w:val="004573E8"/>
    <w:rsid w:val="004575A6"/>
    <w:rsid w:val="004576D6"/>
    <w:rsid w:val="00464A2A"/>
    <w:rsid w:val="004675F5"/>
    <w:rsid w:val="00473610"/>
    <w:rsid w:val="00477F88"/>
    <w:rsid w:val="00480521"/>
    <w:rsid w:val="00481CDD"/>
    <w:rsid w:val="004824ED"/>
    <w:rsid w:val="0049087F"/>
    <w:rsid w:val="00497B52"/>
    <w:rsid w:val="004A0C1C"/>
    <w:rsid w:val="004A35A2"/>
    <w:rsid w:val="004B0235"/>
    <w:rsid w:val="004C2818"/>
    <w:rsid w:val="004C2A35"/>
    <w:rsid w:val="004D3668"/>
    <w:rsid w:val="004D5206"/>
    <w:rsid w:val="004D5C37"/>
    <w:rsid w:val="004E5AFB"/>
    <w:rsid w:val="004E6BCE"/>
    <w:rsid w:val="00503237"/>
    <w:rsid w:val="00503383"/>
    <w:rsid w:val="00511803"/>
    <w:rsid w:val="0051214A"/>
    <w:rsid w:val="00513537"/>
    <w:rsid w:val="0051680D"/>
    <w:rsid w:val="0052223D"/>
    <w:rsid w:val="00522262"/>
    <w:rsid w:val="00537C58"/>
    <w:rsid w:val="005410AA"/>
    <w:rsid w:val="005439A5"/>
    <w:rsid w:val="00543C2A"/>
    <w:rsid w:val="00543D97"/>
    <w:rsid w:val="00544F74"/>
    <w:rsid w:val="00556BA9"/>
    <w:rsid w:val="0056281F"/>
    <w:rsid w:val="00574D80"/>
    <w:rsid w:val="005818D9"/>
    <w:rsid w:val="00590982"/>
    <w:rsid w:val="00590B54"/>
    <w:rsid w:val="00591472"/>
    <w:rsid w:val="00595B92"/>
    <w:rsid w:val="005A32A8"/>
    <w:rsid w:val="005A5E14"/>
    <w:rsid w:val="005B2BCA"/>
    <w:rsid w:val="005B2C0F"/>
    <w:rsid w:val="005B4FB3"/>
    <w:rsid w:val="005B5816"/>
    <w:rsid w:val="005C2ACC"/>
    <w:rsid w:val="005D6745"/>
    <w:rsid w:val="005E2AB1"/>
    <w:rsid w:val="005E3216"/>
    <w:rsid w:val="005E3F07"/>
    <w:rsid w:val="005E5094"/>
    <w:rsid w:val="005F00DF"/>
    <w:rsid w:val="005F25FF"/>
    <w:rsid w:val="005F38A9"/>
    <w:rsid w:val="005F39F0"/>
    <w:rsid w:val="0061300A"/>
    <w:rsid w:val="0061413D"/>
    <w:rsid w:val="00620874"/>
    <w:rsid w:val="0062629D"/>
    <w:rsid w:val="006302C1"/>
    <w:rsid w:val="00632CDE"/>
    <w:rsid w:val="00637101"/>
    <w:rsid w:val="00637803"/>
    <w:rsid w:val="00641B45"/>
    <w:rsid w:val="00642406"/>
    <w:rsid w:val="006460CC"/>
    <w:rsid w:val="00656511"/>
    <w:rsid w:val="00662D91"/>
    <w:rsid w:val="0066441B"/>
    <w:rsid w:val="0066724B"/>
    <w:rsid w:val="00687B72"/>
    <w:rsid w:val="006935FD"/>
    <w:rsid w:val="00693B20"/>
    <w:rsid w:val="006A43CF"/>
    <w:rsid w:val="006B0B25"/>
    <w:rsid w:val="006B7A8C"/>
    <w:rsid w:val="006C211A"/>
    <w:rsid w:val="006C516B"/>
    <w:rsid w:val="006D71F2"/>
    <w:rsid w:val="006E54A5"/>
    <w:rsid w:val="006F0A7A"/>
    <w:rsid w:val="006F2D4D"/>
    <w:rsid w:val="006F417C"/>
    <w:rsid w:val="006F4234"/>
    <w:rsid w:val="006F7F31"/>
    <w:rsid w:val="007019C8"/>
    <w:rsid w:val="00711D36"/>
    <w:rsid w:val="00715C47"/>
    <w:rsid w:val="007163B4"/>
    <w:rsid w:val="007221BA"/>
    <w:rsid w:val="00742432"/>
    <w:rsid w:val="007438C3"/>
    <w:rsid w:val="00743F0F"/>
    <w:rsid w:val="00755019"/>
    <w:rsid w:val="00757FA5"/>
    <w:rsid w:val="00763805"/>
    <w:rsid w:val="00763865"/>
    <w:rsid w:val="00763D3E"/>
    <w:rsid w:val="0077382A"/>
    <w:rsid w:val="00777E80"/>
    <w:rsid w:val="00782AC6"/>
    <w:rsid w:val="00785920"/>
    <w:rsid w:val="0078596A"/>
    <w:rsid w:val="00791E82"/>
    <w:rsid w:val="00792BD0"/>
    <w:rsid w:val="007A4062"/>
    <w:rsid w:val="007A443A"/>
    <w:rsid w:val="007B46A8"/>
    <w:rsid w:val="007B6E89"/>
    <w:rsid w:val="007C05B5"/>
    <w:rsid w:val="007C1B17"/>
    <w:rsid w:val="007C7587"/>
    <w:rsid w:val="007C7C77"/>
    <w:rsid w:val="007E32B3"/>
    <w:rsid w:val="007F588F"/>
    <w:rsid w:val="007F5E82"/>
    <w:rsid w:val="007F65D6"/>
    <w:rsid w:val="00807EFD"/>
    <w:rsid w:val="00821625"/>
    <w:rsid w:val="008224CD"/>
    <w:rsid w:val="00823CED"/>
    <w:rsid w:val="00826D90"/>
    <w:rsid w:val="00840681"/>
    <w:rsid w:val="008519D6"/>
    <w:rsid w:val="00857A89"/>
    <w:rsid w:val="00871B5A"/>
    <w:rsid w:val="008758DC"/>
    <w:rsid w:val="008949B3"/>
    <w:rsid w:val="00895B66"/>
    <w:rsid w:val="008A1322"/>
    <w:rsid w:val="008A6071"/>
    <w:rsid w:val="008A630E"/>
    <w:rsid w:val="008B6868"/>
    <w:rsid w:val="008B6D4C"/>
    <w:rsid w:val="008C1402"/>
    <w:rsid w:val="008E1AA5"/>
    <w:rsid w:val="008E3818"/>
    <w:rsid w:val="008F0C0C"/>
    <w:rsid w:val="008F3ABA"/>
    <w:rsid w:val="008F6EDE"/>
    <w:rsid w:val="008F72A6"/>
    <w:rsid w:val="00912996"/>
    <w:rsid w:val="00913612"/>
    <w:rsid w:val="009261DF"/>
    <w:rsid w:val="009317C3"/>
    <w:rsid w:val="0094344E"/>
    <w:rsid w:val="00946BCC"/>
    <w:rsid w:val="00951EDA"/>
    <w:rsid w:val="00952558"/>
    <w:rsid w:val="009548E8"/>
    <w:rsid w:val="00955845"/>
    <w:rsid w:val="00957482"/>
    <w:rsid w:val="00963971"/>
    <w:rsid w:val="00972660"/>
    <w:rsid w:val="00974A00"/>
    <w:rsid w:val="00975200"/>
    <w:rsid w:val="0098108D"/>
    <w:rsid w:val="0098498D"/>
    <w:rsid w:val="009850A6"/>
    <w:rsid w:val="00986334"/>
    <w:rsid w:val="00986D94"/>
    <w:rsid w:val="00991376"/>
    <w:rsid w:val="00995583"/>
    <w:rsid w:val="009A732E"/>
    <w:rsid w:val="009B17B4"/>
    <w:rsid w:val="009B30CB"/>
    <w:rsid w:val="009B5E77"/>
    <w:rsid w:val="009B7E58"/>
    <w:rsid w:val="009C4830"/>
    <w:rsid w:val="009D0254"/>
    <w:rsid w:val="009D2CB4"/>
    <w:rsid w:val="009D60D2"/>
    <w:rsid w:val="009E5AEF"/>
    <w:rsid w:val="009F5EF8"/>
    <w:rsid w:val="009F696A"/>
    <w:rsid w:val="00A00F0F"/>
    <w:rsid w:val="00A03544"/>
    <w:rsid w:val="00A0399C"/>
    <w:rsid w:val="00A0542A"/>
    <w:rsid w:val="00A16B54"/>
    <w:rsid w:val="00A20573"/>
    <w:rsid w:val="00A24BE1"/>
    <w:rsid w:val="00A25CC9"/>
    <w:rsid w:val="00A2640A"/>
    <w:rsid w:val="00A40003"/>
    <w:rsid w:val="00A464D1"/>
    <w:rsid w:val="00A50555"/>
    <w:rsid w:val="00A51A5D"/>
    <w:rsid w:val="00A52340"/>
    <w:rsid w:val="00A54468"/>
    <w:rsid w:val="00A621D6"/>
    <w:rsid w:val="00A672A1"/>
    <w:rsid w:val="00A6732F"/>
    <w:rsid w:val="00A71988"/>
    <w:rsid w:val="00A733F6"/>
    <w:rsid w:val="00A74EB8"/>
    <w:rsid w:val="00A7738E"/>
    <w:rsid w:val="00A81B59"/>
    <w:rsid w:val="00A90931"/>
    <w:rsid w:val="00A9722C"/>
    <w:rsid w:val="00AA3D23"/>
    <w:rsid w:val="00AB178F"/>
    <w:rsid w:val="00AC086D"/>
    <w:rsid w:val="00AD079A"/>
    <w:rsid w:val="00AD486C"/>
    <w:rsid w:val="00AE2CB9"/>
    <w:rsid w:val="00AE5730"/>
    <w:rsid w:val="00AF4B37"/>
    <w:rsid w:val="00AF5120"/>
    <w:rsid w:val="00B00120"/>
    <w:rsid w:val="00B0237C"/>
    <w:rsid w:val="00B07F57"/>
    <w:rsid w:val="00B1398E"/>
    <w:rsid w:val="00B13AB3"/>
    <w:rsid w:val="00B15073"/>
    <w:rsid w:val="00B1795F"/>
    <w:rsid w:val="00B17B8E"/>
    <w:rsid w:val="00B22546"/>
    <w:rsid w:val="00B24305"/>
    <w:rsid w:val="00B24FC7"/>
    <w:rsid w:val="00B258C9"/>
    <w:rsid w:val="00B307DB"/>
    <w:rsid w:val="00B33657"/>
    <w:rsid w:val="00B44B75"/>
    <w:rsid w:val="00B45EE7"/>
    <w:rsid w:val="00B4675C"/>
    <w:rsid w:val="00B47F4D"/>
    <w:rsid w:val="00B501A6"/>
    <w:rsid w:val="00B509BF"/>
    <w:rsid w:val="00B515C1"/>
    <w:rsid w:val="00B60E9F"/>
    <w:rsid w:val="00B633CD"/>
    <w:rsid w:val="00B87283"/>
    <w:rsid w:val="00B87646"/>
    <w:rsid w:val="00B93A4E"/>
    <w:rsid w:val="00B94F63"/>
    <w:rsid w:val="00BA15AD"/>
    <w:rsid w:val="00BA28A6"/>
    <w:rsid w:val="00BA4C84"/>
    <w:rsid w:val="00BA54B9"/>
    <w:rsid w:val="00BB2262"/>
    <w:rsid w:val="00BB454C"/>
    <w:rsid w:val="00BB5461"/>
    <w:rsid w:val="00BC0A3B"/>
    <w:rsid w:val="00BC35EB"/>
    <w:rsid w:val="00BD015F"/>
    <w:rsid w:val="00BD2065"/>
    <w:rsid w:val="00BD255E"/>
    <w:rsid w:val="00BD381C"/>
    <w:rsid w:val="00BD3891"/>
    <w:rsid w:val="00BD4C34"/>
    <w:rsid w:val="00BD6489"/>
    <w:rsid w:val="00BE0434"/>
    <w:rsid w:val="00BE07FA"/>
    <w:rsid w:val="00BE7DB2"/>
    <w:rsid w:val="00C07ED3"/>
    <w:rsid w:val="00C113FB"/>
    <w:rsid w:val="00C17AED"/>
    <w:rsid w:val="00C21939"/>
    <w:rsid w:val="00C25A05"/>
    <w:rsid w:val="00C368FF"/>
    <w:rsid w:val="00C369B5"/>
    <w:rsid w:val="00C4108F"/>
    <w:rsid w:val="00C46204"/>
    <w:rsid w:val="00C60C75"/>
    <w:rsid w:val="00C6406A"/>
    <w:rsid w:val="00C65DAC"/>
    <w:rsid w:val="00C71068"/>
    <w:rsid w:val="00C72496"/>
    <w:rsid w:val="00C726E1"/>
    <w:rsid w:val="00C76EEE"/>
    <w:rsid w:val="00C76FD5"/>
    <w:rsid w:val="00C77D35"/>
    <w:rsid w:val="00C80233"/>
    <w:rsid w:val="00C910A1"/>
    <w:rsid w:val="00C92947"/>
    <w:rsid w:val="00C957E3"/>
    <w:rsid w:val="00CA2A73"/>
    <w:rsid w:val="00CA406A"/>
    <w:rsid w:val="00CA47DD"/>
    <w:rsid w:val="00CB11F6"/>
    <w:rsid w:val="00CC7060"/>
    <w:rsid w:val="00CD1507"/>
    <w:rsid w:val="00CD2407"/>
    <w:rsid w:val="00CD6CDA"/>
    <w:rsid w:val="00CE0166"/>
    <w:rsid w:val="00CE1C6A"/>
    <w:rsid w:val="00CE26BB"/>
    <w:rsid w:val="00CE4E7D"/>
    <w:rsid w:val="00CE5A38"/>
    <w:rsid w:val="00CF1C9C"/>
    <w:rsid w:val="00CF5D5E"/>
    <w:rsid w:val="00D12344"/>
    <w:rsid w:val="00D21AB0"/>
    <w:rsid w:val="00D22755"/>
    <w:rsid w:val="00D23279"/>
    <w:rsid w:val="00D32871"/>
    <w:rsid w:val="00D41DE9"/>
    <w:rsid w:val="00D434D9"/>
    <w:rsid w:val="00D472A8"/>
    <w:rsid w:val="00D528C2"/>
    <w:rsid w:val="00D55468"/>
    <w:rsid w:val="00D5694F"/>
    <w:rsid w:val="00D65981"/>
    <w:rsid w:val="00D740A9"/>
    <w:rsid w:val="00D816CB"/>
    <w:rsid w:val="00D86184"/>
    <w:rsid w:val="00D869E7"/>
    <w:rsid w:val="00DA7041"/>
    <w:rsid w:val="00DA7A62"/>
    <w:rsid w:val="00DB0BED"/>
    <w:rsid w:val="00DB2974"/>
    <w:rsid w:val="00DB76E9"/>
    <w:rsid w:val="00DC0469"/>
    <w:rsid w:val="00DC109C"/>
    <w:rsid w:val="00DC23F7"/>
    <w:rsid w:val="00DD5F2D"/>
    <w:rsid w:val="00E047CD"/>
    <w:rsid w:val="00E04963"/>
    <w:rsid w:val="00E10F8A"/>
    <w:rsid w:val="00E113B3"/>
    <w:rsid w:val="00E1293D"/>
    <w:rsid w:val="00E15918"/>
    <w:rsid w:val="00E207B9"/>
    <w:rsid w:val="00E25D01"/>
    <w:rsid w:val="00E34FA3"/>
    <w:rsid w:val="00E35FAB"/>
    <w:rsid w:val="00E36717"/>
    <w:rsid w:val="00E41F24"/>
    <w:rsid w:val="00E523A5"/>
    <w:rsid w:val="00E52E82"/>
    <w:rsid w:val="00E54426"/>
    <w:rsid w:val="00E56E08"/>
    <w:rsid w:val="00E61FC3"/>
    <w:rsid w:val="00E64E4A"/>
    <w:rsid w:val="00E659A0"/>
    <w:rsid w:val="00E73D83"/>
    <w:rsid w:val="00E75400"/>
    <w:rsid w:val="00E8197F"/>
    <w:rsid w:val="00E842B7"/>
    <w:rsid w:val="00E9401C"/>
    <w:rsid w:val="00E96FBF"/>
    <w:rsid w:val="00E97A2C"/>
    <w:rsid w:val="00EB2579"/>
    <w:rsid w:val="00EB3C86"/>
    <w:rsid w:val="00EB4C55"/>
    <w:rsid w:val="00EC10F2"/>
    <w:rsid w:val="00EC1418"/>
    <w:rsid w:val="00EC34F8"/>
    <w:rsid w:val="00EC44E1"/>
    <w:rsid w:val="00EC5FE9"/>
    <w:rsid w:val="00ED15B4"/>
    <w:rsid w:val="00ED45B0"/>
    <w:rsid w:val="00ED4BF2"/>
    <w:rsid w:val="00F02BAA"/>
    <w:rsid w:val="00F068B4"/>
    <w:rsid w:val="00F10FCB"/>
    <w:rsid w:val="00F237D4"/>
    <w:rsid w:val="00F303B7"/>
    <w:rsid w:val="00F30DD3"/>
    <w:rsid w:val="00F323F5"/>
    <w:rsid w:val="00F34442"/>
    <w:rsid w:val="00F430ED"/>
    <w:rsid w:val="00F517A5"/>
    <w:rsid w:val="00F578A3"/>
    <w:rsid w:val="00F60AB1"/>
    <w:rsid w:val="00F63469"/>
    <w:rsid w:val="00F71148"/>
    <w:rsid w:val="00F837E1"/>
    <w:rsid w:val="00F8589C"/>
    <w:rsid w:val="00F91FE6"/>
    <w:rsid w:val="00F9659F"/>
    <w:rsid w:val="00F97F95"/>
    <w:rsid w:val="00FA0892"/>
    <w:rsid w:val="00FB512A"/>
    <w:rsid w:val="00FB515D"/>
    <w:rsid w:val="00FB66BD"/>
    <w:rsid w:val="00FC09A8"/>
    <w:rsid w:val="00FC5734"/>
    <w:rsid w:val="00FC5C2F"/>
    <w:rsid w:val="00FD6050"/>
    <w:rsid w:val="00FE408D"/>
    <w:rsid w:val="00FF19B1"/>
    <w:rsid w:val="00FF1E0D"/>
    <w:rsid w:val="00FF5DA6"/>
    <w:rsid w:val="00FF65F3"/>
    <w:rsid w:val="00FF6E83"/>
    <w:rsid w:val="00FF743C"/>
    <w:rsid w:val="0E5926D6"/>
    <w:rsid w:val="1AF8FACB"/>
    <w:rsid w:val="2AD0968B"/>
    <w:rsid w:val="2FE9E55F"/>
    <w:rsid w:val="5626EE5F"/>
    <w:rsid w:val="74004893"/>
    <w:rsid w:val="76A444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7871BA"/>
  <w15:chartTrackingRefBased/>
  <w15:docId w15:val="{078A3970-D28C-4D77-9744-9C197CE63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1AA5"/>
    <w:pPr>
      <w:widowControl w:val="0"/>
      <w:autoSpaceDE w:val="0"/>
      <w:autoSpaceDN w:val="0"/>
      <w:spacing w:after="0" w:line="240" w:lineRule="auto"/>
    </w:pPr>
    <w:rPr>
      <w:rFonts w:ascii="Calibri" w:eastAsia="Times New Roman" w:hAnsi="Calibri" w:cs="Calibri"/>
    </w:rPr>
  </w:style>
  <w:style w:type="paragraph" w:styleId="Heading2">
    <w:name w:val="heading 2"/>
    <w:basedOn w:val="Normal"/>
    <w:link w:val="Heading2Char"/>
    <w:uiPriority w:val="9"/>
    <w:unhideWhenUsed/>
    <w:qFormat/>
    <w:rsid w:val="008E1AA5"/>
    <w:pPr>
      <w:ind w:left="240"/>
      <w:jc w:val="both"/>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AA5"/>
    <w:rPr>
      <w:rFonts w:ascii="Calibri" w:eastAsia="Times New Roman" w:hAnsi="Calibri" w:cs="Calibri"/>
      <w:b/>
      <w:bCs/>
      <w:i/>
      <w:lang w:val="es-ES"/>
    </w:rPr>
  </w:style>
  <w:style w:type="paragraph" w:styleId="BodyText">
    <w:name w:val="Body Text"/>
    <w:basedOn w:val="Normal"/>
    <w:link w:val="BodyTextChar"/>
    <w:uiPriority w:val="1"/>
    <w:unhideWhenUsed/>
    <w:qFormat/>
    <w:rsid w:val="008E1AA5"/>
  </w:style>
  <w:style w:type="character" w:customStyle="1" w:styleId="BodyTextChar">
    <w:name w:val="Body Text Char"/>
    <w:basedOn w:val="DefaultParagraphFont"/>
    <w:link w:val="BodyText"/>
    <w:uiPriority w:val="1"/>
    <w:rsid w:val="008E1AA5"/>
    <w:rPr>
      <w:rFonts w:ascii="Calibri" w:eastAsia="Times New Roman" w:hAnsi="Calibri" w:cs="Calibri"/>
      <w:lang w:val="es-ES"/>
    </w:rPr>
  </w:style>
  <w:style w:type="character" w:styleId="CommentReference">
    <w:name w:val="annotation reference"/>
    <w:basedOn w:val="DefaultParagraphFont"/>
    <w:uiPriority w:val="99"/>
    <w:semiHidden/>
    <w:unhideWhenUsed/>
    <w:rsid w:val="005F39F0"/>
    <w:rPr>
      <w:sz w:val="16"/>
      <w:szCs w:val="16"/>
    </w:rPr>
  </w:style>
  <w:style w:type="paragraph" w:styleId="CommentText">
    <w:name w:val="annotation text"/>
    <w:basedOn w:val="Normal"/>
    <w:link w:val="CommentTextChar"/>
    <w:uiPriority w:val="99"/>
    <w:unhideWhenUsed/>
    <w:rsid w:val="005F39F0"/>
    <w:rPr>
      <w:sz w:val="20"/>
      <w:szCs w:val="20"/>
    </w:rPr>
  </w:style>
  <w:style w:type="character" w:customStyle="1" w:styleId="CommentTextChar">
    <w:name w:val="Comment Text Char"/>
    <w:basedOn w:val="DefaultParagraphFont"/>
    <w:link w:val="CommentText"/>
    <w:uiPriority w:val="99"/>
    <w:rsid w:val="005F39F0"/>
    <w:rPr>
      <w:rFonts w:ascii="Calibri" w:eastAsia="Times New Roman" w:hAnsi="Calibri" w:cs="Calibri"/>
      <w:sz w:val="20"/>
      <w:szCs w:val="20"/>
      <w:lang w:val="es-ES"/>
    </w:rPr>
  </w:style>
  <w:style w:type="paragraph" w:styleId="CommentSubject">
    <w:name w:val="annotation subject"/>
    <w:basedOn w:val="CommentText"/>
    <w:next w:val="CommentText"/>
    <w:link w:val="CommentSubjectChar"/>
    <w:uiPriority w:val="99"/>
    <w:semiHidden/>
    <w:unhideWhenUsed/>
    <w:rsid w:val="005F39F0"/>
    <w:rPr>
      <w:b/>
      <w:bCs/>
    </w:rPr>
  </w:style>
  <w:style w:type="character" w:customStyle="1" w:styleId="CommentSubjectChar">
    <w:name w:val="Comment Subject Char"/>
    <w:basedOn w:val="CommentTextChar"/>
    <w:link w:val="CommentSubject"/>
    <w:uiPriority w:val="99"/>
    <w:semiHidden/>
    <w:rsid w:val="005F39F0"/>
    <w:rPr>
      <w:rFonts w:ascii="Calibri" w:eastAsia="Times New Roman" w:hAnsi="Calibri" w:cs="Calibri"/>
      <w:b/>
      <w:bCs/>
      <w:sz w:val="20"/>
      <w:szCs w:val="20"/>
      <w:lang w:val="es-ES"/>
    </w:rPr>
  </w:style>
  <w:style w:type="paragraph" w:styleId="BalloonText">
    <w:name w:val="Balloon Text"/>
    <w:basedOn w:val="Normal"/>
    <w:link w:val="BalloonTextChar"/>
    <w:uiPriority w:val="99"/>
    <w:semiHidden/>
    <w:unhideWhenUsed/>
    <w:rsid w:val="005F39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9F0"/>
    <w:rPr>
      <w:rFonts w:ascii="Segoe UI" w:eastAsia="Times New Roman" w:hAnsi="Segoe UI" w:cs="Segoe UI"/>
      <w:sz w:val="18"/>
      <w:szCs w:val="18"/>
      <w:lang w:val="es-ES"/>
    </w:rPr>
  </w:style>
  <w:style w:type="paragraph" w:styleId="NormalWeb">
    <w:name w:val="Normal (Web)"/>
    <w:basedOn w:val="Normal"/>
    <w:uiPriority w:val="99"/>
    <w:unhideWhenUsed/>
    <w:rsid w:val="006302C1"/>
    <w:pPr>
      <w:widowControl/>
      <w:autoSpaceDE/>
      <w:autoSpaceDN/>
      <w:spacing w:before="100" w:beforeAutospacing="1" w:after="100" w:afterAutospacing="1"/>
    </w:pPr>
    <w:rPr>
      <w:rFonts w:ascii="Times New Roman" w:eastAsiaTheme="minorHAnsi" w:hAnsi="Times New Roman" w:cs="Times New Roman"/>
      <w:sz w:val="24"/>
      <w:szCs w:val="24"/>
      <w:lang w:eastAsia="en-GB"/>
    </w:rPr>
  </w:style>
  <w:style w:type="paragraph" w:styleId="ListParagraph">
    <w:name w:val="List Paragraph"/>
    <w:basedOn w:val="Normal"/>
    <w:uiPriority w:val="34"/>
    <w:qFormat/>
    <w:rsid w:val="006302C1"/>
    <w:pPr>
      <w:ind w:left="720"/>
      <w:contextualSpacing/>
    </w:pPr>
  </w:style>
  <w:style w:type="paragraph" w:styleId="Header">
    <w:name w:val="header"/>
    <w:basedOn w:val="Normal"/>
    <w:link w:val="HeaderChar"/>
    <w:uiPriority w:val="99"/>
    <w:unhideWhenUsed/>
    <w:rsid w:val="00A50555"/>
    <w:pPr>
      <w:tabs>
        <w:tab w:val="center" w:pos="4513"/>
        <w:tab w:val="right" w:pos="9026"/>
      </w:tabs>
    </w:pPr>
  </w:style>
  <w:style w:type="character" w:customStyle="1" w:styleId="HeaderChar">
    <w:name w:val="Header Char"/>
    <w:basedOn w:val="DefaultParagraphFont"/>
    <w:link w:val="Header"/>
    <w:uiPriority w:val="99"/>
    <w:rsid w:val="00A50555"/>
    <w:rPr>
      <w:rFonts w:ascii="Calibri" w:eastAsia="Times New Roman" w:hAnsi="Calibri" w:cs="Calibri"/>
      <w:lang w:val="es-ES"/>
    </w:rPr>
  </w:style>
  <w:style w:type="paragraph" w:styleId="Footer">
    <w:name w:val="footer"/>
    <w:basedOn w:val="Normal"/>
    <w:link w:val="FooterChar"/>
    <w:uiPriority w:val="99"/>
    <w:unhideWhenUsed/>
    <w:qFormat/>
    <w:rsid w:val="00A50555"/>
    <w:pPr>
      <w:tabs>
        <w:tab w:val="center" w:pos="4513"/>
        <w:tab w:val="right" w:pos="9026"/>
      </w:tabs>
    </w:pPr>
  </w:style>
  <w:style w:type="character" w:customStyle="1" w:styleId="FooterChar">
    <w:name w:val="Footer Char"/>
    <w:basedOn w:val="DefaultParagraphFont"/>
    <w:link w:val="Footer"/>
    <w:uiPriority w:val="99"/>
    <w:rsid w:val="00A50555"/>
    <w:rPr>
      <w:rFonts w:ascii="Calibri" w:eastAsia="Times New Roman" w:hAnsi="Calibri" w:cs="Calibri"/>
      <w:lang w:val="es-ES"/>
    </w:rPr>
  </w:style>
  <w:style w:type="paragraph" w:styleId="Revision">
    <w:name w:val="Revision"/>
    <w:hidden/>
    <w:uiPriority w:val="99"/>
    <w:semiHidden/>
    <w:rsid w:val="00912996"/>
    <w:pPr>
      <w:spacing w:after="0" w:line="240" w:lineRule="auto"/>
    </w:pPr>
    <w:rPr>
      <w:rFonts w:ascii="Calibri" w:eastAsia="Times New Roman" w:hAnsi="Calibri" w:cs="Calibri"/>
    </w:rPr>
  </w:style>
  <w:style w:type="paragraph" w:styleId="FootnoteText">
    <w:name w:val="footnote text"/>
    <w:basedOn w:val="Normal"/>
    <w:link w:val="FootnoteTextChar"/>
    <w:semiHidden/>
    <w:unhideWhenUsed/>
    <w:rsid w:val="00E36717"/>
    <w:rPr>
      <w:sz w:val="20"/>
      <w:szCs w:val="20"/>
    </w:rPr>
  </w:style>
  <w:style w:type="character" w:customStyle="1" w:styleId="FootnoteTextChar">
    <w:name w:val="Footnote Text Char"/>
    <w:basedOn w:val="DefaultParagraphFont"/>
    <w:link w:val="FootnoteText"/>
    <w:uiPriority w:val="99"/>
    <w:semiHidden/>
    <w:rsid w:val="00E36717"/>
    <w:rPr>
      <w:rFonts w:ascii="Calibri" w:eastAsia="Times New Roman" w:hAnsi="Calibri" w:cs="Calibri"/>
      <w:sz w:val="20"/>
      <w:szCs w:val="20"/>
      <w:lang w:val="es-ES"/>
    </w:rPr>
  </w:style>
  <w:style w:type="character" w:styleId="FootnoteReference">
    <w:name w:val="footnote reference"/>
    <w:basedOn w:val="DefaultParagraphFont"/>
    <w:semiHidden/>
    <w:unhideWhenUsed/>
    <w:rsid w:val="00E36717"/>
    <w:rPr>
      <w:vertAlign w:val="superscript"/>
    </w:rPr>
  </w:style>
  <w:style w:type="paragraph" w:customStyle="1" w:styleId="MGfulltext">
    <w:name w:val="MG_fulltext"/>
    <w:basedOn w:val="Normal"/>
    <w:link w:val="MGfulltextChar"/>
    <w:qFormat/>
    <w:rsid w:val="009548E8"/>
    <w:pPr>
      <w:widowControl/>
      <w:autoSpaceDE/>
      <w:autoSpaceDN/>
      <w:spacing w:after="120"/>
    </w:pPr>
    <w:rPr>
      <w:rFonts w:ascii="Arial" w:hAnsi="Arial" w:cs="Arial"/>
      <w:sz w:val="24"/>
      <w:szCs w:val="24"/>
    </w:rPr>
  </w:style>
  <w:style w:type="character" w:customStyle="1" w:styleId="MGfulltextChar">
    <w:name w:val="MG_fulltext Char"/>
    <w:basedOn w:val="DefaultParagraphFont"/>
    <w:link w:val="MGfulltext"/>
    <w:rsid w:val="009548E8"/>
    <w:rPr>
      <w:rFonts w:ascii="Arial" w:eastAsia="Times New Roman" w:hAnsi="Arial" w:cs="Arial"/>
      <w:sz w:val="24"/>
      <w:szCs w:val="24"/>
      <w:lang w:val="es-ES"/>
    </w:rPr>
  </w:style>
  <w:style w:type="paragraph" w:customStyle="1" w:styleId="ColorfulList-Accent11">
    <w:name w:val="Colorful List - Accent 11"/>
    <w:basedOn w:val="Normal"/>
    <w:uiPriority w:val="34"/>
    <w:qFormat/>
    <w:rsid w:val="003C7862"/>
    <w:pPr>
      <w:widowControl/>
      <w:autoSpaceDE/>
      <w:autoSpaceDN/>
      <w:ind w:left="720" w:hanging="425"/>
      <w:contextualSpacing/>
    </w:pPr>
    <w:rPr>
      <w:rFonts w:eastAsia="Calibri" w:cs="Times New Roman"/>
    </w:rPr>
  </w:style>
  <w:style w:type="character" w:styleId="Hyperlink">
    <w:name w:val="Hyperlink"/>
    <w:basedOn w:val="DefaultParagraphFont"/>
    <w:uiPriority w:val="99"/>
    <w:unhideWhenUsed/>
    <w:rsid w:val="003C7862"/>
    <w:rPr>
      <w:color w:val="0563C1" w:themeColor="hyperlink"/>
      <w:u w:val="single"/>
    </w:rPr>
  </w:style>
  <w:style w:type="paragraph" w:styleId="NoSpacing">
    <w:name w:val="No Spacing"/>
    <w:uiPriority w:val="1"/>
    <w:qFormat/>
    <w:rsid w:val="003C7862"/>
    <w:pPr>
      <w:spacing w:after="0" w:line="240" w:lineRule="auto"/>
      <w:ind w:left="425" w:hanging="425"/>
    </w:pPr>
    <w:rPr>
      <w:rFonts w:ascii="Calibri" w:eastAsia="Calibri" w:hAnsi="Calibri" w:cs="Times New Roman"/>
    </w:rPr>
  </w:style>
  <w:style w:type="paragraph" w:customStyle="1" w:styleId="Default">
    <w:name w:val="Default"/>
    <w:basedOn w:val="Normal"/>
    <w:rsid w:val="003C7862"/>
    <w:pPr>
      <w:widowControl/>
    </w:pPr>
    <w:rPr>
      <w:rFonts w:ascii="Arial" w:eastAsiaTheme="minorHAnsi" w:hAnsi="Arial" w:cs="Arial"/>
      <w:color w:val="000000"/>
      <w:sz w:val="24"/>
      <w:szCs w:val="24"/>
    </w:rPr>
  </w:style>
  <w:style w:type="paragraph" w:customStyle="1" w:styleId="xl65">
    <w:name w:val="xl65"/>
    <w:basedOn w:val="Normal"/>
    <w:rsid w:val="003C7862"/>
    <w:pPr>
      <w:widowControl/>
      <w:autoSpaceDE/>
      <w:autoSpaceDN/>
      <w:spacing w:before="100" w:beforeAutospacing="1" w:after="100" w:afterAutospacing="1"/>
      <w:textAlignment w:val="top"/>
    </w:pPr>
    <w:rPr>
      <w:rFonts w:cs="Times New Roman"/>
      <w:b/>
      <w:bCs/>
      <w:sz w:val="24"/>
      <w:szCs w:val="24"/>
      <w:lang w:eastAsia="en-GB"/>
    </w:rPr>
  </w:style>
  <w:style w:type="paragraph" w:customStyle="1" w:styleId="xl67">
    <w:name w:val="xl67"/>
    <w:basedOn w:val="Normal"/>
    <w:rsid w:val="003C7862"/>
    <w:pPr>
      <w:widowControl/>
      <w:pBdr>
        <w:top w:val="single" w:sz="4" w:space="0" w:color="auto"/>
        <w:left w:val="single" w:sz="4" w:space="0" w:color="auto"/>
        <w:bottom w:val="single" w:sz="4" w:space="0" w:color="auto"/>
        <w:right w:val="single" w:sz="4" w:space="0" w:color="auto"/>
      </w:pBdr>
      <w:shd w:val="clear" w:color="000000" w:fill="E4DFEC"/>
      <w:autoSpaceDE/>
      <w:autoSpaceDN/>
      <w:spacing w:before="100" w:beforeAutospacing="1" w:after="100" w:afterAutospacing="1"/>
      <w:jc w:val="center"/>
      <w:textAlignment w:val="top"/>
    </w:pPr>
    <w:rPr>
      <w:rFonts w:cs="Times New Roman"/>
      <w:b/>
      <w:bCs/>
      <w:sz w:val="24"/>
      <w:szCs w:val="24"/>
      <w:lang w:eastAsia="en-GB"/>
    </w:rPr>
  </w:style>
  <w:style w:type="paragraph" w:customStyle="1" w:styleId="xl68">
    <w:name w:val="xl68"/>
    <w:basedOn w:val="Normal"/>
    <w:rsid w:val="003C7862"/>
    <w:pPr>
      <w:widowControl/>
      <w:pBdr>
        <w:top w:val="single" w:sz="4" w:space="0" w:color="auto"/>
        <w:left w:val="single" w:sz="4" w:space="0" w:color="auto"/>
        <w:bottom w:val="single" w:sz="4" w:space="0" w:color="auto"/>
        <w:right w:val="single" w:sz="4" w:space="0" w:color="auto"/>
      </w:pBdr>
      <w:shd w:val="clear" w:color="000000" w:fill="EBF1DE"/>
      <w:autoSpaceDE/>
      <w:autoSpaceDN/>
      <w:spacing w:before="100" w:beforeAutospacing="1" w:after="100" w:afterAutospacing="1"/>
      <w:jc w:val="center"/>
      <w:textAlignment w:val="top"/>
    </w:pPr>
    <w:rPr>
      <w:rFonts w:cs="Times New Roman"/>
      <w:b/>
      <w:bCs/>
      <w:sz w:val="24"/>
      <w:szCs w:val="24"/>
      <w:lang w:eastAsia="en-GB"/>
    </w:rPr>
  </w:style>
  <w:style w:type="paragraph" w:customStyle="1" w:styleId="xl69">
    <w:name w:val="xl69"/>
    <w:basedOn w:val="Normal"/>
    <w:rsid w:val="003C7862"/>
    <w:pPr>
      <w:widowControl/>
      <w:pBdr>
        <w:top w:val="single" w:sz="4" w:space="0" w:color="auto"/>
        <w:left w:val="single" w:sz="4" w:space="0" w:color="auto"/>
        <w:bottom w:val="single" w:sz="4" w:space="0" w:color="auto"/>
        <w:right w:val="single" w:sz="4" w:space="0" w:color="auto"/>
      </w:pBdr>
      <w:shd w:val="clear" w:color="000000" w:fill="E6B8B7"/>
      <w:autoSpaceDE/>
      <w:autoSpaceDN/>
      <w:spacing w:before="100" w:beforeAutospacing="1" w:after="100" w:afterAutospacing="1"/>
      <w:jc w:val="center"/>
      <w:textAlignment w:val="top"/>
    </w:pPr>
    <w:rPr>
      <w:rFonts w:cs="Times New Roman"/>
      <w:b/>
      <w:bCs/>
      <w:sz w:val="24"/>
      <w:szCs w:val="24"/>
      <w:lang w:eastAsia="en-GB"/>
    </w:rPr>
  </w:style>
  <w:style w:type="paragraph" w:customStyle="1" w:styleId="xl70">
    <w:name w:val="xl70"/>
    <w:basedOn w:val="Normal"/>
    <w:rsid w:val="003C78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lang w:eastAsia="en-GB"/>
    </w:rPr>
  </w:style>
  <w:style w:type="paragraph" w:customStyle="1" w:styleId="xl71">
    <w:name w:val="xl71"/>
    <w:basedOn w:val="Normal"/>
    <w:rsid w:val="003C78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lang w:eastAsia="en-GB"/>
    </w:rPr>
  </w:style>
  <w:style w:type="paragraph" w:customStyle="1" w:styleId="xl72">
    <w:name w:val="xl72"/>
    <w:basedOn w:val="Normal"/>
    <w:rsid w:val="003C78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lang w:eastAsia="en-GB"/>
    </w:rPr>
  </w:style>
  <w:style w:type="paragraph" w:customStyle="1" w:styleId="xl73">
    <w:name w:val="xl73"/>
    <w:basedOn w:val="Normal"/>
    <w:rsid w:val="003C78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lang w:eastAsia="en-GB"/>
    </w:rPr>
  </w:style>
  <w:style w:type="paragraph" w:customStyle="1" w:styleId="xl74">
    <w:name w:val="xl74"/>
    <w:basedOn w:val="Normal"/>
    <w:rsid w:val="003C78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lang w:eastAsia="en-GB"/>
    </w:rPr>
  </w:style>
  <w:style w:type="paragraph" w:customStyle="1" w:styleId="xl75">
    <w:name w:val="xl75"/>
    <w:basedOn w:val="Normal"/>
    <w:rsid w:val="003C78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lang w:eastAsia="en-GB"/>
    </w:rPr>
  </w:style>
  <w:style w:type="paragraph" w:customStyle="1" w:styleId="xl76">
    <w:name w:val="xl76"/>
    <w:basedOn w:val="Normal"/>
    <w:rsid w:val="003C7862"/>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pPr>
    <w:rPr>
      <w:rFonts w:ascii="Times New Roman" w:hAnsi="Times New Roman" w:cs="Times New Roman"/>
      <w:sz w:val="24"/>
      <w:szCs w:val="24"/>
      <w:lang w:eastAsia="en-GB"/>
    </w:rPr>
  </w:style>
  <w:style w:type="paragraph" w:customStyle="1" w:styleId="xl77">
    <w:name w:val="xl77"/>
    <w:basedOn w:val="Normal"/>
    <w:rsid w:val="003C78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lang w:eastAsia="en-GB"/>
    </w:rPr>
  </w:style>
  <w:style w:type="paragraph" w:customStyle="1" w:styleId="xl78">
    <w:name w:val="xl78"/>
    <w:basedOn w:val="Normal"/>
    <w:rsid w:val="003C78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lang w:eastAsia="en-GB"/>
    </w:rPr>
  </w:style>
  <w:style w:type="paragraph" w:customStyle="1" w:styleId="xl79">
    <w:name w:val="xl79"/>
    <w:basedOn w:val="Normal"/>
    <w:rsid w:val="003C7862"/>
    <w:pPr>
      <w:widowControl/>
      <w:pBdr>
        <w:top w:val="single" w:sz="4" w:space="0" w:color="auto"/>
        <w:left w:val="single" w:sz="4" w:space="0" w:color="auto"/>
        <w:bottom w:val="single" w:sz="4" w:space="0" w:color="auto"/>
        <w:right w:val="single" w:sz="4" w:space="0" w:color="auto"/>
      </w:pBdr>
      <w:shd w:val="clear" w:color="000000" w:fill="8DB4E2"/>
      <w:autoSpaceDE/>
      <w:autoSpaceDN/>
      <w:spacing w:before="100" w:beforeAutospacing="1" w:after="100" w:afterAutospacing="1"/>
      <w:jc w:val="center"/>
      <w:textAlignment w:val="top"/>
    </w:pPr>
    <w:rPr>
      <w:rFonts w:cs="Times New Roman"/>
      <w:b/>
      <w:bCs/>
      <w:sz w:val="24"/>
      <w:szCs w:val="24"/>
      <w:lang w:eastAsia="en-GB"/>
    </w:rPr>
  </w:style>
  <w:style w:type="paragraph" w:customStyle="1" w:styleId="xl80">
    <w:name w:val="xl80"/>
    <w:basedOn w:val="Normal"/>
    <w:rsid w:val="003C7862"/>
    <w:pPr>
      <w:widowControl/>
      <w:pBdr>
        <w:top w:val="single" w:sz="4" w:space="0" w:color="auto"/>
        <w:left w:val="single" w:sz="4" w:space="0" w:color="auto"/>
        <w:bottom w:val="single" w:sz="4" w:space="0" w:color="auto"/>
        <w:right w:val="single" w:sz="4" w:space="0" w:color="auto"/>
      </w:pBdr>
      <w:shd w:val="clear" w:color="000000" w:fill="8DB4E2"/>
      <w:autoSpaceDE/>
      <w:autoSpaceDN/>
      <w:spacing w:before="100" w:beforeAutospacing="1" w:after="100" w:afterAutospacing="1"/>
      <w:jc w:val="center"/>
      <w:textAlignment w:val="top"/>
    </w:pPr>
    <w:rPr>
      <w:rFonts w:cs="Times New Roman"/>
      <w:b/>
      <w:bCs/>
      <w:sz w:val="24"/>
      <w:szCs w:val="24"/>
      <w:lang w:eastAsia="en-GB"/>
    </w:rPr>
  </w:style>
  <w:style w:type="paragraph" w:customStyle="1" w:styleId="xl81">
    <w:name w:val="xl81"/>
    <w:basedOn w:val="Normal"/>
    <w:rsid w:val="003C7862"/>
    <w:pPr>
      <w:widowControl/>
      <w:pBdr>
        <w:top w:val="single" w:sz="4" w:space="0" w:color="auto"/>
        <w:left w:val="single" w:sz="4" w:space="0" w:color="auto"/>
        <w:bottom w:val="single" w:sz="4" w:space="0" w:color="auto"/>
        <w:right w:val="single" w:sz="4" w:space="0" w:color="auto"/>
      </w:pBdr>
      <w:shd w:val="clear" w:color="000000" w:fill="8DB4E2"/>
      <w:autoSpaceDE/>
      <w:autoSpaceDN/>
      <w:spacing w:before="100" w:beforeAutospacing="1" w:after="100" w:afterAutospacing="1"/>
    </w:pPr>
    <w:rPr>
      <w:rFonts w:ascii="Times New Roman" w:hAnsi="Times New Roman" w:cs="Times New Roman"/>
      <w:b/>
      <w:bCs/>
      <w:sz w:val="24"/>
      <w:szCs w:val="24"/>
      <w:lang w:eastAsia="en-GB"/>
    </w:rPr>
  </w:style>
  <w:style w:type="paragraph" w:customStyle="1" w:styleId="xl82">
    <w:name w:val="xl82"/>
    <w:basedOn w:val="Normal"/>
    <w:rsid w:val="003C7862"/>
    <w:pPr>
      <w:widowControl/>
      <w:pBdr>
        <w:top w:val="single" w:sz="4" w:space="0" w:color="auto"/>
        <w:left w:val="single" w:sz="4" w:space="0" w:color="auto"/>
        <w:bottom w:val="single" w:sz="4" w:space="0" w:color="auto"/>
        <w:right w:val="single" w:sz="4" w:space="0" w:color="auto"/>
      </w:pBdr>
      <w:shd w:val="clear" w:color="000000" w:fill="8DB4E2"/>
      <w:autoSpaceDE/>
      <w:autoSpaceDN/>
      <w:spacing w:before="100" w:beforeAutospacing="1" w:after="100" w:afterAutospacing="1"/>
    </w:pPr>
    <w:rPr>
      <w:rFonts w:ascii="Times New Roman" w:hAnsi="Times New Roman" w:cs="Times New Roman"/>
      <w:sz w:val="24"/>
      <w:szCs w:val="24"/>
      <w:lang w:eastAsia="en-GB"/>
    </w:rPr>
  </w:style>
  <w:style w:type="paragraph" w:customStyle="1" w:styleId="xl83">
    <w:name w:val="xl83"/>
    <w:basedOn w:val="Normal"/>
    <w:rsid w:val="003C7862"/>
    <w:pPr>
      <w:widowControl/>
      <w:pBdr>
        <w:top w:val="single" w:sz="4" w:space="0" w:color="auto"/>
        <w:left w:val="single" w:sz="4" w:space="0" w:color="auto"/>
        <w:bottom w:val="single" w:sz="4" w:space="0" w:color="auto"/>
        <w:right w:val="single" w:sz="4" w:space="0" w:color="auto"/>
      </w:pBdr>
      <w:shd w:val="clear" w:color="000000" w:fill="8DB4E2"/>
      <w:autoSpaceDE/>
      <w:autoSpaceDN/>
      <w:spacing w:before="100" w:beforeAutospacing="1" w:after="100" w:afterAutospacing="1"/>
    </w:pPr>
    <w:rPr>
      <w:rFonts w:ascii="Times New Roman" w:hAnsi="Times New Roman" w:cs="Times New Roman"/>
      <w:sz w:val="24"/>
      <w:szCs w:val="24"/>
      <w:lang w:eastAsia="en-GB"/>
    </w:rPr>
  </w:style>
  <w:style w:type="paragraph" w:customStyle="1" w:styleId="xl84">
    <w:name w:val="xl84"/>
    <w:basedOn w:val="Normal"/>
    <w:rsid w:val="003C7862"/>
    <w:pPr>
      <w:widowControl/>
      <w:pBdr>
        <w:top w:val="single" w:sz="4" w:space="0" w:color="auto"/>
        <w:left w:val="single" w:sz="4" w:space="0" w:color="auto"/>
        <w:bottom w:val="single" w:sz="4" w:space="0" w:color="auto"/>
        <w:right w:val="single" w:sz="4" w:space="0" w:color="auto"/>
      </w:pBdr>
      <w:shd w:val="clear" w:color="000000" w:fill="8DB4E2"/>
      <w:autoSpaceDE/>
      <w:autoSpaceDN/>
      <w:spacing w:before="100" w:beforeAutospacing="1" w:after="100" w:afterAutospacing="1"/>
    </w:pPr>
    <w:rPr>
      <w:rFonts w:ascii="Times New Roman" w:hAnsi="Times New Roman" w:cs="Times New Roman"/>
      <w:b/>
      <w:bCs/>
      <w:sz w:val="24"/>
      <w:szCs w:val="24"/>
      <w:lang w:eastAsia="en-GB"/>
    </w:rPr>
  </w:style>
  <w:style w:type="paragraph" w:customStyle="1" w:styleId="xl85">
    <w:name w:val="xl85"/>
    <w:basedOn w:val="Normal"/>
    <w:rsid w:val="003C7862"/>
    <w:pPr>
      <w:widowControl/>
      <w:pBdr>
        <w:top w:val="single" w:sz="4" w:space="0" w:color="auto"/>
        <w:left w:val="single" w:sz="4" w:space="0" w:color="auto"/>
        <w:bottom w:val="single" w:sz="4" w:space="0" w:color="auto"/>
        <w:right w:val="single" w:sz="4" w:space="0" w:color="auto"/>
      </w:pBdr>
      <w:shd w:val="clear" w:color="000000" w:fill="8DB4E2"/>
      <w:autoSpaceDE/>
      <w:autoSpaceDN/>
      <w:spacing w:before="100" w:beforeAutospacing="1" w:after="100" w:afterAutospacing="1"/>
    </w:pPr>
    <w:rPr>
      <w:rFonts w:ascii="Times New Roman" w:hAnsi="Times New Roman" w:cs="Times New Roman"/>
      <w:sz w:val="24"/>
      <w:szCs w:val="24"/>
      <w:lang w:eastAsia="en-GB"/>
    </w:rPr>
  </w:style>
  <w:style w:type="paragraph" w:customStyle="1" w:styleId="xl86">
    <w:name w:val="xl86"/>
    <w:basedOn w:val="Normal"/>
    <w:rsid w:val="003C7862"/>
    <w:pPr>
      <w:widowControl/>
      <w:pBdr>
        <w:top w:val="single" w:sz="4" w:space="0" w:color="auto"/>
        <w:left w:val="single" w:sz="4" w:space="0" w:color="auto"/>
        <w:bottom w:val="single" w:sz="4" w:space="0" w:color="auto"/>
        <w:right w:val="single" w:sz="4" w:space="0" w:color="auto"/>
      </w:pBdr>
      <w:shd w:val="clear" w:color="000000" w:fill="C5D9F1"/>
      <w:autoSpaceDE/>
      <w:autoSpaceDN/>
      <w:spacing w:before="100" w:beforeAutospacing="1" w:after="100" w:afterAutospacing="1"/>
    </w:pPr>
    <w:rPr>
      <w:rFonts w:ascii="Times New Roman" w:hAnsi="Times New Roman" w:cs="Times New Roman"/>
      <w:b/>
      <w:bCs/>
      <w:sz w:val="24"/>
      <w:szCs w:val="24"/>
      <w:lang w:eastAsia="en-GB"/>
    </w:rPr>
  </w:style>
  <w:style w:type="paragraph" w:customStyle="1" w:styleId="xl87">
    <w:name w:val="xl87"/>
    <w:basedOn w:val="Normal"/>
    <w:rsid w:val="003C7862"/>
    <w:pPr>
      <w:widowControl/>
      <w:pBdr>
        <w:top w:val="single" w:sz="4" w:space="0" w:color="auto"/>
        <w:left w:val="single" w:sz="4" w:space="0" w:color="auto"/>
        <w:bottom w:val="single" w:sz="4" w:space="0" w:color="auto"/>
        <w:right w:val="single" w:sz="4" w:space="0" w:color="auto"/>
      </w:pBdr>
      <w:shd w:val="clear" w:color="000000" w:fill="C5D9F1"/>
      <w:autoSpaceDE/>
      <w:autoSpaceDN/>
      <w:spacing w:before="100" w:beforeAutospacing="1" w:after="100" w:afterAutospacing="1"/>
    </w:pPr>
    <w:rPr>
      <w:rFonts w:ascii="Times New Roman" w:hAnsi="Times New Roman" w:cs="Times New Roman"/>
      <w:sz w:val="24"/>
      <w:szCs w:val="24"/>
      <w:lang w:eastAsia="en-GB"/>
    </w:rPr>
  </w:style>
  <w:style w:type="paragraph" w:customStyle="1" w:styleId="xl88">
    <w:name w:val="xl88"/>
    <w:basedOn w:val="Normal"/>
    <w:rsid w:val="003C7862"/>
    <w:pPr>
      <w:widowControl/>
      <w:pBdr>
        <w:top w:val="single" w:sz="4" w:space="0" w:color="auto"/>
        <w:left w:val="single" w:sz="4" w:space="0" w:color="auto"/>
        <w:bottom w:val="single" w:sz="4" w:space="0" w:color="auto"/>
        <w:right w:val="single" w:sz="4" w:space="0" w:color="auto"/>
      </w:pBdr>
      <w:shd w:val="clear" w:color="000000" w:fill="C5D9F1"/>
      <w:autoSpaceDE/>
      <w:autoSpaceDN/>
      <w:spacing w:before="100" w:beforeAutospacing="1" w:after="100" w:afterAutospacing="1"/>
    </w:pPr>
    <w:rPr>
      <w:rFonts w:ascii="Times New Roman" w:hAnsi="Times New Roman" w:cs="Times New Roman"/>
      <w:b/>
      <w:bCs/>
      <w:sz w:val="24"/>
      <w:szCs w:val="24"/>
      <w:lang w:eastAsia="en-GB"/>
    </w:rPr>
  </w:style>
  <w:style w:type="paragraph" w:customStyle="1" w:styleId="xl89">
    <w:name w:val="xl89"/>
    <w:basedOn w:val="Normal"/>
    <w:rsid w:val="003C7862"/>
    <w:pPr>
      <w:widowControl/>
      <w:pBdr>
        <w:top w:val="single" w:sz="4" w:space="0" w:color="auto"/>
        <w:left w:val="single" w:sz="4" w:space="0" w:color="auto"/>
        <w:bottom w:val="single" w:sz="4" w:space="0" w:color="auto"/>
        <w:right w:val="single" w:sz="4" w:space="0" w:color="auto"/>
      </w:pBdr>
      <w:shd w:val="clear" w:color="000000" w:fill="C5D9F1"/>
      <w:autoSpaceDE/>
      <w:autoSpaceDN/>
      <w:spacing w:before="100" w:beforeAutospacing="1" w:after="100" w:afterAutospacing="1"/>
    </w:pPr>
    <w:rPr>
      <w:rFonts w:ascii="Times New Roman" w:hAnsi="Times New Roman" w:cs="Times New Roman"/>
      <w:b/>
      <w:bCs/>
      <w:sz w:val="24"/>
      <w:szCs w:val="24"/>
      <w:lang w:eastAsia="en-GB"/>
    </w:rPr>
  </w:style>
  <w:style w:type="paragraph" w:customStyle="1" w:styleId="xl90">
    <w:name w:val="xl90"/>
    <w:basedOn w:val="Normal"/>
    <w:rsid w:val="003C7862"/>
    <w:pPr>
      <w:widowControl/>
      <w:pBdr>
        <w:top w:val="single" w:sz="4" w:space="0" w:color="auto"/>
        <w:left w:val="single" w:sz="4" w:space="0" w:color="auto"/>
        <w:bottom w:val="single" w:sz="4" w:space="0" w:color="auto"/>
        <w:right w:val="single" w:sz="4" w:space="0" w:color="auto"/>
      </w:pBdr>
      <w:shd w:val="clear" w:color="000000" w:fill="C5D9F1"/>
      <w:autoSpaceDE/>
      <w:autoSpaceDN/>
      <w:spacing w:before="100" w:beforeAutospacing="1" w:after="100" w:afterAutospacing="1"/>
    </w:pPr>
    <w:rPr>
      <w:rFonts w:ascii="Times New Roman" w:hAnsi="Times New Roman" w:cs="Times New Roman"/>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995422">
      <w:bodyDiv w:val="1"/>
      <w:marLeft w:val="0"/>
      <w:marRight w:val="0"/>
      <w:marTop w:val="0"/>
      <w:marBottom w:val="0"/>
      <w:divBdr>
        <w:top w:val="none" w:sz="0" w:space="0" w:color="auto"/>
        <w:left w:val="none" w:sz="0" w:space="0" w:color="auto"/>
        <w:bottom w:val="none" w:sz="0" w:space="0" w:color="auto"/>
        <w:right w:val="none" w:sz="0" w:space="0" w:color="auto"/>
      </w:divBdr>
    </w:div>
    <w:div w:id="708531519">
      <w:bodyDiv w:val="1"/>
      <w:marLeft w:val="0"/>
      <w:marRight w:val="0"/>
      <w:marTop w:val="0"/>
      <w:marBottom w:val="0"/>
      <w:divBdr>
        <w:top w:val="none" w:sz="0" w:space="0" w:color="auto"/>
        <w:left w:val="none" w:sz="0" w:space="0" w:color="auto"/>
        <w:bottom w:val="none" w:sz="0" w:space="0" w:color="auto"/>
        <w:right w:val="none" w:sz="0" w:space="0" w:color="auto"/>
      </w:divBdr>
    </w:div>
    <w:div w:id="1338655178">
      <w:bodyDiv w:val="1"/>
      <w:marLeft w:val="0"/>
      <w:marRight w:val="0"/>
      <w:marTop w:val="0"/>
      <w:marBottom w:val="0"/>
      <w:divBdr>
        <w:top w:val="none" w:sz="0" w:space="0" w:color="auto"/>
        <w:left w:val="none" w:sz="0" w:space="0" w:color="auto"/>
        <w:bottom w:val="none" w:sz="0" w:space="0" w:color="auto"/>
        <w:right w:val="none" w:sz="0" w:space="0" w:color="auto"/>
      </w:divBdr>
    </w:div>
    <w:div w:id="152367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FF49B3E384EC40813D15C758984B67" ma:contentTypeVersion="14" ma:contentTypeDescription="Create a new document." ma:contentTypeScope="" ma:versionID="f450c2e4e579c6595b306b51ac84241f">
  <xsd:schema xmlns:xsd="http://www.w3.org/2001/XMLSchema" xmlns:xs="http://www.w3.org/2001/XMLSchema" xmlns:p="http://schemas.microsoft.com/office/2006/metadata/properties" xmlns:ns2="d24fb95f-6ff7-438e-90e5-b3c6a964c754" xmlns:ns3="61a88c6c-36b2-4c56-84b6-ac9c857504e3" targetNamespace="http://schemas.microsoft.com/office/2006/metadata/properties" ma:root="true" ma:fieldsID="eea49d423679e2db65fe4227a1236453" ns2:_="" ns3:_="">
    <xsd:import namespace="d24fb95f-6ff7-438e-90e5-b3c6a964c754"/>
    <xsd:import namespace="61a88c6c-36b2-4c56-84b6-ac9c857504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fb95f-6ff7-438e-90e5-b3c6a964c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a88c6c-36b2-4c56-84b6-ac9c857504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7d64d72-e07f-40d5-a8ec-341c5a7a959a}" ma:internalName="TaxCatchAll" ma:showField="CatchAllData" ma:web="61a88c6c-36b2-4c56-84b6-ac9c85750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4fb95f-6ff7-438e-90e5-b3c6a964c754">
      <Terms xmlns="http://schemas.microsoft.com/office/infopath/2007/PartnerControls"/>
    </lcf76f155ced4ddcb4097134ff3c332f>
    <TaxCatchAll xmlns="61a88c6c-36b2-4c56-84b6-ac9c857504e3" xsi:nil="true"/>
    <MediaLengthInSeconds xmlns="d24fb95f-6ff7-438e-90e5-b3c6a964c754" xsi:nil="true"/>
    <SharedWithUsers xmlns="61a88c6c-36b2-4c56-84b6-ac9c857504e3">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3C4F1-A920-45C5-B93C-14A862139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fb95f-6ff7-438e-90e5-b3c6a964c754"/>
    <ds:schemaRef ds:uri="61a88c6c-36b2-4c56-84b6-ac9c85750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A539E6-AACE-44B3-8AC1-70F9BED8C537}">
  <ds:schemaRefs>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d24fb95f-6ff7-438e-90e5-b3c6a964c754"/>
    <ds:schemaRef ds:uri="http://purl.org/dc/dcmitype/"/>
    <ds:schemaRef ds:uri="http://schemas.openxmlformats.org/package/2006/metadata/core-properties"/>
    <ds:schemaRef ds:uri="61a88c6c-36b2-4c56-84b6-ac9c857504e3"/>
    <ds:schemaRef ds:uri="http://www.w3.org/XML/1998/namespace"/>
  </ds:schemaRefs>
</ds:datastoreItem>
</file>

<file path=customXml/itemProps3.xml><?xml version="1.0" encoding="utf-8"?>
<ds:datastoreItem xmlns:ds="http://schemas.openxmlformats.org/officeDocument/2006/customXml" ds:itemID="{C0AD73C1-965B-461B-9B96-8FACCB921B11}">
  <ds:schemaRefs>
    <ds:schemaRef ds:uri="http://schemas.microsoft.com/sharepoint/v3/contenttype/forms"/>
  </ds:schemaRefs>
</ds:datastoreItem>
</file>

<file path=customXml/itemProps4.xml><?xml version="1.0" encoding="utf-8"?>
<ds:datastoreItem xmlns:ds="http://schemas.openxmlformats.org/officeDocument/2006/customXml" ds:itemID="{71819EEC-E951-413A-BC08-64C97A8DE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1759</Words>
  <Characters>10032</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2</cp:revision>
  <cp:lastPrinted>2023-09-04T11:01:00Z</cp:lastPrinted>
  <dcterms:created xsi:type="dcterms:W3CDTF">2024-06-05T14:50:00Z</dcterms:created>
  <dcterms:modified xsi:type="dcterms:W3CDTF">2024-06-05T14:50:00Z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DeRosaBM@state.gov</vt:lpwstr>
  </property>
  <property fmtid="{D5CDD505-2E9C-101B-9397-08002B2CF9AE}" pid="5" name="MSIP_Label_1665d9ee-429a-4d5f-97cc-cfb56e044a6e_SetDate">
    <vt:lpwstr>2021-06-22T23:34:57.4971171Z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83324181-f610-4c7c-8725-5a98adbf0d4b</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y fmtid="{D5CDD505-2E9C-101B-9397-08002B2CF9AE}" pid="11" name="ContentTypeId">
    <vt:lpwstr>0x01010030FF49B3E384EC40813D15C758984B67</vt:lpwstr>
  </property>
  <property fmtid="{D5CDD505-2E9C-101B-9397-08002B2CF9AE}" pid="12" name="MediaServiceImageTags">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_ExtendedDescription">
    <vt:lpwstr/>
  </property>
  <property fmtid="{D5CDD505-2E9C-101B-9397-08002B2CF9AE}" pid="17" name="TriggerFlowInfo">
    <vt:lpwstr/>
  </property>
</Properties>
</file>